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235C6">
      <w:pPr>
        <w:pStyle w:val="MediaNeutralStyle"/>
      </w:pPr>
      <w:bookmarkStart w:id="0" w:name="MNC"/>
      <w:r>
        <w:t>Wilmington Trust Company</w:t>
      </w:r>
      <w:r w:rsidR="00814729">
        <w:t xml:space="preserve"> (</w:t>
      </w:r>
      <w:r>
        <w:t>Trustee</w:t>
      </w:r>
      <w:r w:rsidR="00814729">
        <w:t>)</w:t>
      </w:r>
      <w:r>
        <w:t xml:space="preserve"> v </w:t>
      </w:r>
      <w:r w:rsidR="009E4DB8">
        <w:t>The</w:t>
      </w:r>
      <w:r w:rsidR="00814729">
        <w:t xml:space="preserve"> </w:t>
      </w:r>
      <w:r w:rsidR="009E4DB8">
        <w:t>Ship “</w:t>
      </w:r>
      <w:r>
        <w:t>Houston</w:t>
      </w:r>
      <w:r w:rsidR="009E4DB8">
        <w:t>”</w:t>
      </w:r>
      <w:r>
        <w:t xml:space="preserve"> </w:t>
      </w:r>
      <w:r w:rsidR="00F21458">
        <w:t xml:space="preserve">[2016] FCA </w:t>
      </w:r>
      <w:r w:rsidR="000C516C">
        <w:t>1349</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B3399">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0B3399" w:rsidRDefault="0025738C" w:rsidP="000B3399">
            <w:pPr>
              <w:pStyle w:val="Normal1linespace"/>
              <w:jc w:val="left"/>
            </w:pPr>
            <w:r>
              <w:fldChar w:fldCharType="begin" w:fldLock="1"/>
            </w:r>
            <w:r>
              <w:instrText xml:space="preserve"> REF  FileNo  \* MERGEFORMAT </w:instrText>
            </w:r>
            <w:r>
              <w:fldChar w:fldCharType="separate"/>
            </w:r>
            <w:r w:rsidR="000B3399" w:rsidRPr="000B3399">
              <w:t>WAD 755 of 2015</w:t>
            </w:r>
            <w:r>
              <w:fldChar w:fldCharType="end"/>
            </w:r>
          </w:p>
        </w:tc>
      </w:tr>
      <w:tr w:rsidR="00395B24" w:rsidTr="000B33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3399">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0B3399">
              <w:rPr>
                <w:b/>
              </w:rPr>
              <w:fldChar w:fldCharType="begin" w:fldLock="1"/>
            </w:r>
            <w:r w:rsidRPr="000B3399">
              <w:rPr>
                <w:b/>
              </w:rPr>
              <w:instrText xml:space="preserve"> REF  Judge  \* MERGEFORMAT </w:instrText>
            </w:r>
            <w:r w:rsidRPr="000B3399">
              <w:rPr>
                <w:b/>
              </w:rPr>
              <w:fldChar w:fldCharType="separate"/>
            </w:r>
            <w:r w:rsidR="000B3399" w:rsidRPr="000B3399">
              <w:rPr>
                <w:b/>
                <w:caps/>
                <w:szCs w:val="24"/>
              </w:rPr>
              <w:t>SIOPIS J</w:t>
            </w:r>
            <w:r w:rsidRPr="000B3399">
              <w:rPr>
                <w:b/>
              </w:rPr>
              <w:fldChar w:fldCharType="end"/>
            </w:r>
          </w:p>
        </w:tc>
      </w:tr>
      <w:tr w:rsidR="00395B24" w:rsidTr="000B33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339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1017E" w:rsidP="00D1017E">
            <w:pPr>
              <w:pStyle w:val="Normal1linespace"/>
              <w:widowControl w:val="0"/>
              <w:jc w:val="left"/>
            </w:pPr>
            <w:bookmarkStart w:id="1" w:name="JudgmentDate"/>
            <w:r>
              <w:t>29</w:t>
            </w:r>
            <w:r w:rsidR="000B3399">
              <w:t xml:space="preserve"> </w:t>
            </w:r>
            <w:r>
              <w:t xml:space="preserve">November </w:t>
            </w:r>
            <w:r w:rsidR="000B3399">
              <w:t>2016</w:t>
            </w:r>
            <w:bookmarkEnd w:id="1"/>
          </w:p>
        </w:tc>
      </w:tr>
      <w:tr w:rsidR="00395B24" w:rsidTr="000B33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339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9197F" w:rsidP="008A1D6E">
            <w:pPr>
              <w:pStyle w:val="Normal1linespace"/>
              <w:widowControl w:val="0"/>
            </w:pPr>
            <w:bookmarkStart w:id="2" w:name="Catchwords"/>
            <w:r>
              <w:rPr>
                <w:b/>
              </w:rPr>
              <w:t>ADMIRALTY</w:t>
            </w:r>
            <w:r>
              <w:t xml:space="preserve"> – the plaintiffs claimed delivery up of a ship and damages for conversion and/or </w:t>
            </w:r>
            <w:proofErr w:type="spellStart"/>
            <w:r>
              <w:t>detinue</w:t>
            </w:r>
            <w:proofErr w:type="spellEnd"/>
            <w:r>
              <w:t xml:space="preserve"> – whether the claims were proprietary maritime claims within s 16 of the </w:t>
            </w:r>
            <w:r>
              <w:rPr>
                <w:i/>
              </w:rPr>
              <w:t>Admiralty Act</w:t>
            </w:r>
            <w:r>
              <w:t xml:space="preserve">. </w:t>
            </w:r>
            <w:r w:rsidR="002C7385">
              <w:t xml:space="preserve"> </w:t>
            </w:r>
            <w:bookmarkEnd w:id="2"/>
          </w:p>
        </w:tc>
      </w:tr>
      <w:tr w:rsidR="00395B24" w:rsidTr="000B33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339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CC399C" w:rsidP="00161412">
            <w:pPr>
              <w:pStyle w:val="CasesLegislationAppealFrom"/>
              <w:spacing w:after="60"/>
            </w:pPr>
            <w:bookmarkStart w:id="3" w:name="Legislation"/>
            <w:r>
              <w:rPr>
                <w:i/>
              </w:rPr>
              <w:t>Admiralty Act 1988</w:t>
            </w:r>
            <w:r>
              <w:t xml:space="preserve"> (Cth) ss 4(2), 4(2)(a), 4(2)(a)(</w:t>
            </w:r>
            <w:proofErr w:type="spellStart"/>
            <w:r>
              <w:t>i</w:t>
            </w:r>
            <w:proofErr w:type="spellEnd"/>
            <w:r>
              <w:t>), 16, 18</w:t>
            </w:r>
            <w:r w:rsidR="002C7385">
              <w:t xml:space="preserve"> </w:t>
            </w:r>
            <w:bookmarkEnd w:id="3"/>
          </w:p>
        </w:tc>
      </w:tr>
      <w:tr w:rsidR="00395B24" w:rsidTr="000B33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B339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C399C" w:rsidRDefault="00CC399C" w:rsidP="00D82620">
            <w:pPr>
              <w:pStyle w:val="CasesLegislationAppealFrom"/>
              <w:spacing w:after="60"/>
            </w:pPr>
            <w:bookmarkStart w:id="4" w:name="Cases_Cited"/>
            <w:r>
              <w:rPr>
                <w:i/>
              </w:rPr>
              <w:t xml:space="preserve">Owners of the Ship “Shin Kobe </w:t>
            </w:r>
            <w:proofErr w:type="spellStart"/>
            <w:r>
              <w:rPr>
                <w:i/>
              </w:rPr>
              <w:t>Maru</w:t>
            </w:r>
            <w:proofErr w:type="spellEnd"/>
            <w:r>
              <w:rPr>
                <w:i/>
              </w:rPr>
              <w:t>” v Empire Shipping Company Inc</w:t>
            </w:r>
            <w:r>
              <w:t xml:space="preserve"> (1994) 181 CLR 404</w:t>
            </w:r>
          </w:p>
          <w:p w:rsidR="00395B24" w:rsidRDefault="00CC399C" w:rsidP="00043DEF">
            <w:pPr>
              <w:pStyle w:val="CasesLegislationAppealFrom"/>
              <w:spacing w:after="60"/>
            </w:pPr>
            <w:r>
              <w:rPr>
                <w:i/>
              </w:rPr>
              <w:t>Elbe Shipping SA v The Ship Global Peace</w:t>
            </w:r>
            <w:r>
              <w:t xml:space="preserve"> (2006) 154 FCR 439</w:t>
            </w:r>
            <w:r w:rsidR="00043DEF">
              <w:t xml:space="preserve"> </w:t>
            </w:r>
            <w:r w:rsidR="002C7385">
              <w:t xml:space="preserve"> </w:t>
            </w:r>
            <w:bookmarkEnd w:id="4"/>
          </w:p>
        </w:tc>
      </w:tr>
      <w:tr w:rsidR="000B3399" w:rsidRPr="000B3399" w:rsidTr="000B3399">
        <w:tc>
          <w:tcPr>
            <w:tcW w:w="3085" w:type="dxa"/>
            <w:shd w:val="clear" w:color="auto" w:fill="auto"/>
          </w:tcPr>
          <w:p w:rsidR="000B3399" w:rsidRPr="000B3399" w:rsidRDefault="000B3399" w:rsidP="000B3399">
            <w:pPr>
              <w:pStyle w:val="Normal1linespace"/>
              <w:jc w:val="left"/>
            </w:pPr>
          </w:p>
        </w:tc>
        <w:tc>
          <w:tcPr>
            <w:tcW w:w="5989" w:type="dxa"/>
            <w:shd w:val="clear" w:color="auto" w:fill="auto"/>
          </w:tcPr>
          <w:p w:rsidR="000B3399" w:rsidRPr="000B3399" w:rsidRDefault="000B3399" w:rsidP="000B3399">
            <w:pPr>
              <w:pStyle w:val="Normal1linespace"/>
              <w:jc w:val="left"/>
            </w:pPr>
          </w:p>
        </w:tc>
      </w:tr>
      <w:tr w:rsidR="000B3399" w:rsidRPr="000B3399" w:rsidTr="000B3399">
        <w:tc>
          <w:tcPr>
            <w:tcW w:w="3085" w:type="dxa"/>
            <w:shd w:val="clear" w:color="auto" w:fill="auto"/>
          </w:tcPr>
          <w:p w:rsidR="000B3399" w:rsidRPr="000B3399" w:rsidRDefault="000B3399" w:rsidP="000B3399">
            <w:pPr>
              <w:pStyle w:val="Normal1linespace"/>
              <w:jc w:val="left"/>
            </w:pPr>
            <w:bookmarkStart w:id="5" w:name="CounselDate" w:colFirst="0" w:colLast="2"/>
            <w:r w:rsidRPr="000B3399">
              <w:t>Date of hearing:</w:t>
            </w:r>
          </w:p>
        </w:tc>
        <w:tc>
          <w:tcPr>
            <w:tcW w:w="5989" w:type="dxa"/>
            <w:shd w:val="clear" w:color="auto" w:fill="auto"/>
          </w:tcPr>
          <w:p w:rsidR="000B3399" w:rsidRPr="000B3399" w:rsidRDefault="000B3399" w:rsidP="000B3399">
            <w:pPr>
              <w:pStyle w:val="Normal1linespace"/>
              <w:jc w:val="left"/>
            </w:pPr>
            <w:bookmarkStart w:id="6" w:name="HearingDate"/>
            <w:r>
              <w:t>7 April 2016</w:t>
            </w:r>
            <w:bookmarkEnd w:id="6"/>
          </w:p>
        </w:tc>
      </w:tr>
      <w:tr w:rsidR="000B3399" w:rsidRPr="000B3399" w:rsidTr="000B3399">
        <w:tc>
          <w:tcPr>
            <w:tcW w:w="3085" w:type="dxa"/>
            <w:shd w:val="clear" w:color="auto" w:fill="auto"/>
          </w:tcPr>
          <w:p w:rsidR="000B3399" w:rsidRPr="000B3399" w:rsidRDefault="000B3399" w:rsidP="000B3399">
            <w:pPr>
              <w:pStyle w:val="Normal1linespace"/>
              <w:jc w:val="left"/>
            </w:pPr>
          </w:p>
        </w:tc>
        <w:tc>
          <w:tcPr>
            <w:tcW w:w="5989" w:type="dxa"/>
            <w:shd w:val="clear" w:color="auto" w:fill="auto"/>
          </w:tcPr>
          <w:p w:rsidR="000B3399" w:rsidRPr="000B3399" w:rsidRDefault="000B3399" w:rsidP="000B3399">
            <w:pPr>
              <w:pStyle w:val="Normal1linespace"/>
              <w:jc w:val="left"/>
            </w:pPr>
          </w:p>
        </w:tc>
      </w:tr>
      <w:tr w:rsidR="000B3399" w:rsidRPr="000B3399" w:rsidTr="000B3399">
        <w:tc>
          <w:tcPr>
            <w:tcW w:w="3085" w:type="dxa"/>
            <w:shd w:val="clear" w:color="auto" w:fill="auto"/>
          </w:tcPr>
          <w:p w:rsidR="000B3399" w:rsidRPr="000B3399" w:rsidRDefault="000B3399" w:rsidP="000B3399">
            <w:pPr>
              <w:pStyle w:val="Normal1linespace"/>
              <w:jc w:val="left"/>
            </w:pPr>
            <w:r w:rsidRPr="000B3399">
              <w:t>Date of last submissions:</w:t>
            </w:r>
          </w:p>
        </w:tc>
        <w:tc>
          <w:tcPr>
            <w:tcW w:w="5989" w:type="dxa"/>
            <w:shd w:val="clear" w:color="auto" w:fill="auto"/>
          </w:tcPr>
          <w:p w:rsidR="000B3399" w:rsidRPr="000B3399" w:rsidRDefault="008A1D6E" w:rsidP="008A1D6E">
            <w:pPr>
              <w:pStyle w:val="Normal1linespace"/>
              <w:jc w:val="left"/>
            </w:pPr>
            <w:r>
              <w:t>20 April 2016</w:t>
            </w:r>
          </w:p>
        </w:tc>
      </w:tr>
      <w:bookmarkEnd w:id="5"/>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Registry:</w:t>
            </w:r>
          </w:p>
        </w:tc>
        <w:tc>
          <w:tcPr>
            <w:tcW w:w="5989" w:type="dxa"/>
            <w:shd w:val="clear" w:color="auto" w:fill="auto"/>
          </w:tcPr>
          <w:p w:rsidR="000B3399" w:rsidRPr="00F17599" w:rsidRDefault="00B4276E" w:rsidP="000B3399">
            <w:pPr>
              <w:pStyle w:val="Normal1linespace"/>
              <w:widowControl w:val="0"/>
              <w:jc w:val="left"/>
            </w:pPr>
            <w:fldSimple w:instr=" DOCPROPERTY  Registry ">
              <w:r w:rsidR="000B3399">
                <w:t>Western Australia</w:t>
              </w:r>
            </w:fldSimple>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Division:</w:t>
            </w:r>
          </w:p>
        </w:tc>
        <w:tc>
          <w:tcPr>
            <w:tcW w:w="5989" w:type="dxa"/>
            <w:shd w:val="clear" w:color="auto" w:fill="auto"/>
          </w:tcPr>
          <w:p w:rsidR="000B3399" w:rsidRPr="00F17599" w:rsidRDefault="00B4276E" w:rsidP="00FA7526">
            <w:pPr>
              <w:pStyle w:val="Normal1linespace"/>
              <w:widowControl w:val="0"/>
              <w:jc w:val="left"/>
            </w:pPr>
            <w:fldSimple w:instr=" DOCPROPERTY  Division ">
              <w:r w:rsidR="00FA7526">
                <w:t xml:space="preserve">General </w:t>
              </w:r>
              <w:r w:rsidR="000B3399">
                <w:t>Division</w:t>
              </w:r>
            </w:fldSimple>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Pr="00F17599" w:rsidRDefault="000B3399" w:rsidP="000B3399">
            <w:pPr>
              <w:pStyle w:val="Normal1linespace"/>
              <w:widowControl w:val="0"/>
              <w:jc w:val="left"/>
              <w:rPr>
                <w:b/>
              </w:rPr>
            </w:pPr>
          </w:p>
        </w:tc>
      </w:tr>
      <w:tr w:rsidR="000B3399" w:rsidTr="000B3399">
        <w:tc>
          <w:tcPr>
            <w:tcW w:w="3085" w:type="dxa"/>
            <w:shd w:val="clear" w:color="auto" w:fill="auto"/>
          </w:tcPr>
          <w:p w:rsidR="000B3399" w:rsidRDefault="000B3399" w:rsidP="000B3399">
            <w:pPr>
              <w:pStyle w:val="Normal1linespace"/>
              <w:widowControl w:val="0"/>
              <w:jc w:val="left"/>
            </w:pPr>
            <w:r>
              <w:t>National Practice Area:</w:t>
            </w:r>
          </w:p>
        </w:tc>
        <w:tc>
          <w:tcPr>
            <w:tcW w:w="5989" w:type="dxa"/>
            <w:shd w:val="clear" w:color="auto" w:fill="auto"/>
          </w:tcPr>
          <w:p w:rsidR="000B3399" w:rsidRPr="00F17599" w:rsidRDefault="00B4276E" w:rsidP="000B3399">
            <w:pPr>
              <w:pStyle w:val="Normal1linespace"/>
              <w:widowControl w:val="0"/>
              <w:jc w:val="left"/>
              <w:rPr>
                <w:b/>
              </w:rPr>
            </w:pPr>
            <w:fldSimple w:instr=" DOCPROPERTY  &quot;Practice Area&quot;  \* MERGEFORMAT ">
              <w:r w:rsidR="000B3399">
                <w:t>Admiralty and Maritime</w:t>
              </w:r>
            </w:fldSimple>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Category:</w:t>
            </w:r>
          </w:p>
        </w:tc>
        <w:tc>
          <w:tcPr>
            <w:tcW w:w="5989" w:type="dxa"/>
            <w:shd w:val="clear" w:color="auto" w:fill="auto"/>
          </w:tcPr>
          <w:p w:rsidR="000B3399" w:rsidRDefault="009E4DB8" w:rsidP="000B3399">
            <w:pPr>
              <w:pStyle w:val="Normal1linespace"/>
              <w:widowControl w:val="0"/>
              <w:jc w:val="left"/>
            </w:pPr>
            <w:r>
              <w:t>Catchwords</w:t>
            </w:r>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Number of paragraphs:</w:t>
            </w:r>
          </w:p>
        </w:tc>
        <w:tc>
          <w:tcPr>
            <w:tcW w:w="5989" w:type="dxa"/>
            <w:shd w:val="clear" w:color="auto" w:fill="auto"/>
          </w:tcPr>
          <w:p w:rsidR="000B3399" w:rsidRDefault="00056A18" w:rsidP="00603842">
            <w:pPr>
              <w:pStyle w:val="Normal1linespace"/>
              <w:widowControl w:val="0"/>
              <w:jc w:val="left"/>
            </w:pPr>
            <w:bookmarkStart w:id="7" w:name="PlaceCategoryParagraphs"/>
            <w:r>
              <w:t>5</w:t>
            </w:r>
            <w:r w:rsidR="00603842">
              <w:t>5</w:t>
            </w:r>
            <w:bookmarkEnd w:id="7"/>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7C15D0">
            <w:pPr>
              <w:pStyle w:val="Normal1linespace"/>
              <w:widowControl w:val="0"/>
              <w:jc w:val="left"/>
            </w:pPr>
            <w:bookmarkStart w:id="8" w:name="Counsel" w:colFirst="0" w:colLast="2"/>
            <w:r>
              <w:t>Counsel for the</w:t>
            </w:r>
            <w:r w:rsidR="00043DEF">
              <w:t xml:space="preserve"> </w:t>
            </w:r>
            <w:r>
              <w:t>Plaintiffs:</w:t>
            </w:r>
          </w:p>
        </w:tc>
        <w:tc>
          <w:tcPr>
            <w:tcW w:w="5989" w:type="dxa"/>
            <w:shd w:val="clear" w:color="auto" w:fill="auto"/>
          </w:tcPr>
          <w:p w:rsidR="000B3399" w:rsidRDefault="008A1D6E" w:rsidP="000B3399">
            <w:pPr>
              <w:pStyle w:val="Normal1linespace"/>
              <w:widowControl w:val="0"/>
              <w:jc w:val="left"/>
            </w:pPr>
            <w:bookmarkStart w:id="9" w:name="AppCounsel"/>
            <w:bookmarkEnd w:id="9"/>
            <w:r>
              <w:t>Mr P Hopwood</w:t>
            </w:r>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7C15D0">
            <w:pPr>
              <w:pStyle w:val="Normal1linespace"/>
              <w:widowControl w:val="0"/>
              <w:jc w:val="left"/>
            </w:pPr>
            <w:r>
              <w:t>Solicitor for the</w:t>
            </w:r>
            <w:r w:rsidR="00043DEF">
              <w:t xml:space="preserve"> </w:t>
            </w:r>
            <w:r>
              <w:t>Plaintiffs:</w:t>
            </w:r>
          </w:p>
        </w:tc>
        <w:tc>
          <w:tcPr>
            <w:tcW w:w="5989" w:type="dxa"/>
            <w:shd w:val="clear" w:color="auto" w:fill="auto"/>
          </w:tcPr>
          <w:p w:rsidR="000B3399" w:rsidRDefault="008A1D6E" w:rsidP="000B3399">
            <w:pPr>
              <w:pStyle w:val="Normal1linespace"/>
              <w:widowControl w:val="0"/>
              <w:jc w:val="left"/>
            </w:pPr>
            <w:r>
              <w:t xml:space="preserve">Cocks </w:t>
            </w:r>
            <w:proofErr w:type="spellStart"/>
            <w:r>
              <w:t>Macnish</w:t>
            </w:r>
            <w:proofErr w:type="spellEnd"/>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Counsel for the Defendant:</w:t>
            </w:r>
          </w:p>
        </w:tc>
        <w:tc>
          <w:tcPr>
            <w:tcW w:w="5989" w:type="dxa"/>
            <w:shd w:val="clear" w:color="auto" w:fill="auto"/>
          </w:tcPr>
          <w:p w:rsidR="000B3399" w:rsidRDefault="008A1D6E" w:rsidP="000B3399">
            <w:pPr>
              <w:pStyle w:val="Normal1linespace"/>
              <w:widowControl w:val="0"/>
              <w:jc w:val="left"/>
            </w:pPr>
            <w:r>
              <w:t>Mr A Trichardt</w:t>
            </w:r>
          </w:p>
        </w:tc>
      </w:tr>
      <w:tr w:rsidR="000B3399" w:rsidTr="000B3399">
        <w:tc>
          <w:tcPr>
            <w:tcW w:w="3085" w:type="dxa"/>
            <w:shd w:val="clear" w:color="auto" w:fill="auto"/>
          </w:tcPr>
          <w:p w:rsidR="000B3399" w:rsidRDefault="000B3399" w:rsidP="000B3399">
            <w:pPr>
              <w:pStyle w:val="Normal1linespace"/>
              <w:widowControl w:val="0"/>
              <w:jc w:val="left"/>
            </w:pPr>
          </w:p>
        </w:tc>
        <w:tc>
          <w:tcPr>
            <w:tcW w:w="5989" w:type="dxa"/>
            <w:shd w:val="clear" w:color="auto" w:fill="auto"/>
          </w:tcPr>
          <w:p w:rsidR="000B3399" w:rsidRDefault="000B3399" w:rsidP="000B3399">
            <w:pPr>
              <w:pStyle w:val="Normal1linespace"/>
              <w:widowControl w:val="0"/>
              <w:jc w:val="left"/>
            </w:pPr>
          </w:p>
        </w:tc>
      </w:tr>
      <w:tr w:rsidR="000B3399" w:rsidTr="000B3399">
        <w:tc>
          <w:tcPr>
            <w:tcW w:w="3085" w:type="dxa"/>
            <w:shd w:val="clear" w:color="auto" w:fill="auto"/>
          </w:tcPr>
          <w:p w:rsidR="000B3399" w:rsidRDefault="000B3399" w:rsidP="000B3399">
            <w:pPr>
              <w:pStyle w:val="Normal1linespace"/>
              <w:widowControl w:val="0"/>
              <w:jc w:val="left"/>
            </w:pPr>
            <w:r>
              <w:t>Solicitor for the Defendant:</w:t>
            </w:r>
          </w:p>
        </w:tc>
        <w:tc>
          <w:tcPr>
            <w:tcW w:w="5989" w:type="dxa"/>
            <w:shd w:val="clear" w:color="auto" w:fill="auto"/>
          </w:tcPr>
          <w:p w:rsidR="000B3399" w:rsidRDefault="008A1D6E" w:rsidP="000B3399">
            <w:pPr>
              <w:pStyle w:val="Normal1linespace"/>
              <w:widowControl w:val="0"/>
              <w:jc w:val="left"/>
            </w:pPr>
            <w:r>
              <w:t>Clyde &amp; Co Australia</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B3399" w:rsidP="00F92355">
            <w:pPr>
              <w:pStyle w:val="NormalHeadings"/>
              <w:jc w:val="right"/>
            </w:pPr>
            <w:bookmarkStart w:id="10" w:name="FileNo"/>
            <w:r>
              <w:t>WAD 755 of 2015</w:t>
            </w:r>
            <w:bookmarkEnd w:id="10"/>
          </w:p>
        </w:tc>
      </w:tr>
      <w:tr w:rsidR="00A76C13" w:rsidTr="00CC0F0F">
        <w:tc>
          <w:tcPr>
            <w:tcW w:w="9242" w:type="dxa"/>
            <w:gridSpan w:val="3"/>
          </w:tcPr>
          <w:p w:rsidR="00A76C13" w:rsidRPr="00A76C13" w:rsidRDefault="000B3399" w:rsidP="000B3399">
            <w:pPr>
              <w:pStyle w:val="NormalHeadings"/>
              <w:jc w:val="left"/>
            </w:pPr>
            <w:bookmarkStart w:id="11" w:name="InTheMatterOf"/>
            <w:r>
              <w:t xml:space="preserve"> </w:t>
            </w:r>
            <w:bookmarkEnd w:id="11"/>
          </w:p>
        </w:tc>
      </w:tr>
      <w:tr w:rsidR="00A46CCC" w:rsidTr="00CC0F0F">
        <w:trPr>
          <w:trHeight w:val="386"/>
        </w:trPr>
        <w:tc>
          <w:tcPr>
            <w:tcW w:w="2376" w:type="dxa"/>
          </w:tcPr>
          <w:p w:rsidR="00A46CCC" w:rsidRDefault="00A46CCC" w:rsidP="00CC0F0F">
            <w:pPr>
              <w:pStyle w:val="NormalHeadings"/>
              <w:jc w:val="left"/>
              <w:rPr>
                <w:caps/>
                <w:szCs w:val="24"/>
              </w:rPr>
            </w:pPr>
            <w:bookmarkStart w:id="12" w:name="Parties"/>
            <w:r>
              <w:rPr>
                <w:caps/>
                <w:szCs w:val="24"/>
              </w:rPr>
              <w:t>BETWEEN:</w:t>
            </w:r>
          </w:p>
        </w:tc>
        <w:tc>
          <w:tcPr>
            <w:tcW w:w="6866" w:type="dxa"/>
            <w:gridSpan w:val="2"/>
          </w:tcPr>
          <w:p w:rsidR="000B3399" w:rsidRDefault="000B3399" w:rsidP="000B3399">
            <w:pPr>
              <w:pStyle w:val="NormalHeadings"/>
              <w:jc w:val="left"/>
            </w:pPr>
            <w:bookmarkStart w:id="13" w:name="Applicant"/>
            <w:r>
              <w:t>WILMINGTON TRUST COMPANY AS TRUSTEE FOR THE TERAS BBC HOUSTON TRUST</w:t>
            </w:r>
          </w:p>
          <w:p w:rsidR="000B3399" w:rsidRDefault="000B3399" w:rsidP="000B3399">
            <w:pPr>
              <w:pStyle w:val="PartyType"/>
            </w:pPr>
            <w:r>
              <w:t>First Plaintiff</w:t>
            </w:r>
          </w:p>
          <w:p w:rsidR="000B3399" w:rsidRDefault="000B3399" w:rsidP="00CC0F0F">
            <w:pPr>
              <w:pStyle w:val="NormalHeadings"/>
              <w:jc w:val="left"/>
              <w:rPr>
                <w:szCs w:val="24"/>
              </w:rPr>
            </w:pPr>
          </w:p>
          <w:p w:rsidR="000B3399" w:rsidRDefault="000B3399" w:rsidP="000B3399">
            <w:pPr>
              <w:pStyle w:val="NormalHeadings"/>
              <w:jc w:val="left"/>
            </w:pPr>
            <w:r>
              <w:t>TERAS BBC HOUSTON (BVI) LTD</w:t>
            </w:r>
          </w:p>
          <w:p w:rsidR="000B3399" w:rsidRDefault="000B3399" w:rsidP="000B3399">
            <w:pPr>
              <w:pStyle w:val="PartyType"/>
            </w:pPr>
            <w:r>
              <w:t>Second Plaintiff</w:t>
            </w:r>
          </w:p>
          <w:bookmarkEnd w:id="13"/>
          <w:p w:rsidR="00A46CCC" w:rsidRPr="006555B4" w:rsidRDefault="00A46CCC" w:rsidP="00CC0F0F">
            <w:pPr>
              <w:pStyle w:val="NormalHeadings"/>
              <w:jc w:val="left"/>
            </w:pPr>
          </w:p>
        </w:tc>
      </w:tr>
      <w:tr w:rsidR="00A46CCC" w:rsidTr="00CC0F0F">
        <w:trPr>
          <w:trHeight w:val="386"/>
        </w:trPr>
        <w:tc>
          <w:tcPr>
            <w:tcW w:w="2376" w:type="dxa"/>
          </w:tcPr>
          <w:p w:rsidR="00A46CCC" w:rsidRDefault="00A46CCC" w:rsidP="00CC0F0F">
            <w:pPr>
              <w:pStyle w:val="NormalHeadings"/>
              <w:jc w:val="left"/>
              <w:rPr>
                <w:caps/>
                <w:szCs w:val="24"/>
              </w:rPr>
            </w:pPr>
            <w:r>
              <w:rPr>
                <w:caps/>
                <w:szCs w:val="24"/>
              </w:rPr>
              <w:t>AND:</w:t>
            </w:r>
          </w:p>
        </w:tc>
        <w:tc>
          <w:tcPr>
            <w:tcW w:w="6866" w:type="dxa"/>
            <w:gridSpan w:val="2"/>
          </w:tcPr>
          <w:p w:rsidR="000B3399" w:rsidRDefault="00615D15" w:rsidP="000B3399">
            <w:pPr>
              <w:pStyle w:val="NormalHeadings"/>
              <w:jc w:val="left"/>
            </w:pPr>
            <w:bookmarkStart w:id="14" w:name="Respondent"/>
            <w:r>
              <w:t xml:space="preserve">THE SHIP </w:t>
            </w:r>
            <w:r w:rsidR="009E4DB8">
              <w:t>“</w:t>
            </w:r>
            <w:r w:rsidR="000B3399">
              <w:t>HOUSTON</w:t>
            </w:r>
            <w:r w:rsidR="009E4DB8">
              <w:t>”</w:t>
            </w:r>
          </w:p>
          <w:p w:rsidR="000B3399" w:rsidRDefault="000B3399" w:rsidP="000B3399">
            <w:pPr>
              <w:pStyle w:val="PartyType"/>
            </w:pPr>
            <w:r>
              <w:t>Defendant</w:t>
            </w:r>
          </w:p>
          <w:bookmarkEnd w:id="14"/>
          <w:p w:rsidR="00A46CCC" w:rsidRPr="006555B4" w:rsidRDefault="00A46CCC" w:rsidP="00CC0F0F">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B339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0B3399">
            <w:pPr>
              <w:pStyle w:val="NormalHeadings"/>
              <w:jc w:val="left"/>
              <w:rPr>
                <w:caps/>
                <w:szCs w:val="24"/>
              </w:rPr>
            </w:pPr>
            <w:bookmarkStart w:id="17" w:name="Judge"/>
            <w:r>
              <w:rPr>
                <w:caps/>
                <w:szCs w:val="24"/>
              </w:rPr>
              <w:t>SIOPIS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1017E" w:rsidP="00D1017E">
            <w:pPr>
              <w:pStyle w:val="NormalHeadings"/>
              <w:jc w:val="left"/>
              <w:rPr>
                <w:caps/>
                <w:szCs w:val="24"/>
              </w:rPr>
            </w:pPr>
            <w:bookmarkStart w:id="18" w:name="Judgment_Dated"/>
            <w:r>
              <w:rPr>
                <w:caps/>
                <w:szCs w:val="24"/>
              </w:rPr>
              <w:t>29</w:t>
            </w:r>
            <w:r w:rsidR="000B3399">
              <w:rPr>
                <w:caps/>
                <w:szCs w:val="24"/>
              </w:rPr>
              <w:t xml:space="preserve"> </w:t>
            </w:r>
            <w:r>
              <w:rPr>
                <w:caps/>
                <w:szCs w:val="24"/>
              </w:rPr>
              <w:t xml:space="preserve">november </w:t>
            </w:r>
            <w:r w:rsidR="000B3399">
              <w:rPr>
                <w:caps/>
                <w:szCs w:val="24"/>
              </w:rPr>
              <w:t>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9197F" w:rsidP="00274F5B">
      <w:pPr>
        <w:pStyle w:val="Order1"/>
      </w:pPr>
      <w:bookmarkStart w:id="19" w:name="Order_Start_Text"/>
      <w:bookmarkEnd w:id="19"/>
      <w:r>
        <w:t>T</w:t>
      </w:r>
      <w:r w:rsidR="00397E2E">
        <w:t>BONE’s</w:t>
      </w:r>
      <w:r>
        <w:t xml:space="preserve"> interlocutory application dated 11 January 2016 </w:t>
      </w:r>
      <w:proofErr w:type="gramStart"/>
      <w:r>
        <w:t>is dismissed</w:t>
      </w:r>
      <w:proofErr w:type="gramEnd"/>
      <w:r>
        <w:t>.</w:t>
      </w:r>
    </w:p>
    <w:p w:rsidR="0069197F" w:rsidRDefault="0069197F" w:rsidP="00274F5B">
      <w:pPr>
        <w:pStyle w:val="Order1"/>
      </w:pPr>
      <w:r>
        <w:t>T</w:t>
      </w:r>
      <w:r w:rsidR="00397E2E">
        <w:t xml:space="preserve">BONE </w:t>
      </w:r>
      <w:r>
        <w:t>is to pay the plaintiffs’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w:t>
      </w:r>
      <w:proofErr w:type="gramStart"/>
      <w:r>
        <w:t>is dealt with</w:t>
      </w:r>
      <w:proofErr w:type="gramEnd"/>
      <w:r>
        <w:t xml:space="preserve">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B3399" w:rsidP="005E0510">
      <w:pPr>
        <w:pStyle w:val="NormalHeadings"/>
        <w:spacing w:line="360" w:lineRule="auto"/>
        <w:jc w:val="left"/>
        <w:rPr>
          <w:sz w:val="26"/>
          <w:szCs w:val="26"/>
        </w:rPr>
      </w:pPr>
      <w:r>
        <w:rPr>
          <w:sz w:val="26"/>
          <w:szCs w:val="26"/>
        </w:rPr>
        <w:t>SIOPIS J</w:t>
      </w:r>
      <w:r w:rsidR="00484F6D" w:rsidRPr="00EA03CE">
        <w:rPr>
          <w:sz w:val="26"/>
          <w:szCs w:val="26"/>
        </w:rPr>
        <w:t>:</w:t>
      </w:r>
    </w:p>
    <w:p w:rsidR="000D1086" w:rsidRDefault="000D1086" w:rsidP="000B3399">
      <w:pPr>
        <w:pStyle w:val="ParaNumbering"/>
      </w:pPr>
      <w:r>
        <w:t>The plaintiffs</w:t>
      </w:r>
      <w:r w:rsidR="009403AA">
        <w:t xml:space="preserve">, Wilmington Trust Company as </w:t>
      </w:r>
      <w:r w:rsidR="009432DC">
        <w:t>t</w:t>
      </w:r>
      <w:r w:rsidR="009403AA">
        <w:t xml:space="preserve">rustee for the </w:t>
      </w:r>
      <w:proofErr w:type="spellStart"/>
      <w:r w:rsidR="009403AA">
        <w:t>Teras</w:t>
      </w:r>
      <w:proofErr w:type="spellEnd"/>
      <w:r w:rsidR="009403AA">
        <w:t xml:space="preserve"> BBC Houston Trust</w:t>
      </w:r>
      <w:r w:rsidR="00650817">
        <w:t>,</w:t>
      </w:r>
      <w:r w:rsidR="009403AA">
        <w:t xml:space="preserve"> and </w:t>
      </w:r>
      <w:proofErr w:type="spellStart"/>
      <w:r w:rsidR="009403AA">
        <w:t>Teras</w:t>
      </w:r>
      <w:proofErr w:type="spellEnd"/>
      <w:r w:rsidR="009403AA">
        <w:t xml:space="preserve"> BBC Houston (BVI) Ltd, commenced an action against the defendant, The Ship “Houston” (the </w:t>
      </w:r>
      <w:r w:rsidR="00527125">
        <w:t>“</w:t>
      </w:r>
      <w:r w:rsidR="009403AA">
        <w:t>Houston</w:t>
      </w:r>
      <w:r w:rsidR="00527125">
        <w:t>”</w:t>
      </w:r>
      <w:r w:rsidR="009403AA">
        <w:t xml:space="preserve">), by way of an action </w:t>
      </w:r>
      <w:r w:rsidR="009403AA" w:rsidRPr="006D5CF3">
        <w:rPr>
          <w:i/>
        </w:rPr>
        <w:t>in rem</w:t>
      </w:r>
      <w:r w:rsidR="009403AA">
        <w:t xml:space="preserve"> on 24 December 2015. </w:t>
      </w:r>
    </w:p>
    <w:p w:rsidR="000D1086" w:rsidRDefault="009403AA" w:rsidP="000B3399">
      <w:pPr>
        <w:pStyle w:val="ParaNumbering"/>
      </w:pPr>
      <w:r>
        <w:t xml:space="preserve">The </w:t>
      </w:r>
      <w:r w:rsidR="00527125">
        <w:t>“</w:t>
      </w:r>
      <w:r>
        <w:t>Houston</w:t>
      </w:r>
      <w:r w:rsidR="00527125">
        <w:t>”</w:t>
      </w:r>
      <w:r>
        <w:t xml:space="preserve"> is a United States of America flagged vessel.  Its port of registry is Wilmington, Delaware. </w:t>
      </w:r>
    </w:p>
    <w:p w:rsidR="000D1086" w:rsidRDefault="009403AA" w:rsidP="000B3399">
      <w:pPr>
        <w:pStyle w:val="ParaNumbering"/>
      </w:pPr>
      <w:r>
        <w:t xml:space="preserve">The relevant person named on the writ is </w:t>
      </w:r>
      <w:proofErr w:type="spellStart"/>
      <w:r w:rsidRPr="00FB331C">
        <w:t>Teras</w:t>
      </w:r>
      <w:proofErr w:type="spellEnd"/>
      <w:r w:rsidRPr="00FB331C">
        <w:t xml:space="preserve"> BBC Ocean Navigation Enterprise Houston, LCC</w:t>
      </w:r>
      <w:r w:rsidR="00FB331C">
        <w:t xml:space="preserve"> (TBONE)</w:t>
      </w:r>
      <w:r w:rsidRPr="00FB331C">
        <w:t>.</w:t>
      </w:r>
      <w:r>
        <w:t xml:space="preserve">  The relevant person </w:t>
      </w:r>
      <w:proofErr w:type="gramStart"/>
      <w:r>
        <w:t>was referred</w:t>
      </w:r>
      <w:proofErr w:type="gramEnd"/>
      <w:r>
        <w:t xml:space="preserve"> to throughout the proceeding as “TBONE”. </w:t>
      </w:r>
    </w:p>
    <w:p w:rsidR="00527125" w:rsidRDefault="009403AA" w:rsidP="000B3399">
      <w:pPr>
        <w:pStyle w:val="ParaNumbering"/>
      </w:pPr>
      <w:proofErr w:type="gramStart"/>
      <w:r>
        <w:t>In</w:t>
      </w:r>
      <w:r w:rsidR="00861E83">
        <w:t xml:space="preserve"> </w:t>
      </w:r>
      <w:r w:rsidR="00650817">
        <w:t xml:space="preserve">their </w:t>
      </w:r>
      <w:r w:rsidR="00861E83">
        <w:t>particulars of claim</w:t>
      </w:r>
      <w:r w:rsidR="00650817">
        <w:t>,</w:t>
      </w:r>
      <w:r w:rsidR="00861E83">
        <w:t xml:space="preserve"> </w:t>
      </w:r>
      <w:r>
        <w:t xml:space="preserve">the plaintiffs state that </w:t>
      </w:r>
      <w:r w:rsidR="00861E83">
        <w:t>“</w:t>
      </w:r>
      <w:r w:rsidR="00527125">
        <w:t>within the meaning of sections 4(2)(a)(</w:t>
      </w:r>
      <w:proofErr w:type="spellStart"/>
      <w:r w:rsidR="00527125">
        <w:t>i</w:t>
      </w:r>
      <w:proofErr w:type="spellEnd"/>
      <w:r w:rsidR="00527125">
        <w:t xml:space="preserve">), 4(3)(f) and 4(3)(w) of the </w:t>
      </w:r>
      <w:r w:rsidR="00527125">
        <w:rPr>
          <w:i/>
        </w:rPr>
        <w:t>Admiralty Act 1988</w:t>
      </w:r>
      <w:r w:rsidR="00527125">
        <w:t xml:space="preserve"> (Cth) and brought under sections 16 and 18 </w:t>
      </w:r>
      <w:r w:rsidR="00DE7404">
        <w:t>thereof”</w:t>
      </w:r>
      <w:r w:rsidR="00FB331C">
        <w:t>,</w:t>
      </w:r>
      <w:r w:rsidR="00527125">
        <w:t xml:space="preserve"> </w:t>
      </w:r>
      <w:r w:rsidR="00861E83">
        <w:t xml:space="preserve">they claim relief </w:t>
      </w:r>
      <w:r w:rsidR="00527125">
        <w:t xml:space="preserve">in respect of a bareboat </w:t>
      </w:r>
      <w:proofErr w:type="spellStart"/>
      <w:r w:rsidR="00527125">
        <w:t>charter</w:t>
      </w:r>
      <w:r w:rsidR="00FB331C">
        <w:t>party</w:t>
      </w:r>
      <w:proofErr w:type="spellEnd"/>
      <w:r w:rsidR="00527125">
        <w:t xml:space="preserve"> between the first plaintiff and TBONE</w:t>
      </w:r>
      <w:r w:rsidR="00FB331C">
        <w:t>,</w:t>
      </w:r>
      <w:r w:rsidR="00527125">
        <w:t xml:space="preserve"> dated 29 September 2010</w:t>
      </w:r>
      <w:r w:rsidR="00FB331C">
        <w:t>,</w:t>
      </w:r>
      <w:r w:rsidR="00861E83">
        <w:t xml:space="preserve"> in respect of the </w:t>
      </w:r>
      <w:r w:rsidR="008B7A8B">
        <w:t>“</w:t>
      </w:r>
      <w:r w:rsidR="00527125">
        <w:t>Houston</w:t>
      </w:r>
      <w:r w:rsidR="008B7A8B">
        <w:t>”</w:t>
      </w:r>
      <w:r w:rsidR="00FB331C">
        <w:t>.</w:t>
      </w:r>
      <w:proofErr w:type="gramEnd"/>
    </w:p>
    <w:p w:rsidR="009403AA" w:rsidRDefault="00527125" w:rsidP="000B3399">
      <w:pPr>
        <w:pStyle w:val="ParaNumbering"/>
      </w:pPr>
      <w:r>
        <w:t xml:space="preserve">The </w:t>
      </w:r>
      <w:r w:rsidR="00DE7404">
        <w:t xml:space="preserve">plaintiffs claimed the following </w:t>
      </w:r>
      <w:r>
        <w:t>relief in the writ:</w:t>
      </w:r>
    </w:p>
    <w:p w:rsidR="00527125" w:rsidRDefault="006D5CF3" w:rsidP="006D5CF3">
      <w:pPr>
        <w:pStyle w:val="Quote1"/>
        <w:ind w:left="1440" w:hanging="703"/>
      </w:pPr>
      <w:r>
        <w:t>(a)</w:t>
      </w:r>
      <w:r>
        <w:tab/>
      </w:r>
      <w:proofErr w:type="gramStart"/>
      <w:r>
        <w:t>hire</w:t>
      </w:r>
      <w:proofErr w:type="gramEnd"/>
      <w:r>
        <w:t xml:space="preserve"> owed to the Plaintiffs pursuant to clause 11 of the Bareboat </w:t>
      </w:r>
      <w:proofErr w:type="spellStart"/>
      <w:r>
        <w:t>Charterparty</w:t>
      </w:r>
      <w:proofErr w:type="spellEnd"/>
      <w:r>
        <w:t xml:space="preserve"> for the period between 23 August 2015 and 2 December 2015;</w:t>
      </w:r>
    </w:p>
    <w:p w:rsidR="006D5CF3" w:rsidRDefault="006D5CF3" w:rsidP="006D5CF3">
      <w:pPr>
        <w:pStyle w:val="Quote1"/>
        <w:ind w:left="1440" w:hanging="703"/>
      </w:pPr>
      <w:r>
        <w:t>(b)</w:t>
      </w:r>
      <w:r>
        <w:tab/>
        <w:t xml:space="preserve">in the alternative to paragraph (a), hire owed to the Plaintiffs pursuant to clause 11 of the Bareboat </w:t>
      </w:r>
      <w:proofErr w:type="spellStart"/>
      <w:r>
        <w:t>Charterparty</w:t>
      </w:r>
      <w:proofErr w:type="spellEnd"/>
      <w:r>
        <w:t xml:space="preserve"> for the period between 23 August 2015 and the date the Vessel is delivered to the possession of the Plaintiff pursuant to clause 29, or alternatively clause 15 of the </w:t>
      </w:r>
      <w:proofErr w:type="spellStart"/>
      <w:r>
        <w:t>Charterparty</w:t>
      </w:r>
      <w:proofErr w:type="spellEnd"/>
      <w:r>
        <w:t>, whichever the case may be;</w:t>
      </w:r>
    </w:p>
    <w:p w:rsidR="006D5CF3" w:rsidRDefault="006D5CF3" w:rsidP="006D5CF3">
      <w:pPr>
        <w:pStyle w:val="Quote1"/>
        <w:ind w:left="1440" w:hanging="703"/>
      </w:pPr>
      <w:r>
        <w:t>(c)</w:t>
      </w:r>
      <w:r>
        <w:tab/>
      </w:r>
      <w:proofErr w:type="gramStart"/>
      <w:r>
        <w:t>loss</w:t>
      </w:r>
      <w:proofErr w:type="gramEnd"/>
      <w:r>
        <w:t xml:space="preserve"> and damage arising from the detention and/or conversion of the Vessel from on or about 2 December 2015 or such other date as the Court deems appropriate;</w:t>
      </w:r>
    </w:p>
    <w:p w:rsidR="006D5CF3" w:rsidRDefault="006D5CF3" w:rsidP="006D5CF3">
      <w:pPr>
        <w:pStyle w:val="Quote1"/>
        <w:ind w:left="1440" w:hanging="703"/>
      </w:pPr>
      <w:r>
        <w:t>(d)</w:t>
      </w:r>
      <w:r>
        <w:tab/>
      </w:r>
      <w:proofErr w:type="gramStart"/>
      <w:r>
        <w:t>an</w:t>
      </w:r>
      <w:proofErr w:type="gramEnd"/>
      <w:r>
        <w:t xml:space="preserve"> indemnity pursuant to clause 17(a) of the </w:t>
      </w:r>
      <w:proofErr w:type="spellStart"/>
      <w:r>
        <w:t>Charterparty</w:t>
      </w:r>
      <w:proofErr w:type="spellEnd"/>
      <w:r>
        <w:t xml:space="preserve"> in respect of all loss, damage and expense incurred by the Plaintiffs in relation to the operation of the Vessel with respect to the Bareboat </w:t>
      </w:r>
      <w:proofErr w:type="spellStart"/>
      <w:r>
        <w:t>Charterparty</w:t>
      </w:r>
      <w:proofErr w:type="spellEnd"/>
      <w:r>
        <w:t>;</w:t>
      </w:r>
    </w:p>
    <w:p w:rsidR="006D5CF3" w:rsidRDefault="006D5CF3" w:rsidP="006D5CF3">
      <w:pPr>
        <w:pStyle w:val="Quote1"/>
        <w:ind w:left="1440" w:hanging="703"/>
      </w:pPr>
      <w:r>
        <w:t>(e)</w:t>
      </w:r>
      <w:r>
        <w:tab/>
        <w:t>delivery up of the barge</w:t>
      </w:r>
      <w:r w:rsidR="00062A5E">
        <w:t xml:space="preserve"> [sic]</w:t>
      </w:r>
      <w:r>
        <w:t xml:space="preserve"> forthwith pursuant to clause 29, or alternatively clause 15, of the Bareboat </w:t>
      </w:r>
      <w:proofErr w:type="spellStart"/>
      <w:r>
        <w:t>Charterparty</w:t>
      </w:r>
      <w:proofErr w:type="spellEnd"/>
      <w:r>
        <w:t xml:space="preserve"> to a safe place in Singapore;</w:t>
      </w:r>
    </w:p>
    <w:p w:rsidR="006D5CF3" w:rsidRDefault="006D5CF3" w:rsidP="006D5CF3">
      <w:pPr>
        <w:pStyle w:val="Quote1"/>
        <w:ind w:left="1440" w:hanging="703"/>
      </w:pPr>
      <w:r>
        <w:t>(f)</w:t>
      </w:r>
      <w:r>
        <w:tab/>
      </w:r>
      <w:proofErr w:type="gramStart"/>
      <w:r>
        <w:t>interest</w:t>
      </w:r>
      <w:proofErr w:type="gramEnd"/>
      <w:r>
        <w:t xml:space="preserve"> pursuant to sections 51A and 52 of the </w:t>
      </w:r>
      <w:r>
        <w:rPr>
          <w:i/>
        </w:rPr>
        <w:t>Federal Court of Australia Act 1976</w:t>
      </w:r>
      <w:r>
        <w:t xml:space="preserve"> (Cth) or at any other rate that this Court thinks appropriate; and</w:t>
      </w:r>
    </w:p>
    <w:p w:rsidR="006D5CF3" w:rsidRPr="006D5CF3" w:rsidRDefault="006D5CF3" w:rsidP="006D5CF3">
      <w:pPr>
        <w:pStyle w:val="Quote1"/>
        <w:ind w:left="1440" w:hanging="703"/>
      </w:pPr>
      <w:r>
        <w:t>(g)</w:t>
      </w:r>
      <w:r>
        <w:tab/>
      </w:r>
      <w:proofErr w:type="gramStart"/>
      <w:r>
        <w:t>costs</w:t>
      </w:r>
      <w:proofErr w:type="gramEnd"/>
      <w:r>
        <w:t>.</w:t>
      </w:r>
    </w:p>
    <w:p w:rsidR="00527125" w:rsidRDefault="00527125" w:rsidP="00527125">
      <w:pPr>
        <w:pStyle w:val="Quote1"/>
      </w:pPr>
    </w:p>
    <w:p w:rsidR="00DE7404" w:rsidRDefault="00DE7404" w:rsidP="000B3399">
      <w:pPr>
        <w:pStyle w:val="ParaNumbering"/>
      </w:pPr>
      <w:r>
        <w:lastRenderedPageBreak/>
        <w:t>By an interlocutory application</w:t>
      </w:r>
      <w:r w:rsidR="00FA0884">
        <w:t>,</w:t>
      </w:r>
      <w:r>
        <w:t xml:space="preserve"> dated 11 January 2016, TBONE sought the following relief:</w:t>
      </w:r>
    </w:p>
    <w:p w:rsidR="00DE7404" w:rsidRDefault="00B95336" w:rsidP="00B95336">
      <w:pPr>
        <w:pStyle w:val="Quote1"/>
        <w:ind w:left="1440" w:hanging="703"/>
      </w:pPr>
      <w:r>
        <w:t>1.</w:t>
      </w:r>
      <w:r>
        <w:tab/>
        <w:t xml:space="preserve">An order declaring that as from 2 December 2015, TBONE has not been the bareboat charterer and </w:t>
      </w:r>
      <w:proofErr w:type="spellStart"/>
      <w:r>
        <w:t>disponent</w:t>
      </w:r>
      <w:proofErr w:type="spellEnd"/>
      <w:r w:rsidR="00043DEF">
        <w:t xml:space="preserve"> </w:t>
      </w:r>
      <w:r>
        <w:t>owner of the Vessel pursuant to the Houston Charter.</w:t>
      </w:r>
    </w:p>
    <w:p w:rsidR="00B95336" w:rsidRDefault="00B95336" w:rsidP="00B95336">
      <w:pPr>
        <w:pStyle w:val="Quote1"/>
        <w:ind w:left="1440" w:hanging="703"/>
      </w:pPr>
      <w:r>
        <w:t>2.</w:t>
      </w:r>
      <w:r>
        <w:tab/>
        <w:t xml:space="preserve">An order that the Writ </w:t>
      </w:r>
      <w:proofErr w:type="gramStart"/>
      <w:r>
        <w:t>be set</w:t>
      </w:r>
      <w:proofErr w:type="gramEnd"/>
      <w:r>
        <w:t xml:space="preserve"> aside for want of jurisdiction, alternatively that the proceeding herein be dismissed for want of jurisdiction.</w:t>
      </w:r>
    </w:p>
    <w:p w:rsidR="00B95336" w:rsidRDefault="00B95336" w:rsidP="00B95336">
      <w:pPr>
        <w:pStyle w:val="Quote1"/>
        <w:ind w:left="1440" w:hanging="703"/>
      </w:pPr>
      <w:r>
        <w:t>3.</w:t>
      </w:r>
      <w:r>
        <w:tab/>
        <w:t xml:space="preserve">An order dispensing with compliance with the Rules in so far as they relate to the prescribed form to </w:t>
      </w:r>
      <w:proofErr w:type="gramStart"/>
      <w:r>
        <w:t>be used</w:t>
      </w:r>
      <w:proofErr w:type="gramEnd"/>
      <w:r>
        <w:t>.</w:t>
      </w:r>
    </w:p>
    <w:p w:rsidR="00B95336" w:rsidRDefault="00B95336" w:rsidP="00B95336">
      <w:pPr>
        <w:pStyle w:val="Quote1"/>
        <w:ind w:left="1440" w:hanging="703"/>
      </w:pPr>
      <w:proofErr w:type="gramStart"/>
      <w:r>
        <w:t>4.</w:t>
      </w:r>
      <w:r>
        <w:tab/>
        <w:t>Costs.</w:t>
      </w:r>
      <w:proofErr w:type="gramEnd"/>
    </w:p>
    <w:p w:rsidR="00B95336" w:rsidRDefault="00B95336" w:rsidP="00B95336">
      <w:pPr>
        <w:pStyle w:val="Quote1"/>
        <w:ind w:left="1440" w:hanging="703"/>
      </w:pPr>
      <w:r>
        <w:t>5.</w:t>
      </w:r>
      <w:r>
        <w:tab/>
        <w:t>Such further or other relief as the Court deems just.</w:t>
      </w:r>
    </w:p>
    <w:p w:rsidR="00650817" w:rsidRDefault="00650817" w:rsidP="00650817">
      <w:pPr>
        <w:pStyle w:val="Quote1"/>
      </w:pPr>
    </w:p>
    <w:p w:rsidR="00DE7404" w:rsidRDefault="00DE7404" w:rsidP="000B3399">
      <w:pPr>
        <w:pStyle w:val="ParaNumbering"/>
      </w:pPr>
      <w:r>
        <w:t>At the hearing of the interlocutory application, TBONE relied upon the affidavit of Mr</w:t>
      </w:r>
      <w:r w:rsidR="00C70AE4">
        <w:t> </w:t>
      </w:r>
      <w:r>
        <w:t>Maurice John Thompson</w:t>
      </w:r>
      <w:r w:rsidR="008B69D7">
        <w:t>,</w:t>
      </w:r>
      <w:r>
        <w:t xml:space="preserve"> dated 11 January 2016. </w:t>
      </w:r>
      <w:r w:rsidR="008B69D7">
        <w:t xml:space="preserve"> </w:t>
      </w:r>
      <w:r>
        <w:t xml:space="preserve">Mr Thompson is a </w:t>
      </w:r>
      <w:r w:rsidR="00BC534D">
        <w:t xml:space="preserve">partner </w:t>
      </w:r>
      <w:r>
        <w:t xml:space="preserve">in the firm of Clyde </w:t>
      </w:r>
      <w:r w:rsidR="00D21F55">
        <w:t>&amp;</w:t>
      </w:r>
      <w:r>
        <w:t xml:space="preserve"> Co, which represents TBONE in this proceeding.</w:t>
      </w:r>
      <w:r w:rsidR="006D64DB">
        <w:t xml:space="preserve"> </w:t>
      </w:r>
      <w:r w:rsidR="008B69D7">
        <w:t xml:space="preserve"> </w:t>
      </w:r>
      <w:r w:rsidR="006D64DB">
        <w:t>The plaintiffs led no</w:t>
      </w:r>
      <w:r w:rsidR="009236DB">
        <w:t> </w:t>
      </w:r>
      <w:r w:rsidR="006D64DB">
        <w:t>evidence</w:t>
      </w:r>
      <w:r w:rsidR="00650817">
        <w:t>,</w:t>
      </w:r>
      <w:r w:rsidR="006D64DB">
        <w:t xml:space="preserve"> being content to refer to the evidence of Mr Thompson whose affidavit exhibited the relevant </w:t>
      </w:r>
      <w:proofErr w:type="gramStart"/>
      <w:r w:rsidR="006D64DB">
        <w:t>correspondence which</w:t>
      </w:r>
      <w:proofErr w:type="gramEnd"/>
      <w:r w:rsidR="006D64DB">
        <w:t xml:space="preserve"> had passed between the parties.</w:t>
      </w:r>
    </w:p>
    <w:p w:rsidR="00650817" w:rsidRDefault="006D64DB" w:rsidP="009432DC">
      <w:pPr>
        <w:pStyle w:val="ParaNumbering"/>
      </w:pPr>
      <w:r>
        <w:t>At the hearing</w:t>
      </w:r>
      <w:r w:rsidR="00062A5E">
        <w:t>,</w:t>
      </w:r>
      <w:r>
        <w:t xml:space="preserve"> </w:t>
      </w:r>
      <w:r w:rsidR="009432DC">
        <w:t xml:space="preserve">TBONE stated that it no longer sought the declaratory relief referred to in para </w:t>
      </w:r>
      <w:proofErr w:type="gramStart"/>
      <w:r w:rsidR="009432DC">
        <w:t>1</w:t>
      </w:r>
      <w:proofErr w:type="gramEnd"/>
      <w:r w:rsidR="009432DC">
        <w:t xml:space="preserve"> of its interlocutory application. </w:t>
      </w:r>
      <w:r w:rsidR="00062A5E">
        <w:t xml:space="preserve"> </w:t>
      </w:r>
      <w:r w:rsidR="009432DC">
        <w:t>The</w:t>
      </w:r>
      <w:r w:rsidR="00062A5E">
        <w:t xml:space="preserve"> only</w:t>
      </w:r>
      <w:r w:rsidR="009432DC">
        <w:t xml:space="preserve"> </w:t>
      </w:r>
      <w:proofErr w:type="gramStart"/>
      <w:r w:rsidR="009432DC">
        <w:t>issue</w:t>
      </w:r>
      <w:r w:rsidR="00650817">
        <w:t xml:space="preserve"> which remained</w:t>
      </w:r>
      <w:r w:rsidR="009432DC">
        <w:t xml:space="preserve"> for determination</w:t>
      </w:r>
      <w:proofErr w:type="gramEnd"/>
      <w:r w:rsidR="009432DC">
        <w:t xml:space="preserve"> </w:t>
      </w:r>
      <w:r w:rsidR="00062A5E">
        <w:t xml:space="preserve">was </w:t>
      </w:r>
      <w:r w:rsidR="00650817">
        <w:t xml:space="preserve">whether </w:t>
      </w:r>
      <w:r w:rsidR="009432DC">
        <w:t xml:space="preserve">the </w:t>
      </w:r>
      <w:r w:rsidR="00650817">
        <w:t xml:space="preserve">Court had </w:t>
      </w:r>
      <w:r w:rsidR="009432DC">
        <w:t>jurisdiction</w:t>
      </w:r>
      <w:r w:rsidR="00650817">
        <w:t xml:space="preserve"> to hear and determine the plaintiffs’ action </w:t>
      </w:r>
      <w:r w:rsidR="00650817" w:rsidRPr="008B69D7">
        <w:rPr>
          <w:i/>
        </w:rPr>
        <w:t>in rem</w:t>
      </w:r>
      <w:r w:rsidR="00650817">
        <w:t>.</w:t>
      </w:r>
    </w:p>
    <w:p w:rsidR="00650817" w:rsidRDefault="00650817" w:rsidP="00650817">
      <w:pPr>
        <w:pStyle w:val="Heading1"/>
      </w:pPr>
      <w:r>
        <w:t>background</w:t>
      </w:r>
    </w:p>
    <w:p w:rsidR="009432DC" w:rsidRDefault="009432DC" w:rsidP="000B3399">
      <w:pPr>
        <w:pStyle w:val="ParaNumbering"/>
      </w:pPr>
      <w:r>
        <w:t>In light of the conclusion to which I have come</w:t>
      </w:r>
      <w:r w:rsidR="008B69D7">
        <w:t>,</w:t>
      </w:r>
      <w:r>
        <w:t xml:space="preserve"> it is unnecessary to set out the background facts in the </w:t>
      </w:r>
      <w:proofErr w:type="gramStart"/>
      <w:r>
        <w:t>detail which</w:t>
      </w:r>
      <w:proofErr w:type="gramEnd"/>
      <w:r>
        <w:t xml:space="preserve"> would otherwise have been the case.</w:t>
      </w:r>
      <w:r w:rsidR="00650817">
        <w:t xml:space="preserve">  The following is an outline of the factual background.</w:t>
      </w:r>
    </w:p>
    <w:p w:rsidR="0081202A" w:rsidRDefault="0081202A" w:rsidP="000E4A10">
      <w:pPr>
        <w:pStyle w:val="ParaNumbering"/>
      </w:pPr>
      <w:r>
        <w:t xml:space="preserve">By a bareboat </w:t>
      </w:r>
      <w:proofErr w:type="spellStart"/>
      <w:r>
        <w:t>charterparty</w:t>
      </w:r>
      <w:proofErr w:type="spellEnd"/>
      <w:r>
        <w:t xml:space="preserve"> on</w:t>
      </w:r>
      <w:r w:rsidR="00650817">
        <w:t xml:space="preserve"> a</w:t>
      </w:r>
      <w:r w:rsidR="002A2C89">
        <w:t xml:space="preserve">n amended </w:t>
      </w:r>
      <w:r w:rsidR="00033BAE">
        <w:t>B</w:t>
      </w:r>
      <w:r w:rsidR="00BC534D">
        <w:t>ARECON</w:t>
      </w:r>
      <w:r w:rsidR="00033BAE">
        <w:t xml:space="preserve"> 2001 form, dated 29 September 2010, the </w:t>
      </w:r>
      <w:r w:rsidR="00062A5E">
        <w:t xml:space="preserve">first </w:t>
      </w:r>
      <w:r w:rsidR="00033BAE">
        <w:t xml:space="preserve">plaintiff, as owner, chartered the </w:t>
      </w:r>
      <w:r w:rsidR="0069197F">
        <w:t>“</w:t>
      </w:r>
      <w:r w:rsidR="008B69D7">
        <w:t>Houston”</w:t>
      </w:r>
      <w:r w:rsidR="00033BAE">
        <w:t xml:space="preserve"> to TBONE.  Pursuant to the </w:t>
      </w:r>
      <w:proofErr w:type="spellStart"/>
      <w:r w:rsidR="00033BAE">
        <w:t>charterparty</w:t>
      </w:r>
      <w:proofErr w:type="spellEnd"/>
      <w:r w:rsidR="00033BAE">
        <w:t xml:space="preserve">, TBONE was entitled to the full use and control of the “Houston” at its own cost and </w:t>
      </w:r>
      <w:r w:rsidR="00062A5E">
        <w:t>was</w:t>
      </w:r>
      <w:r w:rsidR="008B69D7">
        <w:t>,</w:t>
      </w:r>
      <w:r w:rsidR="00062A5E">
        <w:t xml:space="preserve"> pursuant to cl 11, </w:t>
      </w:r>
      <w:r w:rsidR="00033BAE">
        <w:t>obliged to pay hir</w:t>
      </w:r>
      <w:r w:rsidR="00650817">
        <w:t>e for</w:t>
      </w:r>
      <w:r w:rsidR="00033BAE">
        <w:t xml:space="preserve"> the dura</w:t>
      </w:r>
      <w:r w:rsidR="00062A5E">
        <w:t xml:space="preserve">tion of the </w:t>
      </w:r>
      <w:proofErr w:type="spellStart"/>
      <w:r w:rsidR="00062A5E">
        <w:t>charterparty</w:t>
      </w:r>
      <w:proofErr w:type="spellEnd"/>
      <w:r w:rsidR="00033BAE">
        <w:t>.</w:t>
      </w:r>
    </w:p>
    <w:p w:rsidR="002A4BF2" w:rsidRDefault="002A4BF2" w:rsidP="000E4A10">
      <w:pPr>
        <w:pStyle w:val="ParaNumbering"/>
      </w:pPr>
      <w:r>
        <w:t xml:space="preserve">The </w:t>
      </w:r>
      <w:proofErr w:type="spellStart"/>
      <w:r>
        <w:t>charterparty</w:t>
      </w:r>
      <w:proofErr w:type="spellEnd"/>
      <w:r>
        <w:t xml:space="preserve"> contained the following relevant </w:t>
      </w:r>
      <w:r w:rsidR="009A1A00">
        <w:t>clauses:</w:t>
      </w:r>
    </w:p>
    <w:p w:rsidR="002A4BF2" w:rsidRDefault="0024319B" w:rsidP="0024319B">
      <w:pPr>
        <w:pStyle w:val="Quote1"/>
        <w:ind w:left="1440" w:hanging="703"/>
      </w:pPr>
      <w:r>
        <w:t>15.</w:t>
      </w:r>
      <w:r>
        <w:tab/>
        <w:t>Red</w:t>
      </w:r>
      <w:r w:rsidR="00D47595">
        <w:t>e</w:t>
      </w:r>
      <w:r>
        <w:t>livery</w:t>
      </w:r>
    </w:p>
    <w:p w:rsidR="0024319B" w:rsidRDefault="0024319B" w:rsidP="0024319B">
      <w:pPr>
        <w:pStyle w:val="Quote2"/>
      </w:pPr>
      <w:r>
        <w:t xml:space="preserve">At the expiration of the Charter Period the </w:t>
      </w:r>
      <w:proofErr w:type="gramStart"/>
      <w:r>
        <w:t>Vessel shall be redelivered by the Charterers to the Owners at a safe</w:t>
      </w:r>
      <w:proofErr w:type="gramEnd"/>
      <w:r>
        <w:t xml:space="preserve"> and ice-free port or place as indicated in </w:t>
      </w:r>
      <w:r w:rsidRPr="00D47595">
        <w:rPr>
          <w:i/>
        </w:rPr>
        <w:t>Box 16</w:t>
      </w:r>
      <w:r>
        <w:t xml:space="preserve">, in such ready safe berth as the Owners may direct.  The Charterers shall give the Owners not less than </w:t>
      </w:r>
      <w:proofErr w:type="gramStart"/>
      <w:r>
        <w:t>thirty (30)</w:t>
      </w:r>
      <w:proofErr w:type="gramEnd"/>
      <w:r>
        <w:t xml:space="preserve"> running days</w:t>
      </w:r>
      <w:r w:rsidR="00BC534D">
        <w:t>’</w:t>
      </w:r>
      <w:r>
        <w:t xml:space="preserve"> preliminary notice of expected date, range of ports of </w:t>
      </w:r>
      <w:r w:rsidR="00D47595">
        <w:t>re</w:t>
      </w:r>
      <w:r>
        <w:t xml:space="preserve">delivery or port or place of </w:t>
      </w:r>
      <w:r>
        <w:lastRenderedPageBreak/>
        <w:t xml:space="preserve">redelivery and not less than fourteen (14) running days’ definite notice of expected date and port or place of redelivery.  Any changes thereafter in the Vessel’s position </w:t>
      </w:r>
      <w:proofErr w:type="gramStart"/>
      <w:r>
        <w:t>shall be notified</w:t>
      </w:r>
      <w:proofErr w:type="gramEnd"/>
      <w:r>
        <w:t xml:space="preserve"> immediately to the Owners.</w:t>
      </w:r>
    </w:p>
    <w:p w:rsidR="009F74D9" w:rsidRDefault="009F74D9" w:rsidP="0024319B">
      <w:pPr>
        <w:pStyle w:val="Quote2"/>
      </w:pPr>
      <w:r>
        <w:t>…</w:t>
      </w:r>
    </w:p>
    <w:p w:rsidR="0024319B" w:rsidRDefault="0024319B" w:rsidP="0024319B">
      <w:pPr>
        <w:pStyle w:val="Quote1"/>
      </w:pPr>
      <w:r>
        <w:t>…</w:t>
      </w:r>
    </w:p>
    <w:p w:rsidR="0024319B" w:rsidRDefault="0024319B" w:rsidP="0024319B">
      <w:pPr>
        <w:pStyle w:val="Quote1"/>
        <w:ind w:left="1440" w:hanging="703"/>
      </w:pPr>
      <w:r>
        <w:t>28.</w:t>
      </w:r>
      <w:r>
        <w:tab/>
        <w:t>Termination</w:t>
      </w:r>
    </w:p>
    <w:p w:rsidR="0024319B" w:rsidRDefault="0024319B" w:rsidP="0024319B">
      <w:pPr>
        <w:pStyle w:val="Quote2"/>
        <w:ind w:left="2160" w:hanging="720"/>
      </w:pPr>
      <w:r>
        <w:t>(a)</w:t>
      </w:r>
      <w:r>
        <w:tab/>
      </w:r>
      <w:r w:rsidRPr="0024319B">
        <w:rPr>
          <w:i/>
        </w:rPr>
        <w:t>Charterers’ Default</w:t>
      </w:r>
    </w:p>
    <w:p w:rsidR="0024319B" w:rsidRDefault="0024319B" w:rsidP="0024319B">
      <w:pPr>
        <w:pStyle w:val="Quote2"/>
      </w:pPr>
      <w:r>
        <w:t>The Owners shall be entitled to withdraw the Vessel from the service of the Charterers and terminate the Charter with immediate effect by written notice to the Charterers if:</w:t>
      </w:r>
    </w:p>
    <w:p w:rsidR="0024319B" w:rsidRDefault="0024319B" w:rsidP="0024319B">
      <w:pPr>
        <w:pStyle w:val="Quote2"/>
        <w:ind w:left="2160" w:hanging="720"/>
      </w:pPr>
      <w:r>
        <w:t>(</w:t>
      </w:r>
      <w:proofErr w:type="spellStart"/>
      <w:r>
        <w:t>i</w:t>
      </w:r>
      <w:proofErr w:type="spellEnd"/>
      <w:r>
        <w:t>)</w:t>
      </w:r>
      <w:r>
        <w:tab/>
      </w:r>
      <w:proofErr w:type="gramStart"/>
      <w:r>
        <w:t>the</w:t>
      </w:r>
      <w:proofErr w:type="gramEnd"/>
      <w:r>
        <w:t xml:space="preserve"> Charterers fail to pay hire in accordance with </w:t>
      </w:r>
      <w:r>
        <w:rPr>
          <w:i/>
        </w:rPr>
        <w:t>Clause 11</w:t>
      </w:r>
      <w:r>
        <w:t xml:space="preserve">.  </w:t>
      </w:r>
      <w:proofErr w:type="gramStart"/>
      <w:r>
        <w:t>However, where there is a failure</w:t>
      </w:r>
      <w:r w:rsidR="009F74D9">
        <w:t xml:space="preserve"> to make punctual payment of hire due to oversight, negligence, errors or omissions on the part of the Charterers or their bankers, the Owners shall give the Charterers written notice of the number of clear banking days stated in </w:t>
      </w:r>
      <w:r w:rsidR="009F74D9">
        <w:rPr>
          <w:i/>
        </w:rPr>
        <w:t>Box 34</w:t>
      </w:r>
      <w:r w:rsidR="009F74D9">
        <w:t xml:space="preserve"> (as recognised at the agreed place of payment) in which to rectify the failure, and when so rectified within such number of days following the Owners’ notice, the payment shall stand as regular and punctual.</w:t>
      </w:r>
      <w:proofErr w:type="gramEnd"/>
      <w:r w:rsidR="009F74D9">
        <w:t xml:space="preserve">  Failure by the Charterers to pay hire within the number of days stated in </w:t>
      </w:r>
      <w:r w:rsidR="009F74D9">
        <w:rPr>
          <w:i/>
        </w:rPr>
        <w:t>Box 34</w:t>
      </w:r>
      <w:r w:rsidR="009F74D9">
        <w:t xml:space="preserve"> of their receiving the Owners’ notice as provided herein, shall entitle the Owners to withdraw the Vessel from the service of the Charterers and terminate the Charter without further notice;</w:t>
      </w:r>
    </w:p>
    <w:p w:rsidR="009F74D9" w:rsidRPr="009F74D9" w:rsidRDefault="009F74D9" w:rsidP="00C70AE4">
      <w:pPr>
        <w:pStyle w:val="Quote2"/>
      </w:pPr>
      <w:r>
        <w:t>…</w:t>
      </w:r>
    </w:p>
    <w:p w:rsidR="0024319B" w:rsidRDefault="009F74D9" w:rsidP="00C70AE4">
      <w:pPr>
        <w:pStyle w:val="Quote1"/>
        <w:ind w:left="720" w:firstLine="17"/>
      </w:pPr>
      <w:r>
        <w:t>…</w:t>
      </w:r>
    </w:p>
    <w:p w:rsidR="009F74D9" w:rsidRDefault="009F74D9" w:rsidP="0024319B">
      <w:pPr>
        <w:pStyle w:val="Quote1"/>
        <w:ind w:left="1440" w:hanging="703"/>
      </w:pPr>
      <w:r>
        <w:t>29.</w:t>
      </w:r>
      <w:r>
        <w:tab/>
        <w:t>Repossession</w:t>
      </w:r>
    </w:p>
    <w:p w:rsidR="009F74D9" w:rsidRPr="009F74D9" w:rsidRDefault="009F74D9" w:rsidP="009F74D9">
      <w:pPr>
        <w:pStyle w:val="Quote2"/>
      </w:pPr>
      <w:r>
        <w:t xml:space="preserve">In the event of the termination of this Charter in accordance with the applicable provisions of </w:t>
      </w:r>
      <w:r w:rsidRPr="00D47595">
        <w:rPr>
          <w:i/>
        </w:rPr>
        <w:t>Clause 28</w:t>
      </w:r>
      <w:r>
        <w:t xml:space="preserve">, the Owners shall have the right to repossess the Vessel from the Charterers at her current or next port of call, or at a port or place convenient to them without hindrance or interference by the Charterers, courts or local authorities.  Pending physical repossession of the Vessel in accordance with this </w:t>
      </w:r>
      <w:r w:rsidRPr="00D47595">
        <w:rPr>
          <w:i/>
        </w:rPr>
        <w:t>Clause 29</w:t>
      </w:r>
      <w:r>
        <w:t xml:space="preserve">, the Charterers shall hold the Vessel as gratuitous </w:t>
      </w:r>
      <w:proofErr w:type="spellStart"/>
      <w:r>
        <w:t>bailee</w:t>
      </w:r>
      <w:proofErr w:type="spellEnd"/>
      <w:r>
        <w:t xml:space="preserve"> only to the Owners.  The Owners shall arrange for an authorised representative to board the Vessel as soon as reasonably practicable following the termination of the Charter.  The Vessel </w:t>
      </w:r>
      <w:proofErr w:type="gramStart"/>
      <w:r>
        <w:t>shall be deemed to be repossessed</w:t>
      </w:r>
      <w:proofErr w:type="gramEnd"/>
      <w:r>
        <w:t xml:space="preserve"> by the Owners from the Charterers upon the boa</w:t>
      </w:r>
      <w:r w:rsidR="00E259D6">
        <w:t>r</w:t>
      </w:r>
      <w:r>
        <w:t xml:space="preserve">ding of the Vessel by the Owners’ representative.  All arrangements </w:t>
      </w:r>
      <w:r w:rsidR="00E259D6">
        <w:t>and expenses relating to the settling of wages, disembarkation and repa</w:t>
      </w:r>
      <w:r w:rsidR="00BC534D">
        <w:t>triation</w:t>
      </w:r>
      <w:r w:rsidR="00E259D6">
        <w:t xml:space="preserve"> of the Charterers’ Master, officers and crew shall be the sole responsibility of the Charterers.</w:t>
      </w:r>
    </w:p>
    <w:p w:rsidR="00650817" w:rsidRDefault="00650817" w:rsidP="00650817">
      <w:pPr>
        <w:pStyle w:val="Quote1"/>
      </w:pPr>
    </w:p>
    <w:p w:rsidR="002A4BF2" w:rsidRDefault="00033BAE" w:rsidP="000E4A10">
      <w:pPr>
        <w:pStyle w:val="ParaNumbering"/>
      </w:pPr>
      <w:r>
        <w:t xml:space="preserve">On 2 December </w:t>
      </w:r>
      <w:r w:rsidR="002A4BF2">
        <w:t>2015</w:t>
      </w:r>
      <w:r>
        <w:t>, the second plaintiff</w:t>
      </w:r>
      <w:r w:rsidR="00062A5E">
        <w:t>,</w:t>
      </w:r>
      <w:r>
        <w:t xml:space="preserve"> acting on behalf of the first plaintiff, served a notice by way of letter on TBONE.</w:t>
      </w:r>
      <w:r w:rsidR="002A4BF2">
        <w:t xml:space="preserve"> </w:t>
      </w:r>
      <w:r w:rsidR="00062A5E">
        <w:t xml:space="preserve"> </w:t>
      </w:r>
      <w:r w:rsidR="002A4BF2">
        <w:t>The notice stated that TBONE was in default in the payment of hire</w:t>
      </w:r>
      <w:r w:rsidR="00BC534D">
        <w:t xml:space="preserve"> to the first plaintiff</w:t>
      </w:r>
      <w:r w:rsidR="002A4BF2">
        <w:t xml:space="preserve"> and that</w:t>
      </w:r>
      <w:r w:rsidR="00062A5E">
        <w:t xml:space="preserve"> </w:t>
      </w:r>
      <w:proofErr w:type="gramStart"/>
      <w:r w:rsidR="00062A5E">
        <w:t>by reason of</w:t>
      </w:r>
      <w:proofErr w:type="gramEnd"/>
      <w:r w:rsidR="00062A5E">
        <w:t xml:space="preserve"> that default,</w:t>
      </w:r>
      <w:r w:rsidR="002A4BF2">
        <w:t xml:space="preserve"> the second plaintiff</w:t>
      </w:r>
      <w:r w:rsidR="00062A5E">
        <w:t>,</w:t>
      </w:r>
      <w:r w:rsidR="002A4BF2">
        <w:t xml:space="preserve"> </w:t>
      </w:r>
      <w:r>
        <w:t xml:space="preserve">on </w:t>
      </w:r>
      <w:r>
        <w:lastRenderedPageBreak/>
        <w:t xml:space="preserve">behalf of the </w:t>
      </w:r>
      <w:r w:rsidR="00062A5E">
        <w:t xml:space="preserve">first plaintiff, </w:t>
      </w:r>
      <w:r w:rsidR="002A4BF2">
        <w:t xml:space="preserve">terminated the </w:t>
      </w:r>
      <w:proofErr w:type="spellStart"/>
      <w:r w:rsidR="002A4BF2">
        <w:t>charter</w:t>
      </w:r>
      <w:r w:rsidR="008B69D7">
        <w:t>party</w:t>
      </w:r>
      <w:proofErr w:type="spellEnd"/>
      <w:r w:rsidR="002A4BF2">
        <w:t xml:space="preserve"> with immediate effect and </w:t>
      </w:r>
      <w:r>
        <w:t xml:space="preserve">withdrew the </w:t>
      </w:r>
      <w:r w:rsidR="008B69D7">
        <w:t>“Houston”</w:t>
      </w:r>
      <w:r>
        <w:t xml:space="preserve"> from service</w:t>
      </w:r>
      <w:r w:rsidR="002A4BF2">
        <w:t>.</w:t>
      </w:r>
    </w:p>
    <w:p w:rsidR="00033BAE" w:rsidRDefault="00033BAE" w:rsidP="000E4A10">
      <w:pPr>
        <w:pStyle w:val="ParaNumbering"/>
      </w:pPr>
      <w:r>
        <w:t>The notice went on to say:</w:t>
      </w:r>
    </w:p>
    <w:p w:rsidR="00033BAE" w:rsidRDefault="00033BAE" w:rsidP="00033BAE">
      <w:pPr>
        <w:pStyle w:val="Quote1"/>
      </w:pPr>
      <w:proofErr w:type="gramStart"/>
      <w:r>
        <w:t xml:space="preserve">You are required to redeliver the </w:t>
      </w:r>
      <w:r w:rsidR="00BC534D">
        <w:t>V</w:t>
      </w:r>
      <w:r>
        <w:t xml:space="preserve">essel to us at the next immediate port of call in the same </w:t>
      </w:r>
      <w:r w:rsidR="00BC534D">
        <w:t xml:space="preserve">or as </w:t>
      </w:r>
      <w:r>
        <w:t>good structure, state, condition and class as that in which she was delivered</w:t>
      </w:r>
      <w:r w:rsidR="00BC534D">
        <w:t>,</w:t>
      </w:r>
      <w:r>
        <w:t xml:space="preserve"> fair</w:t>
      </w:r>
      <w:r w:rsidR="00BC534D">
        <w:t>,</w:t>
      </w:r>
      <w:r>
        <w:t xml:space="preserve"> wear and tear not affecting the class excepted…We highlight that, pending our physical repossession of the </w:t>
      </w:r>
      <w:r w:rsidR="00BC534D">
        <w:t>V</w:t>
      </w:r>
      <w:r>
        <w:t>essel, c</w:t>
      </w:r>
      <w:r w:rsidR="0073410E">
        <w:t>l</w:t>
      </w:r>
      <w:r w:rsidR="00BC534D">
        <w:t xml:space="preserve">ause 29 of the </w:t>
      </w:r>
      <w:proofErr w:type="spellStart"/>
      <w:r>
        <w:t>charterparty</w:t>
      </w:r>
      <w:proofErr w:type="spellEnd"/>
      <w:r>
        <w:t xml:space="preserve"> obliges you to hold the </w:t>
      </w:r>
      <w:r w:rsidR="00BC534D">
        <w:t>V</w:t>
      </w:r>
      <w:r>
        <w:t xml:space="preserve">essel as gratuitous </w:t>
      </w:r>
      <w:proofErr w:type="spellStart"/>
      <w:r>
        <w:t>bailee</w:t>
      </w:r>
      <w:proofErr w:type="spellEnd"/>
      <w:r>
        <w:t xml:space="preserve"> only</w:t>
      </w:r>
      <w:r w:rsidR="00BC534D">
        <w:t>,</w:t>
      </w:r>
      <w:r>
        <w:t xml:space="preserve"> and that all arrangements and expenses </w:t>
      </w:r>
      <w:r w:rsidR="00BC534D">
        <w:t xml:space="preserve">relating </w:t>
      </w:r>
      <w:r>
        <w:t xml:space="preserve">to the settling of wages, disembarkation and repatriation of the </w:t>
      </w:r>
      <w:r w:rsidR="00BC534D">
        <w:t>M</w:t>
      </w:r>
      <w:r>
        <w:t>aster, officers and crew shall be your sole responsibility.</w:t>
      </w:r>
      <w:proofErr w:type="gramEnd"/>
    </w:p>
    <w:p w:rsidR="00033BAE" w:rsidRDefault="00033BAE" w:rsidP="00033BAE">
      <w:pPr>
        <w:pStyle w:val="Quote1"/>
      </w:pPr>
    </w:p>
    <w:p w:rsidR="002A4BF2" w:rsidRDefault="002A4BF2" w:rsidP="00062A5E">
      <w:pPr>
        <w:pStyle w:val="ParaNumbering"/>
      </w:pPr>
      <w:r>
        <w:t xml:space="preserve">TBONE responded to the </w:t>
      </w:r>
      <w:r w:rsidR="00650817">
        <w:t xml:space="preserve">second plaintiff’s </w:t>
      </w:r>
      <w:r>
        <w:t>notice</w:t>
      </w:r>
      <w:r w:rsidR="005445C7">
        <w:t xml:space="preserve"> b</w:t>
      </w:r>
      <w:r w:rsidR="0073410E">
        <w:t xml:space="preserve">y </w:t>
      </w:r>
      <w:r w:rsidR="005445C7">
        <w:t xml:space="preserve">an emailed </w:t>
      </w:r>
      <w:r w:rsidR="0073410E">
        <w:t>letter,</w:t>
      </w:r>
      <w:r>
        <w:t xml:space="preserve"> also</w:t>
      </w:r>
      <w:r w:rsidR="0073410E">
        <w:t xml:space="preserve"> dated 2</w:t>
      </w:r>
      <w:r w:rsidR="00043DEF">
        <w:t> </w:t>
      </w:r>
      <w:r w:rsidR="0073410E">
        <w:t>December 20</w:t>
      </w:r>
      <w:r>
        <w:t>15</w:t>
      </w:r>
      <w:r w:rsidR="005445C7">
        <w:t xml:space="preserve">.  </w:t>
      </w:r>
      <w:r w:rsidR="0073410E">
        <w:t xml:space="preserve">TBONE stated that the </w:t>
      </w:r>
      <w:r w:rsidR="00650817">
        <w:t xml:space="preserve">first plaintiff </w:t>
      </w:r>
      <w:r w:rsidR="0073410E">
        <w:t>had engaged in a wrongful arrest of the vessel</w:t>
      </w:r>
      <w:r w:rsidR="00BC534D">
        <w:t xml:space="preserve"> </w:t>
      </w:r>
      <w:r w:rsidR="0073410E">
        <w:t>in Virginia</w:t>
      </w:r>
      <w:r w:rsidR="00650817">
        <w:t>, in the United States of America</w:t>
      </w:r>
      <w:r w:rsidR="0073410E">
        <w:t>.</w:t>
      </w:r>
      <w:r w:rsidR="00062A5E">
        <w:t xml:space="preserve"> </w:t>
      </w:r>
      <w:r w:rsidR="0073410E">
        <w:t xml:space="preserve"> </w:t>
      </w:r>
      <w:r w:rsidR="00F51545">
        <w:t xml:space="preserve">TBONE described this conduct as </w:t>
      </w:r>
      <w:r w:rsidR="00650817">
        <w:t>“a</w:t>
      </w:r>
      <w:r w:rsidR="00043DEF">
        <w:t> </w:t>
      </w:r>
      <w:r w:rsidR="00650817">
        <w:t xml:space="preserve">breach of the covenant of good faith inherent” in the </w:t>
      </w:r>
      <w:proofErr w:type="spellStart"/>
      <w:r w:rsidR="00650817">
        <w:t>charterparty</w:t>
      </w:r>
      <w:proofErr w:type="spellEnd"/>
      <w:r w:rsidR="00650817">
        <w:t xml:space="preserve">.  TBONE </w:t>
      </w:r>
      <w:r w:rsidR="0073410E">
        <w:t>went on to say</w:t>
      </w:r>
      <w:r w:rsidR="00062A5E">
        <w:t xml:space="preserve"> that </w:t>
      </w:r>
      <w:proofErr w:type="gramStart"/>
      <w:r w:rsidR="00062A5E">
        <w:t>by reason of</w:t>
      </w:r>
      <w:proofErr w:type="gramEnd"/>
      <w:r w:rsidR="00062A5E">
        <w:t xml:space="preserve"> the first plaintiff’s breach, it </w:t>
      </w:r>
      <w:r w:rsidR="00650817">
        <w:t>thereby</w:t>
      </w:r>
      <w:r w:rsidR="00F51545">
        <w:t>,</w:t>
      </w:r>
      <w:r w:rsidR="00062A5E">
        <w:t xml:space="preserve"> gave</w:t>
      </w:r>
      <w:r w:rsidR="00650817">
        <w:t xml:space="preserve"> notice to the first plaintiff of early </w:t>
      </w:r>
      <w:r w:rsidR="00D47595">
        <w:t>redelivery</w:t>
      </w:r>
      <w:r w:rsidR="008B69D7">
        <w:t xml:space="preserve"> of the </w:t>
      </w:r>
      <w:r w:rsidR="00873ABD">
        <w:t>“Houston”</w:t>
      </w:r>
      <w:r w:rsidR="00062A5E">
        <w:t xml:space="preserve">.  </w:t>
      </w:r>
      <w:r w:rsidR="00F51545">
        <w:t>The letter stated that</w:t>
      </w:r>
      <w:r w:rsidR="00B8110D">
        <w:t xml:space="preserve"> in compliance with cl 15</w:t>
      </w:r>
      <w:r w:rsidR="00873ABD">
        <w:t xml:space="preserve"> of the </w:t>
      </w:r>
      <w:proofErr w:type="spellStart"/>
      <w:r w:rsidR="00873ABD">
        <w:t>charterparty</w:t>
      </w:r>
      <w:proofErr w:type="spellEnd"/>
      <w:r w:rsidR="00062A5E">
        <w:t>, TBONE would</w:t>
      </w:r>
      <w:r w:rsidR="00B8110D">
        <w:t xml:space="preserve"> </w:t>
      </w:r>
      <w:r w:rsidR="0073410E">
        <w:t>redeliver</w:t>
      </w:r>
      <w:r w:rsidR="007C15D0">
        <w:t xml:space="preserve"> </w:t>
      </w:r>
      <w:r w:rsidR="0073410E">
        <w:t>the vessel on the redelivery date</w:t>
      </w:r>
      <w:r w:rsidR="00062A5E">
        <w:t>,</w:t>
      </w:r>
      <w:r w:rsidR="0073410E">
        <w:t xml:space="preserve"> </w:t>
      </w:r>
      <w:r w:rsidR="00B8110D">
        <w:t xml:space="preserve">which </w:t>
      </w:r>
      <w:r w:rsidR="00062A5E">
        <w:t xml:space="preserve">it </w:t>
      </w:r>
      <w:r w:rsidR="00B8110D">
        <w:t xml:space="preserve">nominated </w:t>
      </w:r>
      <w:r w:rsidR="00062A5E">
        <w:t xml:space="preserve">as </w:t>
      </w:r>
      <w:r w:rsidR="00F51545">
        <w:t>17 December 2015</w:t>
      </w:r>
      <w:r w:rsidR="00062A5E">
        <w:t>,</w:t>
      </w:r>
      <w:r w:rsidR="00F51545">
        <w:t xml:space="preserve"> </w:t>
      </w:r>
      <w:r w:rsidR="0073410E">
        <w:t>at Port Hedland, Western Australia</w:t>
      </w:r>
      <w:r w:rsidR="008B69D7">
        <w:t>,</w:t>
      </w:r>
      <w:r w:rsidR="0073410E">
        <w:t xml:space="preserve"> and arrange for the redelivery survey and inventory.  </w:t>
      </w:r>
      <w:r w:rsidR="00B8110D">
        <w:t>TBONE also stated</w:t>
      </w:r>
      <w:r w:rsidR="008B69D7">
        <w:t xml:space="preserve"> that</w:t>
      </w:r>
      <w:r w:rsidR="00B8110D">
        <w:t xml:space="preserve"> it had paid all hire up to the date of </w:t>
      </w:r>
      <w:r w:rsidR="00D47595">
        <w:t>re</w:t>
      </w:r>
      <w:r w:rsidR="00B8110D">
        <w:t>delivery</w:t>
      </w:r>
      <w:r w:rsidR="005445C7">
        <w:t>.</w:t>
      </w:r>
    </w:p>
    <w:p w:rsidR="00F51545" w:rsidRDefault="00F51545" w:rsidP="00033BAE">
      <w:pPr>
        <w:pStyle w:val="ParaNumbering"/>
      </w:pPr>
      <w:r>
        <w:t xml:space="preserve">The </w:t>
      </w:r>
      <w:proofErr w:type="gramStart"/>
      <w:r>
        <w:t>cargo which the “Houston” was then carrying</w:t>
      </w:r>
      <w:proofErr w:type="gramEnd"/>
      <w:r>
        <w:t xml:space="preserve"> comprised locomotives for use on one of the large mining </w:t>
      </w:r>
      <w:r w:rsidR="00873ABD">
        <w:t>projects in Western Australia.</w:t>
      </w:r>
    </w:p>
    <w:p w:rsidR="00F51545" w:rsidRDefault="005445C7" w:rsidP="00033BAE">
      <w:pPr>
        <w:pStyle w:val="ParaNumbering"/>
      </w:pPr>
      <w:r>
        <w:t>In subsequent correspondence, t</w:t>
      </w:r>
      <w:r w:rsidR="0073410E">
        <w:t>he</w:t>
      </w:r>
      <w:r w:rsidR="00B8110D">
        <w:t xml:space="preserve"> first plaintiff</w:t>
      </w:r>
      <w:r w:rsidR="00873ABD">
        <w:t xml:space="preserve"> advised TBONE that it</w:t>
      </w:r>
      <w:r w:rsidR="00B8110D">
        <w:t xml:space="preserve"> rejected the allegations made in TBONE’s letter</w:t>
      </w:r>
      <w:r w:rsidR="00873ABD">
        <w:t xml:space="preserve"> of 2 December 2015</w:t>
      </w:r>
      <w:r w:rsidR="007C15D0">
        <w:t>.  However</w:t>
      </w:r>
      <w:r>
        <w:t>, the parties</w:t>
      </w:r>
      <w:r w:rsidR="007C15D0">
        <w:t>, nevertheless, subsequently,</w:t>
      </w:r>
      <w:r>
        <w:t xml:space="preserve"> engaged in further </w:t>
      </w:r>
      <w:r w:rsidR="0073410E">
        <w:t>correspondence in relation to the</w:t>
      </w:r>
      <w:r>
        <w:t xml:space="preserve"> means of </w:t>
      </w:r>
      <w:r w:rsidR="0059721C">
        <w:t>effecting</w:t>
      </w:r>
      <w:r w:rsidR="00B8110D">
        <w:t xml:space="preserve"> redelivery of the </w:t>
      </w:r>
      <w:r w:rsidR="00873ABD">
        <w:t>“Houston”</w:t>
      </w:r>
      <w:r>
        <w:t xml:space="preserve"> at Port Hedland</w:t>
      </w:r>
      <w:r w:rsidR="00B8110D">
        <w:t>.</w:t>
      </w:r>
    </w:p>
    <w:p w:rsidR="0073410E" w:rsidRDefault="00B8110D" w:rsidP="00033BAE">
      <w:pPr>
        <w:pStyle w:val="ParaNumbering"/>
      </w:pPr>
      <w:r>
        <w:t xml:space="preserve">On 15 December 2015, </w:t>
      </w:r>
      <w:r w:rsidR="0073410E">
        <w:t xml:space="preserve">TBONE </w:t>
      </w:r>
      <w:r>
        <w:t>advised</w:t>
      </w:r>
      <w:r w:rsidR="00873ABD">
        <w:t xml:space="preserve"> the first plaintiff by </w:t>
      </w:r>
      <w:r w:rsidR="00BC534D">
        <w:t xml:space="preserve">letter </w:t>
      </w:r>
      <w:r w:rsidR="00306F83">
        <w:t>that</w:t>
      </w:r>
      <w:r>
        <w:t xml:space="preserve"> “as a direct result of</w:t>
      </w:r>
      <w:r w:rsidR="00873ABD">
        <w:t>”</w:t>
      </w:r>
      <w:r>
        <w:t xml:space="preserve"> </w:t>
      </w:r>
      <w:r w:rsidR="008B69D7">
        <w:t xml:space="preserve">the </w:t>
      </w:r>
      <w:r>
        <w:t xml:space="preserve">plaintiffs’ </w:t>
      </w:r>
      <w:r w:rsidR="00873ABD">
        <w:t>“</w:t>
      </w:r>
      <w:r w:rsidR="00BC534D">
        <w:t xml:space="preserve">continued </w:t>
      </w:r>
      <w:r>
        <w:t>bad faith conduct</w:t>
      </w:r>
      <w:r w:rsidR="00873ABD">
        <w:t>”</w:t>
      </w:r>
      <w:r>
        <w:t>,</w:t>
      </w:r>
      <w:r w:rsidR="0073410E">
        <w:t xml:space="preserve"> the proposed </w:t>
      </w:r>
      <w:r w:rsidR="00873ABD">
        <w:t>re</w:t>
      </w:r>
      <w:r w:rsidR="0073410E">
        <w:t xml:space="preserve">delivery date </w:t>
      </w:r>
      <w:proofErr w:type="gramStart"/>
      <w:r w:rsidR="0073410E">
        <w:t xml:space="preserve">had been </w:t>
      </w:r>
      <w:r>
        <w:t>delayed</w:t>
      </w:r>
      <w:proofErr w:type="gramEnd"/>
      <w:r>
        <w:t xml:space="preserve"> </w:t>
      </w:r>
      <w:r w:rsidR="0073410E">
        <w:t xml:space="preserve">to 28 December 2015.  </w:t>
      </w:r>
      <w:r w:rsidR="00873ABD">
        <w:t xml:space="preserve">In that same </w:t>
      </w:r>
      <w:r w:rsidR="00BC534D">
        <w:t>letter</w:t>
      </w:r>
      <w:r w:rsidR="00873ABD">
        <w:t>, T</w:t>
      </w:r>
      <w:r w:rsidR="00306F83">
        <w:t xml:space="preserve">BONE </w:t>
      </w:r>
      <w:r w:rsidR="00873ABD">
        <w:t xml:space="preserve">also </w:t>
      </w:r>
      <w:r w:rsidR="0073410E">
        <w:t>sought confirmation that the second plaintiff would not interfere</w:t>
      </w:r>
      <w:r>
        <w:t xml:space="preserve"> by court action</w:t>
      </w:r>
      <w:r w:rsidR="0073410E">
        <w:t xml:space="preserve"> with the cargo discharge operations</w:t>
      </w:r>
      <w:r>
        <w:t xml:space="preserve"> at Port</w:t>
      </w:r>
      <w:r w:rsidR="009236DB">
        <w:t> </w:t>
      </w:r>
      <w:r>
        <w:t>Hedland;</w:t>
      </w:r>
      <w:r w:rsidR="0073410E">
        <w:t xml:space="preserve"> and </w:t>
      </w:r>
      <w:r w:rsidR="00306F83">
        <w:t xml:space="preserve">stated that </w:t>
      </w:r>
      <w:r w:rsidR="0073410E">
        <w:t xml:space="preserve">redelivery would be in accordance with the </w:t>
      </w:r>
      <w:r>
        <w:t>“</w:t>
      </w:r>
      <w:r w:rsidR="0073410E">
        <w:t>charter terms</w:t>
      </w:r>
      <w:r>
        <w:t>”</w:t>
      </w:r>
      <w:r w:rsidR="0073410E">
        <w:t xml:space="preserve"> governing termination due to </w:t>
      </w:r>
      <w:r>
        <w:t>“the owner’</w:t>
      </w:r>
      <w:r w:rsidR="0073410E">
        <w:t>s</w:t>
      </w:r>
      <w:r w:rsidR="00306F83">
        <w:t xml:space="preserve"> </w:t>
      </w:r>
      <w:r w:rsidR="0073410E">
        <w:t>breach</w:t>
      </w:r>
      <w:r w:rsidR="00873ABD">
        <w:t>”</w:t>
      </w:r>
      <w:r w:rsidR="0073410E">
        <w:t>.</w:t>
      </w:r>
    </w:p>
    <w:p w:rsidR="0073410E" w:rsidRDefault="0073410E" w:rsidP="00033BAE">
      <w:pPr>
        <w:pStyle w:val="ParaNumbering"/>
      </w:pPr>
      <w:r>
        <w:lastRenderedPageBreak/>
        <w:t xml:space="preserve">On 16 December </w:t>
      </w:r>
      <w:r w:rsidR="002522A2">
        <w:t xml:space="preserve">2015, </w:t>
      </w:r>
      <w:r>
        <w:t>a representative of the plaintiffs responded</w:t>
      </w:r>
      <w:r w:rsidR="00B8110D">
        <w:t xml:space="preserve"> by an email</w:t>
      </w:r>
      <w:r>
        <w:t xml:space="preserve"> asserting the</w:t>
      </w:r>
      <w:r w:rsidR="00306F83">
        <w:t xml:space="preserve"> </w:t>
      </w:r>
      <w:r>
        <w:t xml:space="preserve">validity of the right to terminate the </w:t>
      </w:r>
      <w:proofErr w:type="spellStart"/>
      <w:r>
        <w:t>charterparty</w:t>
      </w:r>
      <w:proofErr w:type="spellEnd"/>
      <w:r w:rsidR="00F042FB">
        <w:t xml:space="preserve">. </w:t>
      </w:r>
      <w:r w:rsidR="00B8110D">
        <w:t xml:space="preserve"> </w:t>
      </w:r>
      <w:r w:rsidR="00306F83">
        <w:t xml:space="preserve">The letter went on </w:t>
      </w:r>
      <w:r w:rsidR="00043DEF">
        <w:t xml:space="preserve">to </w:t>
      </w:r>
      <w:r w:rsidR="00306F83">
        <w:t xml:space="preserve">claim the outstanding hire and complained </w:t>
      </w:r>
      <w:r>
        <w:t xml:space="preserve">that TBONE </w:t>
      </w:r>
      <w:proofErr w:type="gramStart"/>
      <w:r>
        <w:t xml:space="preserve">had on various occasions </w:t>
      </w:r>
      <w:r w:rsidR="00F042FB">
        <w:t>ignored</w:t>
      </w:r>
      <w:proofErr w:type="gramEnd"/>
      <w:r w:rsidR="00F042FB">
        <w:t xml:space="preserve"> the demands for the immediate redelivery of the </w:t>
      </w:r>
      <w:r w:rsidR="008B69D7">
        <w:t>“Houston”</w:t>
      </w:r>
      <w:r w:rsidR="00F042FB">
        <w:t xml:space="preserve"> at various ports of call.</w:t>
      </w:r>
      <w:r w:rsidR="00B8110D">
        <w:t xml:space="preserve">  The plaintiffs did not give the assurance that they would not interfere in the </w:t>
      </w:r>
      <w:r w:rsidR="008B69D7">
        <w:t xml:space="preserve">cargo </w:t>
      </w:r>
      <w:r w:rsidR="00B8110D">
        <w:t xml:space="preserve">discharge </w:t>
      </w:r>
      <w:r w:rsidR="008B69D7">
        <w:t xml:space="preserve">operations </w:t>
      </w:r>
      <w:r w:rsidR="00B8110D">
        <w:t>at Port</w:t>
      </w:r>
      <w:r w:rsidR="009236DB">
        <w:t> </w:t>
      </w:r>
      <w:r w:rsidR="00B8110D">
        <w:t>Hedland.</w:t>
      </w:r>
    </w:p>
    <w:p w:rsidR="009A1A00" w:rsidRDefault="00306F83" w:rsidP="009A1A00">
      <w:pPr>
        <w:pStyle w:val="ParaNumbering"/>
      </w:pPr>
      <w:r>
        <w:t>On 22 December 2015, TBONE through its solicitors</w:t>
      </w:r>
      <w:r w:rsidR="00936E1D">
        <w:t>, Clyde &amp; Co,</w:t>
      </w:r>
      <w:r>
        <w:t xml:space="preserve"> filed a caveat against </w:t>
      </w:r>
      <w:r w:rsidR="00431DB2">
        <w:t xml:space="preserve">the </w:t>
      </w:r>
      <w:r>
        <w:t>arrest of the “Houston” in th</w:t>
      </w:r>
      <w:r w:rsidR="009A1A00">
        <w:t>is Court</w:t>
      </w:r>
      <w:r>
        <w:t>.</w:t>
      </w:r>
      <w:r w:rsidR="00B8110D">
        <w:t xml:space="preserve"> </w:t>
      </w:r>
      <w:r w:rsidR="009A1A00">
        <w:t xml:space="preserve"> In </w:t>
      </w:r>
      <w:r w:rsidR="00936E1D">
        <w:t>its f</w:t>
      </w:r>
      <w:r w:rsidR="00431DB2">
        <w:t xml:space="preserve">orm 2 filed in this Court in </w:t>
      </w:r>
      <w:r w:rsidR="009A1A00">
        <w:t>support of the</w:t>
      </w:r>
      <w:r w:rsidR="00431DB2">
        <w:t xml:space="preserve"> caveat,</w:t>
      </w:r>
      <w:r w:rsidR="009A1A00">
        <w:t xml:space="preserve"> TBONE </w:t>
      </w:r>
      <w:r w:rsidR="005445C7">
        <w:t xml:space="preserve">by </w:t>
      </w:r>
      <w:r w:rsidR="009A1A00">
        <w:t>its solicitors</w:t>
      </w:r>
      <w:r w:rsidR="005445C7">
        <w:t xml:space="preserve">, stated, </w:t>
      </w:r>
      <w:r w:rsidR="00431DB2">
        <w:t>under the heading</w:t>
      </w:r>
      <w:r w:rsidR="009A1A00">
        <w:t xml:space="preserve"> “Relationship with Ship”, that it was the</w:t>
      </w:r>
      <w:r w:rsidR="005F6E63">
        <w:t xml:space="preserve"> “</w:t>
      </w:r>
      <w:r w:rsidR="004C2CAD">
        <w:t>B</w:t>
      </w:r>
      <w:r w:rsidR="009A1A00">
        <w:t xml:space="preserve">areboat </w:t>
      </w:r>
      <w:r w:rsidR="00E84479">
        <w:t>C</w:t>
      </w:r>
      <w:r w:rsidR="009A1A00">
        <w:t>harterer</w:t>
      </w:r>
      <w:r w:rsidR="00431DB2">
        <w:t xml:space="preserve">s </w:t>
      </w:r>
      <w:r w:rsidR="009A1A00">
        <w:t xml:space="preserve">and </w:t>
      </w:r>
      <w:r w:rsidR="004C2CAD">
        <w:t>Despondent [sic] O</w:t>
      </w:r>
      <w:r w:rsidR="009A1A00">
        <w:t>wner</w:t>
      </w:r>
      <w:r w:rsidR="00431DB2">
        <w:t xml:space="preserve">s of the </w:t>
      </w:r>
      <w:r w:rsidR="004C2CAD">
        <w:t>[</w:t>
      </w:r>
      <w:r w:rsidR="00936E1D">
        <w:t>“</w:t>
      </w:r>
      <w:r w:rsidR="00431DB2">
        <w:t>Houston</w:t>
      </w:r>
      <w:r w:rsidR="00936E1D">
        <w:t>”</w:t>
      </w:r>
      <w:r w:rsidR="004C2CAD">
        <w:t>]</w:t>
      </w:r>
      <w:r w:rsidR="00E84479">
        <w:t>”</w:t>
      </w:r>
      <w:r w:rsidR="00431DB2">
        <w:t xml:space="preserve"> </w:t>
      </w:r>
      <w:r w:rsidR="009A1A00">
        <w:t xml:space="preserve">pursuant to the </w:t>
      </w:r>
      <w:proofErr w:type="spellStart"/>
      <w:r w:rsidR="009A1A00">
        <w:t>charterparty</w:t>
      </w:r>
      <w:proofErr w:type="spellEnd"/>
      <w:r w:rsidR="009A1A00">
        <w:t>, dated 29 September 2010.</w:t>
      </w:r>
    </w:p>
    <w:p w:rsidR="009A1A00" w:rsidRDefault="00F05737" w:rsidP="009A1A00">
      <w:pPr>
        <w:pStyle w:val="ParaNumbering"/>
      </w:pPr>
      <w:r>
        <w:t xml:space="preserve">In the form 2, </w:t>
      </w:r>
      <w:r w:rsidR="00431DB2">
        <w:t xml:space="preserve">Clyde &amp; Co also undertook on behalf of TBONE, </w:t>
      </w:r>
      <w:r w:rsidR="009A1A00">
        <w:t xml:space="preserve">that if a proceeding to which the caveat applied </w:t>
      </w:r>
      <w:r w:rsidR="002A2C89">
        <w:t>was commenced</w:t>
      </w:r>
      <w:r w:rsidR="009A1A00">
        <w:t xml:space="preserve"> against the</w:t>
      </w:r>
      <w:r>
        <w:t xml:space="preserve"> </w:t>
      </w:r>
      <w:r w:rsidR="00431DB2">
        <w:t>“Houston</w:t>
      </w:r>
      <w:r>
        <w:t>”</w:t>
      </w:r>
      <w:r w:rsidR="00431DB2">
        <w:t xml:space="preserve"> </w:t>
      </w:r>
      <w:r w:rsidR="009A1A00">
        <w:t>in any Australian court, TBONE would:</w:t>
      </w:r>
    </w:p>
    <w:p w:rsidR="009A1A00" w:rsidRDefault="00431DB2" w:rsidP="00EB107F">
      <w:pPr>
        <w:pStyle w:val="Quote1"/>
        <w:ind w:left="1440" w:hanging="703"/>
      </w:pPr>
      <w:r w:rsidRPr="00431DB2">
        <w:t>(a</w:t>
      </w:r>
      <w:r>
        <w:t>)</w:t>
      </w:r>
      <w:r>
        <w:tab/>
      </w:r>
      <w:proofErr w:type="gramStart"/>
      <w:r w:rsidR="009A1A00">
        <w:t>enter</w:t>
      </w:r>
      <w:proofErr w:type="gramEnd"/>
      <w:r w:rsidR="009A1A00">
        <w:t xml:space="preserve"> an appearance in the proceeding; and</w:t>
      </w:r>
    </w:p>
    <w:p w:rsidR="004C2CAD" w:rsidRPr="005F6E63" w:rsidRDefault="00431DB2" w:rsidP="00431DB2">
      <w:pPr>
        <w:pStyle w:val="Quote1"/>
        <w:ind w:left="1440" w:hanging="703"/>
      </w:pPr>
      <w:r>
        <w:t>(b)</w:t>
      </w:r>
      <w:r>
        <w:tab/>
      </w:r>
      <w:proofErr w:type="gramStart"/>
      <w:r>
        <w:t>comply</w:t>
      </w:r>
      <w:proofErr w:type="gramEnd"/>
      <w:r>
        <w:t xml:space="preserve"> with any obligations as to bail or payment into court under rule</w:t>
      </w:r>
      <w:r w:rsidR="004C2CAD">
        <w:t xml:space="preserve"> </w:t>
      </w:r>
      <w:r>
        <w:t xml:space="preserve">9 of the </w:t>
      </w:r>
      <w:r w:rsidRPr="00EB107F">
        <w:rPr>
          <w:i/>
        </w:rPr>
        <w:t>Admiralty Rules</w:t>
      </w:r>
      <w:r w:rsidR="005F6E63">
        <w:t>;</w:t>
      </w:r>
    </w:p>
    <w:p w:rsidR="00431DB2" w:rsidRDefault="00431DB2" w:rsidP="00C70AE4">
      <w:pPr>
        <w:pStyle w:val="Quote1"/>
        <w:ind w:left="720" w:firstLine="17"/>
      </w:pPr>
      <w:proofErr w:type="gramStart"/>
      <w:r>
        <w:t>within</w:t>
      </w:r>
      <w:proofErr w:type="gramEnd"/>
      <w:r>
        <w:t xml:space="preserve"> 3 days </w:t>
      </w:r>
      <w:r w:rsidR="004C2CAD">
        <w:t>after</w:t>
      </w:r>
      <w:r>
        <w:t xml:space="preserve"> being served with initiating process in th</w:t>
      </w:r>
      <w:r w:rsidR="004C2CAD">
        <w:t>e</w:t>
      </w:r>
      <w:r>
        <w:t xml:space="preserve"> proceeding.</w:t>
      </w:r>
    </w:p>
    <w:p w:rsidR="00431DB2" w:rsidRDefault="00431DB2" w:rsidP="00431DB2">
      <w:pPr>
        <w:pStyle w:val="Quote1"/>
      </w:pPr>
    </w:p>
    <w:p w:rsidR="00241C48" w:rsidRDefault="00F042FB" w:rsidP="00033BAE">
      <w:pPr>
        <w:pStyle w:val="ParaNumbering"/>
      </w:pPr>
      <w:r>
        <w:t xml:space="preserve">On 23 December </w:t>
      </w:r>
      <w:r w:rsidR="009A1A00">
        <w:t>2015</w:t>
      </w:r>
      <w:r>
        <w:t xml:space="preserve">, </w:t>
      </w:r>
      <w:r w:rsidR="009A1A00">
        <w:t xml:space="preserve">Clyde </w:t>
      </w:r>
      <w:r w:rsidR="00D21F55">
        <w:t>&amp;</w:t>
      </w:r>
      <w:r w:rsidR="009A1A00">
        <w:t xml:space="preserve"> Co </w:t>
      </w:r>
      <w:r>
        <w:t xml:space="preserve">sent an email to </w:t>
      </w:r>
      <w:r w:rsidR="009A1A00">
        <w:t xml:space="preserve">Cocks </w:t>
      </w:r>
      <w:proofErr w:type="spellStart"/>
      <w:r w:rsidR="00936E1D">
        <w:t>Macnish</w:t>
      </w:r>
      <w:proofErr w:type="spellEnd"/>
      <w:r w:rsidR="00241C48">
        <w:t>,</w:t>
      </w:r>
      <w:r w:rsidR="009A1A00">
        <w:t xml:space="preserve"> </w:t>
      </w:r>
      <w:r w:rsidR="00241C48">
        <w:t xml:space="preserve">the </w:t>
      </w:r>
      <w:r w:rsidR="002A2C89">
        <w:t>solicitors</w:t>
      </w:r>
      <w:r w:rsidR="00241C48">
        <w:t xml:space="preserve"> representing the plaintiffs</w:t>
      </w:r>
      <w:r w:rsidR="00936E1D">
        <w:t>,</w:t>
      </w:r>
      <w:r>
        <w:t xml:space="preserve"> enclosing </w:t>
      </w:r>
      <w:r w:rsidR="002A2C89">
        <w:t xml:space="preserve">the </w:t>
      </w:r>
      <w:r>
        <w:t>caveat against arrest of the “Houston” filed in th</w:t>
      </w:r>
      <w:r w:rsidR="002A2C89">
        <w:t xml:space="preserve">is </w:t>
      </w:r>
      <w:r>
        <w:t xml:space="preserve">Court on </w:t>
      </w:r>
      <w:r w:rsidR="00241C48">
        <w:t>the previous day</w:t>
      </w:r>
      <w:r w:rsidR="00F05737">
        <w:t>.</w:t>
      </w:r>
    </w:p>
    <w:p w:rsidR="00241C48" w:rsidRDefault="00241C48" w:rsidP="00033BAE">
      <w:pPr>
        <w:pStyle w:val="ParaNumbering"/>
      </w:pPr>
      <w:r>
        <w:t xml:space="preserve">Clyde </w:t>
      </w:r>
      <w:r w:rsidR="00D21F55">
        <w:t>&amp;</w:t>
      </w:r>
      <w:r>
        <w:t xml:space="preserve"> </w:t>
      </w:r>
      <w:proofErr w:type="spellStart"/>
      <w:r>
        <w:t>Co’s</w:t>
      </w:r>
      <w:proofErr w:type="spellEnd"/>
      <w:r>
        <w:t xml:space="preserve"> </w:t>
      </w:r>
      <w:r w:rsidR="00F042FB">
        <w:t>covering email advised that the “Houston” was carrying locomotives for discharge at Port Hedland in Western Australia</w:t>
      </w:r>
      <w:r>
        <w:t xml:space="preserve"> and that, at that </w:t>
      </w:r>
      <w:r w:rsidR="00F042FB">
        <w:t xml:space="preserve">stage, the vessel’s ETA </w:t>
      </w:r>
      <w:r w:rsidR="005F6E63">
        <w:t xml:space="preserve">in </w:t>
      </w:r>
      <w:r w:rsidR="00F042FB">
        <w:t xml:space="preserve">Port Hedland </w:t>
      </w:r>
      <w:r>
        <w:t xml:space="preserve">was </w:t>
      </w:r>
      <w:r w:rsidR="00F042FB">
        <w:t>26 December 2015 and</w:t>
      </w:r>
      <w:r w:rsidR="005F6E63">
        <w:t xml:space="preserve"> it</w:t>
      </w:r>
      <w:r w:rsidR="00F042FB">
        <w:t xml:space="preserve"> </w:t>
      </w:r>
      <w:r>
        <w:t xml:space="preserve">was </w:t>
      </w:r>
      <w:r w:rsidR="00F042FB">
        <w:t xml:space="preserve">likely to come alongside </w:t>
      </w:r>
      <w:r>
        <w:t xml:space="preserve">the </w:t>
      </w:r>
      <w:r w:rsidR="00F042FB">
        <w:t>berth to discharge the cargo on early 28 December 2015 with completion expected on 30 December 2015</w:t>
      </w:r>
      <w:r>
        <w:t>.</w:t>
      </w:r>
    </w:p>
    <w:p w:rsidR="00F042FB" w:rsidRDefault="00F042FB" w:rsidP="00033BAE">
      <w:pPr>
        <w:pStyle w:val="ParaNumbering"/>
      </w:pPr>
      <w:r>
        <w:t xml:space="preserve">The </w:t>
      </w:r>
      <w:r w:rsidR="00241C48">
        <w:t xml:space="preserve">email </w:t>
      </w:r>
      <w:r>
        <w:t>went on to say that:</w:t>
      </w:r>
    </w:p>
    <w:p w:rsidR="00F042FB" w:rsidRDefault="00F042FB" w:rsidP="00F042FB">
      <w:pPr>
        <w:pStyle w:val="Quote1"/>
      </w:pPr>
      <w:proofErr w:type="gramStart"/>
      <w:r>
        <w:t>We would reiterate</w:t>
      </w:r>
      <w:r w:rsidR="004C2CAD">
        <w:t>,</w:t>
      </w:r>
      <w:r>
        <w:t xml:space="preserve"> that the </w:t>
      </w:r>
      <w:r w:rsidR="004C2CAD">
        <w:t>C</w:t>
      </w:r>
      <w:r>
        <w:t xml:space="preserve">aveat </w:t>
      </w:r>
      <w:r w:rsidR="004C2CAD">
        <w:t>A</w:t>
      </w:r>
      <w:r>
        <w:t xml:space="preserve">gainst </w:t>
      </w:r>
      <w:r w:rsidR="004C2CAD">
        <w:t>A</w:t>
      </w:r>
      <w:r>
        <w:t xml:space="preserve">rrest of the vessel and the obligation our client </w:t>
      </w:r>
      <w:r w:rsidR="00241C48">
        <w:t xml:space="preserve">has </w:t>
      </w:r>
      <w:r>
        <w:t xml:space="preserve">assumed in filing </w:t>
      </w:r>
      <w:r w:rsidR="004C2CAD">
        <w:t>s</w:t>
      </w:r>
      <w:r>
        <w:t>ame should be sufficient to communicate our client’s desire to meet any allegations owner’s interests may make against our client and the MV “Houston” whilst it is under bareboat charter</w:t>
      </w:r>
      <w:r w:rsidR="004C2CAD">
        <w:t>, and</w:t>
      </w:r>
      <w:r>
        <w:t xml:space="preserve"> should be sufficient to negate any need on t</w:t>
      </w:r>
      <w:r w:rsidR="004C2CAD">
        <w:t>he part of the owner’s interest</w:t>
      </w:r>
      <w:r>
        <w:t xml:space="preserve">s to arrest the MV “Houston” or take any alternative precipitous action that could result in the delay </w:t>
      </w:r>
      <w:r w:rsidR="00241C48">
        <w:t xml:space="preserve">in </w:t>
      </w:r>
      <w:r>
        <w:t>the discharge of the locomotives.</w:t>
      </w:r>
      <w:proofErr w:type="gramEnd"/>
    </w:p>
    <w:p w:rsidR="00F042FB" w:rsidRDefault="00F042FB" w:rsidP="00F042FB">
      <w:pPr>
        <w:pStyle w:val="Quote1"/>
      </w:pPr>
    </w:p>
    <w:p w:rsidR="00241C48" w:rsidRDefault="009A1A00" w:rsidP="009432DC">
      <w:pPr>
        <w:pStyle w:val="ParaNumbering"/>
      </w:pPr>
      <w:r>
        <w:t xml:space="preserve">On 24 </w:t>
      </w:r>
      <w:r w:rsidR="00241C48">
        <w:t xml:space="preserve">December </w:t>
      </w:r>
      <w:r>
        <w:t>2015, the plaintiffs issued the writ, the subject of</w:t>
      </w:r>
      <w:r w:rsidR="00241C48">
        <w:t xml:space="preserve"> this proceeding. </w:t>
      </w:r>
    </w:p>
    <w:p w:rsidR="009432DC" w:rsidRDefault="009432DC" w:rsidP="009432DC">
      <w:pPr>
        <w:pStyle w:val="ParaNumbering"/>
      </w:pPr>
      <w:r>
        <w:t>On 31 December 2015, TBONE entered an appearance.  In its</w:t>
      </w:r>
      <w:r w:rsidR="00241C48">
        <w:t xml:space="preserve"> </w:t>
      </w:r>
      <w:r>
        <w:t>appearance TBONE stated:</w:t>
      </w:r>
    </w:p>
    <w:p w:rsidR="009432DC" w:rsidRDefault="009432DC" w:rsidP="00431DB2">
      <w:pPr>
        <w:pStyle w:val="Quote1"/>
      </w:pPr>
      <w:r>
        <w:t xml:space="preserve">My relationship with the ship against which this proceeding </w:t>
      </w:r>
      <w:proofErr w:type="gramStart"/>
      <w:r>
        <w:t>has been commenced</w:t>
      </w:r>
      <w:proofErr w:type="gramEnd"/>
      <w:r>
        <w:t xml:space="preserve"> is as the bareboat charterer and </w:t>
      </w:r>
      <w:r w:rsidR="004C2CAD">
        <w:t>despondent [sic]</w:t>
      </w:r>
      <w:r>
        <w:t xml:space="preserve"> owner of the defendant vessel.</w:t>
      </w:r>
    </w:p>
    <w:p w:rsidR="009432DC" w:rsidRDefault="009432DC" w:rsidP="00431DB2">
      <w:pPr>
        <w:pStyle w:val="Quote1"/>
      </w:pPr>
    </w:p>
    <w:p w:rsidR="00241C48" w:rsidRDefault="00241C48" w:rsidP="00566BA1">
      <w:pPr>
        <w:pStyle w:val="ParaNumbering"/>
      </w:pPr>
      <w:r>
        <w:t>On 11 January 2016, TBONE filed its</w:t>
      </w:r>
      <w:r w:rsidR="004C2CAD">
        <w:t xml:space="preserve"> interlocutory</w:t>
      </w:r>
      <w:r>
        <w:t xml:space="preserve"> </w:t>
      </w:r>
      <w:r w:rsidR="00566BA1">
        <w:t>application</w:t>
      </w:r>
      <w:r>
        <w:t xml:space="preserve">, challenging the jurisdiction of the Court to </w:t>
      </w:r>
      <w:r w:rsidR="00431DB2">
        <w:t xml:space="preserve">hear and determine </w:t>
      </w:r>
      <w:r>
        <w:t xml:space="preserve">the action </w:t>
      </w:r>
      <w:r w:rsidRPr="00936E1D">
        <w:rPr>
          <w:i/>
        </w:rPr>
        <w:t>in rem</w:t>
      </w:r>
      <w:r>
        <w:t xml:space="preserve"> filed by the plaintiffs.</w:t>
      </w:r>
    </w:p>
    <w:p w:rsidR="00062A5E" w:rsidRDefault="00062A5E" w:rsidP="00062A5E">
      <w:pPr>
        <w:pStyle w:val="Heading1"/>
      </w:pPr>
      <w:r>
        <w:t>jurisdictional basis</w:t>
      </w:r>
    </w:p>
    <w:p w:rsidR="00A506C1" w:rsidRDefault="00241C48" w:rsidP="00566BA1">
      <w:pPr>
        <w:pStyle w:val="ParaNumbering"/>
      </w:pPr>
      <w:r>
        <w:t>T</w:t>
      </w:r>
      <w:r w:rsidR="00566BA1">
        <w:t>here are two</w:t>
      </w:r>
      <w:r w:rsidR="005F6E63">
        <w:t xml:space="preserve"> </w:t>
      </w:r>
      <w:r w:rsidR="005F6E63">
        <w:rPr>
          <w:i/>
        </w:rPr>
        <w:t>in rem</w:t>
      </w:r>
      <w:r w:rsidR="00566BA1">
        <w:t xml:space="preserve"> jurisdictional bases </w:t>
      </w:r>
      <w:r w:rsidR="00A506C1">
        <w:t>invoked by</w:t>
      </w:r>
      <w:r w:rsidR="002522A2">
        <w:t xml:space="preserve"> the plaintiffs</w:t>
      </w:r>
      <w:r w:rsidR="00936E1D">
        <w:t>.</w:t>
      </w:r>
    </w:p>
    <w:p w:rsidR="00A506C1" w:rsidRDefault="00566BA1" w:rsidP="00566BA1">
      <w:pPr>
        <w:pStyle w:val="ParaNumbering"/>
      </w:pPr>
      <w:r>
        <w:t xml:space="preserve">The first </w:t>
      </w:r>
      <w:r w:rsidR="002522A2">
        <w:t xml:space="preserve">is that </w:t>
      </w:r>
      <w:r w:rsidR="00A506C1">
        <w:t xml:space="preserve">the plaintiffs have, in the action </w:t>
      </w:r>
      <w:r w:rsidR="00A506C1" w:rsidRPr="00936E1D">
        <w:rPr>
          <w:i/>
        </w:rPr>
        <w:t>in rem</w:t>
      </w:r>
      <w:r w:rsidR="00A506C1">
        <w:t xml:space="preserve">, made </w:t>
      </w:r>
      <w:proofErr w:type="gramStart"/>
      <w:r w:rsidR="002522A2">
        <w:t>claims which</w:t>
      </w:r>
      <w:proofErr w:type="gramEnd"/>
      <w:r w:rsidR="002522A2">
        <w:t xml:space="preserve"> fall within the ambit of </w:t>
      </w:r>
      <w:r w:rsidR="00A506C1">
        <w:t xml:space="preserve">s 16 </w:t>
      </w:r>
      <w:r w:rsidR="002522A2">
        <w:t xml:space="preserve">of the </w:t>
      </w:r>
      <w:r w:rsidR="002522A2" w:rsidRPr="00936E1D">
        <w:rPr>
          <w:i/>
        </w:rPr>
        <w:t>Admiralty Act</w:t>
      </w:r>
      <w:r w:rsidR="002522A2">
        <w:t xml:space="preserve"> as proprietary maritime claims. </w:t>
      </w:r>
    </w:p>
    <w:p w:rsidR="005445C7" w:rsidRDefault="002522A2" w:rsidP="00566BA1">
      <w:pPr>
        <w:pStyle w:val="ParaNumbering"/>
      </w:pPr>
      <w:r>
        <w:t xml:space="preserve">The second is that </w:t>
      </w:r>
      <w:r w:rsidR="00A506C1">
        <w:t xml:space="preserve">the plaintiffs have made </w:t>
      </w:r>
      <w:proofErr w:type="gramStart"/>
      <w:r w:rsidR="00A506C1">
        <w:t>claims which</w:t>
      </w:r>
      <w:proofErr w:type="gramEnd"/>
      <w:r w:rsidR="00A506C1">
        <w:t xml:space="preserve"> fall within the ambit of s 18 of the </w:t>
      </w:r>
      <w:r w:rsidR="00A506C1" w:rsidRPr="00431DB2">
        <w:rPr>
          <w:i/>
        </w:rPr>
        <w:t>Admiralty Act</w:t>
      </w:r>
      <w:r w:rsidR="005445C7">
        <w:t>.  Section 18 provides:</w:t>
      </w:r>
    </w:p>
    <w:p w:rsidR="005445C7" w:rsidRDefault="005445C7" w:rsidP="005445C7">
      <w:pPr>
        <w:pStyle w:val="Quote1"/>
      </w:pPr>
      <w:r>
        <w:rPr>
          <w:i/>
        </w:rPr>
        <w:t xml:space="preserve">Right to proceed </w:t>
      </w:r>
      <w:r>
        <w:t>in rem</w:t>
      </w:r>
      <w:r>
        <w:rPr>
          <w:i/>
        </w:rPr>
        <w:t xml:space="preserve"> on demise charterer’s liabilities</w:t>
      </w:r>
    </w:p>
    <w:p w:rsidR="005445C7" w:rsidRDefault="005445C7" w:rsidP="005445C7">
      <w:pPr>
        <w:pStyle w:val="Quote1"/>
      </w:pPr>
      <w:r>
        <w:t>Where, in relation to a maritime claim concerning a ship, a relevant person:</w:t>
      </w:r>
    </w:p>
    <w:p w:rsidR="005445C7" w:rsidRDefault="005445C7" w:rsidP="0095185C">
      <w:pPr>
        <w:pStyle w:val="Quote1"/>
        <w:ind w:left="1440" w:hanging="703"/>
      </w:pPr>
      <w:r>
        <w:t>(a)</w:t>
      </w:r>
      <w:r w:rsidR="0095185C">
        <w:tab/>
      </w:r>
      <w:proofErr w:type="gramStart"/>
      <w:r w:rsidR="0095185C">
        <w:t>was</w:t>
      </w:r>
      <w:proofErr w:type="gramEnd"/>
      <w:r w:rsidR="0095185C">
        <w:t>, when the cause of action arose, the owner or charterer, or in possession or control, of the ship; and</w:t>
      </w:r>
    </w:p>
    <w:p w:rsidR="0095185C" w:rsidRDefault="0095185C" w:rsidP="0095185C">
      <w:pPr>
        <w:pStyle w:val="Quote1"/>
        <w:ind w:left="1440" w:hanging="703"/>
      </w:pPr>
      <w:r>
        <w:t>(</w:t>
      </w:r>
      <w:proofErr w:type="gramStart"/>
      <w:r>
        <w:t>b</w:t>
      </w:r>
      <w:proofErr w:type="gramEnd"/>
      <w:r>
        <w:t>)</w:t>
      </w:r>
      <w:r>
        <w:tab/>
        <w:t>is, when the proceeding is commenced, a demise charterer of the ship;</w:t>
      </w:r>
    </w:p>
    <w:p w:rsidR="005445C7" w:rsidRPr="0095185C" w:rsidRDefault="0095185C" w:rsidP="0095185C">
      <w:pPr>
        <w:pStyle w:val="Quote1"/>
      </w:pPr>
      <w:proofErr w:type="gramStart"/>
      <w:r>
        <w:t>a</w:t>
      </w:r>
      <w:proofErr w:type="gramEnd"/>
      <w:r>
        <w:t xml:space="preserve"> proceeding on the claim may be commenced as an action </w:t>
      </w:r>
      <w:r>
        <w:rPr>
          <w:i/>
        </w:rPr>
        <w:t>in rem</w:t>
      </w:r>
      <w:r>
        <w:t xml:space="preserve"> against the ship.</w:t>
      </w:r>
    </w:p>
    <w:p w:rsidR="005445C7" w:rsidRDefault="005445C7" w:rsidP="0095185C">
      <w:pPr>
        <w:pStyle w:val="Quote1"/>
      </w:pPr>
    </w:p>
    <w:p w:rsidR="00566BA1" w:rsidRDefault="00A506C1" w:rsidP="005F6E63">
      <w:pPr>
        <w:pStyle w:val="ParaNumbering"/>
      </w:pPr>
      <w:r>
        <w:t xml:space="preserve">The plaintiffs </w:t>
      </w:r>
      <w:r w:rsidR="0095185C">
        <w:t xml:space="preserve">contended </w:t>
      </w:r>
      <w:r>
        <w:t>that</w:t>
      </w:r>
      <w:r w:rsidR="007961C5">
        <w:t xml:space="preserve"> </w:t>
      </w:r>
      <w:r>
        <w:t>if they succeeded in establishing</w:t>
      </w:r>
      <w:r w:rsidR="005F6E63">
        <w:t xml:space="preserve"> </w:t>
      </w:r>
      <w:r w:rsidR="005F6E63">
        <w:rPr>
          <w:i/>
        </w:rPr>
        <w:t>in rem</w:t>
      </w:r>
      <w:r>
        <w:t xml:space="preserve"> jurisdiction</w:t>
      </w:r>
      <w:r w:rsidR="007961C5">
        <w:t xml:space="preserve"> </w:t>
      </w:r>
      <w:r w:rsidR="007C15D0">
        <w:t xml:space="preserve">on </w:t>
      </w:r>
      <w:r>
        <w:t>one of the two jurisdictional bases claimed</w:t>
      </w:r>
      <w:proofErr w:type="gramStart"/>
      <w:r w:rsidR="005F6E63">
        <w:t>,</w:t>
      </w:r>
      <w:proofErr w:type="gramEnd"/>
      <w:r w:rsidR="005F6E63">
        <w:t xml:space="preserve"> that</w:t>
      </w:r>
      <w:r w:rsidR="007C15D0">
        <w:t xml:space="preserve"> </w:t>
      </w:r>
      <w:r w:rsidR="005F6E63">
        <w:t>would be sufficient to meet TBONE’s jurisdictional challenge.</w:t>
      </w:r>
    </w:p>
    <w:p w:rsidR="00566BA1" w:rsidRDefault="00566BA1" w:rsidP="00566BA1">
      <w:pPr>
        <w:pStyle w:val="Heading1"/>
      </w:pPr>
      <w:r>
        <w:t>The jurisdiction in relation to a propriet</w:t>
      </w:r>
      <w:r w:rsidR="002522A2">
        <w:t>ar</w:t>
      </w:r>
      <w:r>
        <w:t xml:space="preserve">y maritime claim </w:t>
      </w:r>
    </w:p>
    <w:p w:rsidR="00A506C1" w:rsidRDefault="00A506C1" w:rsidP="00566BA1">
      <w:pPr>
        <w:pStyle w:val="ParaNumbering"/>
      </w:pPr>
      <w:r>
        <w:t>I deal first with the plaintiffs’ reliance on s 16</w:t>
      </w:r>
      <w:r w:rsidR="00936E1D">
        <w:t xml:space="preserve"> of the </w:t>
      </w:r>
      <w:r w:rsidR="00936E1D">
        <w:rPr>
          <w:i/>
        </w:rPr>
        <w:t>Admiralty Act</w:t>
      </w:r>
      <w:r>
        <w:t xml:space="preserve"> for the jurisdiction to bring an action </w:t>
      </w:r>
      <w:r w:rsidRPr="00936E1D">
        <w:rPr>
          <w:i/>
        </w:rPr>
        <w:t>in rem</w:t>
      </w:r>
      <w:r>
        <w:t xml:space="preserve"> in </w:t>
      </w:r>
      <w:r w:rsidR="00D736A7">
        <w:t>this</w:t>
      </w:r>
      <w:r>
        <w:t xml:space="preserve"> </w:t>
      </w:r>
      <w:r w:rsidR="00D736A7">
        <w:t>Court</w:t>
      </w:r>
      <w:r>
        <w:t>.</w:t>
      </w:r>
    </w:p>
    <w:p w:rsidR="00974E47" w:rsidRDefault="00974E47" w:rsidP="00566BA1">
      <w:pPr>
        <w:pStyle w:val="ParaNumbering"/>
      </w:pPr>
      <w:r>
        <w:t xml:space="preserve">Section 16 of the </w:t>
      </w:r>
      <w:r>
        <w:rPr>
          <w:i/>
        </w:rPr>
        <w:t>Admiralty Act</w:t>
      </w:r>
      <w:r>
        <w:t xml:space="preserve"> provides as follows:</w:t>
      </w:r>
    </w:p>
    <w:p w:rsidR="00974E47" w:rsidRPr="006675E5" w:rsidRDefault="006675E5" w:rsidP="00974E47">
      <w:pPr>
        <w:pStyle w:val="Quote1"/>
        <w:rPr>
          <w:i/>
        </w:rPr>
      </w:pPr>
      <w:r>
        <w:rPr>
          <w:i/>
        </w:rPr>
        <w:t>Right to proceed</w:t>
      </w:r>
      <w:r>
        <w:t xml:space="preserve"> in rem</w:t>
      </w:r>
      <w:r>
        <w:rPr>
          <w:i/>
        </w:rPr>
        <w:t xml:space="preserve"> on proprietary maritime claims</w:t>
      </w:r>
    </w:p>
    <w:p w:rsidR="00974E47" w:rsidRPr="006675E5" w:rsidRDefault="006675E5" w:rsidP="006675E5">
      <w:pPr>
        <w:pStyle w:val="Quote1"/>
      </w:pPr>
      <w:r>
        <w:t xml:space="preserve">A proceeding on a proprietary maritime claim concerning a ship or other property </w:t>
      </w:r>
      <w:proofErr w:type="gramStart"/>
      <w:r>
        <w:lastRenderedPageBreak/>
        <w:t>may be commenced</w:t>
      </w:r>
      <w:proofErr w:type="gramEnd"/>
      <w:r>
        <w:t xml:space="preserve"> as an action </w:t>
      </w:r>
      <w:r>
        <w:rPr>
          <w:i/>
        </w:rPr>
        <w:t>in rem</w:t>
      </w:r>
      <w:r>
        <w:t xml:space="preserve"> against the ship or property.</w:t>
      </w:r>
    </w:p>
    <w:p w:rsidR="006675E5" w:rsidRDefault="006675E5" w:rsidP="006675E5">
      <w:pPr>
        <w:pStyle w:val="Quote1"/>
      </w:pPr>
    </w:p>
    <w:p w:rsidR="00566BA1" w:rsidRDefault="00566BA1" w:rsidP="00566BA1">
      <w:pPr>
        <w:pStyle w:val="ParaNumbering"/>
      </w:pPr>
      <w:r>
        <w:t xml:space="preserve">Section </w:t>
      </w:r>
      <w:r w:rsidR="00974E47">
        <w:t>4</w:t>
      </w:r>
      <w:r w:rsidR="004C2CAD">
        <w:t>(2)</w:t>
      </w:r>
      <w:r w:rsidR="00974E47">
        <w:t xml:space="preserve"> of the </w:t>
      </w:r>
      <w:r w:rsidR="00974E47">
        <w:rPr>
          <w:i/>
        </w:rPr>
        <w:t>Admiralty Act</w:t>
      </w:r>
      <w:r>
        <w:t xml:space="preserve"> states:</w:t>
      </w:r>
    </w:p>
    <w:p w:rsidR="00566BA1" w:rsidRDefault="00566BA1" w:rsidP="00566BA1">
      <w:pPr>
        <w:pStyle w:val="Quote1"/>
      </w:pPr>
      <w:r>
        <w:t>A reference in this Act to a proprietary maritime claim is a reference to:</w:t>
      </w:r>
    </w:p>
    <w:p w:rsidR="00566BA1" w:rsidRDefault="00566BA1" w:rsidP="00566BA1">
      <w:pPr>
        <w:pStyle w:val="Quote1"/>
        <w:numPr>
          <w:ilvl w:val="0"/>
          <w:numId w:val="49"/>
        </w:numPr>
        <w:ind w:left="1440" w:hanging="703"/>
      </w:pPr>
      <w:r>
        <w:t>a claim relating to:</w:t>
      </w:r>
    </w:p>
    <w:p w:rsidR="00566BA1" w:rsidRDefault="00974E47" w:rsidP="00974E47">
      <w:pPr>
        <w:pStyle w:val="Quote2"/>
        <w:ind w:left="2160" w:hanging="720"/>
      </w:pPr>
      <w:r>
        <w:t>(</w:t>
      </w:r>
      <w:proofErr w:type="spellStart"/>
      <w:r>
        <w:t>i</w:t>
      </w:r>
      <w:proofErr w:type="spellEnd"/>
      <w:r>
        <w:t>)</w:t>
      </w:r>
      <w:r>
        <w:tab/>
      </w:r>
      <w:proofErr w:type="gramStart"/>
      <w:r w:rsidR="00566BA1">
        <w:t>possession</w:t>
      </w:r>
      <w:proofErr w:type="gramEnd"/>
      <w:r w:rsidR="00566BA1">
        <w:t xml:space="preserve"> of a ship</w:t>
      </w:r>
      <w:r w:rsidR="004C2CAD">
        <w:t>;</w:t>
      </w:r>
    </w:p>
    <w:p w:rsidR="00974E47" w:rsidRDefault="00974E47" w:rsidP="00974E47">
      <w:pPr>
        <w:pStyle w:val="Quote2"/>
        <w:ind w:left="2160" w:hanging="720"/>
      </w:pPr>
      <w:r>
        <w:t>(ii)</w:t>
      </w:r>
      <w:r>
        <w:tab/>
      </w:r>
      <w:proofErr w:type="gramStart"/>
      <w:r>
        <w:t>title</w:t>
      </w:r>
      <w:proofErr w:type="gramEnd"/>
      <w:r>
        <w:t xml:space="preserve"> to, or ownership of</w:t>
      </w:r>
      <w:r w:rsidR="004C2CAD">
        <w:t>,</w:t>
      </w:r>
      <w:r>
        <w:t xml:space="preserve"> a ship or a share in a ship;</w:t>
      </w:r>
    </w:p>
    <w:p w:rsidR="00974E47" w:rsidRDefault="00974E47" w:rsidP="00C70AE4">
      <w:pPr>
        <w:pStyle w:val="Quote2"/>
      </w:pPr>
      <w:r>
        <w:t>…</w:t>
      </w:r>
    </w:p>
    <w:p w:rsidR="00566BA1" w:rsidRDefault="00566BA1" w:rsidP="00C559E9">
      <w:pPr>
        <w:pStyle w:val="Quote1"/>
      </w:pPr>
    </w:p>
    <w:p w:rsidR="009D7F80" w:rsidRDefault="0095185C" w:rsidP="00566BA1">
      <w:pPr>
        <w:pStyle w:val="ParaNumbering"/>
      </w:pPr>
      <w:proofErr w:type="gramStart"/>
      <w:r>
        <w:t>T</w:t>
      </w:r>
      <w:r w:rsidR="00C559E9">
        <w:t>he plaintiffs</w:t>
      </w:r>
      <w:r>
        <w:t xml:space="preserve"> contended that each</w:t>
      </w:r>
      <w:r w:rsidR="007961C5">
        <w:t xml:space="preserve"> of their </w:t>
      </w:r>
      <w:r w:rsidR="00C559E9">
        <w:t>claim</w:t>
      </w:r>
      <w:r>
        <w:t>s</w:t>
      </w:r>
      <w:r w:rsidR="002A2C89">
        <w:t xml:space="preserve"> in the writ</w:t>
      </w:r>
      <w:r w:rsidR="00FA39E7">
        <w:t>, namely, the claim</w:t>
      </w:r>
      <w:r w:rsidR="002A2C89">
        <w:t xml:space="preserve"> for loss and damage arising from the detention and</w:t>
      </w:r>
      <w:r w:rsidR="00936E1D">
        <w:t>/</w:t>
      </w:r>
      <w:r w:rsidR="002A2C89">
        <w:t xml:space="preserve">or conversion of the </w:t>
      </w:r>
      <w:r w:rsidR="00936E1D">
        <w:t>”Houston”</w:t>
      </w:r>
      <w:r w:rsidR="002A2C89">
        <w:t xml:space="preserve"> from on or about 2</w:t>
      </w:r>
      <w:r w:rsidR="009236DB">
        <w:t> </w:t>
      </w:r>
      <w:r w:rsidR="002A2C89">
        <w:t>December 20</w:t>
      </w:r>
      <w:r w:rsidR="00D85A4C">
        <w:t>15</w:t>
      </w:r>
      <w:r w:rsidR="002A2C89">
        <w:t xml:space="preserve">; and </w:t>
      </w:r>
      <w:r w:rsidR="00936E1D">
        <w:t>the</w:t>
      </w:r>
      <w:r w:rsidR="002A2C89">
        <w:t xml:space="preserve"> claim </w:t>
      </w:r>
      <w:r w:rsidR="00C559E9">
        <w:t>for the delivery</w:t>
      </w:r>
      <w:r>
        <w:t xml:space="preserve"> up forthwith</w:t>
      </w:r>
      <w:r w:rsidR="00C559E9">
        <w:t xml:space="preserve"> of the </w:t>
      </w:r>
      <w:r w:rsidR="00936E1D">
        <w:t>“Houston”</w:t>
      </w:r>
      <w:r w:rsidR="00DC56EF">
        <w:t>,</w:t>
      </w:r>
      <w:r>
        <w:t xml:space="preserve"> w</w:t>
      </w:r>
      <w:r w:rsidR="00DC56EF">
        <w:t xml:space="preserve">as a </w:t>
      </w:r>
      <w:r w:rsidR="00D85A4C">
        <w:t>claim</w:t>
      </w:r>
      <w:r>
        <w:t xml:space="preserve"> which </w:t>
      </w:r>
      <w:r w:rsidR="00D85A4C">
        <w:t>related to the possession of a ship</w:t>
      </w:r>
      <w:r w:rsidR="00DC56EF">
        <w:t xml:space="preserve"> under s 4(2)(a)(</w:t>
      </w:r>
      <w:proofErr w:type="spellStart"/>
      <w:r w:rsidR="00DC56EF">
        <w:t>i</w:t>
      </w:r>
      <w:proofErr w:type="spellEnd"/>
      <w:r w:rsidR="00DC56EF">
        <w:t xml:space="preserve">) of the </w:t>
      </w:r>
      <w:r w:rsidR="00DC56EF">
        <w:rPr>
          <w:i/>
        </w:rPr>
        <w:t>Admiralty Act</w:t>
      </w:r>
      <w:r>
        <w:t>.</w:t>
      </w:r>
      <w:proofErr w:type="gramEnd"/>
      <w:r>
        <w:t xml:space="preserve">  Each of the</w:t>
      </w:r>
      <w:r w:rsidR="00DC56EF">
        <w:t xml:space="preserve"> claims, said the plaintiffs,</w:t>
      </w:r>
      <w:r>
        <w:t xml:space="preserve"> was,</w:t>
      </w:r>
      <w:r w:rsidR="00D85A4C">
        <w:t xml:space="preserve"> therefore, properly to be characterised as a proprietary maritime claim. </w:t>
      </w:r>
      <w:r>
        <w:t xml:space="preserve"> Accordingly, said the plaintiffs, the jurisdiction of the Court </w:t>
      </w:r>
      <w:proofErr w:type="gramStart"/>
      <w:r>
        <w:t xml:space="preserve">had, pursuant to s 16 of the </w:t>
      </w:r>
      <w:r>
        <w:rPr>
          <w:i/>
        </w:rPr>
        <w:t>Admiralty Act</w:t>
      </w:r>
      <w:r>
        <w:t>, been properly invoked</w:t>
      </w:r>
      <w:proofErr w:type="gramEnd"/>
      <w:r>
        <w:t>.</w:t>
      </w:r>
    </w:p>
    <w:p w:rsidR="00D85A4C" w:rsidRDefault="00C559E9" w:rsidP="00566BA1">
      <w:pPr>
        <w:pStyle w:val="ParaNumbering"/>
      </w:pPr>
      <w:r>
        <w:t xml:space="preserve">The plaintiffs relied upon the High Court decision in </w:t>
      </w:r>
      <w:r>
        <w:rPr>
          <w:i/>
        </w:rPr>
        <w:t xml:space="preserve">Owners of </w:t>
      </w:r>
      <w:r w:rsidR="002C57DA">
        <w:rPr>
          <w:i/>
        </w:rPr>
        <w:t xml:space="preserve">the </w:t>
      </w:r>
      <w:r>
        <w:rPr>
          <w:i/>
        </w:rPr>
        <w:t xml:space="preserve">Ship “Shin Kobe </w:t>
      </w:r>
      <w:proofErr w:type="spellStart"/>
      <w:r>
        <w:rPr>
          <w:i/>
        </w:rPr>
        <w:t>Maru</w:t>
      </w:r>
      <w:proofErr w:type="spellEnd"/>
      <w:r>
        <w:rPr>
          <w:i/>
        </w:rPr>
        <w:t>” v Empire Shipping Co</w:t>
      </w:r>
      <w:r w:rsidR="002C57DA">
        <w:rPr>
          <w:i/>
        </w:rPr>
        <w:t>mpany</w:t>
      </w:r>
      <w:r>
        <w:rPr>
          <w:i/>
        </w:rPr>
        <w:t xml:space="preserve"> Inc</w:t>
      </w:r>
      <w:r w:rsidR="00D85A4C">
        <w:t xml:space="preserve"> (1994) 181 CLR 404</w:t>
      </w:r>
      <w:r w:rsidR="000C2F92">
        <w:t xml:space="preserve"> (</w:t>
      </w:r>
      <w:r w:rsidR="000C2F92" w:rsidRPr="001D1FD7">
        <w:rPr>
          <w:i/>
        </w:rPr>
        <w:t xml:space="preserve">Shin Kobe </w:t>
      </w:r>
      <w:proofErr w:type="spellStart"/>
      <w:r w:rsidR="000C2F92" w:rsidRPr="001D1FD7">
        <w:rPr>
          <w:i/>
        </w:rPr>
        <w:t>Maru</w:t>
      </w:r>
      <w:proofErr w:type="spellEnd"/>
      <w:r w:rsidR="000C2F92" w:rsidRPr="00936E1D">
        <w:t>)</w:t>
      </w:r>
      <w:r w:rsidR="00936E1D" w:rsidRPr="00936E1D">
        <w:t>.</w:t>
      </w:r>
    </w:p>
    <w:p w:rsidR="00D85A4C" w:rsidRDefault="00C559E9" w:rsidP="00566BA1">
      <w:pPr>
        <w:pStyle w:val="ParaNumbering"/>
      </w:pPr>
      <w:r>
        <w:t xml:space="preserve">In that case, </w:t>
      </w:r>
      <w:r w:rsidR="00D85A4C">
        <w:t xml:space="preserve">the plaintiff sought an order that, in accordance with the terms of a joint venture agreement with the defendant, the ownership in a vessel </w:t>
      </w:r>
      <w:proofErr w:type="gramStart"/>
      <w:r w:rsidR="00D85A4C">
        <w:t>be transferred</w:t>
      </w:r>
      <w:proofErr w:type="gramEnd"/>
      <w:r w:rsidR="00D85A4C">
        <w:t xml:space="preserve"> to the joint</w:t>
      </w:r>
      <w:r w:rsidR="00936E1D">
        <w:noBreakHyphen/>
      </w:r>
      <w:r w:rsidR="00D85A4C">
        <w:t>venture company or another joint</w:t>
      </w:r>
      <w:r w:rsidR="003B1228">
        <w:noBreakHyphen/>
      </w:r>
      <w:r w:rsidR="00D85A4C">
        <w:t>venture company in which the plaintiff and defendant had an interest.</w:t>
      </w:r>
    </w:p>
    <w:p w:rsidR="00C95823" w:rsidRDefault="00D85A4C" w:rsidP="00566BA1">
      <w:pPr>
        <w:pStyle w:val="ParaNumbering"/>
      </w:pPr>
      <w:r>
        <w:t xml:space="preserve">The plaintiff contended that </w:t>
      </w:r>
      <w:r w:rsidR="00C95823">
        <w:t xml:space="preserve">its </w:t>
      </w:r>
      <w:r>
        <w:t>claim was a proprietary maritime claim</w:t>
      </w:r>
      <w:r w:rsidR="00C95823">
        <w:t xml:space="preserve"> which fell within the ambit of s 4</w:t>
      </w:r>
      <w:r w:rsidR="003B1228">
        <w:t>(2</w:t>
      </w:r>
      <w:proofErr w:type="gramStart"/>
      <w:r w:rsidR="003B1228">
        <w:t>)</w:t>
      </w:r>
      <w:r w:rsidR="00C95823">
        <w:t>(</w:t>
      </w:r>
      <w:proofErr w:type="gramEnd"/>
      <w:r w:rsidR="00C95823">
        <w:t xml:space="preserve">a) of the </w:t>
      </w:r>
      <w:r w:rsidR="00C95823" w:rsidRPr="003B1228">
        <w:rPr>
          <w:i/>
        </w:rPr>
        <w:t>Admiralty Act</w:t>
      </w:r>
      <w:r w:rsidR="00C95823">
        <w:t>.</w:t>
      </w:r>
    </w:p>
    <w:p w:rsidR="00C95823" w:rsidRDefault="00C95823" w:rsidP="00566BA1">
      <w:pPr>
        <w:pStyle w:val="ParaNumbering"/>
      </w:pPr>
      <w:r>
        <w:t>One of the issues before the High Court was whether s 4(2)</w:t>
      </w:r>
      <w:r w:rsidR="003B1228">
        <w:t xml:space="preserve">(a) of the </w:t>
      </w:r>
      <w:r w:rsidR="003B1228">
        <w:rPr>
          <w:i/>
        </w:rPr>
        <w:t>Admiralty Act</w:t>
      </w:r>
      <w:r>
        <w:t xml:space="preserve"> embraced a claim by a party who did not assert its own right to ownership in a vessel</w:t>
      </w:r>
      <w:r w:rsidR="003B1228">
        <w:t>,</w:t>
      </w:r>
      <w:r>
        <w:t xml:space="preserve"> but that of a third</w:t>
      </w:r>
      <w:r w:rsidR="00EB107F">
        <w:t> </w:t>
      </w:r>
      <w:r>
        <w:t>party.</w:t>
      </w:r>
      <w:r w:rsidR="003B1228">
        <w:t xml:space="preserve"> </w:t>
      </w:r>
      <w:r>
        <w:t xml:space="preserve"> The High Court held that a wide meaning was to be given to</w:t>
      </w:r>
      <w:r w:rsidR="00DC56EF">
        <w:t xml:space="preserve"> the words “relating</w:t>
      </w:r>
      <w:r w:rsidR="007C15D0">
        <w:t> </w:t>
      </w:r>
      <w:r w:rsidR="00DC56EF">
        <w:t xml:space="preserve">to” in </w:t>
      </w:r>
      <w:r>
        <w:t>s 4(2</w:t>
      </w:r>
      <w:proofErr w:type="gramStart"/>
      <w:r>
        <w:t>)(</w:t>
      </w:r>
      <w:proofErr w:type="gramEnd"/>
      <w:r>
        <w:t xml:space="preserve">a) of the </w:t>
      </w:r>
      <w:r w:rsidRPr="00C95823">
        <w:rPr>
          <w:i/>
        </w:rPr>
        <w:t>Admiralty Act</w:t>
      </w:r>
      <w:r>
        <w:t>.</w:t>
      </w:r>
      <w:r w:rsidR="003B1228">
        <w:t xml:space="preserve"> </w:t>
      </w:r>
      <w:r>
        <w:t xml:space="preserve"> At </w:t>
      </w:r>
      <w:r w:rsidRPr="002C57DA">
        <w:t>418</w:t>
      </w:r>
      <w:r w:rsidR="002C57DA">
        <w:t>-419</w:t>
      </w:r>
      <w:r>
        <w:t>, the High Court observed:</w:t>
      </w:r>
    </w:p>
    <w:p w:rsidR="00C95823" w:rsidRPr="002C57DA" w:rsidRDefault="00295288" w:rsidP="003B1228">
      <w:pPr>
        <w:pStyle w:val="Quote1"/>
      </w:pPr>
      <w:r w:rsidRPr="00295288">
        <w:t xml:space="preserve">In their natural and ordinary meaning, the words “a claim…relating to…ownership” are wide enough to encompass a claim that a third party is or has been or is entitled to become the owner of the property in question. </w:t>
      </w:r>
      <w:r>
        <w:t xml:space="preserve"> </w:t>
      </w:r>
      <w:r w:rsidRPr="00295288">
        <w:t>In this regard, the expression “a</w:t>
      </w:r>
      <w:r w:rsidR="009236DB">
        <w:t> </w:t>
      </w:r>
      <w:r w:rsidRPr="00295288">
        <w:t xml:space="preserve">claim…relating to…ownership” may be contrasted with “a claim to ownership” or </w:t>
      </w:r>
      <w:r w:rsidRPr="00295288">
        <w:lastRenderedPageBreak/>
        <w:t>“a claim for ownership”, which latter expressions would ordinarily indicate a claim as to one's own ownership, not that of another.</w:t>
      </w:r>
      <w:r>
        <w:t xml:space="preserve"> </w:t>
      </w:r>
      <w:r w:rsidRPr="00295288">
        <w:t xml:space="preserve"> </w:t>
      </w:r>
      <w:proofErr w:type="gramStart"/>
      <w:r w:rsidRPr="00295288">
        <w:t>And</w:t>
      </w:r>
      <w:proofErr w:type="gramEnd"/>
      <w:r w:rsidRPr="00295288">
        <w:t xml:space="preserve"> although plaintiffs do not usually bring proceedings to benefit another, such proceedings are not entirely unknown. </w:t>
      </w:r>
      <w:r>
        <w:t xml:space="preserve"> </w:t>
      </w:r>
      <w:r w:rsidRPr="00295288">
        <w:t xml:space="preserve">Thus, for example, proceedings </w:t>
      </w:r>
      <w:proofErr w:type="gramStart"/>
      <w:r w:rsidRPr="00295288">
        <w:t>have been brought</w:t>
      </w:r>
      <w:proofErr w:type="gramEnd"/>
      <w:r w:rsidRPr="00295288">
        <w:t xml:space="preserve"> on a contract for the purchase of property to be conveyed as a gift to a third party.</w:t>
      </w:r>
      <w:r>
        <w:t xml:space="preserve">  (Footnotes omitted.)</w:t>
      </w:r>
    </w:p>
    <w:p w:rsidR="003B1228" w:rsidRDefault="003B1228" w:rsidP="003B1228">
      <w:pPr>
        <w:pStyle w:val="Quote1"/>
      </w:pPr>
    </w:p>
    <w:p w:rsidR="00C95823" w:rsidRDefault="00C95823" w:rsidP="00566BA1">
      <w:pPr>
        <w:pStyle w:val="ParaNumbering"/>
      </w:pPr>
      <w:r>
        <w:t>Further,</w:t>
      </w:r>
      <w:r w:rsidR="003068E2">
        <w:t xml:space="preserve"> one of the </w:t>
      </w:r>
      <w:r>
        <w:t>ground</w:t>
      </w:r>
      <w:r w:rsidR="003068E2">
        <w:t>s</w:t>
      </w:r>
      <w:r>
        <w:t xml:space="preserve"> of appeal</w:t>
      </w:r>
      <w:r w:rsidR="003068E2">
        <w:t xml:space="preserve"> in </w:t>
      </w:r>
      <w:r w:rsidR="003068E2" w:rsidRPr="001D1FD7">
        <w:rPr>
          <w:i/>
        </w:rPr>
        <w:t xml:space="preserve">Shin Kobe </w:t>
      </w:r>
      <w:proofErr w:type="spellStart"/>
      <w:r w:rsidR="003068E2" w:rsidRPr="001D1FD7">
        <w:rPr>
          <w:i/>
        </w:rPr>
        <w:t>Maru</w:t>
      </w:r>
      <w:proofErr w:type="spellEnd"/>
      <w:r w:rsidR="003068E2">
        <w:t xml:space="preserve"> was</w:t>
      </w:r>
      <w:r>
        <w:t xml:space="preserve"> that the Full Federal Court had </w:t>
      </w:r>
      <w:r w:rsidR="003068E2">
        <w:t>erred</w:t>
      </w:r>
      <w:r>
        <w:t xml:space="preserve"> in failing to find that on the </w:t>
      </w:r>
      <w:r w:rsidR="003068E2">
        <w:t>“</w:t>
      </w:r>
      <w:r>
        <w:t>balance of probabilities</w:t>
      </w:r>
      <w:r w:rsidR="003B1228">
        <w:t>”</w:t>
      </w:r>
      <w:r>
        <w:t xml:space="preserve"> the plaintiff</w:t>
      </w:r>
      <w:r w:rsidR="0059721C">
        <w:t>’</w:t>
      </w:r>
      <w:r>
        <w:t>s claim was within the</w:t>
      </w:r>
      <w:r w:rsidR="003068E2">
        <w:t xml:space="preserve"> head of </w:t>
      </w:r>
      <w:r>
        <w:t>jurisdiction</w:t>
      </w:r>
      <w:r w:rsidR="003068E2">
        <w:t xml:space="preserve"> claimed</w:t>
      </w:r>
      <w:r>
        <w:t xml:space="preserve">. </w:t>
      </w:r>
      <w:r w:rsidR="003B1228">
        <w:t xml:space="preserve"> </w:t>
      </w:r>
      <w:r>
        <w:t>The High Court rejected that ground of appeal.</w:t>
      </w:r>
    </w:p>
    <w:p w:rsidR="00566BA1" w:rsidRDefault="00C95823" w:rsidP="00566BA1">
      <w:pPr>
        <w:pStyle w:val="ParaNumbering"/>
      </w:pPr>
      <w:r>
        <w:t xml:space="preserve">In rejecting that ground of appeal, </w:t>
      </w:r>
      <w:r w:rsidR="00C559E9">
        <w:t>the High Court observed</w:t>
      </w:r>
      <w:r w:rsidRPr="00C95823">
        <w:t xml:space="preserve"> </w:t>
      </w:r>
      <w:r>
        <w:t>at 426-427</w:t>
      </w:r>
      <w:r w:rsidR="00C559E9">
        <w:t>:</w:t>
      </w:r>
    </w:p>
    <w:p w:rsidR="00C559E9" w:rsidRDefault="00C559E9" w:rsidP="003B1228">
      <w:pPr>
        <w:pStyle w:val="Quote1"/>
      </w:pPr>
      <w:r>
        <w:t xml:space="preserve">Where jurisdiction depends on particular facts or a particular state of affairs, a challenge to jurisdiction </w:t>
      </w:r>
      <w:proofErr w:type="gramStart"/>
      <w:r>
        <w:t>can only be resisted</w:t>
      </w:r>
      <w:proofErr w:type="gramEnd"/>
      <w:r>
        <w:t xml:space="preserve"> by establishing the facts on which it depends.  </w:t>
      </w:r>
      <w:proofErr w:type="gramStart"/>
      <w:r>
        <w:t>And</w:t>
      </w:r>
      <w:proofErr w:type="gramEnd"/>
      <w:r>
        <w:t>, of course, they must be established on the balance of probabilities in light of all of the evidence advanced in the proceedings held to determine whether there is jurisdiction.</w:t>
      </w:r>
    </w:p>
    <w:p w:rsidR="00C559E9" w:rsidRDefault="00C559E9" w:rsidP="003B1228">
      <w:pPr>
        <w:pStyle w:val="Quote1"/>
      </w:pPr>
      <w:r>
        <w:t xml:space="preserve">In this case, </w:t>
      </w:r>
      <w:r w:rsidRPr="003B1228">
        <w:t>Empire</w:t>
      </w:r>
      <w:r>
        <w:t xml:space="preserve"> asserts jurisdiction </w:t>
      </w:r>
      <w:r w:rsidR="003B1228">
        <w:t>on</w:t>
      </w:r>
      <w:r>
        <w:t xml:space="preserve"> two bases.  So far as jurisdiction is asserted by reason of s 4</w:t>
      </w:r>
      <w:r w:rsidR="00C27E9A">
        <w:t>(</w:t>
      </w:r>
      <w:r>
        <w:t>2</w:t>
      </w:r>
      <w:r w:rsidR="00C27E9A">
        <w:t>)(a)</w:t>
      </w:r>
      <w:r w:rsidR="004C2CAD">
        <w:t>,</w:t>
      </w:r>
      <w:r>
        <w:t xml:space="preserve"> it does not depend on any factual precondition but</w:t>
      </w:r>
      <w:r w:rsidR="004C2CAD">
        <w:t>,</w:t>
      </w:r>
      <w:r>
        <w:t xml:space="preserve"> rather</w:t>
      </w:r>
      <w:r w:rsidR="004C2CAD">
        <w:t>,</w:t>
      </w:r>
      <w:r>
        <w:t xml:space="preserve"> on the claim having the legal character required by that paragraph, namely, </w:t>
      </w:r>
      <w:r w:rsidR="00C27E9A">
        <w:t>“</w:t>
      </w:r>
      <w:r>
        <w:t>a</w:t>
      </w:r>
      <w:r w:rsidR="009236DB">
        <w:t> </w:t>
      </w:r>
      <w:r>
        <w:t xml:space="preserve">claim relating to…possession of </w:t>
      </w:r>
      <w:r w:rsidR="00C27E9A">
        <w:t>[or]</w:t>
      </w:r>
      <w:r w:rsidR="004C2CAD">
        <w:t>…</w:t>
      </w:r>
      <w:r>
        <w:t>title to</w:t>
      </w:r>
      <w:r w:rsidR="004C2CAD">
        <w:t>,</w:t>
      </w:r>
      <w:r>
        <w:t xml:space="preserve"> or ownership of</w:t>
      </w:r>
      <w:r w:rsidR="004C2CAD">
        <w:t>,</w:t>
      </w:r>
      <w:r>
        <w:t xml:space="preserve"> a ship</w:t>
      </w:r>
      <w:r w:rsidR="00FA39E7">
        <w:t>”</w:t>
      </w:r>
      <w:r w:rsidR="00CC399C">
        <w:t>…</w:t>
      </w:r>
    </w:p>
    <w:p w:rsidR="00C559E9" w:rsidRDefault="00C559E9" w:rsidP="003B1228">
      <w:pPr>
        <w:pStyle w:val="Quote1"/>
      </w:pPr>
      <w:r>
        <w:t>The question whether Empire’s claim b</w:t>
      </w:r>
      <w:r w:rsidR="00C27E9A">
        <w:t>e</w:t>
      </w:r>
      <w:r>
        <w:t>ar</w:t>
      </w:r>
      <w:r w:rsidR="00C27E9A">
        <w:t>s</w:t>
      </w:r>
      <w:r>
        <w:t xml:space="preserve"> the legal character of a proprietary</w:t>
      </w:r>
      <w:r w:rsidR="00C27E9A">
        <w:t xml:space="preserve"> maritime claim as defined in s </w:t>
      </w:r>
      <w:r>
        <w:t>4</w:t>
      </w:r>
      <w:r w:rsidR="00C27E9A">
        <w:t>(</w:t>
      </w:r>
      <w:r>
        <w:t>2</w:t>
      </w:r>
      <w:proofErr w:type="gramStart"/>
      <w:r w:rsidR="00C27E9A">
        <w:t>)(</w:t>
      </w:r>
      <w:proofErr w:type="gramEnd"/>
      <w:r w:rsidR="00C27E9A">
        <w:t xml:space="preserve">a) </w:t>
      </w:r>
      <w:r>
        <w:t>of the Act does not depend on findings of fact and</w:t>
      </w:r>
      <w:r w:rsidR="004C2CAD">
        <w:t>,</w:t>
      </w:r>
      <w:r>
        <w:t xml:space="preserve"> thus</w:t>
      </w:r>
      <w:r w:rsidR="004C2CAD">
        <w:t>,</w:t>
      </w:r>
      <w:r>
        <w:t xml:space="preserve"> cannot invoke any consideration of the balance of probabilities.</w:t>
      </w:r>
    </w:p>
    <w:p w:rsidR="00C559E9" w:rsidRDefault="00C559E9" w:rsidP="003B1228">
      <w:pPr>
        <w:pStyle w:val="Quote1"/>
      </w:pPr>
    </w:p>
    <w:p w:rsidR="0004342B" w:rsidRDefault="0004342B" w:rsidP="00C559E9">
      <w:pPr>
        <w:pStyle w:val="ParaNumbering"/>
      </w:pPr>
      <w:r>
        <w:t>The High Court went on to find that the pl</w:t>
      </w:r>
      <w:r w:rsidR="00DF13F1">
        <w:t>aintiff’s claim fell within the ambit o</w:t>
      </w:r>
      <w:r w:rsidR="003B1228">
        <w:t>f</w:t>
      </w:r>
      <w:r w:rsidR="00DF13F1">
        <w:t xml:space="preserve"> s 4(2</w:t>
      </w:r>
      <w:proofErr w:type="gramStart"/>
      <w:r w:rsidR="00DF13F1">
        <w:t>)(</w:t>
      </w:r>
      <w:proofErr w:type="gramEnd"/>
      <w:r w:rsidR="00DF13F1">
        <w:t>a)</w:t>
      </w:r>
      <w:r w:rsidR="003B1228">
        <w:t xml:space="preserve"> of the </w:t>
      </w:r>
      <w:r w:rsidR="003B1228">
        <w:rPr>
          <w:i/>
        </w:rPr>
        <w:t>Admiralty Act</w:t>
      </w:r>
      <w:r w:rsidR="00DF13F1">
        <w:t xml:space="preserve"> and was to be characterised as a proprietary maritime claim.</w:t>
      </w:r>
    </w:p>
    <w:p w:rsidR="00C559E9" w:rsidRDefault="00C559E9" w:rsidP="00C559E9">
      <w:pPr>
        <w:pStyle w:val="ParaNumbering"/>
      </w:pPr>
      <w:r>
        <w:t xml:space="preserve">In the case of </w:t>
      </w:r>
      <w:r w:rsidR="0004342B" w:rsidRPr="0004342B">
        <w:rPr>
          <w:i/>
        </w:rPr>
        <w:t>E</w:t>
      </w:r>
      <w:r>
        <w:rPr>
          <w:i/>
        </w:rPr>
        <w:t>lb</w:t>
      </w:r>
      <w:r w:rsidR="0004342B">
        <w:rPr>
          <w:i/>
        </w:rPr>
        <w:t>e</w:t>
      </w:r>
      <w:r>
        <w:rPr>
          <w:i/>
        </w:rPr>
        <w:t xml:space="preserve"> Shipping </w:t>
      </w:r>
      <w:r w:rsidR="0004342B">
        <w:rPr>
          <w:i/>
        </w:rPr>
        <w:t xml:space="preserve">SA </w:t>
      </w:r>
      <w:r>
        <w:rPr>
          <w:i/>
        </w:rPr>
        <w:t xml:space="preserve">v </w:t>
      </w:r>
      <w:r w:rsidR="0004342B">
        <w:rPr>
          <w:i/>
        </w:rPr>
        <w:t xml:space="preserve">The Ship </w:t>
      </w:r>
      <w:r>
        <w:rPr>
          <w:i/>
        </w:rPr>
        <w:t>Global Peace</w:t>
      </w:r>
      <w:r>
        <w:t xml:space="preserve"> (2006) 154 FCR 439</w:t>
      </w:r>
      <w:r w:rsidR="000C2F92">
        <w:t xml:space="preserve"> (</w:t>
      </w:r>
      <w:r w:rsidR="000C2F92" w:rsidRPr="001D1FD7">
        <w:rPr>
          <w:i/>
        </w:rPr>
        <w:t>Global</w:t>
      </w:r>
      <w:r w:rsidR="00EB107F">
        <w:rPr>
          <w:i/>
        </w:rPr>
        <w:t> </w:t>
      </w:r>
      <w:r w:rsidR="000C2F92" w:rsidRPr="001D1FD7">
        <w:rPr>
          <w:i/>
        </w:rPr>
        <w:t>Peace</w:t>
      </w:r>
      <w:r w:rsidR="000C2F92">
        <w:t>)</w:t>
      </w:r>
      <w:r>
        <w:t xml:space="preserve">, </w:t>
      </w:r>
      <w:r w:rsidR="0004342B">
        <w:t xml:space="preserve">Allsop J </w:t>
      </w:r>
      <w:r w:rsidR="002E1587">
        <w:t>(as</w:t>
      </w:r>
      <w:r w:rsidR="0004342B">
        <w:t xml:space="preserve"> </w:t>
      </w:r>
      <w:r w:rsidR="003B1228">
        <w:t>h</w:t>
      </w:r>
      <w:r w:rsidR="0004342B">
        <w:t xml:space="preserve">is Honour then was) observed </w:t>
      </w:r>
      <w:r w:rsidR="004C2CAD">
        <w:t>at [70]</w:t>
      </w:r>
      <w:r w:rsidR="0004342B">
        <w:t>:</w:t>
      </w:r>
    </w:p>
    <w:p w:rsidR="00C559E9" w:rsidRDefault="00030AFA" w:rsidP="003B1228">
      <w:pPr>
        <w:pStyle w:val="Quote1"/>
      </w:pPr>
      <w:r>
        <w:t xml:space="preserve">In </w:t>
      </w:r>
      <w:r w:rsidRPr="00030AFA">
        <w:rPr>
          <w:i/>
        </w:rPr>
        <w:t>T</w:t>
      </w:r>
      <w:r w:rsidR="00C559E9" w:rsidRPr="00030AFA">
        <w:rPr>
          <w:i/>
        </w:rPr>
        <w:t>he</w:t>
      </w:r>
      <w:r w:rsidR="00C559E9" w:rsidRPr="0004342B">
        <w:t xml:space="preserve"> </w:t>
      </w:r>
      <w:r w:rsidR="00C559E9" w:rsidRPr="0004342B">
        <w:rPr>
          <w:i/>
        </w:rPr>
        <w:t xml:space="preserve">Shin Kobe </w:t>
      </w:r>
      <w:proofErr w:type="spellStart"/>
      <w:r w:rsidR="00C559E9" w:rsidRPr="0004342B">
        <w:rPr>
          <w:i/>
        </w:rPr>
        <w:t>Maru</w:t>
      </w:r>
      <w:proofErr w:type="spellEnd"/>
      <w:r w:rsidR="000C2F92" w:rsidRPr="0004342B">
        <w:t xml:space="preserve"> the only </w:t>
      </w:r>
      <w:r>
        <w:t>“</w:t>
      </w:r>
      <w:r w:rsidR="000C2F92" w:rsidRPr="0004342B">
        <w:t>fact</w:t>
      </w:r>
      <w:r>
        <w:t>”</w:t>
      </w:r>
      <w:r w:rsidR="000C2F92" w:rsidRPr="0004342B">
        <w:t xml:space="preserve"> that needed to be shown was the existence of </w:t>
      </w:r>
      <w:r>
        <w:t>a</w:t>
      </w:r>
      <w:r w:rsidR="000C2F92" w:rsidRPr="0004342B">
        <w:t xml:space="preserve"> claim that bore </w:t>
      </w:r>
      <w:r>
        <w:t>“</w:t>
      </w:r>
      <w:r w:rsidR="000C2F92" w:rsidRPr="0004342B">
        <w:t>the legal character” of the kind referred to in s 4</w:t>
      </w:r>
      <w:r w:rsidR="0004342B" w:rsidRPr="0004342B">
        <w:t>(</w:t>
      </w:r>
      <w:r w:rsidR="000C2F92" w:rsidRPr="0004342B">
        <w:t>2</w:t>
      </w:r>
      <w:proofErr w:type="gramStart"/>
      <w:r w:rsidR="0004342B" w:rsidRPr="0004342B">
        <w:t>)(</w:t>
      </w:r>
      <w:proofErr w:type="gramEnd"/>
      <w:r w:rsidR="0004342B" w:rsidRPr="0004342B">
        <w:t>a)(</w:t>
      </w:r>
      <w:proofErr w:type="spellStart"/>
      <w:r w:rsidR="0004342B" w:rsidRPr="0004342B">
        <w:t>i</w:t>
      </w:r>
      <w:proofErr w:type="spellEnd"/>
      <w:r w:rsidR="000C2F92" w:rsidRPr="0004342B">
        <w:t>) and (ii)</w:t>
      </w:r>
      <w:r w:rsidR="0004342B" w:rsidRPr="0004342B">
        <w:t xml:space="preserve"> </w:t>
      </w:r>
      <w:r w:rsidR="000C2F92" w:rsidRPr="0004342B">
        <w:t>of the Act.  The claim might fail for any number of reasons</w:t>
      </w:r>
      <w:r>
        <w:t>,</w:t>
      </w:r>
      <w:r w:rsidR="000C2F92" w:rsidRPr="0004342B">
        <w:t xml:space="preserve"> but as a </w:t>
      </w:r>
      <w:proofErr w:type="gramStart"/>
      <w:r w:rsidR="000C2F92" w:rsidRPr="0004342B">
        <w:t>claim, that is as a body of assertions,</w:t>
      </w:r>
      <w:proofErr w:type="gramEnd"/>
      <w:r w:rsidR="000C2F92" w:rsidRPr="0004342B">
        <w:t xml:space="preserve"> it bore the legal character or answered the description of </w:t>
      </w:r>
      <w:r>
        <w:t>“</w:t>
      </w:r>
      <w:r w:rsidR="000C2F92" w:rsidRPr="0004342B">
        <w:t>a claim relating to possession of</w:t>
      </w:r>
      <w:r>
        <w:t>,</w:t>
      </w:r>
      <w:r w:rsidR="000C2F92" w:rsidRPr="0004342B">
        <w:t xml:space="preserve"> or title to or ownership of a ship</w:t>
      </w:r>
      <w:r>
        <w:t>”</w:t>
      </w:r>
      <w:r w:rsidR="000C2F92" w:rsidRPr="0004342B">
        <w:t>.</w:t>
      </w:r>
    </w:p>
    <w:p w:rsidR="003B1228" w:rsidRPr="0004342B" w:rsidRDefault="003B1228" w:rsidP="003B1228">
      <w:pPr>
        <w:pStyle w:val="Quote1"/>
      </w:pPr>
    </w:p>
    <w:p w:rsidR="003068E2" w:rsidRDefault="00387390" w:rsidP="00C559E9">
      <w:pPr>
        <w:pStyle w:val="ParaNumbering"/>
      </w:pPr>
      <w:r>
        <w:t>The</w:t>
      </w:r>
      <w:r w:rsidR="000C2F92">
        <w:t xml:space="preserve"> defendant </w:t>
      </w:r>
      <w:r w:rsidRPr="003068E2">
        <w:t>contended</w:t>
      </w:r>
      <w:r>
        <w:t xml:space="preserve"> that</w:t>
      </w:r>
      <w:r w:rsidR="003068E2">
        <w:t xml:space="preserve"> neither of</w:t>
      </w:r>
      <w:r>
        <w:t xml:space="preserve"> the </w:t>
      </w:r>
      <w:r w:rsidR="003068E2">
        <w:t xml:space="preserve">two </w:t>
      </w:r>
      <w:r>
        <w:t xml:space="preserve">claims </w:t>
      </w:r>
      <w:r w:rsidR="003068E2">
        <w:t xml:space="preserve">relied on </w:t>
      </w:r>
      <w:r>
        <w:t>by the plaintiffs</w:t>
      </w:r>
      <w:r w:rsidR="0059721C">
        <w:t xml:space="preserve"> as </w:t>
      </w:r>
      <w:r w:rsidR="003068E2">
        <w:t xml:space="preserve">proprietary maritime claims, namely, the claim in conversion and/or </w:t>
      </w:r>
      <w:proofErr w:type="spellStart"/>
      <w:r w:rsidR="003068E2">
        <w:t>detinue</w:t>
      </w:r>
      <w:proofErr w:type="spellEnd"/>
      <w:r w:rsidR="003068E2">
        <w:t>, and the delivery</w:t>
      </w:r>
      <w:r w:rsidR="00126887">
        <w:t> </w:t>
      </w:r>
      <w:r w:rsidR="003068E2">
        <w:t>up claim, bore</w:t>
      </w:r>
      <w:r>
        <w:t xml:space="preserve"> the legal characterisation of a proprietary maritime claim.</w:t>
      </w:r>
    </w:p>
    <w:p w:rsidR="00DC56EF" w:rsidRDefault="00387390" w:rsidP="00C559E9">
      <w:pPr>
        <w:pStyle w:val="ParaNumbering"/>
      </w:pPr>
      <w:r>
        <w:t>In support of this argument, the defendant</w:t>
      </w:r>
      <w:r w:rsidR="003068E2">
        <w:t xml:space="preserve"> </w:t>
      </w:r>
      <w:r>
        <w:t xml:space="preserve">made a number of </w:t>
      </w:r>
      <w:proofErr w:type="gramStart"/>
      <w:r>
        <w:t>submissions which</w:t>
      </w:r>
      <w:proofErr w:type="gramEnd"/>
      <w:r>
        <w:t xml:space="preserve"> depended upon the acceptance of</w:t>
      </w:r>
      <w:r w:rsidR="00DC56EF">
        <w:t xml:space="preserve"> TBONE’s</w:t>
      </w:r>
      <w:r>
        <w:t xml:space="preserve"> version of </w:t>
      </w:r>
      <w:r w:rsidR="0059721C">
        <w:t xml:space="preserve">the </w:t>
      </w:r>
      <w:r w:rsidR="003068E2">
        <w:t xml:space="preserve">facts </w:t>
      </w:r>
      <w:r>
        <w:t xml:space="preserve">advanced </w:t>
      </w:r>
      <w:r w:rsidR="00DC56EF">
        <w:t>in its submissions</w:t>
      </w:r>
      <w:r w:rsidR="00EB107F">
        <w:t>,</w:t>
      </w:r>
      <w:r>
        <w:t xml:space="preserve"> </w:t>
      </w:r>
      <w:r w:rsidR="003068E2" w:rsidRPr="007C15D0">
        <w:t>or</w:t>
      </w:r>
      <w:r w:rsidR="007C15D0" w:rsidRPr="007C15D0">
        <w:t xml:space="preserve"> </w:t>
      </w:r>
      <w:r w:rsidR="003068E2" w:rsidRPr="007C15D0">
        <w:t xml:space="preserve">were </w:t>
      </w:r>
      <w:r w:rsidR="003068E2" w:rsidRPr="007C15D0">
        <w:lastRenderedPageBreak/>
        <w:t>otherwise</w:t>
      </w:r>
      <w:r w:rsidR="00EB107F" w:rsidRPr="007C15D0">
        <w:t xml:space="preserve"> </w:t>
      </w:r>
      <w:r w:rsidR="003068E2" w:rsidRPr="007C15D0">
        <w:t>contentio</w:t>
      </w:r>
      <w:r w:rsidR="00DC56EF" w:rsidRPr="007C15D0">
        <w:t>u</w:t>
      </w:r>
      <w:r w:rsidR="003068E2" w:rsidRPr="007C15D0">
        <w:t>s</w:t>
      </w:r>
      <w:r>
        <w:t>.</w:t>
      </w:r>
      <w:r w:rsidR="003B1228">
        <w:t xml:space="preserve"> </w:t>
      </w:r>
      <w:r>
        <w:t xml:space="preserve"> Thus, for example, </w:t>
      </w:r>
      <w:r w:rsidR="00DC56EF">
        <w:t xml:space="preserve">TBONE </w:t>
      </w:r>
      <w:r>
        <w:t>contended that</w:t>
      </w:r>
      <w:r w:rsidR="003B1228">
        <w:t>,</w:t>
      </w:r>
      <w:r>
        <w:t xml:space="preserve"> after 2 December 2015, it held the </w:t>
      </w:r>
      <w:r w:rsidR="00FA39E7">
        <w:t>“Houston”</w:t>
      </w:r>
      <w:r>
        <w:t xml:space="preserve"> as a gratuitous </w:t>
      </w:r>
      <w:proofErr w:type="spellStart"/>
      <w:r>
        <w:t>bailee</w:t>
      </w:r>
      <w:proofErr w:type="spellEnd"/>
      <w:r>
        <w:t xml:space="preserve"> and</w:t>
      </w:r>
      <w:r w:rsidR="003B1228">
        <w:t>,</w:t>
      </w:r>
      <w:r>
        <w:t xml:space="preserve"> therefore</w:t>
      </w:r>
      <w:r w:rsidR="003B1228">
        <w:t>,</w:t>
      </w:r>
      <w:r>
        <w:t xml:space="preserve"> the plaintiffs</w:t>
      </w:r>
      <w:r w:rsidR="003068E2">
        <w:t>’</w:t>
      </w:r>
      <w:r>
        <w:t xml:space="preserve"> claim</w:t>
      </w:r>
      <w:r w:rsidR="003068E2">
        <w:t>s</w:t>
      </w:r>
      <w:r>
        <w:t xml:space="preserve"> for </w:t>
      </w:r>
      <w:r w:rsidR="003068E2">
        <w:t xml:space="preserve">delivery up of </w:t>
      </w:r>
      <w:r>
        <w:t xml:space="preserve">the </w:t>
      </w:r>
      <w:r w:rsidR="003068E2">
        <w:t>“</w:t>
      </w:r>
      <w:r w:rsidR="003B1228">
        <w:t>Houston”</w:t>
      </w:r>
      <w:r w:rsidR="003068E2">
        <w:t>,</w:t>
      </w:r>
      <w:r>
        <w:t xml:space="preserve"> or conversion</w:t>
      </w:r>
      <w:r w:rsidR="00DC56EF">
        <w:t xml:space="preserve"> and/or </w:t>
      </w:r>
      <w:proofErr w:type="spellStart"/>
      <w:r w:rsidR="00DC56EF">
        <w:t>detinue</w:t>
      </w:r>
      <w:proofErr w:type="spellEnd"/>
      <w:r w:rsidR="003068E2">
        <w:t>,</w:t>
      </w:r>
      <w:r>
        <w:t xml:space="preserve"> </w:t>
      </w:r>
      <w:proofErr w:type="gramStart"/>
      <w:r>
        <w:t>w</w:t>
      </w:r>
      <w:r w:rsidR="00FA39E7">
        <w:t>ere</w:t>
      </w:r>
      <w:r>
        <w:t xml:space="preserve"> misconceived</w:t>
      </w:r>
      <w:proofErr w:type="gramEnd"/>
      <w:r w:rsidR="003068E2">
        <w:t xml:space="preserve"> because the first plaintiff</w:t>
      </w:r>
      <w:r w:rsidR="00DC56EF">
        <w:t xml:space="preserve"> </w:t>
      </w:r>
      <w:r w:rsidR="003068E2">
        <w:t>already held possession</w:t>
      </w:r>
      <w:r>
        <w:t>.</w:t>
      </w:r>
    </w:p>
    <w:p w:rsidR="001D1FD7" w:rsidRDefault="001D1FD7" w:rsidP="00C559E9">
      <w:pPr>
        <w:pStyle w:val="ParaNumbering"/>
      </w:pPr>
      <w:r>
        <w:t xml:space="preserve">TBONE </w:t>
      </w:r>
      <w:r w:rsidR="00387390">
        <w:t>also submitted that the evidence was that</w:t>
      </w:r>
      <w:r w:rsidR="003B1228">
        <w:t>,</w:t>
      </w:r>
      <w:r w:rsidR="00387390">
        <w:t xml:space="preserve"> after arrival of the </w:t>
      </w:r>
      <w:r w:rsidR="003B1228">
        <w:t>“</w:t>
      </w:r>
      <w:r w:rsidR="00387390">
        <w:t>Houston</w:t>
      </w:r>
      <w:r w:rsidR="003B1228">
        <w:t>”</w:t>
      </w:r>
      <w:r w:rsidR="00387390">
        <w:t xml:space="preserve"> at Port</w:t>
      </w:r>
      <w:r w:rsidR="008A1D6E">
        <w:t> </w:t>
      </w:r>
      <w:r w:rsidR="00387390">
        <w:t>Hedland</w:t>
      </w:r>
      <w:r w:rsidR="003B1228">
        <w:t>,</w:t>
      </w:r>
      <w:r w:rsidR="00387390">
        <w:t xml:space="preserve"> the </w:t>
      </w:r>
      <w:r>
        <w:t>“</w:t>
      </w:r>
      <w:r w:rsidR="003B1228">
        <w:t>Houston”</w:t>
      </w:r>
      <w:r w:rsidR="00387390">
        <w:t xml:space="preserve"> was available for physical possession by the </w:t>
      </w:r>
      <w:r w:rsidR="00FA39E7">
        <w:t xml:space="preserve">plaintiffs </w:t>
      </w:r>
      <w:r w:rsidR="00387390">
        <w:t>and</w:t>
      </w:r>
      <w:r w:rsidR="003B1228">
        <w:t>,</w:t>
      </w:r>
      <w:r w:rsidR="00387390">
        <w:t xml:space="preserve"> therefore</w:t>
      </w:r>
      <w:r w:rsidR="003B1228">
        <w:t>,</w:t>
      </w:r>
      <w:r w:rsidR="00387390">
        <w:t xml:space="preserve"> the claim for delivery</w:t>
      </w:r>
      <w:r w:rsidR="003F7B1F">
        <w:t xml:space="preserve"> up of the “Houston”</w:t>
      </w:r>
      <w:r w:rsidR="00387390">
        <w:t xml:space="preserve"> </w:t>
      </w:r>
      <w:proofErr w:type="gramStart"/>
      <w:r w:rsidR="00387390">
        <w:t>was also</w:t>
      </w:r>
      <w:proofErr w:type="gramEnd"/>
      <w:r w:rsidR="00387390">
        <w:t xml:space="preserve"> misconceived.</w:t>
      </w:r>
    </w:p>
    <w:p w:rsidR="00387390" w:rsidRDefault="00387390" w:rsidP="00C559E9">
      <w:pPr>
        <w:pStyle w:val="ParaNumbering"/>
      </w:pPr>
      <w:r>
        <w:t>Another argument</w:t>
      </w:r>
      <w:r w:rsidR="003F7B1F">
        <w:t xml:space="preserve"> TBONE made</w:t>
      </w:r>
      <w:r>
        <w:t xml:space="preserve"> was that</w:t>
      </w:r>
      <w:r w:rsidR="003F7B1F">
        <w:t xml:space="preserve"> on the proper construction of the </w:t>
      </w:r>
      <w:proofErr w:type="spellStart"/>
      <w:r w:rsidR="003F7B1F">
        <w:t>charterparty</w:t>
      </w:r>
      <w:proofErr w:type="spellEnd"/>
      <w:r w:rsidR="003F7B1F">
        <w:t xml:space="preserve">, </w:t>
      </w:r>
      <w:r>
        <w:t>there was no right in the plaintiffs to seek deli</w:t>
      </w:r>
      <w:r w:rsidR="001D1FD7">
        <w:t>very</w:t>
      </w:r>
      <w:r w:rsidR="003F7B1F">
        <w:t xml:space="preserve"> up</w:t>
      </w:r>
      <w:r w:rsidR="001D1FD7">
        <w:t xml:space="preserve"> of the vessel in Singapore.</w:t>
      </w:r>
    </w:p>
    <w:p w:rsidR="003F7B1F" w:rsidRPr="003F7B1F" w:rsidRDefault="00387390" w:rsidP="003F7B1F">
      <w:pPr>
        <w:pStyle w:val="ParaNumbering"/>
      </w:pPr>
      <w:r>
        <w:t xml:space="preserve">In my view, </w:t>
      </w:r>
      <w:r w:rsidR="007C15D0">
        <w:t xml:space="preserve">TBONE’s </w:t>
      </w:r>
      <w:r w:rsidRPr="001D1FD7">
        <w:t xml:space="preserve">arguments </w:t>
      </w:r>
      <w:proofErr w:type="gramStart"/>
      <w:r w:rsidR="00C07649" w:rsidRPr="001D1FD7">
        <w:t>addressed</w:t>
      </w:r>
      <w:r w:rsidR="001D1FD7" w:rsidRPr="001D1FD7">
        <w:t>,</w:t>
      </w:r>
      <w:proofErr w:type="gramEnd"/>
      <w:r w:rsidR="001D1FD7" w:rsidRPr="001D1FD7">
        <w:t xml:space="preserve"> </w:t>
      </w:r>
      <w:r w:rsidR="00126887">
        <w:t xml:space="preserve">what </w:t>
      </w:r>
      <w:r w:rsidR="001D1FD7" w:rsidRPr="001D1FD7">
        <w:t xml:space="preserve">Allsop J in </w:t>
      </w:r>
      <w:r w:rsidR="001D1FD7">
        <w:rPr>
          <w:i/>
        </w:rPr>
        <w:t>Global</w:t>
      </w:r>
      <w:r w:rsidR="007C15D0">
        <w:rPr>
          <w:i/>
        </w:rPr>
        <w:t xml:space="preserve"> </w:t>
      </w:r>
      <w:r w:rsidR="001D1FD7">
        <w:rPr>
          <w:i/>
        </w:rPr>
        <w:t>Peace</w:t>
      </w:r>
      <w:r w:rsidR="00126887">
        <w:t xml:space="preserve"> referred to as</w:t>
      </w:r>
      <w:r w:rsidR="001D1FD7">
        <w:t>,</w:t>
      </w:r>
      <w:r w:rsidR="00C07649" w:rsidRPr="001D1FD7">
        <w:t xml:space="preserve"> </w:t>
      </w:r>
      <w:r w:rsidR="003F7B1F">
        <w:t xml:space="preserve">the </w:t>
      </w:r>
      <w:r w:rsidR="00126887">
        <w:t xml:space="preserve">reasons </w:t>
      </w:r>
      <w:r w:rsidR="00C07649" w:rsidRPr="001D1FD7">
        <w:t xml:space="preserve">why the </w:t>
      </w:r>
      <w:r w:rsidR="00603FEE">
        <w:t xml:space="preserve">plaintiffs’ </w:t>
      </w:r>
      <w:r w:rsidR="00C07649" w:rsidRPr="001D1FD7">
        <w:t xml:space="preserve">claims </w:t>
      </w:r>
      <w:r w:rsidR="00C07649">
        <w:t>might fail.</w:t>
      </w:r>
      <w:r w:rsidR="003F7B1F">
        <w:t xml:space="preserve">  </w:t>
      </w:r>
      <w:r w:rsidR="003F7B1F" w:rsidRPr="003F7B1F">
        <w:t>In other words, the arguments went to the merits of the plaintiffs’ claims</w:t>
      </w:r>
      <w:r w:rsidR="007C15D0">
        <w:t>, and not the legal characterisation of those claims</w:t>
      </w:r>
      <w:r w:rsidR="003F7B1F" w:rsidRPr="003F7B1F">
        <w:t xml:space="preserve">.  </w:t>
      </w:r>
      <w:proofErr w:type="gramStart"/>
      <w:r w:rsidR="003F7B1F" w:rsidRPr="003F7B1F">
        <w:t xml:space="preserve">In this regard, I observe in passing, that </w:t>
      </w:r>
      <w:r w:rsidR="00FA39E7">
        <w:t xml:space="preserve">the </w:t>
      </w:r>
      <w:r w:rsidR="003F7B1F" w:rsidRPr="003F7B1F">
        <w:t xml:space="preserve">version of events espoused by TBONE in </w:t>
      </w:r>
      <w:r w:rsidR="00FA39E7">
        <w:t xml:space="preserve">its </w:t>
      </w:r>
      <w:r w:rsidR="003F7B1F" w:rsidRPr="003F7B1F">
        <w:t>submissions referred to at [4</w:t>
      </w:r>
      <w:r w:rsidR="00126887">
        <w:t>4</w:t>
      </w:r>
      <w:r w:rsidR="003F7B1F" w:rsidRPr="003F7B1F">
        <w:t>] above is</w:t>
      </w:r>
      <w:r w:rsidR="005F6E63">
        <w:t>,</w:t>
      </w:r>
      <w:r w:rsidR="003F7B1F" w:rsidRPr="003F7B1F">
        <w:t xml:space="preserve"> at least arguably</w:t>
      </w:r>
      <w:r w:rsidR="005F6E63">
        <w:t>,</w:t>
      </w:r>
      <w:r w:rsidR="003F7B1F" w:rsidRPr="003F7B1F">
        <w:t xml:space="preserve"> inconsistent with TBONE’s letter of 2 December 2015 and the statements</w:t>
      </w:r>
      <w:r w:rsidR="00FA39E7">
        <w:t xml:space="preserve"> TBONE</w:t>
      </w:r>
      <w:r w:rsidR="003F7B1F" w:rsidRPr="003F7B1F">
        <w:t xml:space="preserve"> made on 22 December 2015 in its form 2 in relation to the caveat against arrest, when it said it was </w:t>
      </w:r>
      <w:r w:rsidR="00FA39E7">
        <w:t xml:space="preserve">then </w:t>
      </w:r>
      <w:r w:rsidR="003F7B1F" w:rsidRPr="003F7B1F">
        <w:t xml:space="preserve">the </w:t>
      </w:r>
      <w:r w:rsidR="00A97D8E">
        <w:t xml:space="preserve">“bareboat </w:t>
      </w:r>
      <w:r w:rsidR="003F7B1F" w:rsidRPr="003F7B1F">
        <w:t>charterer</w:t>
      </w:r>
      <w:r w:rsidR="00A97D8E">
        <w:t>”</w:t>
      </w:r>
      <w:r w:rsidR="003F7B1F" w:rsidRPr="003F7B1F">
        <w:t xml:space="preserve"> of the “Houston”.</w:t>
      </w:r>
      <w:proofErr w:type="gramEnd"/>
    </w:p>
    <w:p w:rsidR="000C2F92" w:rsidRDefault="003F7B1F" w:rsidP="003C03C3">
      <w:pPr>
        <w:pStyle w:val="ParaNumbering"/>
      </w:pPr>
      <w:r>
        <w:t xml:space="preserve">TBONE’s </w:t>
      </w:r>
      <w:r w:rsidR="00603FEE">
        <w:t xml:space="preserve">arguments </w:t>
      </w:r>
      <w:r w:rsidR="00C07649">
        <w:t>were not addressed to whether the “body of assertion</w:t>
      </w:r>
      <w:r w:rsidR="00DF10F2">
        <w:t>s</w:t>
      </w:r>
      <w:r w:rsidR="00C07649">
        <w:t xml:space="preserve">” </w:t>
      </w:r>
      <w:r w:rsidR="00126887">
        <w:t xml:space="preserve">comprising the claims </w:t>
      </w:r>
      <w:r w:rsidR="00C07649">
        <w:t>made by the plaintiffs</w:t>
      </w:r>
      <w:r w:rsidR="00126887">
        <w:t>,</w:t>
      </w:r>
      <w:r w:rsidR="00C07649">
        <w:t xml:space="preserve"> were claims that related to the possession of the </w:t>
      </w:r>
      <w:r w:rsidR="00CC0F0F">
        <w:t>“</w:t>
      </w:r>
      <w:r w:rsidR="00C07649">
        <w:t>Houston</w:t>
      </w:r>
      <w:r w:rsidR="00CC0F0F">
        <w:t>”</w:t>
      </w:r>
      <w:r w:rsidR="00C07649">
        <w:t xml:space="preserve"> </w:t>
      </w:r>
      <w:r w:rsidR="00A97D8E">
        <w:t xml:space="preserve">under </w:t>
      </w:r>
      <w:r w:rsidR="00C07649">
        <w:t>s</w:t>
      </w:r>
      <w:r w:rsidR="00A97D8E">
        <w:t xml:space="preserve"> </w:t>
      </w:r>
      <w:r w:rsidR="00C07649">
        <w:t>4(2</w:t>
      </w:r>
      <w:proofErr w:type="gramStart"/>
      <w:r w:rsidR="00C07649">
        <w:t>)(</w:t>
      </w:r>
      <w:proofErr w:type="gramEnd"/>
      <w:r w:rsidR="00C07649">
        <w:t xml:space="preserve">a) of the </w:t>
      </w:r>
      <w:r w:rsidR="00C07649" w:rsidRPr="00CC0F0F">
        <w:rPr>
          <w:i/>
        </w:rPr>
        <w:t>Admiralty Act</w:t>
      </w:r>
      <w:r w:rsidR="00C07649">
        <w:t>.</w:t>
      </w:r>
      <w:r w:rsidR="00CC0F0F">
        <w:t xml:space="preserve"> </w:t>
      </w:r>
      <w:r w:rsidR="00C07649">
        <w:t xml:space="preserve"> Accordingly, TBONE’s contentions</w:t>
      </w:r>
      <w:r>
        <w:t xml:space="preserve"> did</w:t>
      </w:r>
      <w:r w:rsidR="00FA39E7">
        <w:t xml:space="preserve"> not</w:t>
      </w:r>
      <w:r>
        <w:t xml:space="preserve"> accord</w:t>
      </w:r>
      <w:r w:rsidR="00FA39E7">
        <w:t xml:space="preserve"> with </w:t>
      </w:r>
      <w:r>
        <w:t xml:space="preserve">the </w:t>
      </w:r>
      <w:r w:rsidR="00FA39E7">
        <w:t xml:space="preserve">proper </w:t>
      </w:r>
      <w:r>
        <w:t>approach to determining whether the Court had jurisdiction</w:t>
      </w:r>
      <w:r w:rsidR="00FA39E7">
        <w:t xml:space="preserve"> under </w:t>
      </w:r>
      <w:r>
        <w:t xml:space="preserve">s 4(2)(a) of the </w:t>
      </w:r>
      <w:r>
        <w:rPr>
          <w:i/>
        </w:rPr>
        <w:t>Admiralty Act</w:t>
      </w:r>
      <w:r w:rsidR="008A1D6E">
        <w:t>,</w:t>
      </w:r>
      <w:r w:rsidR="003C03C3">
        <w:t xml:space="preserve"> </w:t>
      </w:r>
      <w:r w:rsidR="00A97D8E">
        <w:t xml:space="preserve">prescribed </w:t>
      </w:r>
      <w:r w:rsidR="003C03C3">
        <w:t xml:space="preserve">by the High Court in its </w:t>
      </w:r>
      <w:r w:rsidR="000C2F92">
        <w:t xml:space="preserve">observations in </w:t>
      </w:r>
      <w:r w:rsidR="000C2F92" w:rsidRPr="001D1FD7">
        <w:rPr>
          <w:i/>
        </w:rPr>
        <w:t xml:space="preserve">Shin Kobe </w:t>
      </w:r>
      <w:proofErr w:type="spellStart"/>
      <w:r w:rsidR="000C2F92" w:rsidRPr="001D1FD7">
        <w:rPr>
          <w:i/>
        </w:rPr>
        <w:t>Maru</w:t>
      </w:r>
      <w:proofErr w:type="spellEnd"/>
      <w:r w:rsidR="00603FEE">
        <w:t>,</w:t>
      </w:r>
      <w:r w:rsidR="000C2F92">
        <w:t xml:space="preserve"> </w:t>
      </w:r>
      <w:r w:rsidR="00126887">
        <w:t xml:space="preserve">referred to </w:t>
      </w:r>
      <w:r w:rsidR="00C07649">
        <w:t>at</w:t>
      </w:r>
      <w:r w:rsidR="00A97D8E">
        <w:t xml:space="preserve"> </w:t>
      </w:r>
      <w:r w:rsidR="00C07649">
        <w:t>[</w:t>
      </w:r>
      <w:r w:rsidR="00A97D8E">
        <w:t>40</w:t>
      </w:r>
      <w:r w:rsidR="00C07649">
        <w:t xml:space="preserve">] </w:t>
      </w:r>
      <w:r w:rsidR="000C2F92">
        <w:t>above</w:t>
      </w:r>
      <w:r w:rsidR="00CC0F0F">
        <w:t>,</w:t>
      </w:r>
      <w:r w:rsidR="000C2F92">
        <w:t xml:space="preserve"> and</w:t>
      </w:r>
      <w:r w:rsidR="00A97D8E">
        <w:t xml:space="preserve"> adopted by </w:t>
      </w:r>
      <w:r w:rsidR="000C2F92">
        <w:t>Allsop J</w:t>
      </w:r>
      <w:r w:rsidR="00CC0F0F">
        <w:t xml:space="preserve"> </w:t>
      </w:r>
      <w:r w:rsidR="00C07649">
        <w:t>i</w:t>
      </w:r>
      <w:r w:rsidR="000C2F92">
        <w:t xml:space="preserve">n </w:t>
      </w:r>
      <w:r w:rsidR="000C2F92" w:rsidRPr="00C07649">
        <w:rPr>
          <w:i/>
        </w:rPr>
        <w:t>Global Peace</w:t>
      </w:r>
      <w:r w:rsidR="00126887">
        <w:t xml:space="preserve"> (see</w:t>
      </w:r>
      <w:r w:rsidR="001149E9">
        <w:t xml:space="preserve"> </w:t>
      </w:r>
      <w:r w:rsidR="00C07649">
        <w:t>[</w:t>
      </w:r>
      <w:r w:rsidR="00A97D8E">
        <w:t>42</w:t>
      </w:r>
      <w:r w:rsidR="00126887">
        <w:t>]</w:t>
      </w:r>
      <w:r w:rsidR="00C07649">
        <w:t xml:space="preserve"> above</w:t>
      </w:r>
      <w:r w:rsidR="00126887">
        <w:t>)</w:t>
      </w:r>
      <w:r w:rsidR="000C2F92">
        <w:t>.</w:t>
      </w:r>
    </w:p>
    <w:p w:rsidR="003C03C3" w:rsidRDefault="000C2F92" w:rsidP="00C559E9">
      <w:pPr>
        <w:pStyle w:val="ParaNumbering"/>
      </w:pPr>
      <w:r>
        <w:t xml:space="preserve">In my view, the </w:t>
      </w:r>
      <w:r w:rsidR="009E1022">
        <w:t xml:space="preserve">body of </w:t>
      </w:r>
      <w:r>
        <w:t xml:space="preserve">assertions </w:t>
      </w:r>
      <w:r w:rsidR="003C03C3">
        <w:t xml:space="preserve">comprising </w:t>
      </w:r>
      <w:r>
        <w:t xml:space="preserve">the </w:t>
      </w:r>
      <w:r w:rsidR="00C07649">
        <w:t>plaintiffs</w:t>
      </w:r>
      <w:r w:rsidR="003C03C3">
        <w:t>’ claims</w:t>
      </w:r>
      <w:r w:rsidR="001149E9">
        <w:t xml:space="preserve"> </w:t>
      </w:r>
      <w:r w:rsidR="001149E9" w:rsidRPr="003C03C3">
        <w:t>for delivery up</w:t>
      </w:r>
      <w:r w:rsidR="003C03C3">
        <w:t xml:space="preserve"> of the “Houston” and for </w:t>
      </w:r>
      <w:r w:rsidR="0059721C">
        <w:t xml:space="preserve">damages in </w:t>
      </w:r>
      <w:r w:rsidR="001149E9">
        <w:t xml:space="preserve">conversion and/or </w:t>
      </w:r>
      <w:proofErr w:type="spellStart"/>
      <w:r>
        <w:t>detinue</w:t>
      </w:r>
      <w:proofErr w:type="spellEnd"/>
      <w:r>
        <w:t xml:space="preserve"> in respect of </w:t>
      </w:r>
      <w:r w:rsidR="00F26A9D">
        <w:t xml:space="preserve">TBONE’s conduct </w:t>
      </w:r>
      <w:r w:rsidR="009E1022">
        <w:t xml:space="preserve">after 2 December </w:t>
      </w:r>
      <w:r w:rsidR="00CC0F0F">
        <w:t>2015</w:t>
      </w:r>
      <w:r w:rsidR="001149E9">
        <w:t>,</w:t>
      </w:r>
      <w:r w:rsidR="003C03C3">
        <w:t xml:space="preserve"> </w:t>
      </w:r>
      <w:r w:rsidR="001149E9">
        <w:t xml:space="preserve">are each to be characterised as a </w:t>
      </w:r>
      <w:r w:rsidR="00FA39E7">
        <w:t>“claim relating to possession”, within the ambit of s 4(2)(a)(</w:t>
      </w:r>
      <w:proofErr w:type="spellStart"/>
      <w:r w:rsidR="00FA39E7">
        <w:t>i</w:t>
      </w:r>
      <w:proofErr w:type="spellEnd"/>
      <w:r w:rsidR="00FA39E7">
        <w:t xml:space="preserve">) of the </w:t>
      </w:r>
      <w:r w:rsidR="00FA39E7">
        <w:rPr>
          <w:i/>
        </w:rPr>
        <w:t>Admiralty Act</w:t>
      </w:r>
      <w:r w:rsidR="00FA39E7">
        <w:t>.</w:t>
      </w:r>
    </w:p>
    <w:p w:rsidR="00A97D8E" w:rsidRDefault="001149E9" w:rsidP="00C559E9">
      <w:pPr>
        <w:pStyle w:val="ParaNumbering"/>
      </w:pPr>
      <w:r>
        <w:t>This is because</w:t>
      </w:r>
      <w:r w:rsidR="003C03C3">
        <w:t xml:space="preserve"> the claim for delivery up of the “Houston” is a claim for </w:t>
      </w:r>
      <w:r w:rsidR="003C03C3" w:rsidRPr="00FA39E7">
        <w:t>the delivery up</w:t>
      </w:r>
      <w:r w:rsidR="00FA39E7" w:rsidRPr="00FA39E7">
        <w:t xml:space="preserve"> of possession of the “Houston” and is, therefore, a claim</w:t>
      </w:r>
      <w:r w:rsidR="00126887">
        <w:t xml:space="preserve"> for possession of a ship, and so,</w:t>
      </w:r>
      <w:r w:rsidR="00FA39E7" w:rsidRPr="00FA39E7">
        <w:t xml:space="preserve"> </w:t>
      </w:r>
      <w:r w:rsidR="003C03C3">
        <w:t>clearly</w:t>
      </w:r>
      <w:r w:rsidR="00126887">
        <w:t>,</w:t>
      </w:r>
      <w:r w:rsidR="003C03C3">
        <w:t xml:space="preserve"> falls within the ambit of cl 4(2)(a) of the </w:t>
      </w:r>
      <w:r w:rsidR="003C03C3" w:rsidRPr="003C03C3">
        <w:rPr>
          <w:i/>
        </w:rPr>
        <w:t>Admiralty Act</w:t>
      </w:r>
      <w:r w:rsidR="003C03C3">
        <w:t>.</w:t>
      </w:r>
    </w:p>
    <w:p w:rsidR="003C03C3" w:rsidRDefault="003C03C3" w:rsidP="00C559E9">
      <w:pPr>
        <w:pStyle w:val="ParaNumbering"/>
      </w:pPr>
      <w:r>
        <w:lastRenderedPageBreak/>
        <w:t xml:space="preserve">Further, the body of assertions comprising the claims for damages for the torts </w:t>
      </w:r>
      <w:r w:rsidR="001149E9">
        <w:t>of conversion</w:t>
      </w:r>
      <w:r>
        <w:t xml:space="preserve"> and/or </w:t>
      </w:r>
      <w:proofErr w:type="spellStart"/>
      <w:r>
        <w:t>detinue</w:t>
      </w:r>
      <w:proofErr w:type="spellEnd"/>
      <w:r w:rsidR="001149E9">
        <w:t xml:space="preserve"> </w:t>
      </w:r>
      <w:r w:rsidR="00A97D8E">
        <w:t xml:space="preserve">comprises </w:t>
      </w:r>
      <w:r w:rsidR="001149E9">
        <w:t>the plaintiffs</w:t>
      </w:r>
      <w:r w:rsidR="00AF7601">
        <w:t>’</w:t>
      </w:r>
      <w:r w:rsidR="001149E9">
        <w:t xml:space="preserve"> asserti</w:t>
      </w:r>
      <w:r w:rsidR="00AF7601">
        <w:t>on of</w:t>
      </w:r>
      <w:r w:rsidR="00A97D8E">
        <w:t xml:space="preserve"> </w:t>
      </w:r>
      <w:r>
        <w:t>TBONE’s interference in the first</w:t>
      </w:r>
      <w:r w:rsidR="00A97D8E">
        <w:t> </w:t>
      </w:r>
      <w:r>
        <w:t xml:space="preserve">plaintiff’s </w:t>
      </w:r>
      <w:r w:rsidR="00AF7601">
        <w:t>right to</w:t>
      </w:r>
      <w:r>
        <w:t xml:space="preserve"> </w:t>
      </w:r>
      <w:r w:rsidR="00AF7601">
        <w:t>possession of the</w:t>
      </w:r>
      <w:r>
        <w:t xml:space="preserve"> “Houston” after 2 December 2015.  </w:t>
      </w:r>
      <w:r w:rsidR="00A97D8E">
        <w:t>T</w:t>
      </w:r>
      <w:r w:rsidR="00056A18">
        <w:t>he claim is founded upon an assertion that</w:t>
      </w:r>
      <w:r w:rsidR="00A97D8E">
        <w:t xml:space="preserve"> TBONE by its conduct after 2 December 2015, and </w:t>
      </w:r>
      <w:r w:rsidR="00056A18">
        <w:t xml:space="preserve">whilst the </w:t>
      </w:r>
      <w:r w:rsidR="00A97D8E">
        <w:t xml:space="preserve">“Houston” </w:t>
      </w:r>
      <w:r w:rsidR="00056A18">
        <w:t xml:space="preserve">was in </w:t>
      </w:r>
      <w:r w:rsidR="00A97D8E">
        <w:t xml:space="preserve">its </w:t>
      </w:r>
      <w:r w:rsidR="00056A18">
        <w:t>actual possession</w:t>
      </w:r>
      <w:r w:rsidR="00A97D8E">
        <w:t>, denied the first plaintiff’s right to possession.  In my</w:t>
      </w:r>
      <w:r w:rsidR="00126887">
        <w:t> </w:t>
      </w:r>
      <w:r w:rsidR="00A97D8E">
        <w:t xml:space="preserve">view, that claim is </w:t>
      </w:r>
      <w:r w:rsidR="00AF7601">
        <w:t>to be characterised as being</w:t>
      </w:r>
      <w:r w:rsidR="00056A18">
        <w:t xml:space="preserve"> a claim</w:t>
      </w:r>
      <w:r w:rsidR="00AF7601">
        <w:t xml:space="preserve"> “</w:t>
      </w:r>
      <w:r w:rsidR="00056A18">
        <w:t xml:space="preserve">relating </w:t>
      </w:r>
      <w:r w:rsidR="00126887">
        <w:t xml:space="preserve">to possession” of a ship, as it seeks to vindicate the first plaintiff’s asserted right to possession of the “Houston”, consequent upon its notice of 2 December 2015, in which it claimed to terminate the </w:t>
      </w:r>
      <w:proofErr w:type="spellStart"/>
      <w:r w:rsidR="00126887">
        <w:t>charterparty</w:t>
      </w:r>
      <w:proofErr w:type="spellEnd"/>
      <w:r w:rsidR="00126887">
        <w:t>.</w:t>
      </w:r>
    </w:p>
    <w:p w:rsidR="000C2F92" w:rsidRDefault="000C2F92" w:rsidP="00C559E9">
      <w:pPr>
        <w:pStyle w:val="ParaNumbering"/>
      </w:pPr>
      <w:r>
        <w:t xml:space="preserve">Accordingly, in my view, </w:t>
      </w:r>
      <w:r w:rsidR="001149E9">
        <w:t>each of the</w:t>
      </w:r>
      <w:r>
        <w:t xml:space="preserve"> claim</w:t>
      </w:r>
      <w:r w:rsidR="001149E9">
        <w:t>s</w:t>
      </w:r>
      <w:r w:rsidR="00AF7601">
        <w:t xml:space="preserve"> made by the plaintiffs at </w:t>
      </w:r>
      <w:proofErr w:type="spellStart"/>
      <w:r w:rsidR="00AF7601">
        <w:t>subpar</w:t>
      </w:r>
      <w:r w:rsidR="0059721C">
        <w:t>a</w:t>
      </w:r>
      <w:r w:rsidR="00BC534D">
        <w:t>s</w:t>
      </w:r>
      <w:proofErr w:type="spellEnd"/>
      <w:r w:rsidR="00AF7601">
        <w:t xml:space="preserve"> (c) and (e) of the writ </w:t>
      </w:r>
      <w:r w:rsidR="00AF7601">
        <w:rPr>
          <w:i/>
        </w:rPr>
        <w:t>in rem</w:t>
      </w:r>
      <w:r w:rsidR="008A1D6E">
        <w:t>,</w:t>
      </w:r>
      <w:r w:rsidR="00AF7601">
        <w:t xml:space="preserve"> bears </w:t>
      </w:r>
      <w:r>
        <w:t>the legal character</w:t>
      </w:r>
      <w:r w:rsidR="00AF7601">
        <w:t xml:space="preserve">isation of </w:t>
      </w:r>
      <w:r>
        <w:t xml:space="preserve">a claim relating to </w:t>
      </w:r>
      <w:r w:rsidR="00AF7601">
        <w:t xml:space="preserve">the </w:t>
      </w:r>
      <w:r>
        <w:t xml:space="preserve">possession of a </w:t>
      </w:r>
      <w:r w:rsidR="00AF7601">
        <w:t>ship.  The</w:t>
      </w:r>
      <w:r w:rsidR="00BC534D">
        <w:t xml:space="preserve"> plaintiffs </w:t>
      </w:r>
      <w:proofErr w:type="gramStart"/>
      <w:r w:rsidR="00BC534D">
        <w:t>have, therefore, properly invoked</w:t>
      </w:r>
      <w:proofErr w:type="gramEnd"/>
      <w:r w:rsidR="00BC534D">
        <w:t xml:space="preserve"> the</w:t>
      </w:r>
      <w:r w:rsidR="00AF7601">
        <w:t xml:space="preserve"> </w:t>
      </w:r>
      <w:r w:rsidR="00A97D8E">
        <w:rPr>
          <w:i/>
        </w:rPr>
        <w:t>in rem</w:t>
      </w:r>
      <w:r w:rsidR="00A97D8E">
        <w:t xml:space="preserve"> </w:t>
      </w:r>
      <w:r>
        <w:t>jurisdiction of the Court under s</w:t>
      </w:r>
      <w:r w:rsidR="00126887">
        <w:t> </w:t>
      </w:r>
      <w:r>
        <w:t>1</w:t>
      </w:r>
      <w:r w:rsidR="00AF7601">
        <w:t>6</w:t>
      </w:r>
      <w:r>
        <w:t xml:space="preserve"> of the </w:t>
      </w:r>
      <w:r>
        <w:rPr>
          <w:i/>
        </w:rPr>
        <w:t>Admiralty Act</w:t>
      </w:r>
      <w:r w:rsidR="00BC534D">
        <w:t>.</w:t>
      </w:r>
    </w:p>
    <w:p w:rsidR="00AF7601" w:rsidRPr="00AF7601" w:rsidRDefault="00AF7601" w:rsidP="00AF7601">
      <w:pPr>
        <w:pStyle w:val="Heading1"/>
        <w:rPr>
          <w:i/>
        </w:rPr>
      </w:pPr>
      <w:r>
        <w:t xml:space="preserve">jurisdiction </w:t>
      </w:r>
      <w:r w:rsidR="009B1310">
        <w:t>pursuant to</w:t>
      </w:r>
      <w:r>
        <w:t xml:space="preserve"> s 18 of the </w:t>
      </w:r>
      <w:r>
        <w:rPr>
          <w:i/>
        </w:rPr>
        <w:t>admiralty act</w:t>
      </w:r>
    </w:p>
    <w:p w:rsidR="005F6E63" w:rsidRDefault="00056A18" w:rsidP="00C559E9">
      <w:pPr>
        <w:pStyle w:val="ParaNumbering"/>
      </w:pPr>
      <w:r>
        <w:t xml:space="preserve">Much of the argument </w:t>
      </w:r>
      <w:proofErr w:type="gramStart"/>
      <w:r>
        <w:t>was addressed</w:t>
      </w:r>
      <w:proofErr w:type="gramEnd"/>
      <w:r>
        <w:t xml:space="preserve"> to this head of</w:t>
      </w:r>
      <w:r w:rsidR="005F6E63">
        <w:t xml:space="preserve"> </w:t>
      </w:r>
      <w:r w:rsidR="005F6E63">
        <w:rPr>
          <w:i/>
        </w:rPr>
        <w:t>in rem</w:t>
      </w:r>
      <w:r>
        <w:t xml:space="preserve"> jurisdiction.</w:t>
      </w:r>
    </w:p>
    <w:p w:rsidR="000C2F92" w:rsidRDefault="00056A18" w:rsidP="00C559E9">
      <w:pPr>
        <w:pStyle w:val="ParaNumbering"/>
      </w:pPr>
      <w:r>
        <w:t>However, in light of my findings above, it</w:t>
      </w:r>
      <w:r w:rsidR="000C2F92">
        <w:t xml:space="preserve"> is unnecessary to consider whethe</w:t>
      </w:r>
      <w:r w:rsidR="0083368B">
        <w:t>r</w:t>
      </w:r>
      <w:r w:rsidR="000C2F92">
        <w:t xml:space="preserve"> the claim</w:t>
      </w:r>
      <w:r w:rsidR="00AF7601">
        <w:t>s</w:t>
      </w:r>
      <w:r w:rsidR="000C2F92">
        <w:t xml:space="preserve"> for hire</w:t>
      </w:r>
      <w:r w:rsidR="00AF7601">
        <w:t xml:space="preserve"> and indemnity are</w:t>
      </w:r>
      <w:r w:rsidR="000C2F92">
        <w:t xml:space="preserve"> to be regarded as general maritime </w:t>
      </w:r>
      <w:proofErr w:type="gramStart"/>
      <w:r w:rsidR="000C2F92">
        <w:t>claim</w:t>
      </w:r>
      <w:r w:rsidR="00AF7601">
        <w:t>s</w:t>
      </w:r>
      <w:r w:rsidR="000C2F92">
        <w:t xml:space="preserve"> which</w:t>
      </w:r>
      <w:proofErr w:type="gramEnd"/>
      <w:r w:rsidR="000C2F92">
        <w:t xml:space="preserve"> would invoke the </w:t>
      </w:r>
      <w:r w:rsidR="005F6E63" w:rsidRPr="00DF10F2">
        <w:rPr>
          <w:i/>
        </w:rPr>
        <w:t>in</w:t>
      </w:r>
      <w:r w:rsidR="00126887">
        <w:rPr>
          <w:i/>
        </w:rPr>
        <w:t> </w:t>
      </w:r>
      <w:r w:rsidR="005F6E63" w:rsidRPr="00DF10F2">
        <w:rPr>
          <w:i/>
        </w:rPr>
        <w:t>rem</w:t>
      </w:r>
      <w:r w:rsidR="005F6E63">
        <w:t xml:space="preserve"> </w:t>
      </w:r>
      <w:r w:rsidR="000C2F92">
        <w:t xml:space="preserve">jurisdiction of the Court on the basis of s </w:t>
      </w:r>
      <w:r w:rsidR="00AF7601">
        <w:t>18</w:t>
      </w:r>
      <w:r w:rsidR="000C2F92">
        <w:t xml:space="preserve"> of the </w:t>
      </w:r>
      <w:r w:rsidR="000C2F92" w:rsidRPr="00DF10F2">
        <w:rPr>
          <w:i/>
        </w:rPr>
        <w:t>Admiralty Act</w:t>
      </w:r>
      <w:r w:rsidR="0083368B">
        <w:t>.</w:t>
      </w:r>
    </w:p>
    <w:p w:rsidR="0083368B" w:rsidRDefault="0083368B" w:rsidP="00C559E9">
      <w:pPr>
        <w:pStyle w:val="ParaNumbering"/>
      </w:pPr>
      <w:r>
        <w:t xml:space="preserve">It follows that </w:t>
      </w:r>
      <w:r w:rsidR="00BC534D">
        <w:t xml:space="preserve">TBONE’s interlocutory </w:t>
      </w:r>
      <w:r>
        <w:t>application</w:t>
      </w:r>
      <w:r w:rsidR="00BC534D">
        <w:t xml:space="preserve"> dated 11 January 2016</w:t>
      </w:r>
      <w:r>
        <w:t xml:space="preserve"> </w:t>
      </w:r>
      <w:proofErr w:type="gramStart"/>
      <w:r>
        <w:t>is dismissed</w:t>
      </w:r>
      <w:proofErr w:type="gramEnd"/>
      <w:r>
        <w:t>.</w:t>
      </w:r>
    </w:p>
    <w:p w:rsidR="000B3399" w:rsidRDefault="000B3399" w:rsidP="00CC0F0F">
      <w:pPr>
        <w:pStyle w:val="BodyText"/>
      </w:pPr>
      <w:bookmarkStart w:id="21" w:name="Certification"/>
    </w:p>
    <w:tbl>
      <w:tblPr>
        <w:tblW w:w="0" w:type="auto"/>
        <w:tblLook w:val="04A0" w:firstRow="1" w:lastRow="0" w:firstColumn="1" w:lastColumn="0" w:noHBand="0" w:noVBand="1"/>
      </w:tblPr>
      <w:tblGrid>
        <w:gridCol w:w="3794"/>
      </w:tblGrid>
      <w:tr w:rsidR="000B3399" w:rsidRPr="000B3399">
        <w:tc>
          <w:tcPr>
            <w:tcW w:w="3794" w:type="dxa"/>
            <w:shd w:val="clear" w:color="auto" w:fill="auto"/>
          </w:tcPr>
          <w:p w:rsidR="000B3399" w:rsidRPr="000B3399" w:rsidRDefault="000B3399" w:rsidP="00603842">
            <w:pPr>
              <w:pStyle w:val="Normal1linespace"/>
            </w:pPr>
            <w:r w:rsidRPr="000B3399">
              <w:t xml:space="preserve">I certify that the preceding </w:t>
            </w:r>
            <w:bookmarkStart w:id="22" w:name="NumberWord"/>
            <w:r w:rsidR="00056A18">
              <w:t>fifty-</w:t>
            </w:r>
            <w:r w:rsidR="00603842">
              <w:t>five</w:t>
            </w:r>
            <w:bookmarkEnd w:id="22"/>
            <w:r w:rsidRPr="000B3399">
              <w:t xml:space="preserve"> (</w:t>
            </w:r>
            <w:bookmarkStart w:id="23" w:name="NumberNumeral"/>
            <w:r w:rsidR="00056A18">
              <w:t>5</w:t>
            </w:r>
            <w:r w:rsidR="00603842">
              <w:t>5</w:t>
            </w:r>
            <w:bookmarkEnd w:id="23"/>
            <w:r w:rsidRPr="000B3399">
              <w:t xml:space="preserve">) numbered </w:t>
            </w:r>
            <w:bookmarkStart w:id="24" w:name="CertPara"/>
            <w:r>
              <w:t>paragraph</w:t>
            </w:r>
            <w:r w:rsidR="00DF10F2">
              <w:t>s</w:t>
            </w:r>
            <w:r>
              <w:t xml:space="preserve"> are</w:t>
            </w:r>
            <w:bookmarkEnd w:id="24"/>
            <w:r w:rsidRPr="000B3399">
              <w:t xml:space="preserve"> a true</w:t>
            </w:r>
            <w:r>
              <w:t> </w:t>
            </w:r>
            <w:r w:rsidRPr="000B3399">
              <w:t xml:space="preserve">copy of the Reasons for Judgment herein of the Honourable </w:t>
            </w:r>
            <w:bookmarkStart w:id="25" w:name="Justice"/>
            <w:r>
              <w:t>Justice Siopis</w:t>
            </w:r>
            <w:bookmarkEnd w:id="25"/>
            <w:r w:rsidRPr="000B3399">
              <w:t>.</w:t>
            </w:r>
          </w:p>
        </w:tc>
      </w:tr>
    </w:tbl>
    <w:p w:rsidR="000B3399" w:rsidRDefault="000B3399" w:rsidP="00CC0F0F">
      <w:pPr>
        <w:pStyle w:val="BodyText"/>
      </w:pPr>
    </w:p>
    <w:p w:rsidR="000B3399" w:rsidRDefault="000B3399" w:rsidP="00CC0F0F">
      <w:pPr>
        <w:pStyle w:val="BodyText"/>
      </w:pPr>
      <w:bookmarkStart w:id="26" w:name="_GoBack"/>
      <w:bookmarkEnd w:id="26"/>
    </w:p>
    <w:p w:rsidR="000B3399" w:rsidRDefault="000B3399" w:rsidP="00CC0F0F">
      <w:pPr>
        <w:pStyle w:val="BodyText"/>
      </w:pPr>
      <w:r>
        <w:t>Associate:</w:t>
      </w:r>
    </w:p>
    <w:p w:rsidR="00315239" w:rsidRDefault="00315239" w:rsidP="00CC0F0F">
      <w:pPr>
        <w:pStyle w:val="BodyText"/>
      </w:pPr>
    </w:p>
    <w:p w:rsidR="000B3399" w:rsidRDefault="000B3399" w:rsidP="00CC0F0F">
      <w:pPr>
        <w:pStyle w:val="BodyText"/>
        <w:tabs>
          <w:tab w:val="left" w:pos="1134"/>
        </w:tabs>
      </w:pPr>
      <w:r>
        <w:t>Dated:</w:t>
      </w:r>
      <w:r>
        <w:tab/>
      </w:r>
      <w:bookmarkStart w:id="27" w:name="CertifyDated"/>
      <w:r w:rsidR="00D1017E">
        <w:t>29</w:t>
      </w:r>
      <w:r>
        <w:t xml:space="preserve"> </w:t>
      </w:r>
      <w:r w:rsidR="00D1017E">
        <w:t xml:space="preserve">November </w:t>
      </w:r>
      <w:r>
        <w:t>2016</w:t>
      </w:r>
      <w:bookmarkEnd w:id="27"/>
    </w:p>
    <w:bookmarkEnd w:id="21"/>
    <w:sectPr w:rsidR="000B339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01" w:rsidRDefault="00AF7601">
      <w:pPr>
        <w:spacing w:line="20" w:lineRule="exact"/>
      </w:pPr>
    </w:p>
    <w:p w:rsidR="00AF7601" w:rsidRDefault="00AF7601"/>
    <w:p w:rsidR="00AF7601" w:rsidRDefault="00AF7601"/>
  </w:endnote>
  <w:endnote w:type="continuationSeparator" w:id="0">
    <w:p w:rsidR="00AF7601" w:rsidRDefault="00AF7601">
      <w:r>
        <w:t xml:space="preserve"> </w:t>
      </w:r>
    </w:p>
    <w:p w:rsidR="00AF7601" w:rsidRDefault="00AF7601"/>
    <w:p w:rsidR="00AF7601" w:rsidRDefault="00AF7601"/>
  </w:endnote>
  <w:endnote w:type="continuationNotice" w:id="1">
    <w:p w:rsidR="00AF7601" w:rsidRDefault="00AF7601">
      <w:r>
        <w:t xml:space="preserve"> </w:t>
      </w:r>
    </w:p>
    <w:p w:rsidR="00AF7601" w:rsidRDefault="00AF7601"/>
    <w:p w:rsidR="00AF7601" w:rsidRDefault="00AF7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Pr="00624520" w:rsidRDefault="00AF7601"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01" w:rsidRDefault="00AF7601"/>
    <w:p w:rsidR="00AF7601" w:rsidRDefault="00AF7601"/>
    <w:p w:rsidR="00AF7601" w:rsidRDefault="00AF7601"/>
  </w:footnote>
  <w:footnote w:type="continuationSeparator" w:id="0">
    <w:p w:rsidR="00AF7601" w:rsidRDefault="00AF7601">
      <w:r>
        <w:continuationSeparator/>
      </w:r>
    </w:p>
    <w:p w:rsidR="00AF7601" w:rsidRDefault="00AF7601"/>
    <w:p w:rsidR="00AF7601" w:rsidRDefault="00AF76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pPr>
      <w:tabs>
        <w:tab w:val="center" w:pos="4512"/>
      </w:tabs>
      <w:suppressAutoHyphens/>
    </w:pPr>
    <w:r>
      <w:tab/>
      <w:t xml:space="preserve">- </w:t>
    </w:r>
    <w:r>
      <w:fldChar w:fldCharType="begin"/>
    </w:r>
    <w:r>
      <w:instrText>page \* arabic</w:instrText>
    </w:r>
    <w:r>
      <w:fldChar w:fldCharType="separate"/>
    </w:r>
    <w:r w:rsidR="0025738C">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01" w:rsidRDefault="00AF760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6D10245"/>
    <w:multiLevelType w:val="hybridMultilevel"/>
    <w:tmpl w:val="2A74E714"/>
    <w:lvl w:ilvl="0" w:tplc="800A8B8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0" w:nlCheck="1" w:checkStyle="1"/>
  <w:activeWritingStyle w:appName="MSWord" w:lang="en-US" w:vendorID="64" w:dllVersion="0" w:nlCheck="1" w:checkStyle="1"/>
  <w:activeWritingStyle w:appName="MSWord" w:lang="en-AU"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HOUSTON"/>
    <w:docVar w:name="Defenders" w:val="(and another named in the Schedule)"/>
    <w:docVar w:name="Division" w:val="General Division"/>
    <w:docVar w:name="DocCreated" w:val="True"/>
    <w:docVar w:name="FileNumbers" w:val="WAD 755 of 2015"/>
    <w:docVar w:name="HearingDate" w:val="7 April 2016"/>
    <w:docVar w:name="Initiators" w:val="(and another named in the Schedule)"/>
    <w:docVar w:name="Judgdate" w:val="*** April 2016"/>
    <w:docVar w:name="Judge" w:val="Siopis J"/>
    <w:docVar w:name="Justices" w:val="Justice"/>
    <w:docVar w:name="lstEntryList" w:val="-1"/>
    <w:docVar w:name="myEntryList" w:val="Counsel for the Plaintiffs=|Solicitor for the Plaintiffs=|Counsel for the Defendant=|Solicitor for the Defendant="/>
    <w:docVar w:name="NSD" w:val="NSD "/>
    <w:docVar w:name="NumApps" w:val="2"/>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WILMINGTON TRUST COMPANY AS TRUSTEE FOR THE TERAS BBC HOUSTON TRUST|TERAS BBC HOUSTON (BVI) LTD"/>
    <w:docVar w:name="PracticeArea" w:val="Admiralty and Maritime"/>
    <w:docVar w:name="RESAndAnother" w:val="True"/>
    <w:docVar w:name="RESAndOthers" w:val="False"/>
    <w:docVar w:name="ResState" w:val="Western Australia"/>
    <w:docVar w:name="SubArea" w:val="[none]"/>
  </w:docVars>
  <w:rsids>
    <w:rsidRoot w:val="000B3399"/>
    <w:rsid w:val="0001469E"/>
    <w:rsid w:val="00015993"/>
    <w:rsid w:val="00022289"/>
    <w:rsid w:val="00030AFA"/>
    <w:rsid w:val="00032F9F"/>
    <w:rsid w:val="00033BAE"/>
    <w:rsid w:val="00041C07"/>
    <w:rsid w:val="0004342B"/>
    <w:rsid w:val="00043DEF"/>
    <w:rsid w:val="00045BB7"/>
    <w:rsid w:val="00055719"/>
    <w:rsid w:val="0005641B"/>
    <w:rsid w:val="00056A18"/>
    <w:rsid w:val="000579CD"/>
    <w:rsid w:val="00062A5E"/>
    <w:rsid w:val="00081497"/>
    <w:rsid w:val="000A2E76"/>
    <w:rsid w:val="000A4807"/>
    <w:rsid w:val="000A4BE4"/>
    <w:rsid w:val="000B3399"/>
    <w:rsid w:val="000C023E"/>
    <w:rsid w:val="000C2F92"/>
    <w:rsid w:val="000C516C"/>
    <w:rsid w:val="000C5195"/>
    <w:rsid w:val="000C62EF"/>
    <w:rsid w:val="000D1086"/>
    <w:rsid w:val="000D2137"/>
    <w:rsid w:val="000D3FD2"/>
    <w:rsid w:val="000E4A10"/>
    <w:rsid w:val="000E7BAE"/>
    <w:rsid w:val="000F133D"/>
    <w:rsid w:val="0010536B"/>
    <w:rsid w:val="0011145C"/>
    <w:rsid w:val="001128BD"/>
    <w:rsid w:val="0011419D"/>
    <w:rsid w:val="001149E9"/>
    <w:rsid w:val="00126887"/>
    <w:rsid w:val="00132054"/>
    <w:rsid w:val="00161412"/>
    <w:rsid w:val="001727A4"/>
    <w:rsid w:val="0017376C"/>
    <w:rsid w:val="001738AB"/>
    <w:rsid w:val="001765E0"/>
    <w:rsid w:val="00177759"/>
    <w:rsid w:val="00185E6B"/>
    <w:rsid w:val="00187BBC"/>
    <w:rsid w:val="001932F3"/>
    <w:rsid w:val="001A4309"/>
    <w:rsid w:val="001B1053"/>
    <w:rsid w:val="001B14AC"/>
    <w:rsid w:val="001B7940"/>
    <w:rsid w:val="001C37CA"/>
    <w:rsid w:val="001D1FD7"/>
    <w:rsid w:val="001D4303"/>
    <w:rsid w:val="001D6746"/>
    <w:rsid w:val="001E3B49"/>
    <w:rsid w:val="001E7388"/>
    <w:rsid w:val="001F13DD"/>
    <w:rsid w:val="001F2DBC"/>
    <w:rsid w:val="0020262C"/>
    <w:rsid w:val="00214C2C"/>
    <w:rsid w:val="00224537"/>
    <w:rsid w:val="00235956"/>
    <w:rsid w:val="00241C48"/>
    <w:rsid w:val="0024319B"/>
    <w:rsid w:val="00244931"/>
    <w:rsid w:val="00247C9A"/>
    <w:rsid w:val="0025160C"/>
    <w:rsid w:val="002522A2"/>
    <w:rsid w:val="002535D0"/>
    <w:rsid w:val="002539B3"/>
    <w:rsid w:val="0025738C"/>
    <w:rsid w:val="00257C3E"/>
    <w:rsid w:val="002602C2"/>
    <w:rsid w:val="002666C9"/>
    <w:rsid w:val="00270136"/>
    <w:rsid w:val="00274F5B"/>
    <w:rsid w:val="00280836"/>
    <w:rsid w:val="00282E1A"/>
    <w:rsid w:val="002832D1"/>
    <w:rsid w:val="0029113B"/>
    <w:rsid w:val="002934C0"/>
    <w:rsid w:val="00295288"/>
    <w:rsid w:val="002A1B50"/>
    <w:rsid w:val="002A2C89"/>
    <w:rsid w:val="002A4BF2"/>
    <w:rsid w:val="002B0E91"/>
    <w:rsid w:val="002B6779"/>
    <w:rsid w:val="002B71C0"/>
    <w:rsid w:val="002B7A34"/>
    <w:rsid w:val="002C31AD"/>
    <w:rsid w:val="002C57DA"/>
    <w:rsid w:val="002C7385"/>
    <w:rsid w:val="002D0C38"/>
    <w:rsid w:val="002D2DBB"/>
    <w:rsid w:val="002D54A6"/>
    <w:rsid w:val="002E1587"/>
    <w:rsid w:val="002E6A7A"/>
    <w:rsid w:val="002F1E49"/>
    <w:rsid w:val="002F4E9C"/>
    <w:rsid w:val="003068E2"/>
    <w:rsid w:val="00306F83"/>
    <w:rsid w:val="0031256C"/>
    <w:rsid w:val="00314D6C"/>
    <w:rsid w:val="00315239"/>
    <w:rsid w:val="00315D14"/>
    <w:rsid w:val="00316D2A"/>
    <w:rsid w:val="00322A7C"/>
    <w:rsid w:val="003402D3"/>
    <w:rsid w:val="00343ABC"/>
    <w:rsid w:val="003463FE"/>
    <w:rsid w:val="003466E9"/>
    <w:rsid w:val="003554B3"/>
    <w:rsid w:val="00356632"/>
    <w:rsid w:val="003845A9"/>
    <w:rsid w:val="00387390"/>
    <w:rsid w:val="00390883"/>
    <w:rsid w:val="003922F8"/>
    <w:rsid w:val="00395B24"/>
    <w:rsid w:val="00397E2E"/>
    <w:rsid w:val="003A2D38"/>
    <w:rsid w:val="003A7ECC"/>
    <w:rsid w:val="003B1228"/>
    <w:rsid w:val="003B2C72"/>
    <w:rsid w:val="003C03C3"/>
    <w:rsid w:val="003C1333"/>
    <w:rsid w:val="003C20FF"/>
    <w:rsid w:val="003D2650"/>
    <w:rsid w:val="003D560C"/>
    <w:rsid w:val="003E5874"/>
    <w:rsid w:val="003F193E"/>
    <w:rsid w:val="003F34F1"/>
    <w:rsid w:val="003F7B1F"/>
    <w:rsid w:val="00411AE8"/>
    <w:rsid w:val="00413B74"/>
    <w:rsid w:val="00431DB2"/>
    <w:rsid w:val="00435C5F"/>
    <w:rsid w:val="00441E98"/>
    <w:rsid w:val="004430AF"/>
    <w:rsid w:val="004532F7"/>
    <w:rsid w:val="00472027"/>
    <w:rsid w:val="004804CF"/>
    <w:rsid w:val="00484962"/>
    <w:rsid w:val="00484F6D"/>
    <w:rsid w:val="0049338A"/>
    <w:rsid w:val="0049417F"/>
    <w:rsid w:val="004B3EFA"/>
    <w:rsid w:val="004C2A87"/>
    <w:rsid w:val="004C2CAD"/>
    <w:rsid w:val="004C4ED3"/>
    <w:rsid w:val="004D2EA5"/>
    <w:rsid w:val="004D32A6"/>
    <w:rsid w:val="004D53E5"/>
    <w:rsid w:val="00501A12"/>
    <w:rsid w:val="0051346D"/>
    <w:rsid w:val="00513EAE"/>
    <w:rsid w:val="00516806"/>
    <w:rsid w:val="00525A49"/>
    <w:rsid w:val="00527125"/>
    <w:rsid w:val="00535613"/>
    <w:rsid w:val="005359EB"/>
    <w:rsid w:val="0054254A"/>
    <w:rsid w:val="00542956"/>
    <w:rsid w:val="005445C7"/>
    <w:rsid w:val="005466B5"/>
    <w:rsid w:val="005629B3"/>
    <w:rsid w:val="00566BA1"/>
    <w:rsid w:val="0057071D"/>
    <w:rsid w:val="00573AC4"/>
    <w:rsid w:val="005801FC"/>
    <w:rsid w:val="00595016"/>
    <w:rsid w:val="0059721C"/>
    <w:rsid w:val="00597AAE"/>
    <w:rsid w:val="005A222C"/>
    <w:rsid w:val="005A4DF8"/>
    <w:rsid w:val="005B1426"/>
    <w:rsid w:val="005C0A8E"/>
    <w:rsid w:val="005C1767"/>
    <w:rsid w:val="005C42EF"/>
    <w:rsid w:val="005C528E"/>
    <w:rsid w:val="005D1B8F"/>
    <w:rsid w:val="005E02F5"/>
    <w:rsid w:val="005E0510"/>
    <w:rsid w:val="005E176E"/>
    <w:rsid w:val="005E218E"/>
    <w:rsid w:val="005E35A0"/>
    <w:rsid w:val="005F0D1B"/>
    <w:rsid w:val="005F1865"/>
    <w:rsid w:val="005F6E63"/>
    <w:rsid w:val="006007BD"/>
    <w:rsid w:val="006013C8"/>
    <w:rsid w:val="0060270D"/>
    <w:rsid w:val="00603842"/>
    <w:rsid w:val="00603FEE"/>
    <w:rsid w:val="00604611"/>
    <w:rsid w:val="00611586"/>
    <w:rsid w:val="00615D15"/>
    <w:rsid w:val="00621887"/>
    <w:rsid w:val="00624520"/>
    <w:rsid w:val="00632BB7"/>
    <w:rsid w:val="00635B36"/>
    <w:rsid w:val="00636871"/>
    <w:rsid w:val="00640F4E"/>
    <w:rsid w:val="00643DE0"/>
    <w:rsid w:val="00644E85"/>
    <w:rsid w:val="00650817"/>
    <w:rsid w:val="0065211F"/>
    <w:rsid w:val="0066063F"/>
    <w:rsid w:val="00662BB0"/>
    <w:rsid w:val="00663878"/>
    <w:rsid w:val="006675E5"/>
    <w:rsid w:val="00667773"/>
    <w:rsid w:val="00670743"/>
    <w:rsid w:val="00690EE2"/>
    <w:rsid w:val="0069197F"/>
    <w:rsid w:val="006A0E20"/>
    <w:rsid w:val="006A5695"/>
    <w:rsid w:val="006B3904"/>
    <w:rsid w:val="006B5B7D"/>
    <w:rsid w:val="006C7CEB"/>
    <w:rsid w:val="006D0ECF"/>
    <w:rsid w:val="006D4C92"/>
    <w:rsid w:val="006D4EB6"/>
    <w:rsid w:val="006D5CF3"/>
    <w:rsid w:val="006D64DB"/>
    <w:rsid w:val="006E35BF"/>
    <w:rsid w:val="006E7850"/>
    <w:rsid w:val="007028D9"/>
    <w:rsid w:val="00707218"/>
    <w:rsid w:val="00712B1D"/>
    <w:rsid w:val="007235C6"/>
    <w:rsid w:val="007325D9"/>
    <w:rsid w:val="0073410E"/>
    <w:rsid w:val="007360CA"/>
    <w:rsid w:val="00746D09"/>
    <w:rsid w:val="0078003A"/>
    <w:rsid w:val="00780771"/>
    <w:rsid w:val="00782A78"/>
    <w:rsid w:val="007929CF"/>
    <w:rsid w:val="007961C5"/>
    <w:rsid w:val="007A6F28"/>
    <w:rsid w:val="007B03C6"/>
    <w:rsid w:val="007B0DB1"/>
    <w:rsid w:val="007C15D0"/>
    <w:rsid w:val="007D2EF8"/>
    <w:rsid w:val="007D561F"/>
    <w:rsid w:val="007D7FD2"/>
    <w:rsid w:val="007E13D9"/>
    <w:rsid w:val="007E4DB6"/>
    <w:rsid w:val="007E7CD4"/>
    <w:rsid w:val="007F5BE7"/>
    <w:rsid w:val="00801800"/>
    <w:rsid w:val="00801B5B"/>
    <w:rsid w:val="0081202A"/>
    <w:rsid w:val="00814729"/>
    <w:rsid w:val="008276B4"/>
    <w:rsid w:val="00831927"/>
    <w:rsid w:val="0083368B"/>
    <w:rsid w:val="00841BD3"/>
    <w:rsid w:val="0084273D"/>
    <w:rsid w:val="00844E3F"/>
    <w:rsid w:val="00845A83"/>
    <w:rsid w:val="00861E83"/>
    <w:rsid w:val="008712BB"/>
    <w:rsid w:val="00873ABD"/>
    <w:rsid w:val="00893EBB"/>
    <w:rsid w:val="008A1D6E"/>
    <w:rsid w:val="008A2484"/>
    <w:rsid w:val="008B69D7"/>
    <w:rsid w:val="008B7A8B"/>
    <w:rsid w:val="008C26D9"/>
    <w:rsid w:val="008C5AFA"/>
    <w:rsid w:val="008C6D50"/>
    <w:rsid w:val="008C7167"/>
    <w:rsid w:val="008C7503"/>
    <w:rsid w:val="008D1617"/>
    <w:rsid w:val="008D5044"/>
    <w:rsid w:val="008E6315"/>
    <w:rsid w:val="008F11E0"/>
    <w:rsid w:val="008F78BC"/>
    <w:rsid w:val="008F7B63"/>
    <w:rsid w:val="008F7D6A"/>
    <w:rsid w:val="009054CB"/>
    <w:rsid w:val="00907B6D"/>
    <w:rsid w:val="00912F94"/>
    <w:rsid w:val="009236DB"/>
    <w:rsid w:val="0092590B"/>
    <w:rsid w:val="00925E60"/>
    <w:rsid w:val="009264B3"/>
    <w:rsid w:val="00936E1D"/>
    <w:rsid w:val="009403AA"/>
    <w:rsid w:val="00942BA2"/>
    <w:rsid w:val="009432DC"/>
    <w:rsid w:val="00944C86"/>
    <w:rsid w:val="0095185C"/>
    <w:rsid w:val="00957DE8"/>
    <w:rsid w:val="00960ECB"/>
    <w:rsid w:val="009615D6"/>
    <w:rsid w:val="00967855"/>
    <w:rsid w:val="00974E47"/>
    <w:rsid w:val="00980736"/>
    <w:rsid w:val="00981A39"/>
    <w:rsid w:val="00987097"/>
    <w:rsid w:val="009A1A00"/>
    <w:rsid w:val="009B046C"/>
    <w:rsid w:val="009B1310"/>
    <w:rsid w:val="009B13FA"/>
    <w:rsid w:val="009B1E2D"/>
    <w:rsid w:val="009C59FB"/>
    <w:rsid w:val="009C6F3B"/>
    <w:rsid w:val="009D7F80"/>
    <w:rsid w:val="009E1022"/>
    <w:rsid w:val="009E4DB8"/>
    <w:rsid w:val="009E4FA6"/>
    <w:rsid w:val="009E7D93"/>
    <w:rsid w:val="009F1B5F"/>
    <w:rsid w:val="009F5C33"/>
    <w:rsid w:val="009F74D9"/>
    <w:rsid w:val="00A03EAC"/>
    <w:rsid w:val="00A11CA6"/>
    <w:rsid w:val="00A20C49"/>
    <w:rsid w:val="00A269CA"/>
    <w:rsid w:val="00A359AC"/>
    <w:rsid w:val="00A41413"/>
    <w:rsid w:val="00A45FB1"/>
    <w:rsid w:val="00A46CCC"/>
    <w:rsid w:val="00A506C1"/>
    <w:rsid w:val="00A51CFE"/>
    <w:rsid w:val="00A76C13"/>
    <w:rsid w:val="00A915EF"/>
    <w:rsid w:val="00A92E79"/>
    <w:rsid w:val="00A950B6"/>
    <w:rsid w:val="00A97D8E"/>
    <w:rsid w:val="00AB41C1"/>
    <w:rsid w:val="00AD12A8"/>
    <w:rsid w:val="00AE4968"/>
    <w:rsid w:val="00AF3577"/>
    <w:rsid w:val="00AF35F9"/>
    <w:rsid w:val="00AF7601"/>
    <w:rsid w:val="00B05C7D"/>
    <w:rsid w:val="00B346C3"/>
    <w:rsid w:val="00B4276E"/>
    <w:rsid w:val="00B4471C"/>
    <w:rsid w:val="00B451A6"/>
    <w:rsid w:val="00B55A3C"/>
    <w:rsid w:val="00B722DE"/>
    <w:rsid w:val="00B76C44"/>
    <w:rsid w:val="00B8110D"/>
    <w:rsid w:val="00B83F87"/>
    <w:rsid w:val="00B84C42"/>
    <w:rsid w:val="00B95336"/>
    <w:rsid w:val="00BA2EFA"/>
    <w:rsid w:val="00BA3DBC"/>
    <w:rsid w:val="00BB2DA2"/>
    <w:rsid w:val="00BB56DC"/>
    <w:rsid w:val="00BC534D"/>
    <w:rsid w:val="00BE183D"/>
    <w:rsid w:val="00BF5D7A"/>
    <w:rsid w:val="00C07649"/>
    <w:rsid w:val="00C27E9A"/>
    <w:rsid w:val="00C36442"/>
    <w:rsid w:val="00C400CE"/>
    <w:rsid w:val="00C410FD"/>
    <w:rsid w:val="00C539FB"/>
    <w:rsid w:val="00C559E9"/>
    <w:rsid w:val="00C70AE4"/>
    <w:rsid w:val="00C95823"/>
    <w:rsid w:val="00CA246D"/>
    <w:rsid w:val="00CB5636"/>
    <w:rsid w:val="00CC0F0F"/>
    <w:rsid w:val="00CC399C"/>
    <w:rsid w:val="00D05C21"/>
    <w:rsid w:val="00D1017E"/>
    <w:rsid w:val="00D10F21"/>
    <w:rsid w:val="00D14944"/>
    <w:rsid w:val="00D21F55"/>
    <w:rsid w:val="00D22530"/>
    <w:rsid w:val="00D34040"/>
    <w:rsid w:val="00D34E69"/>
    <w:rsid w:val="00D375EE"/>
    <w:rsid w:val="00D47595"/>
    <w:rsid w:val="00D62699"/>
    <w:rsid w:val="00D72068"/>
    <w:rsid w:val="00D726D2"/>
    <w:rsid w:val="00D736A7"/>
    <w:rsid w:val="00D82620"/>
    <w:rsid w:val="00D85A4C"/>
    <w:rsid w:val="00D9725F"/>
    <w:rsid w:val="00DA01B1"/>
    <w:rsid w:val="00DA11A2"/>
    <w:rsid w:val="00DA14ED"/>
    <w:rsid w:val="00DB2EF1"/>
    <w:rsid w:val="00DB3DE1"/>
    <w:rsid w:val="00DB5DA0"/>
    <w:rsid w:val="00DB716C"/>
    <w:rsid w:val="00DC440C"/>
    <w:rsid w:val="00DC56EF"/>
    <w:rsid w:val="00DC5C85"/>
    <w:rsid w:val="00DD11CB"/>
    <w:rsid w:val="00DD4236"/>
    <w:rsid w:val="00DD44F1"/>
    <w:rsid w:val="00DE3067"/>
    <w:rsid w:val="00DE7404"/>
    <w:rsid w:val="00DF10F2"/>
    <w:rsid w:val="00DF13F1"/>
    <w:rsid w:val="00E027BC"/>
    <w:rsid w:val="00E14EA5"/>
    <w:rsid w:val="00E21133"/>
    <w:rsid w:val="00E2327E"/>
    <w:rsid w:val="00E259D6"/>
    <w:rsid w:val="00E266EF"/>
    <w:rsid w:val="00E47428"/>
    <w:rsid w:val="00E66B9F"/>
    <w:rsid w:val="00E710D6"/>
    <w:rsid w:val="00E76E45"/>
    <w:rsid w:val="00E777C9"/>
    <w:rsid w:val="00E81DA6"/>
    <w:rsid w:val="00E84212"/>
    <w:rsid w:val="00E84479"/>
    <w:rsid w:val="00E850F7"/>
    <w:rsid w:val="00E86B1B"/>
    <w:rsid w:val="00E9086C"/>
    <w:rsid w:val="00E91A0F"/>
    <w:rsid w:val="00E94A71"/>
    <w:rsid w:val="00EA03CE"/>
    <w:rsid w:val="00EA23E5"/>
    <w:rsid w:val="00EA4E2E"/>
    <w:rsid w:val="00EB107F"/>
    <w:rsid w:val="00EB2CCB"/>
    <w:rsid w:val="00EC57A7"/>
    <w:rsid w:val="00ED0817"/>
    <w:rsid w:val="00ED7DD9"/>
    <w:rsid w:val="00EF3113"/>
    <w:rsid w:val="00EF3F84"/>
    <w:rsid w:val="00F042FB"/>
    <w:rsid w:val="00F05737"/>
    <w:rsid w:val="00F176AC"/>
    <w:rsid w:val="00F21458"/>
    <w:rsid w:val="00F26A9D"/>
    <w:rsid w:val="00F27714"/>
    <w:rsid w:val="00F3276E"/>
    <w:rsid w:val="00F33D3C"/>
    <w:rsid w:val="00F37A91"/>
    <w:rsid w:val="00F45CF5"/>
    <w:rsid w:val="00F47DB0"/>
    <w:rsid w:val="00F50E34"/>
    <w:rsid w:val="00F51545"/>
    <w:rsid w:val="00F53EF7"/>
    <w:rsid w:val="00F54BF2"/>
    <w:rsid w:val="00F76122"/>
    <w:rsid w:val="00F92355"/>
    <w:rsid w:val="00F93963"/>
    <w:rsid w:val="00F94291"/>
    <w:rsid w:val="00FA0884"/>
    <w:rsid w:val="00FA28EC"/>
    <w:rsid w:val="00FA39E7"/>
    <w:rsid w:val="00FA7526"/>
    <w:rsid w:val="00FB331C"/>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12</Pages>
  <Words>4143</Words>
  <Characters>20495</Characters>
  <Application>Microsoft Office Word</Application>
  <DocSecurity>0</DocSecurity>
  <Lines>455</Lines>
  <Paragraphs>200</Paragraphs>
  <ScaleCrop>false</ScaleCrop>
  <HeadingPairs>
    <vt:vector size="2" baseType="variant">
      <vt:variant>
        <vt:lpstr>Title</vt:lpstr>
      </vt:variant>
      <vt:variant>
        <vt:i4>1</vt:i4>
      </vt:variant>
    </vt:vector>
  </HeadingPairs>
  <TitlesOfParts>
    <vt:vector size="1" baseType="lpstr">
      <vt:lpstr>Wilmington Trust Company (Trustee) v The Ship “Houston” [2016] FCA 1349</vt:lpstr>
    </vt:vector>
  </TitlesOfParts>
  <Company>Federal Court of Australia</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Trust Company (Trustee) v The Ship “Houston” [2016] FCA 1349</dc:title>
  <dc:creator>Lee O'Connor</dc:creator>
  <cp:lastModifiedBy>Anna Masters</cp:lastModifiedBy>
  <cp:revision>3</cp:revision>
  <cp:lastPrinted>2016-11-29T02:01:00Z</cp:lastPrinted>
  <dcterms:created xsi:type="dcterms:W3CDTF">2016-11-29T22:39:00Z</dcterms:created>
  <dcterms:modified xsi:type="dcterms:W3CDTF">2016-11-29T22:40:00Z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SIOPIS J</vt:lpwstr>
  </property>
  <property fmtid="{D5CDD505-2E9C-101B-9397-08002B2CF9AE}" pid="4" name="Judgment_dated" linkTarget="Judgment_dated">
    <vt:lpwstr>29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Admiralty and Maritime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