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0A6200">
      <w:pPr>
        <w:pStyle w:val="MediaNeutralStyle"/>
      </w:pPr>
      <w:bookmarkStart w:id="0" w:name="MNC"/>
      <w:r>
        <w:t>Australian Competition and Consumer Commission v Reckitt Ben</w:t>
      </w:r>
      <w:r w:rsidR="003623AF">
        <w:t>ckiser (Australia) Pty Ltd (No 7</w:t>
      </w:r>
      <w:r>
        <w:t xml:space="preserve">) [2016] FCA </w:t>
      </w:r>
      <w:r w:rsidR="00DA2500">
        <w:t>424</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976CE5">
        <w:tc>
          <w:tcPr>
            <w:tcW w:w="3085" w:type="dxa"/>
            <w:shd w:val="clear" w:color="auto" w:fill="auto"/>
          </w:tcPr>
          <w:p w:rsidR="00395B24" w:rsidRDefault="00976CE5" w:rsidP="00663878">
            <w:pPr>
              <w:pStyle w:val="Normal1linespace"/>
              <w:widowControl w:val="0"/>
              <w:jc w:val="left"/>
            </w:pPr>
            <w:r>
              <w:t>File number</w:t>
            </w:r>
            <w:r w:rsidR="002C7385">
              <w:t>:</w:t>
            </w:r>
          </w:p>
        </w:tc>
        <w:tc>
          <w:tcPr>
            <w:tcW w:w="5989" w:type="dxa"/>
            <w:shd w:val="clear" w:color="auto" w:fill="auto"/>
          </w:tcPr>
          <w:p w:rsidR="00395B24" w:rsidRPr="00976CE5" w:rsidRDefault="00976CE5" w:rsidP="00976CE5">
            <w:pPr>
              <w:pStyle w:val="Normal1linespace"/>
              <w:jc w:val="left"/>
            </w:pPr>
            <w:r w:rsidRPr="00976CE5">
              <w:t>NSD 180 of 2015</w:t>
            </w:r>
          </w:p>
        </w:tc>
      </w:tr>
      <w:tr w:rsidR="00395B24" w:rsidTr="00976CE5">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76CE5">
        <w:tc>
          <w:tcPr>
            <w:tcW w:w="3085" w:type="dxa"/>
            <w:shd w:val="clear" w:color="auto" w:fill="auto"/>
          </w:tcPr>
          <w:p w:rsidR="00395B24" w:rsidRDefault="00976CE5" w:rsidP="00663878">
            <w:pPr>
              <w:pStyle w:val="Normal1linespace"/>
              <w:widowControl w:val="0"/>
              <w:jc w:val="left"/>
            </w:pPr>
            <w:r>
              <w:t>Judge</w:t>
            </w:r>
            <w:r w:rsidR="002C7385">
              <w:t>:</w:t>
            </w:r>
          </w:p>
        </w:tc>
        <w:tc>
          <w:tcPr>
            <w:tcW w:w="5989" w:type="dxa"/>
            <w:shd w:val="clear" w:color="auto" w:fill="auto"/>
          </w:tcPr>
          <w:p w:rsidR="00395B24" w:rsidRDefault="00976CE5" w:rsidP="00663878">
            <w:pPr>
              <w:pStyle w:val="Normal1linespace"/>
              <w:widowControl w:val="0"/>
              <w:jc w:val="left"/>
              <w:rPr>
                <w:b/>
              </w:rPr>
            </w:pPr>
            <w:r w:rsidRPr="00976CE5">
              <w:rPr>
                <w:b/>
                <w:caps/>
                <w:szCs w:val="24"/>
              </w:rPr>
              <w:t>EDELMAN J</w:t>
            </w:r>
          </w:p>
        </w:tc>
      </w:tr>
      <w:tr w:rsidR="00395B24" w:rsidTr="00976CE5">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76CE5">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34406D" w:rsidP="00663878">
            <w:pPr>
              <w:pStyle w:val="Normal1linespace"/>
              <w:widowControl w:val="0"/>
              <w:jc w:val="left"/>
            </w:pPr>
            <w:bookmarkStart w:id="1" w:name="JudgmentDate"/>
            <w:r>
              <w:t>29</w:t>
            </w:r>
            <w:r w:rsidR="00976CE5">
              <w:t xml:space="preserve"> April 2016</w:t>
            </w:r>
            <w:bookmarkEnd w:id="1"/>
          </w:p>
        </w:tc>
      </w:tr>
      <w:tr w:rsidR="00395B24" w:rsidTr="008276E5">
        <w:trPr>
          <w:trHeight w:val="359"/>
        </w:trPr>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76CE5">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Pr="000A6200" w:rsidRDefault="00766C87" w:rsidP="005B3E95">
            <w:pPr>
              <w:pStyle w:val="Normal1linespace"/>
              <w:widowControl w:val="0"/>
              <w:jc w:val="left"/>
              <w:rPr>
                <w:b/>
              </w:rPr>
            </w:pPr>
            <w:bookmarkStart w:id="2" w:name="Catchwords"/>
            <w:r>
              <w:rPr>
                <w:b/>
              </w:rPr>
              <w:t>CONSUMER LAW</w:t>
            </w:r>
            <w:r w:rsidR="000A6200" w:rsidRPr="004670BE">
              <w:t xml:space="preserve"> – </w:t>
            </w:r>
            <w:r w:rsidR="004670BE" w:rsidRPr="004670BE">
              <w:t>pecuniary penal</w:t>
            </w:r>
            <w:r w:rsidR="004670BE">
              <w:t xml:space="preserve">ties – courses of conduct and totality principle – </w:t>
            </w:r>
            <w:r w:rsidR="00C8185D">
              <w:t xml:space="preserve">allegedly </w:t>
            </w:r>
            <w:r w:rsidR="004670BE">
              <w:t xml:space="preserve">similar conduct in the supply of other products </w:t>
            </w:r>
            <w:r w:rsidR="00C8185D">
              <w:t xml:space="preserve">not found to be contravening – </w:t>
            </w:r>
            <w:r w:rsidR="007D3C76">
              <w:t xml:space="preserve">method of calculating profits from contravening conduct – assumption by parties that “but for” test for calculating profits applies – importance of conduct being intended to make profits – relevance of sales, </w:t>
            </w:r>
            <w:r w:rsidR="00B73E52">
              <w:t>earnings before interest and taxation (</w:t>
            </w:r>
            <w:r w:rsidR="007D3C76">
              <w:t>EBIT</w:t>
            </w:r>
            <w:r w:rsidR="00B73E52">
              <w:t>)</w:t>
            </w:r>
            <w:r w:rsidR="007D3C76">
              <w:t>, and profit figures</w:t>
            </w:r>
            <w:bookmarkEnd w:id="2"/>
          </w:p>
        </w:tc>
      </w:tr>
      <w:tr w:rsidR="00395B24" w:rsidTr="00976CE5">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76CE5">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0F479A" w:rsidRDefault="000F479A" w:rsidP="000F479A">
            <w:pPr>
              <w:pStyle w:val="CasesLegislationAppealFrom"/>
              <w:spacing w:after="60"/>
            </w:pPr>
            <w:bookmarkStart w:id="3" w:name="Legislation"/>
            <w:r w:rsidRPr="000F479A">
              <w:rPr>
                <w:i/>
              </w:rPr>
              <w:t xml:space="preserve">Australian Consumer Law </w:t>
            </w:r>
            <w:r w:rsidR="00754C80">
              <w:t>(</w:t>
            </w:r>
            <w:r w:rsidRPr="0066079B">
              <w:t xml:space="preserve">Schedule 2 of the </w:t>
            </w:r>
            <w:r w:rsidRPr="000F479A">
              <w:rPr>
                <w:i/>
              </w:rPr>
              <w:t>Competition and Consumer Act 2010</w:t>
            </w:r>
            <w:r>
              <w:t xml:space="preserve"> (Cth)) ss</w:t>
            </w:r>
            <w:r w:rsidR="00BD3CB7">
              <w:t xml:space="preserve"> </w:t>
            </w:r>
            <w:r w:rsidR="009E5E49">
              <w:t xml:space="preserve">18, </w:t>
            </w:r>
            <w:r w:rsidR="00BD3CB7">
              <w:rPr>
                <w:lang w:eastAsia="en-AU"/>
              </w:rPr>
              <w:t xml:space="preserve">33, </w:t>
            </w:r>
            <w:r w:rsidR="009E5E49">
              <w:rPr>
                <w:lang w:eastAsia="en-AU"/>
              </w:rPr>
              <w:t xml:space="preserve">87B, </w:t>
            </w:r>
            <w:r w:rsidR="00BD3CB7">
              <w:rPr>
                <w:lang w:eastAsia="en-AU"/>
              </w:rPr>
              <w:t xml:space="preserve">224(1), 224(2), 224(3), </w:t>
            </w:r>
            <w:r w:rsidR="00BD3CB7">
              <w:t>224(4)(b)</w:t>
            </w:r>
          </w:p>
          <w:p w:rsidR="009E5E49" w:rsidRDefault="009E5E49" w:rsidP="000F479A">
            <w:pPr>
              <w:pStyle w:val="CasesLegislationAppealFrom"/>
              <w:spacing w:after="60"/>
            </w:pPr>
            <w:r>
              <w:rPr>
                <w:i/>
              </w:rPr>
              <w:t xml:space="preserve">Therapeutic Goods Act 1989 </w:t>
            </w:r>
            <w:r>
              <w:t>(Cth)</w:t>
            </w:r>
          </w:p>
          <w:p w:rsidR="00395B24" w:rsidRDefault="009E5E49" w:rsidP="00EC0107">
            <w:pPr>
              <w:pStyle w:val="CasesLegislationAppealFrom"/>
              <w:spacing w:after="60"/>
            </w:pPr>
            <w:r>
              <w:rPr>
                <w:i/>
              </w:rPr>
              <w:t>Trade Practices Act 1974</w:t>
            </w:r>
            <w:r>
              <w:t xml:space="preserve"> (Cth)</w:t>
            </w:r>
            <w:r w:rsidR="002C7385">
              <w:t xml:space="preserve"> </w:t>
            </w:r>
            <w:bookmarkEnd w:id="3"/>
          </w:p>
        </w:tc>
      </w:tr>
      <w:tr w:rsidR="00395B24" w:rsidTr="00976CE5">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76CE5">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9E5E49" w:rsidRDefault="009E5E49" w:rsidP="00D82620">
            <w:pPr>
              <w:pStyle w:val="CasesLegislationAppealFrom"/>
              <w:spacing w:after="60"/>
            </w:pPr>
            <w:bookmarkStart w:id="4" w:name="Cases_Cited"/>
            <w:r>
              <w:rPr>
                <w:i/>
              </w:rPr>
              <w:t xml:space="preserve">Australian Competition and Consumer Commission v Coles Supermarkets Australia Pty Ltd </w:t>
            </w:r>
            <w:r>
              <w:t>[2015] FCA 330; (2015) 327 ALR 540</w:t>
            </w:r>
          </w:p>
          <w:p w:rsidR="009579B7" w:rsidRDefault="009579B7" w:rsidP="00D82620">
            <w:pPr>
              <w:pStyle w:val="CasesLegislationAppealFrom"/>
              <w:spacing w:after="60"/>
            </w:pPr>
            <w:r w:rsidRPr="009B1C69">
              <w:rPr>
                <w:i/>
              </w:rPr>
              <w:t xml:space="preserve">Australian Competition and Consumer Commission v EDirect Pty Ltd (in liq) </w:t>
            </w:r>
            <w:r>
              <w:t>[2012] FCA 976;</w:t>
            </w:r>
            <w:r w:rsidRPr="009579B7">
              <w:t xml:space="preserve"> (2012) 206 FCR 160</w:t>
            </w:r>
          </w:p>
          <w:p w:rsidR="009E5E49" w:rsidRDefault="009E5E49" w:rsidP="00D82620">
            <w:pPr>
              <w:pStyle w:val="CasesLegislationAppealFrom"/>
              <w:spacing w:after="60"/>
            </w:pPr>
            <w:r>
              <w:rPr>
                <w:i/>
              </w:rPr>
              <w:t>Australian Competition and Consumer Commission v Reckitt Benckiser (Australia) Pty Ltd (No 5)</w:t>
            </w:r>
            <w:r>
              <w:t xml:space="preserve"> [2016] FCA 167</w:t>
            </w:r>
          </w:p>
          <w:p w:rsidR="009E5E49" w:rsidRDefault="009E5E49" w:rsidP="00D82620">
            <w:pPr>
              <w:pStyle w:val="CasesLegislationAppealFrom"/>
              <w:spacing w:after="60"/>
            </w:pPr>
            <w:r>
              <w:rPr>
                <w:i/>
              </w:rPr>
              <w:t>Australian Competition and Consumer Commission v Reckitt Benckiser (Australia) Pty Ltd (No 4)</w:t>
            </w:r>
            <w:r>
              <w:t xml:space="preserve"> [2015] FCA 1408</w:t>
            </w:r>
          </w:p>
          <w:p w:rsidR="009E5E49" w:rsidRDefault="009E5E49" w:rsidP="00D82620">
            <w:pPr>
              <w:pStyle w:val="CasesLegislationAppealFrom"/>
              <w:spacing w:after="60"/>
            </w:pPr>
            <w:r>
              <w:rPr>
                <w:i/>
                <w:iCs/>
              </w:rPr>
              <w:t xml:space="preserve">Australian Competition and Consumer Commission v TPG Internet Pty Ltd </w:t>
            </w:r>
            <w:r>
              <w:t>[2013] HCA 54; (2013) 250 CLR 640</w:t>
            </w:r>
          </w:p>
          <w:p w:rsidR="009E5E49" w:rsidRDefault="009E5E49" w:rsidP="00D82620">
            <w:pPr>
              <w:pStyle w:val="CasesLegislationAppealFrom"/>
              <w:spacing w:after="60"/>
            </w:pPr>
            <w:r>
              <w:rPr>
                <w:i/>
              </w:rPr>
              <w:t xml:space="preserve">Australian Competition and Consumer Commission v Visa Inc </w:t>
            </w:r>
            <w:r>
              <w:t>[2015] FCA 1020</w:t>
            </w:r>
          </w:p>
          <w:p w:rsidR="009E5E49" w:rsidRDefault="009E5E49" w:rsidP="00D82620">
            <w:pPr>
              <w:pStyle w:val="CasesLegislationAppealFrom"/>
              <w:spacing w:after="60"/>
            </w:pPr>
            <w:r>
              <w:rPr>
                <w:i/>
              </w:rPr>
              <w:t>Australian Competition and Consumer Commission v Woolworths Limited</w:t>
            </w:r>
            <w:r>
              <w:t xml:space="preserve"> [2016] FCA 44</w:t>
            </w:r>
          </w:p>
          <w:p w:rsidR="00434667" w:rsidRDefault="00434667" w:rsidP="00D82620">
            <w:pPr>
              <w:pStyle w:val="CasesLegislationAppealFrom"/>
              <w:spacing w:after="60"/>
            </w:pPr>
          </w:p>
          <w:p w:rsidR="001D166C" w:rsidRDefault="00093869" w:rsidP="00D82620">
            <w:pPr>
              <w:pStyle w:val="CasesLegislationAppealFrom"/>
              <w:spacing w:after="60"/>
            </w:pPr>
            <w:r w:rsidRPr="00D44129">
              <w:rPr>
                <w:i/>
              </w:rPr>
              <w:lastRenderedPageBreak/>
              <w:t xml:space="preserve">Australian Ophthalmic Supplies Pty Ltd v McAlary-Smith </w:t>
            </w:r>
            <w:r>
              <w:t>[2008] FCAFC 8; (2008) 165 FCR 560</w:t>
            </w:r>
          </w:p>
          <w:p w:rsidR="009E5E49" w:rsidRDefault="009E5E49" w:rsidP="00D82620">
            <w:pPr>
              <w:pStyle w:val="CasesLegislationAppealFrom"/>
              <w:spacing w:after="60"/>
            </w:pPr>
            <w:r>
              <w:rPr>
                <w:i/>
              </w:rPr>
              <w:t>Brosnan v Katke</w:t>
            </w:r>
            <w:r>
              <w:t xml:space="preserve"> [2016] FCAFC 1</w:t>
            </w:r>
          </w:p>
          <w:p w:rsidR="009E5E49" w:rsidRDefault="009E5E49" w:rsidP="00D82620">
            <w:pPr>
              <w:pStyle w:val="CasesLegislationAppealFrom"/>
              <w:spacing w:after="60"/>
            </w:pPr>
            <w:r w:rsidRPr="00BD3CB7">
              <w:rPr>
                <w:i/>
              </w:rPr>
              <w:t>Commonwealth of Australia v Director, Fair Work Building Industry Inspectorate</w:t>
            </w:r>
            <w:r w:rsidRPr="00BD3CB7">
              <w:t xml:space="preserve"> [2015] HCA 46; (2015) 90 ALJR 113</w:t>
            </w:r>
          </w:p>
          <w:p w:rsidR="009E5E49" w:rsidRDefault="009E5E49" w:rsidP="00D82620">
            <w:pPr>
              <w:pStyle w:val="CasesLegislationAppealFrom"/>
              <w:spacing w:after="60"/>
            </w:pPr>
            <w:r>
              <w:rPr>
                <w:i/>
                <w:iCs/>
              </w:rPr>
              <w:t>Construction, Forestry, Mining and Energy Union v Cahill</w:t>
            </w:r>
            <w:r>
              <w:t xml:space="preserve"> [2010] FCAFC 39; (2010) 269 ALR 1</w:t>
            </w:r>
          </w:p>
          <w:p w:rsidR="009E5E49" w:rsidRDefault="009E5E49" w:rsidP="00D82620">
            <w:pPr>
              <w:pStyle w:val="CasesLegislationAppealFrom"/>
              <w:spacing w:after="60"/>
            </w:pPr>
            <w:r>
              <w:rPr>
                <w:i/>
              </w:rPr>
              <w:t>Construction, Forestry, Mining and Energy Union v Williams</w:t>
            </w:r>
            <w:r>
              <w:t xml:space="preserve"> [2009] FCAFC 171</w:t>
            </w:r>
            <w:r w:rsidR="00E9150D">
              <w:t>; (2009) 191 IR 445</w:t>
            </w:r>
          </w:p>
          <w:p w:rsidR="009E5E49" w:rsidRDefault="009E5E49" w:rsidP="00D82620">
            <w:pPr>
              <w:pStyle w:val="CasesLegislationAppealFrom"/>
              <w:spacing w:after="60"/>
            </w:pPr>
            <w:r>
              <w:rPr>
                <w:i/>
              </w:rPr>
              <w:t>Director of Fair Work Building Industry Inspectorate v Construction, Forestry, Mining and Energy Union</w:t>
            </w:r>
            <w:r>
              <w:t xml:space="preserve"> [2015] FCA 1213</w:t>
            </w:r>
          </w:p>
          <w:p w:rsidR="009E5E49" w:rsidRDefault="009E5E49" w:rsidP="00D82620">
            <w:pPr>
              <w:pStyle w:val="CasesLegislationAppealFrom"/>
              <w:spacing w:after="60"/>
            </w:pPr>
            <w:r>
              <w:rPr>
                <w:i/>
              </w:rPr>
              <w:t xml:space="preserve">Director of the Fair Work Building Industry Inspectorate v Bragdon (No 2) </w:t>
            </w:r>
            <w:r>
              <w:t>[2015] FCA 998</w:t>
            </w:r>
          </w:p>
          <w:p w:rsidR="009E5E49" w:rsidRDefault="009E5E49" w:rsidP="00D82620">
            <w:pPr>
              <w:pStyle w:val="CasesLegislationAppealFrom"/>
              <w:spacing w:after="60"/>
            </w:pPr>
            <w:r>
              <w:rPr>
                <w:i/>
              </w:rPr>
              <w:t>Johnson v The Queen</w:t>
            </w:r>
            <w:r>
              <w:t xml:space="preserve"> [2004] HCA 15; (2004) 205 ALR 346</w:t>
            </w:r>
          </w:p>
          <w:p w:rsidR="009E5E49" w:rsidRDefault="009E5E49" w:rsidP="00D82620">
            <w:pPr>
              <w:pStyle w:val="CasesLegislationAppealFrom"/>
              <w:spacing w:after="60"/>
            </w:pPr>
            <w:r>
              <w:rPr>
                <w:i/>
                <w:iCs/>
                <w:lang w:eastAsia="en-AU"/>
              </w:rPr>
              <w:t>Mill v The Queen</w:t>
            </w:r>
            <w:r>
              <w:rPr>
                <w:lang w:eastAsia="en-AU"/>
              </w:rPr>
              <w:t xml:space="preserve"> </w:t>
            </w:r>
            <w:r>
              <w:t>[1988] HCA 70; (1988) 166 CLR 59</w:t>
            </w:r>
          </w:p>
          <w:p w:rsidR="009E5E49" w:rsidRDefault="009E5E49" w:rsidP="00D82620">
            <w:pPr>
              <w:pStyle w:val="CasesLegislationAppealFrom"/>
              <w:spacing w:after="60"/>
            </w:pPr>
            <w:r>
              <w:rPr>
                <w:bCs/>
                <w:i/>
                <w:iCs/>
              </w:rPr>
              <w:t>Postiglione v The Queen</w:t>
            </w:r>
            <w:r>
              <w:rPr>
                <w:b/>
                <w:bCs/>
                <w:i/>
                <w:iCs/>
              </w:rPr>
              <w:t xml:space="preserve"> </w:t>
            </w:r>
            <w:r>
              <w:t>[1997] HCA 26; (1997) 189 CLR 295</w:t>
            </w:r>
          </w:p>
          <w:p w:rsidR="009E5E49" w:rsidRDefault="009E5E49" w:rsidP="00D82620">
            <w:pPr>
              <w:pStyle w:val="CasesLegislationAppealFrom"/>
              <w:spacing w:after="60"/>
            </w:pPr>
            <w:r>
              <w:rPr>
                <w:i/>
                <w:iCs/>
              </w:rPr>
              <w:t>Royer v Western Australia</w:t>
            </w:r>
            <w:r>
              <w:t xml:space="preserve"> [2009] WASCA 139</w:t>
            </w:r>
            <w:r w:rsidR="00E9150D">
              <w:t>; (2009) 197 A Crim R 319</w:t>
            </w:r>
          </w:p>
          <w:p w:rsidR="009E5E49" w:rsidRDefault="009E5E49" w:rsidP="00D82620">
            <w:pPr>
              <w:pStyle w:val="CasesLegislationAppealFrom"/>
              <w:spacing w:after="60"/>
            </w:pPr>
            <w:r>
              <w:rPr>
                <w:i/>
              </w:rPr>
              <w:t>SC Johnson &amp; Son Pty Ltd v Reckitt Benckiser (Australia) Pty Ltd</w:t>
            </w:r>
            <w:r>
              <w:t xml:space="preserve"> </w:t>
            </w:r>
            <w:r>
              <w:rPr>
                <w:i/>
              </w:rPr>
              <w:t>(No 2)</w:t>
            </w:r>
            <w:r>
              <w:t xml:space="preserve"> [2012] FCA 1362</w:t>
            </w:r>
          </w:p>
          <w:p w:rsidR="009E5E49" w:rsidRDefault="009E5E49" w:rsidP="00D82620">
            <w:pPr>
              <w:pStyle w:val="CasesLegislationAppealFrom"/>
              <w:spacing w:after="60"/>
              <w:rPr>
                <w:i/>
                <w:iCs/>
              </w:rPr>
            </w:pPr>
            <w:r>
              <w:rPr>
                <w:i/>
              </w:rPr>
              <w:t>SC Johnson &amp; Son Pty Ltd v Reckitt Benckiser (Australia) Pty Ltd</w:t>
            </w:r>
            <w:r>
              <w:t xml:space="preserve"> [2012] FCA 1266</w:t>
            </w:r>
          </w:p>
          <w:p w:rsidR="00FB69F2" w:rsidRDefault="009E5E49" w:rsidP="00D82620">
            <w:pPr>
              <w:pStyle w:val="CasesLegislationAppealFrom"/>
              <w:spacing w:after="60"/>
            </w:pPr>
            <w:r>
              <w:rPr>
                <w:i/>
                <w:iCs/>
              </w:rPr>
              <w:t>Singtel Optus Pty Ltd v Australian Competition and Consumer Commission</w:t>
            </w:r>
            <w:r>
              <w:t xml:space="preserve"> [2012] FCAFC 20; (2012) 287 ALR 249</w:t>
            </w:r>
          </w:p>
          <w:p w:rsidR="00FB69F2" w:rsidRDefault="00FB69F2" w:rsidP="00D82620">
            <w:pPr>
              <w:pStyle w:val="CasesLegislationAppealFrom"/>
              <w:spacing w:after="60"/>
            </w:pPr>
          </w:p>
          <w:p w:rsidR="00FB69F2" w:rsidRDefault="00FB69F2" w:rsidP="00FB69F2">
            <w:pPr>
              <w:pStyle w:val="CasesLegislationAppealFrom"/>
              <w:spacing w:after="60"/>
            </w:pPr>
            <w:r>
              <w:t xml:space="preserve">Kahneman D, </w:t>
            </w:r>
            <w:r>
              <w:rPr>
                <w:i/>
              </w:rPr>
              <w:t>Thinking</w:t>
            </w:r>
            <w:r w:rsidR="00B73E52">
              <w:rPr>
                <w:i/>
              </w:rPr>
              <w:t>,</w:t>
            </w:r>
            <w:r>
              <w:rPr>
                <w:i/>
              </w:rPr>
              <w:t xml:space="preserve"> Fast and Slow </w:t>
            </w:r>
            <w:r>
              <w:t>(Penguin, 2012)</w:t>
            </w:r>
          </w:p>
          <w:p w:rsidR="00395B24" w:rsidRDefault="00FB69F2" w:rsidP="00FB69F2">
            <w:pPr>
              <w:pStyle w:val="CasesLegislationAppealFrom"/>
              <w:spacing w:after="60"/>
            </w:pPr>
            <w:r>
              <w:rPr>
                <w:lang w:eastAsia="en-AU"/>
              </w:rPr>
              <w:t xml:space="preserve">Thomas DA, </w:t>
            </w:r>
            <w:r>
              <w:rPr>
                <w:i/>
                <w:iCs/>
                <w:lang w:eastAsia="en-AU"/>
              </w:rPr>
              <w:t>Principles of Sentencing</w:t>
            </w:r>
            <w:r>
              <w:rPr>
                <w:lang w:eastAsia="en-AU"/>
              </w:rPr>
              <w:t xml:space="preserve"> (</w:t>
            </w:r>
            <w:r>
              <w:t>2nd ed, Heinemann Educational Books Ltd, 1979</w:t>
            </w:r>
            <w:r w:rsidR="007C5576">
              <w:t>)</w:t>
            </w:r>
            <w:bookmarkEnd w:id="4"/>
          </w:p>
        </w:tc>
      </w:tr>
      <w:tr w:rsidR="00976CE5" w:rsidRPr="00976CE5" w:rsidTr="00976CE5">
        <w:tc>
          <w:tcPr>
            <w:tcW w:w="3085" w:type="dxa"/>
            <w:shd w:val="clear" w:color="auto" w:fill="auto"/>
          </w:tcPr>
          <w:p w:rsidR="00976CE5" w:rsidRPr="00976CE5" w:rsidRDefault="00976CE5" w:rsidP="00976CE5">
            <w:pPr>
              <w:pStyle w:val="Normal1linespace"/>
              <w:jc w:val="left"/>
            </w:pPr>
          </w:p>
        </w:tc>
        <w:tc>
          <w:tcPr>
            <w:tcW w:w="5989" w:type="dxa"/>
            <w:shd w:val="clear" w:color="auto" w:fill="auto"/>
          </w:tcPr>
          <w:p w:rsidR="00976CE5" w:rsidRPr="00976CE5" w:rsidRDefault="00976CE5" w:rsidP="00976CE5">
            <w:pPr>
              <w:pStyle w:val="Normal1linespace"/>
              <w:jc w:val="left"/>
            </w:pPr>
          </w:p>
        </w:tc>
      </w:tr>
      <w:tr w:rsidR="00976CE5" w:rsidRPr="00976CE5" w:rsidTr="00976CE5">
        <w:tc>
          <w:tcPr>
            <w:tcW w:w="3085" w:type="dxa"/>
            <w:shd w:val="clear" w:color="auto" w:fill="auto"/>
          </w:tcPr>
          <w:p w:rsidR="00F15A5A" w:rsidRPr="00976CE5" w:rsidRDefault="00976CE5" w:rsidP="005B3E95">
            <w:pPr>
              <w:pStyle w:val="Normal1linespace"/>
              <w:jc w:val="left"/>
            </w:pPr>
            <w:bookmarkStart w:id="5" w:name="CounselDate" w:colFirst="0" w:colLast="2"/>
            <w:r w:rsidRPr="00976CE5">
              <w:t>Date of hearing:</w:t>
            </w:r>
          </w:p>
        </w:tc>
        <w:tc>
          <w:tcPr>
            <w:tcW w:w="5989" w:type="dxa"/>
            <w:shd w:val="clear" w:color="auto" w:fill="auto"/>
          </w:tcPr>
          <w:p w:rsidR="00F15A5A" w:rsidRPr="00976CE5" w:rsidRDefault="000A6200" w:rsidP="00193051">
            <w:pPr>
              <w:pStyle w:val="Normal1linespace"/>
              <w:jc w:val="left"/>
            </w:pPr>
            <w:bookmarkStart w:id="6" w:name="HearingDate"/>
            <w:r>
              <w:t>12 April 2016</w:t>
            </w:r>
            <w:bookmarkEnd w:id="6"/>
          </w:p>
        </w:tc>
      </w:tr>
      <w:tr w:rsidR="005B3E95" w:rsidRPr="00976CE5" w:rsidTr="00976CE5">
        <w:tc>
          <w:tcPr>
            <w:tcW w:w="3085" w:type="dxa"/>
            <w:shd w:val="clear" w:color="auto" w:fill="auto"/>
          </w:tcPr>
          <w:p w:rsidR="005B3E95" w:rsidRDefault="005B3E95" w:rsidP="00976CE5">
            <w:pPr>
              <w:pStyle w:val="Normal1linespace"/>
              <w:jc w:val="left"/>
            </w:pPr>
          </w:p>
        </w:tc>
        <w:tc>
          <w:tcPr>
            <w:tcW w:w="5989" w:type="dxa"/>
            <w:shd w:val="clear" w:color="auto" w:fill="auto"/>
          </w:tcPr>
          <w:p w:rsidR="005B3E95" w:rsidRDefault="005B3E95" w:rsidP="00976CE5">
            <w:pPr>
              <w:pStyle w:val="Normal1linespace"/>
              <w:jc w:val="left"/>
            </w:pPr>
          </w:p>
        </w:tc>
      </w:tr>
      <w:tr w:rsidR="005B3E95" w:rsidRPr="00976CE5" w:rsidTr="00976CE5">
        <w:tc>
          <w:tcPr>
            <w:tcW w:w="3085" w:type="dxa"/>
            <w:shd w:val="clear" w:color="auto" w:fill="auto"/>
          </w:tcPr>
          <w:p w:rsidR="005B3E95" w:rsidRPr="00976CE5" w:rsidRDefault="005B3E95" w:rsidP="00976CE5">
            <w:pPr>
              <w:pStyle w:val="Normal1linespace"/>
              <w:jc w:val="left"/>
            </w:pPr>
            <w:r>
              <w:t>Date of last submissions:</w:t>
            </w:r>
          </w:p>
        </w:tc>
        <w:tc>
          <w:tcPr>
            <w:tcW w:w="5989" w:type="dxa"/>
            <w:shd w:val="clear" w:color="auto" w:fill="auto"/>
          </w:tcPr>
          <w:p w:rsidR="005B3E95" w:rsidRDefault="005B3E95" w:rsidP="00976CE5">
            <w:pPr>
              <w:pStyle w:val="Normal1linespace"/>
              <w:jc w:val="left"/>
            </w:pPr>
            <w:r>
              <w:t>15 April 2016</w:t>
            </w:r>
          </w:p>
        </w:tc>
      </w:tr>
      <w:tr w:rsidR="00976CE5" w:rsidRPr="00976CE5" w:rsidTr="00976CE5">
        <w:tc>
          <w:tcPr>
            <w:tcW w:w="3085" w:type="dxa"/>
            <w:shd w:val="clear" w:color="auto" w:fill="auto"/>
          </w:tcPr>
          <w:p w:rsidR="00976CE5" w:rsidRPr="00976CE5" w:rsidRDefault="00976CE5" w:rsidP="00976CE5">
            <w:pPr>
              <w:pStyle w:val="Normal1linespace"/>
              <w:jc w:val="left"/>
            </w:pPr>
          </w:p>
        </w:tc>
        <w:tc>
          <w:tcPr>
            <w:tcW w:w="5989" w:type="dxa"/>
            <w:shd w:val="clear" w:color="auto" w:fill="auto"/>
          </w:tcPr>
          <w:p w:rsidR="00976CE5" w:rsidRPr="00976CE5" w:rsidRDefault="00976CE5" w:rsidP="00976CE5">
            <w:pPr>
              <w:pStyle w:val="Normal1linespace"/>
              <w:jc w:val="left"/>
            </w:pPr>
          </w:p>
        </w:tc>
      </w:tr>
      <w:bookmarkEnd w:id="5"/>
      <w:tr w:rsidR="00976CE5" w:rsidTr="00976CE5">
        <w:tc>
          <w:tcPr>
            <w:tcW w:w="3085" w:type="dxa"/>
            <w:shd w:val="clear" w:color="auto" w:fill="auto"/>
          </w:tcPr>
          <w:p w:rsidR="00976CE5" w:rsidRDefault="00976CE5" w:rsidP="00976CE5">
            <w:pPr>
              <w:pStyle w:val="Normal1linespace"/>
              <w:widowControl w:val="0"/>
              <w:jc w:val="left"/>
            </w:pPr>
            <w:r>
              <w:t>Registry:</w:t>
            </w:r>
          </w:p>
        </w:tc>
        <w:tc>
          <w:tcPr>
            <w:tcW w:w="5989" w:type="dxa"/>
            <w:shd w:val="clear" w:color="auto" w:fill="auto"/>
          </w:tcPr>
          <w:p w:rsidR="00976CE5" w:rsidRPr="00F17599" w:rsidRDefault="00976CE5" w:rsidP="00976CE5">
            <w:pPr>
              <w:pStyle w:val="Normal1linespace"/>
              <w:widowControl w:val="0"/>
              <w:jc w:val="left"/>
            </w:pPr>
            <w:r>
              <w:t>New South Wales</w:t>
            </w:r>
          </w:p>
        </w:tc>
      </w:tr>
      <w:tr w:rsidR="00976CE5" w:rsidTr="00976CE5">
        <w:tc>
          <w:tcPr>
            <w:tcW w:w="3085" w:type="dxa"/>
            <w:shd w:val="clear" w:color="auto" w:fill="auto"/>
          </w:tcPr>
          <w:p w:rsidR="00976CE5" w:rsidRDefault="00976CE5" w:rsidP="00976CE5">
            <w:pPr>
              <w:pStyle w:val="Normal1linespace"/>
              <w:widowControl w:val="0"/>
              <w:jc w:val="left"/>
            </w:pPr>
          </w:p>
        </w:tc>
        <w:tc>
          <w:tcPr>
            <w:tcW w:w="5989" w:type="dxa"/>
            <w:shd w:val="clear" w:color="auto" w:fill="auto"/>
          </w:tcPr>
          <w:p w:rsidR="00976CE5" w:rsidRDefault="00976CE5" w:rsidP="00976CE5">
            <w:pPr>
              <w:pStyle w:val="Normal1linespace"/>
              <w:widowControl w:val="0"/>
              <w:jc w:val="left"/>
            </w:pPr>
          </w:p>
        </w:tc>
      </w:tr>
      <w:tr w:rsidR="00976CE5" w:rsidTr="00976CE5">
        <w:tc>
          <w:tcPr>
            <w:tcW w:w="3085" w:type="dxa"/>
            <w:shd w:val="clear" w:color="auto" w:fill="auto"/>
          </w:tcPr>
          <w:p w:rsidR="00976CE5" w:rsidRDefault="00976CE5" w:rsidP="00976CE5">
            <w:pPr>
              <w:pStyle w:val="Normal1linespace"/>
              <w:widowControl w:val="0"/>
              <w:jc w:val="left"/>
            </w:pPr>
            <w:r>
              <w:t>Division:</w:t>
            </w:r>
          </w:p>
        </w:tc>
        <w:tc>
          <w:tcPr>
            <w:tcW w:w="5989" w:type="dxa"/>
            <w:shd w:val="clear" w:color="auto" w:fill="auto"/>
          </w:tcPr>
          <w:p w:rsidR="00976CE5" w:rsidRPr="00F17599" w:rsidRDefault="00976CE5" w:rsidP="00976CE5">
            <w:pPr>
              <w:pStyle w:val="Normal1linespace"/>
              <w:widowControl w:val="0"/>
              <w:jc w:val="left"/>
            </w:pPr>
            <w:r>
              <w:t>General Division</w:t>
            </w:r>
          </w:p>
        </w:tc>
      </w:tr>
      <w:tr w:rsidR="00976CE5" w:rsidTr="00976CE5">
        <w:tc>
          <w:tcPr>
            <w:tcW w:w="3085" w:type="dxa"/>
            <w:shd w:val="clear" w:color="auto" w:fill="auto"/>
          </w:tcPr>
          <w:p w:rsidR="00976CE5" w:rsidRDefault="00976CE5" w:rsidP="00976CE5">
            <w:pPr>
              <w:pStyle w:val="Normal1linespace"/>
              <w:widowControl w:val="0"/>
              <w:jc w:val="left"/>
            </w:pPr>
          </w:p>
        </w:tc>
        <w:tc>
          <w:tcPr>
            <w:tcW w:w="5989" w:type="dxa"/>
            <w:shd w:val="clear" w:color="auto" w:fill="auto"/>
          </w:tcPr>
          <w:p w:rsidR="00976CE5" w:rsidRPr="00F17599" w:rsidRDefault="00976CE5" w:rsidP="00976CE5">
            <w:pPr>
              <w:pStyle w:val="Normal1linespace"/>
              <w:widowControl w:val="0"/>
              <w:jc w:val="left"/>
              <w:rPr>
                <w:b/>
              </w:rPr>
            </w:pPr>
          </w:p>
        </w:tc>
      </w:tr>
      <w:tr w:rsidR="00976CE5" w:rsidTr="00976CE5">
        <w:tc>
          <w:tcPr>
            <w:tcW w:w="3085" w:type="dxa"/>
            <w:shd w:val="clear" w:color="auto" w:fill="auto"/>
          </w:tcPr>
          <w:p w:rsidR="00976CE5" w:rsidRDefault="00976CE5" w:rsidP="00976CE5">
            <w:pPr>
              <w:pStyle w:val="Normal1linespace"/>
              <w:widowControl w:val="0"/>
              <w:jc w:val="left"/>
            </w:pPr>
            <w:r>
              <w:t>National Practice Area:</w:t>
            </w:r>
          </w:p>
        </w:tc>
        <w:tc>
          <w:tcPr>
            <w:tcW w:w="5989" w:type="dxa"/>
            <w:shd w:val="clear" w:color="auto" w:fill="auto"/>
          </w:tcPr>
          <w:p w:rsidR="00976CE5" w:rsidRPr="00F17599" w:rsidRDefault="00976CE5" w:rsidP="00976CE5">
            <w:pPr>
              <w:pStyle w:val="Normal1linespace"/>
              <w:widowControl w:val="0"/>
              <w:jc w:val="left"/>
              <w:rPr>
                <w:b/>
              </w:rPr>
            </w:pPr>
            <w:r>
              <w:t>Commercial and Corporations</w:t>
            </w:r>
          </w:p>
        </w:tc>
      </w:tr>
      <w:tr w:rsidR="00976CE5" w:rsidTr="00976CE5">
        <w:tc>
          <w:tcPr>
            <w:tcW w:w="3085" w:type="dxa"/>
            <w:shd w:val="clear" w:color="auto" w:fill="auto"/>
          </w:tcPr>
          <w:p w:rsidR="00976CE5" w:rsidRDefault="00976CE5" w:rsidP="00976CE5">
            <w:pPr>
              <w:pStyle w:val="Normal1linespace"/>
              <w:widowControl w:val="0"/>
              <w:jc w:val="left"/>
            </w:pPr>
          </w:p>
        </w:tc>
        <w:tc>
          <w:tcPr>
            <w:tcW w:w="5989" w:type="dxa"/>
            <w:shd w:val="clear" w:color="auto" w:fill="auto"/>
          </w:tcPr>
          <w:p w:rsidR="00976CE5" w:rsidRDefault="00976CE5" w:rsidP="00976CE5">
            <w:pPr>
              <w:pStyle w:val="Normal1linespace"/>
              <w:widowControl w:val="0"/>
              <w:jc w:val="left"/>
            </w:pPr>
          </w:p>
        </w:tc>
      </w:tr>
      <w:tr w:rsidR="00976CE5" w:rsidTr="00976CE5">
        <w:tc>
          <w:tcPr>
            <w:tcW w:w="3085" w:type="dxa"/>
            <w:shd w:val="clear" w:color="auto" w:fill="auto"/>
          </w:tcPr>
          <w:p w:rsidR="00976CE5" w:rsidRDefault="00976CE5" w:rsidP="00976CE5">
            <w:pPr>
              <w:pStyle w:val="Normal1linespace"/>
              <w:widowControl w:val="0"/>
              <w:jc w:val="left"/>
            </w:pPr>
            <w:r>
              <w:t>Sub-area:</w:t>
            </w:r>
          </w:p>
        </w:tc>
        <w:tc>
          <w:tcPr>
            <w:tcW w:w="5989" w:type="dxa"/>
            <w:shd w:val="clear" w:color="auto" w:fill="auto"/>
          </w:tcPr>
          <w:p w:rsidR="00976CE5" w:rsidRPr="00435936" w:rsidRDefault="00976CE5" w:rsidP="00976CE5">
            <w:pPr>
              <w:pStyle w:val="Normal1linespace"/>
              <w:widowControl w:val="0"/>
              <w:jc w:val="left"/>
            </w:pPr>
            <w:r w:rsidRPr="00976CE5">
              <w:rPr>
                <w:bCs/>
                <w:lang w:val="en-US"/>
              </w:rPr>
              <w:t>Regulator and Consumer</w:t>
            </w:r>
            <w:r>
              <w:t xml:space="preserve"> Protection</w:t>
            </w:r>
          </w:p>
        </w:tc>
      </w:tr>
      <w:tr w:rsidR="00976CE5" w:rsidTr="00976CE5">
        <w:tc>
          <w:tcPr>
            <w:tcW w:w="3085" w:type="dxa"/>
            <w:shd w:val="clear" w:color="auto" w:fill="auto"/>
          </w:tcPr>
          <w:p w:rsidR="00976CE5" w:rsidRDefault="00976CE5" w:rsidP="00976CE5">
            <w:pPr>
              <w:pStyle w:val="Normal1linespace"/>
              <w:widowControl w:val="0"/>
              <w:jc w:val="left"/>
            </w:pPr>
          </w:p>
        </w:tc>
        <w:tc>
          <w:tcPr>
            <w:tcW w:w="5989" w:type="dxa"/>
            <w:shd w:val="clear" w:color="auto" w:fill="auto"/>
          </w:tcPr>
          <w:p w:rsidR="00976CE5" w:rsidRDefault="00976CE5" w:rsidP="00976CE5">
            <w:pPr>
              <w:pStyle w:val="Normal1linespace"/>
              <w:widowControl w:val="0"/>
              <w:jc w:val="left"/>
              <w:rPr>
                <w:b/>
              </w:rPr>
            </w:pPr>
          </w:p>
        </w:tc>
      </w:tr>
      <w:tr w:rsidR="00976CE5" w:rsidTr="00976CE5">
        <w:tc>
          <w:tcPr>
            <w:tcW w:w="3085" w:type="dxa"/>
            <w:shd w:val="clear" w:color="auto" w:fill="auto"/>
          </w:tcPr>
          <w:p w:rsidR="00976CE5" w:rsidRDefault="00976CE5" w:rsidP="00976CE5">
            <w:pPr>
              <w:pStyle w:val="Normal1linespace"/>
              <w:widowControl w:val="0"/>
              <w:jc w:val="left"/>
            </w:pPr>
            <w:r>
              <w:lastRenderedPageBreak/>
              <w:t>Category:</w:t>
            </w:r>
          </w:p>
        </w:tc>
        <w:tc>
          <w:tcPr>
            <w:tcW w:w="5989" w:type="dxa"/>
            <w:shd w:val="clear" w:color="auto" w:fill="auto"/>
          </w:tcPr>
          <w:p w:rsidR="00976CE5" w:rsidRDefault="00976CE5" w:rsidP="00976CE5">
            <w:pPr>
              <w:pStyle w:val="Normal1linespace"/>
              <w:widowControl w:val="0"/>
              <w:jc w:val="left"/>
            </w:pPr>
            <w:r>
              <w:t>Catchwords</w:t>
            </w:r>
          </w:p>
        </w:tc>
      </w:tr>
      <w:tr w:rsidR="00976CE5" w:rsidTr="00976CE5">
        <w:tc>
          <w:tcPr>
            <w:tcW w:w="3085" w:type="dxa"/>
            <w:shd w:val="clear" w:color="auto" w:fill="auto"/>
          </w:tcPr>
          <w:p w:rsidR="00976CE5" w:rsidRDefault="00976CE5" w:rsidP="00976CE5">
            <w:pPr>
              <w:pStyle w:val="Normal1linespace"/>
              <w:widowControl w:val="0"/>
              <w:jc w:val="left"/>
            </w:pPr>
          </w:p>
        </w:tc>
        <w:tc>
          <w:tcPr>
            <w:tcW w:w="5989" w:type="dxa"/>
            <w:shd w:val="clear" w:color="auto" w:fill="auto"/>
          </w:tcPr>
          <w:p w:rsidR="00976CE5" w:rsidRDefault="00976CE5" w:rsidP="00976CE5">
            <w:pPr>
              <w:pStyle w:val="Normal1linespace"/>
              <w:widowControl w:val="0"/>
              <w:jc w:val="left"/>
            </w:pPr>
          </w:p>
        </w:tc>
      </w:tr>
      <w:tr w:rsidR="00976CE5" w:rsidTr="00976CE5">
        <w:tc>
          <w:tcPr>
            <w:tcW w:w="3085" w:type="dxa"/>
            <w:shd w:val="clear" w:color="auto" w:fill="auto"/>
          </w:tcPr>
          <w:p w:rsidR="00976CE5" w:rsidRDefault="00976CE5" w:rsidP="00976CE5">
            <w:pPr>
              <w:pStyle w:val="Normal1linespace"/>
              <w:widowControl w:val="0"/>
              <w:jc w:val="left"/>
            </w:pPr>
            <w:r>
              <w:t>Number of paragraphs:</w:t>
            </w:r>
          </w:p>
        </w:tc>
        <w:tc>
          <w:tcPr>
            <w:tcW w:w="5989" w:type="dxa"/>
            <w:shd w:val="clear" w:color="auto" w:fill="auto"/>
          </w:tcPr>
          <w:p w:rsidR="00976CE5" w:rsidRDefault="00434667" w:rsidP="00976CE5">
            <w:pPr>
              <w:pStyle w:val="Normal1linespace"/>
              <w:widowControl w:val="0"/>
              <w:jc w:val="left"/>
            </w:pPr>
            <w:r>
              <w:t>99</w:t>
            </w:r>
          </w:p>
        </w:tc>
      </w:tr>
      <w:tr w:rsidR="00976CE5" w:rsidTr="00976CE5">
        <w:tc>
          <w:tcPr>
            <w:tcW w:w="3085" w:type="dxa"/>
            <w:shd w:val="clear" w:color="auto" w:fill="auto"/>
          </w:tcPr>
          <w:p w:rsidR="00976CE5" w:rsidRDefault="00976CE5" w:rsidP="00976CE5">
            <w:pPr>
              <w:pStyle w:val="Normal1linespace"/>
              <w:widowControl w:val="0"/>
              <w:jc w:val="left"/>
            </w:pPr>
          </w:p>
        </w:tc>
        <w:tc>
          <w:tcPr>
            <w:tcW w:w="5989" w:type="dxa"/>
            <w:shd w:val="clear" w:color="auto" w:fill="auto"/>
          </w:tcPr>
          <w:p w:rsidR="00976CE5" w:rsidRDefault="00976CE5" w:rsidP="00976CE5">
            <w:pPr>
              <w:pStyle w:val="Normal1linespace"/>
              <w:widowControl w:val="0"/>
              <w:jc w:val="left"/>
            </w:pPr>
          </w:p>
        </w:tc>
      </w:tr>
      <w:tr w:rsidR="000A6200" w:rsidTr="000A6200">
        <w:tc>
          <w:tcPr>
            <w:tcW w:w="3085" w:type="dxa"/>
            <w:shd w:val="clear" w:color="auto" w:fill="auto"/>
          </w:tcPr>
          <w:p w:rsidR="000A6200" w:rsidRDefault="000A6200" w:rsidP="000A6200">
            <w:pPr>
              <w:pStyle w:val="Normal1linespace"/>
              <w:widowControl w:val="0"/>
              <w:jc w:val="left"/>
            </w:pPr>
            <w:bookmarkStart w:id="7" w:name="Counsel" w:colFirst="0" w:colLast="2"/>
            <w:r>
              <w:t>Counsel for the Applicant:</w:t>
            </w:r>
          </w:p>
        </w:tc>
        <w:tc>
          <w:tcPr>
            <w:tcW w:w="5989" w:type="dxa"/>
            <w:shd w:val="clear" w:color="auto" w:fill="auto"/>
          </w:tcPr>
          <w:p w:rsidR="000A6200" w:rsidRDefault="006F1F0E" w:rsidP="00B73E52">
            <w:pPr>
              <w:pStyle w:val="Normal1linespace"/>
              <w:widowControl w:val="0"/>
              <w:jc w:val="left"/>
            </w:pPr>
            <w:bookmarkStart w:id="8" w:name="AppCounsel"/>
            <w:bookmarkEnd w:id="8"/>
            <w:r w:rsidRPr="006F1F0E">
              <w:t>Ms K</w:t>
            </w:r>
            <w:r w:rsidR="00B73E52">
              <w:t>F</w:t>
            </w:r>
            <w:r w:rsidRPr="006F1F0E">
              <w:t xml:space="preserve"> Banks-Smith SC with Mr JL Clark</w:t>
            </w:r>
          </w:p>
        </w:tc>
      </w:tr>
      <w:bookmarkEnd w:id="7"/>
      <w:tr w:rsidR="00976CE5" w:rsidTr="00976CE5">
        <w:tc>
          <w:tcPr>
            <w:tcW w:w="3085" w:type="dxa"/>
            <w:shd w:val="clear" w:color="auto" w:fill="auto"/>
          </w:tcPr>
          <w:p w:rsidR="00976CE5" w:rsidRDefault="00976CE5" w:rsidP="00976CE5">
            <w:pPr>
              <w:pStyle w:val="Normal1linespace"/>
              <w:widowControl w:val="0"/>
              <w:jc w:val="left"/>
            </w:pPr>
          </w:p>
        </w:tc>
        <w:tc>
          <w:tcPr>
            <w:tcW w:w="5989" w:type="dxa"/>
            <w:shd w:val="clear" w:color="auto" w:fill="auto"/>
          </w:tcPr>
          <w:p w:rsidR="00976CE5" w:rsidRDefault="00976CE5" w:rsidP="00976CE5">
            <w:pPr>
              <w:pStyle w:val="Normal1linespace"/>
              <w:widowControl w:val="0"/>
              <w:jc w:val="left"/>
            </w:pPr>
          </w:p>
        </w:tc>
      </w:tr>
      <w:tr w:rsidR="00976CE5" w:rsidTr="00976CE5">
        <w:tc>
          <w:tcPr>
            <w:tcW w:w="3085" w:type="dxa"/>
            <w:shd w:val="clear" w:color="auto" w:fill="auto"/>
          </w:tcPr>
          <w:p w:rsidR="00976CE5" w:rsidRDefault="000A6200" w:rsidP="00976CE5">
            <w:pPr>
              <w:pStyle w:val="Normal1linespace"/>
              <w:widowControl w:val="0"/>
              <w:jc w:val="left"/>
            </w:pPr>
            <w:r>
              <w:t>Solicitor for the Applicant:</w:t>
            </w:r>
          </w:p>
        </w:tc>
        <w:tc>
          <w:tcPr>
            <w:tcW w:w="5989" w:type="dxa"/>
            <w:shd w:val="clear" w:color="auto" w:fill="auto"/>
          </w:tcPr>
          <w:p w:rsidR="00976CE5" w:rsidRDefault="006F1F0E" w:rsidP="00976CE5">
            <w:pPr>
              <w:pStyle w:val="Normal1linespace"/>
              <w:widowControl w:val="0"/>
              <w:jc w:val="left"/>
            </w:pPr>
            <w:r w:rsidRPr="006F1F0E">
              <w:t>Webb Henderson</w:t>
            </w:r>
          </w:p>
        </w:tc>
      </w:tr>
      <w:tr w:rsidR="00976CE5" w:rsidTr="00976CE5">
        <w:tc>
          <w:tcPr>
            <w:tcW w:w="3085" w:type="dxa"/>
            <w:shd w:val="clear" w:color="auto" w:fill="auto"/>
          </w:tcPr>
          <w:p w:rsidR="00976CE5" w:rsidRDefault="00976CE5" w:rsidP="00976CE5">
            <w:pPr>
              <w:pStyle w:val="Normal1linespace"/>
              <w:widowControl w:val="0"/>
              <w:jc w:val="left"/>
            </w:pPr>
          </w:p>
        </w:tc>
        <w:tc>
          <w:tcPr>
            <w:tcW w:w="5989" w:type="dxa"/>
            <w:shd w:val="clear" w:color="auto" w:fill="auto"/>
          </w:tcPr>
          <w:p w:rsidR="00976CE5" w:rsidRDefault="00976CE5" w:rsidP="00976CE5">
            <w:pPr>
              <w:pStyle w:val="Normal1linespace"/>
              <w:widowControl w:val="0"/>
              <w:jc w:val="left"/>
            </w:pPr>
          </w:p>
        </w:tc>
      </w:tr>
      <w:tr w:rsidR="00976CE5" w:rsidTr="00976CE5">
        <w:tc>
          <w:tcPr>
            <w:tcW w:w="3085" w:type="dxa"/>
            <w:shd w:val="clear" w:color="auto" w:fill="auto"/>
          </w:tcPr>
          <w:p w:rsidR="00976CE5" w:rsidRDefault="000A6200" w:rsidP="00976CE5">
            <w:pPr>
              <w:pStyle w:val="Normal1linespace"/>
              <w:widowControl w:val="0"/>
              <w:jc w:val="left"/>
            </w:pPr>
            <w:r>
              <w:t>Counsel for the Respondent:</w:t>
            </w:r>
          </w:p>
        </w:tc>
        <w:tc>
          <w:tcPr>
            <w:tcW w:w="5989" w:type="dxa"/>
            <w:shd w:val="clear" w:color="auto" w:fill="auto"/>
          </w:tcPr>
          <w:p w:rsidR="00976CE5" w:rsidRDefault="006F1F0E" w:rsidP="00976CE5">
            <w:pPr>
              <w:pStyle w:val="Normal1linespace"/>
              <w:widowControl w:val="0"/>
              <w:jc w:val="left"/>
            </w:pPr>
            <w:r w:rsidRPr="006F1F0E">
              <w:t>Mr M Darke SC with Mr D Klineberg</w:t>
            </w:r>
          </w:p>
        </w:tc>
      </w:tr>
      <w:tr w:rsidR="00976CE5" w:rsidTr="00976CE5">
        <w:tc>
          <w:tcPr>
            <w:tcW w:w="3085" w:type="dxa"/>
            <w:shd w:val="clear" w:color="auto" w:fill="auto"/>
          </w:tcPr>
          <w:p w:rsidR="00976CE5" w:rsidRDefault="00976CE5" w:rsidP="00976CE5">
            <w:pPr>
              <w:pStyle w:val="Normal1linespace"/>
              <w:widowControl w:val="0"/>
              <w:jc w:val="left"/>
            </w:pPr>
          </w:p>
        </w:tc>
        <w:tc>
          <w:tcPr>
            <w:tcW w:w="5989" w:type="dxa"/>
            <w:shd w:val="clear" w:color="auto" w:fill="auto"/>
          </w:tcPr>
          <w:p w:rsidR="00976CE5" w:rsidRDefault="00976CE5" w:rsidP="00976CE5">
            <w:pPr>
              <w:pStyle w:val="Normal1linespace"/>
              <w:widowControl w:val="0"/>
              <w:jc w:val="left"/>
            </w:pPr>
          </w:p>
        </w:tc>
      </w:tr>
      <w:tr w:rsidR="00976CE5" w:rsidTr="00976CE5">
        <w:tc>
          <w:tcPr>
            <w:tcW w:w="3085" w:type="dxa"/>
            <w:shd w:val="clear" w:color="auto" w:fill="auto"/>
          </w:tcPr>
          <w:p w:rsidR="00976CE5" w:rsidRDefault="000A6200" w:rsidP="00976CE5">
            <w:pPr>
              <w:pStyle w:val="Normal1linespace"/>
              <w:widowControl w:val="0"/>
              <w:jc w:val="left"/>
            </w:pPr>
            <w:r>
              <w:t>Solicitor for the Respondent:</w:t>
            </w:r>
          </w:p>
        </w:tc>
        <w:tc>
          <w:tcPr>
            <w:tcW w:w="5989" w:type="dxa"/>
            <w:shd w:val="clear" w:color="auto" w:fill="auto"/>
          </w:tcPr>
          <w:p w:rsidR="00976CE5" w:rsidRDefault="006F1F0E" w:rsidP="00976CE5">
            <w:pPr>
              <w:pStyle w:val="Normal1linespace"/>
              <w:widowControl w:val="0"/>
              <w:jc w:val="left"/>
            </w:pPr>
            <w:r w:rsidRPr="006F1F0E">
              <w:t>Allen &amp; Overy</w:t>
            </w:r>
          </w:p>
        </w:tc>
      </w:tr>
      <w:tr w:rsidR="00976CE5" w:rsidTr="00976CE5">
        <w:tc>
          <w:tcPr>
            <w:tcW w:w="3085" w:type="dxa"/>
            <w:shd w:val="clear" w:color="auto" w:fill="auto"/>
          </w:tcPr>
          <w:p w:rsidR="00976CE5" w:rsidRDefault="00976CE5" w:rsidP="00976CE5">
            <w:pPr>
              <w:pStyle w:val="Normal1linespace"/>
              <w:widowControl w:val="0"/>
              <w:jc w:val="left"/>
            </w:pPr>
          </w:p>
        </w:tc>
        <w:tc>
          <w:tcPr>
            <w:tcW w:w="5989" w:type="dxa"/>
            <w:shd w:val="clear" w:color="auto" w:fill="auto"/>
          </w:tcPr>
          <w:p w:rsidR="00976CE5" w:rsidRDefault="00976CE5" w:rsidP="00976CE5">
            <w:pPr>
              <w:pStyle w:val="Normal1linespace"/>
              <w:widowControl w:val="0"/>
              <w:jc w:val="left"/>
            </w:pPr>
          </w:p>
        </w:tc>
      </w:tr>
    </w:tbl>
    <w:p w:rsidR="00395B24" w:rsidRDefault="00395B24">
      <w:pPr>
        <w:pStyle w:val="Normal1linespace"/>
      </w:pPr>
    </w:p>
    <w:p w:rsidR="0092590B" w:rsidRDefault="0092590B">
      <w:pPr>
        <w:pStyle w:val="Normal1linespace"/>
      </w:pPr>
    </w:p>
    <w:p w:rsidR="00395B24" w:rsidRDefault="00395B24">
      <w:pPr>
        <w:pStyle w:val="Normal1linespace"/>
        <w:sectPr w:rsidR="00395B24">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976CE5" w:rsidP="00F92355">
            <w:pPr>
              <w:pStyle w:val="NormalHeadings"/>
              <w:jc w:val="right"/>
            </w:pPr>
            <w:bookmarkStart w:id="9" w:name="FileNo"/>
            <w:r>
              <w:t>NSD 180 of 2015</w:t>
            </w:r>
            <w:bookmarkEnd w:id="9"/>
          </w:p>
        </w:tc>
      </w:tr>
      <w:tr w:rsidR="00A76C13" w:rsidTr="000A2815">
        <w:tc>
          <w:tcPr>
            <w:tcW w:w="9242" w:type="dxa"/>
            <w:gridSpan w:val="3"/>
          </w:tcPr>
          <w:p w:rsidR="00A76C13" w:rsidRPr="00A76C13" w:rsidRDefault="00976CE5" w:rsidP="00976CE5">
            <w:pPr>
              <w:pStyle w:val="NormalHeadings"/>
              <w:jc w:val="left"/>
            </w:pPr>
            <w:bookmarkStart w:id="10" w:name="InTheMatterOf"/>
            <w:r>
              <w:t xml:space="preserve"> </w:t>
            </w:r>
            <w:bookmarkEnd w:id="10"/>
          </w:p>
        </w:tc>
      </w:tr>
      <w:tr w:rsidR="00A46CCC" w:rsidTr="000A2815">
        <w:trPr>
          <w:trHeight w:val="386"/>
        </w:trPr>
        <w:tc>
          <w:tcPr>
            <w:tcW w:w="2376" w:type="dxa"/>
          </w:tcPr>
          <w:p w:rsidR="00A46CCC" w:rsidRDefault="00A46CCC" w:rsidP="000A2815">
            <w:pPr>
              <w:pStyle w:val="NormalHeadings"/>
              <w:jc w:val="left"/>
              <w:rPr>
                <w:caps/>
                <w:szCs w:val="24"/>
              </w:rPr>
            </w:pPr>
            <w:bookmarkStart w:id="11" w:name="Parties"/>
            <w:r>
              <w:rPr>
                <w:caps/>
                <w:szCs w:val="24"/>
              </w:rPr>
              <w:t>BETWEEN:</w:t>
            </w:r>
          </w:p>
        </w:tc>
        <w:tc>
          <w:tcPr>
            <w:tcW w:w="6866" w:type="dxa"/>
            <w:gridSpan w:val="2"/>
          </w:tcPr>
          <w:p w:rsidR="00976CE5" w:rsidRDefault="00976CE5" w:rsidP="00976CE5">
            <w:pPr>
              <w:pStyle w:val="NormalHeadings"/>
              <w:jc w:val="left"/>
            </w:pPr>
            <w:bookmarkStart w:id="12" w:name="Applicant"/>
            <w:r>
              <w:t>AUSTRALIAN COMPETITION AND CONSUMER COMMISSION</w:t>
            </w:r>
          </w:p>
          <w:p w:rsidR="00976CE5" w:rsidRDefault="00976CE5" w:rsidP="00976CE5">
            <w:pPr>
              <w:pStyle w:val="PartyType"/>
            </w:pPr>
            <w:r>
              <w:t>Applicant</w:t>
            </w:r>
          </w:p>
          <w:bookmarkEnd w:id="12"/>
          <w:p w:rsidR="00A46CCC" w:rsidRPr="006555B4" w:rsidRDefault="00A46CCC" w:rsidP="000A2815">
            <w:pPr>
              <w:pStyle w:val="NormalHeadings"/>
              <w:jc w:val="left"/>
            </w:pPr>
          </w:p>
        </w:tc>
      </w:tr>
      <w:tr w:rsidR="00A46CCC" w:rsidTr="000A2815">
        <w:trPr>
          <w:trHeight w:val="386"/>
        </w:trPr>
        <w:tc>
          <w:tcPr>
            <w:tcW w:w="2376" w:type="dxa"/>
          </w:tcPr>
          <w:p w:rsidR="00A46CCC" w:rsidRDefault="00A46CCC" w:rsidP="000A2815">
            <w:pPr>
              <w:pStyle w:val="NormalHeadings"/>
              <w:jc w:val="left"/>
              <w:rPr>
                <w:caps/>
                <w:szCs w:val="24"/>
              </w:rPr>
            </w:pPr>
            <w:r>
              <w:rPr>
                <w:caps/>
                <w:szCs w:val="24"/>
              </w:rPr>
              <w:t>AND:</w:t>
            </w:r>
          </w:p>
        </w:tc>
        <w:tc>
          <w:tcPr>
            <w:tcW w:w="6866" w:type="dxa"/>
            <w:gridSpan w:val="2"/>
          </w:tcPr>
          <w:p w:rsidR="00976CE5" w:rsidRDefault="00976CE5" w:rsidP="00976CE5">
            <w:pPr>
              <w:pStyle w:val="NormalHeadings"/>
              <w:jc w:val="left"/>
            </w:pPr>
            <w:bookmarkStart w:id="13" w:name="Respondent"/>
            <w:r>
              <w:t>RECKITT BENCKISER (AUSTRALIA) PTY LTD</w:t>
            </w:r>
          </w:p>
          <w:p w:rsidR="00976CE5" w:rsidRDefault="00976CE5" w:rsidP="00976CE5">
            <w:pPr>
              <w:pStyle w:val="PartyType"/>
            </w:pPr>
            <w:r>
              <w:t>Respondent</w:t>
            </w:r>
          </w:p>
          <w:bookmarkEnd w:id="13"/>
          <w:p w:rsidR="00A46CCC" w:rsidRPr="006555B4" w:rsidRDefault="00A46CCC" w:rsidP="000A2815">
            <w:pPr>
              <w:pStyle w:val="NormalHeadings"/>
              <w:jc w:val="left"/>
            </w:pPr>
          </w:p>
        </w:tc>
      </w:tr>
    </w:tbl>
    <w:p w:rsidR="00395B24" w:rsidRDefault="00395B24">
      <w:pPr>
        <w:pStyle w:val="NormalHeadings"/>
      </w:pPr>
      <w:bookmarkStart w:id="14" w:name="CrossClaimPosition"/>
      <w:bookmarkEnd w:id="11"/>
      <w:bookmarkEnd w:id="14"/>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976CE5">
            <w:pPr>
              <w:pStyle w:val="NormalHeadings"/>
              <w:spacing w:after="120"/>
              <w:jc w:val="left"/>
              <w:rPr>
                <w:caps/>
                <w:szCs w:val="24"/>
              </w:rPr>
            </w:pPr>
            <w:bookmarkStart w:id="15" w:name="JudgeText"/>
            <w:r>
              <w:rPr>
                <w:caps/>
                <w:szCs w:val="24"/>
              </w:rPr>
              <w:t>JUDGE</w:t>
            </w:r>
            <w:bookmarkEnd w:id="15"/>
            <w:r w:rsidR="002C7385">
              <w:rPr>
                <w:caps/>
                <w:szCs w:val="24"/>
              </w:rPr>
              <w:t>:</w:t>
            </w:r>
          </w:p>
        </w:tc>
        <w:tc>
          <w:tcPr>
            <w:tcW w:w="6866" w:type="dxa"/>
          </w:tcPr>
          <w:p w:rsidR="00395B24" w:rsidRDefault="00976CE5">
            <w:pPr>
              <w:pStyle w:val="NormalHeadings"/>
              <w:jc w:val="left"/>
              <w:rPr>
                <w:caps/>
                <w:szCs w:val="24"/>
              </w:rPr>
            </w:pPr>
            <w:bookmarkStart w:id="16" w:name="Judge"/>
            <w:r>
              <w:rPr>
                <w:caps/>
                <w:szCs w:val="24"/>
              </w:rPr>
              <w:t>EDELMAN J</w:t>
            </w:r>
            <w:bookmarkEnd w:id="16"/>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A166E6">
            <w:pPr>
              <w:pStyle w:val="NormalHeadings"/>
              <w:jc w:val="left"/>
              <w:rPr>
                <w:caps/>
                <w:szCs w:val="24"/>
              </w:rPr>
            </w:pPr>
            <w:bookmarkStart w:id="17" w:name="Judgment_Dated"/>
            <w:r>
              <w:rPr>
                <w:caps/>
                <w:szCs w:val="24"/>
              </w:rPr>
              <w:t>29</w:t>
            </w:r>
            <w:r w:rsidR="00976CE5">
              <w:rPr>
                <w:caps/>
                <w:szCs w:val="24"/>
              </w:rPr>
              <w:t xml:space="preserve"> APRIL 2016</w:t>
            </w:r>
            <w:bookmarkEnd w:id="17"/>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636871" w:rsidRDefault="00F97B9D" w:rsidP="00F97B9D">
      <w:pPr>
        <w:pStyle w:val="Order1"/>
        <w:numPr>
          <w:ilvl w:val="0"/>
          <w:numId w:val="0"/>
        </w:numPr>
        <w:ind w:left="720" w:hanging="720"/>
      </w:pPr>
      <w:bookmarkStart w:id="18" w:name="Order_Start_Text"/>
      <w:bookmarkEnd w:id="18"/>
      <w:r>
        <w:t>1.</w:t>
      </w:r>
      <w:r>
        <w:tab/>
      </w:r>
      <w:r w:rsidR="00A166E6">
        <w:t xml:space="preserve">For the contraventions of </w:t>
      </w:r>
      <w:r w:rsidR="00BC25A5">
        <w:t xml:space="preserve">s 33 of </w:t>
      </w:r>
      <w:r w:rsidR="00A166E6">
        <w:t xml:space="preserve">the </w:t>
      </w:r>
      <w:r w:rsidR="00A166E6">
        <w:rPr>
          <w:i/>
        </w:rPr>
        <w:t>Australian Consumer Law</w:t>
      </w:r>
      <w:r w:rsidR="00BC25A5">
        <w:rPr>
          <w:i/>
        </w:rPr>
        <w:t xml:space="preserve"> </w:t>
      </w:r>
      <w:r w:rsidR="00BC25A5">
        <w:t xml:space="preserve">(schedule 2 to the </w:t>
      </w:r>
      <w:r w:rsidR="00BC25A5">
        <w:rPr>
          <w:i/>
        </w:rPr>
        <w:t xml:space="preserve">Competition and Consumer Act 2010 </w:t>
      </w:r>
      <w:r w:rsidR="00BC25A5">
        <w:t>(Cth))</w:t>
      </w:r>
      <w:r w:rsidR="00A166E6">
        <w:rPr>
          <w:i/>
        </w:rPr>
        <w:t xml:space="preserve"> </w:t>
      </w:r>
      <w:r w:rsidR="00A166E6">
        <w:t xml:space="preserve">the respondent pay to the Commonwealth of Australia within 30 days a pecuniary penalty of </w:t>
      </w:r>
      <w:r w:rsidR="00BC25A5">
        <w:t>$1,7</w:t>
      </w:r>
      <w:r w:rsidR="00AC3B6F">
        <w:t>00,000</w:t>
      </w:r>
    </w:p>
    <w:p w:rsidR="00395B24" w:rsidRDefault="00395B24" w:rsidP="002B0E91">
      <w:pPr>
        <w:pStyle w:val="BodyText"/>
      </w:pPr>
    </w:p>
    <w:p w:rsidR="000F479A" w:rsidRDefault="000F479A" w:rsidP="002B0E91">
      <w:pPr>
        <w:pStyle w:val="BodyText"/>
      </w:pPr>
    </w:p>
    <w:p w:rsidR="000F479A" w:rsidRDefault="000F479A" w:rsidP="002B0E91">
      <w:pPr>
        <w:pStyle w:val="BodyText"/>
      </w:pPr>
    </w:p>
    <w:p w:rsidR="000F479A" w:rsidRDefault="000F479A" w:rsidP="002B0E91">
      <w:pPr>
        <w:pStyle w:val="BodyText"/>
      </w:pPr>
    </w:p>
    <w:p w:rsidR="000F479A" w:rsidRDefault="000F479A" w:rsidP="005B3E95">
      <w:pPr>
        <w:pStyle w:val="BodyText"/>
      </w:pPr>
    </w:p>
    <w:p w:rsidR="000F479A" w:rsidRDefault="000F479A" w:rsidP="002B0E91">
      <w:pPr>
        <w:pStyle w:val="BodyText"/>
      </w:pPr>
    </w:p>
    <w:p w:rsidR="000F479A" w:rsidRDefault="000F479A"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5B3E95" w:rsidRDefault="005B3E95" w:rsidP="00A0294A">
      <w:pPr>
        <w:pStyle w:val="BodyText"/>
      </w:pPr>
    </w:p>
    <w:p w:rsidR="007F4AC5" w:rsidRDefault="007F4AC5" w:rsidP="00A0294A">
      <w:pPr>
        <w:pStyle w:val="BodyText"/>
      </w:pPr>
    </w:p>
    <w:p w:rsidR="005B3E95" w:rsidRDefault="005B3E95" w:rsidP="00A0294A">
      <w:pPr>
        <w:pStyle w:val="BodyText"/>
        <w:rPr>
          <w:b/>
        </w:rPr>
        <w:sectPr w:rsidR="005B3E95">
          <w:headerReference w:type="default" r:id="rId15"/>
          <w:headerReference w:type="first" r:id="rId16"/>
          <w:endnotePr>
            <w:numFmt w:val="decimal"/>
          </w:endnotePr>
          <w:pgSz w:w="11907" w:h="16840" w:code="9"/>
          <w:pgMar w:top="1440" w:right="1440" w:bottom="1440" w:left="1440" w:header="851" w:footer="851" w:gutter="0"/>
          <w:pgNumType w:start="1"/>
          <w:cols w:space="720"/>
          <w:noEndnote/>
          <w:titlePg/>
        </w:sectPr>
      </w:pPr>
    </w:p>
    <w:p w:rsidR="00484F6D" w:rsidRDefault="00484F6D" w:rsidP="00045BB7">
      <w:pPr>
        <w:pStyle w:val="NormalHeadings"/>
        <w:spacing w:line="480" w:lineRule="auto"/>
        <w:jc w:val="center"/>
        <w:rPr>
          <w:sz w:val="28"/>
          <w:szCs w:val="28"/>
        </w:rPr>
      </w:pPr>
      <w:bookmarkStart w:id="19" w:name="ReasonsPage"/>
      <w:bookmarkEnd w:id="19"/>
      <w:r w:rsidRPr="00045BB7">
        <w:rPr>
          <w:sz w:val="28"/>
          <w:szCs w:val="28"/>
        </w:rPr>
        <w:lastRenderedPageBreak/>
        <w:t>REASONS FOR JUDGMENT</w:t>
      </w:r>
    </w:p>
    <w:tbl>
      <w:tblPr>
        <w:tblW w:w="9627" w:type="dxa"/>
        <w:tblLook w:val="01E0" w:firstRow="1" w:lastRow="1" w:firstColumn="1" w:lastColumn="1" w:noHBand="0" w:noVBand="0"/>
      </w:tblPr>
      <w:tblGrid>
        <w:gridCol w:w="8627"/>
        <w:gridCol w:w="1000"/>
      </w:tblGrid>
      <w:tr w:rsidR="00434667" w:rsidRPr="00D326DB" w:rsidTr="00434667">
        <w:tc>
          <w:tcPr>
            <w:tcW w:w="8627" w:type="dxa"/>
            <w:shd w:val="clear" w:color="auto" w:fill="auto"/>
          </w:tcPr>
          <w:bookmarkStart w:id="20" w:name="PTOC"/>
          <w:p w:rsidR="00434667" w:rsidRPr="00434667" w:rsidRDefault="00434667" w:rsidP="00434667">
            <w:pPr>
              <w:pStyle w:val="FTOC2"/>
              <w:tabs>
                <w:tab w:val="clear" w:pos="9072"/>
              </w:tabs>
              <w:rPr>
                <w:lang w:eastAsia="en-AU"/>
              </w:rPr>
            </w:pPr>
            <w:r>
              <w:rPr>
                <w:lang w:eastAsia="en-AU"/>
              </w:rPr>
              <w:fldChar w:fldCharType="begin"/>
            </w:r>
            <w:r>
              <w:rPr>
                <w:lang w:eastAsia="en-AU"/>
              </w:rPr>
              <w:instrText xml:space="preserve"> REF _Ref448328057 \h </w:instrText>
            </w:r>
            <w:r>
              <w:rPr>
                <w:lang w:eastAsia="en-AU"/>
              </w:rPr>
            </w:r>
            <w:r>
              <w:rPr>
                <w:lang w:eastAsia="en-AU"/>
              </w:rPr>
              <w:fldChar w:fldCharType="separate"/>
            </w:r>
            <w:r>
              <w:t>Introduction</w:t>
            </w:r>
            <w:r>
              <w:rPr>
                <w:lang w:eastAsia="en-AU"/>
              </w:rPr>
              <w:fldChar w:fldCharType="end"/>
            </w:r>
          </w:p>
        </w:tc>
        <w:tc>
          <w:tcPr>
            <w:tcW w:w="1000" w:type="dxa"/>
            <w:shd w:val="clear" w:color="auto" w:fill="auto"/>
            <w:vAlign w:val="bottom"/>
          </w:tcPr>
          <w:p w:rsidR="00434667" w:rsidRDefault="00434667">
            <w:pPr>
              <w:jc w:val="right"/>
              <w:rPr>
                <w:szCs w:val="24"/>
              </w:rPr>
            </w:pPr>
            <w:r>
              <w:rPr>
                <w:szCs w:val="24"/>
              </w:rPr>
              <w:t>[1]</w:t>
            </w:r>
          </w:p>
        </w:tc>
      </w:tr>
      <w:tr w:rsidR="00434667" w:rsidRPr="00D326DB" w:rsidTr="00434667">
        <w:tc>
          <w:tcPr>
            <w:tcW w:w="8627" w:type="dxa"/>
            <w:shd w:val="clear" w:color="auto" w:fill="auto"/>
          </w:tcPr>
          <w:p w:rsidR="00434667" w:rsidRPr="00434667" w:rsidRDefault="00434667" w:rsidP="00434667">
            <w:pPr>
              <w:pStyle w:val="FTOC2"/>
              <w:tabs>
                <w:tab w:val="clear" w:pos="9072"/>
              </w:tabs>
              <w:rPr>
                <w:lang w:eastAsia="en-AU"/>
              </w:rPr>
            </w:pPr>
            <w:r>
              <w:rPr>
                <w:lang w:eastAsia="en-AU"/>
              </w:rPr>
              <w:fldChar w:fldCharType="begin"/>
            </w:r>
            <w:r>
              <w:rPr>
                <w:lang w:eastAsia="en-AU"/>
              </w:rPr>
              <w:instrText xml:space="preserve"> REF _Ref448644422 \h </w:instrText>
            </w:r>
            <w:r>
              <w:rPr>
                <w:lang w:eastAsia="en-AU"/>
              </w:rPr>
            </w:r>
            <w:r>
              <w:rPr>
                <w:lang w:eastAsia="en-AU"/>
              </w:rPr>
              <w:fldChar w:fldCharType="separate"/>
            </w:r>
            <w:r>
              <w:t>The facts of the contraventions</w:t>
            </w:r>
            <w:r>
              <w:rPr>
                <w:lang w:eastAsia="en-AU"/>
              </w:rPr>
              <w:fldChar w:fldCharType="end"/>
            </w:r>
          </w:p>
        </w:tc>
        <w:tc>
          <w:tcPr>
            <w:tcW w:w="1000" w:type="dxa"/>
            <w:shd w:val="clear" w:color="auto" w:fill="auto"/>
            <w:vAlign w:val="bottom"/>
          </w:tcPr>
          <w:p w:rsidR="00434667" w:rsidRDefault="00434667">
            <w:pPr>
              <w:jc w:val="right"/>
              <w:rPr>
                <w:szCs w:val="24"/>
              </w:rPr>
            </w:pPr>
            <w:r>
              <w:rPr>
                <w:szCs w:val="24"/>
              </w:rPr>
              <w:t>[9]</w:t>
            </w:r>
          </w:p>
        </w:tc>
      </w:tr>
      <w:tr w:rsidR="00434667" w:rsidRPr="00D326DB" w:rsidTr="00434667">
        <w:tc>
          <w:tcPr>
            <w:tcW w:w="8627" w:type="dxa"/>
            <w:shd w:val="clear" w:color="auto" w:fill="auto"/>
          </w:tcPr>
          <w:p w:rsidR="00434667" w:rsidRPr="00434667" w:rsidRDefault="00434667" w:rsidP="00434667">
            <w:pPr>
              <w:pStyle w:val="FTOC2"/>
              <w:tabs>
                <w:tab w:val="clear" w:pos="9072"/>
              </w:tabs>
              <w:rPr>
                <w:lang w:eastAsia="en-AU"/>
              </w:rPr>
            </w:pPr>
            <w:r>
              <w:rPr>
                <w:lang w:eastAsia="en-AU"/>
              </w:rPr>
              <w:fldChar w:fldCharType="begin"/>
            </w:r>
            <w:r>
              <w:rPr>
                <w:lang w:eastAsia="en-AU"/>
              </w:rPr>
              <w:instrText xml:space="preserve"> REF _Ref448988093 \h </w:instrText>
            </w:r>
            <w:r>
              <w:rPr>
                <w:lang w:eastAsia="en-AU"/>
              </w:rPr>
            </w:r>
            <w:r>
              <w:rPr>
                <w:lang w:eastAsia="en-AU"/>
              </w:rPr>
              <w:fldChar w:fldCharType="separate"/>
            </w:r>
            <w:r>
              <w:t>The Packaging Representations and the Website Representations</w:t>
            </w:r>
            <w:r>
              <w:rPr>
                <w:lang w:eastAsia="en-AU"/>
              </w:rPr>
              <w:fldChar w:fldCharType="end"/>
            </w:r>
          </w:p>
        </w:tc>
        <w:tc>
          <w:tcPr>
            <w:tcW w:w="1000" w:type="dxa"/>
            <w:shd w:val="clear" w:color="auto" w:fill="auto"/>
            <w:vAlign w:val="bottom"/>
          </w:tcPr>
          <w:p w:rsidR="00434667" w:rsidRDefault="00434667">
            <w:pPr>
              <w:jc w:val="right"/>
              <w:rPr>
                <w:szCs w:val="24"/>
              </w:rPr>
            </w:pPr>
            <w:r>
              <w:rPr>
                <w:szCs w:val="24"/>
              </w:rPr>
              <w:t>[17]</w:t>
            </w:r>
          </w:p>
        </w:tc>
      </w:tr>
      <w:tr w:rsidR="00434667" w:rsidRPr="00D326DB" w:rsidTr="00434667">
        <w:tc>
          <w:tcPr>
            <w:tcW w:w="8627" w:type="dxa"/>
            <w:shd w:val="clear" w:color="auto" w:fill="auto"/>
          </w:tcPr>
          <w:p w:rsidR="00434667" w:rsidRPr="00434667" w:rsidRDefault="00434667" w:rsidP="00434667">
            <w:pPr>
              <w:pStyle w:val="FTOC3"/>
              <w:tabs>
                <w:tab w:val="clear" w:pos="9072"/>
              </w:tabs>
              <w:rPr>
                <w:i w:val="0"/>
                <w:lang w:eastAsia="en-AU"/>
              </w:rPr>
            </w:pPr>
            <w:r>
              <w:rPr>
                <w:lang w:eastAsia="en-AU"/>
              </w:rPr>
              <w:fldChar w:fldCharType="begin"/>
            </w:r>
            <w:r>
              <w:rPr>
                <w:lang w:eastAsia="en-AU"/>
              </w:rPr>
              <w:instrText xml:space="preserve"> REF _Ref448988094 \h </w:instrText>
            </w:r>
            <w:r>
              <w:rPr>
                <w:lang w:eastAsia="en-AU"/>
              </w:rPr>
            </w:r>
            <w:r>
              <w:rPr>
                <w:lang w:eastAsia="en-AU"/>
              </w:rPr>
              <w:fldChar w:fldCharType="separate"/>
            </w:r>
            <w:r>
              <w:t>The Packaging Representations</w:t>
            </w:r>
            <w:r>
              <w:rPr>
                <w:lang w:eastAsia="en-AU"/>
              </w:rPr>
              <w:fldChar w:fldCharType="end"/>
            </w:r>
          </w:p>
        </w:tc>
        <w:tc>
          <w:tcPr>
            <w:tcW w:w="1000" w:type="dxa"/>
            <w:shd w:val="clear" w:color="auto" w:fill="auto"/>
            <w:vAlign w:val="bottom"/>
          </w:tcPr>
          <w:p w:rsidR="00434667" w:rsidRDefault="00434667">
            <w:pPr>
              <w:jc w:val="right"/>
              <w:rPr>
                <w:szCs w:val="24"/>
              </w:rPr>
            </w:pPr>
            <w:r>
              <w:rPr>
                <w:szCs w:val="24"/>
              </w:rPr>
              <w:t>[17]</w:t>
            </w:r>
          </w:p>
        </w:tc>
      </w:tr>
      <w:tr w:rsidR="00434667" w:rsidRPr="00D326DB" w:rsidTr="00434667">
        <w:tc>
          <w:tcPr>
            <w:tcW w:w="8627" w:type="dxa"/>
            <w:shd w:val="clear" w:color="auto" w:fill="auto"/>
          </w:tcPr>
          <w:p w:rsidR="00434667" w:rsidRPr="00434667" w:rsidRDefault="00434667" w:rsidP="00434667">
            <w:pPr>
              <w:pStyle w:val="FTOC3"/>
              <w:tabs>
                <w:tab w:val="clear" w:pos="9072"/>
              </w:tabs>
              <w:rPr>
                <w:i w:val="0"/>
                <w:lang w:eastAsia="en-AU"/>
              </w:rPr>
            </w:pPr>
            <w:r>
              <w:rPr>
                <w:lang w:eastAsia="en-AU"/>
              </w:rPr>
              <w:fldChar w:fldCharType="begin"/>
            </w:r>
            <w:r>
              <w:rPr>
                <w:lang w:eastAsia="en-AU"/>
              </w:rPr>
              <w:instrText xml:space="preserve"> REF _Ref448988095 \h </w:instrText>
            </w:r>
            <w:r>
              <w:rPr>
                <w:lang w:eastAsia="en-AU"/>
              </w:rPr>
            </w:r>
            <w:r>
              <w:rPr>
                <w:lang w:eastAsia="en-AU"/>
              </w:rPr>
              <w:fldChar w:fldCharType="separate"/>
            </w:r>
            <w:r>
              <w:rPr>
                <w:lang w:eastAsia="en-AU"/>
              </w:rPr>
              <w:t>The Website Representations</w:t>
            </w:r>
            <w:r>
              <w:rPr>
                <w:lang w:eastAsia="en-AU"/>
              </w:rPr>
              <w:fldChar w:fldCharType="end"/>
            </w:r>
          </w:p>
        </w:tc>
        <w:tc>
          <w:tcPr>
            <w:tcW w:w="1000" w:type="dxa"/>
            <w:shd w:val="clear" w:color="auto" w:fill="auto"/>
            <w:vAlign w:val="bottom"/>
          </w:tcPr>
          <w:p w:rsidR="00434667" w:rsidRDefault="00434667">
            <w:pPr>
              <w:jc w:val="right"/>
              <w:rPr>
                <w:szCs w:val="24"/>
              </w:rPr>
            </w:pPr>
            <w:r>
              <w:rPr>
                <w:szCs w:val="24"/>
              </w:rPr>
              <w:t>[20]</w:t>
            </w:r>
          </w:p>
        </w:tc>
      </w:tr>
      <w:tr w:rsidR="00434667" w:rsidRPr="00D326DB" w:rsidTr="00434667">
        <w:tc>
          <w:tcPr>
            <w:tcW w:w="8627" w:type="dxa"/>
            <w:shd w:val="clear" w:color="auto" w:fill="auto"/>
          </w:tcPr>
          <w:p w:rsidR="00434667" w:rsidRPr="00434667" w:rsidRDefault="00434667" w:rsidP="00434667">
            <w:pPr>
              <w:pStyle w:val="FTOC2"/>
              <w:tabs>
                <w:tab w:val="clear" w:pos="9072"/>
              </w:tabs>
              <w:rPr>
                <w:lang w:eastAsia="en-AU"/>
              </w:rPr>
            </w:pPr>
            <w:r>
              <w:rPr>
                <w:lang w:eastAsia="en-AU"/>
              </w:rPr>
              <w:fldChar w:fldCharType="begin"/>
            </w:r>
            <w:r>
              <w:rPr>
                <w:lang w:eastAsia="en-AU"/>
              </w:rPr>
              <w:instrText xml:space="preserve"> REF _Ref448644423 \h </w:instrText>
            </w:r>
            <w:r>
              <w:rPr>
                <w:lang w:eastAsia="en-AU"/>
              </w:rPr>
            </w:r>
            <w:r>
              <w:rPr>
                <w:lang w:eastAsia="en-AU"/>
              </w:rPr>
              <w:fldChar w:fldCharType="separate"/>
            </w:r>
            <w:r>
              <w:t>Legal principles concerning pecuniary penalties</w:t>
            </w:r>
            <w:r>
              <w:rPr>
                <w:lang w:eastAsia="en-AU"/>
              </w:rPr>
              <w:fldChar w:fldCharType="end"/>
            </w:r>
          </w:p>
        </w:tc>
        <w:tc>
          <w:tcPr>
            <w:tcW w:w="1000" w:type="dxa"/>
            <w:shd w:val="clear" w:color="auto" w:fill="auto"/>
            <w:vAlign w:val="bottom"/>
          </w:tcPr>
          <w:p w:rsidR="00434667" w:rsidRDefault="00434667">
            <w:pPr>
              <w:jc w:val="right"/>
              <w:rPr>
                <w:szCs w:val="24"/>
              </w:rPr>
            </w:pPr>
            <w:r>
              <w:rPr>
                <w:szCs w:val="24"/>
              </w:rPr>
              <w:t>[21]</w:t>
            </w:r>
          </w:p>
        </w:tc>
      </w:tr>
      <w:tr w:rsidR="00434667" w:rsidRPr="00D326DB" w:rsidTr="00434667">
        <w:tc>
          <w:tcPr>
            <w:tcW w:w="8627" w:type="dxa"/>
            <w:shd w:val="clear" w:color="auto" w:fill="auto"/>
          </w:tcPr>
          <w:p w:rsidR="00434667" w:rsidRPr="00434667" w:rsidRDefault="00434667" w:rsidP="00434667">
            <w:pPr>
              <w:pStyle w:val="FTOC3"/>
              <w:tabs>
                <w:tab w:val="clear" w:pos="9072"/>
              </w:tabs>
              <w:rPr>
                <w:i w:val="0"/>
                <w:lang w:eastAsia="en-AU"/>
              </w:rPr>
            </w:pPr>
            <w:r>
              <w:rPr>
                <w:lang w:eastAsia="en-AU"/>
              </w:rPr>
              <w:fldChar w:fldCharType="begin"/>
            </w:r>
            <w:r>
              <w:rPr>
                <w:lang w:eastAsia="en-AU"/>
              </w:rPr>
              <w:instrText xml:space="preserve"> REF _Ref448644424 \h </w:instrText>
            </w:r>
            <w:r>
              <w:rPr>
                <w:lang w:eastAsia="en-AU"/>
              </w:rPr>
            </w:r>
            <w:r>
              <w:rPr>
                <w:lang w:eastAsia="en-AU"/>
              </w:rPr>
              <w:fldChar w:fldCharType="separate"/>
            </w:r>
            <w:r>
              <w:t>Maximum penalty, totality and courses of conduct</w:t>
            </w:r>
            <w:r>
              <w:rPr>
                <w:lang w:eastAsia="en-AU"/>
              </w:rPr>
              <w:fldChar w:fldCharType="end"/>
            </w:r>
          </w:p>
        </w:tc>
        <w:tc>
          <w:tcPr>
            <w:tcW w:w="1000" w:type="dxa"/>
            <w:shd w:val="clear" w:color="auto" w:fill="auto"/>
            <w:vAlign w:val="bottom"/>
          </w:tcPr>
          <w:p w:rsidR="00434667" w:rsidRDefault="00434667">
            <w:pPr>
              <w:jc w:val="right"/>
              <w:rPr>
                <w:szCs w:val="24"/>
              </w:rPr>
            </w:pPr>
            <w:r>
              <w:rPr>
                <w:szCs w:val="24"/>
              </w:rPr>
              <w:t>[24]</w:t>
            </w:r>
          </w:p>
        </w:tc>
      </w:tr>
      <w:tr w:rsidR="00434667" w:rsidRPr="00D326DB" w:rsidTr="00434667">
        <w:tc>
          <w:tcPr>
            <w:tcW w:w="8627" w:type="dxa"/>
            <w:shd w:val="clear" w:color="auto" w:fill="auto"/>
          </w:tcPr>
          <w:p w:rsidR="00434667" w:rsidRPr="00434667" w:rsidRDefault="00434667" w:rsidP="00434667">
            <w:pPr>
              <w:pStyle w:val="FTOC3"/>
              <w:tabs>
                <w:tab w:val="clear" w:pos="9072"/>
              </w:tabs>
              <w:rPr>
                <w:i w:val="0"/>
                <w:lang w:eastAsia="en-AU"/>
              </w:rPr>
            </w:pPr>
            <w:r>
              <w:rPr>
                <w:lang w:eastAsia="en-AU"/>
              </w:rPr>
              <w:fldChar w:fldCharType="begin"/>
            </w:r>
            <w:r>
              <w:rPr>
                <w:lang w:eastAsia="en-AU"/>
              </w:rPr>
              <w:instrText xml:space="preserve"> REF _Ref448644425 \h </w:instrText>
            </w:r>
            <w:r>
              <w:rPr>
                <w:lang w:eastAsia="en-AU"/>
              </w:rPr>
            </w:r>
            <w:r>
              <w:rPr>
                <w:lang w:eastAsia="en-AU"/>
              </w:rPr>
              <w:fldChar w:fldCharType="separate"/>
            </w:r>
            <w:r>
              <w:t>Specific and general deterrence</w:t>
            </w:r>
            <w:r>
              <w:rPr>
                <w:lang w:eastAsia="en-AU"/>
              </w:rPr>
              <w:fldChar w:fldCharType="end"/>
            </w:r>
          </w:p>
        </w:tc>
        <w:tc>
          <w:tcPr>
            <w:tcW w:w="1000" w:type="dxa"/>
            <w:shd w:val="clear" w:color="auto" w:fill="auto"/>
            <w:vAlign w:val="bottom"/>
          </w:tcPr>
          <w:p w:rsidR="00434667" w:rsidRDefault="00434667">
            <w:pPr>
              <w:jc w:val="right"/>
              <w:rPr>
                <w:szCs w:val="24"/>
              </w:rPr>
            </w:pPr>
            <w:r>
              <w:rPr>
                <w:szCs w:val="24"/>
              </w:rPr>
              <w:t>[39]</w:t>
            </w:r>
          </w:p>
        </w:tc>
      </w:tr>
      <w:tr w:rsidR="00434667" w:rsidRPr="00D326DB" w:rsidTr="00434667">
        <w:tc>
          <w:tcPr>
            <w:tcW w:w="8627" w:type="dxa"/>
            <w:shd w:val="clear" w:color="auto" w:fill="auto"/>
          </w:tcPr>
          <w:p w:rsidR="00434667" w:rsidRPr="00434667" w:rsidRDefault="00434667" w:rsidP="00434667">
            <w:pPr>
              <w:pStyle w:val="FTOC2"/>
              <w:tabs>
                <w:tab w:val="clear" w:pos="9072"/>
              </w:tabs>
              <w:rPr>
                <w:lang w:eastAsia="en-AU"/>
              </w:rPr>
            </w:pPr>
            <w:r>
              <w:rPr>
                <w:lang w:eastAsia="en-AU"/>
              </w:rPr>
              <w:fldChar w:fldCharType="begin"/>
            </w:r>
            <w:r>
              <w:rPr>
                <w:lang w:eastAsia="en-AU"/>
              </w:rPr>
              <w:instrText xml:space="preserve"> REF _Ref449683359 \h </w:instrText>
            </w:r>
            <w:r>
              <w:rPr>
                <w:lang w:eastAsia="en-AU"/>
              </w:rPr>
            </w:r>
            <w:r>
              <w:rPr>
                <w:lang w:eastAsia="en-AU"/>
              </w:rPr>
              <w:fldChar w:fldCharType="separate"/>
            </w:r>
            <w:r>
              <w:t>The particular factors relevant to penalty</w:t>
            </w:r>
            <w:r>
              <w:rPr>
                <w:lang w:eastAsia="en-AU"/>
              </w:rPr>
              <w:fldChar w:fldCharType="end"/>
            </w:r>
          </w:p>
        </w:tc>
        <w:tc>
          <w:tcPr>
            <w:tcW w:w="1000" w:type="dxa"/>
            <w:shd w:val="clear" w:color="auto" w:fill="auto"/>
            <w:vAlign w:val="bottom"/>
          </w:tcPr>
          <w:p w:rsidR="00434667" w:rsidRDefault="00434667">
            <w:pPr>
              <w:jc w:val="right"/>
              <w:rPr>
                <w:szCs w:val="24"/>
              </w:rPr>
            </w:pPr>
            <w:r>
              <w:rPr>
                <w:szCs w:val="24"/>
              </w:rPr>
              <w:t>[47]</w:t>
            </w:r>
          </w:p>
        </w:tc>
      </w:tr>
      <w:tr w:rsidR="00434667" w:rsidRPr="00D326DB" w:rsidTr="00434667">
        <w:tc>
          <w:tcPr>
            <w:tcW w:w="8627" w:type="dxa"/>
            <w:shd w:val="clear" w:color="auto" w:fill="auto"/>
          </w:tcPr>
          <w:p w:rsidR="00434667" w:rsidRPr="00434667" w:rsidRDefault="00434667" w:rsidP="00434667">
            <w:pPr>
              <w:pStyle w:val="FTOC3"/>
              <w:tabs>
                <w:tab w:val="clear" w:pos="9072"/>
              </w:tabs>
              <w:rPr>
                <w:i w:val="0"/>
                <w:lang w:eastAsia="en-AU"/>
              </w:rPr>
            </w:pPr>
            <w:r>
              <w:rPr>
                <w:lang w:eastAsia="en-AU"/>
              </w:rPr>
              <w:fldChar w:fldCharType="begin"/>
            </w:r>
            <w:r>
              <w:rPr>
                <w:lang w:eastAsia="en-AU"/>
              </w:rPr>
              <w:instrText xml:space="preserve"> REF _Ref448328060 \h </w:instrText>
            </w:r>
            <w:r>
              <w:rPr>
                <w:lang w:eastAsia="en-AU"/>
              </w:rPr>
            </w:r>
            <w:r>
              <w:rPr>
                <w:lang w:eastAsia="en-AU"/>
              </w:rPr>
              <w:fldChar w:fldCharType="separate"/>
            </w:r>
            <w:r>
              <w:t>Nature, extent and circumstances of the contravening conduct</w:t>
            </w:r>
            <w:r>
              <w:rPr>
                <w:lang w:eastAsia="en-AU"/>
              </w:rPr>
              <w:fldChar w:fldCharType="end"/>
            </w:r>
          </w:p>
        </w:tc>
        <w:tc>
          <w:tcPr>
            <w:tcW w:w="1000" w:type="dxa"/>
            <w:shd w:val="clear" w:color="auto" w:fill="auto"/>
            <w:vAlign w:val="bottom"/>
          </w:tcPr>
          <w:p w:rsidR="00434667" w:rsidRDefault="00434667">
            <w:pPr>
              <w:jc w:val="right"/>
              <w:rPr>
                <w:szCs w:val="24"/>
              </w:rPr>
            </w:pPr>
            <w:r>
              <w:rPr>
                <w:szCs w:val="24"/>
              </w:rPr>
              <w:t>[47]</w:t>
            </w:r>
          </w:p>
        </w:tc>
      </w:tr>
      <w:tr w:rsidR="00434667" w:rsidRPr="00D326DB" w:rsidTr="00434667">
        <w:tc>
          <w:tcPr>
            <w:tcW w:w="8627" w:type="dxa"/>
            <w:shd w:val="clear" w:color="auto" w:fill="auto"/>
          </w:tcPr>
          <w:p w:rsidR="00434667" w:rsidRPr="00434667" w:rsidRDefault="00434667" w:rsidP="00434667">
            <w:pPr>
              <w:pStyle w:val="FTOC3"/>
              <w:tabs>
                <w:tab w:val="clear" w:pos="9072"/>
              </w:tabs>
              <w:rPr>
                <w:i w:val="0"/>
                <w:lang w:eastAsia="en-AU"/>
              </w:rPr>
            </w:pPr>
            <w:r>
              <w:rPr>
                <w:lang w:eastAsia="en-AU"/>
              </w:rPr>
              <w:fldChar w:fldCharType="begin"/>
            </w:r>
            <w:r>
              <w:rPr>
                <w:lang w:eastAsia="en-AU"/>
              </w:rPr>
              <w:instrText xml:space="preserve"> REF _Ref448645774 \h </w:instrText>
            </w:r>
            <w:r>
              <w:rPr>
                <w:lang w:eastAsia="en-AU"/>
              </w:rPr>
            </w:r>
            <w:r>
              <w:rPr>
                <w:lang w:eastAsia="en-AU"/>
              </w:rPr>
              <w:fldChar w:fldCharType="separate"/>
            </w:r>
            <w:r>
              <w:t>Size of Reckitt Benckiser</w:t>
            </w:r>
            <w:r>
              <w:rPr>
                <w:lang w:eastAsia="en-AU"/>
              </w:rPr>
              <w:fldChar w:fldCharType="end"/>
            </w:r>
          </w:p>
        </w:tc>
        <w:tc>
          <w:tcPr>
            <w:tcW w:w="1000" w:type="dxa"/>
            <w:shd w:val="clear" w:color="auto" w:fill="auto"/>
            <w:vAlign w:val="bottom"/>
          </w:tcPr>
          <w:p w:rsidR="00434667" w:rsidRDefault="00434667">
            <w:pPr>
              <w:jc w:val="right"/>
              <w:rPr>
                <w:szCs w:val="24"/>
              </w:rPr>
            </w:pPr>
            <w:r>
              <w:rPr>
                <w:szCs w:val="24"/>
              </w:rPr>
              <w:t>[50]</w:t>
            </w:r>
          </w:p>
        </w:tc>
      </w:tr>
      <w:tr w:rsidR="00434667" w:rsidRPr="00D326DB" w:rsidTr="00434667">
        <w:tc>
          <w:tcPr>
            <w:tcW w:w="8627" w:type="dxa"/>
            <w:shd w:val="clear" w:color="auto" w:fill="auto"/>
          </w:tcPr>
          <w:p w:rsidR="00434667" w:rsidRPr="00434667" w:rsidRDefault="00434667" w:rsidP="00434667">
            <w:pPr>
              <w:pStyle w:val="FTOC3"/>
              <w:tabs>
                <w:tab w:val="clear" w:pos="9072"/>
              </w:tabs>
              <w:rPr>
                <w:i w:val="0"/>
                <w:lang w:eastAsia="en-AU"/>
              </w:rPr>
            </w:pPr>
            <w:r>
              <w:rPr>
                <w:lang w:eastAsia="en-AU"/>
              </w:rPr>
              <w:fldChar w:fldCharType="begin"/>
            </w:r>
            <w:r>
              <w:rPr>
                <w:lang w:eastAsia="en-AU"/>
              </w:rPr>
              <w:instrText xml:space="preserve"> REF _Ref448988096 \h </w:instrText>
            </w:r>
            <w:r>
              <w:rPr>
                <w:lang w:eastAsia="en-AU"/>
              </w:rPr>
            </w:r>
            <w:r>
              <w:rPr>
                <w:lang w:eastAsia="en-AU"/>
              </w:rPr>
              <w:fldChar w:fldCharType="separate"/>
            </w:r>
            <w:r>
              <w:t>Sales and profit from contravening conduct, and potential losses to consumers and competitors</w:t>
            </w:r>
            <w:r>
              <w:rPr>
                <w:lang w:eastAsia="en-AU"/>
              </w:rPr>
              <w:fldChar w:fldCharType="end"/>
            </w:r>
          </w:p>
        </w:tc>
        <w:tc>
          <w:tcPr>
            <w:tcW w:w="1000" w:type="dxa"/>
            <w:shd w:val="clear" w:color="auto" w:fill="auto"/>
            <w:vAlign w:val="bottom"/>
          </w:tcPr>
          <w:p w:rsidR="00434667" w:rsidRDefault="00434667">
            <w:pPr>
              <w:jc w:val="right"/>
              <w:rPr>
                <w:szCs w:val="24"/>
              </w:rPr>
            </w:pPr>
            <w:r>
              <w:rPr>
                <w:szCs w:val="24"/>
              </w:rPr>
              <w:t>[51]</w:t>
            </w:r>
          </w:p>
        </w:tc>
      </w:tr>
      <w:tr w:rsidR="00434667" w:rsidRPr="00D326DB" w:rsidTr="00434667">
        <w:tc>
          <w:tcPr>
            <w:tcW w:w="8627" w:type="dxa"/>
            <w:shd w:val="clear" w:color="auto" w:fill="auto"/>
          </w:tcPr>
          <w:p w:rsidR="00434667" w:rsidRPr="00434667" w:rsidRDefault="00434667" w:rsidP="00434667">
            <w:pPr>
              <w:pStyle w:val="FTOC3"/>
              <w:tabs>
                <w:tab w:val="clear" w:pos="9072"/>
              </w:tabs>
              <w:rPr>
                <w:i w:val="0"/>
                <w:lang w:eastAsia="en-AU"/>
              </w:rPr>
            </w:pPr>
            <w:r>
              <w:rPr>
                <w:lang w:eastAsia="en-AU"/>
              </w:rPr>
              <w:fldChar w:fldCharType="begin"/>
            </w:r>
            <w:r>
              <w:rPr>
                <w:lang w:eastAsia="en-AU"/>
              </w:rPr>
              <w:instrText xml:space="preserve"> REF _Ref449156390 \h </w:instrText>
            </w:r>
            <w:r>
              <w:rPr>
                <w:lang w:eastAsia="en-AU"/>
              </w:rPr>
            </w:r>
            <w:r>
              <w:rPr>
                <w:lang w:eastAsia="en-AU"/>
              </w:rPr>
              <w:fldChar w:fldCharType="separate"/>
            </w:r>
            <w:r>
              <w:t>The conduct was not</w:t>
            </w:r>
            <w:r w:rsidRPr="00994029">
              <w:rPr>
                <w:lang w:eastAsia="en-AU"/>
              </w:rPr>
              <w:t xml:space="preserve"> </w:t>
            </w:r>
            <w:r>
              <w:rPr>
                <w:lang w:eastAsia="en-AU"/>
              </w:rPr>
              <w:t>deliberate or covert</w:t>
            </w:r>
            <w:r>
              <w:rPr>
                <w:lang w:eastAsia="en-AU"/>
              </w:rPr>
              <w:fldChar w:fldCharType="end"/>
            </w:r>
          </w:p>
        </w:tc>
        <w:tc>
          <w:tcPr>
            <w:tcW w:w="1000" w:type="dxa"/>
            <w:shd w:val="clear" w:color="auto" w:fill="auto"/>
            <w:vAlign w:val="bottom"/>
          </w:tcPr>
          <w:p w:rsidR="00434667" w:rsidRDefault="00434667">
            <w:pPr>
              <w:jc w:val="right"/>
              <w:rPr>
                <w:szCs w:val="24"/>
              </w:rPr>
            </w:pPr>
            <w:r>
              <w:rPr>
                <w:szCs w:val="24"/>
              </w:rPr>
              <w:t>[67]</w:t>
            </w:r>
          </w:p>
        </w:tc>
      </w:tr>
      <w:tr w:rsidR="00434667" w:rsidRPr="00D326DB" w:rsidTr="00434667">
        <w:tc>
          <w:tcPr>
            <w:tcW w:w="8627" w:type="dxa"/>
            <w:shd w:val="clear" w:color="auto" w:fill="auto"/>
          </w:tcPr>
          <w:p w:rsidR="00434667" w:rsidRPr="00434667" w:rsidRDefault="00434667" w:rsidP="00434667">
            <w:pPr>
              <w:pStyle w:val="FTOC3"/>
              <w:tabs>
                <w:tab w:val="clear" w:pos="9072"/>
              </w:tabs>
              <w:rPr>
                <w:i w:val="0"/>
                <w:lang w:eastAsia="en-AU"/>
              </w:rPr>
            </w:pPr>
            <w:r>
              <w:rPr>
                <w:lang w:eastAsia="en-AU"/>
              </w:rPr>
              <w:fldChar w:fldCharType="begin"/>
            </w:r>
            <w:r>
              <w:rPr>
                <w:lang w:eastAsia="en-AU"/>
              </w:rPr>
              <w:instrText xml:space="preserve"> REF _Ref448328072 \h </w:instrText>
            </w:r>
            <w:r>
              <w:rPr>
                <w:lang w:eastAsia="en-AU"/>
              </w:rPr>
            </w:r>
            <w:r>
              <w:rPr>
                <w:lang w:eastAsia="en-AU"/>
              </w:rPr>
              <w:fldChar w:fldCharType="separate"/>
            </w:r>
            <w:r>
              <w:t>Cooperation with the ACCC</w:t>
            </w:r>
            <w:r>
              <w:rPr>
                <w:lang w:eastAsia="en-AU"/>
              </w:rPr>
              <w:fldChar w:fldCharType="end"/>
            </w:r>
          </w:p>
        </w:tc>
        <w:tc>
          <w:tcPr>
            <w:tcW w:w="1000" w:type="dxa"/>
            <w:shd w:val="clear" w:color="auto" w:fill="auto"/>
            <w:vAlign w:val="bottom"/>
          </w:tcPr>
          <w:p w:rsidR="00434667" w:rsidRDefault="00434667">
            <w:pPr>
              <w:jc w:val="right"/>
              <w:rPr>
                <w:szCs w:val="24"/>
              </w:rPr>
            </w:pPr>
            <w:r>
              <w:rPr>
                <w:szCs w:val="24"/>
              </w:rPr>
              <w:t>[68]</w:t>
            </w:r>
          </w:p>
        </w:tc>
      </w:tr>
      <w:tr w:rsidR="00434667" w:rsidRPr="00D326DB" w:rsidTr="00434667">
        <w:tc>
          <w:tcPr>
            <w:tcW w:w="8627" w:type="dxa"/>
            <w:shd w:val="clear" w:color="auto" w:fill="auto"/>
          </w:tcPr>
          <w:p w:rsidR="00434667" w:rsidRPr="00434667" w:rsidRDefault="00434667" w:rsidP="00434667">
            <w:pPr>
              <w:pStyle w:val="FTOC3"/>
              <w:tabs>
                <w:tab w:val="clear" w:pos="9072"/>
              </w:tabs>
              <w:rPr>
                <w:i w:val="0"/>
                <w:lang w:eastAsia="en-AU"/>
              </w:rPr>
            </w:pPr>
            <w:r>
              <w:rPr>
                <w:lang w:eastAsia="en-AU"/>
              </w:rPr>
              <w:fldChar w:fldCharType="begin"/>
            </w:r>
            <w:r>
              <w:rPr>
                <w:lang w:eastAsia="en-AU"/>
              </w:rPr>
              <w:instrText xml:space="preserve"> REF _Ref448645776 \h </w:instrText>
            </w:r>
            <w:r>
              <w:rPr>
                <w:lang w:eastAsia="en-AU"/>
              </w:rPr>
            </w:r>
            <w:r>
              <w:rPr>
                <w:lang w:eastAsia="en-AU"/>
              </w:rPr>
              <w:fldChar w:fldCharType="separate"/>
            </w:r>
            <w:r>
              <w:t>Compliance programs and the involvement of senior management</w:t>
            </w:r>
            <w:r>
              <w:rPr>
                <w:lang w:eastAsia="en-AU"/>
              </w:rPr>
              <w:fldChar w:fldCharType="end"/>
            </w:r>
          </w:p>
        </w:tc>
        <w:tc>
          <w:tcPr>
            <w:tcW w:w="1000" w:type="dxa"/>
            <w:shd w:val="clear" w:color="auto" w:fill="auto"/>
            <w:vAlign w:val="bottom"/>
          </w:tcPr>
          <w:p w:rsidR="00434667" w:rsidRDefault="00434667">
            <w:pPr>
              <w:jc w:val="right"/>
              <w:rPr>
                <w:szCs w:val="24"/>
              </w:rPr>
            </w:pPr>
            <w:r>
              <w:rPr>
                <w:szCs w:val="24"/>
              </w:rPr>
              <w:t>[70]</w:t>
            </w:r>
          </w:p>
        </w:tc>
      </w:tr>
      <w:tr w:rsidR="00434667" w:rsidRPr="00D326DB" w:rsidTr="00434667">
        <w:tc>
          <w:tcPr>
            <w:tcW w:w="8627" w:type="dxa"/>
            <w:shd w:val="clear" w:color="auto" w:fill="auto"/>
          </w:tcPr>
          <w:p w:rsidR="00434667" w:rsidRPr="00434667" w:rsidRDefault="00434667" w:rsidP="00434667">
            <w:pPr>
              <w:pStyle w:val="FTOC3"/>
              <w:tabs>
                <w:tab w:val="clear" w:pos="9072"/>
              </w:tabs>
              <w:rPr>
                <w:i w:val="0"/>
                <w:lang w:eastAsia="en-AU"/>
              </w:rPr>
            </w:pPr>
            <w:r>
              <w:rPr>
                <w:lang w:eastAsia="en-AU"/>
              </w:rPr>
              <w:fldChar w:fldCharType="begin"/>
            </w:r>
            <w:r>
              <w:rPr>
                <w:lang w:eastAsia="en-AU"/>
              </w:rPr>
              <w:instrText xml:space="preserve"> REF _Ref448328073 \h </w:instrText>
            </w:r>
            <w:r>
              <w:rPr>
                <w:lang w:eastAsia="en-AU"/>
              </w:rPr>
            </w:r>
            <w:r>
              <w:rPr>
                <w:lang w:eastAsia="en-AU"/>
              </w:rPr>
              <w:fldChar w:fldCharType="separate"/>
            </w:r>
            <w:r>
              <w:t>Prior contraventions</w:t>
            </w:r>
            <w:r>
              <w:rPr>
                <w:lang w:eastAsia="en-AU"/>
              </w:rPr>
              <w:fldChar w:fldCharType="end"/>
            </w:r>
          </w:p>
        </w:tc>
        <w:tc>
          <w:tcPr>
            <w:tcW w:w="1000" w:type="dxa"/>
            <w:shd w:val="clear" w:color="auto" w:fill="auto"/>
            <w:vAlign w:val="bottom"/>
          </w:tcPr>
          <w:p w:rsidR="00434667" w:rsidRDefault="00434667">
            <w:pPr>
              <w:jc w:val="right"/>
              <w:rPr>
                <w:szCs w:val="24"/>
              </w:rPr>
            </w:pPr>
            <w:r>
              <w:rPr>
                <w:szCs w:val="24"/>
              </w:rPr>
              <w:t>[88]</w:t>
            </w:r>
          </w:p>
        </w:tc>
      </w:tr>
      <w:tr w:rsidR="00434667" w:rsidRPr="00D326DB" w:rsidTr="00434667">
        <w:tc>
          <w:tcPr>
            <w:tcW w:w="8627" w:type="dxa"/>
            <w:shd w:val="clear" w:color="auto" w:fill="auto"/>
          </w:tcPr>
          <w:p w:rsidR="00434667" w:rsidRPr="00434667" w:rsidRDefault="00434667" w:rsidP="00434667">
            <w:pPr>
              <w:pStyle w:val="FTOC2"/>
              <w:tabs>
                <w:tab w:val="clear" w:pos="9072"/>
              </w:tabs>
              <w:rPr>
                <w:lang w:eastAsia="en-AU"/>
              </w:rPr>
            </w:pPr>
            <w:r>
              <w:rPr>
                <w:lang w:eastAsia="en-AU"/>
              </w:rPr>
              <w:fldChar w:fldCharType="begin"/>
            </w:r>
            <w:r>
              <w:rPr>
                <w:lang w:eastAsia="en-AU"/>
              </w:rPr>
              <w:instrText xml:space="preserve"> REF _Ref449008262 \h </w:instrText>
            </w:r>
            <w:r>
              <w:rPr>
                <w:lang w:eastAsia="en-AU"/>
              </w:rPr>
            </w:r>
            <w:r>
              <w:rPr>
                <w:lang w:eastAsia="en-AU"/>
              </w:rPr>
              <w:fldChar w:fldCharType="separate"/>
            </w:r>
            <w:r>
              <w:t>Conclusions on penalty</w:t>
            </w:r>
            <w:r>
              <w:rPr>
                <w:lang w:eastAsia="en-AU"/>
              </w:rPr>
              <w:fldChar w:fldCharType="end"/>
            </w:r>
          </w:p>
        </w:tc>
        <w:tc>
          <w:tcPr>
            <w:tcW w:w="1000" w:type="dxa"/>
            <w:shd w:val="clear" w:color="auto" w:fill="auto"/>
            <w:vAlign w:val="bottom"/>
          </w:tcPr>
          <w:p w:rsidR="00434667" w:rsidRDefault="00434667">
            <w:pPr>
              <w:jc w:val="right"/>
              <w:rPr>
                <w:szCs w:val="24"/>
              </w:rPr>
            </w:pPr>
            <w:r>
              <w:rPr>
                <w:szCs w:val="24"/>
              </w:rPr>
              <w:t>[91]</w:t>
            </w:r>
          </w:p>
        </w:tc>
      </w:tr>
      <w:bookmarkEnd w:id="20"/>
    </w:tbl>
    <w:p w:rsidR="00322E74" w:rsidRDefault="00322E74" w:rsidP="0066079B">
      <w:pPr>
        <w:pStyle w:val="BodyText"/>
      </w:pPr>
    </w:p>
    <w:p w:rsidR="00322E74" w:rsidRDefault="00322E74" w:rsidP="0066079B">
      <w:pPr>
        <w:pStyle w:val="BodyText"/>
      </w:pPr>
      <w:r>
        <w:br w:type="page"/>
      </w:r>
    </w:p>
    <w:p w:rsidR="00395B24" w:rsidRPr="00EA03CE" w:rsidRDefault="00976CE5" w:rsidP="005E0510">
      <w:pPr>
        <w:pStyle w:val="NormalHeadings"/>
        <w:spacing w:line="360" w:lineRule="auto"/>
        <w:jc w:val="left"/>
        <w:rPr>
          <w:sz w:val="26"/>
          <w:szCs w:val="26"/>
        </w:rPr>
      </w:pPr>
      <w:r>
        <w:rPr>
          <w:sz w:val="26"/>
          <w:szCs w:val="26"/>
        </w:rPr>
        <w:lastRenderedPageBreak/>
        <w:t>EDELMAN J</w:t>
      </w:r>
      <w:r w:rsidR="00484F6D" w:rsidRPr="00EA03CE">
        <w:rPr>
          <w:sz w:val="26"/>
          <w:szCs w:val="26"/>
        </w:rPr>
        <w:t>:</w:t>
      </w:r>
    </w:p>
    <w:p w:rsidR="00766C87" w:rsidRDefault="00766C87" w:rsidP="00766C87">
      <w:pPr>
        <w:pStyle w:val="Heading2"/>
      </w:pPr>
      <w:bookmarkStart w:id="21" w:name="_Ref448328057"/>
      <w:r>
        <w:t>Introduction</w:t>
      </w:r>
      <w:bookmarkEnd w:id="21"/>
    </w:p>
    <w:p w:rsidR="0089621F" w:rsidRPr="002B0451" w:rsidRDefault="00F97B9D" w:rsidP="00F97B9D">
      <w:pPr>
        <w:pStyle w:val="ParaNumbering"/>
        <w:numPr>
          <w:ilvl w:val="0"/>
          <w:numId w:val="0"/>
        </w:numPr>
        <w:ind w:hanging="720"/>
        <w:rPr>
          <w:lang w:eastAsia="en-AU"/>
        </w:rPr>
      </w:pPr>
      <w:r w:rsidRPr="002B0451">
        <w:rPr>
          <w:sz w:val="20"/>
          <w:lang w:eastAsia="en-AU"/>
        </w:rPr>
        <w:t>1</w:t>
      </w:r>
      <w:r w:rsidRPr="002B0451">
        <w:rPr>
          <w:sz w:val="20"/>
          <w:lang w:eastAsia="en-AU"/>
        </w:rPr>
        <w:tab/>
      </w:r>
      <w:r w:rsidR="0089621F" w:rsidRPr="002B0451">
        <w:rPr>
          <w:lang w:eastAsia="en-AU"/>
        </w:rPr>
        <w:t>Reckitt Benckiser</w:t>
      </w:r>
      <w:r w:rsidR="0089621F">
        <w:rPr>
          <w:lang w:eastAsia="en-AU"/>
        </w:rPr>
        <w:t xml:space="preserve"> </w:t>
      </w:r>
      <w:r w:rsidR="00BC25A5">
        <w:rPr>
          <w:lang w:eastAsia="en-AU"/>
        </w:rPr>
        <w:t xml:space="preserve">markets and sells products including </w:t>
      </w:r>
      <w:r w:rsidR="0089621F" w:rsidRPr="002B0451">
        <w:rPr>
          <w:lang w:eastAsia="en-AU"/>
        </w:rPr>
        <w:t xml:space="preserve">four </w:t>
      </w:r>
      <w:r w:rsidR="007C01C3" w:rsidRPr="002B0451">
        <w:rPr>
          <w:lang w:eastAsia="en-AU"/>
        </w:rPr>
        <w:t>Nurofen Specific Pain Relief</w:t>
      </w:r>
      <w:r w:rsidR="007C01C3">
        <w:rPr>
          <w:lang w:eastAsia="en-AU"/>
        </w:rPr>
        <w:t xml:space="preserve"> products</w:t>
      </w:r>
      <w:r w:rsidR="007C01C3">
        <w:t xml:space="preserve">. </w:t>
      </w:r>
      <w:r w:rsidR="00BC25A5">
        <w:rPr>
          <w:lang w:eastAsia="en-AU"/>
        </w:rPr>
        <w:t>These products are</w:t>
      </w:r>
      <w:r w:rsidR="007C01C3">
        <w:rPr>
          <w:lang w:eastAsia="en-AU"/>
        </w:rPr>
        <w:t xml:space="preserve"> sold to the public at thousands of pharmacies and </w:t>
      </w:r>
      <w:r w:rsidR="00C8185D">
        <w:rPr>
          <w:lang w:eastAsia="en-AU"/>
        </w:rPr>
        <w:t xml:space="preserve">retail </w:t>
      </w:r>
      <w:r w:rsidR="007C01C3">
        <w:rPr>
          <w:lang w:eastAsia="en-AU"/>
        </w:rPr>
        <w:t xml:space="preserve">stores. Reckitt Benckiser </w:t>
      </w:r>
      <w:r w:rsidR="0089621F" w:rsidRPr="002B0451">
        <w:rPr>
          <w:lang w:eastAsia="en-AU"/>
        </w:rPr>
        <w:t>represented that each</w:t>
      </w:r>
      <w:r w:rsidR="002A3D6A">
        <w:rPr>
          <w:lang w:eastAsia="en-AU"/>
        </w:rPr>
        <w:t xml:space="preserve"> of the four </w:t>
      </w:r>
      <w:r w:rsidR="002A3D6A" w:rsidRPr="002B0451">
        <w:rPr>
          <w:lang w:eastAsia="en-AU"/>
        </w:rPr>
        <w:t>Nurofen Specific Pain Relief</w:t>
      </w:r>
      <w:r w:rsidR="002A3D6A">
        <w:rPr>
          <w:lang w:eastAsia="en-AU"/>
        </w:rPr>
        <w:t xml:space="preserve"> products</w:t>
      </w:r>
      <w:r w:rsidR="0089621F" w:rsidRPr="002B0451">
        <w:rPr>
          <w:lang w:eastAsia="en-AU"/>
        </w:rPr>
        <w:t xml:space="preserve"> was specifically formulated to treat </w:t>
      </w:r>
      <w:r w:rsidR="007C01C3">
        <w:rPr>
          <w:lang w:eastAsia="en-AU"/>
        </w:rPr>
        <w:t xml:space="preserve">(respectively) </w:t>
      </w:r>
      <w:r w:rsidR="0089621F" w:rsidRPr="002B0451">
        <w:rPr>
          <w:lang w:eastAsia="en-AU"/>
        </w:rPr>
        <w:t>back pain, period pain, migraine</w:t>
      </w:r>
      <w:r w:rsidR="003547DC">
        <w:rPr>
          <w:lang w:eastAsia="en-AU"/>
        </w:rPr>
        <w:t xml:space="preserve"> pain</w:t>
      </w:r>
      <w:r w:rsidR="0089621F" w:rsidRPr="002B0451">
        <w:rPr>
          <w:lang w:eastAsia="en-AU"/>
        </w:rPr>
        <w:t>, and tension headache</w:t>
      </w:r>
      <w:r w:rsidR="00B73E52">
        <w:rPr>
          <w:lang w:eastAsia="en-AU"/>
        </w:rPr>
        <w:t>s</w:t>
      </w:r>
      <w:r w:rsidR="00BC25A5">
        <w:rPr>
          <w:lang w:eastAsia="en-AU"/>
        </w:rPr>
        <w:t>. They a</w:t>
      </w:r>
      <w:r w:rsidR="008F6681">
        <w:rPr>
          <w:lang w:eastAsia="en-AU"/>
        </w:rPr>
        <w:t xml:space="preserve">re not so </w:t>
      </w:r>
      <w:r w:rsidR="000829EA">
        <w:rPr>
          <w:lang w:eastAsia="en-AU"/>
        </w:rPr>
        <w:t>specifically formulated. E</w:t>
      </w:r>
      <w:r w:rsidR="0089621F" w:rsidRPr="002B0451">
        <w:rPr>
          <w:lang w:eastAsia="en-AU"/>
        </w:rPr>
        <w:t>ach product contain</w:t>
      </w:r>
      <w:r w:rsidR="00BC25A5">
        <w:rPr>
          <w:lang w:eastAsia="en-AU"/>
        </w:rPr>
        <w:t>s</w:t>
      </w:r>
      <w:r w:rsidR="0089621F" w:rsidRPr="002B0451">
        <w:rPr>
          <w:lang w:eastAsia="en-AU"/>
        </w:rPr>
        <w:t xml:space="preserve"> th</w:t>
      </w:r>
      <w:r w:rsidR="008F6681">
        <w:rPr>
          <w:lang w:eastAsia="en-AU"/>
        </w:rPr>
        <w:t>e same active ingredient,</w:t>
      </w:r>
      <w:r w:rsidR="00BC25A5">
        <w:rPr>
          <w:lang w:eastAsia="en-AU"/>
        </w:rPr>
        <w:t xml:space="preserve"> i</w:t>
      </w:r>
      <w:r w:rsidR="0089621F" w:rsidRPr="002B0451">
        <w:rPr>
          <w:lang w:eastAsia="en-AU"/>
        </w:rPr>
        <w:t>s of the same formulation</w:t>
      </w:r>
      <w:r w:rsidR="008F6681">
        <w:rPr>
          <w:lang w:eastAsia="en-AU"/>
        </w:rPr>
        <w:t xml:space="preserve">, and </w:t>
      </w:r>
      <w:r w:rsidR="00BC25A5">
        <w:rPr>
          <w:lang w:eastAsia="en-AU"/>
        </w:rPr>
        <w:t>has</w:t>
      </w:r>
      <w:r w:rsidR="000829EA">
        <w:rPr>
          <w:lang w:eastAsia="en-AU"/>
        </w:rPr>
        <w:t xml:space="preserve"> </w:t>
      </w:r>
      <w:r w:rsidR="008F6681">
        <w:rPr>
          <w:rFonts w:eastAsia="Times New Roman"/>
          <w:color w:val="000000"/>
          <w:szCs w:val="24"/>
          <w:lang w:eastAsia="en-AU"/>
        </w:rPr>
        <w:t>the</w:t>
      </w:r>
      <w:r w:rsidR="000829EA">
        <w:rPr>
          <w:rFonts w:eastAsia="Times New Roman"/>
          <w:color w:val="000000"/>
          <w:szCs w:val="24"/>
          <w:lang w:eastAsia="en-AU"/>
        </w:rPr>
        <w:t xml:space="preserve"> same</w:t>
      </w:r>
      <w:r w:rsidR="008F6681">
        <w:rPr>
          <w:rFonts w:eastAsia="Times New Roman"/>
          <w:color w:val="000000"/>
          <w:szCs w:val="24"/>
          <w:lang w:eastAsia="en-AU"/>
        </w:rPr>
        <w:t xml:space="preserve"> </w:t>
      </w:r>
      <w:r w:rsidR="008F6681">
        <w:t>Australian Register of Therapeutic Goods</w:t>
      </w:r>
      <w:r w:rsidR="008F6681" w:rsidRPr="0089621F">
        <w:rPr>
          <w:rFonts w:eastAsia="Times New Roman"/>
          <w:color w:val="000000"/>
          <w:szCs w:val="24"/>
          <w:lang w:eastAsia="en-AU"/>
        </w:rPr>
        <w:t xml:space="preserve"> approved indicati</w:t>
      </w:r>
      <w:r w:rsidR="000829EA">
        <w:rPr>
          <w:rFonts w:eastAsia="Times New Roman"/>
          <w:color w:val="000000"/>
          <w:szCs w:val="24"/>
          <w:lang w:eastAsia="en-AU"/>
        </w:rPr>
        <w:t>ons</w:t>
      </w:r>
      <w:r w:rsidR="00BC25A5">
        <w:rPr>
          <w:lang w:eastAsia="en-AU"/>
        </w:rPr>
        <w:t>. None of the four products i</w:t>
      </w:r>
      <w:r w:rsidR="0089621F" w:rsidRPr="002B0451">
        <w:rPr>
          <w:lang w:eastAsia="en-AU"/>
        </w:rPr>
        <w:t>s any more or less effective than the others in treating any of the particular symptoms.</w:t>
      </w:r>
    </w:p>
    <w:p w:rsidR="00BC25A5" w:rsidRDefault="00F97B9D" w:rsidP="00F97B9D">
      <w:pPr>
        <w:pStyle w:val="ParaNumbering"/>
        <w:numPr>
          <w:ilvl w:val="0"/>
          <w:numId w:val="0"/>
        </w:numPr>
        <w:ind w:hanging="720"/>
      </w:pPr>
      <w:r>
        <w:rPr>
          <w:sz w:val="20"/>
        </w:rPr>
        <w:t>2</w:t>
      </w:r>
      <w:r>
        <w:rPr>
          <w:sz w:val="20"/>
        </w:rPr>
        <w:tab/>
      </w:r>
      <w:r w:rsidR="00BC25A5">
        <w:t xml:space="preserve">On 11 December 2015, I made orders which included declarations that Reckitt Benckiser had contravened s 33 of the </w:t>
      </w:r>
      <w:r w:rsidR="00BC25A5" w:rsidRPr="002B0451">
        <w:rPr>
          <w:i/>
        </w:rPr>
        <w:t>Australian Consumer Law</w:t>
      </w:r>
      <w:r w:rsidR="00BC25A5">
        <w:t>. Reckitt Benckiser consented to the orders and essentially agreed to the facts upon which they were based. Section 33 is a penalty provision. These reasons concern the appropriate penalty to be imposed upon Reckitt Benckiser for its contraventions from January 2011.</w:t>
      </w:r>
    </w:p>
    <w:p w:rsidR="008E690E" w:rsidRDefault="00F97B9D" w:rsidP="00F97B9D">
      <w:pPr>
        <w:pStyle w:val="ParaNumbering"/>
        <w:numPr>
          <w:ilvl w:val="0"/>
          <w:numId w:val="0"/>
        </w:numPr>
        <w:ind w:hanging="720"/>
      </w:pPr>
      <w:r>
        <w:rPr>
          <w:sz w:val="20"/>
        </w:rPr>
        <w:t>3</w:t>
      </w:r>
      <w:r>
        <w:rPr>
          <w:sz w:val="20"/>
        </w:rPr>
        <w:tab/>
      </w:r>
      <w:r w:rsidR="00C8185D">
        <w:rPr>
          <w:lang w:eastAsia="en-AU"/>
        </w:rPr>
        <w:t xml:space="preserve">One of the central issues between the parties </w:t>
      </w:r>
      <w:r w:rsidR="00B73E52">
        <w:rPr>
          <w:lang w:eastAsia="en-AU"/>
        </w:rPr>
        <w:t xml:space="preserve">during </w:t>
      </w:r>
      <w:r w:rsidR="00C8185D">
        <w:rPr>
          <w:lang w:eastAsia="en-AU"/>
        </w:rPr>
        <w:t>this penalty hearing was the profits made by Reckitt Benckiser from its contravening conduct. Reckitt Benckiser submitted that its</w:t>
      </w:r>
      <w:r w:rsidR="008C4F84">
        <w:rPr>
          <w:lang w:eastAsia="en-AU"/>
        </w:rPr>
        <w:t xml:space="preserve"> profits from sales of the</w:t>
      </w:r>
      <w:r w:rsidR="00C8185D">
        <w:rPr>
          <w:lang w:eastAsia="en-AU"/>
        </w:rPr>
        <w:t xml:space="preserve"> Nurofen Specific Pain Range </w:t>
      </w:r>
      <w:r w:rsidR="00B73E52">
        <w:rPr>
          <w:lang w:eastAsia="en-AU"/>
        </w:rPr>
        <w:t xml:space="preserve">were </w:t>
      </w:r>
      <w:r w:rsidR="008C4F84">
        <w:rPr>
          <w:lang w:eastAsia="en-AU"/>
        </w:rPr>
        <w:t xml:space="preserve">irrelevant unless the </w:t>
      </w:r>
      <w:r w:rsidR="00B73E52">
        <w:rPr>
          <w:lang w:eastAsia="en-AU"/>
        </w:rPr>
        <w:t>Australian Competition and Consumer Commission (</w:t>
      </w:r>
      <w:r w:rsidR="008C4F84" w:rsidRPr="0066079B">
        <w:rPr>
          <w:b/>
          <w:lang w:eastAsia="en-AU"/>
        </w:rPr>
        <w:t>ACCC</w:t>
      </w:r>
      <w:r w:rsidR="00B73E52">
        <w:rPr>
          <w:lang w:eastAsia="en-AU"/>
        </w:rPr>
        <w:t>)</w:t>
      </w:r>
      <w:r w:rsidR="008C4F84">
        <w:rPr>
          <w:lang w:eastAsia="en-AU"/>
        </w:rPr>
        <w:t xml:space="preserve"> could prove the profits </w:t>
      </w:r>
      <w:r w:rsidR="00BC25A5">
        <w:rPr>
          <w:lang w:eastAsia="en-AU"/>
        </w:rPr>
        <w:t>that it</w:t>
      </w:r>
      <w:r w:rsidR="00C8185D">
        <w:rPr>
          <w:lang w:eastAsia="en-AU"/>
        </w:rPr>
        <w:t xml:space="preserve"> made by </w:t>
      </w:r>
      <w:r w:rsidR="009E0D24">
        <w:rPr>
          <w:lang w:eastAsia="en-AU"/>
        </w:rPr>
        <w:t xml:space="preserve">its </w:t>
      </w:r>
      <w:r w:rsidR="008C4F84">
        <w:rPr>
          <w:lang w:eastAsia="en-AU"/>
        </w:rPr>
        <w:t>contravention on a counterfactual (but for) basis.</w:t>
      </w:r>
      <w:r w:rsidR="00C8185D">
        <w:rPr>
          <w:lang w:eastAsia="en-AU"/>
        </w:rPr>
        <w:t xml:space="preserve"> In other words, Reck</w:t>
      </w:r>
      <w:r w:rsidR="00A166E6">
        <w:rPr>
          <w:lang w:eastAsia="en-AU"/>
        </w:rPr>
        <w:t>itt Benckiser submitted that the</w:t>
      </w:r>
      <w:r w:rsidR="00BC25A5">
        <w:rPr>
          <w:lang w:eastAsia="en-AU"/>
        </w:rPr>
        <w:t xml:space="preserve"> ACCC’s</w:t>
      </w:r>
      <w:r w:rsidR="00A166E6">
        <w:rPr>
          <w:lang w:eastAsia="en-AU"/>
        </w:rPr>
        <w:t xml:space="preserve"> profit</w:t>
      </w:r>
      <w:r w:rsidR="00C8185D">
        <w:rPr>
          <w:lang w:eastAsia="en-AU"/>
        </w:rPr>
        <w:t xml:space="preserve"> calculation needed to deduct the profits that it would have made if it had not contravened the </w:t>
      </w:r>
      <w:r w:rsidR="00C8185D">
        <w:rPr>
          <w:i/>
          <w:lang w:eastAsia="en-AU"/>
        </w:rPr>
        <w:t>Australian Consumer Law</w:t>
      </w:r>
      <w:r w:rsidR="00C8185D" w:rsidRPr="009C085E">
        <w:rPr>
          <w:lang w:eastAsia="en-AU"/>
        </w:rPr>
        <w:t xml:space="preserve">. </w:t>
      </w:r>
    </w:p>
    <w:p w:rsidR="00C8185D" w:rsidRPr="00C8185D" w:rsidRDefault="00F97B9D" w:rsidP="00F97B9D">
      <w:pPr>
        <w:pStyle w:val="ParaNumbering"/>
        <w:numPr>
          <w:ilvl w:val="0"/>
          <w:numId w:val="0"/>
        </w:numPr>
        <w:ind w:hanging="720"/>
      </w:pPr>
      <w:r w:rsidRPr="00C8185D">
        <w:rPr>
          <w:sz w:val="20"/>
        </w:rPr>
        <w:t>4</w:t>
      </w:r>
      <w:r w:rsidRPr="00C8185D">
        <w:rPr>
          <w:sz w:val="20"/>
        </w:rPr>
        <w:tab/>
      </w:r>
      <w:r w:rsidR="00C8185D">
        <w:t>One matter relied upon by Reckitt Benckiser in support of this</w:t>
      </w:r>
      <w:r w:rsidR="00BC25A5">
        <w:t xml:space="preserve"> submission might involve</w:t>
      </w:r>
      <w:r w:rsidR="00C8185D">
        <w:t xml:space="preserve"> a high stakes gamble. Reckitt Benckiser</w:t>
      </w:r>
      <w:r w:rsidR="008E690E">
        <w:t xml:space="preserve"> pointed out that it continues to </w:t>
      </w:r>
      <w:r w:rsidR="00C8185D">
        <w:t>sell the Nurofen Specific Pain Range in packaging which is similar in a number of respects</w:t>
      </w:r>
      <w:r w:rsidR="008E690E">
        <w:t xml:space="preserve"> to the contravening packaging</w:t>
      </w:r>
      <w:r w:rsidR="001C0CC6">
        <w:t>. O</w:t>
      </w:r>
      <w:r w:rsidR="00BC25A5">
        <w:t>n the assumption that</w:t>
      </w:r>
      <w:r w:rsidR="008E690E">
        <w:t xml:space="preserve"> its current packaging does no</w:t>
      </w:r>
      <w:r w:rsidR="00BC25A5">
        <w:t>t involve any contravention,</w:t>
      </w:r>
      <w:r w:rsidR="008E690E">
        <w:t xml:space="preserve"> </w:t>
      </w:r>
      <w:r w:rsidR="001C0CC6">
        <w:t xml:space="preserve">Reckitt Benckiser submitted that </w:t>
      </w:r>
      <w:r w:rsidR="008E690E">
        <w:t xml:space="preserve">it is unlikely that its sales and profitability would have been affected by the contraventions. Reckitt Benckiser’s </w:t>
      </w:r>
      <w:r w:rsidR="00C8185D">
        <w:t xml:space="preserve">packaging still contains the description “Fast Targeted Relief from Pain”. The packaging still contains reference to a particular condition (such as “Nurofen Migraine Pain”). And the packaging still appears to be marketed in close proximity to the each of the other products in the range, and nearby to other </w:t>
      </w:r>
      <w:r w:rsidR="00C8185D">
        <w:lastRenderedPageBreak/>
        <w:t xml:space="preserve">products with very similar ingredients but with a much lower price. Reckitt Benckiser says that the Nurofen Specific Pain Range products no longer infringe the </w:t>
      </w:r>
      <w:r w:rsidR="00C8185D">
        <w:rPr>
          <w:i/>
        </w:rPr>
        <w:t xml:space="preserve">Australian Consumer Law </w:t>
      </w:r>
      <w:r w:rsidR="00C8185D">
        <w:t xml:space="preserve">because they now contain the description (at the top of the package) “Also suitable for general pain relief”. There has </w:t>
      </w:r>
      <w:r w:rsidR="001C0CC6">
        <w:t>not been any</w:t>
      </w:r>
      <w:r w:rsidR="00C8185D">
        <w:t xml:space="preserve"> allegation by the ACCC that the products as they are currently sold involve any contravention, and there has been no such finding by any court. In the absence of any </w:t>
      </w:r>
      <w:r w:rsidR="001C0CC6">
        <w:t xml:space="preserve">such </w:t>
      </w:r>
      <w:r w:rsidR="00C8185D">
        <w:t>finding</w:t>
      </w:r>
      <w:r w:rsidR="001C0CC6">
        <w:t>, or any submissions</w:t>
      </w:r>
      <w:r w:rsidR="008E690E">
        <w:t xml:space="preserve"> that Reckitt Benckiser is running an obvious risk with its current packaging</w:t>
      </w:r>
      <w:r w:rsidR="00C8185D">
        <w:t xml:space="preserve">, I </w:t>
      </w:r>
      <w:r w:rsidR="008E690E">
        <w:t xml:space="preserve">must </w:t>
      </w:r>
      <w:r w:rsidR="00C8185D">
        <w:t>proceed in these reasons on the basis that no contr</w:t>
      </w:r>
      <w:r w:rsidR="008E690E">
        <w:t>avention is currently occurring and that Reckitt Benckiser is not running any risk.</w:t>
      </w:r>
      <w:r w:rsidR="001C0CC6">
        <w:t xml:space="preserve"> Although I proceed on that basis, I do so in the absence of any detailed submissions on the point and I make no finding about whether or not the current packaging of Nurofen Specific Pain Range involves any contravention of the </w:t>
      </w:r>
      <w:r w:rsidR="001C0CC6">
        <w:rPr>
          <w:i/>
        </w:rPr>
        <w:t>Australian Consumer Law</w:t>
      </w:r>
      <w:r w:rsidR="001C0CC6">
        <w:t xml:space="preserve">.  </w:t>
      </w:r>
    </w:p>
    <w:p w:rsidR="00C8185D" w:rsidRDefault="00F97B9D" w:rsidP="00F97B9D">
      <w:pPr>
        <w:pStyle w:val="ParaNumbering"/>
        <w:numPr>
          <w:ilvl w:val="0"/>
          <w:numId w:val="0"/>
        </w:numPr>
        <w:ind w:hanging="720"/>
      </w:pPr>
      <w:r>
        <w:rPr>
          <w:sz w:val="20"/>
        </w:rPr>
        <w:t>5</w:t>
      </w:r>
      <w:r>
        <w:rPr>
          <w:sz w:val="20"/>
        </w:rPr>
        <w:tab/>
      </w:r>
      <w:r w:rsidR="000C0BE3">
        <w:t xml:space="preserve">Ultimately, I accept the submission by Reckitt Benckiser that any attempt to quantify profits </w:t>
      </w:r>
      <w:r w:rsidR="001C0CC6">
        <w:t>caused by</w:t>
      </w:r>
      <w:r w:rsidR="000C0BE3">
        <w:t xml:space="preserve"> its contravening conduct would be either an impossible task or so speculative as to be useless. </w:t>
      </w:r>
      <w:r w:rsidR="001C0CC6">
        <w:t xml:space="preserve">One reason for this is the assumption of the parties that profits from contravening conduct must be proved on a counterfactual or “but for” basis, so that it would not be sufficient merely to show that the contraventions </w:t>
      </w:r>
      <w:r w:rsidR="001C0CC6">
        <w:rPr>
          <w:i/>
        </w:rPr>
        <w:t xml:space="preserve">contributed to </w:t>
      </w:r>
      <w:r w:rsidR="001C0CC6">
        <w:t>the profit made. It is not necessary to examine that assumption in these reasons. Another reason why I accept the submission by Reckitt Benckiser</w:t>
      </w:r>
      <w:r w:rsidR="0058550C">
        <w:t xml:space="preserve"> is</w:t>
      </w:r>
      <w:r w:rsidR="001C0CC6">
        <w:t xml:space="preserve"> the difficulty involved in any</w:t>
      </w:r>
      <w:r w:rsidR="0058550C">
        <w:t xml:space="preserve"> attempt to determine, without any evidence, the likely behaviour of consumers if there had been no contravening conduct. </w:t>
      </w:r>
      <w:r w:rsidR="00C8185D">
        <w:t xml:space="preserve">Some </w:t>
      </w:r>
      <w:r w:rsidR="00055FBF">
        <w:t>of the relevant</w:t>
      </w:r>
      <w:r w:rsidR="00922AD0">
        <w:t xml:space="preserve"> consumers</w:t>
      </w:r>
      <w:r w:rsidR="00055FBF">
        <w:t xml:space="preserve"> in the class</w:t>
      </w:r>
      <w:r w:rsidR="00922AD0">
        <w:t xml:space="preserve"> might nevertheless have purchased the Nurofen Specific Pain Relief product despite the conduct</w:t>
      </w:r>
      <w:r w:rsidR="00055FBF">
        <w:t xml:space="preserve"> that</w:t>
      </w:r>
      <w:r w:rsidR="00922AD0">
        <w:t xml:space="preserve"> I have found to be cont</w:t>
      </w:r>
      <w:r w:rsidR="002E6BD7">
        <w:t>ravening</w:t>
      </w:r>
      <w:r w:rsidR="0058550C">
        <w:t>, particularly with the very similar current packaging</w:t>
      </w:r>
      <w:r w:rsidR="002E6BD7">
        <w:t xml:space="preserve">. There might </w:t>
      </w:r>
      <w:r w:rsidR="001C0CC6">
        <w:t xml:space="preserve">also </w:t>
      </w:r>
      <w:r w:rsidR="002E6BD7">
        <w:t xml:space="preserve">be a </w:t>
      </w:r>
      <w:r w:rsidR="001C0CC6">
        <w:t>number of reasons for a consumer</w:t>
      </w:r>
      <w:r w:rsidR="00055FBF">
        <w:t xml:space="preserve"> choice. </w:t>
      </w:r>
      <w:r w:rsidR="0058550C">
        <w:t>It is unnecessary to speculate on these matters</w:t>
      </w:r>
      <w:r w:rsidR="001C0CC6">
        <w:t>. It suffices to note, however, that</w:t>
      </w:r>
      <w:r w:rsidR="0058550C">
        <w:t xml:space="preserve"> </w:t>
      </w:r>
      <w:r w:rsidR="00C8185D">
        <w:rPr>
          <w:lang w:eastAsia="en-AU"/>
        </w:rPr>
        <w:t xml:space="preserve">some aspects of Reckitt Benckiser’s submissions </w:t>
      </w:r>
      <w:r w:rsidR="001C0CC6">
        <w:rPr>
          <w:lang w:eastAsia="en-AU"/>
        </w:rPr>
        <w:t xml:space="preserve">on this point </w:t>
      </w:r>
      <w:r w:rsidR="00C8185D">
        <w:rPr>
          <w:lang w:eastAsia="en-AU"/>
        </w:rPr>
        <w:t xml:space="preserve">were, themselves, highly speculative and potentially questionable. For instance, </w:t>
      </w:r>
      <w:r w:rsidR="00C8185D">
        <w:t>Reckitt Benckiser submitted that consumers may have been prepared to pay up to double the price for Nurofen Specific Pain Relief products because they preferred to obtain 342 mg of ibuprofen lysine rather than the equivalent</w:t>
      </w:r>
      <w:r w:rsidR="001C0CC6">
        <w:t xml:space="preserve"> dosage as</w:t>
      </w:r>
      <w:r w:rsidR="00C8185D">
        <w:t xml:space="preserve"> 200 mg of ibuprofen or </w:t>
      </w:r>
      <w:r w:rsidR="0058550C">
        <w:t xml:space="preserve">the equivalent </w:t>
      </w:r>
      <w:r w:rsidR="001C0CC6">
        <w:t xml:space="preserve">dosage as </w:t>
      </w:r>
      <w:r w:rsidR="00C8185D">
        <w:t>256 mg of ibuprofen sodium.</w:t>
      </w:r>
    </w:p>
    <w:p w:rsidR="002A3D6A" w:rsidRPr="00124940" w:rsidRDefault="00F97B9D" w:rsidP="00F97B9D">
      <w:pPr>
        <w:pStyle w:val="ParaNumbering"/>
        <w:numPr>
          <w:ilvl w:val="0"/>
          <w:numId w:val="0"/>
        </w:numPr>
        <w:ind w:hanging="720"/>
      </w:pPr>
      <w:r w:rsidRPr="00124940">
        <w:rPr>
          <w:sz w:val="20"/>
        </w:rPr>
        <w:t>6</w:t>
      </w:r>
      <w:r w:rsidRPr="00124940">
        <w:rPr>
          <w:sz w:val="20"/>
        </w:rPr>
        <w:tab/>
      </w:r>
      <w:r w:rsidR="0058550C">
        <w:t>Although profits from contravention cannot be quantified on a “but for” basis</w:t>
      </w:r>
      <w:r w:rsidR="001C0CC6">
        <w:t xml:space="preserve"> in this case</w:t>
      </w:r>
      <w:r w:rsidR="0058550C">
        <w:t>, t</w:t>
      </w:r>
      <w:r w:rsidR="00DD5B45">
        <w:t>he</w:t>
      </w:r>
      <w:r w:rsidR="002E6BD7">
        <w:t xml:space="preserve"> attempt </w:t>
      </w:r>
      <w:r w:rsidR="000C0BE3">
        <w:t>by the</w:t>
      </w:r>
      <w:r w:rsidR="00DD5B45">
        <w:t xml:space="preserve"> ACCC</w:t>
      </w:r>
      <w:r w:rsidR="002E6BD7">
        <w:t xml:space="preserve"> </w:t>
      </w:r>
      <w:r w:rsidR="001C0CC6">
        <w:t xml:space="preserve">to do so </w:t>
      </w:r>
      <w:r w:rsidR="005A0939">
        <w:t>must</w:t>
      </w:r>
      <w:r w:rsidR="000C0BE3">
        <w:t xml:space="preserve"> be understood in light of </w:t>
      </w:r>
      <w:r w:rsidR="00DD5B45">
        <w:t xml:space="preserve">the sharp denial by Reckitt Benckiser that it had made </w:t>
      </w:r>
      <w:r w:rsidR="00DD5B45" w:rsidRPr="000C0BE3">
        <w:rPr>
          <w:i/>
        </w:rPr>
        <w:t>any</w:t>
      </w:r>
      <w:r w:rsidR="00DD5B45">
        <w:t xml:space="preserve"> profit</w:t>
      </w:r>
      <w:r w:rsidR="000C0BE3">
        <w:t xml:space="preserve"> from the contravening conduct.</w:t>
      </w:r>
      <w:r w:rsidR="005A0939">
        <w:t xml:space="preserve"> I do not conclude,</w:t>
      </w:r>
      <w:r w:rsidR="001C0CC6">
        <w:t xml:space="preserve"> in the negative</w:t>
      </w:r>
      <w:r w:rsidR="00A4728F">
        <w:t xml:space="preserve"> terms that</w:t>
      </w:r>
      <w:r w:rsidR="005A0939">
        <w:t xml:space="preserve"> Reckitt Benckiser submitted, that it was unlikely that </w:t>
      </w:r>
      <w:r w:rsidR="005A0939" w:rsidRPr="0058550C">
        <w:rPr>
          <w:i/>
        </w:rPr>
        <w:t>any</w:t>
      </w:r>
      <w:r w:rsidR="005A0939">
        <w:t xml:space="preserve"> profits were </w:t>
      </w:r>
      <w:r w:rsidR="005A0939">
        <w:lastRenderedPageBreak/>
        <w:t xml:space="preserve">made. </w:t>
      </w:r>
      <w:r w:rsidR="0058550C">
        <w:t xml:space="preserve">Rather, the important point is that </w:t>
      </w:r>
      <w:r w:rsidR="005A0939">
        <w:t xml:space="preserve">Reckitt Benckiser </w:t>
      </w:r>
      <w:r w:rsidR="000C0BE3">
        <w:t>had marketing processes which involved considerab</w:t>
      </w:r>
      <w:r w:rsidR="002E6BD7">
        <w:t xml:space="preserve">le thought and strategy in </w:t>
      </w:r>
      <w:r w:rsidR="000C0BE3">
        <w:t xml:space="preserve">respect </w:t>
      </w:r>
      <w:r w:rsidR="00316EAF">
        <w:t xml:space="preserve">of </w:t>
      </w:r>
      <w:r w:rsidR="000C0BE3">
        <w:t>which confidential evidence was given. The labelling of its produ</w:t>
      </w:r>
      <w:r w:rsidR="002E6BD7">
        <w:t xml:space="preserve">cts </w:t>
      </w:r>
      <w:r w:rsidR="000C0BE3">
        <w:t>was a choice (as with all commercial decisions) motivated in part by an intention to profit.</w:t>
      </w:r>
      <w:r w:rsidR="001C0CC6">
        <w:t xml:space="preserve"> In this case the marketing processes were part of an intention to make substantial profits. </w:t>
      </w:r>
    </w:p>
    <w:p w:rsidR="00017CD0" w:rsidRDefault="00F97B9D" w:rsidP="00F97B9D">
      <w:pPr>
        <w:pStyle w:val="ParaNumbering"/>
        <w:numPr>
          <w:ilvl w:val="0"/>
          <w:numId w:val="0"/>
        </w:numPr>
        <w:ind w:hanging="720"/>
        <w:rPr>
          <w:lang w:eastAsia="en-AU"/>
        </w:rPr>
      </w:pPr>
      <w:r>
        <w:rPr>
          <w:sz w:val="20"/>
          <w:lang w:eastAsia="en-AU"/>
        </w:rPr>
        <w:t>7</w:t>
      </w:r>
      <w:r>
        <w:rPr>
          <w:sz w:val="20"/>
          <w:lang w:eastAsia="en-AU"/>
        </w:rPr>
        <w:tab/>
      </w:r>
      <w:r w:rsidR="00017CD0">
        <w:rPr>
          <w:lang w:eastAsia="en-AU"/>
        </w:rPr>
        <w:t>During</w:t>
      </w:r>
      <w:r w:rsidR="0058550C">
        <w:rPr>
          <w:lang w:eastAsia="en-AU"/>
        </w:rPr>
        <w:t xml:space="preserve"> the penalty hearing, there were</w:t>
      </w:r>
      <w:r w:rsidR="00017CD0">
        <w:rPr>
          <w:lang w:eastAsia="en-AU"/>
        </w:rPr>
        <w:t xml:space="preserve"> </w:t>
      </w:r>
      <w:r w:rsidR="00A84BBF">
        <w:rPr>
          <w:lang w:eastAsia="en-AU"/>
        </w:rPr>
        <w:t xml:space="preserve">also </w:t>
      </w:r>
      <w:r w:rsidR="00017CD0">
        <w:rPr>
          <w:lang w:eastAsia="en-AU"/>
        </w:rPr>
        <w:t>submissions made</w:t>
      </w:r>
      <w:r w:rsidR="00A84BBF">
        <w:rPr>
          <w:lang w:eastAsia="en-AU"/>
        </w:rPr>
        <w:t xml:space="preserve"> </w:t>
      </w:r>
      <w:r w:rsidR="00017CD0">
        <w:rPr>
          <w:lang w:eastAsia="en-AU"/>
        </w:rPr>
        <w:t xml:space="preserve">concerning the need to preserve confidentiality in </w:t>
      </w:r>
      <w:r w:rsidR="00027A2F">
        <w:rPr>
          <w:lang w:eastAsia="en-AU"/>
        </w:rPr>
        <w:t>relation to almost every aspect of all</w:t>
      </w:r>
      <w:r w:rsidR="00017CD0">
        <w:rPr>
          <w:lang w:eastAsia="en-AU"/>
        </w:rPr>
        <w:t xml:space="preserve"> sales and financial information relating to Reckitt Benckiser before the Court. </w:t>
      </w:r>
      <w:r w:rsidR="00027A2F">
        <w:rPr>
          <w:lang w:eastAsia="en-AU"/>
        </w:rPr>
        <w:t xml:space="preserve">The overreach in claims of confidentiality was such that parts of these reasons would have been impossible to express </w:t>
      </w:r>
      <w:r w:rsidR="001C0CC6">
        <w:rPr>
          <w:lang w:eastAsia="en-AU"/>
        </w:rPr>
        <w:t xml:space="preserve">with any lucidity </w:t>
      </w:r>
      <w:r w:rsidR="00027A2F">
        <w:rPr>
          <w:lang w:eastAsia="en-AU"/>
        </w:rPr>
        <w:t xml:space="preserve">without the communication of some information which was said to be confidential. A core purpose of penalty proceedings is general deterrence. If Reckitt Benckiser’s submissions were accepted </w:t>
      </w:r>
      <w:r w:rsidR="00316EAF">
        <w:rPr>
          <w:lang w:eastAsia="en-AU"/>
        </w:rPr>
        <w:t>in their entirety</w:t>
      </w:r>
      <w:r w:rsidR="009D770C">
        <w:rPr>
          <w:lang w:eastAsia="en-AU"/>
        </w:rPr>
        <w:t>, and every aspect of claimed confidentiality respected,</w:t>
      </w:r>
      <w:r w:rsidR="00316EAF">
        <w:rPr>
          <w:lang w:eastAsia="en-AU"/>
        </w:rPr>
        <w:t xml:space="preserve"> </w:t>
      </w:r>
      <w:r w:rsidR="00027A2F">
        <w:rPr>
          <w:lang w:eastAsia="en-AU"/>
        </w:rPr>
        <w:t xml:space="preserve">then the Court </w:t>
      </w:r>
      <w:r w:rsidR="00316EAF">
        <w:rPr>
          <w:lang w:eastAsia="en-AU"/>
        </w:rPr>
        <w:t>could</w:t>
      </w:r>
      <w:r w:rsidR="009D770C">
        <w:rPr>
          <w:lang w:eastAsia="en-AU"/>
        </w:rPr>
        <w:t xml:space="preserve"> not have made</w:t>
      </w:r>
      <w:r w:rsidR="00316EAF">
        <w:rPr>
          <w:lang w:eastAsia="en-AU"/>
        </w:rPr>
        <w:t xml:space="preserve"> </w:t>
      </w:r>
      <w:r w:rsidR="009D770C">
        <w:rPr>
          <w:lang w:eastAsia="en-AU"/>
        </w:rPr>
        <w:t>any</w:t>
      </w:r>
      <w:r w:rsidR="00027A2F">
        <w:rPr>
          <w:lang w:eastAsia="en-AU"/>
        </w:rPr>
        <w:t xml:space="preserve"> reference to any of the financial information relating to Reckitt Benckiser’s contraventions. However, following oral submissions, Reckitt Benckiser filed written submissions </w:t>
      </w:r>
      <w:r w:rsidR="00027A2F">
        <w:t xml:space="preserve">on 13 April 2015 </w:t>
      </w:r>
      <w:r w:rsidR="00027A2F">
        <w:rPr>
          <w:lang w:eastAsia="en-AU"/>
        </w:rPr>
        <w:t>in which it conceded</w:t>
      </w:r>
      <w:r w:rsidR="009D770C">
        <w:rPr>
          <w:lang w:eastAsia="en-AU"/>
        </w:rPr>
        <w:t>, quite properly,</w:t>
      </w:r>
      <w:r w:rsidR="00027A2F">
        <w:rPr>
          <w:lang w:eastAsia="en-AU"/>
        </w:rPr>
        <w:t xml:space="preserve"> that </w:t>
      </w:r>
      <w:r w:rsidR="00017CD0">
        <w:t>“the following information is available to competitors of [Reckitt Benckiser] either because the information is in the public domain or because competitors have access to research data collated by organisations such as the Nielsen Corporation which contains the information”:</w:t>
      </w:r>
    </w:p>
    <w:p w:rsidR="00017CD0" w:rsidRDefault="00F97B9D" w:rsidP="00F97B9D">
      <w:pPr>
        <w:pStyle w:val="ListNo1"/>
        <w:numPr>
          <w:ilvl w:val="0"/>
          <w:numId w:val="0"/>
        </w:numPr>
        <w:tabs>
          <w:tab w:val="left" w:pos="720"/>
        </w:tabs>
        <w:ind w:left="720" w:hanging="720"/>
      </w:pPr>
      <w:r>
        <w:t>(1)</w:t>
      </w:r>
      <w:r>
        <w:tab/>
      </w:r>
      <w:r w:rsidR="002A3D6A">
        <w:t xml:space="preserve">the recommended retail price </w:t>
      </w:r>
      <w:r w:rsidR="00904A03">
        <w:t>(</w:t>
      </w:r>
      <w:r w:rsidR="00904A03" w:rsidRPr="0066079B">
        <w:rPr>
          <w:b/>
        </w:rPr>
        <w:t>RRP</w:t>
      </w:r>
      <w:r w:rsidR="00904A03">
        <w:t xml:space="preserve">) </w:t>
      </w:r>
      <w:r w:rsidR="00017CD0">
        <w:t>for the Nurofen Specific Pain Range products, Nurofen Zavance caplets, Nurofen tablets and Nurofen caplets;</w:t>
      </w:r>
    </w:p>
    <w:p w:rsidR="00017CD0" w:rsidRDefault="00F97B9D" w:rsidP="00F97B9D">
      <w:pPr>
        <w:pStyle w:val="ListNo1"/>
        <w:numPr>
          <w:ilvl w:val="0"/>
          <w:numId w:val="0"/>
        </w:numPr>
        <w:tabs>
          <w:tab w:val="left" w:pos="720"/>
        </w:tabs>
        <w:ind w:left="720" w:hanging="720"/>
      </w:pPr>
      <w:r>
        <w:t>(2)</w:t>
      </w:r>
      <w:r>
        <w:tab/>
      </w:r>
      <w:r w:rsidR="00017CD0">
        <w:t>the volume of each product sold (that is, the number of packs sold);</w:t>
      </w:r>
    </w:p>
    <w:p w:rsidR="00017CD0" w:rsidRDefault="00F97B9D" w:rsidP="00F97B9D">
      <w:pPr>
        <w:pStyle w:val="ListNo1"/>
        <w:numPr>
          <w:ilvl w:val="0"/>
          <w:numId w:val="0"/>
        </w:numPr>
        <w:tabs>
          <w:tab w:val="left" w:pos="720"/>
        </w:tabs>
        <w:ind w:left="720" w:hanging="720"/>
      </w:pPr>
      <w:r>
        <w:t>(3)</w:t>
      </w:r>
      <w:r>
        <w:tab/>
      </w:r>
      <w:r w:rsidR="00017CD0">
        <w:t>therefore the total revenue (gross sales) for each product;</w:t>
      </w:r>
    </w:p>
    <w:p w:rsidR="00017CD0" w:rsidRDefault="00F97B9D" w:rsidP="00F97B9D">
      <w:pPr>
        <w:pStyle w:val="ListNo1"/>
        <w:numPr>
          <w:ilvl w:val="0"/>
          <w:numId w:val="0"/>
        </w:numPr>
        <w:tabs>
          <w:tab w:val="left" w:pos="720"/>
        </w:tabs>
        <w:ind w:left="720" w:hanging="720"/>
      </w:pPr>
      <w:r>
        <w:t>(4)</w:t>
      </w:r>
      <w:r>
        <w:tab/>
      </w:r>
      <w:r w:rsidR="00017CD0">
        <w:t>the average trade margin (the percentage mark-up from the wholesale price compared with the RRP) which is generally constant in the market; and</w:t>
      </w:r>
    </w:p>
    <w:p w:rsidR="00017CD0" w:rsidRDefault="00F97B9D" w:rsidP="00F97B9D">
      <w:pPr>
        <w:pStyle w:val="ListNo1"/>
        <w:numPr>
          <w:ilvl w:val="0"/>
          <w:numId w:val="0"/>
        </w:numPr>
        <w:tabs>
          <w:tab w:val="left" w:pos="720"/>
        </w:tabs>
        <w:ind w:left="720" w:hanging="720"/>
      </w:pPr>
      <w:r>
        <w:t>(5)</w:t>
      </w:r>
      <w:r>
        <w:tab/>
      </w:r>
      <w:r w:rsidR="00017CD0">
        <w:t>therefore, the net sales figures for each product (the wholesale price of each product).</w:t>
      </w:r>
    </w:p>
    <w:p w:rsidR="009F744B" w:rsidRPr="0058550C" w:rsidRDefault="00F97B9D" w:rsidP="00F97B9D">
      <w:pPr>
        <w:pStyle w:val="ParaNumbering"/>
        <w:numPr>
          <w:ilvl w:val="0"/>
          <w:numId w:val="0"/>
        </w:numPr>
        <w:ind w:hanging="720"/>
      </w:pPr>
      <w:r w:rsidRPr="0058550C">
        <w:rPr>
          <w:sz w:val="20"/>
        </w:rPr>
        <w:t>8</w:t>
      </w:r>
      <w:r w:rsidRPr="0058550C">
        <w:rPr>
          <w:sz w:val="20"/>
        </w:rPr>
        <w:tab/>
      </w:r>
      <w:r w:rsidR="008E690E">
        <w:rPr>
          <w:lang w:eastAsia="en-AU"/>
        </w:rPr>
        <w:t>With that background, and for the detailed reasons below, m</w:t>
      </w:r>
      <w:r w:rsidR="00A84BBF">
        <w:rPr>
          <w:lang w:eastAsia="en-AU"/>
        </w:rPr>
        <w:t xml:space="preserve">y conclusion in these reasons is that the appropriate total </w:t>
      </w:r>
      <w:r w:rsidR="00A84BBF" w:rsidRPr="0058550C">
        <w:rPr>
          <w:lang w:eastAsia="en-AU"/>
        </w:rPr>
        <w:t xml:space="preserve">penalty </w:t>
      </w:r>
      <w:r w:rsidR="009D770C">
        <w:rPr>
          <w:lang w:eastAsia="en-AU"/>
        </w:rPr>
        <w:t xml:space="preserve">for the contraventions </w:t>
      </w:r>
      <w:r w:rsidR="00A84BBF" w:rsidRPr="0058550C">
        <w:rPr>
          <w:lang w:eastAsia="en-AU"/>
        </w:rPr>
        <w:t>is $</w:t>
      </w:r>
      <w:r w:rsidR="005A360A">
        <w:rPr>
          <w:lang w:eastAsia="en-AU"/>
        </w:rPr>
        <w:t>1,7</w:t>
      </w:r>
      <w:r w:rsidR="0058550C" w:rsidRPr="0058550C">
        <w:rPr>
          <w:lang w:eastAsia="en-AU"/>
        </w:rPr>
        <w:t>00,000.</w:t>
      </w:r>
    </w:p>
    <w:p w:rsidR="00FF11E1" w:rsidRPr="002A3D6A" w:rsidRDefault="002A3D6A" w:rsidP="002A3D6A">
      <w:pPr>
        <w:pStyle w:val="Heading2"/>
      </w:pPr>
      <w:bookmarkStart w:id="22" w:name="_Ref448598671"/>
      <w:bookmarkStart w:id="23" w:name="_Ref448644422"/>
      <w:r>
        <w:t xml:space="preserve">The facts of </w:t>
      </w:r>
      <w:r w:rsidR="00015698">
        <w:t xml:space="preserve">the </w:t>
      </w:r>
      <w:r>
        <w:t>contravention</w:t>
      </w:r>
      <w:bookmarkEnd w:id="22"/>
      <w:r w:rsidR="00015698">
        <w:t>s</w:t>
      </w:r>
      <w:bookmarkEnd w:id="23"/>
    </w:p>
    <w:p w:rsidR="002A3D6A" w:rsidRDefault="00F97B9D" w:rsidP="00F97B9D">
      <w:pPr>
        <w:pStyle w:val="ParaNumbering"/>
        <w:numPr>
          <w:ilvl w:val="0"/>
          <w:numId w:val="0"/>
        </w:numPr>
        <w:ind w:hanging="720"/>
      </w:pPr>
      <w:r>
        <w:rPr>
          <w:sz w:val="20"/>
        </w:rPr>
        <w:t>9</w:t>
      </w:r>
      <w:r>
        <w:rPr>
          <w:sz w:val="20"/>
        </w:rPr>
        <w:tab/>
      </w:r>
      <w:r w:rsidR="002A3D6A">
        <w:t>Many of the facts concerning Reckitt Benckiser’s contraventions were agreed between the ACCC and Reckitt Benckiser</w:t>
      </w:r>
      <w:r w:rsidR="00015698">
        <w:t xml:space="preserve"> and</w:t>
      </w:r>
      <w:r w:rsidR="00BF7668">
        <w:t xml:space="preserve"> also</w:t>
      </w:r>
      <w:r w:rsidR="00015698">
        <w:t xml:space="preserve"> the subject of my findings in the liability judgment</w:t>
      </w:r>
      <w:r w:rsidR="00BF7668">
        <w:t xml:space="preserve">. It </w:t>
      </w:r>
      <w:r w:rsidR="00BF7668">
        <w:lastRenderedPageBreak/>
        <w:t xml:space="preserve">is unnecessary to repeat all of the detail and basis for Reckitt Benckiser’s concession, and my findings, of contravention and non-monetary relief. Those details are set out in my reasons for decision in </w:t>
      </w:r>
      <w:r w:rsidR="00015698" w:rsidRPr="00015698">
        <w:rPr>
          <w:i/>
        </w:rPr>
        <w:t>Australian Competition and Consumer Commission v Reckitt Benckiser (Australia) Pty Ltd (No 4)</w:t>
      </w:r>
      <w:r w:rsidR="00BF7668">
        <w:t xml:space="preserve"> [2015] FCA 1408. Some of the pertinent background can be summarised as follows below. Other matters are considered in more detail in relation to particular factors relevant to the assessment of penalty.</w:t>
      </w:r>
    </w:p>
    <w:p w:rsidR="00FF11E1" w:rsidRDefault="00F97B9D" w:rsidP="00F97B9D">
      <w:pPr>
        <w:pStyle w:val="ParaNumbering"/>
        <w:numPr>
          <w:ilvl w:val="0"/>
          <w:numId w:val="0"/>
        </w:numPr>
        <w:ind w:hanging="720"/>
      </w:pPr>
      <w:r>
        <w:rPr>
          <w:sz w:val="20"/>
        </w:rPr>
        <w:t>10</w:t>
      </w:r>
      <w:r>
        <w:rPr>
          <w:sz w:val="20"/>
        </w:rPr>
        <w:tab/>
      </w:r>
      <w:r w:rsidR="002A3D6A">
        <w:t>Since at least 2007, Reckitt Benckiser</w:t>
      </w:r>
      <w:r w:rsidR="00FF11E1">
        <w:t xml:space="preserve"> has marketed and supplied a range of Nurofen branded over-the-</w:t>
      </w:r>
      <w:r w:rsidR="00FF11E1" w:rsidRPr="00964B0B">
        <w:t xml:space="preserve">counter pain relief products </w:t>
      </w:r>
      <w:r w:rsidR="00015698" w:rsidRPr="00964B0B">
        <w:t>throughout Australia, including the following four products in the Nurofen Specific Pain Range</w:t>
      </w:r>
      <w:r w:rsidR="00015698">
        <w:t>:</w:t>
      </w:r>
    </w:p>
    <w:p w:rsidR="00FF11E1" w:rsidRPr="005A0939" w:rsidRDefault="00F97B9D" w:rsidP="00F97B9D">
      <w:pPr>
        <w:pStyle w:val="ListNo1"/>
        <w:numPr>
          <w:ilvl w:val="0"/>
          <w:numId w:val="0"/>
        </w:numPr>
        <w:tabs>
          <w:tab w:val="left" w:pos="720"/>
        </w:tabs>
        <w:ind w:left="720" w:hanging="720"/>
      </w:pPr>
      <w:r w:rsidRPr="005A0939">
        <w:t>(1)</w:t>
      </w:r>
      <w:r w:rsidRPr="005A0939">
        <w:tab/>
      </w:r>
      <w:r w:rsidR="00FF11E1">
        <w:t xml:space="preserve">Nurofen Migraine Pain ibuprofen </w:t>
      </w:r>
      <w:r w:rsidR="00FF11E1" w:rsidRPr="005A0939">
        <w:t>lysine 342 mg tablet blister pack (</w:t>
      </w:r>
      <w:r w:rsidR="00FF11E1" w:rsidRPr="0066079B">
        <w:rPr>
          <w:b/>
        </w:rPr>
        <w:t>Nurofen Migraine Pain</w:t>
      </w:r>
      <w:r w:rsidR="00FF11E1" w:rsidRPr="005A0939">
        <w:t>);</w:t>
      </w:r>
    </w:p>
    <w:p w:rsidR="00FF11E1" w:rsidRPr="005A0939" w:rsidRDefault="00F97B9D" w:rsidP="00F97B9D">
      <w:pPr>
        <w:pStyle w:val="ListNo1"/>
        <w:numPr>
          <w:ilvl w:val="0"/>
          <w:numId w:val="0"/>
        </w:numPr>
        <w:tabs>
          <w:tab w:val="left" w:pos="720"/>
        </w:tabs>
        <w:ind w:left="720" w:hanging="720"/>
      </w:pPr>
      <w:r w:rsidRPr="005A0939">
        <w:t>(2)</w:t>
      </w:r>
      <w:r w:rsidRPr="005A0939">
        <w:tab/>
      </w:r>
      <w:r w:rsidR="00FF11E1" w:rsidRPr="005A0939">
        <w:t>Nurofen Tension Headache ibuprofen lysine 342 mg tablet blister pack (</w:t>
      </w:r>
      <w:r w:rsidR="00FF11E1" w:rsidRPr="0066079B">
        <w:rPr>
          <w:b/>
        </w:rPr>
        <w:t>Nurofen Tension Headache</w:t>
      </w:r>
      <w:r w:rsidR="00FF11E1" w:rsidRPr="005A0939">
        <w:t>);</w:t>
      </w:r>
    </w:p>
    <w:p w:rsidR="00FF11E1" w:rsidRPr="005A0939" w:rsidRDefault="00F97B9D" w:rsidP="00F97B9D">
      <w:pPr>
        <w:pStyle w:val="ListNo1"/>
        <w:numPr>
          <w:ilvl w:val="0"/>
          <w:numId w:val="0"/>
        </w:numPr>
        <w:tabs>
          <w:tab w:val="left" w:pos="720"/>
        </w:tabs>
        <w:ind w:left="720" w:hanging="720"/>
      </w:pPr>
      <w:r w:rsidRPr="005A0939">
        <w:t>(3)</w:t>
      </w:r>
      <w:r w:rsidRPr="005A0939">
        <w:tab/>
      </w:r>
      <w:r w:rsidR="00FF11E1" w:rsidRPr="005A0939">
        <w:t>Nurofen Period Pain ibuprofen lysine 342 mg tablet blister pack (</w:t>
      </w:r>
      <w:r w:rsidR="00FF11E1" w:rsidRPr="0066079B">
        <w:rPr>
          <w:b/>
        </w:rPr>
        <w:t>Nurofen Period Pain</w:t>
      </w:r>
      <w:r w:rsidR="00FF11E1" w:rsidRPr="005A0939">
        <w:t>);</w:t>
      </w:r>
      <w:r w:rsidR="005A0939">
        <w:t xml:space="preserve"> and</w:t>
      </w:r>
    </w:p>
    <w:p w:rsidR="00FF11E1" w:rsidRPr="005A0939" w:rsidRDefault="00F97B9D" w:rsidP="00F97B9D">
      <w:pPr>
        <w:pStyle w:val="ListNo1"/>
        <w:numPr>
          <w:ilvl w:val="0"/>
          <w:numId w:val="0"/>
        </w:numPr>
        <w:tabs>
          <w:tab w:val="left" w:pos="720"/>
        </w:tabs>
        <w:ind w:left="720" w:hanging="720"/>
      </w:pPr>
      <w:r w:rsidRPr="005A0939">
        <w:t>(4)</w:t>
      </w:r>
      <w:r w:rsidRPr="005A0939">
        <w:tab/>
      </w:r>
      <w:r w:rsidR="00FF11E1" w:rsidRPr="005A0939">
        <w:t>Nurofen Back Pain ibuprofen lysine 342 mg tablet blister pack (</w:t>
      </w:r>
      <w:r w:rsidR="00FF11E1" w:rsidRPr="0066079B">
        <w:rPr>
          <w:b/>
        </w:rPr>
        <w:t>Nurofen Back Pain</w:t>
      </w:r>
      <w:r w:rsidR="005A0939">
        <w:t>).</w:t>
      </w:r>
    </w:p>
    <w:p w:rsidR="00015698" w:rsidRDefault="00F97B9D" w:rsidP="00F97B9D">
      <w:pPr>
        <w:pStyle w:val="ParaNumbering"/>
        <w:numPr>
          <w:ilvl w:val="0"/>
          <w:numId w:val="0"/>
        </w:numPr>
        <w:ind w:hanging="720"/>
      </w:pPr>
      <w:r>
        <w:rPr>
          <w:sz w:val="20"/>
        </w:rPr>
        <w:t>11</w:t>
      </w:r>
      <w:r>
        <w:rPr>
          <w:sz w:val="20"/>
        </w:rPr>
        <w:tab/>
      </w:r>
      <w:r w:rsidR="00015698">
        <w:t xml:space="preserve">The </w:t>
      </w:r>
      <w:r w:rsidR="00FF11E1">
        <w:t xml:space="preserve">Nurofen </w:t>
      </w:r>
      <w:r w:rsidR="00015698">
        <w:t xml:space="preserve">products </w:t>
      </w:r>
      <w:r w:rsidR="00FF11E1">
        <w:t xml:space="preserve">were regulated </w:t>
      </w:r>
      <w:r w:rsidR="009D770C">
        <w:t>by</w:t>
      </w:r>
      <w:r w:rsidR="00FF11E1">
        <w:t xml:space="preserve"> the Therapeutic Goods Administration (</w:t>
      </w:r>
      <w:r w:rsidR="00FF11E1" w:rsidRPr="00015698">
        <w:rPr>
          <w:b/>
        </w:rPr>
        <w:t>TGA</w:t>
      </w:r>
      <w:r w:rsidR="00FF11E1">
        <w:t>) which is part of the Co</w:t>
      </w:r>
      <w:r w:rsidR="00015698">
        <w:t>mmonwealth Department of Health</w:t>
      </w:r>
      <w:r w:rsidR="009D770C">
        <w:t>. After approval by the TGA, they</w:t>
      </w:r>
      <w:r w:rsidR="00015698">
        <w:t xml:space="preserve"> </w:t>
      </w:r>
      <w:r w:rsidR="00FF11E1">
        <w:t>were</w:t>
      </w:r>
      <w:r w:rsidR="009D770C">
        <w:t xml:space="preserve"> also</w:t>
      </w:r>
      <w:r w:rsidR="00FF11E1">
        <w:t xml:space="preserve"> registered on the Australian Register of Therapeutic Goods (</w:t>
      </w:r>
      <w:r w:rsidR="00FF11E1" w:rsidRPr="00015698">
        <w:rPr>
          <w:b/>
        </w:rPr>
        <w:t>ARTG</w:t>
      </w:r>
      <w:r w:rsidR="00FF11E1">
        <w:t>).</w:t>
      </w:r>
    </w:p>
    <w:p w:rsidR="00D876B5" w:rsidRDefault="00F97B9D" w:rsidP="00F97B9D">
      <w:pPr>
        <w:pStyle w:val="ParaNumbering"/>
        <w:numPr>
          <w:ilvl w:val="0"/>
          <w:numId w:val="0"/>
        </w:numPr>
        <w:ind w:hanging="720"/>
      </w:pPr>
      <w:r>
        <w:rPr>
          <w:sz w:val="20"/>
        </w:rPr>
        <w:t>12</w:t>
      </w:r>
      <w:r>
        <w:rPr>
          <w:sz w:val="20"/>
        </w:rPr>
        <w:tab/>
      </w:r>
      <w:r w:rsidR="00D876B5">
        <w:t>Each of the products comprising the Nurofen Specific Pain Range was first registered as an over</w:t>
      </w:r>
      <w:r w:rsidR="003547DC">
        <w:t>-</w:t>
      </w:r>
      <w:r w:rsidR="00D876B5">
        <w:t>the</w:t>
      </w:r>
      <w:r w:rsidR="003547DC">
        <w:t>-</w:t>
      </w:r>
      <w:r w:rsidR="00D876B5">
        <w:t>counter medicine on the ARTG on the following dates:</w:t>
      </w:r>
      <w:r w:rsidR="00015698">
        <w:t xml:space="preserve"> </w:t>
      </w:r>
      <w:r w:rsidR="00D876B5">
        <w:t>Nurofen Migraine Pain was registered on 12 August 2003;</w:t>
      </w:r>
      <w:r w:rsidR="00015698">
        <w:t xml:space="preserve"> </w:t>
      </w:r>
      <w:r w:rsidR="00D876B5">
        <w:t>Nurofen Tension Headache was registered on 22 June 2005;</w:t>
      </w:r>
      <w:r w:rsidR="00015698">
        <w:t xml:space="preserve"> </w:t>
      </w:r>
      <w:r w:rsidR="00D876B5">
        <w:t>Nurofen Period Pain was registered on 30 January 2007; and</w:t>
      </w:r>
      <w:r w:rsidR="00015698">
        <w:t xml:space="preserve"> </w:t>
      </w:r>
      <w:r w:rsidR="00D876B5" w:rsidRPr="00D876B5">
        <w:t>Nurofen Back Pain was registered on 4 July 2007.</w:t>
      </w:r>
    </w:p>
    <w:p w:rsidR="00E02AE2" w:rsidRDefault="00F97B9D" w:rsidP="00F97B9D">
      <w:pPr>
        <w:pStyle w:val="ParaNumbering"/>
        <w:numPr>
          <w:ilvl w:val="0"/>
          <w:numId w:val="0"/>
        </w:numPr>
        <w:ind w:hanging="720"/>
      </w:pPr>
      <w:r>
        <w:rPr>
          <w:sz w:val="20"/>
        </w:rPr>
        <w:t>13</w:t>
      </w:r>
      <w:r>
        <w:rPr>
          <w:sz w:val="20"/>
        </w:rPr>
        <w:tab/>
      </w:r>
      <w:r w:rsidR="00D876B5">
        <w:t xml:space="preserve">Products are registered on the ARTG with </w:t>
      </w:r>
      <w:r w:rsidR="005122ED">
        <w:t>‘</w:t>
      </w:r>
      <w:r w:rsidR="00D876B5">
        <w:t>approved indications</w:t>
      </w:r>
      <w:r w:rsidR="005122ED">
        <w:t>’</w:t>
      </w:r>
      <w:r w:rsidR="00D876B5">
        <w:t>, being the types of pain or other conditions in respect of which the pr</w:t>
      </w:r>
      <w:r w:rsidR="00015698">
        <w:t xml:space="preserve">oduct is suitable for treating. </w:t>
      </w:r>
      <w:r w:rsidR="00D876B5">
        <w:t>The ARTG approved indication for each product comprising the Nurofen Specific Pain Range is</w:t>
      </w:r>
      <w:r w:rsidR="00E02AE2">
        <w:t>:</w:t>
      </w:r>
    </w:p>
    <w:p w:rsidR="00D876B5" w:rsidRDefault="00D876B5" w:rsidP="00E02AE2">
      <w:pPr>
        <w:pStyle w:val="Quote1"/>
      </w:pPr>
      <w:r w:rsidRPr="00E02AE2">
        <w:t>The temporary relief of pain and/or inflammation associated with headache (including migraine and tension headache), dental pain, period pain, arthritis, aches and pains associated with the common cold or flu, backache, sinus pain, muscular and rheumatic pain. Reduces fever.</w:t>
      </w:r>
    </w:p>
    <w:p w:rsidR="00D876B5" w:rsidRDefault="00F97B9D" w:rsidP="00F97B9D">
      <w:pPr>
        <w:pStyle w:val="ParaNumbering"/>
        <w:numPr>
          <w:ilvl w:val="0"/>
          <w:numId w:val="0"/>
        </w:numPr>
        <w:ind w:hanging="720"/>
      </w:pPr>
      <w:r>
        <w:rPr>
          <w:sz w:val="20"/>
        </w:rPr>
        <w:lastRenderedPageBreak/>
        <w:t>14</w:t>
      </w:r>
      <w:r>
        <w:rPr>
          <w:sz w:val="20"/>
        </w:rPr>
        <w:tab/>
      </w:r>
      <w:r w:rsidR="00D876B5">
        <w:t xml:space="preserve">The Nurofen Specific Pain Range was advertised on the </w:t>
      </w:r>
      <w:r w:rsidR="00F148B2">
        <w:t>“</w:t>
      </w:r>
      <w:r w:rsidR="00D876B5">
        <w:t>Product Comparator</w:t>
      </w:r>
      <w:r w:rsidR="00F148B2">
        <w:t>”</w:t>
      </w:r>
      <w:r w:rsidR="00D876B5">
        <w:t xml:space="preserve"> </w:t>
      </w:r>
      <w:r w:rsidR="00F148B2">
        <w:t>p</w:t>
      </w:r>
      <w:r w:rsidR="00D876B5">
        <w:t xml:space="preserve">age and the </w:t>
      </w:r>
      <w:r w:rsidR="00F148B2">
        <w:t>“</w:t>
      </w:r>
      <w:r w:rsidR="00D876B5">
        <w:t>Specific Pain Relief</w:t>
      </w:r>
      <w:r w:rsidR="00F148B2">
        <w:t>”</w:t>
      </w:r>
      <w:r w:rsidR="00D876B5">
        <w:t xml:space="preserve"> </w:t>
      </w:r>
      <w:r w:rsidR="00F148B2">
        <w:t>p</w:t>
      </w:r>
      <w:r w:rsidR="00D876B5">
        <w:t>age on the Nurofen websi</w:t>
      </w:r>
      <w:r w:rsidR="006354C9">
        <w:t>te fr</w:t>
      </w:r>
      <w:r w:rsidR="009D770C">
        <w:t>om at least December 2012. O</w:t>
      </w:r>
      <w:r w:rsidR="006354C9">
        <w:t>n 9 May 2014, Reckitt Benckiser</w:t>
      </w:r>
      <w:r w:rsidR="00D876B5">
        <w:t xml:space="preserve"> withdrew </w:t>
      </w:r>
      <w:r w:rsidR="006354C9">
        <w:t>those pages</w:t>
      </w:r>
      <w:r w:rsidR="00D876B5">
        <w:t xml:space="preserve"> from the Nurofen website.</w:t>
      </w:r>
    </w:p>
    <w:p w:rsidR="00D876B5" w:rsidRDefault="00F97B9D" w:rsidP="00F97B9D">
      <w:pPr>
        <w:pStyle w:val="ParaNumbering"/>
        <w:numPr>
          <w:ilvl w:val="0"/>
          <w:numId w:val="0"/>
        </w:numPr>
        <w:ind w:hanging="720"/>
      </w:pPr>
      <w:r>
        <w:rPr>
          <w:sz w:val="20"/>
        </w:rPr>
        <w:t>15</w:t>
      </w:r>
      <w:r>
        <w:rPr>
          <w:sz w:val="20"/>
        </w:rPr>
        <w:tab/>
      </w:r>
      <w:r w:rsidR="009056EF">
        <w:t>T</w:t>
      </w:r>
      <w:r w:rsidR="00D876B5" w:rsidRPr="00D876B5">
        <w:t xml:space="preserve">he products </w:t>
      </w:r>
      <w:r w:rsidR="009056EF">
        <w:t>in</w:t>
      </w:r>
      <w:r w:rsidR="00D876B5" w:rsidRPr="00D876B5">
        <w:t xml:space="preserve"> the Nurofen Specific Pain Range were</w:t>
      </w:r>
      <w:r w:rsidR="009056EF">
        <w:t xml:space="preserve"> </w:t>
      </w:r>
      <w:r w:rsidR="00D876B5">
        <w:t>sold as over-the-counter pain re</w:t>
      </w:r>
      <w:r w:rsidR="009056EF">
        <w:t xml:space="preserve">lief products </w:t>
      </w:r>
      <w:r w:rsidR="00D876B5">
        <w:t>in pharmacies, grocery st</w:t>
      </w:r>
      <w:r w:rsidR="009056EF">
        <w:t xml:space="preserve">ores and convenience stores. They were </w:t>
      </w:r>
      <w:r w:rsidR="00D876B5">
        <w:t>typically displayed for sale together, or in close proximity to each other, in the same location in the retail outlet.</w:t>
      </w:r>
    </w:p>
    <w:p w:rsidR="007F4AC5" w:rsidRDefault="00F97B9D" w:rsidP="00F97B9D">
      <w:pPr>
        <w:pStyle w:val="ParaNumbering"/>
        <w:numPr>
          <w:ilvl w:val="0"/>
          <w:numId w:val="0"/>
        </w:numPr>
        <w:ind w:hanging="720"/>
      </w:pPr>
      <w:r>
        <w:rPr>
          <w:sz w:val="20"/>
        </w:rPr>
        <w:t>16</w:t>
      </w:r>
      <w:r>
        <w:rPr>
          <w:sz w:val="20"/>
        </w:rPr>
        <w:tab/>
      </w:r>
      <w:r w:rsidR="009056EF">
        <w:t xml:space="preserve">At 31 July 2015, the outlets selling </w:t>
      </w:r>
      <w:r w:rsidR="009056EF" w:rsidRPr="00D876B5">
        <w:t>the Nurofen Specific Pain Range</w:t>
      </w:r>
      <w:r w:rsidR="009056EF">
        <w:t xml:space="preserve"> were </w:t>
      </w:r>
      <w:r w:rsidR="00D876B5">
        <w:t>approximately 3,000 retail outlets (excluding pharmacies) in metropolitan and non-metropolitan regions</w:t>
      </w:r>
      <w:r w:rsidR="00710110">
        <w:t>,</w:t>
      </w:r>
      <w:r w:rsidR="00D876B5">
        <w:t xml:space="preserve"> and</w:t>
      </w:r>
      <w:r w:rsidR="009056EF">
        <w:t xml:space="preserve"> </w:t>
      </w:r>
      <w:r w:rsidR="00D876B5">
        <w:t>approximate</w:t>
      </w:r>
      <w:r w:rsidR="009056EF">
        <w:t xml:space="preserve">ly 5,500 pharmacies (2,000 in metropolitan regions and 3,500 </w:t>
      </w:r>
      <w:r w:rsidR="00D876B5">
        <w:t>in non-metropolitan regions</w:t>
      </w:r>
      <w:r w:rsidR="009056EF">
        <w:t>)</w:t>
      </w:r>
      <w:r w:rsidR="00D876B5">
        <w:t>.</w:t>
      </w:r>
      <w:r w:rsidR="006E35D8">
        <w:t xml:space="preserve"> </w:t>
      </w:r>
      <w:r w:rsidR="009056EF">
        <w:t xml:space="preserve">Reckitt Benckiser </w:t>
      </w:r>
      <w:r w:rsidR="00D876B5">
        <w:t>has a sales team of approximately 40 full</w:t>
      </w:r>
      <w:r w:rsidR="00710110">
        <w:t>-</w:t>
      </w:r>
      <w:r w:rsidR="00D876B5">
        <w:t>time employees who</w:t>
      </w:r>
      <w:r w:rsidR="006E35D8">
        <w:t xml:space="preserve"> visit </w:t>
      </w:r>
      <w:r w:rsidR="00710110">
        <w:t>the</w:t>
      </w:r>
      <w:r w:rsidR="00D876B5">
        <w:t xml:space="preserve"> pharmacies l</w:t>
      </w:r>
      <w:r w:rsidR="00BF7668">
        <w:t>ocated in metropolitan regions.</w:t>
      </w:r>
    </w:p>
    <w:p w:rsidR="00673988" w:rsidRDefault="00CC5DB4" w:rsidP="00673988">
      <w:pPr>
        <w:pStyle w:val="Heading2"/>
      </w:pPr>
      <w:bookmarkStart w:id="24" w:name="_Ref448988093"/>
      <w:r>
        <w:t>The Packaging Representations and the Website R</w:t>
      </w:r>
      <w:r w:rsidR="00673988">
        <w:t>epresentations</w:t>
      </w:r>
      <w:bookmarkEnd w:id="24"/>
    </w:p>
    <w:p w:rsidR="00964B0B" w:rsidRPr="00964B0B" w:rsidRDefault="00C8185D" w:rsidP="00964B0B">
      <w:pPr>
        <w:pStyle w:val="Heading3"/>
      </w:pPr>
      <w:bookmarkStart w:id="25" w:name="_Ref448988094"/>
      <w:bookmarkStart w:id="26" w:name="_Ref449008261"/>
      <w:r>
        <w:t xml:space="preserve">The </w:t>
      </w:r>
      <w:r w:rsidR="00CC5DB4">
        <w:t>Packaging R</w:t>
      </w:r>
      <w:r w:rsidR="00964B0B">
        <w:t>epresentations</w:t>
      </w:r>
      <w:bookmarkEnd w:id="25"/>
      <w:bookmarkEnd w:id="26"/>
    </w:p>
    <w:p w:rsidR="00673988" w:rsidRPr="00673988" w:rsidRDefault="00F97B9D" w:rsidP="00F97B9D">
      <w:pPr>
        <w:pStyle w:val="ParaNumbering"/>
        <w:numPr>
          <w:ilvl w:val="0"/>
          <w:numId w:val="0"/>
        </w:numPr>
        <w:ind w:hanging="720"/>
        <w:rPr>
          <w:rFonts w:eastAsia="Times New Roman"/>
          <w:color w:val="000000"/>
          <w:szCs w:val="24"/>
          <w:lang w:eastAsia="en-AU"/>
        </w:rPr>
      </w:pPr>
      <w:bookmarkStart w:id="27" w:name="_Ref437525215"/>
      <w:bookmarkStart w:id="28" w:name="Heading282"/>
      <w:bookmarkEnd w:id="27"/>
      <w:bookmarkEnd w:id="28"/>
      <w:r w:rsidRPr="00673988">
        <w:rPr>
          <w:rFonts w:eastAsia="Times New Roman"/>
          <w:color w:val="000000"/>
          <w:sz w:val="20"/>
          <w:szCs w:val="24"/>
          <w:lang w:eastAsia="en-AU"/>
        </w:rPr>
        <w:t>17</w:t>
      </w:r>
      <w:r w:rsidRPr="00673988">
        <w:rPr>
          <w:rFonts w:eastAsia="Times New Roman"/>
          <w:color w:val="000000"/>
          <w:sz w:val="20"/>
          <w:szCs w:val="24"/>
          <w:lang w:eastAsia="en-AU"/>
        </w:rPr>
        <w:tab/>
      </w:r>
      <w:r w:rsidR="00673988" w:rsidRPr="00673988">
        <w:rPr>
          <w:rFonts w:eastAsia="Times New Roman"/>
          <w:color w:val="000000"/>
          <w:szCs w:val="24"/>
          <w:lang w:eastAsia="en-AU"/>
        </w:rPr>
        <w:t>The</w:t>
      </w:r>
      <w:r w:rsidR="00673988">
        <w:rPr>
          <w:rFonts w:eastAsia="Times New Roman"/>
          <w:color w:val="000000"/>
          <w:szCs w:val="24"/>
          <w:lang w:eastAsia="en-AU"/>
        </w:rPr>
        <w:t xml:space="preserve"> representations which involved contraventions of s</w:t>
      </w:r>
      <w:r w:rsidR="00193051">
        <w:rPr>
          <w:rFonts w:eastAsia="Times New Roman"/>
          <w:color w:val="000000"/>
          <w:szCs w:val="24"/>
          <w:lang w:eastAsia="en-AU"/>
        </w:rPr>
        <w:t> </w:t>
      </w:r>
      <w:r w:rsidR="00673988">
        <w:rPr>
          <w:rFonts w:eastAsia="Times New Roman"/>
          <w:color w:val="000000"/>
          <w:szCs w:val="24"/>
          <w:lang w:eastAsia="en-AU"/>
        </w:rPr>
        <w:t xml:space="preserve">33 of the </w:t>
      </w:r>
      <w:r w:rsidR="00673988">
        <w:rPr>
          <w:rFonts w:eastAsia="Times New Roman"/>
          <w:i/>
          <w:color w:val="000000"/>
          <w:szCs w:val="24"/>
          <w:lang w:eastAsia="en-AU"/>
        </w:rPr>
        <w:t xml:space="preserve">Australian Consumer Law </w:t>
      </w:r>
      <w:r w:rsidR="00673988">
        <w:rPr>
          <w:rFonts w:eastAsia="Times New Roman"/>
          <w:color w:val="000000"/>
          <w:szCs w:val="24"/>
          <w:lang w:eastAsia="en-AU"/>
        </w:rPr>
        <w:t>were described in my reasons for decision</w:t>
      </w:r>
      <w:r w:rsidR="00710110">
        <w:rPr>
          <w:rFonts w:eastAsia="Times New Roman"/>
          <w:color w:val="000000"/>
          <w:szCs w:val="24"/>
          <w:lang w:eastAsia="en-AU"/>
        </w:rPr>
        <w:t xml:space="preserve">, </w:t>
      </w:r>
      <w:r w:rsidR="009D770C">
        <w:rPr>
          <w:rFonts w:eastAsia="Times New Roman"/>
          <w:color w:val="000000"/>
          <w:szCs w:val="24"/>
          <w:lang w:eastAsia="en-AU"/>
        </w:rPr>
        <w:t>and pictured in the attached annexures</w:t>
      </w:r>
      <w:r w:rsidR="00673988">
        <w:rPr>
          <w:rFonts w:eastAsia="Times New Roman"/>
          <w:color w:val="000000"/>
          <w:szCs w:val="24"/>
          <w:lang w:eastAsia="en-AU"/>
        </w:rPr>
        <w:t>,</w:t>
      </w:r>
      <w:r w:rsidR="009D770C">
        <w:rPr>
          <w:rFonts w:eastAsia="Times New Roman"/>
          <w:color w:val="000000"/>
          <w:szCs w:val="24"/>
          <w:lang w:eastAsia="en-AU"/>
        </w:rPr>
        <w:t xml:space="preserve"> in</w:t>
      </w:r>
      <w:r w:rsidR="00673988">
        <w:rPr>
          <w:rFonts w:eastAsia="Times New Roman"/>
          <w:color w:val="000000"/>
          <w:szCs w:val="24"/>
          <w:lang w:eastAsia="en-AU"/>
        </w:rPr>
        <w:t xml:space="preserve"> </w:t>
      </w:r>
      <w:r w:rsidR="00673988" w:rsidRPr="00015698">
        <w:rPr>
          <w:i/>
        </w:rPr>
        <w:t>Australian Competition and Consumer Commission v Reckitt Benckiser (Australia) Pty Ltd (No 4)</w:t>
      </w:r>
      <w:r w:rsidR="00673988">
        <w:t>. Since there is some dispute about how those representations should be characterised as courses of conduct it is necessary to repeat some them below.</w:t>
      </w:r>
    </w:p>
    <w:p w:rsidR="00673988" w:rsidRDefault="00F97B9D" w:rsidP="00F97B9D">
      <w:pPr>
        <w:pStyle w:val="ParaNumbering"/>
        <w:numPr>
          <w:ilvl w:val="0"/>
          <w:numId w:val="0"/>
        </w:numPr>
        <w:ind w:hanging="720"/>
        <w:rPr>
          <w:rFonts w:eastAsia="Times New Roman"/>
          <w:color w:val="000000"/>
          <w:szCs w:val="24"/>
          <w:lang w:eastAsia="en-AU"/>
        </w:rPr>
      </w:pPr>
      <w:r>
        <w:rPr>
          <w:rFonts w:eastAsia="Times New Roman"/>
          <w:color w:val="000000"/>
          <w:sz w:val="20"/>
          <w:szCs w:val="24"/>
          <w:lang w:eastAsia="en-AU"/>
        </w:rPr>
        <w:t>18</w:t>
      </w:r>
      <w:r>
        <w:rPr>
          <w:rFonts w:eastAsia="Times New Roman"/>
          <w:color w:val="000000"/>
          <w:sz w:val="20"/>
          <w:szCs w:val="24"/>
          <w:lang w:eastAsia="en-AU"/>
        </w:rPr>
        <w:tab/>
      </w:r>
      <w:r w:rsidR="00710110">
        <w:t xml:space="preserve">My </w:t>
      </w:r>
      <w:r w:rsidR="00673988">
        <w:t>findings in relation to e</w:t>
      </w:r>
      <w:r w:rsidR="00673988" w:rsidRPr="00673988">
        <w:rPr>
          <w:rFonts w:eastAsia="Times New Roman"/>
          <w:color w:val="000000"/>
          <w:szCs w:val="24"/>
          <w:lang w:eastAsia="en-AU"/>
        </w:rPr>
        <w:t xml:space="preserve">ach product in </w:t>
      </w:r>
      <w:r w:rsidR="00673988">
        <w:rPr>
          <w:rFonts w:eastAsia="Times New Roman"/>
          <w:color w:val="000000"/>
          <w:szCs w:val="24"/>
          <w:lang w:eastAsia="en-AU"/>
        </w:rPr>
        <w:t xml:space="preserve">the Nurofen Specific Pain Range reflected the pleadings and agreement </w:t>
      </w:r>
      <w:r w:rsidR="00CB0C92">
        <w:rPr>
          <w:rFonts w:eastAsia="Times New Roman"/>
          <w:color w:val="000000"/>
          <w:szCs w:val="24"/>
          <w:lang w:eastAsia="en-AU"/>
        </w:rPr>
        <w:t xml:space="preserve">which were broadly common to all four products. Apart from some minor differences such as additional packaging statements for tension headache and migraine </w:t>
      </w:r>
      <w:r w:rsidR="003547DC">
        <w:rPr>
          <w:rFonts w:eastAsia="Times New Roman"/>
          <w:color w:val="000000"/>
          <w:szCs w:val="24"/>
          <w:lang w:eastAsia="en-AU"/>
        </w:rPr>
        <w:t xml:space="preserve">pain </w:t>
      </w:r>
      <w:r w:rsidR="00CB0C92">
        <w:rPr>
          <w:rFonts w:eastAsia="Times New Roman"/>
          <w:color w:val="000000"/>
          <w:szCs w:val="24"/>
          <w:lang w:eastAsia="en-AU"/>
        </w:rPr>
        <w:t>that required “dosage” to be taken with water at the first onset or sign of the headache or migraine</w:t>
      </w:r>
      <w:r w:rsidR="009D770C">
        <w:rPr>
          <w:rFonts w:eastAsia="Times New Roman"/>
          <w:color w:val="000000"/>
          <w:szCs w:val="24"/>
          <w:lang w:eastAsia="en-AU"/>
        </w:rPr>
        <w:t>, I concluded consistently with the admitted pleading that</w:t>
      </w:r>
      <w:r w:rsidR="00673988">
        <w:rPr>
          <w:rFonts w:eastAsia="Times New Roman"/>
          <w:color w:val="000000"/>
          <w:szCs w:val="24"/>
          <w:lang w:eastAsia="en-AU"/>
        </w:rPr>
        <w:t>:</w:t>
      </w:r>
    </w:p>
    <w:p w:rsidR="00673988" w:rsidRPr="00673988" w:rsidRDefault="00F97B9D" w:rsidP="00F97B9D">
      <w:pPr>
        <w:pStyle w:val="ListNo1"/>
        <w:numPr>
          <w:ilvl w:val="0"/>
          <w:numId w:val="0"/>
        </w:numPr>
        <w:tabs>
          <w:tab w:val="left" w:pos="720"/>
        </w:tabs>
        <w:ind w:left="720" w:hanging="720"/>
        <w:rPr>
          <w:lang w:eastAsia="en-AU"/>
        </w:rPr>
      </w:pPr>
      <w:r w:rsidRPr="00673988">
        <w:rPr>
          <w:lang w:eastAsia="en-AU"/>
        </w:rPr>
        <w:t>(1)</w:t>
      </w:r>
      <w:r w:rsidRPr="00673988">
        <w:rPr>
          <w:lang w:eastAsia="en-AU"/>
        </w:rPr>
        <w:tab/>
      </w:r>
      <w:r w:rsidR="00673988">
        <w:rPr>
          <w:rFonts w:eastAsia="Times New Roman"/>
          <w:color w:val="000000"/>
          <w:szCs w:val="24"/>
          <w:lang w:eastAsia="en-AU"/>
        </w:rPr>
        <w:t xml:space="preserve">each </w:t>
      </w:r>
      <w:r w:rsidR="003547DC">
        <w:rPr>
          <w:rFonts w:eastAsia="Times New Roman"/>
          <w:color w:val="000000"/>
          <w:szCs w:val="24"/>
          <w:lang w:eastAsia="en-AU"/>
        </w:rPr>
        <w:t xml:space="preserve">product </w:t>
      </w:r>
      <w:r w:rsidR="00673988">
        <w:rPr>
          <w:rFonts w:eastAsia="Times New Roman"/>
          <w:color w:val="000000"/>
          <w:szCs w:val="24"/>
          <w:lang w:eastAsia="en-AU"/>
        </w:rPr>
        <w:t xml:space="preserve">was </w:t>
      </w:r>
      <w:r w:rsidR="00673988" w:rsidRPr="00673988">
        <w:rPr>
          <w:rFonts w:eastAsia="Times New Roman"/>
          <w:color w:val="000000"/>
          <w:szCs w:val="24"/>
          <w:lang w:eastAsia="en-AU"/>
        </w:rPr>
        <w:t>coloured differently;</w:t>
      </w:r>
    </w:p>
    <w:p w:rsidR="00673988" w:rsidRPr="00673988" w:rsidRDefault="00F97B9D" w:rsidP="00F97B9D">
      <w:pPr>
        <w:pStyle w:val="ListNo1"/>
        <w:numPr>
          <w:ilvl w:val="0"/>
          <w:numId w:val="0"/>
        </w:numPr>
        <w:tabs>
          <w:tab w:val="left" w:pos="720"/>
        </w:tabs>
        <w:ind w:left="720" w:hanging="720"/>
        <w:rPr>
          <w:lang w:eastAsia="en-AU"/>
        </w:rPr>
      </w:pPr>
      <w:r w:rsidRPr="00673988">
        <w:rPr>
          <w:lang w:eastAsia="en-AU"/>
        </w:rPr>
        <w:t>(2)</w:t>
      </w:r>
      <w:r w:rsidRPr="00673988">
        <w:rPr>
          <w:lang w:eastAsia="en-AU"/>
        </w:rPr>
        <w:tab/>
      </w:r>
      <w:r w:rsidR="00673988">
        <w:rPr>
          <w:rFonts w:eastAsia="Times New Roman"/>
          <w:color w:val="000000"/>
          <w:szCs w:val="24"/>
          <w:lang w:eastAsia="en-AU"/>
        </w:rPr>
        <w:t>each</w:t>
      </w:r>
      <w:r w:rsidR="003547DC">
        <w:rPr>
          <w:rFonts w:eastAsia="Times New Roman"/>
          <w:color w:val="000000"/>
          <w:szCs w:val="24"/>
          <w:lang w:eastAsia="en-AU"/>
        </w:rPr>
        <w:t xml:space="preserve"> product</w:t>
      </w:r>
      <w:r w:rsidR="00673988">
        <w:rPr>
          <w:rFonts w:eastAsia="Times New Roman"/>
          <w:color w:val="000000"/>
          <w:szCs w:val="24"/>
          <w:lang w:eastAsia="en-AU"/>
        </w:rPr>
        <w:t xml:space="preserve"> </w:t>
      </w:r>
      <w:r w:rsidR="00673988" w:rsidRPr="00673988">
        <w:rPr>
          <w:rFonts w:eastAsia="Times New Roman"/>
          <w:color w:val="000000"/>
          <w:szCs w:val="24"/>
          <w:lang w:eastAsia="en-AU"/>
        </w:rPr>
        <w:t>refer</w:t>
      </w:r>
      <w:r w:rsidR="00673988">
        <w:rPr>
          <w:rFonts w:eastAsia="Times New Roman"/>
          <w:color w:val="000000"/>
          <w:szCs w:val="24"/>
          <w:lang w:eastAsia="en-AU"/>
        </w:rPr>
        <w:t>red</w:t>
      </w:r>
      <w:r w:rsidR="00673988" w:rsidRPr="00673988">
        <w:rPr>
          <w:rFonts w:eastAsia="Times New Roman"/>
          <w:color w:val="000000"/>
          <w:szCs w:val="24"/>
          <w:lang w:eastAsia="en-AU"/>
        </w:rPr>
        <w:t xml:space="preserve"> to a different pain condition;</w:t>
      </w:r>
    </w:p>
    <w:p w:rsidR="00673988" w:rsidRPr="00673988" w:rsidRDefault="00F97B9D" w:rsidP="00F97B9D">
      <w:pPr>
        <w:pStyle w:val="ListNo1"/>
        <w:numPr>
          <w:ilvl w:val="0"/>
          <w:numId w:val="0"/>
        </w:numPr>
        <w:tabs>
          <w:tab w:val="left" w:pos="720"/>
        </w:tabs>
        <w:ind w:left="720" w:hanging="720"/>
        <w:rPr>
          <w:lang w:eastAsia="en-AU"/>
        </w:rPr>
      </w:pPr>
      <w:r w:rsidRPr="00673988">
        <w:rPr>
          <w:lang w:eastAsia="en-AU"/>
        </w:rPr>
        <w:t>(3)</w:t>
      </w:r>
      <w:r w:rsidRPr="00673988">
        <w:rPr>
          <w:lang w:eastAsia="en-AU"/>
        </w:rPr>
        <w:tab/>
      </w:r>
      <w:r w:rsidR="00673988">
        <w:rPr>
          <w:rFonts w:eastAsia="Times New Roman"/>
          <w:color w:val="000000"/>
          <w:szCs w:val="24"/>
          <w:lang w:eastAsia="en-AU"/>
        </w:rPr>
        <w:t xml:space="preserve">each </w:t>
      </w:r>
      <w:r w:rsidR="003547DC">
        <w:rPr>
          <w:rFonts w:eastAsia="Times New Roman"/>
          <w:color w:val="000000"/>
          <w:szCs w:val="24"/>
          <w:lang w:eastAsia="en-AU"/>
        </w:rPr>
        <w:t xml:space="preserve">product </w:t>
      </w:r>
      <w:r w:rsidR="00673988">
        <w:rPr>
          <w:rFonts w:eastAsia="Times New Roman"/>
          <w:color w:val="000000"/>
          <w:szCs w:val="24"/>
          <w:lang w:eastAsia="en-AU"/>
        </w:rPr>
        <w:t xml:space="preserve">bore </w:t>
      </w:r>
      <w:r w:rsidR="00673988" w:rsidRPr="00673988">
        <w:rPr>
          <w:rFonts w:eastAsia="Times New Roman"/>
          <w:color w:val="000000"/>
          <w:szCs w:val="24"/>
          <w:lang w:eastAsia="en-AU"/>
        </w:rPr>
        <w:t>the statement “FAST TARGE</w:t>
      </w:r>
      <w:r w:rsidR="00673988">
        <w:rPr>
          <w:rFonts w:eastAsia="Times New Roman"/>
          <w:color w:val="000000"/>
          <w:szCs w:val="24"/>
          <w:lang w:eastAsia="en-AU"/>
        </w:rPr>
        <w:t>TED RELIEF FROM PAIN”;</w:t>
      </w:r>
    </w:p>
    <w:p w:rsidR="00673988" w:rsidRPr="00673988" w:rsidRDefault="00F97B9D" w:rsidP="00F97B9D">
      <w:pPr>
        <w:pStyle w:val="ListNo1"/>
        <w:numPr>
          <w:ilvl w:val="0"/>
          <w:numId w:val="0"/>
        </w:numPr>
        <w:tabs>
          <w:tab w:val="left" w:pos="720"/>
        </w:tabs>
        <w:ind w:left="720" w:hanging="720"/>
        <w:rPr>
          <w:lang w:eastAsia="en-AU"/>
        </w:rPr>
      </w:pPr>
      <w:r w:rsidRPr="00673988">
        <w:rPr>
          <w:lang w:eastAsia="en-AU"/>
        </w:rPr>
        <w:t>(4)</w:t>
      </w:r>
      <w:r w:rsidRPr="00673988">
        <w:rPr>
          <w:lang w:eastAsia="en-AU"/>
        </w:rPr>
        <w:tab/>
      </w:r>
      <w:r w:rsidR="00673988">
        <w:rPr>
          <w:rFonts w:eastAsia="Times New Roman"/>
          <w:color w:val="000000"/>
          <w:szCs w:val="24"/>
          <w:lang w:eastAsia="en-AU"/>
        </w:rPr>
        <w:t xml:space="preserve">each </w:t>
      </w:r>
      <w:r w:rsidR="003547DC">
        <w:rPr>
          <w:rFonts w:eastAsia="Times New Roman"/>
          <w:color w:val="000000"/>
          <w:szCs w:val="24"/>
          <w:lang w:eastAsia="en-AU"/>
        </w:rPr>
        <w:t xml:space="preserve">product </w:t>
      </w:r>
      <w:r w:rsidR="00673988">
        <w:rPr>
          <w:rFonts w:eastAsia="Times New Roman"/>
          <w:color w:val="000000"/>
          <w:szCs w:val="24"/>
          <w:lang w:eastAsia="en-AU"/>
        </w:rPr>
        <w:t>bore the</w:t>
      </w:r>
      <w:r w:rsidR="00673988" w:rsidRPr="00673988">
        <w:rPr>
          <w:rFonts w:eastAsia="Times New Roman"/>
          <w:color w:val="000000"/>
          <w:szCs w:val="24"/>
          <w:lang w:eastAsia="en-AU"/>
        </w:rPr>
        <w:t xml:space="preserve"> statement that the product “...IS FAST AND EFFECTIVE IN THE TEMPORARY RELIEF OF PAIN ASSOCIATED WITH.</w:t>
      </w:r>
      <w:r w:rsidR="00673988">
        <w:rPr>
          <w:rFonts w:eastAsia="Times New Roman"/>
          <w:color w:val="000000"/>
          <w:szCs w:val="24"/>
          <w:lang w:eastAsia="en-AU"/>
        </w:rPr>
        <w:t>..” the relevant pain condition;</w:t>
      </w:r>
      <w:r w:rsidR="00CB0C92">
        <w:rPr>
          <w:lang w:eastAsia="en-AU"/>
        </w:rPr>
        <w:t xml:space="preserve"> </w:t>
      </w:r>
      <w:r w:rsidR="00673988" w:rsidRPr="00CB0C92">
        <w:rPr>
          <w:rFonts w:eastAsia="Times New Roman"/>
          <w:color w:val="000000"/>
          <w:szCs w:val="24"/>
          <w:lang w:eastAsia="en-AU"/>
        </w:rPr>
        <w:t>and</w:t>
      </w:r>
    </w:p>
    <w:p w:rsidR="00673988" w:rsidRPr="00673988" w:rsidRDefault="00F97B9D" w:rsidP="00F97B9D">
      <w:pPr>
        <w:pStyle w:val="ListNo1"/>
        <w:numPr>
          <w:ilvl w:val="0"/>
          <w:numId w:val="0"/>
        </w:numPr>
        <w:tabs>
          <w:tab w:val="left" w:pos="720"/>
        </w:tabs>
        <w:ind w:left="720" w:hanging="720"/>
        <w:rPr>
          <w:lang w:eastAsia="en-AU"/>
        </w:rPr>
      </w:pPr>
      <w:r w:rsidRPr="00673988">
        <w:rPr>
          <w:lang w:eastAsia="en-AU"/>
        </w:rPr>
        <w:lastRenderedPageBreak/>
        <w:t>(5)</w:t>
      </w:r>
      <w:r w:rsidRPr="00673988">
        <w:rPr>
          <w:lang w:eastAsia="en-AU"/>
        </w:rPr>
        <w:tab/>
      </w:r>
      <w:r w:rsidR="00673988">
        <w:rPr>
          <w:rFonts w:eastAsia="Times New Roman"/>
          <w:color w:val="000000"/>
          <w:szCs w:val="24"/>
          <w:lang w:eastAsia="en-AU"/>
        </w:rPr>
        <w:t>each product stated</w:t>
      </w:r>
      <w:r w:rsidR="00673988" w:rsidRPr="00673988">
        <w:rPr>
          <w:rFonts w:eastAsia="Times New Roman"/>
          <w:color w:val="000000"/>
          <w:szCs w:val="24"/>
          <w:lang w:eastAsia="en-AU"/>
        </w:rPr>
        <w:t>, expressly on the front of the pack, that the active ingredient is “ibuprofen lysine 342 mg (equiv ibuprofen 200mg)”.</w:t>
      </w:r>
    </w:p>
    <w:p w:rsidR="00673988" w:rsidRPr="00673988" w:rsidRDefault="00F97B9D" w:rsidP="00F97B9D">
      <w:pPr>
        <w:pStyle w:val="ParaNumbering"/>
        <w:numPr>
          <w:ilvl w:val="0"/>
          <w:numId w:val="0"/>
        </w:numPr>
        <w:ind w:hanging="720"/>
        <w:rPr>
          <w:lang w:eastAsia="en-AU"/>
        </w:rPr>
      </w:pPr>
      <w:r w:rsidRPr="00673988">
        <w:rPr>
          <w:sz w:val="20"/>
          <w:lang w:eastAsia="en-AU"/>
        </w:rPr>
        <w:t>19</w:t>
      </w:r>
      <w:r w:rsidRPr="00673988">
        <w:rPr>
          <w:sz w:val="20"/>
          <w:lang w:eastAsia="en-AU"/>
        </w:rPr>
        <w:tab/>
      </w:r>
      <w:r w:rsidR="00673988" w:rsidRPr="00673988">
        <w:rPr>
          <w:lang w:eastAsia="en-AU"/>
        </w:rPr>
        <w:t xml:space="preserve">Reckitt Benckiser </w:t>
      </w:r>
      <w:r w:rsidR="00CB0C92">
        <w:rPr>
          <w:lang w:eastAsia="en-AU"/>
        </w:rPr>
        <w:t xml:space="preserve">conceded, and I found, </w:t>
      </w:r>
      <w:r w:rsidR="009D770C">
        <w:rPr>
          <w:lang w:eastAsia="en-AU"/>
        </w:rPr>
        <w:t xml:space="preserve">that </w:t>
      </w:r>
      <w:r w:rsidR="00964B0B">
        <w:rPr>
          <w:lang w:eastAsia="en-AU"/>
        </w:rPr>
        <w:t>the two representations conveyed by the packaging were:</w:t>
      </w:r>
    </w:p>
    <w:p w:rsidR="00964B0B" w:rsidRDefault="00F97B9D" w:rsidP="00F97B9D">
      <w:pPr>
        <w:pStyle w:val="ListNo1"/>
        <w:numPr>
          <w:ilvl w:val="0"/>
          <w:numId w:val="0"/>
        </w:numPr>
        <w:tabs>
          <w:tab w:val="left" w:pos="720"/>
        </w:tabs>
        <w:ind w:left="720" w:hanging="720"/>
        <w:rPr>
          <w:lang w:eastAsia="en-AU"/>
        </w:rPr>
      </w:pPr>
      <w:r>
        <w:rPr>
          <w:lang w:eastAsia="en-AU"/>
        </w:rPr>
        <w:t>(1)</w:t>
      </w:r>
      <w:r>
        <w:rPr>
          <w:lang w:eastAsia="en-AU"/>
        </w:rPr>
        <w:tab/>
      </w:r>
      <w:r w:rsidR="00673988" w:rsidRPr="00673988">
        <w:rPr>
          <w:lang w:eastAsia="en-AU"/>
        </w:rPr>
        <w:t>each product in the Nurofen Specific Pain Range is specifically formulated to treat the particular type of pain specified on the packaging relevant to that product; and</w:t>
      </w:r>
    </w:p>
    <w:p w:rsidR="00CB0C92" w:rsidRPr="00A0294A" w:rsidRDefault="00F97B9D" w:rsidP="00F97B9D">
      <w:pPr>
        <w:pStyle w:val="ListNo1"/>
        <w:numPr>
          <w:ilvl w:val="0"/>
          <w:numId w:val="0"/>
        </w:numPr>
        <w:tabs>
          <w:tab w:val="left" w:pos="720"/>
        </w:tabs>
        <w:ind w:left="720" w:hanging="720"/>
        <w:rPr>
          <w:rFonts w:eastAsia="Times New Roman"/>
          <w:color w:val="000000"/>
          <w:szCs w:val="24"/>
          <w:lang w:eastAsia="en-AU"/>
        </w:rPr>
      </w:pPr>
      <w:r w:rsidRPr="00A0294A">
        <w:rPr>
          <w:rFonts w:eastAsia="Times New Roman"/>
          <w:color w:val="000000"/>
          <w:szCs w:val="24"/>
          <w:lang w:eastAsia="en-AU"/>
        </w:rPr>
        <w:t>(2)</w:t>
      </w:r>
      <w:r w:rsidRPr="00A0294A">
        <w:rPr>
          <w:rFonts w:eastAsia="Times New Roman"/>
          <w:color w:val="000000"/>
          <w:szCs w:val="24"/>
          <w:lang w:eastAsia="en-AU"/>
        </w:rPr>
        <w:tab/>
      </w:r>
      <w:r w:rsidR="00673988" w:rsidRPr="00673988">
        <w:rPr>
          <w:lang w:eastAsia="en-AU"/>
        </w:rPr>
        <w:t>the product solely or specifically treats the particular type of pain specified on the packaging relevant to that product and not other types of pain.</w:t>
      </w:r>
    </w:p>
    <w:p w:rsidR="00673988" w:rsidRPr="00673988" w:rsidRDefault="00CC5DB4" w:rsidP="00964B0B">
      <w:pPr>
        <w:pStyle w:val="Heading3"/>
        <w:rPr>
          <w:lang w:eastAsia="en-AU"/>
        </w:rPr>
      </w:pPr>
      <w:bookmarkStart w:id="29" w:name="_Ref448988095"/>
      <w:r>
        <w:rPr>
          <w:lang w:eastAsia="en-AU"/>
        </w:rPr>
        <w:t>The Website R</w:t>
      </w:r>
      <w:r w:rsidR="00964B0B">
        <w:rPr>
          <w:lang w:eastAsia="en-AU"/>
        </w:rPr>
        <w:t>epresentations</w:t>
      </w:r>
      <w:bookmarkEnd w:id="29"/>
    </w:p>
    <w:p w:rsidR="008229BA" w:rsidRPr="00964B0B" w:rsidRDefault="00F97B9D" w:rsidP="00F97B9D">
      <w:pPr>
        <w:pStyle w:val="ParaNumbering"/>
        <w:numPr>
          <w:ilvl w:val="0"/>
          <w:numId w:val="0"/>
        </w:numPr>
        <w:ind w:hanging="720"/>
        <w:rPr>
          <w:lang w:eastAsia="en-AU"/>
        </w:rPr>
      </w:pPr>
      <w:bookmarkStart w:id="30" w:name="_Ref437525216"/>
      <w:bookmarkStart w:id="31" w:name="Heading322"/>
      <w:bookmarkEnd w:id="30"/>
      <w:bookmarkEnd w:id="31"/>
      <w:r w:rsidRPr="00964B0B">
        <w:rPr>
          <w:sz w:val="20"/>
          <w:lang w:eastAsia="en-AU"/>
        </w:rPr>
        <w:t>20</w:t>
      </w:r>
      <w:r w:rsidRPr="00964B0B">
        <w:rPr>
          <w:sz w:val="20"/>
          <w:lang w:eastAsia="en-AU"/>
        </w:rPr>
        <w:tab/>
      </w:r>
      <w:r w:rsidR="00EB2E66">
        <w:rPr>
          <w:rFonts w:eastAsia="Times New Roman"/>
          <w:color w:val="000000"/>
          <w:szCs w:val="24"/>
          <w:lang w:eastAsia="en-AU"/>
        </w:rPr>
        <w:t xml:space="preserve">As I explained in </w:t>
      </w:r>
      <w:r w:rsidR="00EB2E66" w:rsidRPr="00015698">
        <w:rPr>
          <w:i/>
        </w:rPr>
        <w:t>Australian Competition and Consumer Commission v Reckitt Benckiser (Australia) Pty Ltd (No 4)</w:t>
      </w:r>
      <w:r w:rsidR="00EB2E66">
        <w:rPr>
          <w:rFonts w:eastAsia="Times New Roman"/>
          <w:color w:val="000000"/>
          <w:szCs w:val="24"/>
          <w:lang w:eastAsia="en-AU"/>
        </w:rPr>
        <w:t xml:space="preserve">, </w:t>
      </w:r>
      <w:r w:rsidR="00EB2E66">
        <w:rPr>
          <w:lang w:eastAsia="en-AU"/>
        </w:rPr>
        <w:t>t</w:t>
      </w:r>
      <w:r w:rsidR="00964B0B">
        <w:rPr>
          <w:lang w:eastAsia="en-AU"/>
        </w:rPr>
        <w:t xml:space="preserve">he website representations were made between </w:t>
      </w:r>
      <w:r w:rsidR="00673988" w:rsidRPr="00673988">
        <w:rPr>
          <w:lang w:eastAsia="en-AU"/>
        </w:rPr>
        <w:t>December 2012 and May 2014</w:t>
      </w:r>
      <w:r w:rsidR="00964B0B">
        <w:rPr>
          <w:lang w:eastAsia="en-AU"/>
        </w:rPr>
        <w:t xml:space="preserve"> on</w:t>
      </w:r>
      <w:r w:rsidR="00673988" w:rsidRPr="00673988">
        <w:rPr>
          <w:lang w:eastAsia="en-AU"/>
        </w:rPr>
        <w:t xml:space="preserve"> the Nurofen </w:t>
      </w:r>
      <w:r w:rsidR="00710110">
        <w:rPr>
          <w:lang w:eastAsia="en-AU"/>
        </w:rPr>
        <w:t>w</w:t>
      </w:r>
      <w:r w:rsidR="00673988" w:rsidRPr="00673988">
        <w:rPr>
          <w:lang w:eastAsia="en-AU"/>
        </w:rPr>
        <w:t>ebsite</w:t>
      </w:r>
      <w:r w:rsidR="00964B0B">
        <w:rPr>
          <w:lang w:eastAsia="en-AU"/>
        </w:rPr>
        <w:t xml:space="preserve"> which</w:t>
      </w:r>
      <w:r w:rsidR="00673988" w:rsidRPr="00673988">
        <w:rPr>
          <w:lang w:eastAsia="en-AU"/>
        </w:rPr>
        <w:t xml:space="preserve"> contained a </w:t>
      </w:r>
      <w:r w:rsidR="00964B0B">
        <w:rPr>
          <w:lang w:eastAsia="en-AU"/>
        </w:rPr>
        <w:t>“Product Comparator</w:t>
      </w:r>
      <w:r w:rsidR="00F148B2">
        <w:rPr>
          <w:lang w:eastAsia="en-AU"/>
        </w:rPr>
        <w:t>”</w:t>
      </w:r>
      <w:r w:rsidR="00964B0B">
        <w:rPr>
          <w:lang w:eastAsia="en-AU"/>
        </w:rPr>
        <w:t xml:space="preserve"> </w:t>
      </w:r>
      <w:r w:rsidR="00F148B2">
        <w:rPr>
          <w:lang w:eastAsia="en-AU"/>
        </w:rPr>
        <w:t>p</w:t>
      </w:r>
      <w:r w:rsidR="00673988" w:rsidRPr="00673988">
        <w:rPr>
          <w:lang w:eastAsia="en-AU"/>
        </w:rPr>
        <w:t>age</w:t>
      </w:r>
      <w:r w:rsidR="00EB2E66">
        <w:rPr>
          <w:lang w:eastAsia="en-AU"/>
        </w:rPr>
        <w:t xml:space="preserve"> and a “Specific Pain Relief” page. The pleaded case and admissions, and the findings and declarations of contravention I made, concerned the misleading nature of the Nurofen website, incorporating both of those pages. </w:t>
      </w:r>
      <w:r w:rsidR="00F25013">
        <w:rPr>
          <w:lang w:eastAsia="en-AU"/>
        </w:rPr>
        <w:t xml:space="preserve">The same representations </w:t>
      </w:r>
      <w:r w:rsidR="00AE3B99">
        <w:rPr>
          <w:lang w:eastAsia="en-AU"/>
        </w:rPr>
        <w:t xml:space="preserve">as the Packaging Representations </w:t>
      </w:r>
      <w:r w:rsidR="00F25013">
        <w:rPr>
          <w:lang w:eastAsia="en-AU"/>
        </w:rPr>
        <w:t xml:space="preserve">were found to have been made on the Nurofen </w:t>
      </w:r>
      <w:r w:rsidR="00710110">
        <w:rPr>
          <w:lang w:eastAsia="en-AU"/>
        </w:rPr>
        <w:t>w</w:t>
      </w:r>
      <w:r w:rsidR="00F25013">
        <w:rPr>
          <w:lang w:eastAsia="en-AU"/>
        </w:rPr>
        <w:t>ebsite</w:t>
      </w:r>
      <w:r w:rsidR="009D770C">
        <w:rPr>
          <w:lang w:eastAsia="en-AU"/>
        </w:rPr>
        <w:t>, although the wording of the Nurofen website was considerably more detailed</w:t>
      </w:r>
      <w:r w:rsidR="00F25013">
        <w:rPr>
          <w:lang w:eastAsia="en-AU"/>
        </w:rPr>
        <w:t>.</w:t>
      </w:r>
    </w:p>
    <w:p w:rsidR="002A3D6A" w:rsidRDefault="004B3671" w:rsidP="002A3D6A">
      <w:pPr>
        <w:pStyle w:val="Heading2"/>
      </w:pPr>
      <w:bookmarkStart w:id="32" w:name="_Ref448328058"/>
      <w:bookmarkStart w:id="33" w:name="_Ref448644423"/>
      <w:r>
        <w:t>Legal</w:t>
      </w:r>
      <w:r w:rsidR="002A3D6A">
        <w:t xml:space="preserve"> </w:t>
      </w:r>
      <w:bookmarkEnd w:id="32"/>
      <w:r>
        <w:t>principles concerning pecuniary penalties</w:t>
      </w:r>
      <w:bookmarkEnd w:id="33"/>
    </w:p>
    <w:p w:rsidR="008C52C6" w:rsidRPr="008C52C6" w:rsidRDefault="00F97B9D" w:rsidP="00F97B9D">
      <w:pPr>
        <w:pStyle w:val="ParaNumbering"/>
        <w:numPr>
          <w:ilvl w:val="0"/>
          <w:numId w:val="0"/>
        </w:numPr>
        <w:ind w:hanging="720"/>
        <w:rPr>
          <w:lang w:eastAsia="en-AU"/>
        </w:rPr>
      </w:pPr>
      <w:bookmarkStart w:id="34" w:name="_Ref448306137"/>
      <w:bookmarkStart w:id="35" w:name="_Ref448329452"/>
      <w:bookmarkStart w:id="36" w:name="Heading439"/>
      <w:bookmarkEnd w:id="34"/>
      <w:bookmarkEnd w:id="35"/>
      <w:bookmarkEnd w:id="36"/>
      <w:r w:rsidRPr="008C52C6">
        <w:rPr>
          <w:sz w:val="20"/>
          <w:lang w:eastAsia="en-AU"/>
        </w:rPr>
        <w:t>21</w:t>
      </w:r>
      <w:r w:rsidRPr="008C52C6">
        <w:rPr>
          <w:sz w:val="20"/>
          <w:lang w:eastAsia="en-AU"/>
        </w:rPr>
        <w:tab/>
      </w:r>
      <w:r w:rsidR="008C52C6">
        <w:rPr>
          <w:lang w:eastAsia="en-AU"/>
        </w:rPr>
        <w:t>Under s</w:t>
      </w:r>
      <w:r w:rsidR="0064487D">
        <w:rPr>
          <w:lang w:eastAsia="en-AU"/>
        </w:rPr>
        <w:t> </w:t>
      </w:r>
      <w:r w:rsidR="008C52C6" w:rsidRPr="008C52C6">
        <w:rPr>
          <w:lang w:eastAsia="en-AU"/>
        </w:rPr>
        <w:t xml:space="preserve">224(1) of the </w:t>
      </w:r>
      <w:r w:rsidR="008C52C6" w:rsidRPr="008C52C6">
        <w:rPr>
          <w:i/>
          <w:iCs/>
          <w:lang w:eastAsia="en-AU"/>
        </w:rPr>
        <w:t>Australian Consumer Law</w:t>
      </w:r>
      <w:r w:rsidR="006329A1">
        <w:rPr>
          <w:iCs/>
          <w:lang w:eastAsia="en-AU"/>
        </w:rPr>
        <w:t>,</w:t>
      </w:r>
      <w:r w:rsidR="008C52C6" w:rsidRPr="008C52C6">
        <w:rPr>
          <w:i/>
          <w:iCs/>
          <w:lang w:eastAsia="en-AU"/>
        </w:rPr>
        <w:t xml:space="preserve"> </w:t>
      </w:r>
      <w:r w:rsidR="008C52C6" w:rsidRPr="008C52C6">
        <w:rPr>
          <w:lang w:eastAsia="en-AU"/>
        </w:rPr>
        <w:t xml:space="preserve">a pecuniary penalty </w:t>
      </w:r>
      <w:r w:rsidR="008C52C6">
        <w:rPr>
          <w:lang w:eastAsia="en-AU"/>
        </w:rPr>
        <w:t xml:space="preserve">can be imposed </w:t>
      </w:r>
      <w:r w:rsidR="008C52C6" w:rsidRPr="008C52C6">
        <w:rPr>
          <w:lang w:eastAsia="en-AU"/>
        </w:rPr>
        <w:t>o</w:t>
      </w:r>
      <w:r w:rsidR="00DE795C">
        <w:rPr>
          <w:lang w:eastAsia="en-AU"/>
        </w:rPr>
        <w:t>n a person who has contravened s</w:t>
      </w:r>
      <w:r w:rsidR="0064487D">
        <w:rPr>
          <w:lang w:eastAsia="en-AU"/>
        </w:rPr>
        <w:t> </w:t>
      </w:r>
      <w:r w:rsidR="00DE795C">
        <w:rPr>
          <w:lang w:eastAsia="en-AU"/>
        </w:rPr>
        <w:t>33</w:t>
      </w:r>
      <w:r w:rsidR="008C52C6" w:rsidRPr="008C52C6">
        <w:rPr>
          <w:lang w:eastAsia="en-AU"/>
        </w:rPr>
        <w:t xml:space="preserve"> of the </w:t>
      </w:r>
      <w:r w:rsidR="008C52C6" w:rsidRPr="008C52C6">
        <w:rPr>
          <w:i/>
          <w:iCs/>
          <w:lang w:eastAsia="en-AU"/>
        </w:rPr>
        <w:t>Australian Consumer Law</w:t>
      </w:r>
      <w:r w:rsidR="008C52C6" w:rsidRPr="008C52C6">
        <w:rPr>
          <w:lang w:eastAsia="en-AU"/>
        </w:rPr>
        <w:t xml:space="preserve">. </w:t>
      </w:r>
      <w:r w:rsidR="00DE795C">
        <w:rPr>
          <w:lang w:eastAsia="en-AU"/>
        </w:rPr>
        <w:t>The C</w:t>
      </w:r>
      <w:r w:rsidR="008C52C6">
        <w:rPr>
          <w:lang w:eastAsia="en-AU"/>
        </w:rPr>
        <w:t>ourt must have regard to all relevant matters (s</w:t>
      </w:r>
      <w:r w:rsidR="0064487D">
        <w:rPr>
          <w:lang w:eastAsia="en-AU"/>
        </w:rPr>
        <w:t> </w:t>
      </w:r>
      <w:r w:rsidR="008C52C6">
        <w:rPr>
          <w:lang w:eastAsia="en-AU"/>
        </w:rPr>
        <w:t>224(2)) which include:</w:t>
      </w:r>
      <w:bookmarkStart w:id="37" w:name="_Ref442296678"/>
      <w:bookmarkStart w:id="38" w:name="Heading570"/>
      <w:bookmarkEnd w:id="37"/>
      <w:bookmarkEnd w:id="38"/>
      <w:r w:rsidR="008C52C6">
        <w:rPr>
          <w:lang w:eastAsia="en-AU"/>
        </w:rPr>
        <w:t xml:space="preserve"> </w:t>
      </w:r>
      <w:r w:rsidR="008C52C6" w:rsidRPr="008C52C6">
        <w:rPr>
          <w:rFonts w:eastAsia="Times New Roman"/>
          <w:color w:val="000000"/>
          <w:szCs w:val="24"/>
          <w:lang w:eastAsia="en-AU"/>
        </w:rPr>
        <w:t>(a) the nature and extent of the act or omission and of any loss or damage suffered as a re</w:t>
      </w:r>
      <w:r w:rsidR="008C52C6">
        <w:rPr>
          <w:rFonts w:eastAsia="Times New Roman"/>
          <w:color w:val="000000"/>
          <w:szCs w:val="24"/>
          <w:lang w:eastAsia="en-AU"/>
        </w:rPr>
        <w:t xml:space="preserve">sult of the act or omission; </w:t>
      </w:r>
      <w:r w:rsidR="008C52C6" w:rsidRPr="008C52C6">
        <w:rPr>
          <w:rFonts w:eastAsia="Times New Roman"/>
          <w:color w:val="000000"/>
          <w:szCs w:val="24"/>
          <w:lang w:eastAsia="en-AU"/>
        </w:rPr>
        <w:t xml:space="preserve">(b) the circumstances in which the </w:t>
      </w:r>
      <w:r w:rsidR="008C52C6">
        <w:rPr>
          <w:rFonts w:eastAsia="Times New Roman"/>
          <w:color w:val="000000"/>
          <w:szCs w:val="24"/>
          <w:lang w:eastAsia="en-AU"/>
        </w:rPr>
        <w:t xml:space="preserve">act or omission took place; and </w:t>
      </w:r>
      <w:r w:rsidR="008C52C6" w:rsidRPr="008C52C6">
        <w:rPr>
          <w:rFonts w:eastAsia="Times New Roman"/>
          <w:color w:val="000000"/>
          <w:szCs w:val="24"/>
          <w:lang w:eastAsia="en-AU"/>
        </w:rPr>
        <w:t xml:space="preserve">(c) whether the person has previously been found by a court in proceedings under Chapter 4 or Part </w:t>
      </w:r>
      <w:r w:rsidR="00093869">
        <w:rPr>
          <w:rFonts w:eastAsia="Times New Roman"/>
          <w:color w:val="000000"/>
          <w:szCs w:val="24"/>
          <w:lang w:eastAsia="en-AU"/>
        </w:rPr>
        <w:t xml:space="preserve">5-2 </w:t>
      </w:r>
      <w:r w:rsidR="008C52C6" w:rsidRPr="008C52C6">
        <w:rPr>
          <w:rFonts w:eastAsia="Times New Roman"/>
          <w:color w:val="000000"/>
          <w:szCs w:val="24"/>
          <w:lang w:eastAsia="en-AU"/>
        </w:rPr>
        <w:t>to have engaged in any similar conduct.</w:t>
      </w:r>
      <w:r w:rsidR="00753EDF">
        <w:rPr>
          <w:rFonts w:eastAsia="Times New Roman"/>
          <w:color w:val="000000"/>
          <w:szCs w:val="24"/>
          <w:lang w:eastAsia="en-AU"/>
        </w:rPr>
        <w:t xml:space="preserve"> There are numerous other factors which will commonly be relevant, and (where relevant) will be matters to which the Court m</w:t>
      </w:r>
      <w:r w:rsidR="009D770C">
        <w:rPr>
          <w:rFonts w:eastAsia="Times New Roman"/>
          <w:color w:val="000000"/>
          <w:szCs w:val="24"/>
          <w:lang w:eastAsia="en-AU"/>
        </w:rPr>
        <w:t xml:space="preserve">ust have regard. Those factors were </w:t>
      </w:r>
      <w:r w:rsidR="00753EDF">
        <w:rPr>
          <w:rFonts w:eastAsia="Times New Roman"/>
          <w:color w:val="000000"/>
          <w:szCs w:val="24"/>
          <w:lang w:eastAsia="en-AU"/>
        </w:rPr>
        <w:t xml:space="preserve">described in </w:t>
      </w:r>
      <w:r w:rsidR="009D770C">
        <w:rPr>
          <w:rFonts w:eastAsia="Times New Roman"/>
          <w:color w:val="000000"/>
          <w:szCs w:val="24"/>
          <w:lang w:eastAsia="en-AU"/>
        </w:rPr>
        <w:t xml:space="preserve">the </w:t>
      </w:r>
      <w:r w:rsidR="00753EDF">
        <w:rPr>
          <w:rFonts w:eastAsia="Times New Roman"/>
          <w:color w:val="000000"/>
          <w:szCs w:val="24"/>
          <w:lang w:eastAsia="en-AU"/>
        </w:rPr>
        <w:t xml:space="preserve">cases which I surveyed in </w:t>
      </w:r>
      <w:r w:rsidR="00753EDF" w:rsidRPr="00753EDF">
        <w:rPr>
          <w:i/>
        </w:rPr>
        <w:t>Australian Competition and Consumer Commission v Woolworths Limited</w:t>
      </w:r>
      <w:r w:rsidR="00753EDF">
        <w:t xml:space="preserve"> [2016] FCA 44 [124]-[126]</w:t>
      </w:r>
      <w:r w:rsidR="009D770C">
        <w:rPr>
          <w:rFonts w:eastAsia="Times New Roman"/>
          <w:color w:val="000000"/>
          <w:szCs w:val="24"/>
          <w:lang w:eastAsia="en-AU"/>
        </w:rPr>
        <w:t>. They</w:t>
      </w:r>
      <w:r w:rsidR="00753EDF">
        <w:rPr>
          <w:rFonts w:eastAsia="Times New Roman"/>
          <w:color w:val="000000"/>
          <w:szCs w:val="24"/>
          <w:lang w:eastAsia="en-AU"/>
        </w:rPr>
        <w:t xml:space="preserve"> include the following:</w:t>
      </w:r>
    </w:p>
    <w:p w:rsidR="00753EDF" w:rsidRDefault="00F97B9D" w:rsidP="00F97B9D">
      <w:pPr>
        <w:pStyle w:val="ListNo1"/>
        <w:numPr>
          <w:ilvl w:val="0"/>
          <w:numId w:val="0"/>
        </w:numPr>
        <w:tabs>
          <w:tab w:val="left" w:pos="720"/>
        </w:tabs>
        <w:ind w:left="720" w:hanging="720"/>
        <w:rPr>
          <w:lang w:eastAsia="en-AU"/>
        </w:rPr>
      </w:pPr>
      <w:r>
        <w:rPr>
          <w:lang w:eastAsia="en-AU"/>
        </w:rPr>
        <w:t>(1)</w:t>
      </w:r>
      <w:r>
        <w:rPr>
          <w:lang w:eastAsia="en-AU"/>
        </w:rPr>
        <w:tab/>
      </w:r>
      <w:r w:rsidR="008C52C6" w:rsidRPr="008C52C6">
        <w:rPr>
          <w:lang w:eastAsia="en-AU"/>
        </w:rPr>
        <w:t>the size of the contravening company;</w:t>
      </w:r>
    </w:p>
    <w:p w:rsidR="00753EDF" w:rsidRDefault="00F97B9D" w:rsidP="00F97B9D">
      <w:pPr>
        <w:pStyle w:val="ListNo1"/>
        <w:numPr>
          <w:ilvl w:val="0"/>
          <w:numId w:val="0"/>
        </w:numPr>
        <w:tabs>
          <w:tab w:val="left" w:pos="720"/>
        </w:tabs>
        <w:ind w:left="720" w:hanging="720"/>
        <w:rPr>
          <w:lang w:eastAsia="en-AU"/>
        </w:rPr>
      </w:pPr>
      <w:r>
        <w:rPr>
          <w:lang w:eastAsia="en-AU"/>
        </w:rPr>
        <w:t>(2)</w:t>
      </w:r>
      <w:r>
        <w:rPr>
          <w:lang w:eastAsia="en-AU"/>
        </w:rPr>
        <w:tab/>
      </w:r>
      <w:r w:rsidR="008C52C6" w:rsidRPr="008C52C6">
        <w:rPr>
          <w:lang w:eastAsia="en-AU"/>
        </w:rPr>
        <w:t>the deliberateness of the contravention</w:t>
      </w:r>
      <w:r w:rsidR="00093869">
        <w:rPr>
          <w:lang w:eastAsia="en-AU"/>
        </w:rPr>
        <w:t>s</w:t>
      </w:r>
      <w:r w:rsidR="008C52C6" w:rsidRPr="008C52C6">
        <w:rPr>
          <w:lang w:eastAsia="en-AU"/>
        </w:rPr>
        <w:t xml:space="preserve"> and the period over which </w:t>
      </w:r>
      <w:r w:rsidR="00093869">
        <w:rPr>
          <w:lang w:eastAsia="en-AU"/>
        </w:rPr>
        <w:t>they</w:t>
      </w:r>
      <w:r w:rsidR="00093869" w:rsidRPr="008C52C6">
        <w:rPr>
          <w:lang w:eastAsia="en-AU"/>
        </w:rPr>
        <w:t xml:space="preserve"> </w:t>
      </w:r>
      <w:r w:rsidR="008C52C6" w:rsidRPr="008C52C6">
        <w:rPr>
          <w:lang w:eastAsia="en-AU"/>
        </w:rPr>
        <w:t>extended;</w:t>
      </w:r>
    </w:p>
    <w:p w:rsidR="00753EDF" w:rsidRDefault="00F97B9D" w:rsidP="00F97B9D">
      <w:pPr>
        <w:pStyle w:val="ListNo1"/>
        <w:numPr>
          <w:ilvl w:val="0"/>
          <w:numId w:val="0"/>
        </w:numPr>
        <w:tabs>
          <w:tab w:val="left" w:pos="720"/>
        </w:tabs>
        <w:ind w:left="720" w:hanging="720"/>
        <w:rPr>
          <w:lang w:eastAsia="en-AU"/>
        </w:rPr>
      </w:pPr>
      <w:r>
        <w:rPr>
          <w:lang w:eastAsia="en-AU"/>
        </w:rPr>
        <w:lastRenderedPageBreak/>
        <w:t>(3)</w:t>
      </w:r>
      <w:r>
        <w:rPr>
          <w:lang w:eastAsia="en-AU"/>
        </w:rPr>
        <w:tab/>
      </w:r>
      <w:r w:rsidR="008C52C6" w:rsidRPr="008C52C6">
        <w:rPr>
          <w:lang w:eastAsia="en-AU"/>
        </w:rPr>
        <w:t>whether the contravention</w:t>
      </w:r>
      <w:r w:rsidR="00093869">
        <w:rPr>
          <w:lang w:eastAsia="en-AU"/>
        </w:rPr>
        <w:t>s</w:t>
      </w:r>
      <w:r w:rsidR="008C52C6" w:rsidRPr="008C52C6">
        <w:rPr>
          <w:lang w:eastAsia="en-AU"/>
        </w:rPr>
        <w:t xml:space="preserve"> arose out of the conduct of senior management of the contravener or at some lower level;</w:t>
      </w:r>
    </w:p>
    <w:p w:rsidR="00753EDF" w:rsidRDefault="00F97B9D" w:rsidP="00F97B9D">
      <w:pPr>
        <w:pStyle w:val="ListNo1"/>
        <w:numPr>
          <w:ilvl w:val="0"/>
          <w:numId w:val="0"/>
        </w:numPr>
        <w:tabs>
          <w:tab w:val="left" w:pos="720"/>
        </w:tabs>
        <w:ind w:left="720" w:hanging="720"/>
        <w:rPr>
          <w:lang w:eastAsia="en-AU"/>
        </w:rPr>
      </w:pPr>
      <w:r>
        <w:rPr>
          <w:lang w:eastAsia="en-AU"/>
        </w:rPr>
        <w:t>(4)</w:t>
      </w:r>
      <w:r>
        <w:rPr>
          <w:lang w:eastAsia="en-AU"/>
        </w:rPr>
        <w:tab/>
      </w:r>
      <w:r w:rsidR="008C52C6" w:rsidRPr="008C52C6">
        <w:rPr>
          <w:lang w:eastAsia="en-AU"/>
        </w:rPr>
        <w:t>whether the contravener has a corporate culture conducive to compliance with the</w:t>
      </w:r>
      <w:r w:rsidR="00753EDF">
        <w:rPr>
          <w:lang w:eastAsia="en-AU"/>
        </w:rPr>
        <w:t xml:space="preserve"> </w:t>
      </w:r>
      <w:r w:rsidR="00753EDF">
        <w:rPr>
          <w:i/>
          <w:lang w:eastAsia="en-AU"/>
        </w:rPr>
        <w:t>Australian Consumer Law</w:t>
      </w:r>
      <w:r w:rsidR="008C52C6" w:rsidRPr="008C52C6">
        <w:rPr>
          <w:lang w:eastAsia="en-AU"/>
        </w:rPr>
        <w:t xml:space="preserve"> as evidenced by educational programs and disciplinary or other corrective measures in response to an acknowledged contravention;</w:t>
      </w:r>
    </w:p>
    <w:p w:rsidR="00753EDF" w:rsidRDefault="00F97B9D" w:rsidP="00F97B9D">
      <w:pPr>
        <w:pStyle w:val="ListNo1"/>
        <w:numPr>
          <w:ilvl w:val="0"/>
          <w:numId w:val="0"/>
        </w:numPr>
        <w:tabs>
          <w:tab w:val="left" w:pos="720"/>
        </w:tabs>
        <w:ind w:left="720" w:hanging="720"/>
        <w:rPr>
          <w:lang w:eastAsia="en-AU"/>
        </w:rPr>
      </w:pPr>
      <w:r>
        <w:rPr>
          <w:lang w:eastAsia="en-AU"/>
        </w:rPr>
        <w:t>(5)</w:t>
      </w:r>
      <w:r>
        <w:rPr>
          <w:lang w:eastAsia="en-AU"/>
        </w:rPr>
        <w:tab/>
      </w:r>
      <w:r w:rsidR="008C52C6" w:rsidRPr="008C52C6">
        <w:rPr>
          <w:lang w:eastAsia="en-AU"/>
        </w:rPr>
        <w:t>whether the contravener has shown a disposition to co-operate with the authorities responsible for the enforcement of the Act in relation to the contravention</w:t>
      </w:r>
      <w:r w:rsidR="00093869">
        <w:rPr>
          <w:lang w:eastAsia="en-AU"/>
        </w:rPr>
        <w:t>s</w:t>
      </w:r>
      <w:r w:rsidR="008C52C6" w:rsidRPr="008C52C6">
        <w:rPr>
          <w:lang w:eastAsia="en-AU"/>
        </w:rPr>
        <w:t>;</w:t>
      </w:r>
    </w:p>
    <w:p w:rsidR="00753EDF" w:rsidRDefault="00F97B9D" w:rsidP="00F97B9D">
      <w:pPr>
        <w:pStyle w:val="ListNo1"/>
        <w:numPr>
          <w:ilvl w:val="0"/>
          <w:numId w:val="0"/>
        </w:numPr>
        <w:tabs>
          <w:tab w:val="left" w:pos="720"/>
        </w:tabs>
        <w:ind w:left="720" w:hanging="720"/>
        <w:rPr>
          <w:lang w:eastAsia="en-AU"/>
        </w:rPr>
      </w:pPr>
      <w:r>
        <w:rPr>
          <w:lang w:eastAsia="en-AU"/>
        </w:rPr>
        <w:t>(6)</w:t>
      </w:r>
      <w:r>
        <w:rPr>
          <w:lang w:eastAsia="en-AU"/>
        </w:rPr>
        <w:tab/>
      </w:r>
      <w:r w:rsidR="008C52C6" w:rsidRPr="008C52C6">
        <w:rPr>
          <w:lang w:eastAsia="en-AU"/>
        </w:rPr>
        <w:t>whether the contravener has engaged in similar conduct in the past;</w:t>
      </w:r>
    </w:p>
    <w:p w:rsidR="00753EDF" w:rsidRDefault="00F97B9D" w:rsidP="00F97B9D">
      <w:pPr>
        <w:pStyle w:val="ListNo1"/>
        <w:numPr>
          <w:ilvl w:val="0"/>
          <w:numId w:val="0"/>
        </w:numPr>
        <w:tabs>
          <w:tab w:val="left" w:pos="720"/>
        </w:tabs>
        <w:ind w:left="720" w:hanging="720"/>
        <w:rPr>
          <w:lang w:eastAsia="en-AU"/>
        </w:rPr>
      </w:pPr>
      <w:r>
        <w:rPr>
          <w:lang w:eastAsia="en-AU"/>
        </w:rPr>
        <w:t>(7)</w:t>
      </w:r>
      <w:r>
        <w:rPr>
          <w:lang w:eastAsia="en-AU"/>
        </w:rPr>
        <w:tab/>
      </w:r>
      <w:r w:rsidR="008C52C6" w:rsidRPr="008C52C6">
        <w:rPr>
          <w:lang w:eastAsia="en-AU"/>
        </w:rPr>
        <w:t xml:space="preserve">the financial </w:t>
      </w:r>
      <w:r w:rsidR="00753EDF">
        <w:rPr>
          <w:lang w:eastAsia="en-AU"/>
        </w:rPr>
        <w:t xml:space="preserve">position of the contravener; </w:t>
      </w:r>
    </w:p>
    <w:p w:rsidR="008C52C6" w:rsidRDefault="00F97B9D" w:rsidP="00F97B9D">
      <w:pPr>
        <w:pStyle w:val="ListNo1"/>
        <w:numPr>
          <w:ilvl w:val="0"/>
          <w:numId w:val="0"/>
        </w:numPr>
        <w:tabs>
          <w:tab w:val="left" w:pos="720"/>
        </w:tabs>
        <w:ind w:left="720" w:hanging="720"/>
        <w:rPr>
          <w:lang w:eastAsia="en-AU"/>
        </w:rPr>
      </w:pPr>
      <w:r>
        <w:rPr>
          <w:lang w:eastAsia="en-AU"/>
        </w:rPr>
        <w:t>(8)</w:t>
      </w:r>
      <w:r>
        <w:rPr>
          <w:lang w:eastAsia="en-AU"/>
        </w:rPr>
        <w:tab/>
      </w:r>
      <w:r w:rsidR="008C52C6" w:rsidRPr="008C52C6">
        <w:rPr>
          <w:lang w:eastAsia="en-AU"/>
        </w:rPr>
        <w:t>whether the contravening conduct was s</w:t>
      </w:r>
      <w:r w:rsidR="00753EDF">
        <w:rPr>
          <w:lang w:eastAsia="en-AU"/>
        </w:rPr>
        <w:t>ystematic, deliberate or covert;</w:t>
      </w:r>
    </w:p>
    <w:p w:rsidR="00753EDF" w:rsidRDefault="00F97B9D" w:rsidP="00F97B9D">
      <w:pPr>
        <w:pStyle w:val="ListNo1"/>
        <w:numPr>
          <w:ilvl w:val="0"/>
          <w:numId w:val="0"/>
        </w:numPr>
        <w:tabs>
          <w:tab w:val="left" w:pos="720"/>
        </w:tabs>
        <w:ind w:left="720" w:hanging="720"/>
        <w:rPr>
          <w:lang w:eastAsia="en-AU"/>
        </w:rPr>
      </w:pPr>
      <w:r>
        <w:rPr>
          <w:lang w:eastAsia="en-AU"/>
        </w:rPr>
        <w:t>(9)</w:t>
      </w:r>
      <w:r>
        <w:rPr>
          <w:lang w:eastAsia="en-AU"/>
        </w:rPr>
        <w:tab/>
      </w:r>
      <w:r w:rsidR="00753EDF">
        <w:t>the extent of contrition for the conduct;</w:t>
      </w:r>
    </w:p>
    <w:p w:rsidR="00753EDF" w:rsidRDefault="00F97B9D" w:rsidP="00F97B9D">
      <w:pPr>
        <w:pStyle w:val="ListNo1"/>
        <w:numPr>
          <w:ilvl w:val="0"/>
          <w:numId w:val="0"/>
        </w:numPr>
        <w:tabs>
          <w:tab w:val="left" w:pos="720"/>
        </w:tabs>
        <w:ind w:left="720" w:hanging="720"/>
        <w:rPr>
          <w:lang w:eastAsia="en-AU"/>
        </w:rPr>
      </w:pPr>
      <w:r>
        <w:rPr>
          <w:lang w:eastAsia="en-AU"/>
        </w:rPr>
        <w:t>(10)</w:t>
      </w:r>
      <w:r>
        <w:rPr>
          <w:lang w:eastAsia="en-AU"/>
        </w:rPr>
        <w:tab/>
      </w:r>
      <w:r w:rsidR="00753EDF">
        <w:t>whether, and the extent of profit made by the contravening company from the contraventions (the details of which factor are considered below);</w:t>
      </w:r>
      <w:r w:rsidR="00093869">
        <w:t xml:space="preserve"> and</w:t>
      </w:r>
    </w:p>
    <w:p w:rsidR="00753EDF" w:rsidRPr="008C52C6" w:rsidRDefault="00F97B9D" w:rsidP="00F97B9D">
      <w:pPr>
        <w:pStyle w:val="ListNo1"/>
        <w:numPr>
          <w:ilvl w:val="0"/>
          <w:numId w:val="0"/>
        </w:numPr>
        <w:tabs>
          <w:tab w:val="left" w:pos="720"/>
        </w:tabs>
        <w:ind w:left="720" w:hanging="720"/>
        <w:rPr>
          <w:lang w:eastAsia="en-AU"/>
        </w:rPr>
      </w:pPr>
      <w:r w:rsidRPr="008C52C6">
        <w:rPr>
          <w:lang w:eastAsia="en-AU"/>
        </w:rPr>
        <w:t>(11)</w:t>
      </w:r>
      <w:r w:rsidRPr="008C52C6">
        <w:rPr>
          <w:lang w:eastAsia="en-AU"/>
        </w:rPr>
        <w:tab/>
      </w:r>
      <w:r w:rsidR="00753EDF">
        <w:t>whether the contravening company engaged in the conduct with an intention to profit from it.</w:t>
      </w:r>
    </w:p>
    <w:p w:rsidR="00FD4CDA" w:rsidRDefault="00F97B9D" w:rsidP="00F97B9D">
      <w:pPr>
        <w:pStyle w:val="ParaNumbering"/>
        <w:numPr>
          <w:ilvl w:val="0"/>
          <w:numId w:val="0"/>
        </w:numPr>
        <w:ind w:hanging="720"/>
      </w:pPr>
      <w:r>
        <w:rPr>
          <w:sz w:val="20"/>
        </w:rPr>
        <w:t>22</w:t>
      </w:r>
      <w:r>
        <w:rPr>
          <w:sz w:val="20"/>
        </w:rPr>
        <w:tab/>
      </w:r>
      <w:r w:rsidR="00753EDF">
        <w:t>The imposition of a pecuniary penalty requires an assessment of all the relevant factors, in a process akin to that which in criminal law is described as “instinctive synthesis”</w:t>
      </w:r>
      <w:r w:rsidR="00D44129">
        <w:t xml:space="preserve">. </w:t>
      </w:r>
      <w:r w:rsidR="007C442F">
        <w:t xml:space="preserve">Although there are basic conceptual differences between criminal and civil proceedings which might prevent the transplant of ideas from one area into another </w:t>
      </w:r>
      <w:r w:rsidR="00753EDF" w:rsidRPr="00753EDF">
        <w:t xml:space="preserve">(see </w:t>
      </w:r>
      <w:r w:rsidR="00753EDF" w:rsidRPr="00D44129">
        <w:rPr>
          <w:i/>
          <w:iCs/>
        </w:rPr>
        <w:t>Commonwealth of Australia v Director, Fair Work Building Industry Inspectorate</w:t>
      </w:r>
      <w:r w:rsidR="00753EDF" w:rsidRPr="007C442F">
        <w:t xml:space="preserve"> [2015] HCA 46; (2015) 90 ALJR 113, 127 [56] (French CJ, </w:t>
      </w:r>
      <w:r w:rsidR="00753EDF" w:rsidRPr="00753EDF">
        <w:t>Kief</w:t>
      </w:r>
      <w:r w:rsidR="007C442F">
        <w:t>el, Bell, Nettle and Gordon JJ)</w:t>
      </w:r>
      <w:r w:rsidR="005E437B">
        <w:t>)</w:t>
      </w:r>
      <w:r w:rsidR="007C442F">
        <w:t xml:space="preserve">, a </w:t>
      </w:r>
      <w:r w:rsidR="00753EDF" w:rsidRPr="00753EDF">
        <w:t>common process of</w:t>
      </w:r>
      <w:r w:rsidR="007C442F">
        <w:t xml:space="preserve"> instinctive synthesis</w:t>
      </w:r>
      <w:r w:rsidR="00FD4CDA">
        <w:t xml:space="preserve"> of the facts to a result</w:t>
      </w:r>
      <w:r w:rsidR="007C442F">
        <w:t xml:space="preserve"> applies</w:t>
      </w:r>
      <w:r w:rsidR="009D770C">
        <w:t>. The process is common</w:t>
      </w:r>
      <w:r w:rsidR="007C442F">
        <w:t xml:space="preserve"> because, as with criminal sentencing, the civil </w:t>
      </w:r>
      <w:r w:rsidR="009D770C">
        <w:t xml:space="preserve">penalty </w:t>
      </w:r>
      <w:r w:rsidR="007C442F">
        <w:t>decision necessarily requires the assessment of incommensurable factors</w:t>
      </w:r>
      <w:r w:rsidR="009D770C">
        <w:t xml:space="preserve"> including for one shared purpose with the criminal law which is deterrence</w:t>
      </w:r>
      <w:r w:rsidR="007C442F">
        <w:t xml:space="preserve">. </w:t>
      </w:r>
      <w:r w:rsidR="00FD4CDA">
        <w:t>In this area, as in the criminal law, the courts have avoided excessive subtleties and refinements in a process which is already complicated. An approach which applies an instinctive synthesis</w:t>
      </w:r>
      <w:r w:rsidR="00CA6E8B">
        <w:t xml:space="preserve"> </w:t>
      </w:r>
      <w:r w:rsidR="00FD4CDA">
        <w:t xml:space="preserve">has been endorsed and applied in many cases: see, for example, </w:t>
      </w:r>
      <w:r w:rsidR="002A3D6A" w:rsidRPr="00D44129">
        <w:rPr>
          <w:i/>
        </w:rPr>
        <w:t xml:space="preserve">Australian Ophthalmic Supplies Pty Ltd v McAlary-Smith </w:t>
      </w:r>
      <w:r w:rsidR="00093869">
        <w:t xml:space="preserve">[2008] FCAFC 8; </w:t>
      </w:r>
      <w:r w:rsidR="002A3D6A">
        <w:t>(2008</w:t>
      </w:r>
      <w:r w:rsidR="00FD4CDA">
        <w:t xml:space="preserve">) 165 FCR </w:t>
      </w:r>
      <w:r w:rsidR="00093869">
        <w:t>560</w:t>
      </w:r>
      <w:r w:rsidR="00FD4CDA">
        <w:t xml:space="preserve">, </w:t>
      </w:r>
      <w:r w:rsidR="00093869">
        <w:t xml:space="preserve">567-568 </w:t>
      </w:r>
      <w:r w:rsidR="00FD4CDA">
        <w:t xml:space="preserve">[27] (Gray J); </w:t>
      </w:r>
      <w:r w:rsidR="00093869">
        <w:t xml:space="preserve">572 </w:t>
      </w:r>
      <w:r w:rsidR="00FD4CDA">
        <w:t xml:space="preserve">[54]-[55] (Graham J); </w:t>
      </w:r>
      <w:r w:rsidR="00FD4CDA" w:rsidRPr="00D44129">
        <w:rPr>
          <w:i/>
        </w:rPr>
        <w:t xml:space="preserve">Director of the Fair Work Building Industry Inspectorate v Bragdon (No 2) </w:t>
      </w:r>
      <w:r w:rsidR="00FD4CDA">
        <w:t xml:space="preserve">[2015] FCA 998 [11] (Flick J); </w:t>
      </w:r>
      <w:r w:rsidR="00FD4CDA" w:rsidRPr="00D44129">
        <w:rPr>
          <w:i/>
        </w:rPr>
        <w:t>Director of Fair Work Building Industry Inspectorate v Construction, Forestry, Mining and Energy Union</w:t>
      </w:r>
      <w:r w:rsidR="00FD4CDA">
        <w:t xml:space="preserve"> [2015] FCA 1213 [14]</w:t>
      </w:r>
      <w:r w:rsidR="00D44129">
        <w:t>-[16]</w:t>
      </w:r>
      <w:r w:rsidR="00FD4CDA">
        <w:t xml:space="preserve"> (Tracey J).</w:t>
      </w:r>
    </w:p>
    <w:p w:rsidR="007F44A1" w:rsidRDefault="00F97B9D" w:rsidP="00F97B9D">
      <w:pPr>
        <w:pStyle w:val="ParaNumbering"/>
        <w:numPr>
          <w:ilvl w:val="0"/>
          <w:numId w:val="0"/>
        </w:numPr>
        <w:ind w:hanging="720"/>
      </w:pPr>
      <w:r>
        <w:rPr>
          <w:sz w:val="20"/>
        </w:rPr>
        <w:lastRenderedPageBreak/>
        <w:t>23</w:t>
      </w:r>
      <w:r>
        <w:rPr>
          <w:sz w:val="20"/>
        </w:rPr>
        <w:tab/>
      </w:r>
      <w:r w:rsidR="0053624D">
        <w:t>T</w:t>
      </w:r>
      <w:r w:rsidR="00D44129">
        <w:t xml:space="preserve">he </w:t>
      </w:r>
      <w:r w:rsidR="00CA6E8B">
        <w:t xml:space="preserve">“instinctive synthesis” approach is not wholly instinctive. Courts set out the </w:t>
      </w:r>
      <w:r w:rsidR="00D44129">
        <w:t>relevant factors</w:t>
      </w:r>
      <w:r w:rsidR="00CA6E8B">
        <w:t xml:space="preserve"> and their circumstances. Those factors are also</w:t>
      </w:r>
      <w:r w:rsidR="0053624D">
        <w:t xml:space="preserve"> assessed in light of</w:t>
      </w:r>
      <w:r w:rsidR="00D44129">
        <w:t xml:space="preserve"> fundamental principles sometimes described as “totality” and “courses of conduct” as well as the operation of specific and general deterrence. </w:t>
      </w:r>
      <w:r w:rsidR="00CA6E8B">
        <w:t xml:space="preserve">The penalty is also assessed in light of any range of penalties which emerges from the cases and compared with any closely comparable cases. These principles are </w:t>
      </w:r>
      <w:r w:rsidR="0053624D">
        <w:t xml:space="preserve">essential in the instinctive synthesis approach. </w:t>
      </w:r>
      <w:r w:rsidR="00CA6E8B">
        <w:t xml:space="preserve">I turn </w:t>
      </w:r>
      <w:r w:rsidR="00D13E18">
        <w:t xml:space="preserve">now </w:t>
      </w:r>
      <w:r w:rsidR="00CA6E8B">
        <w:t>to some of those</w:t>
      </w:r>
      <w:r w:rsidR="00D44129">
        <w:t xml:space="preserve"> principles before examining below the relevant factors raised by the parties.</w:t>
      </w:r>
    </w:p>
    <w:p w:rsidR="004B3671" w:rsidRDefault="004B3671" w:rsidP="004B3671">
      <w:pPr>
        <w:pStyle w:val="Heading3"/>
      </w:pPr>
      <w:bookmarkStart w:id="39" w:name="_Ref448644424"/>
      <w:r>
        <w:t>Maximum penalty, totality and courses of conduct</w:t>
      </w:r>
      <w:bookmarkEnd w:id="39"/>
    </w:p>
    <w:p w:rsidR="002D0107" w:rsidRPr="002D0107" w:rsidRDefault="00F97B9D" w:rsidP="00F97B9D">
      <w:pPr>
        <w:pStyle w:val="ParaNumbering"/>
        <w:numPr>
          <w:ilvl w:val="0"/>
          <w:numId w:val="0"/>
        </w:numPr>
        <w:ind w:hanging="720"/>
      </w:pPr>
      <w:r w:rsidRPr="002D0107">
        <w:rPr>
          <w:sz w:val="20"/>
        </w:rPr>
        <w:t>24</w:t>
      </w:r>
      <w:r w:rsidRPr="002D0107">
        <w:rPr>
          <w:sz w:val="20"/>
        </w:rPr>
        <w:tab/>
      </w:r>
      <w:r w:rsidR="006354C9" w:rsidRPr="00EA0839">
        <w:rPr>
          <w:lang w:eastAsia="en-AU"/>
        </w:rPr>
        <w:t xml:space="preserve">Section 224(3) of the </w:t>
      </w:r>
      <w:r w:rsidR="006354C9" w:rsidRPr="00EA0839">
        <w:rPr>
          <w:i/>
          <w:iCs/>
          <w:lang w:eastAsia="en-AU"/>
        </w:rPr>
        <w:t xml:space="preserve">Australian Consumer Law </w:t>
      </w:r>
      <w:r w:rsidR="002D0107">
        <w:rPr>
          <w:lang w:eastAsia="en-AU"/>
        </w:rPr>
        <w:t>has the effect</w:t>
      </w:r>
      <w:r w:rsidR="006354C9" w:rsidRPr="00EA0839">
        <w:rPr>
          <w:lang w:eastAsia="en-AU"/>
        </w:rPr>
        <w:t xml:space="preserve"> that the maxim</w:t>
      </w:r>
      <w:r w:rsidR="006354C9">
        <w:rPr>
          <w:lang w:eastAsia="en-AU"/>
        </w:rPr>
        <w:t>um civil pecuniary penalty for each</w:t>
      </w:r>
      <w:r w:rsidR="006354C9" w:rsidRPr="00EA0839">
        <w:rPr>
          <w:lang w:eastAsia="en-AU"/>
        </w:rPr>
        <w:t xml:space="preserve"> </w:t>
      </w:r>
      <w:r w:rsidR="006354C9">
        <w:rPr>
          <w:lang w:eastAsia="en-AU"/>
        </w:rPr>
        <w:t>contravention of s</w:t>
      </w:r>
      <w:r w:rsidR="0064487D">
        <w:rPr>
          <w:lang w:eastAsia="en-AU"/>
        </w:rPr>
        <w:t> </w:t>
      </w:r>
      <w:r w:rsidR="006354C9">
        <w:rPr>
          <w:lang w:eastAsia="en-AU"/>
        </w:rPr>
        <w:t xml:space="preserve">33 by a body corporate </w:t>
      </w:r>
      <w:r w:rsidR="006354C9">
        <w:rPr>
          <w:rFonts w:eastAsia="Times New Roman"/>
          <w:color w:val="000000"/>
          <w:szCs w:val="24"/>
          <w:lang w:eastAsia="en-AU"/>
        </w:rPr>
        <w:t>is $1.1 million.</w:t>
      </w:r>
      <w:r w:rsidR="008F397D">
        <w:rPr>
          <w:rFonts w:eastAsia="Times New Roman"/>
          <w:color w:val="000000"/>
          <w:szCs w:val="24"/>
          <w:lang w:eastAsia="en-AU"/>
        </w:rPr>
        <w:t xml:space="preserve"> In this case</w:t>
      </w:r>
      <w:r w:rsidR="002D0107">
        <w:rPr>
          <w:rFonts w:eastAsia="Times New Roman"/>
          <w:color w:val="000000"/>
          <w:szCs w:val="24"/>
          <w:lang w:eastAsia="en-AU"/>
        </w:rPr>
        <w:t xml:space="preserve"> it is common ground that there were a large number of contraventions of s</w:t>
      </w:r>
      <w:r w:rsidR="0064487D">
        <w:rPr>
          <w:rFonts w:eastAsia="Times New Roman"/>
          <w:color w:val="000000"/>
          <w:szCs w:val="24"/>
          <w:lang w:eastAsia="en-AU"/>
        </w:rPr>
        <w:t> </w:t>
      </w:r>
      <w:r w:rsidR="002D0107">
        <w:rPr>
          <w:rFonts w:eastAsia="Times New Roman"/>
          <w:color w:val="000000"/>
          <w:szCs w:val="24"/>
          <w:lang w:eastAsia="en-AU"/>
        </w:rPr>
        <w:t>33 committed by Reckitt Benckiser.</w:t>
      </w:r>
      <w:r w:rsidR="008F397D">
        <w:rPr>
          <w:rFonts w:eastAsia="Times New Roman"/>
          <w:color w:val="000000"/>
          <w:szCs w:val="24"/>
          <w:lang w:eastAsia="en-AU"/>
        </w:rPr>
        <w:t xml:space="preserve"> This is so even if the</w:t>
      </w:r>
      <w:r w:rsidR="00EA58BC">
        <w:rPr>
          <w:rFonts w:eastAsia="Times New Roman"/>
          <w:color w:val="000000"/>
          <w:szCs w:val="24"/>
          <w:lang w:eastAsia="en-AU"/>
        </w:rPr>
        <w:t xml:space="preserve"> contravention</w:t>
      </w:r>
      <w:r w:rsidR="008F397D">
        <w:rPr>
          <w:rFonts w:eastAsia="Times New Roman"/>
          <w:color w:val="000000"/>
          <w:szCs w:val="24"/>
          <w:lang w:eastAsia="en-AU"/>
        </w:rPr>
        <w:t xml:space="preserve">s are confined to those </w:t>
      </w:r>
      <w:r w:rsidR="00EA58BC">
        <w:rPr>
          <w:rFonts w:eastAsia="Times New Roman"/>
          <w:color w:val="000000"/>
          <w:szCs w:val="24"/>
          <w:lang w:eastAsia="en-AU"/>
        </w:rPr>
        <w:t>5.9 million consumers who bought the product</w:t>
      </w:r>
      <w:r w:rsidR="008F397D">
        <w:rPr>
          <w:rFonts w:eastAsia="Times New Roman"/>
          <w:color w:val="000000"/>
          <w:szCs w:val="24"/>
          <w:lang w:eastAsia="en-AU"/>
        </w:rPr>
        <w:t xml:space="preserve"> and were likely to be misled</w:t>
      </w:r>
      <w:r w:rsidR="00EA58BC">
        <w:rPr>
          <w:rFonts w:eastAsia="Times New Roman"/>
          <w:color w:val="000000"/>
          <w:szCs w:val="24"/>
          <w:lang w:eastAsia="en-AU"/>
        </w:rPr>
        <w:t>.</w:t>
      </w:r>
      <w:r w:rsidR="002D0107">
        <w:rPr>
          <w:rFonts w:eastAsia="Times New Roman"/>
          <w:color w:val="000000"/>
          <w:szCs w:val="24"/>
          <w:lang w:eastAsia="en-AU"/>
        </w:rPr>
        <w:t xml:space="preserve"> The statutory maximum penalty is many, many</w:t>
      </w:r>
      <w:r w:rsidR="00AF2E8D">
        <w:rPr>
          <w:rFonts w:eastAsia="Times New Roman"/>
          <w:color w:val="000000"/>
          <w:szCs w:val="24"/>
          <w:lang w:eastAsia="en-AU"/>
        </w:rPr>
        <w:t xml:space="preserve"> millions of dollars. A</w:t>
      </w:r>
      <w:r w:rsidR="002D0107">
        <w:rPr>
          <w:rFonts w:eastAsia="Times New Roman"/>
          <w:color w:val="000000"/>
          <w:szCs w:val="24"/>
          <w:lang w:eastAsia="en-AU"/>
        </w:rPr>
        <w:t xml:space="preserve">lthough the statutory maximum is a relevant consideration, there are underlying principles which operate as a constraint upon the amount of any penalty. One of those </w:t>
      </w:r>
      <w:r w:rsidR="00E21FAC">
        <w:rPr>
          <w:rFonts w:eastAsia="Times New Roman"/>
          <w:color w:val="000000"/>
          <w:szCs w:val="24"/>
          <w:lang w:eastAsia="en-AU"/>
        </w:rPr>
        <w:t xml:space="preserve">principles </w:t>
      </w:r>
      <w:r w:rsidR="002D0107">
        <w:rPr>
          <w:rFonts w:eastAsia="Times New Roman"/>
          <w:color w:val="000000"/>
          <w:szCs w:val="24"/>
          <w:lang w:eastAsia="en-AU"/>
        </w:rPr>
        <w:t xml:space="preserve">is </w:t>
      </w:r>
      <w:r w:rsidR="00E21FAC">
        <w:rPr>
          <w:rFonts w:eastAsia="Times New Roman"/>
          <w:color w:val="000000"/>
          <w:szCs w:val="24"/>
          <w:lang w:eastAsia="en-AU"/>
        </w:rPr>
        <w:t xml:space="preserve">that </w:t>
      </w:r>
      <w:r w:rsidR="002D0107">
        <w:rPr>
          <w:rFonts w:eastAsia="Times New Roman"/>
          <w:color w:val="000000"/>
          <w:szCs w:val="24"/>
          <w:lang w:eastAsia="en-AU"/>
        </w:rPr>
        <w:t xml:space="preserve">where </w:t>
      </w:r>
      <w:r w:rsidR="002D0107">
        <w:t xml:space="preserve">the </w:t>
      </w:r>
      <w:r w:rsidR="00E21FAC">
        <w:t xml:space="preserve">same </w:t>
      </w:r>
      <w:r w:rsidR="002D0107">
        <w:t xml:space="preserve">conduct contravenes two or more provisions </w:t>
      </w:r>
      <w:r w:rsidR="00E21FAC">
        <w:t xml:space="preserve">of the </w:t>
      </w:r>
      <w:r w:rsidR="00E21FAC">
        <w:rPr>
          <w:i/>
        </w:rPr>
        <w:t xml:space="preserve">Australian Consumer </w:t>
      </w:r>
      <w:r w:rsidR="00E21FAC" w:rsidRPr="00E21FAC">
        <w:rPr>
          <w:i/>
        </w:rPr>
        <w:t>Law</w:t>
      </w:r>
      <w:r w:rsidR="00E21FAC">
        <w:t xml:space="preserve">, </w:t>
      </w:r>
      <w:r w:rsidR="002D0107">
        <w:t xml:space="preserve">the contravener </w:t>
      </w:r>
      <w:r w:rsidR="00E21FAC">
        <w:t xml:space="preserve">is only </w:t>
      </w:r>
      <w:r w:rsidR="002D0107">
        <w:t xml:space="preserve">liable </w:t>
      </w:r>
      <w:r w:rsidR="00E21FAC">
        <w:t>to pay</w:t>
      </w:r>
      <w:r w:rsidR="002D0107">
        <w:t xml:space="preserve"> one pecuniary penalty in respect of </w:t>
      </w:r>
      <w:r w:rsidR="00E21FAC">
        <w:t>that</w:t>
      </w:r>
      <w:r w:rsidR="002D0107">
        <w:t xml:space="preserve"> conduct: s</w:t>
      </w:r>
      <w:r w:rsidR="0064487D">
        <w:t> </w:t>
      </w:r>
      <w:r w:rsidR="002D0107">
        <w:t xml:space="preserve">224(4)(b) of the </w:t>
      </w:r>
      <w:r w:rsidR="002D0107" w:rsidRPr="004B3671">
        <w:rPr>
          <w:i/>
          <w:iCs/>
        </w:rPr>
        <w:t>Australian Consumer Law</w:t>
      </w:r>
      <w:r w:rsidR="002D0107">
        <w:t>.</w:t>
      </w:r>
      <w:r w:rsidR="002D0107" w:rsidRPr="002A78F5">
        <w:t xml:space="preserve"> </w:t>
      </w:r>
      <w:r w:rsidR="002D0107">
        <w:t>In this case, the only alleged contraventions by Reckitt Benckiser’s conduct involve s</w:t>
      </w:r>
      <w:r w:rsidR="0064487D">
        <w:t> </w:t>
      </w:r>
      <w:r w:rsidR="002D0107">
        <w:t xml:space="preserve">33 of the </w:t>
      </w:r>
      <w:r w:rsidR="002D0107" w:rsidRPr="004B3671">
        <w:rPr>
          <w:i/>
        </w:rPr>
        <w:t>Australian Consumer Law</w:t>
      </w:r>
      <w:r w:rsidR="002D0107" w:rsidRPr="0064487D">
        <w:t>.</w:t>
      </w:r>
      <w:r w:rsidR="002D0107">
        <w:t xml:space="preserve"> However, two other </w:t>
      </w:r>
      <w:r w:rsidR="002D0107" w:rsidRPr="002D0107">
        <w:rPr>
          <w:rFonts w:eastAsia="Times New Roman"/>
          <w:color w:val="000000"/>
          <w:szCs w:val="24"/>
          <w:lang w:eastAsia="en-AU"/>
        </w:rPr>
        <w:t xml:space="preserve">principles </w:t>
      </w:r>
      <w:r w:rsidR="002D0107">
        <w:rPr>
          <w:rFonts w:eastAsia="Times New Roman"/>
          <w:color w:val="000000"/>
          <w:szCs w:val="24"/>
          <w:lang w:eastAsia="en-AU"/>
        </w:rPr>
        <w:t xml:space="preserve">in this area </w:t>
      </w:r>
      <w:r w:rsidR="002D0107" w:rsidRPr="002D0107">
        <w:rPr>
          <w:rFonts w:eastAsia="Times New Roman"/>
          <w:color w:val="000000"/>
          <w:szCs w:val="24"/>
          <w:lang w:eastAsia="en-AU"/>
        </w:rPr>
        <w:t xml:space="preserve">about which submissions were made were the totality principle and the </w:t>
      </w:r>
      <w:r w:rsidR="00BA6827">
        <w:rPr>
          <w:rFonts w:eastAsia="Times New Roman"/>
          <w:color w:val="000000"/>
          <w:szCs w:val="24"/>
          <w:lang w:eastAsia="en-AU"/>
        </w:rPr>
        <w:t>“</w:t>
      </w:r>
      <w:r w:rsidR="002D0107" w:rsidRPr="002D0107">
        <w:rPr>
          <w:rFonts w:eastAsia="Times New Roman"/>
          <w:color w:val="000000"/>
          <w:szCs w:val="24"/>
          <w:lang w:eastAsia="en-AU"/>
        </w:rPr>
        <w:t>courses of conduct</w:t>
      </w:r>
      <w:r w:rsidR="00BA6827">
        <w:rPr>
          <w:rFonts w:eastAsia="Times New Roman"/>
          <w:color w:val="000000"/>
          <w:szCs w:val="24"/>
          <w:lang w:eastAsia="en-AU"/>
        </w:rPr>
        <w:t>”</w:t>
      </w:r>
      <w:r w:rsidR="002D0107" w:rsidRPr="002D0107">
        <w:rPr>
          <w:rFonts w:eastAsia="Times New Roman"/>
          <w:color w:val="000000"/>
          <w:szCs w:val="24"/>
          <w:lang w:eastAsia="en-AU"/>
        </w:rPr>
        <w:t xml:space="preserve"> principle.</w:t>
      </w:r>
    </w:p>
    <w:p w:rsidR="003B176E" w:rsidRDefault="00F97B9D" w:rsidP="00F97B9D">
      <w:pPr>
        <w:pStyle w:val="ParaNumbering"/>
        <w:numPr>
          <w:ilvl w:val="0"/>
          <w:numId w:val="0"/>
        </w:numPr>
        <w:ind w:hanging="720"/>
      </w:pPr>
      <w:r>
        <w:rPr>
          <w:sz w:val="20"/>
        </w:rPr>
        <w:t>25</w:t>
      </w:r>
      <w:r>
        <w:rPr>
          <w:sz w:val="20"/>
        </w:rPr>
        <w:tab/>
      </w:r>
      <w:r w:rsidR="00463083" w:rsidRPr="00463083">
        <w:t xml:space="preserve">The totality principle </w:t>
      </w:r>
      <w:r w:rsidR="00E6650B">
        <w:t xml:space="preserve">and the principle concerning courses of conduct </w:t>
      </w:r>
      <w:r w:rsidR="002564B4">
        <w:t xml:space="preserve">are </w:t>
      </w:r>
      <w:r w:rsidR="008251DC">
        <w:t xml:space="preserve">not </w:t>
      </w:r>
      <w:r w:rsidR="00AF2E8D">
        <w:t xml:space="preserve">wholly </w:t>
      </w:r>
      <w:r w:rsidR="008251DC">
        <w:t>separate principles</w:t>
      </w:r>
      <w:r w:rsidR="002564B4">
        <w:t xml:space="preserve">. </w:t>
      </w:r>
      <w:r w:rsidR="008251DC">
        <w:t>T</w:t>
      </w:r>
      <w:r w:rsidR="002564B4">
        <w:t xml:space="preserve">he </w:t>
      </w:r>
      <w:r w:rsidR="003B176E">
        <w:t xml:space="preserve">proportionality motivation underlying the </w:t>
      </w:r>
      <w:r w:rsidR="002564B4">
        <w:t>totality principle</w:t>
      </w:r>
      <w:r w:rsidR="002D0107">
        <w:t xml:space="preserve"> </w:t>
      </w:r>
      <w:r w:rsidR="00AF2E8D">
        <w:t xml:space="preserve">is the same motivation for </w:t>
      </w:r>
      <w:r w:rsidR="002564B4">
        <w:t xml:space="preserve">the principle concerning courses of conduct. </w:t>
      </w:r>
      <w:r w:rsidR="00AF2E8D">
        <w:t xml:space="preserve">Indeed, the courses of conduct principle might properly be understood as one aspect of the totality principle. Another </w:t>
      </w:r>
      <w:r w:rsidR="003B176E">
        <w:t xml:space="preserve">aspect of the totality principle is that the ultimate penalty must not be crushing. But </w:t>
      </w:r>
      <w:r w:rsidR="00BA6827">
        <w:t>the totality principles does not only operate in cases which would otherwise result in an “overly crushing burden”</w:t>
      </w:r>
      <w:r w:rsidR="003B176E">
        <w:t xml:space="preserve">: </w:t>
      </w:r>
      <w:r w:rsidR="003B176E">
        <w:rPr>
          <w:i/>
        </w:rPr>
        <w:t>Johnson v The Queen</w:t>
      </w:r>
      <w:r w:rsidR="003B176E">
        <w:t xml:space="preserve"> [20</w:t>
      </w:r>
      <w:r w:rsidR="000F40FC">
        <w:t>04] HCA 15; (2004) 205 ALR 346, 355</w:t>
      </w:r>
      <w:r w:rsidR="003B176E">
        <w:t xml:space="preserve"> [22] (Gummow, Callinan, and Heydon JJ). The underlying and ultimate concern of the totality principle is the proportionality of the penalty to all the circumstances of the contravening conduct: </w:t>
      </w:r>
      <w:r w:rsidR="003B176E" w:rsidRPr="00463083">
        <w:rPr>
          <w:bCs/>
          <w:i/>
          <w:iCs/>
        </w:rPr>
        <w:t>Postiglione v The Queen</w:t>
      </w:r>
      <w:r w:rsidR="003B176E" w:rsidRPr="00463083">
        <w:rPr>
          <w:b/>
          <w:bCs/>
          <w:i/>
          <w:iCs/>
        </w:rPr>
        <w:t xml:space="preserve"> </w:t>
      </w:r>
      <w:r w:rsidR="003B176E" w:rsidRPr="00463083">
        <w:t>[1997] HCA 26; (1997) 189 CLR 295</w:t>
      </w:r>
      <w:r w:rsidR="003B176E">
        <w:t xml:space="preserve">, </w:t>
      </w:r>
      <w:r w:rsidR="003B176E" w:rsidRPr="00463083">
        <w:t>307-30</w:t>
      </w:r>
      <w:r w:rsidR="003B176E">
        <w:t>8 (McHugh</w:t>
      </w:r>
      <w:r w:rsidR="0064487D">
        <w:t xml:space="preserve"> </w:t>
      </w:r>
      <w:r w:rsidR="003B176E" w:rsidRPr="00463083">
        <w:t>J</w:t>
      </w:r>
      <w:r w:rsidR="003B176E">
        <w:t>).</w:t>
      </w:r>
    </w:p>
    <w:p w:rsidR="002564B4" w:rsidRPr="002564B4" w:rsidRDefault="00F97B9D" w:rsidP="00F97B9D">
      <w:pPr>
        <w:pStyle w:val="ParaNumbering"/>
        <w:numPr>
          <w:ilvl w:val="0"/>
          <w:numId w:val="0"/>
        </w:numPr>
        <w:ind w:hanging="720"/>
      </w:pPr>
      <w:r w:rsidRPr="002564B4">
        <w:rPr>
          <w:sz w:val="20"/>
        </w:rPr>
        <w:lastRenderedPageBreak/>
        <w:t>26</w:t>
      </w:r>
      <w:r w:rsidRPr="002564B4">
        <w:rPr>
          <w:sz w:val="20"/>
        </w:rPr>
        <w:tab/>
      </w:r>
      <w:r w:rsidR="002564B4">
        <w:t xml:space="preserve">In </w:t>
      </w:r>
      <w:r w:rsidR="00553BC0">
        <w:t>the context of the common law principles</w:t>
      </w:r>
      <w:r w:rsidR="003B176E">
        <w:t xml:space="preserve"> of totality</w:t>
      </w:r>
      <w:r w:rsidR="00553BC0">
        <w:t xml:space="preserve"> underlying criminal sentencing statutes, a joint judgment of the High Court in </w:t>
      </w:r>
      <w:r w:rsidR="002564B4" w:rsidRPr="002564B4">
        <w:rPr>
          <w:i/>
          <w:iCs/>
          <w:lang w:eastAsia="en-AU"/>
        </w:rPr>
        <w:t>Mill</w:t>
      </w:r>
      <w:r w:rsidR="00553BC0">
        <w:rPr>
          <w:i/>
          <w:iCs/>
          <w:lang w:eastAsia="en-AU"/>
        </w:rPr>
        <w:t xml:space="preserve"> v The Queen</w:t>
      </w:r>
      <w:r w:rsidR="002564B4" w:rsidRPr="002564B4">
        <w:rPr>
          <w:lang w:eastAsia="en-AU"/>
        </w:rPr>
        <w:t xml:space="preserve"> </w:t>
      </w:r>
      <w:r w:rsidR="002564B4" w:rsidRPr="002564B4">
        <w:t>[1988] HCA 70; (1988</w:t>
      </w:r>
      <w:r w:rsidR="002564B4">
        <w:t>) 166 CLR 59, 63</w:t>
      </w:r>
      <w:r w:rsidR="002564B4" w:rsidRPr="002564B4">
        <w:rPr>
          <w:lang w:eastAsia="en-AU"/>
        </w:rPr>
        <w:t xml:space="preserve">, </w:t>
      </w:r>
      <w:r w:rsidR="002564B4">
        <w:rPr>
          <w:lang w:eastAsia="en-AU"/>
        </w:rPr>
        <w:t>said, by reference to</w:t>
      </w:r>
      <w:r w:rsidR="002564B4" w:rsidRPr="002564B4">
        <w:rPr>
          <w:lang w:eastAsia="en-AU"/>
        </w:rPr>
        <w:t xml:space="preserve"> Thomas</w:t>
      </w:r>
      <w:r w:rsidR="0064487D">
        <w:rPr>
          <w:lang w:eastAsia="en-AU"/>
        </w:rPr>
        <w:t xml:space="preserve"> DA</w:t>
      </w:r>
      <w:r w:rsidR="002564B4" w:rsidRPr="002564B4">
        <w:rPr>
          <w:lang w:eastAsia="en-AU"/>
        </w:rPr>
        <w:t xml:space="preserve">, </w:t>
      </w:r>
      <w:r w:rsidR="002564B4" w:rsidRPr="002564B4">
        <w:rPr>
          <w:i/>
          <w:iCs/>
          <w:lang w:eastAsia="en-AU"/>
        </w:rPr>
        <w:t>Principles of Sentencing</w:t>
      </w:r>
      <w:r w:rsidR="002564B4">
        <w:rPr>
          <w:lang w:eastAsia="en-AU"/>
        </w:rPr>
        <w:t xml:space="preserve"> (</w:t>
      </w:r>
      <w:r w:rsidR="002564B4">
        <w:t xml:space="preserve">2nd ed, </w:t>
      </w:r>
      <w:r w:rsidR="0064487D">
        <w:t>Heinemann Educ</w:t>
      </w:r>
      <w:r w:rsidR="00FB69F2">
        <w:t>ational Books Ltd</w:t>
      </w:r>
      <w:r w:rsidR="0064487D">
        <w:t xml:space="preserve">, </w:t>
      </w:r>
      <w:r w:rsidR="002564B4">
        <w:t>1979) 56-57 (footnotes and quotation marks omitted)</w:t>
      </w:r>
      <w:r w:rsidR="002564B4" w:rsidRPr="002564B4">
        <w:rPr>
          <w:lang w:eastAsia="en-AU"/>
        </w:rPr>
        <w:t>:</w:t>
      </w:r>
    </w:p>
    <w:p w:rsidR="002564B4" w:rsidRDefault="002564B4" w:rsidP="002564B4">
      <w:pPr>
        <w:pStyle w:val="Quote1"/>
        <w:rPr>
          <w:lang w:eastAsia="en-AU"/>
        </w:rPr>
      </w:pPr>
      <w:r w:rsidRPr="002564B4">
        <w:rPr>
          <w:lang w:eastAsia="en-AU"/>
        </w:rPr>
        <w:t>The effect of the totality principle is to require a sentencer who has passed a series of sentences, each properly calculated in relation to the offence for which it is imposed and each properly made consecutive in accordance with the principles governing consecutive sentences, to review the aggregate sentence and con</w:t>
      </w:r>
      <w:r>
        <w:rPr>
          <w:lang w:eastAsia="en-AU"/>
        </w:rPr>
        <w:t>sider whether the aggregate is just and appropriate</w:t>
      </w:r>
      <w:r w:rsidRPr="002564B4">
        <w:rPr>
          <w:lang w:eastAsia="en-AU"/>
        </w:rPr>
        <w:t>. The principle has been state</w:t>
      </w:r>
      <w:r>
        <w:rPr>
          <w:lang w:eastAsia="en-AU"/>
        </w:rPr>
        <w:t xml:space="preserve">d many times in various forms: </w:t>
      </w:r>
      <w:r w:rsidRPr="002564B4">
        <w:rPr>
          <w:lang w:eastAsia="en-AU"/>
        </w:rPr>
        <w:t>when a number of offences are being dealt with and specific punishments in respect of them are being totted up to make a total, it is always necessary for the court to take a last look at the total just to see whe</w:t>
      </w:r>
      <w:r>
        <w:rPr>
          <w:lang w:eastAsia="en-AU"/>
        </w:rPr>
        <w:t xml:space="preserve">ther it looks wrong; </w:t>
      </w:r>
      <w:r w:rsidRPr="002564B4">
        <w:rPr>
          <w:lang w:eastAsia="en-AU"/>
        </w:rPr>
        <w:t>when ... cases of multiplicity of offences come before the court, the court must not content itself by doing the arithmetic and passing the sentence which the arithmetic produces. It must look at the totality of the criminal behaviour and ask itself what is the appropriate se</w:t>
      </w:r>
      <w:r>
        <w:rPr>
          <w:lang w:eastAsia="en-AU"/>
        </w:rPr>
        <w:t>ntence for all the offences.</w:t>
      </w:r>
    </w:p>
    <w:p w:rsidR="008251DC" w:rsidRDefault="00F97B9D" w:rsidP="00F97B9D">
      <w:pPr>
        <w:pStyle w:val="ParaNumbering"/>
        <w:numPr>
          <w:ilvl w:val="0"/>
          <w:numId w:val="0"/>
        </w:numPr>
        <w:ind w:hanging="720"/>
      </w:pPr>
      <w:r>
        <w:rPr>
          <w:sz w:val="20"/>
        </w:rPr>
        <w:t>27</w:t>
      </w:r>
      <w:r>
        <w:rPr>
          <w:sz w:val="20"/>
        </w:rPr>
        <w:tab/>
      </w:r>
      <w:r w:rsidR="003B176E">
        <w:t>In</w:t>
      </w:r>
      <w:r w:rsidR="008251DC">
        <w:t xml:space="preserve"> </w:t>
      </w:r>
      <w:r w:rsidR="008251DC" w:rsidRPr="008251DC">
        <w:rPr>
          <w:i/>
          <w:iCs/>
        </w:rPr>
        <w:t>Royer v Western Australia</w:t>
      </w:r>
      <w:r w:rsidR="008251DC" w:rsidRPr="008251DC">
        <w:t xml:space="preserve"> [2009] WASCA 139</w:t>
      </w:r>
      <w:r w:rsidR="00E9150D">
        <w:t>; (2009) 197 A Crim R 319, 328-331</w:t>
      </w:r>
      <w:r w:rsidR="003B176E">
        <w:t xml:space="preserve"> [21]-[30], Owen JA in the Western Australian Court of Appeal described the operation of the “course of conduct principle” or the “one transaction principle” in the followin</w:t>
      </w:r>
      <w:r w:rsidR="00AF2E8D">
        <w:t xml:space="preserve">g terms which indicate the </w:t>
      </w:r>
      <w:r w:rsidR="003B176E">
        <w:t>underlying proportionality concern:</w:t>
      </w:r>
    </w:p>
    <w:p w:rsidR="008251DC" w:rsidRPr="008251DC" w:rsidRDefault="008251DC" w:rsidP="008251DC">
      <w:pPr>
        <w:pStyle w:val="Quote1"/>
        <w:rPr>
          <w:lang w:eastAsia="en-AU"/>
        </w:rPr>
      </w:pPr>
      <w:r w:rsidRPr="008251DC">
        <w:rPr>
          <w:lang w:eastAsia="en-AU"/>
        </w:rPr>
        <w:t>[22] ... At its heart, the one transaction principle recognises that, where there is an interrelationship between the legal and factual elements of two or more offences with which an offender has been charged, care needs to be taken so that the offender is not punished twice (or more often) for what is essentially the same criminality. The interrelationship may be legal, in the sense that it arises from the elements of the crimes. It may also be factual, because of a temporal or geographical link or the presence of other circumstances compelling the conclusion that the crimes arise out of substantially the same act, omission or occurrences.</w:t>
      </w:r>
    </w:p>
    <w:p w:rsidR="008251DC" w:rsidRPr="008251DC" w:rsidRDefault="008251DC" w:rsidP="008251DC">
      <w:pPr>
        <w:pStyle w:val="Quote1"/>
        <w:rPr>
          <w:lang w:eastAsia="en-AU"/>
        </w:rPr>
      </w:pPr>
      <w:r w:rsidRPr="008251DC">
        <w:rPr>
          <w:lang w:eastAsia="en-AU"/>
        </w:rPr>
        <w:t>...</w:t>
      </w:r>
    </w:p>
    <w:p w:rsidR="008251DC" w:rsidRDefault="00E9150D" w:rsidP="008251DC">
      <w:pPr>
        <w:pStyle w:val="Quote1"/>
        <w:rPr>
          <w:lang w:eastAsia="en-AU"/>
        </w:rPr>
      </w:pPr>
      <w:r>
        <w:rPr>
          <w:lang w:eastAsia="en-AU"/>
        </w:rPr>
        <w:t>[24]</w:t>
      </w:r>
      <w:r>
        <w:rPr>
          <w:lang w:eastAsia="en-AU"/>
        </w:rPr>
        <w:tab/>
      </w:r>
      <w:r w:rsidR="008251DC" w:rsidRPr="008251DC">
        <w:rPr>
          <w:lang w:eastAsia="en-AU"/>
        </w:rPr>
        <w:t>Because of the wide variety of circumstances in which the principle can arise it is not always easy to reconcile the way it has been applied in individual cases. But what can be detected in each case is an examination of the closeness of the interrelationship and the danger of double jeopardy in so far as punishment (not criminal liability) is concerned</w:t>
      </w:r>
      <w:r w:rsidR="00A36EB6">
        <w:rPr>
          <w:lang w:eastAsia="en-AU"/>
        </w:rPr>
        <w:t>…</w:t>
      </w:r>
    </w:p>
    <w:p w:rsidR="008251DC" w:rsidRDefault="00E9150D" w:rsidP="008251DC">
      <w:pPr>
        <w:pStyle w:val="Quote1"/>
        <w:rPr>
          <w:lang w:eastAsia="en-AU"/>
        </w:rPr>
      </w:pPr>
      <w:r>
        <w:t xml:space="preserve">[25] </w:t>
      </w:r>
      <w:r w:rsidR="00A36EB6">
        <w:t xml:space="preserve">… </w:t>
      </w:r>
      <w:r w:rsidR="008251DC">
        <w:t>There will be instances in which it is obvious that the interrelationship of multiple offences is so intimate that they can only be said to arise from a single course of criminal conduct. In those instances injustice can only be avoided by imposing concurrent terms. Not to do so would inevitably result in the offender being punished more than once for the same criminality.</w:t>
      </w:r>
      <w:r w:rsidR="00A36EB6">
        <w:t xml:space="preserve"> …</w:t>
      </w:r>
    </w:p>
    <w:p w:rsidR="008251DC" w:rsidRPr="008251DC" w:rsidRDefault="00E9150D" w:rsidP="008251DC">
      <w:pPr>
        <w:pStyle w:val="Quote1"/>
        <w:rPr>
          <w:lang w:eastAsia="en-AU"/>
        </w:rPr>
      </w:pPr>
      <w:r>
        <w:t xml:space="preserve">[30] </w:t>
      </w:r>
      <w:r w:rsidR="008251DC">
        <w:t>… how is the one transaction principle to be understood and applied? Save for the instances in which the interrelationship between multiple offences is so close that injustice can only be avoided by concurrency of terms, the answer will usually emerge from considerations of proportionality to or with the criminality of the offender’s conduct viewed in its entirety. Looked at in this way, the one transaction principle and the totality principle are closely connected</w:t>
      </w:r>
      <w:r w:rsidR="00193051">
        <w:t>.</w:t>
      </w:r>
    </w:p>
    <w:p w:rsidR="004B3671" w:rsidRDefault="00F97B9D" w:rsidP="00F97B9D">
      <w:pPr>
        <w:pStyle w:val="ParaNumbering"/>
        <w:numPr>
          <w:ilvl w:val="0"/>
          <w:numId w:val="0"/>
        </w:numPr>
        <w:ind w:hanging="720"/>
      </w:pPr>
      <w:r>
        <w:rPr>
          <w:sz w:val="20"/>
        </w:rPr>
        <w:lastRenderedPageBreak/>
        <w:t>28</w:t>
      </w:r>
      <w:r>
        <w:rPr>
          <w:sz w:val="20"/>
        </w:rPr>
        <w:tab/>
      </w:r>
      <w:r w:rsidR="003B176E">
        <w:t xml:space="preserve">Although these paragraphs were expressed in a criminal law context, they were cited with approval in the context of civil penalties by the Full Court of the Federal Court in </w:t>
      </w:r>
      <w:r w:rsidR="003B176E" w:rsidRPr="003B176E">
        <w:rPr>
          <w:i/>
        </w:rPr>
        <w:t>Construction, Forestry, Mining and Energy Union v Williams</w:t>
      </w:r>
      <w:r w:rsidR="003B176E">
        <w:t xml:space="preserve"> [2009] FCAFC 171</w:t>
      </w:r>
      <w:r w:rsidR="00E9150D">
        <w:t>; (2009) 191 IR 445, 453-455</w:t>
      </w:r>
      <w:r w:rsidR="003B176E">
        <w:t xml:space="preserve"> [17]-[18]. They were again approved by Middleton and Gordon JJ in </w:t>
      </w:r>
      <w:r w:rsidR="004B3671" w:rsidRPr="003B176E">
        <w:rPr>
          <w:i/>
          <w:iCs/>
        </w:rPr>
        <w:t>Construction, Forestry, Mining and Energy Union v Cahill</w:t>
      </w:r>
      <w:r w:rsidR="004B3671" w:rsidRPr="00ED2886">
        <w:t xml:space="preserve"> [2010] FCAFC 39; (2010) 269 ALR 1</w:t>
      </w:r>
      <w:r w:rsidR="003B176E">
        <w:t>, 12 [38</w:t>
      </w:r>
      <w:r w:rsidR="004B3671">
        <w:t>]</w:t>
      </w:r>
      <w:r w:rsidR="003B176E">
        <w:t>-[39]</w:t>
      </w:r>
      <w:r w:rsidR="004B3671">
        <w:t>.</w:t>
      </w:r>
    </w:p>
    <w:p w:rsidR="00040F1A" w:rsidRPr="008251DC" w:rsidRDefault="00F97B9D" w:rsidP="00F97B9D">
      <w:pPr>
        <w:pStyle w:val="ParaNumbering"/>
        <w:numPr>
          <w:ilvl w:val="0"/>
          <w:numId w:val="0"/>
        </w:numPr>
        <w:tabs>
          <w:tab w:val="left" w:pos="720"/>
        </w:tabs>
        <w:ind w:hanging="720"/>
      </w:pPr>
      <w:r w:rsidRPr="008251DC">
        <w:rPr>
          <w:sz w:val="20"/>
        </w:rPr>
        <w:t>29</w:t>
      </w:r>
      <w:r w:rsidRPr="008251DC">
        <w:rPr>
          <w:sz w:val="20"/>
        </w:rPr>
        <w:tab/>
      </w:r>
      <w:r w:rsidR="003B176E">
        <w:t>Whether the proportionality concerns of sentencing are expressed as “totality” or “course of conduct” principles, they do not alter</w:t>
      </w:r>
      <w:r w:rsidR="007F44A1">
        <w:t xml:space="preserve"> the</w:t>
      </w:r>
      <w:r w:rsidR="003B176E">
        <w:t xml:space="preserve"> </w:t>
      </w:r>
      <w:r w:rsidR="007F44A1">
        <w:t xml:space="preserve">total </w:t>
      </w:r>
      <w:r w:rsidR="003B176E">
        <w:t>statutory maximum</w:t>
      </w:r>
      <w:r w:rsidR="007F44A1">
        <w:t xml:space="preserve">. Nor do they require the court to start from the position that the maximum fine for a course of conduct is $1.1 million. However, the principles inform the ultimate penalty to be imposed because of the need to ensure </w:t>
      </w:r>
      <w:r w:rsidR="008E7082">
        <w:t>proportionality between the contravening conduct and the penalty imposed.</w:t>
      </w:r>
    </w:p>
    <w:p w:rsidR="00040F1A" w:rsidRDefault="00F97B9D" w:rsidP="00F97B9D">
      <w:pPr>
        <w:pStyle w:val="ParaNumbering"/>
        <w:numPr>
          <w:ilvl w:val="0"/>
          <w:numId w:val="0"/>
        </w:numPr>
        <w:tabs>
          <w:tab w:val="left" w:pos="720"/>
        </w:tabs>
        <w:ind w:hanging="720"/>
      </w:pPr>
      <w:r>
        <w:rPr>
          <w:sz w:val="20"/>
        </w:rPr>
        <w:t>30</w:t>
      </w:r>
      <w:r>
        <w:rPr>
          <w:sz w:val="20"/>
        </w:rPr>
        <w:tab/>
      </w:r>
      <w:r w:rsidR="00040F1A" w:rsidRPr="00D1544D">
        <w:t xml:space="preserve">The </w:t>
      </w:r>
      <w:r w:rsidR="000F40FC">
        <w:t xml:space="preserve">exercise of characterising the conduct to determine the number of courses of conduct requires evaluative judgement. In some cases, reasonable minds might reach different conclusions about the number of courses of conduct involved in a series of contraventions. In other cases, the contravening conduct might clearly illustrate a particular number of courses of conduct. </w:t>
      </w:r>
      <w:r w:rsidR="00FE7023">
        <w:t xml:space="preserve">An example </w:t>
      </w:r>
      <w:r w:rsidR="00FA3594">
        <w:t xml:space="preserve">of </w:t>
      </w:r>
      <w:r w:rsidR="00AF2E8D">
        <w:t>a fine line in characterisation</w:t>
      </w:r>
      <w:r w:rsidR="00FA3594">
        <w:t xml:space="preserve"> </w:t>
      </w:r>
      <w:r w:rsidR="00FE7023">
        <w:t xml:space="preserve">is the decision in </w:t>
      </w:r>
      <w:r w:rsidR="00FE7023">
        <w:rPr>
          <w:i/>
        </w:rPr>
        <w:t xml:space="preserve">Australian Competition and Consumer Commission v Coles Supermarkets Australia Pty Ltd </w:t>
      </w:r>
      <w:r w:rsidR="00FE7023">
        <w:t xml:space="preserve">[2015] FCA 330; (2015) 327 ALR 540. In that case, the ACCC submitted that Coles had engaged in four different </w:t>
      </w:r>
      <w:r w:rsidR="00071CB7">
        <w:t xml:space="preserve">contravening courses of conduct: </w:t>
      </w:r>
      <w:r w:rsidR="00FE7023">
        <w:t xml:space="preserve">(i) </w:t>
      </w:r>
      <w:r w:rsidR="00071CB7" w:rsidRPr="00985695">
        <w:rPr>
          <w:i/>
        </w:rPr>
        <w:t>packaging</w:t>
      </w:r>
      <w:r w:rsidR="00071CB7">
        <w:t xml:space="preserve"> of bread products as </w:t>
      </w:r>
      <w:r w:rsidR="00FE7023">
        <w:t>“Baked Today, Sold Today”</w:t>
      </w:r>
      <w:r w:rsidR="00FA3594">
        <w:t>;</w:t>
      </w:r>
      <w:r w:rsidR="00FE7023">
        <w:t xml:space="preserve"> (ii)</w:t>
      </w:r>
      <w:r w:rsidR="00071CB7">
        <w:t xml:space="preserve"> </w:t>
      </w:r>
      <w:r w:rsidR="00071CB7" w:rsidRPr="00985695">
        <w:rPr>
          <w:i/>
        </w:rPr>
        <w:t>packaging</w:t>
      </w:r>
      <w:r w:rsidR="00071CB7">
        <w:t xml:space="preserve"> of bread products as </w:t>
      </w:r>
      <w:r w:rsidR="00FE7023">
        <w:t>“Freshly Baked In-Store”</w:t>
      </w:r>
      <w:r w:rsidR="00FA3594">
        <w:t>;</w:t>
      </w:r>
      <w:r w:rsidR="00FE7023">
        <w:t xml:space="preserve"> (iii) </w:t>
      </w:r>
      <w:r w:rsidR="00071CB7" w:rsidRPr="00985695">
        <w:rPr>
          <w:i/>
        </w:rPr>
        <w:t>packaging</w:t>
      </w:r>
      <w:r w:rsidR="00071CB7">
        <w:t xml:space="preserve"> of bread products </w:t>
      </w:r>
      <w:r w:rsidR="00985695">
        <w:t>making both statements</w:t>
      </w:r>
      <w:r w:rsidR="00FA3594">
        <w:t>;</w:t>
      </w:r>
      <w:r w:rsidR="00985695">
        <w:t xml:space="preserve"> </w:t>
      </w:r>
      <w:r w:rsidR="00071CB7">
        <w:t>and</w:t>
      </w:r>
      <w:r w:rsidR="00985695">
        <w:t xml:space="preserve"> </w:t>
      </w:r>
      <w:r w:rsidR="00FE7023">
        <w:t xml:space="preserve">(iv) </w:t>
      </w:r>
      <w:r w:rsidR="00430AA7">
        <w:rPr>
          <w:i/>
        </w:rPr>
        <w:t>signage</w:t>
      </w:r>
      <w:r w:rsidR="00430AA7">
        <w:t xml:space="preserve"> </w:t>
      </w:r>
      <w:r w:rsidR="00FE7023">
        <w:t xml:space="preserve">saying “Freshly Baked” and “Baked Fresh”. </w:t>
      </w:r>
      <w:r w:rsidR="00985695">
        <w:t xml:space="preserve">Coles argued that this was all part of a single advertising campaign so it was a single course of conduct. </w:t>
      </w:r>
      <w:r w:rsidR="00FD1A34">
        <w:t xml:space="preserve">The Chief Justice imposed a penalty on the basis that the conduct could “be seen as four courses of conduct” although, </w:t>
      </w:r>
      <w:r w:rsidR="00AF2E8D">
        <w:t xml:space="preserve">his Honour also recognised that </w:t>
      </w:r>
      <w:r w:rsidR="00FD1A34">
        <w:t>at a higher level of generality, it “formed part of a single marketing strategy” (559 [85]). The penalty ultimately imposed of $2.5 million was also supported on the basis that it was “above the mid-range for four courses of conduct with a notional maximum penalty of $4.4 million” (563 [89]).</w:t>
      </w:r>
    </w:p>
    <w:p w:rsidR="00CC5DB4" w:rsidRDefault="00F97B9D" w:rsidP="00F97B9D">
      <w:pPr>
        <w:pStyle w:val="ParaNumbering"/>
        <w:numPr>
          <w:ilvl w:val="0"/>
          <w:numId w:val="0"/>
        </w:numPr>
        <w:ind w:hanging="720"/>
      </w:pPr>
      <w:r>
        <w:rPr>
          <w:sz w:val="20"/>
        </w:rPr>
        <w:t>31</w:t>
      </w:r>
      <w:r>
        <w:rPr>
          <w:sz w:val="20"/>
        </w:rPr>
        <w:tab/>
      </w:r>
      <w:r w:rsidR="00106416">
        <w:t xml:space="preserve">Ultimately, a decision about the number of courses of conduct involved is </w:t>
      </w:r>
      <w:r w:rsidR="00071CB7">
        <w:t xml:space="preserve">an exercise of evaluation which requires consideration of the extent to which the </w:t>
      </w:r>
      <w:r w:rsidR="00071CB7" w:rsidRPr="008251DC">
        <w:rPr>
          <w:lang w:eastAsia="en-AU"/>
        </w:rPr>
        <w:t xml:space="preserve">interrelationship between the legal and factual </w:t>
      </w:r>
      <w:r w:rsidR="00071CB7">
        <w:rPr>
          <w:lang w:eastAsia="en-AU"/>
        </w:rPr>
        <w:t>elements of the contraventions overlap so that the imposition of multiple penalties would</w:t>
      </w:r>
      <w:r w:rsidR="00AF2E8D">
        <w:rPr>
          <w:lang w:eastAsia="en-AU"/>
        </w:rPr>
        <w:t xml:space="preserve"> be disproportionate to the contravening conduct and could</w:t>
      </w:r>
      <w:r w:rsidR="00071CB7">
        <w:rPr>
          <w:lang w:eastAsia="en-AU"/>
        </w:rPr>
        <w:t xml:space="preserve"> resemble double </w:t>
      </w:r>
      <w:r w:rsidR="00071CB7">
        <w:rPr>
          <w:lang w:eastAsia="en-AU"/>
        </w:rPr>
        <w:lastRenderedPageBreak/>
        <w:t>punishment.</w:t>
      </w:r>
      <w:r w:rsidR="00071CB7">
        <w:t xml:space="preserve"> </w:t>
      </w:r>
      <w:r w:rsidR="00AF2E8D">
        <w:t xml:space="preserve">At a high level of generality it might be possible to characterise many cases as involving only one contravention. But this high level of generality will rarely reflect the concern to ensure proportionality and to avoid double punishment. </w:t>
      </w:r>
      <w:r w:rsidR="00071CB7">
        <w:t xml:space="preserve">For instance, Reckitt Benckiser </w:t>
      </w:r>
      <w:r w:rsidR="00AF2E8D">
        <w:t xml:space="preserve">did not make the submission that at a high level of generality </w:t>
      </w:r>
      <w:r w:rsidR="00071CB7">
        <w:t xml:space="preserve">the packaging and website representations </w:t>
      </w:r>
      <w:r w:rsidR="00EF5F5D">
        <w:t xml:space="preserve">each </w:t>
      </w:r>
      <w:r w:rsidR="00071CB7">
        <w:t>formed a single course of advertising. I would not have accepted that submission. The conduct involved in the website representations and the packaging representations was sufficiently distinct.</w:t>
      </w:r>
    </w:p>
    <w:p w:rsidR="00AF2E8D" w:rsidRDefault="00F97B9D" w:rsidP="00F97B9D">
      <w:pPr>
        <w:pStyle w:val="ParaNumbering"/>
        <w:numPr>
          <w:ilvl w:val="0"/>
          <w:numId w:val="0"/>
        </w:numPr>
        <w:ind w:hanging="720"/>
      </w:pPr>
      <w:r>
        <w:rPr>
          <w:sz w:val="20"/>
        </w:rPr>
        <w:t>32</w:t>
      </w:r>
      <w:r>
        <w:rPr>
          <w:sz w:val="20"/>
        </w:rPr>
        <w:tab/>
      </w:r>
      <w:r w:rsidR="00FD1A34">
        <w:t>R</w:t>
      </w:r>
      <w:r w:rsidR="00A87485">
        <w:t>eckitt Benckiser submitted that there were two courses of conduct involved in its contraventions</w:t>
      </w:r>
      <w:r w:rsidR="006C1BCF">
        <w:t xml:space="preserve"> (one for its</w:t>
      </w:r>
      <w:r w:rsidR="00673988">
        <w:t xml:space="preserve"> packagin</w:t>
      </w:r>
      <w:r w:rsidR="006C1BCF">
        <w:t>g contraventions and one for its</w:t>
      </w:r>
      <w:r w:rsidR="00673988">
        <w:t xml:space="preserve"> website contraventions)</w:t>
      </w:r>
      <w:r w:rsidR="00A87485">
        <w:t>. The ACCC submitted that there were six</w:t>
      </w:r>
      <w:r w:rsidR="00673988">
        <w:t xml:space="preserve"> </w:t>
      </w:r>
      <w:r w:rsidR="00EF5F5D">
        <w:t xml:space="preserve">courses of conduct involved </w:t>
      </w:r>
      <w:r w:rsidR="00673988">
        <w:t xml:space="preserve">(four </w:t>
      </w:r>
      <w:r w:rsidR="00EF5F5D">
        <w:t xml:space="preserve">for its </w:t>
      </w:r>
      <w:r w:rsidR="00673988">
        <w:t>packaging contravention</w:t>
      </w:r>
      <w:r w:rsidR="00EF5F5D">
        <w:t>s</w:t>
      </w:r>
      <w:r w:rsidR="00673988">
        <w:t xml:space="preserve"> and two </w:t>
      </w:r>
      <w:r w:rsidR="00EF5F5D">
        <w:t xml:space="preserve">for its </w:t>
      </w:r>
      <w:r w:rsidR="00673988">
        <w:t>website contravention</w:t>
      </w:r>
      <w:r w:rsidR="00EF5F5D">
        <w:t>s</w:t>
      </w:r>
      <w:r w:rsidR="00673988">
        <w:t>)</w:t>
      </w:r>
      <w:r w:rsidR="00A87485">
        <w:t>.</w:t>
      </w:r>
      <w:r w:rsidR="00106416">
        <w:t xml:space="preserve"> </w:t>
      </w:r>
    </w:p>
    <w:p w:rsidR="00964B0B" w:rsidRPr="00964B0B" w:rsidRDefault="00F97B9D" w:rsidP="00F97B9D">
      <w:pPr>
        <w:pStyle w:val="ParaNumbering"/>
        <w:numPr>
          <w:ilvl w:val="0"/>
          <w:numId w:val="0"/>
        </w:numPr>
        <w:ind w:hanging="720"/>
      </w:pPr>
      <w:r w:rsidRPr="00964B0B">
        <w:rPr>
          <w:sz w:val="20"/>
        </w:rPr>
        <w:t>33</w:t>
      </w:r>
      <w:r w:rsidRPr="00964B0B">
        <w:rPr>
          <w:sz w:val="20"/>
        </w:rPr>
        <w:tab/>
      </w:r>
      <w:r w:rsidR="00AF2E8D">
        <w:t>At a low</w:t>
      </w:r>
      <w:r w:rsidR="007B6BF5">
        <w:t xml:space="preserve"> level of generality i</w:t>
      </w:r>
      <w:r w:rsidR="00106416">
        <w:t xml:space="preserve">t is possible to characterise Reckitt Benckiser’s conduct as involving six courses </w:t>
      </w:r>
      <w:r w:rsidR="00EF5F5D">
        <w:t xml:space="preserve">of conduct </w:t>
      </w:r>
      <w:r w:rsidR="00106416">
        <w:t xml:space="preserve">as the ACCC described. </w:t>
      </w:r>
      <w:r w:rsidR="007B6BF5">
        <w:t>However, the most accurate characterisation of Reckitt Benckiser’s conduct involves two distinct courses of contravention</w:t>
      </w:r>
      <w:r w:rsidR="002C5269">
        <w:t>,</w:t>
      </w:r>
      <w:r w:rsidR="007B6BF5">
        <w:t xml:space="preserve"> each of which in</w:t>
      </w:r>
      <w:r w:rsidR="00CC5DB4">
        <w:t xml:space="preserve">volves </w:t>
      </w:r>
      <w:r w:rsidR="00972EF8">
        <w:t>conduct</w:t>
      </w:r>
      <w:r w:rsidR="00CC5DB4">
        <w:t xml:space="preserve"> which is not merely making contravening representations of identical content but which is interrelated with, and dependent upon, the other representations</w:t>
      </w:r>
      <w:r w:rsidR="00972EF8">
        <w:t xml:space="preserve">. </w:t>
      </w:r>
      <w:r w:rsidR="00972EF8">
        <w:rPr>
          <w:rFonts w:eastAsia="Times New Roman"/>
          <w:color w:val="000000"/>
          <w:szCs w:val="24"/>
          <w:lang w:eastAsia="en-AU"/>
        </w:rPr>
        <w:t>My conclusion in this respect is based in part upon the pleadings which assume particular importance because no evidence was tendered for the purposes of the hearing when findings of liability were made. The findings were based on the pleaded facts, as admitted.</w:t>
      </w:r>
    </w:p>
    <w:p w:rsidR="00CC5DB4" w:rsidRPr="00CC5DB4" w:rsidRDefault="00F97B9D" w:rsidP="00F97B9D">
      <w:pPr>
        <w:pStyle w:val="ParaNumbering"/>
        <w:numPr>
          <w:ilvl w:val="0"/>
          <w:numId w:val="0"/>
        </w:numPr>
        <w:ind w:hanging="720"/>
      </w:pPr>
      <w:r w:rsidRPr="00CC5DB4">
        <w:rPr>
          <w:sz w:val="20"/>
        </w:rPr>
        <w:t>34</w:t>
      </w:r>
      <w:r w:rsidRPr="00CC5DB4">
        <w:rPr>
          <w:sz w:val="20"/>
        </w:rPr>
        <w:tab/>
      </w:r>
      <w:r w:rsidR="00964B0B">
        <w:rPr>
          <w:rFonts w:eastAsia="Times New Roman"/>
          <w:b/>
          <w:color w:val="000000"/>
          <w:szCs w:val="24"/>
          <w:lang w:eastAsia="en-AU"/>
        </w:rPr>
        <w:t>First</w:t>
      </w:r>
      <w:r w:rsidR="00964B0B" w:rsidRPr="00964B0B">
        <w:rPr>
          <w:rFonts w:eastAsia="Times New Roman"/>
          <w:color w:val="000000"/>
          <w:szCs w:val="24"/>
          <w:lang w:eastAsia="en-AU"/>
        </w:rPr>
        <w:t>,</w:t>
      </w:r>
      <w:r w:rsidR="00964B0B">
        <w:rPr>
          <w:rFonts w:eastAsia="Times New Roman"/>
          <w:color w:val="000000"/>
          <w:szCs w:val="24"/>
          <w:lang w:eastAsia="en-AU"/>
        </w:rPr>
        <w:t xml:space="preserve"> </w:t>
      </w:r>
      <w:r w:rsidR="00CC5DB4">
        <w:rPr>
          <w:rFonts w:eastAsia="Times New Roman"/>
          <w:color w:val="000000"/>
          <w:szCs w:val="24"/>
          <w:lang w:eastAsia="en-AU"/>
        </w:rPr>
        <w:t>the Packaging R</w:t>
      </w:r>
      <w:r w:rsidR="00972EF8">
        <w:rPr>
          <w:rFonts w:eastAsia="Times New Roman"/>
          <w:color w:val="000000"/>
          <w:szCs w:val="24"/>
          <w:lang w:eastAsia="en-AU"/>
        </w:rPr>
        <w:t xml:space="preserve">epresentations admitted, and </w:t>
      </w:r>
      <w:r w:rsidR="00AF2E8D">
        <w:rPr>
          <w:rFonts w:eastAsia="Times New Roman"/>
          <w:color w:val="000000"/>
          <w:szCs w:val="24"/>
          <w:lang w:eastAsia="en-AU"/>
        </w:rPr>
        <w:t xml:space="preserve">I </w:t>
      </w:r>
      <w:r w:rsidR="00972EF8">
        <w:rPr>
          <w:rFonts w:eastAsia="Times New Roman"/>
          <w:color w:val="000000"/>
          <w:szCs w:val="24"/>
          <w:lang w:eastAsia="en-AU"/>
        </w:rPr>
        <w:t>found,</w:t>
      </w:r>
      <w:r w:rsidR="00CC5DB4">
        <w:rPr>
          <w:rFonts w:eastAsia="Times New Roman"/>
          <w:color w:val="000000"/>
          <w:szCs w:val="24"/>
          <w:lang w:eastAsia="en-AU"/>
        </w:rPr>
        <w:t xml:space="preserve"> </w:t>
      </w:r>
      <w:r w:rsidR="002C5269">
        <w:rPr>
          <w:rFonts w:eastAsia="Times New Roman"/>
          <w:color w:val="000000"/>
          <w:szCs w:val="24"/>
          <w:lang w:eastAsia="en-AU"/>
        </w:rPr>
        <w:t>that</w:t>
      </w:r>
      <w:r w:rsidR="00CC5DB4">
        <w:rPr>
          <w:rFonts w:eastAsia="Times New Roman"/>
          <w:color w:val="000000"/>
          <w:szCs w:val="24"/>
          <w:lang w:eastAsia="en-AU"/>
        </w:rPr>
        <w:t xml:space="preserve"> the products in the Nurofen Specific Pain Range </w:t>
      </w:r>
      <w:r w:rsidR="002C5269">
        <w:rPr>
          <w:rFonts w:eastAsia="Times New Roman"/>
          <w:color w:val="000000"/>
          <w:szCs w:val="24"/>
          <w:lang w:eastAsia="en-AU"/>
        </w:rPr>
        <w:t xml:space="preserve">contained </w:t>
      </w:r>
      <w:r w:rsidR="00CC5DB4">
        <w:rPr>
          <w:rFonts w:eastAsia="Times New Roman"/>
          <w:color w:val="000000"/>
          <w:szCs w:val="24"/>
          <w:lang w:eastAsia="en-AU"/>
        </w:rPr>
        <w:t xml:space="preserve">functionally identical statements (other than the two statements as to dosage which, by themselves, would not have been contraventions) </w:t>
      </w:r>
      <w:r w:rsidR="002C5269">
        <w:rPr>
          <w:rFonts w:eastAsia="Times New Roman"/>
          <w:color w:val="000000"/>
          <w:szCs w:val="24"/>
          <w:lang w:eastAsia="en-AU"/>
        </w:rPr>
        <w:t xml:space="preserve">which gave </w:t>
      </w:r>
      <w:r w:rsidR="00CC5DB4">
        <w:rPr>
          <w:rFonts w:eastAsia="Times New Roman"/>
          <w:color w:val="000000"/>
          <w:szCs w:val="24"/>
          <w:lang w:eastAsia="en-AU"/>
        </w:rPr>
        <w:t xml:space="preserve">rise to two </w:t>
      </w:r>
      <w:r w:rsidR="00EC21AF">
        <w:rPr>
          <w:rFonts w:eastAsia="Times New Roman"/>
          <w:color w:val="000000"/>
          <w:szCs w:val="24"/>
          <w:lang w:eastAsia="en-AU"/>
        </w:rPr>
        <w:t xml:space="preserve">closely related </w:t>
      </w:r>
      <w:r w:rsidR="00CC5DB4">
        <w:rPr>
          <w:rFonts w:eastAsia="Times New Roman"/>
          <w:color w:val="000000"/>
          <w:szCs w:val="24"/>
          <w:lang w:eastAsia="en-AU"/>
        </w:rPr>
        <w:t>representations</w:t>
      </w:r>
      <w:r w:rsidR="008229BA" w:rsidRPr="008229BA">
        <w:rPr>
          <w:rFonts w:eastAsia="Times New Roman"/>
          <w:color w:val="000000"/>
          <w:szCs w:val="24"/>
          <w:lang w:eastAsia="en-AU"/>
        </w:rPr>
        <w:t xml:space="preserve"> </w:t>
      </w:r>
      <w:r w:rsidR="008229BA">
        <w:rPr>
          <w:rFonts w:eastAsia="Times New Roman"/>
          <w:color w:val="000000"/>
          <w:szCs w:val="24"/>
          <w:lang w:eastAsia="en-AU"/>
        </w:rPr>
        <w:t>which were identical over the four products</w:t>
      </w:r>
      <w:r w:rsidR="00CC5DB4">
        <w:rPr>
          <w:rFonts w:eastAsia="Times New Roman"/>
          <w:color w:val="000000"/>
          <w:szCs w:val="24"/>
          <w:lang w:eastAsia="en-AU"/>
        </w:rPr>
        <w:t xml:space="preserve">. </w:t>
      </w:r>
      <w:r w:rsidR="008229BA">
        <w:rPr>
          <w:rFonts w:eastAsia="Times New Roman"/>
          <w:color w:val="000000"/>
          <w:szCs w:val="24"/>
          <w:lang w:eastAsia="en-AU"/>
        </w:rPr>
        <w:t xml:space="preserve">The two identical representations were misleading for the same reasons across all four products. </w:t>
      </w:r>
      <w:r w:rsidR="00CC5DB4">
        <w:rPr>
          <w:rFonts w:eastAsia="Times New Roman"/>
          <w:color w:val="000000"/>
          <w:szCs w:val="24"/>
          <w:lang w:eastAsia="en-AU"/>
        </w:rPr>
        <w:t>It was not submitted by the ACCC that the two closely related representations, dependent upon the same facts, formed two different courses of conduct.</w:t>
      </w:r>
    </w:p>
    <w:p w:rsidR="00EC21AF" w:rsidRPr="00EC21AF" w:rsidRDefault="00F97B9D" w:rsidP="00F97B9D">
      <w:pPr>
        <w:pStyle w:val="ParaNumbering"/>
        <w:numPr>
          <w:ilvl w:val="0"/>
          <w:numId w:val="0"/>
        </w:numPr>
        <w:ind w:hanging="720"/>
      </w:pPr>
      <w:r w:rsidRPr="00EC21AF">
        <w:rPr>
          <w:sz w:val="20"/>
        </w:rPr>
        <w:t>35</w:t>
      </w:r>
      <w:r w:rsidRPr="00EC21AF">
        <w:rPr>
          <w:sz w:val="20"/>
        </w:rPr>
        <w:tab/>
      </w:r>
      <w:r w:rsidR="00CC5DB4" w:rsidRPr="00CC5DB4">
        <w:rPr>
          <w:rFonts w:eastAsia="Times New Roman"/>
          <w:b/>
          <w:color w:val="000000"/>
          <w:szCs w:val="24"/>
          <w:lang w:eastAsia="en-AU"/>
        </w:rPr>
        <w:t>Secondly</w:t>
      </w:r>
      <w:r w:rsidR="00CC5DB4">
        <w:rPr>
          <w:rFonts w:eastAsia="Times New Roman"/>
          <w:color w:val="000000"/>
          <w:szCs w:val="24"/>
          <w:lang w:eastAsia="en-AU"/>
        </w:rPr>
        <w:t xml:space="preserve">, the </w:t>
      </w:r>
      <w:r w:rsidR="00EC21AF">
        <w:rPr>
          <w:rFonts w:eastAsia="Times New Roman"/>
          <w:color w:val="000000"/>
          <w:szCs w:val="24"/>
          <w:lang w:eastAsia="en-AU"/>
        </w:rPr>
        <w:t>conduct involved in Reckitt Benckiser’s making of the Packaging Representations was very closely related. It was the process of packaging the related products as part of a single, and inter-related</w:t>
      </w:r>
      <w:r w:rsidR="002C5269">
        <w:rPr>
          <w:rFonts w:eastAsia="Times New Roman"/>
          <w:color w:val="000000"/>
          <w:szCs w:val="24"/>
          <w:lang w:eastAsia="en-AU"/>
        </w:rPr>
        <w:t>,</w:t>
      </w:r>
      <w:r w:rsidR="00EC21AF">
        <w:rPr>
          <w:rFonts w:eastAsia="Times New Roman"/>
          <w:color w:val="000000"/>
          <w:szCs w:val="24"/>
          <w:lang w:eastAsia="en-AU"/>
        </w:rPr>
        <w:t xml:space="preserve"> marketing strategy.</w:t>
      </w:r>
    </w:p>
    <w:p w:rsidR="007B6BF5" w:rsidRPr="007B6BF5" w:rsidRDefault="00F97B9D" w:rsidP="00F97B9D">
      <w:pPr>
        <w:pStyle w:val="ParaNumbering"/>
        <w:numPr>
          <w:ilvl w:val="0"/>
          <w:numId w:val="0"/>
        </w:numPr>
        <w:ind w:hanging="720"/>
      </w:pPr>
      <w:r w:rsidRPr="007B6BF5">
        <w:rPr>
          <w:sz w:val="20"/>
        </w:rPr>
        <w:lastRenderedPageBreak/>
        <w:t>36</w:t>
      </w:r>
      <w:r w:rsidRPr="007B6BF5">
        <w:rPr>
          <w:sz w:val="20"/>
        </w:rPr>
        <w:tab/>
      </w:r>
      <w:r w:rsidR="00EC21AF" w:rsidRPr="00EC21AF">
        <w:rPr>
          <w:rFonts w:eastAsia="Times New Roman"/>
          <w:b/>
          <w:color w:val="000000"/>
          <w:szCs w:val="24"/>
          <w:lang w:eastAsia="en-AU"/>
        </w:rPr>
        <w:t>Thirdly</w:t>
      </w:r>
      <w:r w:rsidR="00EC21AF">
        <w:rPr>
          <w:rFonts w:eastAsia="Times New Roman"/>
          <w:color w:val="000000"/>
          <w:szCs w:val="24"/>
          <w:lang w:eastAsia="en-AU"/>
        </w:rPr>
        <w:t xml:space="preserve">, the </w:t>
      </w:r>
      <w:r w:rsidR="00CC5DB4">
        <w:rPr>
          <w:rFonts w:eastAsia="Times New Roman"/>
          <w:color w:val="000000"/>
          <w:szCs w:val="24"/>
          <w:lang w:eastAsia="en-AU"/>
        </w:rPr>
        <w:t xml:space="preserve">Packaging Representations </w:t>
      </w:r>
      <w:r w:rsidR="00EC21AF">
        <w:rPr>
          <w:rFonts w:eastAsia="Times New Roman"/>
          <w:color w:val="000000"/>
          <w:szCs w:val="24"/>
          <w:lang w:eastAsia="en-AU"/>
        </w:rPr>
        <w:t xml:space="preserve">which were </w:t>
      </w:r>
      <w:r w:rsidR="00CC5DB4">
        <w:rPr>
          <w:rFonts w:eastAsia="Times New Roman"/>
          <w:color w:val="000000"/>
          <w:szCs w:val="24"/>
          <w:lang w:eastAsia="en-AU"/>
        </w:rPr>
        <w:t xml:space="preserve">admitted, and </w:t>
      </w:r>
      <w:r w:rsidR="00AF2E8D">
        <w:rPr>
          <w:rFonts w:eastAsia="Times New Roman"/>
          <w:color w:val="000000"/>
          <w:szCs w:val="24"/>
          <w:lang w:eastAsia="en-AU"/>
        </w:rPr>
        <w:t xml:space="preserve">which I </w:t>
      </w:r>
      <w:r w:rsidR="00CC5DB4">
        <w:rPr>
          <w:rFonts w:eastAsia="Times New Roman"/>
          <w:color w:val="000000"/>
          <w:szCs w:val="24"/>
          <w:lang w:eastAsia="en-AU"/>
        </w:rPr>
        <w:t>found</w:t>
      </w:r>
      <w:r w:rsidR="00EC21AF">
        <w:rPr>
          <w:rFonts w:eastAsia="Times New Roman"/>
          <w:color w:val="000000"/>
          <w:szCs w:val="24"/>
          <w:lang w:eastAsia="en-AU"/>
        </w:rPr>
        <w:t xml:space="preserve"> </w:t>
      </w:r>
      <w:r w:rsidR="00AF2E8D">
        <w:rPr>
          <w:rFonts w:eastAsia="Times New Roman"/>
          <w:color w:val="000000"/>
          <w:szCs w:val="24"/>
          <w:lang w:eastAsia="en-AU"/>
        </w:rPr>
        <w:t>had</w:t>
      </w:r>
      <w:r w:rsidR="00EC21AF">
        <w:rPr>
          <w:rFonts w:eastAsia="Times New Roman"/>
          <w:color w:val="000000"/>
          <w:szCs w:val="24"/>
          <w:lang w:eastAsia="en-AU"/>
        </w:rPr>
        <w:t xml:space="preserve"> been made</w:t>
      </w:r>
      <w:r w:rsidR="00CC5DB4">
        <w:rPr>
          <w:rFonts w:eastAsia="Times New Roman"/>
          <w:color w:val="000000"/>
          <w:szCs w:val="24"/>
          <w:lang w:eastAsia="en-AU"/>
        </w:rPr>
        <w:t xml:space="preserve">, concerned </w:t>
      </w:r>
      <w:r w:rsidR="00972EF8">
        <w:rPr>
          <w:rFonts w:eastAsia="Times New Roman"/>
          <w:color w:val="000000"/>
          <w:szCs w:val="24"/>
          <w:lang w:eastAsia="en-AU"/>
        </w:rPr>
        <w:t xml:space="preserve">each product in </w:t>
      </w:r>
      <w:r w:rsidR="00972EF8" w:rsidRPr="00972EF8">
        <w:rPr>
          <w:rFonts w:eastAsia="Times New Roman"/>
          <w:color w:val="000000"/>
          <w:szCs w:val="24"/>
          <w:lang w:eastAsia="en-AU"/>
        </w:rPr>
        <w:t>the Nurofen Specific Pain</w:t>
      </w:r>
      <w:r w:rsidR="00972EF8" w:rsidRPr="00972EF8">
        <w:rPr>
          <w:rFonts w:eastAsia="Times New Roman"/>
          <w:i/>
          <w:color w:val="000000"/>
          <w:szCs w:val="24"/>
          <w:lang w:eastAsia="en-AU"/>
        </w:rPr>
        <w:t xml:space="preserve"> Range</w:t>
      </w:r>
      <w:r w:rsidR="00972EF8">
        <w:rPr>
          <w:rFonts w:eastAsia="Times New Roman"/>
          <w:color w:val="000000"/>
          <w:szCs w:val="24"/>
          <w:lang w:eastAsia="en-AU"/>
        </w:rPr>
        <w:t>. Nurofen’s representations were relied upon by the ACCC</w:t>
      </w:r>
      <w:r w:rsidR="00CC5DB4">
        <w:rPr>
          <w:rFonts w:eastAsia="Times New Roman"/>
          <w:color w:val="000000"/>
          <w:szCs w:val="24"/>
          <w:lang w:eastAsia="en-AU"/>
        </w:rPr>
        <w:t>, and found by me to be contraventions,</w:t>
      </w:r>
      <w:r w:rsidR="00972EF8">
        <w:rPr>
          <w:rFonts w:eastAsia="Times New Roman"/>
          <w:color w:val="000000"/>
          <w:szCs w:val="24"/>
          <w:lang w:eastAsia="en-AU"/>
        </w:rPr>
        <w:t xml:space="preserve"> not merely for their character as representations on each of the four products but for their character as representations </w:t>
      </w:r>
      <w:r w:rsidR="00CC5DB4">
        <w:rPr>
          <w:rFonts w:eastAsia="Times New Roman"/>
          <w:color w:val="000000"/>
          <w:szCs w:val="24"/>
          <w:lang w:eastAsia="en-AU"/>
        </w:rPr>
        <w:t>over</w:t>
      </w:r>
      <w:r w:rsidR="00972EF8">
        <w:rPr>
          <w:rFonts w:eastAsia="Times New Roman"/>
          <w:color w:val="000000"/>
          <w:szCs w:val="24"/>
          <w:lang w:eastAsia="en-AU"/>
        </w:rPr>
        <w:t xml:space="preserve"> the </w:t>
      </w:r>
      <w:r w:rsidR="00972EF8" w:rsidRPr="00947AA3">
        <w:rPr>
          <w:rFonts w:eastAsia="Times New Roman"/>
          <w:i/>
          <w:color w:val="000000"/>
          <w:szCs w:val="24"/>
          <w:lang w:eastAsia="en-AU"/>
        </w:rPr>
        <w:t xml:space="preserve">range </w:t>
      </w:r>
      <w:r w:rsidR="00972EF8">
        <w:rPr>
          <w:rFonts w:eastAsia="Times New Roman"/>
          <w:color w:val="000000"/>
          <w:szCs w:val="24"/>
          <w:lang w:eastAsia="en-AU"/>
        </w:rPr>
        <w:t>of four products.</w:t>
      </w:r>
    </w:p>
    <w:p w:rsidR="00964B0B" w:rsidRPr="00666B11" w:rsidRDefault="00F97B9D" w:rsidP="00F97B9D">
      <w:pPr>
        <w:pStyle w:val="ParaNumbering"/>
        <w:numPr>
          <w:ilvl w:val="0"/>
          <w:numId w:val="0"/>
        </w:numPr>
        <w:ind w:hanging="720"/>
      </w:pPr>
      <w:r w:rsidRPr="00666B11">
        <w:rPr>
          <w:sz w:val="20"/>
        </w:rPr>
        <w:t>37</w:t>
      </w:r>
      <w:r w:rsidRPr="00666B11">
        <w:rPr>
          <w:sz w:val="20"/>
        </w:rPr>
        <w:tab/>
      </w:r>
      <w:r w:rsidR="00EC21AF">
        <w:rPr>
          <w:rFonts w:eastAsia="Times New Roman"/>
          <w:b/>
          <w:color w:val="000000"/>
          <w:szCs w:val="24"/>
          <w:lang w:eastAsia="en-AU"/>
        </w:rPr>
        <w:t>Fourth</w:t>
      </w:r>
      <w:r w:rsidR="00332083">
        <w:rPr>
          <w:rFonts w:eastAsia="Times New Roman"/>
          <w:b/>
          <w:color w:val="000000"/>
          <w:szCs w:val="24"/>
          <w:lang w:eastAsia="en-AU"/>
        </w:rPr>
        <w:t>ly</w:t>
      </w:r>
      <w:r w:rsidR="00332083" w:rsidRPr="00332083">
        <w:rPr>
          <w:rFonts w:eastAsia="Times New Roman"/>
          <w:color w:val="000000"/>
          <w:szCs w:val="24"/>
          <w:lang w:eastAsia="en-AU"/>
        </w:rPr>
        <w:t>,</w:t>
      </w:r>
      <w:r w:rsidR="00332083" w:rsidRPr="0064487D">
        <w:rPr>
          <w:rFonts w:eastAsia="Times New Roman"/>
          <w:color w:val="000000"/>
          <w:szCs w:val="24"/>
          <w:lang w:eastAsia="en-AU"/>
        </w:rPr>
        <w:t xml:space="preserve"> </w:t>
      </w:r>
      <w:r w:rsidR="00972EF8">
        <w:rPr>
          <w:rFonts w:eastAsia="Times New Roman"/>
          <w:color w:val="000000"/>
          <w:szCs w:val="24"/>
          <w:lang w:eastAsia="en-AU"/>
        </w:rPr>
        <w:t xml:space="preserve">the ACCC’s pleaded case in its Fast Track Statement </w:t>
      </w:r>
      <w:r w:rsidR="00CC5DB4">
        <w:rPr>
          <w:rFonts w:eastAsia="Times New Roman"/>
          <w:color w:val="000000"/>
          <w:szCs w:val="24"/>
          <w:lang w:eastAsia="en-AU"/>
        </w:rPr>
        <w:t>in relation to the Packaging R</w:t>
      </w:r>
      <w:r w:rsidR="00972EF8">
        <w:rPr>
          <w:rFonts w:eastAsia="Times New Roman"/>
          <w:color w:val="000000"/>
          <w:szCs w:val="24"/>
          <w:lang w:eastAsia="en-AU"/>
        </w:rPr>
        <w:t xml:space="preserve">epresentations was a pleading of representations in relation to </w:t>
      </w:r>
      <w:r w:rsidR="00CC5DB4">
        <w:rPr>
          <w:rFonts w:eastAsia="Times New Roman"/>
          <w:color w:val="000000"/>
          <w:szCs w:val="24"/>
          <w:lang w:eastAsia="en-AU"/>
        </w:rPr>
        <w:t xml:space="preserve">statements on </w:t>
      </w:r>
      <w:r w:rsidR="00972EF8">
        <w:rPr>
          <w:rFonts w:eastAsia="Times New Roman"/>
          <w:color w:val="000000"/>
          <w:szCs w:val="24"/>
          <w:lang w:eastAsia="en-AU"/>
        </w:rPr>
        <w:t>each Nurofen Specific Pain Range product</w:t>
      </w:r>
      <w:r w:rsidR="00CC5DB4">
        <w:rPr>
          <w:rFonts w:eastAsia="Times New Roman"/>
          <w:color w:val="000000"/>
          <w:szCs w:val="24"/>
          <w:lang w:eastAsia="en-AU"/>
        </w:rPr>
        <w:t xml:space="preserve"> </w:t>
      </w:r>
      <w:r w:rsidR="008E690E">
        <w:rPr>
          <w:rFonts w:eastAsia="Times New Roman"/>
          <w:i/>
          <w:color w:val="000000"/>
          <w:szCs w:val="24"/>
          <w:lang w:eastAsia="en-AU"/>
        </w:rPr>
        <w:t>together with</w:t>
      </w:r>
      <w:r w:rsidR="00CC5DB4">
        <w:rPr>
          <w:rFonts w:eastAsia="Times New Roman"/>
          <w:i/>
          <w:color w:val="000000"/>
          <w:szCs w:val="24"/>
          <w:lang w:eastAsia="en-AU"/>
        </w:rPr>
        <w:t xml:space="preserve"> </w:t>
      </w:r>
      <w:r w:rsidR="00CC5DB4">
        <w:rPr>
          <w:rFonts w:eastAsia="Times New Roman"/>
          <w:color w:val="000000"/>
          <w:szCs w:val="24"/>
          <w:lang w:eastAsia="en-AU"/>
        </w:rPr>
        <w:t xml:space="preserve">statements on </w:t>
      </w:r>
      <w:r w:rsidR="008E690E">
        <w:rPr>
          <w:rFonts w:eastAsia="Times New Roman"/>
          <w:color w:val="000000"/>
          <w:szCs w:val="24"/>
          <w:lang w:eastAsia="en-AU"/>
        </w:rPr>
        <w:t>the other Nurofen Specific Pain Range products</w:t>
      </w:r>
      <w:r w:rsidR="00972EF8">
        <w:rPr>
          <w:rFonts w:eastAsia="Times New Roman"/>
          <w:color w:val="000000"/>
          <w:szCs w:val="24"/>
          <w:lang w:eastAsia="en-AU"/>
        </w:rPr>
        <w:t xml:space="preserve">. </w:t>
      </w:r>
      <w:r w:rsidR="00CC5DB4" w:rsidRPr="00947AA3">
        <w:rPr>
          <w:rFonts w:eastAsia="Times New Roman"/>
          <w:color w:val="000000"/>
          <w:szCs w:val="24"/>
          <w:lang w:eastAsia="en-AU"/>
        </w:rPr>
        <w:t>My</w:t>
      </w:r>
      <w:r w:rsidR="00CC5DB4">
        <w:rPr>
          <w:rFonts w:eastAsia="Times New Roman"/>
          <w:color w:val="000000"/>
          <w:szCs w:val="24"/>
          <w:lang w:eastAsia="en-AU"/>
        </w:rPr>
        <w:t xml:space="preserve"> findings were based upon those</w:t>
      </w:r>
      <w:r w:rsidR="00972EF8" w:rsidRPr="00332083">
        <w:rPr>
          <w:rFonts w:eastAsia="Times New Roman"/>
          <w:color w:val="000000"/>
          <w:szCs w:val="24"/>
          <w:lang w:eastAsia="en-AU"/>
        </w:rPr>
        <w:t xml:space="preserve"> particulars of the packaging representations </w:t>
      </w:r>
      <w:r w:rsidR="00972EF8">
        <w:rPr>
          <w:rFonts w:eastAsia="Times New Roman"/>
          <w:color w:val="000000"/>
          <w:szCs w:val="24"/>
          <w:lang w:eastAsia="en-AU"/>
        </w:rPr>
        <w:t xml:space="preserve">which </w:t>
      </w:r>
      <w:r w:rsidR="00972EF8" w:rsidRPr="00332083">
        <w:rPr>
          <w:rFonts w:eastAsia="Times New Roman"/>
          <w:color w:val="000000"/>
          <w:szCs w:val="24"/>
          <w:lang w:eastAsia="en-AU"/>
        </w:rPr>
        <w:t xml:space="preserve">included the contrast in the different colours used for each product in the Nurofen Specific Pain Range and the “manner and location of the display” of the </w:t>
      </w:r>
      <w:r w:rsidR="00CC5DB4">
        <w:rPr>
          <w:rFonts w:eastAsia="Times New Roman"/>
          <w:color w:val="000000"/>
          <w:szCs w:val="24"/>
          <w:lang w:eastAsia="en-AU"/>
        </w:rPr>
        <w:t xml:space="preserve">four </w:t>
      </w:r>
      <w:r w:rsidR="00972EF8" w:rsidRPr="00332083">
        <w:rPr>
          <w:rFonts w:eastAsia="Times New Roman"/>
          <w:color w:val="000000"/>
          <w:szCs w:val="24"/>
          <w:lang w:eastAsia="en-AU"/>
        </w:rPr>
        <w:t>products in retail stores where those products were displayed together.</w:t>
      </w:r>
      <w:r w:rsidR="00666B11">
        <w:rPr>
          <w:rFonts w:eastAsia="Times New Roman"/>
          <w:color w:val="000000"/>
          <w:szCs w:val="24"/>
          <w:lang w:eastAsia="en-AU"/>
        </w:rPr>
        <w:t xml:space="preserve"> </w:t>
      </w:r>
      <w:r w:rsidR="00947AA3">
        <w:rPr>
          <w:rFonts w:eastAsia="Times New Roman"/>
          <w:color w:val="000000"/>
          <w:szCs w:val="24"/>
          <w:lang w:eastAsia="en-AU"/>
        </w:rPr>
        <w:t>During this hearing, senior counsel for the ACCC gave a powerful example of the interrelated nature of the statements which reinforced their misleading quality. This was that the products were typically displayed together in st</w:t>
      </w:r>
      <w:r w:rsidR="00AF2E8D">
        <w:rPr>
          <w:rFonts w:eastAsia="Times New Roman"/>
          <w:color w:val="000000"/>
          <w:szCs w:val="24"/>
          <w:lang w:eastAsia="en-AU"/>
        </w:rPr>
        <w:t>ores</w:t>
      </w:r>
      <w:r w:rsidR="00947AA3">
        <w:rPr>
          <w:rFonts w:eastAsia="Times New Roman"/>
          <w:color w:val="000000"/>
          <w:szCs w:val="24"/>
          <w:lang w:eastAsia="en-AU"/>
        </w:rPr>
        <w:t xml:space="preserve"> and </w:t>
      </w:r>
      <w:r w:rsidR="00AF2E8D">
        <w:rPr>
          <w:rFonts w:eastAsia="Times New Roman"/>
          <w:color w:val="000000"/>
          <w:szCs w:val="24"/>
          <w:lang w:eastAsia="en-AU"/>
        </w:rPr>
        <w:t xml:space="preserve">were </w:t>
      </w:r>
      <w:r w:rsidR="00947AA3">
        <w:rPr>
          <w:rFonts w:eastAsia="Times New Roman"/>
          <w:color w:val="000000"/>
          <w:szCs w:val="24"/>
          <w:lang w:eastAsia="en-AU"/>
        </w:rPr>
        <w:t xml:space="preserve">intended by Reckitt Benckiser to be displayed together. This reinforced the representation that each product was specifically formulated to treat a particular type of pain. </w:t>
      </w:r>
      <w:r w:rsidR="000C0BE3">
        <w:rPr>
          <w:rFonts w:eastAsia="Times New Roman"/>
          <w:color w:val="000000"/>
          <w:szCs w:val="24"/>
          <w:lang w:eastAsia="en-AU"/>
        </w:rPr>
        <w:t xml:space="preserve">Senior counsel for the ACCC also submitted, and I accept, that approval for the products given by organisations such as </w:t>
      </w:r>
      <w:r w:rsidR="00217616">
        <w:rPr>
          <w:rFonts w:eastAsia="Times New Roman"/>
          <w:color w:val="000000"/>
          <w:szCs w:val="24"/>
          <w:lang w:eastAsia="en-AU"/>
        </w:rPr>
        <w:t xml:space="preserve">the </w:t>
      </w:r>
      <w:r w:rsidR="000C0BE3">
        <w:rPr>
          <w:rFonts w:eastAsia="Times New Roman"/>
          <w:color w:val="000000"/>
          <w:szCs w:val="24"/>
          <w:lang w:eastAsia="en-AU"/>
        </w:rPr>
        <w:t xml:space="preserve">TGA was </w:t>
      </w:r>
      <w:r w:rsidR="000C0BE3">
        <w:rPr>
          <w:rFonts w:eastAsia="Times New Roman"/>
          <w:i/>
          <w:color w:val="000000"/>
          <w:szCs w:val="24"/>
          <w:lang w:eastAsia="en-AU"/>
        </w:rPr>
        <w:t xml:space="preserve">individual </w:t>
      </w:r>
      <w:r w:rsidR="000C0BE3">
        <w:rPr>
          <w:rFonts w:eastAsia="Times New Roman"/>
          <w:color w:val="000000"/>
          <w:szCs w:val="24"/>
          <w:lang w:eastAsia="en-AU"/>
        </w:rPr>
        <w:t xml:space="preserve">approval and that the TGA did not consider whether the products, when considered </w:t>
      </w:r>
      <w:r w:rsidR="000C0BE3">
        <w:rPr>
          <w:rFonts w:eastAsia="Times New Roman"/>
          <w:i/>
          <w:color w:val="000000"/>
          <w:szCs w:val="24"/>
          <w:lang w:eastAsia="en-AU"/>
        </w:rPr>
        <w:t xml:space="preserve">collectively, </w:t>
      </w:r>
      <w:r w:rsidR="000C0BE3">
        <w:rPr>
          <w:rFonts w:eastAsia="Times New Roman"/>
          <w:color w:val="000000"/>
          <w:szCs w:val="24"/>
          <w:lang w:eastAsia="en-AU"/>
        </w:rPr>
        <w:t>involved misrepresentations (ts 85-86).</w:t>
      </w:r>
    </w:p>
    <w:p w:rsidR="004B3671" w:rsidRDefault="00F97B9D" w:rsidP="00F97B9D">
      <w:pPr>
        <w:pStyle w:val="ParaNumbering"/>
        <w:numPr>
          <w:ilvl w:val="0"/>
          <w:numId w:val="0"/>
        </w:numPr>
        <w:ind w:hanging="720"/>
      </w:pPr>
      <w:r>
        <w:rPr>
          <w:sz w:val="20"/>
        </w:rPr>
        <w:t>38</w:t>
      </w:r>
      <w:r>
        <w:rPr>
          <w:sz w:val="20"/>
        </w:rPr>
        <w:tab/>
      </w:r>
      <w:r w:rsidR="00AE3B99">
        <w:t>It is less clear whether t</w:t>
      </w:r>
      <w:r w:rsidR="00CC5DB4">
        <w:t>he Website Representations</w:t>
      </w:r>
      <w:r w:rsidR="00AE3B99">
        <w:t xml:space="preserve"> relevantly involved one course of conduct or two. On the one hand, there were different statements made on the Specific Pain Relief page and the Product Comparator page. But, on the other hand, (i) the two pages were part of a single Nurofen </w:t>
      </w:r>
      <w:r w:rsidR="00710110">
        <w:t>w</w:t>
      </w:r>
      <w:r w:rsidR="00AE3B99">
        <w:t xml:space="preserve">ebsite, (ii) the </w:t>
      </w:r>
      <w:r w:rsidR="00EC21AF">
        <w:t xml:space="preserve">statements made </w:t>
      </w:r>
      <w:r w:rsidR="00AE3B99">
        <w:t>the same representations over both those pages</w:t>
      </w:r>
      <w:r w:rsidR="00EC21AF">
        <w:t xml:space="preserve"> and involved very closely related conduct</w:t>
      </w:r>
      <w:r w:rsidR="00AE3B99">
        <w:t>, (iii) t</w:t>
      </w:r>
      <w:r w:rsidR="00EB2E66">
        <w:t>he representations were misleading fo</w:t>
      </w:r>
      <w:r w:rsidR="00AE3B99">
        <w:t>r the same single set of reasons, and (iv) the pleaded and admitted case, and the contraventions found, were that the representations were misleading due to the effect of the statements on both the Specific Pain Relief page and the Product Comparator page</w:t>
      </w:r>
      <w:r w:rsidR="00EC21AF">
        <w:t xml:space="preserve">. At the </w:t>
      </w:r>
      <w:r w:rsidR="00A36EB6">
        <w:t>appropriate</w:t>
      </w:r>
      <w:r w:rsidR="00AF2E8D">
        <w:t xml:space="preserve"> level of generality</w:t>
      </w:r>
      <w:r w:rsidR="00EC21AF">
        <w:t xml:space="preserve"> Reckitt Benckiser’s conduct in making the Website Representations involved a single course</w:t>
      </w:r>
      <w:r w:rsidR="002C5269">
        <w:t xml:space="preserve"> of conduct</w:t>
      </w:r>
      <w:r w:rsidR="00EC21AF">
        <w:t>.</w:t>
      </w:r>
    </w:p>
    <w:p w:rsidR="004B3671" w:rsidRDefault="00D44129" w:rsidP="004B3671">
      <w:pPr>
        <w:pStyle w:val="Heading3"/>
      </w:pPr>
      <w:bookmarkStart w:id="40" w:name="_Ref448644425"/>
      <w:r>
        <w:lastRenderedPageBreak/>
        <w:t>Specific and g</w:t>
      </w:r>
      <w:r w:rsidR="004B3671">
        <w:t>eneral deterrence</w:t>
      </w:r>
      <w:bookmarkEnd w:id="40"/>
    </w:p>
    <w:p w:rsidR="0053624D" w:rsidRDefault="00F97B9D" w:rsidP="00F97B9D">
      <w:pPr>
        <w:pStyle w:val="ParaNumbering"/>
        <w:numPr>
          <w:ilvl w:val="0"/>
          <w:numId w:val="0"/>
        </w:numPr>
        <w:ind w:hanging="720"/>
      </w:pPr>
      <w:r>
        <w:rPr>
          <w:sz w:val="20"/>
        </w:rPr>
        <w:t>39</w:t>
      </w:r>
      <w:r>
        <w:rPr>
          <w:sz w:val="20"/>
        </w:rPr>
        <w:tab/>
      </w:r>
      <w:r w:rsidR="00F51C61">
        <w:rPr>
          <w:iCs/>
        </w:rPr>
        <w:t xml:space="preserve">It is well established that considerations of specific and general deterrence are vital in the assessment of pecuniary penalties. In </w:t>
      </w:r>
      <w:r w:rsidR="00C65245" w:rsidRPr="00C65245">
        <w:rPr>
          <w:i/>
          <w:iCs/>
        </w:rPr>
        <w:t xml:space="preserve">Singtel Optus </w:t>
      </w:r>
      <w:r w:rsidR="00C65245" w:rsidRPr="00F51C61">
        <w:rPr>
          <w:i/>
          <w:iCs/>
        </w:rPr>
        <w:t>Pty Ltd v Australian Competition and Consumer Commission</w:t>
      </w:r>
      <w:r w:rsidR="00C65245" w:rsidRPr="00F51C61">
        <w:t xml:space="preserve"> [2012] FCAFC 20; (2012) 287 ALR 249, </w:t>
      </w:r>
      <w:r w:rsidR="002C5269">
        <w:t xml:space="preserve">265 </w:t>
      </w:r>
      <w:r w:rsidR="00C65245">
        <w:t>[62]</w:t>
      </w:r>
      <w:r w:rsidR="002C5269">
        <w:t>-[63]</w:t>
      </w:r>
      <w:r w:rsidR="00C65245">
        <w:t>, the Full Court of the Federal Court said that</w:t>
      </w:r>
      <w:r w:rsidR="00193051">
        <w:t>:</w:t>
      </w:r>
    </w:p>
    <w:p w:rsidR="00C65245" w:rsidRDefault="00C65245" w:rsidP="00C65245">
      <w:pPr>
        <w:pStyle w:val="Quote1"/>
      </w:pPr>
      <w:r>
        <w:t>There may be room for debate as to the proper place of deterrence in the punishment of some kinds of offences, such as crimes of passion; but in relation to offences of calculation by a corporation where the only punishment is a fine, the punishment must be fixed with a view to ensuring that the penalty is not such as to be regarded by that offender or others as an acceptable cost of doing business</w:t>
      </w:r>
      <w:r w:rsidR="002C5269">
        <w:t>…</w:t>
      </w:r>
      <w:r w:rsidR="002C5269" w:rsidRPr="002C5269">
        <w:t xml:space="preserve"> </w:t>
      </w:r>
      <w:r w:rsidR="002C5269">
        <w:t>t</w:t>
      </w:r>
      <w:r w:rsidR="002C5269" w:rsidRPr="00F51C61">
        <w:t>hose engaged in trade and commerce must be deterred from the cynical calculation involved in weighing up the risk of penalty against the profits to be made from contravention</w:t>
      </w:r>
    </w:p>
    <w:p w:rsidR="00F51C61" w:rsidRDefault="00F97B9D" w:rsidP="00F97B9D">
      <w:pPr>
        <w:pStyle w:val="ParaNumbering"/>
        <w:numPr>
          <w:ilvl w:val="0"/>
          <w:numId w:val="0"/>
        </w:numPr>
        <w:ind w:hanging="720"/>
      </w:pPr>
      <w:r>
        <w:rPr>
          <w:sz w:val="20"/>
        </w:rPr>
        <w:t>40</w:t>
      </w:r>
      <w:r>
        <w:rPr>
          <w:sz w:val="20"/>
        </w:rPr>
        <w:tab/>
      </w:r>
      <w:r w:rsidR="002C5269">
        <w:t>These comments were reiterated with approval i</w:t>
      </w:r>
      <w:r w:rsidR="00F51C61" w:rsidRPr="00F51C61">
        <w:t xml:space="preserve">n </w:t>
      </w:r>
      <w:r w:rsidR="00F51C61" w:rsidRPr="00F51C61">
        <w:rPr>
          <w:i/>
          <w:iCs/>
        </w:rPr>
        <w:t xml:space="preserve">Australian Competition and Consumer Commission v TPG Internet Pty Ltd </w:t>
      </w:r>
      <w:r w:rsidR="00F51C61" w:rsidRPr="00F51C61">
        <w:t>[2013] HCA 54; (2013) 250 CLR 640, 659 [66]</w:t>
      </w:r>
      <w:r w:rsidR="002C5269">
        <w:t xml:space="preserve"> (</w:t>
      </w:r>
      <w:r w:rsidR="00F51C61" w:rsidRPr="00F51C61">
        <w:t>French CJ, Crennan, Bell and Keane JJ</w:t>
      </w:r>
      <w:r w:rsidR="002C5269">
        <w:t>).</w:t>
      </w:r>
      <w:r w:rsidR="00F51C61">
        <w:t xml:space="preserve"> </w:t>
      </w:r>
    </w:p>
    <w:p w:rsidR="00124940" w:rsidRDefault="00F97B9D" w:rsidP="00F97B9D">
      <w:pPr>
        <w:pStyle w:val="ParaNumbering"/>
        <w:numPr>
          <w:ilvl w:val="0"/>
          <w:numId w:val="0"/>
        </w:numPr>
        <w:ind w:hanging="720"/>
      </w:pPr>
      <w:r>
        <w:rPr>
          <w:sz w:val="20"/>
        </w:rPr>
        <w:t>41</w:t>
      </w:r>
      <w:r>
        <w:rPr>
          <w:sz w:val="20"/>
        </w:rPr>
        <w:tab/>
      </w:r>
      <w:r w:rsidR="00124940">
        <w:t xml:space="preserve">There is a need for general deterrence of </w:t>
      </w:r>
      <w:r w:rsidR="002C5269">
        <w:t xml:space="preserve">s 33 </w:t>
      </w:r>
      <w:r w:rsidR="00124940">
        <w:t xml:space="preserve">contraventions by product packaging and marketing, particularly where companies should have adequate compliance programs in place (a point which is considered below). However, the ACCC submitted that there was a heightened need for general </w:t>
      </w:r>
      <w:r w:rsidR="004670BE">
        <w:t xml:space="preserve">and specific </w:t>
      </w:r>
      <w:r w:rsidR="00124940">
        <w:t>deterrence in this case for two reasons</w:t>
      </w:r>
      <w:r w:rsidR="004670BE">
        <w:t xml:space="preserve"> concerning current sales of analgesic products</w:t>
      </w:r>
      <w:r w:rsidR="00124940">
        <w:t>.</w:t>
      </w:r>
    </w:p>
    <w:p w:rsidR="004B3671" w:rsidRDefault="00F97B9D" w:rsidP="00F97B9D">
      <w:pPr>
        <w:pStyle w:val="ParaNumbering"/>
        <w:numPr>
          <w:ilvl w:val="0"/>
          <w:numId w:val="0"/>
        </w:numPr>
        <w:ind w:hanging="720"/>
      </w:pPr>
      <w:r>
        <w:rPr>
          <w:sz w:val="20"/>
        </w:rPr>
        <w:t>42</w:t>
      </w:r>
      <w:r>
        <w:rPr>
          <w:sz w:val="20"/>
        </w:rPr>
        <w:tab/>
      </w:r>
      <w:r w:rsidR="00F51C61" w:rsidRPr="0066079B">
        <w:rPr>
          <w:b/>
        </w:rPr>
        <w:t>First</w:t>
      </w:r>
      <w:r w:rsidR="00F51C61">
        <w:t>, the ACCC submitted that t</w:t>
      </w:r>
      <w:r w:rsidR="004B3671">
        <w:t xml:space="preserve">here are currently a number of </w:t>
      </w:r>
      <w:r w:rsidR="00AF2E8D">
        <w:t xml:space="preserve">other </w:t>
      </w:r>
      <w:r w:rsidR="004B3671">
        <w:t xml:space="preserve">analgesic products available for sale in retail outlets throughout Australia, </w:t>
      </w:r>
      <w:r w:rsidR="00AE52B3">
        <w:t xml:space="preserve">which employ similar marketing techniques. </w:t>
      </w:r>
      <w:r w:rsidR="00263243">
        <w:t xml:space="preserve">Essentially this was a submission that the need for general deterrence was heightened due to the proliferation of contravening conduct. I do not accept this submission for two reasons. The first is that the marketing of the products to which the ACCC referred </w:t>
      </w:r>
      <w:r w:rsidR="002C5269">
        <w:t xml:space="preserve">are </w:t>
      </w:r>
      <w:r w:rsidR="00AF2E8D">
        <w:t>not identical to, or nearly identical to,</w:t>
      </w:r>
      <w:r w:rsidR="00263243">
        <w:t xml:space="preserve"> the contraventions in this case. Secondly</w:t>
      </w:r>
      <w:r w:rsidR="002C5269">
        <w:t>,</w:t>
      </w:r>
      <w:r w:rsidR="00263243">
        <w:t xml:space="preserve"> a finding or an assumption that those other produ</w:t>
      </w:r>
      <w:r w:rsidR="00AF2E8D">
        <w:t>cts involve contraventions which</w:t>
      </w:r>
      <w:r w:rsidR="00263243">
        <w:t xml:space="preserve"> necessitate</w:t>
      </w:r>
      <w:r w:rsidR="00AF2E8D">
        <w:t>s</w:t>
      </w:r>
      <w:r w:rsidR="00263243">
        <w:t xml:space="preserve"> general deterrence would be to make an assessment of liability in the absence of hearing any submissions from the person in the best position to address whether the conduct amounted to a contravention (the alleged contravenor).</w:t>
      </w:r>
      <w:r w:rsidR="007F68B6">
        <w:t xml:space="preserve"> It would be appropriate for the relevant person to be given notice of the precise allegation and the opportunity to respond to it. </w:t>
      </w:r>
    </w:p>
    <w:p w:rsidR="00885883" w:rsidRDefault="00F97B9D" w:rsidP="00F97B9D">
      <w:pPr>
        <w:pStyle w:val="ParaNumbering"/>
        <w:numPr>
          <w:ilvl w:val="0"/>
          <w:numId w:val="0"/>
        </w:numPr>
        <w:ind w:hanging="720"/>
      </w:pPr>
      <w:r>
        <w:rPr>
          <w:sz w:val="20"/>
        </w:rPr>
        <w:t>43</w:t>
      </w:r>
      <w:r>
        <w:rPr>
          <w:sz w:val="20"/>
        </w:rPr>
        <w:tab/>
      </w:r>
      <w:r w:rsidR="004670BE" w:rsidRPr="0066079B">
        <w:rPr>
          <w:b/>
        </w:rPr>
        <w:t>Secondly</w:t>
      </w:r>
      <w:r w:rsidR="004670BE">
        <w:t xml:space="preserve">, the ACCC referred to </w:t>
      </w:r>
      <w:r w:rsidR="00885883">
        <w:t>an alleged continued lack of care by Reckitt Benckiser in</w:t>
      </w:r>
      <w:r w:rsidR="004670BE">
        <w:t xml:space="preserve"> </w:t>
      </w:r>
      <w:r w:rsidR="00885883">
        <w:t xml:space="preserve">placing its products on the market (ts 8). The continued lack of care alleged involved an </w:t>
      </w:r>
      <w:r w:rsidR="004670BE">
        <w:t xml:space="preserve">arrangement </w:t>
      </w:r>
      <w:r w:rsidR="00885883">
        <w:t xml:space="preserve">between the ACCC and </w:t>
      </w:r>
      <w:r w:rsidR="004670BE">
        <w:t xml:space="preserve">Reckitt Benckiser </w:t>
      </w:r>
      <w:r w:rsidR="00885883">
        <w:t>concerning</w:t>
      </w:r>
      <w:r w:rsidR="004670BE">
        <w:t xml:space="preserve"> the process of removal of </w:t>
      </w:r>
      <w:r w:rsidR="004670BE">
        <w:lastRenderedPageBreak/>
        <w:t xml:space="preserve">the contravening products from </w:t>
      </w:r>
      <w:r w:rsidR="007A6D32">
        <w:t xml:space="preserve">pharmacies and </w:t>
      </w:r>
      <w:r w:rsidR="00554A62">
        <w:t>retail outlets</w:t>
      </w:r>
      <w:r w:rsidR="004670BE">
        <w:t xml:space="preserve">. Part of that arrangement </w:t>
      </w:r>
      <w:r w:rsidR="00885883">
        <w:t xml:space="preserve">involved an “interim packaging agreement” by which a sticker would be placed on contravening products which, underneath the particular type of product (eg “Back Pain”) clearly bore the words in similar font size “Equally effective for Tension Headache, Migraine, Period Pain &amp; General Pain”. On 6 April 2016, the ACCC provided Reckitt Benckiser with a photograph taken the previous month of the placement of the Nurofen Specific Pain Range at a Coles </w:t>
      </w:r>
      <w:r w:rsidR="002C5269">
        <w:t>s</w:t>
      </w:r>
      <w:r w:rsidR="00885883">
        <w:t xml:space="preserve">upermarket. The products were placed in such a way that the top of the package could be clearly read </w:t>
      </w:r>
      <w:r w:rsidR="002C5269">
        <w:t xml:space="preserve">(eg </w:t>
      </w:r>
      <w:r w:rsidR="00885883">
        <w:t>“Fast Relief from Back Pain”</w:t>
      </w:r>
      <w:r w:rsidR="002C5269">
        <w:t>)</w:t>
      </w:r>
      <w:r w:rsidR="00885883">
        <w:t xml:space="preserve"> and the brand could be clearly read (“Nurofen”) but all the information </w:t>
      </w:r>
      <w:r w:rsidR="0066687E">
        <w:t>on</w:t>
      </w:r>
      <w:r w:rsidR="00885883">
        <w:t xml:space="preserve"> the sticker was hidden below a ridge on a “shelf ready display tray” or behind other boxes.</w:t>
      </w:r>
    </w:p>
    <w:p w:rsidR="007F68B6" w:rsidRDefault="00F97B9D" w:rsidP="00F97B9D">
      <w:pPr>
        <w:pStyle w:val="ParaNumbering"/>
        <w:numPr>
          <w:ilvl w:val="0"/>
          <w:numId w:val="0"/>
        </w:numPr>
        <w:ind w:hanging="720"/>
      </w:pPr>
      <w:r>
        <w:rPr>
          <w:sz w:val="20"/>
        </w:rPr>
        <w:t>44</w:t>
      </w:r>
      <w:r>
        <w:rPr>
          <w:sz w:val="20"/>
        </w:rPr>
        <w:tab/>
      </w:r>
      <w:r w:rsidR="00885883">
        <w:t>Reckitt Benckiser’s Australia and New Zealand legal director</w:t>
      </w:r>
      <w:r w:rsidR="007F68B6">
        <w:t xml:space="preserve"> provided an affidavit on this matter</w:t>
      </w:r>
      <w:r w:rsidR="00885883">
        <w:t xml:space="preserve">. She explained that </w:t>
      </w:r>
      <w:r w:rsidR="00AE444B">
        <w:t>Coles was the only retailer that supplied Nurofen products on a shelf ready display tray</w:t>
      </w:r>
      <w:r w:rsidR="007F68B6">
        <w:t>. She said that</w:t>
      </w:r>
      <w:r w:rsidR="00AE444B">
        <w:t xml:space="preserve"> Reckitt Benckiser had not told Coles to display the products in that way or on those trays. Two days after receiving the letter from the ACCC, Reckitt Benckiser ceased supply to Coles. It will not resume supply until the issue is corrected. And representatives of Reckitt Benckiser are going to visit Coles to correct the problem. </w:t>
      </w:r>
    </w:p>
    <w:p w:rsidR="004670BE" w:rsidRDefault="00F97B9D" w:rsidP="00F97B9D">
      <w:pPr>
        <w:pStyle w:val="ParaNumbering"/>
        <w:numPr>
          <w:ilvl w:val="0"/>
          <w:numId w:val="0"/>
        </w:numPr>
        <w:ind w:hanging="720"/>
      </w:pPr>
      <w:r>
        <w:rPr>
          <w:sz w:val="20"/>
        </w:rPr>
        <w:t>45</w:t>
      </w:r>
      <w:r>
        <w:rPr>
          <w:sz w:val="20"/>
        </w:rPr>
        <w:tab/>
      </w:r>
      <w:r w:rsidR="00AE444B">
        <w:t>In the</w:t>
      </w:r>
      <w:r w:rsidR="007F68B6">
        <w:t>se</w:t>
      </w:r>
      <w:r w:rsidR="00AE444B">
        <w:t xml:space="preserve"> circumstances,</w:t>
      </w:r>
      <w:r w:rsidR="007F68B6">
        <w:t xml:space="preserve"> and since Coles stores represent fewer</w:t>
      </w:r>
      <w:r w:rsidR="00AE444B">
        <w:t xml:space="preserve"> than 10% of outlets which stock the Nurofen Specific Pain Range, I do not consider that the issue that arose was caused by, or is evidence of, any lack of care taken by Reckitt Benckiser.</w:t>
      </w:r>
    </w:p>
    <w:p w:rsidR="008E690E" w:rsidRDefault="00F97B9D" w:rsidP="00F97B9D">
      <w:pPr>
        <w:pStyle w:val="ParaNumbering"/>
        <w:numPr>
          <w:ilvl w:val="0"/>
          <w:numId w:val="0"/>
        </w:numPr>
        <w:ind w:hanging="720"/>
      </w:pPr>
      <w:r>
        <w:rPr>
          <w:sz w:val="20"/>
        </w:rPr>
        <w:t>46</w:t>
      </w:r>
      <w:r>
        <w:rPr>
          <w:sz w:val="20"/>
        </w:rPr>
        <w:tab/>
      </w:r>
      <w:r w:rsidR="008E690E">
        <w:t xml:space="preserve">I do not accept that the heightened need for deterrence suggested by the ACCC is present for either of these two reasons. </w:t>
      </w:r>
    </w:p>
    <w:p w:rsidR="002A3D6A" w:rsidRDefault="004B3671" w:rsidP="004B3671">
      <w:pPr>
        <w:pStyle w:val="Heading2"/>
      </w:pPr>
      <w:bookmarkStart w:id="41" w:name="_Ref448644427"/>
      <w:bookmarkStart w:id="42" w:name="_Ref449683359"/>
      <w:r>
        <w:t xml:space="preserve">The particular factors relevant to </w:t>
      </w:r>
      <w:bookmarkEnd w:id="41"/>
      <w:r w:rsidR="008E690E">
        <w:t>penalty</w:t>
      </w:r>
      <w:bookmarkEnd w:id="42"/>
    </w:p>
    <w:p w:rsidR="002A3D6A" w:rsidRDefault="00994029" w:rsidP="002A3D6A">
      <w:pPr>
        <w:pStyle w:val="Heading3"/>
      </w:pPr>
      <w:bookmarkStart w:id="43" w:name="_Ref448328060"/>
      <w:r>
        <w:t xml:space="preserve">Nature, </w:t>
      </w:r>
      <w:r w:rsidR="002A3D6A">
        <w:t>extent</w:t>
      </w:r>
      <w:r>
        <w:t xml:space="preserve"> and circumstances</w:t>
      </w:r>
      <w:r w:rsidR="002A3D6A">
        <w:t xml:space="preserve"> of the contravening conduct</w:t>
      </w:r>
      <w:bookmarkEnd w:id="43"/>
    </w:p>
    <w:p w:rsidR="00994029" w:rsidRDefault="00F97B9D" w:rsidP="00F97B9D">
      <w:pPr>
        <w:pStyle w:val="ParaNumbering"/>
        <w:numPr>
          <w:ilvl w:val="0"/>
          <w:numId w:val="0"/>
        </w:numPr>
        <w:ind w:hanging="720"/>
      </w:pPr>
      <w:r>
        <w:rPr>
          <w:sz w:val="20"/>
        </w:rPr>
        <w:t>47</w:t>
      </w:r>
      <w:r>
        <w:rPr>
          <w:sz w:val="20"/>
        </w:rPr>
        <w:tab/>
      </w:r>
      <w:r w:rsidR="007F68B6">
        <w:t xml:space="preserve">There are some significant matters in relation to the nature and extent of the contravening conduct. </w:t>
      </w:r>
      <w:r w:rsidR="002A3D6A">
        <w:t xml:space="preserve">The contravening conduct </w:t>
      </w:r>
      <w:r w:rsidR="00FE7023">
        <w:t xml:space="preserve">concerning packaging was for </w:t>
      </w:r>
      <w:r w:rsidR="002A3D6A">
        <w:t>a long durat</w:t>
      </w:r>
      <w:r w:rsidR="00964B0B">
        <w:t>ion</w:t>
      </w:r>
      <w:r w:rsidR="00FE7023">
        <w:t xml:space="preserve"> of almost 5 years from 1 January 2011 until my judgment on 11 December 2015</w:t>
      </w:r>
      <w:r w:rsidR="00964B0B">
        <w:t xml:space="preserve">. </w:t>
      </w:r>
      <w:r w:rsidR="009C6304">
        <w:t xml:space="preserve">The </w:t>
      </w:r>
      <w:r w:rsidR="00710110">
        <w:t>W</w:t>
      </w:r>
      <w:r w:rsidR="009C6304">
        <w:t xml:space="preserve">ebsite </w:t>
      </w:r>
      <w:r w:rsidR="00710110">
        <w:t>R</w:t>
      </w:r>
      <w:r w:rsidR="009C6304">
        <w:t xml:space="preserve">epresentations were made for 17 months. </w:t>
      </w:r>
      <w:r w:rsidR="002C5269">
        <w:t xml:space="preserve">All of the representations </w:t>
      </w:r>
      <w:r w:rsidR="009C6304">
        <w:t xml:space="preserve">involved a product with a strong brand name. </w:t>
      </w:r>
      <w:r w:rsidR="00263243">
        <w:t xml:space="preserve">The Packaging Representations were made at the point of sale, and based on prominent </w:t>
      </w:r>
      <w:r w:rsidR="002C5269">
        <w:t>advertising</w:t>
      </w:r>
      <w:r w:rsidR="00263243">
        <w:t>. Whether or not they caused profits to be made (which I consider below), the representation</w:t>
      </w:r>
      <w:r w:rsidR="009C6304">
        <w:t>s were</w:t>
      </w:r>
      <w:r w:rsidR="00263243">
        <w:t xml:space="preserve"> prominent, </w:t>
      </w:r>
      <w:r w:rsidR="007F68B6">
        <w:t xml:space="preserve">they were </w:t>
      </w:r>
      <w:r w:rsidR="00263243">
        <w:t xml:space="preserve">made as part of a general </w:t>
      </w:r>
      <w:r w:rsidR="00263243">
        <w:lastRenderedPageBreak/>
        <w:t>marketing approach</w:t>
      </w:r>
      <w:r w:rsidR="009C6304">
        <w:t xml:space="preserve"> designed to profit, and</w:t>
      </w:r>
      <w:r w:rsidR="002C5269">
        <w:t xml:space="preserve"> </w:t>
      </w:r>
      <w:r w:rsidR="007F68B6">
        <w:t xml:space="preserve">they were </w:t>
      </w:r>
      <w:r w:rsidR="009C6304">
        <w:t>likely to have been considered by many consumers who purchased the product or visited the website.</w:t>
      </w:r>
    </w:p>
    <w:p w:rsidR="00140ECF" w:rsidRDefault="00F97B9D" w:rsidP="00F97B9D">
      <w:pPr>
        <w:pStyle w:val="ParaNumbering"/>
        <w:numPr>
          <w:ilvl w:val="0"/>
          <w:numId w:val="0"/>
        </w:numPr>
        <w:ind w:hanging="720"/>
      </w:pPr>
      <w:r>
        <w:rPr>
          <w:sz w:val="20"/>
        </w:rPr>
        <w:t>48</w:t>
      </w:r>
      <w:r>
        <w:rPr>
          <w:sz w:val="20"/>
        </w:rPr>
        <w:tab/>
      </w:r>
      <w:r w:rsidR="002A3D6A">
        <w:t>The contraveni</w:t>
      </w:r>
      <w:r w:rsidR="009C6304">
        <w:t xml:space="preserve">ng conduct involving the Packaging Representations was also widespread. </w:t>
      </w:r>
      <w:r w:rsidR="00994029">
        <w:t>The Nurofen Specific Pain Range was available at 5,500 pharmacies and an additional 3,000 retail outlets. The widespread natur</w:t>
      </w:r>
      <w:r w:rsidR="007F68B6">
        <w:t>e of the representations means</w:t>
      </w:r>
      <w:r w:rsidR="00994029">
        <w:t xml:space="preserve"> that many of the consumers exposed to the representations would not have had a high degree of knowledge and understanding of pharmaceutical ingredients. Indeed, even those consumers with such knowledge might have been misled.</w:t>
      </w:r>
    </w:p>
    <w:p w:rsidR="004B3671" w:rsidRDefault="00F97B9D" w:rsidP="00F97B9D">
      <w:pPr>
        <w:pStyle w:val="ParaNumbering"/>
        <w:numPr>
          <w:ilvl w:val="0"/>
          <w:numId w:val="0"/>
        </w:numPr>
        <w:ind w:hanging="720"/>
      </w:pPr>
      <w:r>
        <w:rPr>
          <w:sz w:val="20"/>
        </w:rPr>
        <w:t>49</w:t>
      </w:r>
      <w:r>
        <w:rPr>
          <w:sz w:val="20"/>
        </w:rPr>
        <w:tab/>
      </w:r>
      <w:r w:rsidR="007C01C3">
        <w:t xml:space="preserve">The ACCC </w:t>
      </w:r>
      <w:r w:rsidR="00140ECF">
        <w:t xml:space="preserve">also </w:t>
      </w:r>
      <w:r w:rsidR="007C01C3">
        <w:t xml:space="preserve">pointed to some circumstances of the contravening conduct which it submitted led to an increased need for specific deterrence. Those circumstances included (i) criticism of the Nurofen Specific Pain Range by a consumer group, (ii) a television show, and (iii) complaints to the TGA. </w:t>
      </w:r>
      <w:r w:rsidR="009D33F9">
        <w:t>Those matters are considered below in relation to Reckitt Benckiser’s culture of compliance.</w:t>
      </w:r>
    </w:p>
    <w:p w:rsidR="006354C9" w:rsidRDefault="006354C9" w:rsidP="00290214">
      <w:pPr>
        <w:pStyle w:val="Heading3"/>
      </w:pPr>
      <w:bookmarkStart w:id="44" w:name="_Ref448645774"/>
      <w:r>
        <w:t>Size of Reckitt Benckiser</w:t>
      </w:r>
      <w:bookmarkEnd w:id="44"/>
    </w:p>
    <w:p w:rsidR="006354C9" w:rsidRDefault="00F97B9D" w:rsidP="00F97B9D">
      <w:pPr>
        <w:pStyle w:val="ParaNumbering"/>
        <w:numPr>
          <w:ilvl w:val="0"/>
          <w:numId w:val="0"/>
        </w:numPr>
        <w:ind w:hanging="720"/>
      </w:pPr>
      <w:r>
        <w:rPr>
          <w:sz w:val="20"/>
        </w:rPr>
        <w:t>50</w:t>
      </w:r>
      <w:r>
        <w:rPr>
          <w:sz w:val="20"/>
        </w:rPr>
        <w:tab/>
      </w:r>
      <w:r w:rsidR="002C5269">
        <w:t xml:space="preserve">From </w:t>
      </w:r>
      <w:r w:rsidR="00027A2F">
        <w:t>2011 to 2015, Reckitt Benckiser had a large share of the market for</w:t>
      </w:r>
      <w:r w:rsidR="006354C9">
        <w:t xml:space="preserve"> oral analgesics in retail and grocery stores</w:t>
      </w:r>
      <w:r w:rsidR="00027A2F">
        <w:t>.</w:t>
      </w:r>
      <w:r w:rsidR="006354C9">
        <w:t xml:space="preserve"> </w:t>
      </w:r>
      <w:r w:rsidR="00027A2F">
        <w:t>Its sales amounted to many millions of dollars. Reckitt Benckiser Group</w:t>
      </w:r>
      <w:r w:rsidR="00BD3CB7">
        <w:t>’</w:t>
      </w:r>
      <w:r w:rsidR="006354C9">
        <w:t>s total annual revenue figures for</w:t>
      </w:r>
      <w:r w:rsidR="00027A2F">
        <w:t xml:space="preserve"> each year from 2011 to 2015 ranged between 8 and 10 billion pounds</w:t>
      </w:r>
      <w:r w:rsidR="008E690E">
        <w:t xml:space="preserve"> worldwide</w:t>
      </w:r>
      <w:r w:rsidR="00027A2F">
        <w:t xml:space="preserve">. </w:t>
      </w:r>
      <w:bookmarkStart w:id="45" w:name="_Ref447528594"/>
      <w:r w:rsidR="00027A2F">
        <w:t xml:space="preserve">It was not in dispute that Reckitt Benckiser’s </w:t>
      </w:r>
      <w:r w:rsidR="006354C9">
        <w:t xml:space="preserve">sale of Nurofen Specific Pain Range products </w:t>
      </w:r>
      <w:r w:rsidR="00027A2F">
        <w:t>was only a very small fraction of its total sales and its total profit.</w:t>
      </w:r>
      <w:r w:rsidR="00E51D29">
        <w:t xml:space="preserve"> I deal with the revenue and </w:t>
      </w:r>
      <w:r w:rsidR="00EE60B5">
        <w:t xml:space="preserve">earnings before interest and taxation </w:t>
      </w:r>
      <w:r w:rsidR="00485330">
        <w:t>(</w:t>
      </w:r>
      <w:r w:rsidR="00EE60B5">
        <w:t>EBIT</w:t>
      </w:r>
      <w:r w:rsidR="00485330">
        <w:t xml:space="preserve">) </w:t>
      </w:r>
      <w:r w:rsidR="00E51D29">
        <w:t>from those sales i</w:t>
      </w:r>
      <w:r w:rsidR="007F68B6">
        <w:t>n more detail later in these reasons</w:t>
      </w:r>
      <w:r w:rsidR="00E51D29">
        <w:t>.</w:t>
      </w:r>
      <w:bookmarkEnd w:id="45"/>
    </w:p>
    <w:p w:rsidR="002A3D6A" w:rsidRDefault="008074F1" w:rsidP="004B3671">
      <w:pPr>
        <w:pStyle w:val="Heading3"/>
      </w:pPr>
      <w:bookmarkStart w:id="46" w:name="_Ref448328063"/>
      <w:bookmarkStart w:id="47" w:name="_Ref448645775"/>
      <w:bookmarkStart w:id="48" w:name="_Ref448988096"/>
      <w:r>
        <w:t>Sales</w:t>
      </w:r>
      <w:r w:rsidR="00872DC8">
        <w:t xml:space="preserve"> and</w:t>
      </w:r>
      <w:r>
        <w:t xml:space="preserve"> p</w:t>
      </w:r>
      <w:r w:rsidR="002A3D6A">
        <w:t>rofit</w:t>
      </w:r>
      <w:bookmarkEnd w:id="46"/>
      <w:r w:rsidR="006354C9">
        <w:t xml:space="preserve"> from contravening conduct</w:t>
      </w:r>
      <w:bookmarkEnd w:id="47"/>
      <w:r w:rsidR="00872DC8">
        <w:t>,</w:t>
      </w:r>
      <w:r>
        <w:t xml:space="preserve"> and potential losses to consumers and competitors</w:t>
      </w:r>
      <w:bookmarkEnd w:id="48"/>
    </w:p>
    <w:p w:rsidR="00237C72" w:rsidRDefault="00F97B9D" w:rsidP="00F97B9D">
      <w:pPr>
        <w:pStyle w:val="ParaNumbering"/>
        <w:numPr>
          <w:ilvl w:val="0"/>
          <w:numId w:val="0"/>
        </w:numPr>
        <w:ind w:hanging="720"/>
      </w:pPr>
      <w:r>
        <w:rPr>
          <w:sz w:val="20"/>
        </w:rPr>
        <w:t>51</w:t>
      </w:r>
      <w:r>
        <w:rPr>
          <w:sz w:val="20"/>
        </w:rPr>
        <w:tab/>
      </w:r>
      <w:r w:rsidR="002B3AC5">
        <w:t xml:space="preserve">A substantial part of the ACCC’s submissions focused upon an elaborate exercise, based on volumes of evidence, directed to estimating the profit made by Reckitt Benckiser as a result of its contravening conduct. </w:t>
      </w:r>
      <w:r w:rsidR="00237C72">
        <w:t>With some adjustments</w:t>
      </w:r>
      <w:r w:rsidR="008E690E">
        <w:t xml:space="preserve"> such as for interest and taxation</w:t>
      </w:r>
      <w:r w:rsidR="00237C72">
        <w:t>, the ACCC estimate would likely have been a total of some millions of dollars (although certainly less than $10 million).</w:t>
      </w:r>
    </w:p>
    <w:p w:rsidR="00D236D8" w:rsidRDefault="00F97B9D" w:rsidP="00F97B9D">
      <w:pPr>
        <w:pStyle w:val="ParaNumbering"/>
        <w:numPr>
          <w:ilvl w:val="0"/>
          <w:numId w:val="0"/>
        </w:numPr>
        <w:ind w:hanging="720"/>
      </w:pPr>
      <w:r>
        <w:rPr>
          <w:sz w:val="20"/>
        </w:rPr>
        <w:t>52</w:t>
      </w:r>
      <w:r>
        <w:rPr>
          <w:sz w:val="20"/>
        </w:rPr>
        <w:tab/>
      </w:r>
      <w:r w:rsidR="00D236D8">
        <w:t xml:space="preserve">The task pursued by the ACCC was a labour of Hercules. Without expert evidence it was an impossible task. Even with expert evidence it would have been, at best, an extremely rough approximation of profit and, at worst, an informed guess. Very few penalty hearings ever </w:t>
      </w:r>
      <w:r w:rsidR="00D236D8">
        <w:lastRenderedPageBreak/>
        <w:t xml:space="preserve">descend into this level of detail. In many cases, the court will simply adopt the profit made by sales of the contravening products as </w:t>
      </w:r>
      <w:r w:rsidR="006206F0">
        <w:t>a very broad approximation of</w:t>
      </w:r>
      <w:r w:rsidR="00237C72">
        <w:t xml:space="preserve"> the profit to which the </w:t>
      </w:r>
      <w:r w:rsidR="00D236D8">
        <w:t>contravention</w:t>
      </w:r>
      <w:r w:rsidR="006206F0">
        <w:t xml:space="preserve"> </w:t>
      </w:r>
      <w:r w:rsidR="00237C72">
        <w:t xml:space="preserve">contributed </w:t>
      </w:r>
      <w:r w:rsidR="006206F0">
        <w:t>in the appreciation that this is a maximum or outer limit</w:t>
      </w:r>
      <w:r w:rsidR="00237C72">
        <w:t xml:space="preserve"> to any causal enquiry</w:t>
      </w:r>
      <w:r w:rsidR="00D236D8">
        <w:t>.</w:t>
      </w:r>
    </w:p>
    <w:p w:rsidR="00D236D8" w:rsidRDefault="00F97B9D" w:rsidP="00F97B9D">
      <w:pPr>
        <w:pStyle w:val="ParaNumbering"/>
        <w:numPr>
          <w:ilvl w:val="0"/>
          <w:numId w:val="0"/>
        </w:numPr>
        <w:ind w:hanging="720"/>
      </w:pPr>
      <w:r>
        <w:rPr>
          <w:sz w:val="20"/>
        </w:rPr>
        <w:t>53</w:t>
      </w:r>
      <w:r>
        <w:rPr>
          <w:sz w:val="20"/>
        </w:rPr>
        <w:tab/>
      </w:r>
      <w:r w:rsidR="00D236D8">
        <w:t>It is likely that the elaborate exercise was undertaken by the ACCC in this case beca</w:t>
      </w:r>
      <w:r w:rsidR="007F68B6">
        <w:t>use Reckitt Benckiser’s submission</w:t>
      </w:r>
      <w:r w:rsidR="00D236D8">
        <w:t xml:space="preserve"> was that it made </w:t>
      </w:r>
      <w:r w:rsidR="00D236D8">
        <w:rPr>
          <w:i/>
        </w:rPr>
        <w:t xml:space="preserve">no </w:t>
      </w:r>
      <w:r w:rsidR="00D236D8">
        <w:t>profit from its contravening conduct. I will explain later in this secti</w:t>
      </w:r>
      <w:r w:rsidR="007F68B6">
        <w:t>on of my reasons why I do not accept</w:t>
      </w:r>
      <w:r w:rsidR="00D236D8">
        <w:t xml:space="preserve"> </w:t>
      </w:r>
      <w:r w:rsidR="00872DC8">
        <w:t xml:space="preserve">Reckitt Benckiser’s </w:t>
      </w:r>
      <w:r w:rsidR="00D236D8">
        <w:t>submission</w:t>
      </w:r>
      <w:r w:rsidR="007F68B6">
        <w:t xml:space="preserve"> in those absolute terms</w:t>
      </w:r>
      <w:r w:rsidR="00D236D8">
        <w:t xml:space="preserve">. However, it is </w:t>
      </w:r>
      <w:r w:rsidR="00872DC8">
        <w:t xml:space="preserve">first </w:t>
      </w:r>
      <w:r w:rsidR="00D236D8">
        <w:t>necessary to explain why I do not consider that it is of any assistance to attempt to engage with the calculations suggested by the ACCC.</w:t>
      </w:r>
    </w:p>
    <w:p w:rsidR="00D236D8" w:rsidRDefault="00F97B9D" w:rsidP="00F97B9D">
      <w:pPr>
        <w:pStyle w:val="ParaNumbering"/>
        <w:numPr>
          <w:ilvl w:val="0"/>
          <w:numId w:val="0"/>
        </w:numPr>
        <w:ind w:hanging="720"/>
      </w:pPr>
      <w:r>
        <w:rPr>
          <w:sz w:val="20"/>
        </w:rPr>
        <w:t>54</w:t>
      </w:r>
      <w:r>
        <w:rPr>
          <w:sz w:val="20"/>
        </w:rPr>
        <w:tab/>
      </w:r>
      <w:r w:rsidR="00D236D8">
        <w:rPr>
          <w:b/>
        </w:rPr>
        <w:t>First</w:t>
      </w:r>
      <w:r w:rsidR="00D236D8" w:rsidRPr="00D236D8">
        <w:t>,</w:t>
      </w:r>
      <w:r w:rsidR="00D236D8" w:rsidRPr="00485330">
        <w:t xml:space="preserve"> </w:t>
      </w:r>
      <w:r w:rsidR="00D236D8">
        <w:t xml:space="preserve">although many cases (including decisions of mine) speak of the relevant factor as “profit from contravening conduct”, this label conceals two different factors. </w:t>
      </w:r>
      <w:r w:rsidR="00B64242">
        <w:t>One factor</w:t>
      </w:r>
      <w:r w:rsidR="00FC32D8">
        <w:t xml:space="preserve"> </w:t>
      </w:r>
      <w:r w:rsidR="00D236D8">
        <w:t xml:space="preserve">is any </w:t>
      </w:r>
      <w:r w:rsidR="00D236D8">
        <w:rPr>
          <w:i/>
        </w:rPr>
        <w:t xml:space="preserve">intended </w:t>
      </w:r>
      <w:r w:rsidR="00B64242">
        <w:t>profits. Another</w:t>
      </w:r>
      <w:r w:rsidR="00D236D8">
        <w:t xml:space="preserve"> is any </w:t>
      </w:r>
      <w:r w:rsidR="00D236D8">
        <w:rPr>
          <w:i/>
        </w:rPr>
        <w:t xml:space="preserve">actual </w:t>
      </w:r>
      <w:r w:rsidR="00D236D8">
        <w:t xml:space="preserve">profits. If contravening conduct is engaged in for the purpose of making </w:t>
      </w:r>
      <w:r w:rsidR="003A61D5">
        <w:t xml:space="preserve">particular profits then the intention to profit must be deterred even if no actual profit is made. </w:t>
      </w:r>
      <w:r w:rsidR="008E690E">
        <w:t>An attempt to calculate actual profit will make no difference to deterrence based upon intended profit</w:t>
      </w:r>
      <w:r w:rsidR="00872DC8">
        <w:t>: see</w:t>
      </w:r>
      <w:r w:rsidR="00FE001F" w:rsidRPr="00FE001F">
        <w:t xml:space="preserve"> </w:t>
      </w:r>
      <w:r w:rsidR="00FE001F" w:rsidRPr="003A61D5">
        <w:rPr>
          <w:i/>
          <w:iCs/>
        </w:rPr>
        <w:t xml:space="preserve">Australian Competition and Consumer Commission v TPG Internet Pty Ltd </w:t>
      </w:r>
      <w:r w:rsidR="00FE001F" w:rsidRPr="003A61D5">
        <w:t xml:space="preserve">[2013] HCA 54; (2013) 250 CLR 640, 659 [66] </w:t>
      </w:r>
      <w:r w:rsidR="00872DC8">
        <w:t>(</w:t>
      </w:r>
      <w:r w:rsidR="003A61D5" w:rsidRPr="003A61D5">
        <w:t>French CJ, Crennan, Bell and Keane JJ</w:t>
      </w:r>
      <w:r w:rsidR="00872DC8">
        <w:t>).</w:t>
      </w:r>
      <w:r w:rsidR="003A61D5" w:rsidRPr="003A61D5">
        <w:t xml:space="preserve"> </w:t>
      </w:r>
    </w:p>
    <w:p w:rsidR="007F68B6" w:rsidRDefault="00F97B9D" w:rsidP="00F97B9D">
      <w:pPr>
        <w:pStyle w:val="ParaNumbering"/>
        <w:numPr>
          <w:ilvl w:val="0"/>
          <w:numId w:val="0"/>
        </w:numPr>
        <w:ind w:hanging="720"/>
      </w:pPr>
      <w:r>
        <w:rPr>
          <w:sz w:val="20"/>
        </w:rPr>
        <w:t>55</w:t>
      </w:r>
      <w:r>
        <w:rPr>
          <w:sz w:val="20"/>
        </w:rPr>
        <w:tab/>
      </w:r>
      <w:r w:rsidR="00FC32D8">
        <w:t xml:space="preserve">In this case, the contravening conduct was part of the marketing and promotion of the Nurofen Specific Pain Range. Like most marketing and packaging endeavours, it was plainly engaged with the intention of increasing profits. To that extent, deterrence is required even if </w:t>
      </w:r>
      <w:r w:rsidR="00B64242">
        <w:t xml:space="preserve">it were the case that </w:t>
      </w:r>
      <w:r w:rsidR="00FC32D8">
        <w:t xml:space="preserve">the conduct did not ultimately result in any profit. </w:t>
      </w:r>
    </w:p>
    <w:p w:rsidR="00237C72" w:rsidRDefault="00F97B9D" w:rsidP="00F97B9D">
      <w:pPr>
        <w:pStyle w:val="ParaNumbering"/>
        <w:numPr>
          <w:ilvl w:val="0"/>
          <w:numId w:val="0"/>
        </w:numPr>
        <w:ind w:hanging="720"/>
      </w:pPr>
      <w:r>
        <w:rPr>
          <w:sz w:val="20"/>
        </w:rPr>
        <w:t>56</w:t>
      </w:r>
      <w:r>
        <w:rPr>
          <w:sz w:val="20"/>
        </w:rPr>
        <w:tab/>
      </w:r>
      <w:r w:rsidR="007F68B6">
        <w:t>This is not an inference where</w:t>
      </w:r>
      <w:r w:rsidR="00237C72">
        <w:t xml:space="preserve"> Reckitt Benckiser knew or was reckless that its conduct involved a contravention. It is simply that the conduct (however innocently committed) was intended to make a profit from consumers. A comparison can be drawn with the circumstances in </w:t>
      </w:r>
      <w:r w:rsidR="00237C72" w:rsidRPr="00237C72">
        <w:rPr>
          <w:i/>
        </w:rPr>
        <w:t>Australian Competition and Consumer Commission v Coles Supermarkets Australia Pty Ltd</w:t>
      </w:r>
      <w:r w:rsidR="00237C72">
        <w:t xml:space="preserve">. In that case, one question </w:t>
      </w:r>
      <w:r w:rsidR="00872DC8">
        <w:t xml:space="preserve">before the Court </w:t>
      </w:r>
      <w:r w:rsidR="00237C72">
        <w:t xml:space="preserve">was whether competitors had suffered any loss. The ACCC did not contend that the par-baked bread products for which the consumers paid were of any lower quality than goods baked from scratch (554 [57]). However, consumers lost the opportunity to make a different purchasing choice than they would have made with accurate information. When considering possible loss to competitors, Allsop CJ said that the demonstration of a causal link “is nearly impossible in these </w:t>
      </w:r>
      <w:r w:rsidR="00237C72">
        <w:lastRenderedPageBreak/>
        <w:t xml:space="preserve">circumstances” (554 [58]). It was sufficient to conclude that some harm occurred because Coles had </w:t>
      </w:r>
      <w:r w:rsidR="00237C72" w:rsidRPr="00237C72">
        <w:rPr>
          <w:i/>
        </w:rPr>
        <w:t>intended</w:t>
      </w:r>
      <w:r w:rsidR="00237C72">
        <w:t xml:space="preserve"> to improve its market share at the expense of its competitors and part of that strategy involved the contravening conduct.</w:t>
      </w:r>
    </w:p>
    <w:p w:rsidR="008C4F84" w:rsidRDefault="00F97B9D" w:rsidP="00F97B9D">
      <w:pPr>
        <w:pStyle w:val="ParaNumbering"/>
        <w:numPr>
          <w:ilvl w:val="0"/>
          <w:numId w:val="0"/>
        </w:numPr>
        <w:ind w:hanging="720"/>
      </w:pPr>
      <w:r>
        <w:rPr>
          <w:sz w:val="20"/>
        </w:rPr>
        <w:t>57</w:t>
      </w:r>
      <w:r>
        <w:rPr>
          <w:sz w:val="20"/>
        </w:rPr>
        <w:tab/>
      </w:r>
      <w:r w:rsidR="00FC32D8">
        <w:rPr>
          <w:b/>
        </w:rPr>
        <w:t>Secondly</w:t>
      </w:r>
      <w:r w:rsidR="00FC32D8">
        <w:t>, the ACCC’s profit calculations were based on an assumption of a perfect elasticity of demand</w:t>
      </w:r>
      <w:r w:rsidR="007F68B6">
        <w:t xml:space="preserve"> once there was a removal of only that part of the product</w:t>
      </w:r>
      <w:r w:rsidR="00D71B32">
        <w:t xml:space="preserve"> differentiation</w:t>
      </w:r>
      <w:r w:rsidR="00FC32D8">
        <w:t xml:space="preserve"> </w:t>
      </w:r>
      <w:r w:rsidR="007F68B6">
        <w:t>that concerned the contraventions in packaging of the</w:t>
      </w:r>
      <w:r w:rsidR="00FC32D8">
        <w:t xml:space="preserve"> Nurofen Specific Pain Range product</w:t>
      </w:r>
      <w:r w:rsidR="000539F9">
        <w:t>s</w:t>
      </w:r>
      <w:r w:rsidR="00FC32D8">
        <w:t xml:space="preserve"> </w:t>
      </w:r>
      <w:r w:rsidR="007F68B6">
        <w:t xml:space="preserve">compared with </w:t>
      </w:r>
      <w:r w:rsidR="000539F9">
        <w:t xml:space="preserve">other </w:t>
      </w:r>
      <w:r w:rsidR="00FC32D8">
        <w:t>non-contravening Nurofen product</w:t>
      </w:r>
      <w:r w:rsidR="000539F9">
        <w:t>s</w:t>
      </w:r>
      <w:r w:rsidR="00FC32D8">
        <w:t xml:space="preserve">. </w:t>
      </w:r>
      <w:r w:rsidR="00D71B32">
        <w:t xml:space="preserve">There was no expert evidence to support this large assumption. </w:t>
      </w:r>
      <w:r w:rsidR="000539F9">
        <w:t>I</w:t>
      </w:r>
      <w:r w:rsidR="00D71B32">
        <w:t xml:space="preserve">t may be that the demand for pharmaceutical products of this type is inelastic by reference to the </w:t>
      </w:r>
      <w:r w:rsidR="007F68B6">
        <w:t>non-</w:t>
      </w:r>
      <w:r w:rsidR="00D71B32">
        <w:t>contravening aspects of the marketing and packaging. Or it may be that some consumers purchased the Nurofen Specific Pain Range product without any reference to the contravening qualities.</w:t>
      </w:r>
    </w:p>
    <w:p w:rsidR="00675728" w:rsidRDefault="00F97B9D" w:rsidP="00F97B9D">
      <w:pPr>
        <w:pStyle w:val="ParaNumbering"/>
        <w:numPr>
          <w:ilvl w:val="0"/>
          <w:numId w:val="0"/>
        </w:numPr>
        <w:ind w:hanging="720"/>
      </w:pPr>
      <w:r>
        <w:rPr>
          <w:sz w:val="20"/>
        </w:rPr>
        <w:t>58</w:t>
      </w:r>
      <w:r>
        <w:rPr>
          <w:sz w:val="20"/>
        </w:rPr>
        <w:tab/>
      </w:r>
      <w:r w:rsidR="008C4F84">
        <w:t>Even if the</w:t>
      </w:r>
      <w:r w:rsidR="007F68B6">
        <w:t xml:space="preserve"> elasticity of demand without</w:t>
      </w:r>
      <w:r w:rsidR="008C4F84">
        <w:t xml:space="preserve"> the contravening conduct could be calculated</w:t>
      </w:r>
      <w:r w:rsidR="000539F9">
        <w:t>,</w:t>
      </w:r>
      <w:r w:rsidR="008C4F84">
        <w:t xml:space="preserve"> there would also need to be a determination of the product to which the consumer would switch. The ACCC assumed, most favourably to Reckitt Benckiser, that the consumer would switch to another Nurofen product. But Reckitt Benckiser markets and supplies approximately 50 Nurofen branded stock keeping units, including </w:t>
      </w:r>
      <w:r w:rsidR="00331B12">
        <w:t xml:space="preserve">in </w:t>
      </w:r>
      <w:r w:rsidR="008C4F84">
        <w:t xml:space="preserve">different dose forms (tablet, capsule, caplet and liquid), </w:t>
      </w:r>
      <w:r w:rsidR="00331B12">
        <w:t xml:space="preserve">in </w:t>
      </w:r>
      <w:r w:rsidR="008C4F84">
        <w:t>different packaging sizes (</w:t>
      </w:r>
      <w:r w:rsidR="000539F9">
        <w:t>eg</w:t>
      </w:r>
      <w:r w:rsidR="008C4F84">
        <w:t xml:space="preserve"> 10, 12, 20, 24, 30, 40, 48, 72 and 96</w:t>
      </w:r>
      <w:r w:rsidR="000539F9">
        <w:t xml:space="preserve"> packs</w:t>
      </w:r>
      <w:r w:rsidR="008C4F84">
        <w:t xml:space="preserve">), </w:t>
      </w:r>
      <w:r w:rsidR="00331B12">
        <w:t xml:space="preserve">in </w:t>
      </w:r>
      <w:r w:rsidR="008C4F84">
        <w:t>different dosage strengths and in different combinations with other active ingredients (</w:t>
      </w:r>
      <w:r w:rsidR="000539F9">
        <w:t>eg</w:t>
      </w:r>
      <w:r w:rsidR="008C4F84">
        <w:t xml:space="preserve"> codeine, phenylephrine and pseudoephedrine). Although the ACCC </w:t>
      </w:r>
      <w:r w:rsidR="00B64242">
        <w:t xml:space="preserve">generally </w:t>
      </w:r>
      <w:r w:rsidR="008C4F84">
        <w:t>assumed (</w:t>
      </w:r>
      <w:r w:rsidR="000539F9">
        <w:t xml:space="preserve">also </w:t>
      </w:r>
      <w:r w:rsidR="008C4F84">
        <w:t xml:space="preserve">favourably to Reckitt Benckiser) a switch by the consumer to </w:t>
      </w:r>
      <w:r w:rsidR="00237C72">
        <w:t xml:space="preserve">a </w:t>
      </w:r>
      <w:r w:rsidR="000539F9">
        <w:t>similar</w:t>
      </w:r>
      <w:r w:rsidR="00237C72">
        <w:t xml:space="preserve"> </w:t>
      </w:r>
      <w:r w:rsidR="008C4F84">
        <w:t xml:space="preserve">priced </w:t>
      </w:r>
      <w:r w:rsidR="00024FE9">
        <w:t>Nurofen product</w:t>
      </w:r>
      <w:r w:rsidR="008C4F84">
        <w:t>, this assumption was ultimately only speculation.</w:t>
      </w:r>
    </w:p>
    <w:p w:rsidR="00B8016D" w:rsidRDefault="00F97B9D" w:rsidP="00F97B9D">
      <w:pPr>
        <w:pStyle w:val="ParaNumbering"/>
        <w:numPr>
          <w:ilvl w:val="0"/>
          <w:numId w:val="0"/>
        </w:numPr>
        <w:ind w:hanging="720"/>
      </w:pPr>
      <w:r>
        <w:rPr>
          <w:sz w:val="20"/>
        </w:rPr>
        <w:t>59</w:t>
      </w:r>
      <w:r>
        <w:rPr>
          <w:sz w:val="20"/>
        </w:rPr>
        <w:tab/>
      </w:r>
      <w:r w:rsidR="00675728">
        <w:rPr>
          <w:b/>
        </w:rPr>
        <w:t>Thirdly</w:t>
      </w:r>
      <w:r w:rsidR="00231114">
        <w:t xml:space="preserve">, the ACCC did not dispute the submission by Reckitt Benckiser that the appropriate test of causation </w:t>
      </w:r>
      <w:r w:rsidR="00B8016D">
        <w:t xml:space="preserve">was the counterfactual or “but for” </w:t>
      </w:r>
      <w:r w:rsidR="000539F9">
        <w:t xml:space="preserve">test </w:t>
      </w:r>
      <w:r w:rsidR="00231114">
        <w:t xml:space="preserve">for the purposes of determining </w:t>
      </w:r>
      <w:r w:rsidR="00B8016D">
        <w:t xml:space="preserve">the profit caused by the contravening conduct. No submission was made that the appropriate connection might be the profit which was caused or </w:t>
      </w:r>
      <w:r w:rsidR="00B8016D">
        <w:rPr>
          <w:i/>
        </w:rPr>
        <w:t xml:space="preserve">contributed to </w:t>
      </w:r>
      <w:r w:rsidR="00B8016D">
        <w:t xml:space="preserve">by the contravening conduct where the uncertain aetiology of human decision making </w:t>
      </w:r>
      <w:r w:rsidR="007F68B6">
        <w:t xml:space="preserve">is involved: see </w:t>
      </w:r>
      <w:r w:rsidR="00B8016D" w:rsidRPr="00B8016D">
        <w:rPr>
          <w:i/>
        </w:rPr>
        <w:t>Brosnan v Katke</w:t>
      </w:r>
      <w:r w:rsidR="00B8016D">
        <w:t xml:space="preserve"> [2016] FCAFC 1 [123]-[124] (the Court). Even if a test of contribution were not sufficient to establish </w:t>
      </w:r>
      <w:r w:rsidR="00B8016D">
        <w:rPr>
          <w:i/>
        </w:rPr>
        <w:t xml:space="preserve">losses </w:t>
      </w:r>
      <w:r w:rsidR="00B8016D">
        <w:t xml:space="preserve">caused by the </w:t>
      </w:r>
      <w:r w:rsidR="008C10E9">
        <w:t xml:space="preserve">relevant conduct, there is a powerful argument that </w:t>
      </w:r>
      <w:r w:rsidR="00B8016D">
        <w:t xml:space="preserve">the profits to which the contravening conduct has </w:t>
      </w:r>
      <w:r w:rsidR="00B8016D" w:rsidRPr="00B64242">
        <w:t>contributed</w:t>
      </w:r>
      <w:r w:rsidR="008C10E9">
        <w:rPr>
          <w:i/>
        </w:rPr>
        <w:t xml:space="preserve"> </w:t>
      </w:r>
      <w:r w:rsidR="008C10E9">
        <w:t>are relevant considerations for the purposes of deterrence</w:t>
      </w:r>
      <w:r w:rsidR="00B8016D">
        <w:t xml:space="preserve">. </w:t>
      </w:r>
      <w:r w:rsidR="008C10E9">
        <w:t>That approach would also reduce</w:t>
      </w:r>
      <w:r w:rsidR="00B8016D">
        <w:t xml:space="preserve"> the need for a sometimes complex</w:t>
      </w:r>
      <w:r w:rsidR="008C10E9">
        <w:t>,</w:t>
      </w:r>
      <w:r w:rsidR="00B8016D">
        <w:t xml:space="preserve"> and perhaps </w:t>
      </w:r>
      <w:r w:rsidR="008C10E9">
        <w:t xml:space="preserve">ultimately futile, exercise </w:t>
      </w:r>
      <w:r w:rsidR="00B64242">
        <w:t xml:space="preserve">in many cases </w:t>
      </w:r>
      <w:r w:rsidR="008C10E9">
        <w:t>of attempting to quantify with any precision the actual profits from a contravention.</w:t>
      </w:r>
    </w:p>
    <w:p w:rsidR="008C10E9" w:rsidRDefault="00F97B9D" w:rsidP="00F97B9D">
      <w:pPr>
        <w:pStyle w:val="ParaNumbering"/>
        <w:numPr>
          <w:ilvl w:val="0"/>
          <w:numId w:val="0"/>
        </w:numPr>
        <w:ind w:hanging="720"/>
      </w:pPr>
      <w:r>
        <w:rPr>
          <w:sz w:val="20"/>
        </w:rPr>
        <w:lastRenderedPageBreak/>
        <w:t>60</w:t>
      </w:r>
      <w:r>
        <w:rPr>
          <w:sz w:val="20"/>
        </w:rPr>
        <w:tab/>
      </w:r>
      <w:r w:rsidR="000539F9">
        <w:t>Assuming</w:t>
      </w:r>
      <w:r w:rsidR="008C10E9">
        <w:t xml:space="preserve"> a counterfactual approach to profit from contravening conduct</w:t>
      </w:r>
      <w:r w:rsidR="000539F9">
        <w:t>,</w:t>
      </w:r>
      <w:r w:rsidR="008C10E9">
        <w:t xml:space="preserve"> </w:t>
      </w:r>
      <w:r w:rsidR="00B8016D">
        <w:t>if the contravening conduct were able to be remedied by minor changes then it is arguable (and I put it no higher than that) that little profit could be attributed to the contravening conduct.</w:t>
      </w:r>
      <w:r w:rsidR="008C10E9">
        <w:t xml:space="preserve"> </w:t>
      </w:r>
      <w:r w:rsidR="00B8016D">
        <w:t>Senior counsel for Reckitt Benckiser gave a concrete example which illustrates the significance of th</w:t>
      </w:r>
      <w:r w:rsidR="008C10E9">
        <w:t>is</w:t>
      </w:r>
      <w:r w:rsidR="00B8016D">
        <w:t xml:space="preserve"> </w:t>
      </w:r>
      <w:r w:rsidR="008C10E9">
        <w:t>point to the impossibility of calculating profit from contraventions</w:t>
      </w:r>
      <w:r w:rsidR="00B8016D">
        <w:t xml:space="preserve">. He pointed to the </w:t>
      </w:r>
      <w:r w:rsidR="008C10E9">
        <w:t xml:space="preserve">new </w:t>
      </w:r>
      <w:r w:rsidR="00B8016D">
        <w:t xml:space="preserve">packaging of the former Specific Pain </w:t>
      </w:r>
      <w:r w:rsidR="008C10E9">
        <w:t>Range products</w:t>
      </w:r>
      <w:r w:rsidR="00B8016D">
        <w:t>. In relation to the Migraine Pain product</w:t>
      </w:r>
      <w:r w:rsidR="008C10E9">
        <w:t>, for example, that product</w:t>
      </w:r>
      <w:r w:rsidR="00B8016D">
        <w:t xml:space="preserve"> still contains the description “Fast Targeted Relief from Pain”. It still contains the description “Nurofen Migraine Pain”. But it now also contains the description (at the top of the package) “Also sui</w:t>
      </w:r>
      <w:r w:rsidR="00922AD0">
        <w:t xml:space="preserve">table for general pain relief”. He submitted, and I accept, that there may be consumers who </w:t>
      </w:r>
      <w:r w:rsidR="000539F9">
        <w:t>are</w:t>
      </w:r>
      <w:r w:rsidR="00922AD0">
        <w:t xml:space="preserve"> prepared to pay a substantial price premium for Nurofen Specific Pain Range products which </w:t>
      </w:r>
      <w:r w:rsidR="000539F9">
        <w:t xml:space="preserve">are </w:t>
      </w:r>
      <w:r w:rsidR="00922AD0">
        <w:t xml:space="preserve">not contravening but which </w:t>
      </w:r>
      <w:r w:rsidR="000539F9">
        <w:t xml:space="preserve">are </w:t>
      </w:r>
      <w:r w:rsidR="00922AD0">
        <w:t>chosen for reasons such as ease of selection for the relevant condition, product placement, advertising, and so on.</w:t>
      </w:r>
    </w:p>
    <w:p w:rsidR="001E3824" w:rsidRDefault="00F97B9D" w:rsidP="00F97B9D">
      <w:pPr>
        <w:pStyle w:val="ParaNumbering"/>
        <w:numPr>
          <w:ilvl w:val="0"/>
          <w:numId w:val="0"/>
        </w:numPr>
        <w:ind w:hanging="720"/>
      </w:pPr>
      <w:r>
        <w:rPr>
          <w:sz w:val="20"/>
        </w:rPr>
        <w:t>61</w:t>
      </w:r>
      <w:r>
        <w:rPr>
          <w:sz w:val="20"/>
        </w:rPr>
        <w:tab/>
      </w:r>
      <w:r w:rsidR="008F76A0">
        <w:t>T</w:t>
      </w:r>
      <w:r w:rsidR="00B8016D">
        <w:t>h</w:t>
      </w:r>
      <w:r w:rsidR="008C10E9">
        <w:t xml:space="preserve">ere may still be questions that </w:t>
      </w:r>
      <w:r w:rsidR="00B8016D">
        <w:t>arise from this packaging. For instance, should the words “Fast targeted relief from pain” be read together with the words “Migraine Pain”</w:t>
      </w:r>
      <w:r w:rsidR="000539F9" w:rsidRPr="000539F9">
        <w:t xml:space="preserve"> </w:t>
      </w:r>
      <w:r w:rsidR="000539F9">
        <w:t>above them</w:t>
      </w:r>
      <w:r w:rsidR="00B8016D">
        <w:t xml:space="preserve">? If so, then if the product is “also” suitable for general pain relief, how is it “targeted” to the relief from migraine pain? </w:t>
      </w:r>
      <w:r w:rsidR="007F68B6">
        <w:t xml:space="preserve">Would any representation be affected by the proximity of a product packaged in this way to products that are much cheaper but packaged in a different way? </w:t>
      </w:r>
      <w:r w:rsidR="00B8016D">
        <w:t>However, two points must be made. Fir</w:t>
      </w:r>
      <w:r w:rsidR="00237C72">
        <w:t xml:space="preserve">st, no allegation has </w:t>
      </w:r>
      <w:r w:rsidR="00B8016D">
        <w:t>been made by the ACCC that the new packaging is misleading. Secondly, it was not alleged and has not been found that any representation</w:t>
      </w:r>
      <w:r w:rsidR="00B8016D" w:rsidRPr="00675728">
        <w:t xml:space="preserve"> </w:t>
      </w:r>
      <w:r w:rsidR="00B8016D">
        <w:t xml:space="preserve">was made that, based on the packaging and higher pricing, the Nurofen </w:t>
      </w:r>
      <w:r w:rsidR="000539F9">
        <w:t xml:space="preserve">Specific Pain Range </w:t>
      </w:r>
      <w:r w:rsidR="00B8016D">
        <w:t>product</w:t>
      </w:r>
      <w:r w:rsidR="000539F9">
        <w:t>s</w:t>
      </w:r>
      <w:r w:rsidR="00B8016D">
        <w:t xml:space="preserve"> </w:t>
      </w:r>
      <w:r w:rsidR="000539F9">
        <w:t>are</w:t>
      </w:r>
      <w:r w:rsidR="00434667">
        <w:t xml:space="preserve"> </w:t>
      </w:r>
      <w:r w:rsidR="00B8016D">
        <w:t xml:space="preserve">more </w:t>
      </w:r>
      <w:r w:rsidR="00B8016D" w:rsidRPr="008C10E9">
        <w:rPr>
          <w:i/>
        </w:rPr>
        <w:t xml:space="preserve">effective </w:t>
      </w:r>
      <w:r w:rsidR="00B8016D">
        <w:t xml:space="preserve">than other </w:t>
      </w:r>
      <w:r w:rsidR="00DD5B45">
        <w:t xml:space="preserve">Nurofen </w:t>
      </w:r>
      <w:r w:rsidR="00B8016D">
        <w:t>pain relief product</w:t>
      </w:r>
      <w:r w:rsidR="000539F9">
        <w:t>s</w:t>
      </w:r>
      <w:r w:rsidR="00B8016D">
        <w:t xml:space="preserve">. </w:t>
      </w:r>
      <w:r w:rsidR="008C10E9">
        <w:t>In the absence of any finding of such contraventions, and indeed any allegation of such contraventions, I proceed on the basis that neither matter is a proved contravention.</w:t>
      </w:r>
    </w:p>
    <w:p w:rsidR="00B8016D" w:rsidRPr="003A61D5" w:rsidRDefault="00F97B9D" w:rsidP="00F97B9D">
      <w:pPr>
        <w:pStyle w:val="ParaNumbering"/>
        <w:numPr>
          <w:ilvl w:val="0"/>
          <w:numId w:val="0"/>
        </w:numPr>
        <w:ind w:hanging="720"/>
      </w:pPr>
      <w:r w:rsidRPr="003A61D5">
        <w:rPr>
          <w:sz w:val="20"/>
        </w:rPr>
        <w:t>62</w:t>
      </w:r>
      <w:r w:rsidRPr="003A61D5">
        <w:rPr>
          <w:sz w:val="20"/>
        </w:rPr>
        <w:tab/>
      </w:r>
      <w:r w:rsidR="001E3824">
        <w:rPr>
          <w:lang w:eastAsia="en-AU"/>
        </w:rPr>
        <w:t xml:space="preserve">There are other causal difficulties that would arise in an attempt to quantify any profit. </w:t>
      </w:r>
      <w:r w:rsidR="00434667">
        <w:rPr>
          <w:lang w:eastAsia="en-AU"/>
        </w:rPr>
        <w:t xml:space="preserve">As I have mentioned, </w:t>
      </w:r>
      <w:r w:rsidR="008E690E">
        <w:rPr>
          <w:lang w:eastAsia="en-AU"/>
        </w:rPr>
        <w:t>the ACCC did not allege</w:t>
      </w:r>
      <w:r w:rsidR="001E3824">
        <w:rPr>
          <w:lang w:eastAsia="en-AU"/>
        </w:rPr>
        <w:t xml:space="preserve"> (and I did not find) that </w:t>
      </w:r>
      <w:r w:rsidR="001E3824">
        <w:t xml:space="preserve">any representation was made that the Nurofen Specific Pain Range was any more effective than any other Nurofen product. But, again </w:t>
      </w:r>
      <w:r w:rsidR="001E3824">
        <w:rPr>
          <w:i/>
        </w:rPr>
        <w:t xml:space="preserve">assuming </w:t>
      </w:r>
      <w:r w:rsidR="001E3824">
        <w:t xml:space="preserve">a counterfactual approach to the question of the profits from contravention, </w:t>
      </w:r>
      <w:r w:rsidR="00161460">
        <w:t>further questions arise on which I did not receive submissions. For instance, if a c</w:t>
      </w:r>
      <w:r w:rsidR="008F76A0">
        <w:t>onsumer were</w:t>
      </w:r>
      <w:r w:rsidR="00161460">
        <w:t xml:space="preserve"> misled into believing that a Nurofen Specific Pain Range product </w:t>
      </w:r>
      <w:r w:rsidR="008F76A0">
        <w:t xml:space="preserve">was specifically formulated to treat a particular type of pain then, even though no effectiveness representation was made, would it be irrational for that consumer to follow a process of </w:t>
      </w:r>
      <w:r w:rsidR="008F76A0">
        <w:lastRenderedPageBreak/>
        <w:t xml:space="preserve">reasoning that the specific formulation might mean that the </w:t>
      </w:r>
      <w:r w:rsidR="000539F9">
        <w:t xml:space="preserve">product </w:t>
      </w:r>
      <w:r w:rsidR="008F76A0">
        <w:t xml:space="preserve">is more effective and that the </w:t>
      </w:r>
      <w:r w:rsidR="00915E7C">
        <w:t>premium</w:t>
      </w:r>
      <w:r w:rsidR="008F76A0">
        <w:t xml:space="preserve"> price should be paid for that reason?</w:t>
      </w:r>
    </w:p>
    <w:p w:rsidR="00270211" w:rsidRDefault="00F97B9D" w:rsidP="00F97B9D">
      <w:pPr>
        <w:pStyle w:val="ParaNumbering"/>
        <w:numPr>
          <w:ilvl w:val="0"/>
          <w:numId w:val="0"/>
        </w:numPr>
        <w:ind w:hanging="720"/>
      </w:pPr>
      <w:r>
        <w:rPr>
          <w:sz w:val="20"/>
        </w:rPr>
        <w:t>63</w:t>
      </w:r>
      <w:r>
        <w:rPr>
          <w:sz w:val="20"/>
        </w:rPr>
        <w:tab/>
      </w:r>
      <w:r w:rsidR="00985695">
        <w:rPr>
          <w:b/>
        </w:rPr>
        <w:t>Fourthly</w:t>
      </w:r>
      <w:r w:rsidR="00985695" w:rsidRPr="00985695">
        <w:t>,</w:t>
      </w:r>
      <w:r w:rsidR="00985695" w:rsidRPr="00485330">
        <w:t xml:space="preserve"> </w:t>
      </w:r>
      <w:r w:rsidR="00237C72">
        <w:t xml:space="preserve">the estimation of EBIT by the ACCC is </w:t>
      </w:r>
      <w:r w:rsidR="00E51D29">
        <w:t>a measure of operating profit</w:t>
      </w:r>
      <w:r w:rsidR="00434667">
        <w:t>. It is</w:t>
      </w:r>
      <w:r w:rsidR="00E51D29">
        <w:t xml:space="preserve"> not</w:t>
      </w:r>
      <w:r w:rsidR="00434667">
        <w:t xml:space="preserve"> a measure of</w:t>
      </w:r>
      <w:r w:rsidR="00E51D29">
        <w:t xml:space="preserve"> net </w:t>
      </w:r>
      <w:r w:rsidR="00237C72">
        <w:t xml:space="preserve">profit. </w:t>
      </w:r>
      <w:r w:rsidR="00E51D29">
        <w:t xml:space="preserve">If the estimate were to be one of net profit </w:t>
      </w:r>
      <w:r w:rsidR="00237C72">
        <w:t xml:space="preserve">there </w:t>
      </w:r>
      <w:r w:rsidR="00E51D29">
        <w:t>would need to be adjustments to reflect interest on earnings and a deduction to reflect taxation. No submission was made concerning the measure of profit which would most closely serve the purpose of deterrence.</w:t>
      </w:r>
    </w:p>
    <w:p w:rsidR="00826A09" w:rsidRDefault="00F97B9D" w:rsidP="00F97B9D">
      <w:pPr>
        <w:pStyle w:val="ParaNumbering"/>
        <w:numPr>
          <w:ilvl w:val="0"/>
          <w:numId w:val="0"/>
        </w:numPr>
        <w:ind w:hanging="720"/>
      </w:pPr>
      <w:r>
        <w:rPr>
          <w:sz w:val="20"/>
        </w:rPr>
        <w:t>64</w:t>
      </w:r>
      <w:r>
        <w:rPr>
          <w:sz w:val="20"/>
        </w:rPr>
        <w:tab/>
      </w:r>
      <w:r w:rsidR="00270211">
        <w:rPr>
          <w:b/>
        </w:rPr>
        <w:t>Fifthly</w:t>
      </w:r>
      <w:r w:rsidR="00270211" w:rsidRPr="00270211">
        <w:t>,</w:t>
      </w:r>
      <w:r w:rsidR="00270211">
        <w:t xml:space="preserve"> the absence of a quantified profit figure which </w:t>
      </w:r>
      <w:r w:rsidR="00434667">
        <w:t xml:space="preserve">estimates the profit </w:t>
      </w:r>
      <w:r w:rsidR="00D43D6C">
        <w:t>gained from</w:t>
      </w:r>
      <w:r w:rsidR="00270211">
        <w:t xml:space="preserve"> the contravening conduct does not prevent the court from having regard to revenue </w:t>
      </w:r>
      <w:r w:rsidR="00E51D29">
        <w:t xml:space="preserve">figures, </w:t>
      </w:r>
      <w:r w:rsidR="00270211">
        <w:t>or</w:t>
      </w:r>
      <w:r w:rsidR="00E51D29">
        <w:t xml:space="preserve"> preferably </w:t>
      </w:r>
      <w:r w:rsidR="00270211">
        <w:t>EBIT figures</w:t>
      </w:r>
      <w:r w:rsidR="00E51D29">
        <w:t>,</w:t>
      </w:r>
      <w:r w:rsidR="00270211">
        <w:t xml:space="preserve"> from the </w:t>
      </w:r>
      <w:r w:rsidR="00826A09">
        <w:t xml:space="preserve">sales of the </w:t>
      </w:r>
      <w:r w:rsidR="00270211">
        <w:t>product</w:t>
      </w:r>
      <w:r w:rsidR="00826A09">
        <w:t>s involved in the contravention</w:t>
      </w:r>
      <w:r w:rsidR="00D43D6C">
        <w:t>s</w:t>
      </w:r>
      <w:r w:rsidR="00270211">
        <w:t xml:space="preserve">. </w:t>
      </w:r>
      <w:r w:rsidR="00826A09">
        <w:t>Reckitt Benckiser submitted that those figures were irrelevant because they could not prove any amount of profit</w:t>
      </w:r>
      <w:r w:rsidR="00434667">
        <w:t xml:space="preserve"> from contravening conduct. This</w:t>
      </w:r>
      <w:r w:rsidR="00E51D29">
        <w:t xml:space="preserve"> does not make these</w:t>
      </w:r>
      <w:r w:rsidR="00826A09">
        <w:t xml:space="preserve"> figures irrelevant.</w:t>
      </w:r>
      <w:r w:rsidR="00D94F36">
        <w:t xml:space="preserve"> It is not necessary to examine how the use of those concepts might cause effects involving “anchoring” or “framing” such as those described by Professor Kahneman (see Kahneman D</w:t>
      </w:r>
      <w:r w:rsidR="00BD3CB7">
        <w:t>,</w:t>
      </w:r>
      <w:r w:rsidR="00D94F36">
        <w:t xml:space="preserve"> </w:t>
      </w:r>
      <w:r w:rsidR="00D94F36">
        <w:rPr>
          <w:i/>
        </w:rPr>
        <w:t>Thinking</w:t>
      </w:r>
      <w:r w:rsidR="00D43D6C">
        <w:rPr>
          <w:i/>
        </w:rPr>
        <w:t>,</w:t>
      </w:r>
      <w:r w:rsidR="00D94F36">
        <w:rPr>
          <w:i/>
        </w:rPr>
        <w:t xml:space="preserve"> Fast and Slow </w:t>
      </w:r>
      <w:r w:rsidR="00D94F36">
        <w:t>(Penguin, 2012)). No submissions were made about these concepts. It suffices to say that notions of specific or general deterrence of contravening conduct involve abstract considerations. Although profit is highly re</w:t>
      </w:r>
      <w:r w:rsidR="00434667">
        <w:t>levant, any attempt to tie</w:t>
      </w:r>
      <w:r w:rsidR="00D94F36">
        <w:t xml:space="preserve"> notions of deterrence only to a precise profit assessment is bound to cause error.</w:t>
      </w:r>
    </w:p>
    <w:p w:rsidR="001E3824" w:rsidRDefault="00F97B9D" w:rsidP="00F97B9D">
      <w:pPr>
        <w:pStyle w:val="ParaNumbering"/>
        <w:numPr>
          <w:ilvl w:val="0"/>
          <w:numId w:val="0"/>
        </w:numPr>
        <w:ind w:hanging="720"/>
      </w:pPr>
      <w:r>
        <w:rPr>
          <w:sz w:val="20"/>
        </w:rPr>
        <w:t>65</w:t>
      </w:r>
      <w:r>
        <w:rPr>
          <w:sz w:val="20"/>
        </w:rPr>
        <w:tab/>
      </w:r>
      <w:r w:rsidR="00D94F36">
        <w:t>An example</w:t>
      </w:r>
      <w:r w:rsidR="00D43D6C">
        <w:t xml:space="preserve"> of the relevance of EBIT figures</w:t>
      </w:r>
      <w:r w:rsidR="00D94F36">
        <w:t xml:space="preserve"> is that i</w:t>
      </w:r>
      <w:r w:rsidR="00270211">
        <w:t xml:space="preserve">n </w:t>
      </w:r>
      <w:r w:rsidR="00D43D6C">
        <w:rPr>
          <w:i/>
        </w:rPr>
        <w:t xml:space="preserve">Australian Competition and Consumer Commission v </w:t>
      </w:r>
      <w:r w:rsidR="00270211">
        <w:rPr>
          <w:i/>
        </w:rPr>
        <w:t>Coles</w:t>
      </w:r>
      <w:r w:rsidR="00D43D6C">
        <w:rPr>
          <w:i/>
        </w:rPr>
        <w:t xml:space="preserve"> Supermarkets Australia Pty Ltd.</w:t>
      </w:r>
      <w:r w:rsidR="00270211">
        <w:rPr>
          <w:i/>
        </w:rPr>
        <w:t xml:space="preserve"> </w:t>
      </w:r>
      <w:r w:rsidR="00D43D6C">
        <w:t>O</w:t>
      </w:r>
      <w:r w:rsidR="003851D0">
        <w:t xml:space="preserve">ver the three year period during which </w:t>
      </w:r>
      <w:r w:rsidR="00270211">
        <w:t>the par-</w:t>
      </w:r>
      <w:r w:rsidR="00AC77C7">
        <w:t xml:space="preserve">baked </w:t>
      </w:r>
      <w:r w:rsidR="00270211">
        <w:t>products were marketed with misleading phrases</w:t>
      </w:r>
      <w:r w:rsidR="00D94F36">
        <w:t>,</w:t>
      </w:r>
      <w:r w:rsidR="00270211">
        <w:t xml:space="preserve"> </w:t>
      </w:r>
      <w:r w:rsidR="003851D0">
        <w:t xml:space="preserve">the EBIT derived was around $7.28 million. Although no </w:t>
      </w:r>
      <w:r w:rsidR="00D43D6C">
        <w:t xml:space="preserve">accurate </w:t>
      </w:r>
      <w:r w:rsidR="003851D0">
        <w:t xml:space="preserve">profit </w:t>
      </w:r>
      <w:r w:rsidR="00D43D6C">
        <w:t xml:space="preserve">from the contravening conduct </w:t>
      </w:r>
      <w:r w:rsidR="003851D0">
        <w:t xml:space="preserve">was quantifiable, Allsop CJ explained that </w:t>
      </w:r>
      <w:r w:rsidR="00D43D6C">
        <w:t>the EBIT</w:t>
      </w:r>
      <w:r w:rsidR="003851D0">
        <w:t xml:space="preserve"> was “the only measure of the gains that may have been made by Coles from the sale of the par-baked goods” (562 [100]). Although no causal relationship could be identified with profit, the EBIT from the contravening goods served a purpose of framing the considerations of deterrence. </w:t>
      </w:r>
      <w:r w:rsidR="00C86550">
        <w:t xml:space="preserve">For similar reasons, in this case </w:t>
      </w:r>
      <w:r w:rsidR="00055FBF">
        <w:t xml:space="preserve">it remains relevant to consider the revenue and EBIT from the sales of the contravening products even though </w:t>
      </w:r>
      <w:r w:rsidR="008F76A0">
        <w:t>any</w:t>
      </w:r>
      <w:r w:rsidR="00C86550">
        <w:t xml:space="preserve"> profit </w:t>
      </w:r>
      <w:r w:rsidR="00055FBF">
        <w:t xml:space="preserve">from the contraventions is </w:t>
      </w:r>
      <w:r w:rsidR="008F76A0">
        <w:t>un</w:t>
      </w:r>
      <w:r w:rsidR="00055FBF">
        <w:t>quantifiable.</w:t>
      </w:r>
    </w:p>
    <w:p w:rsidR="00015698" w:rsidRDefault="00F97B9D" w:rsidP="00F97B9D">
      <w:pPr>
        <w:pStyle w:val="ParaNumbering"/>
        <w:numPr>
          <w:ilvl w:val="0"/>
          <w:numId w:val="0"/>
        </w:numPr>
        <w:ind w:hanging="720"/>
      </w:pPr>
      <w:r>
        <w:rPr>
          <w:sz w:val="20"/>
        </w:rPr>
        <w:t>66</w:t>
      </w:r>
      <w:r>
        <w:rPr>
          <w:sz w:val="20"/>
        </w:rPr>
        <w:tab/>
      </w:r>
      <w:r w:rsidR="000236D5">
        <w:t xml:space="preserve">For these reasons it is neither necessary, nor appropriate, </w:t>
      </w:r>
      <w:r w:rsidR="00434667">
        <w:t xml:space="preserve">in this case </w:t>
      </w:r>
      <w:r w:rsidR="000236D5">
        <w:t xml:space="preserve">to attempt to engage in an exercise of attempting to quantify any amounts of (i) profit to Reckitt Benckiser from the contravening conduct, (ii) loss to consumers, or (iii) loss to competitors. It is sufficient </w:t>
      </w:r>
      <w:r w:rsidR="00443AC3">
        <w:t xml:space="preserve">to say that the </w:t>
      </w:r>
      <w:r w:rsidR="00027A2F" w:rsidRPr="00027A2F">
        <w:t>Nurofen Specific Pain</w:t>
      </w:r>
      <w:r w:rsidR="00027A2F" w:rsidRPr="00C5224F">
        <w:t xml:space="preserve"> Range re</w:t>
      </w:r>
      <w:r w:rsidR="00027A2F" w:rsidRPr="00027A2F">
        <w:t>c</w:t>
      </w:r>
      <w:r w:rsidR="00027A2F" w:rsidRPr="00C5224F">
        <w:t xml:space="preserve">ommended </w:t>
      </w:r>
      <w:r w:rsidR="00D94F36">
        <w:t xml:space="preserve">retail prices between 2011 and 2015 </w:t>
      </w:r>
      <w:r w:rsidR="00915E7C">
        <w:t>was</w:t>
      </w:r>
      <w:r w:rsidR="00D94F36">
        <w:t xml:space="preserve"> </w:t>
      </w:r>
      <w:r w:rsidR="00D94F36">
        <w:lastRenderedPageBreak/>
        <w:t xml:space="preserve">$11.29 for a 24 caplet pack and $6.29 or $6.59 for a 12 caplet pack. </w:t>
      </w:r>
      <w:r w:rsidR="00964B0B">
        <w:t>Between 2011 and 2015 Reckitt Benckiser sold approximately 5.9 million units of the Nurofen Specific Pain Range products.</w:t>
      </w:r>
      <w:r w:rsidR="00443AC3">
        <w:t xml:space="preserve"> </w:t>
      </w:r>
      <w:r w:rsidR="000236D5">
        <w:t>And t</w:t>
      </w:r>
      <w:r w:rsidR="00443AC3">
        <w:t xml:space="preserve">he total revenue from sales of the Nurofen Specific Pain Range from 2011 to 2015 was </w:t>
      </w:r>
      <w:r w:rsidR="008074F1">
        <w:t>$45 million</w:t>
      </w:r>
      <w:r w:rsidR="001B23D8">
        <w:t>.</w:t>
      </w:r>
    </w:p>
    <w:p w:rsidR="00E51D29" w:rsidRDefault="00E51D29" w:rsidP="00E51D29">
      <w:pPr>
        <w:pStyle w:val="Heading3"/>
      </w:pPr>
      <w:bookmarkStart w:id="49" w:name="_Ref449156390"/>
      <w:r>
        <w:t>The conduct was not</w:t>
      </w:r>
      <w:r w:rsidRPr="00994029">
        <w:rPr>
          <w:lang w:eastAsia="en-AU"/>
        </w:rPr>
        <w:t xml:space="preserve"> </w:t>
      </w:r>
      <w:r>
        <w:rPr>
          <w:lang w:eastAsia="en-AU"/>
        </w:rPr>
        <w:t>deliberate or covert</w:t>
      </w:r>
      <w:bookmarkEnd w:id="49"/>
    </w:p>
    <w:p w:rsidR="00E51D29" w:rsidRDefault="00F97B9D" w:rsidP="00F97B9D">
      <w:pPr>
        <w:pStyle w:val="ParaNumbering"/>
        <w:numPr>
          <w:ilvl w:val="0"/>
          <w:numId w:val="0"/>
        </w:numPr>
        <w:ind w:hanging="720"/>
      </w:pPr>
      <w:r>
        <w:rPr>
          <w:sz w:val="20"/>
        </w:rPr>
        <w:t>67</w:t>
      </w:r>
      <w:r>
        <w:rPr>
          <w:sz w:val="20"/>
        </w:rPr>
        <w:tab/>
      </w:r>
      <w:r w:rsidR="00E51D29">
        <w:t xml:space="preserve">There was no allegation in this case that the conduct by Reckitt Benckiser was deliberate or covert </w:t>
      </w:r>
      <w:r w:rsidR="00434667">
        <w:t xml:space="preserve">in the sense that the contraventions were made knowing that they were contrary to the </w:t>
      </w:r>
      <w:r w:rsidR="00434667">
        <w:rPr>
          <w:i/>
        </w:rPr>
        <w:t xml:space="preserve">Australian Consumer Law </w:t>
      </w:r>
      <w:r w:rsidR="00E51D29">
        <w:t>or that Reckitt Benckiser “courted the risk” of contravention. As I explained in</w:t>
      </w:r>
      <w:r w:rsidR="009355E6">
        <w:t xml:space="preserve"> relation to the discovery issues</w:t>
      </w:r>
      <w:r w:rsidR="00E51D29">
        <w:t xml:space="preserve"> </w:t>
      </w:r>
      <w:r w:rsidR="00915E7C">
        <w:t xml:space="preserve">in </w:t>
      </w:r>
      <w:r w:rsidR="00E51D29" w:rsidRPr="00E51D29">
        <w:rPr>
          <w:i/>
        </w:rPr>
        <w:t>Australian Competition and Consumer Commission v Reckitt Benckiser (Australia) Pty Ltd (No 5)</w:t>
      </w:r>
      <w:r w:rsidR="00E51D29">
        <w:t xml:space="preserve"> [2016] FCA 167, even where liability is to be determined </w:t>
      </w:r>
      <w:r w:rsidR="009355E6">
        <w:t xml:space="preserve">separately from remedy this is one matter </w:t>
      </w:r>
      <w:r w:rsidR="00E51D29">
        <w:t xml:space="preserve">which should be pleaded. </w:t>
      </w:r>
      <w:r w:rsidR="009355E6">
        <w:t>It has the potential to affect dramatically the conduct of the case. No pleaded allegation concerning these matters was made by the ACCC at any stage of these proceedings. And, at a late stage in the proceedings after my decision on the discovery issues</w:t>
      </w:r>
      <w:r w:rsidR="00D43D6C">
        <w:t>,</w:t>
      </w:r>
      <w:r w:rsidR="009355E6" w:rsidRPr="009355E6">
        <w:t xml:space="preserve"> </w:t>
      </w:r>
      <w:r w:rsidR="009355E6">
        <w:t>the ACCC understandably did not seek to amend its pleadings.</w:t>
      </w:r>
    </w:p>
    <w:p w:rsidR="002B7570" w:rsidRDefault="002B7570" w:rsidP="002B7570">
      <w:pPr>
        <w:pStyle w:val="Heading3"/>
      </w:pPr>
      <w:bookmarkStart w:id="50" w:name="_Ref448328072"/>
      <w:r>
        <w:t>Cooperation with the ACCC</w:t>
      </w:r>
      <w:bookmarkEnd w:id="50"/>
    </w:p>
    <w:p w:rsidR="002B7570" w:rsidRDefault="00F97B9D" w:rsidP="00F97B9D">
      <w:pPr>
        <w:pStyle w:val="ParaNumbering"/>
        <w:numPr>
          <w:ilvl w:val="0"/>
          <w:numId w:val="0"/>
        </w:numPr>
        <w:ind w:hanging="720"/>
      </w:pPr>
      <w:r>
        <w:rPr>
          <w:sz w:val="20"/>
        </w:rPr>
        <w:t>68</w:t>
      </w:r>
      <w:r>
        <w:rPr>
          <w:sz w:val="20"/>
        </w:rPr>
        <w:tab/>
      </w:r>
      <w:r w:rsidR="0091784C">
        <w:t>There are a number of respect</w:t>
      </w:r>
      <w:r w:rsidR="008C046B">
        <w:t xml:space="preserve">s in which Reckitt Benckiser </w:t>
      </w:r>
      <w:r w:rsidR="00A773C0">
        <w:t xml:space="preserve">provided commendable and significant </w:t>
      </w:r>
      <w:r w:rsidR="008C046B">
        <w:t>co</w:t>
      </w:r>
      <w:r w:rsidR="00A773C0">
        <w:t>operation</w:t>
      </w:r>
      <w:r w:rsidR="0091784C">
        <w:t xml:space="preserve"> with the ACCC. From July 2013 and </w:t>
      </w:r>
      <w:r w:rsidR="002B7570">
        <w:t xml:space="preserve">prior to the ACCC instituting proceedings, </w:t>
      </w:r>
      <w:r w:rsidR="009056EF">
        <w:t xml:space="preserve">Reckitt Benckiser </w:t>
      </w:r>
      <w:r w:rsidR="00D43D6C">
        <w:t xml:space="preserve">helpfully </w:t>
      </w:r>
      <w:r w:rsidR="002B7570">
        <w:t>responded to document and information requests made by the ACCC,</w:t>
      </w:r>
      <w:r w:rsidR="0091784C">
        <w:t xml:space="preserve"> including by provision of </w:t>
      </w:r>
      <w:r w:rsidR="002B7570">
        <w:t>information relating to the ACCC</w:t>
      </w:r>
      <w:r w:rsidR="00915E7C">
        <w:t>’</w:t>
      </w:r>
      <w:r w:rsidR="002B7570">
        <w:t xml:space="preserve">s investigation of the Nurofen Specific Pain Range on at least </w:t>
      </w:r>
      <w:r w:rsidR="00D43D6C">
        <w:t xml:space="preserve">nine </w:t>
      </w:r>
      <w:r w:rsidR="002B7570">
        <w:t>occasions.</w:t>
      </w:r>
      <w:r w:rsidR="0091784C">
        <w:t xml:space="preserve"> Reckitt Benckiser met with the ACCC on a number of occasions before proceedings began on 4 March 2015. Reckitt Benckiser made a number of offers concerning changes to its packaging. Reckitt Benckiser </w:t>
      </w:r>
      <w:r w:rsidR="008C046B">
        <w:t xml:space="preserve">also proposed and attended mediation with the ACCC. Finally, during the hearing of the matter </w:t>
      </w:r>
      <w:r w:rsidR="009056EF">
        <w:t>Reckitt Benckiser</w:t>
      </w:r>
      <w:r w:rsidR="002B7570">
        <w:t xml:space="preserve"> made admissions and consented to the orders made by the Court, including injunctions, corrective advertising, modification of it</w:t>
      </w:r>
      <w:r w:rsidR="008C046B">
        <w:t xml:space="preserve">s </w:t>
      </w:r>
      <w:r w:rsidR="00D43D6C">
        <w:t>c</w:t>
      </w:r>
      <w:r w:rsidR="008C046B">
        <w:t xml:space="preserve">ompliance </w:t>
      </w:r>
      <w:r w:rsidR="00D43D6C">
        <w:t>p</w:t>
      </w:r>
      <w:r w:rsidR="008C046B">
        <w:t>rogram and costs. It subsequently</w:t>
      </w:r>
      <w:r w:rsidR="002B7570">
        <w:t xml:space="preserve"> agreed to an interim packaging arrangement with the ACCC</w:t>
      </w:r>
      <w:r w:rsidR="008C046B">
        <w:t xml:space="preserve"> and </w:t>
      </w:r>
      <w:r w:rsidR="00D43D6C">
        <w:t xml:space="preserve">helped devise </w:t>
      </w:r>
      <w:r w:rsidR="008C046B">
        <w:t xml:space="preserve">a statement of </w:t>
      </w:r>
      <w:r w:rsidR="00D43D6C">
        <w:t xml:space="preserve">agreed </w:t>
      </w:r>
      <w:r w:rsidR="008C046B">
        <w:t>facts for this penalty hearing</w:t>
      </w:r>
      <w:r w:rsidR="002B7570">
        <w:t>.</w:t>
      </w:r>
    </w:p>
    <w:p w:rsidR="00A773C0" w:rsidRDefault="00F97B9D" w:rsidP="00F97B9D">
      <w:pPr>
        <w:pStyle w:val="ParaNumbering"/>
        <w:numPr>
          <w:ilvl w:val="0"/>
          <w:numId w:val="0"/>
        </w:numPr>
        <w:ind w:hanging="720"/>
      </w:pPr>
      <w:r>
        <w:rPr>
          <w:sz w:val="20"/>
        </w:rPr>
        <w:t>69</w:t>
      </w:r>
      <w:r>
        <w:rPr>
          <w:sz w:val="20"/>
        </w:rPr>
        <w:tab/>
      </w:r>
      <w:r w:rsidR="00D43D6C">
        <w:t>T</w:t>
      </w:r>
      <w:r w:rsidR="00A773C0">
        <w:t>he most substantial cooperation was Reckitt Benckiser’s admissions of liability</w:t>
      </w:r>
      <w:r w:rsidR="00727209">
        <w:t>. Although these admissions</w:t>
      </w:r>
      <w:r w:rsidR="00A773C0">
        <w:t xml:space="preserve"> came early in the trial, there are two reasons why those admissions are substantial matters. First, although the admissions might be characterised as close to bowing t</w:t>
      </w:r>
      <w:r w:rsidR="008E690E">
        <w:t>o the inevitable, the ACCC abandoned other</w:t>
      </w:r>
      <w:r w:rsidR="00A773C0">
        <w:t xml:space="preserve"> allegations against Reckitt Benckiser. In that </w:t>
      </w:r>
      <w:r w:rsidR="00A773C0">
        <w:lastRenderedPageBreak/>
        <w:t xml:space="preserve">respect, Reckitt Benckiser’s capitulation was not a complete admission on the first day of trial after months of preparation. Secondly, as Wigney J said in </w:t>
      </w:r>
      <w:r w:rsidR="00A773C0" w:rsidRPr="00A773C0">
        <w:rPr>
          <w:i/>
        </w:rPr>
        <w:t xml:space="preserve">Australian Competition and Consumer Commission v Visa Inc </w:t>
      </w:r>
      <w:r w:rsidR="00A773C0">
        <w:t>[2015] FCA 1020</w:t>
      </w:r>
      <w:r w:rsidR="00727209">
        <w:t xml:space="preserve"> [121]</w:t>
      </w:r>
      <w:r w:rsidR="00A773C0">
        <w:t>:</w:t>
      </w:r>
    </w:p>
    <w:p w:rsidR="002B7570" w:rsidRDefault="00A773C0" w:rsidP="00E51D29">
      <w:pPr>
        <w:pStyle w:val="Quote1"/>
      </w:pPr>
      <w:r>
        <w:t>Whilst the settlement only occurred on the eve of the trial, that is sometimes to be expected and is not altogether unusual. In any event, it has saved the ACCC, the Court and ultimately the community the cost and burden of litigating to finality a complex, lengthy and difficult case. It has facilitated the administration of justice. Parties should be encouraged to co-operate in this manner in appropriate cases. Sensible settlements may be fostered by the Court by making it clear that such co-operation is a relevant and weighty consideration in the fixing of an appropriate penalty. The penalty that would otherwise have been imposed in this matter should be, and has been, substantially discounted in recognition of this co-operation and the facilitation of the administration of justice.</w:t>
      </w:r>
    </w:p>
    <w:p w:rsidR="0079055A" w:rsidRDefault="0079055A" w:rsidP="0079055A">
      <w:pPr>
        <w:pStyle w:val="Heading3"/>
      </w:pPr>
      <w:bookmarkStart w:id="51" w:name="_Ref448599035"/>
      <w:bookmarkStart w:id="52" w:name="_Ref448645776"/>
      <w:r>
        <w:t>Compliance programs</w:t>
      </w:r>
      <w:bookmarkEnd w:id="51"/>
      <w:r w:rsidR="006354C9">
        <w:t xml:space="preserve"> and the involvement of senior management</w:t>
      </w:r>
      <w:bookmarkEnd w:id="52"/>
    </w:p>
    <w:p w:rsidR="00007423" w:rsidRDefault="00F97B9D" w:rsidP="00F97B9D">
      <w:pPr>
        <w:pStyle w:val="ParaNumbering"/>
        <w:numPr>
          <w:ilvl w:val="0"/>
          <w:numId w:val="0"/>
        </w:numPr>
        <w:ind w:hanging="720"/>
      </w:pPr>
      <w:r>
        <w:rPr>
          <w:sz w:val="20"/>
        </w:rPr>
        <w:t>70</w:t>
      </w:r>
      <w:r>
        <w:rPr>
          <w:sz w:val="20"/>
        </w:rPr>
        <w:tab/>
      </w:r>
      <w:r w:rsidR="006B1319">
        <w:t>As I explain below, Reckitt Benckiser had</w:t>
      </w:r>
      <w:r w:rsidR="00007423">
        <w:t>, and has,</w:t>
      </w:r>
      <w:r w:rsidR="006B1319">
        <w:t xml:space="preserve"> detailed compliance programs, with which senior management were </w:t>
      </w:r>
      <w:r w:rsidR="00727209">
        <w:t xml:space="preserve">and are </w:t>
      </w:r>
      <w:r w:rsidR="006B1319">
        <w:t xml:space="preserve">involved. </w:t>
      </w:r>
      <w:r w:rsidR="000870C5">
        <w:t xml:space="preserve">Although the Nurofen Specific Pain Range products were approved before the period of contraventions, in 2013 and 2014 after events I describe below, decisions were made to maintain the status quo. </w:t>
      </w:r>
      <w:r w:rsidR="00007423">
        <w:t>The compliance programs failed at basic levels.</w:t>
      </w:r>
    </w:p>
    <w:p w:rsidR="006B1319" w:rsidRDefault="00F97B9D" w:rsidP="00F97B9D">
      <w:pPr>
        <w:pStyle w:val="ParaNumbering"/>
        <w:numPr>
          <w:ilvl w:val="0"/>
          <w:numId w:val="0"/>
        </w:numPr>
        <w:ind w:hanging="720"/>
      </w:pPr>
      <w:r>
        <w:rPr>
          <w:sz w:val="20"/>
        </w:rPr>
        <w:t>71</w:t>
      </w:r>
      <w:r>
        <w:rPr>
          <w:sz w:val="20"/>
        </w:rPr>
        <w:tab/>
      </w:r>
      <w:r w:rsidR="00007423">
        <w:t>The high-level marketing strategies were developed by a global analgesics team and implemented by local marketing teams in Australia.</w:t>
      </w:r>
      <w:r w:rsidR="00007423" w:rsidRPr="006B1319">
        <w:t xml:space="preserve"> </w:t>
      </w:r>
      <w:r w:rsidR="00007423">
        <w:t>Reckitt Benckiser personnel involved included those in regulation, sales and marketing</w:t>
      </w:r>
      <w:r w:rsidR="00727209">
        <w:t>, and</w:t>
      </w:r>
      <w:r w:rsidR="00007423">
        <w:t xml:space="preserve"> legal. </w:t>
      </w:r>
      <w:r w:rsidR="006B1319">
        <w:t xml:space="preserve">The </w:t>
      </w:r>
      <w:r w:rsidR="00727209">
        <w:t xml:space="preserve">Australian and New Zealand </w:t>
      </w:r>
      <w:r w:rsidR="006B1319">
        <w:t>management personnel at Reckitt Benckiser involved included the Marketing Director, the Sales Director, the Trade Marketing Manager, the Regulatory and Medical Affairs Director, the Category Manager, and from May 2012, the Legal Director. These people authorised packaging changes</w:t>
      </w:r>
      <w:r w:rsidR="00007423">
        <w:t xml:space="preserve"> including a colour change to one of the Nurofen Specific Pain Range products</w:t>
      </w:r>
      <w:r w:rsidR="006B1319">
        <w:t xml:space="preserve">. The latter three </w:t>
      </w:r>
      <w:r w:rsidR="00007423">
        <w:t xml:space="preserve">personnel </w:t>
      </w:r>
      <w:r w:rsidR="006B1319">
        <w:t xml:space="preserve">approved website changes. </w:t>
      </w:r>
      <w:r w:rsidR="00007423">
        <w:t xml:space="preserve">In December 2012, the Product Comparator </w:t>
      </w:r>
      <w:r w:rsidR="00F148B2">
        <w:t>p</w:t>
      </w:r>
      <w:r w:rsidR="00007423">
        <w:t xml:space="preserve">age and the Specific Pain Relief </w:t>
      </w:r>
      <w:r w:rsidR="00F148B2">
        <w:t>p</w:t>
      </w:r>
      <w:r w:rsidR="00007423">
        <w:t>age were approved by the Category Manager.</w:t>
      </w:r>
    </w:p>
    <w:p w:rsidR="00007423" w:rsidRDefault="00F97B9D" w:rsidP="00F97B9D">
      <w:pPr>
        <w:pStyle w:val="ParaNumbering"/>
        <w:numPr>
          <w:ilvl w:val="0"/>
          <w:numId w:val="0"/>
        </w:numPr>
        <w:ind w:hanging="720"/>
      </w:pPr>
      <w:r>
        <w:rPr>
          <w:sz w:val="20"/>
        </w:rPr>
        <w:t>72</w:t>
      </w:r>
      <w:r>
        <w:rPr>
          <w:sz w:val="20"/>
        </w:rPr>
        <w:tab/>
      </w:r>
      <w:r w:rsidR="00007423">
        <w:t>Reckitt Benckiser’s compliance program consisted of policies, procedures and codes of conduct that included requirements for legal and regulatory compliance for all product packaging and advertising of therapeutic goods. Employees have been required to undertake training related to the compliance program. Employees were made aware of laws and regulations governing their activities.</w:t>
      </w:r>
    </w:p>
    <w:p w:rsidR="00007423" w:rsidRDefault="00F97B9D" w:rsidP="00F97B9D">
      <w:pPr>
        <w:pStyle w:val="ParaNumbering"/>
        <w:numPr>
          <w:ilvl w:val="0"/>
          <w:numId w:val="0"/>
        </w:numPr>
        <w:ind w:hanging="720"/>
      </w:pPr>
      <w:r>
        <w:rPr>
          <w:sz w:val="20"/>
        </w:rPr>
        <w:lastRenderedPageBreak/>
        <w:t>73</w:t>
      </w:r>
      <w:r>
        <w:rPr>
          <w:sz w:val="20"/>
        </w:rPr>
        <w:tab/>
      </w:r>
      <w:r w:rsidR="00007423">
        <w:t xml:space="preserve">One difficulty with Reckitt Benckiser’s compliance program may have been its lack of any specific reference to the </w:t>
      </w:r>
      <w:r w:rsidR="00007423">
        <w:rPr>
          <w:i/>
        </w:rPr>
        <w:t>Australian Consumer Law</w:t>
      </w:r>
      <w:r w:rsidR="00007423" w:rsidRPr="00865C3E">
        <w:t>.</w:t>
      </w:r>
      <w:r w:rsidR="00007423">
        <w:rPr>
          <w:i/>
        </w:rPr>
        <w:t xml:space="preserve"> </w:t>
      </w:r>
      <w:r w:rsidR="008A7C7C">
        <w:t>The benefit of a compliance program, even one as detailed as that which Reckitt Benckiser had, is substantially reduced if it cannot detect serious potential risks, particularly where there are obvious warnings.</w:t>
      </w:r>
    </w:p>
    <w:p w:rsidR="00731F7D" w:rsidRDefault="00F97B9D" w:rsidP="00F97B9D">
      <w:pPr>
        <w:pStyle w:val="ParaNumbering"/>
        <w:numPr>
          <w:ilvl w:val="0"/>
          <w:numId w:val="0"/>
        </w:numPr>
        <w:ind w:hanging="720"/>
      </w:pPr>
      <w:r>
        <w:rPr>
          <w:sz w:val="20"/>
        </w:rPr>
        <w:t>74</w:t>
      </w:r>
      <w:r>
        <w:rPr>
          <w:sz w:val="20"/>
        </w:rPr>
        <w:tab/>
      </w:r>
      <w:r w:rsidR="008A7C7C">
        <w:t>One matter which ought to have sounded warning bells for Reckitt Benckiser is the “Shonky Award” for “pain in the hip pocket” awarded to Reckitt Benckiser by Choice</w:t>
      </w:r>
      <w:r w:rsidR="00E0727A">
        <w:t xml:space="preserve"> in 2010</w:t>
      </w:r>
      <w:r w:rsidR="008A7C7C">
        <w:t>. The Nurofen Specific Pain Range products were criticised for claiming to work on specific pain and for being sold at a higher price than other products. The award is not a badge of honour.</w:t>
      </w:r>
    </w:p>
    <w:p w:rsidR="00731F7D" w:rsidRDefault="00F97B9D" w:rsidP="00F97B9D">
      <w:pPr>
        <w:pStyle w:val="ParaNumbering"/>
        <w:numPr>
          <w:ilvl w:val="0"/>
          <w:numId w:val="0"/>
        </w:numPr>
        <w:tabs>
          <w:tab w:val="left" w:pos="720"/>
        </w:tabs>
        <w:ind w:hanging="720"/>
      </w:pPr>
      <w:r>
        <w:rPr>
          <w:sz w:val="20"/>
        </w:rPr>
        <w:t>75</w:t>
      </w:r>
      <w:r>
        <w:rPr>
          <w:sz w:val="20"/>
        </w:rPr>
        <w:tab/>
      </w:r>
      <w:r w:rsidR="00731F7D">
        <w:t>The Shonky Award details included the following</w:t>
      </w:r>
      <w:r w:rsidR="00677E48">
        <w:t>:</w:t>
      </w:r>
    </w:p>
    <w:p w:rsidR="00731F7D" w:rsidRDefault="00731F7D" w:rsidP="00731F7D">
      <w:pPr>
        <w:pStyle w:val="Quote1"/>
        <w:rPr>
          <w:b/>
        </w:rPr>
      </w:pPr>
      <w:r>
        <w:rPr>
          <w:b/>
        </w:rPr>
        <w:t>Nurofen</w:t>
      </w:r>
    </w:p>
    <w:p w:rsidR="00731F7D" w:rsidRDefault="00731F7D" w:rsidP="00731F7D">
      <w:pPr>
        <w:pStyle w:val="Quote1"/>
        <w:rPr>
          <w:i/>
        </w:rPr>
      </w:pPr>
      <w:r>
        <w:rPr>
          <w:i/>
        </w:rPr>
        <w:t>Shonky for pain in the hip pocket?   Nurofen</w:t>
      </w:r>
    </w:p>
    <w:p w:rsidR="00731F7D" w:rsidRDefault="00731F7D" w:rsidP="00731F7D">
      <w:pPr>
        <w:pStyle w:val="Quote1"/>
        <w:rPr>
          <w:i/>
        </w:rPr>
      </w:pPr>
      <w:r>
        <w:rPr>
          <w:i/>
        </w:rPr>
        <w:t>Got a headache?</w:t>
      </w:r>
    </w:p>
    <w:p w:rsidR="00731F7D" w:rsidRDefault="00731F7D" w:rsidP="00731F7D">
      <w:pPr>
        <w:pStyle w:val="Quote1"/>
        <w:rPr>
          <w:i/>
        </w:rPr>
      </w:pPr>
      <w:r>
        <w:rPr>
          <w:i/>
        </w:rPr>
        <w:t>Backache? Neck ache?</w:t>
      </w:r>
    </w:p>
    <w:p w:rsidR="00731F7D" w:rsidRDefault="00731F7D" w:rsidP="00731F7D">
      <w:pPr>
        <w:pStyle w:val="Quote1"/>
        <w:rPr>
          <w:i/>
        </w:rPr>
      </w:pPr>
      <w:r>
        <w:rPr>
          <w:i/>
        </w:rPr>
        <w:t xml:space="preserve">A trip to your pharmacy or supermarket reveals there are specific painkillers for all sorts of pains: back pain, tension headache pain, migraine pain, period pain, osteoarthritis pain, </w:t>
      </w:r>
      <w:r w:rsidR="001149C1">
        <w:rPr>
          <w:i/>
        </w:rPr>
        <w:t xml:space="preserve">neck pain, </w:t>
      </w:r>
      <w:r>
        <w:rPr>
          <w:i/>
        </w:rPr>
        <w:t>little toe pain… Panadol has a few pain-specific products, but Nurofen has more</w:t>
      </w:r>
      <w:r w:rsidR="001149C1">
        <w:rPr>
          <w:i/>
        </w:rPr>
        <w:t>,</w:t>
      </w:r>
      <w:r>
        <w:rPr>
          <w:i/>
        </w:rPr>
        <w:t xml:space="preserve"> with a range of caplets for migraine, back, tension headache and period pain. Yet a closer look at the ingredients shows they’re identical from product to product.</w:t>
      </w:r>
    </w:p>
    <w:p w:rsidR="00731F7D" w:rsidRPr="00731F7D" w:rsidRDefault="00731F7D" w:rsidP="00731F7D">
      <w:pPr>
        <w:pStyle w:val="Quote1"/>
        <w:rPr>
          <w:i/>
        </w:rPr>
      </w:pPr>
      <w:r>
        <w:rPr>
          <w:i/>
        </w:rPr>
        <w:t>So does the back pain version somehow magically go straight to your back – and only your back – as soon as you’ve swallowed it? Could you, say, choose to treat only your back pain while keeping your headache? If you want to treat both, do you need to take a dose of each? The answers are no, no and definitely no. When you take these pain killers, the active ingredient spreads through your whole body, attacking whatever pain it comes across, wherever it is. Filling up your medicine cabinet with different painkillers for every type of pain is unnecessary, not to mention wasteful, should they expire before you’ve used them all. But the shonkiest aspect of this type of marketing is that the fast-acting painkillers labelled for specific pain types are more expensive – costing almost twice as much in some stores we surveyed – than the</w:t>
      </w:r>
      <w:r w:rsidR="001149C1">
        <w:rPr>
          <w:i/>
        </w:rPr>
        <w:t>ir</w:t>
      </w:r>
      <w:r>
        <w:rPr>
          <w:i/>
        </w:rPr>
        <w:t xml:space="preserve"> “all-pain” fast-acting equivalent, Zavance caplets, which contain a comparable fast-acting form of ibuprofen. Our advice? Stick with Zavance – and see your doctor if pain persists. See the video.</w:t>
      </w:r>
    </w:p>
    <w:p w:rsidR="00E0727A" w:rsidRDefault="00F97B9D" w:rsidP="00F97B9D">
      <w:pPr>
        <w:pStyle w:val="ParaNumbering"/>
        <w:numPr>
          <w:ilvl w:val="0"/>
          <w:numId w:val="0"/>
        </w:numPr>
        <w:ind w:hanging="720"/>
      </w:pPr>
      <w:r>
        <w:rPr>
          <w:sz w:val="20"/>
        </w:rPr>
        <w:t>76</w:t>
      </w:r>
      <w:r>
        <w:rPr>
          <w:sz w:val="20"/>
        </w:rPr>
        <w:tab/>
      </w:r>
      <w:r w:rsidR="000870C5">
        <w:t xml:space="preserve">Reckitt Benckiser submitted that there was no evidence that it was aware of this award. I do not accept this submission. Given the size and careful detail of Reckitt Benckiser’s </w:t>
      </w:r>
      <w:r w:rsidR="00E0727A">
        <w:t>marketing strategies</w:t>
      </w:r>
      <w:r w:rsidR="004F2BF8">
        <w:t>,</w:t>
      </w:r>
      <w:r w:rsidR="00E0727A">
        <w:t xml:space="preserve"> its team</w:t>
      </w:r>
      <w:r w:rsidR="004F2BF8">
        <w:t xml:space="preserve"> and management personnel</w:t>
      </w:r>
      <w:r w:rsidR="001149C1">
        <w:t>,</w:t>
      </w:r>
      <w:r w:rsidR="00E0727A">
        <w:t xml:space="preserve"> it would be remarkable if no-one at Reckitt Benckiser had become </w:t>
      </w:r>
      <w:r w:rsidR="008C21BD">
        <w:t>aware</w:t>
      </w:r>
      <w:r w:rsidR="00E0727A">
        <w:t xml:space="preserve"> of this “award”. Reckitt Benckiser then submitted that the award did not concern the Packaging Representations or the Website Representations. I accept that submission but the award ought to have increased the focus of Reckitt Benckiser </w:t>
      </w:r>
      <w:r w:rsidR="00E0727A">
        <w:lastRenderedPageBreak/>
        <w:t>on the detail of the marketing of these products, particularly in light of the 2012 TGA complaints and the 2013 television show to which I refer below.</w:t>
      </w:r>
    </w:p>
    <w:p w:rsidR="00E0727A" w:rsidRDefault="00F97B9D" w:rsidP="00F97B9D">
      <w:pPr>
        <w:pStyle w:val="ParaNumbering"/>
        <w:numPr>
          <w:ilvl w:val="0"/>
          <w:numId w:val="0"/>
        </w:numPr>
        <w:ind w:hanging="720"/>
      </w:pPr>
      <w:r>
        <w:rPr>
          <w:sz w:val="20"/>
        </w:rPr>
        <w:t>77</w:t>
      </w:r>
      <w:r>
        <w:rPr>
          <w:sz w:val="20"/>
        </w:rPr>
        <w:tab/>
      </w:r>
      <w:r w:rsidR="00E0727A">
        <w:t xml:space="preserve">In 2012, the TGA received two complaints about advertising of products on the Nurofen </w:t>
      </w:r>
      <w:r w:rsidR="00710110">
        <w:t>w</w:t>
      </w:r>
      <w:r w:rsidR="00E0727A">
        <w:t>ebsite including those in the Nurofen Specific Pain Range. One of the complainants said:</w:t>
      </w:r>
    </w:p>
    <w:p w:rsidR="00E0727A" w:rsidRDefault="00E0727A" w:rsidP="00E0727A">
      <w:pPr>
        <w:pStyle w:val="Quote1"/>
      </w:pPr>
      <w:r w:rsidRPr="00E0727A">
        <w:t>Reckitt Benckiser sell at least four different Nurofen-branded products containing the exact same active pharmaceutical ingredient, namely ibuprofen. These products merely differ in their tradename, e.g. Nurofen Tension headache versus Nurofen Migrain pain. Given that these products all contain the same ingredient, I consider this misleading and deceptive, and promotes overpurchasing of their products. This marketing strategy is also underpinned by their slogan, “Target relief” [sic], which is similarly misleading given than [sic] ibuprofen does not exert a targeted action at one</w:t>
      </w:r>
      <w:r>
        <w:t xml:space="preserve"> </w:t>
      </w:r>
      <w:r w:rsidRPr="00E0727A">
        <w:t>area of the body and not another (assuming this is what targeted means, given the existence of different products for different types of pain).</w:t>
      </w:r>
    </w:p>
    <w:p w:rsidR="00E0727A" w:rsidRDefault="00F97B9D" w:rsidP="00F97B9D">
      <w:pPr>
        <w:pStyle w:val="ParaNumbering"/>
        <w:numPr>
          <w:ilvl w:val="0"/>
          <w:numId w:val="0"/>
        </w:numPr>
        <w:ind w:hanging="720"/>
      </w:pPr>
      <w:r>
        <w:rPr>
          <w:sz w:val="20"/>
        </w:rPr>
        <w:t>78</w:t>
      </w:r>
      <w:r>
        <w:rPr>
          <w:sz w:val="20"/>
        </w:rPr>
        <w:tab/>
      </w:r>
      <w:r w:rsidR="00E0727A">
        <w:t>On 12 June 2013, the TGA Complaints Resolution Panel made findings including that</w:t>
      </w:r>
      <w:r w:rsidR="00193051">
        <w:t>:</w:t>
      </w:r>
    </w:p>
    <w:p w:rsidR="008A7C7C" w:rsidRDefault="00E0727A" w:rsidP="00E0727A">
      <w:pPr>
        <w:pStyle w:val="Quote1"/>
      </w:pPr>
      <w:r>
        <w:t>i</w:t>
      </w:r>
      <w:r w:rsidRPr="00E0727A">
        <w:t>n the absence of clear and prominent statements to the contrary, the use of the descriptive names Nurofen Back Pain, Nurofen Migraine Pain, Nurofen Period Pain, and Nurofen Tension Headache Pain in the advertisement would convey to an ordinary and reasonable consumer that</w:t>
      </w:r>
      <w:r w:rsidR="00193051">
        <w:t>:</w:t>
      </w:r>
    </w:p>
    <w:p w:rsidR="00E0727A" w:rsidRDefault="00F97B9D" w:rsidP="00F97B9D">
      <w:pPr>
        <w:pStyle w:val="Quote2"/>
        <w:ind w:left="1701" w:hanging="567"/>
      </w:pPr>
      <w:r>
        <w:t>a.</w:t>
      </w:r>
      <w:r>
        <w:tab/>
      </w:r>
      <w:r w:rsidR="00E0727A" w:rsidRPr="00E0727A">
        <w:t>The products so named were different in their ingredients or effects, and did not differ solely because of the consumer to which advertisements about them were directed;</w:t>
      </w:r>
    </w:p>
    <w:p w:rsidR="00E0727A" w:rsidRDefault="00F97B9D" w:rsidP="00F97B9D">
      <w:pPr>
        <w:pStyle w:val="Quote2"/>
        <w:ind w:left="1701" w:hanging="567"/>
      </w:pPr>
      <w:r>
        <w:t>b.</w:t>
      </w:r>
      <w:r>
        <w:tab/>
      </w:r>
      <w:r w:rsidR="00E0727A" w:rsidRPr="00E0727A">
        <w:t>The advertised products would have an effect in the named area or site of pain, and would not have an effect on other pain or act elsewhere in the body other than in the named area.</w:t>
      </w:r>
    </w:p>
    <w:p w:rsidR="00405250" w:rsidRDefault="00F97B9D" w:rsidP="00F97B9D">
      <w:pPr>
        <w:pStyle w:val="ParaNumbering"/>
        <w:numPr>
          <w:ilvl w:val="0"/>
          <w:numId w:val="0"/>
        </w:numPr>
        <w:ind w:hanging="720"/>
      </w:pPr>
      <w:r>
        <w:rPr>
          <w:sz w:val="20"/>
        </w:rPr>
        <w:t>79</w:t>
      </w:r>
      <w:r>
        <w:rPr>
          <w:sz w:val="20"/>
        </w:rPr>
        <w:tab/>
      </w:r>
      <w:r w:rsidR="00A0294A">
        <w:t>On 11 April 2014, a</w:t>
      </w:r>
      <w:r w:rsidR="00E0727A" w:rsidRPr="00E0727A">
        <w:t xml:space="preserve"> delegate of the Secretary of the Department of Health </w:t>
      </w:r>
      <w:r w:rsidR="00405250">
        <w:t>made orders</w:t>
      </w:r>
      <w:r w:rsidR="00A0294A">
        <w:t xml:space="preserve"> that Reckitt Benckiser withdraw any representations that imply that any two or more Nurofen products that contain equivalent ibuprofen quantities and include the same product specific indications on the Australian Register of Therapeutic Goods</w:t>
      </w:r>
      <w:r w:rsidR="00405250">
        <w:t xml:space="preserve"> </w:t>
      </w:r>
      <w:r w:rsidR="00A0294A">
        <w:t xml:space="preserve">(i) are effective only in treating a particular </w:t>
      </w:r>
      <w:r w:rsidR="001149C1">
        <w:t xml:space="preserve">condition </w:t>
      </w:r>
      <w:r w:rsidR="00A0294A">
        <w:t xml:space="preserve">or conditions or pain in a particular part or parts of the body; or (ii) are not effective in treating other conditions or pain in other parts of the body. The delegate explained her reasoning in part </w:t>
      </w:r>
      <w:r w:rsidR="00405250">
        <w:t>as follows</w:t>
      </w:r>
      <w:r w:rsidR="001149C1">
        <w:t>:</w:t>
      </w:r>
    </w:p>
    <w:p w:rsidR="00405250" w:rsidRDefault="00405250" w:rsidP="00405250">
      <w:pPr>
        <w:pStyle w:val="Quote1"/>
      </w:pPr>
      <w:r>
        <w:t>In order to ensure that consumers are not misled, I consider that it is necessary to order [Reckitt Benckiser] to withdraw any representations, including implied representations, that imply that any two or more Nurofen products that contain equivalent quantities of ibuprofen and include the same product indications, are effective only in treating particular conditions or pain in particular parts of the body and/or are not effective in treating other conditions or pain in other parts of the body.</w:t>
      </w:r>
    </w:p>
    <w:p w:rsidR="000320C6" w:rsidRDefault="00F97B9D" w:rsidP="00F97B9D">
      <w:pPr>
        <w:pStyle w:val="ParaNumbering"/>
        <w:numPr>
          <w:ilvl w:val="0"/>
          <w:numId w:val="0"/>
        </w:numPr>
        <w:ind w:hanging="720"/>
      </w:pPr>
      <w:r>
        <w:rPr>
          <w:sz w:val="20"/>
        </w:rPr>
        <w:t>80</w:t>
      </w:r>
      <w:r>
        <w:rPr>
          <w:sz w:val="20"/>
        </w:rPr>
        <w:tab/>
      </w:r>
      <w:r w:rsidR="000320C6">
        <w:t xml:space="preserve">Reckitt Benckiser emphasised in its submissions that these findings had concerned only the </w:t>
      </w:r>
      <w:r w:rsidR="00A0294A">
        <w:t xml:space="preserve">Nurofen </w:t>
      </w:r>
      <w:r w:rsidR="00710110">
        <w:t>w</w:t>
      </w:r>
      <w:r w:rsidR="00A0294A">
        <w:t>ebsite. Reckitt Benckiser correctly observed that</w:t>
      </w:r>
      <w:r w:rsidR="000320C6">
        <w:t xml:space="preserve"> t</w:t>
      </w:r>
      <w:r w:rsidR="000320C6" w:rsidRPr="000320C6">
        <w:t xml:space="preserve">he website </w:t>
      </w:r>
      <w:r w:rsidR="000320C6">
        <w:t xml:space="preserve">considered by the </w:t>
      </w:r>
      <w:r w:rsidR="000320C6">
        <w:lastRenderedPageBreak/>
        <w:t xml:space="preserve">Complaints Resolution Panel contained much </w:t>
      </w:r>
      <w:r w:rsidR="000320C6" w:rsidRPr="000320C6">
        <w:t>lengthier descripti</w:t>
      </w:r>
      <w:r w:rsidR="000320C6">
        <w:t>ons and marketing than the summary packaging of the product. And within a month, Reckitt Benckiser removed the two contravening webpages.</w:t>
      </w:r>
    </w:p>
    <w:p w:rsidR="00405250" w:rsidRDefault="00F97B9D" w:rsidP="00F97B9D">
      <w:pPr>
        <w:pStyle w:val="ParaNumbering"/>
        <w:numPr>
          <w:ilvl w:val="0"/>
          <w:numId w:val="0"/>
        </w:numPr>
        <w:ind w:hanging="720"/>
      </w:pPr>
      <w:r>
        <w:rPr>
          <w:sz w:val="20"/>
        </w:rPr>
        <w:t>81</w:t>
      </w:r>
      <w:r>
        <w:rPr>
          <w:sz w:val="20"/>
        </w:rPr>
        <w:tab/>
      </w:r>
      <w:r w:rsidR="00731F7D">
        <w:t>I accept that the representations on the website were different</w:t>
      </w:r>
      <w:r w:rsidR="001149C1">
        <w:t xml:space="preserve"> to the Packaging Representations</w:t>
      </w:r>
      <w:r w:rsidR="00731F7D">
        <w:t xml:space="preserve">. They are sufficiently different to constitute a different course of conduct. But, again, the findings and orders of the Complaints Resolution Panel ought to have prompted Reckitt Benckiser to consider its packaging. </w:t>
      </w:r>
      <w:r w:rsidR="00405250">
        <w:t>The packa</w:t>
      </w:r>
      <w:r w:rsidR="00A0294A">
        <w:t>ging was expressly mentioned by the delegate</w:t>
      </w:r>
      <w:r w:rsidR="00405250">
        <w:t xml:space="preserve"> as a matter not considered</w:t>
      </w:r>
      <w:r w:rsidR="00D65AEE">
        <w:t xml:space="preserve">. The remarks of the delegate must have been recognised as having potential implications for packaging and labelling (see also court book at 233). The </w:t>
      </w:r>
      <w:r w:rsidR="001149C1">
        <w:t xml:space="preserve">following </w:t>
      </w:r>
      <w:r w:rsidR="00D65AEE">
        <w:t>remarks</w:t>
      </w:r>
      <w:r w:rsidR="00A0294A">
        <w:t xml:space="preserve"> should have prompted a review</w:t>
      </w:r>
      <w:r w:rsidR="00405250">
        <w:t>:</w:t>
      </w:r>
    </w:p>
    <w:p w:rsidR="00405250" w:rsidRDefault="00405250" w:rsidP="00405250">
      <w:pPr>
        <w:pStyle w:val="Quote1"/>
      </w:pPr>
      <w:r>
        <w:t>I note that the Panel did not specifically consider the individual labels of the products featured in the advertisement, which was the subject of the complaint, and whether or not these labels breached the Code in their own right. However, given my findings that the Nurofen website advertisement at www.nurofen.com.au, even without the ‘Head, Shoulders, Knees and Toes’ and ‘Live Well’ video advertisements, breaches the Code, I do not think it necessary for the purposes of this decision to specifically consider whether the individual labels of the products featured in the advertisement breach the Code in their own right.</w:t>
      </w:r>
    </w:p>
    <w:p w:rsidR="00731F7D" w:rsidRDefault="00F97B9D" w:rsidP="00F97B9D">
      <w:pPr>
        <w:pStyle w:val="ParaNumbering"/>
        <w:numPr>
          <w:ilvl w:val="0"/>
          <w:numId w:val="0"/>
        </w:numPr>
        <w:ind w:hanging="720"/>
      </w:pPr>
      <w:r>
        <w:rPr>
          <w:sz w:val="20"/>
        </w:rPr>
        <w:t>82</w:t>
      </w:r>
      <w:r>
        <w:rPr>
          <w:sz w:val="20"/>
        </w:rPr>
        <w:tab/>
      </w:r>
      <w:r w:rsidR="00731F7D">
        <w:t xml:space="preserve">Instead, around mid-July 2013, the Australian Regulatory and Medical Affairs Director decided that Reckitt Benckiser would maintain the products in the Nurofen Specific Pain Range in their current packaging, and would maintain the Product Comparator </w:t>
      </w:r>
      <w:r w:rsidR="00F148B2">
        <w:t>p</w:t>
      </w:r>
      <w:r w:rsidR="00731F7D">
        <w:t xml:space="preserve">age and the Specific Pain Relief </w:t>
      </w:r>
      <w:r w:rsidR="00F148B2">
        <w:t>p</w:t>
      </w:r>
      <w:r w:rsidR="00731F7D">
        <w:t xml:space="preserve">age, pending a final review of the determination. And in May 2014, following the review by the </w:t>
      </w:r>
      <w:r w:rsidR="001149C1">
        <w:t>d</w:t>
      </w:r>
      <w:r w:rsidR="00731F7D">
        <w:t>elegate of the Secretary of the Department of Health, which reviewed the determination of the Complaint Resolution Panel, senior management in the positions I have described in Australia decided that Reckitt Benckiser would maintain the Nurofen Specific Pain Range products in their existing packaging.</w:t>
      </w:r>
    </w:p>
    <w:p w:rsidR="008A7C7C" w:rsidRDefault="00F97B9D" w:rsidP="00F97B9D">
      <w:pPr>
        <w:pStyle w:val="ParaNumbering"/>
        <w:numPr>
          <w:ilvl w:val="0"/>
          <w:numId w:val="0"/>
        </w:numPr>
        <w:ind w:hanging="720"/>
      </w:pPr>
      <w:r>
        <w:rPr>
          <w:sz w:val="20"/>
        </w:rPr>
        <w:t>83</w:t>
      </w:r>
      <w:r>
        <w:rPr>
          <w:sz w:val="20"/>
        </w:rPr>
        <w:tab/>
      </w:r>
      <w:r w:rsidR="00007423">
        <w:t>A</w:t>
      </w:r>
      <w:r w:rsidR="00731F7D">
        <w:t xml:space="preserve"> third</w:t>
      </w:r>
      <w:r w:rsidR="008A7C7C">
        <w:t xml:space="preserve"> matter which </w:t>
      </w:r>
      <w:r w:rsidR="001149C1">
        <w:t xml:space="preserve">should </w:t>
      </w:r>
      <w:r w:rsidR="008A7C7C">
        <w:t>have sounded warning bells wa</w:t>
      </w:r>
      <w:r w:rsidR="00007423">
        <w:t xml:space="preserve">s </w:t>
      </w:r>
      <w:r w:rsidR="008A7C7C">
        <w:t>the television show, “The Checkout”.</w:t>
      </w:r>
      <w:r w:rsidR="00007423">
        <w:t xml:space="preserve"> </w:t>
      </w:r>
      <w:r w:rsidR="008A7C7C">
        <w:t xml:space="preserve">In 2013, this television show broadcast a show which criticised </w:t>
      </w:r>
      <w:r w:rsidR="00007423">
        <w:t>Reckitt Benckiser</w:t>
      </w:r>
      <w:r w:rsidR="008A7C7C">
        <w:t xml:space="preserve"> for selling products that claim to work on specific pain at a higher price than other products. Reckitt Benckiser</w:t>
      </w:r>
      <w:r w:rsidR="00007423">
        <w:t xml:space="preserve"> submitted that there was no evidence that anyone at Reckitt Benckiser had seen this show. This is a surprising submission. I have watched the show which was a tendered exhibit on DVD. The presenter said that no-one from Reckitt Benckiser was willing to go on camera to defend its products. She also said that Reckitt Benckiser’s</w:t>
      </w:r>
      <w:r w:rsidR="008A7C7C">
        <w:t xml:space="preserve"> public relations</w:t>
      </w:r>
      <w:r w:rsidR="00007423">
        <w:t xml:space="preserve"> company gave a statement and asked them to attribute it to a Reckitt Benckiser spokesperson, referring to evidence</w:t>
      </w:r>
      <w:r w:rsidR="001149C1">
        <w:t>-</w:t>
      </w:r>
      <w:r w:rsidR="00007423">
        <w:t>based science. Documents were th</w:t>
      </w:r>
      <w:r w:rsidR="008A7C7C">
        <w:t xml:space="preserve">en provided by the public relations </w:t>
      </w:r>
      <w:r w:rsidR="008A7C7C">
        <w:lastRenderedPageBreak/>
        <w:t xml:space="preserve">company. It is a very simple inference to conclude, as I do, that Reckitt Benckiser </w:t>
      </w:r>
      <w:r w:rsidR="001149C1">
        <w:t>was</w:t>
      </w:r>
      <w:r w:rsidR="008A7C7C">
        <w:t>aware of the program about which it had been contacted and to which it responded through a public relations company.</w:t>
      </w:r>
    </w:p>
    <w:p w:rsidR="00762CD0" w:rsidRDefault="00F97B9D" w:rsidP="00F97B9D">
      <w:pPr>
        <w:pStyle w:val="ParaNumbering"/>
        <w:numPr>
          <w:ilvl w:val="0"/>
          <w:numId w:val="0"/>
        </w:numPr>
        <w:ind w:hanging="720"/>
      </w:pPr>
      <w:r>
        <w:rPr>
          <w:sz w:val="20"/>
        </w:rPr>
        <w:t>84</w:t>
      </w:r>
      <w:r>
        <w:rPr>
          <w:sz w:val="20"/>
        </w:rPr>
        <w:tab/>
      </w:r>
      <w:r w:rsidR="00CE4DD8">
        <w:t xml:space="preserve">Reckitt Benckiser referred in detail to </w:t>
      </w:r>
      <w:r w:rsidR="00183E2E">
        <w:t>regulatory</w:t>
      </w:r>
      <w:r w:rsidR="00CE4DD8">
        <w:t xml:space="preserve"> matters which mitigate the effect of these warnings. </w:t>
      </w:r>
      <w:r w:rsidR="00183E2E">
        <w:t xml:space="preserve">The regulatory matters involve the </w:t>
      </w:r>
      <w:r w:rsidR="003211B4">
        <w:t xml:space="preserve">approval of each of the products in the Nurofen Specific Pain Range </w:t>
      </w:r>
      <w:r w:rsidR="00762CD0">
        <w:t xml:space="preserve">by the </w:t>
      </w:r>
      <w:r w:rsidR="001149C1">
        <w:t>TGA</w:t>
      </w:r>
      <w:r w:rsidR="00762CD0">
        <w:t xml:space="preserve"> </w:t>
      </w:r>
      <w:r w:rsidR="003211B4">
        <w:t xml:space="preserve">under the </w:t>
      </w:r>
      <w:r w:rsidR="003211B4">
        <w:rPr>
          <w:i/>
        </w:rPr>
        <w:t xml:space="preserve">Therapeutic Goods Act 1989 </w:t>
      </w:r>
      <w:r w:rsidR="00762CD0">
        <w:t xml:space="preserve">(Cth). The TGA is a Commonwealth regulatory authority with </w:t>
      </w:r>
      <w:r w:rsidR="001149C1">
        <w:t xml:space="preserve">statutory </w:t>
      </w:r>
      <w:r w:rsidR="00762CD0">
        <w:t>responsibilities including regulating the supply, import, export, manufacturing and advertising of therapeutic goods in Australia. Before therapeutic goods can be imported and supplied in, or exported from, Australia, the TGA must be satisfied that they meet applicable standards.</w:t>
      </w:r>
    </w:p>
    <w:p w:rsidR="00731F7D" w:rsidRDefault="00F97B9D" w:rsidP="00F97B9D">
      <w:pPr>
        <w:pStyle w:val="ParaNumbering"/>
        <w:numPr>
          <w:ilvl w:val="0"/>
          <w:numId w:val="0"/>
        </w:numPr>
        <w:ind w:hanging="720"/>
      </w:pPr>
      <w:r>
        <w:rPr>
          <w:sz w:val="20"/>
        </w:rPr>
        <w:t>85</w:t>
      </w:r>
      <w:r>
        <w:rPr>
          <w:sz w:val="20"/>
        </w:rPr>
        <w:tab/>
      </w:r>
      <w:r w:rsidR="00762CD0">
        <w:t>In relation to the approval of Nurofen Migraine Pain in 2003, that approval would have taken into account a duty to refuse</w:t>
      </w:r>
      <w:r w:rsidR="003211B4">
        <w:t xml:space="preserve"> to list the </w:t>
      </w:r>
      <w:r w:rsidR="001149C1">
        <w:t xml:space="preserve">product </w:t>
      </w:r>
      <w:r w:rsidR="00762CD0">
        <w:t xml:space="preserve">for unacceptable presentation (“…labelling and packaging of the goods and any advertising or other informational material…”) if the product did not conform to the appropriate standard under the Ministerial Order (which included the labelling of the “purposes for which it is intended that the goods be used”) and the Therapeutic Goods Advertising Code </w:t>
      </w:r>
      <w:r w:rsidR="001149C1">
        <w:t>(</w:t>
      </w:r>
      <w:r w:rsidR="00762CD0">
        <w:t>which included requirements that the packaging did not “mislead or deceive the consumer”</w:t>
      </w:r>
      <w:r w:rsidR="001149C1">
        <w:t>)</w:t>
      </w:r>
      <w:r w:rsidR="00731F7D">
        <w:t>.</w:t>
      </w:r>
      <w:r w:rsidR="00762CD0">
        <w:t xml:space="preserve"> Similar consideration, under similar provisions, </w:t>
      </w:r>
      <w:r w:rsidR="001149C1">
        <w:t xml:space="preserve">would have been </w:t>
      </w:r>
      <w:r w:rsidR="00762CD0">
        <w:t>given to the approvals of each of Nurofen Tension Headache, Nurofen Period Pain, and Nurofen Back Pain</w:t>
      </w:r>
      <w:r w:rsidR="001149C1">
        <w:t xml:space="preserve"> products</w:t>
      </w:r>
      <w:r w:rsidR="00762CD0">
        <w:t>.</w:t>
      </w:r>
    </w:p>
    <w:p w:rsidR="00183E2E" w:rsidRDefault="00F97B9D" w:rsidP="00F97B9D">
      <w:pPr>
        <w:pStyle w:val="ParaNumbering"/>
        <w:numPr>
          <w:ilvl w:val="0"/>
          <w:numId w:val="0"/>
        </w:numPr>
        <w:ind w:hanging="720"/>
      </w:pPr>
      <w:r>
        <w:rPr>
          <w:sz w:val="20"/>
        </w:rPr>
        <w:t>86</w:t>
      </w:r>
      <w:r>
        <w:rPr>
          <w:sz w:val="20"/>
        </w:rPr>
        <w:tab/>
      </w:r>
      <w:r w:rsidR="00183E2E">
        <w:t xml:space="preserve">These matters reduce the concerns about laxity of the compliance program in relation to the </w:t>
      </w:r>
      <w:r w:rsidR="00183E2E">
        <w:rPr>
          <w:i/>
        </w:rPr>
        <w:t xml:space="preserve">Australian Consumer Law. </w:t>
      </w:r>
      <w:r w:rsidR="00183E2E">
        <w:t xml:space="preserve">But, as the ACCC observed, the regulatory approvals were given to each product individually. The essence of the contraventions involving the Packaging Representations in this case was the combined, and interrelated, effect of the four different Nurofen Specific Pain Range products. This is one of the reasons why the </w:t>
      </w:r>
      <w:r w:rsidR="001149C1">
        <w:t xml:space="preserve">Packaging Representations </w:t>
      </w:r>
      <w:r w:rsidR="00183E2E">
        <w:t>involved a single course of conduct and it is also a reason why it could not have been sufficient to rely upon regulatory approval for individual products which were not considered collectively.</w:t>
      </w:r>
    </w:p>
    <w:p w:rsidR="0079055A" w:rsidRDefault="00F97B9D" w:rsidP="00F97B9D">
      <w:pPr>
        <w:pStyle w:val="ParaNumbering"/>
        <w:numPr>
          <w:ilvl w:val="0"/>
          <w:numId w:val="0"/>
        </w:numPr>
        <w:ind w:hanging="720"/>
      </w:pPr>
      <w:r>
        <w:rPr>
          <w:sz w:val="20"/>
        </w:rPr>
        <w:t>87</w:t>
      </w:r>
      <w:r>
        <w:rPr>
          <w:sz w:val="20"/>
        </w:rPr>
        <w:tab/>
      </w:r>
      <w:r w:rsidR="00183E2E">
        <w:t xml:space="preserve">In considering Reckitt Benckiser’s compliance program, I also take into account that </w:t>
      </w:r>
      <w:r w:rsidR="00731F7D">
        <w:t xml:space="preserve">Reckitt Benckiser has agreed to update </w:t>
      </w:r>
      <w:r w:rsidR="00183E2E">
        <w:t>its compliance p</w:t>
      </w:r>
      <w:r w:rsidR="00731F7D">
        <w:t>rogram in a</w:t>
      </w:r>
      <w:r w:rsidR="00183E2E">
        <w:t>ccordance with the orders of this</w:t>
      </w:r>
      <w:r w:rsidR="00731F7D">
        <w:t xml:space="preserve"> Court</w:t>
      </w:r>
      <w:r w:rsidR="00183E2E">
        <w:t xml:space="preserve"> made on</w:t>
      </w:r>
      <w:r w:rsidR="00731F7D">
        <w:t xml:space="preserve"> 11 December 2015.</w:t>
      </w:r>
    </w:p>
    <w:p w:rsidR="0079055A" w:rsidRDefault="0079055A" w:rsidP="0079055A">
      <w:pPr>
        <w:pStyle w:val="Heading3"/>
      </w:pPr>
      <w:bookmarkStart w:id="53" w:name="_Ref448328073"/>
      <w:r>
        <w:lastRenderedPageBreak/>
        <w:t>Prior contraventions</w:t>
      </w:r>
      <w:bookmarkEnd w:id="53"/>
    </w:p>
    <w:p w:rsidR="004825F5" w:rsidRDefault="00F97B9D" w:rsidP="00F97B9D">
      <w:pPr>
        <w:pStyle w:val="ParaNumbering"/>
        <w:numPr>
          <w:ilvl w:val="0"/>
          <w:numId w:val="0"/>
        </w:numPr>
        <w:ind w:hanging="720"/>
      </w:pPr>
      <w:r>
        <w:rPr>
          <w:sz w:val="20"/>
        </w:rPr>
        <w:t>88</w:t>
      </w:r>
      <w:r>
        <w:rPr>
          <w:sz w:val="20"/>
        </w:rPr>
        <w:tab/>
      </w:r>
      <w:r w:rsidR="004825F5">
        <w:t xml:space="preserve">The ACCC has never previously alleged any contravention of the </w:t>
      </w:r>
      <w:r w:rsidR="004825F5">
        <w:rPr>
          <w:i/>
        </w:rPr>
        <w:t xml:space="preserve">Australian Consumer Law </w:t>
      </w:r>
      <w:r w:rsidR="004825F5">
        <w:t>or its predecessor by Reckitt Benckiser. Reckitt Benckiser has never been required to pay a pecuniary penalty. It has never previously given an undertaking to the ACCC under s</w:t>
      </w:r>
      <w:r w:rsidR="00865C3E">
        <w:t> </w:t>
      </w:r>
      <w:r w:rsidR="004825F5">
        <w:t xml:space="preserve">87B of the </w:t>
      </w:r>
      <w:r w:rsidR="004825F5" w:rsidRPr="00A45A1E">
        <w:rPr>
          <w:i/>
        </w:rPr>
        <w:t>Competition and Consumer Act 2010</w:t>
      </w:r>
      <w:r w:rsidR="004825F5">
        <w:t xml:space="preserve"> (Cth) or the </w:t>
      </w:r>
      <w:r w:rsidR="004825F5">
        <w:rPr>
          <w:i/>
        </w:rPr>
        <w:t>Trade Practices Act 1974</w:t>
      </w:r>
      <w:r w:rsidR="004825F5">
        <w:t xml:space="preserve"> (Cth).</w:t>
      </w:r>
    </w:p>
    <w:p w:rsidR="0079055A" w:rsidRDefault="00F97B9D" w:rsidP="00F97B9D">
      <w:pPr>
        <w:pStyle w:val="ParaNumbering"/>
        <w:numPr>
          <w:ilvl w:val="0"/>
          <w:numId w:val="0"/>
        </w:numPr>
        <w:ind w:hanging="720"/>
      </w:pPr>
      <w:r>
        <w:rPr>
          <w:sz w:val="20"/>
        </w:rPr>
        <w:t>89</w:t>
      </w:r>
      <w:r>
        <w:rPr>
          <w:sz w:val="20"/>
        </w:rPr>
        <w:tab/>
      </w:r>
      <w:r w:rsidR="004825F5">
        <w:t>The ACCC relied upon the decision</w:t>
      </w:r>
      <w:r w:rsidR="00DE73AC">
        <w:t>s</w:t>
      </w:r>
      <w:r w:rsidR="004825F5">
        <w:t xml:space="preserve"> of this Court i</w:t>
      </w:r>
      <w:r w:rsidR="0079055A">
        <w:t xml:space="preserve">n </w:t>
      </w:r>
      <w:r w:rsidR="0079055A" w:rsidRPr="00C26C5F">
        <w:rPr>
          <w:i/>
        </w:rPr>
        <w:t>SC Johnson &amp; Son Pty Ltd v Reckitt Benckiser (Australia) Pty Ltd</w:t>
      </w:r>
      <w:r w:rsidR="0079055A">
        <w:t xml:space="preserve"> [201</w:t>
      </w:r>
      <w:r w:rsidR="004825F5">
        <w:t>2] FCA 1266</w:t>
      </w:r>
      <w:r w:rsidR="00DE73AC" w:rsidRPr="00DE73AC">
        <w:rPr>
          <w:i/>
        </w:rPr>
        <w:t xml:space="preserve"> </w:t>
      </w:r>
      <w:r w:rsidR="00DE73AC">
        <w:t xml:space="preserve">and </w:t>
      </w:r>
      <w:r w:rsidR="00DE73AC" w:rsidRPr="00C26C5F">
        <w:rPr>
          <w:i/>
        </w:rPr>
        <w:t>SC Johnson &amp; Son Pty Ltd v Reckitt Benckiser (Australia) Pty Ltd</w:t>
      </w:r>
      <w:r w:rsidR="00DE73AC">
        <w:t xml:space="preserve"> </w:t>
      </w:r>
      <w:r w:rsidR="00DE73AC" w:rsidRPr="00C26C5F">
        <w:rPr>
          <w:i/>
        </w:rPr>
        <w:t>(No 2)</w:t>
      </w:r>
      <w:r w:rsidR="00DE73AC">
        <w:t xml:space="preserve"> [2012] FCA 1362</w:t>
      </w:r>
      <w:r w:rsidR="001149C1">
        <w:t xml:space="preserve"> to suggest </w:t>
      </w:r>
      <w:r w:rsidR="0066079B">
        <w:t>a pattern of previous conduct</w:t>
      </w:r>
      <w:r w:rsidR="004825F5">
        <w:t xml:space="preserve">. </w:t>
      </w:r>
      <w:r w:rsidR="0066079B">
        <w:t>Those decisions were the basis for a declaration that</w:t>
      </w:r>
      <w:r w:rsidR="004825F5">
        <w:t xml:space="preserve"> </w:t>
      </w:r>
      <w:r w:rsidR="001149C1">
        <w:t xml:space="preserve">in 2012 </w:t>
      </w:r>
      <w:r w:rsidR="004825F5">
        <w:t>Reckitt Benckiser had made a false</w:t>
      </w:r>
      <w:r w:rsidR="0079055A">
        <w:t xml:space="preserve"> representation on the packaging</w:t>
      </w:r>
      <w:r w:rsidR="00DE73AC">
        <w:t xml:space="preserve"> of a refill of a pest control product (Mortein) that part of the active ingredients of the product</w:t>
      </w:r>
      <w:r w:rsidR="0079055A">
        <w:t xml:space="preserve"> </w:t>
      </w:r>
      <w:r w:rsidR="00DE73AC">
        <w:t xml:space="preserve">was natural. That representation was made </w:t>
      </w:r>
      <w:r w:rsidR="0079055A">
        <w:t>in contravention of s</w:t>
      </w:r>
      <w:r w:rsidR="00865C3E">
        <w:t> </w:t>
      </w:r>
      <w:r w:rsidR="0079055A">
        <w:t xml:space="preserve">18 of the </w:t>
      </w:r>
      <w:r w:rsidR="0079055A" w:rsidRPr="00DE73AC">
        <w:rPr>
          <w:i/>
        </w:rPr>
        <w:t>Australian Consumer Law</w:t>
      </w:r>
      <w:r w:rsidR="0079055A">
        <w:t xml:space="preserve">. </w:t>
      </w:r>
      <w:r w:rsidR="009056EF">
        <w:t>Reckitt Benckiser</w:t>
      </w:r>
      <w:r w:rsidR="0079055A">
        <w:t xml:space="preserve"> ceased supply of the product prior to the judgments.</w:t>
      </w:r>
    </w:p>
    <w:p w:rsidR="00DE73AC" w:rsidRDefault="00F97B9D" w:rsidP="00F97B9D">
      <w:pPr>
        <w:pStyle w:val="ParaNumbering"/>
        <w:numPr>
          <w:ilvl w:val="0"/>
          <w:numId w:val="0"/>
        </w:numPr>
        <w:ind w:hanging="720"/>
      </w:pPr>
      <w:r>
        <w:rPr>
          <w:sz w:val="20"/>
        </w:rPr>
        <w:t>90</w:t>
      </w:r>
      <w:r>
        <w:rPr>
          <w:sz w:val="20"/>
        </w:rPr>
        <w:tab/>
      </w:r>
      <w:r w:rsidR="0065148C">
        <w:t xml:space="preserve">On the one hand, </w:t>
      </w:r>
      <w:r w:rsidR="00DE73AC">
        <w:t xml:space="preserve">the conduct involved a different type of product, was limited to </w:t>
      </w:r>
      <w:r w:rsidR="0065148C">
        <w:t>one of the refills of that product, and the supply ceased prior to judgment.</w:t>
      </w:r>
      <w:r w:rsidR="0065148C" w:rsidRPr="0065148C">
        <w:t xml:space="preserve"> </w:t>
      </w:r>
      <w:r w:rsidR="0066079B">
        <w:t xml:space="preserve">These matters significantly limit the force and relevance of the 2012 declaration. </w:t>
      </w:r>
      <w:r w:rsidR="0065148C">
        <w:t xml:space="preserve">However, that </w:t>
      </w:r>
      <w:r w:rsidR="0066079B">
        <w:t xml:space="preserve">declaration of </w:t>
      </w:r>
      <w:r w:rsidR="0065148C">
        <w:t xml:space="preserve">contravening conduct should </w:t>
      </w:r>
      <w:r w:rsidR="0066079B">
        <w:t xml:space="preserve">still </w:t>
      </w:r>
      <w:r w:rsidR="0065148C">
        <w:t>be taken i</w:t>
      </w:r>
      <w:r w:rsidR="0066079B">
        <w:t>nto account. It demonstrates, to a limited extent,</w:t>
      </w:r>
      <w:r w:rsidR="0065148C">
        <w:t xml:space="preserve"> the need for stronger compliance measures to </w:t>
      </w:r>
      <w:r w:rsidR="0066079B">
        <w:t xml:space="preserve">have </w:t>
      </w:r>
      <w:r w:rsidR="0065148C">
        <w:t>be</w:t>
      </w:r>
      <w:r w:rsidR="0066079B">
        <w:t>en</w:t>
      </w:r>
      <w:r w:rsidR="0065148C">
        <w:t xml:space="preserve"> employed by Reckitt Benckiser.</w:t>
      </w:r>
    </w:p>
    <w:p w:rsidR="002A3D6A" w:rsidRDefault="00833D08" w:rsidP="002A3D6A">
      <w:pPr>
        <w:pStyle w:val="Heading2"/>
      </w:pPr>
      <w:bookmarkStart w:id="54" w:name="_Ref448328064"/>
      <w:bookmarkStart w:id="55" w:name="_Ref449008262"/>
      <w:r>
        <w:t>C</w:t>
      </w:r>
      <w:r w:rsidR="002A3D6A">
        <w:t>onclusion</w:t>
      </w:r>
      <w:bookmarkEnd w:id="54"/>
      <w:r w:rsidR="00681983">
        <w:t>s on</w:t>
      </w:r>
      <w:r>
        <w:t xml:space="preserve"> penalty</w:t>
      </w:r>
      <w:bookmarkEnd w:id="55"/>
    </w:p>
    <w:p w:rsidR="002E76A2" w:rsidRDefault="00F97B9D" w:rsidP="00F97B9D">
      <w:pPr>
        <w:pStyle w:val="ParaNumbering"/>
        <w:numPr>
          <w:ilvl w:val="0"/>
          <w:numId w:val="0"/>
        </w:numPr>
        <w:ind w:hanging="720"/>
      </w:pPr>
      <w:r>
        <w:rPr>
          <w:sz w:val="20"/>
        </w:rPr>
        <w:t>91</w:t>
      </w:r>
      <w:r>
        <w:rPr>
          <w:sz w:val="20"/>
        </w:rPr>
        <w:tab/>
      </w:r>
      <w:r w:rsidR="002A3D6A">
        <w:t>The assessment of a pecuniary penalty involves close consideration of a multitude of factors which are somet</w:t>
      </w:r>
      <w:r w:rsidR="00A46ADB">
        <w:t>imes incommensurable. I have discussed the relevant factors described by the parti</w:t>
      </w:r>
      <w:r w:rsidR="00901A23">
        <w:t xml:space="preserve">es above. </w:t>
      </w:r>
      <w:r w:rsidR="002E76A2">
        <w:rPr>
          <w:lang w:eastAsia="en-AU"/>
        </w:rPr>
        <w:t>Reckitt Benckiser submitted that the appropriate pecuniary penalty was $1.1</w:t>
      </w:r>
      <w:r w:rsidR="008C21BD">
        <w:rPr>
          <w:lang w:eastAsia="en-AU"/>
        </w:rPr>
        <w:t> </w:t>
      </w:r>
      <w:r w:rsidR="002E76A2">
        <w:rPr>
          <w:lang w:eastAsia="en-AU"/>
        </w:rPr>
        <w:t>million. The ACCC submitted that the pecuniary penalty should be $6 million. The large difference is in part because there is no range of penalties for comparable breaches of s</w:t>
      </w:r>
      <w:r w:rsidR="00865C3E">
        <w:rPr>
          <w:lang w:eastAsia="en-AU"/>
        </w:rPr>
        <w:t> </w:t>
      </w:r>
      <w:r w:rsidR="002E76A2">
        <w:rPr>
          <w:lang w:eastAsia="en-AU"/>
        </w:rPr>
        <w:t>33</w:t>
      </w:r>
      <w:r w:rsidR="00B362DA">
        <w:rPr>
          <w:lang w:eastAsia="en-AU"/>
        </w:rPr>
        <w:t xml:space="preserve"> </w:t>
      </w:r>
      <w:r w:rsidR="00B362DA">
        <w:t xml:space="preserve">of the </w:t>
      </w:r>
      <w:r w:rsidR="00B362DA">
        <w:rPr>
          <w:i/>
        </w:rPr>
        <w:t>Australian Consumer Law</w:t>
      </w:r>
      <w:r w:rsidR="002E76A2">
        <w:rPr>
          <w:lang w:eastAsia="en-AU"/>
        </w:rPr>
        <w:t>.</w:t>
      </w:r>
    </w:p>
    <w:p w:rsidR="002E76A2" w:rsidRDefault="00F97B9D" w:rsidP="00F97B9D">
      <w:pPr>
        <w:pStyle w:val="ParaNumbering"/>
        <w:numPr>
          <w:ilvl w:val="0"/>
          <w:numId w:val="0"/>
        </w:numPr>
        <w:ind w:hanging="720"/>
      </w:pPr>
      <w:r>
        <w:rPr>
          <w:sz w:val="20"/>
        </w:rPr>
        <w:t>92</w:t>
      </w:r>
      <w:r>
        <w:rPr>
          <w:sz w:val="20"/>
        </w:rPr>
        <w:tab/>
      </w:r>
      <w:r w:rsidR="002E76A2">
        <w:rPr>
          <w:lang w:eastAsia="en-AU"/>
        </w:rPr>
        <w:t xml:space="preserve">Few cases were cited by the parties because none is closely comparable. Reckitt Benckiser referred to </w:t>
      </w:r>
      <w:r w:rsidR="002E76A2" w:rsidRPr="002E76A2">
        <w:rPr>
          <w:i/>
        </w:rPr>
        <w:t>Singtel Optus Pty Ltd v Australian Competition and Consumer Commission</w:t>
      </w:r>
      <w:r w:rsidR="002E76A2">
        <w:t xml:space="preserve">. The contraventions in that case involved </w:t>
      </w:r>
      <w:r w:rsidR="001149C1">
        <w:t xml:space="preserve">11 </w:t>
      </w:r>
      <w:r w:rsidR="002E76A2">
        <w:t>courses of conduct</w:t>
      </w:r>
      <w:r w:rsidR="003C5655">
        <w:t xml:space="preserve"> committed “on a grand scale” ([66])</w:t>
      </w:r>
      <w:r w:rsidR="002E76A2">
        <w:t xml:space="preserve">. The purpose of the contravening conduct was for Optus to increase its market share. Optus was not a first time offender, its conduct was contrary to an express undertaking that it had given, and there was an acute need for specific deterrence. Optus did not co-operate with </w:t>
      </w:r>
      <w:r w:rsidR="002E76A2">
        <w:lastRenderedPageBreak/>
        <w:t xml:space="preserve">the ACCC in the proceeding. The Full Court imposed penalties of up to $600,000 for each of the </w:t>
      </w:r>
      <w:r w:rsidR="001149C1">
        <w:t xml:space="preserve">11 </w:t>
      </w:r>
      <w:r w:rsidR="002E76A2">
        <w:t>courses of conduct. The total penalty was $3.61</w:t>
      </w:r>
      <w:r w:rsidR="001149C1">
        <w:t> </w:t>
      </w:r>
      <w:r w:rsidR="002E76A2">
        <w:t>million.</w:t>
      </w:r>
    </w:p>
    <w:p w:rsidR="002E76A2" w:rsidRDefault="00F97B9D" w:rsidP="00F97B9D">
      <w:pPr>
        <w:pStyle w:val="ParaNumbering"/>
        <w:numPr>
          <w:ilvl w:val="0"/>
          <w:numId w:val="0"/>
        </w:numPr>
        <w:ind w:hanging="720"/>
      </w:pPr>
      <w:r>
        <w:rPr>
          <w:sz w:val="20"/>
        </w:rPr>
        <w:t>93</w:t>
      </w:r>
      <w:r>
        <w:rPr>
          <w:sz w:val="20"/>
        </w:rPr>
        <w:tab/>
      </w:r>
      <w:r w:rsidR="003C5655">
        <w:rPr>
          <w:iCs/>
        </w:rPr>
        <w:t xml:space="preserve">The ACCC referred to </w:t>
      </w:r>
      <w:r w:rsidR="002E76A2" w:rsidRPr="002E76A2">
        <w:rPr>
          <w:i/>
          <w:iCs/>
        </w:rPr>
        <w:t>Australian Competition and Consumer Commission v Coles Supermarkets Australia Pty Limited</w:t>
      </w:r>
      <w:r w:rsidR="002E76A2" w:rsidRPr="003C5655">
        <w:t>.</w:t>
      </w:r>
      <w:r w:rsidR="003C5655">
        <w:t xml:space="preserve"> I have already discussed that case in some detail. </w:t>
      </w:r>
      <w:r w:rsidR="009201AB">
        <w:t xml:space="preserve">The penalty imposed was $2.5 million. </w:t>
      </w:r>
      <w:r w:rsidR="003C5655">
        <w:t>The decision differs in s</w:t>
      </w:r>
      <w:r w:rsidR="009201AB">
        <w:t>ome material respects</w:t>
      </w:r>
      <w:r w:rsidR="00A0294A">
        <w:t>. In some respects the infringements in this case were more serious. For instance, the infringements in this case concerning packaging occurred over</w:t>
      </w:r>
      <w:r w:rsidR="00A760CA">
        <w:t xml:space="preserve"> a longer period of time. On the other hand</w:t>
      </w:r>
      <w:r w:rsidR="00C72D3F">
        <w:t>,</w:t>
      </w:r>
      <w:r w:rsidR="00A760CA">
        <w:t xml:space="preserve"> matters which increased the penalty in </w:t>
      </w:r>
      <w:r w:rsidR="00A760CA">
        <w:rPr>
          <w:i/>
        </w:rPr>
        <w:t xml:space="preserve">Coles </w:t>
      </w:r>
      <w:r w:rsidR="00A760CA">
        <w:t>were:</w:t>
      </w:r>
      <w:r w:rsidR="009201AB">
        <w:t xml:space="preserve"> (i) </w:t>
      </w:r>
      <w:r w:rsidR="003C5655">
        <w:rPr>
          <w:i/>
        </w:rPr>
        <w:t xml:space="preserve">Coles </w:t>
      </w:r>
      <w:r w:rsidR="002E76A2" w:rsidRPr="002E76A2">
        <w:t xml:space="preserve">involved four courses of </w:t>
      </w:r>
      <w:r w:rsidR="003C5655">
        <w:t>conduct</w:t>
      </w:r>
      <w:r w:rsidR="0018305B">
        <w:t xml:space="preserve"> compared with two in this case although, as I have explained, the characterisation of courses of conduct may depend upon evaluative assessments of the appropriate level of generality</w:t>
      </w:r>
      <w:r w:rsidR="00A760CA">
        <w:t>;</w:t>
      </w:r>
      <w:r w:rsidR="003C5655">
        <w:t xml:space="preserve"> </w:t>
      </w:r>
      <w:r w:rsidR="009201AB">
        <w:t xml:space="preserve">(ii) </w:t>
      </w:r>
      <w:r w:rsidR="003C5655">
        <w:t xml:space="preserve">there were prior breaches of the </w:t>
      </w:r>
      <w:r w:rsidR="003C5655">
        <w:rPr>
          <w:i/>
        </w:rPr>
        <w:t xml:space="preserve">Australian Consumer Law </w:t>
      </w:r>
      <w:r w:rsidR="0018305B">
        <w:t xml:space="preserve">by Coles </w:t>
      </w:r>
      <w:r w:rsidR="003C5655">
        <w:t>which heightened the need for specific deterrence</w:t>
      </w:r>
      <w:r w:rsidR="00A0294A">
        <w:t>,</w:t>
      </w:r>
      <w:r w:rsidR="003C5655">
        <w:t xml:space="preserve"> including undertakings,</w:t>
      </w:r>
      <w:r w:rsidR="00A0294A">
        <w:t xml:space="preserve"> penalty notices, and</w:t>
      </w:r>
      <w:r w:rsidR="009201AB">
        <w:t xml:space="preserve"> </w:t>
      </w:r>
      <w:r w:rsidR="003C5655">
        <w:t xml:space="preserve">pecuniary penalties of $10 million on another occasion (involving penalties for contraventions </w:t>
      </w:r>
      <w:r w:rsidR="009201AB">
        <w:t>of s</w:t>
      </w:r>
      <w:r w:rsidR="00B362DA">
        <w:t> </w:t>
      </w:r>
      <w:r w:rsidR="009201AB">
        <w:t xml:space="preserve">22 of the </w:t>
      </w:r>
      <w:r w:rsidR="009201AB">
        <w:rPr>
          <w:i/>
        </w:rPr>
        <w:t xml:space="preserve">Australian Consumer Law </w:t>
      </w:r>
      <w:r w:rsidR="003C5655">
        <w:t>ranging from $600,000 to $900,000)</w:t>
      </w:r>
      <w:r w:rsidR="009201AB">
        <w:t xml:space="preserve">; and </w:t>
      </w:r>
      <w:r w:rsidR="00A760CA">
        <w:t xml:space="preserve">(iii) </w:t>
      </w:r>
      <w:r w:rsidR="009201AB">
        <w:t>the contraventions</w:t>
      </w:r>
      <w:r w:rsidR="00A0294A">
        <w:t xml:space="preserve"> in </w:t>
      </w:r>
      <w:r w:rsidR="00A0294A">
        <w:rPr>
          <w:i/>
        </w:rPr>
        <w:t>Coles</w:t>
      </w:r>
      <w:r w:rsidR="009201AB">
        <w:t xml:space="preserve"> were contested so there was no mitigation for cooperation with the ACCC.</w:t>
      </w:r>
    </w:p>
    <w:p w:rsidR="009B1C69" w:rsidRDefault="00F97B9D" w:rsidP="00F97B9D">
      <w:pPr>
        <w:pStyle w:val="ParaNumbering"/>
        <w:numPr>
          <w:ilvl w:val="0"/>
          <w:numId w:val="0"/>
        </w:numPr>
        <w:ind w:hanging="720"/>
      </w:pPr>
      <w:r>
        <w:rPr>
          <w:sz w:val="20"/>
        </w:rPr>
        <w:t>94</w:t>
      </w:r>
      <w:r>
        <w:rPr>
          <w:sz w:val="20"/>
        </w:rPr>
        <w:tab/>
      </w:r>
      <w:r w:rsidR="00A0294A">
        <w:t>In this case, i</w:t>
      </w:r>
      <w:r w:rsidR="00A760CA">
        <w:t xml:space="preserve">f </w:t>
      </w:r>
      <w:r w:rsidR="00901A23">
        <w:t>it were not for three</w:t>
      </w:r>
      <w:r w:rsidR="00A46ADB">
        <w:t xml:space="preserve"> particular matter</w:t>
      </w:r>
      <w:r w:rsidR="009201AB">
        <w:t>s, the penalty would be far</w:t>
      </w:r>
      <w:r w:rsidR="00A46ADB">
        <w:t xml:space="preserve"> greater than that which I</w:t>
      </w:r>
      <w:r w:rsidR="005A02D8">
        <w:t xml:space="preserve"> now</w:t>
      </w:r>
      <w:r w:rsidR="00A46ADB">
        <w:t xml:space="preserve"> impose.</w:t>
      </w:r>
      <w:r w:rsidR="00434667">
        <w:t xml:space="preserve"> </w:t>
      </w:r>
      <w:r w:rsidR="009B1C69">
        <w:t>The first matter is</w:t>
      </w:r>
      <w:r w:rsidR="003C5655">
        <w:t xml:space="preserve"> </w:t>
      </w:r>
      <w:r w:rsidR="00A46ADB">
        <w:t xml:space="preserve">the absence of any pleading or submission that the conduct involved an intentional or </w:t>
      </w:r>
      <w:r w:rsidR="003C5655">
        <w:t>a reckless contravention</w:t>
      </w:r>
      <w:r w:rsidR="009B1C69">
        <w:t>.</w:t>
      </w:r>
    </w:p>
    <w:p w:rsidR="009B1C69" w:rsidRDefault="00F97B9D" w:rsidP="00F97B9D">
      <w:pPr>
        <w:pStyle w:val="ParaNumbering"/>
        <w:numPr>
          <w:ilvl w:val="0"/>
          <w:numId w:val="0"/>
        </w:numPr>
        <w:ind w:hanging="720"/>
      </w:pPr>
      <w:r>
        <w:rPr>
          <w:sz w:val="20"/>
        </w:rPr>
        <w:t>95</w:t>
      </w:r>
      <w:r>
        <w:rPr>
          <w:sz w:val="20"/>
        </w:rPr>
        <w:tab/>
      </w:r>
      <w:r w:rsidR="009B1C69">
        <w:t>The second matter is that the contraventions essentially involved</w:t>
      </w:r>
      <w:r w:rsidR="00A46ADB">
        <w:t xml:space="preserve"> two courses of conduct. </w:t>
      </w:r>
      <w:r w:rsidR="0018305B">
        <w:t>I reiterate that the course of conduct principle is only an evaluative tool</w:t>
      </w:r>
      <w:r w:rsidR="0018305B" w:rsidRPr="0018305B">
        <w:t xml:space="preserve"> </w:t>
      </w:r>
      <w:r w:rsidR="0018305B">
        <w:t xml:space="preserve">which does not mean that the maximum penalty of $1.1 million is restricted to $2.2 million for two courses of conduct, especially where there can sometimes be fine distinctions between the appropriate level of generality at which to characterise the conduct. Nevertheless, </w:t>
      </w:r>
      <w:r w:rsidR="00A46ADB">
        <w:t xml:space="preserve">there are important considerations of proportionality that must be taken into account when </w:t>
      </w:r>
      <w:r w:rsidR="00C829BC">
        <w:t xml:space="preserve">determining </w:t>
      </w:r>
      <w:r w:rsidR="00A46ADB">
        <w:t>the total penalty imposed for all contraventions</w:t>
      </w:r>
      <w:r w:rsidR="0018305B">
        <w:t>. A multiple of the maximum penalty for the number of</w:t>
      </w:r>
      <w:r w:rsidR="00A46ADB">
        <w:t xml:space="preserve"> courses of conduct has sometimes been described as a “notional maximum penalty” to illustrate the importance of these considerations (</w:t>
      </w:r>
      <w:r w:rsidR="00C72D3F" w:rsidRPr="002E76A2">
        <w:rPr>
          <w:i/>
          <w:iCs/>
        </w:rPr>
        <w:t>Australian Competition and Consumer Commission v Coles Supermarkets Australia Pty Limited</w:t>
      </w:r>
      <w:r w:rsidR="00C72D3F" w:rsidRPr="009B1C69" w:rsidDel="00C72D3F">
        <w:rPr>
          <w:i/>
        </w:rPr>
        <w:t xml:space="preserve"> </w:t>
      </w:r>
      <w:r w:rsidR="00C72D3F">
        <w:t xml:space="preserve">563 </w:t>
      </w:r>
      <w:r w:rsidR="000352F4">
        <w:t xml:space="preserve">[103]). I emphasise, however, that these are principles to be considered in all the circumstances, not set rules. </w:t>
      </w:r>
      <w:r w:rsidR="005A02D8">
        <w:t>In some cases, courts have awarded pecuniary penalties for a course of contraventions beyond the maximum for a single contravention where the course of conduct involved many contraventions</w:t>
      </w:r>
      <w:r w:rsidR="009B1C69">
        <w:t>. An example is the penalty in</w:t>
      </w:r>
      <w:r w:rsidR="0018305B">
        <w:t xml:space="preserve"> </w:t>
      </w:r>
      <w:r w:rsidR="0018305B" w:rsidRPr="009B1C69">
        <w:rPr>
          <w:i/>
        </w:rPr>
        <w:t xml:space="preserve">Australian Competition and Consumer Commission v EDirect Pty </w:t>
      </w:r>
      <w:r w:rsidR="0018305B" w:rsidRPr="009B1C69">
        <w:rPr>
          <w:i/>
        </w:rPr>
        <w:lastRenderedPageBreak/>
        <w:t xml:space="preserve">Ltd (in liq) </w:t>
      </w:r>
      <w:r w:rsidR="0018305B">
        <w:t>[2012] FCA 976</w:t>
      </w:r>
      <w:r w:rsidR="009579B7">
        <w:t>;</w:t>
      </w:r>
      <w:r w:rsidR="009579B7" w:rsidRPr="009579B7">
        <w:t xml:space="preserve"> (2012) 206 FCR 160</w:t>
      </w:r>
      <w:r w:rsidR="0018305B">
        <w:t xml:space="preserve"> where a pecuniary penalty of $2.5 million was imposed for a single course of conduct</w:t>
      </w:r>
      <w:r w:rsidR="009B1C69">
        <w:t xml:space="preserve"> involving a “deception” by the receipt of money from 219 customers for phone services that the respondent knew or ought to have known were non-existent</w:t>
      </w:r>
      <w:r w:rsidR="00B362DA">
        <w:t>.</w:t>
      </w:r>
    </w:p>
    <w:p w:rsidR="002A3D6A" w:rsidRDefault="00F97B9D" w:rsidP="00F97B9D">
      <w:pPr>
        <w:pStyle w:val="ParaNumbering"/>
        <w:numPr>
          <w:ilvl w:val="0"/>
          <w:numId w:val="0"/>
        </w:numPr>
        <w:ind w:hanging="720"/>
      </w:pPr>
      <w:r>
        <w:rPr>
          <w:sz w:val="20"/>
        </w:rPr>
        <w:t>96</w:t>
      </w:r>
      <w:r>
        <w:rPr>
          <w:sz w:val="20"/>
        </w:rPr>
        <w:tab/>
      </w:r>
      <w:r w:rsidR="005A02D8">
        <w:t>In this case,</w:t>
      </w:r>
      <w:r w:rsidR="000352F4">
        <w:t xml:space="preserve"> </w:t>
      </w:r>
      <w:r w:rsidR="005A02D8">
        <w:t xml:space="preserve">within the course of conduct concerning the Packaging Representations, the contraventions were not committed in identical circumstances. Later contraventions, where Reckitt Benckiser’s compliance procedures should have operated to require a review of its packaging, were more serious. </w:t>
      </w:r>
      <w:r w:rsidR="005A360A">
        <w:t>And, as I have explained, the contravening conduct, although not a deliberate infringement, was part of a course of marketing designed for profit in relation to a range of products which led to $45 million in sales and many millions of dollars of profit from sales over the period of</w:t>
      </w:r>
      <w:r w:rsidR="00B362DA">
        <w:t xml:space="preserve"> the Packaging Representations.</w:t>
      </w:r>
    </w:p>
    <w:p w:rsidR="00901A23" w:rsidRDefault="00F97B9D" w:rsidP="00F97B9D">
      <w:pPr>
        <w:pStyle w:val="ParaNumbering"/>
        <w:numPr>
          <w:ilvl w:val="0"/>
          <w:numId w:val="0"/>
        </w:numPr>
        <w:ind w:hanging="720"/>
      </w:pPr>
      <w:r>
        <w:rPr>
          <w:sz w:val="20"/>
        </w:rPr>
        <w:t>97</w:t>
      </w:r>
      <w:r>
        <w:rPr>
          <w:sz w:val="20"/>
        </w:rPr>
        <w:tab/>
      </w:r>
      <w:r w:rsidR="00901A23">
        <w:t xml:space="preserve">The third </w:t>
      </w:r>
      <w:r w:rsidR="003C5655">
        <w:t xml:space="preserve">matter </w:t>
      </w:r>
      <w:r w:rsidR="00901A23">
        <w:t xml:space="preserve">is that </w:t>
      </w:r>
      <w:r w:rsidR="009B1C69">
        <w:t xml:space="preserve">the products were effective to treat the pain that they represented so that </w:t>
      </w:r>
      <w:r w:rsidR="00901A23">
        <w:t xml:space="preserve">the only potential effect of the conduct on consumers or competitors was monetary. Although the packaging and website promotion was designed for profit, the contravening conduct did not cause any physical harm to any consumer (compare </w:t>
      </w:r>
      <w:r w:rsidR="00901A23" w:rsidRPr="00140ECF">
        <w:rPr>
          <w:i/>
        </w:rPr>
        <w:t>Australian Competition and Consumer Commission v Woolworths Limited</w:t>
      </w:r>
      <w:r w:rsidR="00B362DA">
        <w:t>).</w:t>
      </w:r>
    </w:p>
    <w:p w:rsidR="005A742B" w:rsidRDefault="00F97B9D" w:rsidP="00F97B9D">
      <w:pPr>
        <w:pStyle w:val="ParaNumbering"/>
        <w:numPr>
          <w:ilvl w:val="0"/>
          <w:numId w:val="0"/>
        </w:numPr>
        <w:ind w:hanging="720"/>
      </w:pPr>
      <w:r>
        <w:rPr>
          <w:sz w:val="20"/>
        </w:rPr>
        <w:t>98</w:t>
      </w:r>
      <w:r>
        <w:rPr>
          <w:sz w:val="20"/>
        </w:rPr>
        <w:tab/>
      </w:r>
      <w:r w:rsidR="005A02D8">
        <w:t>The penalty that I impose is $1,2</w:t>
      </w:r>
      <w:r w:rsidR="009201AB">
        <w:t>00,000</w:t>
      </w:r>
      <w:r w:rsidR="000352F4">
        <w:t xml:space="preserve"> </w:t>
      </w:r>
      <w:r w:rsidR="00A46ADB">
        <w:t xml:space="preserve">for the course of conduct involving the Packaging Representations </w:t>
      </w:r>
      <w:r w:rsidR="000352F4">
        <w:t>at the point of sale</w:t>
      </w:r>
      <w:r w:rsidR="00A0294A">
        <w:t>,</w:t>
      </w:r>
      <w:r w:rsidR="000352F4">
        <w:t xml:space="preserve"> </w:t>
      </w:r>
      <w:r w:rsidR="009201AB">
        <w:t>and $5</w:t>
      </w:r>
      <w:r w:rsidR="00A46ADB">
        <w:t xml:space="preserve">00,000 for the course of conduct involving the Website Representations. </w:t>
      </w:r>
      <w:r w:rsidR="005A02D8">
        <w:t>The total penalty is $1.7</w:t>
      </w:r>
      <w:r w:rsidR="000352F4">
        <w:t xml:space="preserve"> million.</w:t>
      </w:r>
    </w:p>
    <w:p w:rsidR="00193051" w:rsidRDefault="00F97B9D" w:rsidP="00F97B9D">
      <w:pPr>
        <w:pStyle w:val="ParaNumbering"/>
        <w:numPr>
          <w:ilvl w:val="0"/>
          <w:numId w:val="0"/>
        </w:numPr>
        <w:ind w:hanging="720"/>
        <w:rPr>
          <w:lang w:eastAsia="en-AU"/>
        </w:rPr>
      </w:pPr>
      <w:r>
        <w:rPr>
          <w:sz w:val="20"/>
          <w:lang w:eastAsia="en-AU"/>
        </w:rPr>
        <w:t>99</w:t>
      </w:r>
      <w:r>
        <w:rPr>
          <w:sz w:val="20"/>
          <w:lang w:eastAsia="en-AU"/>
        </w:rPr>
        <w:tab/>
      </w:r>
      <w:r w:rsidR="00A84BBF">
        <w:rPr>
          <w:lang w:eastAsia="en-AU"/>
        </w:rPr>
        <w:t>As a concluding comment, I would emphasise that it was necessary in these reasons to consider a very large v</w:t>
      </w:r>
      <w:r w:rsidR="006840AB">
        <w:rPr>
          <w:lang w:eastAsia="en-AU"/>
        </w:rPr>
        <w:t>olume of tendered material. A considerable amount</w:t>
      </w:r>
      <w:r w:rsidR="00A84BBF">
        <w:rPr>
          <w:lang w:eastAsia="en-AU"/>
        </w:rPr>
        <w:t xml:space="preserve"> of that material was concerned with the </w:t>
      </w:r>
      <w:r w:rsidR="00CB6F1D">
        <w:rPr>
          <w:lang w:eastAsia="en-AU"/>
        </w:rPr>
        <w:t xml:space="preserve">ACCC’s attempted </w:t>
      </w:r>
      <w:r w:rsidR="00A84BBF">
        <w:rPr>
          <w:lang w:eastAsia="en-AU"/>
        </w:rPr>
        <w:t>profit calculation. These reasons explain how communication between counsel should permit many such documents in future cases to be reduced to a handful wit</w:t>
      </w:r>
      <w:r w:rsidR="00434667">
        <w:rPr>
          <w:lang w:eastAsia="en-AU"/>
        </w:rPr>
        <w:t>h some summarised agreed facts.</w:t>
      </w:r>
    </w:p>
    <w:tbl>
      <w:tblPr>
        <w:tblW w:w="0" w:type="auto"/>
        <w:tblLook w:val="04A0" w:firstRow="1" w:lastRow="0" w:firstColumn="1" w:lastColumn="0" w:noHBand="0" w:noVBand="1"/>
      </w:tblPr>
      <w:tblGrid>
        <w:gridCol w:w="3794"/>
      </w:tblGrid>
      <w:tr w:rsidR="00976CE5" w:rsidRPr="00976CE5">
        <w:tc>
          <w:tcPr>
            <w:tcW w:w="3794" w:type="dxa"/>
            <w:shd w:val="clear" w:color="auto" w:fill="auto"/>
          </w:tcPr>
          <w:p w:rsidR="00976CE5" w:rsidRPr="00976CE5" w:rsidRDefault="00976CE5" w:rsidP="00434667">
            <w:pPr>
              <w:pStyle w:val="Normal1linespace"/>
            </w:pPr>
            <w:bookmarkStart w:id="56" w:name="Certification"/>
            <w:r w:rsidRPr="00976CE5">
              <w:t>I certify that the preceding</w:t>
            </w:r>
            <w:r w:rsidR="00A0294A">
              <w:t xml:space="preserve"> </w:t>
            </w:r>
            <w:r w:rsidR="00434667">
              <w:t xml:space="preserve">ninety nine </w:t>
            </w:r>
            <w:r w:rsidRPr="00976CE5">
              <w:t>(</w:t>
            </w:r>
            <w:r w:rsidR="00434667">
              <w:t>99</w:t>
            </w:r>
            <w:r w:rsidRPr="00976CE5">
              <w:t xml:space="preserve">) numbered </w:t>
            </w:r>
            <w:bookmarkStart w:id="57" w:name="CertPara"/>
            <w:r w:rsidR="00AC77C7">
              <w:t>paragraphs are</w:t>
            </w:r>
            <w:bookmarkEnd w:id="57"/>
            <w:r w:rsidRPr="00976CE5">
              <w:t xml:space="preserve"> a true copy of the Reasons for Judgment herein of the Honourable </w:t>
            </w:r>
            <w:bookmarkStart w:id="58" w:name="Justice"/>
            <w:r w:rsidR="000A6200">
              <w:t>Justice Edelman</w:t>
            </w:r>
            <w:bookmarkEnd w:id="58"/>
            <w:r w:rsidRPr="00976CE5">
              <w:t>.</w:t>
            </w:r>
          </w:p>
        </w:tc>
      </w:tr>
    </w:tbl>
    <w:p w:rsidR="00E7613B" w:rsidRDefault="00E7613B" w:rsidP="000A2815">
      <w:pPr>
        <w:pStyle w:val="BodyText"/>
      </w:pPr>
    </w:p>
    <w:p w:rsidR="00976CE5" w:rsidRDefault="00976CE5" w:rsidP="000A2815">
      <w:pPr>
        <w:pStyle w:val="BodyText"/>
      </w:pPr>
      <w:bookmarkStart w:id="59" w:name="_GoBack"/>
      <w:bookmarkEnd w:id="59"/>
      <w:r>
        <w:t>Associate:</w:t>
      </w:r>
      <w:r w:rsidR="00040D1D">
        <w:tab/>
      </w:r>
    </w:p>
    <w:p w:rsidR="00B35CDD" w:rsidRPr="003D1847" w:rsidRDefault="00976CE5" w:rsidP="00A0294A">
      <w:pPr>
        <w:pStyle w:val="BodyText"/>
        <w:tabs>
          <w:tab w:val="left" w:pos="1134"/>
        </w:tabs>
      </w:pPr>
      <w:r>
        <w:t>Dated:</w:t>
      </w:r>
      <w:r>
        <w:tab/>
      </w:r>
      <w:bookmarkStart w:id="60" w:name="CertifyDated"/>
      <w:bookmarkEnd w:id="56"/>
      <w:r w:rsidR="0034406D">
        <w:t>29</w:t>
      </w:r>
      <w:r w:rsidR="000A6200">
        <w:t xml:space="preserve"> April 2016</w:t>
      </w:r>
      <w:bookmarkEnd w:id="60"/>
    </w:p>
    <w:sectPr w:rsidR="00B35CDD" w:rsidRPr="003D1847">
      <w:headerReference w:type="even" r:id="rId17"/>
      <w:headerReference w:type="default" r:id="rId18"/>
      <w:footerReference w:type="default" r:id="rId19"/>
      <w:headerReference w:type="first" r:id="rId20"/>
      <w:footerReference w:type="first" r:id="rId21"/>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E8D" w:rsidRDefault="00AF2E8D">
      <w:pPr>
        <w:spacing w:line="20" w:lineRule="exact"/>
      </w:pPr>
    </w:p>
    <w:p w:rsidR="00AF2E8D" w:rsidRDefault="00AF2E8D"/>
    <w:p w:rsidR="00AF2E8D" w:rsidRDefault="00AF2E8D"/>
  </w:endnote>
  <w:endnote w:type="continuationSeparator" w:id="0">
    <w:p w:rsidR="00AF2E8D" w:rsidRDefault="00AF2E8D">
      <w:r>
        <w:t xml:space="preserve"> </w:t>
      </w:r>
    </w:p>
    <w:p w:rsidR="00AF2E8D" w:rsidRDefault="00AF2E8D"/>
    <w:p w:rsidR="00AF2E8D" w:rsidRDefault="00AF2E8D"/>
  </w:endnote>
  <w:endnote w:type="continuationNotice" w:id="1">
    <w:p w:rsidR="00AF2E8D" w:rsidRDefault="00AF2E8D">
      <w:r>
        <w:t xml:space="preserve"> </w:t>
      </w:r>
    </w:p>
    <w:p w:rsidR="00AF2E8D" w:rsidRDefault="00AF2E8D"/>
    <w:p w:rsidR="00AF2E8D" w:rsidRDefault="00AF2E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ö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B9D" w:rsidRDefault="00F97B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B9D" w:rsidRDefault="00F97B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E8D" w:rsidRDefault="00AF2E8D">
    <w:pPr>
      <w:pStyle w:val="Footer"/>
      <w:jc w:val="center"/>
      <w:rPr>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E8D" w:rsidRPr="00624520" w:rsidRDefault="00AF2E8D" w:rsidP="00624520">
    <w:pPr>
      <w:pStyle w:val="Footer"/>
      <w:jc w:val="center"/>
      <w:rPr>
        <w:sz w:val="2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E8D" w:rsidRDefault="00AF2E8D" w:rsidP="002F1E49">
    <w:pPr>
      <w:pStyle w:val="Footer"/>
      <w:jc w:val="cen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E8D" w:rsidRDefault="00AF2E8D"/>
    <w:p w:rsidR="00AF2E8D" w:rsidRDefault="00AF2E8D"/>
    <w:p w:rsidR="00AF2E8D" w:rsidRDefault="00AF2E8D"/>
  </w:footnote>
  <w:footnote w:type="continuationSeparator" w:id="0">
    <w:p w:rsidR="00AF2E8D" w:rsidRDefault="00AF2E8D">
      <w:r>
        <w:continuationSeparator/>
      </w:r>
    </w:p>
    <w:p w:rsidR="00AF2E8D" w:rsidRDefault="00AF2E8D"/>
    <w:p w:rsidR="00AF2E8D" w:rsidRDefault="00AF2E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B9D" w:rsidRDefault="00F97B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B9D" w:rsidRDefault="00F97B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B9D" w:rsidRDefault="00F97B9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E8D" w:rsidRDefault="00AF2E8D">
    <w:pPr>
      <w:tabs>
        <w:tab w:val="center" w:pos="4512"/>
      </w:tabs>
      <w:suppressAutoHyphens/>
    </w:pPr>
    <w:r>
      <w:tab/>
      <w:t xml:space="preserve">- </w:t>
    </w:r>
    <w:r>
      <w:fldChar w:fldCharType="begin"/>
    </w:r>
    <w:r>
      <w:instrText xml:space="preserve"> PAGE   \* MERGEFORMAT </w:instrText>
    </w:r>
    <w:r>
      <w:fldChar w:fldCharType="separate"/>
    </w:r>
    <w:r>
      <w:rPr>
        <w:noProof/>
      </w:rPr>
      <w:t>2</w:t>
    </w:r>
    <w:r>
      <w:rPr>
        <w:noProof/>
      </w:rP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E8D" w:rsidRDefault="00AF2E8D">
    <w:pPr>
      <w:pStyle w:val="Header"/>
      <w:tabs>
        <w:tab w:val="clear" w:pos="4320"/>
        <w:tab w:val="clear" w:pos="8640"/>
      </w:tabs>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E8D" w:rsidRDefault="00AF2E8D"/>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E8D" w:rsidRDefault="00AF2E8D">
    <w:pPr>
      <w:tabs>
        <w:tab w:val="center" w:pos="4512"/>
      </w:tabs>
      <w:suppressAutoHyphens/>
    </w:pPr>
    <w:r>
      <w:tab/>
      <w:t xml:space="preserve">- </w:t>
    </w:r>
    <w:r>
      <w:fldChar w:fldCharType="begin"/>
    </w:r>
    <w:r>
      <w:instrText>page \* arabic</w:instrText>
    </w:r>
    <w:r>
      <w:fldChar w:fldCharType="separate"/>
    </w:r>
    <w:r w:rsidR="00F97B9D">
      <w:rPr>
        <w:noProof/>
      </w:rPr>
      <w:t>29</w:t>
    </w:r>
    <w:r>
      <w:fldChar w:fldCharType="end"/>
    </w:r>
    <w: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E8D" w:rsidRDefault="00AF2E8D">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B90772"/>
    <w:multiLevelType w:val="multilevel"/>
    <w:tmpl w:val="A20C5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nsid w:val="1ECE749E"/>
    <w:multiLevelType w:val="hybridMultilevel"/>
    <w:tmpl w:val="6E2E5F00"/>
    <w:lvl w:ilvl="0" w:tplc="F09C3AD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262F0947"/>
    <w:multiLevelType w:val="multilevel"/>
    <w:tmpl w:val="5058D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7">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8">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nsid w:val="3CC474D9"/>
    <w:multiLevelType w:val="multilevel"/>
    <w:tmpl w:val="0A860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10465F4"/>
    <w:multiLevelType w:val="multilevel"/>
    <w:tmpl w:val="225C9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8A35F09"/>
    <w:multiLevelType w:val="multilevel"/>
    <w:tmpl w:val="53D20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94817A7"/>
    <w:multiLevelType w:val="multilevel"/>
    <w:tmpl w:val="0F0EC90E"/>
    <w:numStyleLink w:val="FCListNo"/>
  </w:abstractNum>
  <w:abstractNum w:abstractNumId="23">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0214F89"/>
    <w:multiLevelType w:val="hybridMultilevel"/>
    <w:tmpl w:val="7F429D2C"/>
    <w:lvl w:ilvl="0" w:tplc="57FE1F34">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6">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6"/>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3"/>
  </w:num>
  <w:num w:numId="15">
    <w:abstractNumId w:val="24"/>
  </w:num>
  <w:num w:numId="16">
    <w:abstractNumId w:val="28"/>
  </w:num>
  <w:num w:numId="17">
    <w:abstractNumId w:val="13"/>
  </w:num>
  <w:num w:numId="18">
    <w:abstractNumId w:val="27"/>
  </w:num>
  <w:num w:numId="19">
    <w:abstractNumId w:val="11"/>
  </w:num>
  <w:num w:numId="20">
    <w:abstractNumId w:val="18"/>
  </w:num>
  <w:num w:numId="21">
    <w:abstractNumId w:val="22"/>
  </w:num>
  <w:num w:numId="22">
    <w:abstractNumId w:val="17"/>
  </w:num>
  <w:num w:numId="23">
    <w:abstractNumId w:val="17"/>
  </w:num>
  <w:num w:numId="24">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8"/>
    </w:lvlOverride>
  </w:num>
  <w:num w:numId="31">
    <w:abstractNumId w:val="21"/>
    <w:lvlOverride w:ilvl="0">
      <w:startOverride w:val="19"/>
    </w:lvlOverride>
  </w:num>
  <w:num w:numId="32">
    <w:abstractNumId w:val="21"/>
    <w:lvlOverride w:ilvl="0">
      <w:startOverride w:val="20"/>
    </w:lvlOverride>
  </w:num>
  <w:num w:numId="33">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53"/>
    </w:lvlOverride>
  </w:num>
  <w:num w:numId="37">
    <w:abstractNumId w:val="19"/>
    <w:lvlOverride w:ilvl="0">
      <w:startOverride w:val="54"/>
    </w:lvlOverride>
  </w:num>
  <w:num w:numId="38">
    <w:abstractNumId w:val="15"/>
    <w:lvlOverride w:ilvl="0">
      <w:startOverride w:val="122"/>
    </w:lvlOverride>
  </w:num>
  <w:num w:numId="39">
    <w:abstractNumId w:val="20"/>
    <w:lvlOverride w:ilvl="0">
      <w:startOverride w:val="123"/>
    </w:lvlOverride>
  </w:num>
  <w:num w:numId="40">
    <w:abstractNumId w:val="20"/>
    <w:lvlOverride w:ilvl="0">
      <w:startOverride w:val="124"/>
    </w:lvlOverride>
  </w:num>
  <w:num w:numId="41">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CE5"/>
    <w:rsid w:val="00007423"/>
    <w:rsid w:val="000079A0"/>
    <w:rsid w:val="0001469E"/>
    <w:rsid w:val="00015195"/>
    <w:rsid w:val="00015698"/>
    <w:rsid w:val="00015993"/>
    <w:rsid w:val="00017CD0"/>
    <w:rsid w:val="0002157E"/>
    <w:rsid w:val="00022289"/>
    <w:rsid w:val="000236D5"/>
    <w:rsid w:val="00024FE9"/>
    <w:rsid w:val="00027A2F"/>
    <w:rsid w:val="00030445"/>
    <w:rsid w:val="000320C6"/>
    <w:rsid w:val="00032F9F"/>
    <w:rsid w:val="000352F4"/>
    <w:rsid w:val="00040D1D"/>
    <w:rsid w:val="00040F1A"/>
    <w:rsid w:val="00041C07"/>
    <w:rsid w:val="00045BB7"/>
    <w:rsid w:val="0005041B"/>
    <w:rsid w:val="000539F9"/>
    <w:rsid w:val="00055719"/>
    <w:rsid w:val="00055FBF"/>
    <w:rsid w:val="0005641B"/>
    <w:rsid w:val="00071CB7"/>
    <w:rsid w:val="00071E5B"/>
    <w:rsid w:val="00081497"/>
    <w:rsid w:val="000829EA"/>
    <w:rsid w:val="00085C1B"/>
    <w:rsid w:val="000870C5"/>
    <w:rsid w:val="00093869"/>
    <w:rsid w:val="000A2815"/>
    <w:rsid w:val="000A2E76"/>
    <w:rsid w:val="000A4807"/>
    <w:rsid w:val="000A4BE4"/>
    <w:rsid w:val="000A6200"/>
    <w:rsid w:val="000B7E94"/>
    <w:rsid w:val="000C023E"/>
    <w:rsid w:val="000C0BE3"/>
    <w:rsid w:val="000C5195"/>
    <w:rsid w:val="000C62EF"/>
    <w:rsid w:val="000D2137"/>
    <w:rsid w:val="000D3FD2"/>
    <w:rsid w:val="000E7BAE"/>
    <w:rsid w:val="000F133D"/>
    <w:rsid w:val="000F40FC"/>
    <w:rsid w:val="000F479A"/>
    <w:rsid w:val="0010536B"/>
    <w:rsid w:val="00106416"/>
    <w:rsid w:val="0011145C"/>
    <w:rsid w:val="001128BD"/>
    <w:rsid w:val="0011419D"/>
    <w:rsid w:val="0011420B"/>
    <w:rsid w:val="001149C1"/>
    <w:rsid w:val="001177DD"/>
    <w:rsid w:val="00124940"/>
    <w:rsid w:val="00132054"/>
    <w:rsid w:val="00140ECF"/>
    <w:rsid w:val="0014106E"/>
    <w:rsid w:val="00161460"/>
    <w:rsid w:val="00165006"/>
    <w:rsid w:val="001727A4"/>
    <w:rsid w:val="0017376C"/>
    <w:rsid w:val="001738AB"/>
    <w:rsid w:val="001765E0"/>
    <w:rsid w:val="00177759"/>
    <w:rsid w:val="0018305B"/>
    <w:rsid w:val="00183E2E"/>
    <w:rsid w:val="00185E6B"/>
    <w:rsid w:val="00187BBC"/>
    <w:rsid w:val="00193051"/>
    <w:rsid w:val="001932F3"/>
    <w:rsid w:val="001A4309"/>
    <w:rsid w:val="001A5F76"/>
    <w:rsid w:val="001B1053"/>
    <w:rsid w:val="001B14AC"/>
    <w:rsid w:val="001B23D8"/>
    <w:rsid w:val="001B6420"/>
    <w:rsid w:val="001B69A0"/>
    <w:rsid w:val="001B7940"/>
    <w:rsid w:val="001C0CC6"/>
    <w:rsid w:val="001C37CA"/>
    <w:rsid w:val="001C3CC4"/>
    <w:rsid w:val="001D166C"/>
    <w:rsid w:val="001D4303"/>
    <w:rsid w:val="001D6746"/>
    <w:rsid w:val="001E3824"/>
    <w:rsid w:val="001E3B49"/>
    <w:rsid w:val="001E7388"/>
    <w:rsid w:val="001F13DD"/>
    <w:rsid w:val="001F2DBC"/>
    <w:rsid w:val="001F3F62"/>
    <w:rsid w:val="0020262C"/>
    <w:rsid w:val="00211359"/>
    <w:rsid w:val="00217616"/>
    <w:rsid w:val="00224537"/>
    <w:rsid w:val="00231114"/>
    <w:rsid w:val="00235956"/>
    <w:rsid w:val="00237C72"/>
    <w:rsid w:val="00244AD5"/>
    <w:rsid w:val="00247C9A"/>
    <w:rsid w:val="00251000"/>
    <w:rsid w:val="0025160C"/>
    <w:rsid w:val="002535D0"/>
    <w:rsid w:val="002539B3"/>
    <w:rsid w:val="002564B4"/>
    <w:rsid w:val="00257C3E"/>
    <w:rsid w:val="002602C2"/>
    <w:rsid w:val="00263243"/>
    <w:rsid w:val="002666C9"/>
    <w:rsid w:val="00270136"/>
    <w:rsid w:val="00270211"/>
    <w:rsid w:val="0027069A"/>
    <w:rsid w:val="00274F5B"/>
    <w:rsid w:val="00280836"/>
    <w:rsid w:val="00282E1A"/>
    <w:rsid w:val="00290214"/>
    <w:rsid w:val="0029113B"/>
    <w:rsid w:val="002934C0"/>
    <w:rsid w:val="002A1B50"/>
    <w:rsid w:val="002A3D6A"/>
    <w:rsid w:val="002A78F5"/>
    <w:rsid w:val="002B0451"/>
    <w:rsid w:val="002B0E91"/>
    <w:rsid w:val="002B3AC5"/>
    <w:rsid w:val="002B6779"/>
    <w:rsid w:val="002B71C0"/>
    <w:rsid w:val="002B7570"/>
    <w:rsid w:val="002B7A34"/>
    <w:rsid w:val="002C31AD"/>
    <w:rsid w:val="002C5269"/>
    <w:rsid w:val="002C7385"/>
    <w:rsid w:val="002D0107"/>
    <w:rsid w:val="002D2DBB"/>
    <w:rsid w:val="002D54A6"/>
    <w:rsid w:val="002D7BD9"/>
    <w:rsid w:val="002E6A7A"/>
    <w:rsid w:val="002E6BD7"/>
    <w:rsid w:val="002E76A2"/>
    <w:rsid w:val="002F1E49"/>
    <w:rsid w:val="002F4E9C"/>
    <w:rsid w:val="002F73D3"/>
    <w:rsid w:val="00310FA3"/>
    <w:rsid w:val="003114BB"/>
    <w:rsid w:val="00311B54"/>
    <w:rsid w:val="0031256C"/>
    <w:rsid w:val="00314D6C"/>
    <w:rsid w:val="00316D2A"/>
    <w:rsid w:val="00316EAF"/>
    <w:rsid w:val="00317DDB"/>
    <w:rsid w:val="003211B4"/>
    <w:rsid w:val="00322A7C"/>
    <w:rsid w:val="00322E74"/>
    <w:rsid w:val="00331B12"/>
    <w:rsid w:val="00332083"/>
    <w:rsid w:val="00333B6E"/>
    <w:rsid w:val="003402D3"/>
    <w:rsid w:val="003433F2"/>
    <w:rsid w:val="00343ABC"/>
    <w:rsid w:val="0034406D"/>
    <w:rsid w:val="00344D23"/>
    <w:rsid w:val="003463FE"/>
    <w:rsid w:val="003547DC"/>
    <w:rsid w:val="003554B3"/>
    <w:rsid w:val="00356632"/>
    <w:rsid w:val="003575AC"/>
    <w:rsid w:val="003623AF"/>
    <w:rsid w:val="00365B47"/>
    <w:rsid w:val="00377A68"/>
    <w:rsid w:val="00381EA0"/>
    <w:rsid w:val="003845A9"/>
    <w:rsid w:val="003851D0"/>
    <w:rsid w:val="00390883"/>
    <w:rsid w:val="003922F8"/>
    <w:rsid w:val="003955EF"/>
    <w:rsid w:val="00395B24"/>
    <w:rsid w:val="003A2D38"/>
    <w:rsid w:val="003A61D5"/>
    <w:rsid w:val="003A7ECC"/>
    <w:rsid w:val="003B176E"/>
    <w:rsid w:val="003B2C72"/>
    <w:rsid w:val="003B6AD0"/>
    <w:rsid w:val="003C1333"/>
    <w:rsid w:val="003C20FF"/>
    <w:rsid w:val="003C5655"/>
    <w:rsid w:val="003D1847"/>
    <w:rsid w:val="003D2650"/>
    <w:rsid w:val="003D560C"/>
    <w:rsid w:val="003E5874"/>
    <w:rsid w:val="003F193E"/>
    <w:rsid w:val="003F34F1"/>
    <w:rsid w:val="003F4E8F"/>
    <w:rsid w:val="00405250"/>
    <w:rsid w:val="00411AE8"/>
    <w:rsid w:val="00413B74"/>
    <w:rsid w:val="004212AD"/>
    <w:rsid w:val="00423289"/>
    <w:rsid w:val="00430AA7"/>
    <w:rsid w:val="004321AB"/>
    <w:rsid w:val="00434667"/>
    <w:rsid w:val="00435C5F"/>
    <w:rsid w:val="00437CD4"/>
    <w:rsid w:val="00441E98"/>
    <w:rsid w:val="00443431"/>
    <w:rsid w:val="00443AC3"/>
    <w:rsid w:val="004532F7"/>
    <w:rsid w:val="00453B31"/>
    <w:rsid w:val="00460428"/>
    <w:rsid w:val="004604A7"/>
    <w:rsid w:val="00463083"/>
    <w:rsid w:val="0046525D"/>
    <w:rsid w:val="004670BE"/>
    <w:rsid w:val="00472027"/>
    <w:rsid w:val="004804CF"/>
    <w:rsid w:val="00482417"/>
    <w:rsid w:val="004825F5"/>
    <w:rsid w:val="004838F6"/>
    <w:rsid w:val="00484962"/>
    <w:rsid w:val="00484F6D"/>
    <w:rsid w:val="00485330"/>
    <w:rsid w:val="0049338A"/>
    <w:rsid w:val="0049417F"/>
    <w:rsid w:val="004A1331"/>
    <w:rsid w:val="004A76AB"/>
    <w:rsid w:val="004B3671"/>
    <w:rsid w:val="004B3EFA"/>
    <w:rsid w:val="004C10F1"/>
    <w:rsid w:val="004C2A87"/>
    <w:rsid w:val="004C4ED3"/>
    <w:rsid w:val="004D2EA5"/>
    <w:rsid w:val="004D32A6"/>
    <w:rsid w:val="004D53E5"/>
    <w:rsid w:val="004F2BF8"/>
    <w:rsid w:val="005003D9"/>
    <w:rsid w:val="00501A12"/>
    <w:rsid w:val="0050395A"/>
    <w:rsid w:val="005122ED"/>
    <w:rsid w:val="0051346D"/>
    <w:rsid w:val="00513EAE"/>
    <w:rsid w:val="00516806"/>
    <w:rsid w:val="00525A49"/>
    <w:rsid w:val="00535613"/>
    <w:rsid w:val="005359EB"/>
    <w:rsid w:val="0053624D"/>
    <w:rsid w:val="0054254A"/>
    <w:rsid w:val="005466B5"/>
    <w:rsid w:val="00553BC0"/>
    <w:rsid w:val="00554A62"/>
    <w:rsid w:val="005629B3"/>
    <w:rsid w:val="00573AC4"/>
    <w:rsid w:val="005801FC"/>
    <w:rsid w:val="0058550C"/>
    <w:rsid w:val="00595016"/>
    <w:rsid w:val="00597AAE"/>
    <w:rsid w:val="005A02D8"/>
    <w:rsid w:val="005A0939"/>
    <w:rsid w:val="005A222C"/>
    <w:rsid w:val="005A360A"/>
    <w:rsid w:val="005A38F3"/>
    <w:rsid w:val="005A4DF8"/>
    <w:rsid w:val="005A742B"/>
    <w:rsid w:val="005B1426"/>
    <w:rsid w:val="005B3E95"/>
    <w:rsid w:val="005B7616"/>
    <w:rsid w:val="005C0A8E"/>
    <w:rsid w:val="005C1767"/>
    <w:rsid w:val="005C42EF"/>
    <w:rsid w:val="005E02F5"/>
    <w:rsid w:val="005E0510"/>
    <w:rsid w:val="005E176E"/>
    <w:rsid w:val="005E218E"/>
    <w:rsid w:val="005E35A0"/>
    <w:rsid w:val="005E437B"/>
    <w:rsid w:val="005F05B3"/>
    <w:rsid w:val="005F0D1B"/>
    <w:rsid w:val="005F1865"/>
    <w:rsid w:val="006007BD"/>
    <w:rsid w:val="006013C8"/>
    <w:rsid w:val="0060270D"/>
    <w:rsid w:val="00604611"/>
    <w:rsid w:val="00611586"/>
    <w:rsid w:val="006206F0"/>
    <w:rsid w:val="00621887"/>
    <w:rsid w:val="00624520"/>
    <w:rsid w:val="006250C2"/>
    <w:rsid w:val="006329A1"/>
    <w:rsid w:val="00632BB7"/>
    <w:rsid w:val="006354C9"/>
    <w:rsid w:val="00635B36"/>
    <w:rsid w:val="00636871"/>
    <w:rsid w:val="00640F4E"/>
    <w:rsid w:val="00643DE0"/>
    <w:rsid w:val="0064487D"/>
    <w:rsid w:val="00644E85"/>
    <w:rsid w:val="0065148C"/>
    <w:rsid w:val="0066063F"/>
    <w:rsid w:val="0066079B"/>
    <w:rsid w:val="00662BB0"/>
    <w:rsid w:val="00663878"/>
    <w:rsid w:val="0066687E"/>
    <w:rsid w:val="00666B11"/>
    <w:rsid w:val="00667773"/>
    <w:rsid w:val="00670743"/>
    <w:rsid w:val="00673988"/>
    <w:rsid w:val="00675728"/>
    <w:rsid w:val="00677E48"/>
    <w:rsid w:val="00681983"/>
    <w:rsid w:val="006840AB"/>
    <w:rsid w:val="0068660E"/>
    <w:rsid w:val="00690E57"/>
    <w:rsid w:val="00690EE2"/>
    <w:rsid w:val="006929DA"/>
    <w:rsid w:val="006A0E20"/>
    <w:rsid w:val="006A5695"/>
    <w:rsid w:val="006B1319"/>
    <w:rsid w:val="006B3904"/>
    <w:rsid w:val="006B5B7D"/>
    <w:rsid w:val="006B78F3"/>
    <w:rsid w:val="006C1BCF"/>
    <w:rsid w:val="006C2B1B"/>
    <w:rsid w:val="006C71F6"/>
    <w:rsid w:val="006D0ECF"/>
    <w:rsid w:val="006D4C92"/>
    <w:rsid w:val="006D4EB6"/>
    <w:rsid w:val="006D7E76"/>
    <w:rsid w:val="006E35BF"/>
    <w:rsid w:val="006E35D8"/>
    <w:rsid w:val="006E7850"/>
    <w:rsid w:val="006F1F0E"/>
    <w:rsid w:val="007028D9"/>
    <w:rsid w:val="00702C4E"/>
    <w:rsid w:val="00704ABA"/>
    <w:rsid w:val="00707218"/>
    <w:rsid w:val="00710110"/>
    <w:rsid w:val="00712B1D"/>
    <w:rsid w:val="00724816"/>
    <w:rsid w:val="00727209"/>
    <w:rsid w:val="007317F6"/>
    <w:rsid w:val="00731F7D"/>
    <w:rsid w:val="007325D9"/>
    <w:rsid w:val="007360CA"/>
    <w:rsid w:val="0074650B"/>
    <w:rsid w:val="00753EDF"/>
    <w:rsid w:val="00754C80"/>
    <w:rsid w:val="0075661C"/>
    <w:rsid w:val="00762CD0"/>
    <w:rsid w:val="0076647F"/>
    <w:rsid w:val="00766C87"/>
    <w:rsid w:val="0078003A"/>
    <w:rsid w:val="00780771"/>
    <w:rsid w:val="00783FC2"/>
    <w:rsid w:val="00785D06"/>
    <w:rsid w:val="0079055A"/>
    <w:rsid w:val="007929CF"/>
    <w:rsid w:val="007A6D32"/>
    <w:rsid w:val="007A6F28"/>
    <w:rsid w:val="007B03C6"/>
    <w:rsid w:val="007B0DB1"/>
    <w:rsid w:val="007B1D29"/>
    <w:rsid w:val="007B6BF5"/>
    <w:rsid w:val="007C01C3"/>
    <w:rsid w:val="007C442F"/>
    <w:rsid w:val="007C5576"/>
    <w:rsid w:val="007D2EF8"/>
    <w:rsid w:val="007D3C76"/>
    <w:rsid w:val="007D561F"/>
    <w:rsid w:val="007D7FD2"/>
    <w:rsid w:val="007E06F7"/>
    <w:rsid w:val="007E13D9"/>
    <w:rsid w:val="007E4DB6"/>
    <w:rsid w:val="007E7CD4"/>
    <w:rsid w:val="007F44A1"/>
    <w:rsid w:val="007F4AC5"/>
    <w:rsid w:val="007F68B6"/>
    <w:rsid w:val="00801800"/>
    <w:rsid w:val="00801B5B"/>
    <w:rsid w:val="008074F1"/>
    <w:rsid w:val="008229BA"/>
    <w:rsid w:val="008251DC"/>
    <w:rsid w:val="00826A09"/>
    <w:rsid w:val="008276B4"/>
    <w:rsid w:val="008276E5"/>
    <w:rsid w:val="00831927"/>
    <w:rsid w:val="00833D08"/>
    <w:rsid w:val="00841BD3"/>
    <w:rsid w:val="0084273D"/>
    <w:rsid w:val="00844E3F"/>
    <w:rsid w:val="00845A83"/>
    <w:rsid w:val="00865C3E"/>
    <w:rsid w:val="008679A9"/>
    <w:rsid w:val="00870520"/>
    <w:rsid w:val="008712BB"/>
    <w:rsid w:val="00872DC8"/>
    <w:rsid w:val="00885883"/>
    <w:rsid w:val="00891961"/>
    <w:rsid w:val="008950A5"/>
    <w:rsid w:val="0089621F"/>
    <w:rsid w:val="008A2484"/>
    <w:rsid w:val="008A4FA3"/>
    <w:rsid w:val="008A7C7C"/>
    <w:rsid w:val="008C046B"/>
    <w:rsid w:val="008C10E9"/>
    <w:rsid w:val="008C21BD"/>
    <w:rsid w:val="008C26D9"/>
    <w:rsid w:val="008C4F84"/>
    <w:rsid w:val="008C52C6"/>
    <w:rsid w:val="008C6D50"/>
    <w:rsid w:val="008C7167"/>
    <w:rsid w:val="008C7503"/>
    <w:rsid w:val="008D1617"/>
    <w:rsid w:val="008E5493"/>
    <w:rsid w:val="008E6315"/>
    <w:rsid w:val="008E690E"/>
    <w:rsid w:val="008E7082"/>
    <w:rsid w:val="008F11E0"/>
    <w:rsid w:val="008F397D"/>
    <w:rsid w:val="008F6681"/>
    <w:rsid w:val="008F76A0"/>
    <w:rsid w:val="008F78BC"/>
    <w:rsid w:val="008F7B63"/>
    <w:rsid w:val="008F7D6A"/>
    <w:rsid w:val="00901A23"/>
    <w:rsid w:val="00904A03"/>
    <w:rsid w:val="009054CB"/>
    <w:rsid w:val="009056EF"/>
    <w:rsid w:val="00912F94"/>
    <w:rsid w:val="00915E7C"/>
    <w:rsid w:val="0091784C"/>
    <w:rsid w:val="009201AB"/>
    <w:rsid w:val="00922AD0"/>
    <w:rsid w:val="00925732"/>
    <w:rsid w:val="0092590B"/>
    <w:rsid w:val="00925E60"/>
    <w:rsid w:val="009264B3"/>
    <w:rsid w:val="009347A8"/>
    <w:rsid w:val="009355E6"/>
    <w:rsid w:val="00942BA2"/>
    <w:rsid w:val="00944C86"/>
    <w:rsid w:val="00947792"/>
    <w:rsid w:val="00947AA3"/>
    <w:rsid w:val="009579B7"/>
    <w:rsid w:val="00957DE8"/>
    <w:rsid w:val="00960ECB"/>
    <w:rsid w:val="009615D6"/>
    <w:rsid w:val="00964B0B"/>
    <w:rsid w:val="00967855"/>
    <w:rsid w:val="00972EF8"/>
    <w:rsid w:val="00976CE5"/>
    <w:rsid w:val="00980736"/>
    <w:rsid w:val="00981A39"/>
    <w:rsid w:val="0098438B"/>
    <w:rsid w:val="00985695"/>
    <w:rsid w:val="00987097"/>
    <w:rsid w:val="00991746"/>
    <w:rsid w:val="00994029"/>
    <w:rsid w:val="00994DAA"/>
    <w:rsid w:val="0099662C"/>
    <w:rsid w:val="009A2C13"/>
    <w:rsid w:val="009B046C"/>
    <w:rsid w:val="009B13FA"/>
    <w:rsid w:val="009B1C69"/>
    <w:rsid w:val="009B1E2D"/>
    <w:rsid w:val="009B75AB"/>
    <w:rsid w:val="009C085E"/>
    <w:rsid w:val="009C59FB"/>
    <w:rsid w:val="009C6304"/>
    <w:rsid w:val="009C6F3B"/>
    <w:rsid w:val="009D33F9"/>
    <w:rsid w:val="009D770C"/>
    <w:rsid w:val="009E0D24"/>
    <w:rsid w:val="009E4FA6"/>
    <w:rsid w:val="009E5E49"/>
    <w:rsid w:val="009E627C"/>
    <w:rsid w:val="009E7D93"/>
    <w:rsid w:val="009F5C33"/>
    <w:rsid w:val="009F744B"/>
    <w:rsid w:val="00A0294A"/>
    <w:rsid w:val="00A03EAC"/>
    <w:rsid w:val="00A03EBB"/>
    <w:rsid w:val="00A11CA6"/>
    <w:rsid w:val="00A166E6"/>
    <w:rsid w:val="00A20C49"/>
    <w:rsid w:val="00A269CA"/>
    <w:rsid w:val="00A275A9"/>
    <w:rsid w:val="00A32CF0"/>
    <w:rsid w:val="00A359AC"/>
    <w:rsid w:val="00A36EB6"/>
    <w:rsid w:val="00A41413"/>
    <w:rsid w:val="00A45A1E"/>
    <w:rsid w:val="00A45FB1"/>
    <w:rsid w:val="00A46ADB"/>
    <w:rsid w:val="00A46CCC"/>
    <w:rsid w:val="00A4728F"/>
    <w:rsid w:val="00A51CFE"/>
    <w:rsid w:val="00A732F1"/>
    <w:rsid w:val="00A760CA"/>
    <w:rsid w:val="00A76C13"/>
    <w:rsid w:val="00A773C0"/>
    <w:rsid w:val="00A84BBF"/>
    <w:rsid w:val="00A87485"/>
    <w:rsid w:val="00A92E79"/>
    <w:rsid w:val="00A950B6"/>
    <w:rsid w:val="00AA3F75"/>
    <w:rsid w:val="00AB41C1"/>
    <w:rsid w:val="00AB68FA"/>
    <w:rsid w:val="00AC3B6F"/>
    <w:rsid w:val="00AC77C7"/>
    <w:rsid w:val="00AD12A8"/>
    <w:rsid w:val="00AE3B99"/>
    <w:rsid w:val="00AE444B"/>
    <w:rsid w:val="00AE52B3"/>
    <w:rsid w:val="00AF2E8D"/>
    <w:rsid w:val="00AF3577"/>
    <w:rsid w:val="00AF35F9"/>
    <w:rsid w:val="00B01D2C"/>
    <w:rsid w:val="00B05C7D"/>
    <w:rsid w:val="00B346C3"/>
    <w:rsid w:val="00B35CDD"/>
    <w:rsid w:val="00B362DA"/>
    <w:rsid w:val="00B4471C"/>
    <w:rsid w:val="00B451A6"/>
    <w:rsid w:val="00B64242"/>
    <w:rsid w:val="00B722DE"/>
    <w:rsid w:val="00B72BF6"/>
    <w:rsid w:val="00B73E52"/>
    <w:rsid w:val="00B76C44"/>
    <w:rsid w:val="00B8016D"/>
    <w:rsid w:val="00B82E7F"/>
    <w:rsid w:val="00B83F87"/>
    <w:rsid w:val="00B9723B"/>
    <w:rsid w:val="00BA2EFA"/>
    <w:rsid w:val="00BA3DBC"/>
    <w:rsid w:val="00BA6827"/>
    <w:rsid w:val="00BB2DA2"/>
    <w:rsid w:val="00BB46A5"/>
    <w:rsid w:val="00BB56DC"/>
    <w:rsid w:val="00BC1948"/>
    <w:rsid w:val="00BC25A5"/>
    <w:rsid w:val="00BC5A97"/>
    <w:rsid w:val="00BD3CB7"/>
    <w:rsid w:val="00BE183D"/>
    <w:rsid w:val="00BF5D7A"/>
    <w:rsid w:val="00BF7668"/>
    <w:rsid w:val="00C22EF3"/>
    <w:rsid w:val="00C26C5F"/>
    <w:rsid w:val="00C36442"/>
    <w:rsid w:val="00C37F8C"/>
    <w:rsid w:val="00C400CE"/>
    <w:rsid w:val="00C410FD"/>
    <w:rsid w:val="00C5224F"/>
    <w:rsid w:val="00C539FB"/>
    <w:rsid w:val="00C65245"/>
    <w:rsid w:val="00C72D3F"/>
    <w:rsid w:val="00C8185D"/>
    <w:rsid w:val="00C829BC"/>
    <w:rsid w:val="00C86550"/>
    <w:rsid w:val="00C9729A"/>
    <w:rsid w:val="00C97D48"/>
    <w:rsid w:val="00CA246D"/>
    <w:rsid w:val="00CA6E8B"/>
    <w:rsid w:val="00CB0C92"/>
    <w:rsid w:val="00CB5636"/>
    <w:rsid w:val="00CB6F1D"/>
    <w:rsid w:val="00CC5DB4"/>
    <w:rsid w:val="00CE4DD8"/>
    <w:rsid w:val="00CF04EB"/>
    <w:rsid w:val="00D10B7C"/>
    <w:rsid w:val="00D10F21"/>
    <w:rsid w:val="00D13E18"/>
    <w:rsid w:val="00D1544D"/>
    <w:rsid w:val="00D236D8"/>
    <w:rsid w:val="00D310D1"/>
    <w:rsid w:val="00D34040"/>
    <w:rsid w:val="00D34E69"/>
    <w:rsid w:val="00D3646B"/>
    <w:rsid w:val="00D375EE"/>
    <w:rsid w:val="00D43D6C"/>
    <w:rsid w:val="00D44129"/>
    <w:rsid w:val="00D44D84"/>
    <w:rsid w:val="00D62699"/>
    <w:rsid w:val="00D65AEE"/>
    <w:rsid w:val="00D71B32"/>
    <w:rsid w:val="00D76043"/>
    <w:rsid w:val="00D82620"/>
    <w:rsid w:val="00D876B5"/>
    <w:rsid w:val="00D94F36"/>
    <w:rsid w:val="00D96A0A"/>
    <w:rsid w:val="00D9725F"/>
    <w:rsid w:val="00DA01B1"/>
    <w:rsid w:val="00DA11A2"/>
    <w:rsid w:val="00DA14ED"/>
    <w:rsid w:val="00DA2500"/>
    <w:rsid w:val="00DA5A24"/>
    <w:rsid w:val="00DB2EF1"/>
    <w:rsid w:val="00DB3DE1"/>
    <w:rsid w:val="00DB5DA0"/>
    <w:rsid w:val="00DB716C"/>
    <w:rsid w:val="00DC5C85"/>
    <w:rsid w:val="00DD4236"/>
    <w:rsid w:val="00DD44F1"/>
    <w:rsid w:val="00DD5B45"/>
    <w:rsid w:val="00DE03DB"/>
    <w:rsid w:val="00DE3067"/>
    <w:rsid w:val="00DE73AC"/>
    <w:rsid w:val="00DE795C"/>
    <w:rsid w:val="00DF57B2"/>
    <w:rsid w:val="00DF67E4"/>
    <w:rsid w:val="00E027BC"/>
    <w:rsid w:val="00E02AE2"/>
    <w:rsid w:val="00E0727A"/>
    <w:rsid w:val="00E14EA5"/>
    <w:rsid w:val="00E21133"/>
    <w:rsid w:val="00E21FAC"/>
    <w:rsid w:val="00E223D7"/>
    <w:rsid w:val="00E2327E"/>
    <w:rsid w:val="00E266EF"/>
    <w:rsid w:val="00E47428"/>
    <w:rsid w:val="00E51D29"/>
    <w:rsid w:val="00E6650B"/>
    <w:rsid w:val="00E66B9F"/>
    <w:rsid w:val="00E710D6"/>
    <w:rsid w:val="00E7613B"/>
    <w:rsid w:val="00E76E45"/>
    <w:rsid w:val="00E777C9"/>
    <w:rsid w:val="00E81DA6"/>
    <w:rsid w:val="00E84212"/>
    <w:rsid w:val="00E9086C"/>
    <w:rsid w:val="00E9150D"/>
    <w:rsid w:val="00E91A0F"/>
    <w:rsid w:val="00E93DD7"/>
    <w:rsid w:val="00E94A71"/>
    <w:rsid w:val="00EA03CE"/>
    <w:rsid w:val="00EA0839"/>
    <w:rsid w:val="00EA23E5"/>
    <w:rsid w:val="00EA4E2E"/>
    <w:rsid w:val="00EA58BC"/>
    <w:rsid w:val="00EB0903"/>
    <w:rsid w:val="00EB2CCB"/>
    <w:rsid w:val="00EB2E66"/>
    <w:rsid w:val="00EC0107"/>
    <w:rsid w:val="00EC21AF"/>
    <w:rsid w:val="00EC57A7"/>
    <w:rsid w:val="00ED0817"/>
    <w:rsid w:val="00ED2886"/>
    <w:rsid w:val="00ED7DD9"/>
    <w:rsid w:val="00EE60B5"/>
    <w:rsid w:val="00EF3113"/>
    <w:rsid w:val="00EF3F84"/>
    <w:rsid w:val="00EF5F5D"/>
    <w:rsid w:val="00F148B2"/>
    <w:rsid w:val="00F15A5A"/>
    <w:rsid w:val="00F176AC"/>
    <w:rsid w:val="00F25013"/>
    <w:rsid w:val="00F27714"/>
    <w:rsid w:val="00F3101B"/>
    <w:rsid w:val="00F3276E"/>
    <w:rsid w:val="00F33D3C"/>
    <w:rsid w:val="00F37A91"/>
    <w:rsid w:val="00F45CF5"/>
    <w:rsid w:val="00F47DB0"/>
    <w:rsid w:val="00F50E34"/>
    <w:rsid w:val="00F51C61"/>
    <w:rsid w:val="00F51DF9"/>
    <w:rsid w:val="00F52856"/>
    <w:rsid w:val="00F53EF7"/>
    <w:rsid w:val="00F54BF2"/>
    <w:rsid w:val="00F72259"/>
    <w:rsid w:val="00F80C1F"/>
    <w:rsid w:val="00F92355"/>
    <w:rsid w:val="00F93963"/>
    <w:rsid w:val="00F94291"/>
    <w:rsid w:val="00F9669B"/>
    <w:rsid w:val="00F97B9D"/>
    <w:rsid w:val="00FA3594"/>
    <w:rsid w:val="00FB2EA9"/>
    <w:rsid w:val="00FB5C4B"/>
    <w:rsid w:val="00FB69F2"/>
    <w:rsid w:val="00FB7982"/>
    <w:rsid w:val="00FC0734"/>
    <w:rsid w:val="00FC0FC5"/>
    <w:rsid w:val="00FC32D8"/>
    <w:rsid w:val="00FC588F"/>
    <w:rsid w:val="00FD1A34"/>
    <w:rsid w:val="00FD4C34"/>
    <w:rsid w:val="00FD4CDA"/>
    <w:rsid w:val="00FE001F"/>
    <w:rsid w:val="00FE1B30"/>
    <w:rsid w:val="00FE7023"/>
    <w:rsid w:val="00FE7B44"/>
    <w:rsid w:val="00FF11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ListParagraph">
    <w:name w:val="List Paragraph"/>
    <w:basedOn w:val="Normal"/>
    <w:uiPriority w:val="34"/>
    <w:rsid w:val="004838F6"/>
    <w:pPr>
      <w:ind w:left="720"/>
      <w:contextualSpacing/>
    </w:pPr>
  </w:style>
  <w:style w:type="paragraph" w:customStyle="1" w:styleId="Default">
    <w:name w:val="Default"/>
    <w:rsid w:val="00DD5B45"/>
    <w:pPr>
      <w:autoSpaceDE w:val="0"/>
      <w:autoSpaceDN w:val="0"/>
      <w:adjustRightInd w:val="0"/>
    </w:pPr>
    <w:rPr>
      <w:color w:val="000000"/>
      <w:sz w:val="24"/>
      <w:szCs w:val="24"/>
    </w:rPr>
  </w:style>
  <w:style w:type="paragraph" w:customStyle="1" w:styleId="h3">
    <w:name w:val="h3"/>
    <w:basedOn w:val="Normal"/>
    <w:rsid w:val="00673988"/>
    <w:pPr>
      <w:spacing w:before="100" w:beforeAutospacing="1" w:after="100" w:afterAutospacing="1" w:line="240" w:lineRule="auto"/>
      <w:jc w:val="left"/>
    </w:pPr>
    <w:rPr>
      <w:rFonts w:eastAsia="Times New Roman"/>
      <w:color w:val="000000"/>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ListParagraph">
    <w:name w:val="List Paragraph"/>
    <w:basedOn w:val="Normal"/>
    <w:uiPriority w:val="34"/>
    <w:rsid w:val="004838F6"/>
    <w:pPr>
      <w:ind w:left="720"/>
      <w:contextualSpacing/>
    </w:pPr>
  </w:style>
  <w:style w:type="paragraph" w:customStyle="1" w:styleId="Default">
    <w:name w:val="Default"/>
    <w:rsid w:val="00DD5B45"/>
    <w:pPr>
      <w:autoSpaceDE w:val="0"/>
      <w:autoSpaceDN w:val="0"/>
      <w:adjustRightInd w:val="0"/>
    </w:pPr>
    <w:rPr>
      <w:color w:val="000000"/>
      <w:sz w:val="24"/>
      <w:szCs w:val="24"/>
    </w:rPr>
  </w:style>
  <w:style w:type="paragraph" w:customStyle="1" w:styleId="h3">
    <w:name w:val="h3"/>
    <w:basedOn w:val="Normal"/>
    <w:rsid w:val="00673988"/>
    <w:pPr>
      <w:spacing w:before="100" w:beforeAutospacing="1" w:after="100" w:afterAutospacing="1" w:line="240" w:lineRule="auto"/>
      <w:jc w:val="left"/>
    </w:pPr>
    <w:rPr>
      <w:rFonts w:eastAsia="Times New Roman"/>
      <w:color w:val="000000"/>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57767">
      <w:bodyDiv w:val="1"/>
      <w:marLeft w:val="0"/>
      <w:marRight w:val="0"/>
      <w:marTop w:val="0"/>
      <w:marBottom w:val="0"/>
      <w:divBdr>
        <w:top w:val="none" w:sz="0" w:space="0" w:color="auto"/>
        <w:left w:val="none" w:sz="0" w:space="0" w:color="auto"/>
        <w:bottom w:val="none" w:sz="0" w:space="0" w:color="auto"/>
        <w:right w:val="none" w:sz="0" w:space="0" w:color="auto"/>
      </w:divBdr>
    </w:div>
    <w:div w:id="271977552">
      <w:bodyDiv w:val="1"/>
      <w:marLeft w:val="0"/>
      <w:marRight w:val="0"/>
      <w:marTop w:val="0"/>
      <w:marBottom w:val="0"/>
      <w:divBdr>
        <w:top w:val="none" w:sz="0" w:space="0" w:color="auto"/>
        <w:left w:val="none" w:sz="0" w:space="0" w:color="auto"/>
        <w:bottom w:val="none" w:sz="0" w:space="0" w:color="auto"/>
        <w:right w:val="none" w:sz="0" w:space="0" w:color="auto"/>
      </w:divBdr>
    </w:div>
    <w:div w:id="310017758">
      <w:bodyDiv w:val="1"/>
      <w:marLeft w:val="0"/>
      <w:marRight w:val="0"/>
      <w:marTop w:val="0"/>
      <w:marBottom w:val="0"/>
      <w:divBdr>
        <w:top w:val="none" w:sz="0" w:space="0" w:color="auto"/>
        <w:left w:val="none" w:sz="0" w:space="0" w:color="auto"/>
        <w:bottom w:val="none" w:sz="0" w:space="0" w:color="auto"/>
        <w:right w:val="none" w:sz="0" w:space="0" w:color="auto"/>
      </w:divBdr>
    </w:div>
    <w:div w:id="584459274">
      <w:bodyDiv w:val="1"/>
      <w:marLeft w:val="0"/>
      <w:marRight w:val="0"/>
      <w:marTop w:val="0"/>
      <w:marBottom w:val="0"/>
      <w:divBdr>
        <w:top w:val="none" w:sz="0" w:space="0" w:color="auto"/>
        <w:left w:val="none" w:sz="0" w:space="0" w:color="auto"/>
        <w:bottom w:val="none" w:sz="0" w:space="0" w:color="auto"/>
        <w:right w:val="none" w:sz="0" w:space="0" w:color="auto"/>
      </w:divBdr>
    </w:div>
    <w:div w:id="861161604">
      <w:bodyDiv w:val="1"/>
      <w:marLeft w:val="0"/>
      <w:marRight w:val="0"/>
      <w:marTop w:val="0"/>
      <w:marBottom w:val="0"/>
      <w:divBdr>
        <w:top w:val="none" w:sz="0" w:space="0" w:color="auto"/>
        <w:left w:val="none" w:sz="0" w:space="0" w:color="auto"/>
        <w:bottom w:val="none" w:sz="0" w:space="0" w:color="auto"/>
        <w:right w:val="none" w:sz="0" w:space="0" w:color="auto"/>
      </w:divBdr>
      <w:divsChild>
        <w:div w:id="117920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942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5908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4323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4118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5305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88956219">
      <w:bodyDiv w:val="1"/>
      <w:marLeft w:val="0"/>
      <w:marRight w:val="0"/>
      <w:marTop w:val="0"/>
      <w:marBottom w:val="0"/>
      <w:divBdr>
        <w:top w:val="none" w:sz="0" w:space="0" w:color="auto"/>
        <w:left w:val="none" w:sz="0" w:space="0" w:color="auto"/>
        <w:bottom w:val="none" w:sz="0" w:space="0" w:color="auto"/>
        <w:right w:val="none" w:sz="0" w:space="0" w:color="auto"/>
      </w:divBdr>
    </w:div>
    <w:div w:id="1016080555">
      <w:bodyDiv w:val="1"/>
      <w:marLeft w:val="0"/>
      <w:marRight w:val="0"/>
      <w:marTop w:val="0"/>
      <w:marBottom w:val="0"/>
      <w:divBdr>
        <w:top w:val="none" w:sz="0" w:space="0" w:color="auto"/>
        <w:left w:val="none" w:sz="0" w:space="0" w:color="auto"/>
        <w:bottom w:val="none" w:sz="0" w:space="0" w:color="auto"/>
        <w:right w:val="none" w:sz="0" w:space="0" w:color="auto"/>
      </w:divBdr>
    </w:div>
    <w:div w:id="1035810507">
      <w:bodyDiv w:val="1"/>
      <w:marLeft w:val="0"/>
      <w:marRight w:val="0"/>
      <w:marTop w:val="0"/>
      <w:marBottom w:val="0"/>
      <w:divBdr>
        <w:top w:val="none" w:sz="0" w:space="0" w:color="auto"/>
        <w:left w:val="none" w:sz="0" w:space="0" w:color="auto"/>
        <w:bottom w:val="none" w:sz="0" w:space="0" w:color="auto"/>
        <w:right w:val="none" w:sz="0" w:space="0" w:color="auto"/>
      </w:divBdr>
      <w:divsChild>
        <w:div w:id="1200434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918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41974284">
      <w:bodyDiv w:val="1"/>
      <w:marLeft w:val="0"/>
      <w:marRight w:val="0"/>
      <w:marTop w:val="0"/>
      <w:marBottom w:val="0"/>
      <w:divBdr>
        <w:top w:val="none" w:sz="0" w:space="0" w:color="auto"/>
        <w:left w:val="none" w:sz="0" w:space="0" w:color="auto"/>
        <w:bottom w:val="none" w:sz="0" w:space="0" w:color="auto"/>
        <w:right w:val="none" w:sz="0" w:space="0" w:color="auto"/>
      </w:divBdr>
    </w:div>
    <w:div w:id="1090347406">
      <w:bodyDiv w:val="1"/>
      <w:marLeft w:val="0"/>
      <w:marRight w:val="0"/>
      <w:marTop w:val="0"/>
      <w:marBottom w:val="0"/>
      <w:divBdr>
        <w:top w:val="none" w:sz="0" w:space="0" w:color="auto"/>
        <w:left w:val="none" w:sz="0" w:space="0" w:color="auto"/>
        <w:bottom w:val="none" w:sz="0" w:space="0" w:color="auto"/>
        <w:right w:val="none" w:sz="0" w:space="0" w:color="auto"/>
      </w:divBdr>
    </w:div>
    <w:div w:id="1272467728">
      <w:bodyDiv w:val="1"/>
      <w:marLeft w:val="0"/>
      <w:marRight w:val="0"/>
      <w:marTop w:val="0"/>
      <w:marBottom w:val="0"/>
      <w:divBdr>
        <w:top w:val="none" w:sz="0" w:space="0" w:color="auto"/>
        <w:left w:val="none" w:sz="0" w:space="0" w:color="auto"/>
        <w:bottom w:val="none" w:sz="0" w:space="0" w:color="auto"/>
        <w:right w:val="none" w:sz="0" w:space="0" w:color="auto"/>
      </w:divBdr>
    </w:div>
    <w:div w:id="1448501876">
      <w:bodyDiv w:val="1"/>
      <w:marLeft w:val="0"/>
      <w:marRight w:val="0"/>
      <w:marTop w:val="0"/>
      <w:marBottom w:val="0"/>
      <w:divBdr>
        <w:top w:val="none" w:sz="0" w:space="0" w:color="auto"/>
        <w:left w:val="none" w:sz="0" w:space="0" w:color="auto"/>
        <w:bottom w:val="none" w:sz="0" w:space="0" w:color="auto"/>
        <w:right w:val="none" w:sz="0" w:space="0" w:color="auto"/>
      </w:divBdr>
      <w:divsChild>
        <w:div w:id="634143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145224">
      <w:bodyDiv w:val="1"/>
      <w:marLeft w:val="0"/>
      <w:marRight w:val="0"/>
      <w:marTop w:val="0"/>
      <w:marBottom w:val="0"/>
      <w:divBdr>
        <w:top w:val="none" w:sz="0" w:space="0" w:color="auto"/>
        <w:left w:val="none" w:sz="0" w:space="0" w:color="auto"/>
        <w:bottom w:val="none" w:sz="0" w:space="0" w:color="auto"/>
        <w:right w:val="none" w:sz="0" w:space="0" w:color="auto"/>
      </w:divBdr>
      <w:divsChild>
        <w:div w:id="164102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6832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2513658">
      <w:bodyDiv w:val="1"/>
      <w:marLeft w:val="0"/>
      <w:marRight w:val="0"/>
      <w:marTop w:val="0"/>
      <w:marBottom w:val="0"/>
      <w:divBdr>
        <w:top w:val="none" w:sz="0" w:space="0" w:color="auto"/>
        <w:left w:val="none" w:sz="0" w:space="0" w:color="auto"/>
        <w:bottom w:val="none" w:sz="0" w:space="0" w:color="auto"/>
        <w:right w:val="none" w:sz="0" w:space="0" w:color="auto"/>
      </w:divBdr>
      <w:divsChild>
        <w:div w:id="577983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0429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0555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0228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0114408">
      <w:bodyDiv w:val="1"/>
      <w:marLeft w:val="0"/>
      <w:marRight w:val="0"/>
      <w:marTop w:val="0"/>
      <w:marBottom w:val="0"/>
      <w:divBdr>
        <w:top w:val="none" w:sz="0" w:space="0" w:color="auto"/>
        <w:left w:val="none" w:sz="0" w:space="0" w:color="auto"/>
        <w:bottom w:val="none" w:sz="0" w:space="0" w:color="auto"/>
        <w:right w:val="none" w:sz="0" w:space="0" w:color="auto"/>
      </w:divBdr>
      <w:divsChild>
        <w:div w:id="1949583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1513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5938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2232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7145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388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6373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1819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79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085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4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444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1062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14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2673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1325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9553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3333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874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378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7436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3704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5100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9037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790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4299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6D326-482E-4760-82F1-08969217D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Template>
  <TotalTime>1</TotalTime>
  <Pages>33</Pages>
  <Words>12603</Words>
  <Characters>66922</Characters>
  <Application>Microsoft Office Word</Application>
  <DocSecurity>0</DocSecurity>
  <PresentationFormat/>
  <Lines>1153</Lines>
  <Paragraphs>334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Australian Competition and Consumer Commission v Reckitt Benckiser (Australia) Pty Ltd (No 7) [2016] FCA 424</vt:lpstr>
    </vt:vector>
  </TitlesOfParts>
  <Manager/>
  <Company/>
  <LinksUpToDate>false</LinksUpToDate>
  <CharactersWithSpaces>79191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2016-04-26T01:21:00Z</cp:lastPrinted>
  <dcterms:created xsi:type="dcterms:W3CDTF">2016-04-29T06:40:00Z</dcterms:created>
  <dcterms:modified xsi:type="dcterms:W3CDTF">2016-04-29T06:40:00Z</dcterms:modified>
  <cp:category/>
  <cp:contentStatus/>
  <dc:language/>
  <cp:version/>
</cp:coreProperties>
</file>