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D45EE">
      <w:pPr>
        <w:pStyle w:val="MediaNeutralStyle"/>
      </w:pPr>
      <w:bookmarkStart w:id="0" w:name="MNC"/>
      <w:r>
        <w:t xml:space="preserve">Ross v Cotter [2015] </w:t>
      </w:r>
      <w:proofErr w:type="spellStart"/>
      <w:r>
        <w:t>FCA</w:t>
      </w:r>
      <w:proofErr w:type="spellEnd"/>
      <w:r>
        <w:t xml:space="preserve"> 310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D8673F">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CD45EE">
            <w:pPr>
              <w:pStyle w:val="Normal1linespace"/>
              <w:widowControl w:val="0"/>
              <w:jc w:val="left"/>
            </w:pPr>
            <w:r>
              <w:t xml:space="preserve">Ross v Cotter [2015] </w:t>
            </w:r>
            <w:proofErr w:type="spellStart"/>
            <w:r>
              <w:t>FCA</w:t>
            </w:r>
            <w:proofErr w:type="spellEnd"/>
            <w:r>
              <w:t xml:space="preserve"> 310</w:t>
            </w:r>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8616F">
            <w:pPr>
              <w:pStyle w:val="Normal1linespace"/>
              <w:widowControl w:val="0"/>
              <w:jc w:val="left"/>
              <w:rPr>
                <w:b/>
              </w:rPr>
            </w:pPr>
            <w:bookmarkStart w:id="1" w:name="JudgmentFP"/>
            <w:r>
              <w:rPr>
                <w:b/>
              </w:rPr>
              <w:t xml:space="preserve">DAVID ROSS, </w:t>
            </w:r>
            <w:proofErr w:type="spellStart"/>
            <w:r>
              <w:rPr>
                <w:b/>
              </w:rPr>
              <w:t>SHAHIN</w:t>
            </w:r>
            <w:proofErr w:type="spellEnd"/>
            <w:r>
              <w:rPr>
                <w:b/>
              </w:rPr>
              <w:t xml:space="preserve"> HUSSAIN AND RICHARD </w:t>
            </w:r>
            <w:proofErr w:type="spellStart"/>
            <w:r>
              <w:rPr>
                <w:b/>
              </w:rPr>
              <w:t>ALBARRAN</w:t>
            </w:r>
            <w:proofErr w:type="spellEnd"/>
            <w:r>
              <w:rPr>
                <w:b/>
              </w:rPr>
              <w:t xml:space="preserve"> AS JOINT AND SEVERAL RECEIVERS OF ANC TRANSPORT PTY LTD (RECEIVERS APPOINTED)</w:t>
            </w:r>
            <w:r w:rsidR="00953F40">
              <w:rPr>
                <w:b/>
              </w:rPr>
              <w:t xml:space="preserve"> </w:t>
            </w:r>
            <w:proofErr w:type="spellStart"/>
            <w:r w:rsidR="00953F40">
              <w:rPr>
                <w:b/>
              </w:rPr>
              <w:t>ACN</w:t>
            </w:r>
            <w:proofErr w:type="spellEnd"/>
            <w:r w:rsidR="00953F40">
              <w:rPr>
                <w:b/>
              </w:rPr>
              <w:t xml:space="preserve"> 137 400 081</w:t>
            </w:r>
            <w:r>
              <w:rPr>
                <w:b/>
              </w:rPr>
              <w:t xml:space="preserve"> v NORMAN COTTER and AN</w:t>
            </w:r>
            <w:r w:rsidR="0032650D">
              <w:rPr>
                <w:b/>
              </w:rPr>
              <w:t>DREA C</w:t>
            </w:r>
            <w:r>
              <w:rPr>
                <w:b/>
              </w:rPr>
              <w:t>O</w:t>
            </w:r>
            <w:r w:rsidR="0032650D">
              <w:rPr>
                <w:b/>
              </w:rPr>
              <w:t>TTE</w:t>
            </w:r>
            <w:r>
              <w:rPr>
                <w:b/>
              </w:rPr>
              <w:t>R</w:t>
            </w:r>
            <w:bookmarkEnd w:id="1"/>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32650D">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08616F">
              <w:rPr>
                <w:szCs w:val="24"/>
              </w:rPr>
              <w:t>QUD</w:t>
            </w:r>
            <w:proofErr w:type="spellEnd"/>
            <w:r w:rsidR="0008616F">
              <w:rPr>
                <w:szCs w:val="24"/>
              </w:rPr>
              <w:t xml:space="preserve"> 684 of 2014</w:t>
            </w:r>
            <w:r>
              <w:rPr>
                <w:szCs w:val="24"/>
              </w:rPr>
              <w:fldChar w:fldCharType="end"/>
            </w:r>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32650D">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08616F">
              <w:rPr>
                <w:b/>
              </w:rPr>
              <w:fldChar w:fldCharType="begin" w:fldLock="1"/>
            </w:r>
            <w:r w:rsidRPr="0008616F">
              <w:rPr>
                <w:b/>
              </w:rPr>
              <w:instrText xml:space="preserve"> REF  Judge  \* MERGEFORMAT </w:instrText>
            </w:r>
            <w:r w:rsidRPr="0008616F">
              <w:rPr>
                <w:b/>
              </w:rPr>
              <w:fldChar w:fldCharType="separate"/>
            </w:r>
            <w:r w:rsidR="0008616F" w:rsidRPr="0008616F">
              <w:rPr>
                <w:b/>
                <w:caps/>
                <w:szCs w:val="24"/>
              </w:rPr>
              <w:t>REEVES J</w:t>
            </w:r>
            <w:r w:rsidRPr="0008616F">
              <w:rPr>
                <w:b/>
              </w:rPr>
              <w:fldChar w:fldCharType="end"/>
            </w:r>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9E4B2C" w:rsidP="009E4B2C">
            <w:pPr>
              <w:pStyle w:val="Normal1linespace"/>
              <w:widowControl w:val="0"/>
              <w:jc w:val="left"/>
            </w:pPr>
            <w:bookmarkStart w:id="2" w:name="JudgmentDate"/>
            <w:r>
              <w:t>2 April</w:t>
            </w:r>
            <w:r w:rsidR="0008616F">
              <w:t xml:space="preserve"> 2015</w:t>
            </w:r>
            <w:bookmarkEnd w:id="2"/>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D8673F" w:rsidP="00D8673F">
            <w:pPr>
              <w:pStyle w:val="Normal1linespace"/>
              <w:widowControl w:val="0"/>
              <w:jc w:val="left"/>
            </w:pPr>
            <w:bookmarkStart w:id="3" w:name="Catchwords"/>
            <w:r w:rsidRPr="006556AF">
              <w:rPr>
                <w:b/>
              </w:rPr>
              <w:t>PRACTICE AND PROCEDURE</w:t>
            </w:r>
            <w:r>
              <w:t xml:space="preserve"> – application for deemed service – application for default judgment – where failure to attend Court on return date – where failure to file notice of address for service – whether utility in making declarations</w:t>
            </w:r>
            <w:r w:rsidR="002C7385">
              <w:t xml:space="preserve"> </w:t>
            </w:r>
            <w:bookmarkEnd w:id="3"/>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D8673F" w:rsidRDefault="00D8673F" w:rsidP="00D8673F">
            <w:pPr>
              <w:pStyle w:val="Normal1linespace"/>
              <w:widowControl w:val="0"/>
              <w:jc w:val="left"/>
            </w:pPr>
            <w:bookmarkStart w:id="4" w:name="Legislation"/>
            <w:r w:rsidRPr="001D0DA9">
              <w:rPr>
                <w:i/>
              </w:rPr>
              <w:t>Corporations Act 2001</w:t>
            </w:r>
            <w:r w:rsidRPr="00AD6EE2">
              <w:t xml:space="preserve"> (</w:t>
            </w:r>
            <w:proofErr w:type="spellStart"/>
            <w:r w:rsidRPr="00AD6EE2">
              <w:t>Cth</w:t>
            </w:r>
            <w:proofErr w:type="spellEnd"/>
            <w:r w:rsidRPr="00AD6EE2">
              <w:t>)</w:t>
            </w:r>
            <w:r>
              <w:t xml:space="preserve"> </w:t>
            </w:r>
          </w:p>
          <w:p w:rsidR="00D8673F" w:rsidRDefault="00D8673F" w:rsidP="00D8673F">
            <w:pPr>
              <w:pStyle w:val="Normal1linespace"/>
              <w:widowControl w:val="0"/>
              <w:jc w:val="left"/>
            </w:pPr>
            <w:r w:rsidRPr="00020F30">
              <w:rPr>
                <w:i/>
              </w:rPr>
              <w:t>Federal Court of Australia Act 1976</w:t>
            </w:r>
            <w:r>
              <w:t xml:space="preserve"> (</w:t>
            </w:r>
            <w:proofErr w:type="spellStart"/>
            <w:r>
              <w:t>Cth</w:t>
            </w:r>
            <w:proofErr w:type="spellEnd"/>
            <w:r>
              <w:t xml:space="preserve">) </w:t>
            </w:r>
          </w:p>
          <w:p w:rsidR="00395B24" w:rsidRDefault="00D8673F" w:rsidP="00D8673F">
            <w:r w:rsidRPr="00B60830">
              <w:rPr>
                <w:i/>
              </w:rPr>
              <w:t>Federal Court Rules 2011</w:t>
            </w:r>
            <w:r>
              <w:t xml:space="preserve"> (</w:t>
            </w:r>
            <w:proofErr w:type="spellStart"/>
            <w:r>
              <w:t>Cth</w:t>
            </w:r>
            <w:proofErr w:type="spellEnd"/>
            <w:r>
              <w:t>)</w:t>
            </w:r>
            <w:r w:rsidR="002C7385">
              <w:t xml:space="preserve"> </w:t>
            </w:r>
            <w:bookmarkEnd w:id="4"/>
          </w:p>
        </w:tc>
      </w:tr>
      <w:tr w:rsidR="00395B24" w:rsidTr="00D8673F">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8673F">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D8673F" w:rsidRDefault="00D8673F" w:rsidP="00D8673F">
            <w:pPr>
              <w:pStyle w:val="Normal1linespace"/>
              <w:widowControl w:val="0"/>
              <w:jc w:val="left"/>
            </w:pPr>
            <w:bookmarkStart w:id="5" w:name="Cases_Cited"/>
            <w:r>
              <w:rPr>
                <w:i/>
              </w:rPr>
              <w:t xml:space="preserve">Ainsworth v Criminal Justice </w:t>
            </w:r>
            <w:r w:rsidRPr="00E84FC5">
              <w:rPr>
                <w:i/>
              </w:rPr>
              <w:t>Commission</w:t>
            </w:r>
            <w:r>
              <w:t xml:space="preserve"> (1992) 175 </w:t>
            </w:r>
            <w:proofErr w:type="spellStart"/>
            <w:r>
              <w:t>CLR</w:t>
            </w:r>
            <w:proofErr w:type="spellEnd"/>
            <w:r>
              <w:t xml:space="preserve"> 564</w:t>
            </w:r>
          </w:p>
          <w:p w:rsidR="00D8673F" w:rsidRDefault="00D8673F" w:rsidP="00D8673F">
            <w:pPr>
              <w:pStyle w:val="Normal1linespace"/>
              <w:widowControl w:val="0"/>
              <w:jc w:val="left"/>
            </w:pPr>
            <w:r w:rsidRPr="006A3952">
              <w:rPr>
                <w:i/>
              </w:rPr>
              <w:t>Australian Competition and Consumer Commission v Dataline.net.au Pty Ltd</w:t>
            </w:r>
            <w:r>
              <w:t xml:space="preserve"> (2006) 236 </w:t>
            </w:r>
            <w:proofErr w:type="spellStart"/>
            <w:r>
              <w:t>ALR</w:t>
            </w:r>
            <w:proofErr w:type="spellEnd"/>
            <w:r>
              <w:t xml:space="preserve"> 665; [2006] </w:t>
            </w:r>
            <w:proofErr w:type="spellStart"/>
            <w:r>
              <w:t>FCA</w:t>
            </w:r>
            <w:proofErr w:type="spellEnd"/>
            <w:r>
              <w:t xml:space="preserve"> 1427</w:t>
            </w:r>
          </w:p>
          <w:p w:rsidR="00D8673F" w:rsidRDefault="00D8673F" w:rsidP="00D8673F">
            <w:pPr>
              <w:pStyle w:val="Normal1linespace"/>
              <w:widowControl w:val="0"/>
              <w:jc w:val="left"/>
            </w:pPr>
            <w:r w:rsidRPr="006A3952">
              <w:rPr>
                <w:i/>
              </w:rPr>
              <w:t>Australian Competition and Consumer Commission</w:t>
            </w:r>
            <w:r>
              <w:rPr>
                <w:i/>
              </w:rPr>
              <w:t xml:space="preserve"> v </w:t>
            </w:r>
            <w:proofErr w:type="spellStart"/>
            <w:r>
              <w:rPr>
                <w:i/>
              </w:rPr>
              <w:t>EDirect</w:t>
            </w:r>
            <w:proofErr w:type="spellEnd"/>
            <w:r>
              <w:rPr>
                <w:i/>
              </w:rPr>
              <w:t xml:space="preserve"> Pty Ltd (in </w:t>
            </w:r>
            <w:proofErr w:type="spellStart"/>
            <w:r>
              <w:rPr>
                <w:i/>
              </w:rPr>
              <w:t>liq</w:t>
            </w:r>
            <w:proofErr w:type="spellEnd"/>
            <w:r>
              <w:rPr>
                <w:i/>
              </w:rPr>
              <w:t>)</w:t>
            </w:r>
            <w:r>
              <w:t xml:space="preserve"> (2012) 206 </w:t>
            </w:r>
            <w:proofErr w:type="spellStart"/>
            <w:r>
              <w:t>FCR</w:t>
            </w:r>
            <w:proofErr w:type="spellEnd"/>
            <w:r>
              <w:t xml:space="preserve"> 160; [2012] </w:t>
            </w:r>
            <w:proofErr w:type="spellStart"/>
            <w:r>
              <w:t>FCA</w:t>
            </w:r>
            <w:proofErr w:type="spellEnd"/>
            <w:r>
              <w:t xml:space="preserve"> 976</w:t>
            </w:r>
          </w:p>
          <w:p w:rsidR="00D8673F" w:rsidRDefault="00D8673F" w:rsidP="00D8673F">
            <w:pPr>
              <w:pStyle w:val="Normal1linespace"/>
              <w:widowControl w:val="0"/>
              <w:jc w:val="left"/>
            </w:pPr>
            <w:r w:rsidRPr="00E84FC5">
              <w:rPr>
                <w:i/>
              </w:rPr>
              <w:t>Australian Competition and Consumer Commission</w:t>
            </w:r>
            <w:r>
              <w:rPr>
                <w:i/>
              </w:rPr>
              <w:t xml:space="preserve"> v Grove &amp; Edgar Pty Ltd</w:t>
            </w:r>
            <w:r>
              <w:t xml:space="preserve"> [2008] </w:t>
            </w:r>
            <w:proofErr w:type="spellStart"/>
            <w:r>
              <w:t>FCA</w:t>
            </w:r>
            <w:proofErr w:type="spellEnd"/>
            <w:r>
              <w:t xml:space="preserve"> 1956</w:t>
            </w:r>
          </w:p>
          <w:p w:rsidR="00D8673F" w:rsidRDefault="00D8673F" w:rsidP="00D8673F">
            <w:pPr>
              <w:pStyle w:val="Normal1linespace"/>
              <w:widowControl w:val="0"/>
              <w:jc w:val="left"/>
            </w:pPr>
            <w:r w:rsidRPr="00B60830">
              <w:rPr>
                <w:i/>
              </w:rPr>
              <w:t>Australian Securities and Investments Commission v China Environment Group Ltd</w:t>
            </w:r>
            <w:r>
              <w:t xml:space="preserve"> [2013] </w:t>
            </w:r>
            <w:proofErr w:type="spellStart"/>
            <w:r>
              <w:t>FCA</w:t>
            </w:r>
            <w:proofErr w:type="spellEnd"/>
            <w:r>
              <w:t xml:space="preserve"> 286</w:t>
            </w:r>
          </w:p>
          <w:p w:rsidR="00D8673F" w:rsidRDefault="00D8673F" w:rsidP="00D8673F">
            <w:pPr>
              <w:pStyle w:val="Normal1linespace"/>
              <w:widowControl w:val="0"/>
              <w:jc w:val="left"/>
            </w:pPr>
            <w:r w:rsidRPr="00BB6CD3">
              <w:rPr>
                <w:i/>
              </w:rPr>
              <w:t xml:space="preserve">Chanel Limited v </w:t>
            </w:r>
            <w:proofErr w:type="spellStart"/>
            <w:r w:rsidRPr="00BB6CD3">
              <w:rPr>
                <w:i/>
              </w:rPr>
              <w:t>Ayad</w:t>
            </w:r>
            <w:proofErr w:type="spellEnd"/>
            <w:r>
              <w:t xml:space="preserve"> [2005] </w:t>
            </w:r>
            <w:proofErr w:type="spellStart"/>
            <w:r>
              <w:t>FCA</w:t>
            </w:r>
            <w:proofErr w:type="spellEnd"/>
            <w:r>
              <w:t xml:space="preserve"> 820</w:t>
            </w:r>
          </w:p>
          <w:p w:rsidR="00D8673F" w:rsidRDefault="00D8673F" w:rsidP="00D8673F">
            <w:pPr>
              <w:pStyle w:val="Normal1linespace"/>
              <w:widowControl w:val="0"/>
              <w:jc w:val="left"/>
            </w:pPr>
            <w:r>
              <w:rPr>
                <w:i/>
              </w:rPr>
              <w:t xml:space="preserve">Forster v </w:t>
            </w:r>
            <w:proofErr w:type="spellStart"/>
            <w:r>
              <w:rPr>
                <w:i/>
              </w:rPr>
              <w:t>Jododex</w:t>
            </w:r>
            <w:proofErr w:type="spellEnd"/>
            <w:r>
              <w:rPr>
                <w:i/>
              </w:rPr>
              <w:t xml:space="preserve"> Australia Pty Limited</w:t>
            </w:r>
            <w:r>
              <w:t xml:space="preserve"> (1972) 127 </w:t>
            </w:r>
            <w:proofErr w:type="spellStart"/>
            <w:r>
              <w:t>CLR</w:t>
            </w:r>
            <w:proofErr w:type="spellEnd"/>
            <w:r>
              <w:t xml:space="preserve"> 421</w:t>
            </w:r>
          </w:p>
          <w:p w:rsidR="00D8673F" w:rsidRDefault="00D8673F" w:rsidP="00D8673F">
            <w:pPr>
              <w:pStyle w:val="Normal1linespace"/>
              <w:widowControl w:val="0"/>
              <w:jc w:val="left"/>
            </w:pPr>
            <w:proofErr w:type="spellStart"/>
            <w:r w:rsidRPr="00E46064">
              <w:rPr>
                <w:i/>
              </w:rPr>
              <w:t>Lenijamar</w:t>
            </w:r>
            <w:proofErr w:type="spellEnd"/>
            <w:r w:rsidRPr="00E46064">
              <w:rPr>
                <w:i/>
              </w:rPr>
              <w:t xml:space="preserve"> Pty Ltd v </w:t>
            </w:r>
            <w:proofErr w:type="spellStart"/>
            <w:r w:rsidRPr="00E46064">
              <w:rPr>
                <w:i/>
              </w:rPr>
              <w:t>AGC</w:t>
            </w:r>
            <w:proofErr w:type="spellEnd"/>
            <w:r w:rsidRPr="00E46064">
              <w:rPr>
                <w:i/>
              </w:rPr>
              <w:t xml:space="preserve"> (Advances) Ltd</w:t>
            </w:r>
            <w:r>
              <w:t xml:space="preserve"> (1990) 27 </w:t>
            </w:r>
            <w:proofErr w:type="spellStart"/>
            <w:r>
              <w:t>FCR</w:t>
            </w:r>
            <w:proofErr w:type="spellEnd"/>
            <w:r>
              <w:t xml:space="preserve"> 388</w:t>
            </w:r>
          </w:p>
          <w:p w:rsidR="00D8673F" w:rsidRDefault="00D8673F" w:rsidP="00D8673F">
            <w:pPr>
              <w:pStyle w:val="Normal1linespace"/>
              <w:widowControl w:val="0"/>
              <w:jc w:val="left"/>
            </w:pPr>
            <w:r>
              <w:rPr>
                <w:i/>
              </w:rPr>
              <w:t xml:space="preserve">Tobacco Institute of Australia Ltd v Australian Federation of Consumer Organisations </w:t>
            </w:r>
            <w:proofErr w:type="spellStart"/>
            <w:r>
              <w:rPr>
                <w:i/>
              </w:rPr>
              <w:t>Inc</w:t>
            </w:r>
            <w:proofErr w:type="spellEnd"/>
            <w:r>
              <w:rPr>
                <w:i/>
              </w:rPr>
              <w:t xml:space="preserve"> (No 2)</w:t>
            </w:r>
            <w:r>
              <w:t xml:space="preserve"> (1993) 41 </w:t>
            </w:r>
            <w:proofErr w:type="spellStart"/>
            <w:r>
              <w:t>FCR</w:t>
            </w:r>
            <w:proofErr w:type="spellEnd"/>
            <w:r>
              <w:t xml:space="preserve"> 89</w:t>
            </w:r>
          </w:p>
          <w:p w:rsidR="00D8673F" w:rsidRDefault="00D8673F" w:rsidP="00D8673F">
            <w:pPr>
              <w:pStyle w:val="Normal1linespace"/>
              <w:widowControl w:val="0"/>
              <w:jc w:val="left"/>
            </w:pPr>
            <w:r>
              <w:rPr>
                <w:i/>
              </w:rPr>
              <w:t xml:space="preserve">Welsh v </w:t>
            </w:r>
            <w:proofErr w:type="spellStart"/>
            <w:r>
              <w:rPr>
                <w:i/>
              </w:rPr>
              <w:t>Digilin</w:t>
            </w:r>
            <w:proofErr w:type="spellEnd"/>
            <w:r>
              <w:rPr>
                <w:i/>
              </w:rPr>
              <w:t xml:space="preserve"> Pty Ltd</w:t>
            </w:r>
            <w:r>
              <w:t xml:space="preserve"> [2008] </w:t>
            </w:r>
            <w:proofErr w:type="spellStart"/>
            <w:r>
              <w:t>FCAFC</w:t>
            </w:r>
            <w:proofErr w:type="spellEnd"/>
            <w:r>
              <w:t xml:space="preserve"> 149</w:t>
            </w:r>
          </w:p>
          <w:p w:rsidR="00395B24" w:rsidRDefault="00D8673F" w:rsidP="00D8673F">
            <w:pPr>
              <w:pStyle w:val="Normal1linespace"/>
              <w:widowControl w:val="0"/>
              <w:jc w:val="left"/>
            </w:pPr>
            <w:r w:rsidRPr="00BB6CD3">
              <w:rPr>
                <w:i/>
              </w:rPr>
              <w:lastRenderedPageBreak/>
              <w:t xml:space="preserve">Yeo v </w:t>
            </w:r>
            <w:proofErr w:type="spellStart"/>
            <w:r w:rsidRPr="00BB6CD3">
              <w:rPr>
                <w:i/>
              </w:rPr>
              <w:t>Damos</w:t>
            </w:r>
            <w:proofErr w:type="spellEnd"/>
            <w:r w:rsidRPr="00BB6CD3">
              <w:rPr>
                <w:i/>
              </w:rPr>
              <w:t xml:space="preserve"> Earthmoving Pty Ltd, Re Beachwood Developments Pty Ltd (in </w:t>
            </w:r>
            <w:proofErr w:type="spellStart"/>
            <w:r w:rsidRPr="00BB6CD3">
              <w:rPr>
                <w:i/>
              </w:rPr>
              <w:t>liq</w:t>
            </w:r>
            <w:proofErr w:type="spellEnd"/>
            <w:r w:rsidRPr="00BB6CD3">
              <w:rPr>
                <w:i/>
              </w:rPr>
              <w:t>)</w:t>
            </w:r>
            <w:r>
              <w:t xml:space="preserve"> [2011] </w:t>
            </w:r>
            <w:proofErr w:type="spellStart"/>
            <w:r>
              <w:t>FCA</w:t>
            </w:r>
            <w:proofErr w:type="spellEnd"/>
            <w:r>
              <w:t xml:space="preserve"> 1129</w:t>
            </w:r>
            <w:r w:rsidR="002C7385">
              <w:t xml:space="preserve"> </w:t>
            </w:r>
            <w:bookmarkEnd w:id="5"/>
          </w:p>
        </w:tc>
      </w:tr>
      <w:tr w:rsidR="00D8673F" w:rsidRPr="00D8673F" w:rsidTr="00D8673F">
        <w:tc>
          <w:tcPr>
            <w:tcW w:w="3085" w:type="dxa"/>
            <w:shd w:val="clear" w:color="auto" w:fill="auto"/>
          </w:tcPr>
          <w:p w:rsidR="00D8673F" w:rsidRPr="00D8673F" w:rsidRDefault="00D8673F" w:rsidP="00D8673F">
            <w:pPr>
              <w:pStyle w:val="Normal1linespace"/>
              <w:jc w:val="left"/>
            </w:pPr>
          </w:p>
        </w:tc>
        <w:tc>
          <w:tcPr>
            <w:tcW w:w="5989" w:type="dxa"/>
            <w:shd w:val="clear" w:color="auto" w:fill="auto"/>
          </w:tcPr>
          <w:p w:rsidR="00D8673F" w:rsidRPr="00D8673F" w:rsidRDefault="00D8673F" w:rsidP="00D8673F">
            <w:pPr>
              <w:pStyle w:val="Normal1linespace"/>
              <w:jc w:val="left"/>
            </w:pPr>
          </w:p>
        </w:tc>
      </w:tr>
      <w:tr w:rsidR="00D8673F" w:rsidRPr="00D8673F" w:rsidTr="00D8673F">
        <w:tc>
          <w:tcPr>
            <w:tcW w:w="3085" w:type="dxa"/>
            <w:shd w:val="clear" w:color="auto" w:fill="auto"/>
          </w:tcPr>
          <w:p w:rsidR="00D8673F" w:rsidRPr="00D8673F" w:rsidRDefault="00D8673F" w:rsidP="00D8673F">
            <w:pPr>
              <w:pStyle w:val="Normal1linespace"/>
              <w:jc w:val="left"/>
            </w:pPr>
            <w:bookmarkStart w:id="6" w:name="CounselDate" w:colFirst="0" w:colLast="2"/>
            <w:r w:rsidRPr="00D8673F">
              <w:t>Date of hearing:</w:t>
            </w:r>
          </w:p>
        </w:tc>
        <w:tc>
          <w:tcPr>
            <w:tcW w:w="5989" w:type="dxa"/>
            <w:shd w:val="clear" w:color="auto" w:fill="auto"/>
          </w:tcPr>
          <w:p w:rsidR="00D8673F" w:rsidRPr="00D8673F" w:rsidRDefault="006556AF" w:rsidP="00D8673F">
            <w:pPr>
              <w:pStyle w:val="Normal1linespace"/>
              <w:jc w:val="left"/>
            </w:pPr>
            <w:bookmarkStart w:id="7" w:name="HearingDate"/>
            <w:r>
              <w:t>12</w:t>
            </w:r>
            <w:r w:rsidR="00D8673F">
              <w:t xml:space="preserve"> March 2015</w:t>
            </w:r>
            <w:bookmarkEnd w:id="7"/>
          </w:p>
        </w:tc>
      </w:tr>
      <w:tr w:rsidR="00D8673F" w:rsidRPr="00D8673F" w:rsidTr="00D8673F">
        <w:tc>
          <w:tcPr>
            <w:tcW w:w="3085" w:type="dxa"/>
            <w:shd w:val="clear" w:color="auto" w:fill="auto"/>
          </w:tcPr>
          <w:p w:rsidR="00D8673F" w:rsidRPr="00D8673F" w:rsidRDefault="00D8673F" w:rsidP="00D8673F">
            <w:pPr>
              <w:pStyle w:val="Normal1linespace"/>
              <w:jc w:val="left"/>
            </w:pPr>
          </w:p>
        </w:tc>
        <w:tc>
          <w:tcPr>
            <w:tcW w:w="5989" w:type="dxa"/>
            <w:shd w:val="clear" w:color="auto" w:fill="auto"/>
          </w:tcPr>
          <w:p w:rsidR="00D8673F" w:rsidRPr="00D8673F" w:rsidRDefault="00D8673F" w:rsidP="00D8673F">
            <w:pPr>
              <w:pStyle w:val="Normal1linespace"/>
              <w:jc w:val="left"/>
            </w:pPr>
          </w:p>
        </w:tc>
      </w:tr>
      <w:bookmarkEnd w:id="6"/>
      <w:tr w:rsidR="00D8673F" w:rsidTr="00D8673F">
        <w:tc>
          <w:tcPr>
            <w:tcW w:w="3085" w:type="dxa"/>
            <w:shd w:val="clear" w:color="auto" w:fill="auto"/>
          </w:tcPr>
          <w:p w:rsidR="00D8673F" w:rsidRDefault="00D8673F" w:rsidP="00D8673F">
            <w:pPr>
              <w:pStyle w:val="Normal1linespace"/>
              <w:widowControl w:val="0"/>
              <w:jc w:val="left"/>
            </w:pPr>
            <w:r>
              <w:t>Place:</w:t>
            </w:r>
          </w:p>
        </w:tc>
        <w:tc>
          <w:tcPr>
            <w:tcW w:w="5989" w:type="dxa"/>
            <w:shd w:val="clear" w:color="auto" w:fill="auto"/>
          </w:tcPr>
          <w:p w:rsidR="00D8673F" w:rsidRDefault="0062410E" w:rsidP="00D8673F">
            <w:pPr>
              <w:pStyle w:val="Normal1linespace"/>
              <w:widowControl w:val="0"/>
              <w:jc w:val="left"/>
            </w:pPr>
            <w:r>
              <w:fldChar w:fldCharType="begin"/>
            </w:r>
            <w:r>
              <w:instrText xml:space="preserve"> DOCVARIABLE  Place_SentenceCase  \* MERGEFORMAT </w:instrText>
            </w:r>
            <w:r>
              <w:fldChar w:fldCharType="separate"/>
            </w:r>
            <w:r w:rsidR="00D8673F">
              <w:t>Brisbane</w:t>
            </w:r>
            <w:r>
              <w:fldChar w:fldCharType="end"/>
            </w:r>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pPr>
          </w:p>
        </w:tc>
      </w:tr>
      <w:tr w:rsidR="00D8673F" w:rsidTr="00D8673F">
        <w:tc>
          <w:tcPr>
            <w:tcW w:w="3085" w:type="dxa"/>
            <w:shd w:val="clear" w:color="auto" w:fill="auto"/>
          </w:tcPr>
          <w:p w:rsidR="00D8673F" w:rsidRDefault="00D8673F" w:rsidP="00D8673F">
            <w:pPr>
              <w:pStyle w:val="Normal1linespace"/>
              <w:widowControl w:val="0"/>
              <w:jc w:val="left"/>
            </w:pPr>
            <w:r>
              <w:t>Division:</w:t>
            </w:r>
          </w:p>
        </w:tc>
        <w:tc>
          <w:tcPr>
            <w:tcW w:w="5989" w:type="dxa"/>
            <w:shd w:val="clear" w:color="auto" w:fill="auto"/>
          </w:tcPr>
          <w:p w:rsidR="00D8673F" w:rsidRPr="00C67B37" w:rsidRDefault="00D8673F" w:rsidP="00D8673F">
            <w:pPr>
              <w:pStyle w:val="Normal1linespace"/>
              <w:widowControl w:val="0"/>
              <w:jc w:val="left"/>
              <w:rPr>
                <w:caps/>
              </w:rPr>
            </w:pPr>
            <w:r>
              <w:rPr>
                <w:caps/>
              </w:rPr>
              <w:fldChar w:fldCharType="begin"/>
            </w:r>
            <w:r>
              <w:rPr>
                <w:caps/>
              </w:rPr>
              <w:instrText xml:space="preserve"> REF  Division </w:instrText>
            </w:r>
            <w:r>
              <w:rPr>
                <w:caps/>
              </w:rPr>
              <w:fldChar w:fldCharType="separate"/>
            </w:r>
            <w:r w:rsidR="00BA3A01">
              <w:rPr>
                <w:caps/>
                <w:szCs w:val="24"/>
              </w:rPr>
              <w:t>GENERAL DIVISION</w:t>
            </w:r>
            <w:r>
              <w:rPr>
                <w:caps/>
              </w:rPr>
              <w:fldChar w:fldCharType="end"/>
            </w:r>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rPr>
                <w:b/>
              </w:rPr>
            </w:pPr>
          </w:p>
        </w:tc>
      </w:tr>
      <w:tr w:rsidR="00D8673F" w:rsidTr="00D8673F">
        <w:tc>
          <w:tcPr>
            <w:tcW w:w="3085" w:type="dxa"/>
            <w:shd w:val="clear" w:color="auto" w:fill="auto"/>
          </w:tcPr>
          <w:p w:rsidR="00D8673F" w:rsidRDefault="00D8673F" w:rsidP="00D8673F">
            <w:pPr>
              <w:pStyle w:val="Normal1linespace"/>
              <w:widowControl w:val="0"/>
              <w:jc w:val="left"/>
            </w:pPr>
            <w:r>
              <w:t>Category:</w:t>
            </w:r>
          </w:p>
        </w:tc>
        <w:tc>
          <w:tcPr>
            <w:tcW w:w="5989" w:type="dxa"/>
            <w:shd w:val="clear" w:color="auto" w:fill="auto"/>
          </w:tcPr>
          <w:p w:rsidR="00D8673F" w:rsidRDefault="00D8673F" w:rsidP="00D8673F">
            <w:pPr>
              <w:pStyle w:val="Normal1linespace"/>
              <w:widowControl w:val="0"/>
              <w:jc w:val="left"/>
            </w:pPr>
            <w:r>
              <w:t>Catchwords</w:t>
            </w:r>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pPr>
          </w:p>
        </w:tc>
      </w:tr>
      <w:tr w:rsidR="00D8673F" w:rsidTr="00D8673F">
        <w:tc>
          <w:tcPr>
            <w:tcW w:w="3085" w:type="dxa"/>
            <w:shd w:val="clear" w:color="auto" w:fill="auto"/>
          </w:tcPr>
          <w:p w:rsidR="00D8673F" w:rsidRDefault="00D8673F" w:rsidP="00D8673F">
            <w:pPr>
              <w:pStyle w:val="Normal1linespace"/>
              <w:widowControl w:val="0"/>
              <w:jc w:val="left"/>
            </w:pPr>
            <w:r>
              <w:t>Number of paragraphs:</w:t>
            </w:r>
          </w:p>
        </w:tc>
        <w:tc>
          <w:tcPr>
            <w:tcW w:w="5989" w:type="dxa"/>
            <w:shd w:val="clear" w:color="auto" w:fill="auto"/>
          </w:tcPr>
          <w:p w:rsidR="00D8673F" w:rsidRDefault="00D8673F" w:rsidP="00D8673F">
            <w:pPr>
              <w:pStyle w:val="Normal1linespace"/>
              <w:widowControl w:val="0"/>
              <w:jc w:val="left"/>
            </w:pPr>
            <w:bookmarkStart w:id="8" w:name="PlaceCategoryParagraphs"/>
            <w:r>
              <w:t>32</w:t>
            </w:r>
            <w:bookmarkEnd w:id="8"/>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pPr>
          </w:p>
        </w:tc>
      </w:tr>
      <w:tr w:rsidR="00D8673F" w:rsidTr="00D8673F">
        <w:tc>
          <w:tcPr>
            <w:tcW w:w="3085" w:type="dxa"/>
            <w:shd w:val="clear" w:color="auto" w:fill="auto"/>
          </w:tcPr>
          <w:p w:rsidR="00D8673F" w:rsidRDefault="00D8673F" w:rsidP="00D8673F">
            <w:pPr>
              <w:pStyle w:val="Normal1linespace"/>
              <w:widowControl w:val="0"/>
              <w:jc w:val="left"/>
            </w:pPr>
            <w:bookmarkStart w:id="9" w:name="Counsel" w:colFirst="0" w:colLast="2"/>
            <w:r>
              <w:t>Counsel for the Applicants:</w:t>
            </w:r>
          </w:p>
        </w:tc>
        <w:tc>
          <w:tcPr>
            <w:tcW w:w="5989" w:type="dxa"/>
            <w:shd w:val="clear" w:color="auto" w:fill="auto"/>
          </w:tcPr>
          <w:p w:rsidR="00D8673F" w:rsidRDefault="006556AF" w:rsidP="00D8673F">
            <w:pPr>
              <w:pStyle w:val="Normal1linespace"/>
              <w:widowControl w:val="0"/>
              <w:jc w:val="left"/>
            </w:pPr>
            <w:bookmarkStart w:id="10" w:name="AppCounsel"/>
            <w:bookmarkEnd w:id="10"/>
            <w:r>
              <w:t xml:space="preserve">MK </w:t>
            </w:r>
            <w:proofErr w:type="spellStart"/>
            <w:r>
              <w:t>Callanan</w:t>
            </w:r>
            <w:proofErr w:type="spellEnd"/>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pPr>
          </w:p>
        </w:tc>
      </w:tr>
      <w:tr w:rsidR="00D8673F" w:rsidTr="00D8673F">
        <w:tc>
          <w:tcPr>
            <w:tcW w:w="3085" w:type="dxa"/>
            <w:shd w:val="clear" w:color="auto" w:fill="auto"/>
          </w:tcPr>
          <w:p w:rsidR="00D8673F" w:rsidRDefault="00D8673F" w:rsidP="00D8673F">
            <w:pPr>
              <w:pStyle w:val="Normal1linespace"/>
              <w:widowControl w:val="0"/>
              <w:jc w:val="left"/>
            </w:pPr>
            <w:r>
              <w:t>Solicitor for the Applicants:</w:t>
            </w:r>
          </w:p>
        </w:tc>
        <w:tc>
          <w:tcPr>
            <w:tcW w:w="5989" w:type="dxa"/>
            <w:shd w:val="clear" w:color="auto" w:fill="auto"/>
          </w:tcPr>
          <w:p w:rsidR="00D8673F" w:rsidRDefault="006556AF" w:rsidP="00BA3A01">
            <w:pPr>
              <w:pStyle w:val="Normal1linespace"/>
              <w:widowControl w:val="0"/>
              <w:jc w:val="left"/>
            </w:pPr>
            <w:r>
              <w:t xml:space="preserve">J Waterman of Taylor David </w:t>
            </w:r>
            <w:r w:rsidR="00BA3A01">
              <w:t>Lawyers</w:t>
            </w:r>
          </w:p>
        </w:tc>
      </w:tr>
      <w:tr w:rsidR="00D8673F" w:rsidTr="00D8673F">
        <w:tc>
          <w:tcPr>
            <w:tcW w:w="3085" w:type="dxa"/>
            <w:shd w:val="clear" w:color="auto" w:fill="auto"/>
          </w:tcPr>
          <w:p w:rsidR="00D8673F" w:rsidRDefault="00D8673F" w:rsidP="00D8673F">
            <w:pPr>
              <w:pStyle w:val="Normal1linespace"/>
              <w:widowControl w:val="0"/>
              <w:jc w:val="left"/>
            </w:pPr>
          </w:p>
        </w:tc>
        <w:tc>
          <w:tcPr>
            <w:tcW w:w="5989" w:type="dxa"/>
            <w:shd w:val="clear" w:color="auto" w:fill="auto"/>
          </w:tcPr>
          <w:p w:rsidR="00D8673F" w:rsidRDefault="00D8673F" w:rsidP="00D8673F">
            <w:pPr>
              <w:pStyle w:val="Normal1linespace"/>
              <w:widowControl w:val="0"/>
              <w:jc w:val="left"/>
            </w:pPr>
          </w:p>
        </w:tc>
      </w:tr>
      <w:tr w:rsidR="00D8673F" w:rsidTr="00D8673F">
        <w:tc>
          <w:tcPr>
            <w:tcW w:w="3085" w:type="dxa"/>
            <w:shd w:val="clear" w:color="auto" w:fill="auto"/>
          </w:tcPr>
          <w:p w:rsidR="00D8673F" w:rsidRDefault="00D8673F" w:rsidP="00D8673F">
            <w:pPr>
              <w:pStyle w:val="Normal1linespace"/>
              <w:widowControl w:val="0"/>
              <w:jc w:val="left"/>
            </w:pPr>
            <w:r>
              <w:t>Solicitor for the First and Second Respondents:</w:t>
            </w:r>
          </w:p>
        </w:tc>
        <w:tc>
          <w:tcPr>
            <w:tcW w:w="5989" w:type="dxa"/>
            <w:shd w:val="clear" w:color="auto" w:fill="auto"/>
          </w:tcPr>
          <w:p w:rsidR="00D8673F" w:rsidRDefault="006556AF" w:rsidP="00D8673F">
            <w:pPr>
              <w:pStyle w:val="Normal1linespace"/>
              <w:widowControl w:val="0"/>
              <w:jc w:val="left"/>
            </w:pPr>
            <w:r>
              <w:t>The First and Second Respondents did not appear</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8616F">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8616F">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08616F">
            <w:pPr>
              <w:pStyle w:val="NormalHeadings"/>
              <w:tabs>
                <w:tab w:val="right" w:pos="3609"/>
              </w:tabs>
              <w:jc w:val="right"/>
              <w:rPr>
                <w:szCs w:val="24"/>
              </w:rPr>
            </w:pPr>
            <w:bookmarkStart w:id="13" w:name="Num"/>
            <w:proofErr w:type="spellStart"/>
            <w:r>
              <w:rPr>
                <w:szCs w:val="24"/>
              </w:rPr>
              <w:t>QUD</w:t>
            </w:r>
            <w:proofErr w:type="spellEnd"/>
            <w:r>
              <w:rPr>
                <w:szCs w:val="24"/>
              </w:rPr>
              <w:t xml:space="preserve"> 684 of 2014</w:t>
            </w:r>
            <w:bookmarkEnd w:id="13"/>
          </w:p>
        </w:tc>
      </w:tr>
    </w:tbl>
    <w:p w:rsidR="00395B24" w:rsidRPr="0008616F" w:rsidRDefault="002C7385">
      <w:pPr>
        <w:pStyle w:val="AppealTable"/>
        <w:rPr>
          <w:sz w:val="24"/>
        </w:rPr>
      </w:pPr>
      <w:bookmarkStart w:id="14" w:name="AppealTable"/>
      <w:r w:rsidRPr="0008616F">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08616F" w:rsidRDefault="0008616F">
            <w:pPr>
              <w:pStyle w:val="NormalHeadings"/>
              <w:jc w:val="left"/>
              <w:rPr>
                <w:szCs w:val="24"/>
              </w:rPr>
            </w:pPr>
            <w:bookmarkStart w:id="16" w:name="Applicant"/>
            <w:r>
              <w:rPr>
                <w:szCs w:val="24"/>
              </w:rPr>
              <w:t xml:space="preserve">DAVID ROSS, </w:t>
            </w:r>
            <w:proofErr w:type="spellStart"/>
            <w:r>
              <w:rPr>
                <w:szCs w:val="24"/>
              </w:rPr>
              <w:t>SHAHIN</w:t>
            </w:r>
            <w:proofErr w:type="spellEnd"/>
            <w:r>
              <w:rPr>
                <w:szCs w:val="24"/>
              </w:rPr>
              <w:t xml:space="preserve"> HUSSAIN AND RICHARD </w:t>
            </w:r>
            <w:proofErr w:type="spellStart"/>
            <w:r>
              <w:rPr>
                <w:szCs w:val="24"/>
              </w:rPr>
              <w:t>ALBARRAN</w:t>
            </w:r>
            <w:proofErr w:type="spellEnd"/>
            <w:r>
              <w:rPr>
                <w:szCs w:val="24"/>
              </w:rPr>
              <w:t xml:space="preserve"> AS JOINT AND SEVERAL RECEIVERS OF ANC TRANSPORT PTY LTD (RECEIVERS APPOINTED)</w:t>
            </w:r>
            <w:r w:rsidR="00953F40">
              <w:rPr>
                <w:b w:val="0"/>
              </w:rPr>
              <w:t xml:space="preserve"> </w:t>
            </w:r>
            <w:proofErr w:type="spellStart"/>
            <w:r w:rsidR="00953F40" w:rsidRPr="00953F40">
              <w:t>ACN</w:t>
            </w:r>
            <w:proofErr w:type="spellEnd"/>
            <w:r w:rsidR="00953F40" w:rsidRPr="00953F40">
              <w:t xml:space="preserve"> 137 400 081</w:t>
            </w:r>
          </w:p>
          <w:p w:rsidR="0008616F" w:rsidRDefault="0008616F">
            <w:pPr>
              <w:pStyle w:val="NormalHeadings"/>
              <w:jc w:val="left"/>
              <w:rPr>
                <w:szCs w:val="24"/>
              </w:rPr>
            </w:pPr>
            <w:r>
              <w:rPr>
                <w:szCs w:val="24"/>
              </w:rPr>
              <w:t>Applicant</w:t>
            </w:r>
            <w:r w:rsidR="00EF1080">
              <w:rPr>
                <w:szCs w:val="24"/>
              </w:rPr>
              <w:t>s</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8616F" w:rsidRDefault="0008616F">
            <w:pPr>
              <w:pStyle w:val="NormalHeadings"/>
              <w:jc w:val="left"/>
              <w:rPr>
                <w:szCs w:val="24"/>
              </w:rPr>
            </w:pPr>
            <w:bookmarkStart w:id="17" w:name="Respondent"/>
            <w:r>
              <w:rPr>
                <w:szCs w:val="24"/>
              </w:rPr>
              <w:t>NORMAN COTTER</w:t>
            </w:r>
          </w:p>
          <w:p w:rsidR="0008616F" w:rsidRDefault="0008616F">
            <w:pPr>
              <w:pStyle w:val="NormalHeadings"/>
              <w:jc w:val="left"/>
              <w:rPr>
                <w:szCs w:val="24"/>
              </w:rPr>
            </w:pPr>
            <w:r>
              <w:rPr>
                <w:szCs w:val="24"/>
              </w:rPr>
              <w:t>First Respondent</w:t>
            </w:r>
          </w:p>
          <w:p w:rsidR="0008616F" w:rsidRDefault="0008616F">
            <w:pPr>
              <w:pStyle w:val="NormalHeadings"/>
              <w:jc w:val="left"/>
              <w:rPr>
                <w:szCs w:val="24"/>
              </w:rPr>
            </w:pPr>
          </w:p>
          <w:p w:rsidR="0008616F" w:rsidRDefault="0032650D">
            <w:pPr>
              <w:pStyle w:val="NormalHeadings"/>
              <w:jc w:val="left"/>
              <w:rPr>
                <w:szCs w:val="24"/>
              </w:rPr>
            </w:pPr>
            <w:r>
              <w:rPr>
                <w:szCs w:val="24"/>
              </w:rPr>
              <w:t>ANDREA COTTER</w:t>
            </w:r>
          </w:p>
          <w:p w:rsidR="0008616F" w:rsidRDefault="0008616F">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8616F">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D8673F">
            <w:pPr>
              <w:pStyle w:val="NormalHeadings"/>
              <w:jc w:val="left"/>
              <w:rPr>
                <w:caps/>
                <w:szCs w:val="24"/>
              </w:rPr>
            </w:pPr>
            <w:bookmarkStart w:id="19" w:name="Judge"/>
            <w:r>
              <w:rPr>
                <w:caps/>
                <w:szCs w:val="24"/>
              </w:rPr>
              <w:t>REEVES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E4B2C" w:rsidP="009E4B2C">
            <w:pPr>
              <w:pStyle w:val="NormalHeadings"/>
              <w:jc w:val="left"/>
              <w:rPr>
                <w:caps/>
                <w:szCs w:val="24"/>
              </w:rPr>
            </w:pPr>
            <w:bookmarkStart w:id="20" w:name="Judgment_Dated"/>
            <w:r>
              <w:rPr>
                <w:caps/>
                <w:szCs w:val="24"/>
              </w:rPr>
              <w:t>2</w:t>
            </w:r>
            <w:r w:rsidR="0008616F">
              <w:rPr>
                <w:caps/>
                <w:szCs w:val="24"/>
              </w:rPr>
              <w:t xml:space="preserve"> </w:t>
            </w:r>
            <w:r>
              <w:rPr>
                <w:caps/>
                <w:szCs w:val="24"/>
              </w:rPr>
              <w:t>April</w:t>
            </w:r>
            <w:r w:rsidR="0008616F">
              <w:rPr>
                <w:caps/>
                <w:szCs w:val="24"/>
              </w:rPr>
              <w:t xml:space="preserv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8616F">
            <w:pPr>
              <w:pStyle w:val="NormalHeadings"/>
              <w:jc w:val="left"/>
              <w:rPr>
                <w:caps/>
                <w:szCs w:val="24"/>
              </w:rPr>
            </w:pPr>
            <w:bookmarkStart w:id="21" w:name="Place"/>
            <w:r>
              <w:rPr>
                <w:caps/>
                <w:szCs w:val="24"/>
              </w:rPr>
              <w:t>BRISBANE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CD45EE" w:rsidRDefault="006556AF" w:rsidP="00274F5B">
      <w:pPr>
        <w:pStyle w:val="Order1"/>
      </w:pPr>
      <w:bookmarkStart w:id="22" w:name="Order_Start_Text"/>
      <w:bookmarkEnd w:id="22"/>
      <w:r>
        <w:t xml:space="preserve">The first and second </w:t>
      </w:r>
      <w:r w:rsidRPr="000F36E9">
        <w:t>respondents</w:t>
      </w:r>
      <w:r>
        <w:t xml:space="preserve"> pay the applicants the </w:t>
      </w:r>
      <w:r w:rsidR="00D8673F">
        <w:t>sum of $</w:t>
      </w:r>
      <w:r>
        <w:t>94,995.26</w:t>
      </w:r>
      <w:r w:rsidR="00CD45EE">
        <w:t>.</w:t>
      </w:r>
    </w:p>
    <w:p w:rsidR="00395B24" w:rsidRDefault="00CD45EE" w:rsidP="00274F5B">
      <w:pPr>
        <w:pStyle w:val="Order1"/>
      </w:pPr>
      <w:r>
        <w:t xml:space="preserve">The first and second </w:t>
      </w:r>
      <w:r w:rsidRPr="000F36E9">
        <w:t>respondents</w:t>
      </w:r>
      <w:r>
        <w:t xml:space="preserve"> pay the applicants’ costs of the proceeding fixed in the sum of </w:t>
      </w:r>
      <w:r w:rsidR="00D8673F">
        <w:t xml:space="preserve"> </w:t>
      </w:r>
      <w:r>
        <w:t>$8,252.20.</w:t>
      </w:r>
    </w:p>
    <w:p w:rsidR="00D8673F" w:rsidRDefault="00D8673F" w:rsidP="00CD45EE">
      <w:pPr>
        <w:pStyle w:val="Order1"/>
        <w:numPr>
          <w:ilvl w:val="0"/>
          <w:numId w:val="0"/>
        </w:numPr>
      </w:pPr>
    </w:p>
    <w:p w:rsidR="00CD45EE" w:rsidRDefault="00CD45EE" w:rsidP="00CD45EE">
      <w:pPr>
        <w:pStyle w:val="Order1"/>
        <w:numPr>
          <w:ilvl w:val="0"/>
          <w:numId w:val="0"/>
        </w:numPr>
      </w:pPr>
    </w:p>
    <w:p w:rsidR="00CD45EE" w:rsidRDefault="00CD45EE" w:rsidP="00CD45EE">
      <w:pPr>
        <w:pStyle w:val="Order1"/>
        <w:numPr>
          <w:ilvl w:val="0"/>
          <w:numId w:val="0"/>
        </w:numPr>
      </w:pPr>
    </w:p>
    <w:p w:rsidR="00CD45EE" w:rsidRDefault="00CD45EE" w:rsidP="00CD45EE">
      <w:pPr>
        <w:pStyle w:val="Order1"/>
        <w:numPr>
          <w:ilvl w:val="0"/>
          <w:numId w:val="0"/>
        </w:numPr>
      </w:pPr>
    </w:p>
    <w:p w:rsidR="00CD45EE" w:rsidRDefault="00CD45EE" w:rsidP="00CD45EE">
      <w:pPr>
        <w:pStyle w:val="Order1"/>
        <w:numPr>
          <w:ilvl w:val="0"/>
          <w:numId w:val="0"/>
        </w:numPr>
      </w:pPr>
    </w:p>
    <w:p w:rsidR="00636871" w:rsidRDefault="00636871" w:rsidP="002B0E91">
      <w:pPr>
        <w:pStyle w:val="BodyText"/>
      </w:pPr>
    </w:p>
    <w:p w:rsidR="00395B24" w:rsidRDefault="00395B24" w:rsidP="002B0E91">
      <w:pPr>
        <w:pStyle w:val="BodyText"/>
      </w:pPr>
    </w:p>
    <w:p w:rsidR="00D8673F" w:rsidRDefault="00D8673F" w:rsidP="004D53E5">
      <w:pPr>
        <w:pStyle w:val="SingleSpace"/>
      </w:pPr>
    </w:p>
    <w:p w:rsidR="00D8673F" w:rsidRDefault="00D8673F" w:rsidP="004D53E5">
      <w:pPr>
        <w:pStyle w:val="SingleSpace"/>
      </w:pPr>
    </w:p>
    <w:p w:rsidR="00D8673F" w:rsidRDefault="00D8673F" w:rsidP="004D53E5">
      <w:pPr>
        <w:pStyle w:val="SingleSpace"/>
      </w:pPr>
    </w:p>
    <w:p w:rsidR="00D8673F" w:rsidRDefault="00D8673F" w:rsidP="004D53E5">
      <w:pPr>
        <w:pStyle w:val="SingleSpace"/>
      </w:pPr>
    </w:p>
    <w:p w:rsidR="00D8673F" w:rsidRDefault="00D8673F" w:rsidP="004D53E5">
      <w:pPr>
        <w:pStyle w:val="SingleSpace"/>
      </w:pPr>
    </w:p>
    <w:p w:rsidR="00D8673F" w:rsidRDefault="00D8673F" w:rsidP="004D53E5">
      <w:pPr>
        <w:pStyle w:val="SingleSpace"/>
      </w:pPr>
    </w:p>
    <w:p w:rsidR="00D8673F" w:rsidRDefault="00D8673F" w:rsidP="004D53E5">
      <w:pPr>
        <w:pStyle w:val="SingleSpace"/>
      </w:pPr>
    </w:p>
    <w:p w:rsidR="00395B24" w:rsidRDefault="002C7385" w:rsidP="00D8673F">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8616F">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8616F">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08616F" w:rsidRPr="0008616F">
              <w:rPr>
                <w:caps/>
                <w:szCs w:val="24"/>
              </w:rPr>
              <w:t>QUD</w:t>
            </w:r>
            <w:proofErr w:type="spellEnd"/>
            <w:r w:rsidR="0008616F">
              <w:rPr>
                <w:szCs w:val="24"/>
              </w:rPr>
              <w:t xml:space="preserve"> 684 of 2014</w:t>
            </w:r>
            <w:r>
              <w:rPr>
                <w:caps/>
                <w:szCs w:val="24"/>
              </w:rPr>
              <w:fldChar w:fldCharType="end"/>
            </w:r>
          </w:p>
        </w:tc>
      </w:tr>
    </w:tbl>
    <w:p w:rsidR="00395B24" w:rsidRDefault="0062410E">
      <w:pPr>
        <w:pStyle w:val="AppealTable"/>
      </w:pPr>
      <w:r>
        <w:fldChar w:fldCharType="begin" w:fldLock="1"/>
      </w:r>
      <w:r>
        <w:instrText xml:space="preserve"> Ref AppealTable  \* MERGEFORMAT </w:instrText>
      </w:r>
      <w:r>
        <w:fldChar w:fldCharType="separate"/>
      </w:r>
      <w:r w:rsidR="0008616F" w:rsidRPr="0008616F">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8616F"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8616F" w:rsidRPr="0008616F">
              <w:rPr>
                <w:caps/>
                <w:szCs w:val="24"/>
              </w:rPr>
              <w:t>DAVID</w:t>
            </w:r>
            <w:r w:rsidR="0008616F">
              <w:rPr>
                <w:szCs w:val="24"/>
              </w:rPr>
              <w:t xml:space="preserve"> ROSS, </w:t>
            </w:r>
            <w:proofErr w:type="spellStart"/>
            <w:r w:rsidR="0008616F">
              <w:rPr>
                <w:szCs w:val="24"/>
              </w:rPr>
              <w:t>SHAHIN</w:t>
            </w:r>
            <w:proofErr w:type="spellEnd"/>
            <w:r w:rsidR="0008616F">
              <w:rPr>
                <w:szCs w:val="24"/>
              </w:rPr>
              <w:t xml:space="preserve"> HUSSAIN AND RICHARD </w:t>
            </w:r>
            <w:proofErr w:type="spellStart"/>
            <w:r w:rsidR="0008616F">
              <w:rPr>
                <w:szCs w:val="24"/>
              </w:rPr>
              <w:t>ALBARRAN</w:t>
            </w:r>
            <w:proofErr w:type="spellEnd"/>
            <w:r w:rsidR="0008616F">
              <w:rPr>
                <w:szCs w:val="24"/>
              </w:rPr>
              <w:t xml:space="preserve"> AS JOINT AND SEVERAL RECEIVERS OF ANC TRANSPORT PTY LTD (RECEIVERS APPOINTED)</w:t>
            </w:r>
            <w:r w:rsidR="00953F40" w:rsidRPr="00953F40">
              <w:t xml:space="preserve"> </w:t>
            </w:r>
            <w:proofErr w:type="spellStart"/>
            <w:r w:rsidR="00953F40" w:rsidRPr="00953F40">
              <w:t>ACN</w:t>
            </w:r>
            <w:proofErr w:type="spellEnd"/>
            <w:r w:rsidR="00953F40" w:rsidRPr="00953F40">
              <w:t xml:space="preserve"> 137 400 081</w:t>
            </w:r>
          </w:p>
          <w:p w:rsidR="0008616F" w:rsidRDefault="0008616F">
            <w:pPr>
              <w:pStyle w:val="NormalHeadings"/>
              <w:jc w:val="left"/>
              <w:rPr>
                <w:szCs w:val="24"/>
              </w:rPr>
            </w:pPr>
            <w:r>
              <w:rPr>
                <w:szCs w:val="24"/>
              </w:rPr>
              <w:t>Applicant</w:t>
            </w:r>
            <w:r w:rsidR="00EF1080">
              <w:rPr>
                <w:szCs w:val="24"/>
              </w:rPr>
              <w:t>s</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8616F"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8616F" w:rsidRPr="0008616F">
              <w:rPr>
                <w:caps/>
                <w:szCs w:val="24"/>
              </w:rPr>
              <w:t>NORMAN</w:t>
            </w:r>
            <w:r w:rsidR="0008616F">
              <w:rPr>
                <w:szCs w:val="24"/>
              </w:rPr>
              <w:t xml:space="preserve"> COTTER</w:t>
            </w:r>
          </w:p>
          <w:p w:rsidR="0008616F" w:rsidRDefault="0008616F">
            <w:pPr>
              <w:pStyle w:val="NormalHeadings"/>
              <w:jc w:val="left"/>
              <w:rPr>
                <w:szCs w:val="24"/>
              </w:rPr>
            </w:pPr>
            <w:r>
              <w:rPr>
                <w:szCs w:val="24"/>
              </w:rPr>
              <w:t>First Respondent</w:t>
            </w:r>
          </w:p>
          <w:p w:rsidR="0008616F" w:rsidRDefault="0008616F">
            <w:pPr>
              <w:pStyle w:val="NormalHeadings"/>
              <w:jc w:val="left"/>
              <w:rPr>
                <w:szCs w:val="24"/>
              </w:rPr>
            </w:pPr>
          </w:p>
          <w:p w:rsidR="0008616F" w:rsidRDefault="0032650D">
            <w:pPr>
              <w:pStyle w:val="NormalHeadings"/>
              <w:jc w:val="left"/>
              <w:rPr>
                <w:szCs w:val="24"/>
              </w:rPr>
            </w:pPr>
            <w:r>
              <w:rPr>
                <w:szCs w:val="24"/>
              </w:rPr>
              <w:t>ANDREA COTTER</w:t>
            </w:r>
          </w:p>
          <w:p w:rsidR="0008616F" w:rsidRDefault="0008616F">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8616F">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8616F">
              <w:rPr>
                <w:caps/>
                <w:szCs w:val="24"/>
              </w:rPr>
              <w:t>REEVES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9E4B2C">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9E4B2C">
              <w:rPr>
                <w:caps/>
                <w:szCs w:val="24"/>
              </w:rPr>
              <w:t>2</w:t>
            </w:r>
            <w:r w:rsidR="0008616F">
              <w:rPr>
                <w:caps/>
                <w:szCs w:val="24"/>
              </w:rPr>
              <w:t xml:space="preserve"> </w:t>
            </w:r>
            <w:r w:rsidR="009E4B2C">
              <w:rPr>
                <w:caps/>
                <w:szCs w:val="24"/>
              </w:rPr>
              <w:t>April</w:t>
            </w:r>
            <w:r w:rsidR="0008616F">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8616F">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B64C97" w:rsidRDefault="00B64C97" w:rsidP="00B64C97">
      <w:pPr>
        <w:pStyle w:val="Heading1"/>
      </w:pPr>
      <w:r>
        <w:t>Deemed service on Mr Cotter</w:t>
      </w:r>
    </w:p>
    <w:p w:rsidR="0008616F" w:rsidRDefault="0008616F" w:rsidP="0008616F">
      <w:pPr>
        <w:pStyle w:val="ParaNumbering"/>
      </w:pPr>
      <w:r>
        <w:t xml:space="preserve">Rule 10.23 of the </w:t>
      </w:r>
      <w:r w:rsidR="00873A82" w:rsidRPr="00B60830">
        <w:rPr>
          <w:i/>
        </w:rPr>
        <w:t>Federal Court Rules 2011</w:t>
      </w:r>
      <w:r w:rsidR="00873A82">
        <w:t xml:space="preserve"> (</w:t>
      </w:r>
      <w:proofErr w:type="spellStart"/>
      <w:r w:rsidR="00873A82">
        <w:t>Cth</w:t>
      </w:r>
      <w:proofErr w:type="spellEnd"/>
      <w:r w:rsidR="00873A82">
        <w:t xml:space="preserve">) (the Rules) </w:t>
      </w:r>
      <w:r>
        <w:t>provides that a party may apply to the Court</w:t>
      </w:r>
      <w:r w:rsidR="000D6293">
        <w:t>,</w:t>
      </w:r>
      <w:r>
        <w:t xml:space="preserve"> without notice</w:t>
      </w:r>
      <w:r w:rsidR="000D6293">
        <w:t>,</w:t>
      </w:r>
      <w:r>
        <w:t xml:space="preserve"> for an order that a document is taken to have been served on a person</w:t>
      </w:r>
      <w:r w:rsidR="000D6293">
        <w:t>,</w:t>
      </w:r>
      <w:r>
        <w:t xml:space="preserve"> on a date mentioned in the order</w:t>
      </w:r>
      <w:r w:rsidR="000D6293">
        <w:t>,</w:t>
      </w:r>
      <w:r>
        <w:t xml:space="preserve"> if two criteria are met.  </w:t>
      </w:r>
      <w:r w:rsidR="00B64C97">
        <w:t xml:space="preserve"> In these reasons, I will describe this process as deemed service.  </w:t>
      </w:r>
      <w:r>
        <w:t xml:space="preserve">The first </w:t>
      </w:r>
      <w:r w:rsidR="00873A82">
        <w:t xml:space="preserve">criterion </w:t>
      </w:r>
      <w:r w:rsidR="00B64C97">
        <w:t xml:space="preserve">under r 10.23 </w:t>
      </w:r>
      <w:r>
        <w:t xml:space="preserve">is whether it is not practicable to serve the document on the person in the way required by the </w:t>
      </w:r>
      <w:r w:rsidR="00873A82">
        <w:t>Rules.</w:t>
      </w:r>
      <w:r>
        <w:t xml:space="preserve"> </w:t>
      </w:r>
      <w:r w:rsidR="00B73F89">
        <w:t xml:space="preserve"> </w:t>
      </w:r>
      <w:r w:rsidR="001854BA">
        <w:t xml:space="preserve">In this context, the </w:t>
      </w:r>
      <w:r w:rsidR="00C971D3">
        <w:t>word “practicable” has b</w:t>
      </w:r>
      <w:r w:rsidR="001854BA">
        <w:t>e</w:t>
      </w:r>
      <w:r w:rsidR="00C971D3">
        <w:t>e</w:t>
      </w:r>
      <w:r w:rsidR="001854BA">
        <w:t>n</w:t>
      </w:r>
      <w:r w:rsidR="00C971D3">
        <w:t xml:space="preserve"> held to </w:t>
      </w:r>
      <w:r w:rsidR="009D19C0">
        <w:t>hav</w:t>
      </w:r>
      <w:r w:rsidR="00C971D3">
        <w:t xml:space="preserve">e a wide meaning which will depend on the circumstances of the particular proceeding:  see </w:t>
      </w:r>
      <w:r w:rsidR="00C971D3" w:rsidRPr="00B60830">
        <w:rPr>
          <w:i/>
        </w:rPr>
        <w:t>Australian Securities and Investments Commission v China Environment Group Ltd</w:t>
      </w:r>
      <w:r w:rsidR="00C971D3">
        <w:t xml:space="preserve"> [2013] </w:t>
      </w:r>
      <w:proofErr w:type="spellStart"/>
      <w:r w:rsidR="00C971D3">
        <w:t>FCA</w:t>
      </w:r>
      <w:proofErr w:type="spellEnd"/>
      <w:r w:rsidR="00C971D3">
        <w:t xml:space="preserve"> 286 at [11]–[15] per Besanko J.  </w:t>
      </w:r>
      <w:r w:rsidR="00873A82">
        <w:t>T</w:t>
      </w:r>
      <w:r>
        <w:t xml:space="preserve">he second </w:t>
      </w:r>
      <w:r w:rsidR="00873A82">
        <w:t xml:space="preserve">criterion </w:t>
      </w:r>
      <w:r w:rsidR="009D19C0">
        <w:t xml:space="preserve">under r 10.23 </w:t>
      </w:r>
      <w:r>
        <w:t>is that the party apply</w:t>
      </w:r>
      <w:r w:rsidR="00873A82">
        <w:t>ing</w:t>
      </w:r>
      <w:r>
        <w:t xml:space="preserve"> provides evidence that the document has been brought to the attention of the person to be served</w:t>
      </w:r>
      <w:r w:rsidR="00C971D3">
        <w:t>.  This is obviously a question of fact.</w:t>
      </w:r>
    </w:p>
    <w:p w:rsidR="00873A82" w:rsidRDefault="00B64C97" w:rsidP="0008616F">
      <w:pPr>
        <w:pStyle w:val="ParaNumbering"/>
      </w:pPr>
      <w:r>
        <w:t>The applicant</w:t>
      </w:r>
      <w:r w:rsidR="00EF1080">
        <w:t>s</w:t>
      </w:r>
      <w:r>
        <w:t xml:space="preserve"> in </w:t>
      </w:r>
      <w:r w:rsidR="0008616F">
        <w:t xml:space="preserve">this </w:t>
      </w:r>
      <w:r w:rsidR="00EF1080">
        <w:t>proceeding have</w:t>
      </w:r>
      <w:r>
        <w:t xml:space="preserve"> applied under r 10.23</w:t>
      </w:r>
      <w:r w:rsidR="00873A82">
        <w:t xml:space="preserve"> for deemed service </w:t>
      </w:r>
      <w:r w:rsidR="009D19C0">
        <w:t xml:space="preserve">of certain documents </w:t>
      </w:r>
      <w:r w:rsidR="00873A82">
        <w:t xml:space="preserve">on the first </w:t>
      </w:r>
      <w:r w:rsidR="00873A82" w:rsidRPr="000F36E9">
        <w:t>respondent</w:t>
      </w:r>
      <w:r w:rsidR="0008616F">
        <w:t>,</w:t>
      </w:r>
      <w:r>
        <w:t xml:space="preserve"> Mr Cotter.</w:t>
      </w:r>
      <w:r w:rsidR="00873A82">
        <w:t xml:space="preserve"> </w:t>
      </w:r>
      <w:r>
        <w:t xml:space="preserve"> The </w:t>
      </w:r>
      <w:r w:rsidR="00873A82">
        <w:t xml:space="preserve">documents in question are the originating application filed 18 December 2014 and the related affidavit of Mr Ross sworn 15 December </w:t>
      </w:r>
      <w:r w:rsidR="00873A82">
        <w:lastRenderedPageBreak/>
        <w:t>2014</w:t>
      </w:r>
      <w:r>
        <w:t xml:space="preserve"> (the originating document</w:t>
      </w:r>
      <w:r w:rsidR="00953F40">
        <w:t>s</w:t>
      </w:r>
      <w:r>
        <w:t>)</w:t>
      </w:r>
      <w:r w:rsidR="00873A82">
        <w:t>.</w:t>
      </w:r>
      <w:r w:rsidR="0008616F">
        <w:t xml:space="preserve"> </w:t>
      </w:r>
      <w:r w:rsidR="00B73F89">
        <w:t xml:space="preserve"> </w:t>
      </w:r>
      <w:r w:rsidR="00873A82">
        <w:t xml:space="preserve">Under r 8.06, both these documents must be served personally on each of the </w:t>
      </w:r>
      <w:r w:rsidR="00873A82" w:rsidRPr="000F36E9">
        <w:t>respondents</w:t>
      </w:r>
      <w:r w:rsidR="00A4468A">
        <w:t>.  As to the first criterion,</w:t>
      </w:r>
      <w:r w:rsidR="00873A82">
        <w:t xml:space="preserve"> </w:t>
      </w:r>
      <w:r w:rsidR="0008616F">
        <w:t xml:space="preserve">I have </w:t>
      </w:r>
      <w:r w:rsidR="00873A82">
        <w:t xml:space="preserve">before me </w:t>
      </w:r>
      <w:r w:rsidR="0008616F">
        <w:t>evidence fr</w:t>
      </w:r>
      <w:r w:rsidR="00EF1080">
        <w:t>om Mr Waterman, the solicitor for</w:t>
      </w:r>
      <w:r w:rsidR="0008616F">
        <w:t xml:space="preserve"> the applicant</w:t>
      </w:r>
      <w:r w:rsidR="00EF1080">
        <w:t>s</w:t>
      </w:r>
      <w:r w:rsidR="0008616F">
        <w:t>, that</w:t>
      </w:r>
      <w:r w:rsidR="00873A82">
        <w:t>:</w:t>
      </w:r>
    </w:p>
    <w:p w:rsidR="0008616F" w:rsidRDefault="0008616F" w:rsidP="00873A82">
      <w:pPr>
        <w:pStyle w:val="ListNo1"/>
      </w:pPr>
      <w:r>
        <w:t xml:space="preserve">a process server </w:t>
      </w:r>
      <w:r w:rsidR="00873A82">
        <w:t xml:space="preserve">employed by him </w:t>
      </w:r>
      <w:r>
        <w:t>has attempted to serve the first respondent, Mr Cotter, at his last known residential address and ascertained that he no l</w:t>
      </w:r>
      <w:r w:rsidR="00A4468A">
        <w:t>onger resides at that address;</w:t>
      </w:r>
    </w:p>
    <w:p w:rsidR="00873A82" w:rsidRDefault="00A4468A" w:rsidP="00873A82">
      <w:pPr>
        <w:pStyle w:val="ListNo1"/>
      </w:pPr>
      <w:r>
        <w:t>the process server concerned then attempted to contact Mr Cotter by mobile telephone and left a voice message, but Mr Cotter did not respond to that message;</w:t>
      </w:r>
      <w:r w:rsidR="00B64C97">
        <w:t xml:space="preserve"> and</w:t>
      </w:r>
    </w:p>
    <w:p w:rsidR="00A4468A" w:rsidRDefault="00A4468A" w:rsidP="00873A82">
      <w:pPr>
        <w:pStyle w:val="ListNo1"/>
      </w:pPr>
      <w:r>
        <w:t>the applicant</w:t>
      </w:r>
      <w:r w:rsidR="00EF1080">
        <w:t>s</w:t>
      </w:r>
      <w:r>
        <w:t xml:space="preserve">, or, more specifically, </w:t>
      </w:r>
      <w:r w:rsidR="00EF1080">
        <w:t>their</w:t>
      </w:r>
      <w:r>
        <w:t xml:space="preserve"> solicitor, is not aware of Mr Cotter</w:t>
      </w:r>
      <w:r w:rsidR="00BB6CD3">
        <w:t>’</w:t>
      </w:r>
      <w:r>
        <w:t>s current residential address.</w:t>
      </w:r>
    </w:p>
    <w:p w:rsidR="0008616F" w:rsidRDefault="00A4468A" w:rsidP="0008616F">
      <w:pPr>
        <w:pStyle w:val="ParaNumbering"/>
      </w:pPr>
      <w:r>
        <w:t>Based on this</w:t>
      </w:r>
      <w:r w:rsidR="0008616F">
        <w:t xml:space="preserve"> evidence, I am satisfied that</w:t>
      </w:r>
      <w:r w:rsidR="00C971D3">
        <w:t>, in the circumstances of this proceeding,</w:t>
      </w:r>
      <w:r w:rsidR="0008616F">
        <w:t xml:space="preserve"> the applicant has established it is not practical to serve the </w:t>
      </w:r>
      <w:r w:rsidR="00B64C97">
        <w:t xml:space="preserve">originating </w:t>
      </w:r>
      <w:r w:rsidR="0008616F">
        <w:t>document</w:t>
      </w:r>
      <w:r>
        <w:t>s</w:t>
      </w:r>
      <w:r w:rsidR="0008616F">
        <w:t xml:space="preserve"> on Mr Cotter in </w:t>
      </w:r>
      <w:r w:rsidR="00B73F89">
        <w:t>the way required by the Rules.</w:t>
      </w:r>
    </w:p>
    <w:p w:rsidR="00A4468A" w:rsidRDefault="0008616F" w:rsidP="0008616F">
      <w:pPr>
        <w:pStyle w:val="ParaNumbering"/>
      </w:pPr>
      <w:r>
        <w:t xml:space="preserve">As to the second criterion, I </w:t>
      </w:r>
      <w:r w:rsidR="009D19C0">
        <w:t xml:space="preserve">also </w:t>
      </w:r>
      <w:r>
        <w:t xml:space="preserve">have evidence </w:t>
      </w:r>
      <w:r w:rsidR="00A4468A">
        <w:t xml:space="preserve">before me </w:t>
      </w:r>
      <w:r w:rsidR="009D19C0">
        <w:t xml:space="preserve">from Mr Waterman </w:t>
      </w:r>
      <w:r>
        <w:t>that</w:t>
      </w:r>
      <w:r w:rsidR="00A4468A">
        <w:t>:</w:t>
      </w:r>
    </w:p>
    <w:p w:rsidR="0008616F" w:rsidRDefault="0008616F" w:rsidP="009E4B2C">
      <w:pPr>
        <w:pStyle w:val="ListNo1"/>
        <w:numPr>
          <w:ilvl w:val="0"/>
          <w:numId w:val="24"/>
        </w:numPr>
        <w:tabs>
          <w:tab w:val="clear" w:pos="720"/>
          <w:tab w:val="num" w:pos="0"/>
        </w:tabs>
      </w:pPr>
      <w:r>
        <w:t xml:space="preserve">the second respondent, Mrs Cotter, was served personally with the </w:t>
      </w:r>
      <w:r w:rsidR="00B64C97">
        <w:t xml:space="preserve">originating </w:t>
      </w:r>
      <w:r w:rsidR="00A4468A">
        <w:t>documents</w:t>
      </w:r>
      <w:r>
        <w:t xml:space="preserve"> </w:t>
      </w:r>
      <w:r w:rsidR="00A4468A">
        <w:t>on 19 January 201</w:t>
      </w:r>
      <w:r w:rsidR="00B64C97">
        <w:t>5</w:t>
      </w:r>
      <w:r>
        <w:t xml:space="preserve"> at</w:t>
      </w:r>
      <w:r w:rsidR="00A4468A">
        <w:t>,</w:t>
      </w:r>
      <w:r>
        <w:t xml:space="preserve"> what I infer was</w:t>
      </w:r>
      <w:r w:rsidR="00A4468A">
        <w:t>,</w:t>
      </w:r>
      <w:r>
        <w:t xml:space="preserve"> her place of work at Bunda</w:t>
      </w:r>
      <w:r w:rsidR="00A4468A">
        <w:t>ll in the State of Queensland;</w:t>
      </w:r>
    </w:p>
    <w:p w:rsidR="00A4468A" w:rsidRDefault="00A4468A" w:rsidP="00136054">
      <w:pPr>
        <w:pStyle w:val="ListNo1"/>
        <w:numPr>
          <w:ilvl w:val="0"/>
          <w:numId w:val="24"/>
        </w:numPr>
      </w:pPr>
      <w:r>
        <w:t>the second respondent, Mrs Cotter, and the first respondent, Mr Cotter, are married;</w:t>
      </w:r>
    </w:p>
    <w:p w:rsidR="00A4468A" w:rsidRDefault="00A4468A" w:rsidP="00136054">
      <w:pPr>
        <w:pStyle w:val="ListNo1"/>
        <w:numPr>
          <w:ilvl w:val="0"/>
          <w:numId w:val="24"/>
        </w:numPr>
      </w:pPr>
      <w:r>
        <w:t>from email exchanges that have occurred between Mrs Cotter and Mr Waterman, the applicants</w:t>
      </w:r>
      <w:r w:rsidR="00EF1080">
        <w:t>’</w:t>
      </w:r>
      <w:r>
        <w:t xml:space="preserve"> solicitor, it is apparent that Mrs Cotter </w:t>
      </w:r>
      <w:r w:rsidR="00B64C97">
        <w:t>and</w:t>
      </w:r>
      <w:r>
        <w:t xml:space="preserve"> her husband </w:t>
      </w:r>
      <w:r w:rsidR="00B64C97">
        <w:t xml:space="preserve">have discussed </w:t>
      </w:r>
      <w:r>
        <w:t xml:space="preserve">the </w:t>
      </w:r>
      <w:r w:rsidR="00B64C97">
        <w:t xml:space="preserve">originating </w:t>
      </w:r>
      <w:r>
        <w:t>documents that were served on her. The last of those email exchanges occurred on 11 February 2015</w:t>
      </w:r>
      <w:r w:rsidR="00C971D3">
        <w:t>:  see at [12] below</w:t>
      </w:r>
      <w:r>
        <w:t>.</w:t>
      </w:r>
    </w:p>
    <w:p w:rsidR="0008616F" w:rsidRDefault="0008616F" w:rsidP="0008616F">
      <w:pPr>
        <w:pStyle w:val="ParaNumbering"/>
      </w:pPr>
      <w:r>
        <w:t xml:space="preserve">Based on this evidence, I am satisfied that the </w:t>
      </w:r>
      <w:r w:rsidR="00B64C97">
        <w:t xml:space="preserve">originating </w:t>
      </w:r>
      <w:r w:rsidR="00A4468A">
        <w:t xml:space="preserve">documents </w:t>
      </w:r>
      <w:r>
        <w:t>have been brought to the attentio</w:t>
      </w:r>
      <w:r w:rsidR="00B73F89">
        <w:t>n of Mr Cotter.</w:t>
      </w:r>
    </w:p>
    <w:p w:rsidR="00624520" w:rsidRDefault="0008616F" w:rsidP="0008616F">
      <w:pPr>
        <w:pStyle w:val="ParaNumbering"/>
      </w:pPr>
      <w:r>
        <w:t>For these reasons</w:t>
      </w:r>
      <w:r w:rsidR="00A4468A">
        <w:t>, I consider the applicant</w:t>
      </w:r>
      <w:r w:rsidR="00B64C97">
        <w:t>s</w:t>
      </w:r>
      <w:r w:rsidR="00EF1080">
        <w:t xml:space="preserve"> have</w:t>
      </w:r>
      <w:r w:rsidR="00A4468A">
        <w:t xml:space="preserve"> met both of the criteria set out in r 10.23 and</w:t>
      </w:r>
      <w:r>
        <w:t xml:space="preserve"> I</w:t>
      </w:r>
      <w:r w:rsidR="00A4468A">
        <w:t xml:space="preserve"> will therefore</w:t>
      </w:r>
      <w:r>
        <w:t xml:space="preserve"> order that the originating application </w:t>
      </w:r>
      <w:r w:rsidR="00A4468A">
        <w:t xml:space="preserve">filed 18 December 2014 </w:t>
      </w:r>
      <w:r>
        <w:t>and the affidavit of Mr Ross sworn 15 December 201</w:t>
      </w:r>
      <w:r w:rsidR="00D8673F">
        <w:t>4</w:t>
      </w:r>
      <w:r>
        <w:t xml:space="preserve"> are taken to have been served on the first respondent, Mr Cotter, by no later than 11 February 2015.</w:t>
      </w:r>
    </w:p>
    <w:p w:rsidR="00B73F89" w:rsidRDefault="00B73F89" w:rsidP="00B73F89">
      <w:pPr>
        <w:pStyle w:val="Heading1"/>
      </w:pPr>
      <w:r>
        <w:lastRenderedPageBreak/>
        <w:t>Default Judgment</w:t>
      </w:r>
    </w:p>
    <w:p w:rsidR="00D76A83" w:rsidRDefault="00B73F89" w:rsidP="00D76A83">
      <w:pPr>
        <w:pStyle w:val="ParaNumbering"/>
      </w:pPr>
      <w:r>
        <w:t>Following on from the above order, the applicant</w:t>
      </w:r>
      <w:r w:rsidR="00EF1080">
        <w:t>s</w:t>
      </w:r>
      <w:r w:rsidR="00B64C97">
        <w:t xml:space="preserve"> ha</w:t>
      </w:r>
      <w:r w:rsidR="00EF1080">
        <w:t>ve</w:t>
      </w:r>
      <w:r>
        <w:t xml:space="preserve"> applied under </w:t>
      </w:r>
      <w:proofErr w:type="spellStart"/>
      <w:r>
        <w:t>r</w:t>
      </w:r>
      <w:r w:rsidR="00B64C97">
        <w:t>r</w:t>
      </w:r>
      <w:proofErr w:type="spellEnd"/>
      <w:r w:rsidR="00B64C97">
        <w:t xml:space="preserve"> 5.22 and</w:t>
      </w:r>
      <w:r>
        <w:t xml:space="preserve"> 5.23(2)</w:t>
      </w:r>
      <w:r w:rsidR="00D8673F">
        <w:t xml:space="preserve"> of the Rules</w:t>
      </w:r>
      <w:r>
        <w:t xml:space="preserve"> for default judgment against both </w:t>
      </w:r>
      <w:r w:rsidR="00B64C97">
        <w:t>Mr and Mrs Cotter</w:t>
      </w:r>
      <w:r>
        <w:t xml:space="preserve">.  </w:t>
      </w:r>
      <w:r w:rsidR="00D76A83">
        <w:t>Relevantly, r 5.22 of the Rules provides that:</w:t>
      </w:r>
    </w:p>
    <w:p w:rsidR="00D76A83" w:rsidRDefault="00D76A83" w:rsidP="00D76A83">
      <w:pPr>
        <w:pStyle w:val="Quote1Bullet"/>
        <w:numPr>
          <w:ilvl w:val="0"/>
          <w:numId w:val="0"/>
        </w:numPr>
        <w:ind w:left="1440" w:hanging="720"/>
      </w:pPr>
      <w:r>
        <w:t>A party is in default if the party fails to:</w:t>
      </w:r>
    </w:p>
    <w:p w:rsidR="00D76A83" w:rsidRDefault="00D76A83" w:rsidP="00D76A83">
      <w:pPr>
        <w:pStyle w:val="Quote1Bullet"/>
      </w:pPr>
      <w:r>
        <w:t>do an act required to be done, or to do an act in the time required, by these Rules; or</w:t>
      </w:r>
    </w:p>
    <w:p w:rsidR="00D76A83" w:rsidRDefault="00D76A83" w:rsidP="00D76A83">
      <w:pPr>
        <w:pStyle w:val="Quote1Bullet"/>
      </w:pPr>
      <w:r>
        <w:t>comply with an order of the Court; or</w:t>
      </w:r>
    </w:p>
    <w:p w:rsidR="00D76A83" w:rsidRDefault="00D76A83" w:rsidP="00D76A83">
      <w:pPr>
        <w:pStyle w:val="Quote1Bullet"/>
      </w:pPr>
      <w:r>
        <w:t>attend a hearing in the proceeding; or</w:t>
      </w:r>
    </w:p>
    <w:p w:rsidR="00D76A83" w:rsidRDefault="00D76A83" w:rsidP="00D76A83">
      <w:pPr>
        <w:pStyle w:val="Quote1Bullet"/>
      </w:pPr>
      <w:r>
        <w:t>prosecute or defend the proceeding with due diligence.</w:t>
      </w:r>
    </w:p>
    <w:p w:rsidR="00B64C97" w:rsidRDefault="00B64C97" w:rsidP="0008616F">
      <w:pPr>
        <w:pStyle w:val="ParaNumbering"/>
      </w:pPr>
      <w:r>
        <w:t>The grounds of default relied upon by the applicant</w:t>
      </w:r>
      <w:r w:rsidR="00EF1080">
        <w:t>s</w:t>
      </w:r>
      <w:r>
        <w:t xml:space="preserve"> are</w:t>
      </w:r>
      <w:r w:rsidR="009D19C0">
        <w:t xml:space="preserve"> those</w:t>
      </w:r>
      <w:r>
        <w:t xml:space="preserve"> prescribed in </w:t>
      </w:r>
      <w:proofErr w:type="spellStart"/>
      <w:r>
        <w:t>rr</w:t>
      </w:r>
      <w:proofErr w:type="spellEnd"/>
      <w:r>
        <w:t xml:space="preserve"> 5.01 and 5.02 of the Rules, as follows:</w:t>
      </w:r>
    </w:p>
    <w:p w:rsidR="00B64C97" w:rsidRDefault="00B64C97" w:rsidP="00B64C97">
      <w:pPr>
        <w:pStyle w:val="Quote1"/>
      </w:pPr>
      <w:r w:rsidRPr="00B64C97">
        <w:rPr>
          <w:b/>
        </w:rPr>
        <w:t>5.01</w:t>
      </w:r>
      <w:r>
        <w:t xml:space="preserve">  </w:t>
      </w:r>
      <w:r w:rsidRPr="00B64C97">
        <w:rPr>
          <w:b/>
        </w:rPr>
        <w:t>Parties to attend Court on return date</w:t>
      </w:r>
    </w:p>
    <w:p w:rsidR="00B64C97" w:rsidRDefault="00B64C97" w:rsidP="00B64C97">
      <w:pPr>
        <w:pStyle w:val="Quote1"/>
      </w:pPr>
    </w:p>
    <w:p w:rsidR="00B64C97" w:rsidRDefault="00B64C97" w:rsidP="00B64C97">
      <w:pPr>
        <w:pStyle w:val="Quote1"/>
      </w:pPr>
      <w:r>
        <w:t>A party, or the party’s lawyer, must attend the Court on the return date fixed in the originating application.</w:t>
      </w:r>
    </w:p>
    <w:p w:rsidR="00B64C97" w:rsidRDefault="00B64C97" w:rsidP="00B64C97">
      <w:pPr>
        <w:pStyle w:val="Quote1"/>
      </w:pPr>
    </w:p>
    <w:p w:rsidR="00B64C97" w:rsidRDefault="00B64C97" w:rsidP="00B64C97">
      <w:pPr>
        <w:pStyle w:val="Quote1"/>
      </w:pPr>
      <w:r>
        <w:t>…</w:t>
      </w:r>
    </w:p>
    <w:p w:rsidR="00B64C97" w:rsidRDefault="00B64C97" w:rsidP="00B64C97">
      <w:pPr>
        <w:pStyle w:val="Quote1"/>
      </w:pPr>
    </w:p>
    <w:p w:rsidR="00B64C97" w:rsidRPr="00B64C97" w:rsidRDefault="00B64C97" w:rsidP="00B64C97">
      <w:pPr>
        <w:pStyle w:val="Quote1"/>
        <w:rPr>
          <w:b/>
        </w:rPr>
      </w:pPr>
      <w:r w:rsidRPr="00B64C97">
        <w:rPr>
          <w:b/>
        </w:rPr>
        <w:t>5.02  Parties to file notice of address for service before return date</w:t>
      </w:r>
    </w:p>
    <w:p w:rsidR="00B64C97" w:rsidRDefault="00B64C97" w:rsidP="00B64C97">
      <w:pPr>
        <w:pStyle w:val="Quote1"/>
      </w:pPr>
    </w:p>
    <w:p w:rsidR="00B64C97" w:rsidRDefault="00B64C97" w:rsidP="00B64C97">
      <w:pPr>
        <w:pStyle w:val="Quote1"/>
      </w:pPr>
      <w:r>
        <w:t>A respondent who has been served with an originating application must file a notice of address for service, in accordance with Form 10, before the return date fixed in the originating application.</w:t>
      </w:r>
    </w:p>
    <w:p w:rsidR="00B64C97" w:rsidRDefault="00B64C97" w:rsidP="00B64C97">
      <w:pPr>
        <w:pStyle w:val="Quote1"/>
      </w:pPr>
    </w:p>
    <w:p w:rsidR="00B64C97" w:rsidRDefault="00B64C97" w:rsidP="00B64C97">
      <w:pPr>
        <w:pStyle w:val="Quote1"/>
        <w:ind w:left="720"/>
      </w:pPr>
      <w:r>
        <w:t>(Emphasis in original)</w:t>
      </w:r>
    </w:p>
    <w:p w:rsidR="00B64C97" w:rsidRDefault="009D19C0" w:rsidP="0008616F">
      <w:pPr>
        <w:pStyle w:val="ParaNumbering"/>
      </w:pPr>
      <w:r>
        <w:t xml:space="preserve">The </w:t>
      </w:r>
      <w:r w:rsidR="00B64C97">
        <w:t>defaulting conduct</w:t>
      </w:r>
      <w:r>
        <w:t xml:space="preserve"> of Mr and Mrs Cotter</w:t>
      </w:r>
      <w:r w:rsidR="00C971D3">
        <w:t>,</w:t>
      </w:r>
      <w:r w:rsidR="00B64C97">
        <w:t xml:space="preserve"> relied upon by the applicant</w:t>
      </w:r>
      <w:r w:rsidR="00EF1080">
        <w:t>s</w:t>
      </w:r>
      <w:r w:rsidR="00C971D3">
        <w:t>,</w:t>
      </w:r>
      <w:r w:rsidR="00EF1080">
        <w:t xml:space="preserve"> </w:t>
      </w:r>
      <w:r w:rsidR="00B64C97">
        <w:t>is as follows:</w:t>
      </w:r>
    </w:p>
    <w:p w:rsidR="004D6E3B" w:rsidRDefault="00B64C97" w:rsidP="00B64C97">
      <w:pPr>
        <w:pStyle w:val="ListNo1"/>
        <w:numPr>
          <w:ilvl w:val="0"/>
          <w:numId w:val="25"/>
        </w:numPr>
      </w:pPr>
      <w:r>
        <w:t>the failure by Mrs Cotter to appear on the return date fixed for the first direc</w:t>
      </w:r>
      <w:r w:rsidR="009D19C0">
        <w:t>tions hearing in the proceeding</w:t>
      </w:r>
      <w:r>
        <w:t>, 12 February 2015, in default of r 5.01 of the Rules;</w:t>
      </w:r>
    </w:p>
    <w:p w:rsidR="004D6E3B" w:rsidRDefault="00B64C97" w:rsidP="00B64C97">
      <w:pPr>
        <w:pStyle w:val="ListNo1"/>
        <w:numPr>
          <w:ilvl w:val="0"/>
          <w:numId w:val="25"/>
        </w:numPr>
      </w:pPr>
      <w:r>
        <w:t>the failure by Mrs Cotter to file a notice of address for service before the abovementioned return date, in default of r 5.02 of the Rules;</w:t>
      </w:r>
    </w:p>
    <w:p w:rsidR="004D6E3B" w:rsidRDefault="00B64C97" w:rsidP="00B64C97">
      <w:pPr>
        <w:pStyle w:val="ListNo1"/>
        <w:numPr>
          <w:ilvl w:val="0"/>
          <w:numId w:val="25"/>
        </w:numPr>
      </w:pPr>
      <w:r>
        <w:t>the failure by Mrs Cotter to appear at the adjourned direc</w:t>
      </w:r>
      <w:r w:rsidR="009D19C0">
        <w:t>tions hearing in the proceeding</w:t>
      </w:r>
      <w:r>
        <w:t xml:space="preserve"> on 12 March 2015, in further default of r</w:t>
      </w:r>
      <w:r w:rsidR="00EF1080">
        <w:t xml:space="preserve"> </w:t>
      </w:r>
      <w:r>
        <w:t>5.01 of the Rules; and</w:t>
      </w:r>
    </w:p>
    <w:p w:rsidR="00B64C97" w:rsidRDefault="00B64C97" w:rsidP="00B64C97">
      <w:pPr>
        <w:pStyle w:val="ListNo1"/>
        <w:numPr>
          <w:ilvl w:val="0"/>
          <w:numId w:val="25"/>
        </w:numPr>
      </w:pPr>
      <w:r>
        <w:t xml:space="preserve">given that Mr Cotter is taken to have been served with the originating documents </w:t>
      </w:r>
      <w:r w:rsidR="00EF1080">
        <w:t>by no later than</w:t>
      </w:r>
      <w:r>
        <w:t xml:space="preserve"> 11 February 2015</w:t>
      </w:r>
      <w:r w:rsidR="00EF1080">
        <w:t xml:space="preserve"> (see at [6] above)</w:t>
      </w:r>
      <w:r>
        <w:t xml:space="preserve">, the failure by </w:t>
      </w:r>
      <w:r w:rsidR="00EF1080">
        <w:t>him</w:t>
      </w:r>
      <w:r>
        <w:t xml:space="preserve"> to appear at either </w:t>
      </w:r>
      <w:r w:rsidR="00EF1080">
        <w:t xml:space="preserve">of the directions </w:t>
      </w:r>
      <w:r>
        <w:t>hearing</w:t>
      </w:r>
      <w:r w:rsidR="00EF1080">
        <w:t>s</w:t>
      </w:r>
      <w:r>
        <w:t xml:space="preserve"> </w:t>
      </w:r>
      <w:r w:rsidR="00EF1080">
        <w:t>described above</w:t>
      </w:r>
      <w:r w:rsidR="00C971D3">
        <w:t>,</w:t>
      </w:r>
      <w:r w:rsidR="00EF1080">
        <w:t xml:space="preserve"> </w:t>
      </w:r>
      <w:r>
        <w:t xml:space="preserve">or </w:t>
      </w:r>
      <w:r w:rsidR="00EF1080">
        <w:t xml:space="preserve">to </w:t>
      </w:r>
      <w:r>
        <w:t>file a notice of address for service</w:t>
      </w:r>
      <w:r w:rsidR="00EF1080">
        <w:t xml:space="preserve"> before the return date fixed for either</w:t>
      </w:r>
      <w:r w:rsidR="00C971D3">
        <w:t>,</w:t>
      </w:r>
      <w:r w:rsidR="00EF1080">
        <w:t xml:space="preserve"> or both</w:t>
      </w:r>
      <w:r w:rsidR="00C971D3">
        <w:t>,</w:t>
      </w:r>
      <w:r w:rsidR="00EF1080">
        <w:t xml:space="preserve"> of those directions hearings</w:t>
      </w:r>
      <w:r w:rsidR="00C971D3">
        <w:t>,</w:t>
      </w:r>
      <w:r w:rsidR="00EF1080">
        <w:t xml:space="preserve"> in default of </w:t>
      </w:r>
      <w:proofErr w:type="spellStart"/>
      <w:r w:rsidR="00EF1080">
        <w:t>rr</w:t>
      </w:r>
      <w:proofErr w:type="spellEnd"/>
      <w:r w:rsidR="00EF1080">
        <w:t xml:space="preserve"> 5.01 and 5.02, respectively.</w:t>
      </w:r>
    </w:p>
    <w:p w:rsidR="00B73F89" w:rsidRDefault="00EF1080" w:rsidP="00EF1080">
      <w:pPr>
        <w:pStyle w:val="ParaNumbering"/>
      </w:pPr>
      <w:r>
        <w:lastRenderedPageBreak/>
        <w:t xml:space="preserve">The </w:t>
      </w:r>
      <w:r w:rsidR="009D19C0">
        <w:t xml:space="preserve">following are the </w:t>
      </w:r>
      <w:r>
        <w:t xml:space="preserve">circumstances in which this conduct occurred.  </w:t>
      </w:r>
      <w:r w:rsidR="00B73F89">
        <w:t>On 18 December 2014, the applicant</w:t>
      </w:r>
      <w:r>
        <w:t>s</w:t>
      </w:r>
      <w:r w:rsidR="00B73F89">
        <w:t xml:space="preserve"> commenced this proceeding by filing </w:t>
      </w:r>
      <w:r>
        <w:t>the</w:t>
      </w:r>
      <w:r w:rsidR="00B73F89">
        <w:t xml:space="preserve"> originating </w:t>
      </w:r>
      <w:r>
        <w:t>documents.  A</w:t>
      </w:r>
      <w:r w:rsidR="00C27A6C">
        <w:t>s I have already recorded above:</w:t>
      </w:r>
      <w:r>
        <w:t xml:space="preserve"> </w:t>
      </w:r>
      <w:r w:rsidR="00C27A6C">
        <w:t xml:space="preserve"> </w:t>
      </w:r>
      <w:r>
        <w:t>Mr and Mrs Cotter are husband and wife</w:t>
      </w:r>
      <w:r w:rsidR="00C27A6C">
        <w:t>;</w:t>
      </w:r>
      <w:r w:rsidR="009D19C0">
        <w:t xml:space="preserve"> </w:t>
      </w:r>
      <w:r w:rsidR="00B73F89">
        <w:t>Mrs Cotter was served personally with the originati</w:t>
      </w:r>
      <w:r w:rsidR="00C27A6C">
        <w:t>ng documents on 19 January 2015;</w:t>
      </w:r>
      <w:r>
        <w:t xml:space="preserve"> </w:t>
      </w:r>
      <w:r w:rsidR="009D19C0">
        <w:t xml:space="preserve">but </w:t>
      </w:r>
      <w:r>
        <w:t>a</w:t>
      </w:r>
      <w:r w:rsidR="00B73F89">
        <w:t>ttempts to serve Mr Cotter were unsuccessful</w:t>
      </w:r>
      <w:r w:rsidR="009D19C0">
        <w:t xml:space="preserve">. </w:t>
      </w:r>
      <w:r>
        <w:t xml:space="preserve"> </w:t>
      </w:r>
      <w:r w:rsidR="009D19C0">
        <w:t>A</w:t>
      </w:r>
      <w:r>
        <w:t>ccordingly,</w:t>
      </w:r>
      <w:r w:rsidR="00B73F89">
        <w:t xml:space="preserve"> on 12 March 2015, I made an order under r 10.23 of the Rules </w:t>
      </w:r>
      <w:r>
        <w:t xml:space="preserve">for deemed service of </w:t>
      </w:r>
      <w:r w:rsidR="00B73F89">
        <w:t>the originating documents on Mr Cotter</w:t>
      </w:r>
      <w:r w:rsidR="009D19C0">
        <w:t>:  see at [6] above</w:t>
      </w:r>
      <w:r w:rsidR="00B73F89">
        <w:t>.</w:t>
      </w:r>
    </w:p>
    <w:p w:rsidR="00B73F89" w:rsidRDefault="00B73F89" w:rsidP="0008616F">
      <w:pPr>
        <w:pStyle w:val="ParaNumbering"/>
      </w:pPr>
      <w:r>
        <w:t>During the period from 28 January 2015 to 12 March 2015, the applicants</w:t>
      </w:r>
      <w:r w:rsidR="00EF1080">
        <w:t>’</w:t>
      </w:r>
      <w:r>
        <w:t xml:space="preserve"> solicitor, Mr Waterman, made numerous unsuccessful efforts to elicit a response from </w:t>
      </w:r>
      <w:r w:rsidR="00EF1080">
        <w:t>Mr and Mrs Cotter</w:t>
      </w:r>
      <w:r>
        <w:t xml:space="preserve"> regarding the </w:t>
      </w:r>
      <w:r w:rsidR="00C971D3">
        <w:t>applicants’ claims in thi</w:t>
      </w:r>
      <w:r w:rsidR="00EF1080">
        <w:t xml:space="preserve">s </w:t>
      </w:r>
      <w:r w:rsidR="00C971D3">
        <w:t>proceeding</w:t>
      </w:r>
      <w:r>
        <w:t xml:space="preserve">.  Those attempts included the </w:t>
      </w:r>
      <w:r w:rsidR="00136054">
        <w:t>fo</w:t>
      </w:r>
      <w:r w:rsidR="00C971D3">
        <w:t>ll</w:t>
      </w:r>
      <w:r w:rsidR="00136054">
        <w:t>o</w:t>
      </w:r>
      <w:r w:rsidR="00C971D3">
        <w:t>w</w:t>
      </w:r>
      <w:r w:rsidR="00136054">
        <w:t>ing</w:t>
      </w:r>
      <w:r>
        <w:t xml:space="preserve">.  By email on 28 January 2015, Mr Waterman emailed the originating documents to </w:t>
      </w:r>
      <w:r w:rsidR="008628BD">
        <w:t>Mr and Mrs Cotter</w:t>
      </w:r>
      <w:r>
        <w:t xml:space="preserve"> and notified them that a directions hearing was to occur in the proceeding on 12 February 2015.  In the same email, </w:t>
      </w:r>
      <w:r w:rsidR="008628BD">
        <w:t>Mr Waterman</w:t>
      </w:r>
      <w:r>
        <w:t xml:space="preserve"> put </w:t>
      </w:r>
      <w:r w:rsidR="008628BD">
        <w:t>Mr and Mrs Cotter</w:t>
      </w:r>
      <w:r>
        <w:t xml:space="preserve"> on notice that the applicant</w:t>
      </w:r>
      <w:r w:rsidR="008628BD">
        <w:t>s</w:t>
      </w:r>
      <w:r>
        <w:t xml:space="preserve"> would be seeking to have judgment entered against them at that hearing.</w:t>
      </w:r>
    </w:p>
    <w:p w:rsidR="00B73F89" w:rsidRDefault="00B73F89" w:rsidP="0008616F">
      <w:pPr>
        <w:pStyle w:val="ParaNumbering"/>
      </w:pPr>
      <w:r>
        <w:t xml:space="preserve">On 1 February 2015, Mrs Cotter responded by email to Mr Waterman and stated that she would contact him about the matter shortly.  This </w:t>
      </w:r>
      <w:r w:rsidR="008628BD">
        <w:t xml:space="preserve">further contact </w:t>
      </w:r>
      <w:r>
        <w:t xml:space="preserve">did not eventuate.  </w:t>
      </w:r>
      <w:r w:rsidR="008628BD">
        <w:t>O</w:t>
      </w:r>
      <w:r>
        <w:t xml:space="preserve">n 11 February 2015, Mr Waterman again emailed </w:t>
      </w:r>
      <w:r w:rsidR="008628BD">
        <w:t>Mr and Mrs Cotter</w:t>
      </w:r>
      <w:r w:rsidR="00C971D3">
        <w:t>,</w:t>
      </w:r>
      <w:r w:rsidR="008628BD">
        <w:t xml:space="preserve"> at Mrs Cotter’s email address</w:t>
      </w:r>
      <w:r w:rsidR="00C971D3">
        <w:t>,</w:t>
      </w:r>
      <w:r>
        <w:t xml:space="preserve"> noting that he had made numerous unsuccessful attempts to contact them via telephone.  Mr Waterman reminded </w:t>
      </w:r>
      <w:r w:rsidR="008628BD">
        <w:t>Mr and Mrs Cotter</w:t>
      </w:r>
      <w:r>
        <w:t xml:space="preserve"> that the matter was listed for hearing the next day, 12 February 2015.  </w:t>
      </w:r>
      <w:r w:rsidR="008628BD">
        <w:t xml:space="preserve">Later on 11 February 2015, </w:t>
      </w:r>
      <w:r>
        <w:t>Mrs Cotter sent a reply email</w:t>
      </w:r>
      <w:r w:rsidR="008628BD">
        <w:t xml:space="preserve"> to Mr Waterman</w:t>
      </w:r>
      <w:r>
        <w:t>, stating:</w:t>
      </w:r>
    </w:p>
    <w:p w:rsidR="00B73F89" w:rsidRDefault="00B73F89" w:rsidP="00B73F89">
      <w:pPr>
        <w:pStyle w:val="Quote1"/>
      </w:pPr>
      <w:r>
        <w:t>I have been waiting for the past week for a response from a third party family member to respond on</w:t>
      </w:r>
      <w:r w:rsidR="000F0F5A">
        <w:t xml:space="preserve"> w</w:t>
      </w:r>
      <w:r>
        <w:t>hether they can help…We are not in a position to make a payment arrangement…I wish I had funds to give by tomorrow, but I don</w:t>
      </w:r>
      <w:r w:rsidR="00BB6CD3">
        <w:t>’</w:t>
      </w:r>
      <w:r>
        <w:t>t. I am a where [sic] that court case is tomorrow, so it looks like you will get a judgment against us…</w:t>
      </w:r>
    </w:p>
    <w:p w:rsidR="00B73F89" w:rsidRDefault="008628BD" w:rsidP="0008616F">
      <w:pPr>
        <w:pStyle w:val="ParaNumbering"/>
      </w:pPr>
      <w:r>
        <w:t>Mr and Mrs Cotter</w:t>
      </w:r>
      <w:r w:rsidR="000F0F5A">
        <w:t xml:space="preserve"> did not appear at the first </w:t>
      </w:r>
      <w:r w:rsidR="000F0F5A" w:rsidRPr="009438B8">
        <w:rPr>
          <w:szCs w:val="24"/>
        </w:rPr>
        <w:t>directions</w:t>
      </w:r>
      <w:r w:rsidR="000F0F5A">
        <w:rPr>
          <w:szCs w:val="24"/>
        </w:rPr>
        <w:t xml:space="preserve"> hearing</w:t>
      </w:r>
      <w:r w:rsidR="000F0F5A">
        <w:t xml:space="preserve"> on 12 February 2015.</w:t>
      </w:r>
      <w:r>
        <w:t xml:space="preserve">  At the applicants’ request, the proceeding was adjourned to a further </w:t>
      </w:r>
      <w:r w:rsidRPr="009438B8">
        <w:rPr>
          <w:szCs w:val="24"/>
        </w:rPr>
        <w:t>directions</w:t>
      </w:r>
      <w:r>
        <w:rPr>
          <w:szCs w:val="24"/>
        </w:rPr>
        <w:t xml:space="preserve"> hearing</w:t>
      </w:r>
      <w:r>
        <w:t xml:space="preserve"> to be held on 12 March 2015 so that they could make an application for default judgment at that hearing.</w:t>
      </w:r>
    </w:p>
    <w:p w:rsidR="008628BD" w:rsidRDefault="008628BD" w:rsidP="000F0F5A">
      <w:pPr>
        <w:pStyle w:val="ParaNumbering"/>
      </w:pPr>
      <w:r>
        <w:t>O</w:t>
      </w:r>
      <w:r w:rsidR="000F0F5A">
        <w:t xml:space="preserve">n 25 February 2015, Mr Waterman sent a further email to </w:t>
      </w:r>
      <w:r>
        <w:t>Mr and Mrs Cotter notifying them that</w:t>
      </w:r>
      <w:r w:rsidR="000F0F5A">
        <w:t xml:space="preserve"> the matter </w:t>
      </w:r>
      <w:r>
        <w:t>had been adjourned to</w:t>
      </w:r>
      <w:r w:rsidR="000F0F5A">
        <w:t xml:space="preserve"> 12 March 2015 and that the applicant</w:t>
      </w:r>
      <w:r>
        <w:t>s</w:t>
      </w:r>
      <w:r w:rsidR="000F0F5A">
        <w:t xml:space="preserve"> </w:t>
      </w:r>
      <w:r>
        <w:t>intended to</w:t>
      </w:r>
      <w:r w:rsidR="000F0F5A">
        <w:t xml:space="preserve"> se</w:t>
      </w:r>
      <w:r>
        <w:t>ek judgment against them at that</w:t>
      </w:r>
      <w:r w:rsidR="000F0F5A">
        <w:t xml:space="preserve"> hearing.  </w:t>
      </w:r>
      <w:r>
        <w:t>Mr and Mrs Cotter</w:t>
      </w:r>
      <w:r w:rsidR="000F0F5A">
        <w:t xml:space="preserve"> did not appear </w:t>
      </w:r>
      <w:r>
        <w:t>at th</w:t>
      </w:r>
      <w:r w:rsidR="000F0F5A">
        <w:t xml:space="preserve">at </w:t>
      </w:r>
      <w:r>
        <w:t xml:space="preserve">adjourned </w:t>
      </w:r>
      <w:r w:rsidR="000F0F5A" w:rsidRPr="008628BD">
        <w:rPr>
          <w:szCs w:val="24"/>
        </w:rPr>
        <w:t>directions hearing</w:t>
      </w:r>
      <w:r>
        <w:t xml:space="preserve"> and the applicants then applied for default judgment against both Mr and Mrs Cotter.</w:t>
      </w:r>
    </w:p>
    <w:p w:rsidR="000F0F5A" w:rsidRDefault="000F0F5A" w:rsidP="0008616F">
      <w:pPr>
        <w:pStyle w:val="ParaNumbering"/>
      </w:pPr>
      <w:r>
        <w:lastRenderedPageBreak/>
        <w:t xml:space="preserve">To date, neither </w:t>
      </w:r>
      <w:r w:rsidR="008628BD">
        <w:t>of Mr Cotter</w:t>
      </w:r>
      <w:r w:rsidR="00C971D3">
        <w:t>,</w:t>
      </w:r>
      <w:r w:rsidR="008628BD">
        <w:t xml:space="preserve"> nor Mrs Cotter</w:t>
      </w:r>
      <w:r w:rsidR="00C971D3">
        <w:t>,</w:t>
      </w:r>
      <w:r>
        <w:t xml:space="preserve"> has filed a notice of address for service.</w:t>
      </w:r>
    </w:p>
    <w:p w:rsidR="000F0F5A" w:rsidRDefault="000F0F5A" w:rsidP="000F0F5A">
      <w:pPr>
        <w:pStyle w:val="ParaNumbering"/>
      </w:pPr>
      <w:r>
        <w:t xml:space="preserve">In </w:t>
      </w:r>
      <w:r w:rsidRPr="00BB6CD3">
        <w:rPr>
          <w:i/>
        </w:rPr>
        <w:t xml:space="preserve">Chanel Limited v </w:t>
      </w:r>
      <w:proofErr w:type="spellStart"/>
      <w:r w:rsidRPr="00BB6CD3">
        <w:rPr>
          <w:i/>
        </w:rPr>
        <w:t>Ayad</w:t>
      </w:r>
      <w:proofErr w:type="spellEnd"/>
      <w:r>
        <w:t xml:space="preserve"> [2005] </w:t>
      </w:r>
      <w:proofErr w:type="spellStart"/>
      <w:r>
        <w:t>FCA</w:t>
      </w:r>
      <w:proofErr w:type="spellEnd"/>
      <w:r>
        <w:t xml:space="preserve"> 820, Jacobsen J said</w:t>
      </w:r>
      <w:r w:rsidR="0028132C">
        <w:t xml:space="preserve">, of a similar set of circumstances in an application for default judgment under O </w:t>
      </w:r>
      <w:proofErr w:type="spellStart"/>
      <w:r w:rsidR="0028132C">
        <w:t>35A</w:t>
      </w:r>
      <w:proofErr w:type="spellEnd"/>
      <w:r w:rsidR="0028132C">
        <w:t xml:space="preserve"> of the former </w:t>
      </w:r>
      <w:r w:rsidR="0028132C" w:rsidRPr="0028132C">
        <w:t>Federal Court Rules</w:t>
      </w:r>
      <w:r w:rsidR="0028132C">
        <w:t xml:space="preserve"> that </w:t>
      </w:r>
      <w:r>
        <w:t>(at [25]):</w:t>
      </w:r>
    </w:p>
    <w:p w:rsidR="000F0F5A" w:rsidRDefault="000F0F5A" w:rsidP="00BB6CD3">
      <w:pPr>
        <w:pStyle w:val="Quote1"/>
      </w:pPr>
      <w:r>
        <w:t>It is clear that the respondents have not only been served with the proceedings but have been informed of today</w:t>
      </w:r>
      <w:r w:rsidR="00BB6CD3">
        <w:t>’</w:t>
      </w:r>
      <w:r>
        <w:t xml:space="preserve">s application and a proposal to seek default judgment. However, by their failure to attend they refuse to acknowledge the proceeding. There is no purpose served by delay. The power to enter judgment by default under the various paragraphs of order </w:t>
      </w:r>
      <w:proofErr w:type="spellStart"/>
      <w:r>
        <w:t>35A</w:t>
      </w:r>
      <w:proofErr w:type="spellEnd"/>
      <w:r>
        <w:t xml:space="preserve"> to which I have referred is plainly enlivened… </w:t>
      </w:r>
    </w:p>
    <w:p w:rsidR="000F0F5A" w:rsidRDefault="0028132C" w:rsidP="000F0F5A">
      <w:pPr>
        <w:pStyle w:val="ParaNumbering"/>
      </w:pPr>
      <w:r>
        <w:t xml:space="preserve">In </w:t>
      </w:r>
      <w:r w:rsidR="000F0F5A" w:rsidRPr="00BB6CD3">
        <w:rPr>
          <w:i/>
        </w:rPr>
        <w:t xml:space="preserve">Yeo v </w:t>
      </w:r>
      <w:proofErr w:type="spellStart"/>
      <w:r w:rsidR="000F0F5A" w:rsidRPr="00BB6CD3">
        <w:rPr>
          <w:i/>
        </w:rPr>
        <w:t>Damos</w:t>
      </w:r>
      <w:proofErr w:type="spellEnd"/>
      <w:r w:rsidR="000F0F5A" w:rsidRPr="00BB6CD3">
        <w:rPr>
          <w:i/>
        </w:rPr>
        <w:t xml:space="preserve"> Earthmoving Pty Ltd, Re Beachwood Developments Pty Ltd (in </w:t>
      </w:r>
      <w:proofErr w:type="spellStart"/>
      <w:r w:rsidR="000F0F5A" w:rsidRPr="00BB6CD3">
        <w:rPr>
          <w:i/>
        </w:rPr>
        <w:t>liq</w:t>
      </w:r>
      <w:proofErr w:type="spellEnd"/>
      <w:r w:rsidR="000F0F5A" w:rsidRPr="00BB6CD3">
        <w:rPr>
          <w:i/>
        </w:rPr>
        <w:t>)</w:t>
      </w:r>
      <w:r w:rsidR="000F0F5A">
        <w:t xml:space="preserve"> [2011] </w:t>
      </w:r>
      <w:proofErr w:type="spellStart"/>
      <w:r w:rsidR="000F0F5A">
        <w:t>FCA</w:t>
      </w:r>
      <w:proofErr w:type="spellEnd"/>
      <w:r w:rsidR="000F0F5A">
        <w:t xml:space="preserve"> 1129 </w:t>
      </w:r>
      <w:r>
        <w:t>(</w:t>
      </w:r>
      <w:r w:rsidRPr="0028132C">
        <w:rPr>
          <w:i/>
        </w:rPr>
        <w:t>Yeo</w:t>
      </w:r>
      <w:r>
        <w:t xml:space="preserve">) </w:t>
      </w:r>
      <w:r w:rsidR="000F0F5A">
        <w:t>at [9]</w:t>
      </w:r>
      <w:r>
        <w:t xml:space="preserve">, Gordon J held that </w:t>
      </w:r>
      <w:proofErr w:type="spellStart"/>
      <w:r>
        <w:t>rr</w:t>
      </w:r>
      <w:proofErr w:type="spellEnd"/>
      <w:r>
        <w:t xml:space="preserve"> 5.22 and 5.33 of the Rules are akin to O </w:t>
      </w:r>
      <w:proofErr w:type="spellStart"/>
      <w:r>
        <w:t>35A</w:t>
      </w:r>
      <w:proofErr w:type="spellEnd"/>
      <w:r>
        <w:t xml:space="preserve"> of the former Federal Court Rules.  I respectfully agree.</w:t>
      </w:r>
    </w:p>
    <w:p w:rsidR="000F0F5A" w:rsidRDefault="00D76A83" w:rsidP="000F0F5A">
      <w:pPr>
        <w:pStyle w:val="ParaNumbering"/>
      </w:pPr>
      <w:r>
        <w:t>T</w:t>
      </w:r>
      <w:r w:rsidR="000F0F5A">
        <w:t xml:space="preserve">he facts set out in </w:t>
      </w:r>
      <w:r w:rsidR="00C971D3">
        <w:t>[10</w:t>
      </w:r>
      <w:r w:rsidR="00BB6CD3">
        <w:t>]–</w:t>
      </w:r>
      <w:r w:rsidR="00C971D3">
        <w:t>[15</w:t>
      </w:r>
      <w:r w:rsidR="000F0F5A">
        <w:t xml:space="preserve">] (inclusive) above </w:t>
      </w:r>
      <w:r>
        <w:t xml:space="preserve">clearly show </w:t>
      </w:r>
      <w:r w:rsidR="000F0F5A">
        <w:t xml:space="preserve">that </w:t>
      </w:r>
      <w:r>
        <w:t>Mr and Mrs Cotter were aware of this</w:t>
      </w:r>
      <w:r w:rsidR="000F0F5A">
        <w:t xml:space="preserve"> proceeding, </w:t>
      </w:r>
      <w:r w:rsidR="00C971D3">
        <w:t xml:space="preserve">they </w:t>
      </w:r>
      <w:r>
        <w:t xml:space="preserve">were </w:t>
      </w:r>
      <w:r w:rsidR="000F0F5A">
        <w:t xml:space="preserve">aware of the </w:t>
      </w:r>
      <w:r>
        <w:t>dates fixed for the two directions</w:t>
      </w:r>
      <w:r w:rsidR="000F0F5A">
        <w:t xml:space="preserve"> hearing</w:t>
      </w:r>
      <w:r>
        <w:t>s</w:t>
      </w:r>
      <w:r w:rsidR="00C971D3">
        <w:t xml:space="preserve"> in the proceeding</w:t>
      </w:r>
      <w:r w:rsidR="000F0F5A">
        <w:t xml:space="preserve">, and </w:t>
      </w:r>
      <w:r w:rsidR="00C971D3">
        <w:t xml:space="preserve">they </w:t>
      </w:r>
      <w:r>
        <w:t xml:space="preserve">were </w:t>
      </w:r>
      <w:r w:rsidR="000F0F5A">
        <w:t>aware that the applicant</w:t>
      </w:r>
      <w:r>
        <w:t>s</w:t>
      </w:r>
      <w:r w:rsidR="000F0F5A">
        <w:t xml:space="preserve"> would seek judgment against them if they failed to appear</w:t>
      </w:r>
      <w:r>
        <w:t xml:space="preserve"> at those hearings</w:t>
      </w:r>
      <w:r w:rsidR="000F0F5A">
        <w:t xml:space="preserve">. </w:t>
      </w:r>
      <w:r>
        <w:t xml:space="preserve">Furthermore, </w:t>
      </w:r>
      <w:r w:rsidR="000F0F5A">
        <w:t xml:space="preserve">neither </w:t>
      </w:r>
      <w:r>
        <w:t xml:space="preserve">of them </w:t>
      </w:r>
      <w:r w:rsidR="000F0F5A">
        <w:t>has filed a notice of address for service</w:t>
      </w:r>
      <w:r>
        <w:t xml:space="preserve"> as required by r 5.02</w:t>
      </w:r>
      <w:r w:rsidR="000F0F5A">
        <w:t xml:space="preserve">. </w:t>
      </w:r>
      <w:r w:rsidR="00BB6CD3">
        <w:t xml:space="preserve"> </w:t>
      </w:r>
      <w:r w:rsidR="000F0F5A">
        <w:t xml:space="preserve">In my view, </w:t>
      </w:r>
      <w:r>
        <w:t xml:space="preserve">these facts therefore establish that Mr and Mrs Cotter are both in default of the </w:t>
      </w:r>
      <w:r w:rsidR="00C971D3">
        <w:t>above described</w:t>
      </w:r>
      <w:r>
        <w:t xml:space="preserve"> </w:t>
      </w:r>
      <w:r w:rsidR="009D19C0">
        <w:t>R</w:t>
      </w:r>
      <w:r>
        <w:t xml:space="preserve">ules </w:t>
      </w:r>
      <w:r w:rsidR="00C971D3">
        <w:t xml:space="preserve">(see [8]) </w:t>
      </w:r>
      <w:r>
        <w:t>for the purposes of r 5.22</w:t>
      </w:r>
      <w:r w:rsidR="000F0F5A">
        <w:t>.</w:t>
      </w:r>
    </w:p>
    <w:p w:rsidR="000F0F5A" w:rsidRDefault="0057696A" w:rsidP="000F0F5A">
      <w:pPr>
        <w:pStyle w:val="ParaNumbering"/>
      </w:pPr>
      <w:r>
        <w:t xml:space="preserve">As </w:t>
      </w:r>
      <w:r w:rsidR="009D19C0">
        <w:t>recorded</w:t>
      </w:r>
      <w:r>
        <w:t xml:space="preserve"> above, the applicants have applied for default judgment under r 5.23(2).  That rule relevantly provides:</w:t>
      </w:r>
    </w:p>
    <w:p w:rsidR="000F0F5A" w:rsidRDefault="000F0F5A" w:rsidP="00BB6CD3">
      <w:pPr>
        <w:pStyle w:val="Quote1"/>
      </w:pPr>
      <w:r>
        <w:t>(2)</w:t>
      </w:r>
      <w:r>
        <w:tab/>
        <w:t>If a respondent is in default, an applicant can apply to the Court for:</w:t>
      </w:r>
    </w:p>
    <w:p w:rsidR="000F0F5A" w:rsidRDefault="000F0F5A" w:rsidP="00BB6CD3">
      <w:pPr>
        <w:pStyle w:val="Quote1"/>
      </w:pPr>
    </w:p>
    <w:p w:rsidR="000F0F5A" w:rsidRDefault="0057696A" w:rsidP="0057696A">
      <w:pPr>
        <w:pStyle w:val="Quote1"/>
        <w:ind w:left="2160" w:hanging="720"/>
      </w:pPr>
      <w:r>
        <w:t>(a)</w:t>
      </w:r>
      <w:r>
        <w:tab/>
        <w:t>an order that a step in the proceeding be taken within a specified time; or</w:t>
      </w:r>
    </w:p>
    <w:p w:rsidR="000F0F5A" w:rsidRDefault="000F0F5A" w:rsidP="00BB6CD3">
      <w:pPr>
        <w:pStyle w:val="Quote1"/>
        <w:ind w:left="2160" w:hanging="720"/>
      </w:pPr>
      <w:r>
        <w:t>(b)</w:t>
      </w:r>
      <w:r>
        <w:tab/>
        <w:t xml:space="preserve">if the claim against the respondent is for a debt or liquidated damages </w:t>
      </w:r>
      <w:r w:rsidR="0057696A">
        <w:t>–</w:t>
      </w:r>
      <w:r>
        <w:t xml:space="preserve"> an</w:t>
      </w:r>
      <w:r w:rsidR="0057696A">
        <w:t xml:space="preserve"> </w:t>
      </w:r>
      <w:r>
        <w:t>order giving judgment against the respondent for:</w:t>
      </w:r>
    </w:p>
    <w:p w:rsidR="000F0F5A" w:rsidRDefault="000F0F5A" w:rsidP="00BB6CD3">
      <w:pPr>
        <w:pStyle w:val="Quote1"/>
        <w:ind w:left="2880" w:hanging="720"/>
      </w:pPr>
      <w:r>
        <w:t>(</w:t>
      </w:r>
      <w:proofErr w:type="spellStart"/>
      <w:r>
        <w:t>i</w:t>
      </w:r>
      <w:proofErr w:type="spellEnd"/>
      <w:r>
        <w:t>)</w:t>
      </w:r>
      <w:r>
        <w:tab/>
        <w:t>the debt or liquidated damages; and</w:t>
      </w:r>
    </w:p>
    <w:p w:rsidR="000F0F5A" w:rsidRDefault="000F0F5A" w:rsidP="00BB6CD3">
      <w:pPr>
        <w:pStyle w:val="Quote1"/>
        <w:ind w:left="2880" w:hanging="720"/>
      </w:pPr>
      <w:r>
        <w:t>(ii)</w:t>
      </w:r>
      <w:r>
        <w:tab/>
        <w:t>if appropriate, interests and costs in a sum fixed by the Court or to be taxed</w:t>
      </w:r>
      <w:r w:rsidR="0057696A">
        <w:t>; or</w:t>
      </w:r>
    </w:p>
    <w:p w:rsidR="0057696A" w:rsidRDefault="0057696A" w:rsidP="0057696A">
      <w:pPr>
        <w:pStyle w:val="Quote1"/>
        <w:ind w:left="2160" w:hanging="720"/>
      </w:pPr>
      <w:r>
        <w:t>(c)</w:t>
      </w:r>
      <w:r>
        <w:tab/>
        <w:t>if</w:t>
      </w:r>
      <w:r w:rsidRPr="0057696A">
        <w:t xml:space="preserve"> </w:t>
      </w:r>
      <w:r>
        <w:t>the proceeding was started by an originating application supported by a statement of claim, or if the Court has ordered that the proceeding continue on pleadings—an order giving judgment against the respondent for the relief claimed in the statement of claim to which the Court is satisfied that the applicant is entitled; or</w:t>
      </w:r>
    </w:p>
    <w:p w:rsidR="0057696A" w:rsidRDefault="0057696A" w:rsidP="0057696A">
      <w:pPr>
        <w:pStyle w:val="Quote1"/>
        <w:ind w:left="2160" w:hanging="720"/>
      </w:pPr>
      <w:r>
        <w:t>(d)</w:t>
      </w:r>
      <w:r>
        <w:tab/>
        <w:t>an order giving judgment against the respondent for damages to be assessed, or any other order; or</w:t>
      </w:r>
    </w:p>
    <w:p w:rsidR="0057696A" w:rsidRDefault="0057696A" w:rsidP="0057696A">
      <w:pPr>
        <w:pStyle w:val="Quote1"/>
        <w:ind w:left="2160" w:hanging="720"/>
      </w:pPr>
      <w:r>
        <w:t>(e)</w:t>
      </w:r>
      <w:r>
        <w:tab/>
        <w:t>an order mentioned in paragraph (b), (c) or (d) to take effect if the respondent does not take a step ordered by the Court in the proceeding in the time specified in the order.</w:t>
      </w:r>
    </w:p>
    <w:p w:rsidR="00E46064" w:rsidRDefault="00E46064" w:rsidP="000F0F5A">
      <w:pPr>
        <w:pStyle w:val="ParaNumbering"/>
      </w:pPr>
      <w:r>
        <w:lastRenderedPageBreak/>
        <w:t xml:space="preserve">The discretion conferred by r 5.23 is broad and unconfined:  </w:t>
      </w:r>
      <w:proofErr w:type="spellStart"/>
      <w:r w:rsidRPr="00E46064">
        <w:rPr>
          <w:i/>
        </w:rPr>
        <w:t>Lenijamar</w:t>
      </w:r>
      <w:proofErr w:type="spellEnd"/>
      <w:r w:rsidRPr="00E46064">
        <w:rPr>
          <w:i/>
        </w:rPr>
        <w:t xml:space="preserve"> Pty Ltd v </w:t>
      </w:r>
      <w:proofErr w:type="spellStart"/>
      <w:r w:rsidRPr="00E46064">
        <w:rPr>
          <w:i/>
        </w:rPr>
        <w:t>AGC</w:t>
      </w:r>
      <w:proofErr w:type="spellEnd"/>
      <w:r w:rsidRPr="00E46064">
        <w:rPr>
          <w:i/>
        </w:rPr>
        <w:t xml:space="preserve"> (Advances) Ltd</w:t>
      </w:r>
      <w:r>
        <w:t xml:space="preserve"> (1990) 27 </w:t>
      </w:r>
      <w:proofErr w:type="spellStart"/>
      <w:r>
        <w:t>FCR</w:t>
      </w:r>
      <w:proofErr w:type="spellEnd"/>
      <w:r>
        <w:t xml:space="preserve"> 388 at 396 per Wilcox and </w:t>
      </w:r>
      <w:proofErr w:type="spellStart"/>
      <w:r>
        <w:t>Gummow</w:t>
      </w:r>
      <w:proofErr w:type="spellEnd"/>
      <w:r>
        <w:t xml:space="preserve"> </w:t>
      </w:r>
      <w:proofErr w:type="spellStart"/>
      <w:r>
        <w:t>JJ</w:t>
      </w:r>
      <w:proofErr w:type="spellEnd"/>
      <w:r>
        <w:t xml:space="preserve"> (in relation to</w:t>
      </w:r>
      <w:r w:rsidR="00C971D3">
        <w:t xml:space="preserve"> an earlier equivalent R</w:t>
      </w:r>
      <w:r>
        <w:t xml:space="preserve">ule) and </w:t>
      </w:r>
      <w:r w:rsidR="00D8673F">
        <w:rPr>
          <w:i/>
        </w:rPr>
        <w:t xml:space="preserve">Welsh v </w:t>
      </w:r>
      <w:proofErr w:type="spellStart"/>
      <w:r w:rsidR="00D8673F">
        <w:rPr>
          <w:i/>
        </w:rPr>
        <w:t>D</w:t>
      </w:r>
      <w:r>
        <w:rPr>
          <w:i/>
        </w:rPr>
        <w:t>igilin</w:t>
      </w:r>
      <w:proofErr w:type="spellEnd"/>
      <w:r>
        <w:rPr>
          <w:i/>
        </w:rPr>
        <w:t xml:space="preserve"> Pty Ltd</w:t>
      </w:r>
      <w:r>
        <w:t xml:space="preserve"> [2008] </w:t>
      </w:r>
      <w:proofErr w:type="spellStart"/>
      <w:r>
        <w:t>FCAFC</w:t>
      </w:r>
      <w:proofErr w:type="spellEnd"/>
      <w:r>
        <w:t xml:space="preserve"> 149 at [14] per </w:t>
      </w:r>
      <w:proofErr w:type="spellStart"/>
      <w:r>
        <w:t>Tamberlin</w:t>
      </w:r>
      <w:proofErr w:type="spellEnd"/>
      <w:r>
        <w:t xml:space="preserve">, Greenwood and Collier </w:t>
      </w:r>
      <w:proofErr w:type="spellStart"/>
      <w:r>
        <w:t>JJ</w:t>
      </w:r>
      <w:proofErr w:type="spellEnd"/>
      <w:r>
        <w:t xml:space="preserve"> (in relation to O </w:t>
      </w:r>
      <w:proofErr w:type="spellStart"/>
      <w:r>
        <w:t>35A</w:t>
      </w:r>
      <w:proofErr w:type="spellEnd"/>
      <w:r>
        <w:t xml:space="preserve"> of the former </w:t>
      </w:r>
      <w:r w:rsidR="00E84FC5">
        <w:t xml:space="preserve">Federal Court </w:t>
      </w:r>
      <w:r>
        <w:t>Rule</w:t>
      </w:r>
      <w:r w:rsidR="00E84FC5">
        <w:t xml:space="preserve">s).  </w:t>
      </w:r>
      <w:r w:rsidR="00BE68A3">
        <w:t xml:space="preserve">I consider these observations apply equally to </w:t>
      </w:r>
      <w:proofErr w:type="spellStart"/>
      <w:r w:rsidR="00BE68A3">
        <w:t>rr</w:t>
      </w:r>
      <w:proofErr w:type="spellEnd"/>
      <w:r w:rsidR="00BE68A3">
        <w:t xml:space="preserve"> 5.22 and 5.23 of the Rules:  see [</w:t>
      </w:r>
      <w:r w:rsidR="00D8673F">
        <w:t>1</w:t>
      </w:r>
      <w:r w:rsidR="00BE68A3">
        <w:t xml:space="preserve">7] above.  </w:t>
      </w:r>
      <w:r w:rsidR="00E84FC5">
        <w:t>Furthermore, note 1 to r 5.23 of the Rules draws attention to the fact that under r 1.32 “the Court may make any order that the Court considers appropriate in the interests of justice”.</w:t>
      </w:r>
    </w:p>
    <w:p w:rsidR="00BE68A3" w:rsidRDefault="00BE68A3" w:rsidP="00BE68A3">
      <w:pPr>
        <w:pStyle w:val="ParaNumbering"/>
      </w:pPr>
      <w:r>
        <w:t>In their originating application, the applicants sought the following declaratory relief:</w:t>
      </w:r>
    </w:p>
    <w:p w:rsidR="00BE68A3" w:rsidRDefault="00BE68A3" w:rsidP="00BE68A3">
      <w:pPr>
        <w:pStyle w:val="Quote1"/>
        <w:numPr>
          <w:ilvl w:val="0"/>
          <w:numId w:val="26"/>
        </w:numPr>
        <w:ind w:left="1440" w:hanging="703"/>
      </w:pPr>
      <w:r>
        <w:t xml:space="preserve">A declaration that the money in the sum of $89,406.73 received from Scott Pols Pty Ltd </w:t>
      </w:r>
      <w:proofErr w:type="spellStart"/>
      <w:r>
        <w:t>ACN</w:t>
      </w:r>
      <w:proofErr w:type="spellEnd"/>
      <w:r>
        <w:t xml:space="preserve"> 139 762 011 in respect to debts validly assigned at law pursuant to the Full Service Factoring Agreement entered into between </w:t>
      </w:r>
      <w:proofErr w:type="spellStart"/>
      <w:r>
        <w:t>Bibby</w:t>
      </w:r>
      <w:proofErr w:type="spellEnd"/>
      <w:r>
        <w:t xml:space="preserve"> Financial Services Australia Pty Limited </w:t>
      </w:r>
      <w:proofErr w:type="spellStart"/>
      <w:r>
        <w:t>ACN</w:t>
      </w:r>
      <w:proofErr w:type="spellEnd"/>
      <w:r>
        <w:t xml:space="preserve"> 101 657 041 and ANC Transport Pty Ltd (Receivers Appointed) </w:t>
      </w:r>
      <w:proofErr w:type="spellStart"/>
      <w:r>
        <w:t>ACN</w:t>
      </w:r>
      <w:proofErr w:type="spellEnd"/>
      <w:r>
        <w:t xml:space="preserve"> 137 400 081 on 25 July 2013, as currently held on trust by the Defendants (sic) for </w:t>
      </w:r>
      <w:proofErr w:type="spellStart"/>
      <w:r>
        <w:t>Bibby</w:t>
      </w:r>
      <w:proofErr w:type="spellEnd"/>
      <w:r>
        <w:t xml:space="preserve"> Financial Services Australia Pty Limited </w:t>
      </w:r>
      <w:proofErr w:type="spellStart"/>
      <w:r>
        <w:t>ACN</w:t>
      </w:r>
      <w:proofErr w:type="spellEnd"/>
      <w:r>
        <w:t xml:space="preserve"> 101 657 041.</w:t>
      </w:r>
    </w:p>
    <w:p w:rsidR="00BE68A3" w:rsidRDefault="00BE68A3" w:rsidP="00BE68A3">
      <w:pPr>
        <w:pStyle w:val="Quote1"/>
        <w:ind w:left="1440"/>
      </w:pPr>
    </w:p>
    <w:p w:rsidR="00BE68A3" w:rsidRDefault="00BE68A3" w:rsidP="00BE68A3">
      <w:pPr>
        <w:pStyle w:val="Quote1"/>
        <w:numPr>
          <w:ilvl w:val="0"/>
          <w:numId w:val="26"/>
        </w:numPr>
        <w:ind w:left="1440" w:hanging="703"/>
      </w:pPr>
      <w:r>
        <w:t xml:space="preserve">A declaration that the money in the sum of $89,406.73 received from Scott Pols Pty Ltd </w:t>
      </w:r>
      <w:proofErr w:type="spellStart"/>
      <w:r>
        <w:t>ACN</w:t>
      </w:r>
      <w:proofErr w:type="spellEnd"/>
      <w:r>
        <w:t xml:space="preserve"> 139 762 011 in respect to debts validly assigned at law pursuant to the Full Service Factoring Agreement entered into between </w:t>
      </w:r>
      <w:proofErr w:type="spellStart"/>
      <w:r>
        <w:t>Bibby</w:t>
      </w:r>
      <w:proofErr w:type="spellEnd"/>
      <w:r>
        <w:t xml:space="preserve"> Financial Services Australia Pty Limited </w:t>
      </w:r>
      <w:proofErr w:type="spellStart"/>
      <w:r>
        <w:t>ACN</w:t>
      </w:r>
      <w:proofErr w:type="spellEnd"/>
      <w:r>
        <w:t xml:space="preserve"> 101 657 041 and ANC Transport Pty Ltd (Receivers Appointed) </w:t>
      </w:r>
      <w:proofErr w:type="spellStart"/>
      <w:r>
        <w:t>ACN</w:t>
      </w:r>
      <w:proofErr w:type="spellEnd"/>
      <w:r>
        <w:t xml:space="preserve"> 137 400 081 on 25 July 2013, be paid to David Ross, </w:t>
      </w:r>
      <w:proofErr w:type="spellStart"/>
      <w:r>
        <w:t>Shahin</w:t>
      </w:r>
      <w:proofErr w:type="spellEnd"/>
      <w:r>
        <w:t xml:space="preserve"> Hussain and Richard </w:t>
      </w:r>
      <w:proofErr w:type="spellStart"/>
      <w:r>
        <w:t>Albarran</w:t>
      </w:r>
      <w:proofErr w:type="spellEnd"/>
      <w:r>
        <w:t xml:space="preserve"> as joint and several Receivers of ANC Transport Pty Ltd (Receivers Appointed) </w:t>
      </w:r>
      <w:proofErr w:type="spellStart"/>
      <w:r>
        <w:t>ACN</w:t>
      </w:r>
      <w:proofErr w:type="spellEnd"/>
      <w:r>
        <w:t xml:space="preserve"> 137 400 081 by the Defendants (sic).</w:t>
      </w:r>
    </w:p>
    <w:p w:rsidR="00BE68A3" w:rsidRDefault="00BE68A3" w:rsidP="00BE68A3">
      <w:pPr>
        <w:pStyle w:val="ParaNumbering"/>
      </w:pPr>
      <w:r>
        <w:t>In addition, they sought pre-judgment interest on the sum of $89,406.73 mentioned above and costs.</w:t>
      </w:r>
    </w:p>
    <w:p w:rsidR="00E84FC5" w:rsidRDefault="00E84FC5" w:rsidP="000F0F5A">
      <w:pPr>
        <w:pStyle w:val="ParaNumbering"/>
      </w:pPr>
      <w:r>
        <w:t xml:space="preserve">This Court also has a wide discretionary power to make declarations of right under s 21 of the </w:t>
      </w:r>
      <w:r w:rsidRPr="00020F30">
        <w:rPr>
          <w:i/>
        </w:rPr>
        <w:t>Federal Court of Australia Act 1976</w:t>
      </w:r>
      <w:r>
        <w:t xml:space="preserve"> (</w:t>
      </w:r>
      <w:proofErr w:type="spellStart"/>
      <w:r>
        <w:t>Cth</w:t>
      </w:r>
      <w:proofErr w:type="spellEnd"/>
      <w:r>
        <w:t xml:space="preserve">) (the Federal Court Act):  see </w:t>
      </w:r>
      <w:r>
        <w:rPr>
          <w:i/>
        </w:rPr>
        <w:t xml:space="preserve">Forster v </w:t>
      </w:r>
      <w:proofErr w:type="spellStart"/>
      <w:r>
        <w:rPr>
          <w:i/>
        </w:rPr>
        <w:t>Jododex</w:t>
      </w:r>
      <w:proofErr w:type="spellEnd"/>
      <w:r>
        <w:rPr>
          <w:i/>
        </w:rPr>
        <w:t xml:space="preserve"> Australia Pty Limited</w:t>
      </w:r>
      <w:r>
        <w:t xml:space="preserve"> (1972) 127 </w:t>
      </w:r>
      <w:proofErr w:type="spellStart"/>
      <w:r>
        <w:t>CLR</w:t>
      </w:r>
      <w:proofErr w:type="spellEnd"/>
      <w:r>
        <w:t xml:space="preserve"> 421 (</w:t>
      </w:r>
      <w:r w:rsidRPr="00E84FC5">
        <w:rPr>
          <w:i/>
        </w:rPr>
        <w:t>Forster</w:t>
      </w:r>
      <w:r>
        <w:t xml:space="preserve">) at 437–438; </w:t>
      </w:r>
      <w:r>
        <w:rPr>
          <w:i/>
        </w:rPr>
        <w:t xml:space="preserve">Ainsworth v Criminal Justice </w:t>
      </w:r>
      <w:r w:rsidRPr="00E84FC5">
        <w:rPr>
          <w:i/>
        </w:rPr>
        <w:t>Commission</w:t>
      </w:r>
      <w:r>
        <w:t xml:space="preserve"> (1992) 175 </w:t>
      </w:r>
      <w:proofErr w:type="spellStart"/>
      <w:r>
        <w:t>CLR</w:t>
      </w:r>
      <w:proofErr w:type="spellEnd"/>
      <w:r>
        <w:t xml:space="preserve"> 564 (</w:t>
      </w:r>
      <w:r>
        <w:rPr>
          <w:i/>
        </w:rPr>
        <w:t>Ainsworth</w:t>
      </w:r>
      <w:r>
        <w:t xml:space="preserve">) at 581–582; and </w:t>
      </w:r>
      <w:r>
        <w:rPr>
          <w:i/>
        </w:rPr>
        <w:t xml:space="preserve">Tobacco Institute of Australia Ltd v Australian Federation of Consumer Organisations </w:t>
      </w:r>
      <w:proofErr w:type="spellStart"/>
      <w:r>
        <w:rPr>
          <w:i/>
        </w:rPr>
        <w:t>Inc</w:t>
      </w:r>
      <w:proofErr w:type="spellEnd"/>
      <w:r>
        <w:rPr>
          <w:i/>
        </w:rPr>
        <w:t xml:space="preserve"> (No 2)</w:t>
      </w:r>
      <w:r>
        <w:t xml:space="preserve"> (1993) 41 </w:t>
      </w:r>
      <w:proofErr w:type="spellStart"/>
      <w:r>
        <w:t>FCR</w:t>
      </w:r>
      <w:proofErr w:type="spellEnd"/>
      <w:r>
        <w:t xml:space="preserve"> 89 at 99.  In </w:t>
      </w:r>
      <w:r w:rsidRPr="00E84FC5">
        <w:rPr>
          <w:i/>
        </w:rPr>
        <w:t>Australian Competition and Consumer Commission</w:t>
      </w:r>
      <w:r>
        <w:rPr>
          <w:i/>
        </w:rPr>
        <w:t xml:space="preserve"> v Grove &amp; Edgar Pty Ltd</w:t>
      </w:r>
      <w:r>
        <w:t xml:space="preserve"> [2008] </w:t>
      </w:r>
      <w:proofErr w:type="spellStart"/>
      <w:r>
        <w:t>FCA</w:t>
      </w:r>
      <w:proofErr w:type="spellEnd"/>
      <w:r>
        <w:t xml:space="preserve"> 1956 at [19], I identified some of the constraints upon the use of this discretionary power, as follows:</w:t>
      </w:r>
    </w:p>
    <w:p w:rsidR="006A3952" w:rsidRDefault="006A3952" w:rsidP="006A3952">
      <w:pPr>
        <w:pStyle w:val="Quote1"/>
      </w:pPr>
      <w:r>
        <w:t xml:space="preserve">… </w:t>
      </w:r>
      <w:r w:rsidRPr="006A3952">
        <w:t xml:space="preserve">that the Court has to ensure that the declaration sought is directed to determining a legal controversy and not to answering abstract or hypothetical questions: see </w:t>
      </w:r>
      <w:r w:rsidRPr="006A3952">
        <w:rPr>
          <w:i/>
        </w:rPr>
        <w:t>Ainsworth</w:t>
      </w:r>
      <w:r w:rsidRPr="006A3952">
        <w:t xml:space="preserve"> at 582. Further the Court is required to ensure that the party seeking the declaration has a real interest in seeking that relief: see </w:t>
      </w:r>
      <w:r w:rsidRPr="006A3952">
        <w:rPr>
          <w:i/>
        </w:rPr>
        <w:t>Forster</w:t>
      </w:r>
      <w:r w:rsidRPr="006A3952">
        <w:t xml:space="preserve"> at 437 and </w:t>
      </w:r>
      <w:r w:rsidRPr="006A3952">
        <w:rPr>
          <w:i/>
        </w:rPr>
        <w:t>Ainsworth</w:t>
      </w:r>
      <w:r w:rsidRPr="006A3952">
        <w:t xml:space="preserve"> </w:t>
      </w:r>
      <w:r w:rsidRPr="006A3952">
        <w:lastRenderedPageBreak/>
        <w:t>at 582. And, finally, the Court has to ensure that there are sufficient consequences flowing from the making of the declaration that it is appropriate for it to exercise its discretion to do so.</w:t>
      </w:r>
    </w:p>
    <w:p w:rsidR="006A3952" w:rsidRDefault="006A3952" w:rsidP="000F0F5A">
      <w:pPr>
        <w:pStyle w:val="ParaNumbering"/>
      </w:pPr>
      <w:r>
        <w:t>In my view, the discretionary power conferred by the Rules identified above, combined with the discretionary power in s 21 of the Federal Court Act, gives the Court a</w:t>
      </w:r>
      <w:r w:rsidR="00C971D3">
        <w:t>mple</w:t>
      </w:r>
      <w:r>
        <w:t xml:space="preserve"> power to order a default judgment for </w:t>
      </w:r>
      <w:r w:rsidR="00BE68A3">
        <w:t xml:space="preserve">the </w:t>
      </w:r>
      <w:r>
        <w:t xml:space="preserve">declaratory relief </w:t>
      </w:r>
      <w:r w:rsidR="00BE68A3">
        <w:t xml:space="preserve">sought by the applicants </w:t>
      </w:r>
      <w:r>
        <w:t xml:space="preserve">subject, in the case of the latter, to the constraints described above:  see </w:t>
      </w:r>
      <w:r w:rsidRPr="006A3952">
        <w:rPr>
          <w:i/>
        </w:rPr>
        <w:t>Australian Competition and Consumer Commission v Dataline.net.au Pty Ltd</w:t>
      </w:r>
      <w:r>
        <w:t xml:space="preserve"> (2006) 236 </w:t>
      </w:r>
      <w:proofErr w:type="spellStart"/>
      <w:r>
        <w:t>ALR</w:t>
      </w:r>
      <w:proofErr w:type="spellEnd"/>
      <w:r>
        <w:t xml:space="preserve"> 665; [2006] </w:t>
      </w:r>
      <w:proofErr w:type="spellStart"/>
      <w:r>
        <w:t>FCA</w:t>
      </w:r>
      <w:proofErr w:type="spellEnd"/>
      <w:r>
        <w:t xml:space="preserve"> 1427 at [35]–[59] per </w:t>
      </w:r>
      <w:proofErr w:type="spellStart"/>
      <w:r>
        <w:t>Kiefel</w:t>
      </w:r>
      <w:proofErr w:type="spellEnd"/>
      <w:r>
        <w:t xml:space="preserve"> J and the cases cited by myself in </w:t>
      </w:r>
      <w:r w:rsidRPr="006A3952">
        <w:rPr>
          <w:i/>
        </w:rPr>
        <w:t>Australian Competition and Consumer Commission</w:t>
      </w:r>
      <w:r>
        <w:rPr>
          <w:i/>
        </w:rPr>
        <w:t xml:space="preserve"> v </w:t>
      </w:r>
      <w:proofErr w:type="spellStart"/>
      <w:r>
        <w:rPr>
          <w:i/>
        </w:rPr>
        <w:t>EDirect</w:t>
      </w:r>
      <w:proofErr w:type="spellEnd"/>
      <w:r>
        <w:rPr>
          <w:i/>
        </w:rPr>
        <w:t xml:space="preserve"> Pty Ltd</w:t>
      </w:r>
      <w:r w:rsidR="00D8673F">
        <w:rPr>
          <w:i/>
        </w:rPr>
        <w:t xml:space="preserve"> (in </w:t>
      </w:r>
      <w:proofErr w:type="spellStart"/>
      <w:r w:rsidR="00D8673F">
        <w:rPr>
          <w:i/>
        </w:rPr>
        <w:t>liq</w:t>
      </w:r>
      <w:proofErr w:type="spellEnd"/>
      <w:r w:rsidR="00D8673F">
        <w:rPr>
          <w:i/>
        </w:rPr>
        <w:t>)</w:t>
      </w:r>
      <w:r>
        <w:t xml:space="preserve"> (2012) 206 </w:t>
      </w:r>
      <w:proofErr w:type="spellStart"/>
      <w:r>
        <w:t>FCR</w:t>
      </w:r>
      <w:proofErr w:type="spellEnd"/>
      <w:r>
        <w:t xml:space="preserve"> 160; [2012] </w:t>
      </w:r>
      <w:proofErr w:type="spellStart"/>
      <w:r>
        <w:t>FCA</w:t>
      </w:r>
      <w:proofErr w:type="spellEnd"/>
      <w:r>
        <w:t xml:space="preserve"> 976 at [23].</w:t>
      </w:r>
      <w:r w:rsidR="00BE68A3">
        <w:t xml:space="preserve">  Before deciding what effect, if any, those constraints have on the content and form of the relief in this matter, it is appropriate to describe the events that led to that relief being claimed by the applicants.</w:t>
      </w:r>
    </w:p>
    <w:p w:rsidR="00922C0E" w:rsidRDefault="00BE68A3" w:rsidP="000F0F5A">
      <w:pPr>
        <w:pStyle w:val="ParaNumbering"/>
      </w:pPr>
      <w:r>
        <w:t xml:space="preserve">As </w:t>
      </w:r>
      <w:r w:rsidR="00922C0E">
        <w:t>I</w:t>
      </w:r>
      <w:r>
        <w:t xml:space="preserve"> have already me</w:t>
      </w:r>
      <w:r w:rsidR="00922C0E">
        <w:t>n</w:t>
      </w:r>
      <w:r>
        <w:t>tioned above,</w:t>
      </w:r>
      <w:r w:rsidR="00922C0E">
        <w:t xml:space="preserve"> th</w:t>
      </w:r>
      <w:r>
        <w:t xml:space="preserve">e applicants’ </w:t>
      </w:r>
      <w:r w:rsidR="00922C0E">
        <w:t>initiating application is supported by an affidavit of Mr David Anthony Ross, one of the joint and several receivers of ANC Transport Pty Ltd</w:t>
      </w:r>
      <w:r>
        <w:t xml:space="preserve"> (ANC)</w:t>
      </w:r>
      <w:r w:rsidR="00922C0E">
        <w:t>.  That affidavit discloses, among other things, that:</w:t>
      </w:r>
    </w:p>
    <w:p w:rsidR="00922C0E" w:rsidRDefault="00BE68A3" w:rsidP="00136054">
      <w:pPr>
        <w:pStyle w:val="ListNo1"/>
        <w:numPr>
          <w:ilvl w:val="0"/>
          <w:numId w:val="27"/>
        </w:numPr>
      </w:pPr>
      <w:r>
        <w:t xml:space="preserve">in April 2014, </w:t>
      </w:r>
      <w:r w:rsidR="00922C0E">
        <w:t xml:space="preserve">Mr Ross and his fellow receivers were appointed as receivers of </w:t>
      </w:r>
      <w:r>
        <w:t>ANC</w:t>
      </w:r>
      <w:r w:rsidR="00922C0E">
        <w:t>;</w:t>
      </w:r>
    </w:p>
    <w:p w:rsidR="00922C0E" w:rsidRDefault="00922C0E" w:rsidP="00136054">
      <w:pPr>
        <w:pStyle w:val="ListNo1"/>
        <w:numPr>
          <w:ilvl w:val="0"/>
          <w:numId w:val="27"/>
        </w:numPr>
      </w:pPr>
      <w:r>
        <w:t xml:space="preserve">on or about 25 July 2013, ANC entered into a Factoring Agreement with </w:t>
      </w:r>
      <w:r w:rsidR="00433A65">
        <w:t xml:space="preserve">a company called </w:t>
      </w:r>
      <w:proofErr w:type="spellStart"/>
      <w:r w:rsidR="00433A65">
        <w:t>Bibby</w:t>
      </w:r>
      <w:proofErr w:type="spellEnd"/>
      <w:r w:rsidR="00433A65">
        <w:t xml:space="preserve"> Financial Services Australia Pty Ltd </w:t>
      </w:r>
      <w:proofErr w:type="spellStart"/>
      <w:r w:rsidR="00433A65">
        <w:t>ACN</w:t>
      </w:r>
      <w:proofErr w:type="spellEnd"/>
      <w:r w:rsidR="00433A65">
        <w:t xml:space="preserve"> 101 657 041 (</w:t>
      </w:r>
      <w:proofErr w:type="spellStart"/>
      <w:r w:rsidR="00433A65">
        <w:t>Bibby</w:t>
      </w:r>
      <w:proofErr w:type="spellEnd"/>
      <w:r w:rsidR="00433A65">
        <w:t>)</w:t>
      </w:r>
      <w:r>
        <w:t xml:space="preserve"> whereby it assigned certain of its debts to </w:t>
      </w:r>
      <w:proofErr w:type="spellStart"/>
      <w:r>
        <w:t>Bibby</w:t>
      </w:r>
      <w:proofErr w:type="spellEnd"/>
      <w:r>
        <w:t xml:space="preserve"> and received moneys in </w:t>
      </w:r>
      <w:r w:rsidR="00433A65">
        <w:t>return</w:t>
      </w:r>
      <w:r>
        <w:t>;</w:t>
      </w:r>
    </w:p>
    <w:p w:rsidR="00922C0E" w:rsidRDefault="00922C0E" w:rsidP="00136054">
      <w:pPr>
        <w:pStyle w:val="ListNo1"/>
        <w:numPr>
          <w:ilvl w:val="0"/>
          <w:numId w:val="27"/>
        </w:numPr>
      </w:pPr>
      <w:r>
        <w:t xml:space="preserve">clause 3.4 of the Factoring Agreement </w:t>
      </w:r>
      <w:r w:rsidR="00433A65">
        <w:t xml:space="preserve">mentioned above </w:t>
      </w:r>
      <w:r>
        <w:t xml:space="preserve">provided that ANC:  “… must hold all money received in respect of any debt except money paid to it by </w:t>
      </w:r>
      <w:proofErr w:type="spellStart"/>
      <w:r>
        <w:t>Bibby</w:t>
      </w:r>
      <w:proofErr w:type="spellEnd"/>
      <w:r w:rsidR="00D8673F">
        <w:t>,</w:t>
      </w:r>
      <w:r>
        <w:t xml:space="preserve"> as fiduciary for and on trust for </w:t>
      </w:r>
      <w:proofErr w:type="spellStart"/>
      <w:r>
        <w:t>Bibby</w:t>
      </w:r>
      <w:proofErr w:type="spellEnd"/>
      <w:r>
        <w:t xml:space="preserve"> and must account to </w:t>
      </w:r>
      <w:proofErr w:type="spellStart"/>
      <w:r>
        <w:t>Bibby</w:t>
      </w:r>
      <w:proofErr w:type="spellEnd"/>
      <w:r>
        <w:t xml:space="preserve"> for such mon</w:t>
      </w:r>
      <w:r w:rsidR="00D8673F">
        <w:t>ie</w:t>
      </w:r>
      <w:r>
        <w:t>s in its original form on the day of receipt by [ANC]</w:t>
      </w:r>
      <w:r w:rsidR="00D8673F">
        <w:t>”</w:t>
      </w:r>
      <w:r>
        <w:t>;</w:t>
      </w:r>
    </w:p>
    <w:p w:rsidR="00922C0E" w:rsidRDefault="00433A65" w:rsidP="00136054">
      <w:pPr>
        <w:pStyle w:val="ListNo1"/>
        <w:numPr>
          <w:ilvl w:val="0"/>
          <w:numId w:val="27"/>
        </w:numPr>
      </w:pPr>
      <w:r>
        <w:t xml:space="preserve">during the period relevant to this proceeding, </w:t>
      </w:r>
      <w:r w:rsidR="00922C0E">
        <w:t>Mr Douglas Cruickshank was the sole director and secretary of ANC.  However, because he was not in good health, his step-daughter, Mrs Cotter, together with her husband, Mr Cotter, had “the full control of the operations and running of [ANC] …”;</w:t>
      </w:r>
    </w:p>
    <w:p w:rsidR="00BE68A3" w:rsidRDefault="00BE68A3" w:rsidP="00136054">
      <w:pPr>
        <w:pStyle w:val="ListNo1"/>
        <w:numPr>
          <w:ilvl w:val="0"/>
          <w:numId w:val="27"/>
        </w:numPr>
      </w:pPr>
      <w:r>
        <w:t xml:space="preserve">during the course of the receivership of ANC, Mr Ross has been able to peruse the books and records of </w:t>
      </w:r>
      <w:proofErr w:type="spellStart"/>
      <w:r w:rsidR="00433A65">
        <w:t>Bibby</w:t>
      </w:r>
      <w:proofErr w:type="spellEnd"/>
      <w:r>
        <w:t>;</w:t>
      </w:r>
    </w:p>
    <w:p w:rsidR="00433A65" w:rsidRDefault="00922C0E" w:rsidP="00136054">
      <w:pPr>
        <w:pStyle w:val="ListNo1"/>
        <w:numPr>
          <w:ilvl w:val="0"/>
          <w:numId w:val="27"/>
        </w:numPr>
      </w:pPr>
      <w:r>
        <w:t xml:space="preserve">during the period from approximately 18 November 2013 to 11 February 2014, ANC assigned to </w:t>
      </w:r>
      <w:proofErr w:type="spellStart"/>
      <w:r>
        <w:t>Bibby</w:t>
      </w:r>
      <w:proofErr w:type="spellEnd"/>
      <w:r w:rsidR="00433A65">
        <w:t xml:space="preserve"> the debts represented by</w:t>
      </w:r>
      <w:r>
        <w:t xml:space="preserve"> a number of invoices it had issued </w:t>
      </w:r>
      <w:r w:rsidR="00C27A6C">
        <w:t xml:space="preserve">(the assigned debts) </w:t>
      </w:r>
      <w:r>
        <w:t xml:space="preserve">to a company called Scott </w:t>
      </w:r>
      <w:r w:rsidR="00FE639E">
        <w:t>Pols Pty Ltd (Scott Pols)</w:t>
      </w:r>
      <w:r w:rsidR="00433A65">
        <w:t>;</w:t>
      </w:r>
    </w:p>
    <w:p w:rsidR="00433A65" w:rsidRDefault="00433A65" w:rsidP="00136054">
      <w:pPr>
        <w:pStyle w:val="ListNo1"/>
        <w:numPr>
          <w:ilvl w:val="0"/>
          <w:numId w:val="27"/>
        </w:numPr>
      </w:pPr>
      <w:r>
        <w:lastRenderedPageBreak/>
        <w:t>each of tho</w:t>
      </w:r>
      <w:r w:rsidR="00FE639E">
        <w:t>se invoices contained a notification that:  “This invoice has been assigned to [</w:t>
      </w:r>
      <w:proofErr w:type="spellStart"/>
      <w:r w:rsidR="00FE639E">
        <w:t>Bibby</w:t>
      </w:r>
      <w:proofErr w:type="spellEnd"/>
      <w:r w:rsidR="00FE639E">
        <w:t xml:space="preserve">].  All payments must be made payable and </w:t>
      </w:r>
      <w:r>
        <w:t>sent to [</w:t>
      </w:r>
      <w:proofErr w:type="spellStart"/>
      <w:r>
        <w:t>Bibby</w:t>
      </w:r>
      <w:proofErr w:type="spellEnd"/>
      <w:r>
        <w:t xml:space="preserve"> at its address]”;</w:t>
      </w:r>
    </w:p>
    <w:p w:rsidR="00FE639E" w:rsidRDefault="00433A65" w:rsidP="00136054">
      <w:pPr>
        <w:pStyle w:val="ListNo1"/>
        <w:numPr>
          <w:ilvl w:val="0"/>
          <w:numId w:val="27"/>
        </w:numPr>
      </w:pPr>
      <w:r>
        <w:t>t</w:t>
      </w:r>
      <w:r w:rsidR="00FE639E">
        <w:t xml:space="preserve">he </w:t>
      </w:r>
      <w:r>
        <w:t xml:space="preserve">end </w:t>
      </w:r>
      <w:r w:rsidR="00FE639E">
        <w:t>result of these transactions was that</w:t>
      </w:r>
      <w:r w:rsidR="00C27A6C">
        <w:t>,</w:t>
      </w:r>
      <w:r w:rsidR="00FE639E">
        <w:t xml:space="preserve"> </w:t>
      </w:r>
      <w:r>
        <w:t xml:space="preserve">as at the end of the period mentioned above, </w:t>
      </w:r>
      <w:r w:rsidR="00FE639E">
        <w:t xml:space="preserve">Scott Pols owed a total balance of $89,406.73 to </w:t>
      </w:r>
      <w:proofErr w:type="spellStart"/>
      <w:r w:rsidR="00FE639E">
        <w:t>Bibby</w:t>
      </w:r>
      <w:proofErr w:type="spellEnd"/>
      <w:r w:rsidR="00FE639E">
        <w:t xml:space="preserve"> </w:t>
      </w:r>
      <w:r>
        <w:t>in respect of</w:t>
      </w:r>
      <w:r w:rsidR="00FE639E">
        <w:t xml:space="preserve"> the assigned debts;</w:t>
      </w:r>
    </w:p>
    <w:p w:rsidR="00433A65" w:rsidRDefault="00FE639E" w:rsidP="00136054">
      <w:pPr>
        <w:pStyle w:val="ListNo1"/>
        <w:numPr>
          <w:ilvl w:val="0"/>
          <w:numId w:val="27"/>
        </w:numPr>
      </w:pPr>
      <w:r>
        <w:t xml:space="preserve">however, </w:t>
      </w:r>
      <w:r w:rsidR="00433A65">
        <w:t xml:space="preserve">contrary to the terms of the notification described above, </w:t>
      </w:r>
      <w:r>
        <w:t>between 25 October 2013 and 17 April 2014, Scott Pols paid the total s</w:t>
      </w:r>
      <w:r w:rsidR="00433A65">
        <w:t>um of $185,790.37 direct to ANC.</w:t>
      </w:r>
      <w:r>
        <w:t xml:space="preserve"> </w:t>
      </w:r>
      <w:r w:rsidR="00433A65">
        <w:t xml:space="preserve"> This sum</w:t>
      </w:r>
      <w:r>
        <w:t xml:space="preserve"> included the </w:t>
      </w:r>
      <w:r w:rsidR="00433A65">
        <w:t>balance</w:t>
      </w:r>
      <w:r>
        <w:t xml:space="preserve"> of the </w:t>
      </w:r>
      <w:r w:rsidR="00433A65">
        <w:t>assigned debts described above;</w:t>
      </w:r>
    </w:p>
    <w:p w:rsidR="00FE639E" w:rsidRDefault="00433A65" w:rsidP="00136054">
      <w:pPr>
        <w:pStyle w:val="ListNo1"/>
        <w:numPr>
          <w:ilvl w:val="0"/>
          <w:numId w:val="27"/>
        </w:numPr>
      </w:pPr>
      <w:r>
        <w:t xml:space="preserve">upon </w:t>
      </w:r>
      <w:r w:rsidR="00C27A6C">
        <w:t>their receipt, the</w:t>
      </w:r>
      <w:r w:rsidR="00FE639E">
        <w:t xml:space="preserve">se moneys were </w:t>
      </w:r>
      <w:r>
        <w:t xml:space="preserve">all </w:t>
      </w:r>
      <w:r w:rsidR="00FE639E">
        <w:t xml:space="preserve">deposited into Mr Cotter’s personal bank account.  Mrs Cotter was a </w:t>
      </w:r>
      <w:r>
        <w:t xml:space="preserve">joint </w:t>
      </w:r>
      <w:r w:rsidR="00C27A6C">
        <w:t xml:space="preserve">signatory </w:t>
      </w:r>
      <w:r w:rsidR="00FE639E">
        <w:t>o</w:t>
      </w:r>
      <w:r w:rsidR="00C27A6C">
        <w:t>f</w:t>
      </w:r>
      <w:r w:rsidR="00FE639E">
        <w:t xml:space="preserve"> that bank account;</w:t>
      </w:r>
    </w:p>
    <w:p w:rsidR="00FE639E" w:rsidRDefault="00FE639E" w:rsidP="00136054">
      <w:pPr>
        <w:pStyle w:val="ListNo1"/>
        <w:numPr>
          <w:ilvl w:val="0"/>
          <w:numId w:val="27"/>
        </w:numPr>
      </w:pPr>
      <w:r>
        <w:t xml:space="preserve">on 30 April 2014 and 21 May 2014, the applicants’ solicitors sent letters to Mr and Mrs Cotter demanding </w:t>
      </w:r>
      <w:r w:rsidR="00433A65">
        <w:t xml:space="preserve">payment of </w:t>
      </w:r>
      <w:r>
        <w:t>the amount of $89,406.73</w:t>
      </w:r>
      <w:r w:rsidR="00433A65">
        <w:t xml:space="preserve">, </w:t>
      </w:r>
      <w:r w:rsidR="00C27A6C">
        <w:t>it being</w:t>
      </w:r>
      <w:r w:rsidR="00433A65">
        <w:t xml:space="preserve"> the balance of the assigned debts described above</w:t>
      </w:r>
      <w:r>
        <w:t>;</w:t>
      </w:r>
      <w:r w:rsidR="00C27A6C">
        <w:t xml:space="preserve"> and</w:t>
      </w:r>
    </w:p>
    <w:p w:rsidR="00FE639E" w:rsidRDefault="00FE639E" w:rsidP="00136054">
      <w:pPr>
        <w:pStyle w:val="ListNo1"/>
        <w:numPr>
          <w:ilvl w:val="0"/>
          <w:numId w:val="27"/>
        </w:numPr>
      </w:pPr>
      <w:r>
        <w:t>Mr and Mrs Cotter did not subsequently pay the said amount to either the applicants</w:t>
      </w:r>
      <w:r w:rsidR="00C27A6C">
        <w:t>,</w:t>
      </w:r>
      <w:r>
        <w:t xml:space="preserve"> or to </w:t>
      </w:r>
      <w:proofErr w:type="spellStart"/>
      <w:r>
        <w:t>Bibby</w:t>
      </w:r>
      <w:proofErr w:type="spellEnd"/>
      <w:r>
        <w:t>.</w:t>
      </w:r>
    </w:p>
    <w:p w:rsidR="00C27A6C" w:rsidRDefault="00433A65" w:rsidP="000F0F5A">
      <w:pPr>
        <w:pStyle w:val="ParaNumbering"/>
      </w:pPr>
      <w:r>
        <w:t>Based on this</w:t>
      </w:r>
      <w:r w:rsidR="00FE639E">
        <w:t xml:space="preserve"> evidence </w:t>
      </w:r>
      <w:r w:rsidR="00C27A6C">
        <w:t>from</w:t>
      </w:r>
      <w:r w:rsidR="00FE639E">
        <w:t xml:space="preserve"> Mr Ross, I consider the applicants have established their claim against Mr and Mrs Cotter for the </w:t>
      </w:r>
      <w:r>
        <w:t xml:space="preserve">payment of the </w:t>
      </w:r>
      <w:r w:rsidR="00FE639E">
        <w:t xml:space="preserve">sum of $89,406.73.  </w:t>
      </w:r>
      <w:r w:rsidR="00C27A6C">
        <w:t xml:space="preserve">Accordingly, while </w:t>
      </w:r>
      <w:r>
        <w:t xml:space="preserve">it is expressed as declaratory relief, I consider paragraph 2 of the relief sought by the applicants </w:t>
      </w:r>
      <w:r w:rsidR="00C27A6C">
        <w:t xml:space="preserve">(see [21] above) </w:t>
      </w:r>
      <w:r>
        <w:t xml:space="preserve">essentially constitutes a claim for “a debt or liquidated damages” within the terms of r 5.23(2)(b).  Even if I am incorrect in this conclusion, I consider that the words “or any other order” in r 5.23(2)(d) are broad enough to cover all of the relief sought by the applicants, including </w:t>
      </w:r>
      <w:r w:rsidR="00C27A6C">
        <w:t xml:space="preserve">the declaratory relief sought in their originating application and </w:t>
      </w:r>
      <w:r>
        <w:t>an order for payment of the sum of $89,406.73</w:t>
      </w:r>
      <w:r w:rsidR="00C27A6C">
        <w:t>.</w:t>
      </w:r>
    </w:p>
    <w:p w:rsidR="00FE639E" w:rsidRDefault="00433A65" w:rsidP="000F0F5A">
      <w:pPr>
        <w:pStyle w:val="ParaNumbering"/>
      </w:pPr>
      <w:r>
        <w:t xml:space="preserve">The only question which then remains is whether I should make an order for the declaratory relief sought in paragraphs 1 and 2.  In that respect, if I proceed to make an order that the </w:t>
      </w:r>
      <w:r w:rsidRPr="000F36E9">
        <w:t>respondents</w:t>
      </w:r>
      <w:r>
        <w:t xml:space="preserve"> pay the applicants the sum of $89,406.73</w:t>
      </w:r>
      <w:r w:rsidR="00C27A6C">
        <w:t>,</w:t>
      </w:r>
      <w:r>
        <w:t xml:space="preserve"> which is the </w:t>
      </w:r>
      <w:r w:rsidR="00C27A6C">
        <w:t xml:space="preserve">primary object </w:t>
      </w:r>
      <w:r>
        <w:t>of the relief claimed by the</w:t>
      </w:r>
      <w:r w:rsidR="0044635B">
        <w:t>m</w:t>
      </w:r>
      <w:r>
        <w:t xml:space="preserve">, I do not consider there is any utility in making the declaratory orders they have sought.  </w:t>
      </w:r>
      <w:r w:rsidR="0044635B">
        <w:t xml:space="preserve">Put </w:t>
      </w:r>
      <w:r w:rsidR="00C27A6C">
        <w:t>differently,</w:t>
      </w:r>
      <w:r w:rsidR="0044635B" w:rsidRPr="0044635B">
        <w:t xml:space="preserve"> </w:t>
      </w:r>
      <w:r w:rsidR="0044635B">
        <w:t>in those circumstances,</w:t>
      </w:r>
      <w:r w:rsidR="00C27A6C">
        <w:t xml:space="preserve"> </w:t>
      </w:r>
      <w:r>
        <w:t>I do not consider “there are sufficient consequences flowing from the making of [those] declaration[s] that</w:t>
      </w:r>
      <w:r w:rsidR="00C27A6C">
        <w:t xml:space="preserve"> it</w:t>
      </w:r>
      <w:r>
        <w:t xml:space="preserve"> is appropriate … to exercise [my] … discretion to do so”</w:t>
      </w:r>
      <w:r w:rsidR="006B3E7C">
        <w:t xml:space="preserve"> (see the concluding words of the quote at [23] above).</w:t>
      </w:r>
      <w:r>
        <w:t xml:space="preserve">  </w:t>
      </w:r>
      <w:r w:rsidR="006B3E7C">
        <w:t xml:space="preserve">For these reasons, </w:t>
      </w:r>
      <w:r w:rsidR="00FE639E">
        <w:t xml:space="preserve">I consider an order should be simply made </w:t>
      </w:r>
      <w:r w:rsidR="006B3E7C">
        <w:t xml:space="preserve">that </w:t>
      </w:r>
      <w:r w:rsidR="00FE639E">
        <w:t xml:space="preserve">the </w:t>
      </w:r>
      <w:r w:rsidR="006B3E7C" w:rsidRPr="000F36E9">
        <w:t>respondents</w:t>
      </w:r>
      <w:r w:rsidR="006B3E7C">
        <w:t xml:space="preserve"> </w:t>
      </w:r>
      <w:r w:rsidR="00FE639E">
        <w:t xml:space="preserve">pay the </w:t>
      </w:r>
      <w:r w:rsidR="00C27A6C">
        <w:t xml:space="preserve">applicants the </w:t>
      </w:r>
      <w:r w:rsidR="00FE639E">
        <w:t>sum</w:t>
      </w:r>
      <w:r w:rsidR="006B3E7C">
        <w:t xml:space="preserve"> of $89,406.73</w:t>
      </w:r>
      <w:r w:rsidR="00FE639E">
        <w:t>.</w:t>
      </w:r>
    </w:p>
    <w:p w:rsidR="00C27A6C" w:rsidRDefault="00C27A6C" w:rsidP="00C27A6C">
      <w:pPr>
        <w:pStyle w:val="ParaNumbering"/>
      </w:pPr>
      <w:r>
        <w:lastRenderedPageBreak/>
        <w:t xml:space="preserve">It is worth adding that Gordon J adopted a similar approach when her Honour encountered a not dissimilar situation in </w:t>
      </w:r>
      <w:r>
        <w:rPr>
          <w:i/>
        </w:rPr>
        <w:t>Yeo</w:t>
      </w:r>
      <w:r>
        <w:t xml:space="preserve">.  In </w:t>
      </w:r>
      <w:r>
        <w:rPr>
          <w:i/>
        </w:rPr>
        <w:t>Yeo</w:t>
      </w:r>
      <w:r>
        <w:t xml:space="preserve">, the plaintiff, who was the liquidator of a company, commenced proceedings to recover 11 payments made by the company to an unsecured creditor on the grounds they were unfair preferences and insolvent transactions, such that they were voidable pursuant to the </w:t>
      </w:r>
      <w:proofErr w:type="spellStart"/>
      <w:r>
        <w:t>apposite</w:t>
      </w:r>
      <w:proofErr w:type="spellEnd"/>
      <w:r>
        <w:t xml:space="preserve"> provisions of the </w:t>
      </w:r>
      <w:r w:rsidRPr="001D0DA9">
        <w:rPr>
          <w:i/>
        </w:rPr>
        <w:t>Corporations Act 2001</w:t>
      </w:r>
      <w:r w:rsidRPr="00AD6EE2">
        <w:t xml:space="preserve"> (</w:t>
      </w:r>
      <w:proofErr w:type="spellStart"/>
      <w:r w:rsidRPr="00AD6EE2">
        <w:t>Cth</w:t>
      </w:r>
      <w:proofErr w:type="spellEnd"/>
      <w:r w:rsidRPr="00AD6EE2">
        <w:t>)</w:t>
      </w:r>
      <w:r>
        <w:t>.  The plaintiff sought declarations that the payments were of the kinds variously described immediately above, and sought an order that the total amount of the 11 payments be paid to him.  Gordon J decided that she should make an order for the payment of that total amount to the plaintiff, but her Honour declined to make the declarations sought by the plaintiff because</w:t>
      </w:r>
      <w:r w:rsidRPr="00C971D3">
        <w:t xml:space="preserve"> </w:t>
      </w:r>
      <w:r>
        <w:t xml:space="preserve">she considered there was no utility in making those orders in the circumstances:  see </w:t>
      </w:r>
      <w:r w:rsidRPr="00C27A6C">
        <w:rPr>
          <w:i/>
        </w:rPr>
        <w:t>Yeo</w:t>
      </w:r>
      <w:r>
        <w:t xml:space="preserve"> at [15]–[18].</w:t>
      </w:r>
    </w:p>
    <w:p w:rsidR="000F0F5A" w:rsidRDefault="00FE639E" w:rsidP="000F0F5A">
      <w:pPr>
        <w:pStyle w:val="ParaNumbering"/>
      </w:pPr>
      <w:r>
        <w:t>In addition to an order for the payment of the above sum, the applicants sought orders for interest and cost</w:t>
      </w:r>
      <w:r w:rsidR="00D8673F">
        <w:t>s</w:t>
      </w:r>
      <w:r>
        <w:t xml:space="preserve">.  The broad discretionary power under r 5.23 </w:t>
      </w:r>
      <w:r w:rsidR="006B3E7C">
        <w:t xml:space="preserve">I have identified above </w:t>
      </w:r>
      <w:r>
        <w:t>obviously extends to the making of these orders.</w:t>
      </w:r>
    </w:p>
    <w:p w:rsidR="00FE639E" w:rsidRDefault="00FE639E" w:rsidP="000F0F5A">
      <w:pPr>
        <w:pStyle w:val="ParaNumbering"/>
      </w:pPr>
      <w:r>
        <w:t xml:space="preserve">As to interest, s </w:t>
      </w:r>
      <w:proofErr w:type="spellStart"/>
      <w:r>
        <w:t>51A</w:t>
      </w:r>
      <w:proofErr w:type="spellEnd"/>
      <w:r>
        <w:t>(1) of the Federal Court Act provides that in any proceedings for the recovery of money, the Court “shall, upon application, unless good cause is shown to the contrary”</w:t>
      </w:r>
      <w:r w:rsidR="006B3E7C">
        <w:t>,</w:t>
      </w:r>
      <w:r>
        <w:t xml:space="preserve"> order that interest be included in the sum for which judgment is given at such rate as the Court thinks fit.  </w:t>
      </w:r>
      <w:r w:rsidR="006B3E7C">
        <w:t xml:space="preserve">Federal Court </w:t>
      </w:r>
      <w:r>
        <w:t xml:space="preserve">Practice Note CM-16 specifies that the Court should apply an interest rate that is 4% above the cash rate last published by the Reserve Bank of Australia.  In their written submissions, the applicants provided the details of the prevailing cash rate during the period from 17 April 2014 to 12 March 2015, together with a calculation </w:t>
      </w:r>
      <w:r w:rsidR="006B3E7C">
        <w:t>that showed</w:t>
      </w:r>
      <w:r>
        <w:t xml:space="preserve"> the total amount of interest due </w:t>
      </w:r>
      <w:r w:rsidR="006B3E7C">
        <w:t>as</w:t>
      </w:r>
      <w:r>
        <w:t xml:space="preserve"> </w:t>
      </w:r>
      <w:r w:rsidR="003B78AE">
        <w:t>$5,254.17</w:t>
      </w:r>
      <w:r>
        <w:t xml:space="preserve">. </w:t>
      </w:r>
      <w:r w:rsidR="003B78AE">
        <w:t xml:space="preserve"> To this I have a</w:t>
      </w:r>
      <w:r w:rsidR="006B3E7C">
        <w:t>dded a further amount of $334.36</w:t>
      </w:r>
      <w:r w:rsidR="003B78AE">
        <w:t xml:space="preserve"> for the further period of 21 days that has elapsed since 12 March 2015.  The total amoun</w:t>
      </w:r>
      <w:r w:rsidR="009E4B2C">
        <w:t>t of interest calculated at the applicable</w:t>
      </w:r>
      <w:r w:rsidR="003B78AE">
        <w:t xml:space="preserve"> rate is therefore $5,588.53</w:t>
      </w:r>
      <w:r>
        <w:t>.</w:t>
      </w:r>
    </w:p>
    <w:p w:rsidR="00F92A1C" w:rsidRDefault="00F92A1C" w:rsidP="003B78AE">
      <w:pPr>
        <w:pStyle w:val="ParaNumbering"/>
      </w:pPr>
      <w:r>
        <w:t>As to costs, s 43 of the Federal Court Act confers upon the Court a wide discretion in relation to costs.  This discretion must</w:t>
      </w:r>
      <w:r w:rsidR="006B3E7C">
        <w:t>, of course,</w:t>
      </w:r>
      <w:r>
        <w:t xml:space="preserve"> be exercised judicially.  </w:t>
      </w:r>
      <w:r w:rsidR="003B78AE">
        <w:t xml:space="preserve">The Court </w:t>
      </w:r>
      <w:r w:rsidR="009E4B2C">
        <w:t xml:space="preserve">also </w:t>
      </w:r>
      <w:r w:rsidR="003B78AE">
        <w:t xml:space="preserve">has power under r 40.02(b) </w:t>
      </w:r>
      <w:r w:rsidR="00D8673F">
        <w:t xml:space="preserve">of the Rules </w:t>
      </w:r>
      <w:r w:rsidR="003B78AE">
        <w:t xml:space="preserve">to fix costs in a lump sum.  </w:t>
      </w:r>
      <w:r w:rsidR="006B3E7C">
        <w:t xml:space="preserve">The applicants have sought such an order.  To support this application, </w:t>
      </w:r>
      <w:r w:rsidR="003B78AE">
        <w:t>Mr Waterman</w:t>
      </w:r>
      <w:r>
        <w:t xml:space="preserve"> has </w:t>
      </w:r>
      <w:r w:rsidR="006B3E7C">
        <w:t>affirm</w:t>
      </w:r>
      <w:r w:rsidR="003B78AE">
        <w:t>ed</w:t>
      </w:r>
      <w:r>
        <w:t xml:space="preserve"> an affidavit setting </w:t>
      </w:r>
      <w:r w:rsidR="006B3E7C">
        <w:t>out</w:t>
      </w:r>
      <w:r w:rsidR="009E4B2C">
        <w:t>,</w:t>
      </w:r>
      <w:r w:rsidR="006B3E7C">
        <w:t xml:space="preserve"> </w:t>
      </w:r>
      <w:r w:rsidR="003B78AE">
        <w:t>in short form</w:t>
      </w:r>
      <w:r w:rsidR="009E4B2C">
        <w:t>,</w:t>
      </w:r>
      <w:r w:rsidR="003B78AE">
        <w:t xml:space="preserve"> the details of the costs and disbursements claim</w:t>
      </w:r>
      <w:r>
        <w:t>e</w:t>
      </w:r>
      <w:r w:rsidR="003B78AE">
        <w:t>d</w:t>
      </w:r>
      <w:r>
        <w:t xml:space="preserve"> by the applicants</w:t>
      </w:r>
      <w:r w:rsidR="003B78AE">
        <w:t xml:space="preserve"> i</w:t>
      </w:r>
      <w:r>
        <w:t xml:space="preserve">n </w:t>
      </w:r>
      <w:r w:rsidR="003B78AE">
        <w:t xml:space="preserve">accordance with the </w:t>
      </w:r>
      <w:r>
        <w:t>item</w:t>
      </w:r>
      <w:r w:rsidR="003B78AE">
        <w:t xml:space="preserve">s set out in Schedule 3 of the </w:t>
      </w:r>
      <w:r w:rsidR="00D8673F">
        <w:t>Rules</w:t>
      </w:r>
      <w:r w:rsidR="003B78AE">
        <w:t>.</w:t>
      </w:r>
      <w:r>
        <w:t xml:space="preserve"> </w:t>
      </w:r>
      <w:r w:rsidR="003B78AE">
        <w:t xml:space="preserve"> The total </w:t>
      </w:r>
      <w:r w:rsidR="006B3E7C">
        <w:t xml:space="preserve">amount of costs and disbursements </w:t>
      </w:r>
      <w:r w:rsidR="003B78AE">
        <w:t xml:space="preserve">claimed is $8,252.20.  Accordingly, </w:t>
      </w:r>
      <w:r w:rsidR="009E4B2C">
        <w:t>I am satisfied that the applicants are entitled to an order for costs in this amount</w:t>
      </w:r>
      <w:r>
        <w:t xml:space="preserve"> </w:t>
      </w:r>
      <w:r w:rsidR="0044635B">
        <w:t>fixed as</w:t>
      </w:r>
      <w:r w:rsidR="003B78AE">
        <w:t xml:space="preserve"> a lump sum</w:t>
      </w:r>
      <w:r>
        <w:t>.</w:t>
      </w:r>
    </w:p>
    <w:p w:rsidR="00F92A1C" w:rsidRDefault="00F92A1C" w:rsidP="00F92A1C">
      <w:pPr>
        <w:pStyle w:val="Heading1"/>
      </w:pPr>
      <w:r>
        <w:lastRenderedPageBreak/>
        <w:t>CONCLUSION</w:t>
      </w:r>
    </w:p>
    <w:p w:rsidR="003B78AE" w:rsidRDefault="00F92A1C" w:rsidP="00F92A1C">
      <w:pPr>
        <w:pStyle w:val="ParaNumbering"/>
      </w:pPr>
      <w:r>
        <w:t>For the</w:t>
      </w:r>
      <w:r w:rsidR="006B3E7C">
        <w:t>se</w:t>
      </w:r>
      <w:r>
        <w:t xml:space="preserve"> reasons, I propose to order default judgment </w:t>
      </w:r>
      <w:r w:rsidR="009E4B2C">
        <w:t xml:space="preserve">for the applicants </w:t>
      </w:r>
      <w:r>
        <w:t xml:space="preserve">against </w:t>
      </w:r>
      <w:r w:rsidR="003B78AE">
        <w:t>Mr and Mrs Cotter</w:t>
      </w:r>
      <w:r>
        <w:t xml:space="preserve"> under r 5.23(2) of the Rules in the sum of </w:t>
      </w:r>
      <w:r w:rsidR="006B3E7C">
        <w:t>$103,247.46</w:t>
      </w:r>
      <w:r w:rsidR="003B78AE">
        <w:t xml:space="preserve"> made up as follows:</w:t>
      </w:r>
    </w:p>
    <w:p w:rsidR="003B78AE" w:rsidRDefault="003B78AE" w:rsidP="009E4B2C">
      <w:pPr>
        <w:pStyle w:val="ListNo2"/>
        <w:tabs>
          <w:tab w:val="clear" w:pos="1440"/>
          <w:tab w:val="num" w:pos="720"/>
        </w:tabs>
        <w:ind w:left="720"/>
      </w:pPr>
      <w:r>
        <w:t>$89,406.73 for the claim;</w:t>
      </w:r>
    </w:p>
    <w:p w:rsidR="00F92A1C" w:rsidRDefault="003B78AE" w:rsidP="009E4B2C">
      <w:pPr>
        <w:pStyle w:val="ListNo2"/>
        <w:ind w:left="720"/>
      </w:pPr>
      <w:r>
        <w:t>$5,588</w:t>
      </w:r>
      <w:r w:rsidR="00F92A1C">
        <w:t>.</w:t>
      </w:r>
      <w:r>
        <w:t xml:space="preserve">53 for interest in accordance with s </w:t>
      </w:r>
      <w:proofErr w:type="spellStart"/>
      <w:r>
        <w:t>51A</w:t>
      </w:r>
      <w:proofErr w:type="spellEnd"/>
      <w:r>
        <w:t xml:space="preserve"> of the Federal Court Act; and</w:t>
      </w:r>
    </w:p>
    <w:p w:rsidR="003B78AE" w:rsidRDefault="003B78AE" w:rsidP="009E4B2C">
      <w:pPr>
        <w:pStyle w:val="ListNo2"/>
        <w:ind w:left="720"/>
      </w:pPr>
      <w:r>
        <w:t xml:space="preserve">$8,252.20 for costs in accordance with s 43 of the Federal Court Act and fixed under r 40.02 of the </w:t>
      </w:r>
      <w:r w:rsidR="00136054">
        <w:t>R</w:t>
      </w:r>
      <w:r>
        <w:t>ules.</w:t>
      </w:r>
    </w:p>
    <w:p w:rsidR="009E4B2C" w:rsidRDefault="009E4B2C" w:rsidP="00D8673F">
      <w:pPr>
        <w:pStyle w:val="NoNum"/>
      </w:pPr>
    </w:p>
    <w:p w:rsidR="00D8673F" w:rsidRDefault="00D8673F" w:rsidP="00815065">
      <w:pPr>
        <w:pStyle w:val="BodyText"/>
      </w:pPr>
      <w:bookmarkStart w:id="24" w:name="Certification"/>
    </w:p>
    <w:tbl>
      <w:tblPr>
        <w:tblW w:w="0" w:type="auto"/>
        <w:tblLook w:val="04A0" w:firstRow="1" w:lastRow="0" w:firstColumn="1" w:lastColumn="0" w:noHBand="0" w:noVBand="1"/>
      </w:tblPr>
      <w:tblGrid>
        <w:gridCol w:w="3794"/>
      </w:tblGrid>
      <w:tr w:rsidR="00D8673F" w:rsidRPr="00D8673F">
        <w:tc>
          <w:tcPr>
            <w:tcW w:w="3794" w:type="dxa"/>
            <w:shd w:val="clear" w:color="auto" w:fill="auto"/>
          </w:tcPr>
          <w:p w:rsidR="00D8673F" w:rsidRPr="00D8673F" w:rsidRDefault="00D8673F" w:rsidP="00D8673F">
            <w:pPr>
              <w:pStyle w:val="Normal1linespace"/>
            </w:pPr>
            <w:r w:rsidRPr="00D8673F">
              <w:t xml:space="preserve">I certify that the preceding </w:t>
            </w:r>
            <w:bookmarkStart w:id="25" w:name="NumberWord"/>
            <w:r>
              <w:t>thirty-two</w:t>
            </w:r>
            <w:bookmarkEnd w:id="25"/>
            <w:r w:rsidRPr="00D8673F">
              <w:t xml:space="preserve"> (</w:t>
            </w:r>
            <w:bookmarkStart w:id="26" w:name="NumberNumeral"/>
            <w:r>
              <w:t>32</w:t>
            </w:r>
            <w:bookmarkEnd w:id="26"/>
            <w:r w:rsidRPr="00D8673F">
              <w:t xml:space="preserve">) numbered </w:t>
            </w:r>
            <w:bookmarkStart w:id="27" w:name="CertPara"/>
            <w:r>
              <w:t>paragraphs are</w:t>
            </w:r>
            <w:bookmarkEnd w:id="27"/>
            <w:r w:rsidRPr="00D8673F">
              <w:t xml:space="preserve"> a true copy of the Reasons for Judgment herein of the Honourable </w:t>
            </w:r>
            <w:bookmarkStart w:id="28" w:name="Justice"/>
            <w:r>
              <w:t>Justice Reeves</w:t>
            </w:r>
            <w:bookmarkEnd w:id="28"/>
            <w:r w:rsidRPr="00D8673F">
              <w:t>.</w:t>
            </w:r>
          </w:p>
        </w:tc>
      </w:tr>
    </w:tbl>
    <w:p w:rsidR="00D8673F" w:rsidRDefault="00D8673F" w:rsidP="00815065">
      <w:pPr>
        <w:pStyle w:val="BodyText"/>
      </w:pPr>
    </w:p>
    <w:p w:rsidR="00BA3A01" w:rsidRDefault="00BA3A01" w:rsidP="00BA3A01">
      <w:pPr>
        <w:pStyle w:val="BodyText"/>
      </w:pPr>
      <w:bookmarkStart w:id="29" w:name="_GoBack"/>
      <w:bookmarkEnd w:id="29"/>
    </w:p>
    <w:p w:rsidR="00D8673F" w:rsidRDefault="00D8673F" w:rsidP="00815065">
      <w:pPr>
        <w:pStyle w:val="BodyText"/>
      </w:pPr>
      <w:r>
        <w:t>Associate:</w:t>
      </w:r>
      <w:r w:rsidR="00BA3A01">
        <w:tab/>
      </w:r>
      <w:r w:rsidR="00BA3A01">
        <w:tab/>
      </w:r>
    </w:p>
    <w:p w:rsidR="00D8673F" w:rsidRDefault="00D8673F" w:rsidP="00815065">
      <w:pPr>
        <w:pStyle w:val="BodyText"/>
      </w:pPr>
    </w:p>
    <w:p w:rsidR="00D8673F" w:rsidRDefault="00D8673F" w:rsidP="00815065">
      <w:pPr>
        <w:pStyle w:val="BodyText"/>
        <w:tabs>
          <w:tab w:val="left" w:pos="1134"/>
        </w:tabs>
      </w:pPr>
      <w:r>
        <w:t>Dated:</w:t>
      </w:r>
      <w:r>
        <w:tab/>
      </w:r>
      <w:bookmarkStart w:id="30" w:name="CertifyDated"/>
      <w:r>
        <w:t>2 April 2015</w:t>
      </w:r>
      <w:bookmarkEnd w:id="30"/>
    </w:p>
    <w:p w:rsidR="00D8673F" w:rsidRDefault="00D8673F" w:rsidP="00815065">
      <w:pPr>
        <w:pStyle w:val="BodyText"/>
      </w:pPr>
    </w:p>
    <w:bookmarkEnd w:id="24"/>
    <w:p w:rsidR="00A4468A" w:rsidRPr="00624520" w:rsidRDefault="00A4468A" w:rsidP="00A4468A">
      <w:pPr>
        <w:pStyle w:val="NoNum"/>
      </w:pPr>
    </w:p>
    <w:sectPr w:rsidR="00A4468A"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52" w:rsidRDefault="006A3952">
      <w:pPr>
        <w:spacing w:line="20" w:lineRule="exact"/>
      </w:pPr>
    </w:p>
    <w:p w:rsidR="006A3952" w:rsidRDefault="006A3952"/>
    <w:p w:rsidR="006A3952" w:rsidRDefault="006A3952"/>
  </w:endnote>
  <w:endnote w:type="continuationSeparator" w:id="0">
    <w:p w:rsidR="006A3952" w:rsidRDefault="006A3952">
      <w:r>
        <w:t xml:space="preserve"> </w:t>
      </w:r>
    </w:p>
    <w:p w:rsidR="006A3952" w:rsidRDefault="006A3952"/>
    <w:p w:rsidR="006A3952" w:rsidRDefault="006A3952"/>
  </w:endnote>
  <w:endnote w:type="continuationNotice" w:id="1">
    <w:p w:rsidR="006A3952" w:rsidRDefault="006A3952">
      <w:r>
        <w:t xml:space="preserve"> </w:t>
      </w:r>
    </w:p>
    <w:p w:rsidR="006A3952" w:rsidRDefault="006A3952"/>
    <w:p w:rsidR="006A3952" w:rsidRDefault="006A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Pr="006556AF" w:rsidRDefault="006A3952" w:rsidP="00655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Pr="006556AF" w:rsidRDefault="006A3952" w:rsidP="00655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52" w:rsidRDefault="006A3952"/>
    <w:p w:rsidR="006A3952" w:rsidRDefault="006A3952"/>
    <w:p w:rsidR="006A3952" w:rsidRDefault="006A3952"/>
  </w:footnote>
  <w:footnote w:type="continuationSeparator" w:id="0">
    <w:p w:rsidR="006A3952" w:rsidRDefault="006A3952">
      <w:r>
        <w:continuationSeparator/>
      </w:r>
    </w:p>
    <w:p w:rsidR="006A3952" w:rsidRDefault="006A3952"/>
    <w:p w:rsidR="006A3952" w:rsidRDefault="006A3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2410E">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pPr>
      <w:tabs>
        <w:tab w:val="center" w:pos="4512"/>
      </w:tabs>
      <w:suppressAutoHyphens/>
    </w:pPr>
    <w:r>
      <w:tab/>
      <w:t xml:space="preserve">- </w:t>
    </w:r>
    <w:r>
      <w:fldChar w:fldCharType="begin"/>
    </w:r>
    <w:r>
      <w:instrText>page \* arabic</w:instrText>
    </w:r>
    <w:r>
      <w:fldChar w:fldCharType="separate"/>
    </w:r>
    <w:r w:rsidR="00CD45EE">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pPr>
      <w:tabs>
        <w:tab w:val="center" w:pos="4512"/>
      </w:tabs>
      <w:suppressAutoHyphens/>
    </w:pPr>
    <w:r>
      <w:tab/>
      <w:t xml:space="preserve">- </w:t>
    </w:r>
    <w:r>
      <w:fldChar w:fldCharType="begin"/>
    </w:r>
    <w:r>
      <w:instrText>page \* arabic</w:instrText>
    </w:r>
    <w:r>
      <w:fldChar w:fldCharType="separate"/>
    </w:r>
    <w:r w:rsidR="0062410E">
      <w:rPr>
        <w:noProof/>
      </w:rPr>
      <w:t>10</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52" w:rsidRDefault="006A395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FF64611E"/>
    <w:lvl w:ilvl="0" w:tplc="20165DF0">
      <w:start w:val="1"/>
      <w:numFmt w:val="lowerLetter"/>
      <w:pStyle w:val="Quote1Bullet"/>
      <w:lvlText w:val="(%1)"/>
      <w:lvlJc w:val="left"/>
      <w:pPr>
        <w:ind w:left="1457" w:hanging="360"/>
      </w:pPr>
      <w:rPr>
        <w:rFonts w:ascii="Times New Roman" w:eastAsia="Batang" w:hAnsi="Times New Roman" w:cs="Times New Roman"/>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5BC71C4"/>
    <w:multiLevelType w:val="hybridMultilevel"/>
    <w:tmpl w:val="590A32CC"/>
    <w:lvl w:ilvl="0" w:tplc="8EA031A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2"/>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vid Ross, Shahin Hussain and Richard Albarran as Joint and Several Receivers of ANC Transport Pty Ltd (Receivers Appointed)"/>
    <w:docVar w:name="CounselParties" w:val="Respondent"/>
    <w:docVar w:name="CounselType" w:val="Solicitor for the "/>
    <w:docVar w:name="Division" w:val="GENERAL DIVISION"/>
    <w:docVar w:name="DocCreated" w:val="True"/>
    <w:docVar w:name="FileNumbers" w:val="QUD 684 of 2014"/>
    <w:docVar w:name="FullCourt" w:val="False"/>
    <w:docVar w:name="HearingDate" w:val="?? March 2015"/>
    <w:docVar w:name="Judgdate" w:val="2 April 2015"/>
    <w:docVar w:name="Judge" w:val="Reeves"/>
    <w:docVar w:name="JudgePlace" w:val="BRISBANE"/>
    <w:docVar w:name="lstEntryList" w:val="-1"/>
    <w:docVar w:name="myEntryList" w:val="Counsel for the Applicant=|Solicitor for the Applicant=|Solicitor for the Respondents="/>
    <w:docVar w:name="NSD" w:val="NSD QUD 684 of 2014"/>
    <w:docVar w:name="NumApps" w:val="2"/>
    <w:docVar w:name="NumApps_" w:val="2"/>
    <w:docVar w:name="NumJudges" w:val="Single Judge"/>
    <w:docVar w:name="Parties" w:val="Respondent"/>
    <w:docVar w:name="Place_SentenceCase" w:val="Brisbane"/>
    <w:docVar w:name="Respondent" w:val="Norman Cotter|Anor"/>
    <w:docVar w:name="ResState" w:val="QUEENSLAND"/>
    <w:docVar w:name="Single" w:val="True"/>
  </w:docVars>
  <w:rsids>
    <w:rsidRoot w:val="0008616F"/>
    <w:rsid w:val="00066D8F"/>
    <w:rsid w:val="0008616F"/>
    <w:rsid w:val="000D2137"/>
    <w:rsid w:val="000D6293"/>
    <w:rsid w:val="000F0F5A"/>
    <w:rsid w:val="001128BD"/>
    <w:rsid w:val="00136054"/>
    <w:rsid w:val="001727A4"/>
    <w:rsid w:val="001738AB"/>
    <w:rsid w:val="001854BA"/>
    <w:rsid w:val="00187BBC"/>
    <w:rsid w:val="001B14AC"/>
    <w:rsid w:val="001B7940"/>
    <w:rsid w:val="001E3569"/>
    <w:rsid w:val="001E3B49"/>
    <w:rsid w:val="001E7388"/>
    <w:rsid w:val="002535D0"/>
    <w:rsid w:val="002602C2"/>
    <w:rsid w:val="00274F5B"/>
    <w:rsid w:val="00280836"/>
    <w:rsid w:val="0028132C"/>
    <w:rsid w:val="002A1B50"/>
    <w:rsid w:val="002B0E91"/>
    <w:rsid w:val="002C31AD"/>
    <w:rsid w:val="002C7385"/>
    <w:rsid w:val="002F1E49"/>
    <w:rsid w:val="002F4E9C"/>
    <w:rsid w:val="0032650D"/>
    <w:rsid w:val="003463FE"/>
    <w:rsid w:val="00356632"/>
    <w:rsid w:val="003845A9"/>
    <w:rsid w:val="00390883"/>
    <w:rsid w:val="00395B24"/>
    <w:rsid w:val="003A2D38"/>
    <w:rsid w:val="003B2C72"/>
    <w:rsid w:val="003B78AE"/>
    <w:rsid w:val="003C20FF"/>
    <w:rsid w:val="003C3052"/>
    <w:rsid w:val="003F193E"/>
    <w:rsid w:val="00433A65"/>
    <w:rsid w:val="0044635B"/>
    <w:rsid w:val="00472027"/>
    <w:rsid w:val="0049417F"/>
    <w:rsid w:val="004D53E5"/>
    <w:rsid w:val="004D6E3B"/>
    <w:rsid w:val="0051346D"/>
    <w:rsid w:val="00513EAE"/>
    <w:rsid w:val="005359EB"/>
    <w:rsid w:val="0054254A"/>
    <w:rsid w:val="005466B5"/>
    <w:rsid w:val="0057696A"/>
    <w:rsid w:val="005A4DF8"/>
    <w:rsid w:val="005C1767"/>
    <w:rsid w:val="005C42EF"/>
    <w:rsid w:val="005E02F5"/>
    <w:rsid w:val="005E176E"/>
    <w:rsid w:val="005E35A0"/>
    <w:rsid w:val="00604A26"/>
    <w:rsid w:val="00610047"/>
    <w:rsid w:val="0062410E"/>
    <w:rsid w:val="00624520"/>
    <w:rsid w:val="00636871"/>
    <w:rsid w:val="00643DE0"/>
    <w:rsid w:val="00644E85"/>
    <w:rsid w:val="006556AF"/>
    <w:rsid w:val="00662BB0"/>
    <w:rsid w:val="006A3952"/>
    <w:rsid w:val="006A5695"/>
    <w:rsid w:val="006A6FF2"/>
    <w:rsid w:val="006B3904"/>
    <w:rsid w:val="006B3E7C"/>
    <w:rsid w:val="006B5B7D"/>
    <w:rsid w:val="006D0ECF"/>
    <w:rsid w:val="00707218"/>
    <w:rsid w:val="00712B1D"/>
    <w:rsid w:val="007325D9"/>
    <w:rsid w:val="007929CF"/>
    <w:rsid w:val="007D561F"/>
    <w:rsid w:val="00831927"/>
    <w:rsid w:val="0084273D"/>
    <w:rsid w:val="00845A83"/>
    <w:rsid w:val="008628BD"/>
    <w:rsid w:val="00873A82"/>
    <w:rsid w:val="008C6D50"/>
    <w:rsid w:val="008E6315"/>
    <w:rsid w:val="009054CB"/>
    <w:rsid w:val="00922C0E"/>
    <w:rsid w:val="00953F40"/>
    <w:rsid w:val="009602FC"/>
    <w:rsid w:val="00967855"/>
    <w:rsid w:val="00980736"/>
    <w:rsid w:val="009B13FA"/>
    <w:rsid w:val="009B1E2D"/>
    <w:rsid w:val="009D19C0"/>
    <w:rsid w:val="009E4B2C"/>
    <w:rsid w:val="009E4FA6"/>
    <w:rsid w:val="009E7D93"/>
    <w:rsid w:val="00A03EAC"/>
    <w:rsid w:val="00A11CA6"/>
    <w:rsid w:val="00A20C49"/>
    <w:rsid w:val="00A359AC"/>
    <w:rsid w:val="00A4468A"/>
    <w:rsid w:val="00A950B6"/>
    <w:rsid w:val="00AB41C1"/>
    <w:rsid w:val="00B176C1"/>
    <w:rsid w:val="00B60830"/>
    <w:rsid w:val="00B64C97"/>
    <w:rsid w:val="00B73F89"/>
    <w:rsid w:val="00BA3A01"/>
    <w:rsid w:val="00BA3DBC"/>
    <w:rsid w:val="00BB2DA2"/>
    <w:rsid w:val="00BB56DC"/>
    <w:rsid w:val="00BB6CD3"/>
    <w:rsid w:val="00BE68A3"/>
    <w:rsid w:val="00C13965"/>
    <w:rsid w:val="00C27A6C"/>
    <w:rsid w:val="00C36442"/>
    <w:rsid w:val="00C808D2"/>
    <w:rsid w:val="00C971D3"/>
    <w:rsid w:val="00CD45EE"/>
    <w:rsid w:val="00D10F21"/>
    <w:rsid w:val="00D375EE"/>
    <w:rsid w:val="00D76A83"/>
    <w:rsid w:val="00D8673F"/>
    <w:rsid w:val="00D9725F"/>
    <w:rsid w:val="00DA14ED"/>
    <w:rsid w:val="00DB3DE1"/>
    <w:rsid w:val="00DB716C"/>
    <w:rsid w:val="00DD4236"/>
    <w:rsid w:val="00E027BC"/>
    <w:rsid w:val="00E14EA5"/>
    <w:rsid w:val="00E46064"/>
    <w:rsid w:val="00E76E45"/>
    <w:rsid w:val="00E84FC5"/>
    <w:rsid w:val="00EA4E2E"/>
    <w:rsid w:val="00EB2CCB"/>
    <w:rsid w:val="00ED7DD9"/>
    <w:rsid w:val="00EF1080"/>
    <w:rsid w:val="00EF3113"/>
    <w:rsid w:val="00EF3F84"/>
    <w:rsid w:val="00F176AC"/>
    <w:rsid w:val="00F27714"/>
    <w:rsid w:val="00F50E34"/>
    <w:rsid w:val="00F92A1C"/>
    <w:rsid w:val="00FC588F"/>
    <w:rsid w:val="00FE1B30"/>
    <w:rsid w:val="00FE639E"/>
    <w:rsid w:val="00FE665C"/>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8673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867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13</Pages>
  <Words>4317</Words>
  <Characters>21082</Characters>
  <Application>Microsoft Office Word</Application>
  <DocSecurity>0</DocSecurity>
  <Lines>514</Lines>
  <Paragraphs>213</Paragraphs>
  <ScaleCrop>false</ScaleCrop>
  <HeadingPairs>
    <vt:vector size="2" baseType="variant">
      <vt:variant>
        <vt:lpstr>Title</vt:lpstr>
      </vt:variant>
      <vt:variant>
        <vt:i4>1</vt:i4>
      </vt:variant>
    </vt:vector>
  </HeadingPairs>
  <TitlesOfParts>
    <vt:vector size="1" baseType="lpstr">
      <vt:lpstr>Ross v Cotter [2015] FCA 310</vt:lpstr>
    </vt:vector>
  </TitlesOfParts>
  <Company>Federal Court of Australia</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v Cotter [2015] FCA 310</dc:title>
  <dc:creator>Dorothy White</dc:creator>
  <cp:lastModifiedBy>Anna Masters</cp:lastModifiedBy>
  <cp:revision>3</cp:revision>
  <cp:lastPrinted>2015-04-02T05:13:00Z</cp:lastPrinted>
  <dcterms:created xsi:type="dcterms:W3CDTF">2015-04-07T04:23:00Z</dcterms:created>
  <dcterms:modified xsi:type="dcterms:W3CDTF">2015-04-07T04:23:00Z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 April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684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