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D15E" w14:textId="77777777" w:rsidR="00395B24" w:rsidRDefault="00E6013B" w:rsidP="00A22932">
      <w:pPr>
        <w:pStyle w:val="CourtTitle"/>
      </w:pPr>
      <w:r>
        <w:fldChar w:fldCharType="begin"/>
      </w:r>
      <w:r>
        <w:instrText xml:space="preserve"> DOCPROPERTY  Court  \* MERGEFORMAT </w:instrText>
      </w:r>
      <w:r>
        <w:fldChar w:fldCharType="separate"/>
      </w:r>
      <w:r w:rsidR="00AA0883">
        <w:t>Federal Court of Australia</w:t>
      </w:r>
      <w:r>
        <w:fldChar w:fldCharType="end"/>
      </w:r>
    </w:p>
    <w:p w14:paraId="3B66EA8D" w14:textId="77777777" w:rsidR="004D7950" w:rsidRDefault="004D7950">
      <w:pPr>
        <w:pStyle w:val="NormalHeadings"/>
        <w:jc w:val="center"/>
        <w:rPr>
          <w:sz w:val="32"/>
        </w:rPr>
      </w:pPr>
    </w:p>
    <w:bookmarkStart w:id="0" w:name="MNC"/>
    <w:p w14:paraId="7640F02C" w14:textId="2285D940" w:rsidR="00374CC4" w:rsidRDefault="00215A4C" w:rsidP="001A2B40">
      <w:pPr>
        <w:pStyle w:val="MNC"/>
      </w:pPr>
      <w:sdt>
        <w:sdtPr>
          <w:alias w:val="MNC"/>
          <w:tag w:val="MNC"/>
          <w:id w:val="343289786"/>
          <w:lock w:val="sdtLocked"/>
          <w:placeholder>
            <w:docPart w:val="3BA2E4ACB0344D3F8278F472CC6E258E"/>
          </w:placeholder>
          <w:dataBinding w:prefixMappings="xmlns:ns0='http://schemas.globalmacros.com/FCA'" w:xpath="/ns0:root[1]/ns0:Name[1]" w:storeItemID="{687E7CCB-4AA5-44E7-B148-17BA2B6F57C0}"/>
          <w:text w:multiLine="1"/>
        </w:sdtPr>
        <w:sdtEndPr/>
        <w:sdtContent>
          <w:proofErr w:type="spellStart"/>
          <w:r w:rsidR="005E3F99">
            <w:t>Raghubir</w:t>
          </w:r>
          <w:proofErr w:type="spellEnd"/>
          <w:r w:rsidR="005E3F99">
            <w:t xml:space="preserve"> v </w:t>
          </w:r>
          <w:proofErr w:type="spellStart"/>
          <w:r w:rsidR="005E3F99">
            <w:t>Nicolopoulos</w:t>
          </w:r>
          <w:proofErr w:type="spellEnd"/>
          <w:r w:rsidR="005E3F99">
            <w:t xml:space="preserve"> [2022] FCAFC </w:t>
          </w:r>
          <w:r w:rsidR="007C5737">
            <w:t>97</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AA0883" w14:paraId="081689C8" w14:textId="77777777" w:rsidTr="003C3664">
        <w:tc>
          <w:tcPr>
            <w:tcW w:w="3084" w:type="dxa"/>
            <w:shd w:val="clear" w:color="auto" w:fill="auto"/>
          </w:tcPr>
          <w:p w14:paraId="344AB6BB" w14:textId="77777777" w:rsidR="00AA0883" w:rsidRDefault="00AA0883"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3150E965" w14:textId="77777777" w:rsidR="00AA0883" w:rsidRDefault="00E6013B" w:rsidP="002539B3">
            <w:pPr>
              <w:pStyle w:val="CasesLegislationAppealFrom"/>
              <w:spacing w:after="60"/>
            </w:pPr>
            <w:r>
              <w:fldChar w:fldCharType="begin"/>
            </w:r>
            <w:r>
              <w:instrText xml:space="preserve"> DOCPROPERTY  AppealFrom  \* MERGEFORMAT </w:instrText>
            </w:r>
            <w:r>
              <w:fldChar w:fldCharType="separate"/>
            </w:r>
            <w:proofErr w:type="spellStart"/>
            <w:r w:rsidR="00AA0883" w:rsidRPr="000B1052">
              <w:rPr>
                <w:i/>
              </w:rPr>
              <w:t>Raghubir</w:t>
            </w:r>
            <w:proofErr w:type="spellEnd"/>
            <w:r w:rsidR="00AA0883" w:rsidRPr="000B1052">
              <w:rPr>
                <w:i/>
              </w:rPr>
              <w:t xml:space="preserve"> v </w:t>
            </w:r>
            <w:proofErr w:type="spellStart"/>
            <w:r w:rsidR="00AA0883" w:rsidRPr="000B1052">
              <w:rPr>
                <w:i/>
              </w:rPr>
              <w:t>Nicolopoulos</w:t>
            </w:r>
            <w:proofErr w:type="spellEnd"/>
            <w:r w:rsidR="00AA0883" w:rsidRPr="000B1052">
              <w:rPr>
                <w:i/>
              </w:rPr>
              <w:t xml:space="preserve"> </w:t>
            </w:r>
            <w:r w:rsidR="00AA0883">
              <w:t>[2021] FCA 1073</w:t>
            </w:r>
            <w:r>
              <w:fldChar w:fldCharType="end"/>
            </w:r>
          </w:p>
        </w:tc>
      </w:tr>
      <w:tr w:rsidR="00AA0883" w14:paraId="1A6952FB" w14:textId="77777777" w:rsidTr="003C3664">
        <w:tc>
          <w:tcPr>
            <w:tcW w:w="3084" w:type="dxa"/>
            <w:shd w:val="clear" w:color="auto" w:fill="auto"/>
          </w:tcPr>
          <w:p w14:paraId="63B07913" w14:textId="77777777" w:rsidR="00AA0883" w:rsidRDefault="00AA0883" w:rsidP="00663878">
            <w:pPr>
              <w:pStyle w:val="Normal1linespace"/>
              <w:widowControl w:val="0"/>
              <w:jc w:val="left"/>
            </w:pPr>
          </w:p>
        </w:tc>
        <w:tc>
          <w:tcPr>
            <w:tcW w:w="5989" w:type="dxa"/>
            <w:shd w:val="clear" w:color="auto" w:fill="auto"/>
          </w:tcPr>
          <w:p w14:paraId="0421A952" w14:textId="77777777" w:rsidR="00AA0883" w:rsidRDefault="00AA0883" w:rsidP="00663878">
            <w:pPr>
              <w:pStyle w:val="Normal1linespace"/>
              <w:widowControl w:val="0"/>
              <w:jc w:val="left"/>
            </w:pPr>
          </w:p>
        </w:tc>
      </w:tr>
      <w:bookmarkEnd w:id="1"/>
      <w:tr w:rsidR="00395B24" w14:paraId="3C3D5D91" w14:textId="77777777" w:rsidTr="003C3664">
        <w:tc>
          <w:tcPr>
            <w:tcW w:w="3084" w:type="dxa"/>
            <w:shd w:val="clear" w:color="auto" w:fill="auto"/>
          </w:tcPr>
          <w:p w14:paraId="55A136C2" w14:textId="77777777" w:rsidR="00395B24" w:rsidRDefault="002C7385" w:rsidP="00663878">
            <w:pPr>
              <w:pStyle w:val="Normal1linespace"/>
              <w:widowControl w:val="0"/>
              <w:jc w:val="left"/>
            </w:pPr>
            <w:r>
              <w:t>File number(s):</w:t>
            </w:r>
          </w:p>
        </w:tc>
        <w:tc>
          <w:tcPr>
            <w:tcW w:w="5989" w:type="dxa"/>
            <w:shd w:val="clear" w:color="auto" w:fill="auto"/>
          </w:tcPr>
          <w:p w14:paraId="24BE8692" w14:textId="77777777" w:rsidR="00395B24" w:rsidRPr="00AA0883" w:rsidRDefault="00215A4C" w:rsidP="00AA0883">
            <w:pPr>
              <w:pStyle w:val="Normal1linespace"/>
              <w:jc w:val="left"/>
            </w:pPr>
            <w:r>
              <w:fldChar w:fldCharType="begin" w:fldLock="1"/>
            </w:r>
            <w:r>
              <w:instrText xml:space="preserve"> REF  FileNo  \* MERGEFORMAT </w:instrText>
            </w:r>
            <w:r>
              <w:fldChar w:fldCharType="separate"/>
            </w:r>
            <w:r w:rsidR="00AA0883" w:rsidRPr="00AA0883">
              <w:t>NSD</w:t>
            </w:r>
            <w:r w:rsidR="006F770C">
              <w:t xml:space="preserve"> </w:t>
            </w:r>
            <w:r w:rsidR="00AA0883" w:rsidRPr="00AA0883">
              <w:t>1021 of 2021</w:t>
            </w:r>
            <w:r>
              <w:fldChar w:fldCharType="end"/>
            </w:r>
          </w:p>
        </w:tc>
      </w:tr>
      <w:tr w:rsidR="00395B24" w14:paraId="08BFC161" w14:textId="77777777" w:rsidTr="003C3664">
        <w:tc>
          <w:tcPr>
            <w:tcW w:w="3084" w:type="dxa"/>
            <w:shd w:val="clear" w:color="auto" w:fill="auto"/>
          </w:tcPr>
          <w:p w14:paraId="193B44F1" w14:textId="77777777" w:rsidR="00395B24" w:rsidRDefault="00395B24" w:rsidP="00663878">
            <w:pPr>
              <w:pStyle w:val="Normal1linespace"/>
              <w:widowControl w:val="0"/>
              <w:jc w:val="left"/>
            </w:pPr>
          </w:p>
        </w:tc>
        <w:tc>
          <w:tcPr>
            <w:tcW w:w="5989" w:type="dxa"/>
            <w:shd w:val="clear" w:color="auto" w:fill="auto"/>
          </w:tcPr>
          <w:p w14:paraId="11D08D0C" w14:textId="77777777" w:rsidR="00395B24" w:rsidRDefault="00395B24" w:rsidP="00663878">
            <w:pPr>
              <w:pStyle w:val="Normal1linespace"/>
              <w:widowControl w:val="0"/>
              <w:jc w:val="left"/>
            </w:pPr>
          </w:p>
        </w:tc>
      </w:tr>
      <w:tr w:rsidR="00395B24" w14:paraId="22B0BEE6" w14:textId="77777777" w:rsidTr="003C3664">
        <w:tc>
          <w:tcPr>
            <w:tcW w:w="3084" w:type="dxa"/>
            <w:shd w:val="clear" w:color="auto" w:fill="auto"/>
          </w:tcPr>
          <w:p w14:paraId="3F6A6CA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0D7D26E" w14:textId="77777777" w:rsidR="00395B24" w:rsidRDefault="002C7385" w:rsidP="00663878">
            <w:pPr>
              <w:pStyle w:val="Normal1linespace"/>
              <w:widowControl w:val="0"/>
              <w:jc w:val="left"/>
              <w:rPr>
                <w:b/>
              </w:rPr>
            </w:pPr>
            <w:r w:rsidRPr="00AA0883">
              <w:rPr>
                <w:b/>
              </w:rPr>
              <w:fldChar w:fldCharType="begin" w:fldLock="1"/>
            </w:r>
            <w:r w:rsidRPr="00AA0883">
              <w:rPr>
                <w:b/>
              </w:rPr>
              <w:instrText xml:space="preserve"> REF  Judge  \* MERGEFORMAT </w:instrText>
            </w:r>
            <w:r w:rsidRPr="00AA0883">
              <w:rPr>
                <w:b/>
              </w:rPr>
              <w:fldChar w:fldCharType="separate"/>
            </w:r>
            <w:r w:rsidR="00AA0883" w:rsidRPr="00AA0883">
              <w:rPr>
                <w:b/>
                <w:caps/>
                <w:szCs w:val="24"/>
              </w:rPr>
              <w:t>ALLSOP</w:t>
            </w:r>
            <w:r w:rsidR="00AA0883">
              <w:rPr>
                <w:b/>
                <w:caps/>
                <w:szCs w:val="24"/>
              </w:rPr>
              <w:t xml:space="preserve"> CJ</w:t>
            </w:r>
            <w:r w:rsidR="00AA0883" w:rsidRPr="00AA0883">
              <w:rPr>
                <w:b/>
                <w:caps/>
                <w:szCs w:val="24"/>
              </w:rPr>
              <w:t>, KENNY AND JAGOT JJ</w:t>
            </w:r>
            <w:r w:rsidRPr="00AA0883">
              <w:rPr>
                <w:b/>
              </w:rPr>
              <w:fldChar w:fldCharType="end"/>
            </w:r>
          </w:p>
        </w:tc>
      </w:tr>
      <w:tr w:rsidR="00395B24" w14:paraId="07B25AB0" w14:textId="77777777" w:rsidTr="003C3664">
        <w:tc>
          <w:tcPr>
            <w:tcW w:w="3084" w:type="dxa"/>
            <w:shd w:val="clear" w:color="auto" w:fill="auto"/>
          </w:tcPr>
          <w:p w14:paraId="7198379F" w14:textId="77777777" w:rsidR="00395B24" w:rsidRDefault="00395B24" w:rsidP="00663878">
            <w:pPr>
              <w:pStyle w:val="Normal1linespace"/>
              <w:widowControl w:val="0"/>
              <w:jc w:val="left"/>
            </w:pPr>
          </w:p>
        </w:tc>
        <w:tc>
          <w:tcPr>
            <w:tcW w:w="5989" w:type="dxa"/>
            <w:shd w:val="clear" w:color="auto" w:fill="auto"/>
          </w:tcPr>
          <w:p w14:paraId="779AC632" w14:textId="77777777" w:rsidR="00395B24" w:rsidRDefault="00395B24" w:rsidP="00663878">
            <w:pPr>
              <w:pStyle w:val="Normal1linespace"/>
              <w:widowControl w:val="0"/>
              <w:jc w:val="left"/>
            </w:pPr>
          </w:p>
        </w:tc>
      </w:tr>
      <w:tr w:rsidR="00395B24" w14:paraId="7EB94378" w14:textId="77777777" w:rsidTr="003C3664">
        <w:tc>
          <w:tcPr>
            <w:tcW w:w="3084" w:type="dxa"/>
            <w:shd w:val="clear" w:color="auto" w:fill="auto"/>
          </w:tcPr>
          <w:p w14:paraId="604DC26A" w14:textId="77777777" w:rsidR="00395B24" w:rsidRDefault="002C7385" w:rsidP="00663878">
            <w:pPr>
              <w:pStyle w:val="Normal1linespace"/>
              <w:widowControl w:val="0"/>
              <w:jc w:val="left"/>
            </w:pPr>
            <w:r>
              <w:t>Date of judgment:</w:t>
            </w:r>
          </w:p>
        </w:tc>
        <w:tc>
          <w:tcPr>
            <w:tcW w:w="5989" w:type="dxa"/>
            <w:shd w:val="clear" w:color="auto" w:fill="auto"/>
          </w:tcPr>
          <w:p w14:paraId="22284A5B" w14:textId="2E0E3F12" w:rsidR="00395B24" w:rsidRPr="000B1052" w:rsidRDefault="000B1052" w:rsidP="00BB1597">
            <w:pPr>
              <w:pStyle w:val="Normal1linespace"/>
              <w:widowControl w:val="0"/>
              <w:jc w:val="left"/>
            </w:pPr>
            <w:r>
              <w:t>3 June 2022</w:t>
            </w:r>
          </w:p>
        </w:tc>
      </w:tr>
      <w:tr w:rsidR="00395B24" w14:paraId="6A671BE1" w14:textId="77777777" w:rsidTr="003C3664">
        <w:tc>
          <w:tcPr>
            <w:tcW w:w="3084" w:type="dxa"/>
            <w:shd w:val="clear" w:color="auto" w:fill="auto"/>
          </w:tcPr>
          <w:p w14:paraId="245E5E90" w14:textId="77777777" w:rsidR="00395B24" w:rsidRDefault="00395B24" w:rsidP="00663878">
            <w:pPr>
              <w:pStyle w:val="Normal1linespace"/>
              <w:widowControl w:val="0"/>
              <w:jc w:val="left"/>
            </w:pPr>
          </w:p>
        </w:tc>
        <w:tc>
          <w:tcPr>
            <w:tcW w:w="5989" w:type="dxa"/>
            <w:shd w:val="clear" w:color="auto" w:fill="auto"/>
          </w:tcPr>
          <w:p w14:paraId="535E797A" w14:textId="77777777" w:rsidR="00395B24" w:rsidRDefault="00395B24" w:rsidP="00663878">
            <w:pPr>
              <w:pStyle w:val="Normal1linespace"/>
              <w:widowControl w:val="0"/>
              <w:jc w:val="left"/>
            </w:pPr>
          </w:p>
        </w:tc>
      </w:tr>
      <w:tr w:rsidR="00395B24" w14:paraId="46DB742D" w14:textId="77777777" w:rsidTr="003C3664">
        <w:tc>
          <w:tcPr>
            <w:tcW w:w="3084" w:type="dxa"/>
            <w:shd w:val="clear" w:color="auto" w:fill="auto"/>
          </w:tcPr>
          <w:p w14:paraId="10A5696C" w14:textId="77777777" w:rsidR="00395B24" w:rsidRDefault="002C7385" w:rsidP="00663878">
            <w:pPr>
              <w:pStyle w:val="Normal1linespace"/>
              <w:widowControl w:val="0"/>
              <w:jc w:val="left"/>
            </w:pPr>
            <w:r>
              <w:t>Catchwords:</w:t>
            </w:r>
          </w:p>
        </w:tc>
        <w:tc>
          <w:tcPr>
            <w:tcW w:w="5989" w:type="dxa"/>
            <w:shd w:val="clear" w:color="auto" w:fill="auto"/>
          </w:tcPr>
          <w:p w14:paraId="34CA102E" w14:textId="700518B4" w:rsidR="00395B24" w:rsidRDefault="005C1EAF" w:rsidP="002215EB">
            <w:pPr>
              <w:pStyle w:val="Normal1linespace"/>
              <w:widowControl w:val="0"/>
              <w:jc w:val="left"/>
            </w:pPr>
            <w:bookmarkStart w:id="2" w:name="Catchwords"/>
            <w:r>
              <w:rPr>
                <w:b/>
              </w:rPr>
              <w:t>HIGH COURT AND FEDERAL COURT</w:t>
            </w:r>
            <w:r w:rsidR="00BB1597">
              <w:t xml:space="preserve"> – appeal from single judge of the Federal Court – whether the Federal Court has jurisdiction to hear the appellants’ </w:t>
            </w:r>
            <w:r w:rsidR="002F1BB2">
              <w:t xml:space="preserve">defamation </w:t>
            </w:r>
            <w:r w:rsidR="00BB1597">
              <w:t>claim</w:t>
            </w:r>
            <w:r w:rsidR="001D7582">
              <w:t xml:space="preserve"> </w:t>
            </w:r>
            <w:r w:rsidR="002215EB">
              <w:t xml:space="preserve">– </w:t>
            </w:r>
            <w:r w:rsidR="00BB1597">
              <w:t xml:space="preserve">alleged defamatory </w:t>
            </w:r>
            <w:r w:rsidR="002F1BB2">
              <w:t>publication</w:t>
            </w:r>
            <w:r w:rsidR="002215EB">
              <w:t>s</w:t>
            </w:r>
            <w:r w:rsidR="002F1BB2">
              <w:t xml:space="preserve"> </w:t>
            </w:r>
            <w:r w:rsidR="00BB1597">
              <w:t>made</w:t>
            </w:r>
            <w:r w:rsidR="002F1BB2">
              <w:t xml:space="preserve"> only with</w:t>
            </w:r>
            <w:r w:rsidR="00BB1597">
              <w:t xml:space="preserve">in New South Wales – </w:t>
            </w:r>
            <w:r w:rsidR="002215EB">
              <w:t xml:space="preserve">first respondent resident of New South Wales – other respondents being incorporated pursuant to the </w:t>
            </w:r>
            <w:r w:rsidR="002215EB" w:rsidRPr="003C3664">
              <w:rPr>
                <w:i/>
              </w:rPr>
              <w:t>Strata Schemes Management Act 2015</w:t>
            </w:r>
            <w:r w:rsidR="002215EB" w:rsidRPr="003C3664">
              <w:t xml:space="preserve"> (NSW)</w:t>
            </w:r>
            <w:r w:rsidR="002215EB">
              <w:t xml:space="preserve"> – </w:t>
            </w:r>
            <w:r w:rsidR="00DA4105">
              <w:t xml:space="preserve">whether service within Australia but outside the Australian Capital Territory sufficient to enliven jurisdiction for </w:t>
            </w:r>
            <w:r w:rsidR="00DA4105">
              <w:rPr>
                <w:i/>
              </w:rPr>
              <w:t xml:space="preserve">in </w:t>
            </w:r>
            <w:proofErr w:type="spellStart"/>
            <w:r w:rsidR="00DA4105">
              <w:rPr>
                <w:i/>
              </w:rPr>
              <w:t>personam</w:t>
            </w:r>
            <w:proofErr w:type="spellEnd"/>
            <w:r w:rsidR="00DA4105">
              <w:rPr>
                <w:i/>
              </w:rPr>
              <w:t xml:space="preserve"> </w:t>
            </w:r>
            <w:r w:rsidR="00DA4105">
              <w:t xml:space="preserve">actions – appeal </w:t>
            </w:r>
            <w:r w:rsidR="00BB1597">
              <w:t>dismissed</w:t>
            </w:r>
            <w:r w:rsidR="002C7385">
              <w:t xml:space="preserve"> </w:t>
            </w:r>
            <w:bookmarkEnd w:id="2"/>
          </w:p>
        </w:tc>
      </w:tr>
      <w:tr w:rsidR="00395B24" w14:paraId="511DE50E" w14:textId="77777777" w:rsidTr="003C3664">
        <w:tc>
          <w:tcPr>
            <w:tcW w:w="3084" w:type="dxa"/>
            <w:shd w:val="clear" w:color="auto" w:fill="auto"/>
          </w:tcPr>
          <w:p w14:paraId="6C04B66A" w14:textId="77777777" w:rsidR="00395B24" w:rsidRDefault="00395B24" w:rsidP="00663878">
            <w:pPr>
              <w:pStyle w:val="Normal1linespace"/>
              <w:widowControl w:val="0"/>
              <w:jc w:val="left"/>
            </w:pPr>
          </w:p>
        </w:tc>
        <w:tc>
          <w:tcPr>
            <w:tcW w:w="5989" w:type="dxa"/>
            <w:shd w:val="clear" w:color="auto" w:fill="auto"/>
          </w:tcPr>
          <w:p w14:paraId="0BD6F912" w14:textId="77777777" w:rsidR="00395B24" w:rsidRDefault="00395B24" w:rsidP="00663878">
            <w:pPr>
              <w:pStyle w:val="Normal1linespace"/>
              <w:widowControl w:val="0"/>
              <w:jc w:val="left"/>
            </w:pPr>
          </w:p>
        </w:tc>
      </w:tr>
      <w:tr w:rsidR="00395B24" w14:paraId="7AA4461B" w14:textId="77777777" w:rsidTr="003C3664">
        <w:tc>
          <w:tcPr>
            <w:tcW w:w="3084" w:type="dxa"/>
            <w:shd w:val="clear" w:color="auto" w:fill="auto"/>
          </w:tcPr>
          <w:p w14:paraId="02E928CD" w14:textId="77777777" w:rsidR="00395B24" w:rsidRDefault="002C7385" w:rsidP="00663878">
            <w:pPr>
              <w:pStyle w:val="Normal1linespace"/>
              <w:widowControl w:val="0"/>
              <w:jc w:val="left"/>
            </w:pPr>
            <w:r>
              <w:t>Legislation:</w:t>
            </w:r>
          </w:p>
        </w:tc>
        <w:tc>
          <w:tcPr>
            <w:tcW w:w="5989" w:type="dxa"/>
            <w:shd w:val="clear" w:color="auto" w:fill="auto"/>
          </w:tcPr>
          <w:p w14:paraId="17838B6A" w14:textId="717EA5F8" w:rsidR="009303DC" w:rsidRPr="000679D7" w:rsidRDefault="000679D7" w:rsidP="009303DC">
            <w:pPr>
              <w:pStyle w:val="CasesLegislationAppealFrom"/>
              <w:spacing w:after="60"/>
              <w:rPr>
                <w:i/>
              </w:rPr>
            </w:pPr>
            <w:bookmarkStart w:id="3" w:name="Legislation"/>
            <w:r w:rsidRPr="009303DC">
              <w:rPr>
                <w:i/>
              </w:rPr>
              <w:t>Constitution</w:t>
            </w:r>
            <w:r>
              <w:t>,</w:t>
            </w:r>
            <w:r>
              <w:rPr>
                <w:i/>
              </w:rPr>
              <w:t xml:space="preserve"> </w:t>
            </w:r>
            <w:r>
              <w:t>s 122</w:t>
            </w:r>
          </w:p>
          <w:p w14:paraId="2C882578" w14:textId="77777777" w:rsidR="009303DC" w:rsidRPr="009303DC" w:rsidRDefault="009303DC" w:rsidP="009303DC">
            <w:pPr>
              <w:pStyle w:val="CasesLegislationAppealFrom"/>
              <w:spacing w:after="60"/>
            </w:pPr>
            <w:r w:rsidRPr="009303DC">
              <w:rPr>
                <w:i/>
              </w:rPr>
              <w:t>Corporations Act 2001</w:t>
            </w:r>
            <w:r w:rsidRPr="009303DC">
              <w:t xml:space="preserve"> (</w:t>
            </w:r>
            <w:proofErr w:type="spellStart"/>
            <w:r w:rsidRPr="009303DC">
              <w:t>Cth</w:t>
            </w:r>
            <w:proofErr w:type="spellEnd"/>
            <w:r w:rsidRPr="009303DC">
              <w:t>), s 5F(2)</w:t>
            </w:r>
          </w:p>
          <w:p w14:paraId="1CB212AE" w14:textId="1DC1050E" w:rsidR="00765C8E" w:rsidRPr="000679D7" w:rsidRDefault="009303DC" w:rsidP="009303DC">
            <w:pPr>
              <w:pStyle w:val="CasesLegislationAppealFrom"/>
              <w:spacing w:after="60"/>
            </w:pPr>
            <w:r w:rsidRPr="009303DC">
              <w:rPr>
                <w:i/>
              </w:rPr>
              <w:t xml:space="preserve">Federal Court of Australia Act 1976 </w:t>
            </w:r>
            <w:r w:rsidRPr="009303DC">
              <w:t>(</w:t>
            </w:r>
            <w:proofErr w:type="spellStart"/>
            <w:r w:rsidRPr="009303DC">
              <w:t>Cth</w:t>
            </w:r>
            <w:proofErr w:type="spellEnd"/>
            <w:r w:rsidRPr="009303DC">
              <w:t xml:space="preserve">), </w:t>
            </w:r>
            <w:proofErr w:type="spellStart"/>
            <w:r w:rsidRPr="009303DC">
              <w:t>s</w:t>
            </w:r>
            <w:r w:rsidR="007A0374">
              <w:t>s</w:t>
            </w:r>
            <w:proofErr w:type="spellEnd"/>
            <w:r w:rsidR="007A0374">
              <w:t xml:space="preserve"> 18,</w:t>
            </w:r>
            <w:r w:rsidRPr="009303DC">
              <w:t> 19(1)</w:t>
            </w:r>
          </w:p>
          <w:p w14:paraId="76837134" w14:textId="77777777" w:rsidR="00765C8E" w:rsidRPr="00765C8E" w:rsidRDefault="009303DC" w:rsidP="009303DC">
            <w:pPr>
              <w:pStyle w:val="CasesLegislationAppealFrom"/>
              <w:spacing w:after="60"/>
            </w:pPr>
            <w:r w:rsidRPr="009303DC">
              <w:rPr>
                <w:i/>
              </w:rPr>
              <w:t>Judiciary Act 1903 </w:t>
            </w:r>
            <w:r w:rsidRPr="009303DC">
              <w:t>(</w:t>
            </w:r>
            <w:proofErr w:type="spellStart"/>
            <w:r w:rsidRPr="009303DC">
              <w:t>Cth</w:t>
            </w:r>
            <w:proofErr w:type="spellEnd"/>
            <w:r w:rsidRPr="009303DC">
              <w:t>), s 39B(1A)</w:t>
            </w:r>
          </w:p>
          <w:p w14:paraId="2B9AC97C" w14:textId="4E9BB98F" w:rsidR="009303DC" w:rsidRDefault="00F5513D" w:rsidP="009303DC">
            <w:pPr>
              <w:pStyle w:val="CasesLegislationAppealFrom"/>
              <w:spacing w:after="60"/>
            </w:pPr>
            <w:r>
              <w:rPr>
                <w:i/>
              </w:rPr>
              <w:t>Jurisdiction of Courts (Cross-v</w:t>
            </w:r>
            <w:r w:rsidR="009303DC" w:rsidRPr="009303DC">
              <w:rPr>
                <w:i/>
              </w:rPr>
              <w:t xml:space="preserve">esting) Act 1987 </w:t>
            </w:r>
            <w:r w:rsidR="009303DC" w:rsidRPr="009303DC">
              <w:t>(</w:t>
            </w:r>
            <w:proofErr w:type="spellStart"/>
            <w:r w:rsidR="009303DC" w:rsidRPr="009303DC">
              <w:t>Cth</w:t>
            </w:r>
            <w:proofErr w:type="spellEnd"/>
            <w:r w:rsidR="009303DC" w:rsidRPr="009303DC">
              <w:t>), s 9(3)</w:t>
            </w:r>
          </w:p>
          <w:p w14:paraId="16FB38F0" w14:textId="77777777" w:rsidR="000679D7" w:rsidRPr="009303DC" w:rsidRDefault="000679D7" w:rsidP="000679D7">
            <w:pPr>
              <w:pStyle w:val="CasesLegislationAppealFrom"/>
              <w:spacing w:after="60"/>
            </w:pPr>
            <w:r w:rsidRPr="009303DC">
              <w:rPr>
                <w:i/>
              </w:rPr>
              <w:t xml:space="preserve">Service and Execution of Process Act 1901 </w:t>
            </w:r>
            <w:r w:rsidRPr="009303DC">
              <w:t>(</w:t>
            </w:r>
            <w:proofErr w:type="spellStart"/>
            <w:r w:rsidRPr="009303DC">
              <w:t>Cth</w:t>
            </w:r>
            <w:proofErr w:type="spellEnd"/>
            <w:r w:rsidRPr="009303DC">
              <w:t>)</w:t>
            </w:r>
            <w:r>
              <w:t xml:space="preserve">, </w:t>
            </w:r>
            <w:proofErr w:type="spellStart"/>
            <w:r>
              <w:t>ss</w:t>
            </w:r>
            <w:proofErr w:type="spellEnd"/>
            <w:r>
              <w:t xml:space="preserve"> 4, 11 (repealed)</w:t>
            </w:r>
          </w:p>
          <w:p w14:paraId="0164E6E9" w14:textId="3EC3FCD2" w:rsidR="000679D7" w:rsidRDefault="000679D7" w:rsidP="000679D7">
            <w:pPr>
              <w:pStyle w:val="CasesLegislationAppealFrom"/>
              <w:spacing w:after="60"/>
            </w:pPr>
            <w:r w:rsidRPr="009303DC">
              <w:rPr>
                <w:i/>
              </w:rPr>
              <w:t xml:space="preserve">Service and Execution of Process Act 1992 </w:t>
            </w:r>
            <w:r w:rsidRPr="009303DC">
              <w:t>(</w:t>
            </w:r>
            <w:proofErr w:type="spellStart"/>
            <w:r w:rsidRPr="009303DC">
              <w:t>Cth</w:t>
            </w:r>
            <w:proofErr w:type="spellEnd"/>
            <w:r w:rsidRPr="009303DC">
              <w:t>)</w:t>
            </w:r>
            <w:r>
              <w:t xml:space="preserve">, </w:t>
            </w:r>
            <w:proofErr w:type="spellStart"/>
            <w:r>
              <w:t>ss</w:t>
            </w:r>
            <w:proofErr w:type="spellEnd"/>
            <w:r>
              <w:t xml:space="preserve"> 12, 15</w:t>
            </w:r>
          </w:p>
          <w:p w14:paraId="4718D5E0" w14:textId="1ED1C207" w:rsidR="000679D7" w:rsidRDefault="000679D7" w:rsidP="009303DC">
            <w:pPr>
              <w:pStyle w:val="CasesLegislationAppealFrom"/>
              <w:spacing w:after="60"/>
            </w:pPr>
            <w:r w:rsidRPr="009303DC">
              <w:rPr>
                <w:i/>
              </w:rPr>
              <w:t xml:space="preserve">Federal Court Rules 2001 </w:t>
            </w:r>
            <w:r w:rsidRPr="009303DC">
              <w:t>(</w:t>
            </w:r>
            <w:proofErr w:type="spellStart"/>
            <w:r w:rsidRPr="009303DC">
              <w:t>Cth</w:t>
            </w:r>
            <w:proofErr w:type="spellEnd"/>
            <w:r w:rsidRPr="009303DC">
              <w:t>)</w:t>
            </w:r>
          </w:p>
          <w:p w14:paraId="29ED09AD" w14:textId="77777777" w:rsidR="000679D7" w:rsidRDefault="000679D7" w:rsidP="009303DC">
            <w:pPr>
              <w:pStyle w:val="CasesLegislationAppealFrom"/>
              <w:spacing w:after="60"/>
              <w:rPr>
                <w:i/>
              </w:rPr>
            </w:pPr>
          </w:p>
          <w:p w14:paraId="6CB68383" w14:textId="62BAFD99" w:rsidR="000679D7" w:rsidRDefault="000679D7" w:rsidP="009303DC">
            <w:pPr>
              <w:pStyle w:val="CasesLegislationAppealFrom"/>
              <w:spacing w:after="60"/>
            </w:pPr>
            <w:r>
              <w:rPr>
                <w:i/>
              </w:rPr>
              <w:t xml:space="preserve">Civil Law (Wrongs) Act 2002 </w:t>
            </w:r>
            <w:r>
              <w:t>(ACT), s 123</w:t>
            </w:r>
          </w:p>
          <w:p w14:paraId="3A9FB61E" w14:textId="1C1A6714" w:rsidR="00991E8B" w:rsidRDefault="00991E8B" w:rsidP="009303DC">
            <w:pPr>
              <w:pStyle w:val="CasesLegislationAppealFrom"/>
              <w:spacing w:after="60"/>
            </w:pPr>
            <w:r>
              <w:rPr>
                <w:i/>
              </w:rPr>
              <w:t>Defamation Act 2005</w:t>
            </w:r>
            <w:r>
              <w:t xml:space="preserve"> (NSW)</w:t>
            </w:r>
          </w:p>
          <w:p w14:paraId="278DD0ED" w14:textId="7490BA49" w:rsidR="000679D7" w:rsidRDefault="00765C8E" w:rsidP="000679D7">
            <w:pPr>
              <w:pStyle w:val="CasesLegislationAppealFrom"/>
              <w:spacing w:after="60"/>
            </w:pPr>
            <w:r w:rsidRPr="009303DC">
              <w:rPr>
                <w:i/>
              </w:rPr>
              <w:t>Jurisdiction of Courts (Cross-vesting) Act 1993</w:t>
            </w:r>
            <w:r w:rsidRPr="009303DC">
              <w:t xml:space="preserve"> (ACT)</w:t>
            </w:r>
            <w:r>
              <w:t>, s 4(1)</w:t>
            </w:r>
          </w:p>
          <w:p w14:paraId="225568A6" w14:textId="7DEDB485" w:rsidR="000679D7" w:rsidRPr="009303DC" w:rsidRDefault="000679D7" w:rsidP="000679D7">
            <w:pPr>
              <w:pStyle w:val="CasesLegislationAppealFrom"/>
              <w:spacing w:after="60"/>
            </w:pPr>
            <w:r w:rsidRPr="009303DC">
              <w:rPr>
                <w:i/>
              </w:rPr>
              <w:t>Strata Schemes Management Act 2015</w:t>
            </w:r>
            <w:r w:rsidRPr="009303DC">
              <w:t xml:space="preserve"> (NSW), </w:t>
            </w:r>
            <w:proofErr w:type="spellStart"/>
            <w:r w:rsidRPr="009303DC">
              <w:t>s</w:t>
            </w:r>
            <w:r w:rsidR="007A0374">
              <w:t>s</w:t>
            </w:r>
            <w:proofErr w:type="spellEnd"/>
            <w:r w:rsidRPr="009303DC">
              <w:t> 8</w:t>
            </w:r>
            <w:r w:rsidR="007A0374">
              <w:t>, 11–13</w:t>
            </w:r>
          </w:p>
          <w:p w14:paraId="6F476E0A" w14:textId="419C7B40" w:rsidR="000679D7" w:rsidRPr="000679D7" w:rsidRDefault="000679D7" w:rsidP="000679D7">
            <w:pPr>
              <w:pStyle w:val="CasesLegislationAppealFrom"/>
              <w:spacing w:after="60"/>
            </w:pPr>
            <w:r w:rsidRPr="009303DC">
              <w:rPr>
                <w:i/>
              </w:rPr>
              <w:t xml:space="preserve">Supreme Court Act 1933 </w:t>
            </w:r>
            <w:r w:rsidRPr="009303DC">
              <w:t>(ACT)</w:t>
            </w:r>
            <w:r>
              <w:t>, s 20</w:t>
            </w:r>
          </w:p>
          <w:p w14:paraId="215F8040" w14:textId="1718FEFD" w:rsidR="009303DC" w:rsidRDefault="000679D7" w:rsidP="009303DC">
            <w:pPr>
              <w:pStyle w:val="CasesLegislationAppealFrom"/>
              <w:spacing w:after="60"/>
            </w:pPr>
            <w:r>
              <w:rPr>
                <w:i/>
              </w:rPr>
              <w:t xml:space="preserve">Civil Procedure Rules 2006 </w:t>
            </w:r>
            <w:r>
              <w:t>(ACT), r 6430</w:t>
            </w:r>
          </w:p>
          <w:p w14:paraId="67C7E4E0" w14:textId="31586233" w:rsidR="009303DC" w:rsidRPr="009303DC" w:rsidRDefault="009303DC" w:rsidP="0066668B">
            <w:pPr>
              <w:pStyle w:val="CasesLegislationAppealFrom"/>
              <w:spacing w:after="60"/>
            </w:pPr>
            <w:r w:rsidRPr="009303DC">
              <w:rPr>
                <w:i/>
              </w:rPr>
              <w:t>Supreme Court Rules 1937</w:t>
            </w:r>
            <w:r w:rsidRPr="009303DC">
              <w:t xml:space="preserve"> (ACT</w:t>
            </w:r>
            <w:r w:rsidR="00BE196F">
              <w:t>)</w:t>
            </w:r>
            <w:r w:rsidR="0066668B">
              <w:t>, Order 3, r 4</w:t>
            </w:r>
            <w:bookmarkEnd w:id="3"/>
            <w:r w:rsidR="00B73F39">
              <w:t xml:space="preserve"> (repealed)</w:t>
            </w:r>
          </w:p>
        </w:tc>
      </w:tr>
      <w:tr w:rsidR="00395B24" w14:paraId="6A8D0211" w14:textId="77777777" w:rsidTr="003C3664">
        <w:tc>
          <w:tcPr>
            <w:tcW w:w="3084" w:type="dxa"/>
            <w:shd w:val="clear" w:color="auto" w:fill="auto"/>
          </w:tcPr>
          <w:p w14:paraId="0B2266C2" w14:textId="77777777" w:rsidR="00395B24" w:rsidRDefault="00395B24" w:rsidP="00663878">
            <w:pPr>
              <w:pStyle w:val="Normal1linespace"/>
              <w:widowControl w:val="0"/>
              <w:jc w:val="left"/>
            </w:pPr>
          </w:p>
        </w:tc>
        <w:tc>
          <w:tcPr>
            <w:tcW w:w="5989" w:type="dxa"/>
            <w:shd w:val="clear" w:color="auto" w:fill="auto"/>
          </w:tcPr>
          <w:p w14:paraId="41CCD826" w14:textId="77777777" w:rsidR="00395B24" w:rsidRDefault="00395B24" w:rsidP="00663878">
            <w:pPr>
              <w:pStyle w:val="Normal1linespace"/>
              <w:widowControl w:val="0"/>
              <w:jc w:val="left"/>
            </w:pPr>
          </w:p>
        </w:tc>
      </w:tr>
      <w:tr w:rsidR="00395B24" w14:paraId="17E83CA0" w14:textId="77777777" w:rsidTr="003C3664">
        <w:tc>
          <w:tcPr>
            <w:tcW w:w="3084" w:type="dxa"/>
            <w:shd w:val="clear" w:color="auto" w:fill="auto"/>
          </w:tcPr>
          <w:p w14:paraId="3E954554" w14:textId="77777777" w:rsidR="00395B24" w:rsidRDefault="002C7385" w:rsidP="00663878">
            <w:pPr>
              <w:pStyle w:val="Normal1linespace"/>
              <w:widowControl w:val="0"/>
              <w:jc w:val="left"/>
            </w:pPr>
            <w:r>
              <w:t>Cases cited:</w:t>
            </w:r>
          </w:p>
        </w:tc>
        <w:tc>
          <w:tcPr>
            <w:tcW w:w="5989" w:type="dxa"/>
            <w:shd w:val="clear" w:color="auto" w:fill="auto"/>
          </w:tcPr>
          <w:p w14:paraId="7F918AB8" w14:textId="77777777" w:rsidR="009303DC" w:rsidRPr="009303DC" w:rsidRDefault="009303DC" w:rsidP="009303DC">
            <w:pPr>
              <w:pStyle w:val="CasesLegislationAppealFrom"/>
              <w:spacing w:after="60"/>
            </w:pPr>
            <w:bookmarkStart w:id="4" w:name="Cases_Cited"/>
            <w:proofErr w:type="spellStart"/>
            <w:r w:rsidRPr="009303DC">
              <w:rPr>
                <w:i/>
              </w:rPr>
              <w:t>Citta</w:t>
            </w:r>
            <w:proofErr w:type="spellEnd"/>
            <w:r w:rsidRPr="009303DC">
              <w:rPr>
                <w:i/>
              </w:rPr>
              <w:t xml:space="preserve"> Hobart Pty Ltd v </w:t>
            </w:r>
            <w:proofErr w:type="spellStart"/>
            <w:r w:rsidRPr="009303DC">
              <w:rPr>
                <w:i/>
              </w:rPr>
              <w:t>Cawthorn</w:t>
            </w:r>
            <w:proofErr w:type="spellEnd"/>
            <w:r w:rsidRPr="009303DC">
              <w:t xml:space="preserve"> [2022] HCA 16</w:t>
            </w:r>
          </w:p>
          <w:p w14:paraId="0D83A191" w14:textId="77777777" w:rsidR="009303DC" w:rsidRDefault="009303DC" w:rsidP="009303DC">
            <w:pPr>
              <w:pStyle w:val="CasesLegislationAppealFrom"/>
              <w:spacing w:after="60"/>
            </w:pPr>
            <w:r w:rsidRPr="009303DC">
              <w:rPr>
                <w:i/>
              </w:rPr>
              <w:t>Crosby v Kelly</w:t>
            </w:r>
            <w:r w:rsidRPr="009303DC">
              <w:t xml:space="preserve"> [2012] FCAFC 96; 203 FCR 451</w:t>
            </w:r>
          </w:p>
          <w:p w14:paraId="0DDA00BC" w14:textId="77777777" w:rsidR="009303DC" w:rsidRPr="009303DC" w:rsidRDefault="009303DC" w:rsidP="009303DC">
            <w:pPr>
              <w:pStyle w:val="CasesLegislationAppealFrom"/>
              <w:spacing w:after="60"/>
            </w:pPr>
            <w:r w:rsidRPr="009303DC">
              <w:rPr>
                <w:i/>
              </w:rPr>
              <w:lastRenderedPageBreak/>
              <w:t xml:space="preserve">Cotter v Workman </w:t>
            </w:r>
            <w:r w:rsidRPr="009303DC">
              <w:t>(1972) 20 FLR 318</w:t>
            </w:r>
          </w:p>
          <w:p w14:paraId="7F5AE397" w14:textId="77777777" w:rsidR="009303DC" w:rsidRPr="009303DC" w:rsidRDefault="009303DC" w:rsidP="009303DC">
            <w:pPr>
              <w:pStyle w:val="CasesLegislationAppealFrom"/>
              <w:spacing w:after="60"/>
            </w:pPr>
            <w:r w:rsidRPr="009303DC">
              <w:rPr>
                <w:i/>
              </w:rPr>
              <w:t>Dawson v Baker</w:t>
            </w:r>
            <w:r w:rsidRPr="009303DC">
              <w:t xml:space="preserve"> (1994) 120 ACTR 11</w:t>
            </w:r>
          </w:p>
          <w:p w14:paraId="5CDA1A01" w14:textId="77777777" w:rsidR="009303DC" w:rsidRPr="009303DC" w:rsidRDefault="009303DC" w:rsidP="009303DC">
            <w:pPr>
              <w:pStyle w:val="CasesLegislationAppealFrom"/>
              <w:spacing w:after="60"/>
            </w:pPr>
            <w:r w:rsidRPr="009303DC">
              <w:rPr>
                <w:i/>
              </w:rPr>
              <w:t xml:space="preserve">Dow Jones &amp; Co </w:t>
            </w:r>
            <w:proofErr w:type="spellStart"/>
            <w:r w:rsidRPr="009303DC">
              <w:rPr>
                <w:i/>
              </w:rPr>
              <w:t>Inc</w:t>
            </w:r>
            <w:proofErr w:type="spellEnd"/>
            <w:r w:rsidRPr="009303DC">
              <w:rPr>
                <w:i/>
              </w:rPr>
              <w:t xml:space="preserve"> v </w:t>
            </w:r>
            <w:proofErr w:type="spellStart"/>
            <w:r w:rsidRPr="009303DC">
              <w:rPr>
                <w:i/>
              </w:rPr>
              <w:t>Gutnick</w:t>
            </w:r>
            <w:proofErr w:type="spellEnd"/>
            <w:r w:rsidRPr="009303DC">
              <w:t xml:space="preserve"> [2002] HCA 56; 210 CLR 575</w:t>
            </w:r>
          </w:p>
          <w:p w14:paraId="362485D6" w14:textId="14542E02" w:rsidR="009303DC" w:rsidRPr="009303DC" w:rsidRDefault="009303DC" w:rsidP="009303DC">
            <w:pPr>
              <w:pStyle w:val="CasesLegislationAppealFrom"/>
              <w:spacing w:after="60"/>
            </w:pPr>
            <w:proofErr w:type="spellStart"/>
            <w:r w:rsidRPr="009303DC">
              <w:rPr>
                <w:i/>
              </w:rPr>
              <w:t>Gosper</w:t>
            </w:r>
            <w:proofErr w:type="spellEnd"/>
            <w:r w:rsidRPr="009303DC">
              <w:rPr>
                <w:i/>
              </w:rPr>
              <w:t xml:space="preserve"> v Sawyer</w:t>
            </w:r>
            <w:r w:rsidRPr="009303DC">
              <w:t xml:space="preserve"> </w:t>
            </w:r>
            <w:r w:rsidR="00991E8B">
              <w:t xml:space="preserve">[1985] HCA 19; </w:t>
            </w:r>
            <w:r w:rsidRPr="009303DC">
              <w:t>160 CLR 548</w:t>
            </w:r>
          </w:p>
          <w:p w14:paraId="322F24AE" w14:textId="5148E498" w:rsidR="009303DC" w:rsidRPr="009303DC" w:rsidRDefault="009303DC" w:rsidP="009303DC">
            <w:pPr>
              <w:pStyle w:val="CasesLegislationAppealFrom"/>
              <w:spacing w:after="60"/>
            </w:pPr>
            <w:r w:rsidRPr="009303DC">
              <w:rPr>
                <w:i/>
              </w:rPr>
              <w:t xml:space="preserve">Johnston v Road and Traffic Authority (NSW) </w:t>
            </w:r>
            <w:r w:rsidRPr="009303DC">
              <w:t>[199</w:t>
            </w:r>
            <w:r w:rsidR="00765C8E">
              <w:t>9</w:t>
            </w:r>
            <w:r w:rsidRPr="009303DC">
              <w:t>] ACTSC 140; 30 MVR 212</w:t>
            </w:r>
          </w:p>
          <w:p w14:paraId="559EFB0E" w14:textId="77777777" w:rsidR="009303DC" w:rsidRPr="009303DC" w:rsidRDefault="009303DC" w:rsidP="009303DC">
            <w:pPr>
              <w:pStyle w:val="CasesLegislationAppealFrom"/>
              <w:spacing w:after="60"/>
            </w:pPr>
            <w:proofErr w:type="spellStart"/>
            <w:r w:rsidRPr="009303DC">
              <w:rPr>
                <w:i/>
              </w:rPr>
              <w:t>Kontis</w:t>
            </w:r>
            <w:proofErr w:type="spellEnd"/>
            <w:r w:rsidRPr="009303DC">
              <w:rPr>
                <w:i/>
              </w:rPr>
              <w:t xml:space="preserve"> v </w:t>
            </w:r>
            <w:proofErr w:type="spellStart"/>
            <w:r w:rsidRPr="009303DC">
              <w:rPr>
                <w:i/>
              </w:rPr>
              <w:t>Barlin</w:t>
            </w:r>
            <w:proofErr w:type="spellEnd"/>
            <w:r w:rsidRPr="009303DC">
              <w:t xml:space="preserve"> (1993) 115 ACTR 11</w:t>
            </w:r>
          </w:p>
          <w:p w14:paraId="4F122BBD" w14:textId="77777777" w:rsidR="009303DC" w:rsidRPr="009303DC" w:rsidRDefault="009303DC" w:rsidP="009303DC">
            <w:pPr>
              <w:pStyle w:val="CasesLegislationAppealFrom"/>
              <w:spacing w:after="60"/>
            </w:pPr>
            <w:r w:rsidRPr="009303DC">
              <w:rPr>
                <w:i/>
              </w:rPr>
              <w:t>Oliver v Nine Network Australia Pty Ltd</w:t>
            </w:r>
            <w:r w:rsidRPr="009303DC">
              <w:t xml:space="preserve"> [2019] FCA 583</w:t>
            </w:r>
          </w:p>
          <w:p w14:paraId="0724E1D5" w14:textId="1C8BD955" w:rsidR="009303DC" w:rsidRDefault="009303DC" w:rsidP="009303DC">
            <w:pPr>
              <w:pStyle w:val="CasesLegislationAppealFrom"/>
              <w:spacing w:after="60"/>
            </w:pPr>
            <w:r w:rsidRPr="009303DC">
              <w:rPr>
                <w:i/>
              </w:rPr>
              <w:t xml:space="preserve">Rana v Google </w:t>
            </w:r>
            <w:proofErr w:type="spellStart"/>
            <w:r w:rsidRPr="009303DC">
              <w:rPr>
                <w:i/>
              </w:rPr>
              <w:t>Inc</w:t>
            </w:r>
            <w:proofErr w:type="spellEnd"/>
            <w:r w:rsidRPr="009303DC">
              <w:t xml:space="preserve"> [2017] FCAFC 156; 254 FCR 1</w:t>
            </w:r>
          </w:p>
          <w:p w14:paraId="5E68BC0E" w14:textId="522BFC89" w:rsidR="00737F2E" w:rsidRPr="009303DC" w:rsidRDefault="00737F2E" w:rsidP="009303DC">
            <w:pPr>
              <w:pStyle w:val="CasesLegislationAppealFrom"/>
              <w:spacing w:after="60"/>
            </w:pPr>
            <w:proofErr w:type="spellStart"/>
            <w:r w:rsidRPr="00281464">
              <w:rPr>
                <w:i/>
              </w:rPr>
              <w:t>Renuka</w:t>
            </w:r>
            <w:proofErr w:type="spellEnd"/>
            <w:r w:rsidRPr="00281464">
              <w:rPr>
                <w:i/>
              </w:rPr>
              <w:t xml:space="preserve"> </w:t>
            </w:r>
            <w:proofErr w:type="spellStart"/>
            <w:r w:rsidRPr="00281464">
              <w:rPr>
                <w:i/>
              </w:rPr>
              <w:t>Raghubir</w:t>
            </w:r>
            <w:proofErr w:type="spellEnd"/>
            <w:r w:rsidRPr="00281464">
              <w:rPr>
                <w:i/>
              </w:rPr>
              <w:t xml:space="preserve"> v Christine </w:t>
            </w:r>
            <w:proofErr w:type="spellStart"/>
            <w:r w:rsidRPr="00281464">
              <w:rPr>
                <w:i/>
              </w:rPr>
              <w:t>Nicolopoulos</w:t>
            </w:r>
            <w:proofErr w:type="spellEnd"/>
            <w:r w:rsidRPr="00281464">
              <w:rPr>
                <w:i/>
              </w:rPr>
              <w:t xml:space="preserve"> </w:t>
            </w:r>
            <w:r>
              <w:t>[2022] NSWSC 386</w:t>
            </w:r>
          </w:p>
          <w:p w14:paraId="2CF858A2" w14:textId="77777777" w:rsidR="009303DC" w:rsidRPr="009303DC" w:rsidRDefault="009303DC" w:rsidP="009303DC">
            <w:pPr>
              <w:pStyle w:val="CasesLegislationAppealFrom"/>
              <w:spacing w:after="60"/>
            </w:pPr>
            <w:r w:rsidRPr="009303DC">
              <w:rPr>
                <w:i/>
              </w:rPr>
              <w:t>Swanson v Harley</w:t>
            </w:r>
            <w:r w:rsidRPr="009303DC">
              <w:t xml:space="preserve"> (1995) 103 NTR 25</w:t>
            </w:r>
          </w:p>
          <w:p w14:paraId="4E6D17CA" w14:textId="32FA9AAC" w:rsidR="009303DC" w:rsidRPr="009303DC" w:rsidRDefault="009303DC" w:rsidP="009303DC">
            <w:pPr>
              <w:pStyle w:val="CasesLegislationAppealFrom"/>
              <w:spacing w:after="60"/>
            </w:pPr>
            <w:r w:rsidRPr="009303DC">
              <w:rPr>
                <w:i/>
              </w:rPr>
              <w:t>Thomson Australian Holdings Pty Ltd v Trade Practices Commission</w:t>
            </w:r>
            <w:r w:rsidRPr="009303DC">
              <w:t xml:space="preserve"> </w:t>
            </w:r>
            <w:r w:rsidR="00991E8B">
              <w:t>[1981] HCA 48;</w:t>
            </w:r>
            <w:r w:rsidRPr="009303DC">
              <w:t xml:space="preserve"> 148 CLR 150</w:t>
            </w:r>
          </w:p>
          <w:p w14:paraId="4A369186" w14:textId="43A0AEC1" w:rsidR="009303DC" w:rsidRPr="009303DC" w:rsidRDefault="009303DC" w:rsidP="009303DC">
            <w:pPr>
              <w:pStyle w:val="CasesLegislationAppealFrom"/>
              <w:spacing w:after="60"/>
            </w:pPr>
            <w:r w:rsidRPr="009303DC">
              <w:rPr>
                <w:i/>
              </w:rPr>
              <w:t>White Enhancements Pty Ltd v Quick Fit Tyre Service Pty Ltd</w:t>
            </w:r>
            <w:r w:rsidRPr="009303DC">
              <w:t xml:space="preserve"> [2008] ACTSC 122</w:t>
            </w:r>
            <w:r w:rsidR="00E807F2">
              <w:t>; 221 FLR 409</w:t>
            </w:r>
          </w:p>
          <w:p w14:paraId="2A79A629" w14:textId="17B2A4B4" w:rsidR="009303DC" w:rsidRPr="009303DC" w:rsidRDefault="009303DC" w:rsidP="009303DC">
            <w:pPr>
              <w:pStyle w:val="CasesLegislationAppealFrom"/>
              <w:spacing w:after="60"/>
            </w:pPr>
            <w:proofErr w:type="spellStart"/>
            <w:r w:rsidRPr="009303DC">
              <w:rPr>
                <w:i/>
              </w:rPr>
              <w:t>Woodham</w:t>
            </w:r>
            <w:proofErr w:type="spellEnd"/>
            <w:r w:rsidRPr="009303DC">
              <w:rPr>
                <w:i/>
              </w:rPr>
              <w:t xml:space="preserve"> v Lander</w:t>
            </w:r>
            <w:r w:rsidRPr="009303DC">
              <w:t xml:space="preserve"> [2004] ACTSC 34</w:t>
            </w:r>
            <w:bookmarkEnd w:id="4"/>
            <w:r w:rsidR="00E807F2">
              <w:t>; 192 FLR 1</w:t>
            </w:r>
          </w:p>
        </w:tc>
      </w:tr>
      <w:tr w:rsidR="00AA0883" w14:paraId="13863FAE" w14:textId="77777777" w:rsidTr="003C3664">
        <w:tc>
          <w:tcPr>
            <w:tcW w:w="3084" w:type="dxa"/>
            <w:shd w:val="clear" w:color="auto" w:fill="auto"/>
          </w:tcPr>
          <w:p w14:paraId="436A95C6" w14:textId="77777777" w:rsidR="00AA0883" w:rsidRDefault="00AA0883" w:rsidP="0068508F">
            <w:pPr>
              <w:pStyle w:val="Normal1linespace"/>
              <w:widowControl w:val="0"/>
            </w:pPr>
          </w:p>
        </w:tc>
        <w:tc>
          <w:tcPr>
            <w:tcW w:w="5989" w:type="dxa"/>
            <w:shd w:val="clear" w:color="auto" w:fill="auto"/>
          </w:tcPr>
          <w:p w14:paraId="6B00A9FD" w14:textId="77777777" w:rsidR="00AA0883" w:rsidRDefault="00AA0883" w:rsidP="0068508F">
            <w:pPr>
              <w:pStyle w:val="Normal1linespace"/>
              <w:widowControl w:val="0"/>
              <w:jc w:val="left"/>
            </w:pPr>
          </w:p>
        </w:tc>
      </w:tr>
      <w:tr w:rsidR="00AA0883" w14:paraId="7D604F49" w14:textId="77777777" w:rsidTr="003C3664">
        <w:tc>
          <w:tcPr>
            <w:tcW w:w="3084" w:type="dxa"/>
            <w:shd w:val="clear" w:color="auto" w:fill="auto"/>
          </w:tcPr>
          <w:p w14:paraId="2045B7ED" w14:textId="77777777" w:rsidR="00AA0883" w:rsidRDefault="00AA0883" w:rsidP="00501A12">
            <w:pPr>
              <w:pStyle w:val="Normal1linespace"/>
              <w:widowControl w:val="0"/>
            </w:pPr>
            <w:r>
              <w:t>Division:</w:t>
            </w:r>
          </w:p>
        </w:tc>
        <w:tc>
          <w:tcPr>
            <w:tcW w:w="5989" w:type="dxa"/>
            <w:shd w:val="clear" w:color="auto" w:fill="auto"/>
          </w:tcPr>
          <w:p w14:paraId="2DADBE0A" w14:textId="77777777" w:rsidR="00AA0883" w:rsidRPr="00F17599" w:rsidRDefault="00215A4C" w:rsidP="00501A12">
            <w:pPr>
              <w:pStyle w:val="Normal1linespace"/>
              <w:widowControl w:val="0"/>
              <w:jc w:val="left"/>
            </w:pPr>
            <w:r>
              <w:fldChar w:fldCharType="begin"/>
            </w:r>
            <w:r>
              <w:instrText xml:space="preserve"> DOCPROPERTY  Division </w:instrText>
            </w:r>
            <w:r>
              <w:fldChar w:fldCharType="separate"/>
            </w:r>
            <w:r w:rsidR="00AA0883">
              <w:t>General Division</w:t>
            </w:r>
            <w:r>
              <w:fldChar w:fldCharType="end"/>
            </w:r>
          </w:p>
        </w:tc>
      </w:tr>
      <w:tr w:rsidR="00AA0883" w14:paraId="2802B4FC" w14:textId="77777777" w:rsidTr="003C3664">
        <w:tc>
          <w:tcPr>
            <w:tcW w:w="3084" w:type="dxa"/>
            <w:shd w:val="clear" w:color="auto" w:fill="auto"/>
          </w:tcPr>
          <w:p w14:paraId="72CE928F" w14:textId="77777777" w:rsidR="00AA0883" w:rsidRDefault="00AA0883" w:rsidP="00501A12">
            <w:pPr>
              <w:pStyle w:val="Normal1linespace"/>
              <w:widowControl w:val="0"/>
            </w:pPr>
            <w:bookmarkStart w:id="5" w:name="Registry_rows" w:colFirst="0" w:colLast="1"/>
          </w:p>
        </w:tc>
        <w:tc>
          <w:tcPr>
            <w:tcW w:w="5989" w:type="dxa"/>
            <w:shd w:val="clear" w:color="auto" w:fill="auto"/>
          </w:tcPr>
          <w:p w14:paraId="79D97FA4" w14:textId="77777777" w:rsidR="00AA0883" w:rsidRDefault="00AA0883" w:rsidP="00501A12">
            <w:pPr>
              <w:pStyle w:val="Normal1linespace"/>
              <w:widowControl w:val="0"/>
              <w:jc w:val="left"/>
            </w:pPr>
          </w:p>
        </w:tc>
      </w:tr>
      <w:tr w:rsidR="00AA0883" w14:paraId="62FDF287" w14:textId="77777777" w:rsidTr="003C3664">
        <w:tc>
          <w:tcPr>
            <w:tcW w:w="3084" w:type="dxa"/>
            <w:shd w:val="clear" w:color="auto" w:fill="auto"/>
          </w:tcPr>
          <w:p w14:paraId="0AE5EB83" w14:textId="77777777" w:rsidR="00AA0883" w:rsidRDefault="00AA0883" w:rsidP="00501A12">
            <w:pPr>
              <w:pStyle w:val="Normal1linespace"/>
              <w:widowControl w:val="0"/>
            </w:pPr>
            <w:r>
              <w:t>Registry:</w:t>
            </w:r>
          </w:p>
        </w:tc>
        <w:tc>
          <w:tcPr>
            <w:tcW w:w="5989" w:type="dxa"/>
            <w:shd w:val="clear" w:color="auto" w:fill="auto"/>
          </w:tcPr>
          <w:p w14:paraId="3188AA67" w14:textId="77777777" w:rsidR="00AA0883" w:rsidRPr="00F17599" w:rsidRDefault="00215A4C" w:rsidP="00501A12">
            <w:pPr>
              <w:pStyle w:val="Normal1linespace"/>
              <w:widowControl w:val="0"/>
              <w:jc w:val="left"/>
            </w:pPr>
            <w:r>
              <w:fldChar w:fldCharType="begin"/>
            </w:r>
            <w:r>
              <w:instrText xml:space="preserve"> DOCPROPERTY  Registry </w:instrText>
            </w:r>
            <w:r>
              <w:fldChar w:fldCharType="separate"/>
            </w:r>
            <w:r w:rsidR="00AA0883">
              <w:t>New South Wales</w:t>
            </w:r>
            <w:r>
              <w:fldChar w:fldCharType="end"/>
            </w:r>
          </w:p>
        </w:tc>
      </w:tr>
      <w:tr w:rsidR="00AA0883" w14:paraId="5CF5A0FA" w14:textId="77777777" w:rsidTr="003C3664">
        <w:tc>
          <w:tcPr>
            <w:tcW w:w="3084" w:type="dxa"/>
            <w:shd w:val="clear" w:color="auto" w:fill="auto"/>
          </w:tcPr>
          <w:p w14:paraId="434E1F53" w14:textId="77777777" w:rsidR="00AA0883" w:rsidRDefault="00AA0883" w:rsidP="00501A12">
            <w:pPr>
              <w:pStyle w:val="Normal1linespace"/>
              <w:widowControl w:val="0"/>
            </w:pPr>
            <w:bookmarkStart w:id="6" w:name="NPARow" w:colFirst="0" w:colLast="1"/>
            <w:bookmarkEnd w:id="5"/>
          </w:p>
        </w:tc>
        <w:tc>
          <w:tcPr>
            <w:tcW w:w="5989" w:type="dxa"/>
            <w:shd w:val="clear" w:color="auto" w:fill="auto"/>
          </w:tcPr>
          <w:p w14:paraId="27149DC7" w14:textId="77777777" w:rsidR="00AA0883" w:rsidRPr="00F17599" w:rsidRDefault="00AA0883" w:rsidP="00501A12">
            <w:pPr>
              <w:pStyle w:val="Normal1linespace"/>
              <w:widowControl w:val="0"/>
              <w:jc w:val="left"/>
              <w:rPr>
                <w:b/>
              </w:rPr>
            </w:pPr>
          </w:p>
        </w:tc>
      </w:tr>
      <w:tr w:rsidR="00AA0883" w14:paraId="08520EB9" w14:textId="77777777" w:rsidTr="003C3664">
        <w:tc>
          <w:tcPr>
            <w:tcW w:w="3084" w:type="dxa"/>
            <w:shd w:val="clear" w:color="auto" w:fill="auto"/>
          </w:tcPr>
          <w:p w14:paraId="562D6DD0" w14:textId="77777777" w:rsidR="00AA0883" w:rsidRDefault="00AA0883" w:rsidP="00501A12">
            <w:pPr>
              <w:pStyle w:val="Normal1linespace"/>
              <w:widowControl w:val="0"/>
            </w:pPr>
            <w:r>
              <w:t>National Practice Area:</w:t>
            </w:r>
          </w:p>
        </w:tc>
        <w:tc>
          <w:tcPr>
            <w:tcW w:w="5989" w:type="dxa"/>
            <w:shd w:val="clear" w:color="auto" w:fill="auto"/>
          </w:tcPr>
          <w:p w14:paraId="27DA99FC" w14:textId="77777777" w:rsidR="00AA0883" w:rsidRPr="00F17599" w:rsidRDefault="00215A4C" w:rsidP="0068508F">
            <w:pPr>
              <w:pStyle w:val="Normal1linespace"/>
              <w:widowControl w:val="0"/>
              <w:jc w:val="left"/>
              <w:rPr>
                <w:b/>
              </w:rPr>
            </w:pPr>
            <w:r>
              <w:fldChar w:fldCharType="begin"/>
            </w:r>
            <w:r>
              <w:instrText xml:space="preserve"> DOCPROPERTY  "Practice Area"  \* MERGEFORMAT </w:instrText>
            </w:r>
            <w:r>
              <w:fldChar w:fldCharType="separate"/>
            </w:r>
            <w:r w:rsidR="00AA0883">
              <w:t>Other Federal Jurisdiction</w:t>
            </w:r>
            <w:r>
              <w:fldChar w:fldCharType="end"/>
            </w:r>
          </w:p>
        </w:tc>
      </w:tr>
      <w:bookmarkEnd w:id="6"/>
      <w:tr w:rsidR="00AA0883" w14:paraId="40D96F04" w14:textId="77777777" w:rsidTr="003C3664">
        <w:tc>
          <w:tcPr>
            <w:tcW w:w="3084" w:type="dxa"/>
            <w:shd w:val="clear" w:color="auto" w:fill="auto"/>
          </w:tcPr>
          <w:p w14:paraId="4F0B8F32" w14:textId="77777777" w:rsidR="00AA0883" w:rsidRDefault="00AA0883" w:rsidP="00501A12">
            <w:pPr>
              <w:pStyle w:val="Normal1linespace"/>
              <w:widowControl w:val="0"/>
            </w:pPr>
          </w:p>
        </w:tc>
        <w:tc>
          <w:tcPr>
            <w:tcW w:w="5989" w:type="dxa"/>
            <w:shd w:val="clear" w:color="auto" w:fill="auto"/>
          </w:tcPr>
          <w:p w14:paraId="09814FA7" w14:textId="77777777" w:rsidR="00AA0883" w:rsidRDefault="00AA0883" w:rsidP="00501A12">
            <w:pPr>
              <w:pStyle w:val="Normal1linespace"/>
              <w:widowControl w:val="0"/>
              <w:jc w:val="left"/>
            </w:pPr>
          </w:p>
        </w:tc>
      </w:tr>
      <w:tr w:rsidR="00AA0883" w14:paraId="7BA41A8A" w14:textId="77777777" w:rsidTr="003C3664">
        <w:tc>
          <w:tcPr>
            <w:tcW w:w="3084" w:type="dxa"/>
            <w:shd w:val="clear" w:color="auto" w:fill="auto"/>
          </w:tcPr>
          <w:p w14:paraId="7084D2E1" w14:textId="77777777" w:rsidR="00AA0883" w:rsidRDefault="00AA0883" w:rsidP="00501A12">
            <w:pPr>
              <w:pStyle w:val="Normal1linespace"/>
              <w:widowControl w:val="0"/>
            </w:pPr>
            <w:r>
              <w:t>Number of paragraphs:</w:t>
            </w:r>
          </w:p>
        </w:tc>
        <w:tc>
          <w:tcPr>
            <w:tcW w:w="5989" w:type="dxa"/>
            <w:shd w:val="clear" w:color="auto" w:fill="auto"/>
          </w:tcPr>
          <w:p w14:paraId="329AE731" w14:textId="63F72927" w:rsidR="00AA0883" w:rsidRDefault="00A2610B" w:rsidP="00215A4C">
            <w:pPr>
              <w:pStyle w:val="Normal1linespace"/>
              <w:widowControl w:val="0"/>
              <w:jc w:val="left"/>
            </w:pPr>
            <w:bookmarkStart w:id="7" w:name="PlaceCategoryParagraphs"/>
            <w:r w:rsidRPr="009303DC">
              <w:t>4</w:t>
            </w:r>
            <w:bookmarkEnd w:id="7"/>
            <w:r w:rsidR="00215A4C">
              <w:t>2</w:t>
            </w:r>
            <w:bookmarkStart w:id="8" w:name="_GoBack"/>
            <w:bookmarkEnd w:id="8"/>
          </w:p>
        </w:tc>
      </w:tr>
      <w:tr w:rsidR="00AA0883" w14:paraId="659AE4DD" w14:textId="77777777" w:rsidTr="003C3664">
        <w:tc>
          <w:tcPr>
            <w:tcW w:w="3084" w:type="dxa"/>
            <w:shd w:val="clear" w:color="auto" w:fill="auto"/>
          </w:tcPr>
          <w:p w14:paraId="619B14DF" w14:textId="77777777" w:rsidR="00AA0883" w:rsidRDefault="00AA0883" w:rsidP="00AA0883">
            <w:pPr>
              <w:pStyle w:val="Normal1linespace"/>
              <w:widowControl w:val="0"/>
              <w:jc w:val="left"/>
            </w:pPr>
          </w:p>
        </w:tc>
        <w:tc>
          <w:tcPr>
            <w:tcW w:w="5989" w:type="dxa"/>
            <w:shd w:val="clear" w:color="auto" w:fill="auto"/>
          </w:tcPr>
          <w:p w14:paraId="157C88DB" w14:textId="77777777" w:rsidR="00AA0883" w:rsidRDefault="00AA0883" w:rsidP="00AA0883">
            <w:pPr>
              <w:pStyle w:val="Normal1linespace"/>
              <w:widowControl w:val="0"/>
              <w:jc w:val="left"/>
            </w:pPr>
          </w:p>
        </w:tc>
      </w:tr>
      <w:tr w:rsidR="00AA0883" w14:paraId="3E4FBEAD" w14:textId="77777777" w:rsidTr="003C3664">
        <w:tc>
          <w:tcPr>
            <w:tcW w:w="3084" w:type="dxa"/>
            <w:shd w:val="clear" w:color="auto" w:fill="auto"/>
          </w:tcPr>
          <w:p w14:paraId="024AF20B" w14:textId="77777777" w:rsidR="00AA0883" w:rsidRDefault="00AA0883" w:rsidP="00AA0883">
            <w:pPr>
              <w:pStyle w:val="Normal1linespace"/>
              <w:widowControl w:val="0"/>
              <w:jc w:val="left"/>
            </w:pPr>
            <w:bookmarkStart w:id="9" w:name="CounselDate" w:colFirst="0" w:colLast="2"/>
            <w:r w:rsidRPr="006A24E3">
              <w:t>Date of hearing:</w:t>
            </w:r>
          </w:p>
        </w:tc>
        <w:tc>
          <w:tcPr>
            <w:tcW w:w="5989" w:type="dxa"/>
            <w:shd w:val="clear" w:color="auto" w:fill="auto"/>
          </w:tcPr>
          <w:p w14:paraId="103437DC" w14:textId="77777777" w:rsidR="00AA0883" w:rsidRDefault="003C3664" w:rsidP="00AA0883">
            <w:pPr>
              <w:pStyle w:val="Normal1linespace"/>
              <w:widowControl w:val="0"/>
              <w:jc w:val="left"/>
            </w:pPr>
            <w:bookmarkStart w:id="10" w:name="HearingDate"/>
            <w:r>
              <w:t>17 May 2022</w:t>
            </w:r>
            <w:r w:rsidR="00AA0883">
              <w:t xml:space="preserve"> </w:t>
            </w:r>
            <w:bookmarkEnd w:id="10"/>
          </w:p>
        </w:tc>
      </w:tr>
      <w:tr w:rsidR="00AA0883" w14:paraId="20D3A9B9" w14:textId="77777777" w:rsidTr="003C3664">
        <w:tc>
          <w:tcPr>
            <w:tcW w:w="3084" w:type="dxa"/>
            <w:shd w:val="clear" w:color="auto" w:fill="auto"/>
          </w:tcPr>
          <w:p w14:paraId="1452D5D5" w14:textId="77777777" w:rsidR="00AA0883" w:rsidRDefault="00AA0883" w:rsidP="00AA0883">
            <w:pPr>
              <w:pStyle w:val="Normal1linespace"/>
              <w:widowControl w:val="0"/>
              <w:jc w:val="left"/>
            </w:pPr>
          </w:p>
        </w:tc>
        <w:tc>
          <w:tcPr>
            <w:tcW w:w="5989" w:type="dxa"/>
            <w:shd w:val="clear" w:color="auto" w:fill="auto"/>
          </w:tcPr>
          <w:p w14:paraId="48E1FDD5" w14:textId="77777777" w:rsidR="00AA0883" w:rsidRDefault="00AA0883" w:rsidP="00AA0883">
            <w:pPr>
              <w:pStyle w:val="Normal1linespace"/>
              <w:widowControl w:val="0"/>
              <w:jc w:val="left"/>
            </w:pPr>
          </w:p>
        </w:tc>
      </w:tr>
      <w:tr w:rsidR="003C3664" w14:paraId="4CB0969A" w14:textId="77777777" w:rsidTr="003C3664">
        <w:tc>
          <w:tcPr>
            <w:tcW w:w="3084" w:type="dxa"/>
            <w:shd w:val="clear" w:color="auto" w:fill="auto"/>
          </w:tcPr>
          <w:p w14:paraId="7322F3C6" w14:textId="77777777" w:rsidR="003C3664" w:rsidRDefault="003C3664" w:rsidP="003C3664">
            <w:pPr>
              <w:pStyle w:val="Normal1linespace"/>
              <w:widowControl w:val="0"/>
              <w:jc w:val="left"/>
            </w:pPr>
            <w:bookmarkStart w:id="11" w:name="Counsel" w:colFirst="0" w:colLast="2"/>
            <w:bookmarkEnd w:id="9"/>
            <w:r>
              <w:t>Counsel for the Appellants:</w:t>
            </w:r>
          </w:p>
        </w:tc>
        <w:tc>
          <w:tcPr>
            <w:tcW w:w="5989" w:type="dxa"/>
            <w:shd w:val="clear" w:color="auto" w:fill="auto"/>
          </w:tcPr>
          <w:p w14:paraId="1EEEDD68" w14:textId="77777777" w:rsidR="003C3664" w:rsidRDefault="003C3664" w:rsidP="00290EAF">
            <w:pPr>
              <w:pStyle w:val="Normal1linespace"/>
              <w:widowControl w:val="0"/>
              <w:jc w:val="left"/>
            </w:pPr>
            <w:bookmarkStart w:id="12" w:name="AppCounsel"/>
            <w:bookmarkEnd w:id="12"/>
            <w:r>
              <w:t xml:space="preserve">The </w:t>
            </w:r>
            <w:r w:rsidR="00290EAF">
              <w:t>a</w:t>
            </w:r>
            <w:r>
              <w:t>ppellants appeared in person</w:t>
            </w:r>
          </w:p>
        </w:tc>
      </w:tr>
      <w:tr w:rsidR="003C3664" w14:paraId="2B93D2A7" w14:textId="77777777" w:rsidTr="003C3664">
        <w:tc>
          <w:tcPr>
            <w:tcW w:w="3084" w:type="dxa"/>
            <w:shd w:val="clear" w:color="auto" w:fill="auto"/>
          </w:tcPr>
          <w:p w14:paraId="2D8E7826" w14:textId="77777777" w:rsidR="003C3664" w:rsidRDefault="003C3664" w:rsidP="003C3664">
            <w:pPr>
              <w:pStyle w:val="Normal1linespace"/>
              <w:widowControl w:val="0"/>
              <w:jc w:val="left"/>
            </w:pPr>
          </w:p>
        </w:tc>
        <w:tc>
          <w:tcPr>
            <w:tcW w:w="5989" w:type="dxa"/>
            <w:shd w:val="clear" w:color="auto" w:fill="auto"/>
          </w:tcPr>
          <w:p w14:paraId="4DA41A5A" w14:textId="77777777" w:rsidR="003C3664" w:rsidRDefault="003C3664" w:rsidP="003C3664">
            <w:pPr>
              <w:pStyle w:val="Normal1linespace"/>
              <w:widowControl w:val="0"/>
              <w:jc w:val="left"/>
            </w:pPr>
          </w:p>
        </w:tc>
      </w:tr>
      <w:tr w:rsidR="003C3664" w14:paraId="16E479A7" w14:textId="77777777" w:rsidTr="003C3664">
        <w:tc>
          <w:tcPr>
            <w:tcW w:w="3084" w:type="dxa"/>
            <w:shd w:val="clear" w:color="auto" w:fill="auto"/>
          </w:tcPr>
          <w:p w14:paraId="61050FFB" w14:textId="77777777" w:rsidR="003C3664" w:rsidRDefault="003C3664" w:rsidP="003C3664">
            <w:pPr>
              <w:pStyle w:val="Normal1linespace"/>
              <w:widowControl w:val="0"/>
              <w:jc w:val="left"/>
            </w:pPr>
            <w:r>
              <w:t>Counsel for the First Respondent:</w:t>
            </w:r>
          </w:p>
        </w:tc>
        <w:tc>
          <w:tcPr>
            <w:tcW w:w="5989" w:type="dxa"/>
            <w:shd w:val="clear" w:color="auto" w:fill="auto"/>
          </w:tcPr>
          <w:p w14:paraId="1A42FCAF" w14:textId="77777777" w:rsidR="003C3664" w:rsidRDefault="000A6524" w:rsidP="003C3664">
            <w:pPr>
              <w:pStyle w:val="Normal1linespace"/>
              <w:widowControl w:val="0"/>
              <w:jc w:val="left"/>
            </w:pPr>
            <w:r>
              <w:t>Ms Karen Conte-Mills</w:t>
            </w:r>
          </w:p>
        </w:tc>
      </w:tr>
      <w:tr w:rsidR="003C3664" w14:paraId="434F427A" w14:textId="77777777" w:rsidTr="003C3664">
        <w:tc>
          <w:tcPr>
            <w:tcW w:w="3084" w:type="dxa"/>
            <w:shd w:val="clear" w:color="auto" w:fill="auto"/>
          </w:tcPr>
          <w:p w14:paraId="561BB85C" w14:textId="77777777" w:rsidR="003C3664" w:rsidRDefault="003C3664" w:rsidP="003C3664">
            <w:pPr>
              <w:pStyle w:val="Normal1linespace"/>
              <w:widowControl w:val="0"/>
              <w:jc w:val="left"/>
            </w:pPr>
          </w:p>
        </w:tc>
        <w:tc>
          <w:tcPr>
            <w:tcW w:w="5989" w:type="dxa"/>
            <w:shd w:val="clear" w:color="auto" w:fill="auto"/>
          </w:tcPr>
          <w:p w14:paraId="007C8036" w14:textId="77777777" w:rsidR="003C3664" w:rsidRDefault="003C3664" w:rsidP="003C3664">
            <w:pPr>
              <w:pStyle w:val="Normal1linespace"/>
              <w:widowControl w:val="0"/>
              <w:jc w:val="left"/>
            </w:pPr>
          </w:p>
        </w:tc>
      </w:tr>
      <w:tr w:rsidR="003C3664" w14:paraId="249C37F7" w14:textId="77777777" w:rsidTr="003C3664">
        <w:tc>
          <w:tcPr>
            <w:tcW w:w="3084" w:type="dxa"/>
            <w:shd w:val="clear" w:color="auto" w:fill="auto"/>
          </w:tcPr>
          <w:p w14:paraId="52B61843" w14:textId="77777777" w:rsidR="003C3664" w:rsidRDefault="003C3664" w:rsidP="003C3664">
            <w:pPr>
              <w:pStyle w:val="Normal1linespace"/>
              <w:widowControl w:val="0"/>
              <w:jc w:val="left"/>
            </w:pPr>
            <w:r>
              <w:t>Solicitor for the First Respondent:</w:t>
            </w:r>
          </w:p>
        </w:tc>
        <w:tc>
          <w:tcPr>
            <w:tcW w:w="5989" w:type="dxa"/>
            <w:shd w:val="clear" w:color="auto" w:fill="auto"/>
          </w:tcPr>
          <w:p w14:paraId="2ECDB4C2" w14:textId="77777777" w:rsidR="003C3664" w:rsidRDefault="000A6524" w:rsidP="003C3664">
            <w:pPr>
              <w:pStyle w:val="Normal1linespace"/>
              <w:widowControl w:val="0"/>
              <w:jc w:val="left"/>
            </w:pPr>
            <w:proofErr w:type="spellStart"/>
            <w:r>
              <w:t>Harb</w:t>
            </w:r>
            <w:proofErr w:type="spellEnd"/>
            <w:r>
              <w:t xml:space="preserve"> Lawyers </w:t>
            </w:r>
          </w:p>
        </w:tc>
      </w:tr>
      <w:tr w:rsidR="003C3664" w14:paraId="7ADB4348" w14:textId="77777777" w:rsidTr="003C3664">
        <w:tc>
          <w:tcPr>
            <w:tcW w:w="3084" w:type="dxa"/>
            <w:shd w:val="clear" w:color="auto" w:fill="auto"/>
          </w:tcPr>
          <w:p w14:paraId="181BCF22" w14:textId="77777777" w:rsidR="003C3664" w:rsidRDefault="003C3664" w:rsidP="003C3664">
            <w:pPr>
              <w:pStyle w:val="Normal1linespace"/>
              <w:widowControl w:val="0"/>
              <w:jc w:val="left"/>
            </w:pPr>
          </w:p>
        </w:tc>
        <w:tc>
          <w:tcPr>
            <w:tcW w:w="5989" w:type="dxa"/>
            <w:shd w:val="clear" w:color="auto" w:fill="auto"/>
          </w:tcPr>
          <w:p w14:paraId="7DE5FB01" w14:textId="77777777" w:rsidR="003C3664" w:rsidRDefault="003C3664" w:rsidP="003C3664">
            <w:pPr>
              <w:pStyle w:val="Normal1linespace"/>
              <w:widowControl w:val="0"/>
              <w:jc w:val="left"/>
            </w:pPr>
          </w:p>
        </w:tc>
      </w:tr>
      <w:tr w:rsidR="003C3664" w14:paraId="335F07B8" w14:textId="77777777" w:rsidTr="003C3664">
        <w:tc>
          <w:tcPr>
            <w:tcW w:w="3084" w:type="dxa"/>
            <w:shd w:val="clear" w:color="auto" w:fill="auto"/>
          </w:tcPr>
          <w:p w14:paraId="48B10CFA" w14:textId="77777777" w:rsidR="003C3664" w:rsidRDefault="003C3664" w:rsidP="003C3664">
            <w:pPr>
              <w:pStyle w:val="Normal1linespace"/>
              <w:widowControl w:val="0"/>
              <w:jc w:val="left"/>
            </w:pPr>
            <w:r>
              <w:t>Counsel for Second, Third, Fourth, Fifth, Sixth and Seventh Respondents:</w:t>
            </w:r>
          </w:p>
        </w:tc>
        <w:tc>
          <w:tcPr>
            <w:tcW w:w="5989" w:type="dxa"/>
            <w:shd w:val="clear" w:color="auto" w:fill="auto"/>
          </w:tcPr>
          <w:p w14:paraId="4B4BBB58" w14:textId="77777777" w:rsidR="003C3664" w:rsidRDefault="003C3664" w:rsidP="00290EAF">
            <w:pPr>
              <w:pStyle w:val="Normal1linespace"/>
              <w:widowControl w:val="0"/>
              <w:jc w:val="left"/>
            </w:pPr>
            <w:r>
              <w:t>The</w:t>
            </w:r>
            <w:r w:rsidR="000A6524">
              <w:t xml:space="preserve"> </w:t>
            </w:r>
            <w:r w:rsidR="00290EAF">
              <w:t>s</w:t>
            </w:r>
            <w:r w:rsidR="000A6524">
              <w:t xml:space="preserve">econd, </w:t>
            </w:r>
            <w:r w:rsidR="00290EAF">
              <w:t>t</w:t>
            </w:r>
            <w:r w:rsidR="000A6524">
              <w:t xml:space="preserve">hird, </w:t>
            </w:r>
            <w:r w:rsidR="00290EAF">
              <w:t>f</w:t>
            </w:r>
            <w:r w:rsidR="000A6524">
              <w:t xml:space="preserve">ourth, </w:t>
            </w:r>
            <w:r w:rsidR="00290EAF">
              <w:t>f</w:t>
            </w:r>
            <w:r w:rsidR="000A6524">
              <w:t xml:space="preserve">ifth, </w:t>
            </w:r>
            <w:r w:rsidR="00290EAF">
              <w:t>s</w:t>
            </w:r>
            <w:r w:rsidR="000A6524">
              <w:t xml:space="preserve">ixth and </w:t>
            </w:r>
            <w:r w:rsidR="00290EAF">
              <w:t>s</w:t>
            </w:r>
            <w:r w:rsidR="000A6524">
              <w:t>eventh</w:t>
            </w:r>
            <w:r>
              <w:t xml:space="preserve"> </w:t>
            </w:r>
            <w:r w:rsidR="00290EAF">
              <w:t>r</w:t>
            </w:r>
            <w:r>
              <w:t>espondents did not appear</w:t>
            </w:r>
          </w:p>
        </w:tc>
      </w:tr>
      <w:tr w:rsidR="003C3664" w14:paraId="605927FE" w14:textId="77777777" w:rsidTr="003C3664">
        <w:tc>
          <w:tcPr>
            <w:tcW w:w="3084" w:type="dxa"/>
            <w:shd w:val="clear" w:color="auto" w:fill="auto"/>
          </w:tcPr>
          <w:p w14:paraId="5FB7F522" w14:textId="77777777" w:rsidR="003C3664" w:rsidRDefault="003C3664" w:rsidP="003C3664">
            <w:pPr>
              <w:pStyle w:val="Normal1linespace"/>
              <w:widowControl w:val="0"/>
              <w:jc w:val="left"/>
            </w:pPr>
          </w:p>
        </w:tc>
        <w:tc>
          <w:tcPr>
            <w:tcW w:w="5989" w:type="dxa"/>
            <w:shd w:val="clear" w:color="auto" w:fill="auto"/>
          </w:tcPr>
          <w:p w14:paraId="2F440AA5" w14:textId="77777777" w:rsidR="003C3664" w:rsidRDefault="003C3664" w:rsidP="003C3664">
            <w:pPr>
              <w:pStyle w:val="Normal1linespace"/>
              <w:widowControl w:val="0"/>
              <w:jc w:val="left"/>
            </w:pPr>
          </w:p>
        </w:tc>
      </w:tr>
      <w:tr w:rsidR="003C3664" w14:paraId="3EEDE333" w14:textId="77777777" w:rsidTr="003C3664">
        <w:tc>
          <w:tcPr>
            <w:tcW w:w="3084" w:type="dxa"/>
            <w:shd w:val="clear" w:color="auto" w:fill="auto"/>
          </w:tcPr>
          <w:p w14:paraId="5760231F" w14:textId="77777777" w:rsidR="003C3664" w:rsidRDefault="003C3664" w:rsidP="003C3664">
            <w:pPr>
              <w:pStyle w:val="Normal1linespace"/>
              <w:widowControl w:val="0"/>
              <w:jc w:val="left"/>
            </w:pPr>
            <w:r>
              <w:t>Amicus curiae:</w:t>
            </w:r>
          </w:p>
        </w:tc>
        <w:tc>
          <w:tcPr>
            <w:tcW w:w="5989" w:type="dxa"/>
            <w:shd w:val="clear" w:color="auto" w:fill="auto"/>
          </w:tcPr>
          <w:p w14:paraId="1E305307" w14:textId="77777777" w:rsidR="003C3664" w:rsidRDefault="000A6524" w:rsidP="003C3664">
            <w:pPr>
              <w:pStyle w:val="Normal1linespace"/>
              <w:widowControl w:val="0"/>
              <w:jc w:val="left"/>
            </w:pPr>
            <w:r>
              <w:t>Mr Richard Lancaster SC</w:t>
            </w:r>
          </w:p>
        </w:tc>
      </w:tr>
      <w:tr w:rsidR="000A6524" w14:paraId="6A39AC5B" w14:textId="77777777" w:rsidTr="003C3664">
        <w:tc>
          <w:tcPr>
            <w:tcW w:w="3084" w:type="dxa"/>
            <w:shd w:val="clear" w:color="auto" w:fill="auto"/>
          </w:tcPr>
          <w:p w14:paraId="4731E315" w14:textId="77777777" w:rsidR="000A6524" w:rsidRDefault="000A6524" w:rsidP="003C3664">
            <w:pPr>
              <w:pStyle w:val="Normal1linespace"/>
              <w:widowControl w:val="0"/>
              <w:jc w:val="left"/>
            </w:pPr>
          </w:p>
        </w:tc>
        <w:tc>
          <w:tcPr>
            <w:tcW w:w="5989" w:type="dxa"/>
            <w:shd w:val="clear" w:color="auto" w:fill="auto"/>
          </w:tcPr>
          <w:p w14:paraId="5FE18860" w14:textId="77777777" w:rsidR="000A6524" w:rsidRDefault="000A6524" w:rsidP="003C3664">
            <w:pPr>
              <w:pStyle w:val="Normal1linespace"/>
              <w:widowControl w:val="0"/>
              <w:jc w:val="left"/>
            </w:pPr>
          </w:p>
        </w:tc>
      </w:tr>
      <w:bookmarkEnd w:id="11"/>
    </w:tbl>
    <w:p w14:paraId="419604F6" w14:textId="77777777" w:rsidR="007470BD" w:rsidRDefault="007470BD">
      <w:pPr>
        <w:pStyle w:val="Normal1linespace"/>
      </w:pPr>
    </w:p>
    <w:p w14:paraId="33492C68" w14:textId="77777777" w:rsidR="00E94CBF" w:rsidRDefault="00E94CBF">
      <w:pPr>
        <w:pStyle w:val="Normal1linespace"/>
      </w:pPr>
    </w:p>
    <w:p w14:paraId="19395FDC"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491F38B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D3E0F92" w14:textId="77777777" w:rsidTr="00E81DA6">
        <w:tc>
          <w:tcPr>
            <w:tcW w:w="6912" w:type="dxa"/>
            <w:gridSpan w:val="2"/>
          </w:tcPr>
          <w:p w14:paraId="4DD07EE1" w14:textId="77777777" w:rsidR="00A46CCC" w:rsidRPr="001765E0" w:rsidRDefault="00A46CCC" w:rsidP="00525A49">
            <w:pPr>
              <w:pStyle w:val="NormalHeadings"/>
            </w:pPr>
          </w:p>
        </w:tc>
        <w:tc>
          <w:tcPr>
            <w:tcW w:w="2330" w:type="dxa"/>
          </w:tcPr>
          <w:p w14:paraId="52A05DDF" w14:textId="77777777" w:rsidR="00A46CCC" w:rsidRDefault="00AA0883" w:rsidP="00F92355">
            <w:pPr>
              <w:pStyle w:val="NormalHeadings"/>
              <w:jc w:val="right"/>
            </w:pPr>
            <w:bookmarkStart w:id="13" w:name="FileNo"/>
            <w:r>
              <w:t>NSD</w:t>
            </w:r>
            <w:r w:rsidR="00E04B51">
              <w:t xml:space="preserve"> </w:t>
            </w:r>
            <w:r>
              <w:t>1021 of 2021</w:t>
            </w:r>
            <w:bookmarkEnd w:id="13"/>
          </w:p>
        </w:tc>
      </w:tr>
      <w:tr w:rsidR="00A76C13" w14:paraId="6BC0E299" w14:textId="77777777" w:rsidTr="0068508F">
        <w:tc>
          <w:tcPr>
            <w:tcW w:w="9242" w:type="dxa"/>
            <w:gridSpan w:val="3"/>
          </w:tcPr>
          <w:p w14:paraId="00E852E6" w14:textId="77777777" w:rsidR="00A76C13" w:rsidRPr="00A76C13" w:rsidRDefault="00AA0883" w:rsidP="00AA0883">
            <w:pPr>
              <w:pStyle w:val="NormalHeadings"/>
              <w:jc w:val="left"/>
            </w:pPr>
            <w:bookmarkStart w:id="14" w:name="InTheMatterOf"/>
            <w:r>
              <w:t xml:space="preserve"> </w:t>
            </w:r>
            <w:bookmarkEnd w:id="14"/>
          </w:p>
        </w:tc>
      </w:tr>
      <w:tr w:rsidR="00A46CCC" w14:paraId="4A2263FA" w14:textId="77777777" w:rsidTr="0068508F">
        <w:trPr>
          <w:trHeight w:val="386"/>
        </w:trPr>
        <w:tc>
          <w:tcPr>
            <w:tcW w:w="2376" w:type="dxa"/>
          </w:tcPr>
          <w:p w14:paraId="61C1E564" w14:textId="77777777" w:rsidR="00A46CCC" w:rsidRDefault="00A46CCC" w:rsidP="0068508F">
            <w:pPr>
              <w:pStyle w:val="NormalHeadings"/>
              <w:jc w:val="left"/>
              <w:rPr>
                <w:caps/>
                <w:szCs w:val="24"/>
              </w:rPr>
            </w:pPr>
            <w:bookmarkStart w:id="15" w:name="Parties"/>
            <w:r>
              <w:rPr>
                <w:caps/>
                <w:szCs w:val="24"/>
              </w:rPr>
              <w:t>BETWEEN:</w:t>
            </w:r>
          </w:p>
        </w:tc>
        <w:tc>
          <w:tcPr>
            <w:tcW w:w="6866" w:type="dxa"/>
            <w:gridSpan w:val="2"/>
          </w:tcPr>
          <w:p w14:paraId="668A2297" w14:textId="77777777" w:rsidR="00AA0883" w:rsidRDefault="00AA0883" w:rsidP="00AA0883">
            <w:pPr>
              <w:pStyle w:val="NormalHeadings"/>
              <w:jc w:val="left"/>
            </w:pPr>
            <w:bookmarkStart w:id="16" w:name="Applicant"/>
            <w:r>
              <w:t>RENUKA RAGHUBIR</w:t>
            </w:r>
          </w:p>
          <w:p w14:paraId="5C5DDEF5" w14:textId="77777777" w:rsidR="00AA0883" w:rsidRDefault="00AA0883" w:rsidP="00AA0883">
            <w:pPr>
              <w:pStyle w:val="PartyType"/>
            </w:pPr>
            <w:r>
              <w:t>First App</w:t>
            </w:r>
            <w:r w:rsidR="00913B31">
              <w:t>ellant</w:t>
            </w:r>
          </w:p>
          <w:p w14:paraId="183F509F" w14:textId="77777777" w:rsidR="00AA0883" w:rsidRDefault="00AA0883" w:rsidP="0068508F">
            <w:pPr>
              <w:pStyle w:val="NormalHeadings"/>
              <w:jc w:val="left"/>
              <w:rPr>
                <w:szCs w:val="24"/>
              </w:rPr>
            </w:pPr>
          </w:p>
          <w:p w14:paraId="5004A1A7" w14:textId="77777777" w:rsidR="00AA0883" w:rsidRDefault="00AA0883" w:rsidP="00AA0883">
            <w:pPr>
              <w:pStyle w:val="NormalHeadings"/>
              <w:jc w:val="left"/>
            </w:pPr>
            <w:r>
              <w:t>VIRENDRA SINGH</w:t>
            </w:r>
          </w:p>
          <w:p w14:paraId="5CBA5EDB" w14:textId="77777777" w:rsidR="00AA0883" w:rsidRDefault="00AA0883" w:rsidP="00AA0883">
            <w:pPr>
              <w:pStyle w:val="PartyType"/>
            </w:pPr>
            <w:r>
              <w:t>Second App</w:t>
            </w:r>
            <w:r w:rsidR="00913B31">
              <w:t>ellant</w:t>
            </w:r>
          </w:p>
          <w:bookmarkEnd w:id="16"/>
          <w:p w14:paraId="74D5D391" w14:textId="77777777" w:rsidR="00A46CCC" w:rsidRPr="006555B4" w:rsidRDefault="00A46CCC" w:rsidP="0068508F">
            <w:pPr>
              <w:pStyle w:val="NormalHeadings"/>
              <w:jc w:val="left"/>
            </w:pPr>
          </w:p>
        </w:tc>
      </w:tr>
      <w:tr w:rsidR="00A46CCC" w14:paraId="69E01CAA" w14:textId="77777777" w:rsidTr="0068508F">
        <w:trPr>
          <w:trHeight w:val="386"/>
        </w:trPr>
        <w:tc>
          <w:tcPr>
            <w:tcW w:w="2376" w:type="dxa"/>
          </w:tcPr>
          <w:p w14:paraId="246242DE" w14:textId="77777777" w:rsidR="00A46CCC" w:rsidRDefault="00A46CCC" w:rsidP="0068508F">
            <w:pPr>
              <w:pStyle w:val="NormalHeadings"/>
              <w:jc w:val="left"/>
              <w:rPr>
                <w:caps/>
                <w:szCs w:val="24"/>
              </w:rPr>
            </w:pPr>
            <w:r>
              <w:rPr>
                <w:caps/>
                <w:szCs w:val="24"/>
              </w:rPr>
              <w:t>AND:</w:t>
            </w:r>
          </w:p>
        </w:tc>
        <w:tc>
          <w:tcPr>
            <w:tcW w:w="6866" w:type="dxa"/>
            <w:gridSpan w:val="2"/>
          </w:tcPr>
          <w:p w14:paraId="68ABF857" w14:textId="77777777" w:rsidR="00AA0883" w:rsidRDefault="00AA0883" w:rsidP="00AA0883">
            <w:pPr>
              <w:pStyle w:val="NormalHeadings"/>
              <w:jc w:val="left"/>
            </w:pPr>
            <w:bookmarkStart w:id="17" w:name="Respondent"/>
            <w:r>
              <w:t>CHRISTINE NICOLOPOULOS</w:t>
            </w:r>
          </w:p>
          <w:p w14:paraId="28631C91" w14:textId="77777777" w:rsidR="00AA0883" w:rsidRDefault="00AA0883" w:rsidP="00AA0883">
            <w:pPr>
              <w:pStyle w:val="PartyType"/>
            </w:pPr>
            <w:r>
              <w:t>First Respondent</w:t>
            </w:r>
          </w:p>
          <w:p w14:paraId="7D4B9CEC" w14:textId="77777777" w:rsidR="00AA0883" w:rsidRDefault="00AA0883" w:rsidP="0068508F">
            <w:pPr>
              <w:pStyle w:val="NormalHeadings"/>
              <w:jc w:val="left"/>
              <w:rPr>
                <w:szCs w:val="24"/>
              </w:rPr>
            </w:pPr>
          </w:p>
          <w:p w14:paraId="58CFF70E" w14:textId="77777777" w:rsidR="00AA0883" w:rsidRDefault="00AA0883" w:rsidP="00AA0883">
            <w:pPr>
              <w:pStyle w:val="NormalHeadings"/>
              <w:jc w:val="left"/>
            </w:pPr>
            <w:r>
              <w:t>STRATA MANAGER SP7526</w:t>
            </w:r>
          </w:p>
          <w:p w14:paraId="3D45AE86" w14:textId="77777777" w:rsidR="00AA0883" w:rsidRDefault="00AA0883" w:rsidP="00AA0883">
            <w:pPr>
              <w:pStyle w:val="PartyType"/>
            </w:pPr>
            <w:r>
              <w:t>Second Respondent</w:t>
            </w:r>
          </w:p>
          <w:p w14:paraId="35452DBC" w14:textId="77777777" w:rsidR="00AA0883" w:rsidRDefault="00AA0883" w:rsidP="0068508F">
            <w:pPr>
              <w:pStyle w:val="NormalHeadings"/>
              <w:jc w:val="left"/>
              <w:rPr>
                <w:szCs w:val="24"/>
              </w:rPr>
            </w:pPr>
          </w:p>
          <w:p w14:paraId="39F86415" w14:textId="77777777" w:rsidR="00AA0883" w:rsidRDefault="00AA0883" w:rsidP="00AA0883">
            <w:pPr>
              <w:pStyle w:val="NormalHeadings"/>
              <w:jc w:val="left"/>
            </w:pPr>
            <w:r>
              <w:t xml:space="preserve">STRATA TREASURER SP7526 </w:t>
            </w:r>
            <w:r w:rsidRPr="00AA0883">
              <w:rPr>
                <w:b w:val="0"/>
              </w:rPr>
              <w:t>(and others named in the Schedule)</w:t>
            </w:r>
          </w:p>
          <w:p w14:paraId="09244ADB" w14:textId="77777777" w:rsidR="00AA0883" w:rsidRDefault="00AA0883" w:rsidP="00AA0883">
            <w:pPr>
              <w:pStyle w:val="PartyType"/>
            </w:pPr>
            <w:r>
              <w:t>Third Respondent</w:t>
            </w:r>
          </w:p>
          <w:bookmarkEnd w:id="17"/>
          <w:p w14:paraId="50586323" w14:textId="77777777" w:rsidR="00A46CCC" w:rsidRPr="006555B4" w:rsidRDefault="00A46CCC" w:rsidP="0068508F">
            <w:pPr>
              <w:pStyle w:val="NormalHeadings"/>
              <w:jc w:val="left"/>
            </w:pPr>
          </w:p>
        </w:tc>
      </w:tr>
    </w:tbl>
    <w:p w14:paraId="55B895A0"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47365D34" w14:textId="77777777">
        <w:tc>
          <w:tcPr>
            <w:tcW w:w="2376" w:type="dxa"/>
          </w:tcPr>
          <w:p w14:paraId="2550FC3C"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2EE94CDC" w14:textId="77777777" w:rsidR="00395B24" w:rsidRDefault="00AA0883">
            <w:pPr>
              <w:pStyle w:val="NormalHeadings"/>
              <w:jc w:val="left"/>
              <w:rPr>
                <w:caps/>
                <w:szCs w:val="24"/>
              </w:rPr>
            </w:pPr>
            <w:bookmarkStart w:id="20" w:name="Judge"/>
            <w:r>
              <w:rPr>
                <w:caps/>
                <w:szCs w:val="24"/>
              </w:rPr>
              <w:t>ALLSOP</w:t>
            </w:r>
            <w:r w:rsidR="005E3F99">
              <w:rPr>
                <w:caps/>
                <w:szCs w:val="24"/>
              </w:rPr>
              <w:t xml:space="preserve"> CJ</w:t>
            </w:r>
            <w:r>
              <w:rPr>
                <w:caps/>
                <w:szCs w:val="24"/>
              </w:rPr>
              <w:t>, KENNY AND JAGOT JJ</w:t>
            </w:r>
            <w:bookmarkEnd w:id="20"/>
          </w:p>
        </w:tc>
      </w:tr>
      <w:tr w:rsidR="00395B24" w14:paraId="02D57B9A" w14:textId="77777777">
        <w:tc>
          <w:tcPr>
            <w:tcW w:w="2376" w:type="dxa"/>
          </w:tcPr>
          <w:p w14:paraId="0BA26019" w14:textId="77777777" w:rsidR="00395B24" w:rsidRDefault="002C7385">
            <w:pPr>
              <w:pStyle w:val="NormalHeadings"/>
              <w:spacing w:after="120"/>
              <w:jc w:val="left"/>
              <w:rPr>
                <w:caps/>
                <w:szCs w:val="24"/>
              </w:rPr>
            </w:pPr>
            <w:r>
              <w:rPr>
                <w:caps/>
                <w:szCs w:val="24"/>
              </w:rPr>
              <w:t>DATE OF ORDER:</w:t>
            </w:r>
          </w:p>
        </w:tc>
        <w:tc>
          <w:tcPr>
            <w:tcW w:w="6866" w:type="dxa"/>
          </w:tcPr>
          <w:p w14:paraId="6F4D4824" w14:textId="3D8662F1" w:rsidR="00395B24" w:rsidRDefault="000B1052">
            <w:pPr>
              <w:pStyle w:val="NormalHeadings"/>
              <w:jc w:val="left"/>
              <w:rPr>
                <w:caps/>
                <w:szCs w:val="24"/>
              </w:rPr>
            </w:pPr>
            <w:r>
              <w:rPr>
                <w:caps/>
                <w:szCs w:val="24"/>
              </w:rPr>
              <w:t>3 June 2022</w:t>
            </w:r>
          </w:p>
        </w:tc>
      </w:tr>
    </w:tbl>
    <w:p w14:paraId="52F3736C" w14:textId="77777777" w:rsidR="00395B24" w:rsidRDefault="00395B24">
      <w:pPr>
        <w:pStyle w:val="NormalHeadings"/>
        <w:rPr>
          <w:b w:val="0"/>
        </w:rPr>
      </w:pPr>
    </w:p>
    <w:p w14:paraId="609FE414" w14:textId="77777777" w:rsidR="008D1617" w:rsidRDefault="008D1617">
      <w:pPr>
        <w:pStyle w:val="NormalHeadings"/>
        <w:rPr>
          <w:b w:val="0"/>
        </w:rPr>
      </w:pPr>
    </w:p>
    <w:p w14:paraId="70FDCF0B" w14:textId="77777777" w:rsidR="00395B24" w:rsidRDefault="002C7385">
      <w:pPr>
        <w:pStyle w:val="NormalHeadings"/>
      </w:pPr>
      <w:r>
        <w:t>THE COURT ORDERS THAT:</w:t>
      </w:r>
    </w:p>
    <w:p w14:paraId="53FCDBE5" w14:textId="77777777" w:rsidR="007F60DF" w:rsidRDefault="007F60DF" w:rsidP="00243E5E">
      <w:pPr>
        <w:pStyle w:val="NormalHeadings"/>
      </w:pPr>
    </w:p>
    <w:p w14:paraId="268CC69F" w14:textId="77777777" w:rsidR="001A6C52" w:rsidRDefault="00A80734" w:rsidP="001A6C52">
      <w:pPr>
        <w:pStyle w:val="Order1"/>
      </w:pPr>
      <w:r>
        <w:t>The appeal be dismissed.</w:t>
      </w:r>
    </w:p>
    <w:p w14:paraId="01AC80DB" w14:textId="77777777" w:rsidR="00A80734" w:rsidRDefault="00A80734" w:rsidP="001A6C52">
      <w:pPr>
        <w:pStyle w:val="Order1"/>
      </w:pPr>
      <w:r>
        <w:t xml:space="preserve">The appellants pay </w:t>
      </w:r>
      <w:r w:rsidRPr="005A2E83">
        <w:t xml:space="preserve">the </w:t>
      </w:r>
      <w:r w:rsidR="00584A60" w:rsidRPr="005A2E83">
        <w:t xml:space="preserve">first </w:t>
      </w:r>
      <w:r w:rsidRPr="005A2E83">
        <w:t>respondent</w:t>
      </w:r>
      <w:r w:rsidR="00584A60" w:rsidRPr="005A2E83">
        <w:t>’</w:t>
      </w:r>
      <w:r w:rsidRPr="005A2E83">
        <w:t>s</w:t>
      </w:r>
      <w:r>
        <w:t xml:space="preserve"> costs of the appeal.</w:t>
      </w:r>
    </w:p>
    <w:p w14:paraId="51D802C9" w14:textId="77777777" w:rsidR="001A6C52" w:rsidRDefault="001A6C52" w:rsidP="001A6C52">
      <w:pPr>
        <w:pStyle w:val="BodyText"/>
      </w:pPr>
    </w:p>
    <w:p w14:paraId="66EFBFD2" w14:textId="77777777" w:rsidR="00A431E6" w:rsidRDefault="00A431E6" w:rsidP="001A6C52">
      <w:pPr>
        <w:pStyle w:val="BodyText"/>
      </w:pPr>
    </w:p>
    <w:p w14:paraId="6DDF16F0" w14:textId="77777777" w:rsidR="00E6013B" w:rsidRDefault="00E6013B" w:rsidP="004D53E5">
      <w:pPr>
        <w:pStyle w:val="SingleSpace"/>
      </w:pPr>
      <w:bookmarkStart w:id="21" w:name="OrdersStatement"/>
    </w:p>
    <w:p w14:paraId="35965D13" w14:textId="77777777" w:rsidR="00E6013B" w:rsidRDefault="00E6013B" w:rsidP="004D53E5">
      <w:pPr>
        <w:pStyle w:val="SingleSpace"/>
      </w:pPr>
    </w:p>
    <w:p w14:paraId="3EC4740E" w14:textId="77777777" w:rsidR="00E6013B" w:rsidRDefault="00E6013B" w:rsidP="004D53E5">
      <w:pPr>
        <w:pStyle w:val="SingleSpace"/>
      </w:pPr>
    </w:p>
    <w:p w14:paraId="6A74E24C" w14:textId="77777777" w:rsidR="00E6013B" w:rsidRDefault="00E6013B" w:rsidP="004D53E5">
      <w:pPr>
        <w:pStyle w:val="SingleSpace"/>
      </w:pPr>
    </w:p>
    <w:p w14:paraId="72015D34" w14:textId="77777777" w:rsidR="00E6013B" w:rsidRDefault="00E6013B" w:rsidP="004D53E5">
      <w:pPr>
        <w:pStyle w:val="SingleSpace"/>
      </w:pPr>
    </w:p>
    <w:p w14:paraId="35920D52" w14:textId="77777777" w:rsidR="00E6013B" w:rsidRDefault="00E6013B" w:rsidP="004D53E5">
      <w:pPr>
        <w:pStyle w:val="SingleSpace"/>
      </w:pPr>
    </w:p>
    <w:p w14:paraId="6582B0E0" w14:textId="77777777" w:rsidR="00E6013B" w:rsidRDefault="00E6013B" w:rsidP="004D53E5">
      <w:pPr>
        <w:pStyle w:val="SingleSpace"/>
      </w:pPr>
    </w:p>
    <w:p w14:paraId="0A3D3CA0" w14:textId="77777777" w:rsidR="00E6013B" w:rsidRDefault="00E6013B" w:rsidP="004D53E5">
      <w:pPr>
        <w:pStyle w:val="SingleSpace"/>
      </w:pPr>
    </w:p>
    <w:p w14:paraId="169ED43A" w14:textId="241D11B6" w:rsidR="0050309C" w:rsidRDefault="00AA0883" w:rsidP="004D53E5">
      <w:pPr>
        <w:pStyle w:val="SingleSpace"/>
      </w:pPr>
      <w:r>
        <w:t>Note:</w:t>
      </w:r>
      <w:r>
        <w:tab/>
        <w:t xml:space="preserve">Entry of orders is dealt with in Rule 39.32 of the </w:t>
      </w:r>
      <w:r>
        <w:rPr>
          <w:i/>
        </w:rPr>
        <w:t>Federal Court Rules 2011</w:t>
      </w:r>
      <w:r>
        <w:t>.</w:t>
      </w:r>
      <w:bookmarkEnd w:id="21"/>
    </w:p>
    <w:p w14:paraId="66406EFD" w14:textId="77777777" w:rsidR="00E23577" w:rsidRDefault="00E23577" w:rsidP="002B0E91">
      <w:pPr>
        <w:pStyle w:val="BodyText"/>
      </w:pPr>
    </w:p>
    <w:p w14:paraId="50EEC969"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3B1916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7E2397C5" w14:textId="77777777" w:rsidR="00694BEB" w:rsidRDefault="005E3F99" w:rsidP="005E0510">
      <w:pPr>
        <w:pStyle w:val="NormalHeadings"/>
        <w:spacing w:line="360" w:lineRule="auto"/>
        <w:jc w:val="left"/>
        <w:rPr>
          <w:sz w:val="26"/>
          <w:szCs w:val="26"/>
        </w:rPr>
      </w:pPr>
      <w:r>
        <w:rPr>
          <w:sz w:val="26"/>
          <w:szCs w:val="26"/>
        </w:rPr>
        <w:t>THE COURT:</w:t>
      </w:r>
    </w:p>
    <w:p w14:paraId="368256E1" w14:textId="5FF093DA" w:rsidR="00F6268C" w:rsidRDefault="000F1B0A" w:rsidP="00F6268C">
      <w:pPr>
        <w:pStyle w:val="ParaNumbering"/>
      </w:pPr>
      <w:r>
        <w:t>On 6</w:t>
      </w:r>
      <w:r w:rsidR="0001634F">
        <w:t xml:space="preserve"> August last year, the appellants, </w:t>
      </w:r>
      <w:proofErr w:type="spellStart"/>
      <w:r w:rsidR="0001634F">
        <w:t>Renuka</w:t>
      </w:r>
      <w:proofErr w:type="spellEnd"/>
      <w:r w:rsidR="0001634F">
        <w:t xml:space="preserve"> </w:t>
      </w:r>
      <w:proofErr w:type="spellStart"/>
      <w:r w:rsidR="0001634F" w:rsidRPr="0001634F">
        <w:t>Raghubir</w:t>
      </w:r>
      <w:proofErr w:type="spellEnd"/>
      <w:r w:rsidR="0001634F">
        <w:t xml:space="preserve"> and </w:t>
      </w:r>
      <w:proofErr w:type="spellStart"/>
      <w:r w:rsidR="0001634F">
        <w:t>Virendra</w:t>
      </w:r>
      <w:proofErr w:type="spellEnd"/>
      <w:r w:rsidR="0001634F">
        <w:t xml:space="preserve"> </w:t>
      </w:r>
      <w:r w:rsidR="0001634F" w:rsidRPr="0001634F">
        <w:t>Singh</w:t>
      </w:r>
      <w:r w:rsidR="0001634F">
        <w:t>, filed an originating application in th</w:t>
      </w:r>
      <w:r>
        <w:t>is</w:t>
      </w:r>
      <w:r w:rsidR="0001634F">
        <w:t xml:space="preserve"> Court claiming $5,504,100</w:t>
      </w:r>
      <w:r w:rsidR="00B83130">
        <w:t>.00</w:t>
      </w:r>
      <w:r w:rsidR="00991E8B">
        <w:t xml:space="preserve"> in</w:t>
      </w:r>
      <w:r w:rsidR="0001634F">
        <w:t xml:space="preserve"> damages for defamation under the </w:t>
      </w:r>
      <w:r w:rsidR="0001634F">
        <w:rPr>
          <w:i/>
        </w:rPr>
        <w:t>Defamation Act 2005</w:t>
      </w:r>
      <w:r w:rsidR="0001634F">
        <w:t xml:space="preserve"> (NSW)</w:t>
      </w:r>
      <w:r>
        <w:t>.</w:t>
      </w:r>
      <w:r w:rsidR="0001634F">
        <w:t xml:space="preserve"> </w:t>
      </w:r>
      <w:r w:rsidR="00A52BB2">
        <w:t>On</w:t>
      </w:r>
      <w:r>
        <w:t xml:space="preserve"> 3 September 2021, a judge of the Court dismissed the procee</w:t>
      </w:r>
      <w:r w:rsidR="00843069">
        <w:t xml:space="preserve">ding for want of jurisdiction. </w:t>
      </w:r>
      <w:r>
        <w:t xml:space="preserve">This decision has the citation </w:t>
      </w:r>
      <w:proofErr w:type="spellStart"/>
      <w:r w:rsidRPr="00F6268C">
        <w:rPr>
          <w:i/>
        </w:rPr>
        <w:t>Raghubir</w:t>
      </w:r>
      <w:proofErr w:type="spellEnd"/>
      <w:r w:rsidRPr="00F6268C">
        <w:rPr>
          <w:i/>
        </w:rPr>
        <w:t xml:space="preserve"> v </w:t>
      </w:r>
      <w:proofErr w:type="spellStart"/>
      <w:r w:rsidRPr="00F6268C">
        <w:rPr>
          <w:i/>
        </w:rPr>
        <w:t>Nicolopoulos</w:t>
      </w:r>
      <w:proofErr w:type="spellEnd"/>
      <w:r w:rsidRPr="00F6268C">
        <w:rPr>
          <w:i/>
        </w:rPr>
        <w:t xml:space="preserve"> </w:t>
      </w:r>
      <w:r>
        <w:t>[2021] FCA 1073 (</w:t>
      </w:r>
      <w:r w:rsidRPr="000F1B0A">
        <w:rPr>
          <w:b/>
        </w:rPr>
        <w:t>PJ</w:t>
      </w:r>
      <w:r>
        <w:t xml:space="preserve">). This is an appeal against his Honour’s judgment. </w:t>
      </w:r>
    </w:p>
    <w:p w14:paraId="414BC862" w14:textId="77777777" w:rsidR="00CC1EAF" w:rsidRDefault="000F1B0A" w:rsidP="0068508F">
      <w:pPr>
        <w:pStyle w:val="ParaNumbering"/>
      </w:pPr>
      <w:r>
        <w:t>In h</w:t>
      </w:r>
      <w:r w:rsidR="00F23743">
        <w:t>i</w:t>
      </w:r>
      <w:r>
        <w:t>s reasons for judgment</w:t>
      </w:r>
      <w:r w:rsidR="00F23743">
        <w:t xml:space="preserve"> (at PJ [2]-[5])</w:t>
      </w:r>
      <w:r>
        <w:t>, the primary judge outlined the</w:t>
      </w:r>
      <w:r w:rsidR="00F23743">
        <w:t xml:space="preserve"> appellants’ (then the applicants’) claims and the circumstances in which they arose as follows:</w:t>
      </w:r>
    </w:p>
    <w:p w14:paraId="13533EDB" w14:textId="4D057FD3" w:rsidR="00F6268C" w:rsidRDefault="00801CD6" w:rsidP="00F6268C">
      <w:pPr>
        <w:pStyle w:val="Quote1"/>
      </w:pPr>
      <w:r>
        <w:t>[2</w:t>
      </w:r>
      <w:proofErr w:type="gramStart"/>
      <w:r>
        <w:t xml:space="preserve">]  </w:t>
      </w:r>
      <w:r w:rsidR="00F6268C">
        <w:t>The</w:t>
      </w:r>
      <w:proofErr w:type="gramEnd"/>
      <w:r w:rsidR="00F6268C">
        <w:t xml:space="preserve"> applicants claim that the first respondent, their former next-door neighbour, Christine </w:t>
      </w:r>
      <w:proofErr w:type="spellStart"/>
      <w:r w:rsidR="00F6268C" w:rsidRPr="00F23743">
        <w:rPr>
          <w:b/>
        </w:rPr>
        <w:t>Nicolopoulos</w:t>
      </w:r>
      <w:proofErr w:type="spellEnd"/>
      <w:r w:rsidR="00F6268C">
        <w:t xml:space="preserve">, </w:t>
      </w:r>
      <w:r>
        <w:t>who</w:t>
      </w:r>
      <w:r w:rsidR="00F6268C">
        <w:t xml:space="preserve"> was the chairperson and secretary of the strata corporation in which both the applicants and the first respondent then lived. They claimed that, commencing on 2 July 2019, the first respondent wrote a series of allegedly defamatory letters to the other owners, and their real estate agents, of units in the block </w:t>
      </w:r>
      <w:r w:rsidR="00843069">
        <w:t xml:space="preserve">in Bexley, a suburb of Sydney. </w:t>
      </w:r>
      <w:r w:rsidR="00F6268C">
        <w:t xml:space="preserve">The applicants rely on these letters to claim that the first respondent alleged to the local council, as well as to their then </w:t>
      </w:r>
      <w:r w:rsidR="00F6268C">
        <w:rPr>
          <w:b/>
        </w:rPr>
        <w:t xml:space="preserve">landlord </w:t>
      </w:r>
      <w:r w:rsidR="00F6268C">
        <w:t xml:space="preserve">who owned the unit the applicants were renting, the real estate </w:t>
      </w:r>
      <w:r w:rsidR="00F6268C">
        <w:rPr>
          <w:b/>
        </w:rPr>
        <w:t xml:space="preserve">agent </w:t>
      </w:r>
      <w:r w:rsidR="00F6268C">
        <w:t xml:space="preserve">of the landlord, the New South Wales police, New South Wales Fair Trading and other members of the owners corporation, that, among other things, the applicants had made false complaints about the first respondent’s </w:t>
      </w:r>
      <w:r w:rsidR="00F6268C">
        <w:rPr>
          <w:b/>
        </w:rPr>
        <w:t>dog</w:t>
      </w:r>
      <w:r w:rsidR="00F6268C">
        <w:t xml:space="preserve"> and they had falsely impersonated a council officer in a telephone call to the first respondent.  </w:t>
      </w:r>
    </w:p>
    <w:p w14:paraId="7B9F1692" w14:textId="7D883189" w:rsidR="00F6268C" w:rsidRDefault="00801CD6" w:rsidP="00F6268C">
      <w:pPr>
        <w:pStyle w:val="Quote1"/>
      </w:pPr>
      <w:r>
        <w:t xml:space="preserve">[3]  </w:t>
      </w:r>
      <w:r w:rsidR="00F6268C">
        <w:t>The quarrel escalated to the point where it became, literally, a backyard dispute with claims being made by the first respondent that the applicants were nailing material to her back fence, which she claimed was part of her own, and not common, property.</w:t>
      </w:r>
    </w:p>
    <w:p w14:paraId="2131D607" w14:textId="6EF799E8" w:rsidR="00F6268C" w:rsidRDefault="00801CD6" w:rsidP="00F6268C">
      <w:pPr>
        <w:pStyle w:val="Quote1"/>
      </w:pPr>
      <w:r>
        <w:t>[4</w:t>
      </w:r>
      <w:proofErr w:type="gramStart"/>
      <w:r>
        <w:t xml:space="preserve">]  </w:t>
      </w:r>
      <w:r w:rsidR="00F6268C">
        <w:t>The</w:t>
      </w:r>
      <w:proofErr w:type="gramEnd"/>
      <w:r w:rsidR="00F6268C">
        <w:t xml:space="preserve"> first respondent wrote several</w:t>
      </w:r>
      <w:r w:rsidR="00843069">
        <w:t xml:space="preserve"> letters in 2019 to the agent. </w:t>
      </w:r>
      <w:r w:rsidR="00F6268C">
        <w:t>Acting on the owner’s instructions, and accepting, apparently, the first respondent’s side of the story, the agent, on the landlord’s instructions, engaged in conduct leading to the termination of the tenancy. There is some dispute as to whether or not the tenancy was terminated for non-payment of rent, or because o</w:t>
      </w:r>
      <w:r w:rsidR="00843069">
        <w:t>f the conduct of the applicants.</w:t>
      </w:r>
    </w:p>
    <w:p w14:paraId="0FEC8F1B" w14:textId="7B9BAB7B" w:rsidR="00F6268C" w:rsidRDefault="00801CD6" w:rsidP="00F6268C">
      <w:pPr>
        <w:pStyle w:val="Quote1"/>
      </w:pPr>
      <w:r>
        <w:t>[5</w:t>
      </w:r>
      <w:proofErr w:type="gramStart"/>
      <w:r>
        <w:t xml:space="preserve">]  </w:t>
      </w:r>
      <w:r w:rsidR="00F6268C">
        <w:t>The</w:t>
      </w:r>
      <w:proofErr w:type="gramEnd"/>
      <w:r w:rsidR="00F6268C">
        <w:t xml:space="preserve"> applicants asserted, repeatedly, that they were unable to rent property anywhere in Australia because of the consequences of their dispute with their former landlord, the age</w:t>
      </w:r>
      <w:r w:rsidR="00455E5B">
        <w:t xml:space="preserve">nt and their former neighbour. </w:t>
      </w:r>
      <w:r w:rsidR="00F6268C">
        <w:t xml:space="preserve">There was no evidence of any attempt that the applicants had made to rent property anywhere else in Australia, including within New South Wales.  </w:t>
      </w:r>
    </w:p>
    <w:p w14:paraId="013ABA02" w14:textId="77777777" w:rsidR="002C294F" w:rsidRDefault="002C294F" w:rsidP="00F6268C">
      <w:pPr>
        <w:pStyle w:val="Quote1"/>
      </w:pPr>
      <w:r>
        <w:t>(Bold in original)</w:t>
      </w:r>
    </w:p>
    <w:p w14:paraId="44FE7EDF" w14:textId="26537DA1" w:rsidR="002C294F" w:rsidRDefault="002C294F" w:rsidP="002C294F">
      <w:pPr>
        <w:pStyle w:val="ParaNumbering"/>
      </w:pPr>
      <w:r>
        <w:t>The learned primary judg</w:t>
      </w:r>
      <w:r w:rsidR="00801CD6">
        <w:t>e concluded (at PJ [15]) that his Honour</w:t>
      </w:r>
      <w:r>
        <w:t xml:space="preserve"> was “satisfied beyond argument that this Court does not have jurisdiction to deal with a dispute about neighbours arguing over the back fence as to barking dogs and allegedly defamatory publications made as its consequence”.</w:t>
      </w:r>
    </w:p>
    <w:p w14:paraId="725607ED" w14:textId="77777777" w:rsidR="009D74B9" w:rsidRDefault="00A52BB2" w:rsidP="002C294F">
      <w:pPr>
        <w:pStyle w:val="ParaNumbering"/>
      </w:pPr>
      <w:r>
        <w:lastRenderedPageBreak/>
        <w:t>The appellants have not had legal representation in this Court.</w:t>
      </w:r>
      <w:r w:rsidR="00455E5B">
        <w:t xml:space="preserve"> </w:t>
      </w:r>
      <w:r>
        <w:t>The first respondent has been represented by counsel</w:t>
      </w:r>
      <w:r w:rsidR="009D74B9">
        <w:t>.</w:t>
      </w:r>
      <w:r w:rsidR="00455E5B">
        <w:t xml:space="preserve"> </w:t>
      </w:r>
    </w:p>
    <w:p w14:paraId="697B0F5F" w14:textId="77777777" w:rsidR="006F1F30" w:rsidRDefault="009D74B9" w:rsidP="002C294F">
      <w:pPr>
        <w:pStyle w:val="ParaNumbering"/>
      </w:pPr>
      <w:r>
        <w:t>The Court was also assisted by Mr Richard Lancaster SC as amicus curiae</w:t>
      </w:r>
      <w:r w:rsidR="00585B65">
        <w:t xml:space="preserve"> appointed p</w:t>
      </w:r>
      <w:r>
        <w:t>ursuant to orders made on 6 April 2022</w:t>
      </w:r>
      <w:r w:rsidR="00585B65">
        <w:t>.</w:t>
      </w:r>
      <w:r w:rsidR="00455E5B">
        <w:t xml:space="preserve"> </w:t>
      </w:r>
      <w:r w:rsidR="00585B65">
        <w:t xml:space="preserve">Under these orders, </w:t>
      </w:r>
      <w:r>
        <w:t>the President of the Bar Association of New South Wales</w:t>
      </w:r>
      <w:r w:rsidR="00585B65">
        <w:t xml:space="preserve"> was requested to </w:t>
      </w:r>
      <w:r>
        <w:t xml:space="preserve">nominate counsel </w:t>
      </w:r>
      <w:r w:rsidR="00585B65">
        <w:t>to assist the Court as amicus curiae</w:t>
      </w:r>
      <w:r>
        <w:t>.</w:t>
      </w:r>
      <w:r w:rsidR="00455E5B">
        <w:t xml:space="preserve"> </w:t>
      </w:r>
      <w:r w:rsidR="00EE067B">
        <w:t xml:space="preserve">We are indebted to Mr Lancaster </w:t>
      </w:r>
      <w:r w:rsidR="005F1FC9">
        <w:t>S</w:t>
      </w:r>
      <w:r w:rsidR="00EE067B">
        <w:t>C for his assistance in this capacity.</w:t>
      </w:r>
    </w:p>
    <w:p w14:paraId="3109AE84" w14:textId="77777777" w:rsidR="00193C21" w:rsidRDefault="00193C21" w:rsidP="00193C21">
      <w:pPr>
        <w:pStyle w:val="Heading2"/>
      </w:pPr>
      <w:r>
        <w:t>Submissions before the Court on jurisdiction</w:t>
      </w:r>
    </w:p>
    <w:p w14:paraId="5B78D338" w14:textId="54C53B5B" w:rsidR="002C294F" w:rsidRDefault="00474AE0" w:rsidP="002C294F">
      <w:pPr>
        <w:pStyle w:val="ParaNumbering"/>
      </w:pPr>
      <w:bookmarkStart w:id="23" w:name="_Ref104201018"/>
      <w:r>
        <w:t>In substance</w:t>
      </w:r>
      <w:r w:rsidR="00563544">
        <w:t>,</w:t>
      </w:r>
      <w:r>
        <w:t xml:space="preserve"> the appellants submitted that</w:t>
      </w:r>
      <w:r w:rsidR="007A0374">
        <w:t xml:space="preserve"> the primary judge erred when his Honour</w:t>
      </w:r>
      <w:r>
        <w:t xml:space="preserve"> held that the Court had no jurisdiction to hear and determine their originating application</w:t>
      </w:r>
      <w:r w:rsidR="00F70B99">
        <w:t>.</w:t>
      </w:r>
      <w:r w:rsidR="00455E5B">
        <w:t xml:space="preserve"> </w:t>
      </w:r>
      <w:r w:rsidR="00F70B99">
        <w:t xml:space="preserve">They </w:t>
      </w:r>
      <w:r w:rsidR="006255F5">
        <w:t>submitted</w:t>
      </w:r>
      <w:r w:rsidR="00F70B99">
        <w:t xml:space="preserve"> that</w:t>
      </w:r>
      <w:r w:rsidR="00563544">
        <w:t>,</w:t>
      </w:r>
      <w:r w:rsidR="00F70B99">
        <w:t xml:space="preserve"> </w:t>
      </w:r>
      <w:r w:rsidR="00FF44E4">
        <w:t xml:space="preserve">due to the first respondent’s alleged defamatory conduct, </w:t>
      </w:r>
      <w:r w:rsidR="00F70B99">
        <w:t>they had been “blacklisted” on the National Tenancy Database</w:t>
      </w:r>
      <w:r w:rsidR="00366125">
        <w:t>,</w:t>
      </w:r>
      <w:r w:rsidR="00585B65">
        <w:t xml:space="preserve"> </w:t>
      </w:r>
      <w:r w:rsidR="00366125">
        <w:t xml:space="preserve">their tenancy </w:t>
      </w:r>
      <w:r w:rsidR="00585B65">
        <w:t xml:space="preserve">had been </w:t>
      </w:r>
      <w:r w:rsidR="00366125">
        <w:t>terminated and they were made</w:t>
      </w:r>
      <w:r w:rsidR="00F70B99">
        <w:t xml:space="preserve"> homeless</w:t>
      </w:r>
      <w:r w:rsidR="006255F5">
        <w:t>.</w:t>
      </w:r>
      <w:r w:rsidR="00455E5B">
        <w:t xml:space="preserve"> </w:t>
      </w:r>
      <w:r w:rsidR="006255F5">
        <w:t>They further submitted that because the</w:t>
      </w:r>
      <w:r w:rsidR="00FF44E4">
        <w:t xml:space="preserve"> </w:t>
      </w:r>
      <w:r w:rsidR="00585B65">
        <w:t xml:space="preserve">National Tenancy </w:t>
      </w:r>
      <w:r w:rsidR="006255F5">
        <w:t xml:space="preserve">Database </w:t>
      </w:r>
      <w:r w:rsidR="00FF44E4">
        <w:t xml:space="preserve">covered every Australian State and </w:t>
      </w:r>
      <w:r w:rsidR="00366125">
        <w:t>Territory</w:t>
      </w:r>
      <w:r w:rsidR="00FF44E4">
        <w:t xml:space="preserve">, </w:t>
      </w:r>
      <w:r w:rsidR="00585B65">
        <w:t xml:space="preserve">this </w:t>
      </w:r>
      <w:r w:rsidR="00563544">
        <w:t>“</w:t>
      </w:r>
      <w:r w:rsidR="00585B65">
        <w:t>blacklisting</w:t>
      </w:r>
      <w:r w:rsidR="00563544">
        <w:t>”</w:t>
      </w:r>
      <w:r w:rsidR="00585B65">
        <w:t xml:space="preserve"> had damaged </w:t>
      </w:r>
      <w:r w:rsidR="006255F5">
        <w:t>their reputation</w:t>
      </w:r>
      <w:r w:rsidR="00FF44E4">
        <w:t>s</w:t>
      </w:r>
      <w:r w:rsidR="006255F5">
        <w:t xml:space="preserve"> in every State and </w:t>
      </w:r>
      <w:r w:rsidR="005C7E78">
        <w:t>Territory</w:t>
      </w:r>
      <w:r w:rsidR="00FF44E4">
        <w:t>.</w:t>
      </w:r>
      <w:r w:rsidR="00455E5B">
        <w:t xml:space="preserve"> </w:t>
      </w:r>
      <w:r w:rsidR="004C342C">
        <w:t xml:space="preserve">In these circumstances, the appellants submitted that the Court had jurisdiction to determine their defamation claim against the </w:t>
      </w:r>
      <w:r w:rsidR="005C7E78">
        <w:t xml:space="preserve">first </w:t>
      </w:r>
      <w:r w:rsidR="004C342C">
        <w:t xml:space="preserve">respondent under </w:t>
      </w:r>
      <w:r w:rsidR="004C342C" w:rsidRPr="003C3664">
        <w:t xml:space="preserve">s 9(3) of the </w:t>
      </w:r>
      <w:r w:rsidR="00F5513D">
        <w:rPr>
          <w:b/>
          <w:i/>
        </w:rPr>
        <w:t>Jurisdiction of Courts (Cross-v</w:t>
      </w:r>
      <w:r w:rsidR="004C342C" w:rsidRPr="003C3664">
        <w:rPr>
          <w:b/>
          <w:i/>
        </w:rPr>
        <w:t xml:space="preserve">esting) Act </w:t>
      </w:r>
      <w:r w:rsidR="004C342C" w:rsidRPr="003C3664">
        <w:rPr>
          <w:i/>
        </w:rPr>
        <w:t xml:space="preserve">1987 </w:t>
      </w:r>
      <w:r w:rsidR="004C342C" w:rsidRPr="003C3664">
        <w:t>(</w:t>
      </w:r>
      <w:proofErr w:type="spellStart"/>
      <w:r w:rsidR="004C342C" w:rsidRPr="003C3664">
        <w:t>Cth</w:t>
      </w:r>
      <w:proofErr w:type="spellEnd"/>
      <w:r w:rsidR="004C342C" w:rsidRPr="003C3664">
        <w:t>)</w:t>
      </w:r>
      <w:r w:rsidR="004C342C">
        <w:t xml:space="preserve">, </w:t>
      </w:r>
      <w:r w:rsidR="004C342C" w:rsidRPr="003C3664">
        <w:t>s </w:t>
      </w:r>
      <w:proofErr w:type="gramStart"/>
      <w:r w:rsidR="004C342C" w:rsidRPr="003C3664">
        <w:t>39B(</w:t>
      </w:r>
      <w:proofErr w:type="gramEnd"/>
      <w:r w:rsidR="004C342C" w:rsidRPr="003C3664">
        <w:t xml:space="preserve">1A) of the </w:t>
      </w:r>
      <w:r w:rsidR="004C342C" w:rsidRPr="003C3664">
        <w:rPr>
          <w:b/>
          <w:i/>
        </w:rPr>
        <w:t>Judiciary Act</w:t>
      </w:r>
      <w:r w:rsidR="004C342C" w:rsidRPr="003C3664">
        <w:rPr>
          <w:i/>
        </w:rPr>
        <w:t xml:space="preserve"> 1903 </w:t>
      </w:r>
      <w:r w:rsidR="004C342C" w:rsidRPr="003C3664">
        <w:t>(</w:t>
      </w:r>
      <w:proofErr w:type="spellStart"/>
      <w:r w:rsidR="004C342C" w:rsidRPr="003C3664">
        <w:t>Cth</w:t>
      </w:r>
      <w:proofErr w:type="spellEnd"/>
      <w:r w:rsidR="004C342C" w:rsidRPr="003C3664">
        <w:t>)</w:t>
      </w:r>
      <w:r w:rsidR="004C342C">
        <w:t xml:space="preserve"> and </w:t>
      </w:r>
      <w:r w:rsidR="004C342C" w:rsidRPr="003C3664">
        <w:t xml:space="preserve">s 19(1) of the </w:t>
      </w:r>
      <w:r w:rsidR="004C342C" w:rsidRPr="003C3664">
        <w:rPr>
          <w:b/>
          <w:i/>
        </w:rPr>
        <w:t>Federal Court of Australia Act</w:t>
      </w:r>
      <w:r w:rsidR="004C342C" w:rsidRPr="003C3664">
        <w:rPr>
          <w:i/>
        </w:rPr>
        <w:t xml:space="preserve"> 1976 </w:t>
      </w:r>
      <w:r w:rsidR="004C342C" w:rsidRPr="003C3664">
        <w:t>(</w:t>
      </w:r>
      <w:proofErr w:type="spellStart"/>
      <w:r w:rsidR="004C342C" w:rsidRPr="003C3664">
        <w:t>Cth</w:t>
      </w:r>
      <w:proofErr w:type="spellEnd"/>
      <w:r w:rsidR="004C342C" w:rsidRPr="003C3664">
        <w:t>)</w:t>
      </w:r>
      <w:r w:rsidR="004C342C">
        <w:t>.</w:t>
      </w:r>
      <w:bookmarkEnd w:id="23"/>
      <w:r w:rsidR="004C342C">
        <w:t xml:space="preserve"> </w:t>
      </w:r>
    </w:p>
    <w:p w14:paraId="454C004F" w14:textId="34248881" w:rsidR="00843069" w:rsidRDefault="00843069" w:rsidP="002C294F">
      <w:pPr>
        <w:pStyle w:val="ParaNumbering"/>
      </w:pPr>
      <w:r w:rsidRPr="00696321">
        <w:t>On the morning of the hearing of the appeal</w:t>
      </w:r>
      <w:r>
        <w:t>,</w:t>
      </w:r>
      <w:r w:rsidRPr="00696321">
        <w:t xml:space="preserve"> the appellants forwarded to </w:t>
      </w:r>
      <w:r>
        <w:t>the bench</w:t>
      </w:r>
      <w:r w:rsidRPr="00696321">
        <w:t xml:space="preserve"> a further “notice of appeal”.</w:t>
      </w:r>
      <w:r>
        <w:t xml:space="preserve"> </w:t>
      </w:r>
      <w:r w:rsidRPr="00696321">
        <w:t>The document was not accepted by the Registry for filing. It was accompanied by submissions</w:t>
      </w:r>
      <w:r w:rsidR="00017495">
        <w:t>,</w:t>
      </w:r>
      <w:r w:rsidRPr="00696321">
        <w:t xml:space="preserve"> w</w:t>
      </w:r>
      <w:r>
        <w:t>hich were in part repetitious of</w:t>
      </w:r>
      <w:r w:rsidRPr="00696321">
        <w:t xml:space="preserve"> prev</w:t>
      </w:r>
      <w:r>
        <w:t>ious</w:t>
      </w:r>
      <w:r w:rsidRPr="00696321">
        <w:t xml:space="preserve"> sub</w:t>
      </w:r>
      <w:r>
        <w:t>missions.</w:t>
      </w:r>
      <w:r w:rsidRPr="00696321">
        <w:t xml:space="preserve"> </w:t>
      </w:r>
      <w:r>
        <w:t xml:space="preserve">The documents </w:t>
      </w:r>
      <w:proofErr w:type="gramStart"/>
      <w:r>
        <w:t>were sent</w:t>
      </w:r>
      <w:proofErr w:type="gramEnd"/>
      <w:r>
        <w:t xml:space="preserve"> with a request or direction not to forward them to anybody, including the respondents. In accordance with the </w:t>
      </w:r>
      <w:proofErr w:type="gramStart"/>
      <w:r>
        <w:t>request</w:t>
      </w:r>
      <w:proofErr w:type="gramEnd"/>
      <w:r>
        <w:t xml:space="preserve"> the Court did not provide them to the respondents. </w:t>
      </w:r>
      <w:r w:rsidRPr="00696321">
        <w:t xml:space="preserve">A new </w:t>
      </w:r>
      <w:r w:rsidR="007A0374">
        <w:t>allegation</w:t>
      </w:r>
      <w:r w:rsidRPr="00696321">
        <w:t xml:space="preserve"> </w:t>
      </w:r>
      <w:proofErr w:type="gramStart"/>
      <w:r w:rsidRPr="00696321">
        <w:t>was purportedly made</w:t>
      </w:r>
      <w:proofErr w:type="gramEnd"/>
      <w:r w:rsidRPr="00696321">
        <w:t xml:space="preserve"> in that document directed to the S</w:t>
      </w:r>
      <w:r>
        <w:t xml:space="preserve">upreme </w:t>
      </w:r>
      <w:r w:rsidRPr="00696321">
        <w:t>C</w:t>
      </w:r>
      <w:r>
        <w:t>ourt</w:t>
      </w:r>
      <w:r w:rsidRPr="00696321">
        <w:t xml:space="preserve"> of N</w:t>
      </w:r>
      <w:r>
        <w:t xml:space="preserve">ew </w:t>
      </w:r>
      <w:r w:rsidRPr="00696321">
        <w:t>S</w:t>
      </w:r>
      <w:r>
        <w:t xml:space="preserve">outh </w:t>
      </w:r>
      <w:r w:rsidRPr="00696321">
        <w:t>W</w:t>
      </w:r>
      <w:r>
        <w:t>ales</w:t>
      </w:r>
      <w:r w:rsidRPr="00696321">
        <w:t xml:space="preserve"> complaining that it had blocked</w:t>
      </w:r>
      <w:r>
        <w:t xml:space="preserve"> the appellants from</w:t>
      </w:r>
      <w:r w:rsidRPr="00696321">
        <w:t xml:space="preserve"> its jurisdiction.</w:t>
      </w:r>
      <w:r w:rsidR="00F5513D">
        <w:t xml:space="preserve"> </w:t>
      </w:r>
      <w:r w:rsidR="00F5513D" w:rsidRPr="00696321">
        <w:t xml:space="preserve">We </w:t>
      </w:r>
      <w:r w:rsidR="00F5513D">
        <w:t>took</w:t>
      </w:r>
      <w:r w:rsidR="00F5513D" w:rsidRPr="00696321">
        <w:t xml:space="preserve"> it that the document </w:t>
      </w:r>
      <w:proofErr w:type="gramStart"/>
      <w:r w:rsidR="00F5513D" w:rsidRPr="00696321">
        <w:t>had not been served</w:t>
      </w:r>
      <w:proofErr w:type="gramEnd"/>
      <w:r w:rsidR="00F5513D" w:rsidRPr="00696321">
        <w:t xml:space="preserve"> on the State of New South Wales or the S</w:t>
      </w:r>
      <w:r w:rsidR="00F5513D">
        <w:t>upreme Court of New South Wales.</w:t>
      </w:r>
      <w:r w:rsidR="00455E5B">
        <w:t xml:space="preserve"> </w:t>
      </w:r>
      <w:proofErr w:type="gramStart"/>
      <w:r>
        <w:t xml:space="preserve">Similar </w:t>
      </w:r>
      <w:r w:rsidRPr="00696321">
        <w:t>complaints</w:t>
      </w:r>
      <w:r>
        <w:t xml:space="preserve"> were also made orally by the appellants</w:t>
      </w:r>
      <w:r w:rsidRPr="00696321">
        <w:t xml:space="preserve"> as to how State courts had dealt with the appellants after the primary judge had dismissed the proceedings in this Court</w:t>
      </w:r>
      <w:proofErr w:type="gramEnd"/>
      <w:r w:rsidRPr="00696321">
        <w:t>.</w:t>
      </w:r>
      <w:r w:rsidR="00455E5B">
        <w:t xml:space="preserve"> </w:t>
      </w:r>
      <w:r>
        <w:t>These complaints against the Supreme Court and any other State courts</w:t>
      </w:r>
      <w:r w:rsidRPr="00696321">
        <w:t xml:space="preserve"> form no part of this</w:t>
      </w:r>
      <w:r>
        <w:t xml:space="preserve"> appeal or this controversy. Even if, which we do not consider to be the case, such </w:t>
      </w:r>
      <w:r w:rsidRPr="00696321">
        <w:t>w</w:t>
      </w:r>
      <w:r>
        <w:t>e</w:t>
      </w:r>
      <w:r w:rsidRPr="00696321">
        <w:t>re to be character</w:t>
      </w:r>
      <w:r>
        <w:t>ised</w:t>
      </w:r>
      <w:r w:rsidRPr="00696321">
        <w:t xml:space="preserve"> as a coherent document and capable of giving rise to rational legal argument, it would be a matter in the original </w:t>
      </w:r>
      <w:r>
        <w:t>jurisdiction of this Court and</w:t>
      </w:r>
      <w:r w:rsidRPr="00696321">
        <w:t xml:space="preserve"> </w:t>
      </w:r>
      <w:r w:rsidRPr="00696321">
        <w:lastRenderedPageBreak/>
        <w:t>entirely sep</w:t>
      </w:r>
      <w:r>
        <w:t>arate</w:t>
      </w:r>
      <w:r w:rsidRPr="00696321">
        <w:t xml:space="preserve"> fro</w:t>
      </w:r>
      <w:r>
        <w:t>m</w:t>
      </w:r>
      <w:r w:rsidRPr="00696321">
        <w:t xml:space="preserve"> the matter or controversy underlying and involving this appeal</w:t>
      </w:r>
      <w:r>
        <w:t xml:space="preserve"> concerning the alleged defamation in the appellate jurisdiction</w:t>
      </w:r>
      <w:r w:rsidRPr="00696321">
        <w:t>.</w:t>
      </w:r>
      <w:r w:rsidR="00455E5B">
        <w:t xml:space="preserve"> </w:t>
      </w:r>
    </w:p>
    <w:p w14:paraId="0FB49EEF" w14:textId="77777777" w:rsidR="00843069" w:rsidRDefault="004C342C" w:rsidP="002C294F">
      <w:pPr>
        <w:pStyle w:val="ParaNumbering"/>
      </w:pPr>
      <w:r>
        <w:t xml:space="preserve">At the hearing of the appeal, the appellants also submitted that they had a constitutional right to bring their </w:t>
      </w:r>
      <w:r w:rsidR="00F50F10">
        <w:t xml:space="preserve">defamation </w:t>
      </w:r>
      <w:r>
        <w:t xml:space="preserve">action in a Chapter III court </w:t>
      </w:r>
      <w:r w:rsidR="00F50F10">
        <w:t xml:space="preserve">since the </w:t>
      </w:r>
      <w:r>
        <w:t>Supreme Court of New South Wales</w:t>
      </w:r>
      <w:r w:rsidR="00366125">
        <w:t xml:space="preserve"> had refused to hear them</w:t>
      </w:r>
      <w:r w:rsidR="00FD75E5">
        <w:t xml:space="preserve"> (see </w:t>
      </w:r>
      <w:proofErr w:type="spellStart"/>
      <w:r w:rsidR="00FD75E5" w:rsidRPr="003C3664">
        <w:rPr>
          <w:i/>
        </w:rPr>
        <w:t>Renuka</w:t>
      </w:r>
      <w:proofErr w:type="spellEnd"/>
      <w:r w:rsidR="00FD75E5" w:rsidRPr="003C3664">
        <w:rPr>
          <w:i/>
        </w:rPr>
        <w:t xml:space="preserve"> </w:t>
      </w:r>
      <w:proofErr w:type="spellStart"/>
      <w:r w:rsidR="00FD75E5" w:rsidRPr="003C3664">
        <w:rPr>
          <w:i/>
        </w:rPr>
        <w:t>Raghubir</w:t>
      </w:r>
      <w:proofErr w:type="spellEnd"/>
      <w:r w:rsidR="00FD75E5" w:rsidRPr="003C3664">
        <w:rPr>
          <w:i/>
        </w:rPr>
        <w:t xml:space="preserve"> v Christine </w:t>
      </w:r>
      <w:proofErr w:type="spellStart"/>
      <w:r w:rsidR="00FD75E5" w:rsidRPr="003C3664">
        <w:rPr>
          <w:i/>
        </w:rPr>
        <w:t>Nicolopoulos</w:t>
      </w:r>
      <w:proofErr w:type="spellEnd"/>
      <w:r w:rsidR="00FD75E5" w:rsidRPr="003C3664">
        <w:rPr>
          <w:i/>
        </w:rPr>
        <w:t xml:space="preserve"> </w:t>
      </w:r>
      <w:r w:rsidR="00FD75E5" w:rsidRPr="003C3664">
        <w:t>[2022] NSWSC 386</w:t>
      </w:r>
      <w:r w:rsidR="00FD75E5">
        <w:t>)</w:t>
      </w:r>
      <w:r w:rsidR="005C7E78">
        <w:t xml:space="preserve">, and their claim could not be heard in </w:t>
      </w:r>
      <w:r w:rsidR="00F50F10">
        <w:t xml:space="preserve">the District Court of New South Wales </w:t>
      </w:r>
      <w:r w:rsidR="005C7E78">
        <w:t>or</w:t>
      </w:r>
      <w:r w:rsidR="00F50F10">
        <w:t xml:space="preserve"> the </w:t>
      </w:r>
      <w:r w:rsidR="005C7E78">
        <w:t xml:space="preserve">New South Wales </w:t>
      </w:r>
      <w:r w:rsidR="00377BBB">
        <w:t>Local Court.</w:t>
      </w:r>
    </w:p>
    <w:p w14:paraId="1F41EE33" w14:textId="77777777" w:rsidR="005F1FC9" w:rsidRDefault="00F50F10" w:rsidP="00843069">
      <w:pPr>
        <w:pStyle w:val="ParaNumbering"/>
      </w:pPr>
      <w:r>
        <w:t>The appellants also made submissions in writing and at the hearing to the effect that certain judges</w:t>
      </w:r>
      <w:r w:rsidR="00585B65">
        <w:t>, magistrates</w:t>
      </w:r>
      <w:r w:rsidR="00B83130">
        <w:t>, other judicial officers, court staff</w:t>
      </w:r>
      <w:r w:rsidR="00585B65">
        <w:t xml:space="preserve"> </w:t>
      </w:r>
      <w:r>
        <w:t>and legal practitioners were unfair, dishonest, biased, and corrupt.</w:t>
      </w:r>
    </w:p>
    <w:p w14:paraId="3F5BD6EB" w14:textId="77777777" w:rsidR="004C342C" w:rsidRDefault="005C7E78" w:rsidP="002C294F">
      <w:pPr>
        <w:pStyle w:val="ParaNumbering"/>
      </w:pPr>
      <w:r>
        <w:t>The first respondent</w:t>
      </w:r>
      <w:r w:rsidR="004431BC">
        <w:t xml:space="preserve"> </w:t>
      </w:r>
      <w:r>
        <w:t xml:space="preserve">submitted that the primary judge had correctly held </w:t>
      </w:r>
      <w:r w:rsidR="00585B65">
        <w:t>the</w:t>
      </w:r>
      <w:r w:rsidR="004431BC">
        <w:t xml:space="preserve"> Federal Court had </w:t>
      </w:r>
      <w:r>
        <w:t xml:space="preserve">no jurisdiction </w:t>
      </w:r>
      <w:r w:rsidR="004431BC">
        <w:t>over</w:t>
      </w:r>
      <w:r>
        <w:t xml:space="preserve"> the matter</w:t>
      </w:r>
      <w:r w:rsidR="00A409B6">
        <w:t xml:space="preserve"> and adopted part of the submissions </w:t>
      </w:r>
      <w:r w:rsidR="004431BC">
        <w:t>of</w:t>
      </w:r>
      <w:r w:rsidR="00A409B6">
        <w:t xml:space="preserve"> the amicus curiae</w:t>
      </w:r>
      <w:r>
        <w:t>.</w:t>
      </w:r>
      <w:r w:rsidR="00455E5B">
        <w:t xml:space="preserve"> </w:t>
      </w:r>
      <w:r w:rsidR="00A409B6">
        <w:t xml:space="preserve">The first respondent submitted that </w:t>
      </w:r>
      <w:r w:rsidR="004431BC">
        <w:t xml:space="preserve">the alleged defamation was a matter for determination by a court “in the jurisdiction of New South Wales” because both she and </w:t>
      </w:r>
      <w:r w:rsidR="00A409B6">
        <w:t>the appellants were ordinarily resident in New South Wales</w:t>
      </w:r>
      <w:r w:rsidR="004431BC">
        <w:t xml:space="preserve">, </w:t>
      </w:r>
      <w:r w:rsidR="00A409B6">
        <w:t xml:space="preserve">service had been </w:t>
      </w:r>
      <w:r w:rsidR="004431BC">
        <w:t>effected in that State,</w:t>
      </w:r>
      <w:r w:rsidR="00A409B6">
        <w:t xml:space="preserve"> and “[</w:t>
      </w:r>
      <w:r>
        <w:t>t</w:t>
      </w:r>
      <w:r w:rsidR="00A409B6">
        <w:t>]</w:t>
      </w:r>
      <w:r>
        <w:t>he matter arose in relation to alleged incidents occurring in New So</w:t>
      </w:r>
      <w:r w:rsidR="00A409B6">
        <w:t>u</w:t>
      </w:r>
      <w:r>
        <w:t>th Wales only</w:t>
      </w:r>
      <w:r w:rsidR="00A409B6">
        <w:t>”.</w:t>
      </w:r>
      <w:r w:rsidR="00455E5B">
        <w:t xml:space="preserve"> </w:t>
      </w:r>
      <w:r w:rsidR="00A409B6">
        <w:t>The first respondent further submitted that the Commonwealth legislation on which the appellant relied was “not applicable in this matter</w:t>
      </w:r>
      <w:r w:rsidR="005F1FC9">
        <w:t>”</w:t>
      </w:r>
      <w:r w:rsidR="00A409B6">
        <w:t xml:space="preserve">, there being no </w:t>
      </w:r>
      <w:r w:rsidR="00470046">
        <w:t>evidence proffered of publication outside of New South Wales or comprehen</w:t>
      </w:r>
      <w:r w:rsidR="00007849">
        <w:t>sion</w:t>
      </w:r>
      <w:r w:rsidR="00470046">
        <w:t xml:space="preserve"> by anyone outside of New South Wales</w:t>
      </w:r>
      <w:r w:rsidR="00A409B6">
        <w:t>.</w:t>
      </w:r>
      <w:r w:rsidR="00455E5B">
        <w:t xml:space="preserve"> </w:t>
      </w:r>
    </w:p>
    <w:p w14:paraId="4150DEA5" w14:textId="1EF96A27" w:rsidR="006F1F30" w:rsidRDefault="004431BC" w:rsidP="00AD0B5A">
      <w:pPr>
        <w:pStyle w:val="ParaNumbering"/>
      </w:pPr>
      <w:r>
        <w:t xml:space="preserve">The submissions of the amicus curiae </w:t>
      </w:r>
      <w:r w:rsidR="007F6CB3">
        <w:t xml:space="preserve">addressed various matters. It suffices here to mention only those directly relevant to the </w:t>
      </w:r>
      <w:r w:rsidR="00A55782">
        <w:t xml:space="preserve">present </w:t>
      </w:r>
      <w:r w:rsidR="007F6CB3">
        <w:t xml:space="preserve">question of the Court’s jurisdiction. In this connection, the submissions </w:t>
      </w:r>
      <w:r w:rsidR="00D500D3">
        <w:t xml:space="preserve">identified that the proceeding involved a claim for an award of damages against a natural person, an owners corporation constituted by the </w:t>
      </w:r>
      <w:r w:rsidR="00D500D3" w:rsidRPr="001C421A">
        <w:rPr>
          <w:b/>
          <w:i/>
        </w:rPr>
        <w:t>Strata Schemes Management Act</w:t>
      </w:r>
      <w:r w:rsidR="00D500D3" w:rsidRPr="003C3664">
        <w:rPr>
          <w:i/>
        </w:rPr>
        <w:t xml:space="preserve"> 2015</w:t>
      </w:r>
      <w:r w:rsidR="00D500D3" w:rsidRPr="003C3664">
        <w:t xml:space="preserve"> (NSW)</w:t>
      </w:r>
      <w:r w:rsidR="00D500D3">
        <w:t xml:space="preserve">, and others </w:t>
      </w:r>
      <w:r w:rsidR="00303BF2">
        <w:t>possibly involved in the management by the owner’s corporation of the State’s strata scheme. Bearing this in mind,</w:t>
      </w:r>
      <w:r w:rsidR="007A2B8B">
        <w:t xml:space="preserve"> </w:t>
      </w:r>
      <w:r w:rsidR="00EE067B">
        <w:t xml:space="preserve">it was submitted that </w:t>
      </w:r>
      <w:r w:rsidR="00303BF2">
        <w:t>the</w:t>
      </w:r>
      <w:r w:rsidR="007A2B8B">
        <w:t xml:space="preserve">re was no basis on which it might be said that s 39B(1A)(c) of the </w:t>
      </w:r>
      <w:r w:rsidR="007A2B8B" w:rsidRPr="007A2B8B">
        <w:rPr>
          <w:i/>
        </w:rPr>
        <w:t xml:space="preserve">Judiciary Act </w:t>
      </w:r>
      <w:r w:rsidR="007A2B8B">
        <w:t>conferred jurisdiction because a respondent was a corporation constituted by</w:t>
      </w:r>
      <w:r w:rsidR="00455E5B">
        <w:t>,</w:t>
      </w:r>
      <w:r w:rsidR="007A2B8B">
        <w:t xml:space="preserve"> or regulated under</w:t>
      </w:r>
      <w:r w:rsidR="00455E5B">
        <w:t>,</w:t>
      </w:r>
      <w:r w:rsidR="007A2B8B">
        <w:t xml:space="preserve"> the </w:t>
      </w:r>
      <w:r w:rsidR="007A2B8B" w:rsidRPr="001C421A">
        <w:rPr>
          <w:b/>
          <w:i/>
        </w:rPr>
        <w:t>Corporations Act</w:t>
      </w:r>
      <w:r w:rsidR="007A2B8B" w:rsidRPr="007A2B8B">
        <w:rPr>
          <w:i/>
        </w:rPr>
        <w:t xml:space="preserve"> 2001</w:t>
      </w:r>
      <w:r w:rsidR="007A2B8B">
        <w:t xml:space="preserve"> (</w:t>
      </w:r>
      <w:proofErr w:type="spellStart"/>
      <w:r w:rsidR="007A2B8B">
        <w:t>Cth</w:t>
      </w:r>
      <w:proofErr w:type="spellEnd"/>
      <w:r w:rsidR="007A2B8B">
        <w:t>)</w:t>
      </w:r>
      <w:r w:rsidR="00EE067B">
        <w:t>: see</w:t>
      </w:r>
      <w:r w:rsidR="007A2B8B">
        <w:t xml:space="preserve"> </w:t>
      </w:r>
      <w:r w:rsidR="007A2B8B" w:rsidRPr="003C3664">
        <w:rPr>
          <w:b/>
          <w:i/>
        </w:rPr>
        <w:t>Oliver v Nine Network</w:t>
      </w:r>
      <w:r w:rsidR="007A2B8B" w:rsidRPr="003C3664">
        <w:rPr>
          <w:i/>
        </w:rPr>
        <w:t xml:space="preserve"> Australia Pty Ltd</w:t>
      </w:r>
      <w:r w:rsidR="007A2B8B" w:rsidRPr="003C3664">
        <w:t xml:space="preserve"> [2019] FCA 583</w:t>
      </w:r>
      <w:r w:rsidR="007A2B8B">
        <w:t xml:space="preserve"> at [16]</w:t>
      </w:r>
      <w:r w:rsidR="00EE067B">
        <w:t xml:space="preserve"> (Lee J)</w:t>
      </w:r>
      <w:r w:rsidR="007A2B8B">
        <w:t>.</w:t>
      </w:r>
      <w:r w:rsidR="00455E5B">
        <w:t xml:space="preserve"> </w:t>
      </w:r>
      <w:r w:rsidR="007A2B8B">
        <w:t xml:space="preserve">The submissions </w:t>
      </w:r>
      <w:r w:rsidR="007F6CB3">
        <w:t xml:space="preserve">of the amicus curiae </w:t>
      </w:r>
      <w:r w:rsidR="007A2B8B">
        <w:t xml:space="preserve">also drew attention to the fact that </w:t>
      </w:r>
      <w:r w:rsidR="00FD75E5">
        <w:t>o</w:t>
      </w:r>
      <w:r w:rsidR="007A2B8B">
        <w:t>n the face of the 14 publications referred to in the annexures</w:t>
      </w:r>
      <w:r w:rsidR="00FD75E5">
        <w:t xml:space="preserve"> </w:t>
      </w:r>
      <w:r w:rsidR="00BF4CF9">
        <w:t>accompanying the appellants’ statement of claim, the appellants complain of publications “sent and received by a person or persons</w:t>
      </w:r>
      <w:r w:rsidR="007F6CB3">
        <w:t xml:space="preserve"> within New South Wales” and no</w:t>
      </w:r>
      <w:r w:rsidR="00BF4CF9">
        <w:t>where else.</w:t>
      </w:r>
      <w:r w:rsidR="00455E5B">
        <w:t xml:space="preserve"> </w:t>
      </w:r>
      <w:proofErr w:type="gramStart"/>
      <w:r w:rsidR="006453F5">
        <w:t xml:space="preserve">Referring to </w:t>
      </w:r>
      <w:r w:rsidR="006453F5" w:rsidRPr="003C3664">
        <w:rPr>
          <w:b/>
          <w:i/>
        </w:rPr>
        <w:t>Crosby v Kelly</w:t>
      </w:r>
      <w:r w:rsidR="006453F5" w:rsidRPr="003C3664">
        <w:t xml:space="preserve"> [2012] FCAFC 96; </w:t>
      </w:r>
      <w:r w:rsidR="006453F5" w:rsidRPr="003C3664">
        <w:lastRenderedPageBreak/>
        <w:t>203 FCR 451</w:t>
      </w:r>
      <w:r w:rsidR="006453F5">
        <w:t>, i</w:t>
      </w:r>
      <w:r w:rsidR="007F6CB3">
        <w:t>t was further submitted that</w:t>
      </w:r>
      <w:r w:rsidR="006C6EE2">
        <w:t xml:space="preserve"> the</w:t>
      </w:r>
      <w:r w:rsidR="006453F5">
        <w:t xml:space="preserve">re was no </w:t>
      </w:r>
      <w:r w:rsidR="006C6EE2">
        <w:t xml:space="preserve">possibility </w:t>
      </w:r>
      <w:r w:rsidR="006453F5">
        <w:t xml:space="preserve">here </w:t>
      </w:r>
      <w:r w:rsidR="006C6EE2">
        <w:t xml:space="preserve">that the Federal Court would have jurisdiction by virtue of s 9(3) of the </w:t>
      </w:r>
      <w:r w:rsidR="00A662E3">
        <w:t xml:space="preserve">Commonwealth </w:t>
      </w:r>
      <w:r w:rsidR="006C6EE2" w:rsidRPr="00A55782">
        <w:rPr>
          <w:i/>
        </w:rPr>
        <w:t xml:space="preserve">Jurisdiction of Courts (Cross-vesting) Act </w:t>
      </w:r>
      <w:r w:rsidR="00A55782">
        <w:t xml:space="preserve">and s 4(1) of </w:t>
      </w:r>
      <w:r w:rsidR="006C6EE2">
        <w:t xml:space="preserve">the </w:t>
      </w:r>
      <w:r w:rsidR="006C6EE2" w:rsidRPr="003C3664">
        <w:rPr>
          <w:i/>
        </w:rPr>
        <w:t>Jurisd</w:t>
      </w:r>
      <w:r w:rsidR="00A55782" w:rsidRPr="003C3664">
        <w:rPr>
          <w:i/>
        </w:rPr>
        <w:t>ict</w:t>
      </w:r>
      <w:r w:rsidR="006C6EE2" w:rsidRPr="003C3664">
        <w:rPr>
          <w:i/>
        </w:rPr>
        <w:t>ion of Courts (Cross-vesting) Act 1993</w:t>
      </w:r>
      <w:r w:rsidR="006C6EE2" w:rsidRPr="003C3664">
        <w:t xml:space="preserve"> (ACT)</w:t>
      </w:r>
      <w:r w:rsidR="00A2610B">
        <w:t xml:space="preserve"> (</w:t>
      </w:r>
      <w:r w:rsidR="00A2610B">
        <w:rPr>
          <w:b/>
          <w:i/>
        </w:rPr>
        <w:t>ACT Cross-vesting Act</w:t>
      </w:r>
      <w:r w:rsidR="00A2610B">
        <w:t>)</w:t>
      </w:r>
      <w:r w:rsidR="00A55782">
        <w:t xml:space="preserve"> </w:t>
      </w:r>
      <w:r w:rsidR="006453F5">
        <w:t>since</w:t>
      </w:r>
      <w:r w:rsidR="00A55782">
        <w:t xml:space="preserve"> the alleged publication of </w:t>
      </w:r>
      <w:r w:rsidR="00F5513D">
        <w:t xml:space="preserve">the </w:t>
      </w:r>
      <w:r w:rsidR="00A55782">
        <w:t>defamatory matter</w:t>
      </w:r>
      <w:r w:rsidR="00F5513D">
        <w:t>s</w:t>
      </w:r>
      <w:r w:rsidR="00A55782">
        <w:t xml:space="preserve"> occurred wholly within New South Wales.</w:t>
      </w:r>
      <w:proofErr w:type="gramEnd"/>
      <w:r w:rsidR="00455E5B">
        <w:t xml:space="preserve"> </w:t>
      </w:r>
    </w:p>
    <w:p w14:paraId="567A41A6" w14:textId="77777777" w:rsidR="00A55782" w:rsidRDefault="00193C21" w:rsidP="00193C21">
      <w:pPr>
        <w:pStyle w:val="Heading2"/>
      </w:pPr>
      <w:r>
        <w:t>Consideration – has the Court jurisdiction?</w:t>
      </w:r>
    </w:p>
    <w:p w14:paraId="2B3551C0" w14:textId="568125C6" w:rsidR="00C07767" w:rsidRPr="00C07767" w:rsidRDefault="0052260B" w:rsidP="00FD75E5">
      <w:pPr>
        <w:pStyle w:val="ParaNumbering"/>
      </w:pPr>
      <w:r>
        <w:t xml:space="preserve">Although this Court is created by s 5 of the </w:t>
      </w:r>
      <w:r w:rsidRPr="00F360F2">
        <w:rPr>
          <w:i/>
        </w:rPr>
        <w:t>Federal Court of Australia Act</w:t>
      </w:r>
      <w:r>
        <w:t>, save for s 32, that Act does not bestow original jurisdiction.</w:t>
      </w:r>
      <w:r w:rsidR="00455E5B">
        <w:t xml:space="preserve"> </w:t>
      </w:r>
      <w:r>
        <w:t>Section 32 is not presently relevant.</w:t>
      </w:r>
      <w:r w:rsidR="00455E5B">
        <w:t xml:space="preserve"> </w:t>
      </w:r>
      <w:r>
        <w:t xml:space="preserve">The appellants’ reliance on s 19 of the Court’s constituting Act </w:t>
      </w:r>
      <w:r w:rsidR="004C23CE">
        <w:t>i</w:t>
      </w:r>
      <w:r>
        <w:t xml:space="preserve">s misplaced. </w:t>
      </w:r>
      <w:r w:rsidR="008B1CF5">
        <w:t xml:space="preserve">As </w:t>
      </w:r>
      <w:r w:rsidR="00B83130">
        <w:t>stated</w:t>
      </w:r>
      <w:r w:rsidR="008B1CF5">
        <w:t xml:space="preserve"> in </w:t>
      </w:r>
      <w:r w:rsidR="008B1CF5" w:rsidRPr="003C3664">
        <w:rPr>
          <w:i/>
        </w:rPr>
        <w:t>Thomson Australian Holdings Pty Ltd v Trade Practices Commission</w:t>
      </w:r>
      <w:r w:rsidR="00F5513D">
        <w:t xml:space="preserve"> [1981] HCA 48;</w:t>
      </w:r>
      <w:r w:rsidR="008B1CF5" w:rsidRPr="003C3664">
        <w:t xml:space="preserve"> 148 CLR 1</w:t>
      </w:r>
      <w:r w:rsidR="008A1FE6" w:rsidRPr="003C3664">
        <w:t>5</w:t>
      </w:r>
      <w:r w:rsidR="008B1CF5" w:rsidRPr="003C3664">
        <w:t>0</w:t>
      </w:r>
      <w:r w:rsidR="008B1CF5">
        <w:t xml:space="preserve"> at 161, s 19 of that Act “leaves it to the Parliament” to invest the Court with jurisdiction by other statutory provisions.</w:t>
      </w:r>
      <w:r w:rsidR="00455E5B">
        <w:t xml:space="preserve"> </w:t>
      </w:r>
      <w:r w:rsidR="00BC6318">
        <w:t xml:space="preserve">Parliament has done this by statutory investment of a specific jurisdiction (e.g., </w:t>
      </w:r>
      <w:r w:rsidR="00BC6318" w:rsidRPr="003C3664">
        <w:rPr>
          <w:i/>
        </w:rPr>
        <w:t>Administrative Decisions (Judicial Review) Act 1977</w:t>
      </w:r>
      <w:r w:rsidR="00EE067B" w:rsidRPr="003C3664">
        <w:t xml:space="preserve"> (</w:t>
      </w:r>
      <w:proofErr w:type="spellStart"/>
      <w:r w:rsidR="00EE067B" w:rsidRPr="003C3664">
        <w:t>Cth</w:t>
      </w:r>
      <w:proofErr w:type="spellEnd"/>
      <w:r w:rsidR="00EE067B" w:rsidRPr="003C3664">
        <w:t>), s 8(1)</w:t>
      </w:r>
      <w:r w:rsidR="00EE067B">
        <w:t xml:space="preserve">) and, relevantly in this case, </w:t>
      </w:r>
      <w:r w:rsidR="00BC6318">
        <w:t>by the statutory conferral of a more general jurisdiction under s 39B(1</w:t>
      </w:r>
      <w:r w:rsidR="00EE067B">
        <w:t>A</w:t>
      </w:r>
      <w:r w:rsidR="00BC6318">
        <w:t xml:space="preserve">) of the </w:t>
      </w:r>
      <w:r w:rsidR="00BC6318" w:rsidRPr="00F360F2">
        <w:rPr>
          <w:i/>
        </w:rPr>
        <w:t>Judiciary Act</w:t>
      </w:r>
      <w:r w:rsidR="00BC6318">
        <w:t>.</w:t>
      </w:r>
      <w:r w:rsidR="00455E5B">
        <w:t xml:space="preserve"> </w:t>
      </w:r>
      <w:r w:rsidR="00C07767">
        <w:t>There is also</w:t>
      </w:r>
      <w:r w:rsidR="00C07767" w:rsidRPr="00C07767">
        <w:t xml:space="preserve"> the particular operation of the </w:t>
      </w:r>
      <w:r w:rsidR="00F5513D">
        <w:rPr>
          <w:i/>
        </w:rPr>
        <w:t>Jurisdiction of Courts (Cross-v</w:t>
      </w:r>
      <w:r w:rsidR="00C07767" w:rsidRPr="00C07767">
        <w:rPr>
          <w:i/>
        </w:rPr>
        <w:t xml:space="preserve">esting) Act </w:t>
      </w:r>
      <w:r w:rsidR="00C07767">
        <w:t xml:space="preserve">to </w:t>
      </w:r>
      <w:proofErr w:type="gramStart"/>
      <w:r w:rsidR="00C07767">
        <w:t>be kept</w:t>
      </w:r>
      <w:proofErr w:type="gramEnd"/>
      <w:r w:rsidR="00C07767">
        <w:t xml:space="preserve"> in mind.</w:t>
      </w:r>
    </w:p>
    <w:p w14:paraId="378E016D" w14:textId="77777777" w:rsidR="00F360F2" w:rsidRDefault="00DC015C" w:rsidP="00C52049">
      <w:pPr>
        <w:pStyle w:val="ParaNumbering"/>
      </w:pPr>
      <w:bookmarkStart w:id="24" w:name="_Ref104214786"/>
      <w:r>
        <w:t>We turn first to s </w:t>
      </w:r>
      <w:r w:rsidR="00F360F2">
        <w:t xml:space="preserve">39B(1A) </w:t>
      </w:r>
      <w:r>
        <w:t xml:space="preserve">of the </w:t>
      </w:r>
      <w:r w:rsidRPr="00DC015C">
        <w:rPr>
          <w:i/>
        </w:rPr>
        <w:t>Judiciary Act</w:t>
      </w:r>
      <w:r>
        <w:t xml:space="preserve">, which </w:t>
      </w:r>
      <w:r w:rsidR="00F360F2">
        <w:t>provides:</w:t>
      </w:r>
      <w:bookmarkEnd w:id="24"/>
    </w:p>
    <w:p w14:paraId="5DD981CC" w14:textId="77777777" w:rsidR="00F360F2" w:rsidRDefault="00F360F2" w:rsidP="00F360F2">
      <w:pPr>
        <w:pStyle w:val="Quote1"/>
        <w:ind w:left="1440" w:hanging="703"/>
      </w:pPr>
      <w:r>
        <w:t>(1A)</w:t>
      </w:r>
      <w:r>
        <w:tab/>
      </w:r>
      <w:r w:rsidRPr="00D9798E">
        <w:t>The original jurisdiction of the Federal Court of Australia also includes jurisdiction in any matter:</w:t>
      </w:r>
    </w:p>
    <w:p w14:paraId="7C5548B8" w14:textId="77777777" w:rsidR="00F360F2" w:rsidRDefault="00F360F2" w:rsidP="000B3A89">
      <w:pPr>
        <w:pStyle w:val="Quote2"/>
        <w:ind w:left="2160" w:hanging="720"/>
      </w:pPr>
      <w:r>
        <w:t>(a)</w:t>
      </w:r>
      <w:r>
        <w:tab/>
      </w:r>
      <w:proofErr w:type="gramStart"/>
      <w:r>
        <w:t>in</w:t>
      </w:r>
      <w:proofErr w:type="gramEnd"/>
      <w:r>
        <w:t xml:space="preserve"> which the Commonwealth is seeking an injunction or a declaration; or</w:t>
      </w:r>
    </w:p>
    <w:p w14:paraId="6ED3C456" w14:textId="77777777" w:rsidR="00F360F2" w:rsidRDefault="00F360F2" w:rsidP="000B3A89">
      <w:pPr>
        <w:pStyle w:val="Quote2"/>
        <w:ind w:left="2160" w:hanging="720"/>
      </w:pPr>
      <w:r>
        <w:t>(b)</w:t>
      </w:r>
      <w:r>
        <w:tab/>
      </w:r>
      <w:proofErr w:type="gramStart"/>
      <w:r>
        <w:t>arising</w:t>
      </w:r>
      <w:proofErr w:type="gramEnd"/>
      <w:r>
        <w:t xml:space="preserve"> under the </w:t>
      </w:r>
      <w:r w:rsidRPr="00737F2E">
        <w:t>Constitution</w:t>
      </w:r>
      <w:r>
        <w:t>, or involving its interpretation; or</w:t>
      </w:r>
    </w:p>
    <w:p w14:paraId="4D1FFD12" w14:textId="77777777" w:rsidR="00F360F2" w:rsidRDefault="00F360F2" w:rsidP="000B3A89">
      <w:pPr>
        <w:pStyle w:val="Quote2"/>
        <w:ind w:left="2160" w:hanging="720"/>
      </w:pPr>
      <w:r>
        <w:t>(c)</w:t>
      </w:r>
      <w:r>
        <w:tab/>
      </w:r>
      <w:proofErr w:type="gramStart"/>
      <w:r>
        <w:t>arising</w:t>
      </w:r>
      <w:proofErr w:type="gramEnd"/>
      <w:r>
        <w:t xml:space="preserve"> under any laws made by the Parliament, other than a matter in respect of which a criminal prosecution is instituted or any other criminal matter.</w:t>
      </w:r>
    </w:p>
    <w:p w14:paraId="5F3C6FAF" w14:textId="77777777" w:rsidR="00F360F2" w:rsidRDefault="00F360F2" w:rsidP="00F360F2">
      <w:pPr>
        <w:pStyle w:val="ParaNumbering"/>
        <w:tabs>
          <w:tab w:val="clear" w:pos="720"/>
        </w:tabs>
      </w:pPr>
      <w:bookmarkStart w:id="25" w:name="_Ref104202164"/>
      <w:r>
        <w:t>Plainly enough, this is not a case in which the Commonwealth is seeking an injunction or a declaration</w:t>
      </w:r>
      <w:r w:rsidR="00F925B1">
        <w:t xml:space="preserve"> so as to engage s </w:t>
      </w:r>
      <w:proofErr w:type="gramStart"/>
      <w:r w:rsidR="00F925B1">
        <w:t>39B(</w:t>
      </w:r>
      <w:proofErr w:type="gramEnd"/>
      <w:r w:rsidR="00F925B1">
        <w:t xml:space="preserve">1A)(a) of the </w:t>
      </w:r>
      <w:r w:rsidR="00F925B1" w:rsidRPr="00F925B1">
        <w:rPr>
          <w:i/>
        </w:rPr>
        <w:t>Judiciary Act</w:t>
      </w:r>
      <w:r>
        <w:t>. F</w:t>
      </w:r>
      <w:r w:rsidR="00B83130">
        <w:t>urther, f</w:t>
      </w:r>
      <w:r>
        <w:t xml:space="preserve">or the reasons set out below, this case does not concern any matter arising under the </w:t>
      </w:r>
      <w:r w:rsidRPr="00752C68">
        <w:rPr>
          <w:i/>
        </w:rPr>
        <w:t>Constitution</w:t>
      </w:r>
      <w:r w:rsidRPr="00737F2E">
        <w:t xml:space="preserve"> </w:t>
      </w:r>
      <w:r>
        <w:t>or involving its interpretation, or arising under any laws made by the Parliament of the Commonwealth</w:t>
      </w:r>
      <w:r w:rsidR="00DC015C">
        <w:t xml:space="preserve"> so as to engage s 39B(1A)(b) and (c)</w:t>
      </w:r>
      <w:r>
        <w:t>.</w:t>
      </w:r>
      <w:bookmarkEnd w:id="25"/>
    </w:p>
    <w:p w14:paraId="2C9565BE" w14:textId="77777777" w:rsidR="00DD31D5" w:rsidRDefault="004C23CE" w:rsidP="002C294F">
      <w:pPr>
        <w:pStyle w:val="ParaNumbering"/>
      </w:pPr>
      <w:r>
        <w:t>In order to determine whether s 39B(1</w:t>
      </w:r>
      <w:r w:rsidR="00F925B1">
        <w:t>A</w:t>
      </w:r>
      <w:r>
        <w:t>)</w:t>
      </w:r>
      <w:r w:rsidR="00F925B1">
        <w:t xml:space="preserve">(b) or (c) </w:t>
      </w:r>
      <w:r w:rsidR="00FD5973">
        <w:t xml:space="preserve">of the </w:t>
      </w:r>
      <w:r w:rsidR="00FD5973" w:rsidRPr="00BC6318">
        <w:rPr>
          <w:i/>
        </w:rPr>
        <w:t>Judiciary Act</w:t>
      </w:r>
      <w:r w:rsidR="00FD5973">
        <w:t xml:space="preserve"> </w:t>
      </w:r>
      <w:r>
        <w:t xml:space="preserve">confer jurisdiction </w:t>
      </w:r>
      <w:r w:rsidR="00680747">
        <w:t>on the Court</w:t>
      </w:r>
      <w:r>
        <w:t xml:space="preserve">, it is necessary to identify the </w:t>
      </w:r>
      <w:r w:rsidR="00983F2C">
        <w:t>claim that the appellants would have the Court hear and determine, including the parties to it.</w:t>
      </w:r>
      <w:r w:rsidR="00455E5B">
        <w:t xml:space="preserve"> </w:t>
      </w:r>
      <w:r w:rsidR="00DD31D5">
        <w:t xml:space="preserve">As the following discussion </w:t>
      </w:r>
      <w:r w:rsidR="00680747">
        <w:t>confirms</w:t>
      </w:r>
      <w:r w:rsidR="00DD31D5">
        <w:t xml:space="preserve">, the appellants’ </w:t>
      </w:r>
      <w:r w:rsidR="00DD31D5">
        <w:lastRenderedPageBreak/>
        <w:t xml:space="preserve">claim is for damages for defamation against a natural person, an owners corporation created and regulated by State law, and various entities and officers who might be involved in the management by the owners corporation of </w:t>
      </w:r>
      <w:r w:rsidR="00DC015C">
        <w:t>a</w:t>
      </w:r>
      <w:r w:rsidR="00DD31D5">
        <w:t xml:space="preserve"> State-based strata scheme.</w:t>
      </w:r>
    </w:p>
    <w:p w14:paraId="7A6CE357" w14:textId="77777777" w:rsidR="00DD31D5" w:rsidRDefault="00983F2C" w:rsidP="002F2C6E">
      <w:pPr>
        <w:pStyle w:val="ParaNumbering"/>
      </w:pPr>
      <w:r>
        <w:t>The claimants</w:t>
      </w:r>
      <w:r w:rsidR="00DD31D5">
        <w:t xml:space="preserve"> – the </w:t>
      </w:r>
      <w:r>
        <w:t>appellants on the appeal</w:t>
      </w:r>
      <w:r w:rsidR="00DD31D5">
        <w:t xml:space="preserve"> – </w:t>
      </w:r>
      <w:r w:rsidR="008B4C67">
        <w:t>are natural persons</w:t>
      </w:r>
      <w:r w:rsidR="00680747">
        <w:t>. I</w:t>
      </w:r>
      <w:r w:rsidR="00DD31D5">
        <w:t xml:space="preserve">t may be inferred </w:t>
      </w:r>
      <w:r w:rsidR="00680747">
        <w:t xml:space="preserve">that they </w:t>
      </w:r>
      <w:r w:rsidR="00DD31D5">
        <w:t>are residents of New South Wales</w:t>
      </w:r>
      <w:r w:rsidR="00680747">
        <w:t xml:space="preserve"> as</w:t>
      </w:r>
      <w:r w:rsidR="00DD31D5">
        <w:t xml:space="preserve"> t</w:t>
      </w:r>
      <w:r w:rsidR="008B4C67">
        <w:t>heir notice of appeal gives their address a</w:t>
      </w:r>
      <w:r w:rsidR="00D015E6">
        <w:t>s</w:t>
      </w:r>
      <w:r w:rsidR="008B4C67">
        <w:t xml:space="preserve"> a shop in a suburb of Sydney and also gives a post box number in the same suburb.</w:t>
      </w:r>
      <w:r w:rsidR="00455E5B">
        <w:t xml:space="preserve"> </w:t>
      </w:r>
      <w:r w:rsidR="008B4C67">
        <w:t>The first respondent is a natural person</w:t>
      </w:r>
      <w:r w:rsidR="00680747">
        <w:t>.</w:t>
      </w:r>
      <w:r w:rsidR="00455E5B">
        <w:t xml:space="preserve"> </w:t>
      </w:r>
      <w:r w:rsidR="00680747">
        <w:t>It</w:t>
      </w:r>
      <w:r w:rsidR="00DD31D5">
        <w:t xml:space="preserve"> may also be inferred </w:t>
      </w:r>
      <w:r w:rsidR="00680747">
        <w:t xml:space="preserve">that she </w:t>
      </w:r>
      <w:r w:rsidR="00DD31D5">
        <w:t xml:space="preserve">is a resident of New South Wales since she too </w:t>
      </w:r>
      <w:r w:rsidR="00D015E6">
        <w:t>has an address in suburban Sydney.</w:t>
      </w:r>
      <w:r w:rsidR="00455E5B">
        <w:t xml:space="preserve"> </w:t>
      </w:r>
      <w:r w:rsidR="00D015E6">
        <w:t xml:space="preserve">The other respondents </w:t>
      </w:r>
      <w:r w:rsidR="00DD31D5">
        <w:t>are</w:t>
      </w:r>
      <w:r w:rsidR="00D015E6">
        <w:t xml:space="preserve"> the owners </w:t>
      </w:r>
      <w:r w:rsidR="00DD31D5">
        <w:t xml:space="preserve">corporation of Strata Plan 7526 (also described as </w:t>
      </w:r>
      <w:r w:rsidR="00D015E6">
        <w:t>“Proprietors Strata Plan 7526</w:t>
      </w:r>
      <w:r w:rsidR="00DD31D5">
        <w:t xml:space="preserve">”) and </w:t>
      </w:r>
      <w:r w:rsidR="00680747">
        <w:t xml:space="preserve">variously described </w:t>
      </w:r>
      <w:r w:rsidR="00DF6F2A">
        <w:t>bod</w:t>
      </w:r>
      <w:r w:rsidR="00DD31D5">
        <w:t>ies</w:t>
      </w:r>
      <w:r w:rsidR="00DF6F2A">
        <w:t xml:space="preserve"> or </w:t>
      </w:r>
      <w:r w:rsidR="00DD31D5">
        <w:t xml:space="preserve">officeholders possibly </w:t>
      </w:r>
      <w:r w:rsidR="00DF6F2A">
        <w:t>involved in the administration or management of “Strata Plan 7526”</w:t>
      </w:r>
      <w:r w:rsidR="00DD31D5">
        <w:t>.</w:t>
      </w:r>
      <w:r w:rsidR="00455E5B">
        <w:t xml:space="preserve"> </w:t>
      </w:r>
    </w:p>
    <w:p w14:paraId="3E5A7F16" w14:textId="77777777" w:rsidR="00D60106" w:rsidRDefault="00D60106" w:rsidP="00D60106">
      <w:pPr>
        <w:pStyle w:val="ParaNumbering"/>
      </w:pPr>
      <w:bookmarkStart w:id="26" w:name="_Ref104200711"/>
      <w:r>
        <w:t>The appellants’ statement of claim alleges that the respondents published defamatory matter about them:</w:t>
      </w:r>
      <w:r w:rsidR="00C54A8A">
        <w:t xml:space="preserve"> see statement of claim</w:t>
      </w:r>
      <w:r w:rsidR="00455E5B">
        <w:t xml:space="preserve"> at</w:t>
      </w:r>
      <w:r w:rsidR="00C54A8A">
        <w:t xml:space="preserve"> [7]. </w:t>
      </w:r>
      <w:r>
        <w:t>Eight subparagraphs below [7] list the persons and entities to whom one or other of the defamatory communications are said to have been published.</w:t>
      </w:r>
      <w:r w:rsidR="00C54A8A">
        <w:t xml:space="preserve"> </w:t>
      </w:r>
      <w:r>
        <w:t>Th</w:t>
      </w:r>
      <w:r w:rsidR="00680747">
        <w:t>e</w:t>
      </w:r>
      <w:r>
        <w:t xml:space="preserve"> pleading does not, however, identify each of the publications in suit or which of the respondents is alleged to have published them.</w:t>
      </w:r>
      <w:r w:rsidR="00C54A8A">
        <w:t xml:space="preserve"> </w:t>
      </w:r>
      <w:r>
        <w:t>These details may be gleaned from the annexures to an affidavit filed by the appellants at the same time as their statement of claim, as well as from the “annexures” filed by them at a later date.</w:t>
      </w:r>
      <w:r w:rsidR="00C54A8A">
        <w:t xml:space="preserve"> </w:t>
      </w:r>
      <w:r>
        <w:t xml:space="preserve">By these annexures, it appears that the appellants intended to identify the publications in suit, </w:t>
      </w:r>
      <w:r w:rsidR="00DC015C">
        <w:t xml:space="preserve">as well as </w:t>
      </w:r>
      <w:r>
        <w:t>the person or body who allegedly made the relevant publications and to whom they were allegedly made.</w:t>
      </w:r>
      <w:bookmarkEnd w:id="26"/>
      <w:r>
        <w:t xml:space="preserve"> </w:t>
      </w:r>
    </w:p>
    <w:p w14:paraId="30CA39D9" w14:textId="77777777" w:rsidR="0079799D" w:rsidRPr="00F76E80" w:rsidRDefault="00D60106" w:rsidP="0079799D">
      <w:pPr>
        <w:pStyle w:val="ParaNumbering"/>
        <w:rPr>
          <w:szCs w:val="24"/>
        </w:rPr>
      </w:pPr>
      <w:r>
        <w:t xml:space="preserve">The appellants’ statement of claim alleges that </w:t>
      </w:r>
      <w:r w:rsidR="00FD75E5">
        <w:t xml:space="preserve">each of </w:t>
      </w:r>
      <w:r>
        <w:t>the</w:t>
      </w:r>
      <w:r w:rsidR="00680747">
        <w:t xml:space="preserve"> appellants</w:t>
      </w:r>
      <w:r>
        <w:t xml:space="preserve"> had a reputation in New South Wales, </w:t>
      </w:r>
      <w:r w:rsidR="00680747">
        <w:t>and that th</w:t>
      </w:r>
      <w:r w:rsidR="00FD75E5">
        <w:t>eir</w:t>
      </w:r>
      <w:r w:rsidR="00680747">
        <w:t xml:space="preserve"> reputations</w:t>
      </w:r>
      <w:r>
        <w:t xml:space="preserve"> ha</w:t>
      </w:r>
      <w:r w:rsidR="00455E5B">
        <w:t>ve</w:t>
      </w:r>
      <w:r>
        <w:t xml:space="preserve"> been damaged by the publication of defamatory material sent by persons or entities within New South </w:t>
      </w:r>
      <w:r w:rsidRPr="00F76E80">
        <w:rPr>
          <w:szCs w:val="24"/>
        </w:rPr>
        <w:t xml:space="preserve">Wales to other persons or entities within New South Wales. </w:t>
      </w:r>
      <w:r w:rsidR="0079799D" w:rsidRPr="00F76E80">
        <w:rPr>
          <w:szCs w:val="24"/>
        </w:rPr>
        <w:t>Thus, they plead</w:t>
      </w:r>
      <w:r w:rsidR="00455E5B">
        <w:rPr>
          <w:szCs w:val="24"/>
        </w:rPr>
        <w:t xml:space="preserve"> at</w:t>
      </w:r>
      <w:r w:rsidR="0079799D" w:rsidRPr="00F76E80">
        <w:rPr>
          <w:szCs w:val="24"/>
        </w:rPr>
        <w:t xml:space="preserve"> [1], that their reputation</w:t>
      </w:r>
      <w:r w:rsidR="00FD75E5" w:rsidRPr="00F76E80">
        <w:rPr>
          <w:szCs w:val="24"/>
        </w:rPr>
        <w:t>s</w:t>
      </w:r>
      <w:r w:rsidR="0079799D" w:rsidRPr="00F76E80">
        <w:rPr>
          <w:szCs w:val="24"/>
        </w:rPr>
        <w:t xml:space="preserve"> with “the Landlord, Argy Property Kogarah, Bayside Council Rockdale, NSW Fair Trading, NSW Police and the neighbours, owners, tenants of the place we were renting” was damaged by the alleged defamatory publications. They reiterate this at [7], where they allege that their “reputation and character” has been damaged with:</w:t>
      </w:r>
    </w:p>
    <w:p w14:paraId="5919FEEA" w14:textId="77777777" w:rsidR="0079799D" w:rsidRDefault="0079799D" w:rsidP="0079799D">
      <w:pPr>
        <w:pStyle w:val="Quote1"/>
        <w:numPr>
          <w:ilvl w:val="0"/>
          <w:numId w:val="31"/>
        </w:numPr>
      </w:pPr>
      <w:r>
        <w:t>Argy Property Real Estate Kogarah</w:t>
      </w:r>
    </w:p>
    <w:p w14:paraId="555542FA" w14:textId="77777777" w:rsidR="0079799D" w:rsidRDefault="0079799D" w:rsidP="0079799D">
      <w:pPr>
        <w:pStyle w:val="Quote1"/>
        <w:numPr>
          <w:ilvl w:val="0"/>
          <w:numId w:val="31"/>
        </w:numPr>
      </w:pPr>
      <w:r>
        <w:t xml:space="preserve">The Landlords [] </w:t>
      </w:r>
    </w:p>
    <w:p w14:paraId="42F76735" w14:textId="77777777" w:rsidR="0079799D" w:rsidRDefault="0079799D" w:rsidP="0079799D">
      <w:pPr>
        <w:pStyle w:val="Quote1"/>
        <w:numPr>
          <w:ilvl w:val="0"/>
          <w:numId w:val="31"/>
        </w:numPr>
      </w:pPr>
      <w:r>
        <w:t>Bayside Council Rockdale</w:t>
      </w:r>
    </w:p>
    <w:p w14:paraId="283F35CC" w14:textId="77777777" w:rsidR="0079799D" w:rsidRDefault="0079799D" w:rsidP="0079799D">
      <w:pPr>
        <w:pStyle w:val="Quote1"/>
        <w:numPr>
          <w:ilvl w:val="0"/>
          <w:numId w:val="31"/>
        </w:numPr>
      </w:pPr>
      <w:r>
        <w:t>NSW Fair Trading</w:t>
      </w:r>
    </w:p>
    <w:p w14:paraId="1BFF88E9" w14:textId="77777777" w:rsidR="0079799D" w:rsidRDefault="0079799D" w:rsidP="0079799D">
      <w:pPr>
        <w:pStyle w:val="Quote1"/>
        <w:numPr>
          <w:ilvl w:val="0"/>
          <w:numId w:val="31"/>
        </w:numPr>
      </w:pPr>
      <w:r>
        <w:lastRenderedPageBreak/>
        <w:t>NSW Police</w:t>
      </w:r>
    </w:p>
    <w:p w14:paraId="35341628" w14:textId="77777777" w:rsidR="0079799D" w:rsidRDefault="0079799D" w:rsidP="0079799D">
      <w:pPr>
        <w:pStyle w:val="Quote1"/>
        <w:numPr>
          <w:ilvl w:val="0"/>
          <w:numId w:val="31"/>
        </w:numPr>
      </w:pPr>
      <w:r>
        <w:t>Neighbours, Owners, Agents, Tenants SP7526 of Villas 1, 2, 3, 4, 5 ... [address in NSW]</w:t>
      </w:r>
    </w:p>
    <w:p w14:paraId="2A42C942" w14:textId="77777777" w:rsidR="0079799D" w:rsidRDefault="0079799D" w:rsidP="0079799D">
      <w:pPr>
        <w:pStyle w:val="Quote1"/>
        <w:numPr>
          <w:ilvl w:val="0"/>
          <w:numId w:val="31"/>
        </w:numPr>
      </w:pPr>
      <w:r>
        <w:t>Neighbours, Owners, Agents, Tenants of Villas 1, 2, 3, 4, 5 ... [address in NSW]</w:t>
      </w:r>
    </w:p>
    <w:p w14:paraId="5F2FC2D0" w14:textId="77777777" w:rsidR="0079799D" w:rsidRDefault="0079799D" w:rsidP="0079799D">
      <w:pPr>
        <w:pStyle w:val="Quote1"/>
        <w:numPr>
          <w:ilvl w:val="0"/>
          <w:numId w:val="31"/>
        </w:numPr>
      </w:pPr>
      <w:r>
        <w:t>Neighbours, Owners, Agents, Tenants of Villas 1, 2, 3, 4, 5 ... [address in NSW]</w:t>
      </w:r>
    </w:p>
    <w:p w14:paraId="46519D99" w14:textId="447530FC" w:rsidR="0079799D" w:rsidRDefault="0079799D" w:rsidP="0079799D">
      <w:pPr>
        <w:pStyle w:val="ParaNumbering"/>
      </w:pPr>
      <w:r>
        <w:t>Again</w:t>
      </w:r>
      <w:r w:rsidR="00455E5B">
        <w:t xml:space="preserve"> at</w:t>
      </w:r>
      <w:r>
        <w:t xml:space="preserve"> [8] of their statement of claim, they plead damage to their reputation </w:t>
      </w:r>
      <w:r w:rsidRPr="00D1732B">
        <w:t>by the alleged defamatory publications</w:t>
      </w:r>
      <w:r>
        <w:t xml:space="preserve"> “with the NSW Police, landlord,</w:t>
      </w:r>
      <w:r w:rsidRPr="00D1732B">
        <w:t xml:space="preserve"> Landlord, Argy Property, Bayside Council, NSW Fair Trading, all the neighbours, all the Owners, Agents and Tenants”: see</w:t>
      </w:r>
      <w:r>
        <w:t xml:space="preserve"> also</w:t>
      </w:r>
      <w:r w:rsidRPr="00D1732B">
        <w:t xml:space="preserve"> [21]</w:t>
      </w:r>
      <w:r w:rsidR="001C421A">
        <w:t>–</w:t>
      </w:r>
      <w:r w:rsidRPr="00D1732B">
        <w:t>[28].</w:t>
      </w:r>
      <w:r>
        <w:t xml:space="preserve"> </w:t>
      </w:r>
    </w:p>
    <w:p w14:paraId="4417CFF9" w14:textId="2DE65FEA" w:rsidR="00E55D49" w:rsidRDefault="0079799D" w:rsidP="00004AE9">
      <w:pPr>
        <w:pStyle w:val="ParaNumbering"/>
      </w:pPr>
      <w:r>
        <w:t>We observe that the appellants</w:t>
      </w:r>
      <w:r w:rsidR="00FD5973">
        <w:t xml:space="preserve"> do not </w:t>
      </w:r>
      <w:r w:rsidR="00680747">
        <w:t>plead</w:t>
      </w:r>
      <w:r w:rsidR="00FD5973">
        <w:t xml:space="preserve"> </w:t>
      </w:r>
      <w:r>
        <w:t xml:space="preserve">that they had </w:t>
      </w:r>
      <w:r w:rsidR="00FD5973">
        <w:t>any</w:t>
      </w:r>
      <w:r>
        <w:t xml:space="preserve"> reputation outside New South Wales</w:t>
      </w:r>
      <w:r w:rsidR="00680747">
        <w:t>.</w:t>
      </w:r>
      <w:r w:rsidR="00455E5B">
        <w:t xml:space="preserve"> </w:t>
      </w:r>
      <w:r w:rsidR="00E55D49">
        <w:t>Nor</w:t>
      </w:r>
      <w:r w:rsidR="00680747">
        <w:t xml:space="preserve"> do </w:t>
      </w:r>
      <w:r w:rsidR="00E55D49">
        <w:t xml:space="preserve">they </w:t>
      </w:r>
      <w:r w:rsidR="00680747">
        <w:t xml:space="preserve">plead </w:t>
      </w:r>
      <w:r>
        <w:t xml:space="preserve">that the alleged publication of the defamatory material </w:t>
      </w:r>
      <w:proofErr w:type="gramStart"/>
      <w:r>
        <w:t>was made</w:t>
      </w:r>
      <w:proofErr w:type="gramEnd"/>
      <w:r>
        <w:t xml:space="preserve"> either by or to persons and entities outside New South Wales. </w:t>
      </w:r>
      <w:r w:rsidR="001C421A">
        <w:t xml:space="preserve"> </w:t>
      </w:r>
    </w:p>
    <w:p w14:paraId="609251AE" w14:textId="1E2A709C" w:rsidR="00E55D49" w:rsidRDefault="00FD5973" w:rsidP="00004AE9">
      <w:pPr>
        <w:pStyle w:val="ParaNumbering"/>
      </w:pPr>
      <w:r>
        <w:t xml:space="preserve">We </w:t>
      </w:r>
      <w:r w:rsidR="00E55D49">
        <w:t>also</w:t>
      </w:r>
      <w:r>
        <w:t xml:space="preserve"> o</w:t>
      </w:r>
      <w:r w:rsidR="00925A23" w:rsidRPr="00FD5973">
        <w:rPr>
          <w:szCs w:val="24"/>
        </w:rPr>
        <w:t xml:space="preserve">bserve </w:t>
      </w:r>
      <w:r w:rsidR="00E55D49">
        <w:rPr>
          <w:szCs w:val="24"/>
        </w:rPr>
        <w:t xml:space="preserve">at this point </w:t>
      </w:r>
      <w:r w:rsidR="00925A23" w:rsidRPr="00FD5973">
        <w:rPr>
          <w:szCs w:val="24"/>
        </w:rPr>
        <w:t xml:space="preserve">that the appellants cannot rely </w:t>
      </w:r>
      <w:r w:rsidR="00DC015C">
        <w:rPr>
          <w:szCs w:val="24"/>
        </w:rPr>
        <w:t xml:space="preserve">on </w:t>
      </w:r>
      <w:r w:rsidR="00E55D49">
        <w:rPr>
          <w:szCs w:val="24"/>
        </w:rPr>
        <w:t>a</w:t>
      </w:r>
      <w:r w:rsidR="00DC015C">
        <w:rPr>
          <w:szCs w:val="24"/>
        </w:rPr>
        <w:t>ny</w:t>
      </w:r>
      <w:r w:rsidR="00E55D49">
        <w:rPr>
          <w:szCs w:val="24"/>
        </w:rPr>
        <w:t xml:space="preserve"> respondent’s incorporation under the </w:t>
      </w:r>
      <w:r w:rsidR="00E55D49" w:rsidRPr="00E55D49">
        <w:rPr>
          <w:i/>
          <w:szCs w:val="24"/>
        </w:rPr>
        <w:t>Corporations Act</w:t>
      </w:r>
      <w:r w:rsidR="00E55D49">
        <w:rPr>
          <w:szCs w:val="24"/>
        </w:rPr>
        <w:t xml:space="preserve"> as a possible basis </w:t>
      </w:r>
      <w:r w:rsidR="008A338C">
        <w:rPr>
          <w:szCs w:val="24"/>
        </w:rPr>
        <w:t xml:space="preserve">to attract </w:t>
      </w:r>
      <w:r w:rsidR="00E55D49">
        <w:rPr>
          <w:szCs w:val="24"/>
        </w:rPr>
        <w:t>jurisdiction</w:t>
      </w:r>
      <w:r w:rsidR="00E55D49" w:rsidRPr="00E55D49">
        <w:rPr>
          <w:szCs w:val="24"/>
        </w:rPr>
        <w:t xml:space="preserve"> </w:t>
      </w:r>
      <w:r w:rsidR="00E55D49">
        <w:rPr>
          <w:szCs w:val="24"/>
        </w:rPr>
        <w:t xml:space="preserve">under </w:t>
      </w:r>
      <w:r w:rsidR="00E55D49" w:rsidRPr="00FD5973">
        <w:rPr>
          <w:szCs w:val="24"/>
        </w:rPr>
        <w:t>s </w:t>
      </w:r>
      <w:proofErr w:type="gramStart"/>
      <w:r w:rsidR="00E55D49" w:rsidRPr="00FD5973">
        <w:rPr>
          <w:szCs w:val="24"/>
        </w:rPr>
        <w:t>39B(</w:t>
      </w:r>
      <w:proofErr w:type="gramEnd"/>
      <w:r w:rsidR="00E55D49" w:rsidRPr="00FD5973">
        <w:rPr>
          <w:szCs w:val="24"/>
        </w:rPr>
        <w:t xml:space="preserve">1A)(c) of the </w:t>
      </w:r>
      <w:r w:rsidR="00E55D49" w:rsidRPr="00FD5973">
        <w:rPr>
          <w:i/>
          <w:szCs w:val="24"/>
        </w:rPr>
        <w:t>Judiciary Act</w:t>
      </w:r>
      <w:r w:rsidR="00E55D49">
        <w:rPr>
          <w:szCs w:val="24"/>
        </w:rPr>
        <w:t xml:space="preserve">: see </w:t>
      </w:r>
      <w:r w:rsidR="00E035FC" w:rsidRPr="00FD5973">
        <w:rPr>
          <w:i/>
          <w:szCs w:val="24"/>
        </w:rPr>
        <w:t>Oliver v Nine Network</w:t>
      </w:r>
      <w:r w:rsidR="00E035FC" w:rsidRPr="00FD5973">
        <w:rPr>
          <w:szCs w:val="24"/>
        </w:rPr>
        <w:t xml:space="preserve"> at [16]</w:t>
      </w:r>
      <w:r w:rsidR="00E55D49">
        <w:rPr>
          <w:szCs w:val="24"/>
        </w:rPr>
        <w:t xml:space="preserve"> (Lee J)</w:t>
      </w:r>
      <w:r w:rsidR="00E035FC" w:rsidRPr="00FD5973">
        <w:rPr>
          <w:szCs w:val="24"/>
        </w:rPr>
        <w:t>.</w:t>
      </w:r>
      <w:r w:rsidR="00E035FC">
        <w:t xml:space="preserve"> </w:t>
      </w:r>
      <w:r>
        <w:t>This is because a</w:t>
      </w:r>
      <w:r w:rsidR="00925A23">
        <w:t>n</w:t>
      </w:r>
      <w:r w:rsidR="00DF6F2A">
        <w:t xml:space="preserve"> </w:t>
      </w:r>
      <w:proofErr w:type="gramStart"/>
      <w:r w:rsidR="00DF6F2A">
        <w:t>owners</w:t>
      </w:r>
      <w:proofErr w:type="gramEnd"/>
      <w:r w:rsidR="00DF6F2A">
        <w:t xml:space="preserve"> corporation in respect of a New South Wales strata scheme is constituted and regulated under </w:t>
      </w:r>
      <w:r w:rsidR="003253AC">
        <w:t xml:space="preserve">the </w:t>
      </w:r>
      <w:r w:rsidR="001C421A">
        <w:rPr>
          <w:i/>
        </w:rPr>
        <w:t>Strata Schemes Management Act</w:t>
      </w:r>
      <w:r w:rsidR="00925A23">
        <w:t>. T</w:t>
      </w:r>
      <w:r w:rsidR="003253AC">
        <w:t xml:space="preserve">he </w:t>
      </w:r>
      <w:r w:rsidR="003253AC" w:rsidRPr="003C3664">
        <w:rPr>
          <w:i/>
        </w:rPr>
        <w:t xml:space="preserve">Corporations Act </w:t>
      </w:r>
      <w:r w:rsidR="003253AC">
        <w:t>has no relevant operation</w:t>
      </w:r>
      <w:r w:rsidR="00925A23">
        <w:t xml:space="preserve"> with respect to an owners corporation</w:t>
      </w:r>
      <w:r w:rsidR="003253AC">
        <w:t>:</w:t>
      </w:r>
      <w:r w:rsidR="00455E5B">
        <w:t xml:space="preserve"> </w:t>
      </w:r>
      <w:r w:rsidR="003253AC">
        <w:t xml:space="preserve">see </w:t>
      </w:r>
      <w:r w:rsidR="003253AC" w:rsidRPr="003C3664">
        <w:rPr>
          <w:i/>
        </w:rPr>
        <w:t>Strata Schemes Management Act</w:t>
      </w:r>
      <w:r w:rsidR="003253AC" w:rsidRPr="003C3664">
        <w:t>, s 8</w:t>
      </w:r>
      <w:r w:rsidR="00925A23">
        <w:t xml:space="preserve"> and</w:t>
      </w:r>
      <w:r w:rsidR="003253AC">
        <w:t xml:space="preserve"> </w:t>
      </w:r>
      <w:r w:rsidR="001C421A">
        <w:rPr>
          <w:i/>
        </w:rPr>
        <w:t>Corporations Act</w:t>
      </w:r>
      <w:r w:rsidR="003253AC" w:rsidRPr="003C3664">
        <w:t>, s 5F(2)</w:t>
      </w:r>
      <w:r w:rsidR="003253AC">
        <w:t>.</w:t>
      </w:r>
      <w:r w:rsidR="00455E5B">
        <w:t xml:space="preserve"> </w:t>
      </w:r>
    </w:p>
    <w:p w14:paraId="68547253" w14:textId="5ADB0B3E" w:rsidR="00DD31D5" w:rsidRDefault="00E55D49" w:rsidP="00004AE9">
      <w:pPr>
        <w:pStyle w:val="ParaNumbering"/>
      </w:pPr>
      <w:r>
        <w:t>Finally, w</w:t>
      </w:r>
      <w:r w:rsidR="00E035FC">
        <w:t xml:space="preserve">e </w:t>
      </w:r>
      <w:r w:rsidR="00455E5B">
        <w:t>note</w:t>
      </w:r>
      <w:r w:rsidR="00E035FC">
        <w:t xml:space="preserve"> that</w:t>
      </w:r>
      <w:r w:rsidR="00FD5973">
        <w:t>,</w:t>
      </w:r>
      <w:r w:rsidR="00E035FC">
        <w:t xml:space="preserve"> although t</w:t>
      </w:r>
      <w:r w:rsidR="00925A23">
        <w:t xml:space="preserve">he </w:t>
      </w:r>
      <w:r w:rsidR="001C421A">
        <w:rPr>
          <w:i/>
        </w:rPr>
        <w:t>Strata Schemes Management Act</w:t>
      </w:r>
      <w:r w:rsidR="003253AC">
        <w:t xml:space="preserve"> identifies various management bodies and persons who might assist in carrying out the management functions of the </w:t>
      </w:r>
      <w:proofErr w:type="gramStart"/>
      <w:r w:rsidR="003253AC">
        <w:t>owners</w:t>
      </w:r>
      <w:proofErr w:type="gramEnd"/>
      <w:r w:rsidR="003253AC">
        <w:t xml:space="preserve"> corporation</w:t>
      </w:r>
      <w:r w:rsidR="00E035FC">
        <w:t xml:space="preserve"> (see </w:t>
      </w:r>
      <w:proofErr w:type="spellStart"/>
      <w:r w:rsidR="00925A23">
        <w:t>s</w:t>
      </w:r>
      <w:r w:rsidR="001C421A">
        <w:t>s</w:t>
      </w:r>
      <w:proofErr w:type="spellEnd"/>
      <w:r w:rsidR="00925A23">
        <w:t> 11</w:t>
      </w:r>
      <w:r w:rsidR="001C421A">
        <w:t>–</w:t>
      </w:r>
      <w:r w:rsidR="00925A23">
        <w:t>13</w:t>
      </w:r>
      <w:r w:rsidR="0010376B">
        <w:t xml:space="preserve"> of that Act</w:t>
      </w:r>
      <w:r w:rsidR="00E035FC">
        <w:t>), t</w:t>
      </w:r>
      <w:r w:rsidR="00925A23">
        <w:t>he appellants</w:t>
      </w:r>
      <w:r w:rsidR="00FD5973">
        <w:t xml:space="preserve"> have </w:t>
      </w:r>
      <w:r w:rsidR="00925A23">
        <w:t>not</w:t>
      </w:r>
      <w:r w:rsidR="00E035FC">
        <w:t xml:space="preserve"> </w:t>
      </w:r>
      <w:r w:rsidR="003253AC">
        <w:t>identif</w:t>
      </w:r>
      <w:r w:rsidR="00FD5973">
        <w:t xml:space="preserve">ied </w:t>
      </w:r>
      <w:r w:rsidR="003253AC">
        <w:t xml:space="preserve">the basis on which any such body or office holder </w:t>
      </w:r>
      <w:r w:rsidR="00925A23">
        <w:t>i</w:t>
      </w:r>
      <w:r w:rsidR="003253AC">
        <w:t>s sued.</w:t>
      </w:r>
      <w:r w:rsidR="00493E63">
        <w:t xml:space="preserve"> </w:t>
      </w:r>
    </w:p>
    <w:p w14:paraId="0AB2CC7F" w14:textId="1F15E2A1" w:rsidR="002056C1" w:rsidRDefault="00FD5973" w:rsidP="00A34BFA">
      <w:pPr>
        <w:pStyle w:val="ParaNumbering"/>
      </w:pPr>
      <w:r>
        <w:t>I</w:t>
      </w:r>
      <w:r w:rsidR="00C47E08">
        <w:t>n considering the appellants’ claim</w:t>
      </w:r>
      <w:r>
        <w:t xml:space="preserve">, it is important to recognise that under Australian law </w:t>
      </w:r>
      <w:r w:rsidR="00C47E08">
        <w:t xml:space="preserve">the focus of the tort of defamation is on “publications causing damage to reputation”: </w:t>
      </w:r>
      <w:r w:rsidR="00C47E08" w:rsidRPr="003C3664">
        <w:rPr>
          <w:b/>
          <w:i/>
        </w:rPr>
        <w:t>Dow Jones</w:t>
      </w:r>
      <w:r w:rsidR="00C47E08" w:rsidRPr="003C3664">
        <w:rPr>
          <w:i/>
        </w:rPr>
        <w:t xml:space="preserve"> &amp; Co </w:t>
      </w:r>
      <w:proofErr w:type="spellStart"/>
      <w:r w:rsidR="00C47E08" w:rsidRPr="003C3664">
        <w:rPr>
          <w:i/>
        </w:rPr>
        <w:t>Inc</w:t>
      </w:r>
      <w:proofErr w:type="spellEnd"/>
      <w:r w:rsidR="00C47E08" w:rsidRPr="003C3664">
        <w:rPr>
          <w:i/>
        </w:rPr>
        <w:t xml:space="preserve"> v </w:t>
      </w:r>
      <w:proofErr w:type="spellStart"/>
      <w:r w:rsidR="00C47E08" w:rsidRPr="003C3664">
        <w:rPr>
          <w:i/>
        </w:rPr>
        <w:t>Gutnick</w:t>
      </w:r>
      <w:proofErr w:type="spellEnd"/>
      <w:r w:rsidR="00C47E08" w:rsidRPr="003C3664">
        <w:t xml:space="preserve"> [2002] HCA 56; 210 CLR 575</w:t>
      </w:r>
      <w:r w:rsidR="00C47E08">
        <w:t xml:space="preserve"> at </w:t>
      </w:r>
      <w:r w:rsidR="001C421A">
        <w:t xml:space="preserve">600 </w:t>
      </w:r>
      <w:r w:rsidR="00C47E08">
        <w:t>[25].</w:t>
      </w:r>
      <w:r w:rsidR="00455E5B">
        <w:t xml:space="preserve"> </w:t>
      </w:r>
      <w:r w:rsidR="00C47E08">
        <w:t>This means that “ordinarily, defamation is to be located at the place where the damage to reputation occurs</w:t>
      </w:r>
      <w:r w:rsidR="00463BE4">
        <w:t xml:space="preserve"> …</w:t>
      </w:r>
      <w:r w:rsidR="00C47E08">
        <w:t xml:space="preserve"> [which] will be where the material ... alleged to be defamatory is available in comprehensible form”: see </w:t>
      </w:r>
      <w:r w:rsidR="00C47E08" w:rsidRPr="00FD5973">
        <w:rPr>
          <w:i/>
        </w:rPr>
        <w:t xml:space="preserve">Dow Jones </w:t>
      </w:r>
      <w:r w:rsidR="00C47E08" w:rsidRPr="00D53C75">
        <w:t xml:space="preserve">at </w:t>
      </w:r>
      <w:r w:rsidR="001C421A">
        <w:t xml:space="preserve">606–607 </w:t>
      </w:r>
      <w:r w:rsidR="00C47E08" w:rsidRPr="00D53C75">
        <w:t>[44]</w:t>
      </w:r>
      <w:r w:rsidR="00C47E08">
        <w:t xml:space="preserve"> (Gleeson CJ, McHugh, </w:t>
      </w:r>
      <w:proofErr w:type="spellStart"/>
      <w:r w:rsidR="00C47E08">
        <w:t>Gummow</w:t>
      </w:r>
      <w:proofErr w:type="spellEnd"/>
      <w:r w:rsidR="00C47E08">
        <w:t xml:space="preserve"> and Hayne JJ). </w:t>
      </w:r>
      <w:r w:rsidR="00AD0B5A">
        <w:t>As indicated already, t</w:t>
      </w:r>
      <w:r w:rsidR="00C906EB">
        <w:t xml:space="preserve">he alleged publications </w:t>
      </w:r>
      <w:r w:rsidR="00C47E08">
        <w:t xml:space="preserve">set out in the various annexures </w:t>
      </w:r>
      <w:r>
        <w:t>filed</w:t>
      </w:r>
      <w:r w:rsidR="00455E5B">
        <w:t xml:space="preserve"> </w:t>
      </w:r>
      <w:r>
        <w:t>by the appellant (see [</w:t>
      </w:r>
      <w:r w:rsidR="00466BD2">
        <w:t>17</w:t>
      </w:r>
      <w:r>
        <w:t xml:space="preserve">] above) </w:t>
      </w:r>
      <w:r w:rsidR="00C906EB">
        <w:t xml:space="preserve">indicate that </w:t>
      </w:r>
      <w:r w:rsidR="00C47E08">
        <w:t>they</w:t>
      </w:r>
      <w:r w:rsidR="00C906EB">
        <w:t xml:space="preserve"> w</w:t>
      </w:r>
      <w:r w:rsidR="00C47E08">
        <w:t>ere</w:t>
      </w:r>
      <w:r w:rsidR="00C906EB">
        <w:t xml:space="preserve"> </w:t>
      </w:r>
      <w:r>
        <w:t xml:space="preserve">all </w:t>
      </w:r>
      <w:r w:rsidR="00C906EB">
        <w:t>sent and received by a person or persons within New South Wales. There is nothing in the appellant</w:t>
      </w:r>
      <w:r>
        <w:t>s</w:t>
      </w:r>
      <w:r w:rsidR="00C906EB">
        <w:t xml:space="preserve">’ pleading or these annexures to indicate that </w:t>
      </w:r>
      <w:r w:rsidR="00C906EB">
        <w:lastRenderedPageBreak/>
        <w:t>any allegedly defamatory publication was “available in comprehensible form” anywhere outside th</w:t>
      </w:r>
      <w:r>
        <w:t>e</w:t>
      </w:r>
      <w:r w:rsidR="00C906EB">
        <w:t xml:space="preserve"> State</w:t>
      </w:r>
      <w:r w:rsidR="00D53C75">
        <w:t xml:space="preserve">: see </w:t>
      </w:r>
      <w:r w:rsidR="00D53C75" w:rsidRPr="00FD5973">
        <w:rPr>
          <w:i/>
        </w:rPr>
        <w:t xml:space="preserve">Dow Jones </w:t>
      </w:r>
      <w:r w:rsidR="00D53C75">
        <w:t xml:space="preserve">at </w:t>
      </w:r>
      <w:r w:rsidR="001C421A">
        <w:t xml:space="preserve">606–607 </w:t>
      </w:r>
      <w:r w:rsidR="00D53C75">
        <w:t>[44]</w:t>
      </w:r>
      <w:r w:rsidR="00C906EB">
        <w:t xml:space="preserve">. </w:t>
      </w:r>
    </w:p>
    <w:p w14:paraId="085BDEA9" w14:textId="7CBC5A18" w:rsidR="00BB1525" w:rsidRPr="003C3664" w:rsidRDefault="00AD0B5A" w:rsidP="002C294F">
      <w:pPr>
        <w:pStyle w:val="ParaNumbering"/>
      </w:pPr>
      <w:r w:rsidRPr="003C3664">
        <w:t>As stated above at [</w:t>
      </w:r>
      <w:r w:rsidR="00114B2B" w:rsidRPr="003C3664">
        <w:fldChar w:fldCharType="begin"/>
      </w:r>
      <w:r w:rsidR="00114B2B" w:rsidRPr="003C3664">
        <w:instrText xml:space="preserve"> REF _Ref104201018 \r \h </w:instrText>
      </w:r>
      <w:r w:rsidR="00114B2B" w:rsidRPr="003C3664">
        <w:fldChar w:fldCharType="separate"/>
      </w:r>
      <w:r w:rsidR="000D01CF">
        <w:t>6</w:t>
      </w:r>
      <w:r w:rsidR="00114B2B" w:rsidRPr="003C3664">
        <w:fldChar w:fldCharType="end"/>
      </w:r>
      <w:r w:rsidRPr="003C3664">
        <w:t xml:space="preserve">], </w:t>
      </w:r>
      <w:r w:rsidR="00B5412F" w:rsidRPr="003C3664">
        <w:t>the appellants</w:t>
      </w:r>
      <w:r w:rsidRPr="003C3664">
        <w:t xml:space="preserve"> submitted</w:t>
      </w:r>
      <w:r w:rsidR="00B5412F" w:rsidRPr="003C3664">
        <w:t xml:space="preserve"> that </w:t>
      </w:r>
      <w:proofErr w:type="gramStart"/>
      <w:r w:rsidR="00B5412F" w:rsidRPr="003C3664">
        <w:t>as a consequence</w:t>
      </w:r>
      <w:proofErr w:type="gramEnd"/>
      <w:r w:rsidR="00B5412F" w:rsidRPr="003C3664">
        <w:t xml:space="preserve"> of the alleged publication of the defamatory mat</w:t>
      </w:r>
      <w:r w:rsidR="00A1304F" w:rsidRPr="003C3664">
        <w:t>erial</w:t>
      </w:r>
      <w:r w:rsidR="00B5412F" w:rsidRPr="003C3664">
        <w:t>, the</w:t>
      </w:r>
      <w:r w:rsidRPr="003C3664">
        <w:t>y</w:t>
      </w:r>
      <w:r w:rsidR="00B5412F" w:rsidRPr="003C3664">
        <w:t xml:space="preserve"> ha</w:t>
      </w:r>
      <w:r w:rsidR="00FD5973" w:rsidRPr="003C3664">
        <w:t>ve</w:t>
      </w:r>
      <w:r w:rsidR="00B5412F" w:rsidRPr="003C3664">
        <w:t xml:space="preserve"> </w:t>
      </w:r>
      <w:r w:rsidR="006D569F" w:rsidRPr="003C3664">
        <w:t xml:space="preserve">been </w:t>
      </w:r>
      <w:r w:rsidR="00455E5B" w:rsidRPr="003C3664">
        <w:t>“</w:t>
      </w:r>
      <w:r w:rsidR="00B5412F" w:rsidRPr="003C3664">
        <w:t>blacklisted</w:t>
      </w:r>
      <w:r w:rsidR="00455E5B" w:rsidRPr="003C3664">
        <w:t>”</w:t>
      </w:r>
      <w:r w:rsidR="00B5412F" w:rsidRPr="003C3664">
        <w:t xml:space="preserve"> on the National Tenancy Database</w:t>
      </w:r>
      <w:r w:rsidR="000E0A70" w:rsidRPr="003C3664">
        <w:t xml:space="preserve"> and that</w:t>
      </w:r>
      <w:r w:rsidR="00455E5B" w:rsidRPr="003C3664">
        <w:t>,</w:t>
      </w:r>
      <w:r w:rsidR="00FD5973" w:rsidRPr="003C3664">
        <w:t xml:space="preserve"> on this account</w:t>
      </w:r>
      <w:r w:rsidR="00455E5B" w:rsidRPr="003C3664">
        <w:t>,</w:t>
      </w:r>
      <w:r w:rsidR="000E0A70" w:rsidRPr="003C3664">
        <w:t xml:space="preserve"> the</w:t>
      </w:r>
      <w:r w:rsidR="009641BA" w:rsidRPr="003C3664">
        <w:t>ir</w:t>
      </w:r>
      <w:r w:rsidR="000E0A70" w:rsidRPr="003C3664">
        <w:t xml:space="preserve"> reputation and character </w:t>
      </w:r>
      <w:r w:rsidR="009641BA" w:rsidRPr="003C3664">
        <w:t>has been</w:t>
      </w:r>
      <w:r w:rsidR="000E0A70" w:rsidRPr="003C3664">
        <w:t xml:space="preserve"> damaged in every State and Territory</w:t>
      </w:r>
      <w:r w:rsidR="00B5412F" w:rsidRPr="003C3664">
        <w:t>.</w:t>
      </w:r>
      <w:r w:rsidR="00455E5B" w:rsidRPr="003C3664">
        <w:t xml:space="preserve"> </w:t>
      </w:r>
      <w:r w:rsidR="009641BA" w:rsidRPr="003C3664">
        <w:t>Th</w:t>
      </w:r>
      <w:r w:rsidR="00A1304F" w:rsidRPr="003C3664">
        <w:t>e basis for th</w:t>
      </w:r>
      <w:r w:rsidR="009641BA" w:rsidRPr="003C3664">
        <w:t>is submission does not appear in their pleading.</w:t>
      </w:r>
      <w:r w:rsidR="00455E5B" w:rsidRPr="003C3664">
        <w:t xml:space="preserve"> </w:t>
      </w:r>
      <w:r w:rsidR="009641BA" w:rsidRPr="003C3664">
        <w:t xml:space="preserve">Further, their pleading </w:t>
      </w:r>
      <w:r w:rsidR="00114B2B" w:rsidRPr="003C3664">
        <w:t>is inconsistent with</w:t>
      </w:r>
      <w:r w:rsidR="009641BA" w:rsidRPr="003C3664">
        <w:t xml:space="preserve"> th</w:t>
      </w:r>
      <w:r w:rsidR="00114B2B" w:rsidRPr="003C3664">
        <w:t>e</w:t>
      </w:r>
      <w:r w:rsidR="009641BA" w:rsidRPr="003C3664">
        <w:t xml:space="preserve"> submission.</w:t>
      </w:r>
      <w:r w:rsidR="00455E5B" w:rsidRPr="003C3664">
        <w:t xml:space="preserve"> </w:t>
      </w:r>
      <w:r w:rsidR="00114B2B" w:rsidRPr="003C3664">
        <w:t xml:space="preserve">As already stated, </w:t>
      </w:r>
      <w:r w:rsidR="009641BA" w:rsidRPr="003C3664">
        <w:t xml:space="preserve">the appellants allege </w:t>
      </w:r>
      <w:r w:rsidR="00114B2B" w:rsidRPr="003C3664">
        <w:t xml:space="preserve">in their pleading </w:t>
      </w:r>
      <w:r w:rsidR="009641BA" w:rsidRPr="003C3664">
        <w:t>that they had a reputation in New South Wales.</w:t>
      </w:r>
      <w:r w:rsidR="00455E5B" w:rsidRPr="003C3664">
        <w:t xml:space="preserve"> </w:t>
      </w:r>
      <w:r w:rsidR="009641BA" w:rsidRPr="003C3664">
        <w:t xml:space="preserve">They do not allege that they have a reputation anywhere else. There can be no damage to reputation </w:t>
      </w:r>
      <w:r w:rsidR="00BB1525" w:rsidRPr="003C3664">
        <w:t xml:space="preserve">outside New South Wales if </w:t>
      </w:r>
      <w:r w:rsidR="00A1304F" w:rsidRPr="003C3664">
        <w:t>that</w:t>
      </w:r>
      <w:r w:rsidR="00114B2B" w:rsidRPr="003C3664">
        <w:t xml:space="preserve"> </w:t>
      </w:r>
      <w:r w:rsidR="00BB1525" w:rsidRPr="003C3664">
        <w:t xml:space="preserve">reputation </w:t>
      </w:r>
      <w:r w:rsidR="00A1304F" w:rsidRPr="003C3664">
        <w:t>did not exist</w:t>
      </w:r>
      <w:r w:rsidR="00BB1525" w:rsidRPr="003C3664">
        <w:t xml:space="preserve">. </w:t>
      </w:r>
      <w:r w:rsidR="00B20C00" w:rsidRPr="003C3664">
        <w:t xml:space="preserve">It must </w:t>
      </w:r>
      <w:r w:rsidR="00BB1525" w:rsidRPr="003C3664">
        <w:t xml:space="preserve">also </w:t>
      </w:r>
      <w:r w:rsidR="00B20C00" w:rsidRPr="003C3664">
        <w:t>be borne in mind</w:t>
      </w:r>
      <w:r w:rsidR="00BB1525" w:rsidRPr="003C3664">
        <w:t xml:space="preserve"> </w:t>
      </w:r>
      <w:r w:rsidR="00B20C00" w:rsidRPr="003C3664">
        <w:t xml:space="preserve">that </w:t>
      </w:r>
      <w:r w:rsidR="0010376B" w:rsidRPr="003C3664">
        <w:t xml:space="preserve">the </w:t>
      </w:r>
      <w:r w:rsidR="00380CC5" w:rsidRPr="003C3664">
        <w:t xml:space="preserve">publication is specifically alleged to have been made within </w:t>
      </w:r>
      <w:r w:rsidR="00B20C00" w:rsidRPr="003C3664">
        <w:t>N</w:t>
      </w:r>
      <w:r w:rsidR="00BB1525" w:rsidRPr="003C3664">
        <w:t xml:space="preserve">ew </w:t>
      </w:r>
      <w:r w:rsidR="00B20C00" w:rsidRPr="003C3664">
        <w:t>S</w:t>
      </w:r>
      <w:r w:rsidR="00BB1525" w:rsidRPr="003C3664">
        <w:t xml:space="preserve">outh </w:t>
      </w:r>
      <w:r w:rsidR="00B20C00" w:rsidRPr="003C3664">
        <w:t>W</w:t>
      </w:r>
      <w:r w:rsidR="00BB1525" w:rsidRPr="003C3664">
        <w:t>ales</w:t>
      </w:r>
      <w:r w:rsidR="006D569F" w:rsidRPr="003C3664">
        <w:t xml:space="preserve">. </w:t>
      </w:r>
      <w:r w:rsidR="00B20C00" w:rsidRPr="003C3664">
        <w:t>Therefore, even if</w:t>
      </w:r>
      <w:r w:rsidR="006D569F" w:rsidRPr="003C3664">
        <w:t xml:space="preserve"> a person or entity to whom the alleged defamatory publication </w:t>
      </w:r>
      <w:proofErr w:type="gramStart"/>
      <w:r w:rsidR="006D569F" w:rsidRPr="003C3664">
        <w:t>was made</w:t>
      </w:r>
      <w:proofErr w:type="gramEnd"/>
      <w:r w:rsidR="006D569F" w:rsidRPr="003C3664">
        <w:t xml:space="preserve"> caused the appellants’ “blacklisting”</w:t>
      </w:r>
      <w:r w:rsidR="00B20C00" w:rsidRPr="003C3664">
        <w:t xml:space="preserve"> on the </w:t>
      </w:r>
      <w:r w:rsidR="001C421A">
        <w:t xml:space="preserve">National Tenancy </w:t>
      </w:r>
      <w:r w:rsidR="00B20C00" w:rsidRPr="003C3664">
        <w:t>Database,</w:t>
      </w:r>
      <w:r w:rsidR="006D569F" w:rsidRPr="003C3664">
        <w:t xml:space="preserve"> </w:t>
      </w:r>
      <w:r w:rsidR="00114B2B" w:rsidRPr="003C3664">
        <w:t>there is nothing to support the proposition that there was</w:t>
      </w:r>
      <w:r w:rsidR="00B20C00" w:rsidRPr="003C3664">
        <w:t xml:space="preserve"> any relevant publication</w:t>
      </w:r>
      <w:r w:rsidR="00114B2B" w:rsidRPr="003C3664">
        <w:t xml:space="preserve"> outside New South Wales.</w:t>
      </w:r>
      <w:r w:rsidR="00455E5B" w:rsidRPr="003C3664">
        <w:t xml:space="preserve"> </w:t>
      </w:r>
      <w:r w:rsidR="00FF2622" w:rsidRPr="003C3664">
        <w:t>Rather</w:t>
      </w:r>
      <w:r w:rsidR="00BB1525" w:rsidRPr="003C3664">
        <w:t xml:space="preserve">, </w:t>
      </w:r>
      <w:r w:rsidR="00114B2B" w:rsidRPr="003C3664">
        <w:t>the appellants’ pleading is inconsistent with th</w:t>
      </w:r>
      <w:r w:rsidR="00A1304F" w:rsidRPr="003C3664">
        <w:t>is</w:t>
      </w:r>
      <w:r w:rsidR="00114B2B" w:rsidRPr="003C3664">
        <w:t xml:space="preserve"> proposition </w:t>
      </w:r>
      <w:r w:rsidR="00A1304F" w:rsidRPr="003C3664">
        <w:t xml:space="preserve">and therefore with the proposition </w:t>
      </w:r>
      <w:r w:rsidR="00114B2B" w:rsidRPr="003C3664">
        <w:t>that the alleged “black</w:t>
      </w:r>
      <w:r w:rsidR="006D569F" w:rsidRPr="003C3664">
        <w:t>listing</w:t>
      </w:r>
      <w:r w:rsidR="00114B2B" w:rsidRPr="003C3664">
        <w:t>”</w:t>
      </w:r>
      <w:r w:rsidR="006D569F" w:rsidRPr="003C3664">
        <w:t xml:space="preserve"> was made available in comprehensible form to a person who comprehended it </w:t>
      </w:r>
      <w:r w:rsidR="00B20C00" w:rsidRPr="003C3664">
        <w:t>outside New South Wales</w:t>
      </w:r>
      <w:r w:rsidR="006D569F" w:rsidRPr="003C3664">
        <w:t>.</w:t>
      </w:r>
      <w:r w:rsidR="00455E5B" w:rsidRPr="003C3664">
        <w:t xml:space="preserve"> </w:t>
      </w:r>
    </w:p>
    <w:p w14:paraId="4779A78D" w14:textId="77777777" w:rsidR="00F360F2" w:rsidRDefault="00B20C00" w:rsidP="00F360F2">
      <w:pPr>
        <w:pStyle w:val="ParaNumbering"/>
      </w:pPr>
      <w:r>
        <w:t xml:space="preserve">There </w:t>
      </w:r>
      <w:r w:rsidR="00BB1525">
        <w:t xml:space="preserve">are </w:t>
      </w:r>
      <w:r>
        <w:t xml:space="preserve">other difficulties with </w:t>
      </w:r>
      <w:r w:rsidR="00BB1525">
        <w:t xml:space="preserve">this aspect of the </w:t>
      </w:r>
      <w:r>
        <w:t>appellants</w:t>
      </w:r>
      <w:r w:rsidR="00455E5B">
        <w:t>’</w:t>
      </w:r>
      <w:r>
        <w:t xml:space="preserve"> submissions </w:t>
      </w:r>
      <w:r w:rsidR="00BB1525">
        <w:t xml:space="preserve">and with other aspects of their pleading but it is unnecessary to consider these difficulties further as they do not bear on the question </w:t>
      </w:r>
      <w:r w:rsidR="00FF2622">
        <w:t>of</w:t>
      </w:r>
      <w:r w:rsidR="00BB1525">
        <w:t xml:space="preserve"> the Court’s jurisdiction.</w:t>
      </w:r>
      <w:r w:rsidR="00455E5B">
        <w:t xml:space="preserve"> </w:t>
      </w:r>
    </w:p>
    <w:p w14:paraId="211DA1DE" w14:textId="08812F7D" w:rsidR="006D569F" w:rsidRDefault="001B687C" w:rsidP="00DE626D">
      <w:pPr>
        <w:pStyle w:val="ParaNumbering"/>
      </w:pPr>
      <w:r>
        <w:t>As we have said, it is clear that s </w:t>
      </w:r>
      <w:proofErr w:type="gramStart"/>
      <w:r>
        <w:t>39B(</w:t>
      </w:r>
      <w:proofErr w:type="gramEnd"/>
      <w:r>
        <w:t xml:space="preserve">1A)(a) of the </w:t>
      </w:r>
      <w:r w:rsidRPr="008178D1">
        <w:rPr>
          <w:i/>
        </w:rPr>
        <w:t>Judiciary Act</w:t>
      </w:r>
      <w:r>
        <w:t xml:space="preserve"> cannot apply in this case</w:t>
      </w:r>
      <w:r w:rsidR="008178D1">
        <w:t>: see [</w:t>
      </w:r>
      <w:r w:rsidR="00F76E80">
        <w:fldChar w:fldCharType="begin"/>
      </w:r>
      <w:r w:rsidR="00F76E80">
        <w:instrText xml:space="preserve"> REF _Ref104202164 \r \h </w:instrText>
      </w:r>
      <w:r w:rsidR="00F76E80">
        <w:fldChar w:fldCharType="separate"/>
      </w:r>
      <w:r w:rsidR="000D01CF">
        <w:t>14</w:t>
      </w:r>
      <w:r w:rsidR="00F76E80">
        <w:fldChar w:fldCharType="end"/>
      </w:r>
      <w:r w:rsidR="00F76E80">
        <w:t>]</w:t>
      </w:r>
      <w:r w:rsidR="008178D1">
        <w:t xml:space="preserve"> above</w:t>
      </w:r>
      <w:r>
        <w:t xml:space="preserve">. </w:t>
      </w:r>
      <w:r w:rsidR="00FA1032">
        <w:t xml:space="preserve">It is equally clear that the appellants’ case does not concern </w:t>
      </w:r>
      <w:r w:rsidR="008178D1">
        <w:t xml:space="preserve">a </w:t>
      </w:r>
      <w:r w:rsidR="00FA1032">
        <w:t xml:space="preserve">matter </w:t>
      </w:r>
      <w:r w:rsidR="00F360F2">
        <w:t xml:space="preserve">arising under the </w:t>
      </w:r>
      <w:r w:rsidR="00F360F2" w:rsidRPr="00752C68">
        <w:rPr>
          <w:i/>
        </w:rPr>
        <w:t>Constitution</w:t>
      </w:r>
      <w:r w:rsidR="00F360F2">
        <w:t xml:space="preserve"> or involving its interpretation</w:t>
      </w:r>
      <w:r w:rsidR="00B378C6">
        <w:t xml:space="preserve"> within s </w:t>
      </w:r>
      <w:proofErr w:type="gramStart"/>
      <w:r w:rsidR="00B378C6">
        <w:t>39B(</w:t>
      </w:r>
      <w:proofErr w:type="gramEnd"/>
      <w:r w:rsidR="00B378C6">
        <w:t xml:space="preserve">1A)(b) of the </w:t>
      </w:r>
      <w:r w:rsidR="00B378C6" w:rsidRPr="00B378C6">
        <w:rPr>
          <w:i/>
        </w:rPr>
        <w:t>Judiciary Act</w:t>
      </w:r>
      <w:r w:rsidR="00B378C6">
        <w:t>.</w:t>
      </w:r>
      <w:r w:rsidR="00455E5B">
        <w:t xml:space="preserve"> </w:t>
      </w:r>
      <w:r w:rsidR="009645FD">
        <w:t>The</w:t>
      </w:r>
      <w:r w:rsidR="00FA1032">
        <w:t xml:space="preserve"> appellants’ submission that</w:t>
      </w:r>
      <w:r w:rsidR="00F360F2">
        <w:t xml:space="preserve"> </w:t>
      </w:r>
      <w:r w:rsidR="00FA1032">
        <w:t>they had a constitutional right to bring their defamation action in a Chapter III court since the Supreme Court of New South Wales had refused to hear them, and their claim could not be heard in the District Court of New South Wales or the New South Wales Local Court</w:t>
      </w:r>
      <w:r w:rsidR="00455E5B">
        <w:t>,</w:t>
      </w:r>
      <w:r w:rsidR="009645FD">
        <w:t xml:space="preserve"> does not attract the jurisdiction conferred by this provision</w:t>
      </w:r>
      <w:r w:rsidR="00FA1032">
        <w:t>.</w:t>
      </w:r>
      <w:r w:rsidR="00455E5B">
        <w:t xml:space="preserve"> </w:t>
      </w:r>
      <w:r w:rsidR="00FA1032">
        <w:t xml:space="preserve"> </w:t>
      </w:r>
    </w:p>
    <w:p w14:paraId="08D78CBB" w14:textId="5D909337" w:rsidR="00BB1525" w:rsidRDefault="00FA1032" w:rsidP="002C294F">
      <w:pPr>
        <w:pStyle w:val="ParaNumbering"/>
      </w:pPr>
      <w:r>
        <w:t xml:space="preserve">By way of background, we note that the appellants commenced an action for defamation against the first respondent and others in the Supreme Court of New South Wales: see </w:t>
      </w:r>
      <w:proofErr w:type="spellStart"/>
      <w:r w:rsidRPr="00281464">
        <w:rPr>
          <w:i/>
        </w:rPr>
        <w:t>Renuka</w:t>
      </w:r>
      <w:proofErr w:type="spellEnd"/>
      <w:r w:rsidRPr="00281464">
        <w:rPr>
          <w:i/>
        </w:rPr>
        <w:t xml:space="preserve"> </w:t>
      </w:r>
      <w:proofErr w:type="spellStart"/>
      <w:r w:rsidRPr="00281464">
        <w:rPr>
          <w:i/>
        </w:rPr>
        <w:t>Raghubir</w:t>
      </w:r>
      <w:proofErr w:type="spellEnd"/>
      <w:r w:rsidRPr="00281464">
        <w:rPr>
          <w:i/>
        </w:rPr>
        <w:t xml:space="preserve"> v Christine </w:t>
      </w:r>
      <w:proofErr w:type="spellStart"/>
      <w:r w:rsidRPr="00281464">
        <w:rPr>
          <w:i/>
        </w:rPr>
        <w:t>Nicolopoulos</w:t>
      </w:r>
      <w:proofErr w:type="spellEnd"/>
      <w:r w:rsidRPr="00281464">
        <w:rPr>
          <w:i/>
        </w:rPr>
        <w:t xml:space="preserve"> </w:t>
      </w:r>
      <w:r>
        <w:t>[2022] NSWSC 386.</w:t>
      </w:r>
      <w:r w:rsidR="00455E5B">
        <w:t xml:space="preserve"> </w:t>
      </w:r>
      <w:r w:rsidR="007047A9">
        <w:t>A judge of that Court ordered that their statement of claim be struck out and the proceedings be dismissed because the matter as pleaded had no reasonable prospects of success.</w:t>
      </w:r>
      <w:r w:rsidR="00455E5B">
        <w:t xml:space="preserve"> </w:t>
      </w:r>
      <w:proofErr w:type="gramStart"/>
      <w:r w:rsidR="007047A9">
        <w:t xml:space="preserve">The </w:t>
      </w:r>
      <w:r w:rsidR="00B378C6">
        <w:t xml:space="preserve">assertion </w:t>
      </w:r>
      <w:r w:rsidR="007047A9">
        <w:t xml:space="preserve">that the appellants have a </w:t>
      </w:r>
      <w:r w:rsidR="007047A9">
        <w:lastRenderedPageBreak/>
        <w:t xml:space="preserve">constitutional right to bring their defamation case in these circumstances in this Court is </w:t>
      </w:r>
      <w:r w:rsidR="00B378C6">
        <w:t xml:space="preserve">incapable of rational legal argument and cannot therefore give rise to a matter “arising under the </w:t>
      </w:r>
      <w:r w:rsidR="00B378C6" w:rsidRPr="00B93496">
        <w:t>Constitution</w:t>
      </w:r>
      <w:r w:rsidR="00B378C6">
        <w:t xml:space="preserve">, or involving its interpretation” </w:t>
      </w:r>
      <w:r w:rsidR="009645FD">
        <w:t xml:space="preserve">for </w:t>
      </w:r>
      <w:r w:rsidR="00B378C6">
        <w:t>the purpose of s 3</w:t>
      </w:r>
      <w:r w:rsidR="00F76E80">
        <w:t>9</w:t>
      </w:r>
      <w:r w:rsidR="00B378C6">
        <w:t xml:space="preserve">B(1A)(b) of the </w:t>
      </w:r>
      <w:r w:rsidR="00B378C6" w:rsidRPr="00F925B1">
        <w:rPr>
          <w:i/>
        </w:rPr>
        <w:t>Judiciary Act</w:t>
      </w:r>
      <w:r w:rsidR="00F925B1">
        <w:t xml:space="preserve">: see </w:t>
      </w:r>
      <w:proofErr w:type="spellStart"/>
      <w:r w:rsidR="00F925B1" w:rsidRPr="003C3664">
        <w:rPr>
          <w:i/>
        </w:rPr>
        <w:t>Citta</w:t>
      </w:r>
      <w:proofErr w:type="spellEnd"/>
      <w:r w:rsidR="00F925B1" w:rsidRPr="003C3664">
        <w:rPr>
          <w:i/>
        </w:rPr>
        <w:t xml:space="preserve"> Hobart Pty Ltd v </w:t>
      </w:r>
      <w:proofErr w:type="spellStart"/>
      <w:r w:rsidR="00F925B1" w:rsidRPr="003C3664">
        <w:rPr>
          <w:i/>
        </w:rPr>
        <w:t>Cawthorn</w:t>
      </w:r>
      <w:proofErr w:type="spellEnd"/>
      <w:r w:rsidR="00F925B1" w:rsidRPr="003C3664">
        <w:t xml:space="preserve"> [2022] HCA 16</w:t>
      </w:r>
      <w:r w:rsidR="00F925B1">
        <w:t xml:space="preserve"> at </w:t>
      </w:r>
      <w:r w:rsidR="009645FD">
        <w:t>[</w:t>
      </w:r>
      <w:r w:rsidR="00F925B1">
        <w:t>35]</w:t>
      </w:r>
      <w:r w:rsidR="001C421A">
        <w:t>–</w:t>
      </w:r>
      <w:r w:rsidR="00F925B1">
        <w:t>[36].</w:t>
      </w:r>
      <w:proofErr w:type="gramEnd"/>
      <w:r w:rsidR="00455E5B">
        <w:t xml:space="preserve"> </w:t>
      </w:r>
    </w:p>
    <w:p w14:paraId="503E958F" w14:textId="2141CC79" w:rsidR="002341DC" w:rsidRDefault="002341DC" w:rsidP="002341DC">
      <w:pPr>
        <w:pStyle w:val="ParaNumbering"/>
      </w:pPr>
      <w:r>
        <w:t xml:space="preserve">As we have seen, the appellants also relied on s 9(3) of the </w:t>
      </w:r>
      <w:r w:rsidRPr="00C87BAA">
        <w:rPr>
          <w:i/>
        </w:rPr>
        <w:t>Jurisdiction of Courts (Cross-vesting) Act</w:t>
      </w:r>
      <w:r w:rsidRPr="00A662E3">
        <w:t>, but</w:t>
      </w:r>
      <w:r>
        <w:t xml:space="preserve"> this provision does not permit the conclusion that the Court has jur</w:t>
      </w:r>
      <w:r w:rsidR="00856C84">
        <w:t xml:space="preserve">isdiction in the present case. </w:t>
      </w:r>
      <w:proofErr w:type="gramStart"/>
      <w:r>
        <w:t xml:space="preserve">It may be accepted for present purposes that s 9(3) of that Act confers jurisdiction on the Court to hear and determine a claim for defamation where the proceeding would be within the jurisdiction of the Supreme Court of the Australian Capital Territory or the Northern Territory: see </w:t>
      </w:r>
      <w:r w:rsidRPr="00C87BAA">
        <w:rPr>
          <w:i/>
        </w:rPr>
        <w:t xml:space="preserve">Rana v Google </w:t>
      </w:r>
      <w:proofErr w:type="spellStart"/>
      <w:r w:rsidRPr="00C87BAA">
        <w:rPr>
          <w:i/>
        </w:rPr>
        <w:t>Inc</w:t>
      </w:r>
      <w:proofErr w:type="spellEnd"/>
      <w:r>
        <w:t xml:space="preserve"> [2017] FCAFC 156; 254 FCR 1 at </w:t>
      </w:r>
      <w:r w:rsidR="00856C84">
        <w:t xml:space="preserve">12 </w:t>
      </w:r>
      <w:r>
        <w:t xml:space="preserve">[40] referring to </w:t>
      </w:r>
      <w:r w:rsidRPr="00C87BAA">
        <w:rPr>
          <w:i/>
        </w:rPr>
        <w:t>Crosby v Kelly</w:t>
      </w:r>
      <w:r>
        <w:t>.</w:t>
      </w:r>
      <w:proofErr w:type="gramEnd"/>
      <w:r>
        <w:t xml:space="preserve"> This is because s 9(3) “picks up”, as Commonwealth law, each of the relevant Territory laws conferring jurisdiction on each of the Territory Supreme Courts to hear and determine a matter: see </w:t>
      </w:r>
      <w:r w:rsidRPr="00C87BAA">
        <w:rPr>
          <w:i/>
        </w:rPr>
        <w:t xml:space="preserve">Crosby v Kelly </w:t>
      </w:r>
      <w:r>
        <w:t xml:space="preserve">at </w:t>
      </w:r>
      <w:r w:rsidR="00856C84">
        <w:t xml:space="preserve">458 </w:t>
      </w:r>
      <w:r>
        <w:t xml:space="preserve">[35] (Robertson J, Bennett J agreeing); </w:t>
      </w:r>
      <w:r w:rsidR="00856C84">
        <w:t xml:space="preserve">452–453 </w:t>
      </w:r>
      <w:r>
        <w:t>[2] (Perram J).</w:t>
      </w:r>
      <w:r w:rsidR="00856C84">
        <w:t xml:space="preserve"> </w:t>
      </w:r>
      <w:r>
        <w:t xml:space="preserve">Here, as we have seen, the alleged publication of the defamatory material and resulting reputational damage was wholly within New South Wales: </w:t>
      </w:r>
      <w:proofErr w:type="spellStart"/>
      <w:r>
        <w:t>cf</w:t>
      </w:r>
      <w:proofErr w:type="spellEnd"/>
      <w:r>
        <w:t xml:space="preserve"> </w:t>
      </w:r>
      <w:r>
        <w:rPr>
          <w:i/>
        </w:rPr>
        <w:t>Crosby v Kelly</w:t>
      </w:r>
      <w:r>
        <w:t xml:space="preserve">.  </w:t>
      </w:r>
    </w:p>
    <w:p w14:paraId="0BFC6E90" w14:textId="77777777" w:rsidR="002341DC" w:rsidRDefault="002341DC" w:rsidP="002341DC">
      <w:pPr>
        <w:pStyle w:val="ParaNumbering"/>
      </w:pPr>
      <w:r>
        <w:t xml:space="preserve">The amicus, in written submissions, raised the possibility that, by reference to s 20 of the </w:t>
      </w:r>
      <w:r w:rsidRPr="009303DC">
        <w:rPr>
          <w:b/>
          <w:i/>
        </w:rPr>
        <w:t>Supreme Court Act</w:t>
      </w:r>
      <w:r w:rsidRPr="009303DC">
        <w:rPr>
          <w:i/>
        </w:rPr>
        <w:t xml:space="preserve"> 1933 </w:t>
      </w:r>
      <w:r w:rsidRPr="009303DC">
        <w:t>(ACT)</w:t>
      </w:r>
      <w:r>
        <w:t xml:space="preserve"> and s 123 of the </w:t>
      </w:r>
      <w:r w:rsidRPr="009303DC">
        <w:rPr>
          <w:b/>
          <w:i/>
        </w:rPr>
        <w:t>Civil Law (Wrongs) Act</w:t>
      </w:r>
      <w:r w:rsidR="009303DC" w:rsidRPr="009303DC">
        <w:rPr>
          <w:i/>
        </w:rPr>
        <w:t xml:space="preserve"> 2002</w:t>
      </w:r>
      <w:r w:rsidRPr="009303DC">
        <w:rPr>
          <w:i/>
        </w:rPr>
        <w:t xml:space="preserve"> </w:t>
      </w:r>
      <w:r w:rsidRPr="009303DC">
        <w:t>(ACT)</w:t>
      </w:r>
      <w:r>
        <w:t>, this Court’s jurisdiction could be enlivened if:</w:t>
      </w:r>
    </w:p>
    <w:p w14:paraId="6E2A3518" w14:textId="77777777" w:rsidR="002341DC" w:rsidRDefault="002341DC" w:rsidP="002341DC">
      <w:pPr>
        <w:pStyle w:val="ListNo1alt"/>
      </w:pPr>
      <w:r>
        <w:t>the respondents had been duly served in the Australian Capital Territory (of which there was no evidence in this proceeding); or</w:t>
      </w:r>
    </w:p>
    <w:p w14:paraId="6443CF0E" w14:textId="2E5024C2" w:rsidR="002341DC" w:rsidRDefault="002341DC" w:rsidP="002341DC">
      <w:pPr>
        <w:pStyle w:val="ListNo1alt"/>
      </w:pPr>
      <w:r>
        <w:t>the respondents were duly served within</w:t>
      </w:r>
      <w:r w:rsidR="00FE4D8E">
        <w:t xml:space="preserve"> the territorial bounds of the Federal C</w:t>
      </w:r>
      <w:r>
        <w:t>ourt’s jurisdiction</w:t>
      </w:r>
      <w:r w:rsidR="00FE4D8E">
        <w:t>: that is, anywhere in</w:t>
      </w:r>
      <w:r>
        <w:t xml:space="preserve"> Australia and the Territories within the meaning of s</w:t>
      </w:r>
      <w:r w:rsidR="00034131">
        <w:t> </w:t>
      </w:r>
      <w:r>
        <w:t xml:space="preserve">18 of the </w:t>
      </w:r>
      <w:r>
        <w:rPr>
          <w:i/>
        </w:rPr>
        <w:t>Federal Court of Australia Act</w:t>
      </w:r>
      <w:r>
        <w:t>, without any requirement for a territorial nexus or other connection with the Australian Capital Territory.</w:t>
      </w:r>
    </w:p>
    <w:p w14:paraId="186B3750" w14:textId="77777777" w:rsidR="002341DC" w:rsidRDefault="002341DC" w:rsidP="002341DC">
      <w:pPr>
        <w:pStyle w:val="ParaNumbering"/>
      </w:pPr>
      <w:r>
        <w:t xml:space="preserve">The first of those propositions need not be dealt with as it cannot be inferred that there was service of the originating application on any of the respondents in the Australian Capital Territory.  </w:t>
      </w:r>
    </w:p>
    <w:p w14:paraId="6435A8C4" w14:textId="55F65E83" w:rsidR="002341DC" w:rsidRDefault="002341DC" w:rsidP="002341DC">
      <w:pPr>
        <w:pStyle w:val="ParaNumbering"/>
      </w:pPr>
      <w:r>
        <w:t>The second of those propositions concerns service within Australia, but outside the</w:t>
      </w:r>
      <w:r w:rsidR="00856C84">
        <w:t xml:space="preserve"> Australian Capital Territory. </w:t>
      </w:r>
      <w:r>
        <w:t>Service of an originating process with</w:t>
      </w:r>
      <w:r w:rsidR="00B93496">
        <w:t>in</w:t>
      </w:r>
      <w:r>
        <w:t xml:space="preserve"> Australia, but outside the Australian Capital Territory, without the underlying matter having any territorial or other nexus to the </w:t>
      </w:r>
      <w:r>
        <w:lastRenderedPageBreak/>
        <w:t>Australian Capital Territory, is insufficient to enli</w:t>
      </w:r>
      <w:r w:rsidR="00856C84">
        <w:t xml:space="preserve">ven this Court’s jurisdiction. </w:t>
      </w:r>
      <w:r>
        <w:t xml:space="preserve">Such a matter, including this proceeding, does not give rise to an “ACT matter” within the meaning of s 4(1) of the </w:t>
      </w:r>
      <w:r w:rsidR="00856C84">
        <w:rPr>
          <w:i/>
        </w:rPr>
        <w:t>ACT Cross-v</w:t>
      </w:r>
      <w:r w:rsidRPr="00A5265A">
        <w:rPr>
          <w:i/>
        </w:rPr>
        <w:t>esting Act</w:t>
      </w:r>
      <w:r>
        <w:t xml:space="preserve">, and therefore this Court’s jurisdiction under s 9(3) of the </w:t>
      </w:r>
      <w:r w:rsidRPr="00A5265A">
        <w:rPr>
          <w:i/>
        </w:rPr>
        <w:t>Jurisdiction of Courts (Cross-vesting) Act</w:t>
      </w:r>
      <w:r w:rsidR="00856C84">
        <w:t xml:space="preserve">. </w:t>
      </w:r>
      <w:r>
        <w:t xml:space="preserve">We explain as follows. </w:t>
      </w:r>
    </w:p>
    <w:p w14:paraId="79984396" w14:textId="03DCEE08" w:rsidR="002341DC" w:rsidRPr="00CD31F2" w:rsidRDefault="002341DC" w:rsidP="002341DC">
      <w:pPr>
        <w:pStyle w:val="ParaNumbering"/>
        <w:rPr>
          <w:i/>
        </w:rPr>
      </w:pPr>
      <w:proofErr w:type="gramStart"/>
      <w:r>
        <w:t xml:space="preserve">Before the introduction of </w:t>
      </w:r>
      <w:r w:rsidR="00034131">
        <w:t xml:space="preserve">the </w:t>
      </w:r>
      <w:r w:rsidRPr="009303DC">
        <w:rPr>
          <w:i/>
        </w:rPr>
        <w:t xml:space="preserve">Service and Execution of Process Act 1992 </w:t>
      </w:r>
      <w:r w:rsidRPr="009303DC">
        <w:t>(</w:t>
      </w:r>
      <w:proofErr w:type="spellStart"/>
      <w:r w:rsidRPr="009303DC">
        <w:t>Cth</w:t>
      </w:r>
      <w:proofErr w:type="spellEnd"/>
      <w:r w:rsidRPr="009303DC">
        <w:t>)</w:t>
      </w:r>
      <w:r>
        <w:t xml:space="preserve"> (</w:t>
      </w:r>
      <w:r>
        <w:rPr>
          <w:b/>
        </w:rPr>
        <w:t>SEPA 1992</w:t>
      </w:r>
      <w:r w:rsidRPr="00856C84">
        <w:t>),</w:t>
      </w:r>
      <w:r>
        <w:t xml:space="preserve"> s</w:t>
      </w:r>
      <w:r w:rsidR="00034131">
        <w:t> </w:t>
      </w:r>
      <w:r>
        <w:t>4</w:t>
      </w:r>
      <w:r w:rsidR="00B93496">
        <w:t>(1)</w:t>
      </w:r>
      <w:r>
        <w:t xml:space="preserve"> of the </w:t>
      </w:r>
      <w:r w:rsidRPr="009303DC">
        <w:rPr>
          <w:i/>
        </w:rPr>
        <w:t>Service an</w:t>
      </w:r>
      <w:r w:rsidR="00A2610B" w:rsidRPr="009303DC">
        <w:rPr>
          <w:i/>
        </w:rPr>
        <w:t>d Execution of Process Act 1901</w:t>
      </w:r>
      <w:r w:rsidRPr="009303DC">
        <w:rPr>
          <w:i/>
        </w:rPr>
        <w:t xml:space="preserve"> </w:t>
      </w:r>
      <w:r w:rsidRPr="009303DC">
        <w:t>(</w:t>
      </w:r>
      <w:proofErr w:type="spellStart"/>
      <w:r w:rsidRPr="009303DC">
        <w:t>Cth</w:t>
      </w:r>
      <w:proofErr w:type="spellEnd"/>
      <w:r w:rsidRPr="009303DC">
        <w:t>)</w:t>
      </w:r>
      <w:r>
        <w:t xml:space="preserve"> provided that a “writ of summons issued out of </w:t>
      </w:r>
      <w:r w:rsidR="004D75BB">
        <w:t xml:space="preserve">… </w:t>
      </w:r>
      <w:r>
        <w:t>any Court of Record of a State or part of the Commonwealth may be served on the defendant in any other State</w:t>
      </w:r>
      <w:r w:rsidR="00AB3BD0">
        <w:t xml:space="preserve"> or part of the Commonwealth”.</w:t>
      </w:r>
      <w:proofErr w:type="gramEnd"/>
      <w:r w:rsidR="00AB3BD0">
        <w:t xml:space="preserve"> </w:t>
      </w:r>
      <w:r>
        <w:t>However, by s 11, where an originating process was personally served outside a Territory, a plaintiff could only proceed in a suit without an appearance by the defendant where a criterion of territorial nexus (including where the act or thing for which damages was sought was done in the Territory (s 11</w:t>
      </w:r>
      <w:r w:rsidR="00B93496">
        <w:t>(1</w:t>
      </w:r>
      <w:proofErr w:type="gramStart"/>
      <w:r w:rsidR="00B93496">
        <w:t>)</w:t>
      </w:r>
      <w:r w:rsidR="00856C84">
        <w:t>(</w:t>
      </w:r>
      <w:proofErr w:type="gramEnd"/>
      <w:r w:rsidR="00856C84">
        <w:t xml:space="preserve">d))) was satisfied. </w:t>
      </w:r>
      <w:proofErr w:type="gramStart"/>
      <w:r>
        <w:t>The effect of s</w:t>
      </w:r>
      <w:r w:rsidR="00034131">
        <w:t> </w:t>
      </w:r>
      <w:r>
        <w:t xml:space="preserve">11 was that a “defendant … could choose not to submit to the command of originating process issued out of [the Supreme Court] unless there was a nexus between the subject matter of the action, or the defendant, and the Territory…”: </w:t>
      </w:r>
      <w:r w:rsidRPr="009303DC">
        <w:rPr>
          <w:b/>
          <w:i/>
        </w:rPr>
        <w:t>Dawson v Baker</w:t>
      </w:r>
      <w:r w:rsidRPr="009303DC">
        <w:t xml:space="preserve"> (1994) 120 ACTR 11</w:t>
      </w:r>
      <w:r>
        <w:t xml:space="preserve"> at 16 </w:t>
      </w:r>
      <w:r w:rsidR="0070568F">
        <w:t xml:space="preserve">(Higgins J, </w:t>
      </w:r>
      <w:r>
        <w:t xml:space="preserve">Miles CJ and Gallop J agreeing on this point); see also </w:t>
      </w:r>
      <w:proofErr w:type="spellStart"/>
      <w:r w:rsidRPr="009303DC">
        <w:rPr>
          <w:i/>
        </w:rPr>
        <w:t>Gosper</w:t>
      </w:r>
      <w:proofErr w:type="spellEnd"/>
      <w:r w:rsidRPr="009303DC">
        <w:rPr>
          <w:i/>
        </w:rPr>
        <w:t xml:space="preserve"> v Sawyer</w:t>
      </w:r>
      <w:r w:rsidRPr="009303DC">
        <w:t xml:space="preserve"> </w:t>
      </w:r>
      <w:r w:rsidR="00856C84">
        <w:t>[1985] HCA 19;</w:t>
      </w:r>
      <w:r w:rsidRPr="009303DC">
        <w:t xml:space="preserve"> 160 CLR 548</w:t>
      </w:r>
      <w:r>
        <w:t xml:space="preserve"> at 566 (Mason and Deane JJ).</w:t>
      </w:r>
      <w:proofErr w:type="gramEnd"/>
      <w:r>
        <w:t xml:space="preserve"> </w:t>
      </w:r>
    </w:p>
    <w:p w14:paraId="6165D045" w14:textId="63FA8A31" w:rsidR="002341DC" w:rsidRPr="00CD31F2" w:rsidRDefault="002341DC" w:rsidP="002341DC">
      <w:pPr>
        <w:pStyle w:val="ParaNumbering"/>
        <w:rPr>
          <w:i/>
        </w:rPr>
      </w:pPr>
      <w:r>
        <w:t xml:space="preserve">The </w:t>
      </w:r>
      <w:r w:rsidR="009303DC" w:rsidRPr="009303DC">
        <w:rPr>
          <w:b/>
          <w:i/>
        </w:rPr>
        <w:t>Supreme Court Rules</w:t>
      </w:r>
      <w:r w:rsidR="009303DC" w:rsidRPr="009303DC">
        <w:rPr>
          <w:i/>
        </w:rPr>
        <w:t xml:space="preserve"> 1937</w:t>
      </w:r>
      <w:r w:rsidRPr="009303DC">
        <w:t xml:space="preserve"> (ACT)</w:t>
      </w:r>
      <w:r>
        <w:t xml:space="preserve"> in force as of April 1993, when SEPA 1992 was introduced, did not otherwise pr</w:t>
      </w:r>
      <w:r w:rsidR="00A2610B">
        <w:t xml:space="preserve">ovide for service outside the Australian Capital </w:t>
      </w:r>
      <w:r>
        <w:t>T</w:t>
      </w:r>
      <w:r w:rsidR="00A2610B">
        <w:t>erritory</w:t>
      </w:r>
      <w:r w:rsidR="00FE4D8E">
        <w:t>,</w:t>
      </w:r>
      <w:r w:rsidR="00856C84">
        <w:t xml:space="preserve"> but within Australia. </w:t>
      </w:r>
      <w:r>
        <w:t xml:space="preserve">Order </w:t>
      </w:r>
      <w:proofErr w:type="gramStart"/>
      <w:r>
        <w:t>3</w:t>
      </w:r>
      <w:proofErr w:type="gramEnd"/>
      <w:r>
        <w:t xml:space="preserve">, r 4 merely provided that a “writ of summons to be served out of the jurisdiction” was to be in </w:t>
      </w:r>
      <w:r w:rsidR="00856C84">
        <w:t>accordance with certain forms.</w:t>
      </w:r>
    </w:p>
    <w:p w14:paraId="19F3CDCC" w14:textId="4EFE9EBC" w:rsidR="002341DC" w:rsidRPr="0085787C" w:rsidRDefault="002341DC" w:rsidP="002341DC">
      <w:pPr>
        <w:pStyle w:val="ParaNumbering"/>
        <w:rPr>
          <w:i/>
        </w:rPr>
      </w:pPr>
      <w:r>
        <w:t>By contrast, s 15 of the SEPA 1992 provides that an “initiating process” issued in a State (which is defined to include the Australian Capital Territory and Northern Territory: s 5(1)), “ma</w:t>
      </w:r>
      <w:r w:rsidR="00A85C10">
        <w:t xml:space="preserve">y be served in another State”. </w:t>
      </w:r>
      <w:r>
        <w:t xml:space="preserve">Section 12 provides that service pursuant to SEPA 1992 is effective as if it </w:t>
      </w:r>
      <w:proofErr w:type="gramStart"/>
      <w:r>
        <w:t>had been</w:t>
      </w:r>
      <w:r w:rsidR="00A85C10">
        <w:t xml:space="preserve"> served</w:t>
      </w:r>
      <w:proofErr w:type="gramEnd"/>
      <w:r w:rsidR="00A85C10">
        <w:t xml:space="preserve"> in the place of issue. </w:t>
      </w:r>
      <w:proofErr w:type="gramStart"/>
      <w:r>
        <w:t>On this basis, the Supreme Court</w:t>
      </w:r>
      <w:r w:rsidR="00FE4D8E">
        <w:t xml:space="preserve"> of the Australian Capital Territory</w:t>
      </w:r>
      <w:r>
        <w:t xml:space="preserve"> has held that it has jurisdiction over all </w:t>
      </w:r>
      <w:r>
        <w:rPr>
          <w:i/>
        </w:rPr>
        <w:t xml:space="preserve">in </w:t>
      </w:r>
      <w:proofErr w:type="spellStart"/>
      <w:r>
        <w:rPr>
          <w:i/>
        </w:rPr>
        <w:t>personam</w:t>
      </w:r>
      <w:proofErr w:type="spellEnd"/>
      <w:r>
        <w:rPr>
          <w:i/>
        </w:rPr>
        <w:t xml:space="preserve"> </w:t>
      </w:r>
      <w:r>
        <w:t xml:space="preserve">actions where a person is validly served within Australia according to SEPA 1992, regardless of the nexus of that action to the Australian Capital Territory: see </w:t>
      </w:r>
      <w:proofErr w:type="spellStart"/>
      <w:r w:rsidRPr="005A2E83">
        <w:rPr>
          <w:b/>
          <w:i/>
        </w:rPr>
        <w:t>Kontis</w:t>
      </w:r>
      <w:proofErr w:type="spellEnd"/>
      <w:r w:rsidRPr="0066668B">
        <w:rPr>
          <w:i/>
        </w:rPr>
        <w:t xml:space="preserve"> </w:t>
      </w:r>
      <w:r w:rsidRPr="009303DC">
        <w:rPr>
          <w:i/>
        </w:rPr>
        <w:t xml:space="preserve">v </w:t>
      </w:r>
      <w:proofErr w:type="spellStart"/>
      <w:r w:rsidRPr="009303DC">
        <w:rPr>
          <w:i/>
        </w:rPr>
        <w:t>Barlin</w:t>
      </w:r>
      <w:proofErr w:type="spellEnd"/>
      <w:r w:rsidRPr="009303DC">
        <w:t xml:space="preserve"> (1993) 115 ACTR 11</w:t>
      </w:r>
      <w:r>
        <w:t xml:space="preserve"> at 18–19; </w:t>
      </w:r>
      <w:r w:rsidRPr="002728C9">
        <w:rPr>
          <w:i/>
        </w:rPr>
        <w:t>Dawson v Baker</w:t>
      </w:r>
      <w:r w:rsidRPr="002728C9">
        <w:t xml:space="preserve"> </w:t>
      </w:r>
      <w:r>
        <w:t xml:space="preserve">at 16; </w:t>
      </w:r>
      <w:r w:rsidRPr="009303DC">
        <w:rPr>
          <w:i/>
        </w:rPr>
        <w:t xml:space="preserve">Johnston v Road and Traffic Authority (NSW) </w:t>
      </w:r>
      <w:r w:rsidRPr="009303DC">
        <w:t>[199</w:t>
      </w:r>
      <w:r w:rsidR="00765C8E">
        <w:t>9</w:t>
      </w:r>
      <w:r w:rsidRPr="009303DC">
        <w:t>] ACTSC 140; 30 MVR 212</w:t>
      </w:r>
      <w:r>
        <w:t xml:space="preserve"> at </w:t>
      </w:r>
      <w:r w:rsidRPr="000F37BF">
        <w:t>213 [8];</w:t>
      </w:r>
      <w:r>
        <w:t xml:space="preserve"> </w:t>
      </w:r>
      <w:proofErr w:type="spellStart"/>
      <w:r w:rsidRPr="009303DC">
        <w:rPr>
          <w:i/>
        </w:rPr>
        <w:t>Woodham</w:t>
      </w:r>
      <w:proofErr w:type="spellEnd"/>
      <w:r w:rsidRPr="009303DC">
        <w:rPr>
          <w:i/>
        </w:rPr>
        <w:t xml:space="preserve"> v Lander</w:t>
      </w:r>
      <w:r w:rsidRPr="009303DC">
        <w:t xml:space="preserve"> [2004] ACTSC 34</w:t>
      </w:r>
      <w:r w:rsidR="00E807F2">
        <w:t>; 192 FLR 1</w:t>
      </w:r>
      <w:r>
        <w:t xml:space="preserve"> and </w:t>
      </w:r>
      <w:r w:rsidRPr="009303DC">
        <w:rPr>
          <w:i/>
        </w:rPr>
        <w:t>White Enhancements Pty Ltd v Quick Fit Tyre Service Pty Ltd</w:t>
      </w:r>
      <w:r w:rsidRPr="009303DC">
        <w:t xml:space="preserve"> [2008] ACTSC 122</w:t>
      </w:r>
      <w:r w:rsidR="00E807F2">
        <w:t>; 221 FLR 409</w:t>
      </w:r>
      <w:r>
        <w:t xml:space="preserve"> at </w:t>
      </w:r>
      <w:r w:rsidR="00E807F2">
        <w:t xml:space="preserve">412–413 </w:t>
      </w:r>
      <w:r>
        <w:t>[18]; see also</w:t>
      </w:r>
      <w:r w:rsidR="00FE4D8E">
        <w:t>,</w:t>
      </w:r>
      <w:r>
        <w:t xml:space="preserve"> with reference to the Northern Territory, </w:t>
      </w:r>
      <w:r w:rsidRPr="009303DC">
        <w:rPr>
          <w:i/>
        </w:rPr>
        <w:t>Swanson v Harley</w:t>
      </w:r>
      <w:r w:rsidRPr="009303DC">
        <w:t xml:space="preserve"> (1995) 103 </w:t>
      </w:r>
      <w:r w:rsidRPr="009303DC">
        <w:lastRenderedPageBreak/>
        <w:t>NTR 25</w:t>
      </w:r>
      <w:r w:rsidR="00AB3BD0">
        <w:t>.</w:t>
      </w:r>
      <w:proofErr w:type="gramEnd"/>
      <w:r w:rsidR="00AB3BD0">
        <w:t xml:space="preserve"> </w:t>
      </w:r>
      <w:r>
        <w:t xml:space="preserve">As stated by Master Hogan in </w:t>
      </w:r>
      <w:proofErr w:type="spellStart"/>
      <w:r w:rsidRPr="002728C9">
        <w:rPr>
          <w:i/>
        </w:rPr>
        <w:t>Kontis</w:t>
      </w:r>
      <w:proofErr w:type="spellEnd"/>
      <w:r w:rsidRPr="002728C9">
        <w:t xml:space="preserve"> </w:t>
      </w:r>
      <w:r>
        <w:t>at 19, applying SEPA</w:t>
      </w:r>
      <w:r w:rsidR="00FE4D8E">
        <w:t xml:space="preserve"> 1992</w:t>
      </w:r>
      <w:r>
        <w:t xml:space="preserve"> and </w:t>
      </w:r>
      <w:r w:rsidRPr="00271074">
        <w:rPr>
          <w:i/>
        </w:rPr>
        <w:t>Laurie v Carroll</w:t>
      </w:r>
      <w:r w:rsidRPr="002728C9">
        <w:t xml:space="preserve"> </w:t>
      </w:r>
      <w:r w:rsidR="00E807F2">
        <w:t>[1958] HCA 4;</w:t>
      </w:r>
      <w:r w:rsidR="0066668B">
        <w:t xml:space="preserve"> </w:t>
      </w:r>
      <w:r>
        <w:t xml:space="preserve">98 CLR </w:t>
      </w:r>
      <w:r w:rsidR="00FF2ED8">
        <w:t xml:space="preserve">310 </w:t>
      </w:r>
      <w:r>
        <w:t>at 323:</w:t>
      </w:r>
    </w:p>
    <w:p w14:paraId="392ABFB6" w14:textId="77777777" w:rsidR="002341DC" w:rsidRDefault="002341DC" w:rsidP="002341DC">
      <w:pPr>
        <w:pStyle w:val="Quote1"/>
      </w:pPr>
      <w:r>
        <w:t>After 12 April 1993, therefore, a plaintiff may issue a writ out of this court claiming damages for personal injury for service upon a defendant anywhere in Australia, in respect of a cause of action arising anywhere in Australia, and this court will have jurisdiction to entertain it.</w:t>
      </w:r>
    </w:p>
    <w:p w14:paraId="3809703A" w14:textId="51915D1F" w:rsidR="002341DC" w:rsidRDefault="002341DC" w:rsidP="002341DC">
      <w:pPr>
        <w:pStyle w:val="NoNum"/>
      </w:pPr>
      <w:r>
        <w:t xml:space="preserve">While questions might arise as to whether a proceeding with no nexus or connection to the Australian Capital Territory </w:t>
      </w:r>
      <w:proofErr w:type="gramStart"/>
      <w:r>
        <w:t xml:space="preserve">should be stayed pursuant to s 20(3) of the SEPA 1992, or transferred to another court under s 5 </w:t>
      </w:r>
      <w:r w:rsidR="00E807F2">
        <w:t xml:space="preserve">of </w:t>
      </w:r>
      <w:r>
        <w:t xml:space="preserve">the </w:t>
      </w:r>
      <w:r>
        <w:rPr>
          <w:i/>
        </w:rPr>
        <w:t>ACT Cross-vesting Act</w:t>
      </w:r>
      <w:r>
        <w:t>,</w:t>
      </w:r>
      <w:proofErr w:type="gramEnd"/>
      <w:r>
        <w:t xml:space="preserve"> the Supreme Court undoubtedly has jurisdiction where there is effective service under SEPA</w:t>
      </w:r>
      <w:r w:rsidR="00A2610B">
        <w:t xml:space="preserve"> 1992</w:t>
      </w:r>
      <w:r>
        <w:t xml:space="preserve">.  </w:t>
      </w:r>
    </w:p>
    <w:p w14:paraId="5D232301" w14:textId="72DC1E42" w:rsidR="002341DC" w:rsidRDefault="002341DC" w:rsidP="002341DC">
      <w:pPr>
        <w:pStyle w:val="ParaNumbering"/>
      </w:pPr>
      <w:r>
        <w:t xml:space="preserve">In this proceeding, the originating process </w:t>
      </w:r>
      <w:proofErr w:type="gramStart"/>
      <w:r>
        <w:t>was served</w:t>
      </w:r>
      <w:proofErr w:type="gramEnd"/>
      <w:r>
        <w:t>, at least on the first</w:t>
      </w:r>
      <w:r w:rsidR="00E807F2">
        <w:t xml:space="preserve"> respondent, within Australia. </w:t>
      </w:r>
      <w:r>
        <w:t xml:space="preserve">The service </w:t>
      </w:r>
      <w:proofErr w:type="gramStart"/>
      <w:r>
        <w:t>was effected</w:t>
      </w:r>
      <w:proofErr w:type="gramEnd"/>
      <w:r>
        <w:t xml:space="preserve"> pursuant to the </w:t>
      </w:r>
      <w:r w:rsidRPr="009303DC">
        <w:rPr>
          <w:i/>
        </w:rPr>
        <w:t xml:space="preserve">Federal Court Rules 2001 </w:t>
      </w:r>
      <w:r w:rsidRPr="009303DC">
        <w:t>(</w:t>
      </w:r>
      <w:proofErr w:type="spellStart"/>
      <w:r w:rsidRPr="009303DC">
        <w:t>Cth</w:t>
      </w:r>
      <w:proofErr w:type="spellEnd"/>
      <w:r w:rsidRPr="009303DC">
        <w:t>)</w:t>
      </w:r>
      <w:r w:rsidR="00E807F2">
        <w:t xml:space="preserve">, not SEPA 1992. </w:t>
      </w:r>
      <w:proofErr w:type="gramStart"/>
      <w:r w:rsidR="00E807F2">
        <w:t>But</w:t>
      </w:r>
      <w:proofErr w:type="gramEnd"/>
      <w:r w:rsidR="00E807F2">
        <w:t xml:space="preserve"> this does not matter. </w:t>
      </w:r>
      <w:r>
        <w:t xml:space="preserve">The question is whether, the Supreme Court having jurisdiction in defamation proceedings where service is effected in Australia, this Court has jurisdiction by reason of s 4(1) of the </w:t>
      </w:r>
      <w:r w:rsidR="00FE4D8E">
        <w:rPr>
          <w:i/>
        </w:rPr>
        <w:t>ACT Cross-v</w:t>
      </w:r>
      <w:r w:rsidRPr="00164929">
        <w:rPr>
          <w:i/>
        </w:rPr>
        <w:t>esting Act</w:t>
      </w:r>
      <w:r>
        <w:rPr>
          <w:i/>
        </w:rPr>
        <w:t xml:space="preserve"> </w:t>
      </w:r>
      <w:r>
        <w:t xml:space="preserve">and s 9(3) of the </w:t>
      </w:r>
      <w:r>
        <w:rPr>
          <w:i/>
        </w:rPr>
        <w:t>Jurisdiction of Courts (Cross-v</w:t>
      </w:r>
      <w:r w:rsidRPr="009C5CFE">
        <w:rPr>
          <w:i/>
        </w:rPr>
        <w:t>esting) Act</w:t>
      </w:r>
      <w:r>
        <w:t xml:space="preserve">.  </w:t>
      </w:r>
    </w:p>
    <w:p w14:paraId="27F01A76" w14:textId="77777777" w:rsidR="00E807F2" w:rsidRDefault="002341DC" w:rsidP="00FF2ED8">
      <w:pPr>
        <w:pStyle w:val="ParaNumbering"/>
      </w:pPr>
      <w:r>
        <w:t>The answer to that question in this proceeding, which has no proven territorial or other nexus to the Austra</w:t>
      </w:r>
      <w:r w:rsidR="00E807F2">
        <w:t xml:space="preserve">lian Capital Territory, is no. </w:t>
      </w:r>
      <w:r>
        <w:t xml:space="preserve">This is because the sole reason for the Supreme Court’s jurisdiction in </w:t>
      </w:r>
      <w:r w:rsidRPr="00164929">
        <w:rPr>
          <w:i/>
        </w:rPr>
        <w:t xml:space="preserve">in </w:t>
      </w:r>
      <w:proofErr w:type="spellStart"/>
      <w:r w:rsidRPr="00164929">
        <w:rPr>
          <w:i/>
        </w:rPr>
        <w:t>personam</w:t>
      </w:r>
      <w:proofErr w:type="spellEnd"/>
      <w:r w:rsidRPr="00164929">
        <w:rPr>
          <w:i/>
        </w:rPr>
        <w:t xml:space="preserve"> </w:t>
      </w:r>
      <w:r>
        <w:t xml:space="preserve">actions served in Australia, but not within the Australian Capital Territory (and with no territorial nexus or connection), is </w:t>
      </w:r>
      <w:r w:rsidR="00FE4D8E">
        <w:t xml:space="preserve">or would be </w:t>
      </w:r>
      <w:r>
        <w:t>effective service in accordance with SEPA 1992, a law of the Commonwealth</w:t>
      </w:r>
      <w:r w:rsidR="00E807F2">
        <w:t xml:space="preserve">. Indeed, rule 6430 of the </w:t>
      </w:r>
      <w:r w:rsidR="00E807F2" w:rsidRPr="009303DC">
        <w:rPr>
          <w:i/>
        </w:rPr>
        <w:t xml:space="preserve">Civil Procedure Rules 2006 </w:t>
      </w:r>
      <w:r w:rsidR="00E807F2" w:rsidRPr="009303DC">
        <w:t>(ACT)</w:t>
      </w:r>
      <w:r w:rsidR="00E807F2">
        <w:t xml:space="preserve"> provides that service outside the Australian Capital Territory but within Australia must be “in accordance with” SEPA 1992. </w:t>
      </w:r>
    </w:p>
    <w:p w14:paraId="1014DFB2" w14:textId="60E3744F" w:rsidR="002341DC" w:rsidRDefault="00E807F2" w:rsidP="00E807F2">
      <w:pPr>
        <w:pStyle w:val="ParaNumbering"/>
      </w:pPr>
      <w:r>
        <w:t>An</w:t>
      </w:r>
      <w:r w:rsidR="00FF2ED8">
        <w:t xml:space="preserve"> “ACT matter” in s 4(1) of the </w:t>
      </w:r>
      <w:r w:rsidR="00FF2ED8" w:rsidRPr="00FF2ED8">
        <w:rPr>
          <w:i/>
        </w:rPr>
        <w:t>ACT Cross-vesting Act</w:t>
      </w:r>
      <w:r w:rsidR="00FF2ED8">
        <w:t xml:space="preserve"> is defined in the Dictionary to that Act as (relevantly) “</w:t>
      </w:r>
      <w:r w:rsidR="00FF2ED8" w:rsidRPr="00FF2ED8">
        <w:t xml:space="preserve">in which the Supreme Court has jurisdiction </w:t>
      </w:r>
      <w:r w:rsidR="00FF2ED8" w:rsidRPr="00E807F2">
        <w:rPr>
          <w:b/>
        </w:rPr>
        <w:t>otherwise than by reason of a law of the Commonwealth</w:t>
      </w:r>
      <w:r w:rsidR="00FF2ED8" w:rsidRPr="00FF2ED8">
        <w:t xml:space="preserve"> or of another State</w:t>
      </w:r>
      <w:r w:rsidR="00FF2ED8">
        <w:t>”</w:t>
      </w:r>
      <w:r>
        <w:t xml:space="preserve"> (emphasis added). </w:t>
      </w:r>
      <w:proofErr w:type="gramStart"/>
      <w:r>
        <w:t xml:space="preserve">As the Supreme Court’s jurisdiction in defamation proceedings served within Australia, but outside the Australian Capital Territory, with no territorial or other nexus, is only effective “by reason of a law of the Commonwealth”, namely SEPA 1992, it is not an ACT matter over which this Court is conferred jurisdiction under and by reference to s 4(1) of the </w:t>
      </w:r>
      <w:r>
        <w:rPr>
          <w:i/>
        </w:rPr>
        <w:t>ACT Cross-vesting Act</w:t>
      </w:r>
      <w:r>
        <w:t>.</w:t>
      </w:r>
      <w:proofErr w:type="gramEnd"/>
    </w:p>
    <w:p w14:paraId="0BD67979" w14:textId="77777777" w:rsidR="00FE4D8E" w:rsidRDefault="00FE4D8E" w:rsidP="00FE4D8E">
      <w:pPr>
        <w:pStyle w:val="ParaNumbering"/>
      </w:pPr>
      <w:r>
        <w:t>If</w:t>
      </w:r>
      <w:r w:rsidR="002341DC">
        <w:t xml:space="preserve"> the Australian Capital Territory did purport to confer jurisdiction on the Federal Court over matters which had no territorial or other nexus to the Territory, such a law may </w:t>
      </w:r>
      <w:r>
        <w:t xml:space="preserve">raise questions </w:t>
      </w:r>
      <w:r>
        <w:lastRenderedPageBreak/>
        <w:t xml:space="preserve">as to its constitutional validity under or by reference to </w:t>
      </w:r>
      <w:r w:rsidR="002341DC">
        <w:t xml:space="preserve">s 122 of the </w:t>
      </w:r>
      <w:r w:rsidR="002341DC">
        <w:rPr>
          <w:i/>
        </w:rPr>
        <w:t>Constitution</w:t>
      </w:r>
      <w:r w:rsidR="002341DC">
        <w:t xml:space="preserve">: </w:t>
      </w:r>
      <w:r w:rsidR="002341DC" w:rsidRPr="009303DC">
        <w:rPr>
          <w:i/>
        </w:rPr>
        <w:t xml:space="preserve">Cotter v Workman </w:t>
      </w:r>
      <w:r w:rsidR="002341DC" w:rsidRPr="009303DC">
        <w:t>(1972) 20 FLR 318</w:t>
      </w:r>
      <w:r>
        <w:t xml:space="preserve"> at 327</w:t>
      </w:r>
      <w:r w:rsidR="002341DC">
        <w:t xml:space="preserve">.  </w:t>
      </w:r>
    </w:p>
    <w:p w14:paraId="3DFEC736" w14:textId="77777777" w:rsidR="002341DC" w:rsidRDefault="00FE4D8E" w:rsidP="002341DC">
      <w:pPr>
        <w:pStyle w:val="ParaNumbering"/>
      </w:pPr>
      <w:r>
        <w:t>It is unnecessary to deal with this.</w:t>
      </w:r>
    </w:p>
    <w:p w14:paraId="722D3B8E" w14:textId="68B81F5A" w:rsidR="002341DC" w:rsidRDefault="002341DC" w:rsidP="002341DC">
      <w:pPr>
        <w:pStyle w:val="ParaNumbering"/>
      </w:pPr>
      <w:proofErr w:type="gramStart"/>
      <w:r>
        <w:t>The amicus</w:t>
      </w:r>
      <w:r w:rsidR="00FF2ED8">
        <w:t xml:space="preserve"> also</w:t>
      </w:r>
      <w:r>
        <w:t xml:space="preserve"> </w:t>
      </w:r>
      <w:r w:rsidR="00FE4D8E">
        <w:t>referred to</w:t>
      </w:r>
      <w:r>
        <w:t xml:space="preserve"> </w:t>
      </w:r>
      <w:proofErr w:type="spellStart"/>
      <w:r>
        <w:t>s</w:t>
      </w:r>
      <w:proofErr w:type="spellEnd"/>
      <w:r>
        <w:t xml:space="preserve"> 123 of the </w:t>
      </w:r>
      <w:r>
        <w:rPr>
          <w:i/>
        </w:rPr>
        <w:t>Civil Law (Wrongs) Act</w:t>
      </w:r>
      <w:r>
        <w:t xml:space="preserve">, which provides that choice of law </w:t>
      </w:r>
      <w:r w:rsidR="0066668B">
        <w:t>for</w:t>
      </w:r>
      <w:r>
        <w:t xml:space="preserve"> defamation proceedings in the Australian Capital Territory where publication occurs wholly within a particular “Australian jurisdictional area” (such as a State: s 123(5)) is the substantive law of that jurisdiction, </w:t>
      </w:r>
      <w:r w:rsidR="00FE4D8E">
        <w:t>as inferentially supporting</w:t>
      </w:r>
      <w:r>
        <w:t xml:space="preserve"> the Supreme Court’s jurisdiction where publication occurs wholly </w:t>
      </w:r>
      <w:r w:rsidR="00E807F2">
        <w:t>in another State or Territory.</w:t>
      </w:r>
      <w:proofErr w:type="gramEnd"/>
      <w:r w:rsidR="00E807F2">
        <w:t xml:space="preserve"> </w:t>
      </w:r>
      <w:r>
        <w:t>But s 123 is not a law that purports to confer jurisdiction on the Supreme Court: see s 20(1</w:t>
      </w:r>
      <w:proofErr w:type="gramStart"/>
      <w:r>
        <w:t>)(</w:t>
      </w:r>
      <w:proofErr w:type="gramEnd"/>
      <w:r>
        <w:t xml:space="preserve">b) of the </w:t>
      </w:r>
      <w:r>
        <w:rPr>
          <w:i/>
        </w:rPr>
        <w:t>Supreme Court Act</w:t>
      </w:r>
      <w:r>
        <w:t xml:space="preserve">.  </w:t>
      </w:r>
    </w:p>
    <w:p w14:paraId="4C52A7BA" w14:textId="77777777" w:rsidR="006453F5" w:rsidRDefault="002341DC" w:rsidP="002341DC">
      <w:pPr>
        <w:pStyle w:val="ParaNumbering"/>
      </w:pPr>
      <w:r>
        <w:t xml:space="preserve">For these reasons, service of the originating process in this proceeding, within Australia, but outside the Australian Capital Territory, is insufficient in and of itself to enliven this Court’s jurisdiction.  </w:t>
      </w:r>
    </w:p>
    <w:p w14:paraId="19F96F34" w14:textId="77777777" w:rsidR="00396B17" w:rsidRDefault="00396B17" w:rsidP="00396B17">
      <w:pPr>
        <w:pStyle w:val="Heading1"/>
      </w:pPr>
      <w:r>
        <w:t>disposition</w:t>
      </w:r>
    </w:p>
    <w:p w14:paraId="112BCF32" w14:textId="1EE36C56" w:rsidR="00577E51" w:rsidRDefault="00C87BAA" w:rsidP="00577E51">
      <w:pPr>
        <w:pStyle w:val="ParaNumbering"/>
      </w:pPr>
      <w:r>
        <w:t>For the reasons</w:t>
      </w:r>
      <w:r w:rsidR="00A13E8E">
        <w:t xml:space="preserve"> </w:t>
      </w:r>
      <w:r w:rsidR="00E6013B">
        <w:t>stated</w:t>
      </w:r>
      <w:r>
        <w:t>, no error attaches to the judgment of the primary judge</w:t>
      </w:r>
      <w:r w:rsidR="00396B17">
        <w:t xml:space="preserve"> in dismissing the proceeding for want of jurisdiction. </w:t>
      </w:r>
      <w:r w:rsidR="00577E51">
        <w:t xml:space="preserve">The appeal should be dismissed, with costs. </w:t>
      </w:r>
      <w:r w:rsidR="00D47FBA">
        <w:t xml:space="preserve">Counsel appeared for the first respondent and did not announce an appearance otherwise. </w:t>
      </w:r>
      <w:proofErr w:type="gramStart"/>
      <w:r w:rsidR="00D47FBA">
        <w:t>Thus</w:t>
      </w:r>
      <w:proofErr w:type="gramEnd"/>
      <w:r w:rsidR="00D47FBA">
        <w:t xml:space="preserve"> the costs awarded should be of the first respondent who appeared. </w:t>
      </w:r>
      <w:r w:rsidR="00577E51">
        <w:t>The possible impecuniosity of the appellants is not a reason to depart from the ordinary rule.</w:t>
      </w:r>
    </w:p>
    <w:p w14:paraId="58B87892" w14:textId="77777777" w:rsidR="00A2610B" w:rsidRDefault="00A2610B" w:rsidP="00815065">
      <w:pPr>
        <w:pStyle w:val="BodyText"/>
      </w:pPr>
      <w:bookmarkStart w:id="27" w:name="Certification"/>
    </w:p>
    <w:tbl>
      <w:tblPr>
        <w:tblW w:w="0" w:type="auto"/>
        <w:tblLook w:val="04A0" w:firstRow="1" w:lastRow="0" w:firstColumn="1" w:lastColumn="0" w:noHBand="0" w:noVBand="1"/>
      </w:tblPr>
      <w:tblGrid>
        <w:gridCol w:w="3794"/>
      </w:tblGrid>
      <w:tr w:rsidR="00A2610B" w:rsidRPr="00A2610B" w14:paraId="006EAC8F" w14:textId="77777777">
        <w:tc>
          <w:tcPr>
            <w:tcW w:w="3794" w:type="dxa"/>
            <w:shd w:val="clear" w:color="auto" w:fill="auto"/>
          </w:tcPr>
          <w:p w14:paraId="37F656DA" w14:textId="5E422B07" w:rsidR="00A2610B" w:rsidRPr="00A2610B" w:rsidRDefault="00A2610B" w:rsidP="00DB5AB0">
            <w:pPr>
              <w:pStyle w:val="Normal1linespace"/>
            </w:pPr>
            <w:r w:rsidRPr="00A2610B">
              <w:t xml:space="preserve">I certify that the preceding </w:t>
            </w:r>
            <w:bookmarkStart w:id="28" w:name="NumberWord"/>
            <w:r>
              <w:t>forty-t</w:t>
            </w:r>
            <w:bookmarkEnd w:id="28"/>
            <w:r w:rsidR="00DB5AB0">
              <w:t>wo</w:t>
            </w:r>
            <w:r w:rsidRPr="00A2610B">
              <w:t xml:space="preserve"> (</w:t>
            </w:r>
            <w:bookmarkStart w:id="29" w:name="NumberNumeral"/>
            <w:r>
              <w:t>4</w:t>
            </w:r>
            <w:r w:rsidR="00FF2ED8">
              <w:t>2</w:t>
            </w:r>
            <w:bookmarkEnd w:id="29"/>
            <w:r w:rsidRPr="00A2610B">
              <w:t xml:space="preserve">) numbered </w:t>
            </w:r>
            <w:bookmarkStart w:id="30" w:name="CertPara"/>
            <w:r>
              <w:t>paragraphs are</w:t>
            </w:r>
            <w:bookmarkEnd w:id="30"/>
            <w:r w:rsidRPr="00A2610B">
              <w:t xml:space="preserve"> a true copy of the Reasons for Judgment of </w:t>
            </w:r>
            <w:bookmarkStart w:id="31" w:name="bkHonourable"/>
            <w:r w:rsidRPr="00A2610B">
              <w:t xml:space="preserve">the Honourable </w:t>
            </w:r>
            <w:bookmarkStart w:id="32" w:name="Justice"/>
            <w:bookmarkEnd w:id="31"/>
            <w:r>
              <w:t>Chief Justice Allsop and Justices Kenny and Jagot</w:t>
            </w:r>
            <w:bookmarkEnd w:id="32"/>
            <w:r w:rsidRPr="00A2610B">
              <w:t>.</w:t>
            </w:r>
          </w:p>
        </w:tc>
      </w:tr>
    </w:tbl>
    <w:p w14:paraId="30DEA8BE" w14:textId="77777777" w:rsidR="00A2610B" w:rsidRDefault="00A2610B" w:rsidP="00815065">
      <w:pPr>
        <w:pStyle w:val="BodyText"/>
      </w:pPr>
    </w:p>
    <w:p w14:paraId="68FC3CBE" w14:textId="73250E3E" w:rsidR="00A2610B" w:rsidRDefault="00A2610B" w:rsidP="00815065">
      <w:pPr>
        <w:pStyle w:val="BodyText"/>
      </w:pPr>
    </w:p>
    <w:p w14:paraId="2FB32173" w14:textId="01A86B3F" w:rsidR="00A2610B" w:rsidRDefault="00A2610B" w:rsidP="00815065">
      <w:pPr>
        <w:pStyle w:val="BodyText"/>
      </w:pPr>
    </w:p>
    <w:p w14:paraId="06170176" w14:textId="03F198EF" w:rsidR="00A2610B" w:rsidRDefault="00A2610B" w:rsidP="00815065">
      <w:pPr>
        <w:pStyle w:val="BodyText"/>
      </w:pPr>
      <w:r>
        <w:t>Associate:</w:t>
      </w:r>
    </w:p>
    <w:p w14:paraId="3B9FC6B0" w14:textId="77777777" w:rsidR="00A2610B" w:rsidRDefault="00A2610B" w:rsidP="00815065">
      <w:pPr>
        <w:pStyle w:val="BodyText"/>
      </w:pPr>
    </w:p>
    <w:p w14:paraId="7B9617F7" w14:textId="57A0EA73" w:rsidR="00A2610B" w:rsidRDefault="00A2610B" w:rsidP="00815065">
      <w:pPr>
        <w:pStyle w:val="BodyText"/>
        <w:tabs>
          <w:tab w:val="left" w:pos="1134"/>
        </w:tabs>
      </w:pPr>
      <w:r>
        <w:t>Dated:</w:t>
      </w:r>
      <w:r>
        <w:tab/>
      </w:r>
      <w:r w:rsidR="00E807F2">
        <w:t>3 June 2022</w:t>
      </w:r>
    </w:p>
    <w:p w14:paraId="48224A41" w14:textId="77777777" w:rsidR="00A2610B" w:rsidRDefault="00A2610B" w:rsidP="00815065">
      <w:pPr>
        <w:pStyle w:val="BodyText"/>
      </w:pPr>
    </w:p>
    <w:bookmarkEnd w:id="27"/>
    <w:p w14:paraId="1E51A35B" w14:textId="2C0292CA" w:rsidR="006838CA" w:rsidRPr="00397D16" w:rsidRDefault="006838CA" w:rsidP="00397D16">
      <w:pPr>
        <w:pStyle w:val="BodyText"/>
      </w:pPr>
    </w:p>
    <w:p w14:paraId="3CF49EEB" w14:textId="77777777" w:rsidR="00AA0883" w:rsidRDefault="00AA0883">
      <w:pPr>
        <w:spacing w:line="240" w:lineRule="auto"/>
        <w:jc w:val="left"/>
      </w:pPr>
      <w:r>
        <w:br w:type="page"/>
      </w:r>
    </w:p>
    <w:p w14:paraId="0F817471" w14:textId="77777777" w:rsidR="00AA0883" w:rsidRPr="00CD498A" w:rsidRDefault="00AA0883" w:rsidP="00E91A0F">
      <w:pPr>
        <w:pStyle w:val="NormalHeadings"/>
        <w:spacing w:before="180" w:line="480" w:lineRule="auto"/>
        <w:jc w:val="center"/>
        <w:rPr>
          <w:sz w:val="28"/>
          <w:szCs w:val="28"/>
        </w:rPr>
      </w:pPr>
      <w:bookmarkStart w:id="33" w:name="SOP_Section"/>
      <w:r w:rsidRPr="00CD498A">
        <w:rPr>
          <w:sz w:val="28"/>
          <w:szCs w:val="28"/>
        </w:rPr>
        <w:lastRenderedPageBreak/>
        <w:t>SCHEDULE OF PARTIES</w:t>
      </w:r>
    </w:p>
    <w:p w14:paraId="745CC912" w14:textId="77777777" w:rsidR="00AA0883" w:rsidRPr="00663089" w:rsidRDefault="00AA0883" w:rsidP="0068508F">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A0883" w14:paraId="7C7E3B21" w14:textId="77777777" w:rsidTr="00AA0883">
        <w:tc>
          <w:tcPr>
            <w:tcW w:w="3368" w:type="dxa"/>
          </w:tcPr>
          <w:p w14:paraId="269AB652" w14:textId="77777777" w:rsidR="00AA0883" w:rsidRDefault="00AA0883" w:rsidP="0068508F">
            <w:pPr>
              <w:pStyle w:val="NormalHeadings"/>
              <w:jc w:val="left"/>
              <w:rPr>
                <w:caps/>
                <w:szCs w:val="24"/>
              </w:rPr>
            </w:pPr>
          </w:p>
        </w:tc>
        <w:tc>
          <w:tcPr>
            <w:tcW w:w="5874" w:type="dxa"/>
          </w:tcPr>
          <w:p w14:paraId="18512828" w14:textId="77777777" w:rsidR="00AA0883" w:rsidRDefault="00DB5AB0" w:rsidP="0068508F">
            <w:pPr>
              <w:pStyle w:val="NormalHeadings"/>
              <w:jc w:val="right"/>
            </w:pPr>
            <w:fldSimple w:instr=" REF  FileNo " w:fldLock="1">
              <w:r w:rsidR="00AA0883">
                <w:t>NSD</w:t>
              </w:r>
              <w:r w:rsidR="008168E8">
                <w:t xml:space="preserve"> </w:t>
              </w:r>
              <w:r w:rsidR="00AA0883">
                <w:t>1021 of 2021</w:t>
              </w:r>
            </w:fldSimple>
          </w:p>
        </w:tc>
      </w:tr>
      <w:tr w:rsidR="00AA0883" w14:paraId="7B17808C" w14:textId="77777777" w:rsidTr="00AA0883">
        <w:trPr>
          <w:trHeight w:val="386"/>
        </w:trPr>
        <w:tc>
          <w:tcPr>
            <w:tcW w:w="3368" w:type="dxa"/>
          </w:tcPr>
          <w:p w14:paraId="11AF4E76" w14:textId="77777777" w:rsidR="00AA0883" w:rsidRDefault="00AA0883" w:rsidP="0068508F">
            <w:pPr>
              <w:pStyle w:val="BodyTextBold"/>
              <w:spacing w:before="180"/>
              <w:jc w:val="left"/>
            </w:pPr>
            <w:bookmarkStart w:id="34" w:name="SOP_RespondentsRows" w:colFirst="0" w:colLast="1"/>
            <w:r>
              <w:t>Respondents</w:t>
            </w:r>
          </w:p>
        </w:tc>
        <w:tc>
          <w:tcPr>
            <w:tcW w:w="5874" w:type="dxa"/>
            <w:tcMar>
              <w:left w:w="28" w:type="dxa"/>
            </w:tcMar>
          </w:tcPr>
          <w:p w14:paraId="0D61C6E2" w14:textId="77777777" w:rsidR="00AA0883" w:rsidRDefault="00AA0883" w:rsidP="0068508F">
            <w:pPr>
              <w:pStyle w:val="BodyText"/>
              <w:jc w:val="left"/>
            </w:pPr>
          </w:p>
        </w:tc>
      </w:tr>
      <w:tr w:rsidR="00AA0883" w14:paraId="5B2D4BFF" w14:textId="77777777" w:rsidTr="00AA0883">
        <w:trPr>
          <w:trHeight w:val="386"/>
        </w:trPr>
        <w:tc>
          <w:tcPr>
            <w:tcW w:w="3368" w:type="dxa"/>
          </w:tcPr>
          <w:p w14:paraId="4FAB80C1" w14:textId="77777777" w:rsidR="00AA0883" w:rsidRDefault="00AA0883" w:rsidP="0068508F">
            <w:pPr>
              <w:pStyle w:val="BodyText"/>
              <w:spacing w:after="240" w:line="240" w:lineRule="auto"/>
              <w:jc w:val="left"/>
            </w:pPr>
            <w:bookmarkStart w:id="35" w:name="SOP_FirstRespondent"/>
            <w:bookmarkEnd w:id="35"/>
            <w:r>
              <w:t>Fourth Respondent:</w:t>
            </w:r>
          </w:p>
        </w:tc>
        <w:tc>
          <w:tcPr>
            <w:tcW w:w="5874" w:type="dxa"/>
            <w:tcMar>
              <w:left w:w="28" w:type="dxa"/>
            </w:tcMar>
          </w:tcPr>
          <w:p w14:paraId="01775CBC" w14:textId="77777777" w:rsidR="00AA0883" w:rsidRDefault="00AA0883" w:rsidP="0068508F">
            <w:pPr>
              <w:pStyle w:val="BodyText"/>
              <w:spacing w:after="240" w:line="240" w:lineRule="auto"/>
              <w:jc w:val="left"/>
            </w:pPr>
            <w:r>
              <w:t>STRATA COMMITTEE SP7526</w:t>
            </w:r>
          </w:p>
        </w:tc>
      </w:tr>
      <w:tr w:rsidR="00AA0883" w14:paraId="4911235D" w14:textId="77777777" w:rsidTr="00AA0883">
        <w:trPr>
          <w:trHeight w:val="386"/>
        </w:trPr>
        <w:tc>
          <w:tcPr>
            <w:tcW w:w="3368" w:type="dxa"/>
          </w:tcPr>
          <w:p w14:paraId="73C95C36" w14:textId="77777777" w:rsidR="00AA0883" w:rsidRDefault="00AA0883" w:rsidP="0068508F">
            <w:pPr>
              <w:pStyle w:val="BodyText"/>
              <w:spacing w:after="240" w:line="240" w:lineRule="auto"/>
              <w:jc w:val="left"/>
            </w:pPr>
            <w:r>
              <w:t>Fifth Respondent:</w:t>
            </w:r>
          </w:p>
        </w:tc>
        <w:tc>
          <w:tcPr>
            <w:tcW w:w="5874" w:type="dxa"/>
            <w:tcMar>
              <w:left w:w="28" w:type="dxa"/>
            </w:tcMar>
          </w:tcPr>
          <w:p w14:paraId="0EE38279" w14:textId="77777777" w:rsidR="00AA0883" w:rsidRDefault="00AA0883" w:rsidP="0068508F">
            <w:pPr>
              <w:pStyle w:val="BodyText"/>
              <w:spacing w:after="240" w:line="240" w:lineRule="auto"/>
              <w:jc w:val="left"/>
            </w:pPr>
            <w:r>
              <w:t>CHAIRPERSON SP7526</w:t>
            </w:r>
          </w:p>
        </w:tc>
      </w:tr>
      <w:tr w:rsidR="00AA0883" w14:paraId="715996B4" w14:textId="77777777" w:rsidTr="00AA0883">
        <w:trPr>
          <w:trHeight w:val="386"/>
        </w:trPr>
        <w:tc>
          <w:tcPr>
            <w:tcW w:w="3368" w:type="dxa"/>
          </w:tcPr>
          <w:p w14:paraId="31868499" w14:textId="77777777" w:rsidR="00AA0883" w:rsidRDefault="00AA0883" w:rsidP="0068508F">
            <w:pPr>
              <w:pStyle w:val="BodyText"/>
              <w:spacing w:after="240" w:line="240" w:lineRule="auto"/>
              <w:jc w:val="left"/>
            </w:pPr>
            <w:r>
              <w:t>Sixth Respondent:</w:t>
            </w:r>
          </w:p>
        </w:tc>
        <w:tc>
          <w:tcPr>
            <w:tcW w:w="5874" w:type="dxa"/>
            <w:tcMar>
              <w:left w:w="28" w:type="dxa"/>
            </w:tcMar>
          </w:tcPr>
          <w:p w14:paraId="1099A4F2" w14:textId="77777777" w:rsidR="00AA0883" w:rsidRDefault="00AA0883" w:rsidP="0068508F">
            <w:pPr>
              <w:pStyle w:val="BodyText"/>
              <w:spacing w:after="240" w:line="240" w:lineRule="auto"/>
              <w:jc w:val="left"/>
            </w:pPr>
            <w:r>
              <w:t>SECRETARY SP7526</w:t>
            </w:r>
          </w:p>
        </w:tc>
      </w:tr>
      <w:tr w:rsidR="00AA0883" w14:paraId="0745430C" w14:textId="77777777" w:rsidTr="00AA0883">
        <w:trPr>
          <w:trHeight w:val="386"/>
        </w:trPr>
        <w:tc>
          <w:tcPr>
            <w:tcW w:w="3368" w:type="dxa"/>
          </w:tcPr>
          <w:p w14:paraId="14F7597A" w14:textId="77777777" w:rsidR="00AA0883" w:rsidRDefault="00AA0883" w:rsidP="0068508F">
            <w:pPr>
              <w:pStyle w:val="BodyText"/>
              <w:spacing w:after="240" w:line="240" w:lineRule="auto"/>
              <w:jc w:val="left"/>
            </w:pPr>
            <w:r>
              <w:t>Seventh Respondent:</w:t>
            </w:r>
          </w:p>
        </w:tc>
        <w:tc>
          <w:tcPr>
            <w:tcW w:w="5874" w:type="dxa"/>
            <w:tcMar>
              <w:left w:w="28" w:type="dxa"/>
            </w:tcMar>
          </w:tcPr>
          <w:p w14:paraId="703047F4" w14:textId="77777777" w:rsidR="00AA0883" w:rsidRDefault="00AA0883" w:rsidP="0068508F">
            <w:pPr>
              <w:pStyle w:val="BodyText"/>
              <w:spacing w:after="240" w:line="240" w:lineRule="auto"/>
              <w:jc w:val="left"/>
            </w:pPr>
            <w:r>
              <w:t>OWNERS CORPORATION OF STRATA PLAN 7526</w:t>
            </w:r>
          </w:p>
        </w:tc>
      </w:tr>
      <w:bookmarkEnd w:id="34"/>
    </w:tbl>
    <w:p w14:paraId="0729C9F4" w14:textId="77777777" w:rsidR="00AA0883" w:rsidRDefault="00AA0883" w:rsidP="002B0E91">
      <w:pPr>
        <w:pStyle w:val="BodyText"/>
      </w:pPr>
    </w:p>
    <w:bookmarkEnd w:id="33"/>
    <w:p w14:paraId="693537A8" w14:textId="77777777" w:rsidR="00AA0883" w:rsidRDefault="00AA0883" w:rsidP="00AA0883">
      <w:pPr>
        <w:pStyle w:val="BodyText"/>
      </w:pPr>
    </w:p>
    <w:sectPr w:rsidR="00AA088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C7F6" w14:textId="77777777" w:rsidR="00E604CD" w:rsidRDefault="00E604CD">
      <w:pPr>
        <w:spacing w:line="20" w:lineRule="exact"/>
      </w:pPr>
    </w:p>
    <w:p w14:paraId="629AF1F2" w14:textId="77777777" w:rsidR="00E604CD" w:rsidRDefault="00E604CD"/>
    <w:p w14:paraId="6D40B8FD" w14:textId="77777777" w:rsidR="00E604CD" w:rsidRDefault="00E604CD"/>
  </w:endnote>
  <w:endnote w:type="continuationSeparator" w:id="0">
    <w:p w14:paraId="5EECB2A2" w14:textId="77777777" w:rsidR="00E604CD" w:rsidRDefault="00E604CD">
      <w:r>
        <w:t xml:space="preserve"> </w:t>
      </w:r>
    </w:p>
    <w:p w14:paraId="398DDFE5" w14:textId="77777777" w:rsidR="00E604CD" w:rsidRDefault="00E604CD"/>
    <w:p w14:paraId="12D33560" w14:textId="77777777" w:rsidR="00E604CD" w:rsidRDefault="00E604CD"/>
  </w:endnote>
  <w:endnote w:type="continuationNotice" w:id="1">
    <w:p w14:paraId="3D8C2271" w14:textId="77777777" w:rsidR="00E604CD" w:rsidRDefault="00E604CD">
      <w:r>
        <w:t xml:space="preserve"> </w:t>
      </w:r>
    </w:p>
    <w:p w14:paraId="441215A1" w14:textId="77777777" w:rsidR="00E604CD" w:rsidRDefault="00E604CD"/>
    <w:p w14:paraId="04D48D65" w14:textId="77777777" w:rsidR="00E604CD" w:rsidRDefault="00E6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7861" w14:textId="77777777" w:rsidR="00801CD6" w:rsidRDefault="0080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629" w14:textId="230CEA93" w:rsidR="0068508F" w:rsidRPr="00C47B9D" w:rsidRDefault="0068508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395CB9F" wp14:editId="74B1424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BBAB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7C5737">
          <w:rPr>
            <w:bCs/>
            <w:sz w:val="18"/>
            <w:szCs w:val="18"/>
          </w:rPr>
          <w:t>Raghubir</w:t>
        </w:r>
        <w:proofErr w:type="spellEnd"/>
        <w:r w:rsidR="007C5737">
          <w:rPr>
            <w:bCs/>
            <w:sz w:val="18"/>
            <w:szCs w:val="18"/>
          </w:rPr>
          <w:t xml:space="preserve"> v </w:t>
        </w:r>
        <w:proofErr w:type="spellStart"/>
        <w:r w:rsidR="007C5737">
          <w:rPr>
            <w:bCs/>
            <w:sz w:val="18"/>
            <w:szCs w:val="18"/>
          </w:rPr>
          <w:t>Nicolopoulos</w:t>
        </w:r>
        <w:proofErr w:type="spellEnd"/>
        <w:r w:rsidR="007C5737">
          <w:rPr>
            <w:bCs/>
            <w:sz w:val="18"/>
            <w:szCs w:val="18"/>
          </w:rPr>
          <w:t xml:space="preserve"> [2022] FCAFC 97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4EA" w14:textId="36C95569" w:rsidR="0068508F" w:rsidRPr="00801CD6" w:rsidRDefault="0068508F" w:rsidP="00801C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0228" w14:textId="4769BA91" w:rsidR="0068508F" w:rsidRPr="00C47B9D" w:rsidRDefault="0068508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F480AB0" wp14:editId="19CECFA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6A93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38D1A700CA84A65A6D8B44625B1219D"/>
        </w:placeholder>
        <w:dataBinding w:prefixMappings="xmlns:ns0='http://schemas.globalmacros.com/FCA'" w:xpath="/ns0:root[1]/ns0:Name[1]" w:storeItemID="{687E7CCB-4AA5-44E7-B148-17BA2B6F57C0}"/>
        <w:text w:multiLine="1"/>
      </w:sdtPr>
      <w:sdtEndPr/>
      <w:sdtContent>
        <w:proofErr w:type="spellStart"/>
        <w:r w:rsidR="007C5737">
          <w:rPr>
            <w:bCs/>
            <w:sz w:val="18"/>
            <w:szCs w:val="18"/>
          </w:rPr>
          <w:t>Raghubir</w:t>
        </w:r>
        <w:proofErr w:type="spellEnd"/>
        <w:r w:rsidR="007C5737">
          <w:rPr>
            <w:bCs/>
            <w:sz w:val="18"/>
            <w:szCs w:val="18"/>
          </w:rPr>
          <w:t xml:space="preserve"> v </w:t>
        </w:r>
        <w:proofErr w:type="spellStart"/>
        <w:r w:rsidR="007C5737">
          <w:rPr>
            <w:bCs/>
            <w:sz w:val="18"/>
            <w:szCs w:val="18"/>
          </w:rPr>
          <w:t>Nicolopoulos</w:t>
        </w:r>
        <w:proofErr w:type="spellEnd"/>
        <w:r w:rsidR="007C5737">
          <w:rPr>
            <w:bCs/>
            <w:sz w:val="18"/>
            <w:szCs w:val="18"/>
          </w:rPr>
          <w:t xml:space="preserve"> [2022] FCAFC 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0588" w14:textId="445292C0" w:rsidR="0068508F" w:rsidRPr="00C47B9D" w:rsidRDefault="0068508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E0087EB" wp14:editId="656B04D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9D73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05B4651DE164AD482BFEA76C81BBDAE"/>
        </w:placeholder>
        <w:dataBinding w:prefixMappings="xmlns:ns0='http://schemas.globalmacros.com/FCA'" w:xpath="/ns0:root[1]/ns0:Name[1]" w:storeItemID="{687E7CCB-4AA5-44E7-B148-17BA2B6F57C0}"/>
        <w:text w:multiLine="1"/>
      </w:sdtPr>
      <w:sdtEndPr/>
      <w:sdtContent>
        <w:proofErr w:type="spellStart"/>
        <w:r w:rsidR="007C5737">
          <w:rPr>
            <w:bCs/>
            <w:sz w:val="18"/>
            <w:szCs w:val="18"/>
          </w:rPr>
          <w:t>Raghubir</w:t>
        </w:r>
        <w:proofErr w:type="spellEnd"/>
        <w:r w:rsidR="007C5737">
          <w:rPr>
            <w:bCs/>
            <w:sz w:val="18"/>
            <w:szCs w:val="18"/>
          </w:rPr>
          <w:t xml:space="preserve"> v </w:t>
        </w:r>
        <w:proofErr w:type="spellStart"/>
        <w:r w:rsidR="007C5737">
          <w:rPr>
            <w:bCs/>
            <w:sz w:val="18"/>
            <w:szCs w:val="18"/>
          </w:rPr>
          <w:t>Nicolopoulos</w:t>
        </w:r>
        <w:proofErr w:type="spellEnd"/>
        <w:r w:rsidR="007C5737">
          <w:rPr>
            <w:bCs/>
            <w:sz w:val="18"/>
            <w:szCs w:val="18"/>
          </w:rPr>
          <w:t xml:space="preserve"> [2022] FCAFC 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A4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A309" w14:textId="20DA751B" w:rsidR="0068508F" w:rsidRPr="00C47B9D" w:rsidRDefault="0068508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5A53DA3" wp14:editId="3F3A836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5D4C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274930440F8488089E858CCDC9C5E13"/>
        </w:placeholder>
        <w:dataBinding w:prefixMappings="xmlns:ns0='http://schemas.globalmacros.com/FCA'" w:xpath="/ns0:root[1]/ns0:Name[1]" w:storeItemID="{687E7CCB-4AA5-44E7-B148-17BA2B6F57C0}"/>
        <w:text w:multiLine="1"/>
      </w:sdtPr>
      <w:sdtEndPr/>
      <w:sdtContent>
        <w:proofErr w:type="spellStart"/>
        <w:r w:rsidR="007C5737">
          <w:rPr>
            <w:bCs/>
            <w:sz w:val="18"/>
            <w:szCs w:val="18"/>
          </w:rPr>
          <w:t>Raghubir</w:t>
        </w:r>
        <w:proofErr w:type="spellEnd"/>
        <w:r w:rsidR="007C5737">
          <w:rPr>
            <w:bCs/>
            <w:sz w:val="18"/>
            <w:szCs w:val="18"/>
          </w:rPr>
          <w:t xml:space="preserve"> v </w:t>
        </w:r>
        <w:proofErr w:type="spellStart"/>
        <w:r w:rsidR="007C5737">
          <w:rPr>
            <w:bCs/>
            <w:sz w:val="18"/>
            <w:szCs w:val="18"/>
          </w:rPr>
          <w:t>Nicolopoulos</w:t>
        </w:r>
        <w:proofErr w:type="spellEnd"/>
        <w:r w:rsidR="007C5737">
          <w:rPr>
            <w:bCs/>
            <w:sz w:val="18"/>
            <w:szCs w:val="18"/>
          </w:rPr>
          <w:t xml:space="preserve"> [2022] FCAFC 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A4C">
      <w:rPr>
        <w:bCs/>
        <w:noProof/>
        <w:sz w:val="20"/>
      </w:rPr>
      <w:t>12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FE08" w14:textId="31D0BCA1" w:rsidR="0068508F" w:rsidRPr="00C47B9D" w:rsidRDefault="0068508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2CF3964" wp14:editId="22D995A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81DC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0E8462137F74EAABA2A617BEDA57FF0"/>
        </w:placeholder>
        <w:dataBinding w:prefixMappings="xmlns:ns0='http://schemas.globalmacros.com/FCA'" w:xpath="/ns0:root[1]/ns0:Name[1]" w:storeItemID="{687E7CCB-4AA5-44E7-B148-17BA2B6F57C0}"/>
        <w:text w:multiLine="1"/>
      </w:sdtPr>
      <w:sdtEndPr/>
      <w:sdtContent>
        <w:proofErr w:type="spellStart"/>
        <w:r w:rsidR="007C5737">
          <w:rPr>
            <w:bCs/>
            <w:sz w:val="18"/>
            <w:szCs w:val="18"/>
          </w:rPr>
          <w:t>Raghubir</w:t>
        </w:r>
        <w:proofErr w:type="spellEnd"/>
        <w:r w:rsidR="007C5737">
          <w:rPr>
            <w:bCs/>
            <w:sz w:val="18"/>
            <w:szCs w:val="18"/>
          </w:rPr>
          <w:t xml:space="preserve"> v </w:t>
        </w:r>
        <w:proofErr w:type="spellStart"/>
        <w:r w:rsidR="007C5737">
          <w:rPr>
            <w:bCs/>
            <w:sz w:val="18"/>
            <w:szCs w:val="18"/>
          </w:rPr>
          <w:t>Nicolopoulos</w:t>
        </w:r>
        <w:proofErr w:type="spellEnd"/>
        <w:r w:rsidR="007C5737">
          <w:rPr>
            <w:bCs/>
            <w:sz w:val="18"/>
            <w:szCs w:val="18"/>
          </w:rPr>
          <w:t xml:space="preserve"> [2022] FCAFC 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A4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3A79" w14:textId="77777777" w:rsidR="00E604CD" w:rsidRDefault="00E604CD"/>
  </w:footnote>
  <w:footnote w:type="continuationSeparator" w:id="0">
    <w:p w14:paraId="352D33C0" w14:textId="77777777" w:rsidR="00E604CD" w:rsidRDefault="00E604CD">
      <w:r>
        <w:continuationSeparator/>
      </w:r>
    </w:p>
    <w:p w14:paraId="22271C07" w14:textId="77777777" w:rsidR="00E604CD" w:rsidRDefault="00E604CD"/>
    <w:p w14:paraId="516AF2C3" w14:textId="77777777" w:rsidR="00E604CD" w:rsidRDefault="00E60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259" w14:textId="77777777" w:rsidR="00801CD6" w:rsidRDefault="0080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B0C2" w14:textId="77777777" w:rsidR="00801CD6" w:rsidRDefault="00801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6CAF" w14:textId="77777777" w:rsidR="00801CD6" w:rsidRDefault="00801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D400" w14:textId="77777777" w:rsidR="0068508F" w:rsidRDefault="0068508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32AF" w14:textId="77777777" w:rsidR="0068508F" w:rsidRDefault="0068508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9D1D" w14:textId="77777777" w:rsidR="0068508F" w:rsidRDefault="0068508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F768" w14:textId="77777777" w:rsidR="0068508F" w:rsidRDefault="0068508F">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E0E" w14:textId="77777777" w:rsidR="0068508F" w:rsidRDefault="0068508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9F1A3C4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C0300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33665B"/>
    <w:multiLevelType w:val="hybridMultilevel"/>
    <w:tmpl w:val="D2E2BE96"/>
    <w:lvl w:ilvl="0" w:tplc="59C2ED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6"/>
  </w:num>
  <w:num w:numId="16">
    <w:abstractNumId w:val="13"/>
  </w:num>
  <w:num w:numId="17">
    <w:abstractNumId w:val="25"/>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24"/>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Raghubir v Nicolopoulos [2021] FCA 1073"/>
    <w:docVar w:name="Applicant" w:val="RENUKA RAGHUBIR|VIRENDRA SINGH"/>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1021 of 2021"/>
    <w:docVar w:name="Initiators" w:val="(and another named in the Schedule)"/>
    <w:docVar w:name="Judgdate" w:val="##"/>
    <w:docVar w:name="Judge" w:val="Allsop, Kenny and Jagot"/>
    <w:docVar w:name="JudgeType" w:val="Justices"/>
    <w:docVar w:name="lstEntryList" w:val="-1"/>
    <w:docVar w:name="myEntryList" w:val="Counsel for the Applicants=|Counsel for the Respondents="/>
    <w:docVar w:name="NSD" w:val="NSD "/>
    <w:docVar w:name="NumApps" w:val="2"/>
    <w:docVar w:name="NumApps_" w:val="2"/>
    <w:docVar w:name="NumCrossResps" w:val="0"/>
    <w:docVar w:name="NumDefs" w:val="7"/>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ESAndAnother" w:val="False"/>
    <w:docVar w:name="RESAndOthers" w:val="True"/>
    <w:docVar w:name="Respondent" w:val="Christine Nicolopoulos|Strata Manager SP7526|Strata Treasurer SP7526|Strata Committee SP7526|Chairperson SP7526|Secretary SP7526|Owners Corporation Of Strata Plan 7526"/>
    <w:docVar w:name="ResState" w:val="New South Wales"/>
    <w:docVar w:name="SubArea" w:val="(none)"/>
  </w:docVars>
  <w:rsids>
    <w:rsidRoot w:val="00AA0883"/>
    <w:rsid w:val="00000747"/>
    <w:rsid w:val="00006821"/>
    <w:rsid w:val="00007849"/>
    <w:rsid w:val="000115C5"/>
    <w:rsid w:val="0001469E"/>
    <w:rsid w:val="00015993"/>
    <w:rsid w:val="0001634F"/>
    <w:rsid w:val="00017495"/>
    <w:rsid w:val="00021CCB"/>
    <w:rsid w:val="00022289"/>
    <w:rsid w:val="000237E9"/>
    <w:rsid w:val="00027398"/>
    <w:rsid w:val="000310FA"/>
    <w:rsid w:val="0003201A"/>
    <w:rsid w:val="0003207A"/>
    <w:rsid w:val="00032F9F"/>
    <w:rsid w:val="00034131"/>
    <w:rsid w:val="00041C07"/>
    <w:rsid w:val="0004559B"/>
    <w:rsid w:val="00045BB7"/>
    <w:rsid w:val="00046163"/>
    <w:rsid w:val="00055719"/>
    <w:rsid w:val="0005641B"/>
    <w:rsid w:val="0006196A"/>
    <w:rsid w:val="000650F0"/>
    <w:rsid w:val="000679D7"/>
    <w:rsid w:val="00071FB3"/>
    <w:rsid w:val="00077768"/>
    <w:rsid w:val="00081497"/>
    <w:rsid w:val="000831EC"/>
    <w:rsid w:val="00084126"/>
    <w:rsid w:val="00084773"/>
    <w:rsid w:val="00085255"/>
    <w:rsid w:val="000877F6"/>
    <w:rsid w:val="000959D2"/>
    <w:rsid w:val="000A2E76"/>
    <w:rsid w:val="000A4807"/>
    <w:rsid w:val="000A4BE4"/>
    <w:rsid w:val="000A6524"/>
    <w:rsid w:val="000B1052"/>
    <w:rsid w:val="000B3A89"/>
    <w:rsid w:val="000C023E"/>
    <w:rsid w:val="000C405D"/>
    <w:rsid w:val="000C5195"/>
    <w:rsid w:val="000C62EF"/>
    <w:rsid w:val="000D01CF"/>
    <w:rsid w:val="000D2137"/>
    <w:rsid w:val="000D3FD2"/>
    <w:rsid w:val="000D4B2E"/>
    <w:rsid w:val="000E0A70"/>
    <w:rsid w:val="000E3FC8"/>
    <w:rsid w:val="000E7BAE"/>
    <w:rsid w:val="000F1069"/>
    <w:rsid w:val="000F133D"/>
    <w:rsid w:val="000F1B0A"/>
    <w:rsid w:val="000F37BF"/>
    <w:rsid w:val="0010376B"/>
    <w:rsid w:val="0010536B"/>
    <w:rsid w:val="001061CE"/>
    <w:rsid w:val="0011145C"/>
    <w:rsid w:val="001128BD"/>
    <w:rsid w:val="0011419D"/>
    <w:rsid w:val="00114B02"/>
    <w:rsid w:val="00114B2B"/>
    <w:rsid w:val="00117A29"/>
    <w:rsid w:val="001226C0"/>
    <w:rsid w:val="00126EC8"/>
    <w:rsid w:val="0012731C"/>
    <w:rsid w:val="00132054"/>
    <w:rsid w:val="00134964"/>
    <w:rsid w:val="00134AC7"/>
    <w:rsid w:val="001351B9"/>
    <w:rsid w:val="00153936"/>
    <w:rsid w:val="00155CD2"/>
    <w:rsid w:val="001717EF"/>
    <w:rsid w:val="001727A4"/>
    <w:rsid w:val="0017376C"/>
    <w:rsid w:val="001738AB"/>
    <w:rsid w:val="001765E0"/>
    <w:rsid w:val="00177759"/>
    <w:rsid w:val="00180BB3"/>
    <w:rsid w:val="00185DD6"/>
    <w:rsid w:val="00185E6B"/>
    <w:rsid w:val="00187BBC"/>
    <w:rsid w:val="001932F3"/>
    <w:rsid w:val="00193C21"/>
    <w:rsid w:val="001A2B40"/>
    <w:rsid w:val="001A4309"/>
    <w:rsid w:val="001A46AE"/>
    <w:rsid w:val="001A6C52"/>
    <w:rsid w:val="001B1053"/>
    <w:rsid w:val="001B14AC"/>
    <w:rsid w:val="001B48DE"/>
    <w:rsid w:val="001B687C"/>
    <w:rsid w:val="001B7940"/>
    <w:rsid w:val="001C171A"/>
    <w:rsid w:val="001C2FE0"/>
    <w:rsid w:val="001C37CA"/>
    <w:rsid w:val="001C4085"/>
    <w:rsid w:val="001C421A"/>
    <w:rsid w:val="001D4303"/>
    <w:rsid w:val="001D6746"/>
    <w:rsid w:val="001D7582"/>
    <w:rsid w:val="001E0C61"/>
    <w:rsid w:val="001E3B49"/>
    <w:rsid w:val="001E4A05"/>
    <w:rsid w:val="001E6A19"/>
    <w:rsid w:val="001E7388"/>
    <w:rsid w:val="001F13DD"/>
    <w:rsid w:val="001F2473"/>
    <w:rsid w:val="001F2DBC"/>
    <w:rsid w:val="001F73E8"/>
    <w:rsid w:val="0020262C"/>
    <w:rsid w:val="00202723"/>
    <w:rsid w:val="002056C1"/>
    <w:rsid w:val="00206393"/>
    <w:rsid w:val="00211A3E"/>
    <w:rsid w:val="00212857"/>
    <w:rsid w:val="0021324E"/>
    <w:rsid w:val="00213F20"/>
    <w:rsid w:val="00214055"/>
    <w:rsid w:val="00215A4C"/>
    <w:rsid w:val="00215BCA"/>
    <w:rsid w:val="002160F5"/>
    <w:rsid w:val="00217AC4"/>
    <w:rsid w:val="00221461"/>
    <w:rsid w:val="002215EB"/>
    <w:rsid w:val="00224537"/>
    <w:rsid w:val="002341DC"/>
    <w:rsid w:val="00235956"/>
    <w:rsid w:val="00243E5E"/>
    <w:rsid w:val="002467A6"/>
    <w:rsid w:val="00247C9A"/>
    <w:rsid w:val="0025160C"/>
    <w:rsid w:val="00251A00"/>
    <w:rsid w:val="002534CC"/>
    <w:rsid w:val="002535D0"/>
    <w:rsid w:val="002539B3"/>
    <w:rsid w:val="00256336"/>
    <w:rsid w:val="00257C3E"/>
    <w:rsid w:val="002602C2"/>
    <w:rsid w:val="002666C9"/>
    <w:rsid w:val="00270136"/>
    <w:rsid w:val="00270FD7"/>
    <w:rsid w:val="00274F5B"/>
    <w:rsid w:val="00280836"/>
    <w:rsid w:val="00281464"/>
    <w:rsid w:val="00282E1A"/>
    <w:rsid w:val="002840F1"/>
    <w:rsid w:val="00285922"/>
    <w:rsid w:val="00290EAF"/>
    <w:rsid w:val="0029113B"/>
    <w:rsid w:val="002934C0"/>
    <w:rsid w:val="00293E1F"/>
    <w:rsid w:val="0029764C"/>
    <w:rsid w:val="002A1B50"/>
    <w:rsid w:val="002B0E91"/>
    <w:rsid w:val="002B132C"/>
    <w:rsid w:val="002B3F23"/>
    <w:rsid w:val="002B4EB5"/>
    <w:rsid w:val="002B5AF5"/>
    <w:rsid w:val="002B6779"/>
    <w:rsid w:val="002B71C0"/>
    <w:rsid w:val="002B7A34"/>
    <w:rsid w:val="002C294F"/>
    <w:rsid w:val="002C31AD"/>
    <w:rsid w:val="002C7385"/>
    <w:rsid w:val="002D1E5B"/>
    <w:rsid w:val="002D2DBB"/>
    <w:rsid w:val="002D37D8"/>
    <w:rsid w:val="002D54A6"/>
    <w:rsid w:val="002E022A"/>
    <w:rsid w:val="002E3779"/>
    <w:rsid w:val="002E5BF9"/>
    <w:rsid w:val="002E6A7A"/>
    <w:rsid w:val="002F1BB2"/>
    <w:rsid w:val="002F1E49"/>
    <w:rsid w:val="002F4E9C"/>
    <w:rsid w:val="002F6E15"/>
    <w:rsid w:val="00302BC8"/>
    <w:rsid w:val="00302F4E"/>
    <w:rsid w:val="00303BF2"/>
    <w:rsid w:val="0031256C"/>
    <w:rsid w:val="00314D6C"/>
    <w:rsid w:val="00316D2A"/>
    <w:rsid w:val="00322A7C"/>
    <w:rsid w:val="00322EEC"/>
    <w:rsid w:val="00323061"/>
    <w:rsid w:val="003253AC"/>
    <w:rsid w:val="003402D3"/>
    <w:rsid w:val="0034068E"/>
    <w:rsid w:val="003421FF"/>
    <w:rsid w:val="00343ABC"/>
    <w:rsid w:val="003463FE"/>
    <w:rsid w:val="003472FC"/>
    <w:rsid w:val="00347D41"/>
    <w:rsid w:val="003554B3"/>
    <w:rsid w:val="00356632"/>
    <w:rsid w:val="00357C7E"/>
    <w:rsid w:val="003653B6"/>
    <w:rsid w:val="00366125"/>
    <w:rsid w:val="00370327"/>
    <w:rsid w:val="00374CC4"/>
    <w:rsid w:val="003774B2"/>
    <w:rsid w:val="00377BBB"/>
    <w:rsid w:val="00380CC5"/>
    <w:rsid w:val="00380F2D"/>
    <w:rsid w:val="003845A9"/>
    <w:rsid w:val="003850C9"/>
    <w:rsid w:val="00390883"/>
    <w:rsid w:val="003922F8"/>
    <w:rsid w:val="00395B24"/>
    <w:rsid w:val="00396B17"/>
    <w:rsid w:val="00397D16"/>
    <w:rsid w:val="003A2D38"/>
    <w:rsid w:val="003A7ECC"/>
    <w:rsid w:val="003B2C72"/>
    <w:rsid w:val="003B55C4"/>
    <w:rsid w:val="003B58B4"/>
    <w:rsid w:val="003C1333"/>
    <w:rsid w:val="003C20FF"/>
    <w:rsid w:val="003C2F71"/>
    <w:rsid w:val="003C3664"/>
    <w:rsid w:val="003C550A"/>
    <w:rsid w:val="003C6055"/>
    <w:rsid w:val="003D2650"/>
    <w:rsid w:val="003D560C"/>
    <w:rsid w:val="003D5C00"/>
    <w:rsid w:val="003E3154"/>
    <w:rsid w:val="003E5370"/>
    <w:rsid w:val="003E5874"/>
    <w:rsid w:val="003E72D3"/>
    <w:rsid w:val="003F0927"/>
    <w:rsid w:val="003F193E"/>
    <w:rsid w:val="003F242C"/>
    <w:rsid w:val="003F34F1"/>
    <w:rsid w:val="003F73BB"/>
    <w:rsid w:val="004031D8"/>
    <w:rsid w:val="0041014E"/>
    <w:rsid w:val="004104B6"/>
    <w:rsid w:val="00411AE8"/>
    <w:rsid w:val="00413B74"/>
    <w:rsid w:val="004342F3"/>
    <w:rsid w:val="00435055"/>
    <w:rsid w:val="00435C5F"/>
    <w:rsid w:val="00436155"/>
    <w:rsid w:val="00436460"/>
    <w:rsid w:val="00441E98"/>
    <w:rsid w:val="004430E8"/>
    <w:rsid w:val="004431BC"/>
    <w:rsid w:val="00450F3A"/>
    <w:rsid w:val="004532F7"/>
    <w:rsid w:val="00455E5B"/>
    <w:rsid w:val="00463BE4"/>
    <w:rsid w:val="00464D51"/>
    <w:rsid w:val="00466BD2"/>
    <w:rsid w:val="00470046"/>
    <w:rsid w:val="00472027"/>
    <w:rsid w:val="00474AE0"/>
    <w:rsid w:val="004804CF"/>
    <w:rsid w:val="00483314"/>
    <w:rsid w:val="00484962"/>
    <w:rsid w:val="00484F6D"/>
    <w:rsid w:val="00484FB7"/>
    <w:rsid w:val="0048554D"/>
    <w:rsid w:val="0049338A"/>
    <w:rsid w:val="00493E63"/>
    <w:rsid w:val="0049417F"/>
    <w:rsid w:val="004958B5"/>
    <w:rsid w:val="00496D41"/>
    <w:rsid w:val="004A6602"/>
    <w:rsid w:val="004B3EFA"/>
    <w:rsid w:val="004B6D4A"/>
    <w:rsid w:val="004C23CE"/>
    <w:rsid w:val="004C2A87"/>
    <w:rsid w:val="004C342C"/>
    <w:rsid w:val="004C395A"/>
    <w:rsid w:val="004C4D7B"/>
    <w:rsid w:val="004C4ED3"/>
    <w:rsid w:val="004C667B"/>
    <w:rsid w:val="004C7ECD"/>
    <w:rsid w:val="004D2EA5"/>
    <w:rsid w:val="004D32A6"/>
    <w:rsid w:val="004D53E5"/>
    <w:rsid w:val="004D75BB"/>
    <w:rsid w:val="004D7950"/>
    <w:rsid w:val="004E6DC4"/>
    <w:rsid w:val="004E6F07"/>
    <w:rsid w:val="004F21C1"/>
    <w:rsid w:val="00501A12"/>
    <w:rsid w:val="0050309C"/>
    <w:rsid w:val="0051327C"/>
    <w:rsid w:val="0051346D"/>
    <w:rsid w:val="00513EAE"/>
    <w:rsid w:val="0051434F"/>
    <w:rsid w:val="00516806"/>
    <w:rsid w:val="0052098C"/>
    <w:rsid w:val="0052260B"/>
    <w:rsid w:val="00525A49"/>
    <w:rsid w:val="005262D1"/>
    <w:rsid w:val="00530876"/>
    <w:rsid w:val="00535613"/>
    <w:rsid w:val="005359EB"/>
    <w:rsid w:val="0054254A"/>
    <w:rsid w:val="00544DD7"/>
    <w:rsid w:val="0054500B"/>
    <w:rsid w:val="005466B5"/>
    <w:rsid w:val="00554314"/>
    <w:rsid w:val="00561F02"/>
    <w:rsid w:val="00562829"/>
    <w:rsid w:val="005629B3"/>
    <w:rsid w:val="00563544"/>
    <w:rsid w:val="0057128A"/>
    <w:rsid w:val="005724F6"/>
    <w:rsid w:val="00573AC4"/>
    <w:rsid w:val="00577E51"/>
    <w:rsid w:val="005801FC"/>
    <w:rsid w:val="00584A60"/>
    <w:rsid w:val="00585B09"/>
    <w:rsid w:val="00585B65"/>
    <w:rsid w:val="00585BA9"/>
    <w:rsid w:val="00587359"/>
    <w:rsid w:val="00590081"/>
    <w:rsid w:val="00595016"/>
    <w:rsid w:val="00597AAE"/>
    <w:rsid w:val="005A222C"/>
    <w:rsid w:val="005A2BA3"/>
    <w:rsid w:val="005A2E83"/>
    <w:rsid w:val="005A4DF8"/>
    <w:rsid w:val="005A78C8"/>
    <w:rsid w:val="005B1426"/>
    <w:rsid w:val="005C0A8E"/>
    <w:rsid w:val="005C1767"/>
    <w:rsid w:val="005C185C"/>
    <w:rsid w:val="005C1EAF"/>
    <w:rsid w:val="005C4173"/>
    <w:rsid w:val="005C42EF"/>
    <w:rsid w:val="005C7E78"/>
    <w:rsid w:val="005D1035"/>
    <w:rsid w:val="005D4F89"/>
    <w:rsid w:val="005E02F5"/>
    <w:rsid w:val="005E0510"/>
    <w:rsid w:val="005E0910"/>
    <w:rsid w:val="005E176E"/>
    <w:rsid w:val="005E218E"/>
    <w:rsid w:val="005E35A0"/>
    <w:rsid w:val="005E3F99"/>
    <w:rsid w:val="005E602A"/>
    <w:rsid w:val="005F0D1B"/>
    <w:rsid w:val="005F1865"/>
    <w:rsid w:val="005F1FC9"/>
    <w:rsid w:val="006007BD"/>
    <w:rsid w:val="006013C8"/>
    <w:rsid w:val="0060270D"/>
    <w:rsid w:val="00604342"/>
    <w:rsid w:val="00604611"/>
    <w:rsid w:val="00611586"/>
    <w:rsid w:val="00612D26"/>
    <w:rsid w:val="00615855"/>
    <w:rsid w:val="00620DA8"/>
    <w:rsid w:val="00621887"/>
    <w:rsid w:val="00624520"/>
    <w:rsid w:val="006255F5"/>
    <w:rsid w:val="006271F5"/>
    <w:rsid w:val="00632300"/>
    <w:rsid w:val="00632BB7"/>
    <w:rsid w:val="00635B36"/>
    <w:rsid w:val="00636871"/>
    <w:rsid w:val="00640EE1"/>
    <w:rsid w:val="00640F4E"/>
    <w:rsid w:val="0064207A"/>
    <w:rsid w:val="0064328F"/>
    <w:rsid w:val="00643DE0"/>
    <w:rsid w:val="0064437D"/>
    <w:rsid w:val="00644E85"/>
    <w:rsid w:val="006453F5"/>
    <w:rsid w:val="006516D8"/>
    <w:rsid w:val="00652C52"/>
    <w:rsid w:val="0066063F"/>
    <w:rsid w:val="00662BB0"/>
    <w:rsid w:val="00663878"/>
    <w:rsid w:val="0066668B"/>
    <w:rsid w:val="00667773"/>
    <w:rsid w:val="00670743"/>
    <w:rsid w:val="00680747"/>
    <w:rsid w:val="00680A85"/>
    <w:rsid w:val="00681ADF"/>
    <w:rsid w:val="006838CA"/>
    <w:rsid w:val="0068508F"/>
    <w:rsid w:val="00690EE2"/>
    <w:rsid w:val="00693854"/>
    <w:rsid w:val="00694BEB"/>
    <w:rsid w:val="006A0E20"/>
    <w:rsid w:val="006A24E3"/>
    <w:rsid w:val="006A5695"/>
    <w:rsid w:val="006B0439"/>
    <w:rsid w:val="006B3904"/>
    <w:rsid w:val="006B5B7D"/>
    <w:rsid w:val="006C40E9"/>
    <w:rsid w:val="006C5B46"/>
    <w:rsid w:val="006C6E39"/>
    <w:rsid w:val="006C6EE2"/>
    <w:rsid w:val="006D0ECF"/>
    <w:rsid w:val="006D3D5B"/>
    <w:rsid w:val="006D4C92"/>
    <w:rsid w:val="006D4EB6"/>
    <w:rsid w:val="006D569F"/>
    <w:rsid w:val="006D7FBC"/>
    <w:rsid w:val="006E0FB2"/>
    <w:rsid w:val="006E35BF"/>
    <w:rsid w:val="006E7850"/>
    <w:rsid w:val="006F19D8"/>
    <w:rsid w:val="006F1F30"/>
    <w:rsid w:val="006F43EC"/>
    <w:rsid w:val="006F46D6"/>
    <w:rsid w:val="006F4BBB"/>
    <w:rsid w:val="006F770C"/>
    <w:rsid w:val="007028D9"/>
    <w:rsid w:val="00704624"/>
    <w:rsid w:val="007047A9"/>
    <w:rsid w:val="00704994"/>
    <w:rsid w:val="0070568F"/>
    <w:rsid w:val="00707218"/>
    <w:rsid w:val="00710D04"/>
    <w:rsid w:val="00711958"/>
    <w:rsid w:val="00712B1D"/>
    <w:rsid w:val="00715751"/>
    <w:rsid w:val="007171BA"/>
    <w:rsid w:val="00717616"/>
    <w:rsid w:val="00722DDC"/>
    <w:rsid w:val="00724492"/>
    <w:rsid w:val="007325D9"/>
    <w:rsid w:val="00732C5F"/>
    <w:rsid w:val="0073413F"/>
    <w:rsid w:val="0073583B"/>
    <w:rsid w:val="007360CA"/>
    <w:rsid w:val="007373A8"/>
    <w:rsid w:val="00737F2E"/>
    <w:rsid w:val="0074667B"/>
    <w:rsid w:val="007470BD"/>
    <w:rsid w:val="00752C68"/>
    <w:rsid w:val="00760EC0"/>
    <w:rsid w:val="00765C8E"/>
    <w:rsid w:val="007711BD"/>
    <w:rsid w:val="0078003A"/>
    <w:rsid w:val="00780771"/>
    <w:rsid w:val="007929CF"/>
    <w:rsid w:val="0079799D"/>
    <w:rsid w:val="00797BA8"/>
    <w:rsid w:val="007A0374"/>
    <w:rsid w:val="007A081D"/>
    <w:rsid w:val="007A2B8B"/>
    <w:rsid w:val="007A49E7"/>
    <w:rsid w:val="007A614B"/>
    <w:rsid w:val="007A6F28"/>
    <w:rsid w:val="007B03C6"/>
    <w:rsid w:val="007B0DB1"/>
    <w:rsid w:val="007B5673"/>
    <w:rsid w:val="007B7238"/>
    <w:rsid w:val="007B76FF"/>
    <w:rsid w:val="007C3BF6"/>
    <w:rsid w:val="007C5737"/>
    <w:rsid w:val="007C67B3"/>
    <w:rsid w:val="007D0FD2"/>
    <w:rsid w:val="007D2EF8"/>
    <w:rsid w:val="007D561F"/>
    <w:rsid w:val="007D7FD2"/>
    <w:rsid w:val="007E13D9"/>
    <w:rsid w:val="007E2AEC"/>
    <w:rsid w:val="007E41BE"/>
    <w:rsid w:val="007E4DB6"/>
    <w:rsid w:val="007E6733"/>
    <w:rsid w:val="007E7CD4"/>
    <w:rsid w:val="007F12AC"/>
    <w:rsid w:val="007F4501"/>
    <w:rsid w:val="007F60DF"/>
    <w:rsid w:val="007F6CB3"/>
    <w:rsid w:val="00801800"/>
    <w:rsid w:val="00801861"/>
    <w:rsid w:val="00801B5B"/>
    <w:rsid w:val="00801CD6"/>
    <w:rsid w:val="00805A30"/>
    <w:rsid w:val="008168E8"/>
    <w:rsid w:val="008178D1"/>
    <w:rsid w:val="008216E7"/>
    <w:rsid w:val="00823245"/>
    <w:rsid w:val="00825BE6"/>
    <w:rsid w:val="008276B4"/>
    <w:rsid w:val="00831927"/>
    <w:rsid w:val="00837288"/>
    <w:rsid w:val="00841BD3"/>
    <w:rsid w:val="0084273D"/>
    <w:rsid w:val="00843069"/>
    <w:rsid w:val="00844E3F"/>
    <w:rsid w:val="00845A83"/>
    <w:rsid w:val="00846BB9"/>
    <w:rsid w:val="00856C84"/>
    <w:rsid w:val="00862DEB"/>
    <w:rsid w:val="008649D5"/>
    <w:rsid w:val="008712BB"/>
    <w:rsid w:val="008830E7"/>
    <w:rsid w:val="008833C5"/>
    <w:rsid w:val="00890EDE"/>
    <w:rsid w:val="00892B38"/>
    <w:rsid w:val="008A1741"/>
    <w:rsid w:val="008A1BF1"/>
    <w:rsid w:val="008A1FE6"/>
    <w:rsid w:val="008A2484"/>
    <w:rsid w:val="008A338C"/>
    <w:rsid w:val="008A52F3"/>
    <w:rsid w:val="008B1CF5"/>
    <w:rsid w:val="008B4C67"/>
    <w:rsid w:val="008C26D9"/>
    <w:rsid w:val="008C6D50"/>
    <w:rsid w:val="008C7167"/>
    <w:rsid w:val="008C7503"/>
    <w:rsid w:val="008D1617"/>
    <w:rsid w:val="008D2553"/>
    <w:rsid w:val="008D3292"/>
    <w:rsid w:val="008D330F"/>
    <w:rsid w:val="008D48C1"/>
    <w:rsid w:val="008E6315"/>
    <w:rsid w:val="008E64F9"/>
    <w:rsid w:val="008F0480"/>
    <w:rsid w:val="008F07FC"/>
    <w:rsid w:val="008F11E0"/>
    <w:rsid w:val="008F3EA7"/>
    <w:rsid w:val="008F416D"/>
    <w:rsid w:val="008F78BC"/>
    <w:rsid w:val="008F7B63"/>
    <w:rsid w:val="008F7D6A"/>
    <w:rsid w:val="00901C86"/>
    <w:rsid w:val="00903603"/>
    <w:rsid w:val="00904E7B"/>
    <w:rsid w:val="009054CB"/>
    <w:rsid w:val="00911F8D"/>
    <w:rsid w:val="00912635"/>
    <w:rsid w:val="00912F94"/>
    <w:rsid w:val="00913B31"/>
    <w:rsid w:val="009171BC"/>
    <w:rsid w:val="0092497E"/>
    <w:rsid w:val="0092590B"/>
    <w:rsid w:val="00925A23"/>
    <w:rsid w:val="00925BF3"/>
    <w:rsid w:val="00925E60"/>
    <w:rsid w:val="009264B3"/>
    <w:rsid w:val="00927963"/>
    <w:rsid w:val="009303DC"/>
    <w:rsid w:val="00931E4C"/>
    <w:rsid w:val="009365E0"/>
    <w:rsid w:val="00942BA2"/>
    <w:rsid w:val="009432B7"/>
    <w:rsid w:val="00944C86"/>
    <w:rsid w:val="00947C02"/>
    <w:rsid w:val="00950BE6"/>
    <w:rsid w:val="00953E1D"/>
    <w:rsid w:val="00957DE8"/>
    <w:rsid w:val="00960ECB"/>
    <w:rsid w:val="009615D6"/>
    <w:rsid w:val="009641BA"/>
    <w:rsid w:val="009645FD"/>
    <w:rsid w:val="00967855"/>
    <w:rsid w:val="00971CD1"/>
    <w:rsid w:val="00974709"/>
    <w:rsid w:val="009801AE"/>
    <w:rsid w:val="00980736"/>
    <w:rsid w:val="00981A39"/>
    <w:rsid w:val="00982D56"/>
    <w:rsid w:val="00983DBF"/>
    <w:rsid w:val="00983F2C"/>
    <w:rsid w:val="00987097"/>
    <w:rsid w:val="00991123"/>
    <w:rsid w:val="00991CAB"/>
    <w:rsid w:val="00991E8B"/>
    <w:rsid w:val="009A0704"/>
    <w:rsid w:val="009A2918"/>
    <w:rsid w:val="009A3A9C"/>
    <w:rsid w:val="009B046C"/>
    <w:rsid w:val="009B13FA"/>
    <w:rsid w:val="009B1E2D"/>
    <w:rsid w:val="009C59FB"/>
    <w:rsid w:val="009C6F3B"/>
    <w:rsid w:val="009D1467"/>
    <w:rsid w:val="009D328D"/>
    <w:rsid w:val="009D74B9"/>
    <w:rsid w:val="009E4FA6"/>
    <w:rsid w:val="009E5C48"/>
    <w:rsid w:val="009E7D93"/>
    <w:rsid w:val="009F3C34"/>
    <w:rsid w:val="009F462C"/>
    <w:rsid w:val="009F5C33"/>
    <w:rsid w:val="00A026F0"/>
    <w:rsid w:val="00A03EAC"/>
    <w:rsid w:val="00A04DBB"/>
    <w:rsid w:val="00A07EA0"/>
    <w:rsid w:val="00A11CA6"/>
    <w:rsid w:val="00A1304F"/>
    <w:rsid w:val="00A13E8E"/>
    <w:rsid w:val="00A20C49"/>
    <w:rsid w:val="00A22932"/>
    <w:rsid w:val="00A2610B"/>
    <w:rsid w:val="00A269CA"/>
    <w:rsid w:val="00A336EE"/>
    <w:rsid w:val="00A33F46"/>
    <w:rsid w:val="00A3427E"/>
    <w:rsid w:val="00A359AC"/>
    <w:rsid w:val="00A35D06"/>
    <w:rsid w:val="00A409B6"/>
    <w:rsid w:val="00A40F83"/>
    <w:rsid w:val="00A410FB"/>
    <w:rsid w:val="00A41413"/>
    <w:rsid w:val="00A41815"/>
    <w:rsid w:val="00A431E6"/>
    <w:rsid w:val="00A436E8"/>
    <w:rsid w:val="00A45FB1"/>
    <w:rsid w:val="00A46A0F"/>
    <w:rsid w:val="00A46CCC"/>
    <w:rsid w:val="00A47996"/>
    <w:rsid w:val="00A51CFE"/>
    <w:rsid w:val="00A5204D"/>
    <w:rsid w:val="00A52BB2"/>
    <w:rsid w:val="00A55782"/>
    <w:rsid w:val="00A56E77"/>
    <w:rsid w:val="00A57C5D"/>
    <w:rsid w:val="00A61605"/>
    <w:rsid w:val="00A636E7"/>
    <w:rsid w:val="00A65F97"/>
    <w:rsid w:val="00A662E3"/>
    <w:rsid w:val="00A73B04"/>
    <w:rsid w:val="00A76C13"/>
    <w:rsid w:val="00A80734"/>
    <w:rsid w:val="00A84FD0"/>
    <w:rsid w:val="00A85C10"/>
    <w:rsid w:val="00A86E97"/>
    <w:rsid w:val="00A872C9"/>
    <w:rsid w:val="00A92E79"/>
    <w:rsid w:val="00A950B6"/>
    <w:rsid w:val="00A95D45"/>
    <w:rsid w:val="00AA0883"/>
    <w:rsid w:val="00AA3EA8"/>
    <w:rsid w:val="00AB3BD0"/>
    <w:rsid w:val="00AB41C1"/>
    <w:rsid w:val="00AB4CF2"/>
    <w:rsid w:val="00AB6CCA"/>
    <w:rsid w:val="00AC223F"/>
    <w:rsid w:val="00AC33B1"/>
    <w:rsid w:val="00AC6FA6"/>
    <w:rsid w:val="00AD0B5A"/>
    <w:rsid w:val="00AD12A8"/>
    <w:rsid w:val="00AE023F"/>
    <w:rsid w:val="00AF3577"/>
    <w:rsid w:val="00AF35F9"/>
    <w:rsid w:val="00B0424C"/>
    <w:rsid w:val="00B05C7D"/>
    <w:rsid w:val="00B06938"/>
    <w:rsid w:val="00B10660"/>
    <w:rsid w:val="00B15D57"/>
    <w:rsid w:val="00B16347"/>
    <w:rsid w:val="00B17D6E"/>
    <w:rsid w:val="00B20C00"/>
    <w:rsid w:val="00B2435E"/>
    <w:rsid w:val="00B346C3"/>
    <w:rsid w:val="00B36A4C"/>
    <w:rsid w:val="00B378C6"/>
    <w:rsid w:val="00B4005C"/>
    <w:rsid w:val="00B4227E"/>
    <w:rsid w:val="00B4471C"/>
    <w:rsid w:val="00B451A6"/>
    <w:rsid w:val="00B5412F"/>
    <w:rsid w:val="00B56D6E"/>
    <w:rsid w:val="00B56D9B"/>
    <w:rsid w:val="00B64347"/>
    <w:rsid w:val="00B65DC6"/>
    <w:rsid w:val="00B67AC2"/>
    <w:rsid w:val="00B722DE"/>
    <w:rsid w:val="00B73F39"/>
    <w:rsid w:val="00B7484A"/>
    <w:rsid w:val="00B751E3"/>
    <w:rsid w:val="00B75BA6"/>
    <w:rsid w:val="00B76C44"/>
    <w:rsid w:val="00B8184A"/>
    <w:rsid w:val="00B82283"/>
    <w:rsid w:val="00B828D8"/>
    <w:rsid w:val="00B83130"/>
    <w:rsid w:val="00B83F87"/>
    <w:rsid w:val="00B87CDC"/>
    <w:rsid w:val="00B910C1"/>
    <w:rsid w:val="00B93496"/>
    <w:rsid w:val="00BA2CA4"/>
    <w:rsid w:val="00BA2EFA"/>
    <w:rsid w:val="00BA3DBC"/>
    <w:rsid w:val="00BA4986"/>
    <w:rsid w:val="00BA55E2"/>
    <w:rsid w:val="00BA707A"/>
    <w:rsid w:val="00BB1525"/>
    <w:rsid w:val="00BB1597"/>
    <w:rsid w:val="00BB1AFB"/>
    <w:rsid w:val="00BB27AE"/>
    <w:rsid w:val="00BB2DA2"/>
    <w:rsid w:val="00BB56DC"/>
    <w:rsid w:val="00BC6318"/>
    <w:rsid w:val="00BE183D"/>
    <w:rsid w:val="00BE196F"/>
    <w:rsid w:val="00BF24C2"/>
    <w:rsid w:val="00BF2922"/>
    <w:rsid w:val="00BF4CF9"/>
    <w:rsid w:val="00BF5D7A"/>
    <w:rsid w:val="00C01C2E"/>
    <w:rsid w:val="00C02D33"/>
    <w:rsid w:val="00C04B53"/>
    <w:rsid w:val="00C07767"/>
    <w:rsid w:val="00C1232C"/>
    <w:rsid w:val="00C27C6B"/>
    <w:rsid w:val="00C3594D"/>
    <w:rsid w:val="00C36442"/>
    <w:rsid w:val="00C400CE"/>
    <w:rsid w:val="00C410FD"/>
    <w:rsid w:val="00C457DE"/>
    <w:rsid w:val="00C47DD3"/>
    <w:rsid w:val="00C47E08"/>
    <w:rsid w:val="00C5316F"/>
    <w:rsid w:val="00C53562"/>
    <w:rsid w:val="00C539FB"/>
    <w:rsid w:val="00C54A8A"/>
    <w:rsid w:val="00C5706C"/>
    <w:rsid w:val="00C66AA3"/>
    <w:rsid w:val="00C66E57"/>
    <w:rsid w:val="00C724D7"/>
    <w:rsid w:val="00C74150"/>
    <w:rsid w:val="00C75594"/>
    <w:rsid w:val="00C801DE"/>
    <w:rsid w:val="00C85982"/>
    <w:rsid w:val="00C87BAA"/>
    <w:rsid w:val="00C906EB"/>
    <w:rsid w:val="00CA0466"/>
    <w:rsid w:val="00CA246D"/>
    <w:rsid w:val="00CA50D9"/>
    <w:rsid w:val="00CB3054"/>
    <w:rsid w:val="00CB5636"/>
    <w:rsid w:val="00CB5F30"/>
    <w:rsid w:val="00CC1EAF"/>
    <w:rsid w:val="00CC3EE5"/>
    <w:rsid w:val="00CC6E47"/>
    <w:rsid w:val="00CD1346"/>
    <w:rsid w:val="00CE425C"/>
    <w:rsid w:val="00CE58AC"/>
    <w:rsid w:val="00CF5A80"/>
    <w:rsid w:val="00D015E6"/>
    <w:rsid w:val="00D045EE"/>
    <w:rsid w:val="00D04F4D"/>
    <w:rsid w:val="00D05091"/>
    <w:rsid w:val="00D06A24"/>
    <w:rsid w:val="00D10CA6"/>
    <w:rsid w:val="00D10F21"/>
    <w:rsid w:val="00D134CF"/>
    <w:rsid w:val="00D1573B"/>
    <w:rsid w:val="00D1732B"/>
    <w:rsid w:val="00D22EA7"/>
    <w:rsid w:val="00D24806"/>
    <w:rsid w:val="00D34040"/>
    <w:rsid w:val="00D34E69"/>
    <w:rsid w:val="00D3675B"/>
    <w:rsid w:val="00D36C78"/>
    <w:rsid w:val="00D375EE"/>
    <w:rsid w:val="00D47FBA"/>
    <w:rsid w:val="00D500D3"/>
    <w:rsid w:val="00D53C75"/>
    <w:rsid w:val="00D55AE8"/>
    <w:rsid w:val="00D56056"/>
    <w:rsid w:val="00D60106"/>
    <w:rsid w:val="00D6085F"/>
    <w:rsid w:val="00D62699"/>
    <w:rsid w:val="00D778E9"/>
    <w:rsid w:val="00D812BF"/>
    <w:rsid w:val="00D82620"/>
    <w:rsid w:val="00D85707"/>
    <w:rsid w:val="00D9725F"/>
    <w:rsid w:val="00DA01B1"/>
    <w:rsid w:val="00DA11A2"/>
    <w:rsid w:val="00DA14ED"/>
    <w:rsid w:val="00DA26D6"/>
    <w:rsid w:val="00DA4105"/>
    <w:rsid w:val="00DB2EF1"/>
    <w:rsid w:val="00DB3DE1"/>
    <w:rsid w:val="00DB5AB0"/>
    <w:rsid w:val="00DB5DA0"/>
    <w:rsid w:val="00DB716C"/>
    <w:rsid w:val="00DC015C"/>
    <w:rsid w:val="00DC5C85"/>
    <w:rsid w:val="00DC7C5D"/>
    <w:rsid w:val="00DD31D5"/>
    <w:rsid w:val="00DD4236"/>
    <w:rsid w:val="00DD44F1"/>
    <w:rsid w:val="00DD6957"/>
    <w:rsid w:val="00DD6E7A"/>
    <w:rsid w:val="00DE3067"/>
    <w:rsid w:val="00DE46D6"/>
    <w:rsid w:val="00DF3EEE"/>
    <w:rsid w:val="00DF6F2A"/>
    <w:rsid w:val="00DF75E1"/>
    <w:rsid w:val="00E027BC"/>
    <w:rsid w:val="00E03551"/>
    <w:rsid w:val="00E035FC"/>
    <w:rsid w:val="00E045BE"/>
    <w:rsid w:val="00E04B51"/>
    <w:rsid w:val="00E10F0D"/>
    <w:rsid w:val="00E14EA5"/>
    <w:rsid w:val="00E2070E"/>
    <w:rsid w:val="00E21133"/>
    <w:rsid w:val="00E2327E"/>
    <w:rsid w:val="00E23577"/>
    <w:rsid w:val="00E24DF5"/>
    <w:rsid w:val="00E266EF"/>
    <w:rsid w:val="00E326A8"/>
    <w:rsid w:val="00E3656A"/>
    <w:rsid w:val="00E47428"/>
    <w:rsid w:val="00E55D49"/>
    <w:rsid w:val="00E569C2"/>
    <w:rsid w:val="00E56C8E"/>
    <w:rsid w:val="00E5716B"/>
    <w:rsid w:val="00E57F1F"/>
    <w:rsid w:val="00E6013B"/>
    <w:rsid w:val="00E604CD"/>
    <w:rsid w:val="00E66B9F"/>
    <w:rsid w:val="00E70A6A"/>
    <w:rsid w:val="00E71093"/>
    <w:rsid w:val="00E710D6"/>
    <w:rsid w:val="00E73DA4"/>
    <w:rsid w:val="00E76E45"/>
    <w:rsid w:val="00E777C9"/>
    <w:rsid w:val="00E807F2"/>
    <w:rsid w:val="00E81DA6"/>
    <w:rsid w:val="00E84212"/>
    <w:rsid w:val="00E9086C"/>
    <w:rsid w:val="00E90AAA"/>
    <w:rsid w:val="00E91A0F"/>
    <w:rsid w:val="00E94A71"/>
    <w:rsid w:val="00E94CBF"/>
    <w:rsid w:val="00EA03CE"/>
    <w:rsid w:val="00EA1564"/>
    <w:rsid w:val="00EA23E5"/>
    <w:rsid w:val="00EA4E2E"/>
    <w:rsid w:val="00EB2417"/>
    <w:rsid w:val="00EB2CCB"/>
    <w:rsid w:val="00EB7A25"/>
    <w:rsid w:val="00EC0F3E"/>
    <w:rsid w:val="00EC57A7"/>
    <w:rsid w:val="00ED0817"/>
    <w:rsid w:val="00ED7DD9"/>
    <w:rsid w:val="00EE067B"/>
    <w:rsid w:val="00EE1FFC"/>
    <w:rsid w:val="00EE445B"/>
    <w:rsid w:val="00EF3113"/>
    <w:rsid w:val="00EF3F84"/>
    <w:rsid w:val="00F176AC"/>
    <w:rsid w:val="00F23743"/>
    <w:rsid w:val="00F26F28"/>
    <w:rsid w:val="00F27714"/>
    <w:rsid w:val="00F31664"/>
    <w:rsid w:val="00F3276E"/>
    <w:rsid w:val="00F33D3C"/>
    <w:rsid w:val="00F360F2"/>
    <w:rsid w:val="00F37A91"/>
    <w:rsid w:val="00F408A0"/>
    <w:rsid w:val="00F45CF5"/>
    <w:rsid w:val="00F47DB0"/>
    <w:rsid w:val="00F50C3F"/>
    <w:rsid w:val="00F50E34"/>
    <w:rsid w:val="00F50F10"/>
    <w:rsid w:val="00F51AFB"/>
    <w:rsid w:val="00F53EF7"/>
    <w:rsid w:val="00F54BF2"/>
    <w:rsid w:val="00F5513D"/>
    <w:rsid w:val="00F6268C"/>
    <w:rsid w:val="00F70B99"/>
    <w:rsid w:val="00F76E80"/>
    <w:rsid w:val="00F775AC"/>
    <w:rsid w:val="00F8792F"/>
    <w:rsid w:val="00F9214D"/>
    <w:rsid w:val="00F92355"/>
    <w:rsid w:val="00F925B1"/>
    <w:rsid w:val="00F93963"/>
    <w:rsid w:val="00F94291"/>
    <w:rsid w:val="00FA1032"/>
    <w:rsid w:val="00FA298A"/>
    <w:rsid w:val="00FA5B66"/>
    <w:rsid w:val="00FB0B9C"/>
    <w:rsid w:val="00FB30EB"/>
    <w:rsid w:val="00FB7982"/>
    <w:rsid w:val="00FC0734"/>
    <w:rsid w:val="00FC0FC5"/>
    <w:rsid w:val="00FC588F"/>
    <w:rsid w:val="00FC6879"/>
    <w:rsid w:val="00FC7E1D"/>
    <w:rsid w:val="00FD3DFA"/>
    <w:rsid w:val="00FD43C2"/>
    <w:rsid w:val="00FD57CC"/>
    <w:rsid w:val="00FD5973"/>
    <w:rsid w:val="00FD75E5"/>
    <w:rsid w:val="00FE1B30"/>
    <w:rsid w:val="00FE4D8E"/>
    <w:rsid w:val="00FE6E27"/>
    <w:rsid w:val="00FE7B44"/>
    <w:rsid w:val="00FF2622"/>
    <w:rsid w:val="00FF28F0"/>
    <w:rsid w:val="00FF2ED8"/>
    <w:rsid w:val="00FF3012"/>
    <w:rsid w:val="00FF4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C30177"/>
  <w15:docId w15:val="{34437B24-FE99-49D5-B558-726A0833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E08"/>
    <w:pPr>
      <w:spacing w:line="360" w:lineRule="auto"/>
      <w:jc w:val="both"/>
    </w:pPr>
    <w:rPr>
      <w:sz w:val="24"/>
      <w:lang w:eastAsia="en-US"/>
    </w:rPr>
  </w:style>
  <w:style w:type="paragraph" w:styleId="Heading1">
    <w:name w:val="heading 1"/>
    <w:basedOn w:val="Normal"/>
    <w:next w:val="ParaNumbering"/>
    <w:qFormat/>
    <w:rsid w:val="00C47E08"/>
    <w:pPr>
      <w:keepNext/>
      <w:spacing w:before="240" w:after="60" w:line="240" w:lineRule="auto"/>
      <w:outlineLvl w:val="0"/>
    </w:pPr>
    <w:rPr>
      <w:b/>
      <w:caps/>
      <w:kern w:val="28"/>
    </w:rPr>
  </w:style>
  <w:style w:type="paragraph" w:styleId="Heading2">
    <w:name w:val="heading 2"/>
    <w:basedOn w:val="Normal"/>
    <w:next w:val="ParaNumbering"/>
    <w:qFormat/>
    <w:rsid w:val="00C47E08"/>
    <w:pPr>
      <w:keepNext/>
      <w:spacing w:before="240" w:after="60" w:line="240" w:lineRule="auto"/>
      <w:outlineLvl w:val="1"/>
    </w:pPr>
    <w:rPr>
      <w:b/>
      <w:szCs w:val="24"/>
    </w:rPr>
  </w:style>
  <w:style w:type="paragraph" w:styleId="Heading3">
    <w:name w:val="heading 3"/>
    <w:basedOn w:val="Normal"/>
    <w:next w:val="ParaNumbering"/>
    <w:qFormat/>
    <w:rsid w:val="00C47E08"/>
    <w:pPr>
      <w:keepNext/>
      <w:spacing w:before="240" w:after="60" w:line="240" w:lineRule="auto"/>
      <w:outlineLvl w:val="2"/>
    </w:pPr>
    <w:rPr>
      <w:b/>
      <w:i/>
    </w:rPr>
  </w:style>
  <w:style w:type="paragraph" w:styleId="Heading4">
    <w:name w:val="heading 4"/>
    <w:basedOn w:val="Normal"/>
    <w:next w:val="ParaNumbering"/>
    <w:qFormat/>
    <w:rsid w:val="00C47E08"/>
    <w:pPr>
      <w:keepNext/>
      <w:spacing w:before="240" w:after="60" w:line="240" w:lineRule="auto"/>
      <w:jc w:val="left"/>
      <w:outlineLvl w:val="3"/>
    </w:pPr>
    <w:rPr>
      <w:i/>
      <w:szCs w:val="24"/>
    </w:rPr>
  </w:style>
  <w:style w:type="paragraph" w:styleId="Heading5">
    <w:name w:val="heading 5"/>
    <w:basedOn w:val="fcHeading1"/>
    <w:next w:val="ParaNumbering"/>
    <w:qFormat/>
    <w:rsid w:val="00C47E08"/>
    <w:pPr>
      <w:outlineLvl w:val="4"/>
    </w:pPr>
    <w:rPr>
      <w:caps w:val="0"/>
    </w:rPr>
  </w:style>
  <w:style w:type="paragraph" w:styleId="Heading6">
    <w:name w:val="heading 6"/>
    <w:basedOn w:val="fcHeading2"/>
    <w:next w:val="ParaNumbering"/>
    <w:qFormat/>
    <w:rsid w:val="00C47E08"/>
    <w:pPr>
      <w:outlineLvl w:val="5"/>
    </w:pPr>
  </w:style>
  <w:style w:type="paragraph" w:styleId="Heading7">
    <w:name w:val="heading 7"/>
    <w:basedOn w:val="fcHeading3"/>
    <w:next w:val="ParaNumbering"/>
    <w:qFormat/>
    <w:rsid w:val="00C47E08"/>
    <w:pPr>
      <w:outlineLvl w:val="6"/>
    </w:pPr>
    <w:rPr>
      <w:i w:val="0"/>
    </w:rPr>
  </w:style>
  <w:style w:type="paragraph" w:styleId="Heading8">
    <w:name w:val="heading 8"/>
    <w:basedOn w:val="fcHeading4"/>
    <w:next w:val="ParaNumbering"/>
    <w:rsid w:val="00C47E08"/>
    <w:pPr>
      <w:outlineLvl w:val="7"/>
    </w:pPr>
    <w:rPr>
      <w:smallCaps w:val="0"/>
    </w:rPr>
  </w:style>
  <w:style w:type="paragraph" w:styleId="Heading9">
    <w:name w:val="heading 9"/>
    <w:basedOn w:val="fcHeading5"/>
    <w:next w:val="ParaNumbering"/>
    <w:rsid w:val="00C47E08"/>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C47E08"/>
    <w:pPr>
      <w:spacing w:line="240" w:lineRule="auto"/>
    </w:pPr>
  </w:style>
  <w:style w:type="paragraph" w:styleId="Header">
    <w:name w:val="header"/>
    <w:basedOn w:val="Normal"/>
    <w:semiHidden/>
    <w:rsid w:val="00C47E08"/>
    <w:pPr>
      <w:tabs>
        <w:tab w:val="center" w:pos="4320"/>
        <w:tab w:val="right" w:pos="8640"/>
      </w:tabs>
    </w:pPr>
  </w:style>
  <w:style w:type="paragraph" w:styleId="Footer">
    <w:name w:val="footer"/>
    <w:basedOn w:val="Normal"/>
    <w:semiHidden/>
    <w:rsid w:val="00C47E08"/>
    <w:pPr>
      <w:tabs>
        <w:tab w:val="center" w:pos="4320"/>
        <w:tab w:val="right" w:pos="8640"/>
      </w:tabs>
    </w:pPr>
  </w:style>
  <w:style w:type="paragraph" w:customStyle="1" w:styleId="ParaNumbering">
    <w:name w:val="ParaNumbering"/>
    <w:basedOn w:val="Normal"/>
    <w:rsid w:val="00C47E08"/>
    <w:pPr>
      <w:numPr>
        <w:numId w:val="1"/>
      </w:numPr>
      <w:spacing w:before="180" w:after="180"/>
    </w:pPr>
  </w:style>
  <w:style w:type="paragraph" w:customStyle="1" w:styleId="Quote1">
    <w:name w:val="Quote1"/>
    <w:rsid w:val="00C47E08"/>
    <w:pPr>
      <w:widowControl w:val="0"/>
      <w:spacing w:after="180"/>
      <w:ind w:left="737" w:right="737"/>
      <w:jc w:val="both"/>
    </w:pPr>
    <w:rPr>
      <w:sz w:val="22"/>
      <w:lang w:eastAsia="en-US"/>
    </w:rPr>
  </w:style>
  <w:style w:type="paragraph" w:customStyle="1" w:styleId="NormalHeadings">
    <w:name w:val="Normal Headings"/>
    <w:link w:val="NormalHeadingsChar"/>
    <w:rsid w:val="00C47E08"/>
    <w:pPr>
      <w:widowControl w:val="0"/>
      <w:jc w:val="both"/>
    </w:pPr>
    <w:rPr>
      <w:b/>
      <w:sz w:val="24"/>
      <w:lang w:eastAsia="en-US"/>
    </w:rPr>
  </w:style>
  <w:style w:type="table" w:styleId="TableGrid">
    <w:name w:val="Table Grid"/>
    <w:basedOn w:val="TableNormal"/>
    <w:semiHidden/>
    <w:rsid w:val="00C47E0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C47E08"/>
    <w:pPr>
      <w:spacing w:before="20" w:after="20"/>
      <w:jc w:val="center"/>
    </w:pPr>
    <w:rPr>
      <w:b/>
      <w:sz w:val="26"/>
    </w:rPr>
  </w:style>
  <w:style w:type="paragraph" w:customStyle="1" w:styleId="Normal1linespace">
    <w:name w:val="Normal1linespace"/>
    <w:basedOn w:val="Normal"/>
    <w:rsid w:val="00C47E08"/>
    <w:pPr>
      <w:spacing w:line="240" w:lineRule="auto"/>
    </w:pPr>
  </w:style>
  <w:style w:type="paragraph" w:styleId="BalloonText">
    <w:name w:val="Balloon Text"/>
    <w:basedOn w:val="Normal"/>
    <w:semiHidden/>
    <w:rsid w:val="00C47E08"/>
    <w:rPr>
      <w:rFonts w:ascii="Tahoma" w:hAnsi="Tahoma" w:cs="Tahoma"/>
      <w:sz w:val="16"/>
      <w:szCs w:val="16"/>
    </w:rPr>
  </w:style>
  <w:style w:type="paragraph" w:customStyle="1" w:styleId="StyleBold">
    <w:name w:val="Style Bold"/>
    <w:basedOn w:val="Normal"/>
    <w:next w:val="BodyText"/>
    <w:semiHidden/>
    <w:rsid w:val="00C47E08"/>
    <w:rPr>
      <w:szCs w:val="24"/>
    </w:rPr>
  </w:style>
  <w:style w:type="paragraph" w:customStyle="1" w:styleId="Bold">
    <w:name w:val="Bold"/>
    <w:basedOn w:val="Normal"/>
    <w:next w:val="Normal"/>
    <w:semiHidden/>
    <w:rsid w:val="00C47E08"/>
    <w:pPr>
      <w:suppressAutoHyphens/>
      <w:jc w:val="left"/>
    </w:pPr>
    <w:rPr>
      <w:b/>
      <w:szCs w:val="24"/>
    </w:rPr>
  </w:style>
  <w:style w:type="paragraph" w:customStyle="1" w:styleId="Certify">
    <w:name w:val="Certify"/>
    <w:basedOn w:val="Normal"/>
    <w:link w:val="CertifyChar"/>
    <w:semiHidden/>
    <w:rsid w:val="00C47E08"/>
    <w:pPr>
      <w:spacing w:line="240" w:lineRule="auto"/>
    </w:pPr>
    <w:rPr>
      <w:szCs w:val="24"/>
    </w:rPr>
  </w:style>
  <w:style w:type="character" w:styleId="CommentReference">
    <w:name w:val="annotation reference"/>
    <w:semiHidden/>
    <w:rsid w:val="00C47E08"/>
    <w:rPr>
      <w:sz w:val="16"/>
      <w:szCs w:val="16"/>
    </w:rPr>
  </w:style>
  <w:style w:type="paragraph" w:styleId="CommentText">
    <w:name w:val="annotation text"/>
    <w:basedOn w:val="Normal"/>
    <w:semiHidden/>
    <w:rsid w:val="00C47E08"/>
    <w:rPr>
      <w:sz w:val="20"/>
    </w:rPr>
  </w:style>
  <w:style w:type="paragraph" w:styleId="CommentSubject">
    <w:name w:val="annotation subject"/>
    <w:basedOn w:val="CommentText"/>
    <w:next w:val="CommentText"/>
    <w:semiHidden/>
    <w:rsid w:val="00C47E08"/>
    <w:rPr>
      <w:b/>
      <w:bCs/>
    </w:rPr>
  </w:style>
  <w:style w:type="paragraph" w:customStyle="1" w:styleId="FCBullets">
    <w:name w:val="FCBullets"/>
    <w:basedOn w:val="Normal"/>
    <w:rsid w:val="00C47E08"/>
    <w:pPr>
      <w:numPr>
        <w:numId w:val="25"/>
      </w:numPr>
      <w:spacing w:before="60" w:after="60"/>
    </w:pPr>
  </w:style>
  <w:style w:type="paragraph" w:customStyle="1" w:styleId="JudgeStyle">
    <w:name w:val="JudgeStyle"/>
    <w:basedOn w:val="Heading1"/>
    <w:next w:val="ParaNumbering"/>
    <w:semiHidden/>
    <w:rsid w:val="00C47E08"/>
  </w:style>
  <w:style w:type="paragraph" w:styleId="TOC1">
    <w:name w:val="toc 1"/>
    <w:basedOn w:val="Normal"/>
    <w:next w:val="Normal"/>
    <w:autoRedefine/>
    <w:semiHidden/>
    <w:rsid w:val="00C47E08"/>
    <w:pPr>
      <w:tabs>
        <w:tab w:val="right" w:leader="dot" w:pos="9071"/>
      </w:tabs>
    </w:pPr>
  </w:style>
  <w:style w:type="paragraph" w:styleId="TOC2">
    <w:name w:val="toc 2"/>
    <w:basedOn w:val="Normal"/>
    <w:next w:val="Normal"/>
    <w:autoRedefine/>
    <w:semiHidden/>
    <w:rsid w:val="00C47E08"/>
    <w:pPr>
      <w:tabs>
        <w:tab w:val="right" w:leader="dot" w:pos="9071"/>
      </w:tabs>
      <w:ind w:left="240"/>
    </w:pPr>
  </w:style>
  <w:style w:type="paragraph" w:styleId="TOC3">
    <w:name w:val="toc 3"/>
    <w:basedOn w:val="Normal"/>
    <w:next w:val="Normal"/>
    <w:autoRedefine/>
    <w:semiHidden/>
    <w:rsid w:val="00C47E08"/>
    <w:pPr>
      <w:tabs>
        <w:tab w:val="right" w:leader="dot" w:pos="9071"/>
      </w:tabs>
      <w:ind w:left="480"/>
    </w:pPr>
  </w:style>
  <w:style w:type="paragraph" w:styleId="TOC4">
    <w:name w:val="toc 4"/>
    <w:basedOn w:val="Normal"/>
    <w:next w:val="Normal"/>
    <w:autoRedefine/>
    <w:semiHidden/>
    <w:rsid w:val="00C47E08"/>
    <w:pPr>
      <w:tabs>
        <w:tab w:val="right" w:leader="dot" w:pos="9071"/>
      </w:tabs>
      <w:ind w:left="720"/>
    </w:pPr>
  </w:style>
  <w:style w:type="paragraph" w:customStyle="1" w:styleId="NoNum">
    <w:name w:val="No Num"/>
    <w:basedOn w:val="Normal1linespace"/>
    <w:rsid w:val="00C47E08"/>
    <w:pPr>
      <w:spacing w:before="120" w:after="180" w:line="360" w:lineRule="auto"/>
    </w:pPr>
  </w:style>
  <w:style w:type="paragraph" w:customStyle="1" w:styleId="AppealTable">
    <w:name w:val="AppealTable"/>
    <w:basedOn w:val="Normal"/>
    <w:unhideWhenUsed/>
    <w:rsid w:val="00C47E08"/>
    <w:pPr>
      <w:spacing w:line="240" w:lineRule="auto"/>
      <w:jc w:val="left"/>
    </w:pPr>
    <w:rPr>
      <w:b/>
      <w:caps/>
      <w:sz w:val="22"/>
      <w:szCs w:val="22"/>
    </w:rPr>
  </w:style>
  <w:style w:type="paragraph" w:customStyle="1" w:styleId="Quote3">
    <w:name w:val="Quote3"/>
    <w:basedOn w:val="Quote1"/>
    <w:rsid w:val="00C47E08"/>
    <w:pPr>
      <w:ind w:left="2160"/>
    </w:pPr>
  </w:style>
  <w:style w:type="paragraph" w:customStyle="1" w:styleId="Quote2">
    <w:name w:val="Quote2"/>
    <w:basedOn w:val="Quote1"/>
    <w:rsid w:val="00C47E08"/>
    <w:pPr>
      <w:ind w:left="1440"/>
    </w:pPr>
  </w:style>
  <w:style w:type="paragraph" w:customStyle="1" w:styleId="FTOC1">
    <w:name w:val="FTOC 1"/>
    <w:basedOn w:val="Normal"/>
    <w:semiHidden/>
    <w:rsid w:val="00C47E08"/>
    <w:pPr>
      <w:tabs>
        <w:tab w:val="right" w:leader="dot" w:pos="9072"/>
      </w:tabs>
      <w:spacing w:before="120" w:after="60" w:line="240" w:lineRule="auto"/>
      <w:jc w:val="left"/>
    </w:pPr>
    <w:rPr>
      <w:b/>
      <w:caps/>
      <w:kern w:val="28"/>
    </w:rPr>
  </w:style>
  <w:style w:type="paragraph" w:customStyle="1" w:styleId="ListNo1">
    <w:name w:val="List No 1"/>
    <w:basedOn w:val="Normal"/>
    <w:rsid w:val="00C47E08"/>
    <w:pPr>
      <w:numPr>
        <w:numId w:val="22"/>
      </w:numPr>
      <w:spacing w:before="60" w:after="60"/>
    </w:pPr>
  </w:style>
  <w:style w:type="paragraph" w:customStyle="1" w:styleId="FTOC2">
    <w:name w:val="FTOC 2"/>
    <w:basedOn w:val="Normal"/>
    <w:semiHidden/>
    <w:rsid w:val="00C47E08"/>
    <w:pPr>
      <w:tabs>
        <w:tab w:val="right" w:leader="dot" w:pos="9072"/>
      </w:tabs>
      <w:spacing w:before="120" w:after="60" w:line="240" w:lineRule="auto"/>
      <w:ind w:left="238"/>
      <w:jc w:val="left"/>
    </w:pPr>
    <w:rPr>
      <w:b/>
    </w:rPr>
  </w:style>
  <w:style w:type="paragraph" w:customStyle="1" w:styleId="FTOC3">
    <w:name w:val="FTOC 3"/>
    <w:basedOn w:val="Normal"/>
    <w:semiHidden/>
    <w:rsid w:val="00C47E08"/>
    <w:pPr>
      <w:tabs>
        <w:tab w:val="right" w:leader="dot" w:pos="9072"/>
      </w:tabs>
      <w:spacing w:before="120" w:after="60" w:line="240" w:lineRule="auto"/>
      <w:ind w:left="482"/>
      <w:jc w:val="left"/>
    </w:pPr>
    <w:rPr>
      <w:b/>
      <w:i/>
    </w:rPr>
  </w:style>
  <w:style w:type="paragraph" w:customStyle="1" w:styleId="FTOC4">
    <w:name w:val="FTOC 4"/>
    <w:basedOn w:val="Normal"/>
    <w:semiHidden/>
    <w:rsid w:val="00C47E08"/>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C47E08"/>
    <w:pPr>
      <w:tabs>
        <w:tab w:val="right" w:leader="dot" w:pos="9072"/>
      </w:tabs>
      <w:ind w:left="960"/>
    </w:pPr>
  </w:style>
  <w:style w:type="numbering" w:styleId="111111">
    <w:name w:val="Outline List 2"/>
    <w:basedOn w:val="NoList"/>
    <w:semiHidden/>
    <w:rsid w:val="00C47E08"/>
    <w:pPr>
      <w:numPr>
        <w:numId w:val="12"/>
      </w:numPr>
    </w:pPr>
  </w:style>
  <w:style w:type="numbering" w:styleId="1ai">
    <w:name w:val="Outline List 1"/>
    <w:basedOn w:val="NoList"/>
    <w:semiHidden/>
    <w:rsid w:val="00C47E08"/>
    <w:pPr>
      <w:numPr>
        <w:numId w:val="13"/>
      </w:numPr>
    </w:pPr>
  </w:style>
  <w:style w:type="numbering" w:styleId="ArticleSection">
    <w:name w:val="Outline List 3"/>
    <w:basedOn w:val="NoList"/>
    <w:semiHidden/>
    <w:rsid w:val="00C47E08"/>
    <w:pPr>
      <w:numPr>
        <w:numId w:val="14"/>
      </w:numPr>
    </w:pPr>
  </w:style>
  <w:style w:type="paragraph" w:styleId="BodyText">
    <w:name w:val="Body Text"/>
    <w:basedOn w:val="Normal"/>
    <w:link w:val="BodyTextChar"/>
    <w:qFormat/>
    <w:rsid w:val="00C47E08"/>
  </w:style>
  <w:style w:type="paragraph" w:styleId="BodyText2">
    <w:name w:val="Body Text 2"/>
    <w:basedOn w:val="Normal"/>
    <w:semiHidden/>
    <w:rsid w:val="00C47E08"/>
    <w:pPr>
      <w:spacing w:after="120" w:line="480" w:lineRule="auto"/>
    </w:pPr>
  </w:style>
  <w:style w:type="paragraph" w:styleId="BodyText3">
    <w:name w:val="Body Text 3"/>
    <w:basedOn w:val="Normal"/>
    <w:semiHidden/>
    <w:rsid w:val="00C47E08"/>
    <w:pPr>
      <w:spacing w:after="120"/>
    </w:pPr>
    <w:rPr>
      <w:sz w:val="16"/>
      <w:szCs w:val="16"/>
    </w:rPr>
  </w:style>
  <w:style w:type="paragraph" w:styleId="BodyTextFirstIndent">
    <w:name w:val="Body Text First Indent"/>
    <w:basedOn w:val="BodyText"/>
    <w:semiHidden/>
    <w:rsid w:val="00C47E08"/>
    <w:pPr>
      <w:ind w:firstLine="210"/>
    </w:pPr>
  </w:style>
  <w:style w:type="paragraph" w:styleId="BodyTextIndent">
    <w:name w:val="Body Text Indent"/>
    <w:basedOn w:val="Normal"/>
    <w:semiHidden/>
    <w:rsid w:val="00C47E08"/>
    <w:pPr>
      <w:spacing w:after="120"/>
      <w:ind w:left="283"/>
    </w:pPr>
  </w:style>
  <w:style w:type="paragraph" w:styleId="BodyTextFirstIndent2">
    <w:name w:val="Body Text First Indent 2"/>
    <w:basedOn w:val="BodyTextIndent"/>
    <w:semiHidden/>
    <w:rsid w:val="00C47E08"/>
    <w:pPr>
      <w:ind w:firstLine="210"/>
    </w:pPr>
  </w:style>
  <w:style w:type="paragraph" w:styleId="BodyTextIndent2">
    <w:name w:val="Body Text Indent 2"/>
    <w:basedOn w:val="Normal"/>
    <w:semiHidden/>
    <w:rsid w:val="00C47E08"/>
    <w:pPr>
      <w:spacing w:after="120" w:line="480" w:lineRule="auto"/>
      <w:ind w:left="283"/>
    </w:pPr>
  </w:style>
  <w:style w:type="paragraph" w:styleId="BodyTextIndent3">
    <w:name w:val="Body Text Indent 3"/>
    <w:basedOn w:val="Normal"/>
    <w:semiHidden/>
    <w:rsid w:val="00C47E08"/>
    <w:pPr>
      <w:spacing w:after="120"/>
      <w:ind w:left="283"/>
    </w:pPr>
    <w:rPr>
      <w:sz w:val="16"/>
      <w:szCs w:val="16"/>
    </w:rPr>
  </w:style>
  <w:style w:type="paragraph" w:styleId="Closing">
    <w:name w:val="Closing"/>
    <w:basedOn w:val="Normal"/>
    <w:semiHidden/>
    <w:rsid w:val="00C47E08"/>
    <w:pPr>
      <w:ind w:left="4252"/>
    </w:pPr>
  </w:style>
  <w:style w:type="paragraph" w:styleId="Date">
    <w:name w:val="Date"/>
    <w:basedOn w:val="Normal"/>
    <w:next w:val="Normal"/>
    <w:semiHidden/>
    <w:rsid w:val="00C47E08"/>
  </w:style>
  <w:style w:type="paragraph" w:styleId="E-mailSignature">
    <w:name w:val="E-mail Signature"/>
    <w:basedOn w:val="Normal"/>
    <w:semiHidden/>
    <w:rsid w:val="00C47E08"/>
  </w:style>
  <w:style w:type="character" w:styleId="Emphasis">
    <w:name w:val="Emphasis"/>
    <w:semiHidden/>
    <w:rsid w:val="00C47E08"/>
    <w:rPr>
      <w:i/>
      <w:iCs/>
    </w:rPr>
  </w:style>
  <w:style w:type="paragraph" w:styleId="EnvelopeAddress">
    <w:name w:val="envelope address"/>
    <w:basedOn w:val="Normal"/>
    <w:semiHidden/>
    <w:rsid w:val="00C47E0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47E08"/>
    <w:rPr>
      <w:rFonts w:ascii="Arial" w:hAnsi="Arial" w:cs="Arial"/>
      <w:sz w:val="20"/>
    </w:rPr>
  </w:style>
  <w:style w:type="character" w:styleId="FollowedHyperlink">
    <w:name w:val="FollowedHyperlink"/>
    <w:semiHidden/>
    <w:rsid w:val="00C47E08"/>
    <w:rPr>
      <w:color w:val="800080"/>
      <w:u w:val="single"/>
    </w:rPr>
  </w:style>
  <w:style w:type="character" w:styleId="HTMLAcronym">
    <w:name w:val="HTML Acronym"/>
    <w:basedOn w:val="DefaultParagraphFont"/>
    <w:semiHidden/>
    <w:rsid w:val="00C47E08"/>
  </w:style>
  <w:style w:type="paragraph" w:styleId="HTMLAddress">
    <w:name w:val="HTML Address"/>
    <w:basedOn w:val="Normal"/>
    <w:semiHidden/>
    <w:rsid w:val="00C47E08"/>
    <w:rPr>
      <w:i/>
      <w:iCs/>
    </w:rPr>
  </w:style>
  <w:style w:type="character" w:styleId="HTMLCite">
    <w:name w:val="HTML Cite"/>
    <w:semiHidden/>
    <w:rsid w:val="00C47E08"/>
    <w:rPr>
      <w:i/>
      <w:iCs/>
    </w:rPr>
  </w:style>
  <w:style w:type="character" w:styleId="HTMLCode">
    <w:name w:val="HTML Code"/>
    <w:semiHidden/>
    <w:rsid w:val="00C47E08"/>
    <w:rPr>
      <w:rFonts w:ascii="Courier New" w:hAnsi="Courier New" w:cs="Courier New"/>
      <w:sz w:val="20"/>
      <w:szCs w:val="20"/>
    </w:rPr>
  </w:style>
  <w:style w:type="character" w:styleId="HTMLDefinition">
    <w:name w:val="HTML Definition"/>
    <w:semiHidden/>
    <w:rsid w:val="00C47E08"/>
    <w:rPr>
      <w:i/>
      <w:iCs/>
    </w:rPr>
  </w:style>
  <w:style w:type="character" w:styleId="HTMLKeyboard">
    <w:name w:val="HTML Keyboard"/>
    <w:semiHidden/>
    <w:rsid w:val="00C47E08"/>
    <w:rPr>
      <w:rFonts w:ascii="Courier New" w:hAnsi="Courier New" w:cs="Courier New"/>
      <w:sz w:val="20"/>
      <w:szCs w:val="20"/>
    </w:rPr>
  </w:style>
  <w:style w:type="paragraph" w:styleId="HTMLPreformatted">
    <w:name w:val="HTML Preformatted"/>
    <w:basedOn w:val="Normal"/>
    <w:link w:val="HTMLPreformattedChar"/>
    <w:uiPriority w:val="99"/>
    <w:semiHidden/>
    <w:rsid w:val="00C47E08"/>
    <w:rPr>
      <w:rFonts w:ascii="Courier New" w:hAnsi="Courier New" w:cs="Courier New"/>
      <w:sz w:val="20"/>
    </w:rPr>
  </w:style>
  <w:style w:type="character" w:styleId="HTMLSample">
    <w:name w:val="HTML Sample"/>
    <w:semiHidden/>
    <w:rsid w:val="00C47E08"/>
    <w:rPr>
      <w:rFonts w:ascii="Courier New" w:hAnsi="Courier New" w:cs="Courier New"/>
    </w:rPr>
  </w:style>
  <w:style w:type="character" w:styleId="HTMLTypewriter">
    <w:name w:val="HTML Typewriter"/>
    <w:semiHidden/>
    <w:rsid w:val="00C47E08"/>
    <w:rPr>
      <w:rFonts w:ascii="Courier New" w:hAnsi="Courier New" w:cs="Courier New"/>
      <w:sz w:val="20"/>
      <w:szCs w:val="20"/>
    </w:rPr>
  </w:style>
  <w:style w:type="character" w:styleId="HTMLVariable">
    <w:name w:val="HTML Variable"/>
    <w:semiHidden/>
    <w:rsid w:val="00C47E08"/>
    <w:rPr>
      <w:i/>
      <w:iCs/>
    </w:rPr>
  </w:style>
  <w:style w:type="character" w:styleId="Hyperlink">
    <w:name w:val="Hyperlink"/>
    <w:uiPriority w:val="99"/>
    <w:semiHidden/>
    <w:rsid w:val="00C47E08"/>
    <w:rPr>
      <w:color w:val="0000FF"/>
      <w:u w:val="single"/>
    </w:rPr>
  </w:style>
  <w:style w:type="character" w:styleId="LineNumber">
    <w:name w:val="line number"/>
    <w:basedOn w:val="DefaultParagraphFont"/>
    <w:semiHidden/>
    <w:rsid w:val="00C47E08"/>
  </w:style>
  <w:style w:type="paragraph" w:styleId="List">
    <w:name w:val="List"/>
    <w:basedOn w:val="Normal"/>
    <w:semiHidden/>
    <w:rsid w:val="00C47E08"/>
    <w:pPr>
      <w:ind w:left="283" w:hanging="283"/>
    </w:pPr>
  </w:style>
  <w:style w:type="paragraph" w:styleId="List2">
    <w:name w:val="List 2"/>
    <w:basedOn w:val="Normal"/>
    <w:semiHidden/>
    <w:rsid w:val="00C47E08"/>
    <w:pPr>
      <w:ind w:left="566" w:hanging="283"/>
    </w:pPr>
  </w:style>
  <w:style w:type="paragraph" w:styleId="List3">
    <w:name w:val="List 3"/>
    <w:basedOn w:val="Normal"/>
    <w:semiHidden/>
    <w:rsid w:val="00C47E08"/>
    <w:pPr>
      <w:ind w:left="849" w:hanging="283"/>
    </w:pPr>
  </w:style>
  <w:style w:type="paragraph" w:styleId="List4">
    <w:name w:val="List 4"/>
    <w:basedOn w:val="Normal"/>
    <w:semiHidden/>
    <w:rsid w:val="00C47E08"/>
    <w:pPr>
      <w:ind w:left="1132" w:hanging="283"/>
    </w:pPr>
  </w:style>
  <w:style w:type="paragraph" w:styleId="List5">
    <w:name w:val="List 5"/>
    <w:basedOn w:val="Normal"/>
    <w:semiHidden/>
    <w:rsid w:val="00C47E08"/>
    <w:pPr>
      <w:ind w:left="1415" w:hanging="283"/>
    </w:pPr>
  </w:style>
  <w:style w:type="paragraph" w:styleId="ListBullet">
    <w:name w:val="List Bullet"/>
    <w:basedOn w:val="Normal"/>
    <w:semiHidden/>
    <w:rsid w:val="00C47E08"/>
    <w:pPr>
      <w:numPr>
        <w:numId w:val="2"/>
      </w:numPr>
    </w:pPr>
  </w:style>
  <w:style w:type="paragraph" w:styleId="ListBullet2">
    <w:name w:val="List Bullet 2"/>
    <w:basedOn w:val="Normal"/>
    <w:semiHidden/>
    <w:rsid w:val="00C47E08"/>
    <w:pPr>
      <w:numPr>
        <w:numId w:val="3"/>
      </w:numPr>
    </w:pPr>
  </w:style>
  <w:style w:type="paragraph" w:styleId="ListBullet3">
    <w:name w:val="List Bullet 3"/>
    <w:basedOn w:val="Normal"/>
    <w:semiHidden/>
    <w:rsid w:val="00C47E08"/>
    <w:pPr>
      <w:numPr>
        <w:numId w:val="4"/>
      </w:numPr>
    </w:pPr>
  </w:style>
  <w:style w:type="paragraph" w:styleId="ListBullet4">
    <w:name w:val="List Bullet 4"/>
    <w:basedOn w:val="Normal"/>
    <w:semiHidden/>
    <w:rsid w:val="00C47E08"/>
    <w:pPr>
      <w:numPr>
        <w:numId w:val="5"/>
      </w:numPr>
    </w:pPr>
  </w:style>
  <w:style w:type="paragraph" w:styleId="ListBullet5">
    <w:name w:val="List Bullet 5"/>
    <w:basedOn w:val="Normal"/>
    <w:semiHidden/>
    <w:rsid w:val="00C47E08"/>
    <w:pPr>
      <w:numPr>
        <w:numId w:val="6"/>
      </w:numPr>
    </w:pPr>
  </w:style>
  <w:style w:type="paragraph" w:styleId="ListContinue">
    <w:name w:val="List Continue"/>
    <w:basedOn w:val="Normal"/>
    <w:semiHidden/>
    <w:rsid w:val="00C47E08"/>
    <w:pPr>
      <w:spacing w:after="120"/>
      <w:ind w:left="283"/>
    </w:pPr>
  </w:style>
  <w:style w:type="paragraph" w:styleId="ListContinue2">
    <w:name w:val="List Continue 2"/>
    <w:basedOn w:val="Normal"/>
    <w:semiHidden/>
    <w:rsid w:val="00C47E08"/>
    <w:pPr>
      <w:spacing w:after="120"/>
      <w:ind w:left="566"/>
    </w:pPr>
  </w:style>
  <w:style w:type="paragraph" w:styleId="ListContinue3">
    <w:name w:val="List Continue 3"/>
    <w:basedOn w:val="Normal"/>
    <w:semiHidden/>
    <w:rsid w:val="00C47E08"/>
    <w:pPr>
      <w:spacing w:after="120"/>
      <w:ind w:left="849"/>
    </w:pPr>
  </w:style>
  <w:style w:type="paragraph" w:styleId="ListContinue4">
    <w:name w:val="List Continue 4"/>
    <w:basedOn w:val="Normal"/>
    <w:semiHidden/>
    <w:rsid w:val="00C47E08"/>
    <w:pPr>
      <w:spacing w:after="120"/>
      <w:ind w:left="1132"/>
    </w:pPr>
  </w:style>
  <w:style w:type="paragraph" w:styleId="ListContinue5">
    <w:name w:val="List Continue 5"/>
    <w:basedOn w:val="Normal"/>
    <w:semiHidden/>
    <w:rsid w:val="00C47E08"/>
    <w:pPr>
      <w:spacing w:after="120"/>
      <w:ind w:left="1415"/>
    </w:pPr>
  </w:style>
  <w:style w:type="paragraph" w:styleId="ListNumber">
    <w:name w:val="List Number"/>
    <w:basedOn w:val="Normal"/>
    <w:semiHidden/>
    <w:rsid w:val="00C47E08"/>
    <w:pPr>
      <w:numPr>
        <w:numId w:val="7"/>
      </w:numPr>
    </w:pPr>
  </w:style>
  <w:style w:type="paragraph" w:styleId="ListNumber2">
    <w:name w:val="List Number 2"/>
    <w:basedOn w:val="Normal"/>
    <w:semiHidden/>
    <w:rsid w:val="00C47E08"/>
    <w:pPr>
      <w:numPr>
        <w:numId w:val="8"/>
      </w:numPr>
    </w:pPr>
  </w:style>
  <w:style w:type="paragraph" w:styleId="ListNumber3">
    <w:name w:val="List Number 3"/>
    <w:basedOn w:val="Normal"/>
    <w:semiHidden/>
    <w:rsid w:val="00C47E08"/>
    <w:pPr>
      <w:numPr>
        <w:numId w:val="9"/>
      </w:numPr>
    </w:pPr>
  </w:style>
  <w:style w:type="paragraph" w:styleId="ListNumber4">
    <w:name w:val="List Number 4"/>
    <w:basedOn w:val="Normal"/>
    <w:semiHidden/>
    <w:rsid w:val="00C47E08"/>
    <w:pPr>
      <w:numPr>
        <w:numId w:val="10"/>
      </w:numPr>
    </w:pPr>
  </w:style>
  <w:style w:type="paragraph" w:styleId="ListNumber5">
    <w:name w:val="List Number 5"/>
    <w:basedOn w:val="Normal"/>
    <w:semiHidden/>
    <w:rsid w:val="00C47E08"/>
    <w:pPr>
      <w:numPr>
        <w:numId w:val="11"/>
      </w:numPr>
    </w:pPr>
  </w:style>
  <w:style w:type="paragraph" w:styleId="MessageHeader">
    <w:name w:val="Message Header"/>
    <w:basedOn w:val="Normal"/>
    <w:semiHidden/>
    <w:rsid w:val="00C47E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47E08"/>
    <w:rPr>
      <w:szCs w:val="24"/>
    </w:rPr>
  </w:style>
  <w:style w:type="paragraph" w:styleId="NormalIndent">
    <w:name w:val="Normal Indent"/>
    <w:basedOn w:val="Normal"/>
    <w:semiHidden/>
    <w:rsid w:val="00C47E08"/>
    <w:pPr>
      <w:ind w:left="720"/>
    </w:pPr>
  </w:style>
  <w:style w:type="paragraph" w:styleId="NoteHeading">
    <w:name w:val="Note Heading"/>
    <w:basedOn w:val="Normal"/>
    <w:next w:val="Normal"/>
    <w:semiHidden/>
    <w:rsid w:val="00C47E08"/>
  </w:style>
  <w:style w:type="character" w:styleId="PageNumber">
    <w:name w:val="page number"/>
    <w:basedOn w:val="DefaultParagraphFont"/>
    <w:semiHidden/>
    <w:rsid w:val="00C47E08"/>
  </w:style>
  <w:style w:type="paragraph" w:styleId="PlainText">
    <w:name w:val="Plain Text"/>
    <w:basedOn w:val="Normal"/>
    <w:semiHidden/>
    <w:rsid w:val="00C47E08"/>
    <w:rPr>
      <w:rFonts w:ascii="Courier New" w:hAnsi="Courier New" w:cs="Courier New"/>
      <w:sz w:val="20"/>
    </w:rPr>
  </w:style>
  <w:style w:type="paragraph" w:styleId="Salutation">
    <w:name w:val="Salutation"/>
    <w:basedOn w:val="Normal"/>
    <w:next w:val="Normal"/>
    <w:semiHidden/>
    <w:rsid w:val="00C47E08"/>
  </w:style>
  <w:style w:type="paragraph" w:styleId="Signature">
    <w:name w:val="Signature"/>
    <w:basedOn w:val="Normal"/>
    <w:semiHidden/>
    <w:rsid w:val="00C47E08"/>
    <w:pPr>
      <w:ind w:left="4252"/>
    </w:pPr>
  </w:style>
  <w:style w:type="character" w:styleId="Strong">
    <w:name w:val="Strong"/>
    <w:semiHidden/>
    <w:rsid w:val="00C47E08"/>
    <w:rPr>
      <w:b/>
      <w:bCs/>
    </w:rPr>
  </w:style>
  <w:style w:type="paragraph" w:styleId="Subtitle">
    <w:name w:val="Subtitle"/>
    <w:basedOn w:val="Normal"/>
    <w:semiHidden/>
    <w:rsid w:val="00C47E08"/>
    <w:pPr>
      <w:spacing w:after="60"/>
      <w:jc w:val="center"/>
      <w:outlineLvl w:val="1"/>
    </w:pPr>
    <w:rPr>
      <w:rFonts w:ascii="Arial" w:hAnsi="Arial" w:cs="Arial"/>
      <w:szCs w:val="24"/>
    </w:rPr>
  </w:style>
  <w:style w:type="table" w:styleId="Table3Deffects1">
    <w:name w:val="Table 3D effects 1"/>
    <w:basedOn w:val="TableNormal"/>
    <w:semiHidden/>
    <w:rsid w:val="00C47E08"/>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7E08"/>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7E08"/>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7E08"/>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7E08"/>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7E08"/>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7E08"/>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7E08"/>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7E08"/>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7E08"/>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7E08"/>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7E08"/>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7E08"/>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7E08"/>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7E08"/>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7E08"/>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7E08"/>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47E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7E08"/>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7E08"/>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7E08"/>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7E0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7E08"/>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7E08"/>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7E08"/>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7E08"/>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7E08"/>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7E08"/>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7E0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7E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7E08"/>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7E08"/>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7E08"/>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7E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7E08"/>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7E08"/>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7E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7E08"/>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7E08"/>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7E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7E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7E08"/>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7E08"/>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C47E08"/>
    <w:pPr>
      <w:spacing w:before="120" w:after="60" w:line="240" w:lineRule="auto"/>
      <w:jc w:val="left"/>
    </w:pPr>
  </w:style>
  <w:style w:type="paragraph" w:customStyle="1" w:styleId="bTOC2">
    <w:name w:val="bTOC 2"/>
    <w:basedOn w:val="TOC2"/>
    <w:semiHidden/>
    <w:rsid w:val="00C47E08"/>
    <w:pPr>
      <w:spacing w:before="120" w:after="60" w:line="240" w:lineRule="auto"/>
      <w:ind w:left="238"/>
      <w:jc w:val="left"/>
    </w:pPr>
  </w:style>
  <w:style w:type="paragraph" w:customStyle="1" w:styleId="bTOC3">
    <w:name w:val="bTOC 3"/>
    <w:basedOn w:val="TOC3"/>
    <w:semiHidden/>
    <w:rsid w:val="00C47E08"/>
    <w:pPr>
      <w:spacing w:before="120" w:after="60" w:line="240" w:lineRule="auto"/>
      <w:ind w:left="482"/>
      <w:jc w:val="left"/>
    </w:pPr>
  </w:style>
  <w:style w:type="paragraph" w:customStyle="1" w:styleId="bTOC4">
    <w:name w:val="bTOC 4"/>
    <w:basedOn w:val="TOC4"/>
    <w:semiHidden/>
    <w:rsid w:val="00C47E08"/>
    <w:pPr>
      <w:spacing w:before="120" w:after="60" w:line="240" w:lineRule="auto"/>
      <w:jc w:val="left"/>
    </w:pPr>
  </w:style>
  <w:style w:type="paragraph" w:customStyle="1" w:styleId="Counsel">
    <w:name w:val="Counsel"/>
    <w:basedOn w:val="Normal"/>
    <w:unhideWhenUsed/>
    <w:rsid w:val="00C47E08"/>
    <w:pPr>
      <w:widowControl w:val="0"/>
      <w:suppressAutoHyphens/>
      <w:spacing w:line="240" w:lineRule="auto"/>
    </w:pPr>
  </w:style>
  <w:style w:type="character" w:customStyle="1" w:styleId="CertifyChar">
    <w:name w:val="Certify Char"/>
    <w:link w:val="Certify"/>
    <w:semiHidden/>
    <w:rsid w:val="00C47E08"/>
    <w:rPr>
      <w:sz w:val="24"/>
      <w:szCs w:val="24"/>
      <w:lang w:eastAsia="en-US"/>
    </w:rPr>
  </w:style>
  <w:style w:type="paragraph" w:customStyle="1" w:styleId="fcHeading1">
    <w:name w:val="fcHeading 1"/>
    <w:basedOn w:val="Normal"/>
    <w:next w:val="ParaNumbering"/>
    <w:semiHidden/>
    <w:rsid w:val="00C47E08"/>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C47E08"/>
    <w:pPr>
      <w:keepNext/>
      <w:numPr>
        <w:ilvl w:val="1"/>
        <w:numId w:val="15"/>
      </w:numPr>
      <w:spacing w:before="240" w:after="60" w:line="240" w:lineRule="auto"/>
    </w:pPr>
    <w:rPr>
      <w:b/>
    </w:rPr>
  </w:style>
  <w:style w:type="paragraph" w:customStyle="1" w:styleId="fcHeading3">
    <w:name w:val="fcHeading 3"/>
    <w:basedOn w:val="Normal"/>
    <w:next w:val="ParaNumbering"/>
    <w:semiHidden/>
    <w:rsid w:val="00C47E08"/>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C47E08"/>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C47E08"/>
    <w:pPr>
      <w:keepNext/>
      <w:numPr>
        <w:ilvl w:val="4"/>
        <w:numId w:val="15"/>
      </w:numPr>
      <w:spacing w:before="240" w:after="60" w:line="240" w:lineRule="auto"/>
    </w:pPr>
    <w:rPr>
      <w:b/>
      <w:caps/>
    </w:rPr>
  </w:style>
  <w:style w:type="paragraph" w:customStyle="1" w:styleId="FTOC5">
    <w:name w:val="FTOC 5"/>
    <w:basedOn w:val="Normal"/>
    <w:semiHidden/>
    <w:rsid w:val="00C47E0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C47E0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C47E0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C47E0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C47E0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C47E08"/>
    <w:pPr>
      <w:tabs>
        <w:tab w:val="right" w:leader="dot" w:pos="9072"/>
      </w:tabs>
      <w:spacing w:before="120" w:after="60" w:line="240" w:lineRule="auto"/>
      <w:ind w:left="709" w:hanging="709"/>
      <w:jc w:val="left"/>
    </w:pPr>
  </w:style>
  <w:style w:type="paragraph" w:customStyle="1" w:styleId="bTOC6">
    <w:name w:val="bTOC 6"/>
    <w:basedOn w:val="Normal"/>
    <w:semiHidden/>
    <w:rsid w:val="00C47E08"/>
    <w:pPr>
      <w:tabs>
        <w:tab w:val="right" w:leader="dot" w:pos="9072"/>
      </w:tabs>
      <w:spacing w:before="120" w:after="60" w:line="240" w:lineRule="auto"/>
      <w:ind w:left="1418" w:hanging="709"/>
      <w:jc w:val="left"/>
    </w:pPr>
  </w:style>
  <w:style w:type="paragraph" w:customStyle="1" w:styleId="bTOC7">
    <w:name w:val="bTOC 7"/>
    <w:basedOn w:val="Normal"/>
    <w:semiHidden/>
    <w:rsid w:val="00C47E08"/>
    <w:pPr>
      <w:tabs>
        <w:tab w:val="right" w:leader="dot" w:pos="9072"/>
      </w:tabs>
      <w:spacing w:before="120" w:after="60" w:line="240" w:lineRule="auto"/>
      <w:ind w:left="2240" w:hanging="822"/>
      <w:jc w:val="left"/>
    </w:pPr>
  </w:style>
  <w:style w:type="paragraph" w:customStyle="1" w:styleId="bTOC8">
    <w:name w:val="bTOC 8"/>
    <w:basedOn w:val="Normal"/>
    <w:semiHidden/>
    <w:rsid w:val="00C47E08"/>
    <w:pPr>
      <w:keepNext/>
      <w:tabs>
        <w:tab w:val="right" w:leader="dot" w:pos="9072"/>
      </w:tabs>
      <w:spacing w:before="120" w:after="60" w:line="240" w:lineRule="auto"/>
      <w:ind w:left="3373" w:hanging="1247"/>
      <w:jc w:val="left"/>
    </w:pPr>
  </w:style>
  <w:style w:type="paragraph" w:customStyle="1" w:styleId="bTOC9">
    <w:name w:val="bTOC 9"/>
    <w:basedOn w:val="Normal"/>
    <w:semiHidden/>
    <w:rsid w:val="00C47E08"/>
    <w:pPr>
      <w:keepNext/>
      <w:tabs>
        <w:tab w:val="right" w:leader="dot" w:pos="9072"/>
      </w:tabs>
      <w:spacing w:before="120" w:after="60" w:line="240" w:lineRule="auto"/>
      <w:ind w:left="4082" w:hanging="1247"/>
      <w:jc w:val="left"/>
    </w:pPr>
  </w:style>
  <w:style w:type="paragraph" w:customStyle="1" w:styleId="ListNo2">
    <w:name w:val="List No 2"/>
    <w:basedOn w:val="ListNo1"/>
    <w:rsid w:val="00C47E08"/>
    <w:pPr>
      <w:numPr>
        <w:ilvl w:val="1"/>
      </w:numPr>
    </w:pPr>
  </w:style>
  <w:style w:type="paragraph" w:customStyle="1" w:styleId="ListNo3">
    <w:name w:val="List No 3"/>
    <w:basedOn w:val="ListNo2"/>
    <w:rsid w:val="00C47E08"/>
    <w:pPr>
      <w:numPr>
        <w:ilvl w:val="2"/>
      </w:numPr>
    </w:pPr>
  </w:style>
  <w:style w:type="numbering" w:customStyle="1" w:styleId="FCListNo">
    <w:name w:val="FCListNo"/>
    <w:uiPriority w:val="99"/>
    <w:rsid w:val="00C47E08"/>
    <w:pPr>
      <w:numPr>
        <w:numId w:val="16"/>
      </w:numPr>
    </w:pPr>
  </w:style>
  <w:style w:type="paragraph" w:customStyle="1" w:styleId="SingleSpace">
    <w:name w:val="SingleSpace"/>
    <w:basedOn w:val="Normal"/>
    <w:rsid w:val="00C47E08"/>
    <w:pPr>
      <w:spacing w:line="240" w:lineRule="auto"/>
    </w:pPr>
    <w:rPr>
      <w:szCs w:val="22"/>
    </w:rPr>
  </w:style>
  <w:style w:type="paragraph" w:customStyle="1" w:styleId="Quote1Bullet">
    <w:name w:val="Quote1 Bullet"/>
    <w:basedOn w:val="Quote1"/>
    <w:rsid w:val="00C47E08"/>
    <w:pPr>
      <w:numPr>
        <w:numId w:val="17"/>
      </w:numPr>
      <w:ind w:left="1440" w:hanging="720"/>
    </w:pPr>
  </w:style>
  <w:style w:type="paragraph" w:customStyle="1" w:styleId="Quote2Bullet">
    <w:name w:val="Quote2 Bullet"/>
    <w:basedOn w:val="Quote2"/>
    <w:rsid w:val="00C47E08"/>
    <w:pPr>
      <w:numPr>
        <w:numId w:val="18"/>
      </w:numPr>
      <w:ind w:hanging="720"/>
    </w:pPr>
  </w:style>
  <w:style w:type="paragraph" w:customStyle="1" w:styleId="Quote3Bullet">
    <w:name w:val="Quote3 Bullet"/>
    <w:basedOn w:val="Quote3"/>
    <w:rsid w:val="00C47E08"/>
    <w:pPr>
      <w:numPr>
        <w:numId w:val="19"/>
      </w:numPr>
      <w:ind w:hanging="720"/>
    </w:pPr>
  </w:style>
  <w:style w:type="paragraph" w:customStyle="1" w:styleId="Order1">
    <w:name w:val="Order 1"/>
    <w:basedOn w:val="Normal"/>
    <w:rsid w:val="00C47E08"/>
    <w:pPr>
      <w:numPr>
        <w:numId w:val="20"/>
      </w:numPr>
      <w:spacing w:before="60" w:after="60"/>
    </w:pPr>
  </w:style>
  <w:style w:type="numbering" w:customStyle="1" w:styleId="FCOrders">
    <w:name w:val="FCOrders"/>
    <w:uiPriority w:val="99"/>
    <w:rsid w:val="00C47E08"/>
    <w:pPr>
      <w:numPr>
        <w:numId w:val="20"/>
      </w:numPr>
    </w:pPr>
  </w:style>
  <w:style w:type="paragraph" w:customStyle="1" w:styleId="BodyTextBold">
    <w:name w:val="Body Text Bold"/>
    <w:basedOn w:val="BodyText"/>
    <w:rsid w:val="00C47E08"/>
    <w:rPr>
      <w:b/>
    </w:rPr>
  </w:style>
  <w:style w:type="paragraph" w:customStyle="1" w:styleId="GeneralHeading">
    <w:name w:val="General Heading"/>
    <w:basedOn w:val="BodyTextBold"/>
    <w:next w:val="BodyText"/>
    <w:rsid w:val="00C47E08"/>
    <w:pPr>
      <w:spacing w:line="480" w:lineRule="auto"/>
      <w:jc w:val="center"/>
    </w:pPr>
    <w:rPr>
      <w:sz w:val="28"/>
    </w:rPr>
  </w:style>
  <w:style w:type="paragraph" w:customStyle="1" w:styleId="ReasonJudge">
    <w:name w:val="Reason Judge"/>
    <w:basedOn w:val="BodyText"/>
    <w:next w:val="BodyText"/>
    <w:rsid w:val="00C47E08"/>
    <w:pPr>
      <w:jc w:val="left"/>
    </w:pPr>
    <w:rPr>
      <w:b/>
      <w:sz w:val="26"/>
    </w:rPr>
  </w:style>
  <w:style w:type="paragraph" w:customStyle="1" w:styleId="FileNo">
    <w:name w:val="FileNo"/>
    <w:basedOn w:val="NormalHeadings"/>
    <w:rsid w:val="00C47E08"/>
    <w:pPr>
      <w:tabs>
        <w:tab w:val="right" w:pos="3609"/>
      </w:tabs>
      <w:spacing w:line="276" w:lineRule="auto"/>
      <w:jc w:val="right"/>
    </w:pPr>
    <w:rPr>
      <w:szCs w:val="24"/>
    </w:rPr>
  </w:style>
  <w:style w:type="paragraph" w:customStyle="1" w:styleId="CasesLegislationAppealFrom">
    <w:name w:val="Cases Legislation Appeal From"/>
    <w:basedOn w:val="Normal1linespace"/>
    <w:rsid w:val="00C47E08"/>
    <w:pPr>
      <w:widowControl w:val="0"/>
      <w:spacing w:after="100"/>
      <w:jc w:val="left"/>
    </w:pPr>
  </w:style>
  <w:style w:type="paragraph" w:customStyle="1" w:styleId="PartyName">
    <w:name w:val="Party Name"/>
    <w:basedOn w:val="NormalHeadings"/>
    <w:rsid w:val="00C47E08"/>
    <w:pPr>
      <w:jc w:val="left"/>
    </w:pPr>
    <w:rPr>
      <w:szCs w:val="24"/>
    </w:rPr>
  </w:style>
  <w:style w:type="paragraph" w:customStyle="1" w:styleId="PartyType">
    <w:name w:val="Party Type"/>
    <w:basedOn w:val="PartyName"/>
    <w:rsid w:val="00C47E08"/>
    <w:rPr>
      <w:b w:val="0"/>
    </w:rPr>
  </w:style>
  <w:style w:type="paragraph" w:customStyle="1" w:styleId="Small-TableswithinQuotes">
    <w:name w:val="Small - Tables within Quotes"/>
    <w:basedOn w:val="BodyText"/>
    <w:rsid w:val="00C47E08"/>
    <w:pPr>
      <w:spacing w:line="240" w:lineRule="auto"/>
      <w:jc w:val="left"/>
    </w:pPr>
    <w:rPr>
      <w:sz w:val="22"/>
    </w:rPr>
  </w:style>
  <w:style w:type="character" w:customStyle="1" w:styleId="BodyTextChar">
    <w:name w:val="Body Text Char"/>
    <w:basedOn w:val="DefaultParagraphFont"/>
    <w:link w:val="BodyText"/>
    <w:rsid w:val="00C47E08"/>
    <w:rPr>
      <w:sz w:val="24"/>
      <w:lang w:eastAsia="en-US"/>
    </w:rPr>
  </w:style>
  <w:style w:type="character" w:customStyle="1" w:styleId="NormalHeadingsChar">
    <w:name w:val="Normal Headings Char"/>
    <w:basedOn w:val="DefaultParagraphFont"/>
    <w:link w:val="NormalHeadings"/>
    <w:rsid w:val="00C47E08"/>
    <w:rPr>
      <w:b/>
      <w:sz w:val="24"/>
      <w:lang w:eastAsia="en-US"/>
    </w:rPr>
  </w:style>
  <w:style w:type="paragraph" w:customStyle="1" w:styleId="CourtTitle">
    <w:name w:val="CourtTitle"/>
    <w:basedOn w:val="NormalHeadings"/>
    <w:rsid w:val="00C47E08"/>
    <w:pPr>
      <w:jc w:val="center"/>
    </w:pPr>
    <w:rPr>
      <w:caps/>
      <w:sz w:val="32"/>
    </w:rPr>
  </w:style>
  <w:style w:type="paragraph" w:customStyle="1" w:styleId="MNC">
    <w:name w:val="MNC"/>
    <w:basedOn w:val="MediaNeutralStyle"/>
    <w:rsid w:val="00C47E08"/>
    <w:pPr>
      <w:spacing w:after="240"/>
    </w:pPr>
    <w:rPr>
      <w:sz w:val="28"/>
    </w:rPr>
  </w:style>
  <w:style w:type="paragraph" w:customStyle="1" w:styleId="Quote4">
    <w:name w:val="Quote4"/>
    <w:basedOn w:val="Quote1"/>
    <w:rsid w:val="00C47E08"/>
    <w:pPr>
      <w:ind w:left="2880"/>
    </w:pPr>
  </w:style>
  <w:style w:type="paragraph" w:customStyle="1" w:styleId="Quote4Bullet">
    <w:name w:val="Quote4 Bullet"/>
    <w:basedOn w:val="Quote4"/>
    <w:rsid w:val="00C47E08"/>
    <w:pPr>
      <w:numPr>
        <w:numId w:val="21"/>
      </w:numPr>
      <w:ind w:hanging="720"/>
    </w:pPr>
  </w:style>
  <w:style w:type="character" w:styleId="PlaceholderText">
    <w:name w:val="Placeholder Text"/>
    <w:basedOn w:val="DefaultParagraphFont"/>
    <w:uiPriority w:val="99"/>
    <w:semiHidden/>
    <w:rsid w:val="00C47E08"/>
    <w:rPr>
      <w:color w:val="808080"/>
    </w:rPr>
  </w:style>
  <w:style w:type="paragraph" w:customStyle="1" w:styleId="Order2">
    <w:name w:val="Order 2"/>
    <w:basedOn w:val="Order1"/>
    <w:rsid w:val="00C47E08"/>
    <w:pPr>
      <w:numPr>
        <w:ilvl w:val="1"/>
      </w:numPr>
    </w:pPr>
  </w:style>
  <w:style w:type="paragraph" w:customStyle="1" w:styleId="Order3">
    <w:name w:val="Order 3"/>
    <w:basedOn w:val="Order2"/>
    <w:rsid w:val="00C47E08"/>
    <w:pPr>
      <w:numPr>
        <w:ilvl w:val="2"/>
      </w:numPr>
    </w:pPr>
  </w:style>
  <w:style w:type="paragraph" w:customStyle="1" w:styleId="ListNo1alt">
    <w:name w:val="List No 1 (alt)"/>
    <w:basedOn w:val="Normal"/>
    <w:rsid w:val="00C47E08"/>
    <w:pPr>
      <w:numPr>
        <w:numId w:val="23"/>
      </w:numPr>
      <w:spacing w:before="60" w:after="60"/>
    </w:pPr>
  </w:style>
  <w:style w:type="paragraph" w:customStyle="1" w:styleId="ListNo2alt">
    <w:name w:val="List No 2 (alt)"/>
    <w:basedOn w:val="ListNo1alt"/>
    <w:rsid w:val="00C47E08"/>
    <w:pPr>
      <w:numPr>
        <w:ilvl w:val="1"/>
      </w:numPr>
    </w:pPr>
  </w:style>
  <w:style w:type="paragraph" w:customStyle="1" w:styleId="ListNo3alt">
    <w:name w:val="List No 3 (alt)"/>
    <w:basedOn w:val="ListNo2alt"/>
    <w:rsid w:val="00C47E08"/>
    <w:pPr>
      <w:numPr>
        <w:ilvl w:val="2"/>
      </w:numPr>
    </w:pPr>
  </w:style>
  <w:style w:type="numbering" w:customStyle="1" w:styleId="FCListNoalt">
    <w:name w:val="FC List No (alt)"/>
    <w:uiPriority w:val="99"/>
    <w:rsid w:val="00C47E08"/>
    <w:pPr>
      <w:numPr>
        <w:numId w:val="23"/>
      </w:numPr>
    </w:pPr>
  </w:style>
  <w:style w:type="paragraph" w:customStyle="1" w:styleId="Order4">
    <w:name w:val="Order 4"/>
    <w:basedOn w:val="Order3"/>
    <w:rsid w:val="00C47E08"/>
    <w:pPr>
      <w:numPr>
        <w:ilvl w:val="3"/>
      </w:numPr>
    </w:pPr>
  </w:style>
  <w:style w:type="paragraph" w:styleId="FootnoteText">
    <w:name w:val="footnote text"/>
    <w:basedOn w:val="Normal"/>
    <w:link w:val="FootnoteTextChar"/>
    <w:semiHidden/>
    <w:unhideWhenUsed/>
    <w:rsid w:val="00C47E08"/>
    <w:pPr>
      <w:spacing w:line="240" w:lineRule="auto"/>
    </w:pPr>
    <w:rPr>
      <w:sz w:val="20"/>
    </w:rPr>
  </w:style>
  <w:style w:type="character" w:customStyle="1" w:styleId="FootnoteTextChar">
    <w:name w:val="Footnote Text Char"/>
    <w:basedOn w:val="DefaultParagraphFont"/>
    <w:link w:val="FootnoteText"/>
    <w:semiHidden/>
    <w:rsid w:val="00C47E08"/>
    <w:rPr>
      <w:lang w:eastAsia="en-US"/>
    </w:rPr>
  </w:style>
  <w:style w:type="character" w:styleId="FootnoteReference">
    <w:name w:val="footnote reference"/>
    <w:basedOn w:val="DefaultParagraphFont"/>
    <w:semiHidden/>
    <w:unhideWhenUsed/>
    <w:rsid w:val="00C47E08"/>
    <w:rPr>
      <w:vertAlign w:val="superscript"/>
    </w:rPr>
  </w:style>
  <w:style w:type="paragraph" w:customStyle="1" w:styleId="FCBullets2">
    <w:name w:val="FCBullets2"/>
    <w:basedOn w:val="FCBullets"/>
    <w:rsid w:val="00C47E08"/>
    <w:pPr>
      <w:numPr>
        <w:ilvl w:val="1"/>
      </w:numPr>
    </w:pPr>
  </w:style>
  <w:style w:type="numbering" w:customStyle="1" w:styleId="FCNotes">
    <w:name w:val="FCNotes"/>
    <w:uiPriority w:val="99"/>
    <w:rsid w:val="00C47E08"/>
    <w:pPr>
      <w:numPr>
        <w:numId w:val="26"/>
      </w:numPr>
    </w:pPr>
  </w:style>
  <w:style w:type="paragraph" w:customStyle="1" w:styleId="Notes">
    <w:name w:val="Notes"/>
    <w:basedOn w:val="Normal"/>
    <w:rsid w:val="00C47E08"/>
    <w:pPr>
      <w:numPr>
        <w:numId w:val="26"/>
      </w:numPr>
      <w:spacing w:before="60" w:after="60"/>
    </w:pPr>
  </w:style>
  <w:style w:type="paragraph" w:customStyle="1" w:styleId="OrdersHeading1">
    <w:name w:val="Orders Heading 1"/>
    <w:basedOn w:val="Normal"/>
    <w:next w:val="BodyText"/>
    <w:rsid w:val="00C47E08"/>
    <w:pPr>
      <w:keepNext/>
      <w:spacing w:before="240" w:after="180" w:line="240" w:lineRule="auto"/>
    </w:pPr>
    <w:rPr>
      <w:b/>
      <w:caps/>
    </w:rPr>
  </w:style>
  <w:style w:type="paragraph" w:customStyle="1" w:styleId="OrdersHeading2">
    <w:name w:val="Orders Heading 2"/>
    <w:basedOn w:val="Normal"/>
    <w:next w:val="BodyText"/>
    <w:rsid w:val="00C47E08"/>
    <w:pPr>
      <w:keepNext/>
      <w:spacing w:before="240" w:after="180" w:line="240" w:lineRule="auto"/>
    </w:pPr>
    <w:rPr>
      <w:b/>
    </w:rPr>
  </w:style>
  <w:style w:type="paragraph" w:customStyle="1" w:styleId="Default">
    <w:name w:val="Default"/>
    <w:rsid w:val="00B7484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544"/>
    <w:rPr>
      <w:sz w:val="24"/>
      <w:lang w:eastAsia="en-US"/>
    </w:rPr>
  </w:style>
  <w:style w:type="character" w:customStyle="1" w:styleId="HTMLPreformattedChar">
    <w:name w:val="HTML Preformatted Char"/>
    <w:basedOn w:val="DefaultParagraphFont"/>
    <w:link w:val="HTMLPreformatted"/>
    <w:uiPriority w:val="99"/>
    <w:semiHidden/>
    <w:rsid w:val="004D75BB"/>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6321">
      <w:bodyDiv w:val="1"/>
      <w:marLeft w:val="0"/>
      <w:marRight w:val="0"/>
      <w:marTop w:val="0"/>
      <w:marBottom w:val="0"/>
      <w:divBdr>
        <w:top w:val="none" w:sz="0" w:space="0" w:color="auto"/>
        <w:left w:val="none" w:sz="0" w:space="0" w:color="auto"/>
        <w:bottom w:val="none" w:sz="0" w:space="0" w:color="auto"/>
        <w:right w:val="none" w:sz="0" w:space="0" w:color="auto"/>
      </w:divBdr>
    </w:div>
    <w:div w:id="14455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2E4ACB0344D3F8278F472CC6E258E"/>
        <w:category>
          <w:name w:val="General"/>
          <w:gallery w:val="placeholder"/>
        </w:category>
        <w:types>
          <w:type w:val="bbPlcHdr"/>
        </w:types>
        <w:behaviors>
          <w:behavior w:val="content"/>
        </w:behaviors>
        <w:guid w:val="{A83E4947-1F72-4680-9A1F-324A729BBF98}"/>
      </w:docPartPr>
      <w:docPartBody>
        <w:p w:rsidR="009C43B2" w:rsidRDefault="009C43B2">
          <w:pPr>
            <w:pStyle w:val="3BA2E4ACB0344D3F8278F472CC6E258E"/>
          </w:pPr>
          <w:r>
            <w:rPr>
              <w:rStyle w:val="PlaceholderText"/>
            </w:rPr>
            <w:t>MNC Text</w:t>
          </w:r>
        </w:p>
      </w:docPartBody>
    </w:docPart>
    <w:docPart>
      <w:docPartPr>
        <w:name w:val="F38D1A700CA84A65A6D8B44625B1219D"/>
        <w:category>
          <w:name w:val="General"/>
          <w:gallery w:val="placeholder"/>
        </w:category>
        <w:types>
          <w:type w:val="bbPlcHdr"/>
        </w:types>
        <w:behaviors>
          <w:behavior w:val="content"/>
        </w:behaviors>
        <w:guid w:val="{C1EFCBD2-6EBC-436A-954E-23AB09779B5F}"/>
      </w:docPartPr>
      <w:docPartBody>
        <w:p w:rsidR="009C43B2" w:rsidRDefault="009C43B2">
          <w:pPr>
            <w:pStyle w:val="F38D1A700CA84A65A6D8B44625B1219D"/>
          </w:pPr>
          <w:r w:rsidRPr="005C44BE">
            <w:rPr>
              <w:rStyle w:val="PlaceholderText"/>
            </w:rPr>
            <w:t>Click or tap here to enter text.</w:t>
          </w:r>
        </w:p>
      </w:docPartBody>
    </w:docPart>
    <w:docPart>
      <w:docPartPr>
        <w:name w:val="B05B4651DE164AD482BFEA76C81BBDAE"/>
        <w:category>
          <w:name w:val="General"/>
          <w:gallery w:val="placeholder"/>
        </w:category>
        <w:types>
          <w:type w:val="bbPlcHdr"/>
        </w:types>
        <w:behaviors>
          <w:behavior w:val="content"/>
        </w:behaviors>
        <w:guid w:val="{6C92901D-D103-4829-BA47-70336F23F90B}"/>
      </w:docPartPr>
      <w:docPartBody>
        <w:p w:rsidR="009C43B2" w:rsidRDefault="009C43B2">
          <w:pPr>
            <w:pStyle w:val="B05B4651DE164AD482BFEA76C81BBDAE"/>
          </w:pPr>
          <w:r w:rsidRPr="005C44BE">
            <w:rPr>
              <w:rStyle w:val="PlaceholderText"/>
            </w:rPr>
            <w:t>Click or tap here to enter text.</w:t>
          </w:r>
        </w:p>
      </w:docPartBody>
    </w:docPart>
    <w:docPart>
      <w:docPartPr>
        <w:name w:val="A274930440F8488089E858CCDC9C5E13"/>
        <w:category>
          <w:name w:val="General"/>
          <w:gallery w:val="placeholder"/>
        </w:category>
        <w:types>
          <w:type w:val="bbPlcHdr"/>
        </w:types>
        <w:behaviors>
          <w:behavior w:val="content"/>
        </w:behaviors>
        <w:guid w:val="{E745E600-7669-4968-8FDD-D300B7405C4C}"/>
      </w:docPartPr>
      <w:docPartBody>
        <w:p w:rsidR="009C43B2" w:rsidRDefault="009C43B2">
          <w:pPr>
            <w:pStyle w:val="A274930440F8488089E858CCDC9C5E13"/>
          </w:pPr>
          <w:r w:rsidRPr="005C44BE">
            <w:rPr>
              <w:rStyle w:val="PlaceholderText"/>
            </w:rPr>
            <w:t>Click or tap here to enter text.</w:t>
          </w:r>
        </w:p>
      </w:docPartBody>
    </w:docPart>
    <w:docPart>
      <w:docPartPr>
        <w:name w:val="30E8462137F74EAABA2A617BEDA57FF0"/>
        <w:category>
          <w:name w:val="General"/>
          <w:gallery w:val="placeholder"/>
        </w:category>
        <w:types>
          <w:type w:val="bbPlcHdr"/>
        </w:types>
        <w:behaviors>
          <w:behavior w:val="content"/>
        </w:behaviors>
        <w:guid w:val="{0F01297F-635F-4FA4-B7F5-C34625596048}"/>
      </w:docPartPr>
      <w:docPartBody>
        <w:p w:rsidR="009C43B2" w:rsidRDefault="009C43B2">
          <w:pPr>
            <w:pStyle w:val="30E8462137F74EAABA2A617BEDA57FF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2"/>
    <w:rsid w:val="00086DC3"/>
    <w:rsid w:val="00424E75"/>
    <w:rsid w:val="00732431"/>
    <w:rsid w:val="009C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A2E4ACB0344D3F8278F472CC6E258E">
    <w:name w:val="3BA2E4ACB0344D3F8278F472CC6E258E"/>
  </w:style>
  <w:style w:type="paragraph" w:customStyle="1" w:styleId="F38D1A700CA84A65A6D8B44625B1219D">
    <w:name w:val="F38D1A700CA84A65A6D8B44625B1219D"/>
  </w:style>
  <w:style w:type="paragraph" w:customStyle="1" w:styleId="B05B4651DE164AD482BFEA76C81BBDAE">
    <w:name w:val="B05B4651DE164AD482BFEA76C81BBDAE"/>
  </w:style>
  <w:style w:type="paragraph" w:customStyle="1" w:styleId="A274930440F8488089E858CCDC9C5E13">
    <w:name w:val="A274930440F8488089E858CCDC9C5E13"/>
  </w:style>
  <w:style w:type="paragraph" w:customStyle="1" w:styleId="30E8462137F74EAABA2A617BEDA57FF0">
    <w:name w:val="30E8462137F74EAABA2A617BEDA57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Raghubir v Nicolopoulos [2022] FCAFC 97</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5A7D73F-E852-42EC-A2CF-D76D62BA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15</Pages>
  <Words>5288</Words>
  <Characters>27014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Raghubir v Nicolopoulos [2022] FCAFC 97</vt:lpstr>
    </vt:vector>
  </TitlesOfParts>
  <Company>Federal Court of Australia</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Raghubir v Nicolopoulos [2022] FCAFC 97</dc:title>
  <dc:creator>Federal Court of Australia</dc:creator>
  <dc:description>v1.3</dc:description>
  <cp:lastModifiedBy>Federal Court of Australia</cp:lastModifiedBy>
  <cp:revision>6</cp:revision>
  <cp:lastPrinted>2022-06-03T02:45:00Z</cp:lastPrinted>
  <dcterms:created xsi:type="dcterms:W3CDTF">2022-06-03T08:28:00Z</dcterms:created>
  <dcterms:modified xsi:type="dcterms:W3CDTF">2022-06-03T09:02:00Z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Raghubir v Nicolopoulos [2021] FCA 1073</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