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A562B" w14:textId="77777777" w:rsidR="00395B24" w:rsidRDefault="00ED7CD9" w:rsidP="00A22932">
      <w:pPr>
        <w:pStyle w:val="CourtTitle"/>
      </w:pPr>
      <w:r>
        <w:fldChar w:fldCharType="begin" w:fldLock="1"/>
      </w:r>
      <w:r>
        <w:instrText xml:space="preserve"> DOCPROPERTY  Court  \* MERGEFORMAT </w:instrText>
      </w:r>
      <w:r>
        <w:fldChar w:fldCharType="separate"/>
      </w:r>
      <w:r w:rsidR="00551EE1">
        <w:t>Federal Court of Australia</w:t>
      </w:r>
      <w:r>
        <w:fldChar w:fldCharType="end"/>
      </w:r>
    </w:p>
    <w:p w14:paraId="7ED894D9" w14:textId="77777777" w:rsidR="00395B24" w:rsidRDefault="00395B24">
      <w:pPr>
        <w:pStyle w:val="NormalHeadings"/>
        <w:jc w:val="center"/>
        <w:rPr>
          <w:sz w:val="32"/>
        </w:rPr>
      </w:pPr>
    </w:p>
    <w:bookmarkStart w:id="0" w:name="MNC"/>
    <w:p w14:paraId="55D331E1" w14:textId="07F21F52" w:rsidR="00374CC4" w:rsidRDefault="00ED7CD9" w:rsidP="001A2B40">
      <w:pPr>
        <w:pStyle w:val="MNC"/>
      </w:pPr>
      <w:sdt>
        <w:sdtPr>
          <w:alias w:val="MNC"/>
          <w:tag w:val="MNC"/>
          <w:id w:val="343289786"/>
          <w:lock w:val="sdtLocked"/>
          <w:placeholder>
            <w:docPart w:val="81B5E452955A42E08E1502370B7C1B61"/>
          </w:placeholder>
          <w:dataBinding w:prefixMappings="xmlns:ns0='http://schemas.globalmacros.com/FCA'" w:xpath="/ns0:root[1]/ns0:Name[1]" w:storeItemID="{687E7CCB-4AA5-44E7-B148-17BA2B6F57C0}"/>
          <w:text w:multiLine="1"/>
        </w:sdtPr>
        <w:sdtEndPr/>
        <w:sdtContent>
          <w:r w:rsidR="001612E5" w:rsidRPr="001612E5">
            <w:t>Roberts-Smith v Fairfax Media Publications Pty Limit</w:t>
          </w:r>
          <w:r w:rsidR="001612E5">
            <w:t>ed (No</w:t>
          </w:r>
          <w:r w:rsidR="004C7EBC">
            <w:t xml:space="preserve"> </w:t>
          </w:r>
          <w:r w:rsidR="005F2284">
            <w:t>38</w:t>
          </w:r>
          <w:r w:rsidR="001612E5">
            <w:t>) [202</w:t>
          </w:r>
          <w:r w:rsidR="002E1297">
            <w:t>2</w:t>
          </w:r>
          <w:r w:rsidR="001612E5">
            <w:t>] </w:t>
          </w:r>
          <w:r w:rsidR="001612E5" w:rsidRPr="001612E5">
            <w:t>FCA</w:t>
          </w:r>
          <w:r w:rsidR="00DA47F6">
            <w:t xml:space="preserve"> 597</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128A1AFD" w14:textId="77777777" w:rsidTr="00551EE1">
        <w:tc>
          <w:tcPr>
            <w:tcW w:w="3084" w:type="dxa"/>
            <w:shd w:val="clear" w:color="auto" w:fill="auto"/>
          </w:tcPr>
          <w:p w14:paraId="222D780E" w14:textId="77777777" w:rsidR="00395B24" w:rsidRDefault="002C7385" w:rsidP="004E1F74">
            <w:pPr>
              <w:pStyle w:val="Normal1linespace"/>
              <w:widowControl w:val="0"/>
              <w:jc w:val="left"/>
            </w:pPr>
            <w:r>
              <w:t>File numbers:</w:t>
            </w:r>
          </w:p>
        </w:tc>
        <w:tc>
          <w:tcPr>
            <w:tcW w:w="5989" w:type="dxa"/>
            <w:shd w:val="clear" w:color="auto" w:fill="auto"/>
          </w:tcPr>
          <w:p w14:paraId="45637977" w14:textId="77777777" w:rsidR="00551EE1" w:rsidRPr="00551EE1" w:rsidRDefault="004E1F74" w:rsidP="00551EE1">
            <w:pPr>
              <w:pStyle w:val="Normal1linespace"/>
              <w:jc w:val="left"/>
            </w:pPr>
            <w:r w:rsidRPr="00551EE1">
              <w:fldChar w:fldCharType="begin" w:fldLock="1"/>
            </w:r>
            <w:r w:rsidRPr="00551EE1">
              <w:instrText xml:space="preserve"> REF  FileNo  \* MERGEFORMAT </w:instrText>
            </w:r>
            <w:r w:rsidRPr="00551EE1">
              <w:fldChar w:fldCharType="separate"/>
            </w:r>
            <w:r w:rsidR="00551EE1" w:rsidRPr="00551EE1">
              <w:t>NSD 1485 of 2018</w:t>
            </w:r>
          </w:p>
          <w:p w14:paraId="1437B5E8" w14:textId="77777777" w:rsidR="00551EE1" w:rsidRPr="00551EE1" w:rsidRDefault="00551EE1" w:rsidP="00551EE1">
            <w:pPr>
              <w:pStyle w:val="Normal1linespace"/>
              <w:jc w:val="left"/>
            </w:pPr>
            <w:r w:rsidRPr="00551EE1">
              <w:t>NSD 1486 of 2018</w:t>
            </w:r>
          </w:p>
          <w:p w14:paraId="384A396F" w14:textId="77777777" w:rsidR="00395B24" w:rsidRPr="001B1053" w:rsidRDefault="00551EE1" w:rsidP="00733916">
            <w:pPr>
              <w:pStyle w:val="Normal1linespace"/>
              <w:jc w:val="left"/>
            </w:pPr>
            <w:r w:rsidRPr="00551EE1">
              <w:t>NSD 1487 of 2018</w:t>
            </w:r>
            <w:r w:rsidR="004E1F74" w:rsidRPr="00551EE1">
              <w:fldChar w:fldCharType="end"/>
            </w:r>
          </w:p>
        </w:tc>
      </w:tr>
      <w:tr w:rsidR="00395B24" w14:paraId="56AA4567" w14:textId="77777777" w:rsidTr="00551EE1">
        <w:tc>
          <w:tcPr>
            <w:tcW w:w="3084" w:type="dxa"/>
            <w:shd w:val="clear" w:color="auto" w:fill="auto"/>
          </w:tcPr>
          <w:p w14:paraId="573A1036" w14:textId="77777777" w:rsidR="00395B24" w:rsidRDefault="00395B24" w:rsidP="00663878">
            <w:pPr>
              <w:pStyle w:val="Normal1linespace"/>
              <w:widowControl w:val="0"/>
              <w:jc w:val="left"/>
            </w:pPr>
          </w:p>
        </w:tc>
        <w:tc>
          <w:tcPr>
            <w:tcW w:w="5989" w:type="dxa"/>
            <w:shd w:val="clear" w:color="auto" w:fill="auto"/>
          </w:tcPr>
          <w:p w14:paraId="698CB936" w14:textId="77777777" w:rsidR="00395B24" w:rsidRDefault="00395B24" w:rsidP="00663878">
            <w:pPr>
              <w:pStyle w:val="Normal1linespace"/>
              <w:widowControl w:val="0"/>
              <w:jc w:val="left"/>
            </w:pPr>
          </w:p>
        </w:tc>
      </w:tr>
      <w:tr w:rsidR="00395B24" w14:paraId="7617C7A0" w14:textId="77777777" w:rsidTr="00551EE1">
        <w:tc>
          <w:tcPr>
            <w:tcW w:w="3084" w:type="dxa"/>
            <w:shd w:val="clear" w:color="auto" w:fill="auto"/>
          </w:tcPr>
          <w:p w14:paraId="5D3552C3"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61B4F494" w14:textId="0EC71F30" w:rsidR="00395B24" w:rsidRDefault="00632CD6" w:rsidP="00632CD6">
            <w:pPr>
              <w:pStyle w:val="Normal1linespace"/>
              <w:jc w:val="left"/>
              <w:rPr>
                <w:b/>
              </w:rPr>
            </w:pPr>
            <w:r>
              <w:rPr>
                <w:b/>
              </w:rPr>
              <w:t>BESANKO J</w:t>
            </w:r>
          </w:p>
        </w:tc>
      </w:tr>
      <w:tr w:rsidR="00395B24" w14:paraId="28F2D977" w14:textId="77777777" w:rsidTr="00551EE1">
        <w:tc>
          <w:tcPr>
            <w:tcW w:w="3084" w:type="dxa"/>
            <w:shd w:val="clear" w:color="auto" w:fill="auto"/>
          </w:tcPr>
          <w:p w14:paraId="09523A9E" w14:textId="77777777" w:rsidR="00395B24" w:rsidRDefault="00395B24" w:rsidP="00663878">
            <w:pPr>
              <w:pStyle w:val="Normal1linespace"/>
              <w:widowControl w:val="0"/>
              <w:jc w:val="left"/>
            </w:pPr>
          </w:p>
        </w:tc>
        <w:tc>
          <w:tcPr>
            <w:tcW w:w="5989" w:type="dxa"/>
            <w:shd w:val="clear" w:color="auto" w:fill="auto"/>
          </w:tcPr>
          <w:p w14:paraId="329F6BAF" w14:textId="77777777" w:rsidR="00395B24" w:rsidRDefault="00395B24" w:rsidP="00663878">
            <w:pPr>
              <w:pStyle w:val="Normal1linespace"/>
              <w:widowControl w:val="0"/>
              <w:jc w:val="left"/>
            </w:pPr>
          </w:p>
        </w:tc>
      </w:tr>
      <w:tr w:rsidR="00395B24" w14:paraId="6B687426" w14:textId="77777777" w:rsidTr="00551EE1">
        <w:tc>
          <w:tcPr>
            <w:tcW w:w="3084" w:type="dxa"/>
            <w:shd w:val="clear" w:color="auto" w:fill="auto"/>
          </w:tcPr>
          <w:p w14:paraId="078D6940" w14:textId="77777777" w:rsidR="00395B24" w:rsidRDefault="002C7385" w:rsidP="00663878">
            <w:pPr>
              <w:pStyle w:val="Normal1linespace"/>
              <w:widowControl w:val="0"/>
              <w:jc w:val="left"/>
            </w:pPr>
            <w:r>
              <w:t>Date of judgment:</w:t>
            </w:r>
          </w:p>
        </w:tc>
        <w:tc>
          <w:tcPr>
            <w:tcW w:w="5989" w:type="dxa"/>
            <w:shd w:val="clear" w:color="auto" w:fill="auto"/>
          </w:tcPr>
          <w:p w14:paraId="570B6682" w14:textId="6AF44963" w:rsidR="00395B24" w:rsidRDefault="005F2284" w:rsidP="00AC41A8">
            <w:pPr>
              <w:pStyle w:val="Normal1linespace"/>
              <w:jc w:val="left"/>
            </w:pPr>
            <w:bookmarkStart w:id="1" w:name="JudgmentDate"/>
            <w:r>
              <w:t>23 May</w:t>
            </w:r>
            <w:r w:rsidR="00551EE1">
              <w:t xml:space="preserve"> 20</w:t>
            </w:r>
            <w:r w:rsidR="00AC41A8">
              <w:t>2</w:t>
            </w:r>
            <w:r w:rsidR="004C7EBC">
              <w:t>2</w:t>
            </w:r>
            <w:bookmarkEnd w:id="1"/>
          </w:p>
        </w:tc>
      </w:tr>
      <w:tr w:rsidR="00395B24" w14:paraId="5F9CA0E7" w14:textId="77777777" w:rsidTr="00551EE1">
        <w:tc>
          <w:tcPr>
            <w:tcW w:w="3084" w:type="dxa"/>
            <w:shd w:val="clear" w:color="auto" w:fill="auto"/>
          </w:tcPr>
          <w:p w14:paraId="213CB75D" w14:textId="77777777" w:rsidR="00395B24" w:rsidRDefault="00395B24" w:rsidP="00663878">
            <w:pPr>
              <w:pStyle w:val="Normal1linespace"/>
              <w:widowControl w:val="0"/>
              <w:jc w:val="left"/>
            </w:pPr>
          </w:p>
        </w:tc>
        <w:tc>
          <w:tcPr>
            <w:tcW w:w="5989" w:type="dxa"/>
            <w:shd w:val="clear" w:color="auto" w:fill="auto"/>
          </w:tcPr>
          <w:p w14:paraId="31533172" w14:textId="77777777" w:rsidR="00395B24" w:rsidRDefault="00395B24" w:rsidP="00663878">
            <w:pPr>
              <w:pStyle w:val="Normal1linespace"/>
              <w:widowControl w:val="0"/>
              <w:jc w:val="left"/>
            </w:pPr>
          </w:p>
        </w:tc>
      </w:tr>
      <w:tr w:rsidR="00395B24" w14:paraId="291456DD" w14:textId="77777777" w:rsidTr="00551EE1">
        <w:tc>
          <w:tcPr>
            <w:tcW w:w="3084" w:type="dxa"/>
            <w:shd w:val="clear" w:color="auto" w:fill="auto"/>
          </w:tcPr>
          <w:p w14:paraId="16D5AA7E" w14:textId="77777777" w:rsidR="00395B24" w:rsidRDefault="002C7385" w:rsidP="00663878">
            <w:pPr>
              <w:pStyle w:val="Normal1linespace"/>
              <w:widowControl w:val="0"/>
              <w:jc w:val="left"/>
            </w:pPr>
            <w:r>
              <w:t>Catchwords:</w:t>
            </w:r>
          </w:p>
        </w:tc>
        <w:tc>
          <w:tcPr>
            <w:tcW w:w="5989" w:type="dxa"/>
            <w:shd w:val="clear" w:color="auto" w:fill="auto"/>
          </w:tcPr>
          <w:p w14:paraId="1DFA5ED2" w14:textId="2B1117A1" w:rsidR="00395B24" w:rsidRDefault="00565A97" w:rsidP="00565A97">
            <w:pPr>
              <w:tabs>
                <w:tab w:val="left" w:pos="2760"/>
              </w:tabs>
              <w:spacing w:line="240" w:lineRule="auto"/>
            </w:pPr>
            <w:bookmarkStart w:id="2" w:name="Catchwords"/>
            <w:r>
              <w:rPr>
                <w:b/>
                <w:szCs w:val="24"/>
              </w:rPr>
              <w:t>EVIDENCE</w:t>
            </w:r>
            <w:r>
              <w:rPr>
                <w:szCs w:val="24"/>
              </w:rPr>
              <w:t xml:space="preserve"> </w:t>
            </w:r>
            <w:r w:rsidRPr="00E44BE0">
              <w:rPr>
                <w:szCs w:val="24"/>
              </w:rPr>
              <w:t>—</w:t>
            </w:r>
            <w:r>
              <w:rPr>
                <w:szCs w:val="24"/>
              </w:rPr>
              <w:t xml:space="preserve"> Ruling on admissibility of document applicant seeks to tender </w:t>
            </w:r>
            <w:r w:rsidRPr="00E44BE0">
              <w:rPr>
                <w:szCs w:val="24"/>
              </w:rPr>
              <w:t>—</w:t>
            </w:r>
            <w:r>
              <w:rPr>
                <w:szCs w:val="24"/>
              </w:rPr>
              <w:t xml:space="preserve"> document recording WhatsApp message from a Mr Sharif </w:t>
            </w:r>
            <w:proofErr w:type="spellStart"/>
            <w:r>
              <w:rPr>
                <w:szCs w:val="24"/>
              </w:rPr>
              <w:t>Khoram</w:t>
            </w:r>
            <w:proofErr w:type="spellEnd"/>
            <w:r>
              <w:rPr>
                <w:szCs w:val="24"/>
              </w:rPr>
              <w:t xml:space="preserve"> to solicitors for respondents dated 1 December 2020 </w:t>
            </w:r>
            <w:r w:rsidRPr="00E44BE0">
              <w:rPr>
                <w:szCs w:val="24"/>
              </w:rPr>
              <w:t>—</w:t>
            </w:r>
            <w:r>
              <w:rPr>
                <w:szCs w:val="24"/>
              </w:rPr>
              <w:t xml:space="preserve"> where witness called by respondents, Mohammed </w:t>
            </w:r>
            <w:proofErr w:type="spellStart"/>
            <w:r>
              <w:rPr>
                <w:szCs w:val="24"/>
              </w:rPr>
              <w:t>Hanifa</w:t>
            </w:r>
            <w:proofErr w:type="spellEnd"/>
            <w:r>
              <w:rPr>
                <w:szCs w:val="24"/>
              </w:rPr>
              <w:t xml:space="preserve"> </w:t>
            </w:r>
            <w:proofErr w:type="spellStart"/>
            <w:r>
              <w:rPr>
                <w:szCs w:val="24"/>
              </w:rPr>
              <w:t>Fatih</w:t>
            </w:r>
            <w:proofErr w:type="spellEnd"/>
            <w:r>
              <w:rPr>
                <w:szCs w:val="24"/>
              </w:rPr>
              <w:t xml:space="preserve">, cross-examined by applicant on whether he had spoken to Afghan Independent Human Rights Commission (AIHRC) about events at village of </w:t>
            </w:r>
            <w:proofErr w:type="spellStart"/>
            <w:r>
              <w:rPr>
                <w:szCs w:val="24"/>
              </w:rPr>
              <w:t>Darwan</w:t>
            </w:r>
            <w:proofErr w:type="spellEnd"/>
            <w:r>
              <w:rPr>
                <w:szCs w:val="24"/>
              </w:rPr>
              <w:t xml:space="preserve"> on 11 September 2012 and whether he had applied for compensation from AIHRC </w:t>
            </w:r>
            <w:r w:rsidRPr="00E44BE0">
              <w:rPr>
                <w:szCs w:val="24"/>
              </w:rPr>
              <w:t>—</w:t>
            </w:r>
            <w:r>
              <w:rPr>
                <w:szCs w:val="24"/>
              </w:rPr>
              <w:t xml:space="preserve"> where counsel for applicant put to Mohammed </w:t>
            </w:r>
            <w:proofErr w:type="spellStart"/>
            <w:r>
              <w:rPr>
                <w:szCs w:val="24"/>
              </w:rPr>
              <w:t>Hanifa</w:t>
            </w:r>
            <w:proofErr w:type="spellEnd"/>
            <w:r>
              <w:rPr>
                <w:szCs w:val="24"/>
              </w:rPr>
              <w:t xml:space="preserve"> and Mohammed </w:t>
            </w:r>
            <w:proofErr w:type="spellStart"/>
            <w:r>
              <w:rPr>
                <w:szCs w:val="24"/>
              </w:rPr>
              <w:t>Hanifa</w:t>
            </w:r>
            <w:proofErr w:type="spellEnd"/>
            <w:r>
              <w:rPr>
                <w:szCs w:val="24"/>
              </w:rPr>
              <w:t xml:space="preserve"> denied that he had had telephone conversation with AIHRC official in presence of Mr </w:t>
            </w:r>
            <w:proofErr w:type="spellStart"/>
            <w:r>
              <w:rPr>
                <w:szCs w:val="24"/>
              </w:rPr>
              <w:t>Khoram</w:t>
            </w:r>
            <w:proofErr w:type="spellEnd"/>
            <w:r>
              <w:rPr>
                <w:szCs w:val="24"/>
              </w:rPr>
              <w:t xml:space="preserve"> during which he was informed of certain matters, including possibility of compensation by AIHRC </w:t>
            </w:r>
            <w:r w:rsidRPr="00E44BE0">
              <w:rPr>
                <w:szCs w:val="24"/>
              </w:rPr>
              <w:t>—</w:t>
            </w:r>
            <w:r>
              <w:rPr>
                <w:szCs w:val="24"/>
              </w:rPr>
              <w:t xml:space="preserve"> where WhatsApp message from Mr </w:t>
            </w:r>
            <w:proofErr w:type="spellStart"/>
            <w:r>
              <w:rPr>
                <w:szCs w:val="24"/>
              </w:rPr>
              <w:t>Khoram</w:t>
            </w:r>
            <w:proofErr w:type="spellEnd"/>
            <w:r>
              <w:rPr>
                <w:szCs w:val="24"/>
              </w:rPr>
              <w:t xml:space="preserve"> sets out matters Mohammed </w:t>
            </w:r>
            <w:proofErr w:type="spellStart"/>
            <w:r>
              <w:rPr>
                <w:szCs w:val="24"/>
              </w:rPr>
              <w:t>Hanifa</w:t>
            </w:r>
            <w:proofErr w:type="spellEnd"/>
            <w:r>
              <w:rPr>
                <w:szCs w:val="24"/>
              </w:rPr>
              <w:t xml:space="preserve"> was told by “the HRC director”, including possibility of compensation by AIHRC </w:t>
            </w:r>
            <w:r w:rsidRPr="00E44BE0">
              <w:rPr>
                <w:szCs w:val="24"/>
              </w:rPr>
              <w:t>—</w:t>
            </w:r>
            <w:r>
              <w:rPr>
                <w:szCs w:val="24"/>
              </w:rPr>
              <w:t xml:space="preserve"> whether document contains prior statement, inconsistent or otherwise, made by Mohammed </w:t>
            </w:r>
            <w:proofErr w:type="spellStart"/>
            <w:r>
              <w:rPr>
                <w:szCs w:val="24"/>
              </w:rPr>
              <w:t>Hanifa</w:t>
            </w:r>
            <w:proofErr w:type="spellEnd"/>
            <w:r>
              <w:rPr>
                <w:szCs w:val="24"/>
              </w:rPr>
              <w:t xml:space="preserve"> </w:t>
            </w:r>
            <w:r w:rsidRPr="00E44BE0">
              <w:rPr>
                <w:szCs w:val="24"/>
              </w:rPr>
              <w:t>—</w:t>
            </w:r>
            <w:r>
              <w:rPr>
                <w:szCs w:val="24"/>
              </w:rPr>
              <w:t xml:space="preserve"> inference that WhatsApp message records statement made by Mohammed </w:t>
            </w:r>
            <w:proofErr w:type="spellStart"/>
            <w:r>
              <w:rPr>
                <w:szCs w:val="24"/>
              </w:rPr>
              <w:t>Hanifa</w:t>
            </w:r>
            <w:proofErr w:type="spellEnd"/>
            <w:r>
              <w:rPr>
                <w:szCs w:val="24"/>
              </w:rPr>
              <w:t xml:space="preserve"> to Mr </w:t>
            </w:r>
            <w:proofErr w:type="spellStart"/>
            <w:r>
              <w:rPr>
                <w:szCs w:val="24"/>
              </w:rPr>
              <w:t>Khoram</w:t>
            </w:r>
            <w:proofErr w:type="spellEnd"/>
            <w:r>
              <w:rPr>
                <w:szCs w:val="24"/>
              </w:rPr>
              <w:t xml:space="preserve"> on or shortly before 1 December 2020 </w:t>
            </w:r>
            <w:r w:rsidRPr="00E44BE0">
              <w:rPr>
                <w:szCs w:val="24"/>
              </w:rPr>
              <w:t>—</w:t>
            </w:r>
            <w:r>
              <w:rPr>
                <w:szCs w:val="24"/>
              </w:rPr>
              <w:t xml:space="preserve"> whether applicant put to Mohammed </w:t>
            </w:r>
            <w:proofErr w:type="spellStart"/>
            <w:r>
              <w:rPr>
                <w:szCs w:val="24"/>
              </w:rPr>
              <w:t>Hanifa</w:t>
            </w:r>
            <w:proofErr w:type="spellEnd"/>
            <w:r>
              <w:rPr>
                <w:szCs w:val="24"/>
              </w:rPr>
              <w:t xml:space="preserve"> substance of evidence and enough of circumstances of making of statement to enable witness to identify statement in accordance with </w:t>
            </w:r>
            <w:proofErr w:type="spellStart"/>
            <w:r>
              <w:rPr>
                <w:szCs w:val="24"/>
              </w:rPr>
              <w:t>ss</w:t>
            </w:r>
            <w:proofErr w:type="spellEnd"/>
            <w:r>
              <w:rPr>
                <w:szCs w:val="24"/>
              </w:rPr>
              <w:t xml:space="preserve"> 43 and 106(1)(a) of </w:t>
            </w:r>
            <w:r>
              <w:rPr>
                <w:i/>
                <w:szCs w:val="24"/>
              </w:rPr>
              <w:t>Evidence Act 1995</w:t>
            </w:r>
            <w:r>
              <w:rPr>
                <w:szCs w:val="24"/>
              </w:rPr>
              <w:t xml:space="preserve"> (</w:t>
            </w:r>
            <w:proofErr w:type="spellStart"/>
            <w:r>
              <w:rPr>
                <w:szCs w:val="24"/>
              </w:rPr>
              <w:t>Cth</w:t>
            </w:r>
            <w:proofErr w:type="spellEnd"/>
            <w:r>
              <w:rPr>
                <w:szCs w:val="24"/>
              </w:rPr>
              <w:t xml:space="preserve">) </w:t>
            </w:r>
            <w:r w:rsidRPr="00E44BE0">
              <w:rPr>
                <w:szCs w:val="24"/>
              </w:rPr>
              <w:t>—</w:t>
            </w:r>
            <w:r>
              <w:rPr>
                <w:szCs w:val="24"/>
              </w:rPr>
              <w:t xml:space="preserve"> tender refused</w:t>
            </w:r>
            <w:r w:rsidR="004E1F74">
              <w:t xml:space="preserve"> </w:t>
            </w:r>
            <w:bookmarkEnd w:id="2"/>
          </w:p>
        </w:tc>
      </w:tr>
      <w:tr w:rsidR="00395B24" w14:paraId="78454237" w14:textId="77777777" w:rsidTr="00551EE1">
        <w:tc>
          <w:tcPr>
            <w:tcW w:w="3084" w:type="dxa"/>
            <w:shd w:val="clear" w:color="auto" w:fill="auto"/>
          </w:tcPr>
          <w:p w14:paraId="0C551516" w14:textId="77777777" w:rsidR="00395B24" w:rsidRDefault="00395B24" w:rsidP="00663878">
            <w:pPr>
              <w:pStyle w:val="Normal1linespace"/>
              <w:widowControl w:val="0"/>
              <w:jc w:val="left"/>
            </w:pPr>
          </w:p>
        </w:tc>
        <w:tc>
          <w:tcPr>
            <w:tcW w:w="5989" w:type="dxa"/>
            <w:shd w:val="clear" w:color="auto" w:fill="auto"/>
          </w:tcPr>
          <w:p w14:paraId="37169455" w14:textId="77777777" w:rsidR="00395B24" w:rsidRDefault="00395B24" w:rsidP="00663878">
            <w:pPr>
              <w:pStyle w:val="Normal1linespace"/>
              <w:widowControl w:val="0"/>
              <w:jc w:val="left"/>
            </w:pPr>
          </w:p>
        </w:tc>
      </w:tr>
      <w:tr w:rsidR="00395B24" w14:paraId="5505C913" w14:textId="77777777" w:rsidTr="00551EE1">
        <w:tc>
          <w:tcPr>
            <w:tcW w:w="3084" w:type="dxa"/>
            <w:shd w:val="clear" w:color="auto" w:fill="auto"/>
          </w:tcPr>
          <w:p w14:paraId="140A20CF" w14:textId="77777777" w:rsidR="00395B24" w:rsidRDefault="002C7385" w:rsidP="00663878">
            <w:pPr>
              <w:pStyle w:val="Normal1linespace"/>
              <w:widowControl w:val="0"/>
              <w:jc w:val="left"/>
            </w:pPr>
            <w:r>
              <w:t>Legislation:</w:t>
            </w:r>
          </w:p>
        </w:tc>
        <w:tc>
          <w:tcPr>
            <w:tcW w:w="5989" w:type="dxa"/>
            <w:shd w:val="clear" w:color="auto" w:fill="auto"/>
          </w:tcPr>
          <w:p w14:paraId="0DECEB26" w14:textId="7B2A0A5D" w:rsidR="00E952D9" w:rsidRPr="00E952D9" w:rsidRDefault="00163842" w:rsidP="00A65F16">
            <w:pPr>
              <w:pStyle w:val="CasesLegislationAppealFrom"/>
              <w:spacing w:after="60"/>
            </w:pPr>
            <w:bookmarkStart w:id="3" w:name="Legislation"/>
            <w:r>
              <w:rPr>
                <w:i/>
                <w:iCs/>
                <w:szCs w:val="24"/>
              </w:rPr>
              <w:t>Evidence Act</w:t>
            </w:r>
            <w:r w:rsidR="005552D9" w:rsidRPr="00E952D9">
              <w:rPr>
                <w:i/>
                <w:iCs/>
                <w:szCs w:val="24"/>
              </w:rPr>
              <w:t xml:space="preserve"> </w:t>
            </w:r>
            <w:r w:rsidR="00605013">
              <w:rPr>
                <w:i/>
                <w:iCs/>
                <w:szCs w:val="24"/>
              </w:rPr>
              <w:t>199</w:t>
            </w:r>
            <w:r>
              <w:rPr>
                <w:i/>
                <w:iCs/>
                <w:szCs w:val="24"/>
              </w:rPr>
              <w:t>5</w:t>
            </w:r>
            <w:r w:rsidR="005552D9" w:rsidRPr="00E952D9">
              <w:rPr>
                <w:i/>
                <w:iCs/>
                <w:szCs w:val="24"/>
              </w:rPr>
              <w:t xml:space="preserve"> </w:t>
            </w:r>
            <w:r w:rsidR="005552D9" w:rsidRPr="00E952D9">
              <w:rPr>
                <w:szCs w:val="24"/>
              </w:rPr>
              <w:t>(</w:t>
            </w:r>
            <w:proofErr w:type="spellStart"/>
            <w:r w:rsidR="005552D9" w:rsidRPr="00E952D9">
              <w:rPr>
                <w:szCs w:val="24"/>
              </w:rPr>
              <w:t>Cth</w:t>
            </w:r>
            <w:proofErr w:type="spellEnd"/>
            <w:r w:rsidR="00280E90">
              <w:rPr>
                <w:szCs w:val="24"/>
              </w:rPr>
              <w:t xml:space="preserve">) </w:t>
            </w:r>
            <w:proofErr w:type="spellStart"/>
            <w:r w:rsidR="00280E90">
              <w:rPr>
                <w:szCs w:val="24"/>
              </w:rPr>
              <w:t>ss</w:t>
            </w:r>
            <w:proofErr w:type="spellEnd"/>
            <w:r w:rsidR="00280E90">
              <w:rPr>
                <w:szCs w:val="24"/>
              </w:rPr>
              <w:t xml:space="preserve"> </w:t>
            </w:r>
            <w:r w:rsidR="00A65F16">
              <w:rPr>
                <w:szCs w:val="24"/>
              </w:rPr>
              <w:t>4</w:t>
            </w:r>
            <w:r w:rsidR="00280E90">
              <w:rPr>
                <w:szCs w:val="24"/>
              </w:rPr>
              <w:t xml:space="preserve">3, </w:t>
            </w:r>
            <w:r w:rsidR="00A0692D">
              <w:rPr>
                <w:szCs w:val="24"/>
              </w:rPr>
              <w:t xml:space="preserve">101A, </w:t>
            </w:r>
            <w:r w:rsidR="00280E90">
              <w:rPr>
                <w:szCs w:val="24"/>
              </w:rPr>
              <w:t>102, 106</w:t>
            </w:r>
            <w:bookmarkEnd w:id="3"/>
          </w:p>
        </w:tc>
      </w:tr>
      <w:tr w:rsidR="00395B24" w14:paraId="7B0E5DFB" w14:textId="77777777" w:rsidTr="00551EE1">
        <w:tc>
          <w:tcPr>
            <w:tcW w:w="3084" w:type="dxa"/>
            <w:shd w:val="clear" w:color="auto" w:fill="auto"/>
          </w:tcPr>
          <w:p w14:paraId="59FFC78D" w14:textId="77777777" w:rsidR="00395B24" w:rsidRDefault="00395B24" w:rsidP="00663878">
            <w:pPr>
              <w:pStyle w:val="Normal1linespace"/>
              <w:widowControl w:val="0"/>
              <w:jc w:val="left"/>
            </w:pPr>
          </w:p>
        </w:tc>
        <w:tc>
          <w:tcPr>
            <w:tcW w:w="5989" w:type="dxa"/>
            <w:shd w:val="clear" w:color="auto" w:fill="auto"/>
          </w:tcPr>
          <w:p w14:paraId="44974A68" w14:textId="77777777" w:rsidR="00395B24" w:rsidRDefault="00395B24" w:rsidP="00663878">
            <w:pPr>
              <w:pStyle w:val="Normal1linespace"/>
              <w:widowControl w:val="0"/>
              <w:jc w:val="left"/>
            </w:pPr>
          </w:p>
        </w:tc>
      </w:tr>
      <w:tr w:rsidR="00395B24" w14:paraId="4879392A" w14:textId="77777777" w:rsidTr="00551EE1">
        <w:tc>
          <w:tcPr>
            <w:tcW w:w="3084" w:type="dxa"/>
            <w:shd w:val="clear" w:color="auto" w:fill="auto"/>
          </w:tcPr>
          <w:p w14:paraId="71385D18" w14:textId="77777777" w:rsidR="00395B24" w:rsidRDefault="002C7385" w:rsidP="00663878">
            <w:pPr>
              <w:pStyle w:val="Normal1linespace"/>
              <w:widowControl w:val="0"/>
              <w:jc w:val="left"/>
            </w:pPr>
            <w:r>
              <w:t>Cases cited:</w:t>
            </w:r>
          </w:p>
        </w:tc>
        <w:tc>
          <w:tcPr>
            <w:tcW w:w="5989" w:type="dxa"/>
            <w:shd w:val="clear" w:color="auto" w:fill="auto"/>
          </w:tcPr>
          <w:p w14:paraId="3EBBDF7B" w14:textId="468FAC99" w:rsidR="005552D9" w:rsidRPr="005552D9" w:rsidRDefault="00A0692D" w:rsidP="00A0692D">
            <w:pPr>
              <w:pStyle w:val="CasesLegislationAppealFrom"/>
              <w:spacing w:after="60"/>
            </w:pPr>
            <w:bookmarkStart w:id="4" w:name="Cases_Cited"/>
            <w:r>
              <w:rPr>
                <w:i/>
              </w:rPr>
              <w:t>Roberts-Smith v Fairfax Media Publications Pty Limited (No 10)</w:t>
            </w:r>
            <w:r>
              <w:t xml:space="preserve"> [2021] FCA 317</w:t>
            </w:r>
            <w:bookmarkEnd w:id="4"/>
          </w:p>
        </w:tc>
      </w:tr>
      <w:tr w:rsidR="001612E5" w14:paraId="62F5A38A" w14:textId="77777777" w:rsidTr="00551EE1">
        <w:tc>
          <w:tcPr>
            <w:tcW w:w="3084" w:type="dxa"/>
            <w:shd w:val="clear" w:color="auto" w:fill="auto"/>
          </w:tcPr>
          <w:p w14:paraId="6D92E509" w14:textId="77777777" w:rsidR="001612E5" w:rsidRDefault="001612E5" w:rsidP="00255D0A">
            <w:pPr>
              <w:pStyle w:val="Normal1linespace"/>
              <w:widowControl w:val="0"/>
            </w:pPr>
          </w:p>
        </w:tc>
        <w:tc>
          <w:tcPr>
            <w:tcW w:w="5989" w:type="dxa"/>
            <w:shd w:val="clear" w:color="auto" w:fill="auto"/>
          </w:tcPr>
          <w:p w14:paraId="37696FE0" w14:textId="77777777" w:rsidR="001612E5" w:rsidRDefault="001612E5" w:rsidP="00255D0A">
            <w:pPr>
              <w:pStyle w:val="Normal1linespace"/>
              <w:widowControl w:val="0"/>
              <w:jc w:val="left"/>
            </w:pPr>
          </w:p>
        </w:tc>
      </w:tr>
      <w:tr w:rsidR="001612E5" w14:paraId="06CA627E" w14:textId="77777777" w:rsidTr="00551EE1">
        <w:tc>
          <w:tcPr>
            <w:tcW w:w="3084" w:type="dxa"/>
            <w:shd w:val="clear" w:color="auto" w:fill="auto"/>
          </w:tcPr>
          <w:p w14:paraId="048FC3B2" w14:textId="77777777" w:rsidR="001612E5" w:rsidRDefault="001612E5" w:rsidP="00501A12">
            <w:pPr>
              <w:pStyle w:val="Normal1linespace"/>
              <w:widowControl w:val="0"/>
            </w:pPr>
            <w:r>
              <w:t>Division:</w:t>
            </w:r>
          </w:p>
        </w:tc>
        <w:tc>
          <w:tcPr>
            <w:tcW w:w="5989" w:type="dxa"/>
            <w:shd w:val="clear" w:color="auto" w:fill="auto"/>
          </w:tcPr>
          <w:p w14:paraId="1A533FFC" w14:textId="77777777" w:rsidR="001612E5" w:rsidRPr="00F17599" w:rsidRDefault="00F25C85" w:rsidP="00501A12">
            <w:pPr>
              <w:pStyle w:val="Normal1linespace"/>
              <w:widowControl w:val="0"/>
              <w:jc w:val="left"/>
            </w:pPr>
            <w:fldSimple w:instr=" DOCPROPERTY  Division " w:fldLock="1">
              <w:r w:rsidR="00551EE1">
                <w:t>General Division</w:t>
              </w:r>
            </w:fldSimple>
          </w:p>
        </w:tc>
      </w:tr>
      <w:tr w:rsidR="001612E5" w14:paraId="7E1714A0" w14:textId="77777777" w:rsidTr="00551EE1">
        <w:tc>
          <w:tcPr>
            <w:tcW w:w="3084" w:type="dxa"/>
            <w:shd w:val="clear" w:color="auto" w:fill="auto"/>
          </w:tcPr>
          <w:p w14:paraId="1D313B3D" w14:textId="77777777" w:rsidR="001612E5" w:rsidRDefault="001612E5" w:rsidP="00501A12">
            <w:pPr>
              <w:pStyle w:val="Normal1linespace"/>
              <w:widowControl w:val="0"/>
            </w:pPr>
            <w:bookmarkStart w:id="5" w:name="Registry_rows" w:colFirst="0" w:colLast="1"/>
          </w:p>
        </w:tc>
        <w:tc>
          <w:tcPr>
            <w:tcW w:w="5989" w:type="dxa"/>
            <w:shd w:val="clear" w:color="auto" w:fill="auto"/>
          </w:tcPr>
          <w:p w14:paraId="04BA673C" w14:textId="77777777" w:rsidR="001612E5" w:rsidRDefault="001612E5" w:rsidP="00501A12">
            <w:pPr>
              <w:pStyle w:val="Normal1linespace"/>
              <w:widowControl w:val="0"/>
              <w:jc w:val="left"/>
            </w:pPr>
          </w:p>
        </w:tc>
      </w:tr>
      <w:tr w:rsidR="001612E5" w14:paraId="2001844A" w14:textId="77777777" w:rsidTr="00551EE1">
        <w:tc>
          <w:tcPr>
            <w:tcW w:w="3084" w:type="dxa"/>
            <w:shd w:val="clear" w:color="auto" w:fill="auto"/>
          </w:tcPr>
          <w:p w14:paraId="567F484B" w14:textId="77777777" w:rsidR="001612E5" w:rsidRDefault="001612E5" w:rsidP="00501A12">
            <w:pPr>
              <w:pStyle w:val="Normal1linespace"/>
              <w:widowControl w:val="0"/>
            </w:pPr>
            <w:r>
              <w:t>Registry:</w:t>
            </w:r>
          </w:p>
        </w:tc>
        <w:tc>
          <w:tcPr>
            <w:tcW w:w="5989" w:type="dxa"/>
            <w:shd w:val="clear" w:color="auto" w:fill="auto"/>
          </w:tcPr>
          <w:p w14:paraId="6C053CFC" w14:textId="77777777" w:rsidR="001612E5" w:rsidRPr="00F17599" w:rsidRDefault="00F25C85" w:rsidP="00501A12">
            <w:pPr>
              <w:pStyle w:val="Normal1linespace"/>
              <w:widowControl w:val="0"/>
              <w:jc w:val="left"/>
            </w:pPr>
            <w:fldSimple w:instr=" DOCPROPERTY  Registry " w:fldLock="1">
              <w:r w:rsidR="00551EE1">
                <w:t>New South Wales</w:t>
              </w:r>
            </w:fldSimple>
          </w:p>
        </w:tc>
      </w:tr>
      <w:tr w:rsidR="001612E5" w14:paraId="0DB3EF43" w14:textId="77777777" w:rsidTr="00551EE1">
        <w:tc>
          <w:tcPr>
            <w:tcW w:w="3084" w:type="dxa"/>
            <w:shd w:val="clear" w:color="auto" w:fill="auto"/>
          </w:tcPr>
          <w:p w14:paraId="753CBE5B" w14:textId="77777777" w:rsidR="001612E5" w:rsidRDefault="001612E5" w:rsidP="00501A12">
            <w:pPr>
              <w:pStyle w:val="Normal1linespace"/>
              <w:widowControl w:val="0"/>
            </w:pPr>
            <w:bookmarkStart w:id="6" w:name="NPARow" w:colFirst="0" w:colLast="1"/>
            <w:bookmarkEnd w:id="5"/>
          </w:p>
        </w:tc>
        <w:tc>
          <w:tcPr>
            <w:tcW w:w="5989" w:type="dxa"/>
            <w:shd w:val="clear" w:color="auto" w:fill="auto"/>
          </w:tcPr>
          <w:p w14:paraId="365FA118" w14:textId="77777777" w:rsidR="001612E5" w:rsidRPr="00F17599" w:rsidRDefault="001612E5" w:rsidP="00501A12">
            <w:pPr>
              <w:pStyle w:val="Normal1linespace"/>
              <w:widowControl w:val="0"/>
              <w:jc w:val="left"/>
              <w:rPr>
                <w:b/>
              </w:rPr>
            </w:pPr>
          </w:p>
        </w:tc>
      </w:tr>
      <w:tr w:rsidR="001612E5" w14:paraId="47846095" w14:textId="77777777" w:rsidTr="00551EE1">
        <w:tc>
          <w:tcPr>
            <w:tcW w:w="3084" w:type="dxa"/>
            <w:shd w:val="clear" w:color="auto" w:fill="auto"/>
          </w:tcPr>
          <w:p w14:paraId="4AEE9323" w14:textId="77777777" w:rsidR="001612E5" w:rsidRDefault="001612E5" w:rsidP="00501A12">
            <w:pPr>
              <w:pStyle w:val="Normal1linespace"/>
              <w:widowControl w:val="0"/>
            </w:pPr>
            <w:r>
              <w:lastRenderedPageBreak/>
              <w:t>National Practice Area:</w:t>
            </w:r>
          </w:p>
        </w:tc>
        <w:tc>
          <w:tcPr>
            <w:tcW w:w="5989" w:type="dxa"/>
            <w:shd w:val="clear" w:color="auto" w:fill="auto"/>
          </w:tcPr>
          <w:p w14:paraId="3D8F8F97" w14:textId="77777777" w:rsidR="001612E5" w:rsidRPr="00F17599" w:rsidRDefault="00F25C85" w:rsidP="00255D0A">
            <w:pPr>
              <w:pStyle w:val="Normal1linespace"/>
              <w:widowControl w:val="0"/>
              <w:jc w:val="left"/>
              <w:rPr>
                <w:b/>
              </w:rPr>
            </w:pPr>
            <w:fldSimple w:instr=" DOCPROPERTY  &quot;Practice Area&quot;  \* MERGEFORMAT " w:fldLock="1">
              <w:r w:rsidR="00551EE1">
                <w:t>Other Federal Jurisdiction</w:t>
              </w:r>
            </w:fldSimple>
          </w:p>
        </w:tc>
      </w:tr>
      <w:bookmarkEnd w:id="6"/>
      <w:tr w:rsidR="001612E5" w14:paraId="32019C98" w14:textId="77777777" w:rsidTr="00551EE1">
        <w:tc>
          <w:tcPr>
            <w:tcW w:w="3084" w:type="dxa"/>
            <w:shd w:val="clear" w:color="auto" w:fill="auto"/>
          </w:tcPr>
          <w:p w14:paraId="3C7A0DF8" w14:textId="77777777" w:rsidR="001612E5" w:rsidRDefault="001612E5" w:rsidP="00501A12">
            <w:pPr>
              <w:pStyle w:val="Normal1linespace"/>
              <w:widowControl w:val="0"/>
            </w:pPr>
          </w:p>
        </w:tc>
        <w:tc>
          <w:tcPr>
            <w:tcW w:w="5989" w:type="dxa"/>
            <w:shd w:val="clear" w:color="auto" w:fill="auto"/>
          </w:tcPr>
          <w:p w14:paraId="3176B4C4" w14:textId="77777777" w:rsidR="001612E5" w:rsidRDefault="001612E5" w:rsidP="00501A12">
            <w:pPr>
              <w:pStyle w:val="Normal1linespace"/>
              <w:widowControl w:val="0"/>
              <w:jc w:val="left"/>
            </w:pPr>
          </w:p>
        </w:tc>
      </w:tr>
      <w:tr w:rsidR="001612E5" w14:paraId="732D0399" w14:textId="77777777" w:rsidTr="00551EE1">
        <w:tc>
          <w:tcPr>
            <w:tcW w:w="3084" w:type="dxa"/>
            <w:shd w:val="clear" w:color="auto" w:fill="auto"/>
          </w:tcPr>
          <w:p w14:paraId="02E14173" w14:textId="77777777" w:rsidR="001612E5" w:rsidRDefault="001612E5" w:rsidP="00501A12">
            <w:pPr>
              <w:pStyle w:val="Normal1linespace"/>
              <w:widowControl w:val="0"/>
            </w:pPr>
            <w:r>
              <w:t>Number of paragraphs:</w:t>
            </w:r>
          </w:p>
        </w:tc>
        <w:tc>
          <w:tcPr>
            <w:tcW w:w="5989" w:type="dxa"/>
            <w:shd w:val="clear" w:color="auto" w:fill="auto"/>
          </w:tcPr>
          <w:p w14:paraId="16987E2B" w14:textId="4C4AE57A" w:rsidR="001612E5" w:rsidRDefault="00B65F32" w:rsidP="00B65F32">
            <w:pPr>
              <w:pStyle w:val="Normal1linespace"/>
              <w:widowControl w:val="0"/>
              <w:jc w:val="left"/>
            </w:pPr>
            <w:bookmarkStart w:id="7" w:name="PlaceCategoryParagraphs"/>
            <w:r>
              <w:t>17</w:t>
            </w:r>
            <w:bookmarkEnd w:id="7"/>
          </w:p>
        </w:tc>
      </w:tr>
      <w:tr w:rsidR="001612E5" w14:paraId="143FC9D4" w14:textId="77777777" w:rsidTr="00551EE1">
        <w:tc>
          <w:tcPr>
            <w:tcW w:w="3084" w:type="dxa"/>
            <w:shd w:val="clear" w:color="auto" w:fill="auto"/>
          </w:tcPr>
          <w:p w14:paraId="20EFFC78" w14:textId="77777777" w:rsidR="001612E5" w:rsidRDefault="001612E5" w:rsidP="001612E5">
            <w:pPr>
              <w:pStyle w:val="Normal1linespace"/>
              <w:widowControl w:val="0"/>
              <w:jc w:val="left"/>
            </w:pPr>
          </w:p>
        </w:tc>
        <w:tc>
          <w:tcPr>
            <w:tcW w:w="5989" w:type="dxa"/>
            <w:shd w:val="clear" w:color="auto" w:fill="auto"/>
          </w:tcPr>
          <w:p w14:paraId="31B5530C" w14:textId="77777777" w:rsidR="001612E5" w:rsidRDefault="001612E5" w:rsidP="001612E5">
            <w:pPr>
              <w:pStyle w:val="Normal1linespace"/>
              <w:widowControl w:val="0"/>
              <w:jc w:val="left"/>
            </w:pPr>
          </w:p>
        </w:tc>
      </w:tr>
      <w:tr w:rsidR="001612E5" w14:paraId="550BAE2F" w14:textId="77777777" w:rsidTr="00551EE1">
        <w:tc>
          <w:tcPr>
            <w:tcW w:w="3084" w:type="dxa"/>
            <w:shd w:val="clear" w:color="auto" w:fill="auto"/>
          </w:tcPr>
          <w:p w14:paraId="21D7387B" w14:textId="77777777" w:rsidR="001612E5" w:rsidRDefault="001612E5" w:rsidP="001612E5">
            <w:pPr>
              <w:pStyle w:val="Normal1linespace"/>
              <w:widowControl w:val="0"/>
              <w:jc w:val="left"/>
            </w:pPr>
            <w:bookmarkStart w:id="8" w:name="CounselDate" w:colFirst="0" w:colLast="2"/>
            <w:r w:rsidRPr="006A24E3">
              <w:t>Date of hearing:</w:t>
            </w:r>
          </w:p>
        </w:tc>
        <w:tc>
          <w:tcPr>
            <w:tcW w:w="5989" w:type="dxa"/>
            <w:shd w:val="clear" w:color="auto" w:fill="auto"/>
          </w:tcPr>
          <w:p w14:paraId="589E8972" w14:textId="48175DAA" w:rsidR="001612E5" w:rsidRDefault="00163842" w:rsidP="00163842">
            <w:pPr>
              <w:pStyle w:val="Normal1linespace"/>
              <w:widowControl w:val="0"/>
              <w:jc w:val="left"/>
            </w:pPr>
            <w:bookmarkStart w:id="9" w:name="HearingDate"/>
            <w:r>
              <w:t xml:space="preserve">2 August </w:t>
            </w:r>
            <w:r w:rsidR="004E1F74">
              <w:t>20</w:t>
            </w:r>
            <w:r w:rsidR="004C7EBC">
              <w:t>2</w:t>
            </w:r>
            <w:r>
              <w:t>1</w:t>
            </w:r>
            <w:bookmarkEnd w:id="9"/>
          </w:p>
        </w:tc>
      </w:tr>
      <w:tr w:rsidR="0007710B" w14:paraId="07496B93" w14:textId="77777777" w:rsidTr="00551EE1">
        <w:tc>
          <w:tcPr>
            <w:tcW w:w="3084" w:type="dxa"/>
            <w:shd w:val="clear" w:color="auto" w:fill="auto"/>
          </w:tcPr>
          <w:p w14:paraId="682BD469" w14:textId="77777777" w:rsidR="0007710B" w:rsidRPr="006A24E3" w:rsidRDefault="0007710B" w:rsidP="001612E5">
            <w:pPr>
              <w:pStyle w:val="Normal1linespace"/>
              <w:widowControl w:val="0"/>
              <w:jc w:val="left"/>
            </w:pPr>
          </w:p>
        </w:tc>
        <w:tc>
          <w:tcPr>
            <w:tcW w:w="5989" w:type="dxa"/>
            <w:shd w:val="clear" w:color="auto" w:fill="auto"/>
          </w:tcPr>
          <w:p w14:paraId="7480ABBD" w14:textId="77777777" w:rsidR="0007710B" w:rsidRDefault="0007710B" w:rsidP="00163842">
            <w:pPr>
              <w:pStyle w:val="Normal1linespace"/>
              <w:widowControl w:val="0"/>
              <w:jc w:val="left"/>
            </w:pPr>
          </w:p>
        </w:tc>
      </w:tr>
      <w:tr w:rsidR="0007710B" w14:paraId="2561D6D9" w14:textId="77777777" w:rsidTr="00551EE1">
        <w:tc>
          <w:tcPr>
            <w:tcW w:w="3084" w:type="dxa"/>
            <w:shd w:val="clear" w:color="auto" w:fill="auto"/>
          </w:tcPr>
          <w:p w14:paraId="658ADB34" w14:textId="4FBDAC22" w:rsidR="0007710B" w:rsidRPr="006A24E3" w:rsidRDefault="0007710B" w:rsidP="001612E5">
            <w:pPr>
              <w:pStyle w:val="Normal1linespace"/>
              <w:widowControl w:val="0"/>
              <w:jc w:val="left"/>
            </w:pPr>
            <w:r>
              <w:t>Date of last submissions:</w:t>
            </w:r>
          </w:p>
        </w:tc>
        <w:tc>
          <w:tcPr>
            <w:tcW w:w="5989" w:type="dxa"/>
            <w:shd w:val="clear" w:color="auto" w:fill="auto"/>
          </w:tcPr>
          <w:p w14:paraId="0CEE77E6" w14:textId="77777777" w:rsidR="0007710B" w:rsidRDefault="0007710B" w:rsidP="0007710B">
            <w:pPr>
              <w:pStyle w:val="Normal1linespace"/>
              <w:widowControl w:val="0"/>
              <w:jc w:val="left"/>
            </w:pPr>
            <w:r>
              <w:t>6 August 2021 (Applicant)</w:t>
            </w:r>
          </w:p>
          <w:p w14:paraId="1B08383A" w14:textId="4FA4BECE" w:rsidR="0007710B" w:rsidRDefault="0007710B" w:rsidP="0007710B">
            <w:pPr>
              <w:pStyle w:val="Normal1linespace"/>
              <w:widowControl w:val="0"/>
              <w:jc w:val="left"/>
            </w:pPr>
            <w:r>
              <w:t>4 August 2021 (Respondents)</w:t>
            </w:r>
          </w:p>
        </w:tc>
      </w:tr>
      <w:tr w:rsidR="001612E5" w14:paraId="36A82872" w14:textId="77777777" w:rsidTr="00551EE1">
        <w:tc>
          <w:tcPr>
            <w:tcW w:w="3084" w:type="dxa"/>
            <w:shd w:val="clear" w:color="auto" w:fill="auto"/>
          </w:tcPr>
          <w:p w14:paraId="3C261DC3" w14:textId="77777777" w:rsidR="001612E5" w:rsidRDefault="001612E5" w:rsidP="001612E5">
            <w:pPr>
              <w:pStyle w:val="Normal1linespace"/>
              <w:widowControl w:val="0"/>
              <w:jc w:val="left"/>
            </w:pPr>
          </w:p>
        </w:tc>
        <w:tc>
          <w:tcPr>
            <w:tcW w:w="5989" w:type="dxa"/>
            <w:shd w:val="clear" w:color="auto" w:fill="auto"/>
          </w:tcPr>
          <w:p w14:paraId="1D508FC5" w14:textId="77777777" w:rsidR="001612E5" w:rsidRDefault="001612E5" w:rsidP="001612E5">
            <w:pPr>
              <w:pStyle w:val="Normal1linespace"/>
              <w:widowControl w:val="0"/>
              <w:jc w:val="left"/>
            </w:pPr>
          </w:p>
        </w:tc>
      </w:tr>
      <w:tr w:rsidR="00551EE1" w14:paraId="7CA0A627" w14:textId="77777777" w:rsidTr="003237F4">
        <w:tc>
          <w:tcPr>
            <w:tcW w:w="3084" w:type="dxa"/>
            <w:shd w:val="clear" w:color="auto" w:fill="auto"/>
          </w:tcPr>
          <w:p w14:paraId="6C2479E0" w14:textId="77777777" w:rsidR="00551EE1" w:rsidRDefault="00551EE1" w:rsidP="00551EE1">
            <w:pPr>
              <w:pStyle w:val="Normal1linespace"/>
              <w:widowControl w:val="0"/>
              <w:jc w:val="left"/>
            </w:pPr>
            <w:bookmarkStart w:id="10" w:name="Counsel" w:colFirst="0" w:colLast="2"/>
            <w:bookmarkEnd w:id="8"/>
            <w:r>
              <w:t>Counsel for the Applicant:</w:t>
            </w:r>
          </w:p>
        </w:tc>
        <w:tc>
          <w:tcPr>
            <w:tcW w:w="5989" w:type="dxa"/>
            <w:shd w:val="clear" w:color="auto" w:fill="auto"/>
          </w:tcPr>
          <w:p w14:paraId="4E6465C2" w14:textId="42CB462F" w:rsidR="00551EE1" w:rsidRDefault="008E47CA" w:rsidP="00163842">
            <w:pPr>
              <w:pStyle w:val="Normal1linespace"/>
              <w:widowControl w:val="0"/>
              <w:jc w:val="left"/>
            </w:pPr>
            <w:bookmarkStart w:id="11" w:name="AppCounsel"/>
            <w:bookmarkEnd w:id="11"/>
            <w:r>
              <w:t xml:space="preserve">Mr A Moses SC with </w:t>
            </w:r>
            <w:r w:rsidR="00551EE1">
              <w:t xml:space="preserve">Mr </w:t>
            </w:r>
            <w:r w:rsidR="00163842">
              <w:t>P Sharp</w:t>
            </w:r>
          </w:p>
        </w:tc>
      </w:tr>
      <w:tr w:rsidR="00551EE1" w14:paraId="3B278E1C" w14:textId="77777777" w:rsidTr="003237F4">
        <w:tc>
          <w:tcPr>
            <w:tcW w:w="3084" w:type="dxa"/>
            <w:shd w:val="clear" w:color="auto" w:fill="auto"/>
          </w:tcPr>
          <w:p w14:paraId="3A132ED6" w14:textId="77777777" w:rsidR="00551EE1" w:rsidRDefault="00551EE1" w:rsidP="00551EE1">
            <w:pPr>
              <w:pStyle w:val="Normal1linespace"/>
              <w:widowControl w:val="0"/>
              <w:jc w:val="left"/>
            </w:pPr>
          </w:p>
        </w:tc>
        <w:tc>
          <w:tcPr>
            <w:tcW w:w="5989" w:type="dxa"/>
            <w:shd w:val="clear" w:color="auto" w:fill="auto"/>
          </w:tcPr>
          <w:p w14:paraId="0CF8AD93" w14:textId="77777777" w:rsidR="00551EE1" w:rsidRDefault="00551EE1" w:rsidP="00551EE1">
            <w:pPr>
              <w:pStyle w:val="Normal1linespace"/>
              <w:widowControl w:val="0"/>
              <w:jc w:val="left"/>
            </w:pPr>
          </w:p>
        </w:tc>
      </w:tr>
      <w:tr w:rsidR="00551EE1" w14:paraId="59F9C761" w14:textId="77777777" w:rsidTr="003237F4">
        <w:tc>
          <w:tcPr>
            <w:tcW w:w="3084" w:type="dxa"/>
            <w:shd w:val="clear" w:color="auto" w:fill="auto"/>
          </w:tcPr>
          <w:p w14:paraId="77839A5D" w14:textId="77777777" w:rsidR="00551EE1" w:rsidRDefault="00551EE1" w:rsidP="00551EE1">
            <w:pPr>
              <w:pStyle w:val="Normal1linespace"/>
              <w:widowControl w:val="0"/>
              <w:jc w:val="left"/>
            </w:pPr>
            <w:r>
              <w:t>Solicitor for the Applicant:</w:t>
            </w:r>
          </w:p>
        </w:tc>
        <w:tc>
          <w:tcPr>
            <w:tcW w:w="5989" w:type="dxa"/>
            <w:shd w:val="clear" w:color="auto" w:fill="auto"/>
          </w:tcPr>
          <w:p w14:paraId="0EC5EBF5" w14:textId="1D22C63D" w:rsidR="00551EE1" w:rsidRDefault="00551EE1" w:rsidP="001174BD">
            <w:pPr>
              <w:pStyle w:val="Normal1linespace"/>
              <w:widowControl w:val="0"/>
              <w:jc w:val="left"/>
            </w:pPr>
            <w:r>
              <w:t>Mark O</w:t>
            </w:r>
            <w:r w:rsidR="008E47CA">
              <w:t>’</w:t>
            </w:r>
            <w:r>
              <w:t>Brien Legal</w:t>
            </w:r>
          </w:p>
        </w:tc>
      </w:tr>
      <w:tr w:rsidR="00CB6567" w14:paraId="7E29A918" w14:textId="77777777" w:rsidTr="003237F4">
        <w:tc>
          <w:tcPr>
            <w:tcW w:w="3084" w:type="dxa"/>
            <w:shd w:val="clear" w:color="auto" w:fill="auto"/>
          </w:tcPr>
          <w:p w14:paraId="7EDE76D3" w14:textId="77777777" w:rsidR="00CB6567" w:rsidRDefault="00CB6567" w:rsidP="00551EE1">
            <w:pPr>
              <w:pStyle w:val="Normal1linespace"/>
              <w:widowControl w:val="0"/>
              <w:jc w:val="left"/>
            </w:pPr>
          </w:p>
        </w:tc>
        <w:tc>
          <w:tcPr>
            <w:tcW w:w="5989" w:type="dxa"/>
            <w:shd w:val="clear" w:color="auto" w:fill="auto"/>
          </w:tcPr>
          <w:p w14:paraId="37818074" w14:textId="77777777" w:rsidR="00CB6567" w:rsidRDefault="00CB6567" w:rsidP="00551EE1">
            <w:pPr>
              <w:pStyle w:val="Normal1linespace"/>
              <w:widowControl w:val="0"/>
              <w:jc w:val="left"/>
            </w:pPr>
          </w:p>
        </w:tc>
      </w:tr>
      <w:tr w:rsidR="00551EE1" w14:paraId="238DA0EF" w14:textId="77777777" w:rsidTr="003237F4">
        <w:tc>
          <w:tcPr>
            <w:tcW w:w="3084" w:type="dxa"/>
            <w:shd w:val="clear" w:color="auto" w:fill="auto"/>
          </w:tcPr>
          <w:p w14:paraId="509ABAC9" w14:textId="77777777" w:rsidR="00551EE1" w:rsidRDefault="00551EE1" w:rsidP="00551EE1">
            <w:pPr>
              <w:pStyle w:val="Normal1linespace"/>
              <w:widowControl w:val="0"/>
              <w:jc w:val="left"/>
            </w:pPr>
            <w:r>
              <w:t>Counsel for the Respondents:</w:t>
            </w:r>
          </w:p>
        </w:tc>
        <w:tc>
          <w:tcPr>
            <w:tcW w:w="5989" w:type="dxa"/>
            <w:shd w:val="clear" w:color="auto" w:fill="auto"/>
          </w:tcPr>
          <w:p w14:paraId="5AFC7E7E" w14:textId="6D2325C8" w:rsidR="00551EE1" w:rsidRDefault="00551EE1" w:rsidP="00F957D6">
            <w:pPr>
              <w:pStyle w:val="Normal1linespace"/>
              <w:widowControl w:val="0"/>
              <w:jc w:val="left"/>
            </w:pPr>
            <w:r>
              <w:t xml:space="preserve">Mr </w:t>
            </w:r>
            <w:r w:rsidR="00F957D6">
              <w:t>N Owens</w:t>
            </w:r>
            <w:r>
              <w:t xml:space="preserve"> SC with Ms L Barnett and Mr C Mitchell</w:t>
            </w:r>
          </w:p>
        </w:tc>
      </w:tr>
      <w:tr w:rsidR="00551EE1" w14:paraId="2835606D" w14:textId="77777777" w:rsidTr="003237F4">
        <w:tc>
          <w:tcPr>
            <w:tcW w:w="3084" w:type="dxa"/>
            <w:shd w:val="clear" w:color="auto" w:fill="auto"/>
          </w:tcPr>
          <w:p w14:paraId="0B63BFA7" w14:textId="77777777" w:rsidR="00551EE1" w:rsidRDefault="00551EE1" w:rsidP="00551EE1">
            <w:pPr>
              <w:pStyle w:val="Normal1linespace"/>
              <w:widowControl w:val="0"/>
              <w:jc w:val="left"/>
            </w:pPr>
          </w:p>
        </w:tc>
        <w:tc>
          <w:tcPr>
            <w:tcW w:w="5989" w:type="dxa"/>
            <w:shd w:val="clear" w:color="auto" w:fill="auto"/>
          </w:tcPr>
          <w:p w14:paraId="0CBC2072" w14:textId="77777777" w:rsidR="00551EE1" w:rsidRDefault="00551EE1" w:rsidP="00551EE1">
            <w:pPr>
              <w:pStyle w:val="Normal1linespace"/>
              <w:widowControl w:val="0"/>
              <w:jc w:val="left"/>
            </w:pPr>
          </w:p>
        </w:tc>
      </w:tr>
      <w:tr w:rsidR="00551EE1" w14:paraId="08670125" w14:textId="77777777" w:rsidTr="003237F4">
        <w:tc>
          <w:tcPr>
            <w:tcW w:w="3084" w:type="dxa"/>
            <w:shd w:val="clear" w:color="auto" w:fill="auto"/>
          </w:tcPr>
          <w:p w14:paraId="22C0F31E" w14:textId="77777777" w:rsidR="00551EE1" w:rsidRDefault="00551EE1" w:rsidP="00551EE1">
            <w:pPr>
              <w:pStyle w:val="Normal1linespace"/>
              <w:widowControl w:val="0"/>
              <w:jc w:val="left"/>
            </w:pPr>
            <w:r>
              <w:t>Solicitor for the Respondents:</w:t>
            </w:r>
          </w:p>
        </w:tc>
        <w:tc>
          <w:tcPr>
            <w:tcW w:w="5989" w:type="dxa"/>
            <w:shd w:val="clear" w:color="auto" w:fill="auto"/>
          </w:tcPr>
          <w:p w14:paraId="5F3B7E3E" w14:textId="31A61806" w:rsidR="00551EE1" w:rsidRDefault="00B71E5E" w:rsidP="00551EE1">
            <w:pPr>
              <w:pStyle w:val="Normal1linespace"/>
              <w:widowControl w:val="0"/>
              <w:jc w:val="left"/>
            </w:pPr>
            <w:proofErr w:type="spellStart"/>
            <w:r>
              <w:t>Minter</w:t>
            </w:r>
            <w:r w:rsidR="00551EE1">
              <w:t>Ellison</w:t>
            </w:r>
            <w:proofErr w:type="spellEnd"/>
          </w:p>
        </w:tc>
      </w:tr>
      <w:tr w:rsidR="00733916" w14:paraId="2809ED99" w14:textId="77777777" w:rsidTr="003237F4">
        <w:tc>
          <w:tcPr>
            <w:tcW w:w="3084" w:type="dxa"/>
            <w:shd w:val="clear" w:color="auto" w:fill="auto"/>
          </w:tcPr>
          <w:p w14:paraId="42AFEE86" w14:textId="77777777" w:rsidR="00733916" w:rsidRDefault="00733916" w:rsidP="00551EE1">
            <w:pPr>
              <w:pStyle w:val="Normal1linespace"/>
              <w:widowControl w:val="0"/>
              <w:jc w:val="left"/>
            </w:pPr>
          </w:p>
        </w:tc>
        <w:tc>
          <w:tcPr>
            <w:tcW w:w="5989" w:type="dxa"/>
            <w:shd w:val="clear" w:color="auto" w:fill="auto"/>
          </w:tcPr>
          <w:p w14:paraId="725E55AE" w14:textId="77777777" w:rsidR="00733916" w:rsidRDefault="00733916" w:rsidP="00551EE1">
            <w:pPr>
              <w:pStyle w:val="Normal1linespace"/>
              <w:widowControl w:val="0"/>
              <w:jc w:val="left"/>
            </w:pPr>
          </w:p>
        </w:tc>
      </w:tr>
      <w:tr w:rsidR="00551EE1" w14:paraId="268CFA90" w14:textId="77777777" w:rsidTr="003237F4">
        <w:tc>
          <w:tcPr>
            <w:tcW w:w="3084" w:type="dxa"/>
            <w:shd w:val="clear" w:color="auto" w:fill="auto"/>
          </w:tcPr>
          <w:p w14:paraId="75C7AFAA" w14:textId="12D646CD" w:rsidR="00551EE1" w:rsidRDefault="00551EE1" w:rsidP="00CC5C60">
            <w:pPr>
              <w:pStyle w:val="Normal1linespace"/>
              <w:widowControl w:val="0"/>
              <w:jc w:val="left"/>
            </w:pPr>
            <w:r>
              <w:t xml:space="preserve">Counsel for the </w:t>
            </w:r>
            <w:r w:rsidR="00CC5C60">
              <w:t>Commonwealth of Australia</w:t>
            </w:r>
            <w:r w:rsidR="007F0028">
              <w:t>:</w:t>
            </w:r>
          </w:p>
        </w:tc>
        <w:tc>
          <w:tcPr>
            <w:tcW w:w="5989" w:type="dxa"/>
            <w:shd w:val="clear" w:color="auto" w:fill="auto"/>
          </w:tcPr>
          <w:p w14:paraId="08AB168E" w14:textId="39FC8525" w:rsidR="00551EE1" w:rsidRDefault="00551EE1" w:rsidP="007F0028">
            <w:pPr>
              <w:pStyle w:val="Normal1linespace"/>
              <w:widowControl w:val="0"/>
              <w:jc w:val="left"/>
            </w:pPr>
            <w:r>
              <w:t>M</w:t>
            </w:r>
            <w:r w:rsidR="007F0028">
              <w:t>s C Ernst</w:t>
            </w:r>
          </w:p>
        </w:tc>
      </w:tr>
      <w:tr w:rsidR="00551EE1" w14:paraId="03A8DCF9" w14:textId="77777777" w:rsidTr="003237F4">
        <w:tc>
          <w:tcPr>
            <w:tcW w:w="3084" w:type="dxa"/>
            <w:shd w:val="clear" w:color="auto" w:fill="auto"/>
          </w:tcPr>
          <w:p w14:paraId="097529E7" w14:textId="77777777" w:rsidR="00551EE1" w:rsidRDefault="00551EE1" w:rsidP="00551EE1">
            <w:pPr>
              <w:pStyle w:val="Normal1linespace"/>
              <w:widowControl w:val="0"/>
              <w:jc w:val="left"/>
            </w:pPr>
          </w:p>
        </w:tc>
        <w:tc>
          <w:tcPr>
            <w:tcW w:w="5989" w:type="dxa"/>
            <w:shd w:val="clear" w:color="auto" w:fill="auto"/>
          </w:tcPr>
          <w:p w14:paraId="6ED5303F" w14:textId="77777777" w:rsidR="00551EE1" w:rsidRDefault="00551EE1" w:rsidP="00551EE1">
            <w:pPr>
              <w:pStyle w:val="Normal1linespace"/>
              <w:widowControl w:val="0"/>
              <w:jc w:val="left"/>
            </w:pPr>
          </w:p>
        </w:tc>
      </w:tr>
      <w:tr w:rsidR="00551EE1" w14:paraId="3CE35DE6" w14:textId="77777777" w:rsidTr="003237F4">
        <w:tc>
          <w:tcPr>
            <w:tcW w:w="3084" w:type="dxa"/>
            <w:shd w:val="clear" w:color="auto" w:fill="auto"/>
          </w:tcPr>
          <w:p w14:paraId="0031E825" w14:textId="3E82AD04" w:rsidR="00551EE1" w:rsidRDefault="00551EE1" w:rsidP="00CC5C60">
            <w:pPr>
              <w:pStyle w:val="Normal1linespace"/>
              <w:widowControl w:val="0"/>
              <w:jc w:val="left"/>
            </w:pPr>
            <w:r>
              <w:t xml:space="preserve">Solicitor for the </w:t>
            </w:r>
            <w:r w:rsidR="00CC5C60">
              <w:t>Commonwealth of Australia</w:t>
            </w:r>
            <w:r w:rsidR="007F0028">
              <w:t>:</w:t>
            </w:r>
          </w:p>
        </w:tc>
        <w:tc>
          <w:tcPr>
            <w:tcW w:w="5989" w:type="dxa"/>
            <w:shd w:val="clear" w:color="auto" w:fill="auto"/>
          </w:tcPr>
          <w:p w14:paraId="15A382F3" w14:textId="77777777" w:rsidR="00551EE1" w:rsidRDefault="00551EE1" w:rsidP="00551EE1">
            <w:pPr>
              <w:pStyle w:val="Normal1linespace"/>
              <w:widowControl w:val="0"/>
              <w:jc w:val="left"/>
            </w:pPr>
            <w:r>
              <w:t>Australian Government Solicitor</w:t>
            </w:r>
          </w:p>
        </w:tc>
      </w:tr>
      <w:bookmarkEnd w:id="10"/>
    </w:tbl>
    <w:p w14:paraId="2769856C" w14:textId="77777777" w:rsidR="007470BD" w:rsidRDefault="007470BD">
      <w:pPr>
        <w:pStyle w:val="Normal1linespace"/>
      </w:pPr>
    </w:p>
    <w:p w14:paraId="16303895" w14:textId="77777777" w:rsidR="00E94CBF" w:rsidRDefault="00E94CBF">
      <w:pPr>
        <w:pStyle w:val="Normal1linespace"/>
      </w:pPr>
    </w:p>
    <w:p w14:paraId="52F77662"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7A8567AA"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0BA3595D" w14:textId="77777777" w:rsidTr="00E81DA6">
        <w:tc>
          <w:tcPr>
            <w:tcW w:w="6912" w:type="dxa"/>
            <w:gridSpan w:val="2"/>
          </w:tcPr>
          <w:p w14:paraId="6AE6CB55" w14:textId="77777777" w:rsidR="00A46CCC" w:rsidRPr="001765E0" w:rsidRDefault="00A46CCC" w:rsidP="00525A49">
            <w:pPr>
              <w:pStyle w:val="NormalHeadings"/>
            </w:pPr>
          </w:p>
        </w:tc>
        <w:tc>
          <w:tcPr>
            <w:tcW w:w="2330" w:type="dxa"/>
          </w:tcPr>
          <w:p w14:paraId="33136F58" w14:textId="77777777" w:rsidR="00A46CCC" w:rsidRDefault="00551EE1" w:rsidP="00551EE1">
            <w:pPr>
              <w:pStyle w:val="NormalHeadings"/>
              <w:jc w:val="right"/>
            </w:pPr>
            <w:bookmarkStart w:id="12" w:name="FileNo"/>
            <w:r>
              <w:t>NSD 1485 of 2018</w:t>
            </w:r>
            <w:bookmarkEnd w:id="12"/>
          </w:p>
        </w:tc>
      </w:tr>
      <w:tr w:rsidR="00A76C13" w14:paraId="0D67376F" w14:textId="77777777" w:rsidTr="00255D0A">
        <w:tc>
          <w:tcPr>
            <w:tcW w:w="9242" w:type="dxa"/>
            <w:gridSpan w:val="3"/>
          </w:tcPr>
          <w:p w14:paraId="14A808D3" w14:textId="77777777" w:rsidR="00A76C13" w:rsidRPr="00A76C13" w:rsidRDefault="00551EE1" w:rsidP="00551EE1">
            <w:pPr>
              <w:pStyle w:val="NormalHeadings"/>
              <w:jc w:val="left"/>
            </w:pPr>
            <w:bookmarkStart w:id="13" w:name="InTheMatterOf"/>
            <w:r>
              <w:t xml:space="preserve"> </w:t>
            </w:r>
            <w:bookmarkEnd w:id="13"/>
          </w:p>
        </w:tc>
      </w:tr>
      <w:tr w:rsidR="00A46CCC" w14:paraId="49A998EC" w14:textId="77777777" w:rsidTr="00255D0A">
        <w:trPr>
          <w:trHeight w:val="386"/>
        </w:trPr>
        <w:tc>
          <w:tcPr>
            <w:tcW w:w="2376" w:type="dxa"/>
          </w:tcPr>
          <w:p w14:paraId="4BC65A51" w14:textId="77777777" w:rsidR="00A46CCC" w:rsidRDefault="00A46CCC" w:rsidP="00255D0A">
            <w:pPr>
              <w:pStyle w:val="NormalHeadings"/>
              <w:jc w:val="left"/>
              <w:rPr>
                <w:caps/>
                <w:szCs w:val="24"/>
              </w:rPr>
            </w:pPr>
            <w:bookmarkStart w:id="14" w:name="Parties"/>
            <w:r>
              <w:rPr>
                <w:caps/>
                <w:szCs w:val="24"/>
              </w:rPr>
              <w:t>BETWEEN:</w:t>
            </w:r>
          </w:p>
        </w:tc>
        <w:tc>
          <w:tcPr>
            <w:tcW w:w="6866" w:type="dxa"/>
            <w:gridSpan w:val="2"/>
          </w:tcPr>
          <w:p w14:paraId="1383A9B9" w14:textId="77777777" w:rsidR="00551EE1" w:rsidRDefault="00551EE1" w:rsidP="00551EE1">
            <w:pPr>
              <w:pStyle w:val="NormalHeadings"/>
              <w:jc w:val="left"/>
            </w:pPr>
            <w:bookmarkStart w:id="15" w:name="Applicant"/>
            <w:r>
              <w:t>BEN ROBERTS-SMITH</w:t>
            </w:r>
          </w:p>
          <w:p w14:paraId="3D12DEF2" w14:textId="77777777" w:rsidR="00551EE1" w:rsidRDefault="00551EE1" w:rsidP="00551EE1">
            <w:pPr>
              <w:pStyle w:val="PartyType"/>
            </w:pPr>
            <w:r>
              <w:t>Applicant</w:t>
            </w:r>
          </w:p>
          <w:bookmarkEnd w:id="15"/>
          <w:p w14:paraId="17FFC15C" w14:textId="77777777" w:rsidR="00A46CCC" w:rsidRPr="006555B4" w:rsidRDefault="00A46CCC" w:rsidP="00255D0A">
            <w:pPr>
              <w:pStyle w:val="NormalHeadings"/>
              <w:jc w:val="left"/>
            </w:pPr>
          </w:p>
        </w:tc>
      </w:tr>
      <w:tr w:rsidR="00A46CCC" w14:paraId="6F86F126" w14:textId="77777777" w:rsidTr="00255D0A">
        <w:trPr>
          <w:trHeight w:val="386"/>
        </w:trPr>
        <w:tc>
          <w:tcPr>
            <w:tcW w:w="2376" w:type="dxa"/>
          </w:tcPr>
          <w:p w14:paraId="0A5C7FE9" w14:textId="77777777" w:rsidR="00A46CCC" w:rsidRDefault="00A46CCC" w:rsidP="00255D0A">
            <w:pPr>
              <w:pStyle w:val="NormalHeadings"/>
              <w:jc w:val="left"/>
              <w:rPr>
                <w:caps/>
                <w:szCs w:val="24"/>
              </w:rPr>
            </w:pPr>
            <w:r>
              <w:rPr>
                <w:caps/>
                <w:szCs w:val="24"/>
              </w:rPr>
              <w:t>AND:</w:t>
            </w:r>
          </w:p>
        </w:tc>
        <w:tc>
          <w:tcPr>
            <w:tcW w:w="6866" w:type="dxa"/>
            <w:gridSpan w:val="2"/>
          </w:tcPr>
          <w:p w14:paraId="19A3CFE2" w14:textId="77777777" w:rsidR="001612E5" w:rsidRPr="00551EE1" w:rsidRDefault="001612E5" w:rsidP="00551EE1">
            <w:pPr>
              <w:pStyle w:val="NormalHeadings"/>
              <w:jc w:val="left"/>
            </w:pPr>
            <w:bookmarkStart w:id="16" w:name="Respondent"/>
            <w:r>
              <w:t>FAIRFAX MEDIA PUBLICATIONS PTY LIMITED (ACN 003 357 720)</w:t>
            </w:r>
            <w:r w:rsidR="00551EE1">
              <w:t xml:space="preserve"> </w:t>
            </w:r>
            <w:r w:rsidR="00551EE1" w:rsidRPr="00551EE1">
              <w:rPr>
                <w:b w:val="0"/>
              </w:rPr>
              <w:t>(and others named in the Schedule)</w:t>
            </w:r>
          </w:p>
          <w:p w14:paraId="3C6ADA75" w14:textId="77777777" w:rsidR="001612E5" w:rsidRDefault="001612E5" w:rsidP="00551EE1">
            <w:pPr>
              <w:pStyle w:val="PartyType"/>
            </w:pPr>
            <w:r>
              <w:t>First Respondent</w:t>
            </w:r>
          </w:p>
          <w:bookmarkEnd w:id="16"/>
          <w:p w14:paraId="6A4B8DAC" w14:textId="77777777" w:rsidR="00A46CCC" w:rsidRPr="006555B4" w:rsidRDefault="00A46CCC" w:rsidP="00551EE1">
            <w:pPr>
              <w:pStyle w:val="PartyType"/>
            </w:pPr>
          </w:p>
        </w:tc>
      </w:tr>
    </w:tbl>
    <w:p w14:paraId="26DE2DB3"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551EE1" w14:paraId="4687A7CD" w14:textId="77777777" w:rsidTr="00255D0A">
        <w:tc>
          <w:tcPr>
            <w:tcW w:w="6912" w:type="dxa"/>
            <w:gridSpan w:val="2"/>
          </w:tcPr>
          <w:p w14:paraId="348BFF46" w14:textId="77777777" w:rsidR="00551EE1" w:rsidRPr="001765E0" w:rsidRDefault="00551EE1" w:rsidP="00255D0A">
            <w:pPr>
              <w:pStyle w:val="NormalHeadings"/>
            </w:pPr>
          </w:p>
        </w:tc>
        <w:tc>
          <w:tcPr>
            <w:tcW w:w="2330" w:type="dxa"/>
          </w:tcPr>
          <w:p w14:paraId="79CCF2B3" w14:textId="77777777" w:rsidR="00551EE1" w:rsidRDefault="00551EE1" w:rsidP="00551EE1">
            <w:pPr>
              <w:pStyle w:val="NormalHeadings"/>
              <w:jc w:val="right"/>
            </w:pPr>
            <w:r>
              <w:t>NSD 1486 of 2018</w:t>
            </w:r>
          </w:p>
        </w:tc>
      </w:tr>
      <w:tr w:rsidR="00551EE1" w14:paraId="107A4258" w14:textId="77777777" w:rsidTr="00255D0A">
        <w:tc>
          <w:tcPr>
            <w:tcW w:w="9242" w:type="dxa"/>
            <w:gridSpan w:val="3"/>
          </w:tcPr>
          <w:p w14:paraId="5D3D372B" w14:textId="77777777" w:rsidR="00551EE1" w:rsidRPr="00A76C13" w:rsidRDefault="00551EE1" w:rsidP="00255D0A">
            <w:pPr>
              <w:pStyle w:val="NormalHeadings"/>
              <w:jc w:val="left"/>
            </w:pPr>
            <w:r>
              <w:t xml:space="preserve"> </w:t>
            </w:r>
          </w:p>
        </w:tc>
      </w:tr>
      <w:tr w:rsidR="00551EE1" w14:paraId="36897865" w14:textId="77777777" w:rsidTr="00255D0A">
        <w:trPr>
          <w:trHeight w:val="386"/>
        </w:trPr>
        <w:tc>
          <w:tcPr>
            <w:tcW w:w="2376" w:type="dxa"/>
          </w:tcPr>
          <w:p w14:paraId="3D4FD5A7" w14:textId="77777777" w:rsidR="00551EE1" w:rsidRDefault="00551EE1" w:rsidP="00255D0A">
            <w:pPr>
              <w:pStyle w:val="NormalHeadings"/>
              <w:jc w:val="left"/>
              <w:rPr>
                <w:caps/>
                <w:szCs w:val="24"/>
              </w:rPr>
            </w:pPr>
            <w:r>
              <w:rPr>
                <w:caps/>
                <w:szCs w:val="24"/>
              </w:rPr>
              <w:t>BETWEEN:</w:t>
            </w:r>
          </w:p>
        </w:tc>
        <w:tc>
          <w:tcPr>
            <w:tcW w:w="6866" w:type="dxa"/>
            <w:gridSpan w:val="2"/>
          </w:tcPr>
          <w:p w14:paraId="3AC43D89" w14:textId="77777777" w:rsidR="00551EE1" w:rsidRDefault="00551EE1" w:rsidP="00255D0A">
            <w:pPr>
              <w:pStyle w:val="NormalHeadings"/>
              <w:jc w:val="left"/>
            </w:pPr>
            <w:r>
              <w:t>BEN ROBERTS-SMITH</w:t>
            </w:r>
          </w:p>
          <w:p w14:paraId="157990C1" w14:textId="77777777" w:rsidR="00551EE1" w:rsidRDefault="00551EE1" w:rsidP="00255D0A">
            <w:pPr>
              <w:pStyle w:val="PartyType"/>
            </w:pPr>
            <w:r>
              <w:t>Applicant</w:t>
            </w:r>
          </w:p>
          <w:p w14:paraId="73B309BC" w14:textId="77777777" w:rsidR="00551EE1" w:rsidRPr="006555B4" w:rsidRDefault="00551EE1" w:rsidP="00255D0A">
            <w:pPr>
              <w:pStyle w:val="NormalHeadings"/>
              <w:jc w:val="left"/>
            </w:pPr>
          </w:p>
        </w:tc>
      </w:tr>
      <w:tr w:rsidR="00551EE1" w14:paraId="7A57CB35" w14:textId="77777777" w:rsidTr="00255D0A">
        <w:trPr>
          <w:trHeight w:val="386"/>
        </w:trPr>
        <w:tc>
          <w:tcPr>
            <w:tcW w:w="2376" w:type="dxa"/>
          </w:tcPr>
          <w:p w14:paraId="52DC8159" w14:textId="77777777" w:rsidR="00551EE1" w:rsidRDefault="00551EE1" w:rsidP="00255D0A">
            <w:pPr>
              <w:pStyle w:val="NormalHeadings"/>
              <w:jc w:val="left"/>
              <w:rPr>
                <w:caps/>
                <w:szCs w:val="24"/>
              </w:rPr>
            </w:pPr>
            <w:r>
              <w:rPr>
                <w:caps/>
                <w:szCs w:val="24"/>
              </w:rPr>
              <w:t>AND:</w:t>
            </w:r>
          </w:p>
        </w:tc>
        <w:tc>
          <w:tcPr>
            <w:tcW w:w="6866" w:type="dxa"/>
            <w:gridSpan w:val="2"/>
          </w:tcPr>
          <w:p w14:paraId="705B182F" w14:textId="77777777" w:rsidR="00551EE1" w:rsidRDefault="00551EE1" w:rsidP="00255D0A">
            <w:pPr>
              <w:pStyle w:val="NormalHeadings"/>
              <w:jc w:val="left"/>
            </w:pPr>
            <w:r w:rsidRPr="00551EE1">
              <w:t xml:space="preserve">THE AGE COMPANY PTY LIMITED </w:t>
            </w:r>
            <w:r>
              <w:t>(</w:t>
            </w:r>
            <w:r w:rsidRPr="00551EE1">
              <w:t>ACN 004 262 702</w:t>
            </w:r>
            <w:r>
              <w:t xml:space="preserve">) </w:t>
            </w:r>
            <w:r w:rsidRPr="00551EE1">
              <w:rPr>
                <w:b w:val="0"/>
              </w:rPr>
              <w:t>(and</w:t>
            </w:r>
            <w:r>
              <w:rPr>
                <w:b w:val="0"/>
              </w:rPr>
              <w:t> </w:t>
            </w:r>
            <w:r w:rsidRPr="00551EE1">
              <w:rPr>
                <w:b w:val="0"/>
              </w:rPr>
              <w:t>others named in the Schedule)</w:t>
            </w:r>
          </w:p>
          <w:p w14:paraId="71BBAFA5" w14:textId="77777777" w:rsidR="00551EE1" w:rsidRDefault="00551EE1" w:rsidP="00255D0A">
            <w:pPr>
              <w:pStyle w:val="PartyType"/>
            </w:pPr>
            <w:r>
              <w:t>First Respondent</w:t>
            </w:r>
          </w:p>
          <w:p w14:paraId="484E2E6C" w14:textId="77777777" w:rsidR="00551EE1" w:rsidRPr="006555B4" w:rsidRDefault="00551EE1" w:rsidP="00255D0A">
            <w:pPr>
              <w:pStyle w:val="PartyType"/>
            </w:pPr>
          </w:p>
        </w:tc>
      </w:tr>
    </w:tbl>
    <w:p w14:paraId="151BB8A0" w14:textId="77777777" w:rsidR="00551EE1" w:rsidRDefault="00551EE1">
      <w:pPr>
        <w:pStyle w:val="NormalHeadings"/>
      </w:pP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551EE1" w14:paraId="35803BFD" w14:textId="77777777" w:rsidTr="00255D0A">
        <w:tc>
          <w:tcPr>
            <w:tcW w:w="6912" w:type="dxa"/>
            <w:gridSpan w:val="2"/>
          </w:tcPr>
          <w:p w14:paraId="63869C14" w14:textId="77777777" w:rsidR="00551EE1" w:rsidRPr="001765E0" w:rsidRDefault="00551EE1" w:rsidP="00255D0A">
            <w:pPr>
              <w:pStyle w:val="NormalHeadings"/>
            </w:pPr>
          </w:p>
        </w:tc>
        <w:tc>
          <w:tcPr>
            <w:tcW w:w="2330" w:type="dxa"/>
          </w:tcPr>
          <w:p w14:paraId="3E1E8FD2" w14:textId="77777777" w:rsidR="00551EE1" w:rsidRDefault="00551EE1" w:rsidP="00255D0A">
            <w:pPr>
              <w:pStyle w:val="NormalHeadings"/>
              <w:jc w:val="right"/>
            </w:pPr>
            <w:r>
              <w:t>NSD 1487 of 2018</w:t>
            </w:r>
          </w:p>
        </w:tc>
      </w:tr>
      <w:tr w:rsidR="00551EE1" w14:paraId="35A4BA20" w14:textId="77777777" w:rsidTr="00255D0A">
        <w:tc>
          <w:tcPr>
            <w:tcW w:w="9242" w:type="dxa"/>
            <w:gridSpan w:val="3"/>
          </w:tcPr>
          <w:p w14:paraId="138A2471" w14:textId="77777777" w:rsidR="00551EE1" w:rsidRPr="00A76C13" w:rsidRDefault="00551EE1" w:rsidP="00255D0A">
            <w:pPr>
              <w:pStyle w:val="NormalHeadings"/>
              <w:jc w:val="left"/>
            </w:pPr>
            <w:r>
              <w:t xml:space="preserve"> </w:t>
            </w:r>
          </w:p>
        </w:tc>
      </w:tr>
      <w:tr w:rsidR="00551EE1" w14:paraId="66D29F91" w14:textId="77777777" w:rsidTr="00255D0A">
        <w:trPr>
          <w:trHeight w:val="386"/>
        </w:trPr>
        <w:tc>
          <w:tcPr>
            <w:tcW w:w="2376" w:type="dxa"/>
          </w:tcPr>
          <w:p w14:paraId="0B852483" w14:textId="77777777" w:rsidR="00551EE1" w:rsidRDefault="00551EE1" w:rsidP="00255D0A">
            <w:pPr>
              <w:pStyle w:val="NormalHeadings"/>
              <w:jc w:val="left"/>
              <w:rPr>
                <w:caps/>
                <w:szCs w:val="24"/>
              </w:rPr>
            </w:pPr>
            <w:r>
              <w:rPr>
                <w:caps/>
                <w:szCs w:val="24"/>
              </w:rPr>
              <w:t>BETWEEN:</w:t>
            </w:r>
          </w:p>
        </w:tc>
        <w:tc>
          <w:tcPr>
            <w:tcW w:w="6866" w:type="dxa"/>
            <w:gridSpan w:val="2"/>
          </w:tcPr>
          <w:p w14:paraId="0DD662A0" w14:textId="77777777" w:rsidR="00551EE1" w:rsidRDefault="00551EE1" w:rsidP="00255D0A">
            <w:pPr>
              <w:pStyle w:val="NormalHeadings"/>
              <w:jc w:val="left"/>
            </w:pPr>
            <w:r>
              <w:t>BEN ROBERTS-SMITH</w:t>
            </w:r>
          </w:p>
          <w:p w14:paraId="74924DF7" w14:textId="77777777" w:rsidR="00551EE1" w:rsidRDefault="00551EE1" w:rsidP="00255D0A">
            <w:pPr>
              <w:pStyle w:val="PartyType"/>
            </w:pPr>
            <w:r>
              <w:t>Applicant</w:t>
            </w:r>
          </w:p>
          <w:p w14:paraId="2BC605A0" w14:textId="77777777" w:rsidR="00551EE1" w:rsidRPr="006555B4" w:rsidRDefault="00551EE1" w:rsidP="00255D0A">
            <w:pPr>
              <w:pStyle w:val="NormalHeadings"/>
              <w:jc w:val="left"/>
            </w:pPr>
          </w:p>
        </w:tc>
      </w:tr>
      <w:tr w:rsidR="00551EE1" w14:paraId="39A34069" w14:textId="77777777" w:rsidTr="00255D0A">
        <w:trPr>
          <w:trHeight w:val="386"/>
        </w:trPr>
        <w:tc>
          <w:tcPr>
            <w:tcW w:w="2376" w:type="dxa"/>
          </w:tcPr>
          <w:p w14:paraId="394072B7" w14:textId="77777777" w:rsidR="00551EE1" w:rsidRDefault="00551EE1" w:rsidP="00255D0A">
            <w:pPr>
              <w:pStyle w:val="NormalHeadings"/>
              <w:jc w:val="left"/>
              <w:rPr>
                <w:caps/>
                <w:szCs w:val="24"/>
              </w:rPr>
            </w:pPr>
            <w:r>
              <w:rPr>
                <w:caps/>
                <w:szCs w:val="24"/>
              </w:rPr>
              <w:t>AND:</w:t>
            </w:r>
          </w:p>
        </w:tc>
        <w:tc>
          <w:tcPr>
            <w:tcW w:w="6866" w:type="dxa"/>
            <w:gridSpan w:val="2"/>
          </w:tcPr>
          <w:p w14:paraId="787DA5AD" w14:textId="77777777" w:rsidR="00551EE1" w:rsidRDefault="00551EE1" w:rsidP="00255D0A">
            <w:pPr>
              <w:pStyle w:val="NormalHeadings"/>
              <w:jc w:val="left"/>
            </w:pPr>
            <w:r w:rsidRPr="00551EE1">
              <w:t xml:space="preserve">THE FEDERAL CAPITAL PRESS OF AUSTRALIA PTY LIMITED </w:t>
            </w:r>
            <w:r>
              <w:t>(</w:t>
            </w:r>
            <w:r w:rsidRPr="00551EE1">
              <w:t>ACN 008 394 063</w:t>
            </w:r>
            <w:r>
              <w:t xml:space="preserve">) </w:t>
            </w:r>
            <w:r w:rsidRPr="00551EE1">
              <w:rPr>
                <w:b w:val="0"/>
              </w:rPr>
              <w:t>(and others named in the Schedule)</w:t>
            </w:r>
          </w:p>
          <w:p w14:paraId="0749DDD4" w14:textId="77777777" w:rsidR="00551EE1" w:rsidRDefault="00551EE1" w:rsidP="00255D0A">
            <w:pPr>
              <w:pStyle w:val="PartyType"/>
            </w:pPr>
            <w:r>
              <w:t>First Respondent</w:t>
            </w:r>
          </w:p>
          <w:p w14:paraId="37CFCAC9" w14:textId="77777777" w:rsidR="00551EE1" w:rsidRPr="006555B4" w:rsidRDefault="00551EE1" w:rsidP="00255D0A">
            <w:pPr>
              <w:pStyle w:val="PartyType"/>
            </w:pPr>
          </w:p>
        </w:tc>
      </w:tr>
    </w:tbl>
    <w:p w14:paraId="46EAC93F" w14:textId="77777777" w:rsidR="00551EE1" w:rsidRDefault="00551EE1">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95B24" w14:paraId="2DF7070E" w14:textId="77777777">
        <w:tc>
          <w:tcPr>
            <w:tcW w:w="2376" w:type="dxa"/>
          </w:tcPr>
          <w:p w14:paraId="38374C34" w14:textId="77777777"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14:paraId="3C734A52" w14:textId="463D989E" w:rsidR="00395B24" w:rsidRDefault="00632CD6" w:rsidP="00632CD6">
            <w:pPr>
              <w:pStyle w:val="NormalHeadings"/>
              <w:jc w:val="left"/>
              <w:rPr>
                <w:caps/>
                <w:szCs w:val="24"/>
              </w:rPr>
            </w:pPr>
            <w:bookmarkStart w:id="19" w:name="Judge"/>
            <w:r>
              <w:rPr>
                <w:caps/>
                <w:szCs w:val="24"/>
              </w:rPr>
              <w:t>besanko</w:t>
            </w:r>
            <w:r w:rsidR="00551EE1">
              <w:rPr>
                <w:caps/>
                <w:szCs w:val="24"/>
              </w:rPr>
              <w:t xml:space="preserve"> J</w:t>
            </w:r>
            <w:bookmarkEnd w:id="19"/>
          </w:p>
        </w:tc>
      </w:tr>
      <w:tr w:rsidR="00395B24" w14:paraId="26C31399" w14:textId="77777777">
        <w:tc>
          <w:tcPr>
            <w:tcW w:w="2376" w:type="dxa"/>
          </w:tcPr>
          <w:p w14:paraId="78D660B3" w14:textId="77777777" w:rsidR="00395B24" w:rsidRDefault="002C7385">
            <w:pPr>
              <w:pStyle w:val="NormalHeadings"/>
              <w:spacing w:after="120"/>
              <w:jc w:val="left"/>
              <w:rPr>
                <w:caps/>
                <w:szCs w:val="24"/>
              </w:rPr>
            </w:pPr>
            <w:r>
              <w:rPr>
                <w:caps/>
                <w:szCs w:val="24"/>
              </w:rPr>
              <w:t>DATE OF ORDER:</w:t>
            </w:r>
          </w:p>
        </w:tc>
        <w:tc>
          <w:tcPr>
            <w:tcW w:w="6866" w:type="dxa"/>
          </w:tcPr>
          <w:p w14:paraId="5348B135" w14:textId="5130967E" w:rsidR="00395B24" w:rsidRDefault="005F2284" w:rsidP="005F2284">
            <w:pPr>
              <w:pStyle w:val="NormalHeadings"/>
              <w:jc w:val="left"/>
              <w:rPr>
                <w:caps/>
                <w:szCs w:val="24"/>
              </w:rPr>
            </w:pPr>
            <w:bookmarkStart w:id="20" w:name="Judgment_Dated"/>
            <w:r>
              <w:rPr>
                <w:caps/>
                <w:szCs w:val="24"/>
              </w:rPr>
              <w:t>23 MAY</w:t>
            </w:r>
            <w:r w:rsidR="00551EE1">
              <w:rPr>
                <w:caps/>
                <w:szCs w:val="24"/>
              </w:rPr>
              <w:t xml:space="preserve"> 20</w:t>
            </w:r>
            <w:r w:rsidR="004C7EBC">
              <w:rPr>
                <w:caps/>
                <w:szCs w:val="24"/>
              </w:rPr>
              <w:t>2</w:t>
            </w:r>
            <w:r w:rsidR="008E47CA">
              <w:rPr>
                <w:caps/>
                <w:szCs w:val="24"/>
              </w:rPr>
              <w:t>2</w:t>
            </w:r>
            <w:bookmarkEnd w:id="20"/>
          </w:p>
        </w:tc>
      </w:tr>
    </w:tbl>
    <w:p w14:paraId="24D3AA27" w14:textId="77777777" w:rsidR="00395B24" w:rsidRDefault="00395B24">
      <w:pPr>
        <w:pStyle w:val="NormalHeadings"/>
        <w:rPr>
          <w:b w:val="0"/>
        </w:rPr>
      </w:pPr>
    </w:p>
    <w:p w14:paraId="67335E47" w14:textId="77777777" w:rsidR="008D1617" w:rsidRDefault="008D1617">
      <w:pPr>
        <w:pStyle w:val="NormalHeadings"/>
        <w:rPr>
          <w:b w:val="0"/>
        </w:rPr>
      </w:pPr>
    </w:p>
    <w:p w14:paraId="38B4A7E7" w14:textId="77777777" w:rsidR="00395B24" w:rsidRDefault="002C7385">
      <w:pPr>
        <w:pStyle w:val="NormalHeadings"/>
      </w:pPr>
      <w:r>
        <w:t>THE COURT ORDERS THAT:</w:t>
      </w:r>
    </w:p>
    <w:p w14:paraId="059A2828" w14:textId="77777777" w:rsidR="007F60DF" w:rsidRDefault="007F60DF" w:rsidP="00243E5E">
      <w:pPr>
        <w:pStyle w:val="NormalHeadings"/>
      </w:pPr>
    </w:p>
    <w:p w14:paraId="060334D7" w14:textId="32592F48" w:rsidR="001A6C52" w:rsidRDefault="001E1E1D" w:rsidP="001A6C52">
      <w:pPr>
        <w:pStyle w:val="Order1"/>
      </w:pPr>
      <w:r>
        <w:t>The tender of MFI D (WhatsApp message dated 1 December 2020) be rejected.</w:t>
      </w:r>
    </w:p>
    <w:p w14:paraId="7DA34FA5" w14:textId="77777777" w:rsidR="00551EE1" w:rsidRDefault="00551EE1" w:rsidP="001A6C52">
      <w:pPr>
        <w:pStyle w:val="BodyText"/>
      </w:pPr>
    </w:p>
    <w:p w14:paraId="7D336BDE" w14:textId="77777777" w:rsidR="00A431E6" w:rsidRDefault="00A431E6" w:rsidP="001A6C52">
      <w:pPr>
        <w:pStyle w:val="BodyText"/>
      </w:pPr>
    </w:p>
    <w:p w14:paraId="38BE1876" w14:textId="77777777" w:rsidR="0050309C" w:rsidRDefault="00551EE1" w:rsidP="004D53E5">
      <w:pPr>
        <w:pStyle w:val="SingleSpace"/>
      </w:pPr>
      <w:bookmarkStart w:id="21" w:name="OrdersStatement"/>
      <w:r>
        <w:t>Note:</w:t>
      </w:r>
      <w:r>
        <w:tab/>
        <w:t xml:space="preserve">Entry of orders is dealt with in Rule 39.32 of the </w:t>
      </w:r>
      <w:r>
        <w:rPr>
          <w:i/>
        </w:rPr>
        <w:t>Federal Court Rules 2011</w:t>
      </w:r>
      <w:r>
        <w:t>.</w:t>
      </w:r>
      <w:bookmarkEnd w:id="21"/>
    </w:p>
    <w:p w14:paraId="6FBD4799" w14:textId="77777777" w:rsidR="0092590B" w:rsidRDefault="0092590B" w:rsidP="002B0E91">
      <w:pPr>
        <w:pStyle w:val="BodyText"/>
      </w:pPr>
    </w:p>
    <w:p w14:paraId="4B70A587" w14:textId="77777777"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3B8B0A14"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600E7988" w14:textId="4380DC5D" w:rsidR="00694BEB" w:rsidRDefault="00632CD6" w:rsidP="005E0510">
      <w:pPr>
        <w:pStyle w:val="NormalHeadings"/>
        <w:spacing w:line="360" w:lineRule="auto"/>
        <w:jc w:val="left"/>
        <w:rPr>
          <w:sz w:val="26"/>
          <w:szCs w:val="26"/>
        </w:rPr>
      </w:pPr>
      <w:r>
        <w:rPr>
          <w:sz w:val="26"/>
          <w:szCs w:val="26"/>
        </w:rPr>
        <w:t>BESANKO</w:t>
      </w:r>
      <w:r w:rsidR="00551EE1">
        <w:rPr>
          <w:sz w:val="26"/>
          <w:szCs w:val="26"/>
        </w:rPr>
        <w:t xml:space="preserve"> J</w:t>
      </w:r>
      <w:r w:rsidR="000B197D">
        <w:rPr>
          <w:sz w:val="26"/>
          <w:szCs w:val="26"/>
        </w:rPr>
        <w:t>:</w:t>
      </w:r>
    </w:p>
    <w:p w14:paraId="18310FBD" w14:textId="0339B515" w:rsidR="00495AB9" w:rsidRDefault="00EA7A6D" w:rsidP="009E391B">
      <w:pPr>
        <w:pStyle w:val="ParaNumbering"/>
      </w:pPr>
      <w:r>
        <w:t xml:space="preserve">This is a ruling on the </w:t>
      </w:r>
      <w:r w:rsidR="00517BBA">
        <w:t xml:space="preserve">admissibility </w:t>
      </w:r>
      <w:r w:rsidR="006B5030">
        <w:t>o</w:t>
      </w:r>
      <w:r>
        <w:t>f a document</w:t>
      </w:r>
      <w:r w:rsidR="00495AB9">
        <w:t xml:space="preserve"> </w:t>
      </w:r>
      <w:r w:rsidR="006B5030">
        <w:t>which</w:t>
      </w:r>
      <w:r w:rsidR="00495AB9">
        <w:t xml:space="preserve"> the applicant</w:t>
      </w:r>
      <w:r w:rsidR="006B5030">
        <w:t xml:space="preserve"> seeks to tender</w:t>
      </w:r>
      <w:r w:rsidR="00495AB9">
        <w:t xml:space="preserve">.  The document is a WhatsApp message from Mr Sharif </w:t>
      </w:r>
      <w:proofErr w:type="spellStart"/>
      <w:r w:rsidR="00495AB9">
        <w:t>Khoram</w:t>
      </w:r>
      <w:proofErr w:type="spellEnd"/>
      <w:r w:rsidR="00495AB9">
        <w:t xml:space="preserve"> to </w:t>
      </w:r>
      <w:r w:rsidR="006B5030">
        <w:t>solicitors for the respondents</w:t>
      </w:r>
      <w:r w:rsidR="00495AB9">
        <w:t xml:space="preserve"> </w:t>
      </w:r>
      <w:r w:rsidR="006B5030">
        <w:t xml:space="preserve">and </w:t>
      </w:r>
      <w:r w:rsidR="00495AB9">
        <w:t xml:space="preserve">dated 1 December 2020.  Mr </w:t>
      </w:r>
      <w:proofErr w:type="spellStart"/>
      <w:r w:rsidR="00495AB9">
        <w:t>Khoram</w:t>
      </w:r>
      <w:proofErr w:type="spellEnd"/>
      <w:r w:rsidR="00495AB9">
        <w:t xml:space="preserve"> was described by the respondents as an intermediary who was responsible for making contact with persons in Afghanistan, including</w:t>
      </w:r>
      <w:r w:rsidR="006B5030">
        <w:t>,</w:t>
      </w:r>
      <w:r w:rsidR="00495AB9">
        <w:t xml:space="preserve"> but not limited to, Mohammed </w:t>
      </w:r>
      <w:proofErr w:type="spellStart"/>
      <w:r w:rsidR="00495AB9">
        <w:t>Hanifa</w:t>
      </w:r>
      <w:proofErr w:type="spellEnd"/>
      <w:r w:rsidR="00C54DAE">
        <w:t xml:space="preserve"> </w:t>
      </w:r>
      <w:proofErr w:type="spellStart"/>
      <w:r w:rsidR="00C54DAE">
        <w:t>Fatih</w:t>
      </w:r>
      <w:proofErr w:type="spellEnd"/>
      <w:r w:rsidR="00495AB9">
        <w:t xml:space="preserve">.  </w:t>
      </w:r>
      <w:r>
        <w:t xml:space="preserve">The </w:t>
      </w:r>
      <w:r w:rsidR="00495AB9">
        <w:t>tender</w:t>
      </w:r>
      <w:r>
        <w:t xml:space="preserve"> relates to evidence given from </w:t>
      </w:r>
      <w:r w:rsidR="00192186">
        <w:t xml:space="preserve">Afghanistan by one of the Afghan witnesses, </w:t>
      </w:r>
      <w:r>
        <w:t xml:space="preserve">Mohammed </w:t>
      </w:r>
      <w:proofErr w:type="spellStart"/>
      <w:r>
        <w:t>Ha</w:t>
      </w:r>
      <w:r w:rsidR="003C7B85">
        <w:t>ni</w:t>
      </w:r>
      <w:r>
        <w:t>f</w:t>
      </w:r>
      <w:r w:rsidR="003C7B85">
        <w:t>a</w:t>
      </w:r>
      <w:proofErr w:type="spellEnd"/>
      <w:r>
        <w:t>.  I</w:t>
      </w:r>
      <w:r w:rsidR="00192186">
        <w:t xml:space="preserve"> have previously summarised the significance of the Afghan witnesses and the evidence it was anticipated they would give (</w:t>
      </w:r>
      <w:r w:rsidR="00B65F32">
        <w:t xml:space="preserve">see </w:t>
      </w:r>
      <w:r w:rsidR="00192186">
        <w:rPr>
          <w:i/>
        </w:rPr>
        <w:t xml:space="preserve">Roberts-Smith v Fairfax Media Publications Pty Limited (No </w:t>
      </w:r>
      <w:r w:rsidR="004636A7">
        <w:rPr>
          <w:i/>
        </w:rPr>
        <w:t>10</w:t>
      </w:r>
      <w:r w:rsidR="00192186">
        <w:rPr>
          <w:i/>
        </w:rPr>
        <w:t>)</w:t>
      </w:r>
      <w:r w:rsidR="00192186">
        <w:t xml:space="preserve"> [2021] FCA </w:t>
      </w:r>
      <w:r w:rsidR="004636A7">
        <w:t>317</w:t>
      </w:r>
      <w:r w:rsidR="00192186">
        <w:t xml:space="preserve">).  </w:t>
      </w:r>
    </w:p>
    <w:p w14:paraId="238D2626" w14:textId="4A083A22" w:rsidR="00E96B21" w:rsidRDefault="00873D6E" w:rsidP="009E391B">
      <w:pPr>
        <w:pStyle w:val="ParaNumbering"/>
      </w:pPr>
      <w:r>
        <w:t xml:space="preserve">In the course of the cross-examination of Mohammed </w:t>
      </w:r>
      <w:proofErr w:type="spellStart"/>
      <w:r>
        <w:t>Han</w:t>
      </w:r>
      <w:r w:rsidR="00495AB9">
        <w:t>ifa</w:t>
      </w:r>
      <w:proofErr w:type="spellEnd"/>
      <w:r>
        <w:t xml:space="preserve">, counsel for the applicant asked Mohammed </w:t>
      </w:r>
      <w:proofErr w:type="spellStart"/>
      <w:r>
        <w:t>Hanifa</w:t>
      </w:r>
      <w:proofErr w:type="spellEnd"/>
      <w:r>
        <w:t xml:space="preserve"> whether he had spoken to the Afghan Independent Hum</w:t>
      </w:r>
      <w:r w:rsidR="005F7424">
        <w:t>an</w:t>
      </w:r>
      <w:r>
        <w:t xml:space="preserve"> Rights Commission (</w:t>
      </w:r>
      <w:r w:rsidR="006B5030">
        <w:t xml:space="preserve">the </w:t>
      </w:r>
      <w:r>
        <w:t xml:space="preserve">AIHRC) about the events </w:t>
      </w:r>
      <w:r w:rsidR="00192186">
        <w:t xml:space="preserve">at the village of </w:t>
      </w:r>
      <w:proofErr w:type="spellStart"/>
      <w:r w:rsidR="00192186">
        <w:t>Darwan</w:t>
      </w:r>
      <w:proofErr w:type="spellEnd"/>
      <w:r w:rsidR="00192186">
        <w:t xml:space="preserve"> </w:t>
      </w:r>
      <w:r>
        <w:t xml:space="preserve">on 11 September 2012.  </w:t>
      </w:r>
      <w:r w:rsidR="00192186">
        <w:t xml:space="preserve">Mohammed </w:t>
      </w:r>
      <w:proofErr w:type="spellStart"/>
      <w:r w:rsidR="00192186">
        <w:t>Han</w:t>
      </w:r>
      <w:r w:rsidR="00404111">
        <w:t>i</w:t>
      </w:r>
      <w:r w:rsidR="00192186">
        <w:t>f</w:t>
      </w:r>
      <w:r w:rsidR="00404111">
        <w:t>a</w:t>
      </w:r>
      <w:proofErr w:type="spellEnd"/>
      <w:r>
        <w:t xml:space="preserve"> said that he had not done that.  He was then asked whether he had made an application for compensation to the AIHRC.  He said that he had not presented any application.</w:t>
      </w:r>
    </w:p>
    <w:p w14:paraId="0E671746" w14:textId="359444A9" w:rsidR="00873D6E" w:rsidRDefault="00873D6E" w:rsidP="00B26339">
      <w:pPr>
        <w:pStyle w:val="ParaNumbering"/>
      </w:pPr>
      <w:r>
        <w:t>The following day, Moham</w:t>
      </w:r>
      <w:r w:rsidR="001036AA">
        <w:t xml:space="preserve">med </w:t>
      </w:r>
      <w:proofErr w:type="spellStart"/>
      <w:r w:rsidR="001036AA">
        <w:t>Hanifa</w:t>
      </w:r>
      <w:proofErr w:type="spellEnd"/>
      <w:r w:rsidR="001036AA">
        <w:t xml:space="preserve"> was cross-examined a</w:t>
      </w:r>
      <w:r>
        <w:t>b</w:t>
      </w:r>
      <w:r w:rsidR="001036AA">
        <w:t>o</w:t>
      </w:r>
      <w:r>
        <w:t>ut these topics in greater detail.  He denied that he had had discussions with the AIHRC in late</w:t>
      </w:r>
      <w:r w:rsidR="001036AA">
        <w:t xml:space="preserve"> 2020, early 2021.  He denied t</w:t>
      </w:r>
      <w:r>
        <w:t xml:space="preserve">hat he had had a telephone conversation with an official of the AIHRC in the presence of </w:t>
      </w:r>
      <w:r w:rsidR="00495AB9">
        <w:t>Mr</w:t>
      </w:r>
      <w:r w:rsidR="001E1E1D">
        <w:t> </w:t>
      </w:r>
      <w:proofErr w:type="spellStart"/>
      <w:r>
        <w:t>Khoram</w:t>
      </w:r>
      <w:proofErr w:type="spellEnd"/>
      <w:r>
        <w:t xml:space="preserve">, during which he was told the following: (1) if Ali Jan was his father or brother, he could file a complaint; (2) some compensation would be provided for the affected families by Australians through the AIHRC in </w:t>
      </w:r>
      <w:proofErr w:type="spellStart"/>
      <w:r>
        <w:t>Tarin</w:t>
      </w:r>
      <w:proofErr w:type="spellEnd"/>
      <w:r>
        <w:t xml:space="preserve"> </w:t>
      </w:r>
      <w:proofErr w:type="spellStart"/>
      <w:r>
        <w:t>Kowt</w:t>
      </w:r>
      <w:proofErr w:type="spellEnd"/>
      <w:r>
        <w:t>; and (3) only the AIHRC could do that i.e., arrange or provide compensation and no</w:t>
      </w:r>
      <w:r w:rsidR="00867540">
        <w:t xml:space="preserve"> </w:t>
      </w:r>
      <w:r>
        <w:t>one else.</w:t>
      </w:r>
      <w:r w:rsidR="00495AB9">
        <w:t xml:space="preserve">  Furthermore, </w:t>
      </w:r>
      <w:r>
        <w:t xml:space="preserve">it was put to Mohammed </w:t>
      </w:r>
      <w:proofErr w:type="spellStart"/>
      <w:r>
        <w:t>Hanifa</w:t>
      </w:r>
      <w:proofErr w:type="spellEnd"/>
      <w:r>
        <w:t xml:space="preserve"> </w:t>
      </w:r>
      <w:r w:rsidR="00192186">
        <w:t xml:space="preserve">in cross-examination </w:t>
      </w:r>
      <w:r>
        <w:t>that he had a motive, that is, obtaining compensation for falsely claiming Ali Jan was not “</w:t>
      </w:r>
      <w:proofErr w:type="spellStart"/>
      <w:r>
        <w:t>Talib</w:t>
      </w:r>
      <w:proofErr w:type="spellEnd"/>
      <w:r>
        <w:t>”.</w:t>
      </w:r>
      <w:r w:rsidR="00495AB9">
        <w:t xml:space="preserve">  He denied this</w:t>
      </w:r>
      <w:r w:rsidR="00B65F32">
        <w:t xml:space="preserve"> proposition</w:t>
      </w:r>
      <w:r w:rsidR="00495AB9">
        <w:t>.</w:t>
      </w:r>
    </w:p>
    <w:p w14:paraId="33D513AF" w14:textId="3B8514B1" w:rsidR="00873D6E" w:rsidRDefault="00192186" w:rsidP="009E391B">
      <w:pPr>
        <w:pStyle w:val="ParaNumbering"/>
      </w:pPr>
      <w:r>
        <w:t xml:space="preserve">The applicant </w:t>
      </w:r>
      <w:r w:rsidR="00495AB9">
        <w:t xml:space="preserve">seeks to tender the </w:t>
      </w:r>
      <w:r w:rsidR="00873D6E">
        <w:t>WhatsApp messag</w:t>
      </w:r>
      <w:r w:rsidR="00280E90">
        <w:t xml:space="preserve">e </w:t>
      </w:r>
      <w:r w:rsidR="00873D6E">
        <w:t xml:space="preserve">to rebut Mohammed </w:t>
      </w:r>
      <w:proofErr w:type="spellStart"/>
      <w:r w:rsidR="00873D6E">
        <w:t>Hanifa’s</w:t>
      </w:r>
      <w:proofErr w:type="spellEnd"/>
      <w:r w:rsidR="00873D6E">
        <w:t xml:space="preserve"> denial that he did not speak to anyone from the AIHRC.  The key passage in the WhatsApp message is as follows:</w:t>
      </w:r>
    </w:p>
    <w:p w14:paraId="37E25BE6" w14:textId="1DEAB794" w:rsidR="00226CD7" w:rsidRDefault="00226CD7" w:rsidP="00226CD7">
      <w:pPr>
        <w:pStyle w:val="Quote1"/>
      </w:pPr>
      <w:r>
        <w:t xml:space="preserve">In </w:t>
      </w:r>
      <w:r w:rsidRPr="00226CD7">
        <w:t xml:space="preserve">first telephone conversation with </w:t>
      </w:r>
      <w:proofErr w:type="spellStart"/>
      <w:r w:rsidRPr="00226CD7">
        <w:t>Hanifa</w:t>
      </w:r>
      <w:proofErr w:type="spellEnd"/>
      <w:r w:rsidRPr="00226CD7">
        <w:t xml:space="preserve">: the HRC director mentions to </w:t>
      </w:r>
      <w:proofErr w:type="spellStart"/>
      <w:r w:rsidRPr="00226CD7">
        <w:t>Hanifa</w:t>
      </w:r>
      <w:proofErr w:type="spellEnd"/>
      <w:r w:rsidRPr="00226CD7">
        <w:t xml:space="preserve"> in way that if </w:t>
      </w:r>
      <w:proofErr w:type="spellStart"/>
      <w:r w:rsidRPr="00226CD7">
        <w:t>Alijan</w:t>
      </w:r>
      <w:proofErr w:type="spellEnd"/>
      <w:r w:rsidRPr="00226CD7">
        <w:t xml:space="preserve"> is your brother or father file your complain. But he knew who he was he knows the whole story.  The HRC director tells </w:t>
      </w:r>
      <w:proofErr w:type="spellStart"/>
      <w:r w:rsidRPr="00226CD7">
        <w:t>Hanifa</w:t>
      </w:r>
      <w:proofErr w:type="spellEnd"/>
      <w:r w:rsidRPr="00226CD7">
        <w:t xml:space="preserve"> that some compensation will be provided to the affected families by Australians through HRC</w:t>
      </w:r>
      <w:r w:rsidR="00280E90">
        <w:t xml:space="preserve"> here</w:t>
      </w:r>
      <w:r w:rsidRPr="00226CD7">
        <w:t xml:space="preserve"> in </w:t>
      </w:r>
      <w:proofErr w:type="spellStart"/>
      <w:r w:rsidRPr="00226CD7">
        <w:t>Tirinkot</w:t>
      </w:r>
      <w:proofErr w:type="spellEnd"/>
      <w:r w:rsidRPr="00226CD7">
        <w:t>. Only HRC can do that nobody else.  He told that there are two group against each other and one group is facing justice</w:t>
      </w:r>
      <w:r>
        <w:t>.</w:t>
      </w:r>
    </w:p>
    <w:p w14:paraId="50916E4C" w14:textId="19643DAC" w:rsidR="00280E90" w:rsidRDefault="00280E90" w:rsidP="00280E90">
      <w:pPr>
        <w:pStyle w:val="Quote1"/>
        <w:spacing w:after="0"/>
      </w:pPr>
      <w:r>
        <w:lastRenderedPageBreak/>
        <w:t>I don’t know what is going on.  There might be any intention for diverting part of the compensation if any in a collective manner from several families. if it is really the matter.  The HRC should know that distributing money should not be just like that but if there is any that must be after many processes.</w:t>
      </w:r>
    </w:p>
    <w:p w14:paraId="073A803A" w14:textId="77777777" w:rsidR="00280E90" w:rsidRDefault="00280E90" w:rsidP="00280E90">
      <w:pPr>
        <w:pStyle w:val="Quote1"/>
        <w:spacing w:after="0"/>
      </w:pPr>
      <w:r>
        <w:t xml:space="preserve">However, this was just a new information which confirms </w:t>
      </w:r>
      <w:proofErr w:type="spellStart"/>
      <w:r>
        <w:t>Hanifa’s</w:t>
      </w:r>
      <w:proofErr w:type="spellEnd"/>
      <w:r>
        <w:t xml:space="preserve"> honesty in reporting issues.  </w:t>
      </w:r>
    </w:p>
    <w:p w14:paraId="2AA2E593" w14:textId="77777777" w:rsidR="00280E90" w:rsidRDefault="00280E90" w:rsidP="00280E90">
      <w:pPr>
        <w:pStyle w:val="Quote1"/>
        <w:spacing w:after="0"/>
      </w:pPr>
      <w:r>
        <w:t xml:space="preserve">Another question involving </w:t>
      </w:r>
      <w:proofErr w:type="spellStart"/>
      <w:r>
        <w:t>Hanifa</w:t>
      </w:r>
      <w:proofErr w:type="spellEnd"/>
      <w:r>
        <w:t xml:space="preserve"> in such dirty game will not affect the quality of witnessing in your courts?  </w:t>
      </w:r>
    </w:p>
    <w:p w14:paraId="359EBF22" w14:textId="49505A3E" w:rsidR="00280E90" w:rsidRDefault="00280E90" w:rsidP="00280E90">
      <w:pPr>
        <w:pStyle w:val="Quote1"/>
        <w:spacing w:after="0"/>
      </w:pPr>
      <w:r>
        <w:t>However, we don’t know what is really behind.</w:t>
      </w:r>
    </w:p>
    <w:p w14:paraId="313E3983" w14:textId="55F2846B" w:rsidR="00280E90" w:rsidRDefault="00280E90" w:rsidP="00280E90">
      <w:pPr>
        <w:pStyle w:val="Quote1"/>
        <w:spacing w:after="0"/>
      </w:pPr>
      <w:r>
        <w:t>Sorry for broken sentences as I have strength to review it.</w:t>
      </w:r>
    </w:p>
    <w:p w14:paraId="53CEDBCE" w14:textId="6113EDFC" w:rsidR="00280E90" w:rsidRDefault="00280E90" w:rsidP="00226CD7">
      <w:pPr>
        <w:pStyle w:val="Quote1"/>
      </w:pPr>
      <w:r>
        <w:t>You might share your thought with me if there is any.</w:t>
      </w:r>
    </w:p>
    <w:p w14:paraId="549DC179" w14:textId="1F981081" w:rsidR="00280E90" w:rsidRDefault="00280E90" w:rsidP="00226CD7">
      <w:pPr>
        <w:pStyle w:val="Quote1"/>
      </w:pPr>
      <w:r>
        <w:t>Thanks.</w:t>
      </w:r>
    </w:p>
    <w:p w14:paraId="6400D9BE" w14:textId="23E1B093" w:rsidR="00873D6E" w:rsidRDefault="00873D6E" w:rsidP="001036AA">
      <w:pPr>
        <w:pStyle w:val="ParaNumbering"/>
        <w:spacing w:before="240"/>
      </w:pPr>
      <w:r>
        <w:t>The applicant claim</w:t>
      </w:r>
      <w:r w:rsidR="00B65F32">
        <w:t>s</w:t>
      </w:r>
      <w:r>
        <w:t xml:space="preserve"> that th</w:t>
      </w:r>
      <w:r w:rsidR="00495AB9">
        <w:t xml:space="preserve">e </w:t>
      </w:r>
      <w:r w:rsidR="00404111">
        <w:t>WhatsApp</w:t>
      </w:r>
      <w:r w:rsidR="00495AB9">
        <w:t xml:space="preserve"> message</w:t>
      </w:r>
      <w:r>
        <w:t xml:space="preserve"> is admissible as credibility evidence.  He c</w:t>
      </w:r>
      <w:r w:rsidR="00B65F32">
        <w:t xml:space="preserve">laims </w:t>
      </w:r>
      <w:r>
        <w:t>that the WhatsApp message contain</w:t>
      </w:r>
      <w:r w:rsidR="0007710B">
        <w:t>s</w:t>
      </w:r>
      <w:r>
        <w:t xml:space="preserve"> a prior inconsistent statemen</w:t>
      </w:r>
      <w:r w:rsidR="001036AA">
        <w:t xml:space="preserve">t made by Mohammed </w:t>
      </w:r>
      <w:proofErr w:type="spellStart"/>
      <w:r w:rsidR="001036AA">
        <w:t>Hanifa</w:t>
      </w:r>
      <w:proofErr w:type="spellEnd"/>
      <w:r w:rsidR="001036AA">
        <w:t xml:space="preserve"> to Mr </w:t>
      </w:r>
      <w:proofErr w:type="spellStart"/>
      <w:r>
        <w:t>Khoram</w:t>
      </w:r>
      <w:proofErr w:type="spellEnd"/>
      <w:r>
        <w:t>, the making of which (as opposed to the truth or otherwise of the statement</w:t>
      </w:r>
      <w:r w:rsidR="001036AA">
        <w:t>)</w:t>
      </w:r>
      <w:r>
        <w:t xml:space="preserve"> is relevant to the credibility of Mohammed </w:t>
      </w:r>
      <w:proofErr w:type="spellStart"/>
      <w:r>
        <w:t>Hanifa</w:t>
      </w:r>
      <w:proofErr w:type="spellEnd"/>
      <w:r>
        <w:t>.  It constitutes, so it is said</w:t>
      </w:r>
      <w:r w:rsidR="00B65F32">
        <w:t xml:space="preserve"> by the applicant</w:t>
      </w:r>
      <w:r>
        <w:t xml:space="preserve">, a representation of what Mohammed </w:t>
      </w:r>
      <w:proofErr w:type="spellStart"/>
      <w:r>
        <w:t>Hanifa</w:t>
      </w:r>
      <w:proofErr w:type="spellEnd"/>
      <w:r>
        <w:t xml:space="preserve"> said to Mr </w:t>
      </w:r>
      <w:proofErr w:type="spellStart"/>
      <w:r>
        <w:t>Khoram</w:t>
      </w:r>
      <w:proofErr w:type="spellEnd"/>
      <w:r>
        <w:t xml:space="preserve"> about his (Mohammed </w:t>
      </w:r>
      <w:proofErr w:type="spellStart"/>
      <w:r>
        <w:t>Hanifa’s</w:t>
      </w:r>
      <w:proofErr w:type="spellEnd"/>
      <w:r>
        <w:t>) conversations and dealings with the AIHRC.</w:t>
      </w:r>
    </w:p>
    <w:p w14:paraId="08C232B4" w14:textId="405202B6" w:rsidR="00192186" w:rsidRDefault="00192186" w:rsidP="00F959C1">
      <w:pPr>
        <w:pStyle w:val="ParaNumbering"/>
      </w:pPr>
      <w:r>
        <w:t>Section 102 of the</w:t>
      </w:r>
      <w:r w:rsidR="00F959C1">
        <w:t xml:space="preserve"> </w:t>
      </w:r>
      <w:r w:rsidR="00F959C1">
        <w:rPr>
          <w:i/>
        </w:rPr>
        <w:t xml:space="preserve">Evidence Act </w:t>
      </w:r>
      <w:r w:rsidR="00605013">
        <w:rPr>
          <w:i/>
        </w:rPr>
        <w:t>1995</w:t>
      </w:r>
      <w:r w:rsidR="00F959C1">
        <w:t xml:space="preserve"> (</w:t>
      </w:r>
      <w:proofErr w:type="spellStart"/>
      <w:r w:rsidR="00F959C1">
        <w:t>Cth</w:t>
      </w:r>
      <w:proofErr w:type="spellEnd"/>
      <w:r w:rsidR="00F959C1">
        <w:t>)</w:t>
      </w:r>
      <w:r>
        <w:t xml:space="preserve"> establishes the credibility rule which is that credibility </w:t>
      </w:r>
      <w:r w:rsidR="00FC0A7F">
        <w:t xml:space="preserve">evidence </w:t>
      </w:r>
      <w:r>
        <w:t>about a witness is not admissible.  The concept of credibility evidence is defined in s 10</w:t>
      </w:r>
      <w:r w:rsidR="00495AB9">
        <w:t>1A</w:t>
      </w:r>
      <w:r>
        <w:t xml:space="preserve">.  There are specific exceptions to the credibility rule and they are set out in the sections which follow s 102.  Only one exception </w:t>
      </w:r>
      <w:r w:rsidR="00495AB9">
        <w:t xml:space="preserve">has been identified by the applicant </w:t>
      </w:r>
      <w:r w:rsidR="00B65F32">
        <w:t xml:space="preserve">as relevant </w:t>
      </w:r>
      <w:r w:rsidR="00495AB9">
        <w:t xml:space="preserve">and that is </w:t>
      </w:r>
      <w:r>
        <w:t>the exception in s 106.  That section</w:t>
      </w:r>
      <w:r w:rsidR="00495AB9">
        <w:t xml:space="preserve"> is in the following terms</w:t>
      </w:r>
      <w:r>
        <w:t>:</w:t>
      </w:r>
    </w:p>
    <w:p w14:paraId="67B6D6E6" w14:textId="77777777" w:rsidR="00E714A3" w:rsidRPr="00E714A3" w:rsidRDefault="00E714A3" w:rsidP="00E714A3">
      <w:pPr>
        <w:pStyle w:val="Quote1"/>
        <w:rPr>
          <w:b/>
        </w:rPr>
      </w:pPr>
      <w:r w:rsidRPr="00E714A3">
        <w:rPr>
          <w:b/>
        </w:rPr>
        <w:t>106  Exception: rebutting denials by other evidence</w:t>
      </w:r>
    </w:p>
    <w:p w14:paraId="6C5F3408" w14:textId="718B1603" w:rsidR="00E714A3" w:rsidRDefault="00E714A3" w:rsidP="00E714A3">
      <w:pPr>
        <w:pStyle w:val="Quote1"/>
        <w:ind w:left="1440" w:hanging="703"/>
      </w:pPr>
      <w:r>
        <w:t>(1)</w:t>
      </w:r>
      <w:r>
        <w:tab/>
        <w:t>The credibility rule does not apply to evidence that is relevant to a witness’s credibility and that is adduced otherwise than from the witness if:</w:t>
      </w:r>
    </w:p>
    <w:p w14:paraId="1B5C0820" w14:textId="524FF0BA" w:rsidR="00E714A3" w:rsidRDefault="00E714A3" w:rsidP="00E714A3">
      <w:pPr>
        <w:pStyle w:val="Quote2"/>
      </w:pPr>
      <w:r>
        <w:t>(a)</w:t>
      </w:r>
      <w:r>
        <w:tab/>
        <w:t>in cross-examination of the witness:</w:t>
      </w:r>
    </w:p>
    <w:p w14:paraId="34B078C9" w14:textId="6663044D" w:rsidR="00E714A3" w:rsidRDefault="00E714A3" w:rsidP="00ED7CD9">
      <w:pPr>
        <w:pStyle w:val="Quote3"/>
        <w:ind w:left="2880" w:hanging="720"/>
      </w:pPr>
      <w:r>
        <w:t>(</w:t>
      </w:r>
      <w:proofErr w:type="spellStart"/>
      <w:r>
        <w:t>i</w:t>
      </w:r>
      <w:proofErr w:type="spellEnd"/>
      <w:r>
        <w:t>)</w:t>
      </w:r>
      <w:r>
        <w:tab/>
        <w:t>the substance of the evidence was put to the witness; and</w:t>
      </w:r>
    </w:p>
    <w:p w14:paraId="71168398" w14:textId="42AD6C3A" w:rsidR="00E714A3" w:rsidRDefault="00E714A3" w:rsidP="00ED7CD9">
      <w:pPr>
        <w:pStyle w:val="Quote3"/>
        <w:ind w:left="2880" w:hanging="720"/>
      </w:pPr>
      <w:r>
        <w:t>(ii)</w:t>
      </w:r>
      <w:r>
        <w:tab/>
        <w:t>the witness denied, or did not admit or agree to, the substance of the evidence; and</w:t>
      </w:r>
    </w:p>
    <w:p w14:paraId="07C3507D" w14:textId="68EA8375" w:rsidR="00E714A3" w:rsidRDefault="00E714A3" w:rsidP="00E714A3">
      <w:pPr>
        <w:pStyle w:val="Quote2"/>
      </w:pPr>
      <w:r>
        <w:t>(b)</w:t>
      </w:r>
      <w:r>
        <w:tab/>
        <w:t>the court gives leave to adduce the evidence.</w:t>
      </w:r>
    </w:p>
    <w:p w14:paraId="6AF37F09" w14:textId="68369FD6" w:rsidR="00E714A3" w:rsidRDefault="00E714A3" w:rsidP="00E714A3">
      <w:pPr>
        <w:pStyle w:val="Quote1"/>
        <w:ind w:left="1440" w:hanging="703"/>
      </w:pPr>
      <w:r>
        <w:t>(2)</w:t>
      </w:r>
      <w:r>
        <w:tab/>
        <w:t>Leave under paragraph (1)(b) is not required if the evidence tends to prove that the witness:</w:t>
      </w:r>
    </w:p>
    <w:p w14:paraId="1A5D5BE1" w14:textId="769CB31A" w:rsidR="00E714A3" w:rsidRDefault="00E714A3" w:rsidP="00ED7CD9">
      <w:pPr>
        <w:pStyle w:val="Quote2"/>
        <w:ind w:left="2160" w:hanging="720"/>
      </w:pPr>
      <w:r>
        <w:t>(a)</w:t>
      </w:r>
      <w:r>
        <w:tab/>
        <w:t>is biased or has a motive for being untruthful; or</w:t>
      </w:r>
    </w:p>
    <w:p w14:paraId="0A9A97E4" w14:textId="5C48137B" w:rsidR="00E714A3" w:rsidRDefault="00E714A3" w:rsidP="00ED7CD9">
      <w:pPr>
        <w:pStyle w:val="Quote2"/>
        <w:ind w:left="2160" w:hanging="720"/>
      </w:pPr>
      <w:r>
        <w:t>(b)</w:t>
      </w:r>
      <w:r>
        <w:tab/>
        <w:t>has been convicted of an offence, including an offence against the law of a foreign country; or</w:t>
      </w:r>
    </w:p>
    <w:p w14:paraId="67C1AE70" w14:textId="016D1607" w:rsidR="00E714A3" w:rsidRDefault="00E714A3" w:rsidP="00ED7CD9">
      <w:pPr>
        <w:pStyle w:val="Quote2"/>
        <w:ind w:left="2160" w:hanging="720"/>
      </w:pPr>
      <w:r>
        <w:t>(c)</w:t>
      </w:r>
      <w:r>
        <w:tab/>
        <w:t>has made a prior inconsistent statement; or</w:t>
      </w:r>
    </w:p>
    <w:p w14:paraId="0C4DE9C3" w14:textId="38E5FC46" w:rsidR="00E714A3" w:rsidRDefault="00E714A3" w:rsidP="00ED7CD9">
      <w:pPr>
        <w:pStyle w:val="Quote2"/>
        <w:ind w:left="2160" w:hanging="720"/>
      </w:pPr>
      <w:r>
        <w:lastRenderedPageBreak/>
        <w:t>(d)</w:t>
      </w:r>
      <w:r>
        <w:tab/>
        <w:t>is, or was, unable to be aware of matters to which his or her evidence relates; or</w:t>
      </w:r>
    </w:p>
    <w:p w14:paraId="0D8299D3" w14:textId="4C4D4CEC" w:rsidR="00192186" w:rsidRDefault="00E714A3" w:rsidP="00ED7CD9">
      <w:pPr>
        <w:pStyle w:val="Quote2"/>
        <w:ind w:left="2160" w:hanging="720"/>
      </w:pPr>
      <w:r>
        <w:t>(e)</w:t>
      </w:r>
      <w:r>
        <w:tab/>
        <w:t>has knowingly or recklessly made a false representation while under an obligation, imposed by or under an Australian law or a law of a foreign country, to tell the truth.</w:t>
      </w:r>
    </w:p>
    <w:p w14:paraId="49FCA8C2" w14:textId="77777777" w:rsidR="00B65F32" w:rsidRDefault="00F959C1" w:rsidP="00F959C1">
      <w:pPr>
        <w:pStyle w:val="ParaNumbering"/>
      </w:pPr>
      <w:r>
        <w:t>The applicant claims that the ev</w:t>
      </w:r>
      <w:r w:rsidR="00605013">
        <w:t>idence in the WhatsApp message</w:t>
      </w:r>
      <w:r>
        <w:t xml:space="preserve"> is relevant to Mohammed </w:t>
      </w:r>
      <w:proofErr w:type="spellStart"/>
      <w:r>
        <w:t>Hanifa’s</w:t>
      </w:r>
      <w:proofErr w:type="spellEnd"/>
      <w:r>
        <w:t xml:space="preserve"> credibility because it shows that his evidence that he never spoke with anyone from the AIHRC is false.  </w:t>
      </w:r>
    </w:p>
    <w:p w14:paraId="216FE023" w14:textId="3DDBECE7" w:rsidR="00E96B21" w:rsidRDefault="00F959C1" w:rsidP="00F959C1">
      <w:pPr>
        <w:pStyle w:val="ParaNumbering"/>
      </w:pPr>
      <w:r>
        <w:t xml:space="preserve">It is uncontentious that the evidence is to be adduced otherwise than from Mohammed </w:t>
      </w:r>
      <w:proofErr w:type="spellStart"/>
      <w:r>
        <w:t>Hanifa</w:t>
      </w:r>
      <w:proofErr w:type="spellEnd"/>
      <w:r>
        <w:t xml:space="preserve">.  </w:t>
      </w:r>
      <w:r w:rsidR="00B65F32">
        <w:t>For admission of the evidence under s 106, t</w:t>
      </w:r>
      <w:r>
        <w:t xml:space="preserve">he applicant must satisfy the Court </w:t>
      </w:r>
      <w:r w:rsidR="00034249">
        <w:t>t</w:t>
      </w:r>
      <w:r>
        <w:t xml:space="preserve">hat the substance of the evidence was put to Mohammed </w:t>
      </w:r>
      <w:proofErr w:type="spellStart"/>
      <w:r>
        <w:t>Hanifa</w:t>
      </w:r>
      <w:proofErr w:type="spellEnd"/>
      <w:r>
        <w:t xml:space="preserve"> and Mohammed </w:t>
      </w:r>
      <w:proofErr w:type="spellStart"/>
      <w:r>
        <w:t>Hanifa</w:t>
      </w:r>
      <w:proofErr w:type="spellEnd"/>
      <w:r>
        <w:t xml:space="preserve"> denied, or did not admit or agree to</w:t>
      </w:r>
      <w:r w:rsidR="006B5030">
        <w:t>,</w:t>
      </w:r>
      <w:r>
        <w:t xml:space="preserve"> the substance of the evidence</w:t>
      </w:r>
      <w:r w:rsidR="00495AB9">
        <w:t xml:space="preserve"> (s 106(1)(a))</w:t>
      </w:r>
      <w:r>
        <w:t>.  The applicant asserted that he did not need leave under s 106(1)(b) because the evidence in the WhatsApp message tend</w:t>
      </w:r>
      <w:r w:rsidR="00192186">
        <w:t>s</w:t>
      </w:r>
      <w:r>
        <w:t xml:space="preserve"> to prove that Mohammed </w:t>
      </w:r>
      <w:proofErr w:type="spellStart"/>
      <w:r>
        <w:t>Hanifa</w:t>
      </w:r>
      <w:proofErr w:type="spellEnd"/>
      <w:r>
        <w:t xml:space="preserve"> has made a prior inconsistent statement.  The term </w:t>
      </w:r>
      <w:r w:rsidRPr="00B65F32">
        <w:rPr>
          <w:i/>
        </w:rPr>
        <w:t>prior inconsistent statement</w:t>
      </w:r>
      <w:r>
        <w:t xml:space="preserve"> is defined in the Dictionary </w:t>
      </w:r>
      <w:r w:rsidR="00495AB9">
        <w:t>in</w:t>
      </w:r>
      <w:r>
        <w:t xml:space="preserve"> the Evidence Act as follows:</w:t>
      </w:r>
    </w:p>
    <w:p w14:paraId="1A58ABD9" w14:textId="41143E9A" w:rsidR="00605013" w:rsidRDefault="00605013" w:rsidP="00605013">
      <w:pPr>
        <w:pStyle w:val="Quote1"/>
      </w:pPr>
      <w:r w:rsidRPr="00605013">
        <w:rPr>
          <w:b/>
          <w:i/>
        </w:rPr>
        <w:t>prior inconsistent statement</w:t>
      </w:r>
      <w:r w:rsidRPr="00605013">
        <w:t xml:space="preserve"> of a witness means a previous representation that is inconsistent with evidence given by the witness.</w:t>
      </w:r>
    </w:p>
    <w:p w14:paraId="0D2A4F8E" w14:textId="23F2A957" w:rsidR="00F959C1" w:rsidRDefault="00F959C1" w:rsidP="00F959C1">
      <w:pPr>
        <w:pStyle w:val="ParaNumbering"/>
      </w:pPr>
      <w:r>
        <w:t xml:space="preserve">The term </w:t>
      </w:r>
      <w:r w:rsidRPr="00344D6B">
        <w:rPr>
          <w:i/>
        </w:rPr>
        <w:t>representation</w:t>
      </w:r>
      <w:r>
        <w:t xml:space="preserve"> is defined in the Dictionary as follows:</w:t>
      </w:r>
    </w:p>
    <w:p w14:paraId="77819414" w14:textId="77777777" w:rsidR="00605013" w:rsidRDefault="00605013" w:rsidP="00605013">
      <w:pPr>
        <w:pStyle w:val="Quote1"/>
      </w:pPr>
      <w:r w:rsidRPr="00605013">
        <w:rPr>
          <w:b/>
          <w:i/>
        </w:rPr>
        <w:t>representation</w:t>
      </w:r>
      <w:r>
        <w:t xml:space="preserve"> includes: </w:t>
      </w:r>
    </w:p>
    <w:p w14:paraId="411AB42F" w14:textId="44AAC100" w:rsidR="00605013" w:rsidRDefault="00605013" w:rsidP="00ED7CD9">
      <w:pPr>
        <w:pStyle w:val="Quote1"/>
        <w:ind w:left="1440" w:hanging="703"/>
      </w:pPr>
      <w:r>
        <w:t>(a)</w:t>
      </w:r>
      <w:r>
        <w:tab/>
        <w:t xml:space="preserve">an express or implied representation (whether oral or in writing); or </w:t>
      </w:r>
    </w:p>
    <w:p w14:paraId="387F3EB9" w14:textId="318F8FB7" w:rsidR="00605013" w:rsidRDefault="00605013" w:rsidP="00ED7CD9">
      <w:pPr>
        <w:pStyle w:val="Quote1"/>
        <w:ind w:left="1440" w:hanging="703"/>
      </w:pPr>
      <w:r>
        <w:t>(b)</w:t>
      </w:r>
      <w:r>
        <w:tab/>
        <w:t xml:space="preserve">a representation to be inferred from conduct; or </w:t>
      </w:r>
    </w:p>
    <w:p w14:paraId="04961C46" w14:textId="418CE9F4" w:rsidR="00605013" w:rsidRDefault="00605013" w:rsidP="00ED7CD9">
      <w:pPr>
        <w:pStyle w:val="Quote1"/>
        <w:ind w:left="1440" w:hanging="703"/>
      </w:pPr>
      <w:r>
        <w:t>(c)</w:t>
      </w:r>
      <w:r>
        <w:tab/>
        <w:t xml:space="preserve">a representation not intended by its maker to be communicated to or seen by another person; or </w:t>
      </w:r>
    </w:p>
    <w:p w14:paraId="0D951862" w14:textId="0975AD7A" w:rsidR="00F959C1" w:rsidRDefault="00605013" w:rsidP="00ED7CD9">
      <w:pPr>
        <w:pStyle w:val="Quote1"/>
        <w:ind w:left="1440" w:hanging="703"/>
      </w:pPr>
      <w:r>
        <w:t>(d)</w:t>
      </w:r>
      <w:r>
        <w:tab/>
        <w:t>a representation that for any reason is not communicated.</w:t>
      </w:r>
    </w:p>
    <w:p w14:paraId="27BB9F23" w14:textId="3A9B9895" w:rsidR="00F959C1" w:rsidRDefault="00F959C1" w:rsidP="00F959C1">
      <w:pPr>
        <w:pStyle w:val="ParaNumbering"/>
      </w:pPr>
      <w:r>
        <w:t xml:space="preserve">Section 43 </w:t>
      </w:r>
      <w:r w:rsidR="00192186">
        <w:t>defines</w:t>
      </w:r>
      <w:r>
        <w:t xml:space="preserve"> the circumstances in which a cross-examiner may adduce evidence of a</w:t>
      </w:r>
      <w:r w:rsidR="00192186">
        <w:t xml:space="preserve"> prior inconsistent</w:t>
      </w:r>
      <w:r>
        <w:t xml:space="preserve"> statement o</w:t>
      </w:r>
      <w:r w:rsidR="00192186">
        <w:t>f a</w:t>
      </w:r>
      <w:r>
        <w:t xml:space="preserve"> witness.  The section provides as follows:</w:t>
      </w:r>
    </w:p>
    <w:p w14:paraId="1BB41468" w14:textId="77777777" w:rsidR="00605013" w:rsidRPr="00605013" w:rsidRDefault="00605013" w:rsidP="00605013">
      <w:pPr>
        <w:pStyle w:val="Quote1"/>
        <w:rPr>
          <w:b/>
        </w:rPr>
      </w:pPr>
      <w:r w:rsidRPr="00605013">
        <w:rPr>
          <w:b/>
        </w:rPr>
        <w:t>43  Prior inconsistent statements of witnesses</w:t>
      </w:r>
    </w:p>
    <w:p w14:paraId="667F951F" w14:textId="3A4D5E1B" w:rsidR="00605013" w:rsidRDefault="004E3DA9" w:rsidP="00605013">
      <w:pPr>
        <w:pStyle w:val="Quote1"/>
        <w:ind w:left="1440" w:hanging="703"/>
      </w:pPr>
      <w:r>
        <w:t>(1)</w:t>
      </w:r>
      <w:r>
        <w:tab/>
        <w:t>A witness may be cross-</w:t>
      </w:r>
      <w:r w:rsidR="00605013">
        <w:t>examined about a prior inconsistent statement alleged to have been made by the witness whether or not:</w:t>
      </w:r>
    </w:p>
    <w:p w14:paraId="4788C112" w14:textId="59D464AE" w:rsidR="00605013" w:rsidRDefault="00605013" w:rsidP="00ED7CD9">
      <w:pPr>
        <w:pStyle w:val="Quote2"/>
        <w:ind w:left="2160" w:hanging="720"/>
      </w:pPr>
      <w:r>
        <w:t>(a)</w:t>
      </w:r>
      <w:r>
        <w:tab/>
        <w:t>complete particulars of the statement have been given to the witness; or</w:t>
      </w:r>
    </w:p>
    <w:p w14:paraId="64639E36" w14:textId="67CFC6AF" w:rsidR="00605013" w:rsidRDefault="00605013" w:rsidP="00ED7CD9">
      <w:pPr>
        <w:pStyle w:val="Quote2"/>
        <w:ind w:left="2160" w:hanging="720"/>
      </w:pPr>
      <w:r>
        <w:t>(b)</w:t>
      </w:r>
      <w:r>
        <w:tab/>
        <w:t>a document containing a record of the statement has been shown to the witness.</w:t>
      </w:r>
    </w:p>
    <w:p w14:paraId="5CB9732E" w14:textId="30B6F9EE" w:rsidR="00605013" w:rsidRDefault="004E3DA9" w:rsidP="00605013">
      <w:pPr>
        <w:pStyle w:val="Quote1"/>
        <w:ind w:left="1440" w:hanging="703"/>
      </w:pPr>
      <w:r>
        <w:t>(2)</w:t>
      </w:r>
      <w:r>
        <w:tab/>
        <w:t>If, in cross-</w:t>
      </w:r>
      <w:r w:rsidR="00605013">
        <w:t>examination, a witness does not admit that he or she has made a prior inconsistent statement, the cross</w:t>
      </w:r>
      <w:r>
        <w:t>-</w:t>
      </w:r>
      <w:r w:rsidR="00605013">
        <w:t xml:space="preserve">examiner is not to adduce evidence of </w:t>
      </w:r>
      <w:r w:rsidR="00605013">
        <w:lastRenderedPageBreak/>
        <w:t>the statement otherwise than from the witness unless, in the cross</w:t>
      </w:r>
      <w:r>
        <w:t>-</w:t>
      </w:r>
      <w:r w:rsidR="00605013">
        <w:t>examination, the cross</w:t>
      </w:r>
      <w:r>
        <w:t>-</w:t>
      </w:r>
      <w:r w:rsidR="00605013">
        <w:t>examiner:</w:t>
      </w:r>
    </w:p>
    <w:p w14:paraId="51848553" w14:textId="6350C1E8" w:rsidR="00605013" w:rsidRDefault="00605013" w:rsidP="00ED7CD9">
      <w:pPr>
        <w:pStyle w:val="Quote2"/>
        <w:ind w:left="2160" w:hanging="720"/>
      </w:pPr>
      <w:r>
        <w:t>(a)</w:t>
      </w:r>
      <w:r>
        <w:tab/>
        <w:t>informed the witness of enough of the circumstances of the making of the statement to enable the witness to identify the statement; and</w:t>
      </w:r>
    </w:p>
    <w:p w14:paraId="63FBA448" w14:textId="5C876F8C" w:rsidR="00605013" w:rsidRDefault="00605013" w:rsidP="00ED7CD9">
      <w:pPr>
        <w:pStyle w:val="Quote2"/>
        <w:ind w:left="2160" w:hanging="720"/>
      </w:pPr>
      <w:r>
        <w:t>(b)</w:t>
      </w:r>
      <w:r>
        <w:tab/>
        <w:t>drew the witness’s attention to so much of the statement as is inconsistent with the witness’s evidence.</w:t>
      </w:r>
    </w:p>
    <w:p w14:paraId="0CF257FB" w14:textId="44FB9CD6" w:rsidR="00F959C1" w:rsidRDefault="00605013" w:rsidP="00605013">
      <w:pPr>
        <w:pStyle w:val="Quote1"/>
        <w:ind w:left="1440" w:hanging="703"/>
      </w:pPr>
      <w:r>
        <w:t>(3)</w:t>
      </w:r>
      <w:r>
        <w:tab/>
        <w:t>For the purpose of adducing evidence of the statement, a party may re</w:t>
      </w:r>
      <w:r w:rsidR="003C7B85">
        <w:t>-</w:t>
      </w:r>
      <w:r>
        <w:t>open the party’s case.</w:t>
      </w:r>
    </w:p>
    <w:p w14:paraId="099FE48F" w14:textId="0F1763D3" w:rsidR="00D664A3" w:rsidRDefault="00D664A3" w:rsidP="00F959C1">
      <w:pPr>
        <w:pStyle w:val="ParaNumbering"/>
      </w:pPr>
      <w:r>
        <w:t xml:space="preserve">It seemed to be common ground that the requirements of both s 106(1)(a) and s 43 must be </w:t>
      </w:r>
      <w:r w:rsidR="00B65F32">
        <w:t>met in a case</w:t>
      </w:r>
      <w:r>
        <w:t xml:space="preserve"> where a prior inconsistent statement is the issue.</w:t>
      </w:r>
    </w:p>
    <w:p w14:paraId="070E2200" w14:textId="5563FFDD" w:rsidR="00D664A3" w:rsidRDefault="00D664A3" w:rsidP="00F959C1">
      <w:pPr>
        <w:pStyle w:val="ParaNumbering"/>
      </w:pPr>
      <w:r>
        <w:t xml:space="preserve">The applicant submitted that the relevant prior inconsistent statement was a statement of Mohammed </w:t>
      </w:r>
      <w:proofErr w:type="spellStart"/>
      <w:r>
        <w:t>Hanifa</w:t>
      </w:r>
      <w:proofErr w:type="spellEnd"/>
      <w:r>
        <w:t xml:space="preserve"> to Mr </w:t>
      </w:r>
      <w:proofErr w:type="spellStart"/>
      <w:r>
        <w:t>Khoram</w:t>
      </w:r>
      <w:proofErr w:type="spellEnd"/>
      <w:r>
        <w:t xml:space="preserve"> which contained details of things said to Mohammed </w:t>
      </w:r>
      <w:proofErr w:type="spellStart"/>
      <w:r>
        <w:t>Hanifa</w:t>
      </w:r>
      <w:proofErr w:type="spellEnd"/>
      <w:r>
        <w:t xml:space="preserve"> and that by putting </w:t>
      </w:r>
      <w:r w:rsidR="00B65F32">
        <w:t xml:space="preserve">to Mohammed </w:t>
      </w:r>
      <w:proofErr w:type="spellStart"/>
      <w:r w:rsidR="00B65F32">
        <w:t>Hanifa</w:t>
      </w:r>
      <w:proofErr w:type="spellEnd"/>
      <w:r w:rsidR="00B65F32">
        <w:t xml:space="preserve"> </w:t>
      </w:r>
      <w:r>
        <w:t xml:space="preserve">the fact of contact with the AIHRC and the things said to Mohammed </w:t>
      </w:r>
      <w:proofErr w:type="spellStart"/>
      <w:r>
        <w:t>Hanifa</w:t>
      </w:r>
      <w:proofErr w:type="spellEnd"/>
      <w:r>
        <w:t xml:space="preserve">, he had put the substance of the evidence and the circumstances of the making of the statement and the extent of inconsistency to Mohammed </w:t>
      </w:r>
      <w:proofErr w:type="spellStart"/>
      <w:r>
        <w:t>Hanifa</w:t>
      </w:r>
      <w:proofErr w:type="spellEnd"/>
      <w:r>
        <w:t>.  The probative value of the evidence outweighed any prejudice to the respondents.  In response to one of the key submissions made by the respondents</w:t>
      </w:r>
      <w:r w:rsidR="00B65F32">
        <w:t xml:space="preserve"> and addressed below</w:t>
      </w:r>
      <w:r>
        <w:t xml:space="preserve">, the applicant submitted that there was no requirement that he put to Mohammed </w:t>
      </w:r>
      <w:proofErr w:type="spellStart"/>
      <w:r>
        <w:t>Hanifa</w:t>
      </w:r>
      <w:proofErr w:type="spellEnd"/>
      <w:r>
        <w:t xml:space="preserve"> that he had told Mr </w:t>
      </w:r>
      <w:proofErr w:type="spellStart"/>
      <w:r>
        <w:t>Khoram</w:t>
      </w:r>
      <w:proofErr w:type="spellEnd"/>
      <w:r>
        <w:t xml:space="preserve"> that he had spoken with the AIHRC in circumstances where Mohammed </w:t>
      </w:r>
      <w:proofErr w:type="spellStart"/>
      <w:r>
        <w:t>Hanifa’s</w:t>
      </w:r>
      <w:proofErr w:type="spellEnd"/>
      <w:r>
        <w:t xml:space="preserve"> denials were “categorical and vigorous”.</w:t>
      </w:r>
    </w:p>
    <w:p w14:paraId="52D44C64" w14:textId="62A637A4" w:rsidR="00F959C1" w:rsidRDefault="00F959C1" w:rsidP="00F959C1">
      <w:pPr>
        <w:pStyle w:val="ParaNumbering"/>
      </w:pPr>
      <w:r>
        <w:t>The respondents advance</w:t>
      </w:r>
      <w:r w:rsidR="00495AB9">
        <w:t>d</w:t>
      </w:r>
      <w:r>
        <w:t xml:space="preserve"> two </w:t>
      </w:r>
      <w:r w:rsidR="00495AB9">
        <w:t xml:space="preserve">alternative reasons </w:t>
      </w:r>
      <w:r w:rsidR="006B5030">
        <w:t>why</w:t>
      </w:r>
      <w:r>
        <w:t xml:space="preserve"> the WhatsApp message</w:t>
      </w:r>
      <w:r w:rsidR="00192186">
        <w:t xml:space="preserve"> is</w:t>
      </w:r>
      <w:r>
        <w:t xml:space="preserve"> not admissible under s 106(1)(a) and (2)(c)</w:t>
      </w:r>
      <w:r w:rsidR="004E3DA9">
        <w:t xml:space="preserve"> of the Evidence Act</w:t>
      </w:r>
      <w:r>
        <w:t>.  The first</w:t>
      </w:r>
      <w:r w:rsidR="00495AB9">
        <w:t xml:space="preserve"> reason</w:t>
      </w:r>
      <w:r>
        <w:t xml:space="preserve"> is that the applicant has not established that the WhatsApp message record</w:t>
      </w:r>
      <w:r w:rsidR="00192186">
        <w:t>s</w:t>
      </w:r>
      <w:r>
        <w:t xml:space="preserve"> any prior statement of Mohammed </w:t>
      </w:r>
      <w:proofErr w:type="spellStart"/>
      <w:r>
        <w:t>Hanifa</w:t>
      </w:r>
      <w:proofErr w:type="spellEnd"/>
      <w:r>
        <w:t xml:space="preserve">, inconsistent or otherwise.  The second </w:t>
      </w:r>
      <w:r w:rsidR="004B79DE">
        <w:t>reason</w:t>
      </w:r>
      <w:r>
        <w:t xml:space="preserve"> is that</w:t>
      </w:r>
      <w:r w:rsidR="004B79DE">
        <w:t>, in the alternative,</w:t>
      </w:r>
      <w:r>
        <w:t xml:space="preserve"> the applicant has </w:t>
      </w:r>
      <w:r w:rsidR="00163842">
        <w:t>failed</w:t>
      </w:r>
      <w:r>
        <w:t xml:space="preserve"> to satisfy </w:t>
      </w:r>
      <w:r w:rsidR="004B79DE">
        <w:t>“</w:t>
      </w:r>
      <w:r>
        <w:t>the predicate requirements</w:t>
      </w:r>
      <w:r w:rsidR="004B79DE">
        <w:t>”</w:t>
      </w:r>
      <w:r>
        <w:t xml:space="preserve"> of </w:t>
      </w:r>
      <w:proofErr w:type="spellStart"/>
      <w:r>
        <w:t>ss</w:t>
      </w:r>
      <w:proofErr w:type="spellEnd"/>
      <w:r>
        <w:t xml:space="preserve"> 43 and 106(1)(a) of the Evidence Act in that the “substance of the evidence” was n</w:t>
      </w:r>
      <w:r w:rsidR="00B65F32">
        <w:t>ot</w:t>
      </w:r>
      <w:r>
        <w:t xml:space="preserve"> put to Mohammed </w:t>
      </w:r>
      <w:proofErr w:type="spellStart"/>
      <w:r>
        <w:t>Hanifa</w:t>
      </w:r>
      <w:proofErr w:type="spellEnd"/>
      <w:r>
        <w:t>.  The “substance of the evidence”</w:t>
      </w:r>
      <w:r w:rsidR="00182F01">
        <w:t xml:space="preserve">, the respondents assert, </w:t>
      </w:r>
      <w:r w:rsidR="003C7B85">
        <w:t>i</w:t>
      </w:r>
      <w:r w:rsidR="006B5030">
        <w:t>nclude</w:t>
      </w:r>
      <w:r w:rsidR="003C7B85">
        <w:t>s</w:t>
      </w:r>
      <w:r w:rsidR="00182F01">
        <w:t xml:space="preserve"> the circumstances of the making of the </w:t>
      </w:r>
      <w:r w:rsidR="003C7B85">
        <w:t xml:space="preserve">alleged </w:t>
      </w:r>
      <w:r w:rsidR="00182F01">
        <w:t>prior inconsistent statement.</w:t>
      </w:r>
    </w:p>
    <w:p w14:paraId="5DC22E6A" w14:textId="3CA65941" w:rsidR="00182F01" w:rsidRDefault="00182F01" w:rsidP="00F959C1">
      <w:pPr>
        <w:pStyle w:val="ParaNumbering"/>
      </w:pPr>
      <w:bookmarkStart w:id="23" w:name="_Ref103935949"/>
      <w:r>
        <w:t xml:space="preserve">With respect to the first </w:t>
      </w:r>
      <w:r w:rsidR="004B79DE">
        <w:t>reason</w:t>
      </w:r>
      <w:r>
        <w:t xml:space="preserve">, the respondents submit that </w:t>
      </w:r>
      <w:r w:rsidR="00192186">
        <w:t xml:space="preserve">whilst </w:t>
      </w:r>
      <w:r>
        <w:t>the WhatsApp message contain</w:t>
      </w:r>
      <w:r w:rsidR="00192186">
        <w:t>s</w:t>
      </w:r>
      <w:r>
        <w:t xml:space="preserve"> hearsay statements purportedly made by “the HRC director” to Mohammed </w:t>
      </w:r>
      <w:proofErr w:type="spellStart"/>
      <w:r>
        <w:t>Hanifa</w:t>
      </w:r>
      <w:proofErr w:type="spellEnd"/>
      <w:r>
        <w:t xml:space="preserve"> during a telephone call on an unknown date and a hearsay statement by Mr </w:t>
      </w:r>
      <w:proofErr w:type="spellStart"/>
      <w:r>
        <w:t>Khoram</w:t>
      </w:r>
      <w:proofErr w:type="spellEnd"/>
      <w:r>
        <w:t xml:space="preserve"> on 1 December 2020 in which Mr </w:t>
      </w:r>
      <w:proofErr w:type="spellStart"/>
      <w:r>
        <w:t>Khoram</w:t>
      </w:r>
      <w:proofErr w:type="spellEnd"/>
      <w:r>
        <w:t xml:space="preserve"> repeats the hearsay statements purportedly made by “the HRC Director” to Mohammed </w:t>
      </w:r>
      <w:proofErr w:type="spellStart"/>
      <w:r>
        <w:t>Hanifa</w:t>
      </w:r>
      <w:proofErr w:type="spellEnd"/>
      <w:r w:rsidR="00192186">
        <w:t>, the</w:t>
      </w:r>
      <w:r>
        <w:t xml:space="preserve"> WhatsApp message do</w:t>
      </w:r>
      <w:r w:rsidR="00192186">
        <w:t>es</w:t>
      </w:r>
      <w:r>
        <w:t xml:space="preserve"> </w:t>
      </w:r>
      <w:r w:rsidR="003C7B85">
        <w:t xml:space="preserve">not </w:t>
      </w:r>
      <w:r>
        <w:t xml:space="preserve">record or refer to any prior statement by Mohammed </w:t>
      </w:r>
      <w:proofErr w:type="spellStart"/>
      <w:r>
        <w:t>Hanifa</w:t>
      </w:r>
      <w:proofErr w:type="spellEnd"/>
      <w:r>
        <w:t xml:space="preserve"> to “the HRC Director” or to Mr </w:t>
      </w:r>
      <w:proofErr w:type="spellStart"/>
      <w:r>
        <w:t>Khoram</w:t>
      </w:r>
      <w:proofErr w:type="spellEnd"/>
      <w:r>
        <w:t xml:space="preserve">.  The </w:t>
      </w:r>
      <w:r>
        <w:lastRenderedPageBreak/>
        <w:t xml:space="preserve">respondents point out that the proposition put to Mohammed </w:t>
      </w:r>
      <w:proofErr w:type="spellStart"/>
      <w:r>
        <w:t>Hanifa</w:t>
      </w:r>
      <w:proofErr w:type="spellEnd"/>
      <w:r>
        <w:t xml:space="preserve"> in cross-</w:t>
      </w:r>
      <w:r w:rsidR="00163842">
        <w:t>examination</w:t>
      </w:r>
      <w:r>
        <w:t xml:space="preserve"> </w:t>
      </w:r>
      <w:r w:rsidR="00192186">
        <w:t>by counsel for the applicant</w:t>
      </w:r>
      <w:r>
        <w:t xml:space="preserve"> </w:t>
      </w:r>
      <w:r w:rsidR="0007710B">
        <w:t xml:space="preserve">was that he had a conversation </w:t>
      </w:r>
      <w:r>
        <w:t xml:space="preserve">with an official of the AIHRC in which Mr </w:t>
      </w:r>
      <w:proofErr w:type="spellStart"/>
      <w:r>
        <w:t>Khoram</w:t>
      </w:r>
      <w:proofErr w:type="spellEnd"/>
      <w:r>
        <w:t xml:space="preserve"> participated (transcript </w:t>
      </w:r>
      <w:r w:rsidR="003C7B85">
        <w:t xml:space="preserve">page </w:t>
      </w:r>
      <w:r>
        <w:t>1041, line</w:t>
      </w:r>
      <w:r w:rsidR="003C7B85">
        <w:t>s</w:t>
      </w:r>
      <w:r>
        <w:t xml:space="preserve"> 44</w:t>
      </w:r>
      <w:r w:rsidR="003C7B85">
        <w:t>–46</w:t>
      </w:r>
      <w:r>
        <w:t xml:space="preserve">).  </w:t>
      </w:r>
      <w:r w:rsidR="001E1E1D">
        <w:t xml:space="preserve">If that </w:t>
      </w:r>
      <w:r w:rsidR="00A0692D">
        <w:t>wa</w:t>
      </w:r>
      <w:r w:rsidR="001E1E1D">
        <w:t xml:space="preserve">s right, then any statement is a statement of Mr </w:t>
      </w:r>
      <w:proofErr w:type="spellStart"/>
      <w:r w:rsidR="001E1E1D">
        <w:t>Khoram</w:t>
      </w:r>
      <w:proofErr w:type="spellEnd"/>
      <w:r w:rsidR="001E1E1D">
        <w:t xml:space="preserve"> and not of Mohammed </w:t>
      </w:r>
      <w:proofErr w:type="spellStart"/>
      <w:r w:rsidR="001E1E1D">
        <w:t>Hanifa</w:t>
      </w:r>
      <w:proofErr w:type="spellEnd"/>
      <w:r w:rsidR="001E1E1D">
        <w:t>.</w:t>
      </w:r>
      <w:r w:rsidR="00B65F32">
        <w:t xml:space="preserve">  The respondents submit that f</w:t>
      </w:r>
      <w:r w:rsidR="001E1E1D">
        <w:t>urthermore, t</w:t>
      </w:r>
      <w:r>
        <w:t xml:space="preserve">hat is a different proposition from the proposition now put by the applicant, that is, that it should be inferred that Mohammed </w:t>
      </w:r>
      <w:proofErr w:type="spellStart"/>
      <w:r>
        <w:t>Hanifa</w:t>
      </w:r>
      <w:proofErr w:type="spellEnd"/>
      <w:r>
        <w:t xml:space="preserve"> told Mr </w:t>
      </w:r>
      <w:proofErr w:type="spellStart"/>
      <w:r>
        <w:t>Khoram</w:t>
      </w:r>
      <w:proofErr w:type="spellEnd"/>
      <w:r>
        <w:t xml:space="preserve"> on or about 1 December 2020 that he (Mohammed </w:t>
      </w:r>
      <w:proofErr w:type="spellStart"/>
      <w:r>
        <w:t>Hanifa</w:t>
      </w:r>
      <w:proofErr w:type="spellEnd"/>
      <w:r>
        <w:t xml:space="preserve">) had spoken to a person purporting to be a director of the AIHRC and was told about the matters </w:t>
      </w:r>
      <w:r w:rsidR="003C7B85">
        <w:t xml:space="preserve">recorded </w:t>
      </w:r>
      <w:r>
        <w:t>in the WhatsApp message.  T</w:t>
      </w:r>
      <w:r w:rsidR="00192186">
        <w:t xml:space="preserve">he respondents submit </w:t>
      </w:r>
      <w:r w:rsidR="001E1E1D">
        <w:t>that th</w:t>
      </w:r>
      <w:r w:rsidR="00B65F32">
        <w:t>e</w:t>
      </w:r>
      <w:r w:rsidR="001E1E1D">
        <w:t xml:space="preserve"> inference </w:t>
      </w:r>
      <w:r w:rsidR="00B65F32">
        <w:t xml:space="preserve">now advanced </w:t>
      </w:r>
      <w:r w:rsidR="001E1E1D">
        <w:t xml:space="preserve">is no more likely than the alternative and, in those circumstances, </w:t>
      </w:r>
      <w:r w:rsidR="006B5030">
        <w:t xml:space="preserve">it </w:t>
      </w:r>
      <w:r w:rsidR="001E1E1D">
        <w:t xml:space="preserve">should not be drawn and that, in any event, </w:t>
      </w:r>
      <w:r w:rsidR="00192186">
        <w:t>th</w:t>
      </w:r>
      <w:r w:rsidR="001E1E1D">
        <w:t>e</w:t>
      </w:r>
      <w:r>
        <w:t xml:space="preserve"> inference </w:t>
      </w:r>
      <w:r w:rsidR="00B65F32">
        <w:t xml:space="preserve">now advanced </w:t>
      </w:r>
      <w:r>
        <w:t xml:space="preserve">was </w:t>
      </w:r>
      <w:r w:rsidR="001E1E1D">
        <w:t>not</w:t>
      </w:r>
      <w:r>
        <w:t xml:space="preserve"> put to Mohammed </w:t>
      </w:r>
      <w:proofErr w:type="spellStart"/>
      <w:r>
        <w:t>Hanifa</w:t>
      </w:r>
      <w:proofErr w:type="spellEnd"/>
      <w:r>
        <w:t>.</w:t>
      </w:r>
      <w:r w:rsidR="001E1E1D">
        <w:t xml:space="preserve">  This latter proposition is </w:t>
      </w:r>
      <w:r w:rsidR="00B65F32">
        <w:t xml:space="preserve">also </w:t>
      </w:r>
      <w:r w:rsidR="001E1E1D">
        <w:t>an aspect of the second and alternative argument.</w:t>
      </w:r>
      <w:bookmarkEnd w:id="23"/>
    </w:p>
    <w:p w14:paraId="762F59AB" w14:textId="3AF36924" w:rsidR="001E1E1D" w:rsidRDefault="001E1E1D" w:rsidP="00F959C1">
      <w:pPr>
        <w:pStyle w:val="ParaNumbering"/>
      </w:pPr>
      <w:r>
        <w:t xml:space="preserve">I reject the respondents’ first reason.  I refer to the passage in the WhatsApp message set out above.  It seems </w:t>
      </w:r>
      <w:r w:rsidR="00B65F32">
        <w:t xml:space="preserve">to me </w:t>
      </w:r>
      <w:r>
        <w:t xml:space="preserve">that reading the passage as a whole, </w:t>
      </w:r>
      <w:r w:rsidR="00B65F32">
        <w:t xml:space="preserve">it is appropriate to infer </w:t>
      </w:r>
      <w:r>
        <w:t>that, in addition to the two statements identified by the respondents (see [</w:t>
      </w:r>
      <w:r w:rsidR="00D664A3">
        <w:fldChar w:fldCharType="begin"/>
      </w:r>
      <w:r w:rsidR="00D664A3">
        <w:instrText xml:space="preserve"> REF _Ref103935949 \r \h </w:instrText>
      </w:r>
      <w:r w:rsidR="00D664A3">
        <w:fldChar w:fldCharType="separate"/>
      </w:r>
      <w:r w:rsidR="00B65F32">
        <w:t>14</w:t>
      </w:r>
      <w:r w:rsidR="00D664A3">
        <w:fldChar w:fldCharType="end"/>
      </w:r>
      <w:r>
        <w:t xml:space="preserve">]), the WhatsApp message contains a statement by Mohammed </w:t>
      </w:r>
      <w:proofErr w:type="spellStart"/>
      <w:r>
        <w:t>Hanifa</w:t>
      </w:r>
      <w:proofErr w:type="spellEnd"/>
      <w:r>
        <w:t xml:space="preserve">, not necessarily on 1 December 2020 but, I infer, on or shortly before 1 December 2020, that a </w:t>
      </w:r>
      <w:r w:rsidR="006B5030">
        <w:t>“</w:t>
      </w:r>
      <w:r>
        <w:t>HRC director</w:t>
      </w:r>
      <w:r w:rsidR="006B5030">
        <w:t>”</w:t>
      </w:r>
      <w:r>
        <w:t xml:space="preserve"> had told him certain things.</w:t>
      </w:r>
    </w:p>
    <w:p w14:paraId="4F646BAC" w14:textId="675D7501" w:rsidR="00D664A3" w:rsidRDefault="00182F01" w:rsidP="00A04966">
      <w:pPr>
        <w:pStyle w:val="ParaNumbering"/>
      </w:pPr>
      <w:r>
        <w:t xml:space="preserve">The premise of the second </w:t>
      </w:r>
      <w:r w:rsidR="00A0692D">
        <w:t>reason</w:t>
      </w:r>
      <w:r>
        <w:t xml:space="preserve"> </w:t>
      </w:r>
      <w:r w:rsidR="00192186">
        <w:t>advanced by the respondent</w:t>
      </w:r>
      <w:r w:rsidR="00FC0A7F">
        <w:t>s</w:t>
      </w:r>
      <w:r w:rsidR="00192186">
        <w:t xml:space="preserve"> </w:t>
      </w:r>
      <w:r>
        <w:t xml:space="preserve">is that the WhatsApp message contains a prior inconsistent statement by Mohammed </w:t>
      </w:r>
      <w:proofErr w:type="spellStart"/>
      <w:r>
        <w:t>Hanifa</w:t>
      </w:r>
      <w:proofErr w:type="spellEnd"/>
      <w:r>
        <w:t xml:space="preserve"> to Mr </w:t>
      </w:r>
      <w:proofErr w:type="spellStart"/>
      <w:r>
        <w:t>Khoram</w:t>
      </w:r>
      <w:proofErr w:type="spellEnd"/>
      <w:r>
        <w:t xml:space="preserve"> </w:t>
      </w:r>
      <w:r w:rsidR="006B5030">
        <w:t xml:space="preserve">made on </w:t>
      </w:r>
      <w:r w:rsidR="00A0692D">
        <w:t xml:space="preserve">or shortly </w:t>
      </w:r>
      <w:r w:rsidR="006B5030">
        <w:t>before</w:t>
      </w:r>
      <w:r w:rsidR="00A0692D">
        <w:t xml:space="preserve"> </w:t>
      </w:r>
      <w:r w:rsidR="00605013">
        <w:t>1 </w:t>
      </w:r>
      <w:r>
        <w:t>December 2020</w:t>
      </w:r>
      <w:r w:rsidR="006B5030">
        <w:t>,</w:t>
      </w:r>
      <w:r>
        <w:t xml:space="preserve"> that he </w:t>
      </w:r>
      <w:r w:rsidR="006B5030">
        <w:t xml:space="preserve">(Mohammed </w:t>
      </w:r>
      <w:proofErr w:type="spellStart"/>
      <w:r w:rsidR="006B5030">
        <w:t>Hanifa</w:t>
      </w:r>
      <w:proofErr w:type="spellEnd"/>
      <w:r w:rsidR="006B5030">
        <w:t xml:space="preserve">) </w:t>
      </w:r>
      <w:r>
        <w:t xml:space="preserve">had spoken to a person purporting to be a director of the AIHRC who told him about the matters </w:t>
      </w:r>
      <w:r w:rsidR="003C7B85">
        <w:t xml:space="preserve">recorded </w:t>
      </w:r>
      <w:r>
        <w:t>in the WhatsApp message.</w:t>
      </w:r>
      <w:r w:rsidR="00A0692D">
        <w:t xml:space="preserve">  The respondents submit that</w:t>
      </w:r>
      <w:r w:rsidR="00192186">
        <w:t xml:space="preserve"> both</w:t>
      </w:r>
      <w:r>
        <w:t xml:space="preserve"> s 106(1)(a) and s 4</w:t>
      </w:r>
      <w:r w:rsidR="0007710B">
        <w:t>3</w:t>
      </w:r>
      <w:r>
        <w:t xml:space="preserve"> </w:t>
      </w:r>
      <w:r w:rsidR="0007710B">
        <w:t xml:space="preserve">of the Evidence Act </w:t>
      </w:r>
      <w:r>
        <w:t>contain a requirement that the out of Court evidence, in this case a prior inconsistent statement</w:t>
      </w:r>
      <w:r w:rsidR="00192186">
        <w:t>,</w:t>
      </w:r>
      <w:r>
        <w:t xml:space="preserve"> be put to the witness</w:t>
      </w:r>
      <w:r w:rsidR="00192186">
        <w:t xml:space="preserve"> before</w:t>
      </w:r>
      <w:r>
        <w:t xml:space="preserve"> the evidence can be adduced.  In the case of s 106(1)(a)</w:t>
      </w:r>
      <w:r w:rsidR="003C7B85">
        <w:t>,</w:t>
      </w:r>
      <w:r>
        <w:t xml:space="preserve"> the requirement is that the substance of the evidence be put to the witness and in the case of s 4</w:t>
      </w:r>
      <w:r w:rsidR="0007710B">
        <w:t>3</w:t>
      </w:r>
      <w:r>
        <w:t xml:space="preserve">, the requirement is that enough of the circumstances of the making of the statement to enable the witness to identify the statement </w:t>
      </w:r>
      <w:r w:rsidR="00192186">
        <w:t xml:space="preserve">be put to the witness </w:t>
      </w:r>
      <w:r>
        <w:t>and the witness’</w:t>
      </w:r>
      <w:r w:rsidR="005F7424">
        <w:t>s</w:t>
      </w:r>
      <w:r>
        <w:t xml:space="preserve"> attention </w:t>
      </w:r>
      <w:r w:rsidR="00192186">
        <w:t xml:space="preserve">be drawn </w:t>
      </w:r>
      <w:r>
        <w:t>to so much of the statement as is inconsistent with the witness’</w:t>
      </w:r>
      <w:r w:rsidR="005F7424">
        <w:t>s</w:t>
      </w:r>
      <w:r>
        <w:t xml:space="preserve"> evidence.</w:t>
      </w:r>
      <w:r w:rsidR="00D664A3">
        <w:t xml:space="preserve">  </w:t>
      </w:r>
      <w:r>
        <w:t xml:space="preserve">The respondents contend that neither of these requirements were met in this case.  </w:t>
      </w:r>
    </w:p>
    <w:p w14:paraId="7A40890E" w14:textId="56724342" w:rsidR="00D664A3" w:rsidRDefault="00182F01" w:rsidP="00BC4C40">
      <w:pPr>
        <w:pStyle w:val="ParaNumbering"/>
      </w:pPr>
      <w:r>
        <w:t>I</w:t>
      </w:r>
      <w:r w:rsidR="00D664A3">
        <w:t xml:space="preserve">n my opinion, the substance of the evidence and “enough of the circumstances of the </w:t>
      </w:r>
      <w:r w:rsidR="00D664A3">
        <w:rPr>
          <w:i/>
        </w:rPr>
        <w:t xml:space="preserve">making </w:t>
      </w:r>
      <w:r w:rsidR="00D664A3">
        <w:t xml:space="preserve">of the statement to enable the witness to identify the statement” </w:t>
      </w:r>
      <w:r w:rsidR="00B65F32">
        <w:t>in</w:t>
      </w:r>
      <w:r w:rsidR="00D664A3">
        <w:t>cludes the date or period during</w:t>
      </w:r>
      <w:r w:rsidR="00A0692D">
        <w:t xml:space="preserve"> which</w:t>
      </w:r>
      <w:r w:rsidR="00D664A3">
        <w:t xml:space="preserve"> the statement was made and the person to whom it was made.  Neither of those </w:t>
      </w:r>
      <w:r w:rsidR="00D664A3">
        <w:lastRenderedPageBreak/>
        <w:t>matters w</w:t>
      </w:r>
      <w:r w:rsidR="006B5030">
        <w:t>as</w:t>
      </w:r>
      <w:r w:rsidR="00D664A3">
        <w:t xml:space="preserve"> put to Mohammed </w:t>
      </w:r>
      <w:proofErr w:type="spellStart"/>
      <w:r w:rsidR="00D664A3">
        <w:t>Hanifa</w:t>
      </w:r>
      <w:proofErr w:type="spellEnd"/>
      <w:r w:rsidR="00D664A3">
        <w:t xml:space="preserve">.  These are important requirements of the </w:t>
      </w:r>
      <w:r w:rsidR="00A0692D">
        <w:t xml:space="preserve">Evidence </w:t>
      </w:r>
      <w:r w:rsidR="00D664A3">
        <w:t xml:space="preserve">Act which were not complied with in this case.  </w:t>
      </w:r>
      <w:r w:rsidR="00B65F32">
        <w:t xml:space="preserve">In a case where a witness may be held to have made a prior inconsistent statement, I do not think there is scope for an approach which does not insist on strict compliance with the statutory provisions.  </w:t>
      </w:r>
      <w:r w:rsidR="00D664A3">
        <w:t>In the circumstances, the</w:t>
      </w:r>
      <w:r w:rsidR="00A0692D">
        <w:t xml:space="preserve"> tender of the WhatsApp message</w:t>
      </w:r>
      <w:r w:rsidR="00D664A3">
        <w:t xml:space="preserve"> dated 1 December 2020 must be rejected.</w:t>
      </w:r>
    </w:p>
    <w:p w14:paraId="73379EF2" w14:textId="77777777" w:rsidR="00E96B21" w:rsidRPr="006A4D9D" w:rsidRDefault="00E96B21" w:rsidP="00E96B21">
      <w:pPr>
        <w:pStyle w:val="ParaNumbering"/>
        <w:numPr>
          <w:ilvl w:val="0"/>
          <w:numId w:val="0"/>
        </w:numPr>
      </w:pPr>
    </w:p>
    <w:tbl>
      <w:tblPr>
        <w:tblW w:w="0" w:type="auto"/>
        <w:tblLook w:val="04A0" w:firstRow="1" w:lastRow="0" w:firstColumn="1" w:lastColumn="0" w:noHBand="0" w:noVBand="1"/>
      </w:tblPr>
      <w:tblGrid>
        <w:gridCol w:w="3794"/>
      </w:tblGrid>
      <w:tr w:rsidR="00BA05FB" w:rsidRPr="00BA05FB" w14:paraId="666B49AD" w14:textId="77777777">
        <w:tc>
          <w:tcPr>
            <w:tcW w:w="3794" w:type="dxa"/>
            <w:shd w:val="clear" w:color="auto" w:fill="auto"/>
          </w:tcPr>
          <w:p w14:paraId="2BC95915" w14:textId="0F51F598" w:rsidR="00BA05FB" w:rsidRPr="00BA05FB" w:rsidRDefault="00BA05FB" w:rsidP="00B65F32">
            <w:pPr>
              <w:pStyle w:val="Normal1linespace"/>
            </w:pPr>
            <w:bookmarkStart w:id="24" w:name="Certification"/>
            <w:r w:rsidRPr="00BA05FB">
              <w:t xml:space="preserve">I certify that the preceding </w:t>
            </w:r>
            <w:bookmarkStart w:id="25" w:name="NumberWord"/>
            <w:r w:rsidR="00B65F32">
              <w:t>seventeen</w:t>
            </w:r>
            <w:bookmarkEnd w:id="25"/>
            <w:r w:rsidRPr="00BA05FB">
              <w:t xml:space="preserve"> (</w:t>
            </w:r>
            <w:bookmarkStart w:id="26" w:name="NumberNumeral"/>
            <w:r w:rsidR="00B65F32">
              <w:t>17</w:t>
            </w:r>
            <w:bookmarkEnd w:id="26"/>
            <w:r w:rsidRPr="00BA05FB">
              <w:t xml:space="preserve">) numbered </w:t>
            </w:r>
            <w:bookmarkStart w:id="27" w:name="CertPara"/>
            <w:r w:rsidR="00552CBA">
              <w:t>paragraphs are</w:t>
            </w:r>
            <w:bookmarkEnd w:id="27"/>
            <w:r w:rsidRPr="00BA05FB">
              <w:t xml:space="preserve"> a true copy of the Reasons for Judgment of </w:t>
            </w:r>
            <w:bookmarkStart w:id="28" w:name="bkHonourable"/>
            <w:r w:rsidRPr="00BA05FB">
              <w:t xml:space="preserve">the Honourable </w:t>
            </w:r>
            <w:bookmarkStart w:id="29" w:name="Justice"/>
            <w:bookmarkEnd w:id="28"/>
            <w:r>
              <w:t xml:space="preserve">Justice </w:t>
            </w:r>
            <w:r w:rsidR="00632CD6">
              <w:t>Besanko</w:t>
            </w:r>
            <w:bookmarkEnd w:id="29"/>
            <w:r w:rsidRPr="00BA05FB">
              <w:t>.</w:t>
            </w:r>
          </w:p>
        </w:tc>
      </w:tr>
    </w:tbl>
    <w:p w14:paraId="3CF663E4" w14:textId="2D3A32DD" w:rsidR="00BA05FB" w:rsidRDefault="00BA05FB" w:rsidP="009E2554">
      <w:pPr>
        <w:pStyle w:val="BodyText"/>
      </w:pPr>
      <w:bookmarkStart w:id="30" w:name="_GoBack"/>
      <w:bookmarkEnd w:id="30"/>
    </w:p>
    <w:p w14:paraId="143E84C0" w14:textId="3FD2BFBF" w:rsidR="00BA05FB" w:rsidRDefault="00BA05FB" w:rsidP="009E2554">
      <w:pPr>
        <w:pStyle w:val="BodyText"/>
      </w:pPr>
    </w:p>
    <w:p w14:paraId="3D776788" w14:textId="1629E5ED" w:rsidR="00BA05FB" w:rsidRDefault="00BA05FB" w:rsidP="009E2554">
      <w:pPr>
        <w:pStyle w:val="BodyText"/>
      </w:pPr>
      <w:r>
        <w:t>Associate:</w:t>
      </w:r>
      <w:r w:rsidR="00632CD6">
        <w:tab/>
      </w:r>
    </w:p>
    <w:p w14:paraId="28CBA593" w14:textId="57C8082E" w:rsidR="00BA05FB" w:rsidRDefault="00BA05FB" w:rsidP="009E2554">
      <w:pPr>
        <w:pStyle w:val="BodyText"/>
      </w:pPr>
    </w:p>
    <w:p w14:paraId="1AFDDE53" w14:textId="6CE3AC1F" w:rsidR="00BA05FB" w:rsidRDefault="00BA05FB" w:rsidP="00BA05FB">
      <w:pPr>
        <w:pStyle w:val="BodyText"/>
        <w:tabs>
          <w:tab w:val="left" w:pos="1134"/>
        </w:tabs>
      </w:pPr>
      <w:r>
        <w:t>Dated:</w:t>
      </w:r>
      <w:r>
        <w:tab/>
      </w:r>
      <w:bookmarkStart w:id="31" w:name="CertifyDated"/>
      <w:r w:rsidR="005F2284">
        <w:t>23</w:t>
      </w:r>
      <w:r w:rsidR="00B65F32">
        <w:t xml:space="preserve"> May </w:t>
      </w:r>
      <w:r>
        <w:t>202</w:t>
      </w:r>
      <w:r w:rsidR="008E47CA">
        <w:t>2</w:t>
      </w:r>
      <w:bookmarkEnd w:id="31"/>
    </w:p>
    <w:bookmarkEnd w:id="24"/>
    <w:p w14:paraId="700A14C8" w14:textId="60644FEA" w:rsidR="001612E5" w:rsidRDefault="001612E5" w:rsidP="00BA05FB">
      <w:pPr>
        <w:pStyle w:val="BodyText"/>
      </w:pPr>
      <w:r>
        <w:br w:type="page"/>
      </w:r>
    </w:p>
    <w:p w14:paraId="4DCC2688" w14:textId="77777777" w:rsidR="00551EE1" w:rsidRPr="00CD498A" w:rsidRDefault="00551EE1" w:rsidP="00E91A0F">
      <w:pPr>
        <w:pStyle w:val="NormalHeadings"/>
        <w:spacing w:before="180" w:line="480" w:lineRule="auto"/>
        <w:jc w:val="center"/>
        <w:rPr>
          <w:sz w:val="28"/>
          <w:szCs w:val="28"/>
        </w:rPr>
      </w:pPr>
      <w:bookmarkStart w:id="32" w:name="SOP_Section"/>
      <w:r w:rsidRPr="00CD498A">
        <w:rPr>
          <w:sz w:val="28"/>
          <w:szCs w:val="28"/>
        </w:rPr>
        <w:lastRenderedPageBreak/>
        <w:t>SCHEDULE OF PARTIES</w:t>
      </w:r>
    </w:p>
    <w:p w14:paraId="2BEEFC36" w14:textId="77777777" w:rsidR="00551EE1" w:rsidRPr="00663089" w:rsidRDefault="00551EE1" w:rsidP="00255D0A">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551EE1" w14:paraId="26C80E5A" w14:textId="77777777" w:rsidTr="00551EE1">
        <w:tc>
          <w:tcPr>
            <w:tcW w:w="3368" w:type="dxa"/>
          </w:tcPr>
          <w:p w14:paraId="0A4E5E11" w14:textId="77777777" w:rsidR="00551EE1" w:rsidRDefault="00551EE1" w:rsidP="00255D0A">
            <w:pPr>
              <w:pStyle w:val="NormalHeadings"/>
              <w:jc w:val="left"/>
              <w:rPr>
                <w:caps/>
                <w:szCs w:val="24"/>
              </w:rPr>
            </w:pPr>
          </w:p>
        </w:tc>
        <w:tc>
          <w:tcPr>
            <w:tcW w:w="5874" w:type="dxa"/>
          </w:tcPr>
          <w:p w14:paraId="7B7B595C" w14:textId="77777777" w:rsidR="00551EE1" w:rsidRDefault="00551EE1" w:rsidP="00551EE1">
            <w:pPr>
              <w:pStyle w:val="NormalHeadings"/>
              <w:jc w:val="right"/>
            </w:pPr>
            <w:r>
              <w:fldChar w:fldCharType="begin" w:fldLock="1"/>
            </w:r>
            <w:r>
              <w:instrText xml:space="preserve"> REF  FileNo </w:instrText>
            </w:r>
            <w:r>
              <w:fldChar w:fldCharType="separate"/>
            </w:r>
            <w:r>
              <w:t>NSD 1485 of 2018</w:t>
            </w:r>
          </w:p>
          <w:p w14:paraId="46201E8D" w14:textId="77777777" w:rsidR="00551EE1" w:rsidRDefault="00551EE1" w:rsidP="00551EE1">
            <w:pPr>
              <w:pStyle w:val="NormalHeadings"/>
              <w:jc w:val="right"/>
            </w:pPr>
            <w:r>
              <w:t>NSD 1486 of 2018</w:t>
            </w:r>
          </w:p>
          <w:p w14:paraId="5940D213" w14:textId="77777777" w:rsidR="00551EE1" w:rsidRDefault="00551EE1" w:rsidP="00255D0A">
            <w:pPr>
              <w:pStyle w:val="NormalHeadings"/>
              <w:jc w:val="right"/>
            </w:pPr>
            <w:r>
              <w:t>NSD 1487 of 2018</w:t>
            </w:r>
            <w:r>
              <w:fldChar w:fldCharType="end"/>
            </w:r>
          </w:p>
        </w:tc>
      </w:tr>
      <w:tr w:rsidR="00551EE1" w14:paraId="15313AF7" w14:textId="77777777" w:rsidTr="00551EE1">
        <w:trPr>
          <w:trHeight w:val="386"/>
        </w:trPr>
        <w:tc>
          <w:tcPr>
            <w:tcW w:w="3368" w:type="dxa"/>
          </w:tcPr>
          <w:p w14:paraId="63DB584D" w14:textId="77777777" w:rsidR="00551EE1" w:rsidRDefault="00551EE1" w:rsidP="00255D0A">
            <w:pPr>
              <w:pStyle w:val="BodyTextBold"/>
              <w:spacing w:before="180"/>
              <w:jc w:val="left"/>
            </w:pPr>
            <w:bookmarkStart w:id="33" w:name="SOP_RespondentsRows" w:colFirst="0" w:colLast="1"/>
            <w:r>
              <w:t>Respondents</w:t>
            </w:r>
          </w:p>
        </w:tc>
        <w:tc>
          <w:tcPr>
            <w:tcW w:w="5874" w:type="dxa"/>
            <w:tcMar>
              <w:left w:w="28" w:type="dxa"/>
            </w:tcMar>
          </w:tcPr>
          <w:p w14:paraId="70D7785B" w14:textId="77777777" w:rsidR="00551EE1" w:rsidRDefault="00551EE1" w:rsidP="00255D0A">
            <w:pPr>
              <w:pStyle w:val="BodyText"/>
              <w:jc w:val="left"/>
            </w:pPr>
          </w:p>
        </w:tc>
      </w:tr>
      <w:tr w:rsidR="00551EE1" w14:paraId="13BDE4FE" w14:textId="77777777" w:rsidTr="00551EE1">
        <w:trPr>
          <w:trHeight w:val="386"/>
        </w:trPr>
        <w:tc>
          <w:tcPr>
            <w:tcW w:w="3368" w:type="dxa"/>
          </w:tcPr>
          <w:p w14:paraId="1CAFCB9B" w14:textId="77777777" w:rsidR="00551EE1" w:rsidRDefault="00551EE1" w:rsidP="00551EE1">
            <w:pPr>
              <w:pStyle w:val="BodyText"/>
              <w:spacing w:before="120" w:after="240" w:line="240" w:lineRule="auto"/>
              <w:jc w:val="left"/>
            </w:pPr>
            <w:r>
              <w:t>Second Respondent:</w:t>
            </w:r>
          </w:p>
        </w:tc>
        <w:tc>
          <w:tcPr>
            <w:tcW w:w="5874" w:type="dxa"/>
            <w:tcMar>
              <w:left w:w="28" w:type="dxa"/>
            </w:tcMar>
          </w:tcPr>
          <w:p w14:paraId="1F22C3CA" w14:textId="77777777" w:rsidR="00551EE1" w:rsidRDefault="00551EE1" w:rsidP="00551EE1">
            <w:pPr>
              <w:pStyle w:val="BodyText"/>
              <w:spacing w:before="120" w:after="240" w:line="240" w:lineRule="auto"/>
              <w:jc w:val="left"/>
            </w:pPr>
            <w:r>
              <w:t>NICK MCKENZIE</w:t>
            </w:r>
          </w:p>
        </w:tc>
      </w:tr>
      <w:tr w:rsidR="00551EE1" w14:paraId="47AA8427" w14:textId="77777777" w:rsidTr="00551EE1">
        <w:trPr>
          <w:trHeight w:val="386"/>
        </w:trPr>
        <w:tc>
          <w:tcPr>
            <w:tcW w:w="3368" w:type="dxa"/>
          </w:tcPr>
          <w:p w14:paraId="7706981F" w14:textId="77777777" w:rsidR="00551EE1" w:rsidRDefault="00551EE1" w:rsidP="00255D0A">
            <w:pPr>
              <w:pStyle w:val="BodyText"/>
              <w:spacing w:after="240" w:line="240" w:lineRule="auto"/>
              <w:jc w:val="left"/>
            </w:pPr>
            <w:r>
              <w:t>Third Respondent:</w:t>
            </w:r>
          </w:p>
        </w:tc>
        <w:tc>
          <w:tcPr>
            <w:tcW w:w="5874" w:type="dxa"/>
            <w:tcMar>
              <w:left w:w="28" w:type="dxa"/>
            </w:tcMar>
          </w:tcPr>
          <w:p w14:paraId="5306D1C6" w14:textId="77777777" w:rsidR="00551EE1" w:rsidRDefault="00551EE1" w:rsidP="00255D0A">
            <w:pPr>
              <w:pStyle w:val="BodyText"/>
              <w:spacing w:after="240" w:line="240" w:lineRule="auto"/>
              <w:jc w:val="left"/>
            </w:pPr>
            <w:r>
              <w:t>CHRIS MASTERS</w:t>
            </w:r>
          </w:p>
        </w:tc>
      </w:tr>
      <w:tr w:rsidR="00551EE1" w14:paraId="37B31091" w14:textId="77777777" w:rsidTr="00551EE1">
        <w:trPr>
          <w:trHeight w:val="386"/>
        </w:trPr>
        <w:tc>
          <w:tcPr>
            <w:tcW w:w="3368" w:type="dxa"/>
          </w:tcPr>
          <w:p w14:paraId="739CA33B" w14:textId="77777777" w:rsidR="00551EE1" w:rsidRDefault="00551EE1" w:rsidP="00255D0A">
            <w:pPr>
              <w:pStyle w:val="BodyText"/>
              <w:spacing w:after="240" w:line="240" w:lineRule="auto"/>
              <w:jc w:val="left"/>
            </w:pPr>
            <w:bookmarkStart w:id="34" w:name="SOP_FirstRespondent"/>
            <w:bookmarkEnd w:id="34"/>
            <w:r>
              <w:t>Fourth Respondent:</w:t>
            </w:r>
          </w:p>
        </w:tc>
        <w:tc>
          <w:tcPr>
            <w:tcW w:w="5874" w:type="dxa"/>
            <w:tcMar>
              <w:left w:w="28" w:type="dxa"/>
            </w:tcMar>
          </w:tcPr>
          <w:p w14:paraId="5B2F112F" w14:textId="77777777" w:rsidR="00551EE1" w:rsidRDefault="00551EE1" w:rsidP="00255D0A">
            <w:pPr>
              <w:pStyle w:val="BodyText"/>
              <w:spacing w:after="240" w:line="240" w:lineRule="auto"/>
              <w:jc w:val="left"/>
            </w:pPr>
            <w:r>
              <w:t>DAVID WROE</w:t>
            </w:r>
          </w:p>
        </w:tc>
      </w:tr>
      <w:bookmarkEnd w:id="33"/>
      <w:bookmarkEnd w:id="32"/>
    </w:tbl>
    <w:p w14:paraId="7449ED91" w14:textId="77777777" w:rsidR="001612E5" w:rsidRDefault="001612E5" w:rsidP="00EE1645">
      <w:pPr>
        <w:pStyle w:val="BodyText"/>
      </w:pPr>
    </w:p>
    <w:sectPr w:rsidR="001612E5"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12FE7" w14:textId="77777777" w:rsidR="009E2554" w:rsidRDefault="009E2554">
      <w:pPr>
        <w:spacing w:line="20" w:lineRule="exact"/>
      </w:pPr>
    </w:p>
    <w:p w14:paraId="0647B326" w14:textId="77777777" w:rsidR="009E2554" w:rsidRDefault="009E2554"/>
    <w:p w14:paraId="07B06098" w14:textId="77777777" w:rsidR="009E2554" w:rsidRDefault="009E2554"/>
  </w:endnote>
  <w:endnote w:type="continuationSeparator" w:id="0">
    <w:p w14:paraId="1E1A3277" w14:textId="77777777" w:rsidR="009E2554" w:rsidRDefault="009E2554">
      <w:r>
        <w:t xml:space="preserve"> </w:t>
      </w:r>
    </w:p>
    <w:p w14:paraId="6E0EB95F" w14:textId="77777777" w:rsidR="009E2554" w:rsidRDefault="009E2554"/>
    <w:p w14:paraId="45EA6FEA" w14:textId="77777777" w:rsidR="009E2554" w:rsidRDefault="009E2554"/>
  </w:endnote>
  <w:endnote w:type="continuationNotice" w:id="1">
    <w:p w14:paraId="64CDE30D" w14:textId="77777777" w:rsidR="009E2554" w:rsidRDefault="009E2554">
      <w:r>
        <w:t xml:space="preserve"> </w:t>
      </w:r>
    </w:p>
    <w:p w14:paraId="498C5133" w14:textId="77777777" w:rsidR="009E2554" w:rsidRDefault="009E2554"/>
    <w:p w14:paraId="2713E573" w14:textId="77777777" w:rsidR="009E2554" w:rsidRDefault="009E2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400D8" w14:textId="49B74CB0" w:rsidR="009E2554" w:rsidRPr="00C47B9D" w:rsidRDefault="009E2554"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7729C39F" wp14:editId="1842A067">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F26C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DA47F6">
          <w:rPr>
            <w:bCs/>
            <w:sz w:val="18"/>
            <w:szCs w:val="18"/>
          </w:rPr>
          <w:t>Roberts-Smith v Fairfax Media Publications Pty Limited (No 38) [2022] FCA 597</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E7CD" w14:textId="314357D9" w:rsidR="009E2554" w:rsidRPr="00C47B9D" w:rsidRDefault="009E2554"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4F1049C9" wp14:editId="3EEB90F7">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330E9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0137AB7676B0470EBA460C971919B0C6"/>
        </w:placeholder>
        <w:dataBinding w:prefixMappings="xmlns:ns0='http://schemas.globalmacros.com/FCA'" w:xpath="/ns0:root[1]/ns0:Name[1]" w:storeItemID="{687E7CCB-4AA5-44E7-B148-17BA2B6F57C0}"/>
        <w:text w:multiLine="1"/>
      </w:sdtPr>
      <w:sdtEndPr/>
      <w:sdtContent>
        <w:r w:rsidR="00DA47F6">
          <w:rPr>
            <w:bCs/>
            <w:sz w:val="18"/>
            <w:szCs w:val="18"/>
          </w:rPr>
          <w:t>Roberts-Smith v Fairfax Media Publications Pty Limited (No 38) [2022] FCA 597</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1193B">
      <w:rPr>
        <w:bCs/>
        <w:noProof/>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292F" w14:textId="7D3E9E7C" w:rsidR="009E2554" w:rsidRPr="00C47B9D" w:rsidRDefault="009E2554"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6E25319D" wp14:editId="23ED44BB">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C776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CA71FFEDF448405696B69A8C258B2846"/>
        </w:placeholder>
        <w:dataBinding w:prefixMappings="xmlns:ns0='http://schemas.globalmacros.com/FCA'" w:xpath="/ns0:root[1]/ns0:Name[1]" w:storeItemID="{687E7CCB-4AA5-44E7-B148-17BA2B6F57C0}"/>
        <w:text w:multiLine="1"/>
      </w:sdtPr>
      <w:sdtEndPr/>
      <w:sdtContent>
        <w:r w:rsidR="00DA47F6">
          <w:rPr>
            <w:bCs/>
            <w:sz w:val="18"/>
            <w:szCs w:val="18"/>
          </w:rPr>
          <w:t>Roberts-Smith v Fairfax Media Publications Pty Limited (No 38) [2022] FCA 597</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D7CD9">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FFBA" w14:textId="70F6A3C3" w:rsidR="009E2554" w:rsidRPr="00C47B9D" w:rsidRDefault="009E2554"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6072749A" wp14:editId="21F01A6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EED8D1"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501B6F987D6644AE86A44059E6D12532"/>
        </w:placeholder>
        <w:dataBinding w:prefixMappings="xmlns:ns0='http://schemas.globalmacros.com/FCA'" w:xpath="/ns0:root[1]/ns0:Name[1]" w:storeItemID="{687E7CCB-4AA5-44E7-B148-17BA2B6F57C0}"/>
        <w:text w:multiLine="1"/>
      </w:sdtPr>
      <w:sdtEndPr/>
      <w:sdtContent>
        <w:r w:rsidR="00DA47F6">
          <w:rPr>
            <w:bCs/>
            <w:sz w:val="18"/>
            <w:szCs w:val="18"/>
          </w:rPr>
          <w:t>Roberts-Smith v Fairfax Media Publications Pty Limited (No 38) [2022] FCA 597</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D7CD9">
      <w:rPr>
        <w:bCs/>
        <w:noProof/>
        <w:sz w:val="20"/>
      </w:rPr>
      <w:t>6</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8E5F" w14:textId="16613050" w:rsidR="009E2554" w:rsidRPr="00C47B9D" w:rsidRDefault="009E2554"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1331AED2" wp14:editId="740C7A1D">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02BA7"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89BE9BBCCD694EF3A278F2F56731F3C5"/>
        </w:placeholder>
        <w:dataBinding w:prefixMappings="xmlns:ns0='http://schemas.globalmacros.com/FCA'" w:xpath="/ns0:root[1]/ns0:Name[1]" w:storeItemID="{687E7CCB-4AA5-44E7-B148-17BA2B6F57C0}"/>
        <w:text w:multiLine="1"/>
      </w:sdtPr>
      <w:sdtEndPr/>
      <w:sdtContent>
        <w:r w:rsidR="00DA47F6">
          <w:rPr>
            <w:bCs/>
            <w:sz w:val="18"/>
            <w:szCs w:val="18"/>
          </w:rPr>
          <w:t>Roberts-Smith v Fairfax Media Publications Pty Limited (No 38) [2022] FCA 597</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D7CD9">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3A796" w14:textId="77777777" w:rsidR="009E2554" w:rsidRDefault="009E2554"/>
    <w:p w14:paraId="4AB0E196" w14:textId="77777777" w:rsidR="009E2554" w:rsidRDefault="009E2554"/>
    <w:p w14:paraId="7ECB04E4" w14:textId="77777777" w:rsidR="009E2554" w:rsidRDefault="009E2554"/>
  </w:footnote>
  <w:footnote w:type="continuationSeparator" w:id="0">
    <w:p w14:paraId="64D33FC3" w14:textId="77777777" w:rsidR="009E2554" w:rsidRDefault="009E2554">
      <w:r>
        <w:continuationSeparator/>
      </w:r>
    </w:p>
    <w:p w14:paraId="1741F89B" w14:textId="77777777" w:rsidR="009E2554" w:rsidRDefault="009E2554"/>
    <w:p w14:paraId="58EB00D6" w14:textId="77777777" w:rsidR="009E2554" w:rsidRDefault="009E25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2EC99" w14:textId="77777777" w:rsidR="009E2554" w:rsidRDefault="009E255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B824" w14:textId="77777777" w:rsidR="009E2554" w:rsidRDefault="009E255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790AA" w14:textId="77777777" w:rsidR="009E2554" w:rsidRDefault="009E255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EC144" w14:textId="77777777" w:rsidR="009E2554" w:rsidRDefault="009E255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D052" w14:textId="77777777" w:rsidR="009E2554" w:rsidRDefault="009E255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862"/>
        </w:tabs>
        <w:ind w:left="862" w:hanging="720"/>
      </w:pPr>
      <w:rPr>
        <w:rFonts w:ascii="Times New Roman" w:hAnsi="Times New Roman" w:hint="default"/>
        <w:sz w:val="24"/>
      </w:rPr>
    </w:lvl>
    <w:lvl w:ilvl="1">
      <w:start w:val="1"/>
      <w:numFmt w:val="lowerLetter"/>
      <w:pStyle w:val="Order2"/>
      <w:lvlText w:val="(%2)"/>
      <w:lvlJc w:val="left"/>
      <w:pPr>
        <w:tabs>
          <w:tab w:val="num" w:pos="1582"/>
        </w:tabs>
        <w:ind w:left="1582" w:hanging="720"/>
      </w:pPr>
      <w:rPr>
        <w:rFonts w:hint="default"/>
      </w:rPr>
    </w:lvl>
    <w:lvl w:ilvl="2">
      <w:start w:val="1"/>
      <w:numFmt w:val="lowerRoman"/>
      <w:pStyle w:val="Order3"/>
      <w:lvlText w:val="(%3)"/>
      <w:lvlJc w:val="left"/>
      <w:pPr>
        <w:tabs>
          <w:tab w:val="num" w:pos="1582"/>
        </w:tabs>
        <w:ind w:left="2302" w:hanging="720"/>
      </w:pPr>
      <w:rPr>
        <w:rFonts w:hint="default"/>
      </w:rPr>
    </w:lvl>
    <w:lvl w:ilvl="3">
      <w:start w:val="1"/>
      <w:numFmt w:val="upperLetter"/>
      <w:pStyle w:val="Order4"/>
      <w:lvlText w:val="%4."/>
      <w:lvlJc w:val="left"/>
      <w:pPr>
        <w:tabs>
          <w:tab w:val="num" w:pos="2302"/>
        </w:tabs>
        <w:ind w:left="3022" w:hanging="720"/>
      </w:pPr>
      <w:rPr>
        <w:rFonts w:hint="default"/>
      </w:rPr>
    </w:lvl>
    <w:lvl w:ilvl="4">
      <w:numFmt w:val="none"/>
      <w:lvlRestart w:val="0"/>
      <w:suff w:val="nothing"/>
      <w:lvlText w:val=""/>
      <w:lvlJc w:val="left"/>
      <w:pPr>
        <w:ind w:left="-32625" w:firstLine="0"/>
      </w:pPr>
      <w:rPr>
        <w:rFonts w:hint="default"/>
      </w:rPr>
    </w:lvl>
    <w:lvl w:ilvl="5">
      <w:start w:val="1"/>
      <w:numFmt w:val="none"/>
      <w:lvlRestart w:val="0"/>
      <w:suff w:val="nothing"/>
      <w:lvlText w:val=""/>
      <w:lvlJc w:val="left"/>
      <w:pPr>
        <w:ind w:left="-32625" w:firstLine="0"/>
      </w:pPr>
      <w:rPr>
        <w:rFonts w:hint="default"/>
      </w:rPr>
    </w:lvl>
    <w:lvl w:ilvl="6">
      <w:start w:val="1"/>
      <w:numFmt w:val="none"/>
      <w:lvlRestart w:val="0"/>
      <w:suff w:val="nothing"/>
      <w:lvlText w:val=""/>
      <w:lvlJc w:val="left"/>
      <w:pPr>
        <w:ind w:left="-32625" w:firstLine="0"/>
      </w:pPr>
      <w:rPr>
        <w:rFonts w:hint="default"/>
      </w:rPr>
    </w:lvl>
    <w:lvl w:ilvl="7">
      <w:start w:val="1"/>
      <w:numFmt w:val="none"/>
      <w:lvlRestart w:val="0"/>
      <w:suff w:val="nothing"/>
      <w:lvlText w:val=""/>
      <w:lvlJc w:val="left"/>
      <w:pPr>
        <w:ind w:left="-32625" w:firstLine="0"/>
      </w:pPr>
      <w:rPr>
        <w:rFonts w:hint="default"/>
      </w:rPr>
    </w:lvl>
    <w:lvl w:ilvl="8">
      <w:start w:val="1"/>
      <w:numFmt w:val="none"/>
      <w:suff w:val="nothing"/>
      <w:lvlText w:val=""/>
      <w:lvlJc w:val="left"/>
      <w:pPr>
        <w:ind w:left="-32625"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8"/>
  </w:num>
  <w:num w:numId="25">
    <w:abstractNumId w:val="10"/>
  </w:num>
  <w:num w:numId="26">
    <w:abstractNumId w:val="10"/>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2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BEN ROBERTS-SMITH"/>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1485 of 2018_x000d_NSD 1486 of 2018_x000d_NSD 1487 of 2018"/>
    <w:docVar w:name="grpRadioJudges" w:val="Justice"/>
    <w:docVar w:name="Initiators" w:val="(and another named in the Schedule)"/>
    <w:docVar w:name="Judgdate" w:val="8 September 2020"/>
    <w:docVar w:name="Judge" w:val="Colvin"/>
    <w:docVar w:name="lstEntryList" w:val="-1"/>
    <w:docVar w:name="myEntryList" w:val="Counsel for the Applicant=Mr P Sharp|Solicitor for the Applicant=Mark O'Brien Legal|Counsel for the Respondents=Mr ATS Dawson SC with Ms L Barnett and Mr C Mitchell|Solicitor for the Respondents=Minter Ellison"/>
    <w:docVar w:name="NSD" w:val="NSD "/>
    <w:docVar w:name="NumApps" w:val="1"/>
    <w:docVar w:name="NumApps_" w:val="1"/>
    <w:docVar w:name="NumCrossResps" w:val="0"/>
    <w:docVar w:name="NumDefs" w:val="4"/>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Other Federal Jurisdiction"/>
    <w:docVar w:name="RadioJudge" w:val="False"/>
    <w:docVar w:name="RadioJustice" w:val="True"/>
    <w:docVar w:name="RadioJustices" w:val="False"/>
    <w:docVar w:name="RESAndAnother" w:val="True"/>
    <w:docVar w:name="RESAndOthers" w:val="False"/>
    <w:docVar w:name="Respondent" w:val="FAIRFAX MEDIA PUBLICATIONS PTY LIMITED (ACN 003 357 720)|NICK MCKENZIE|CHRIS MASTERS|DAVID WROE"/>
    <w:docVar w:name="ResState" w:val="New South Wales"/>
    <w:docVar w:name="SubArea" w:val="[none]"/>
  </w:docVars>
  <w:rsids>
    <w:rsidRoot w:val="001612E5"/>
    <w:rsid w:val="00000747"/>
    <w:rsid w:val="00005015"/>
    <w:rsid w:val="000115C5"/>
    <w:rsid w:val="0001469E"/>
    <w:rsid w:val="00015993"/>
    <w:rsid w:val="00021CCB"/>
    <w:rsid w:val="00022289"/>
    <w:rsid w:val="00027398"/>
    <w:rsid w:val="00030DFB"/>
    <w:rsid w:val="0003201A"/>
    <w:rsid w:val="0003207A"/>
    <w:rsid w:val="00032F9F"/>
    <w:rsid w:val="00034249"/>
    <w:rsid w:val="00041C07"/>
    <w:rsid w:val="00045BB7"/>
    <w:rsid w:val="000468E3"/>
    <w:rsid w:val="00055719"/>
    <w:rsid w:val="0005641B"/>
    <w:rsid w:val="0006196A"/>
    <w:rsid w:val="00075836"/>
    <w:rsid w:val="0007710B"/>
    <w:rsid w:val="00081497"/>
    <w:rsid w:val="00085255"/>
    <w:rsid w:val="000A2E76"/>
    <w:rsid w:val="000A4807"/>
    <w:rsid w:val="000A4BE4"/>
    <w:rsid w:val="000B197D"/>
    <w:rsid w:val="000C023E"/>
    <w:rsid w:val="000C5195"/>
    <w:rsid w:val="000C62EF"/>
    <w:rsid w:val="000D2137"/>
    <w:rsid w:val="000D3FD2"/>
    <w:rsid w:val="000D4B2E"/>
    <w:rsid w:val="000E3FC8"/>
    <w:rsid w:val="000E7BAE"/>
    <w:rsid w:val="000F133D"/>
    <w:rsid w:val="000F2359"/>
    <w:rsid w:val="000F313C"/>
    <w:rsid w:val="000F47AA"/>
    <w:rsid w:val="001036AA"/>
    <w:rsid w:val="0010536B"/>
    <w:rsid w:val="0011145C"/>
    <w:rsid w:val="001128BD"/>
    <w:rsid w:val="0011419D"/>
    <w:rsid w:val="00114B02"/>
    <w:rsid w:val="001174BD"/>
    <w:rsid w:val="00122385"/>
    <w:rsid w:val="001226C0"/>
    <w:rsid w:val="00126EC8"/>
    <w:rsid w:val="0012731C"/>
    <w:rsid w:val="0013155A"/>
    <w:rsid w:val="00132054"/>
    <w:rsid w:val="00134964"/>
    <w:rsid w:val="001351B9"/>
    <w:rsid w:val="00152EE6"/>
    <w:rsid w:val="00153214"/>
    <w:rsid w:val="00155CD2"/>
    <w:rsid w:val="001566F2"/>
    <w:rsid w:val="001612E5"/>
    <w:rsid w:val="00163842"/>
    <w:rsid w:val="001727A4"/>
    <w:rsid w:val="0017376C"/>
    <w:rsid w:val="001738AB"/>
    <w:rsid w:val="001765E0"/>
    <w:rsid w:val="00177759"/>
    <w:rsid w:val="00180BB3"/>
    <w:rsid w:val="00181E99"/>
    <w:rsid w:val="00182F01"/>
    <w:rsid w:val="00185E6B"/>
    <w:rsid w:val="00187BBC"/>
    <w:rsid w:val="001904AB"/>
    <w:rsid w:val="00192186"/>
    <w:rsid w:val="0019329A"/>
    <w:rsid w:val="001932F3"/>
    <w:rsid w:val="00193EFC"/>
    <w:rsid w:val="00195074"/>
    <w:rsid w:val="001A2B40"/>
    <w:rsid w:val="001A4309"/>
    <w:rsid w:val="001A46AE"/>
    <w:rsid w:val="001A6C52"/>
    <w:rsid w:val="001B1053"/>
    <w:rsid w:val="001B14AC"/>
    <w:rsid w:val="001B7940"/>
    <w:rsid w:val="001C171A"/>
    <w:rsid w:val="001C1CE3"/>
    <w:rsid w:val="001C37CA"/>
    <w:rsid w:val="001C4085"/>
    <w:rsid w:val="001D361F"/>
    <w:rsid w:val="001D4303"/>
    <w:rsid w:val="001D6746"/>
    <w:rsid w:val="001E1E1D"/>
    <w:rsid w:val="001E3B49"/>
    <w:rsid w:val="001E4A05"/>
    <w:rsid w:val="001E7388"/>
    <w:rsid w:val="001F13DD"/>
    <w:rsid w:val="001F2473"/>
    <w:rsid w:val="001F2DBC"/>
    <w:rsid w:val="001F36D6"/>
    <w:rsid w:val="001F4E01"/>
    <w:rsid w:val="001F73E8"/>
    <w:rsid w:val="0020262C"/>
    <w:rsid w:val="00211A3E"/>
    <w:rsid w:val="00215BCA"/>
    <w:rsid w:val="00217AC4"/>
    <w:rsid w:val="00221461"/>
    <w:rsid w:val="00224537"/>
    <w:rsid w:val="00226CD7"/>
    <w:rsid w:val="00235956"/>
    <w:rsid w:val="00243E5E"/>
    <w:rsid w:val="00247C9A"/>
    <w:rsid w:val="0025160C"/>
    <w:rsid w:val="002535D0"/>
    <w:rsid w:val="002539B3"/>
    <w:rsid w:val="0025472B"/>
    <w:rsid w:val="00255D0A"/>
    <w:rsid w:val="00256336"/>
    <w:rsid w:val="00257C3E"/>
    <w:rsid w:val="002602C2"/>
    <w:rsid w:val="002666C9"/>
    <w:rsid w:val="00270136"/>
    <w:rsid w:val="00270FD7"/>
    <w:rsid w:val="00274F5B"/>
    <w:rsid w:val="00280836"/>
    <w:rsid w:val="00280E90"/>
    <w:rsid w:val="00281E84"/>
    <w:rsid w:val="00282E1A"/>
    <w:rsid w:val="002840F1"/>
    <w:rsid w:val="0029113B"/>
    <w:rsid w:val="002934C0"/>
    <w:rsid w:val="0029764C"/>
    <w:rsid w:val="002A1B50"/>
    <w:rsid w:val="002B0E91"/>
    <w:rsid w:val="002B132C"/>
    <w:rsid w:val="002B3F23"/>
    <w:rsid w:val="002B4EB5"/>
    <w:rsid w:val="002B6779"/>
    <w:rsid w:val="002B71C0"/>
    <w:rsid w:val="002B7A34"/>
    <w:rsid w:val="002C31AD"/>
    <w:rsid w:val="002C7385"/>
    <w:rsid w:val="002D2DBB"/>
    <w:rsid w:val="002D37D8"/>
    <w:rsid w:val="002D54A6"/>
    <w:rsid w:val="002E1297"/>
    <w:rsid w:val="002E5BF9"/>
    <w:rsid w:val="002E6A7A"/>
    <w:rsid w:val="002F1E49"/>
    <w:rsid w:val="002F4E9C"/>
    <w:rsid w:val="00302F4E"/>
    <w:rsid w:val="0031256C"/>
    <w:rsid w:val="00313B4C"/>
    <w:rsid w:val="00314D6C"/>
    <w:rsid w:val="00316D2A"/>
    <w:rsid w:val="00322A7C"/>
    <w:rsid w:val="00322EEC"/>
    <w:rsid w:val="00323061"/>
    <w:rsid w:val="003237F4"/>
    <w:rsid w:val="003402D3"/>
    <w:rsid w:val="00343ABC"/>
    <w:rsid w:val="00344D6B"/>
    <w:rsid w:val="003463FE"/>
    <w:rsid w:val="00347D41"/>
    <w:rsid w:val="003554B3"/>
    <w:rsid w:val="00356632"/>
    <w:rsid w:val="00357C7E"/>
    <w:rsid w:val="003653B6"/>
    <w:rsid w:val="00374CC4"/>
    <w:rsid w:val="003774B2"/>
    <w:rsid w:val="00380F2D"/>
    <w:rsid w:val="003845A9"/>
    <w:rsid w:val="003850C9"/>
    <w:rsid w:val="00390883"/>
    <w:rsid w:val="003922F8"/>
    <w:rsid w:val="00395B24"/>
    <w:rsid w:val="003A2D38"/>
    <w:rsid w:val="003A7ECC"/>
    <w:rsid w:val="003B2C72"/>
    <w:rsid w:val="003B42FA"/>
    <w:rsid w:val="003B58B4"/>
    <w:rsid w:val="003C1333"/>
    <w:rsid w:val="003C20FF"/>
    <w:rsid w:val="003C550A"/>
    <w:rsid w:val="003C6055"/>
    <w:rsid w:val="003C7B85"/>
    <w:rsid w:val="003D13C2"/>
    <w:rsid w:val="003D2650"/>
    <w:rsid w:val="003D560C"/>
    <w:rsid w:val="003D5C00"/>
    <w:rsid w:val="003E3154"/>
    <w:rsid w:val="003E5874"/>
    <w:rsid w:val="003E72D3"/>
    <w:rsid w:val="003F193E"/>
    <w:rsid w:val="003F242C"/>
    <w:rsid w:val="003F34F1"/>
    <w:rsid w:val="00404111"/>
    <w:rsid w:val="004104B6"/>
    <w:rsid w:val="00411AE8"/>
    <w:rsid w:val="00413B74"/>
    <w:rsid w:val="00431763"/>
    <w:rsid w:val="004342F3"/>
    <w:rsid w:val="00435A79"/>
    <w:rsid w:val="00435C5F"/>
    <w:rsid w:val="00436155"/>
    <w:rsid w:val="00440B75"/>
    <w:rsid w:val="00441E98"/>
    <w:rsid w:val="00442311"/>
    <w:rsid w:val="00450F3A"/>
    <w:rsid w:val="004532F7"/>
    <w:rsid w:val="004636A7"/>
    <w:rsid w:val="0046487D"/>
    <w:rsid w:val="00464D51"/>
    <w:rsid w:val="00472027"/>
    <w:rsid w:val="004804CF"/>
    <w:rsid w:val="00484962"/>
    <w:rsid w:val="00484F6D"/>
    <w:rsid w:val="00484FB7"/>
    <w:rsid w:val="0048554D"/>
    <w:rsid w:val="0049338A"/>
    <w:rsid w:val="0049417F"/>
    <w:rsid w:val="00495AB9"/>
    <w:rsid w:val="00496D41"/>
    <w:rsid w:val="004A6602"/>
    <w:rsid w:val="004B0AE4"/>
    <w:rsid w:val="004B3EFA"/>
    <w:rsid w:val="004B79DE"/>
    <w:rsid w:val="004C2A87"/>
    <w:rsid w:val="004C4D7B"/>
    <w:rsid w:val="004C4ED3"/>
    <w:rsid w:val="004C667B"/>
    <w:rsid w:val="004C7EBC"/>
    <w:rsid w:val="004C7ECD"/>
    <w:rsid w:val="004D2EA5"/>
    <w:rsid w:val="004D32A6"/>
    <w:rsid w:val="004D53E5"/>
    <w:rsid w:val="004E1F74"/>
    <w:rsid w:val="004E3DA9"/>
    <w:rsid w:val="004E6DC4"/>
    <w:rsid w:val="004F21C1"/>
    <w:rsid w:val="00501A12"/>
    <w:rsid w:val="0050309C"/>
    <w:rsid w:val="0051327C"/>
    <w:rsid w:val="0051346D"/>
    <w:rsid w:val="00513EAE"/>
    <w:rsid w:val="0051434F"/>
    <w:rsid w:val="00516806"/>
    <w:rsid w:val="00517BBA"/>
    <w:rsid w:val="0052098C"/>
    <w:rsid w:val="00525A49"/>
    <w:rsid w:val="005262D1"/>
    <w:rsid w:val="00530876"/>
    <w:rsid w:val="00533B95"/>
    <w:rsid w:val="00535613"/>
    <w:rsid w:val="005359EB"/>
    <w:rsid w:val="00542347"/>
    <w:rsid w:val="0054254A"/>
    <w:rsid w:val="0054500B"/>
    <w:rsid w:val="005466B5"/>
    <w:rsid w:val="00551EE1"/>
    <w:rsid w:val="00552CBA"/>
    <w:rsid w:val="00554314"/>
    <w:rsid w:val="005552D9"/>
    <w:rsid w:val="00562829"/>
    <w:rsid w:val="005629B3"/>
    <w:rsid w:val="00565A97"/>
    <w:rsid w:val="00570A83"/>
    <w:rsid w:val="005724F6"/>
    <w:rsid w:val="00573AC4"/>
    <w:rsid w:val="005801FC"/>
    <w:rsid w:val="00581828"/>
    <w:rsid w:val="00585BA9"/>
    <w:rsid w:val="00587359"/>
    <w:rsid w:val="005907A3"/>
    <w:rsid w:val="00595016"/>
    <w:rsid w:val="00597AAE"/>
    <w:rsid w:val="005A222C"/>
    <w:rsid w:val="005A4DF8"/>
    <w:rsid w:val="005A78C8"/>
    <w:rsid w:val="005B11B3"/>
    <w:rsid w:val="005B1426"/>
    <w:rsid w:val="005C0A8E"/>
    <w:rsid w:val="005C1767"/>
    <w:rsid w:val="005C185C"/>
    <w:rsid w:val="005C42EF"/>
    <w:rsid w:val="005E02F5"/>
    <w:rsid w:val="005E0510"/>
    <w:rsid w:val="005E176E"/>
    <w:rsid w:val="005E218E"/>
    <w:rsid w:val="005E35A0"/>
    <w:rsid w:val="005F0D1B"/>
    <w:rsid w:val="005F1865"/>
    <w:rsid w:val="005F2284"/>
    <w:rsid w:val="005F5F9E"/>
    <w:rsid w:val="005F7424"/>
    <w:rsid w:val="006007BD"/>
    <w:rsid w:val="006013C8"/>
    <w:rsid w:val="0060270D"/>
    <w:rsid w:val="00604611"/>
    <w:rsid w:val="006049B8"/>
    <w:rsid w:val="00605013"/>
    <w:rsid w:val="00611586"/>
    <w:rsid w:val="00612D26"/>
    <w:rsid w:val="00615855"/>
    <w:rsid w:val="00620DA8"/>
    <w:rsid w:val="00621887"/>
    <w:rsid w:val="00624520"/>
    <w:rsid w:val="006271F5"/>
    <w:rsid w:val="00632300"/>
    <w:rsid w:val="00632BB7"/>
    <w:rsid w:val="00632CD6"/>
    <w:rsid w:val="00635B36"/>
    <w:rsid w:val="00636871"/>
    <w:rsid w:val="00637CF6"/>
    <w:rsid w:val="00640EE1"/>
    <w:rsid w:val="00640F4E"/>
    <w:rsid w:val="00643DE0"/>
    <w:rsid w:val="0064437D"/>
    <w:rsid w:val="00644E85"/>
    <w:rsid w:val="00652C52"/>
    <w:rsid w:val="00652EA8"/>
    <w:rsid w:val="0066063F"/>
    <w:rsid w:val="00662BB0"/>
    <w:rsid w:val="00663878"/>
    <w:rsid w:val="00667773"/>
    <w:rsid w:val="00670743"/>
    <w:rsid w:val="00680A85"/>
    <w:rsid w:val="00681ADF"/>
    <w:rsid w:val="00690EE2"/>
    <w:rsid w:val="0069101A"/>
    <w:rsid w:val="00693854"/>
    <w:rsid w:val="00694BEB"/>
    <w:rsid w:val="006A0E20"/>
    <w:rsid w:val="006A24E3"/>
    <w:rsid w:val="006A5695"/>
    <w:rsid w:val="006B0439"/>
    <w:rsid w:val="006B3904"/>
    <w:rsid w:val="006B5030"/>
    <w:rsid w:val="006B5B7D"/>
    <w:rsid w:val="006C138F"/>
    <w:rsid w:val="006C5B46"/>
    <w:rsid w:val="006C6E39"/>
    <w:rsid w:val="006D0ECF"/>
    <w:rsid w:val="006D3D5B"/>
    <w:rsid w:val="006D4C92"/>
    <w:rsid w:val="006D4EB6"/>
    <w:rsid w:val="006E35BF"/>
    <w:rsid w:val="006E7850"/>
    <w:rsid w:val="006F2227"/>
    <w:rsid w:val="006F46D6"/>
    <w:rsid w:val="007028D9"/>
    <w:rsid w:val="00707218"/>
    <w:rsid w:val="00710D04"/>
    <w:rsid w:val="00712B1D"/>
    <w:rsid w:val="00715751"/>
    <w:rsid w:val="007171BA"/>
    <w:rsid w:val="00717616"/>
    <w:rsid w:val="007325D9"/>
    <w:rsid w:val="00733916"/>
    <w:rsid w:val="0073583B"/>
    <w:rsid w:val="007360CA"/>
    <w:rsid w:val="0073657F"/>
    <w:rsid w:val="00743E98"/>
    <w:rsid w:val="0074667B"/>
    <w:rsid w:val="007470BD"/>
    <w:rsid w:val="00750713"/>
    <w:rsid w:val="00760EC0"/>
    <w:rsid w:val="00761C84"/>
    <w:rsid w:val="007711BD"/>
    <w:rsid w:val="0078003A"/>
    <w:rsid w:val="00780771"/>
    <w:rsid w:val="007929CF"/>
    <w:rsid w:val="00796915"/>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0028"/>
    <w:rsid w:val="007F12AC"/>
    <w:rsid w:val="007F4501"/>
    <w:rsid w:val="007F60DF"/>
    <w:rsid w:val="007F7BF3"/>
    <w:rsid w:val="00801800"/>
    <w:rsid w:val="00801861"/>
    <w:rsid w:val="00801B5B"/>
    <w:rsid w:val="008216E7"/>
    <w:rsid w:val="00825BE6"/>
    <w:rsid w:val="008276B4"/>
    <w:rsid w:val="00831927"/>
    <w:rsid w:val="00837288"/>
    <w:rsid w:val="008401F9"/>
    <w:rsid w:val="00841BD3"/>
    <w:rsid w:val="0084273D"/>
    <w:rsid w:val="00844E3F"/>
    <w:rsid w:val="00845A83"/>
    <w:rsid w:val="00846BB9"/>
    <w:rsid w:val="00850C3B"/>
    <w:rsid w:val="008649D5"/>
    <w:rsid w:val="00867540"/>
    <w:rsid w:val="008712BB"/>
    <w:rsid w:val="00873D6E"/>
    <w:rsid w:val="008830E7"/>
    <w:rsid w:val="00890EDE"/>
    <w:rsid w:val="00892B38"/>
    <w:rsid w:val="008A1741"/>
    <w:rsid w:val="008A2484"/>
    <w:rsid w:val="008A52F3"/>
    <w:rsid w:val="008C26D9"/>
    <w:rsid w:val="008C6D50"/>
    <w:rsid w:val="008C7167"/>
    <w:rsid w:val="008C7503"/>
    <w:rsid w:val="008D1617"/>
    <w:rsid w:val="008D330F"/>
    <w:rsid w:val="008D48C1"/>
    <w:rsid w:val="008E47CA"/>
    <w:rsid w:val="008E6315"/>
    <w:rsid w:val="008F07FC"/>
    <w:rsid w:val="008F11E0"/>
    <w:rsid w:val="008F3EA7"/>
    <w:rsid w:val="008F78BC"/>
    <w:rsid w:val="008F7B63"/>
    <w:rsid w:val="008F7D6A"/>
    <w:rsid w:val="00901C86"/>
    <w:rsid w:val="00903603"/>
    <w:rsid w:val="009054CB"/>
    <w:rsid w:val="009074F9"/>
    <w:rsid w:val="00911F8D"/>
    <w:rsid w:val="00912F94"/>
    <w:rsid w:val="009171BC"/>
    <w:rsid w:val="0092497E"/>
    <w:rsid w:val="0092590B"/>
    <w:rsid w:val="00925BF3"/>
    <w:rsid w:val="00925E60"/>
    <w:rsid w:val="009264B3"/>
    <w:rsid w:val="009365E0"/>
    <w:rsid w:val="00942BA2"/>
    <w:rsid w:val="009432B7"/>
    <w:rsid w:val="00944C86"/>
    <w:rsid w:val="00947C02"/>
    <w:rsid w:val="00950BE6"/>
    <w:rsid w:val="00954C93"/>
    <w:rsid w:val="00957DE8"/>
    <w:rsid w:val="00960ECB"/>
    <w:rsid w:val="009615D6"/>
    <w:rsid w:val="00967855"/>
    <w:rsid w:val="00974709"/>
    <w:rsid w:val="009769C1"/>
    <w:rsid w:val="00980736"/>
    <w:rsid w:val="00981A39"/>
    <w:rsid w:val="00982D56"/>
    <w:rsid w:val="00983DBF"/>
    <w:rsid w:val="00987097"/>
    <w:rsid w:val="00991123"/>
    <w:rsid w:val="00991CAB"/>
    <w:rsid w:val="009A3A9C"/>
    <w:rsid w:val="009A644B"/>
    <w:rsid w:val="009B046C"/>
    <w:rsid w:val="009B13FA"/>
    <w:rsid w:val="009B1E2D"/>
    <w:rsid w:val="009C59FB"/>
    <w:rsid w:val="009C6F3B"/>
    <w:rsid w:val="009D1467"/>
    <w:rsid w:val="009E2554"/>
    <w:rsid w:val="009E391B"/>
    <w:rsid w:val="009E4FA6"/>
    <w:rsid w:val="009E7D93"/>
    <w:rsid w:val="009F3C34"/>
    <w:rsid w:val="009F462C"/>
    <w:rsid w:val="009F5C33"/>
    <w:rsid w:val="00A026F0"/>
    <w:rsid w:val="00A03EAC"/>
    <w:rsid w:val="00A04DBB"/>
    <w:rsid w:val="00A0692D"/>
    <w:rsid w:val="00A07EA0"/>
    <w:rsid w:val="00A11CA6"/>
    <w:rsid w:val="00A13B08"/>
    <w:rsid w:val="00A20C49"/>
    <w:rsid w:val="00A22932"/>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52315"/>
    <w:rsid w:val="00A61605"/>
    <w:rsid w:val="00A65F16"/>
    <w:rsid w:val="00A65F97"/>
    <w:rsid w:val="00A76C13"/>
    <w:rsid w:val="00A84FD0"/>
    <w:rsid w:val="00A92E79"/>
    <w:rsid w:val="00A950B6"/>
    <w:rsid w:val="00A95D45"/>
    <w:rsid w:val="00AA028C"/>
    <w:rsid w:val="00AB41C1"/>
    <w:rsid w:val="00AB4CF2"/>
    <w:rsid w:val="00AB6CCA"/>
    <w:rsid w:val="00AC223F"/>
    <w:rsid w:val="00AC33B1"/>
    <w:rsid w:val="00AC41A8"/>
    <w:rsid w:val="00AD12A8"/>
    <w:rsid w:val="00AD37C8"/>
    <w:rsid w:val="00AE023F"/>
    <w:rsid w:val="00AE260C"/>
    <w:rsid w:val="00AE66A5"/>
    <w:rsid w:val="00AF3577"/>
    <w:rsid w:val="00AF35F9"/>
    <w:rsid w:val="00AF3EB5"/>
    <w:rsid w:val="00B0424C"/>
    <w:rsid w:val="00B05C7D"/>
    <w:rsid w:val="00B14FE9"/>
    <w:rsid w:val="00B15D57"/>
    <w:rsid w:val="00B16347"/>
    <w:rsid w:val="00B17D6E"/>
    <w:rsid w:val="00B2435E"/>
    <w:rsid w:val="00B27075"/>
    <w:rsid w:val="00B346C3"/>
    <w:rsid w:val="00B4005C"/>
    <w:rsid w:val="00B4227E"/>
    <w:rsid w:val="00B4471C"/>
    <w:rsid w:val="00B451A6"/>
    <w:rsid w:val="00B5553E"/>
    <w:rsid w:val="00B56D6E"/>
    <w:rsid w:val="00B64347"/>
    <w:rsid w:val="00B65DC6"/>
    <w:rsid w:val="00B65F32"/>
    <w:rsid w:val="00B67AC2"/>
    <w:rsid w:val="00B71495"/>
    <w:rsid w:val="00B71E5E"/>
    <w:rsid w:val="00B722DE"/>
    <w:rsid w:val="00B751E3"/>
    <w:rsid w:val="00B75BA6"/>
    <w:rsid w:val="00B76C44"/>
    <w:rsid w:val="00B8184A"/>
    <w:rsid w:val="00B82283"/>
    <w:rsid w:val="00B828D8"/>
    <w:rsid w:val="00B83F87"/>
    <w:rsid w:val="00B87CDC"/>
    <w:rsid w:val="00B910C1"/>
    <w:rsid w:val="00BA05FB"/>
    <w:rsid w:val="00BA2CA4"/>
    <w:rsid w:val="00BA2EFA"/>
    <w:rsid w:val="00BA3DBC"/>
    <w:rsid w:val="00BA707A"/>
    <w:rsid w:val="00BB1AFB"/>
    <w:rsid w:val="00BB27AE"/>
    <w:rsid w:val="00BB2DA2"/>
    <w:rsid w:val="00BB56DC"/>
    <w:rsid w:val="00BD0088"/>
    <w:rsid w:val="00BE183D"/>
    <w:rsid w:val="00BF5D7A"/>
    <w:rsid w:val="00BF6A9E"/>
    <w:rsid w:val="00C01C2E"/>
    <w:rsid w:val="00C02D33"/>
    <w:rsid w:val="00C04B53"/>
    <w:rsid w:val="00C1232C"/>
    <w:rsid w:val="00C27C6B"/>
    <w:rsid w:val="00C31166"/>
    <w:rsid w:val="00C3594D"/>
    <w:rsid w:val="00C36442"/>
    <w:rsid w:val="00C400CE"/>
    <w:rsid w:val="00C410FD"/>
    <w:rsid w:val="00C457DE"/>
    <w:rsid w:val="00C47DD3"/>
    <w:rsid w:val="00C53562"/>
    <w:rsid w:val="00C539FB"/>
    <w:rsid w:val="00C54DAE"/>
    <w:rsid w:val="00C606E7"/>
    <w:rsid w:val="00C66E57"/>
    <w:rsid w:val="00C74150"/>
    <w:rsid w:val="00C75594"/>
    <w:rsid w:val="00C85982"/>
    <w:rsid w:val="00C90693"/>
    <w:rsid w:val="00CA0466"/>
    <w:rsid w:val="00CA246D"/>
    <w:rsid w:val="00CA50D9"/>
    <w:rsid w:val="00CB3054"/>
    <w:rsid w:val="00CB5636"/>
    <w:rsid w:val="00CB6567"/>
    <w:rsid w:val="00CC3EE5"/>
    <w:rsid w:val="00CC5C60"/>
    <w:rsid w:val="00CE425C"/>
    <w:rsid w:val="00CE58AC"/>
    <w:rsid w:val="00CF5A80"/>
    <w:rsid w:val="00D017EF"/>
    <w:rsid w:val="00D045EE"/>
    <w:rsid w:val="00D05091"/>
    <w:rsid w:val="00D10CA6"/>
    <w:rsid w:val="00D10F21"/>
    <w:rsid w:val="00D11FE8"/>
    <w:rsid w:val="00D134CF"/>
    <w:rsid w:val="00D1573B"/>
    <w:rsid w:val="00D24806"/>
    <w:rsid w:val="00D34040"/>
    <w:rsid w:val="00D34E69"/>
    <w:rsid w:val="00D36C78"/>
    <w:rsid w:val="00D375EE"/>
    <w:rsid w:val="00D51B6D"/>
    <w:rsid w:val="00D540E9"/>
    <w:rsid w:val="00D55AE8"/>
    <w:rsid w:val="00D56056"/>
    <w:rsid w:val="00D6085F"/>
    <w:rsid w:val="00D62699"/>
    <w:rsid w:val="00D664A3"/>
    <w:rsid w:val="00D6727B"/>
    <w:rsid w:val="00D778E9"/>
    <w:rsid w:val="00D80954"/>
    <w:rsid w:val="00D812BF"/>
    <w:rsid w:val="00D82620"/>
    <w:rsid w:val="00D85707"/>
    <w:rsid w:val="00D9725F"/>
    <w:rsid w:val="00DA01B1"/>
    <w:rsid w:val="00DA11A2"/>
    <w:rsid w:val="00DA14ED"/>
    <w:rsid w:val="00DA1F59"/>
    <w:rsid w:val="00DA26D6"/>
    <w:rsid w:val="00DA47F6"/>
    <w:rsid w:val="00DA5E40"/>
    <w:rsid w:val="00DB2EF1"/>
    <w:rsid w:val="00DB3DE1"/>
    <w:rsid w:val="00DB4F07"/>
    <w:rsid w:val="00DB5DA0"/>
    <w:rsid w:val="00DB716C"/>
    <w:rsid w:val="00DC5C85"/>
    <w:rsid w:val="00DC7C5D"/>
    <w:rsid w:val="00DD4236"/>
    <w:rsid w:val="00DD44F1"/>
    <w:rsid w:val="00DD6957"/>
    <w:rsid w:val="00DD6E7A"/>
    <w:rsid w:val="00DE3067"/>
    <w:rsid w:val="00DE66C1"/>
    <w:rsid w:val="00DF00F1"/>
    <w:rsid w:val="00DF3EEE"/>
    <w:rsid w:val="00DF75E1"/>
    <w:rsid w:val="00E027BC"/>
    <w:rsid w:val="00E10F0D"/>
    <w:rsid w:val="00E1193B"/>
    <w:rsid w:val="00E14EA5"/>
    <w:rsid w:val="00E2070E"/>
    <w:rsid w:val="00E21133"/>
    <w:rsid w:val="00E2327E"/>
    <w:rsid w:val="00E266EF"/>
    <w:rsid w:val="00E47428"/>
    <w:rsid w:val="00E53414"/>
    <w:rsid w:val="00E56C8E"/>
    <w:rsid w:val="00E5716B"/>
    <w:rsid w:val="00E57F1F"/>
    <w:rsid w:val="00E651A4"/>
    <w:rsid w:val="00E66B9F"/>
    <w:rsid w:val="00E70A6A"/>
    <w:rsid w:val="00E710D6"/>
    <w:rsid w:val="00E714A3"/>
    <w:rsid w:val="00E73DA4"/>
    <w:rsid w:val="00E76E45"/>
    <w:rsid w:val="00E777C9"/>
    <w:rsid w:val="00E81DA6"/>
    <w:rsid w:val="00E84212"/>
    <w:rsid w:val="00E9086C"/>
    <w:rsid w:val="00E90AAA"/>
    <w:rsid w:val="00E91A0F"/>
    <w:rsid w:val="00E94A71"/>
    <w:rsid w:val="00E94CBF"/>
    <w:rsid w:val="00E952D9"/>
    <w:rsid w:val="00E96B21"/>
    <w:rsid w:val="00EA03CE"/>
    <w:rsid w:val="00EA23E5"/>
    <w:rsid w:val="00EA4E2E"/>
    <w:rsid w:val="00EA7A6D"/>
    <w:rsid w:val="00EB2417"/>
    <w:rsid w:val="00EB2CCB"/>
    <w:rsid w:val="00EB78D3"/>
    <w:rsid w:val="00EB7A25"/>
    <w:rsid w:val="00EC0F3E"/>
    <w:rsid w:val="00EC57A7"/>
    <w:rsid w:val="00ED0817"/>
    <w:rsid w:val="00ED7CD9"/>
    <w:rsid w:val="00ED7DD9"/>
    <w:rsid w:val="00EE1645"/>
    <w:rsid w:val="00EE1F67"/>
    <w:rsid w:val="00EE3837"/>
    <w:rsid w:val="00EE445B"/>
    <w:rsid w:val="00EF08EE"/>
    <w:rsid w:val="00EF3113"/>
    <w:rsid w:val="00EF3F84"/>
    <w:rsid w:val="00F176AC"/>
    <w:rsid w:val="00F17DF4"/>
    <w:rsid w:val="00F25C85"/>
    <w:rsid w:val="00F26F28"/>
    <w:rsid w:val="00F27714"/>
    <w:rsid w:val="00F3276E"/>
    <w:rsid w:val="00F33D3C"/>
    <w:rsid w:val="00F3626F"/>
    <w:rsid w:val="00F37A91"/>
    <w:rsid w:val="00F408A0"/>
    <w:rsid w:val="00F45CF5"/>
    <w:rsid w:val="00F47DB0"/>
    <w:rsid w:val="00F50C3F"/>
    <w:rsid w:val="00F50E34"/>
    <w:rsid w:val="00F53D05"/>
    <w:rsid w:val="00F53EF7"/>
    <w:rsid w:val="00F54BF2"/>
    <w:rsid w:val="00F67974"/>
    <w:rsid w:val="00F775AC"/>
    <w:rsid w:val="00F92355"/>
    <w:rsid w:val="00F93963"/>
    <w:rsid w:val="00F94291"/>
    <w:rsid w:val="00F957D6"/>
    <w:rsid w:val="00F959C1"/>
    <w:rsid w:val="00F97040"/>
    <w:rsid w:val="00FA298A"/>
    <w:rsid w:val="00FA5B66"/>
    <w:rsid w:val="00FB30EB"/>
    <w:rsid w:val="00FB7982"/>
    <w:rsid w:val="00FC0734"/>
    <w:rsid w:val="00FC0A7F"/>
    <w:rsid w:val="00FC0FC5"/>
    <w:rsid w:val="00FC3FC8"/>
    <w:rsid w:val="00FC588F"/>
    <w:rsid w:val="00FC6879"/>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B3CF633"/>
  <w15:docId w15:val="{68F65172-4762-4375-A5B2-C1E308C2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4"/>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6"/>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5"/>
      </w:numPr>
    </w:pPr>
  </w:style>
  <w:style w:type="paragraph" w:customStyle="1" w:styleId="Order4">
    <w:name w:val="Order 4"/>
    <w:basedOn w:val="Order3"/>
    <w:rsid w:val="004104B6"/>
    <w:pPr>
      <w:numPr>
        <w:ilvl w:val="3"/>
      </w:numPr>
    </w:pPr>
  </w:style>
  <w:style w:type="character" w:customStyle="1" w:styleId="Heading2Char">
    <w:name w:val="Heading 2 Char"/>
    <w:basedOn w:val="DefaultParagraphFont"/>
    <w:link w:val="Heading2"/>
    <w:rsid w:val="00AE260C"/>
    <w:rPr>
      <w:b/>
      <w:sz w:val="24"/>
      <w:szCs w:val="24"/>
      <w:lang w:eastAsia="en-US"/>
    </w:rPr>
  </w:style>
  <w:style w:type="character" w:customStyle="1" w:styleId="Heading3Char">
    <w:name w:val="Heading 3 Char"/>
    <w:basedOn w:val="DefaultParagraphFont"/>
    <w:link w:val="Heading3"/>
    <w:rsid w:val="00AE260C"/>
    <w:rPr>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6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B5E452955A42E08E1502370B7C1B61"/>
        <w:category>
          <w:name w:val="General"/>
          <w:gallery w:val="placeholder"/>
        </w:category>
        <w:types>
          <w:type w:val="bbPlcHdr"/>
        </w:types>
        <w:behaviors>
          <w:behavior w:val="content"/>
        </w:behaviors>
        <w:guid w:val="{DFF276A0-C429-4319-9134-3C07FD60B097}"/>
      </w:docPartPr>
      <w:docPartBody>
        <w:p w:rsidR="00E06D80" w:rsidRDefault="00E06D80">
          <w:pPr>
            <w:pStyle w:val="81B5E452955A42E08E1502370B7C1B61"/>
          </w:pPr>
          <w:r>
            <w:rPr>
              <w:rStyle w:val="PlaceholderText"/>
            </w:rPr>
            <w:t>MNC Text</w:t>
          </w:r>
        </w:p>
      </w:docPartBody>
    </w:docPart>
    <w:docPart>
      <w:docPartPr>
        <w:name w:val="0137AB7676B0470EBA460C971919B0C6"/>
        <w:category>
          <w:name w:val="General"/>
          <w:gallery w:val="placeholder"/>
        </w:category>
        <w:types>
          <w:type w:val="bbPlcHdr"/>
        </w:types>
        <w:behaviors>
          <w:behavior w:val="content"/>
        </w:behaviors>
        <w:guid w:val="{99758957-382E-4C1E-B403-4785A6BC579E}"/>
      </w:docPartPr>
      <w:docPartBody>
        <w:p w:rsidR="00E06D80" w:rsidRDefault="00E06D80">
          <w:pPr>
            <w:pStyle w:val="0137AB7676B0470EBA460C971919B0C6"/>
          </w:pPr>
          <w:r w:rsidRPr="005C44BE">
            <w:rPr>
              <w:rStyle w:val="PlaceholderText"/>
            </w:rPr>
            <w:t>Click or tap here to enter text.</w:t>
          </w:r>
        </w:p>
      </w:docPartBody>
    </w:docPart>
    <w:docPart>
      <w:docPartPr>
        <w:name w:val="CA71FFEDF448405696B69A8C258B2846"/>
        <w:category>
          <w:name w:val="General"/>
          <w:gallery w:val="placeholder"/>
        </w:category>
        <w:types>
          <w:type w:val="bbPlcHdr"/>
        </w:types>
        <w:behaviors>
          <w:behavior w:val="content"/>
        </w:behaviors>
        <w:guid w:val="{CE9EE5B6-E231-405A-8392-2B2892901DE4}"/>
      </w:docPartPr>
      <w:docPartBody>
        <w:p w:rsidR="00E06D80" w:rsidRDefault="00E06D80">
          <w:pPr>
            <w:pStyle w:val="CA71FFEDF448405696B69A8C258B2846"/>
          </w:pPr>
          <w:r w:rsidRPr="005C44BE">
            <w:rPr>
              <w:rStyle w:val="PlaceholderText"/>
            </w:rPr>
            <w:t>Click or tap here to enter text.</w:t>
          </w:r>
        </w:p>
      </w:docPartBody>
    </w:docPart>
    <w:docPart>
      <w:docPartPr>
        <w:name w:val="501B6F987D6644AE86A44059E6D12532"/>
        <w:category>
          <w:name w:val="General"/>
          <w:gallery w:val="placeholder"/>
        </w:category>
        <w:types>
          <w:type w:val="bbPlcHdr"/>
        </w:types>
        <w:behaviors>
          <w:behavior w:val="content"/>
        </w:behaviors>
        <w:guid w:val="{BE2FB0F0-F938-4017-BA54-696F3982067F}"/>
      </w:docPartPr>
      <w:docPartBody>
        <w:p w:rsidR="00E06D80" w:rsidRDefault="00E06D80">
          <w:pPr>
            <w:pStyle w:val="501B6F987D6644AE86A44059E6D12532"/>
          </w:pPr>
          <w:r w:rsidRPr="005C44BE">
            <w:rPr>
              <w:rStyle w:val="PlaceholderText"/>
            </w:rPr>
            <w:t>Click or tap here to enter text.</w:t>
          </w:r>
        </w:p>
      </w:docPartBody>
    </w:docPart>
    <w:docPart>
      <w:docPartPr>
        <w:name w:val="89BE9BBCCD694EF3A278F2F56731F3C5"/>
        <w:category>
          <w:name w:val="General"/>
          <w:gallery w:val="placeholder"/>
        </w:category>
        <w:types>
          <w:type w:val="bbPlcHdr"/>
        </w:types>
        <w:behaviors>
          <w:behavior w:val="content"/>
        </w:behaviors>
        <w:guid w:val="{3D84526E-A205-4D64-B558-168265BD35F9}"/>
      </w:docPartPr>
      <w:docPartBody>
        <w:p w:rsidR="00E06D80" w:rsidRDefault="00E06D80">
          <w:pPr>
            <w:pStyle w:val="89BE9BBCCD694EF3A278F2F56731F3C5"/>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80"/>
    <w:rsid w:val="002D27FE"/>
    <w:rsid w:val="00382F8D"/>
    <w:rsid w:val="00C461FB"/>
    <w:rsid w:val="00DC22C0"/>
    <w:rsid w:val="00E06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1B5E452955A42E08E1502370B7C1B61">
    <w:name w:val="81B5E452955A42E08E1502370B7C1B61"/>
  </w:style>
  <w:style w:type="paragraph" w:customStyle="1" w:styleId="0137AB7676B0470EBA460C971919B0C6">
    <w:name w:val="0137AB7676B0470EBA460C971919B0C6"/>
  </w:style>
  <w:style w:type="paragraph" w:customStyle="1" w:styleId="CA71FFEDF448405696B69A8C258B2846">
    <w:name w:val="CA71FFEDF448405696B69A8C258B2846"/>
  </w:style>
  <w:style w:type="paragraph" w:customStyle="1" w:styleId="501B6F987D6644AE86A44059E6D12532">
    <w:name w:val="501B6F987D6644AE86A44059E6D12532"/>
  </w:style>
  <w:style w:type="paragraph" w:customStyle="1" w:styleId="89BE9BBCCD694EF3A278F2F56731F3C5">
    <w:name w:val="89BE9BBCCD694EF3A278F2F56731F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Roberts-Smith v Fairfax Media Publications Pty Limited (No 38) [2022] FCA 597</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3863F15D-C793-4A12-BBBC-2945C9F9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10</Pages>
  <Words>2784</Words>
  <Characters>14184</Characters>
  <Application>Microsoft Office Word</Application>
  <DocSecurity>0</DocSecurity>
  <Lines>373</Lines>
  <Paragraphs>167</Paragraphs>
  <ScaleCrop>false</ScaleCrop>
  <HeadingPairs>
    <vt:vector size="2" baseType="variant">
      <vt:variant>
        <vt:lpstr>Title</vt:lpstr>
      </vt:variant>
      <vt:variant>
        <vt:i4>1</vt:i4>
      </vt:variant>
    </vt:vector>
  </HeadingPairs>
  <TitlesOfParts>
    <vt:vector size="1" baseType="lpstr">
      <vt:lpstr>Roberts-Smith v Fairfax Media Publications Pty Limited (No 38) [2022] FCA 597</vt:lpstr>
    </vt:vector>
  </TitlesOfParts>
  <Company>Federal Court of Australia</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Roberts-Smith v Fairfax Media Publications Pty Limited (No 38) [2022] FCA 597</dc:title>
  <dc:creator>Federal Court of Australia</dc:creator>
  <cp:lastModifiedBy>Federal Court of Australia</cp:lastModifiedBy>
  <cp:revision>3</cp:revision>
  <cp:lastPrinted>2022-05-20T01:02:00Z</cp:lastPrinted>
  <dcterms:created xsi:type="dcterms:W3CDTF">2022-05-23T05:44:00Z</dcterms:created>
  <dcterms:modified xsi:type="dcterms:W3CDTF">2022-05-23T05:46:00Z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Other Federal Jurisdiction</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