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60B77" w:rsidP="00A22932">
      <w:pPr>
        <w:pStyle w:val="CourtTitle"/>
      </w:pPr>
      <w:r>
        <w:fldChar w:fldCharType="begin"/>
      </w:r>
      <w:r>
        <w:instrText xml:space="preserve"> DOCPROPERTY  Court  \* MERGEFORMAT </w:instrText>
      </w:r>
      <w:r>
        <w:fldChar w:fldCharType="separate"/>
      </w:r>
      <w:r w:rsidR="005F01C8">
        <w:t>Federal Court of Australia</w:t>
      </w:r>
      <w:r>
        <w:fldChar w:fldCharType="end"/>
      </w:r>
    </w:p>
    <w:p w:rsidR="004D7950" w:rsidRDefault="004D7950">
      <w:pPr>
        <w:pStyle w:val="NormalHeadings"/>
        <w:jc w:val="center"/>
        <w:rPr>
          <w:sz w:val="32"/>
        </w:rPr>
      </w:pPr>
    </w:p>
    <w:bookmarkStart w:id="0" w:name="MNC"/>
    <w:p w:rsidR="00374CC4" w:rsidRDefault="00BC2962" w:rsidP="001A2B40">
      <w:pPr>
        <w:pStyle w:val="MNC"/>
      </w:pPr>
      <w:sdt>
        <w:sdtPr>
          <w:alias w:val="MNC"/>
          <w:tag w:val="MNC"/>
          <w:id w:val="343289786"/>
          <w:lock w:val="sdtLocked"/>
          <w:placeholder>
            <w:docPart w:val="B8F0157665564842897D0FF6E64C7325"/>
          </w:placeholder>
          <w:dataBinding w:prefixMappings="xmlns:ns0='http://schemas.globalmacros.com/FCA'" w:xpath="/ns0:root[1]/ns0:Name[1]" w:storeItemID="{687E7CCB-4AA5-44E7-B148-17BA2B6F57C0}"/>
          <w:text w:multiLine="1"/>
        </w:sdtPr>
        <w:sdtEndPr/>
        <w:sdtContent>
          <w:proofErr w:type="spellStart"/>
          <w:r w:rsidR="00E372A3" w:rsidRPr="002B7F49">
            <w:t>Ausin</w:t>
          </w:r>
          <w:proofErr w:type="spellEnd"/>
          <w:r w:rsidR="00E372A3" w:rsidRPr="002B7F49">
            <w:t xml:space="preserve"> Group </w:t>
          </w:r>
          <w:r w:rsidR="002B7F49" w:rsidRPr="002B7F49">
            <w:t xml:space="preserve">(Australia) </w:t>
          </w:r>
          <w:r w:rsidR="00E372A3" w:rsidRPr="002B7F49">
            <w:t xml:space="preserve">Pty Ltd v Zhao [2021] FCA </w:t>
          </w:r>
          <w:r w:rsidR="002B7F49" w:rsidRPr="002B7F49">
            <w:t>1601</w:t>
          </w:r>
          <w:r w:rsidR="00E372A3" w:rsidRPr="002B7F49">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05438C">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5F01C8" w:rsidRDefault="00D12364" w:rsidP="00117738">
            <w:pPr>
              <w:pStyle w:val="Normal1linespace"/>
              <w:jc w:val="left"/>
            </w:pPr>
            <w:fldSimple w:instr=" REF  FileNo  \* MERGEFORMAT " w:fldLock="1">
              <w:r w:rsidR="005F01C8" w:rsidRPr="005F01C8">
                <w:t>VID</w:t>
              </w:r>
              <w:r w:rsidR="003A6EB3">
                <w:t xml:space="preserve"> </w:t>
              </w:r>
              <w:r w:rsidR="005F01C8" w:rsidRPr="005F01C8">
                <w:t>240</w:t>
              </w:r>
              <w:r w:rsidR="00117738">
                <w:t xml:space="preserve"> of </w:t>
              </w:r>
              <w:r w:rsidR="005F01C8" w:rsidRPr="005F01C8">
                <w:t>2021</w:t>
              </w:r>
            </w:fldSimple>
          </w:p>
        </w:tc>
      </w:tr>
      <w:tr w:rsidR="00395B24" w:rsidTr="000543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438C">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117738">
            <w:pPr>
              <w:pStyle w:val="Normal1linespace"/>
              <w:widowControl w:val="0"/>
              <w:jc w:val="left"/>
              <w:rPr>
                <w:b/>
              </w:rPr>
            </w:pPr>
            <w:r w:rsidRPr="005F01C8">
              <w:rPr>
                <w:b/>
              </w:rPr>
              <w:fldChar w:fldCharType="begin" w:fldLock="1"/>
            </w:r>
            <w:r w:rsidRPr="005F01C8">
              <w:rPr>
                <w:b/>
              </w:rPr>
              <w:instrText xml:space="preserve"> REF  Judge  \* MERGEFORMAT </w:instrText>
            </w:r>
            <w:r w:rsidRPr="005F01C8">
              <w:rPr>
                <w:b/>
              </w:rPr>
              <w:fldChar w:fldCharType="separate"/>
            </w:r>
            <w:r w:rsidR="005F01C8" w:rsidRPr="005F01C8">
              <w:rPr>
                <w:b/>
                <w:caps/>
                <w:szCs w:val="24"/>
              </w:rPr>
              <w:t>ANDERSON J</w:t>
            </w:r>
            <w:r w:rsidRPr="005F01C8">
              <w:rPr>
                <w:b/>
              </w:rPr>
              <w:fldChar w:fldCharType="end"/>
            </w:r>
          </w:p>
        </w:tc>
      </w:tr>
      <w:tr w:rsidR="00395B24" w:rsidTr="000543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438C">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F01C8" w:rsidP="00663878">
            <w:pPr>
              <w:pStyle w:val="Normal1linespace"/>
              <w:widowControl w:val="0"/>
              <w:jc w:val="left"/>
            </w:pPr>
            <w:bookmarkStart w:id="1" w:name="JudgmentDate"/>
            <w:r>
              <w:t>17 December 2021</w:t>
            </w:r>
            <w:bookmarkEnd w:id="1"/>
          </w:p>
        </w:tc>
      </w:tr>
      <w:tr w:rsidR="00395B24" w:rsidTr="000543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438C">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B71709" w:rsidRDefault="00B71709" w:rsidP="00C57C2B">
            <w:pPr>
              <w:pStyle w:val="Normal1linespace"/>
              <w:widowControl w:val="0"/>
              <w:jc w:val="left"/>
            </w:pPr>
            <w:r>
              <w:rPr>
                <w:b/>
              </w:rPr>
              <w:t>PRACTICE AND PROCEDURE</w:t>
            </w:r>
            <w:r>
              <w:t xml:space="preserve"> – application for leave to appeal – where </w:t>
            </w:r>
            <w:r w:rsidR="00003C9C">
              <w:t>the primary judge made orders for discovery of documents of the applicant</w:t>
            </w:r>
            <w:r w:rsidR="00050D5B">
              <w:t xml:space="preserve"> –</w:t>
            </w:r>
            <w:r w:rsidR="00003C9C">
              <w:t xml:space="preserve"> </w:t>
            </w:r>
            <w:r w:rsidR="00050D5B">
              <w:t xml:space="preserve">whether primary judge had no power under s 79 of the </w:t>
            </w:r>
            <w:r w:rsidR="00050D5B">
              <w:rPr>
                <w:i/>
              </w:rPr>
              <w:t>Judiciary Act 1903</w:t>
            </w:r>
            <w:r w:rsidR="00050D5B">
              <w:t xml:space="preserve"> (</w:t>
            </w:r>
            <w:proofErr w:type="spellStart"/>
            <w:r w:rsidR="00050D5B">
              <w:t>Cth</w:t>
            </w:r>
            <w:proofErr w:type="spellEnd"/>
            <w:r w:rsidR="00050D5B">
              <w:t xml:space="preserve">) to apply New South Wales laws or exercise jurisdiction over a justiciable controversy that arises solely under New South Wales law </w:t>
            </w:r>
            <w:r w:rsidR="00C57C2B">
              <w:t>–</w:t>
            </w:r>
            <w:r w:rsidR="00C57C2B" w:rsidRPr="00F5217F">
              <w:t xml:space="preserve"> </w:t>
            </w:r>
            <w:r w:rsidR="00C57C2B">
              <w:t>where the applicant</w:t>
            </w:r>
            <w:r w:rsidR="00C57C2B" w:rsidRPr="00F5217F">
              <w:t xml:space="preserve"> did not raise the jurisdictional issue before the primary judge</w:t>
            </w:r>
            <w:r w:rsidR="00C57C2B">
              <w:t xml:space="preserve"> </w:t>
            </w:r>
            <w:r w:rsidR="00003C9C">
              <w:t xml:space="preserve">– </w:t>
            </w:r>
            <w:r w:rsidR="00050D5B">
              <w:t xml:space="preserve">whether primary judge erred in the exercise of her discretion under r 20.11 of the </w:t>
            </w:r>
            <w:r w:rsidR="00050D5B">
              <w:rPr>
                <w:i/>
              </w:rPr>
              <w:t>Federal Court Rules 2011</w:t>
            </w:r>
            <w:r w:rsidR="00050D5B">
              <w:t xml:space="preserve"> </w:t>
            </w:r>
            <w:r w:rsidR="00BB5EE5">
              <w:t>(</w:t>
            </w:r>
            <w:proofErr w:type="spellStart"/>
            <w:r w:rsidR="00BB5EE5">
              <w:t>Cth</w:t>
            </w:r>
            <w:proofErr w:type="spellEnd"/>
            <w:r w:rsidR="00BB5EE5">
              <w:t xml:space="preserve">) </w:t>
            </w:r>
            <w:r w:rsidR="00050D5B">
              <w:t xml:space="preserve">in making the Discovery Order </w:t>
            </w:r>
            <w:r w:rsidR="00A1577B">
              <w:t>–</w:t>
            </w:r>
            <w:r w:rsidR="00A1577B" w:rsidRPr="00F5217F">
              <w:t xml:space="preserve"> </w:t>
            </w:r>
            <w:r w:rsidR="00050D5B">
              <w:t xml:space="preserve">where the application is dismissed </w:t>
            </w:r>
          </w:p>
        </w:tc>
      </w:tr>
      <w:tr w:rsidR="00395B24" w:rsidTr="000543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438C">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83154" w:rsidRPr="00583154" w:rsidRDefault="00583154" w:rsidP="00583154">
            <w:pPr>
              <w:pStyle w:val="CasesLegislationAppealFrom"/>
              <w:spacing w:after="60"/>
            </w:pPr>
            <w:bookmarkStart w:id="2" w:name="Legislation"/>
            <w:r w:rsidRPr="00583154">
              <w:rPr>
                <w:i/>
              </w:rPr>
              <w:t xml:space="preserve">Corporations Act 2001 </w:t>
            </w:r>
            <w:r w:rsidRPr="00583154">
              <w:t>(</w:t>
            </w:r>
            <w:proofErr w:type="spellStart"/>
            <w:r w:rsidRPr="00583154">
              <w:t>Cth</w:t>
            </w:r>
            <w:proofErr w:type="spellEnd"/>
            <w:r w:rsidRPr="00583154">
              <w:t>)</w:t>
            </w:r>
          </w:p>
          <w:p w:rsidR="00583154" w:rsidRPr="00583154" w:rsidRDefault="00583154" w:rsidP="00583154">
            <w:pPr>
              <w:pStyle w:val="CasesLegislationAppealFrom"/>
              <w:spacing w:after="60"/>
            </w:pPr>
            <w:r w:rsidRPr="00583154">
              <w:rPr>
                <w:i/>
              </w:rPr>
              <w:t xml:space="preserve">Federal Court of Australia Act 1976 </w:t>
            </w:r>
            <w:r w:rsidRPr="00583154">
              <w:t>(</w:t>
            </w:r>
            <w:proofErr w:type="spellStart"/>
            <w:r w:rsidRPr="00583154">
              <w:t>Cth</w:t>
            </w:r>
            <w:proofErr w:type="spellEnd"/>
            <w:r w:rsidRPr="00583154">
              <w:t>)</w:t>
            </w:r>
          </w:p>
          <w:p w:rsidR="00583154" w:rsidRPr="00583154" w:rsidRDefault="00583154" w:rsidP="00583154">
            <w:pPr>
              <w:pStyle w:val="CasesLegislationAppealFrom"/>
              <w:spacing w:after="60"/>
            </w:pPr>
            <w:r w:rsidRPr="00583154">
              <w:rPr>
                <w:i/>
              </w:rPr>
              <w:t>Federal Court Rules 2011</w:t>
            </w:r>
            <w:r>
              <w:t>(</w:t>
            </w:r>
            <w:proofErr w:type="spellStart"/>
            <w:r>
              <w:t>Cth</w:t>
            </w:r>
            <w:proofErr w:type="spellEnd"/>
            <w:r>
              <w:t>)</w:t>
            </w:r>
          </w:p>
          <w:p w:rsidR="00583154" w:rsidRDefault="00583154" w:rsidP="00583154">
            <w:pPr>
              <w:pStyle w:val="CasesLegislationAppealFrom"/>
              <w:spacing w:after="60"/>
            </w:pPr>
            <w:r w:rsidRPr="00583154">
              <w:rPr>
                <w:i/>
              </w:rPr>
              <w:t>Judiciary Act 1903</w:t>
            </w:r>
            <w:r w:rsidRPr="00583154">
              <w:t xml:space="preserve"> (</w:t>
            </w:r>
            <w:proofErr w:type="spellStart"/>
            <w:r w:rsidRPr="00583154">
              <w:t>Cth</w:t>
            </w:r>
            <w:proofErr w:type="spellEnd"/>
            <w:r w:rsidRPr="00583154">
              <w:t>)</w:t>
            </w:r>
            <w:bookmarkEnd w:id="2"/>
          </w:p>
          <w:p w:rsidR="009C0F4C" w:rsidRPr="00583154" w:rsidRDefault="009C0F4C" w:rsidP="00583154">
            <w:pPr>
              <w:pStyle w:val="CasesLegislationAppealFrom"/>
              <w:spacing w:after="60"/>
            </w:pPr>
            <w:r w:rsidRPr="00583154">
              <w:rPr>
                <w:i/>
              </w:rPr>
              <w:t>Conveyancing Act 1919</w:t>
            </w:r>
            <w:r>
              <w:t xml:space="preserve"> (NSW)</w:t>
            </w:r>
          </w:p>
        </w:tc>
      </w:tr>
      <w:tr w:rsidR="00395B24" w:rsidTr="0005438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5438C">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83154" w:rsidRPr="00EA25C4" w:rsidRDefault="00583154" w:rsidP="00583154">
            <w:pPr>
              <w:pStyle w:val="CasesLegislationAppealFrom"/>
              <w:spacing w:after="60"/>
            </w:pPr>
            <w:bookmarkStart w:id="3" w:name="Cases_Cited"/>
            <w:r w:rsidRPr="00583154">
              <w:rPr>
                <w:i/>
              </w:rPr>
              <w:t>House v The King</w:t>
            </w:r>
            <w:r w:rsidR="00EA25C4">
              <w:t xml:space="preserve"> [1936] HCA 40</w:t>
            </w:r>
          </w:p>
          <w:p w:rsidR="00583154" w:rsidRPr="00583154" w:rsidRDefault="00583154" w:rsidP="00583154">
            <w:pPr>
              <w:pStyle w:val="CasesLegislationAppealFrom"/>
              <w:spacing w:after="60"/>
            </w:pPr>
            <w:r w:rsidRPr="00583154">
              <w:rPr>
                <w:i/>
              </w:rPr>
              <w:t>Nationwide News Pty Ltd v Rush</w:t>
            </w:r>
            <w:r w:rsidRPr="00583154">
              <w:t xml:space="preserve"> [2018] FCAFC 70</w:t>
            </w:r>
          </w:p>
          <w:p w:rsidR="00583154" w:rsidRPr="00583154" w:rsidRDefault="00583154" w:rsidP="00583154">
            <w:pPr>
              <w:pStyle w:val="CasesLegislationAppealFrom"/>
              <w:spacing w:after="60"/>
            </w:pPr>
            <w:r w:rsidRPr="00583154">
              <w:rPr>
                <w:i/>
              </w:rPr>
              <w:t xml:space="preserve">Rana v Google </w:t>
            </w:r>
            <w:proofErr w:type="spellStart"/>
            <w:r w:rsidRPr="00583154">
              <w:rPr>
                <w:i/>
              </w:rPr>
              <w:t>Inc</w:t>
            </w:r>
            <w:proofErr w:type="spellEnd"/>
            <w:r w:rsidRPr="00583154">
              <w:t xml:space="preserve"> (2017) 254 FCR 1</w:t>
            </w:r>
          </w:p>
          <w:p w:rsidR="00583154" w:rsidRPr="00583154" w:rsidRDefault="00583154" w:rsidP="00583154">
            <w:pPr>
              <w:pStyle w:val="CasesLegislationAppealFrom"/>
              <w:spacing w:after="60"/>
            </w:pPr>
            <w:proofErr w:type="spellStart"/>
            <w:r w:rsidRPr="00583154">
              <w:rPr>
                <w:i/>
              </w:rPr>
              <w:t>Rizeq</w:t>
            </w:r>
            <w:proofErr w:type="spellEnd"/>
            <w:r w:rsidRPr="00583154">
              <w:rPr>
                <w:i/>
              </w:rPr>
              <w:t xml:space="preserve"> v The State of Western Australia</w:t>
            </w:r>
            <w:r w:rsidRPr="00583154">
              <w:t xml:space="preserve"> (2017) 262 CLR 1</w:t>
            </w:r>
          </w:p>
          <w:p w:rsidR="00583154" w:rsidRPr="00583154" w:rsidRDefault="00583154" w:rsidP="00583154">
            <w:pPr>
              <w:pStyle w:val="CasesLegislationAppealFrom"/>
              <w:spacing w:after="60"/>
            </w:pPr>
            <w:r w:rsidRPr="00583154">
              <w:rPr>
                <w:i/>
              </w:rPr>
              <w:t xml:space="preserve">Zhao v </w:t>
            </w:r>
            <w:proofErr w:type="spellStart"/>
            <w:r w:rsidRPr="00583154">
              <w:rPr>
                <w:i/>
              </w:rPr>
              <w:t>Ausin</w:t>
            </w:r>
            <w:proofErr w:type="spellEnd"/>
            <w:r w:rsidRPr="00583154">
              <w:rPr>
                <w:i/>
              </w:rPr>
              <w:t xml:space="preserve"> Group (Australia) Pty Ltd</w:t>
            </w:r>
            <w:r w:rsidRPr="00583154">
              <w:t xml:space="preserve"> [2020] FCA 1659</w:t>
            </w:r>
            <w:bookmarkEnd w:id="3"/>
          </w:p>
        </w:tc>
      </w:tr>
      <w:tr w:rsidR="005F01C8" w:rsidTr="0005438C">
        <w:tc>
          <w:tcPr>
            <w:tcW w:w="3084" w:type="dxa"/>
            <w:shd w:val="clear" w:color="auto" w:fill="auto"/>
          </w:tcPr>
          <w:p w:rsidR="005F01C8" w:rsidRDefault="005F01C8" w:rsidP="002F7154">
            <w:pPr>
              <w:pStyle w:val="Normal1linespace"/>
              <w:widowControl w:val="0"/>
            </w:pPr>
          </w:p>
        </w:tc>
        <w:tc>
          <w:tcPr>
            <w:tcW w:w="5989" w:type="dxa"/>
            <w:shd w:val="clear" w:color="auto" w:fill="auto"/>
          </w:tcPr>
          <w:p w:rsidR="005F01C8" w:rsidRDefault="005F01C8" w:rsidP="002F7154">
            <w:pPr>
              <w:pStyle w:val="Normal1linespace"/>
              <w:widowControl w:val="0"/>
              <w:jc w:val="left"/>
            </w:pPr>
          </w:p>
        </w:tc>
      </w:tr>
      <w:tr w:rsidR="005F01C8" w:rsidTr="0005438C">
        <w:tc>
          <w:tcPr>
            <w:tcW w:w="3084" w:type="dxa"/>
            <w:shd w:val="clear" w:color="auto" w:fill="auto"/>
          </w:tcPr>
          <w:p w:rsidR="005F01C8" w:rsidRDefault="005F01C8" w:rsidP="00501A12">
            <w:pPr>
              <w:pStyle w:val="Normal1linespace"/>
              <w:widowControl w:val="0"/>
            </w:pPr>
            <w:r>
              <w:t>Division:</w:t>
            </w:r>
          </w:p>
        </w:tc>
        <w:tc>
          <w:tcPr>
            <w:tcW w:w="5989" w:type="dxa"/>
            <w:shd w:val="clear" w:color="auto" w:fill="auto"/>
          </w:tcPr>
          <w:p w:rsidR="005F01C8" w:rsidRPr="00F17599" w:rsidRDefault="00BC2962" w:rsidP="00501A12">
            <w:pPr>
              <w:pStyle w:val="Normal1linespace"/>
              <w:widowControl w:val="0"/>
              <w:jc w:val="left"/>
            </w:pPr>
            <w:r>
              <w:fldChar w:fldCharType="begin"/>
            </w:r>
            <w:r>
              <w:instrText xml:space="preserve"> DOCPROPERTY  Division </w:instrText>
            </w:r>
            <w:r>
              <w:fldChar w:fldCharType="separate"/>
            </w:r>
            <w:r w:rsidR="005F01C8">
              <w:t>General Division</w:t>
            </w:r>
            <w:r>
              <w:fldChar w:fldCharType="end"/>
            </w:r>
          </w:p>
        </w:tc>
      </w:tr>
      <w:tr w:rsidR="005F01C8" w:rsidTr="0005438C">
        <w:tc>
          <w:tcPr>
            <w:tcW w:w="3084" w:type="dxa"/>
            <w:shd w:val="clear" w:color="auto" w:fill="auto"/>
          </w:tcPr>
          <w:p w:rsidR="005F01C8" w:rsidRDefault="005F01C8" w:rsidP="00501A12">
            <w:pPr>
              <w:pStyle w:val="Normal1linespace"/>
              <w:widowControl w:val="0"/>
            </w:pPr>
            <w:bookmarkStart w:id="4" w:name="Registry_rows" w:colFirst="0" w:colLast="1"/>
          </w:p>
        </w:tc>
        <w:tc>
          <w:tcPr>
            <w:tcW w:w="5989" w:type="dxa"/>
            <w:shd w:val="clear" w:color="auto" w:fill="auto"/>
          </w:tcPr>
          <w:p w:rsidR="005F01C8" w:rsidRDefault="005F01C8" w:rsidP="00501A12">
            <w:pPr>
              <w:pStyle w:val="Normal1linespace"/>
              <w:widowControl w:val="0"/>
              <w:jc w:val="left"/>
            </w:pPr>
          </w:p>
        </w:tc>
      </w:tr>
      <w:tr w:rsidR="005F01C8" w:rsidTr="0005438C">
        <w:tc>
          <w:tcPr>
            <w:tcW w:w="3084" w:type="dxa"/>
            <w:shd w:val="clear" w:color="auto" w:fill="auto"/>
          </w:tcPr>
          <w:p w:rsidR="005F01C8" w:rsidRDefault="005F01C8" w:rsidP="00501A12">
            <w:pPr>
              <w:pStyle w:val="Normal1linespace"/>
              <w:widowControl w:val="0"/>
            </w:pPr>
            <w:r>
              <w:t>Registry:</w:t>
            </w:r>
          </w:p>
        </w:tc>
        <w:tc>
          <w:tcPr>
            <w:tcW w:w="5989" w:type="dxa"/>
            <w:shd w:val="clear" w:color="auto" w:fill="auto"/>
          </w:tcPr>
          <w:p w:rsidR="005F01C8" w:rsidRPr="00F17599" w:rsidRDefault="00BC2962" w:rsidP="00501A12">
            <w:pPr>
              <w:pStyle w:val="Normal1linespace"/>
              <w:widowControl w:val="0"/>
              <w:jc w:val="left"/>
            </w:pPr>
            <w:r>
              <w:fldChar w:fldCharType="begin"/>
            </w:r>
            <w:r>
              <w:instrText xml:space="preserve"> DOCPROPERTY  Registry </w:instrText>
            </w:r>
            <w:r>
              <w:fldChar w:fldCharType="separate"/>
            </w:r>
            <w:r w:rsidR="005F01C8">
              <w:t>Victoria</w:t>
            </w:r>
            <w:r>
              <w:fldChar w:fldCharType="end"/>
            </w:r>
          </w:p>
        </w:tc>
      </w:tr>
      <w:tr w:rsidR="005F01C8" w:rsidTr="0005438C">
        <w:tc>
          <w:tcPr>
            <w:tcW w:w="3084" w:type="dxa"/>
            <w:shd w:val="clear" w:color="auto" w:fill="auto"/>
          </w:tcPr>
          <w:p w:rsidR="005F01C8" w:rsidRDefault="005F01C8" w:rsidP="00501A12">
            <w:pPr>
              <w:pStyle w:val="Normal1linespace"/>
              <w:widowControl w:val="0"/>
            </w:pPr>
            <w:bookmarkStart w:id="5" w:name="NPARow" w:colFirst="0" w:colLast="1"/>
            <w:bookmarkEnd w:id="4"/>
          </w:p>
        </w:tc>
        <w:tc>
          <w:tcPr>
            <w:tcW w:w="5989" w:type="dxa"/>
            <w:shd w:val="clear" w:color="auto" w:fill="auto"/>
          </w:tcPr>
          <w:p w:rsidR="005F01C8" w:rsidRPr="00F17599" w:rsidRDefault="005F01C8" w:rsidP="00501A12">
            <w:pPr>
              <w:pStyle w:val="Normal1linespace"/>
              <w:widowControl w:val="0"/>
              <w:jc w:val="left"/>
              <w:rPr>
                <w:b/>
              </w:rPr>
            </w:pPr>
          </w:p>
        </w:tc>
      </w:tr>
      <w:tr w:rsidR="005F01C8" w:rsidTr="0005438C">
        <w:tc>
          <w:tcPr>
            <w:tcW w:w="3084" w:type="dxa"/>
            <w:shd w:val="clear" w:color="auto" w:fill="auto"/>
          </w:tcPr>
          <w:p w:rsidR="005F01C8" w:rsidRDefault="005F01C8" w:rsidP="00501A12">
            <w:pPr>
              <w:pStyle w:val="Normal1linespace"/>
              <w:widowControl w:val="0"/>
            </w:pPr>
            <w:r>
              <w:t>National Practice Area:</w:t>
            </w:r>
          </w:p>
        </w:tc>
        <w:tc>
          <w:tcPr>
            <w:tcW w:w="5989" w:type="dxa"/>
            <w:shd w:val="clear" w:color="auto" w:fill="auto"/>
          </w:tcPr>
          <w:p w:rsidR="005F01C8" w:rsidRPr="00F17599" w:rsidRDefault="00B60100" w:rsidP="00171DBB">
            <w:pPr>
              <w:pStyle w:val="Normal1linespace"/>
              <w:widowControl w:val="0"/>
              <w:jc w:val="left"/>
              <w:rPr>
                <w:b/>
              </w:rPr>
            </w:pPr>
            <w:r>
              <w:t>Commercial and Corporations</w:t>
            </w:r>
          </w:p>
        </w:tc>
      </w:tr>
      <w:bookmarkEnd w:id="5"/>
      <w:tr w:rsidR="005F01C8" w:rsidTr="0005438C">
        <w:tc>
          <w:tcPr>
            <w:tcW w:w="3084" w:type="dxa"/>
            <w:shd w:val="clear" w:color="auto" w:fill="auto"/>
          </w:tcPr>
          <w:p w:rsidR="005F01C8" w:rsidRDefault="005F01C8" w:rsidP="00501A12">
            <w:pPr>
              <w:pStyle w:val="Normal1linespace"/>
              <w:widowControl w:val="0"/>
            </w:pPr>
          </w:p>
        </w:tc>
        <w:tc>
          <w:tcPr>
            <w:tcW w:w="5989" w:type="dxa"/>
            <w:shd w:val="clear" w:color="auto" w:fill="auto"/>
          </w:tcPr>
          <w:p w:rsidR="005F01C8" w:rsidRDefault="005F01C8" w:rsidP="00501A12">
            <w:pPr>
              <w:pStyle w:val="Normal1linespace"/>
              <w:widowControl w:val="0"/>
              <w:jc w:val="left"/>
            </w:pPr>
          </w:p>
        </w:tc>
      </w:tr>
      <w:tr w:rsidR="00B60100" w:rsidTr="0005438C">
        <w:tc>
          <w:tcPr>
            <w:tcW w:w="3084" w:type="dxa"/>
            <w:shd w:val="clear" w:color="auto" w:fill="auto"/>
          </w:tcPr>
          <w:p w:rsidR="00B60100" w:rsidRDefault="00B60100" w:rsidP="00947C75">
            <w:pPr>
              <w:pStyle w:val="Normal1linespace"/>
              <w:widowControl w:val="0"/>
            </w:pPr>
            <w:r>
              <w:t>S</w:t>
            </w:r>
            <w:r w:rsidR="00947C75">
              <w:t>ub-a</w:t>
            </w:r>
            <w:r>
              <w:t>rea:</w:t>
            </w:r>
          </w:p>
        </w:tc>
        <w:tc>
          <w:tcPr>
            <w:tcW w:w="5989" w:type="dxa"/>
            <w:shd w:val="clear" w:color="auto" w:fill="auto"/>
          </w:tcPr>
          <w:p w:rsidR="00B60100" w:rsidRDefault="002C5BE5" w:rsidP="00501A12">
            <w:pPr>
              <w:pStyle w:val="Normal1linespace"/>
              <w:widowControl w:val="0"/>
              <w:jc w:val="left"/>
            </w:pPr>
            <w:r>
              <w:t>Corporations</w:t>
            </w:r>
            <w:r w:rsidR="00B60100">
              <w:t xml:space="preserve"> and </w:t>
            </w:r>
            <w:r w:rsidR="00F6194A">
              <w:t xml:space="preserve">Corporate </w:t>
            </w:r>
            <w:r w:rsidR="00B60100">
              <w:t>Insolvency</w:t>
            </w:r>
          </w:p>
        </w:tc>
      </w:tr>
      <w:tr w:rsidR="00B60100" w:rsidTr="0005438C">
        <w:tc>
          <w:tcPr>
            <w:tcW w:w="3084" w:type="dxa"/>
            <w:shd w:val="clear" w:color="auto" w:fill="auto"/>
          </w:tcPr>
          <w:p w:rsidR="00B60100" w:rsidRDefault="00B60100" w:rsidP="00501A12">
            <w:pPr>
              <w:pStyle w:val="Normal1linespace"/>
              <w:widowControl w:val="0"/>
            </w:pPr>
          </w:p>
        </w:tc>
        <w:tc>
          <w:tcPr>
            <w:tcW w:w="5989" w:type="dxa"/>
            <w:shd w:val="clear" w:color="auto" w:fill="auto"/>
          </w:tcPr>
          <w:p w:rsidR="00B60100" w:rsidRDefault="00B60100" w:rsidP="00501A12">
            <w:pPr>
              <w:pStyle w:val="Normal1linespace"/>
              <w:widowControl w:val="0"/>
              <w:jc w:val="left"/>
            </w:pPr>
          </w:p>
        </w:tc>
      </w:tr>
      <w:tr w:rsidR="005F01C8" w:rsidTr="0005438C">
        <w:tc>
          <w:tcPr>
            <w:tcW w:w="3084" w:type="dxa"/>
            <w:shd w:val="clear" w:color="auto" w:fill="auto"/>
          </w:tcPr>
          <w:p w:rsidR="005F01C8" w:rsidRDefault="005F01C8" w:rsidP="00501A12">
            <w:pPr>
              <w:pStyle w:val="Normal1linespace"/>
              <w:widowControl w:val="0"/>
            </w:pPr>
            <w:r>
              <w:t>Number of paragraphs:</w:t>
            </w:r>
          </w:p>
        </w:tc>
        <w:tc>
          <w:tcPr>
            <w:tcW w:w="5989" w:type="dxa"/>
            <w:shd w:val="clear" w:color="auto" w:fill="auto"/>
          </w:tcPr>
          <w:p w:rsidR="005F01C8" w:rsidRDefault="0005438C" w:rsidP="00501A12">
            <w:pPr>
              <w:pStyle w:val="Normal1linespace"/>
              <w:widowControl w:val="0"/>
              <w:jc w:val="left"/>
            </w:pPr>
            <w:bookmarkStart w:id="6" w:name="PlaceCategoryParagraphs"/>
            <w:r>
              <w:t>24</w:t>
            </w:r>
            <w:bookmarkEnd w:id="6"/>
          </w:p>
        </w:tc>
      </w:tr>
      <w:tr w:rsidR="000154A0" w:rsidTr="0005438C">
        <w:tc>
          <w:tcPr>
            <w:tcW w:w="3084" w:type="dxa"/>
            <w:shd w:val="clear" w:color="auto" w:fill="auto"/>
          </w:tcPr>
          <w:p w:rsidR="000154A0" w:rsidRDefault="000154A0" w:rsidP="00501A12">
            <w:pPr>
              <w:pStyle w:val="Normal1linespace"/>
              <w:widowControl w:val="0"/>
            </w:pPr>
          </w:p>
        </w:tc>
        <w:tc>
          <w:tcPr>
            <w:tcW w:w="5989" w:type="dxa"/>
            <w:shd w:val="clear" w:color="auto" w:fill="auto"/>
          </w:tcPr>
          <w:p w:rsidR="000154A0" w:rsidRDefault="000154A0" w:rsidP="00501A12">
            <w:pPr>
              <w:pStyle w:val="Normal1linespace"/>
              <w:widowControl w:val="0"/>
              <w:jc w:val="left"/>
            </w:pPr>
          </w:p>
        </w:tc>
      </w:tr>
      <w:tr w:rsidR="005F01C8" w:rsidTr="0005438C">
        <w:tc>
          <w:tcPr>
            <w:tcW w:w="3084" w:type="dxa"/>
            <w:shd w:val="clear" w:color="auto" w:fill="auto"/>
          </w:tcPr>
          <w:p w:rsidR="005F01C8" w:rsidRDefault="005F01C8" w:rsidP="005F01C8">
            <w:pPr>
              <w:pStyle w:val="Normal1linespace"/>
              <w:widowControl w:val="0"/>
              <w:jc w:val="left"/>
            </w:pPr>
            <w:bookmarkStart w:id="7" w:name="CounselDate" w:colFirst="0" w:colLast="2"/>
            <w:r w:rsidRPr="006A24E3">
              <w:t>Date of hearing:</w:t>
            </w:r>
          </w:p>
        </w:tc>
        <w:tc>
          <w:tcPr>
            <w:tcW w:w="5989" w:type="dxa"/>
            <w:shd w:val="clear" w:color="auto" w:fill="auto"/>
          </w:tcPr>
          <w:p w:rsidR="005F01C8" w:rsidRDefault="00C223A6" w:rsidP="005F01C8">
            <w:pPr>
              <w:pStyle w:val="Normal1linespace"/>
              <w:widowControl w:val="0"/>
              <w:jc w:val="left"/>
            </w:pPr>
            <w:r>
              <w:t>16 December 2021</w:t>
            </w:r>
          </w:p>
        </w:tc>
      </w:tr>
      <w:tr w:rsidR="005F01C8" w:rsidTr="0005438C">
        <w:tc>
          <w:tcPr>
            <w:tcW w:w="3084" w:type="dxa"/>
            <w:shd w:val="clear" w:color="auto" w:fill="auto"/>
          </w:tcPr>
          <w:p w:rsidR="005F01C8" w:rsidRDefault="005F01C8" w:rsidP="005F01C8">
            <w:pPr>
              <w:pStyle w:val="Normal1linespace"/>
              <w:widowControl w:val="0"/>
              <w:jc w:val="left"/>
            </w:pPr>
          </w:p>
        </w:tc>
        <w:tc>
          <w:tcPr>
            <w:tcW w:w="5989" w:type="dxa"/>
            <w:shd w:val="clear" w:color="auto" w:fill="auto"/>
          </w:tcPr>
          <w:p w:rsidR="005F01C8" w:rsidRDefault="005F01C8" w:rsidP="005F01C8">
            <w:pPr>
              <w:pStyle w:val="Normal1linespace"/>
              <w:widowControl w:val="0"/>
              <w:jc w:val="left"/>
            </w:pPr>
          </w:p>
        </w:tc>
      </w:tr>
      <w:tr w:rsidR="00117738" w:rsidTr="0005438C">
        <w:tc>
          <w:tcPr>
            <w:tcW w:w="3084" w:type="dxa"/>
            <w:shd w:val="clear" w:color="auto" w:fill="auto"/>
          </w:tcPr>
          <w:p w:rsidR="00117738" w:rsidRDefault="000154A0" w:rsidP="005F01C8">
            <w:pPr>
              <w:pStyle w:val="Normal1linespace"/>
              <w:widowControl w:val="0"/>
              <w:jc w:val="left"/>
            </w:pPr>
            <w:r>
              <w:lastRenderedPageBreak/>
              <w:t xml:space="preserve">Counsel for the </w:t>
            </w:r>
            <w:r w:rsidR="008C134D">
              <w:t>Applicant</w:t>
            </w:r>
            <w:r>
              <w:t>:</w:t>
            </w:r>
          </w:p>
        </w:tc>
        <w:tc>
          <w:tcPr>
            <w:tcW w:w="5989" w:type="dxa"/>
            <w:shd w:val="clear" w:color="auto" w:fill="auto"/>
          </w:tcPr>
          <w:p w:rsidR="00117738" w:rsidRDefault="008C134D" w:rsidP="005F01C8">
            <w:pPr>
              <w:pStyle w:val="Normal1linespace"/>
              <w:widowControl w:val="0"/>
              <w:jc w:val="left"/>
            </w:pPr>
            <w:r>
              <w:t>Mr I Waller QC appearing with Mr D Parish</w:t>
            </w:r>
          </w:p>
        </w:tc>
      </w:tr>
      <w:tr w:rsidR="00117738" w:rsidTr="0005438C">
        <w:tc>
          <w:tcPr>
            <w:tcW w:w="3084" w:type="dxa"/>
            <w:shd w:val="clear" w:color="auto" w:fill="auto"/>
          </w:tcPr>
          <w:p w:rsidR="00117738" w:rsidRDefault="00117738" w:rsidP="005F01C8">
            <w:pPr>
              <w:pStyle w:val="Normal1linespace"/>
              <w:widowControl w:val="0"/>
              <w:jc w:val="left"/>
            </w:pPr>
          </w:p>
        </w:tc>
        <w:tc>
          <w:tcPr>
            <w:tcW w:w="5989" w:type="dxa"/>
            <w:shd w:val="clear" w:color="auto" w:fill="auto"/>
          </w:tcPr>
          <w:p w:rsidR="00117738" w:rsidRDefault="00117738" w:rsidP="005F01C8">
            <w:pPr>
              <w:pStyle w:val="Normal1linespace"/>
              <w:widowControl w:val="0"/>
              <w:jc w:val="left"/>
            </w:pPr>
          </w:p>
        </w:tc>
      </w:tr>
      <w:tr w:rsidR="00117738" w:rsidTr="0005438C">
        <w:tc>
          <w:tcPr>
            <w:tcW w:w="3084" w:type="dxa"/>
            <w:shd w:val="clear" w:color="auto" w:fill="auto"/>
          </w:tcPr>
          <w:p w:rsidR="00117738" w:rsidRDefault="000154A0" w:rsidP="008C134D">
            <w:pPr>
              <w:pStyle w:val="Normal1linespace"/>
              <w:widowControl w:val="0"/>
              <w:jc w:val="left"/>
            </w:pPr>
            <w:r>
              <w:t>Solicitor for the App</w:t>
            </w:r>
            <w:r w:rsidR="008C134D">
              <w:t>lic</w:t>
            </w:r>
            <w:r>
              <w:t>ant:</w:t>
            </w:r>
          </w:p>
        </w:tc>
        <w:tc>
          <w:tcPr>
            <w:tcW w:w="5989" w:type="dxa"/>
            <w:shd w:val="clear" w:color="auto" w:fill="auto"/>
          </w:tcPr>
          <w:p w:rsidR="00117738" w:rsidRDefault="008C134D" w:rsidP="005F01C8">
            <w:pPr>
              <w:pStyle w:val="Normal1linespace"/>
              <w:widowControl w:val="0"/>
              <w:jc w:val="left"/>
            </w:pPr>
            <w:r>
              <w:t>MDW Law</w:t>
            </w:r>
          </w:p>
        </w:tc>
      </w:tr>
      <w:tr w:rsidR="00117738" w:rsidTr="0005438C">
        <w:tc>
          <w:tcPr>
            <w:tcW w:w="3084" w:type="dxa"/>
            <w:shd w:val="clear" w:color="auto" w:fill="auto"/>
          </w:tcPr>
          <w:p w:rsidR="00117738" w:rsidRDefault="00117738" w:rsidP="005F01C8">
            <w:pPr>
              <w:pStyle w:val="Normal1linespace"/>
              <w:widowControl w:val="0"/>
              <w:jc w:val="left"/>
            </w:pPr>
          </w:p>
        </w:tc>
        <w:tc>
          <w:tcPr>
            <w:tcW w:w="5989" w:type="dxa"/>
            <w:shd w:val="clear" w:color="auto" w:fill="auto"/>
          </w:tcPr>
          <w:p w:rsidR="00117738" w:rsidRDefault="00117738" w:rsidP="005F01C8">
            <w:pPr>
              <w:pStyle w:val="Normal1linespace"/>
              <w:widowControl w:val="0"/>
              <w:jc w:val="left"/>
            </w:pPr>
          </w:p>
        </w:tc>
      </w:tr>
      <w:tr w:rsidR="00117738" w:rsidTr="0005438C">
        <w:tc>
          <w:tcPr>
            <w:tcW w:w="3084" w:type="dxa"/>
            <w:shd w:val="clear" w:color="auto" w:fill="auto"/>
          </w:tcPr>
          <w:p w:rsidR="00117738" w:rsidRDefault="000154A0" w:rsidP="000154A0">
            <w:pPr>
              <w:pStyle w:val="Normal1linespace"/>
              <w:widowControl w:val="0"/>
              <w:jc w:val="left"/>
            </w:pPr>
            <w:r>
              <w:t>Counsel for the Respondent</w:t>
            </w:r>
          </w:p>
        </w:tc>
        <w:tc>
          <w:tcPr>
            <w:tcW w:w="5989" w:type="dxa"/>
            <w:shd w:val="clear" w:color="auto" w:fill="auto"/>
          </w:tcPr>
          <w:p w:rsidR="00117738" w:rsidRDefault="00CC30E4" w:rsidP="005F01C8">
            <w:pPr>
              <w:pStyle w:val="Normal1linespace"/>
              <w:widowControl w:val="0"/>
              <w:jc w:val="left"/>
            </w:pPr>
            <w:r>
              <w:t xml:space="preserve">Mr L Wirth appearing with Mr </w:t>
            </w:r>
            <w:proofErr w:type="spellStart"/>
            <w:r>
              <w:t>Frauenfelder</w:t>
            </w:r>
            <w:proofErr w:type="spellEnd"/>
          </w:p>
        </w:tc>
      </w:tr>
      <w:tr w:rsidR="00117738" w:rsidTr="0005438C">
        <w:tc>
          <w:tcPr>
            <w:tcW w:w="3084" w:type="dxa"/>
            <w:shd w:val="clear" w:color="auto" w:fill="auto"/>
          </w:tcPr>
          <w:p w:rsidR="00117738" w:rsidRDefault="00117738" w:rsidP="005F01C8">
            <w:pPr>
              <w:pStyle w:val="Normal1linespace"/>
              <w:widowControl w:val="0"/>
              <w:jc w:val="left"/>
            </w:pPr>
          </w:p>
        </w:tc>
        <w:tc>
          <w:tcPr>
            <w:tcW w:w="5989" w:type="dxa"/>
            <w:shd w:val="clear" w:color="auto" w:fill="auto"/>
          </w:tcPr>
          <w:p w:rsidR="00117738" w:rsidRDefault="00117738" w:rsidP="005F01C8">
            <w:pPr>
              <w:pStyle w:val="Normal1linespace"/>
              <w:widowControl w:val="0"/>
              <w:jc w:val="left"/>
            </w:pPr>
          </w:p>
        </w:tc>
      </w:tr>
      <w:tr w:rsidR="000154A0" w:rsidTr="0005438C">
        <w:tc>
          <w:tcPr>
            <w:tcW w:w="3084" w:type="dxa"/>
            <w:shd w:val="clear" w:color="auto" w:fill="auto"/>
          </w:tcPr>
          <w:p w:rsidR="000154A0" w:rsidRDefault="000154A0" w:rsidP="000154A0">
            <w:pPr>
              <w:pStyle w:val="Normal1linespace"/>
              <w:widowControl w:val="0"/>
              <w:jc w:val="left"/>
            </w:pPr>
            <w:r>
              <w:t>Solicitor for the Respondent:</w:t>
            </w:r>
          </w:p>
        </w:tc>
        <w:tc>
          <w:tcPr>
            <w:tcW w:w="5989" w:type="dxa"/>
            <w:shd w:val="clear" w:color="auto" w:fill="auto"/>
          </w:tcPr>
          <w:p w:rsidR="000154A0" w:rsidRDefault="008C134D" w:rsidP="005F01C8">
            <w:pPr>
              <w:pStyle w:val="Normal1linespace"/>
              <w:widowControl w:val="0"/>
              <w:jc w:val="left"/>
            </w:pPr>
            <w:proofErr w:type="spellStart"/>
            <w:r>
              <w:t>Prudentia</w:t>
            </w:r>
            <w:proofErr w:type="spellEnd"/>
            <w:r>
              <w:t xml:space="preserve"> Legal Pty Ltd</w:t>
            </w:r>
          </w:p>
        </w:tc>
      </w:tr>
    </w:tbl>
    <w:p w:rsidR="00B17D6E" w:rsidRDefault="00B17D6E">
      <w:pPr>
        <w:pStyle w:val="Normal1linespace"/>
      </w:pPr>
      <w:bookmarkStart w:id="8" w:name="CompletionTable"/>
      <w:bookmarkEnd w:id="7"/>
    </w:p>
    <w:bookmarkEnd w:id="8"/>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54759" w:rsidP="00F92355">
            <w:pPr>
              <w:pStyle w:val="NormalHeadings"/>
              <w:jc w:val="right"/>
            </w:pPr>
            <w:bookmarkStart w:id="9" w:name="FileNo"/>
            <w:r>
              <w:t>VID</w:t>
            </w:r>
            <w:r w:rsidR="00F0374D">
              <w:t xml:space="preserve"> </w:t>
            </w:r>
            <w:r>
              <w:t xml:space="preserve">240 of </w:t>
            </w:r>
            <w:r w:rsidR="005F01C8">
              <w:t>2021</w:t>
            </w:r>
            <w:bookmarkEnd w:id="9"/>
          </w:p>
        </w:tc>
      </w:tr>
      <w:tr w:rsidR="00A76C13" w:rsidTr="00F461A4">
        <w:tc>
          <w:tcPr>
            <w:tcW w:w="9242" w:type="dxa"/>
            <w:gridSpan w:val="3"/>
          </w:tcPr>
          <w:p w:rsidR="00A76C13" w:rsidRPr="00A76C13" w:rsidRDefault="005F01C8" w:rsidP="005F01C8">
            <w:pPr>
              <w:pStyle w:val="NormalHeadings"/>
              <w:jc w:val="left"/>
            </w:pPr>
            <w:bookmarkStart w:id="10" w:name="InTheMatterOf"/>
            <w:r>
              <w:t xml:space="preserve"> </w:t>
            </w:r>
            <w:bookmarkEnd w:id="10"/>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5F01C8" w:rsidRDefault="005F01C8" w:rsidP="005F01C8">
            <w:pPr>
              <w:pStyle w:val="NormalHeadings"/>
              <w:jc w:val="left"/>
            </w:pPr>
            <w:bookmarkStart w:id="12" w:name="Applicant"/>
            <w:r>
              <w:t>AUSIN GROUP (AUSTRALIA) PTY LTD</w:t>
            </w:r>
          </w:p>
          <w:p w:rsidR="005F01C8" w:rsidRDefault="005F01C8" w:rsidP="005F01C8">
            <w:pPr>
              <w:pStyle w:val="PartyType"/>
            </w:pPr>
            <w:r>
              <w:t>Applicant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F01C8" w:rsidRDefault="005F01C8" w:rsidP="005F01C8">
            <w:pPr>
              <w:pStyle w:val="NormalHeadings"/>
              <w:jc w:val="left"/>
            </w:pPr>
            <w:bookmarkStart w:id="13" w:name="Respondent"/>
            <w:r>
              <w:t>SONG ZHAO</w:t>
            </w:r>
          </w:p>
          <w:p w:rsidR="005F01C8" w:rsidRDefault="005F01C8" w:rsidP="005F01C8">
            <w:pPr>
              <w:pStyle w:val="PartyType"/>
            </w:pPr>
            <w:r>
              <w:t>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5" w:name="JudgeText"/>
            <w:r>
              <w:rPr>
                <w:caps/>
                <w:szCs w:val="24"/>
              </w:rPr>
              <w:t>order made by</w:t>
            </w:r>
            <w:bookmarkEnd w:id="15"/>
            <w:r w:rsidR="002C7385">
              <w:rPr>
                <w:caps/>
                <w:szCs w:val="24"/>
              </w:rPr>
              <w:t>:</w:t>
            </w:r>
          </w:p>
        </w:tc>
        <w:tc>
          <w:tcPr>
            <w:tcW w:w="6866" w:type="dxa"/>
          </w:tcPr>
          <w:p w:rsidR="00395B24" w:rsidRDefault="005F01C8">
            <w:pPr>
              <w:pStyle w:val="NormalHeadings"/>
              <w:jc w:val="left"/>
              <w:rPr>
                <w:caps/>
                <w:szCs w:val="24"/>
              </w:rPr>
            </w:pPr>
            <w:bookmarkStart w:id="16" w:name="Judge"/>
            <w:r>
              <w:rPr>
                <w:caps/>
                <w:szCs w:val="24"/>
              </w:rPr>
              <w:t>ANDERSON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F01C8">
            <w:pPr>
              <w:pStyle w:val="NormalHeadings"/>
              <w:jc w:val="left"/>
              <w:rPr>
                <w:caps/>
                <w:szCs w:val="24"/>
              </w:rPr>
            </w:pPr>
            <w:bookmarkStart w:id="17" w:name="Judgment_Dated"/>
            <w:r>
              <w:rPr>
                <w:caps/>
                <w:szCs w:val="24"/>
              </w:rPr>
              <w:t>17 DECEMBER 2021</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5F01C8" w:rsidRDefault="005F01C8" w:rsidP="005F01C8">
      <w:pPr>
        <w:pStyle w:val="Order1"/>
      </w:pPr>
      <w:r>
        <w:t xml:space="preserve">Leave to </w:t>
      </w:r>
      <w:r w:rsidR="00917FB4">
        <w:t>appeal</w:t>
      </w:r>
      <w:r>
        <w:t xml:space="preserve"> </w:t>
      </w:r>
      <w:r w:rsidR="00066ED7">
        <w:t>is</w:t>
      </w:r>
      <w:r>
        <w:t xml:space="preserve"> refused.  </w:t>
      </w:r>
    </w:p>
    <w:p w:rsidR="001A6C52" w:rsidRDefault="005F01C8" w:rsidP="005F01C8">
      <w:pPr>
        <w:pStyle w:val="Order1"/>
      </w:pPr>
      <w:r>
        <w:t>The applicant will pay the respondent’s costs on a lump sum basis in an amount to be agreed or such amount as determined by a Registrar of the Court.</w:t>
      </w:r>
    </w:p>
    <w:p w:rsidR="001A6C52" w:rsidRDefault="001A6C52" w:rsidP="001A6C52">
      <w:pPr>
        <w:pStyle w:val="BodyText"/>
      </w:pPr>
    </w:p>
    <w:p w:rsidR="00A431E6" w:rsidRDefault="00A431E6" w:rsidP="001A6C52">
      <w:pPr>
        <w:pStyle w:val="BodyText"/>
      </w:pPr>
    </w:p>
    <w:p w:rsidR="0050309C" w:rsidRDefault="005F01C8" w:rsidP="004D53E5">
      <w:pPr>
        <w:pStyle w:val="SingleSpace"/>
      </w:pPr>
      <w:bookmarkStart w:id="18" w:name="OrdersStatement"/>
      <w:r>
        <w:t>Note:</w:t>
      </w:r>
      <w:r>
        <w:tab/>
        <w:t xml:space="preserve">Entry of orders is dealt with in Rule 39.32 of the </w:t>
      </w:r>
      <w:r>
        <w:rPr>
          <w:i/>
        </w:rPr>
        <w:t>Federal Court Rules 2011</w:t>
      </w:r>
      <w:r>
        <w:t>.</w:t>
      </w:r>
      <w:bookmarkEnd w:id="18"/>
    </w:p>
    <w:p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30E26" w:rsidRPr="00045BB7" w:rsidRDefault="00430E26" w:rsidP="00430E26">
      <w:pPr>
        <w:pStyle w:val="NormalHeadings"/>
        <w:spacing w:line="480" w:lineRule="auto"/>
        <w:jc w:val="center"/>
        <w:rPr>
          <w:sz w:val="28"/>
          <w:szCs w:val="28"/>
        </w:rPr>
      </w:pPr>
      <w:bookmarkStart w:id="19" w:name="ReasonsPage"/>
      <w:bookmarkEnd w:id="19"/>
      <w:r w:rsidRPr="00045BB7">
        <w:rPr>
          <w:sz w:val="28"/>
          <w:szCs w:val="28"/>
        </w:rPr>
        <w:t>REASONS FOR JUDGMENT</w:t>
      </w:r>
    </w:p>
    <w:p w:rsidR="00430E26" w:rsidRDefault="00430E26" w:rsidP="00430E26">
      <w:pPr>
        <w:pStyle w:val="NormalHeadings"/>
        <w:spacing w:line="360" w:lineRule="auto"/>
        <w:jc w:val="left"/>
        <w:rPr>
          <w:sz w:val="26"/>
          <w:szCs w:val="26"/>
        </w:rPr>
      </w:pPr>
      <w:r>
        <w:rPr>
          <w:sz w:val="26"/>
          <w:szCs w:val="26"/>
        </w:rPr>
        <w:t>ANDERSON J:</w:t>
      </w:r>
    </w:p>
    <w:p w:rsidR="00430E26" w:rsidRDefault="00430E26" w:rsidP="00430E26">
      <w:pPr>
        <w:pStyle w:val="Heading1"/>
      </w:pPr>
      <w:r>
        <w:t>introduction</w:t>
      </w:r>
    </w:p>
    <w:p w:rsidR="00430E26" w:rsidRDefault="00430E26" w:rsidP="00430E26">
      <w:pPr>
        <w:pStyle w:val="ParaNumbering"/>
      </w:pPr>
      <w:r w:rsidRPr="00405493">
        <w:t>The applicant</w:t>
      </w:r>
      <w:r>
        <w:t xml:space="preserve">, </w:t>
      </w:r>
      <w:proofErr w:type="spellStart"/>
      <w:r>
        <w:t>Ausin</w:t>
      </w:r>
      <w:proofErr w:type="spellEnd"/>
      <w:r>
        <w:t xml:space="preserve"> Group (Australia) Pty Ltd</w:t>
      </w:r>
      <w:r w:rsidRPr="00405493">
        <w:t xml:space="preserve"> (</w:t>
      </w:r>
      <w:proofErr w:type="spellStart"/>
      <w:r w:rsidRPr="00405493">
        <w:rPr>
          <w:b/>
        </w:rPr>
        <w:t>Ausin</w:t>
      </w:r>
      <w:proofErr w:type="spellEnd"/>
      <w:r w:rsidRPr="00405493">
        <w:t>) seeks leave to appeal from the d</w:t>
      </w:r>
      <w:r>
        <w:t>iscovery order made by the primary judge on 23 April 2021 (</w:t>
      </w:r>
      <w:r w:rsidRPr="00405493">
        <w:rPr>
          <w:b/>
        </w:rPr>
        <w:t>Discovery Order</w:t>
      </w:r>
      <w:r>
        <w:t>)</w:t>
      </w:r>
      <w:r w:rsidRPr="00405493">
        <w:t xml:space="preserve"> in proceedings brought against it by the respondent (</w:t>
      </w:r>
      <w:r w:rsidRPr="00405493">
        <w:rPr>
          <w:b/>
        </w:rPr>
        <w:t>Mr Zhao</w:t>
      </w:r>
      <w:r w:rsidRPr="00405493">
        <w:t xml:space="preserve">) seeking relief under s 37A of the </w:t>
      </w:r>
      <w:r w:rsidRPr="00583154">
        <w:rPr>
          <w:i/>
        </w:rPr>
        <w:t>Conveyancing Act 1919</w:t>
      </w:r>
      <w:r w:rsidRPr="00583154">
        <w:t xml:space="preserve"> (NSW).</w:t>
      </w:r>
    </w:p>
    <w:p w:rsidR="00430E26" w:rsidRDefault="00430E26" w:rsidP="00430E26">
      <w:pPr>
        <w:pStyle w:val="ParaNumbering"/>
      </w:pPr>
      <w:r>
        <w:t>The Discovery Order required</w:t>
      </w:r>
      <w:r w:rsidRPr="00574F30">
        <w:t xml:space="preserve"> </w:t>
      </w:r>
      <w:proofErr w:type="spellStart"/>
      <w:r w:rsidRPr="00574F30">
        <w:t>Ausin</w:t>
      </w:r>
      <w:proofErr w:type="spellEnd"/>
      <w:r w:rsidRPr="00574F30">
        <w:t xml:space="preserve"> to discover and produce to Mr Zhao certain documents described in the schedule attached to the orders made on 23 April 2021. </w:t>
      </w:r>
      <w:r>
        <w:t xml:space="preserve"> </w:t>
      </w:r>
      <w:r w:rsidRPr="00574F30">
        <w:t>That schedule contained 14 categories of financial documents.</w:t>
      </w:r>
    </w:p>
    <w:p w:rsidR="00430E26" w:rsidRDefault="00430E26" w:rsidP="00430E26">
      <w:pPr>
        <w:pStyle w:val="ParaNumbering"/>
      </w:pPr>
      <w:r>
        <w:t>The substantive proceeding was commenced by originating application filed on 31 October 2019.</w:t>
      </w:r>
    </w:p>
    <w:p w:rsidR="00430E26" w:rsidRDefault="00430E26" w:rsidP="00430E26">
      <w:pPr>
        <w:pStyle w:val="ParaNumbering"/>
      </w:pPr>
      <w:r w:rsidRPr="0067169F">
        <w:t xml:space="preserve">On 11 June 2020, </w:t>
      </w:r>
      <w:proofErr w:type="spellStart"/>
      <w:r w:rsidRPr="0067169F">
        <w:t>Ausin</w:t>
      </w:r>
      <w:proofErr w:type="spellEnd"/>
      <w:r w:rsidRPr="0067169F">
        <w:t xml:space="preserve"> served an ap</w:t>
      </w:r>
      <w:r>
        <w:t xml:space="preserve">plication for summary judgment. </w:t>
      </w:r>
      <w:r w:rsidRPr="0067169F">
        <w:t xml:space="preserve"> The primary judge heard that application on 29 October 2020 and made orders dispo</w:t>
      </w:r>
      <w:r>
        <w:t xml:space="preserve">sing of it on 17 November 2020: </w:t>
      </w:r>
      <w:r w:rsidRPr="00583154">
        <w:rPr>
          <w:i/>
        </w:rPr>
        <w:t xml:space="preserve">Zhao v </w:t>
      </w:r>
      <w:proofErr w:type="spellStart"/>
      <w:r w:rsidRPr="00583154">
        <w:rPr>
          <w:i/>
        </w:rPr>
        <w:t>Ausin</w:t>
      </w:r>
      <w:proofErr w:type="spellEnd"/>
      <w:r w:rsidRPr="00583154">
        <w:rPr>
          <w:i/>
        </w:rPr>
        <w:t xml:space="preserve"> Group (Australia) Pty Ltd</w:t>
      </w:r>
      <w:r w:rsidRPr="00583154">
        <w:t xml:space="preserve"> [2020] FCA 1659</w:t>
      </w:r>
      <w:r w:rsidRPr="00BE644B">
        <w:t>.</w:t>
      </w:r>
    </w:p>
    <w:p w:rsidR="00430E26" w:rsidRDefault="00430E26" w:rsidP="00430E26">
      <w:pPr>
        <w:pStyle w:val="ParaNumbering"/>
      </w:pPr>
      <w:r>
        <w:t>The proceeding returned before the primary judge on 23 April 2021, where the primary judge made the Discovery Order, the subject of this application for leave to appeal.</w:t>
      </w:r>
    </w:p>
    <w:p w:rsidR="00430E26" w:rsidRDefault="00430E26" w:rsidP="00430E26">
      <w:pPr>
        <w:pStyle w:val="ParaNumbering"/>
      </w:pPr>
      <w:r>
        <w:t>The draft notice of appeal raises the following proposed grounds:</w:t>
      </w:r>
    </w:p>
    <w:p w:rsidR="00430E26" w:rsidRDefault="00430E26" w:rsidP="00430E26">
      <w:pPr>
        <w:pStyle w:val="ListNo1alt"/>
        <w:numPr>
          <w:ilvl w:val="0"/>
          <w:numId w:val="23"/>
        </w:numPr>
      </w:pPr>
      <w:r>
        <w:t xml:space="preserve">Ground 1 - The primary judge had no power under s 79 of the </w:t>
      </w:r>
      <w:r w:rsidRPr="00583154">
        <w:rPr>
          <w:i/>
        </w:rPr>
        <w:t>Judiciary Act 1903</w:t>
      </w:r>
      <w:r w:rsidRPr="00583154">
        <w:t xml:space="preserve"> (</w:t>
      </w:r>
      <w:proofErr w:type="spellStart"/>
      <w:r w:rsidRPr="00583154">
        <w:t>Cth</w:t>
      </w:r>
      <w:proofErr w:type="spellEnd"/>
      <w:r w:rsidRPr="00583154">
        <w:t>)</w:t>
      </w:r>
      <w:r>
        <w:t xml:space="preserve"> to apply New South Wales laws or exercise jurisdiction over a justiciable controversy that arises solely under New South Wales law.</w:t>
      </w:r>
    </w:p>
    <w:p w:rsidR="00430E26" w:rsidRDefault="00430E26" w:rsidP="00430E26">
      <w:pPr>
        <w:pStyle w:val="ListNo1alt"/>
        <w:numPr>
          <w:ilvl w:val="0"/>
          <w:numId w:val="23"/>
        </w:numPr>
      </w:pPr>
      <w:r>
        <w:t xml:space="preserve">Ground 2 – The primary judge erred in the exercise of her discretion under r 20.11 of the </w:t>
      </w:r>
      <w:r w:rsidRPr="00583154">
        <w:rPr>
          <w:i/>
        </w:rPr>
        <w:t>Federal Court Rules 2011</w:t>
      </w:r>
      <w:r>
        <w:t xml:space="preserve"> </w:t>
      </w:r>
      <w:r w:rsidR="00425CF8">
        <w:t>(</w:t>
      </w:r>
      <w:proofErr w:type="spellStart"/>
      <w:r w:rsidR="00425CF8">
        <w:t>Cth</w:t>
      </w:r>
      <w:proofErr w:type="spellEnd"/>
      <w:r w:rsidR="00425CF8">
        <w:t xml:space="preserve">) </w:t>
      </w:r>
      <w:r>
        <w:t>in making the Discovery Order.</w:t>
      </w:r>
    </w:p>
    <w:p w:rsidR="00430E26" w:rsidRDefault="00430E26" w:rsidP="00430E26">
      <w:pPr>
        <w:pStyle w:val="Heading1"/>
      </w:pPr>
      <w:r>
        <w:t>legal principles</w:t>
      </w:r>
    </w:p>
    <w:p w:rsidR="00430E26" w:rsidRDefault="00430E26" w:rsidP="00430E26">
      <w:pPr>
        <w:pStyle w:val="ParaNumbering"/>
      </w:pPr>
      <w:r w:rsidRPr="00EA25F1">
        <w:t xml:space="preserve">Section 24 of the </w:t>
      </w:r>
      <w:r w:rsidRPr="00583154">
        <w:rPr>
          <w:i/>
        </w:rPr>
        <w:t xml:space="preserve">Federal Court of Australia Act 1976 </w:t>
      </w:r>
      <w:r w:rsidRPr="00583154">
        <w:t>(</w:t>
      </w:r>
      <w:proofErr w:type="spellStart"/>
      <w:r w:rsidRPr="00583154">
        <w:t>Cth</w:t>
      </w:r>
      <w:proofErr w:type="spellEnd"/>
      <w:r w:rsidRPr="00583154">
        <w:t>)</w:t>
      </w:r>
      <w:r>
        <w:t xml:space="preserve"> (</w:t>
      </w:r>
      <w:r w:rsidRPr="00EA25F1">
        <w:rPr>
          <w:b/>
        </w:rPr>
        <w:t>Act</w:t>
      </w:r>
      <w:r w:rsidRPr="00EA25F1">
        <w:t>) confers ju</w:t>
      </w:r>
      <w:r>
        <w:t xml:space="preserve">risdiction upon this </w:t>
      </w:r>
      <w:r w:rsidRPr="00EA25F1">
        <w:t>Court to hear and determine appeals from judgments of the Court constituted by a single judge, but pursuant to s 24(1A) of the Act, leave is required from an interlocutory judgment.</w:t>
      </w:r>
    </w:p>
    <w:p w:rsidR="00430E26" w:rsidRDefault="00430E26" w:rsidP="00430E26">
      <w:pPr>
        <w:pStyle w:val="ParaNumbering"/>
      </w:pPr>
      <w:r w:rsidRPr="00EA25F1">
        <w:t>The Discovery Order is both interlocutory and in respect of a matter of practice and procedure.</w:t>
      </w:r>
    </w:p>
    <w:p w:rsidR="00430E26" w:rsidRDefault="00430E26" w:rsidP="00430E26">
      <w:pPr>
        <w:pStyle w:val="ParaNumbering"/>
      </w:pPr>
      <w:r w:rsidRPr="00EA25F1">
        <w:t xml:space="preserve">In </w:t>
      </w:r>
      <w:r w:rsidRPr="00583154">
        <w:rPr>
          <w:i/>
        </w:rPr>
        <w:t>Nationwide News Pty Ltd v Rush</w:t>
      </w:r>
      <w:r w:rsidRPr="00583154">
        <w:t xml:space="preserve"> [2018] FCAFC 70</w:t>
      </w:r>
      <w:r>
        <w:t xml:space="preserve"> at [2] to [4] and at [6] Lee J stated:</w:t>
      </w:r>
    </w:p>
    <w:p w:rsidR="00430E26" w:rsidRDefault="00430E26" w:rsidP="00430E26">
      <w:pPr>
        <w:pStyle w:val="Quote1"/>
      </w:pPr>
      <w:r w:rsidRPr="00EA25F1">
        <w:t xml:space="preserve">The starting point is that in exercising the power to grant leave, regard must be had to the statutory charge in s </w:t>
      </w:r>
      <w:proofErr w:type="gramStart"/>
      <w:r w:rsidRPr="00EA25F1">
        <w:t>37M(</w:t>
      </w:r>
      <w:proofErr w:type="gramEnd"/>
      <w:r w:rsidRPr="00EA25F1">
        <w:t xml:space="preserve">3) of the </w:t>
      </w:r>
      <w:r w:rsidRPr="00EA25F1">
        <w:rPr>
          <w:i/>
        </w:rPr>
        <w:t>Federal Court of Australia Act 1976</w:t>
      </w:r>
      <w:r w:rsidRPr="00EA25F1">
        <w:t xml:space="preserve"> (</w:t>
      </w:r>
      <w:proofErr w:type="spellStart"/>
      <w:r w:rsidRPr="00EA25F1">
        <w:t>Cth</w:t>
      </w:r>
      <w:proofErr w:type="spellEnd"/>
      <w:r w:rsidRPr="00EA25F1">
        <w:t xml:space="preserve">) that the power must be exercised or carried out in the way that best promotes the overarching purpose, being the just resolution of disputes according to law and as quickly, inexpensively and efficiently as possible. </w:t>
      </w:r>
    </w:p>
    <w:p w:rsidR="00430E26" w:rsidRDefault="00430E26" w:rsidP="00430E26">
      <w:pPr>
        <w:pStyle w:val="Quote1"/>
      </w:pPr>
      <w:r w:rsidRPr="00EA25F1">
        <w:t>Consistently with the facilitation of a just resolution, an applicant must usually show that: (a) in all the circumstances, the decision to be appealed is attended with sufficient doubt to warrant its reconsideration on appeal; and (b) supposing the decision to be wrong, substantial injustice would result if leave were refused</w:t>
      </w:r>
      <w:r w:rsidRPr="00EA25F1">
        <w:rPr>
          <w:i/>
        </w:rPr>
        <w:t xml:space="preserve">: Decor Corporation Pty Ltd v Dart Industries </w:t>
      </w:r>
      <w:proofErr w:type="spellStart"/>
      <w:r w:rsidRPr="00EA25F1">
        <w:rPr>
          <w:i/>
        </w:rPr>
        <w:t>Inc</w:t>
      </w:r>
      <w:proofErr w:type="spellEnd"/>
      <w:r w:rsidRPr="00EA25F1">
        <w:rPr>
          <w:i/>
        </w:rPr>
        <w:t xml:space="preserve"> </w:t>
      </w:r>
      <w:r w:rsidRPr="00EA25F1">
        <w:t xml:space="preserve">[1991] FCAFC 844; (1991) 33 FCR 397 at 398-399 (Sheppard, Burchett and </w:t>
      </w:r>
      <w:proofErr w:type="spellStart"/>
      <w:r w:rsidRPr="00EA25F1">
        <w:t>Heerey</w:t>
      </w:r>
      <w:proofErr w:type="spellEnd"/>
      <w:r w:rsidRPr="00EA25F1">
        <w:t xml:space="preserve"> JJ). The sufficiency of the doubt in respect of the decision to be appealed and the question of substantial injustice bear upon each other so that the degree of doubt which is sufficient in one case may be different from that required in another. It has also been said that the considerations are cumulative such that leave ought not be granted unless each limb is made out: </w:t>
      </w:r>
      <w:r w:rsidRPr="00887629">
        <w:rPr>
          <w:i/>
        </w:rPr>
        <w:t xml:space="preserve">Rawson Finances Pty Ltd v Deputy Commissioner of Taxation </w:t>
      </w:r>
      <w:r w:rsidRPr="00EA25F1">
        <w:t xml:space="preserve">[2010] FCAFC 139; (2010) 81 ATR 36 at 38 [5] (Ryan, Stone and </w:t>
      </w:r>
      <w:proofErr w:type="spellStart"/>
      <w:r w:rsidRPr="00EA25F1">
        <w:t>Jagot</w:t>
      </w:r>
      <w:proofErr w:type="spellEnd"/>
      <w:r w:rsidRPr="00EA25F1">
        <w:t xml:space="preserve"> JJ); </w:t>
      </w:r>
      <w:r w:rsidRPr="00887629">
        <w:rPr>
          <w:i/>
        </w:rPr>
        <w:t xml:space="preserve">Melbourne City Investments Pty Ltd v Treasury Wine Estates Ltd </w:t>
      </w:r>
      <w:r w:rsidRPr="00887629">
        <w:t>[2017] FCAFC 98; (2017) 252 FCR 1 at 4 [3] (</w:t>
      </w:r>
      <w:proofErr w:type="spellStart"/>
      <w:r w:rsidRPr="00887629">
        <w:t>Jagot</w:t>
      </w:r>
      <w:proofErr w:type="spellEnd"/>
      <w:r w:rsidRPr="00887629">
        <w:t xml:space="preserve">, Yates and Murphy JJ). </w:t>
      </w:r>
    </w:p>
    <w:p w:rsidR="00430E26" w:rsidRDefault="00430E26" w:rsidP="00430E26">
      <w:pPr>
        <w:pStyle w:val="Quote1"/>
      </w:pPr>
      <w:r w:rsidRPr="00887629">
        <w:t xml:space="preserve">Additionally, consistent with the facilitation of a quick, inexpensive and efficient resolution is the principle which emerges from the oft-cited warning of Jordan CJ in </w:t>
      </w:r>
      <w:r w:rsidRPr="00887629">
        <w:rPr>
          <w:i/>
        </w:rPr>
        <w:t>In re the Will of F. B. Gilbert (Deceased)</w:t>
      </w:r>
      <w:r>
        <w:rPr>
          <w:i/>
        </w:rPr>
        <w:t xml:space="preserve"> </w:t>
      </w:r>
      <w:r w:rsidRPr="00887629">
        <w:t xml:space="preserve">[1946] </w:t>
      </w:r>
      <w:proofErr w:type="spellStart"/>
      <w:r w:rsidRPr="00887629">
        <w:t>NSWStRp</w:t>
      </w:r>
      <w:proofErr w:type="spellEnd"/>
      <w:r w:rsidRPr="00887629">
        <w:t xml:space="preserve"> 24; (1946) 46 SR (NSW) 318 at 323, that if a tight rein is not kept upon the interference with orders of judges at first instance in the exercise of discretion on a point of practice and procedure, the result will be “disastrous to the proper administration of justice”. </w:t>
      </w:r>
    </w:p>
    <w:p w:rsidR="00430E26" w:rsidRDefault="00430E26" w:rsidP="00430E26">
      <w:pPr>
        <w:pStyle w:val="Quote1"/>
      </w:pPr>
      <w:r w:rsidRPr="00887629">
        <w:t>…</w:t>
      </w:r>
    </w:p>
    <w:p w:rsidR="00430E26" w:rsidRDefault="00430E26" w:rsidP="00430E26">
      <w:pPr>
        <w:pStyle w:val="Quote1"/>
      </w:pPr>
      <w:r w:rsidRPr="00887629">
        <w:t>Even if it was reasonably arguable that the primary judge’s discretion miscarried, that would not, in and of itself, be a sufficient basis for the grant of leave.</w:t>
      </w:r>
    </w:p>
    <w:p w:rsidR="00430E26" w:rsidRDefault="00430E26" w:rsidP="00430E26">
      <w:pPr>
        <w:pStyle w:val="ParaNumbering"/>
      </w:pPr>
      <w:r>
        <w:t>These legal principles were not in dispute between the parties.</w:t>
      </w:r>
    </w:p>
    <w:p w:rsidR="00430E26" w:rsidRDefault="00430E26" w:rsidP="00430E26">
      <w:pPr>
        <w:pStyle w:val="Heading1"/>
      </w:pPr>
      <w:r>
        <w:t>proposed ground 1</w:t>
      </w:r>
    </w:p>
    <w:p w:rsidR="00430E26" w:rsidRDefault="00430E26" w:rsidP="00430E26">
      <w:pPr>
        <w:pStyle w:val="ParaNumbering"/>
      </w:pPr>
      <w:r>
        <w:t>Ground 1 of the draft notice of a</w:t>
      </w:r>
      <w:r w:rsidRPr="00F5217F">
        <w:t>ppeal raise</w:t>
      </w:r>
      <w:r>
        <w:t>s a jurisdictional error alleged to arise</w:t>
      </w:r>
      <w:r w:rsidRPr="00F5217F">
        <w:t xml:space="preserve"> out of the application of s 79 of the </w:t>
      </w:r>
      <w:r w:rsidRPr="00F5217F">
        <w:rPr>
          <w:i/>
        </w:rPr>
        <w:t>Judiciary Act 1903</w:t>
      </w:r>
      <w:r w:rsidRPr="00F5217F">
        <w:t xml:space="preserve"> (</w:t>
      </w:r>
      <w:proofErr w:type="spellStart"/>
      <w:r w:rsidRPr="00F5217F">
        <w:t>Cth</w:t>
      </w:r>
      <w:proofErr w:type="spellEnd"/>
      <w:r w:rsidRPr="00F5217F">
        <w:t>).</w:t>
      </w:r>
      <w:r>
        <w:t xml:space="preserve">  </w:t>
      </w:r>
      <w:proofErr w:type="spellStart"/>
      <w:r w:rsidRPr="00F5217F">
        <w:t>Ausin</w:t>
      </w:r>
      <w:proofErr w:type="spellEnd"/>
      <w:r w:rsidRPr="00F5217F">
        <w:t xml:space="preserve"> did not raise the jurisdictional issue before the primary judge. </w:t>
      </w:r>
      <w:r>
        <w:t xml:space="preserve"> </w:t>
      </w:r>
      <w:proofErr w:type="spellStart"/>
      <w:r>
        <w:t>Ausin</w:t>
      </w:r>
      <w:proofErr w:type="spellEnd"/>
      <w:r>
        <w:t xml:space="preserve"> submits that the law of the State where the federal jurisdiction was exercised was Victoria.  However, in </w:t>
      </w:r>
      <w:proofErr w:type="spellStart"/>
      <w:r>
        <w:t>Ausin’s</w:t>
      </w:r>
      <w:proofErr w:type="spellEnd"/>
      <w:r>
        <w:t xml:space="preserve"> submission, the only justiciable controversy between Mr Zhao and </w:t>
      </w:r>
      <w:proofErr w:type="spellStart"/>
      <w:r>
        <w:t>Ausin</w:t>
      </w:r>
      <w:proofErr w:type="spellEnd"/>
      <w:r>
        <w:t xml:space="preserve"> arises out of claims under the </w:t>
      </w:r>
      <w:r w:rsidRPr="00405493">
        <w:rPr>
          <w:i/>
        </w:rPr>
        <w:t>Conveyancing Act 1919</w:t>
      </w:r>
      <w:r w:rsidRPr="00405493">
        <w:t xml:space="preserve"> (NSW)</w:t>
      </w:r>
      <w:r>
        <w:t xml:space="preserve">.  The expressed purpose of the discovery sought was to obtain a valuation of Mr </w:t>
      </w:r>
      <w:proofErr w:type="spellStart"/>
      <w:r>
        <w:t>Jin’s</w:t>
      </w:r>
      <w:proofErr w:type="spellEnd"/>
      <w:r>
        <w:t xml:space="preserve"> shares in </w:t>
      </w:r>
      <w:proofErr w:type="spellStart"/>
      <w:r>
        <w:t>Ausin</w:t>
      </w:r>
      <w:proofErr w:type="spellEnd"/>
      <w:r>
        <w:t xml:space="preserve"> and another company, </w:t>
      </w:r>
      <w:proofErr w:type="spellStart"/>
      <w:r>
        <w:t>Thrivero</w:t>
      </w:r>
      <w:proofErr w:type="spellEnd"/>
      <w:r>
        <w:t xml:space="preserve"> Pty Ltd, for the purpose of establishing Mr Zhao’s case under s 37A of the </w:t>
      </w:r>
      <w:r w:rsidRPr="00405493">
        <w:rPr>
          <w:i/>
        </w:rPr>
        <w:t>Conveyancing Act 1919</w:t>
      </w:r>
      <w:r w:rsidRPr="00405493">
        <w:t xml:space="preserve"> (NSW)</w:t>
      </w:r>
      <w:r>
        <w:t>.</w:t>
      </w:r>
    </w:p>
    <w:p w:rsidR="00430E26" w:rsidRDefault="00430E26" w:rsidP="00430E26">
      <w:pPr>
        <w:pStyle w:val="ParaNumbering"/>
      </w:pPr>
      <w:proofErr w:type="spellStart"/>
      <w:r>
        <w:t>Ausin</w:t>
      </w:r>
      <w:proofErr w:type="spellEnd"/>
      <w:r>
        <w:t xml:space="preserve"> submits the Discovery Order was made in aid of a claim in respect of which the primary judge had no jurisdiction.</w:t>
      </w:r>
    </w:p>
    <w:p w:rsidR="00430E26" w:rsidRDefault="00430E26" w:rsidP="00430E26">
      <w:pPr>
        <w:pStyle w:val="ParaNumbering"/>
      </w:pPr>
      <w:proofErr w:type="spellStart"/>
      <w:r>
        <w:t>Ausin</w:t>
      </w:r>
      <w:proofErr w:type="spellEnd"/>
      <w:r>
        <w:t xml:space="preserve"> submits that the </w:t>
      </w:r>
      <w:r w:rsidRPr="00F5217F">
        <w:t xml:space="preserve">provisions of the </w:t>
      </w:r>
      <w:r w:rsidRPr="007342A9">
        <w:rPr>
          <w:i/>
        </w:rPr>
        <w:t>Conveyancing Act 1919</w:t>
      </w:r>
      <w:r w:rsidRPr="00F5217F">
        <w:rPr>
          <w:i/>
        </w:rPr>
        <w:t xml:space="preserve"> </w:t>
      </w:r>
      <w:r w:rsidRPr="007342A9">
        <w:t>(NSW)</w:t>
      </w:r>
      <w:r>
        <w:t xml:space="preserve"> have</w:t>
      </w:r>
      <w:r w:rsidRPr="00F5217F">
        <w:t xml:space="preserve"> no application to proceedings commenced in the Federal Court of Australia in a State other than New South Wales. </w:t>
      </w:r>
      <w:r>
        <w:t xml:space="preserve"> </w:t>
      </w:r>
      <w:proofErr w:type="spellStart"/>
      <w:r>
        <w:t>Ausin</w:t>
      </w:r>
      <w:proofErr w:type="spellEnd"/>
      <w:r>
        <w:t xml:space="preserve"> submits that th</w:t>
      </w:r>
      <w:r w:rsidRPr="00F5217F">
        <w:t xml:space="preserve">e primary judge had no power under s 79 of the </w:t>
      </w:r>
      <w:r w:rsidRPr="00F5217F">
        <w:rPr>
          <w:i/>
        </w:rPr>
        <w:t>Judiciary Act 1903</w:t>
      </w:r>
      <w:r w:rsidRPr="00F5217F">
        <w:t xml:space="preserve"> (</w:t>
      </w:r>
      <w:proofErr w:type="spellStart"/>
      <w:r w:rsidRPr="00F5217F">
        <w:t>Cth</w:t>
      </w:r>
      <w:proofErr w:type="spellEnd"/>
      <w:r w:rsidRPr="00F5217F">
        <w:t>) to apply New South Wales law or to exercise jurisdiction over a justiciable controversy that arises solely under New South Wales law.</w:t>
      </w:r>
    </w:p>
    <w:p w:rsidR="00430E26" w:rsidRDefault="00430E26" w:rsidP="00430E26">
      <w:pPr>
        <w:pStyle w:val="ParaNumbering"/>
      </w:pPr>
      <w:r>
        <w:t>I am satisfied, for the reasons that follow, that the Discovery Order is not attended with sufficient doubt based on the issue of jurisdiction and refusing leave to appeal would not occasion a substantial injustice.</w:t>
      </w:r>
    </w:p>
    <w:p w:rsidR="00430E26" w:rsidRDefault="00430E26" w:rsidP="00430E26">
      <w:pPr>
        <w:pStyle w:val="ParaNumbering"/>
      </w:pPr>
      <w:r>
        <w:t xml:space="preserve">I am satisfied that the Court has jurisdiction to hear this matter.  After the determination of the strike-out application, the only claim remaining concerns the application of s 37A of the </w:t>
      </w:r>
      <w:r w:rsidRPr="007342A9">
        <w:rPr>
          <w:i/>
        </w:rPr>
        <w:t>Conveyancing Act 1919</w:t>
      </w:r>
      <w:r>
        <w:t xml:space="preserve"> (NSW).  That claim is, in my view, part of the same “single justiciable controversy” as the now-deleted claim under s 1324 of the </w:t>
      </w:r>
      <w:r w:rsidRPr="00583154">
        <w:rPr>
          <w:i/>
        </w:rPr>
        <w:t xml:space="preserve">Corporations Act 2001 </w:t>
      </w:r>
      <w:r w:rsidRPr="00583154">
        <w:t>(</w:t>
      </w:r>
      <w:proofErr w:type="spellStart"/>
      <w:r w:rsidRPr="00583154">
        <w:t>Cth</w:t>
      </w:r>
      <w:proofErr w:type="spellEnd"/>
      <w:r w:rsidRPr="00583154">
        <w:t>)</w:t>
      </w:r>
      <w:r>
        <w:t xml:space="preserve"> because they arose out of the same “sub-stratum of facts and claims”: </w:t>
      </w:r>
      <w:r w:rsidRPr="00583154">
        <w:rPr>
          <w:i/>
        </w:rPr>
        <w:t xml:space="preserve">Rana v Google </w:t>
      </w:r>
      <w:proofErr w:type="spellStart"/>
      <w:r w:rsidRPr="00583154">
        <w:rPr>
          <w:i/>
        </w:rPr>
        <w:t>Inc</w:t>
      </w:r>
      <w:proofErr w:type="spellEnd"/>
      <w:r w:rsidRPr="00583154">
        <w:t xml:space="preserve"> (2017) 254 FCR 1 </w:t>
      </w:r>
      <w:r>
        <w:t>(</w:t>
      </w:r>
      <w:r>
        <w:rPr>
          <w:b/>
          <w:i/>
        </w:rPr>
        <w:t>Rana</w:t>
      </w:r>
      <w:r>
        <w:t xml:space="preserve">) per </w:t>
      </w:r>
      <w:proofErr w:type="spellStart"/>
      <w:r>
        <w:t>Allsop</w:t>
      </w:r>
      <w:proofErr w:type="spellEnd"/>
      <w:r>
        <w:t xml:space="preserve"> CJ, </w:t>
      </w:r>
      <w:proofErr w:type="spellStart"/>
      <w:r>
        <w:t>Besanko</w:t>
      </w:r>
      <w:proofErr w:type="spellEnd"/>
      <w:r>
        <w:t xml:space="preserve"> and White JJ at [17].  That is demonstrated </w:t>
      </w:r>
      <w:r w:rsidRPr="002056CD">
        <w:t>by the fact that Mr Zhao’s claim under s 37A</w:t>
      </w:r>
      <w:r>
        <w:t xml:space="preserve"> of the </w:t>
      </w:r>
      <w:r w:rsidRPr="007342A9">
        <w:rPr>
          <w:i/>
        </w:rPr>
        <w:t>Conveyancing Act 1919</w:t>
      </w:r>
      <w:r>
        <w:t xml:space="preserve"> (NSW)</w:t>
      </w:r>
      <w:r w:rsidRPr="002056CD">
        <w:t xml:space="preserve"> arises from the same special resol</w:t>
      </w:r>
      <w:r>
        <w:t>utions passed on 30 August 2018</w:t>
      </w:r>
      <w:r w:rsidRPr="002056CD">
        <w:t xml:space="preserve"> as formed the basis of the now-deleted s 1324 claim</w:t>
      </w:r>
      <w:r>
        <w:t>.</w:t>
      </w:r>
    </w:p>
    <w:p w:rsidR="00430E26" w:rsidRDefault="00430E26" w:rsidP="00430E26">
      <w:pPr>
        <w:pStyle w:val="ParaNumbering"/>
      </w:pPr>
      <w:r w:rsidRPr="00216330">
        <w:t>Given it is a single justiciable controversy, the matter remains a matter within the Court’s jurisdiction even though the fe</w:t>
      </w:r>
      <w:r>
        <w:t xml:space="preserve">deral claim has been struck out: </w:t>
      </w:r>
      <w:r>
        <w:rPr>
          <w:i/>
        </w:rPr>
        <w:t>Rana</w:t>
      </w:r>
      <w:r>
        <w:t xml:space="preserve"> at [21]-[22].</w:t>
      </w:r>
    </w:p>
    <w:p w:rsidR="00430E26" w:rsidRDefault="00430E26" w:rsidP="00430E26">
      <w:pPr>
        <w:pStyle w:val="ParaNumbering"/>
      </w:pPr>
      <w:r>
        <w:t xml:space="preserve">In resolving a matter within its jurisdiction, the Federal Court may apply Commonwealth law, State law or both.  </w:t>
      </w:r>
      <w:r w:rsidRPr="00D32EC0">
        <w:t>A matter within the Federal Court’s jurisdiction can be resolved entirely through</w:t>
      </w:r>
      <w:r>
        <w:t xml:space="preserve"> the application of State law.  A c</w:t>
      </w:r>
      <w:r w:rsidRPr="00D32EC0">
        <w:t>ourt exercising federal jurisdiction will apply State laws directly unless and to the extent they are rendered invalid by reason of inconsistency with Commonwealth law or are beyond the State’s legislative capacity</w:t>
      </w:r>
      <w:r>
        <w:t xml:space="preserve">: </w:t>
      </w:r>
      <w:proofErr w:type="spellStart"/>
      <w:r w:rsidRPr="00583154">
        <w:rPr>
          <w:i/>
        </w:rPr>
        <w:t>Rizeq</w:t>
      </w:r>
      <w:proofErr w:type="spellEnd"/>
      <w:r w:rsidRPr="00583154">
        <w:rPr>
          <w:i/>
        </w:rPr>
        <w:t xml:space="preserve"> v The State of Western Australia</w:t>
      </w:r>
      <w:r w:rsidRPr="00583154">
        <w:t xml:space="preserve"> (2017) 262 CLR 1</w:t>
      </w:r>
      <w:r>
        <w:t xml:space="preserve">, 24 [41] and [55] per </w:t>
      </w:r>
      <w:r w:rsidRPr="00F471E1">
        <w:t xml:space="preserve">Bell, </w:t>
      </w:r>
      <w:proofErr w:type="spellStart"/>
      <w:r w:rsidRPr="00F471E1">
        <w:t>Gageler</w:t>
      </w:r>
      <w:proofErr w:type="spellEnd"/>
      <w:r w:rsidRPr="00F471E1">
        <w:t>, Keane, Net</w:t>
      </w:r>
      <w:r>
        <w:t>tle and Gordon JJ</w:t>
      </w:r>
      <w:r w:rsidRPr="00F471E1">
        <w:t>.</w:t>
      </w:r>
    </w:p>
    <w:p w:rsidR="00430E26" w:rsidRDefault="00430E26" w:rsidP="00430E26">
      <w:pPr>
        <w:pStyle w:val="ParaNumbering"/>
      </w:pPr>
      <w:r>
        <w:t xml:space="preserve">I reject </w:t>
      </w:r>
      <w:proofErr w:type="spellStart"/>
      <w:r>
        <w:t>Ausin’s</w:t>
      </w:r>
      <w:proofErr w:type="spellEnd"/>
      <w:r>
        <w:t xml:space="preserve"> submission that the Court </w:t>
      </w:r>
      <w:r w:rsidRPr="000C510E">
        <w:t>lacks power to o</w:t>
      </w:r>
      <w:r>
        <w:t xml:space="preserve">rder final relief in this case.  </w:t>
      </w:r>
      <w:r w:rsidRPr="000C510E">
        <w:t xml:space="preserve">The question of whether the Federal Court sitting in Victoria has power to order relief that concerns a transaction voided pursuant to s 37A of the </w:t>
      </w:r>
      <w:r>
        <w:rPr>
          <w:i/>
        </w:rPr>
        <w:t xml:space="preserve">Conveyancing Act 1919 </w:t>
      </w:r>
      <w:r>
        <w:t>(NSW)</w:t>
      </w:r>
      <w:r w:rsidRPr="000C510E">
        <w:t xml:space="preserve"> has not yet arisen </w:t>
      </w:r>
      <w:r>
        <w:t>in this proceeding</w:t>
      </w:r>
      <w:r w:rsidRPr="000C510E">
        <w:t xml:space="preserve">. </w:t>
      </w:r>
      <w:r>
        <w:t xml:space="preserve"> </w:t>
      </w:r>
      <w:r w:rsidRPr="000C510E">
        <w:t xml:space="preserve">The Court has not made any such order and has not considered whether it ought to do so. </w:t>
      </w:r>
      <w:r>
        <w:t xml:space="preserve"> The only relevant order that </w:t>
      </w:r>
      <w:r w:rsidRPr="000C510E">
        <w:t>has</w:t>
      </w:r>
      <w:r>
        <w:t xml:space="preserve"> been</w:t>
      </w:r>
      <w:r w:rsidRPr="000C510E">
        <w:t xml:space="preserve"> made is the Discovery Order, which </w:t>
      </w:r>
      <w:r>
        <w:t>was within the Court’s</w:t>
      </w:r>
      <w:r w:rsidRPr="000C510E">
        <w:t xml:space="preserve"> power to make.</w:t>
      </w:r>
    </w:p>
    <w:p w:rsidR="00430E26" w:rsidRDefault="00430E26" w:rsidP="00430E26">
      <w:pPr>
        <w:pStyle w:val="ParaNumbering"/>
      </w:pPr>
      <w:r>
        <w:t xml:space="preserve">The source of the power to make the Discovery Order was s 23 of the </w:t>
      </w:r>
      <w:r w:rsidRPr="00583154">
        <w:rPr>
          <w:i/>
        </w:rPr>
        <w:t>Federal Court of Australia Act 1976</w:t>
      </w:r>
      <w:r w:rsidRPr="00583154">
        <w:t xml:space="preserve"> (</w:t>
      </w:r>
      <w:proofErr w:type="spellStart"/>
      <w:r w:rsidRPr="00583154">
        <w:t>Cth</w:t>
      </w:r>
      <w:proofErr w:type="spellEnd"/>
      <w:r w:rsidRPr="00583154">
        <w:t>)</w:t>
      </w:r>
      <w:r>
        <w:t xml:space="preserve"> (</w:t>
      </w:r>
      <w:r>
        <w:rPr>
          <w:b/>
        </w:rPr>
        <w:t>Act</w:t>
      </w:r>
      <w:r>
        <w:t>) which confers upon the Court a broad power to make orders of such kinds, including interlocutory orders, as the Court “thinks appropriate”.  Section 59(2</w:t>
      </w:r>
      <w:proofErr w:type="gramStart"/>
      <w:r>
        <w:t>)(</w:t>
      </w:r>
      <w:proofErr w:type="gramEnd"/>
      <w:r>
        <w:t>c) of the Act confers on the Court power to make rules for discovery in proceedings over which the Court has jurisdiction.</w:t>
      </w:r>
    </w:p>
    <w:p w:rsidR="00430E26" w:rsidRDefault="00430E26" w:rsidP="00430E26">
      <w:pPr>
        <w:pStyle w:val="ParaNumbering"/>
      </w:pPr>
      <w:r>
        <w:t xml:space="preserve">The primary judge in making the Discovery Order was not exercising power under s 37A of the </w:t>
      </w:r>
      <w:r>
        <w:rPr>
          <w:i/>
        </w:rPr>
        <w:t>Conveyancing Act 1919</w:t>
      </w:r>
      <w:r>
        <w:t xml:space="preserve"> (NSW).  The Court having been seized of the matter made the Discovery Order pursuant to the power conferred by s 23 of the Act.</w:t>
      </w:r>
    </w:p>
    <w:p w:rsidR="00430E26" w:rsidRDefault="00430E26" w:rsidP="00430E26">
      <w:pPr>
        <w:pStyle w:val="Heading1"/>
      </w:pPr>
      <w:r>
        <w:t>Proposed ground 2</w:t>
      </w:r>
    </w:p>
    <w:p w:rsidR="00430E26" w:rsidRDefault="00430E26" w:rsidP="00430E26">
      <w:pPr>
        <w:pStyle w:val="ParaNumbering"/>
      </w:pPr>
      <w:r>
        <w:t xml:space="preserve">I reject </w:t>
      </w:r>
      <w:proofErr w:type="spellStart"/>
      <w:r>
        <w:t>Ausin’s</w:t>
      </w:r>
      <w:proofErr w:type="spellEnd"/>
      <w:r>
        <w:t xml:space="preserve"> submission that the primary judge’s discretion has been miscarried.  In my view, the primary judge properly exercised the power to make discovery by identifying the issues in dispute to which the material sought was relevant and then considered whether the breadth of discovery sought was appropriate.  The primary judge then, in the circumstances of this case, ordered discovery of 14 categories out of the 17 categories that were sought.</w:t>
      </w:r>
    </w:p>
    <w:p w:rsidR="00430E26" w:rsidRDefault="00430E26" w:rsidP="00430E26">
      <w:pPr>
        <w:pStyle w:val="ParaNumbering"/>
      </w:pPr>
      <w:r>
        <w:t xml:space="preserve">For the reasons given at [21]-[26] of Mr Zhao’s written submissions, I am satisfied that the primary judgment did not make a </w:t>
      </w:r>
      <w:r w:rsidRPr="00583154">
        <w:rPr>
          <w:i/>
        </w:rPr>
        <w:t>House v The King</w:t>
      </w:r>
      <w:r w:rsidR="00D77E75">
        <w:rPr>
          <w:i/>
        </w:rPr>
        <w:t xml:space="preserve"> </w:t>
      </w:r>
      <w:r w:rsidR="00D77E75">
        <w:t>[1936] HCA 40</w:t>
      </w:r>
      <w:r>
        <w:t xml:space="preserve"> error in exercising her discretion in making the Discovery Order.  </w:t>
      </w:r>
    </w:p>
    <w:p w:rsidR="00430E26" w:rsidRDefault="00430E26" w:rsidP="00430E26">
      <w:pPr>
        <w:pStyle w:val="ParaNumbering"/>
      </w:pPr>
      <w:r>
        <w:t>The decision of the primary judge to make the Discovery Order is not attended with sufficient doubt to warrant its reconsideration on appeal for the reasons given.  The Discovery Order has not occasioned demonstrable injustice such as would warrant the Court of Appeal interfering with the exercise of the primary judge’s discretionary decision on a matter of practice and procedure.</w:t>
      </w:r>
    </w:p>
    <w:p w:rsidR="00430E26" w:rsidRDefault="00430E26" w:rsidP="00430E26">
      <w:pPr>
        <w:pStyle w:val="Heading1"/>
      </w:pPr>
      <w:r>
        <w:t>disposition</w:t>
      </w:r>
    </w:p>
    <w:p w:rsidR="00430E26" w:rsidRPr="00E843BA" w:rsidRDefault="00430E26" w:rsidP="00430E26">
      <w:pPr>
        <w:pStyle w:val="ParaNumbering"/>
      </w:pPr>
      <w:r>
        <w:t>For the reasons given, leave to appeal will be refused.  The applicant will pay the respondent’s costs on a lump sum basis in an amount to be agreed or such amount as determined by a Registrar of the Court.</w:t>
      </w:r>
    </w:p>
    <w:p w:rsidR="0005438C" w:rsidRDefault="0005438C" w:rsidP="00815065">
      <w:pPr>
        <w:pStyle w:val="BodyText"/>
      </w:pPr>
      <w:bookmarkStart w:id="20" w:name="Certification"/>
    </w:p>
    <w:tbl>
      <w:tblPr>
        <w:tblW w:w="0" w:type="auto"/>
        <w:tblLook w:val="04A0" w:firstRow="1" w:lastRow="0" w:firstColumn="1" w:lastColumn="0" w:noHBand="0" w:noVBand="1"/>
      </w:tblPr>
      <w:tblGrid>
        <w:gridCol w:w="3794"/>
      </w:tblGrid>
      <w:tr w:rsidR="0005438C" w:rsidRPr="0005438C">
        <w:tc>
          <w:tcPr>
            <w:tcW w:w="3794" w:type="dxa"/>
            <w:shd w:val="clear" w:color="auto" w:fill="auto"/>
          </w:tcPr>
          <w:p w:rsidR="0005438C" w:rsidRPr="0005438C" w:rsidRDefault="0005438C" w:rsidP="00D12364">
            <w:pPr>
              <w:pStyle w:val="Normal1linespace"/>
            </w:pPr>
            <w:r w:rsidRPr="0005438C">
              <w:t xml:space="preserve">I certify that the preceding </w:t>
            </w:r>
            <w:bookmarkStart w:id="21" w:name="NumberWord"/>
            <w:r>
              <w:t>twenty-four</w:t>
            </w:r>
            <w:bookmarkEnd w:id="21"/>
            <w:r w:rsidRPr="0005438C">
              <w:t xml:space="preserve"> (</w:t>
            </w:r>
            <w:bookmarkStart w:id="22" w:name="NumberNumeral"/>
            <w:r>
              <w:t>24</w:t>
            </w:r>
            <w:bookmarkEnd w:id="22"/>
            <w:r w:rsidRPr="0005438C">
              <w:t xml:space="preserve">) numbered </w:t>
            </w:r>
            <w:bookmarkStart w:id="23" w:name="CertPara"/>
            <w:r>
              <w:t>paragraphs are</w:t>
            </w:r>
            <w:bookmarkEnd w:id="23"/>
            <w:r w:rsidRPr="0005438C">
              <w:t xml:space="preserve"> a true copy of the Reasons for Judgment of </w:t>
            </w:r>
            <w:bookmarkStart w:id="24" w:name="bkHonourable"/>
            <w:r w:rsidRPr="0005438C">
              <w:t xml:space="preserve">the Honourable </w:t>
            </w:r>
            <w:bookmarkStart w:id="25" w:name="Justice"/>
            <w:bookmarkEnd w:id="24"/>
            <w:r>
              <w:t>Justice Anderson</w:t>
            </w:r>
            <w:bookmarkEnd w:id="25"/>
            <w:r w:rsidRPr="0005438C">
              <w:t>.</w:t>
            </w:r>
          </w:p>
        </w:tc>
      </w:tr>
    </w:tbl>
    <w:p w:rsidR="0005438C" w:rsidRDefault="0005438C" w:rsidP="00815065">
      <w:pPr>
        <w:pStyle w:val="BodyText"/>
      </w:pPr>
    </w:p>
    <w:p w:rsidR="0005438C" w:rsidRDefault="0005438C" w:rsidP="00815065">
      <w:pPr>
        <w:pStyle w:val="BodyText"/>
      </w:pPr>
      <w:bookmarkStart w:id="26" w:name="_GoBack"/>
      <w:bookmarkEnd w:id="26"/>
    </w:p>
    <w:p w:rsidR="0005438C" w:rsidRDefault="0005438C" w:rsidP="00815065">
      <w:pPr>
        <w:pStyle w:val="BodyText"/>
      </w:pPr>
      <w:r>
        <w:t>Associate:</w:t>
      </w:r>
    </w:p>
    <w:p w:rsidR="0005438C" w:rsidRDefault="0005438C" w:rsidP="00815065">
      <w:pPr>
        <w:pStyle w:val="BodyText"/>
      </w:pPr>
    </w:p>
    <w:p w:rsidR="0005438C" w:rsidRDefault="0005438C" w:rsidP="00815065">
      <w:pPr>
        <w:pStyle w:val="BodyText"/>
        <w:tabs>
          <w:tab w:val="left" w:pos="1134"/>
        </w:tabs>
      </w:pPr>
      <w:r>
        <w:t>Dated:</w:t>
      </w:r>
      <w:r>
        <w:tab/>
      </w:r>
      <w:bookmarkStart w:id="27" w:name="CertifyDated"/>
      <w:r>
        <w:t>17 December 2021</w:t>
      </w:r>
      <w:bookmarkEnd w:id="27"/>
    </w:p>
    <w:p w:rsidR="0005438C" w:rsidRDefault="0005438C" w:rsidP="00815065">
      <w:pPr>
        <w:pStyle w:val="BodyText"/>
      </w:pPr>
    </w:p>
    <w:bookmarkEnd w:id="20"/>
    <w:p w:rsidR="00CD1346" w:rsidRDefault="00CD1346" w:rsidP="0005438C">
      <w:pPr>
        <w:pStyle w:val="BodyText"/>
      </w:pPr>
    </w:p>
    <w:sectPr w:rsidR="00CD1346"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77" w:rsidRDefault="00760B77">
      <w:pPr>
        <w:spacing w:line="20" w:lineRule="exact"/>
      </w:pPr>
    </w:p>
    <w:p w:rsidR="00760B77" w:rsidRDefault="00760B77"/>
    <w:p w:rsidR="00760B77" w:rsidRDefault="00760B77"/>
  </w:endnote>
  <w:endnote w:type="continuationSeparator" w:id="0">
    <w:p w:rsidR="00760B77" w:rsidRDefault="00760B77">
      <w:r>
        <w:t xml:space="preserve"> </w:t>
      </w:r>
    </w:p>
    <w:p w:rsidR="00760B77" w:rsidRDefault="00760B77"/>
    <w:p w:rsidR="00760B77" w:rsidRDefault="00760B77"/>
  </w:endnote>
  <w:endnote w:type="continuationNotice" w:id="1">
    <w:p w:rsidR="00760B77" w:rsidRDefault="00760B77">
      <w:r>
        <w:t xml:space="preserve"> </w:t>
      </w:r>
    </w:p>
    <w:p w:rsidR="00760B77" w:rsidRDefault="00760B77"/>
    <w:p w:rsidR="00760B77" w:rsidRDefault="00760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149C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BC2962">
          <w:rPr>
            <w:bCs/>
            <w:sz w:val="18"/>
            <w:szCs w:val="18"/>
          </w:rPr>
          <w:t>Ausin</w:t>
        </w:r>
        <w:proofErr w:type="spellEnd"/>
        <w:r w:rsidR="00BC2962">
          <w:rPr>
            <w:bCs/>
            <w:sz w:val="18"/>
            <w:szCs w:val="18"/>
          </w:rPr>
          <w:t xml:space="preserve"> Group (Australia) Pty Ltd v Zhao [2021] FCA 1601 </w:t>
        </w:r>
      </w:sdtContent>
    </w:sdt>
  </w:p>
  <w:p w:rsidR="006C6E39" w:rsidRPr="00A436E8" w:rsidRDefault="006C6E39"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395B24"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A23D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361FE7C4DA248FBB47AD624E04EB411"/>
        </w:placeholder>
        <w:dataBinding w:prefixMappings="xmlns:ns0='http://schemas.globalmacros.com/FCA'" w:xpath="/ns0:root[1]/ns0:Name[1]" w:storeItemID="{687E7CCB-4AA5-44E7-B148-17BA2B6F57C0}"/>
        <w:text w:multiLine="1"/>
      </w:sdtPr>
      <w:sdtEndPr/>
      <w:sdtContent>
        <w:proofErr w:type="spellStart"/>
        <w:r w:rsidR="00BC2962">
          <w:rPr>
            <w:bCs/>
            <w:sz w:val="18"/>
            <w:szCs w:val="18"/>
          </w:rPr>
          <w:t>Ausin</w:t>
        </w:r>
        <w:proofErr w:type="spellEnd"/>
        <w:r w:rsidR="00BC2962">
          <w:rPr>
            <w:bCs/>
            <w:sz w:val="18"/>
            <w:szCs w:val="18"/>
          </w:rPr>
          <w:t xml:space="preserve"> Group (Australia) Pty Ltd v Zhao [2021] FCA 1601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A84FD0" w:rsidRPr="00A84FD0" w:rsidRDefault="00A84FD0" w:rsidP="00A84FD0">
    <w:pPr>
      <w:pStyle w:val="Footer"/>
      <w:jc w:val="center"/>
      <w:rPr>
        <w:sz w:val="28"/>
      </w:rPr>
    </w:pPr>
    <w:r>
      <w:rPr>
        <w:b/>
        <w:sz w:val="28"/>
      </w:rPr>
      <w:t>DRAFT - Judgment Template v.1</w:t>
    </w:r>
    <w:r w:rsidR="009D328D">
      <w:rPr>
        <w:b/>
        <w:sz w:val="28"/>
      </w:rPr>
      <w:t>.</w:t>
    </w:r>
    <w:r w:rsidR="00E23577">
      <w:rPr>
        <w:b/>
        <w:sz w:val="28"/>
      </w:rPr>
      <w:t>3</w:t>
    </w:r>
    <w:r>
      <w:rPr>
        <w:b/>
        <w:sz w:val="28"/>
      </w:rPr>
      <w:t xml:space="preserve"> - </w:t>
    </w:r>
    <w:r>
      <w:rPr>
        <w:b/>
        <w:sz w:val="28"/>
      </w:rPr>
      <w:fldChar w:fldCharType="begin"/>
    </w:r>
    <w:r>
      <w:rPr>
        <w:b/>
        <w:sz w:val="28"/>
      </w:rPr>
      <w:instrText xml:space="preserve"> DATE  \@ "d MMMM yyyy"  \* MERGEFORMAT </w:instrText>
    </w:r>
    <w:r>
      <w:rPr>
        <w:b/>
        <w:sz w:val="28"/>
      </w:rPr>
      <w:fldChar w:fldCharType="separate"/>
    </w:r>
    <w:r w:rsidR="00BC2962">
      <w:rPr>
        <w:b/>
        <w:noProof/>
        <w:sz w:val="28"/>
      </w:rPr>
      <w:t>17 December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BC2962">
      <w:rPr>
        <w:b/>
        <w:noProof/>
        <w:sz w:val="28"/>
      </w:rPr>
      <w:t>10:02 AM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FF27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C462EB59AE1C44A89A3422118937DCAD"/>
        </w:placeholder>
        <w:dataBinding w:prefixMappings="xmlns:ns0='http://schemas.globalmacros.com/FCA'" w:xpath="/ns0:root[1]/ns0:Name[1]" w:storeItemID="{687E7CCB-4AA5-44E7-B148-17BA2B6F57C0}"/>
        <w:text w:multiLine="1"/>
      </w:sdtPr>
      <w:sdtEndPr/>
      <w:sdtContent>
        <w:proofErr w:type="spellStart"/>
        <w:r w:rsidR="00BC2962">
          <w:rPr>
            <w:bCs/>
            <w:sz w:val="18"/>
            <w:szCs w:val="18"/>
          </w:rPr>
          <w:t>Ausin</w:t>
        </w:r>
        <w:proofErr w:type="spellEnd"/>
        <w:r w:rsidR="00BC2962">
          <w:rPr>
            <w:bCs/>
            <w:sz w:val="18"/>
            <w:szCs w:val="18"/>
          </w:rPr>
          <w:t xml:space="preserve"> Group (Australia) Pty Ltd v Zhao [2021] FCA 1601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C2962">
      <w:rPr>
        <w:bCs/>
        <w:noProof/>
        <w:sz w:val="20"/>
      </w:rPr>
      <w:t>i</w:t>
    </w:r>
    <w:r w:rsidRPr="00EA7F6D">
      <w:rPr>
        <w:bCs/>
        <w:noProof/>
        <w:sz w:val="20"/>
      </w:rPr>
      <w:fldChar w:fldCharType="end"/>
    </w:r>
  </w:p>
  <w:p w:rsidR="00A436E8" w:rsidRPr="00A436E8" w:rsidRDefault="00A436E8"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D0A4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B726E8EDD6547F2B9236DBD72943314"/>
        </w:placeholder>
        <w:dataBinding w:prefixMappings="xmlns:ns0='http://schemas.globalmacros.com/FCA'" w:xpath="/ns0:root[1]/ns0:Name[1]" w:storeItemID="{687E7CCB-4AA5-44E7-B148-17BA2B6F57C0}"/>
        <w:text w:multiLine="1"/>
      </w:sdtPr>
      <w:sdtEndPr/>
      <w:sdtContent>
        <w:proofErr w:type="spellStart"/>
        <w:r w:rsidR="00BC2962">
          <w:rPr>
            <w:bCs/>
            <w:sz w:val="18"/>
            <w:szCs w:val="18"/>
          </w:rPr>
          <w:t>Ausin</w:t>
        </w:r>
        <w:proofErr w:type="spellEnd"/>
        <w:r w:rsidR="00BC2962">
          <w:rPr>
            <w:bCs/>
            <w:sz w:val="18"/>
            <w:szCs w:val="18"/>
          </w:rPr>
          <w:t xml:space="preserve"> Group (Australia) Pty Ltd v Zhao [2021] FCA 1601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C2962">
      <w:rPr>
        <w:bCs/>
        <w:noProof/>
        <w:sz w:val="20"/>
      </w:rPr>
      <w:t>4</w:t>
    </w:r>
    <w:r w:rsidRPr="00EA7F6D">
      <w:rPr>
        <w:bCs/>
        <w:noProof/>
        <w:sz w:val="20"/>
      </w:rPr>
      <w:fldChar w:fldCharType="end"/>
    </w:r>
  </w:p>
  <w:p w:rsidR="00395B24" w:rsidRPr="00A84FD0" w:rsidRDefault="00395B24"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DF07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111AB85D8014281807328A5606238B5"/>
        </w:placeholder>
        <w:dataBinding w:prefixMappings="xmlns:ns0='http://schemas.globalmacros.com/FCA'" w:xpath="/ns0:root[1]/ns0:Name[1]" w:storeItemID="{687E7CCB-4AA5-44E7-B148-17BA2B6F57C0}"/>
        <w:text w:multiLine="1"/>
      </w:sdtPr>
      <w:sdtEndPr/>
      <w:sdtContent>
        <w:proofErr w:type="spellStart"/>
        <w:r w:rsidR="00BC2962">
          <w:rPr>
            <w:bCs/>
            <w:sz w:val="18"/>
            <w:szCs w:val="18"/>
          </w:rPr>
          <w:t>Ausin</w:t>
        </w:r>
        <w:proofErr w:type="spellEnd"/>
        <w:r w:rsidR="00BC2962">
          <w:rPr>
            <w:bCs/>
            <w:sz w:val="18"/>
            <w:szCs w:val="18"/>
          </w:rPr>
          <w:t xml:space="preserve"> Group (Australia) Pty Ltd v Zhao [2021] FCA 1601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C2962">
      <w:rPr>
        <w:bCs/>
        <w:noProof/>
        <w:sz w:val="20"/>
      </w:rPr>
      <w:t>1</w:t>
    </w:r>
    <w:r w:rsidRPr="00EA7F6D">
      <w:rPr>
        <w:bCs/>
        <w:noProof/>
        <w:sz w:val="20"/>
      </w:rPr>
      <w:fldChar w:fldCharType="end"/>
    </w:r>
  </w:p>
  <w:p w:rsidR="002F1E49" w:rsidRPr="00A84FD0" w:rsidRDefault="002F1E49"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77" w:rsidRDefault="00760B77"/>
  </w:footnote>
  <w:footnote w:type="continuationSeparator" w:id="0">
    <w:p w:rsidR="00760B77" w:rsidRDefault="00760B77">
      <w:r>
        <w:continuationSeparator/>
      </w:r>
    </w:p>
    <w:p w:rsidR="00760B77" w:rsidRDefault="00760B77"/>
    <w:p w:rsidR="00760B77" w:rsidRDefault="00760B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in Group (Australia) Pty Ltd"/>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 VID240/2021"/>
    <w:docVar w:name="Initiators" w:val="(and another named in the Schedule)"/>
    <w:docVar w:name="Judgdate" w:val="17 December 2021"/>
    <w:docVar w:name="Judge" w:val="Anderson"/>
    <w:docVar w:name="JudgeType" w:val="Justices"/>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Song Zhao"/>
    <w:docVar w:name="ResState" w:val="Victoria"/>
    <w:docVar w:name="SubArea" w:val="TBC"/>
  </w:docVars>
  <w:rsids>
    <w:rsidRoot w:val="005F01C8"/>
    <w:rsid w:val="00000747"/>
    <w:rsid w:val="00003C9C"/>
    <w:rsid w:val="000115C5"/>
    <w:rsid w:val="0001469E"/>
    <w:rsid w:val="000154A0"/>
    <w:rsid w:val="00015993"/>
    <w:rsid w:val="00021CCB"/>
    <w:rsid w:val="00022289"/>
    <w:rsid w:val="000237E9"/>
    <w:rsid w:val="00027398"/>
    <w:rsid w:val="0003201A"/>
    <w:rsid w:val="0003207A"/>
    <w:rsid w:val="00032F9F"/>
    <w:rsid w:val="00041C07"/>
    <w:rsid w:val="00045BB7"/>
    <w:rsid w:val="00050D5B"/>
    <w:rsid w:val="0005438C"/>
    <w:rsid w:val="00055719"/>
    <w:rsid w:val="0005641B"/>
    <w:rsid w:val="00057139"/>
    <w:rsid w:val="0006196A"/>
    <w:rsid w:val="000650F0"/>
    <w:rsid w:val="00066ED7"/>
    <w:rsid w:val="00071FB3"/>
    <w:rsid w:val="00074278"/>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17738"/>
    <w:rsid w:val="001226C0"/>
    <w:rsid w:val="00126EC8"/>
    <w:rsid w:val="0012731C"/>
    <w:rsid w:val="00132054"/>
    <w:rsid w:val="00134964"/>
    <w:rsid w:val="001351B9"/>
    <w:rsid w:val="0014006B"/>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5179"/>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B7F49"/>
    <w:rsid w:val="002C31AD"/>
    <w:rsid w:val="002C5BE5"/>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4759"/>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6EB3"/>
    <w:rsid w:val="003A7ECC"/>
    <w:rsid w:val="003B2C72"/>
    <w:rsid w:val="003B58B4"/>
    <w:rsid w:val="003C1333"/>
    <w:rsid w:val="003C20FF"/>
    <w:rsid w:val="003C550A"/>
    <w:rsid w:val="003C6055"/>
    <w:rsid w:val="003D2650"/>
    <w:rsid w:val="003D560C"/>
    <w:rsid w:val="003D5C00"/>
    <w:rsid w:val="003E0922"/>
    <w:rsid w:val="003E3154"/>
    <w:rsid w:val="003E5874"/>
    <w:rsid w:val="003E72D3"/>
    <w:rsid w:val="003F193E"/>
    <w:rsid w:val="003F242C"/>
    <w:rsid w:val="003F34F1"/>
    <w:rsid w:val="004031D8"/>
    <w:rsid w:val="004104B6"/>
    <w:rsid w:val="00411AE8"/>
    <w:rsid w:val="0041367C"/>
    <w:rsid w:val="00413B74"/>
    <w:rsid w:val="00416670"/>
    <w:rsid w:val="00425CF8"/>
    <w:rsid w:val="00430E26"/>
    <w:rsid w:val="004342F3"/>
    <w:rsid w:val="00435C5F"/>
    <w:rsid w:val="00435DCE"/>
    <w:rsid w:val="00436155"/>
    <w:rsid w:val="00436460"/>
    <w:rsid w:val="00441E98"/>
    <w:rsid w:val="00450F3A"/>
    <w:rsid w:val="004532F7"/>
    <w:rsid w:val="00464D51"/>
    <w:rsid w:val="004718FD"/>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3154"/>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1D86"/>
    <w:rsid w:val="005E218E"/>
    <w:rsid w:val="005E35A0"/>
    <w:rsid w:val="005F01C8"/>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731CB"/>
    <w:rsid w:val="00680A85"/>
    <w:rsid w:val="00681ADF"/>
    <w:rsid w:val="00690EE2"/>
    <w:rsid w:val="00693854"/>
    <w:rsid w:val="00694BEB"/>
    <w:rsid w:val="006A0E20"/>
    <w:rsid w:val="006A17C2"/>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B77"/>
    <w:rsid w:val="00760EC0"/>
    <w:rsid w:val="007711BD"/>
    <w:rsid w:val="007742BA"/>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134D"/>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17FB4"/>
    <w:rsid w:val="0092497E"/>
    <w:rsid w:val="0092590B"/>
    <w:rsid w:val="00925BF3"/>
    <w:rsid w:val="00925E60"/>
    <w:rsid w:val="009264B3"/>
    <w:rsid w:val="00931E4C"/>
    <w:rsid w:val="009365E0"/>
    <w:rsid w:val="00942BA2"/>
    <w:rsid w:val="009432B7"/>
    <w:rsid w:val="00944C86"/>
    <w:rsid w:val="00947C02"/>
    <w:rsid w:val="00947C75"/>
    <w:rsid w:val="00947CBD"/>
    <w:rsid w:val="00950BE6"/>
    <w:rsid w:val="00957DE8"/>
    <w:rsid w:val="00960ECB"/>
    <w:rsid w:val="009615D6"/>
    <w:rsid w:val="00967855"/>
    <w:rsid w:val="00971CD1"/>
    <w:rsid w:val="00974709"/>
    <w:rsid w:val="009801AE"/>
    <w:rsid w:val="00980736"/>
    <w:rsid w:val="00981A39"/>
    <w:rsid w:val="00982443"/>
    <w:rsid w:val="00982D56"/>
    <w:rsid w:val="00983DBF"/>
    <w:rsid w:val="00987097"/>
    <w:rsid w:val="00991123"/>
    <w:rsid w:val="00991CAB"/>
    <w:rsid w:val="009A3A9C"/>
    <w:rsid w:val="009A4601"/>
    <w:rsid w:val="009B046C"/>
    <w:rsid w:val="009B13FA"/>
    <w:rsid w:val="009B1E2D"/>
    <w:rsid w:val="009C0F4C"/>
    <w:rsid w:val="009C59FB"/>
    <w:rsid w:val="009C6F3B"/>
    <w:rsid w:val="009D1467"/>
    <w:rsid w:val="009D328D"/>
    <w:rsid w:val="009E3470"/>
    <w:rsid w:val="009E4FA6"/>
    <w:rsid w:val="009E7D93"/>
    <w:rsid w:val="009F3C34"/>
    <w:rsid w:val="009F462C"/>
    <w:rsid w:val="009F5C33"/>
    <w:rsid w:val="00A026F0"/>
    <w:rsid w:val="00A03EAC"/>
    <w:rsid w:val="00A04DBB"/>
    <w:rsid w:val="00A07EA0"/>
    <w:rsid w:val="00A11CA6"/>
    <w:rsid w:val="00A14D82"/>
    <w:rsid w:val="00A1577B"/>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8A8"/>
    <w:rsid w:val="00A56E77"/>
    <w:rsid w:val="00A61605"/>
    <w:rsid w:val="00A65F97"/>
    <w:rsid w:val="00A73B04"/>
    <w:rsid w:val="00A76540"/>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0100"/>
    <w:rsid w:val="00B64347"/>
    <w:rsid w:val="00B65DC6"/>
    <w:rsid w:val="00B67AC2"/>
    <w:rsid w:val="00B71709"/>
    <w:rsid w:val="00B722DE"/>
    <w:rsid w:val="00B751E3"/>
    <w:rsid w:val="00B75BA6"/>
    <w:rsid w:val="00B76C44"/>
    <w:rsid w:val="00B8184A"/>
    <w:rsid w:val="00B82283"/>
    <w:rsid w:val="00B828D8"/>
    <w:rsid w:val="00B83F87"/>
    <w:rsid w:val="00B87CDC"/>
    <w:rsid w:val="00B910C1"/>
    <w:rsid w:val="00B975C1"/>
    <w:rsid w:val="00BA2CA4"/>
    <w:rsid w:val="00BA2EFA"/>
    <w:rsid w:val="00BA3DBC"/>
    <w:rsid w:val="00BA707A"/>
    <w:rsid w:val="00BB1AFB"/>
    <w:rsid w:val="00BB27AE"/>
    <w:rsid w:val="00BB2DA2"/>
    <w:rsid w:val="00BB56DC"/>
    <w:rsid w:val="00BB5EE5"/>
    <w:rsid w:val="00BC2962"/>
    <w:rsid w:val="00BE183D"/>
    <w:rsid w:val="00BF24C2"/>
    <w:rsid w:val="00BF2922"/>
    <w:rsid w:val="00BF5D7A"/>
    <w:rsid w:val="00C01C2E"/>
    <w:rsid w:val="00C02D33"/>
    <w:rsid w:val="00C04B53"/>
    <w:rsid w:val="00C1232C"/>
    <w:rsid w:val="00C223A6"/>
    <w:rsid w:val="00C27C6B"/>
    <w:rsid w:val="00C3594D"/>
    <w:rsid w:val="00C36442"/>
    <w:rsid w:val="00C400CE"/>
    <w:rsid w:val="00C410FD"/>
    <w:rsid w:val="00C457DE"/>
    <w:rsid w:val="00C47DD3"/>
    <w:rsid w:val="00C5316F"/>
    <w:rsid w:val="00C53562"/>
    <w:rsid w:val="00C539FB"/>
    <w:rsid w:val="00C57C2B"/>
    <w:rsid w:val="00C6233F"/>
    <w:rsid w:val="00C66AA3"/>
    <w:rsid w:val="00C66E57"/>
    <w:rsid w:val="00C724D7"/>
    <w:rsid w:val="00C74150"/>
    <w:rsid w:val="00C75594"/>
    <w:rsid w:val="00C85982"/>
    <w:rsid w:val="00CA0466"/>
    <w:rsid w:val="00CA246D"/>
    <w:rsid w:val="00CA50D9"/>
    <w:rsid w:val="00CB3054"/>
    <w:rsid w:val="00CB5636"/>
    <w:rsid w:val="00CB5F30"/>
    <w:rsid w:val="00CC30E4"/>
    <w:rsid w:val="00CC3EE5"/>
    <w:rsid w:val="00CC6E47"/>
    <w:rsid w:val="00CD1346"/>
    <w:rsid w:val="00CE425C"/>
    <w:rsid w:val="00CE58AC"/>
    <w:rsid w:val="00CF5A80"/>
    <w:rsid w:val="00D045EE"/>
    <w:rsid w:val="00D05091"/>
    <w:rsid w:val="00D10CA6"/>
    <w:rsid w:val="00D10F21"/>
    <w:rsid w:val="00D12364"/>
    <w:rsid w:val="00D134CF"/>
    <w:rsid w:val="00D1573B"/>
    <w:rsid w:val="00D17467"/>
    <w:rsid w:val="00D24806"/>
    <w:rsid w:val="00D34040"/>
    <w:rsid w:val="00D34E69"/>
    <w:rsid w:val="00D36C78"/>
    <w:rsid w:val="00D375EE"/>
    <w:rsid w:val="00D47626"/>
    <w:rsid w:val="00D55AE8"/>
    <w:rsid w:val="00D56056"/>
    <w:rsid w:val="00D6085F"/>
    <w:rsid w:val="00D62699"/>
    <w:rsid w:val="00D778E9"/>
    <w:rsid w:val="00D77E75"/>
    <w:rsid w:val="00D812BF"/>
    <w:rsid w:val="00D82620"/>
    <w:rsid w:val="00D85707"/>
    <w:rsid w:val="00D9725F"/>
    <w:rsid w:val="00DA01B1"/>
    <w:rsid w:val="00DA11A2"/>
    <w:rsid w:val="00DA14ED"/>
    <w:rsid w:val="00DA26D6"/>
    <w:rsid w:val="00DB2EF1"/>
    <w:rsid w:val="00DB3DE1"/>
    <w:rsid w:val="00DB4883"/>
    <w:rsid w:val="00DB5DA0"/>
    <w:rsid w:val="00DB716C"/>
    <w:rsid w:val="00DC5C85"/>
    <w:rsid w:val="00DC7C5D"/>
    <w:rsid w:val="00DD4236"/>
    <w:rsid w:val="00DD44F1"/>
    <w:rsid w:val="00DD6957"/>
    <w:rsid w:val="00DD6E7A"/>
    <w:rsid w:val="00DE3067"/>
    <w:rsid w:val="00DE41FB"/>
    <w:rsid w:val="00DF00A2"/>
    <w:rsid w:val="00DF3EEE"/>
    <w:rsid w:val="00DF75E1"/>
    <w:rsid w:val="00E027BC"/>
    <w:rsid w:val="00E045BE"/>
    <w:rsid w:val="00E10F0D"/>
    <w:rsid w:val="00E14EA5"/>
    <w:rsid w:val="00E2070E"/>
    <w:rsid w:val="00E21133"/>
    <w:rsid w:val="00E2327E"/>
    <w:rsid w:val="00E23577"/>
    <w:rsid w:val="00E266EF"/>
    <w:rsid w:val="00E326A8"/>
    <w:rsid w:val="00E372A3"/>
    <w:rsid w:val="00E47428"/>
    <w:rsid w:val="00E56C8E"/>
    <w:rsid w:val="00E5716B"/>
    <w:rsid w:val="00E574F4"/>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25C4"/>
    <w:rsid w:val="00EA4E2E"/>
    <w:rsid w:val="00EB2417"/>
    <w:rsid w:val="00EB2CCB"/>
    <w:rsid w:val="00EB41A7"/>
    <w:rsid w:val="00EB7A25"/>
    <w:rsid w:val="00EC0F3E"/>
    <w:rsid w:val="00EC57A7"/>
    <w:rsid w:val="00ED0817"/>
    <w:rsid w:val="00ED7DD9"/>
    <w:rsid w:val="00EE445B"/>
    <w:rsid w:val="00EF3113"/>
    <w:rsid w:val="00EF3F84"/>
    <w:rsid w:val="00F002EA"/>
    <w:rsid w:val="00F0374D"/>
    <w:rsid w:val="00F176AC"/>
    <w:rsid w:val="00F26F28"/>
    <w:rsid w:val="00F27714"/>
    <w:rsid w:val="00F3276E"/>
    <w:rsid w:val="00F33D3C"/>
    <w:rsid w:val="00F37A91"/>
    <w:rsid w:val="00F408A0"/>
    <w:rsid w:val="00F42509"/>
    <w:rsid w:val="00F45CF5"/>
    <w:rsid w:val="00F47DB0"/>
    <w:rsid w:val="00F50C3F"/>
    <w:rsid w:val="00F50E34"/>
    <w:rsid w:val="00F51AFB"/>
    <w:rsid w:val="00F53EF7"/>
    <w:rsid w:val="00F54BF2"/>
    <w:rsid w:val="00F6194A"/>
    <w:rsid w:val="00F775AC"/>
    <w:rsid w:val="00F8792F"/>
    <w:rsid w:val="00F9214D"/>
    <w:rsid w:val="00F92355"/>
    <w:rsid w:val="00F93963"/>
    <w:rsid w:val="00F94291"/>
    <w:rsid w:val="00F97F06"/>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AD163"/>
  <w15:docId w15:val="{C5BCC0BD-D884-4952-87FC-9E564E4C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F0157665564842897D0FF6E64C7325"/>
        <w:category>
          <w:name w:val="General"/>
          <w:gallery w:val="placeholder"/>
        </w:category>
        <w:types>
          <w:type w:val="bbPlcHdr"/>
        </w:types>
        <w:behaviors>
          <w:behavior w:val="content"/>
        </w:behaviors>
        <w:guid w:val="{603D307E-9235-41CD-A703-3169A9678BFB}"/>
      </w:docPartPr>
      <w:docPartBody>
        <w:p w:rsidR="00C7416C" w:rsidRDefault="00F5569A">
          <w:pPr>
            <w:pStyle w:val="B8F0157665564842897D0FF6E64C7325"/>
          </w:pPr>
          <w:r>
            <w:rPr>
              <w:rStyle w:val="PlaceholderText"/>
            </w:rPr>
            <w:t>MNC Text</w:t>
          </w:r>
        </w:p>
      </w:docPartBody>
    </w:docPart>
    <w:docPart>
      <w:docPartPr>
        <w:name w:val="D361FE7C4DA248FBB47AD624E04EB411"/>
        <w:category>
          <w:name w:val="General"/>
          <w:gallery w:val="placeholder"/>
        </w:category>
        <w:types>
          <w:type w:val="bbPlcHdr"/>
        </w:types>
        <w:behaviors>
          <w:behavior w:val="content"/>
        </w:behaviors>
        <w:guid w:val="{5C0F7D5B-9241-4867-A71A-6EF3CA4F4D9A}"/>
      </w:docPartPr>
      <w:docPartBody>
        <w:p w:rsidR="00C7416C" w:rsidRDefault="00F5569A">
          <w:pPr>
            <w:pStyle w:val="D361FE7C4DA248FBB47AD624E04EB411"/>
          </w:pPr>
          <w:r w:rsidRPr="005C44BE">
            <w:rPr>
              <w:rStyle w:val="PlaceholderText"/>
            </w:rPr>
            <w:t>Click or tap here to enter text.</w:t>
          </w:r>
        </w:p>
      </w:docPartBody>
    </w:docPart>
    <w:docPart>
      <w:docPartPr>
        <w:name w:val="C462EB59AE1C44A89A3422118937DCAD"/>
        <w:category>
          <w:name w:val="General"/>
          <w:gallery w:val="placeholder"/>
        </w:category>
        <w:types>
          <w:type w:val="bbPlcHdr"/>
        </w:types>
        <w:behaviors>
          <w:behavior w:val="content"/>
        </w:behaviors>
        <w:guid w:val="{08FB5B77-1BE1-450A-AB8A-3B04223473D6}"/>
      </w:docPartPr>
      <w:docPartBody>
        <w:p w:rsidR="00C7416C" w:rsidRDefault="00F5569A">
          <w:pPr>
            <w:pStyle w:val="C462EB59AE1C44A89A3422118937DCAD"/>
          </w:pPr>
          <w:r w:rsidRPr="005C44BE">
            <w:rPr>
              <w:rStyle w:val="PlaceholderText"/>
            </w:rPr>
            <w:t>Click or tap here to enter text.</w:t>
          </w:r>
        </w:p>
      </w:docPartBody>
    </w:docPart>
    <w:docPart>
      <w:docPartPr>
        <w:name w:val="EB726E8EDD6547F2B9236DBD72943314"/>
        <w:category>
          <w:name w:val="General"/>
          <w:gallery w:val="placeholder"/>
        </w:category>
        <w:types>
          <w:type w:val="bbPlcHdr"/>
        </w:types>
        <w:behaviors>
          <w:behavior w:val="content"/>
        </w:behaviors>
        <w:guid w:val="{26A15902-10A1-4E02-937F-333311AD1D82}"/>
      </w:docPartPr>
      <w:docPartBody>
        <w:p w:rsidR="00C7416C" w:rsidRDefault="00F5569A">
          <w:pPr>
            <w:pStyle w:val="EB726E8EDD6547F2B9236DBD72943314"/>
          </w:pPr>
          <w:r w:rsidRPr="005C44BE">
            <w:rPr>
              <w:rStyle w:val="PlaceholderText"/>
            </w:rPr>
            <w:t>Click or tap here to enter text.</w:t>
          </w:r>
        </w:p>
      </w:docPartBody>
    </w:docPart>
    <w:docPart>
      <w:docPartPr>
        <w:name w:val="2111AB85D8014281807328A5606238B5"/>
        <w:category>
          <w:name w:val="General"/>
          <w:gallery w:val="placeholder"/>
        </w:category>
        <w:types>
          <w:type w:val="bbPlcHdr"/>
        </w:types>
        <w:behaviors>
          <w:behavior w:val="content"/>
        </w:behaviors>
        <w:guid w:val="{238FEAC7-78C1-4BFE-8FD0-CE92A48A8DCF}"/>
      </w:docPartPr>
      <w:docPartBody>
        <w:p w:rsidR="00C7416C" w:rsidRDefault="00F5569A">
          <w:pPr>
            <w:pStyle w:val="2111AB85D8014281807328A5606238B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9A"/>
    <w:rsid w:val="003477C9"/>
    <w:rsid w:val="00C7416C"/>
    <w:rsid w:val="00EB6B03"/>
    <w:rsid w:val="00F55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8F0157665564842897D0FF6E64C7325">
    <w:name w:val="B8F0157665564842897D0FF6E64C7325"/>
  </w:style>
  <w:style w:type="paragraph" w:customStyle="1" w:styleId="D361FE7C4DA248FBB47AD624E04EB411">
    <w:name w:val="D361FE7C4DA248FBB47AD624E04EB411"/>
  </w:style>
  <w:style w:type="paragraph" w:customStyle="1" w:styleId="C462EB59AE1C44A89A3422118937DCAD">
    <w:name w:val="C462EB59AE1C44A89A3422118937DCAD"/>
  </w:style>
  <w:style w:type="paragraph" w:customStyle="1" w:styleId="EB726E8EDD6547F2B9236DBD72943314">
    <w:name w:val="EB726E8EDD6547F2B9236DBD72943314"/>
  </w:style>
  <w:style w:type="paragraph" w:customStyle="1" w:styleId="2111AB85D8014281807328A5606238B5">
    <w:name w:val="2111AB85D8014281807328A560623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Ausin Group (Australia) Pty Ltd v Zhao [2021] FCA 1601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5AAE4B8-3AB0-4AB8-81B2-73EADD7C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8</Pages>
  <Words>2031</Words>
  <Characters>10091</Characters>
  <Application>Microsoft Office Word</Application>
  <DocSecurity>0</DocSecurity>
  <Lines>265</Lines>
  <Paragraphs>121</Paragraphs>
  <ScaleCrop>false</ScaleCrop>
  <HeadingPairs>
    <vt:vector size="2" baseType="variant">
      <vt:variant>
        <vt:lpstr>Title</vt:lpstr>
      </vt:variant>
      <vt:variant>
        <vt:i4>1</vt:i4>
      </vt:variant>
    </vt:vector>
  </HeadingPairs>
  <TitlesOfParts>
    <vt:vector size="1" baseType="lpstr">
      <vt:lpstr>Ausin Group (Australia) Pty Ltd v Zhao [2021] FCA 1601   </vt:lpstr>
    </vt:vector>
  </TitlesOfParts>
  <Company>Federal Court of Australia</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Ausin Group (Australia) Pty Ltd v Zhao [2021] FCA 1601</dc:title>
  <dc:creator>Sona Muradyan</dc:creator>
  <dc:description>v1.3</dc:description>
  <cp:lastModifiedBy>Sona Muradyan</cp:lastModifiedBy>
  <cp:revision>3</cp:revision>
  <cp:lastPrinted>2021-12-16T04:31:00Z</cp:lastPrinted>
  <dcterms:created xsi:type="dcterms:W3CDTF">2021-12-16T23:02:00Z</dcterms:created>
  <dcterms:modified xsi:type="dcterms:W3CDTF">2021-12-16T23:03:00Z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