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6EA4" w14:textId="05A152D8" w:rsidR="00395B24" w:rsidRDefault="006A1840" w:rsidP="00A22932">
      <w:pPr>
        <w:pStyle w:val="CourtTitle"/>
      </w:pPr>
      <w:fldSimple w:instr=" DOCPROPERTY  Court  \* MERGEFORMAT ">
        <w:r w:rsidR="00F87C4E">
          <w:t>Federal Court of Australia</w:t>
        </w:r>
      </w:fldSimple>
    </w:p>
    <w:p w14:paraId="29538297" w14:textId="77777777" w:rsidR="00395B24" w:rsidRDefault="00395B24">
      <w:pPr>
        <w:pStyle w:val="NormalHeadings"/>
        <w:jc w:val="center"/>
        <w:rPr>
          <w:sz w:val="32"/>
        </w:rPr>
      </w:pPr>
    </w:p>
    <w:bookmarkStart w:id="0" w:name="MNC"/>
    <w:p w14:paraId="03C59BD3" w14:textId="4B4BE96D" w:rsidR="00374CC4" w:rsidRDefault="00BA0D14" w:rsidP="001A2B40">
      <w:pPr>
        <w:pStyle w:val="MNC"/>
      </w:pPr>
      <w:sdt>
        <w:sdtPr>
          <w:alias w:val="MNC"/>
          <w:tag w:val="MNC"/>
          <w:id w:val="343289786"/>
          <w:lock w:val="sdtLocked"/>
          <w:placeholder>
            <w:docPart w:val="C07CB73FB1AB457594D42A92B55A4C1E"/>
          </w:placeholder>
          <w:dataBinding w:prefixMappings="xmlns:ns0='http://schemas.globalmacros.com/FCA'" w:xpath="/ns0:root[1]/ns0:Name[1]" w:storeItemID="{687E7CCB-4AA5-44E7-B148-17BA2B6F57C0}"/>
          <w:text w:multiLine="1"/>
        </w:sdtPr>
        <w:sdtEndPr/>
        <w:sdtContent>
          <w:r w:rsidR="00BE57E3">
            <w:t xml:space="preserve">Australian Competition and Consumer Commission v NQCranes Pty Ltd [2021] FCA </w:t>
          </w:r>
          <w:r w:rsidR="00A67B45">
            <w:t>1270</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DF2CFC2" w14:textId="77777777" w:rsidTr="00EB23FB">
        <w:tc>
          <w:tcPr>
            <w:tcW w:w="3084" w:type="dxa"/>
            <w:shd w:val="clear" w:color="auto" w:fill="auto"/>
          </w:tcPr>
          <w:p w14:paraId="4EF78D46" w14:textId="56404631" w:rsidR="00395B24" w:rsidRDefault="002C7385" w:rsidP="00663878">
            <w:pPr>
              <w:pStyle w:val="Normal1linespace"/>
              <w:widowControl w:val="0"/>
              <w:jc w:val="left"/>
            </w:pPr>
            <w:r>
              <w:t>File number:</w:t>
            </w:r>
          </w:p>
        </w:tc>
        <w:tc>
          <w:tcPr>
            <w:tcW w:w="5989" w:type="dxa"/>
            <w:shd w:val="clear" w:color="auto" w:fill="auto"/>
          </w:tcPr>
          <w:p w14:paraId="09F382EF" w14:textId="77777777" w:rsidR="00395B24" w:rsidRPr="00BE57E3" w:rsidRDefault="00BA0D14" w:rsidP="00BE57E3">
            <w:pPr>
              <w:pStyle w:val="Normal1linespace"/>
              <w:jc w:val="left"/>
            </w:pPr>
            <w:r>
              <w:fldChar w:fldCharType="begin" w:fldLock="1"/>
            </w:r>
            <w:r>
              <w:instrText xml:space="preserve"> REF  FileNo  \* MERGEFORMAT </w:instrText>
            </w:r>
            <w:r>
              <w:fldChar w:fldCharType="separate"/>
            </w:r>
            <w:r w:rsidR="00BE57E3" w:rsidRPr="00BE57E3">
              <w:t>NSD</w:t>
            </w:r>
            <w:r w:rsidR="0033011B">
              <w:t xml:space="preserve"> </w:t>
            </w:r>
            <w:r w:rsidR="00BE57E3" w:rsidRPr="00BE57E3">
              <w:t>1144 of 2020</w:t>
            </w:r>
            <w:r>
              <w:fldChar w:fldCharType="end"/>
            </w:r>
          </w:p>
        </w:tc>
      </w:tr>
      <w:tr w:rsidR="00395B24" w14:paraId="46831A59" w14:textId="77777777" w:rsidTr="00EB23FB">
        <w:tc>
          <w:tcPr>
            <w:tcW w:w="3084" w:type="dxa"/>
            <w:shd w:val="clear" w:color="auto" w:fill="auto"/>
          </w:tcPr>
          <w:p w14:paraId="47192383" w14:textId="77777777" w:rsidR="00395B24" w:rsidRDefault="00395B24" w:rsidP="00663878">
            <w:pPr>
              <w:pStyle w:val="Normal1linespace"/>
              <w:widowControl w:val="0"/>
              <w:jc w:val="left"/>
            </w:pPr>
          </w:p>
        </w:tc>
        <w:tc>
          <w:tcPr>
            <w:tcW w:w="5989" w:type="dxa"/>
            <w:shd w:val="clear" w:color="auto" w:fill="auto"/>
          </w:tcPr>
          <w:p w14:paraId="2A7430DB" w14:textId="77777777" w:rsidR="00395B24" w:rsidRDefault="00395B24" w:rsidP="00663878">
            <w:pPr>
              <w:pStyle w:val="Normal1linespace"/>
              <w:widowControl w:val="0"/>
              <w:jc w:val="left"/>
            </w:pPr>
          </w:p>
        </w:tc>
      </w:tr>
      <w:tr w:rsidR="00395B24" w14:paraId="530A11C1" w14:textId="77777777" w:rsidTr="00EB23FB">
        <w:tc>
          <w:tcPr>
            <w:tcW w:w="3084" w:type="dxa"/>
            <w:shd w:val="clear" w:color="auto" w:fill="auto"/>
          </w:tcPr>
          <w:p w14:paraId="2E96AB8A"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53F937D" w14:textId="77777777" w:rsidR="00395B24" w:rsidRDefault="002C7385" w:rsidP="00663878">
            <w:pPr>
              <w:pStyle w:val="Normal1linespace"/>
              <w:widowControl w:val="0"/>
              <w:jc w:val="left"/>
              <w:rPr>
                <w:b/>
              </w:rPr>
            </w:pPr>
            <w:r w:rsidRPr="00BE57E3">
              <w:rPr>
                <w:b/>
              </w:rPr>
              <w:fldChar w:fldCharType="begin" w:fldLock="1"/>
            </w:r>
            <w:r w:rsidRPr="00BE57E3">
              <w:rPr>
                <w:b/>
              </w:rPr>
              <w:instrText xml:space="preserve"> REF  Judge  \* MERGEFORMAT </w:instrText>
            </w:r>
            <w:r w:rsidRPr="00BE57E3">
              <w:rPr>
                <w:b/>
              </w:rPr>
              <w:fldChar w:fldCharType="separate"/>
            </w:r>
            <w:r w:rsidR="00BE57E3" w:rsidRPr="00BE57E3">
              <w:rPr>
                <w:b/>
                <w:caps/>
                <w:szCs w:val="24"/>
              </w:rPr>
              <w:t>ABRAHAM J</w:t>
            </w:r>
            <w:r w:rsidRPr="00BE57E3">
              <w:rPr>
                <w:b/>
              </w:rPr>
              <w:fldChar w:fldCharType="end"/>
            </w:r>
          </w:p>
        </w:tc>
      </w:tr>
      <w:tr w:rsidR="00395B24" w14:paraId="5DBF130B" w14:textId="77777777" w:rsidTr="00EB23FB">
        <w:tc>
          <w:tcPr>
            <w:tcW w:w="3084" w:type="dxa"/>
            <w:shd w:val="clear" w:color="auto" w:fill="auto"/>
          </w:tcPr>
          <w:p w14:paraId="4457EFCE" w14:textId="77777777" w:rsidR="00395B24" w:rsidRDefault="00395B24" w:rsidP="00663878">
            <w:pPr>
              <w:pStyle w:val="Normal1linespace"/>
              <w:widowControl w:val="0"/>
              <w:jc w:val="left"/>
            </w:pPr>
          </w:p>
        </w:tc>
        <w:tc>
          <w:tcPr>
            <w:tcW w:w="5989" w:type="dxa"/>
            <w:shd w:val="clear" w:color="auto" w:fill="auto"/>
          </w:tcPr>
          <w:p w14:paraId="7C9791BE" w14:textId="77777777" w:rsidR="00395B24" w:rsidRDefault="00395B24" w:rsidP="00663878">
            <w:pPr>
              <w:pStyle w:val="Normal1linespace"/>
              <w:widowControl w:val="0"/>
              <w:jc w:val="left"/>
            </w:pPr>
          </w:p>
        </w:tc>
      </w:tr>
      <w:tr w:rsidR="00395B24" w14:paraId="5C8A80B7" w14:textId="77777777" w:rsidTr="00EB23FB">
        <w:tc>
          <w:tcPr>
            <w:tcW w:w="3084" w:type="dxa"/>
            <w:shd w:val="clear" w:color="auto" w:fill="auto"/>
          </w:tcPr>
          <w:p w14:paraId="064A71EE" w14:textId="77777777" w:rsidR="00395B24" w:rsidRDefault="002C7385" w:rsidP="00663878">
            <w:pPr>
              <w:pStyle w:val="Normal1linespace"/>
              <w:widowControl w:val="0"/>
              <w:jc w:val="left"/>
            </w:pPr>
            <w:r>
              <w:t>Date of judgment:</w:t>
            </w:r>
          </w:p>
        </w:tc>
        <w:tc>
          <w:tcPr>
            <w:tcW w:w="5989" w:type="dxa"/>
            <w:shd w:val="clear" w:color="auto" w:fill="auto"/>
          </w:tcPr>
          <w:p w14:paraId="71015E45" w14:textId="20E25225" w:rsidR="00395B24" w:rsidRDefault="002614C9" w:rsidP="002614C9">
            <w:pPr>
              <w:pStyle w:val="Normal1linespace"/>
              <w:widowControl w:val="0"/>
              <w:jc w:val="left"/>
            </w:pPr>
            <w:bookmarkStart w:id="1" w:name="JudgmentDate"/>
            <w:r>
              <w:t>20 October</w:t>
            </w:r>
            <w:r w:rsidR="00BE57E3">
              <w:t xml:space="preserve"> 2021</w:t>
            </w:r>
            <w:bookmarkEnd w:id="1"/>
          </w:p>
        </w:tc>
      </w:tr>
      <w:tr w:rsidR="00395B24" w14:paraId="589B692A" w14:textId="77777777" w:rsidTr="00EB23FB">
        <w:tc>
          <w:tcPr>
            <w:tcW w:w="3084" w:type="dxa"/>
            <w:shd w:val="clear" w:color="auto" w:fill="auto"/>
          </w:tcPr>
          <w:p w14:paraId="4878CBDD" w14:textId="77777777" w:rsidR="00395B24" w:rsidRDefault="00395B24" w:rsidP="00663878">
            <w:pPr>
              <w:pStyle w:val="Normal1linespace"/>
              <w:widowControl w:val="0"/>
              <w:jc w:val="left"/>
            </w:pPr>
          </w:p>
        </w:tc>
        <w:tc>
          <w:tcPr>
            <w:tcW w:w="5989" w:type="dxa"/>
            <w:shd w:val="clear" w:color="auto" w:fill="auto"/>
          </w:tcPr>
          <w:p w14:paraId="5D31BFE4" w14:textId="77777777" w:rsidR="00395B24" w:rsidRDefault="00395B24" w:rsidP="00663878">
            <w:pPr>
              <w:pStyle w:val="Normal1linespace"/>
              <w:widowControl w:val="0"/>
              <w:jc w:val="left"/>
            </w:pPr>
          </w:p>
        </w:tc>
      </w:tr>
      <w:tr w:rsidR="00395B24" w14:paraId="0E93BC72" w14:textId="77777777" w:rsidTr="00EB23FB">
        <w:tc>
          <w:tcPr>
            <w:tcW w:w="3084" w:type="dxa"/>
            <w:shd w:val="clear" w:color="auto" w:fill="auto"/>
          </w:tcPr>
          <w:p w14:paraId="5D1E5A34" w14:textId="77777777" w:rsidR="00395B24" w:rsidRDefault="002C7385" w:rsidP="00663878">
            <w:pPr>
              <w:pStyle w:val="Normal1linespace"/>
              <w:widowControl w:val="0"/>
              <w:jc w:val="left"/>
            </w:pPr>
            <w:r>
              <w:t>Catchwords:</w:t>
            </w:r>
          </w:p>
        </w:tc>
        <w:tc>
          <w:tcPr>
            <w:tcW w:w="5989" w:type="dxa"/>
            <w:shd w:val="clear" w:color="auto" w:fill="auto"/>
          </w:tcPr>
          <w:p w14:paraId="707776F2" w14:textId="77777777" w:rsidR="00846747" w:rsidRDefault="00401CD9" w:rsidP="00401CD9">
            <w:pPr>
              <w:pStyle w:val="Normal1linespace"/>
              <w:widowControl w:val="0"/>
              <w:jc w:val="left"/>
            </w:pPr>
            <w:bookmarkStart w:id="2" w:name="Catchwords"/>
            <w:r>
              <w:rPr>
                <w:b/>
              </w:rPr>
              <w:t xml:space="preserve">PRACTICE AND PROCEDURE </w:t>
            </w:r>
            <w:r w:rsidRPr="0023167B">
              <w:t xml:space="preserve">– application </w:t>
            </w:r>
            <w:r>
              <w:t>to strike out pleading</w:t>
            </w:r>
            <w:r w:rsidR="00870E8F">
              <w:t>s</w:t>
            </w:r>
            <w:r>
              <w:t xml:space="preserve"> </w:t>
            </w:r>
            <w:r w:rsidRPr="0023167B">
              <w:t xml:space="preserve">under r 16.21 of the </w:t>
            </w:r>
            <w:r w:rsidRPr="0023167B">
              <w:rPr>
                <w:i/>
              </w:rPr>
              <w:t>Federal Court Rules 2011</w:t>
            </w:r>
            <w:r w:rsidRPr="0023167B">
              <w:t xml:space="preserve"> (Cth</w:t>
            </w:r>
            <w:r w:rsidRPr="00401CD9">
              <w:t xml:space="preserve">) </w:t>
            </w:r>
            <w:r w:rsidR="00F04215">
              <w:t xml:space="preserve">and/or s 37P of the </w:t>
            </w:r>
            <w:r w:rsidR="00F04215">
              <w:rPr>
                <w:i/>
              </w:rPr>
              <w:t xml:space="preserve">Federal Court of Australia Act 1976 </w:t>
            </w:r>
            <w:r w:rsidR="00F04215">
              <w:t xml:space="preserve">(Cth) </w:t>
            </w:r>
            <w:r>
              <w:t>–</w:t>
            </w:r>
            <w:r w:rsidRPr="00401CD9">
              <w:t xml:space="preserve"> whether </w:t>
            </w:r>
            <w:r>
              <w:t>pleading</w:t>
            </w:r>
            <w:r w:rsidR="00870E8F">
              <w:t>s</w:t>
            </w:r>
            <w:r>
              <w:t xml:space="preserve"> f</w:t>
            </w:r>
            <w:r w:rsidR="00870E8F">
              <w:t>ail</w:t>
            </w:r>
            <w:r>
              <w:t xml:space="preserve"> to disclose a reasonable cause of action – </w:t>
            </w:r>
            <w:r w:rsidR="00E47CFF">
              <w:t xml:space="preserve">whether pleadings likely to cause prejudice, embarrassment or delay – whether </w:t>
            </w:r>
            <w:r>
              <w:t>pleading</w:t>
            </w:r>
            <w:r w:rsidR="00E47CFF">
              <w:t>s</w:t>
            </w:r>
            <w:r>
              <w:t xml:space="preserve"> </w:t>
            </w:r>
            <w:r w:rsidR="00870E8F">
              <w:t>are</w:t>
            </w:r>
            <w:r>
              <w:t xml:space="preserve"> otherwise an abuse or process </w:t>
            </w:r>
            <w:r w:rsidR="00E47CFF">
              <w:t xml:space="preserve">– application </w:t>
            </w:r>
            <w:r>
              <w:t>dismissed</w:t>
            </w:r>
          </w:p>
          <w:p w14:paraId="321B1DFF" w14:textId="77777777" w:rsidR="00846747" w:rsidRDefault="00846747" w:rsidP="00401CD9">
            <w:pPr>
              <w:pStyle w:val="Normal1linespace"/>
              <w:widowControl w:val="0"/>
              <w:jc w:val="left"/>
            </w:pPr>
          </w:p>
          <w:p w14:paraId="555A91AF" w14:textId="604738B9" w:rsidR="00395B24" w:rsidRDefault="00846747" w:rsidP="00035690">
            <w:pPr>
              <w:pStyle w:val="Normal1linespace"/>
              <w:widowControl w:val="0"/>
              <w:jc w:val="left"/>
            </w:pPr>
            <w:r>
              <w:rPr>
                <w:b/>
              </w:rPr>
              <w:t xml:space="preserve">COMPETITION </w:t>
            </w:r>
            <w:r w:rsidRPr="0023167B">
              <w:t xml:space="preserve">– </w:t>
            </w:r>
            <w:r w:rsidRPr="00813AA1">
              <w:t>al</w:t>
            </w:r>
            <w:r w:rsidR="00B70A99" w:rsidRPr="000B50E4">
              <w:t>l</w:t>
            </w:r>
            <w:r w:rsidR="00B70A99">
              <w:t>eged contravention of cartel provisions</w:t>
            </w:r>
            <w:r>
              <w:t xml:space="preserve"> </w:t>
            </w:r>
            <w:r w:rsidR="00B70A99">
              <w:t xml:space="preserve">of the </w:t>
            </w:r>
            <w:r w:rsidR="00B70A99">
              <w:rPr>
                <w:i/>
              </w:rPr>
              <w:t xml:space="preserve">Competition and Consumer Act 2010 </w:t>
            </w:r>
            <w:r w:rsidR="00B70A99">
              <w:t xml:space="preserve">(Cth) (CCA) </w:t>
            </w:r>
            <w:r>
              <w:t xml:space="preserve">– </w:t>
            </w:r>
            <w:r w:rsidR="00B70A99">
              <w:t xml:space="preserve">consideration of meaning of “give effect to” under </w:t>
            </w:r>
            <w:r w:rsidR="00C83AE8">
              <w:t xml:space="preserve">s 4 of the CCA </w:t>
            </w:r>
            <w:r w:rsidR="00090823">
              <w:t xml:space="preserve">and whether certain conduct, as pleaded, is capable of constituting “giving effect to” a “contract, arrangement or understanding” containing a cartel provision </w:t>
            </w:r>
            <w:r w:rsidR="00C83AE8">
              <w:t xml:space="preserve">– </w:t>
            </w:r>
            <w:r w:rsidR="001927B0">
              <w:t>consideration of whether a “contract, arrangement or understanding” is capable of being established on the facts as pleaded –</w:t>
            </w:r>
            <w:r w:rsidR="00035690">
              <w:t xml:space="preserve"> </w:t>
            </w:r>
            <w:r w:rsidR="00C83AE8" w:rsidRPr="005614B0">
              <w:rPr>
                <w:i/>
                <w:szCs w:val="24"/>
              </w:rPr>
              <w:t xml:space="preserve">Trade Practices Commission v Allied Mills Industries Pty Ltd </w:t>
            </w:r>
            <w:r w:rsidR="00C83AE8" w:rsidRPr="005614B0">
              <w:rPr>
                <w:szCs w:val="24"/>
              </w:rPr>
              <w:t>(1980</w:t>
            </w:r>
            <w:r w:rsidR="00C83AE8">
              <w:rPr>
                <w:szCs w:val="24"/>
              </w:rPr>
              <w:t xml:space="preserve">) </w:t>
            </w:r>
            <w:r w:rsidR="00C83AE8">
              <w:t>32 ALR 570</w:t>
            </w:r>
            <w:bookmarkEnd w:id="2"/>
            <w:r w:rsidR="00035690">
              <w:t xml:space="preserve"> distinguished</w:t>
            </w:r>
          </w:p>
        </w:tc>
      </w:tr>
      <w:tr w:rsidR="00395B24" w14:paraId="6DF432EC" w14:textId="77777777" w:rsidTr="00EB23FB">
        <w:tc>
          <w:tcPr>
            <w:tcW w:w="3084" w:type="dxa"/>
            <w:shd w:val="clear" w:color="auto" w:fill="auto"/>
          </w:tcPr>
          <w:p w14:paraId="54B11B08" w14:textId="77777777" w:rsidR="00395B24" w:rsidRDefault="00395B24" w:rsidP="00663878">
            <w:pPr>
              <w:pStyle w:val="Normal1linespace"/>
              <w:widowControl w:val="0"/>
              <w:jc w:val="left"/>
            </w:pPr>
          </w:p>
        </w:tc>
        <w:tc>
          <w:tcPr>
            <w:tcW w:w="5989" w:type="dxa"/>
            <w:shd w:val="clear" w:color="auto" w:fill="auto"/>
          </w:tcPr>
          <w:p w14:paraId="2966F5E6" w14:textId="77777777" w:rsidR="00395B24" w:rsidRDefault="00395B24" w:rsidP="00663878">
            <w:pPr>
              <w:pStyle w:val="Normal1linespace"/>
              <w:widowControl w:val="0"/>
              <w:jc w:val="left"/>
            </w:pPr>
          </w:p>
        </w:tc>
      </w:tr>
      <w:tr w:rsidR="00395B24" w14:paraId="18182B0A" w14:textId="77777777" w:rsidTr="00EB23FB">
        <w:tc>
          <w:tcPr>
            <w:tcW w:w="3084" w:type="dxa"/>
            <w:shd w:val="clear" w:color="auto" w:fill="auto"/>
          </w:tcPr>
          <w:p w14:paraId="4C5274AE" w14:textId="77777777" w:rsidR="00395B24" w:rsidRDefault="002C7385" w:rsidP="00663878">
            <w:pPr>
              <w:pStyle w:val="Normal1linespace"/>
              <w:widowControl w:val="0"/>
              <w:jc w:val="left"/>
            </w:pPr>
            <w:r>
              <w:t>Legislation:</w:t>
            </w:r>
          </w:p>
        </w:tc>
        <w:tc>
          <w:tcPr>
            <w:tcW w:w="5989" w:type="dxa"/>
            <w:shd w:val="clear" w:color="auto" w:fill="auto"/>
          </w:tcPr>
          <w:p w14:paraId="12531540" w14:textId="77777777" w:rsidR="00D85E66" w:rsidRPr="00813AA1" w:rsidRDefault="00D85E66" w:rsidP="00813AA1">
            <w:pPr>
              <w:pStyle w:val="CasesLegislationAppealFrom"/>
              <w:spacing w:after="60"/>
            </w:pPr>
            <w:bookmarkStart w:id="3" w:name="Legislation"/>
            <w:r w:rsidRPr="0023167B">
              <w:rPr>
                <w:i/>
              </w:rPr>
              <w:t>Competition and Consumer Act 2010</w:t>
            </w:r>
            <w:r w:rsidRPr="0023167B">
              <w:t xml:space="preserve"> (Cth)</w:t>
            </w:r>
            <w:r>
              <w:t xml:space="preserve"> ss 4, 44ZZRD(4), 45AD(4), 45AR(1)</w:t>
            </w:r>
          </w:p>
          <w:p w14:paraId="1862EA28" w14:textId="77777777" w:rsidR="00D85E66" w:rsidRPr="00813AA1" w:rsidRDefault="00D85E66" w:rsidP="000B50E4">
            <w:pPr>
              <w:pStyle w:val="CasesLegislationAppealFrom"/>
              <w:spacing w:after="60"/>
            </w:pPr>
            <w:r w:rsidRPr="0023167B">
              <w:rPr>
                <w:i/>
              </w:rPr>
              <w:t xml:space="preserve">Federal Court of Australia Act 1976 </w:t>
            </w:r>
            <w:r w:rsidRPr="0023167B">
              <w:t>(Cth)</w:t>
            </w:r>
            <w:r>
              <w:t xml:space="preserve"> ss 37M, 37P</w:t>
            </w:r>
          </w:p>
          <w:p w14:paraId="25BDB2F6" w14:textId="77777777" w:rsidR="00D85E66" w:rsidRPr="00813AA1" w:rsidRDefault="00D85E66" w:rsidP="000B50E4">
            <w:pPr>
              <w:pStyle w:val="CasesLegislationAppealFrom"/>
              <w:spacing w:after="60"/>
            </w:pPr>
            <w:r w:rsidRPr="0023167B">
              <w:rPr>
                <w:i/>
              </w:rPr>
              <w:t xml:space="preserve">Federal Court Rules 2011 </w:t>
            </w:r>
            <w:r w:rsidRPr="0023167B">
              <w:t>(Cth)</w:t>
            </w:r>
            <w:r>
              <w:t xml:space="preserve"> rr 6.01, 16.02, 16.02(2), 16.21</w:t>
            </w:r>
          </w:p>
          <w:p w14:paraId="79874435" w14:textId="77777777" w:rsidR="00D85E66" w:rsidRPr="002C0287" w:rsidRDefault="00D85E66" w:rsidP="000B50E4">
            <w:pPr>
              <w:pStyle w:val="CasesLegislationAppealFrom"/>
              <w:spacing w:after="60"/>
            </w:pPr>
            <w:r w:rsidRPr="0023167B">
              <w:rPr>
                <w:i/>
              </w:rPr>
              <w:t>Supreme Court (General Civil Procedure) Rules 2015</w:t>
            </w:r>
            <w:r w:rsidRPr="002C0287">
              <w:rPr>
                <w:i/>
                <w:iCs/>
              </w:rPr>
              <w:t> </w:t>
            </w:r>
            <w:r w:rsidRPr="002C0287">
              <w:t>(Vic) r 23.02</w:t>
            </w:r>
          </w:p>
          <w:p w14:paraId="555091F9" w14:textId="77777777" w:rsidR="00D85E66" w:rsidRPr="00813AA1" w:rsidRDefault="00D85E66" w:rsidP="000B50E4">
            <w:pPr>
              <w:pStyle w:val="CasesLegislationAppealFrom"/>
              <w:spacing w:after="60"/>
              <w:rPr>
                <w:color w:val="333333"/>
              </w:rPr>
            </w:pPr>
            <w:r w:rsidRPr="00AC7291">
              <w:rPr>
                <w:i/>
              </w:rPr>
              <w:t>Trade Practices Act 1974</w:t>
            </w:r>
            <w:r>
              <w:t xml:space="preserve"> (Cth)</w:t>
            </w:r>
          </w:p>
          <w:p w14:paraId="0EFCECE1" w14:textId="77777777" w:rsidR="00395B24" w:rsidRPr="000B50E4" w:rsidRDefault="00D85E66" w:rsidP="000B50E4">
            <w:pPr>
              <w:pStyle w:val="CasesLegislationAppealFrom"/>
              <w:spacing w:after="60"/>
            </w:pPr>
            <w:r w:rsidRPr="0023167B">
              <w:rPr>
                <w:i/>
              </w:rPr>
              <w:t xml:space="preserve">Uniform Civil Procedure Rules 1999 </w:t>
            </w:r>
            <w:r w:rsidRPr="0023167B">
              <w:t>(Qld)</w:t>
            </w:r>
            <w:r>
              <w:t xml:space="preserve"> rr 171, 171(3)</w:t>
            </w:r>
            <w:bookmarkEnd w:id="3"/>
          </w:p>
        </w:tc>
      </w:tr>
      <w:tr w:rsidR="00395B24" w14:paraId="3BD1F204" w14:textId="77777777" w:rsidTr="00EB23FB">
        <w:tc>
          <w:tcPr>
            <w:tcW w:w="3084" w:type="dxa"/>
            <w:shd w:val="clear" w:color="auto" w:fill="auto"/>
          </w:tcPr>
          <w:p w14:paraId="7237D40E" w14:textId="77777777" w:rsidR="00395B24" w:rsidRDefault="00395B24" w:rsidP="00663878">
            <w:pPr>
              <w:pStyle w:val="Normal1linespace"/>
              <w:widowControl w:val="0"/>
              <w:jc w:val="left"/>
            </w:pPr>
          </w:p>
        </w:tc>
        <w:tc>
          <w:tcPr>
            <w:tcW w:w="5989" w:type="dxa"/>
            <w:shd w:val="clear" w:color="auto" w:fill="auto"/>
          </w:tcPr>
          <w:p w14:paraId="62CF0A7B" w14:textId="77777777" w:rsidR="00395B24" w:rsidRDefault="00395B24" w:rsidP="00663878">
            <w:pPr>
              <w:pStyle w:val="Normal1linespace"/>
              <w:widowControl w:val="0"/>
              <w:jc w:val="left"/>
            </w:pPr>
          </w:p>
        </w:tc>
      </w:tr>
      <w:tr w:rsidR="00395B24" w14:paraId="7A3CB2F9" w14:textId="77777777" w:rsidTr="00EB23FB">
        <w:tc>
          <w:tcPr>
            <w:tcW w:w="3084" w:type="dxa"/>
            <w:shd w:val="clear" w:color="auto" w:fill="auto"/>
          </w:tcPr>
          <w:p w14:paraId="003E5B6C" w14:textId="77777777" w:rsidR="00395B24" w:rsidRDefault="002C7385" w:rsidP="00663878">
            <w:pPr>
              <w:pStyle w:val="Normal1linespace"/>
              <w:widowControl w:val="0"/>
              <w:jc w:val="left"/>
            </w:pPr>
            <w:r>
              <w:t>Cases cited:</w:t>
            </w:r>
          </w:p>
        </w:tc>
        <w:tc>
          <w:tcPr>
            <w:tcW w:w="5989" w:type="dxa"/>
            <w:shd w:val="clear" w:color="auto" w:fill="auto"/>
          </w:tcPr>
          <w:p w14:paraId="7345FB26" w14:textId="77777777" w:rsidR="00D85E66" w:rsidRPr="00E6753D" w:rsidRDefault="00D85E66" w:rsidP="00266572">
            <w:pPr>
              <w:pStyle w:val="CasesLegislationAppealFrom"/>
              <w:spacing w:after="60"/>
            </w:pPr>
            <w:bookmarkStart w:id="4" w:name="Cases_Cited"/>
            <w:r w:rsidRPr="00266572">
              <w:rPr>
                <w:i/>
              </w:rPr>
              <w:t xml:space="preserve">Abela v Minister for Home Affairs </w:t>
            </w:r>
            <w:r w:rsidRPr="00F53AAB">
              <w:t>[2021] FCA 96</w:t>
            </w:r>
          </w:p>
          <w:p w14:paraId="5EC0D47E" w14:textId="77777777" w:rsidR="00D85E66" w:rsidRPr="00266572" w:rsidRDefault="00D85E66" w:rsidP="00266572">
            <w:pPr>
              <w:pStyle w:val="CasesLegislationAppealFrom"/>
              <w:spacing w:after="60"/>
              <w:rPr>
                <w:bCs/>
              </w:rPr>
            </w:pPr>
            <w:r w:rsidRPr="00EB23FB">
              <w:rPr>
                <w:bCs/>
                <w:i/>
                <w:shd w:val="clear" w:color="auto" w:fill="FFFFFF"/>
              </w:rPr>
              <w:t>Allianz Australia Insurance Limited v Delor Vue Apartments CTS 39788</w:t>
            </w:r>
            <w:r w:rsidRPr="00EB23FB">
              <w:rPr>
                <w:bCs/>
                <w:shd w:val="clear" w:color="auto" w:fill="FFFFFF"/>
              </w:rPr>
              <w:t> </w:t>
            </w:r>
            <w:r w:rsidRPr="00EB23FB">
              <w:rPr>
                <w:bCs/>
              </w:rPr>
              <w:t>[2021] FCAFC 121</w:t>
            </w:r>
          </w:p>
          <w:p w14:paraId="26A4DF62" w14:textId="77777777" w:rsidR="00D85E66" w:rsidRPr="00D85E66" w:rsidRDefault="00D85E66">
            <w:pPr>
              <w:pStyle w:val="CasesLegislationAppealFrom"/>
              <w:spacing w:after="60"/>
            </w:pPr>
            <w:r w:rsidRPr="00D85E66">
              <w:rPr>
                <w:i/>
              </w:rPr>
              <w:t xml:space="preserve">Allstate Life Insurance Co v Australia &amp; New Zealand </w:t>
            </w:r>
            <w:r w:rsidRPr="00D85E66">
              <w:rPr>
                <w:i/>
              </w:rPr>
              <w:lastRenderedPageBreak/>
              <w:t xml:space="preserve">Banking Group Ltd </w:t>
            </w:r>
            <w:r w:rsidRPr="00D85E66">
              <w:t>[1994] FCA 636; (1994) 217 ALR 226</w:t>
            </w:r>
          </w:p>
          <w:p w14:paraId="1E1A84E0" w14:textId="77777777" w:rsidR="00D85E66" w:rsidRPr="00D85E66" w:rsidRDefault="00D85E66">
            <w:pPr>
              <w:pStyle w:val="CasesLegislationAppealFrom"/>
              <w:spacing w:after="60"/>
            </w:pPr>
            <w:r w:rsidRPr="00D85E66">
              <w:rPr>
                <w:i/>
              </w:rPr>
              <w:t>Australian Competition and Consumer Commission</w:t>
            </w:r>
            <w:r w:rsidRPr="00D85E66" w:rsidDel="00D77714">
              <w:rPr>
                <w:i/>
              </w:rPr>
              <w:t xml:space="preserve"> </w:t>
            </w:r>
            <w:r w:rsidRPr="00D85E66">
              <w:rPr>
                <w:i/>
              </w:rPr>
              <w:t xml:space="preserve">v Air New Zealand Ltd </w:t>
            </w:r>
            <w:r w:rsidRPr="00D85E66">
              <w:t>[2014] FCA 1157; (2014) 319 ALR 388</w:t>
            </w:r>
          </w:p>
          <w:p w14:paraId="7A6849C8" w14:textId="77777777" w:rsidR="00D85E66" w:rsidRPr="00D85E66" w:rsidRDefault="00D85E66">
            <w:pPr>
              <w:pStyle w:val="CasesLegislationAppealFrom"/>
              <w:spacing w:after="60"/>
            </w:pPr>
            <w:r w:rsidRPr="00D85E66">
              <w:rPr>
                <w:i/>
              </w:rPr>
              <w:t xml:space="preserve">Australian Competition and Consumer Commission v Cascade Coal Pty Ltd (No 3) </w:t>
            </w:r>
            <w:r w:rsidRPr="00D85E66">
              <w:t>[2018] FCA 1019</w:t>
            </w:r>
          </w:p>
          <w:p w14:paraId="0DE377A5" w14:textId="77777777" w:rsidR="00D85E66" w:rsidRPr="00D85E66" w:rsidRDefault="00D85E66">
            <w:pPr>
              <w:pStyle w:val="CasesLegislationAppealFrom"/>
              <w:spacing w:after="60"/>
              <w:rPr>
                <w:szCs w:val="24"/>
              </w:rPr>
            </w:pPr>
            <w:r w:rsidRPr="00D85E66">
              <w:rPr>
                <w:i/>
                <w:szCs w:val="24"/>
              </w:rPr>
              <w:t xml:space="preserve">Australian Competition and Consumer Commission v Colgate Palm-Olive Pty Ltd (No 4) </w:t>
            </w:r>
            <w:r w:rsidRPr="00D85E66">
              <w:rPr>
                <w:szCs w:val="24"/>
              </w:rPr>
              <w:t>[2017] FCA 1590; (2017) 353 ALR 460</w:t>
            </w:r>
          </w:p>
          <w:p w14:paraId="6A719D53" w14:textId="77777777" w:rsidR="00D85E66" w:rsidRPr="00D85E66" w:rsidRDefault="00D85E66">
            <w:pPr>
              <w:pStyle w:val="CasesLegislationAppealFrom"/>
              <w:spacing w:after="60"/>
            </w:pPr>
            <w:r w:rsidRPr="00D85E66">
              <w:rPr>
                <w:i/>
              </w:rPr>
              <w:t xml:space="preserve">Australian Competition and Consumer Commission v Leahy Petroleum Pty Ltd </w:t>
            </w:r>
            <w:r w:rsidRPr="00D85E66">
              <w:t>[2007] FCA 794; (2007) 160 FCR 321</w:t>
            </w:r>
          </w:p>
          <w:p w14:paraId="23AD75AF" w14:textId="77777777" w:rsidR="00D85E66" w:rsidRPr="00D85E66" w:rsidRDefault="00D85E66">
            <w:pPr>
              <w:pStyle w:val="CasesLegislationAppealFrom"/>
              <w:spacing w:after="60"/>
            </w:pPr>
            <w:r w:rsidRPr="00D85E66">
              <w:rPr>
                <w:i/>
              </w:rPr>
              <w:t>Australian Competition and Consumer Commission v Renegade Gas Pty Ltd</w:t>
            </w:r>
            <w:r w:rsidRPr="00D85E66">
              <w:t xml:space="preserve"> [2014] FCA 1135</w:t>
            </w:r>
          </w:p>
          <w:p w14:paraId="50889011" w14:textId="77777777" w:rsidR="00D85E66" w:rsidRPr="00D85E66" w:rsidRDefault="00D85E66">
            <w:pPr>
              <w:pStyle w:val="CasesLegislationAppealFrom"/>
              <w:spacing w:after="60"/>
            </w:pPr>
            <w:r w:rsidRPr="00D85E66">
              <w:rPr>
                <w:i/>
              </w:rPr>
              <w:t>Australian Competition and Consumer Commission</w:t>
            </w:r>
            <w:r w:rsidRPr="00D85E66">
              <w:t xml:space="preserve"> </w:t>
            </w:r>
            <w:r w:rsidRPr="00D85E66">
              <w:rPr>
                <w:i/>
              </w:rPr>
              <w:t>v Yazaki</w:t>
            </w:r>
            <w:r w:rsidRPr="00D85E66">
              <w:t xml:space="preserve"> </w:t>
            </w:r>
            <w:r w:rsidRPr="00D85E66">
              <w:rPr>
                <w:i/>
              </w:rPr>
              <w:t xml:space="preserve">Corporation </w:t>
            </w:r>
            <w:r w:rsidRPr="00D85E66">
              <w:t>[2018] FCAFC 73; (2018) 262 FCR 243</w:t>
            </w:r>
          </w:p>
          <w:p w14:paraId="220BBFAF" w14:textId="77777777" w:rsidR="00D85E66" w:rsidRPr="00D85E66" w:rsidRDefault="00D85E66">
            <w:pPr>
              <w:pStyle w:val="CasesLegislationAppealFrom"/>
              <w:spacing w:after="60"/>
            </w:pPr>
            <w:r w:rsidRPr="00D85E66">
              <w:rPr>
                <w:i/>
              </w:rPr>
              <w:t>Australian Competition and Consumer Commission v Yazaki Corporation (No 2)</w:t>
            </w:r>
            <w:r w:rsidRPr="00D85E66">
              <w:rPr>
                <w:i/>
                <w:spacing w:val="-30"/>
              </w:rPr>
              <w:t xml:space="preserve"> </w:t>
            </w:r>
            <w:r w:rsidRPr="00D85E66">
              <w:t>[2015] FCA 1304; (2015) 332 ALR 396</w:t>
            </w:r>
          </w:p>
          <w:p w14:paraId="37C55871" w14:textId="77777777" w:rsidR="00D85E66" w:rsidRPr="00266572" w:rsidRDefault="00D85E66">
            <w:pPr>
              <w:pStyle w:val="CasesLegislationAppealFrom"/>
              <w:spacing w:after="60"/>
            </w:pPr>
            <w:r w:rsidRPr="00EB23FB">
              <w:rPr>
                <w:i/>
                <w:iCs/>
              </w:rPr>
              <w:t>Barclay Mowlem Construction Ltd v Dampier Port Authority</w:t>
            </w:r>
            <w:r w:rsidRPr="00EB23FB">
              <w:t> [2006] WASC 281; (2006) 33 WAR 82</w:t>
            </w:r>
          </w:p>
          <w:p w14:paraId="28DEC5E9" w14:textId="77777777" w:rsidR="00D85E66" w:rsidRPr="00D85E66" w:rsidRDefault="00D85E66">
            <w:pPr>
              <w:pStyle w:val="CasesLegislationAppealFrom"/>
              <w:spacing w:after="60"/>
              <w:rPr>
                <w:shd w:val="clear" w:color="auto" w:fill="FFFFFF"/>
              </w:rPr>
            </w:pPr>
            <w:r w:rsidRPr="00D85E66">
              <w:rPr>
                <w:i/>
                <w:szCs w:val="24"/>
              </w:rPr>
              <w:t xml:space="preserve">Bartlett v Swan Television and Radio Broadcasters Pty Ltd </w:t>
            </w:r>
            <w:r w:rsidRPr="00D85E66">
              <w:rPr>
                <w:shd w:val="clear" w:color="auto" w:fill="FFFFFF"/>
              </w:rPr>
              <w:t>[1995] ATPR 41-434</w:t>
            </w:r>
          </w:p>
          <w:p w14:paraId="055B53D7" w14:textId="77777777" w:rsidR="00D85E66" w:rsidRPr="00D85E66" w:rsidRDefault="00D85E66">
            <w:pPr>
              <w:pStyle w:val="CasesLegislationAppealFrom"/>
              <w:spacing w:after="60"/>
            </w:pPr>
            <w:r w:rsidRPr="00D85E66">
              <w:rPr>
                <w:i/>
              </w:rPr>
              <w:t xml:space="preserve">Batistatos v Roads &amp; Traffic Authority of New South Wales </w:t>
            </w:r>
            <w:r w:rsidRPr="00D85E66">
              <w:t xml:space="preserve">[2006] HCA 27; (2006) </w:t>
            </w:r>
            <w:r w:rsidRPr="00D85E66">
              <w:rPr>
                <w:rFonts w:cs="Calibri"/>
                <w:szCs w:val="24"/>
                <w:lang w:val="en-US"/>
              </w:rPr>
              <w:t>226 CLR 256</w:t>
            </w:r>
            <w:r w:rsidRPr="00D85E66" w:rsidDel="00206EAB">
              <w:t xml:space="preserve">   </w:t>
            </w:r>
          </w:p>
          <w:p w14:paraId="1BAC0A91" w14:textId="77777777" w:rsidR="00D85E66" w:rsidRPr="00D85E66" w:rsidRDefault="00D85E66">
            <w:pPr>
              <w:pStyle w:val="CasesLegislationAppealFrom"/>
              <w:spacing w:after="60"/>
              <w:rPr>
                <w:bCs/>
                <w:shd w:val="clear" w:color="auto" w:fill="FFFFFF"/>
              </w:rPr>
            </w:pPr>
            <w:r w:rsidRPr="00D85E66">
              <w:rPr>
                <w:bCs/>
                <w:i/>
                <w:shd w:val="clear" w:color="auto" w:fill="FFFFFF"/>
              </w:rPr>
              <w:t>BHP Group Ltd v Impiombato</w:t>
            </w:r>
            <w:r w:rsidRPr="00D85E66">
              <w:rPr>
                <w:bCs/>
                <w:shd w:val="clear" w:color="auto" w:fill="FFFFFF"/>
              </w:rPr>
              <w:t xml:space="preserve"> [2021] FCAFC 93</w:t>
            </w:r>
          </w:p>
          <w:p w14:paraId="321E1DA4" w14:textId="77777777" w:rsidR="00D85E66" w:rsidRPr="00D85E66" w:rsidRDefault="00D85E66">
            <w:pPr>
              <w:pStyle w:val="CasesLegislationAppealFrom"/>
              <w:spacing w:after="60"/>
              <w:rPr>
                <w:lang w:val="en"/>
              </w:rPr>
            </w:pPr>
            <w:r w:rsidRPr="00D85E66">
              <w:rPr>
                <w:i/>
                <w:lang w:val="en"/>
              </w:rPr>
              <w:t>Chandrasekaran v Commonwealth of Australia (No 3)</w:t>
            </w:r>
            <w:r w:rsidRPr="00D85E66">
              <w:rPr>
                <w:lang w:val="en"/>
              </w:rPr>
              <w:t xml:space="preserve"> [2020] FCA 1629</w:t>
            </w:r>
          </w:p>
          <w:p w14:paraId="4863E290" w14:textId="77777777" w:rsidR="00D85E66" w:rsidRPr="00D85E66" w:rsidRDefault="00D85E66">
            <w:pPr>
              <w:pStyle w:val="CasesLegislationAppealFrom"/>
              <w:spacing w:after="60"/>
              <w:rPr>
                <w:szCs w:val="24"/>
              </w:rPr>
            </w:pPr>
            <w:r w:rsidRPr="00D85E66">
              <w:rPr>
                <w:i/>
                <w:szCs w:val="24"/>
              </w:rPr>
              <w:t>Charlie</w:t>
            </w:r>
            <w:r w:rsidRPr="00D85E66">
              <w:rPr>
                <w:i/>
                <w:spacing w:val="-11"/>
                <w:szCs w:val="24"/>
              </w:rPr>
              <w:t xml:space="preserve"> </w:t>
            </w:r>
            <w:r w:rsidRPr="00D85E66">
              <w:rPr>
                <w:i/>
                <w:szCs w:val="24"/>
              </w:rPr>
              <w:t>Carter</w:t>
            </w:r>
            <w:r w:rsidRPr="00D85E66">
              <w:rPr>
                <w:i/>
                <w:spacing w:val="-8"/>
                <w:szCs w:val="24"/>
              </w:rPr>
              <w:t xml:space="preserve"> </w:t>
            </w:r>
            <w:r w:rsidRPr="00D85E66">
              <w:rPr>
                <w:i/>
                <w:szCs w:val="24"/>
              </w:rPr>
              <w:t>Pty</w:t>
            </w:r>
            <w:r w:rsidRPr="00D85E66">
              <w:rPr>
                <w:i/>
                <w:spacing w:val="-9"/>
                <w:szCs w:val="24"/>
              </w:rPr>
              <w:t xml:space="preserve"> </w:t>
            </w:r>
            <w:r w:rsidRPr="00D85E66">
              <w:rPr>
                <w:i/>
                <w:szCs w:val="24"/>
              </w:rPr>
              <w:t>Ltd</w:t>
            </w:r>
            <w:r w:rsidRPr="00D85E66">
              <w:rPr>
                <w:i/>
                <w:spacing w:val="-10"/>
                <w:szCs w:val="24"/>
              </w:rPr>
              <w:t xml:space="preserve"> </w:t>
            </w:r>
            <w:r w:rsidRPr="00D85E66">
              <w:rPr>
                <w:i/>
                <w:szCs w:val="24"/>
              </w:rPr>
              <w:t>v</w:t>
            </w:r>
            <w:r w:rsidRPr="00D85E66">
              <w:rPr>
                <w:i/>
                <w:spacing w:val="-10"/>
                <w:szCs w:val="24"/>
              </w:rPr>
              <w:t xml:space="preserve"> </w:t>
            </w:r>
            <w:r w:rsidRPr="00D85E66">
              <w:rPr>
                <w:i/>
                <w:szCs w:val="24"/>
              </w:rPr>
              <w:t>The</w:t>
            </w:r>
            <w:r w:rsidRPr="00D85E66">
              <w:rPr>
                <w:i/>
                <w:spacing w:val="-7"/>
                <w:szCs w:val="24"/>
              </w:rPr>
              <w:t xml:space="preserve"> </w:t>
            </w:r>
            <w:r w:rsidRPr="00D85E66">
              <w:rPr>
                <w:i/>
                <w:szCs w:val="24"/>
              </w:rPr>
              <w:t>Shop,</w:t>
            </w:r>
            <w:r w:rsidRPr="00D85E66">
              <w:rPr>
                <w:i/>
                <w:spacing w:val="-10"/>
                <w:szCs w:val="24"/>
              </w:rPr>
              <w:t xml:space="preserve"> </w:t>
            </w:r>
            <w:r w:rsidRPr="00D85E66">
              <w:rPr>
                <w:i/>
                <w:szCs w:val="24"/>
              </w:rPr>
              <w:t>Distributive</w:t>
            </w:r>
            <w:r w:rsidRPr="00D85E66">
              <w:rPr>
                <w:i/>
                <w:spacing w:val="-10"/>
                <w:szCs w:val="24"/>
              </w:rPr>
              <w:t xml:space="preserve"> </w:t>
            </w:r>
            <w:r w:rsidRPr="00D85E66">
              <w:rPr>
                <w:i/>
                <w:szCs w:val="24"/>
              </w:rPr>
              <w:t>and</w:t>
            </w:r>
            <w:r w:rsidRPr="00D85E66">
              <w:rPr>
                <w:i/>
                <w:spacing w:val="-11"/>
                <w:szCs w:val="24"/>
              </w:rPr>
              <w:t xml:space="preserve"> </w:t>
            </w:r>
            <w:r w:rsidRPr="00D85E66">
              <w:rPr>
                <w:i/>
                <w:szCs w:val="24"/>
              </w:rPr>
              <w:t>Allied</w:t>
            </w:r>
            <w:r w:rsidRPr="00D85E66">
              <w:rPr>
                <w:i/>
                <w:spacing w:val="-10"/>
                <w:szCs w:val="24"/>
              </w:rPr>
              <w:t xml:space="preserve"> </w:t>
            </w:r>
            <w:r w:rsidRPr="00D85E66">
              <w:rPr>
                <w:i/>
                <w:szCs w:val="24"/>
              </w:rPr>
              <w:t>Employees’</w:t>
            </w:r>
            <w:r w:rsidRPr="00D85E66">
              <w:rPr>
                <w:i/>
                <w:spacing w:val="-9"/>
                <w:szCs w:val="24"/>
              </w:rPr>
              <w:t xml:space="preserve"> </w:t>
            </w:r>
            <w:r w:rsidRPr="00D85E66">
              <w:rPr>
                <w:i/>
                <w:szCs w:val="24"/>
              </w:rPr>
              <w:t>Association</w:t>
            </w:r>
            <w:r w:rsidRPr="00D85E66">
              <w:rPr>
                <w:i/>
                <w:spacing w:val="-7"/>
                <w:szCs w:val="24"/>
              </w:rPr>
              <w:t xml:space="preserve"> </w:t>
            </w:r>
            <w:r w:rsidRPr="00D85E66">
              <w:rPr>
                <w:i/>
                <w:szCs w:val="24"/>
              </w:rPr>
              <w:t>of</w:t>
            </w:r>
            <w:r w:rsidRPr="00D85E66">
              <w:rPr>
                <w:i/>
                <w:spacing w:val="-11"/>
                <w:szCs w:val="24"/>
              </w:rPr>
              <w:t xml:space="preserve"> </w:t>
            </w:r>
            <w:r w:rsidRPr="00D85E66">
              <w:rPr>
                <w:i/>
                <w:szCs w:val="24"/>
              </w:rPr>
              <w:t>Western</w:t>
            </w:r>
            <w:r w:rsidRPr="00D85E66">
              <w:rPr>
                <w:i/>
                <w:spacing w:val="-7"/>
                <w:szCs w:val="24"/>
              </w:rPr>
              <w:t xml:space="preserve"> </w:t>
            </w:r>
            <w:r w:rsidRPr="00D85E66">
              <w:rPr>
                <w:i/>
                <w:szCs w:val="24"/>
              </w:rPr>
              <w:t>Australia</w:t>
            </w:r>
            <w:r w:rsidRPr="00D85E66">
              <w:rPr>
                <w:i/>
                <w:spacing w:val="-10"/>
                <w:szCs w:val="24"/>
              </w:rPr>
              <w:t xml:space="preserve"> </w:t>
            </w:r>
            <w:r w:rsidRPr="00D85E66">
              <w:rPr>
                <w:szCs w:val="24"/>
              </w:rPr>
              <w:t>(1987) 13 FCR 413</w:t>
            </w:r>
          </w:p>
          <w:p w14:paraId="3AF77AD1" w14:textId="77777777" w:rsidR="00D85E66" w:rsidRPr="00D85E66" w:rsidRDefault="00D85E66">
            <w:pPr>
              <w:pStyle w:val="CasesLegislationAppealFrom"/>
              <w:spacing w:after="60"/>
            </w:pPr>
            <w:r w:rsidRPr="00D85E66">
              <w:rPr>
                <w:i/>
              </w:rPr>
              <w:t>Communications, Electrical, Electronic, Energy, Information, Postal, Plumbing and Allied Services Union v Stanwell Corporation Ltd (No 3)</w:t>
            </w:r>
            <w:r w:rsidRPr="00D85E66">
              <w:t xml:space="preserve"> [2014] FCA 1324</w:t>
            </w:r>
          </w:p>
          <w:p w14:paraId="432F68DC" w14:textId="77777777" w:rsidR="00D85E66" w:rsidRPr="00D85E66" w:rsidRDefault="00D85E66">
            <w:pPr>
              <w:pStyle w:val="CasesLegislationAppealFrom"/>
              <w:spacing w:after="60"/>
              <w:rPr>
                <w:lang w:val="en"/>
              </w:rPr>
            </w:pPr>
            <w:r w:rsidRPr="00D85E66">
              <w:rPr>
                <w:i/>
                <w:lang w:val="en"/>
              </w:rPr>
              <w:t>Fair Work Ombudsman v Eastern Colour Pty Ltd</w:t>
            </w:r>
            <w:r w:rsidRPr="00D85E66">
              <w:rPr>
                <w:lang w:val="en"/>
              </w:rPr>
              <w:t xml:space="preserve"> </w:t>
            </w:r>
            <w:r w:rsidRPr="00D85E66">
              <w:t>[2011] FCA 803</w:t>
            </w:r>
            <w:r w:rsidRPr="00D85E66">
              <w:rPr>
                <w:lang w:val="en"/>
              </w:rPr>
              <w:t>; (2019) 209 IR 263</w:t>
            </w:r>
          </w:p>
          <w:p w14:paraId="0CD69DF6" w14:textId="77777777" w:rsidR="00D85E66" w:rsidRPr="00D85E66" w:rsidRDefault="00D85E66">
            <w:pPr>
              <w:pStyle w:val="CasesLegislationAppealFrom"/>
              <w:spacing w:after="60"/>
            </w:pPr>
            <w:r w:rsidRPr="00D85E66">
              <w:rPr>
                <w:bCs/>
                <w:i/>
                <w:shd w:val="clear" w:color="auto" w:fill="FFFFFF"/>
              </w:rPr>
              <w:t>Faruqi v Latham</w:t>
            </w:r>
            <w:r w:rsidRPr="00D85E66">
              <w:rPr>
                <w:bCs/>
                <w:shd w:val="clear" w:color="auto" w:fill="FFFFFF"/>
              </w:rPr>
              <w:t> </w:t>
            </w:r>
            <w:r w:rsidRPr="00D85E66">
              <w:t>[2018] FCA 1328</w:t>
            </w:r>
          </w:p>
          <w:p w14:paraId="20769846" w14:textId="77777777" w:rsidR="00D85E66" w:rsidRPr="00D85E66" w:rsidRDefault="00D85E66">
            <w:pPr>
              <w:pStyle w:val="CasesLegislationAppealFrom"/>
              <w:spacing w:after="60"/>
              <w:rPr>
                <w:szCs w:val="24"/>
              </w:rPr>
            </w:pPr>
            <w:r w:rsidRPr="00D85E66">
              <w:rPr>
                <w:i/>
                <w:szCs w:val="24"/>
              </w:rPr>
              <w:t>Forrest</w:t>
            </w:r>
            <w:r w:rsidRPr="00D85E66">
              <w:rPr>
                <w:i/>
                <w:spacing w:val="-10"/>
                <w:szCs w:val="24"/>
              </w:rPr>
              <w:t xml:space="preserve"> </w:t>
            </w:r>
            <w:r w:rsidRPr="00D85E66">
              <w:rPr>
                <w:i/>
                <w:szCs w:val="24"/>
              </w:rPr>
              <w:t>v</w:t>
            </w:r>
            <w:r w:rsidRPr="00D85E66">
              <w:rPr>
                <w:i/>
                <w:spacing w:val="-11"/>
                <w:szCs w:val="24"/>
              </w:rPr>
              <w:t xml:space="preserve"> </w:t>
            </w:r>
            <w:r w:rsidRPr="00D85E66">
              <w:rPr>
                <w:i/>
                <w:szCs w:val="24"/>
              </w:rPr>
              <w:t>Australian</w:t>
            </w:r>
            <w:r w:rsidRPr="00D85E66">
              <w:rPr>
                <w:i/>
                <w:spacing w:val="-10"/>
                <w:szCs w:val="24"/>
              </w:rPr>
              <w:t xml:space="preserve"> </w:t>
            </w:r>
            <w:r w:rsidRPr="00D85E66">
              <w:rPr>
                <w:i/>
                <w:szCs w:val="24"/>
              </w:rPr>
              <w:t>Securities</w:t>
            </w:r>
            <w:r w:rsidRPr="00D85E66">
              <w:rPr>
                <w:i/>
                <w:spacing w:val="-11"/>
                <w:szCs w:val="24"/>
              </w:rPr>
              <w:t xml:space="preserve"> </w:t>
            </w:r>
            <w:r w:rsidRPr="00D85E66">
              <w:rPr>
                <w:i/>
                <w:szCs w:val="24"/>
              </w:rPr>
              <w:t>and</w:t>
            </w:r>
            <w:r w:rsidRPr="00D85E66">
              <w:rPr>
                <w:i/>
                <w:spacing w:val="-11"/>
                <w:szCs w:val="24"/>
              </w:rPr>
              <w:t xml:space="preserve"> </w:t>
            </w:r>
            <w:r w:rsidRPr="00D85E66">
              <w:rPr>
                <w:i/>
                <w:szCs w:val="24"/>
              </w:rPr>
              <w:t>Investments</w:t>
            </w:r>
            <w:r w:rsidRPr="00D85E66">
              <w:rPr>
                <w:i/>
                <w:spacing w:val="-10"/>
                <w:szCs w:val="24"/>
              </w:rPr>
              <w:t xml:space="preserve"> </w:t>
            </w:r>
            <w:r w:rsidRPr="00D85E66">
              <w:rPr>
                <w:i/>
                <w:szCs w:val="24"/>
              </w:rPr>
              <w:t>Commission</w:t>
            </w:r>
            <w:r w:rsidRPr="00D85E66">
              <w:rPr>
                <w:i/>
                <w:spacing w:val="-11"/>
                <w:szCs w:val="24"/>
              </w:rPr>
              <w:t xml:space="preserve"> </w:t>
            </w:r>
            <w:r w:rsidRPr="00D85E66">
              <w:rPr>
                <w:szCs w:val="24"/>
              </w:rPr>
              <w:t>[2012]</w:t>
            </w:r>
            <w:r w:rsidRPr="00D85E66">
              <w:rPr>
                <w:spacing w:val="-11"/>
                <w:szCs w:val="24"/>
              </w:rPr>
              <w:t xml:space="preserve"> </w:t>
            </w:r>
            <w:r w:rsidRPr="00D85E66">
              <w:rPr>
                <w:szCs w:val="24"/>
              </w:rPr>
              <w:t>HCA 39; (2012) 247 CLR 486</w:t>
            </w:r>
          </w:p>
          <w:p w14:paraId="00BC67DC" w14:textId="77777777" w:rsidR="00D85E66" w:rsidRPr="00D85E66" w:rsidRDefault="00D85E66">
            <w:pPr>
              <w:pStyle w:val="CasesLegislationAppealFrom"/>
              <w:spacing w:after="60"/>
              <w:rPr>
                <w:lang w:val="en"/>
              </w:rPr>
            </w:pPr>
            <w:r w:rsidRPr="00D85E66">
              <w:rPr>
                <w:bCs/>
                <w:i/>
                <w:iCs/>
                <w:lang w:val="en"/>
              </w:rPr>
              <w:t>Fuller v Toms</w:t>
            </w:r>
            <w:r w:rsidRPr="00D85E66">
              <w:rPr>
                <w:lang w:val="en"/>
              </w:rPr>
              <w:t xml:space="preserve"> [2012] FCA 27; (2012) 247 FCR 440</w:t>
            </w:r>
          </w:p>
          <w:p w14:paraId="56E91FC3" w14:textId="77777777" w:rsidR="00D85E66" w:rsidRPr="00D85E66" w:rsidRDefault="00D85E66">
            <w:pPr>
              <w:pStyle w:val="CasesLegislationAppealFrom"/>
              <w:spacing w:after="60"/>
              <w:rPr>
                <w:bCs/>
                <w:szCs w:val="24"/>
              </w:rPr>
            </w:pPr>
            <w:r w:rsidRPr="00D85E66">
              <w:rPr>
                <w:bCs/>
                <w:i/>
                <w:shd w:val="clear" w:color="auto" w:fill="FFFFFF"/>
              </w:rPr>
              <w:t>Gall v Domino’s Pizza Enterprises Ltd (No 2)</w:t>
            </w:r>
            <w:r w:rsidRPr="00D85E66">
              <w:rPr>
                <w:bCs/>
                <w:shd w:val="clear" w:color="auto" w:fill="FFFFFF"/>
              </w:rPr>
              <w:t> </w:t>
            </w:r>
            <w:r w:rsidRPr="00D85E66">
              <w:t>[2021] FCA 345</w:t>
            </w:r>
            <w:r w:rsidRPr="00D85E66">
              <w:rPr>
                <w:bCs/>
                <w:szCs w:val="24"/>
              </w:rPr>
              <w:t>; (2021) 304 IR 300</w:t>
            </w:r>
          </w:p>
          <w:p w14:paraId="48746890" w14:textId="77777777" w:rsidR="00D85E66" w:rsidRPr="00D85E66" w:rsidRDefault="00D85E66">
            <w:pPr>
              <w:pStyle w:val="CasesLegislationAppealFrom"/>
              <w:spacing w:after="60"/>
              <w:rPr>
                <w:szCs w:val="24"/>
                <w:shd w:val="clear" w:color="auto" w:fill="FFFFFF"/>
              </w:rPr>
            </w:pPr>
            <w:r w:rsidRPr="00E9506F">
              <w:rPr>
                <w:i/>
                <w:iCs/>
                <w:szCs w:val="24"/>
                <w:shd w:val="clear" w:color="auto" w:fill="FFFFFF"/>
              </w:rPr>
              <w:t xml:space="preserve">Imobilari Pty Ltd v </w:t>
            </w:r>
            <w:r w:rsidRPr="00D85E66">
              <w:rPr>
                <w:i/>
                <w:iCs/>
                <w:szCs w:val="24"/>
                <w:shd w:val="clear" w:color="auto" w:fill="FFFFFF"/>
              </w:rPr>
              <w:t>Opes Prime Stockbroking Ltd </w:t>
            </w:r>
            <w:r w:rsidRPr="00D85E66">
              <w:t>[2008] FCA 1920</w:t>
            </w:r>
            <w:r w:rsidRPr="00D85E66">
              <w:rPr>
                <w:szCs w:val="24"/>
                <w:shd w:val="clear" w:color="auto" w:fill="FFFFFF"/>
              </w:rPr>
              <w:t>; </w:t>
            </w:r>
            <w:r w:rsidRPr="00D85E66">
              <w:t>(2008) 252 ALR 41</w:t>
            </w:r>
            <w:r w:rsidRPr="00D85E66">
              <w:rPr>
                <w:szCs w:val="24"/>
                <w:shd w:val="clear" w:color="auto" w:fill="FFFFFF"/>
              </w:rPr>
              <w:t> </w:t>
            </w:r>
          </w:p>
          <w:p w14:paraId="34DC30C2" w14:textId="77777777" w:rsidR="00D85E66" w:rsidRPr="00D85E66" w:rsidRDefault="00D85E66">
            <w:pPr>
              <w:pStyle w:val="CasesLegislationAppealFrom"/>
              <w:spacing w:after="60"/>
            </w:pPr>
            <w:r w:rsidRPr="00D85E66">
              <w:rPr>
                <w:bCs/>
                <w:i/>
                <w:shd w:val="clear" w:color="auto" w:fill="FFFFFF"/>
              </w:rPr>
              <w:t>Impiombato v BHP Group Ltd (No 2) </w:t>
            </w:r>
            <w:r w:rsidRPr="00D85E66">
              <w:t>[2020] FCA 1720</w:t>
            </w:r>
          </w:p>
          <w:p w14:paraId="7E475126" w14:textId="77777777" w:rsidR="00D85E66" w:rsidRPr="008B590E" w:rsidRDefault="00D85E66">
            <w:pPr>
              <w:pStyle w:val="CasesLegislationAppealFrom"/>
              <w:spacing w:after="60"/>
              <w:rPr>
                <w:szCs w:val="24"/>
                <w:shd w:val="clear" w:color="auto" w:fill="FFFFFF"/>
              </w:rPr>
            </w:pPr>
            <w:r w:rsidRPr="008B590E">
              <w:rPr>
                <w:i/>
                <w:szCs w:val="24"/>
                <w:shd w:val="clear" w:color="auto" w:fill="FFFFFF"/>
              </w:rPr>
              <w:lastRenderedPageBreak/>
              <w:t xml:space="preserve">Kernel Holdings Pty Ltd v Rothmans of Pall Mall (Australia) Pty Ltd </w:t>
            </w:r>
            <w:r w:rsidRPr="008B590E">
              <w:rPr>
                <w:szCs w:val="24"/>
                <w:shd w:val="clear" w:color="auto" w:fill="FFFFFF"/>
              </w:rPr>
              <w:t>[1991] FCA 557; (1991) 217 ALR 171</w:t>
            </w:r>
          </w:p>
          <w:p w14:paraId="1101145F" w14:textId="77777777" w:rsidR="00D85E66" w:rsidRPr="00D85E66" w:rsidRDefault="00D85E66">
            <w:pPr>
              <w:pStyle w:val="CasesLegislationAppealFrom"/>
              <w:spacing w:after="60"/>
              <w:rPr>
                <w:lang w:val="en"/>
              </w:rPr>
            </w:pPr>
            <w:r w:rsidRPr="00D85E66">
              <w:rPr>
                <w:i/>
                <w:lang w:val="en"/>
              </w:rPr>
              <w:t xml:space="preserve">Meckiff v Simpson </w:t>
            </w:r>
            <w:r w:rsidRPr="00D85E66">
              <w:rPr>
                <w:lang w:val="en"/>
              </w:rPr>
              <w:t>[1968] VR 62</w:t>
            </w:r>
          </w:p>
          <w:p w14:paraId="717733D6" w14:textId="77777777" w:rsidR="00D85E66" w:rsidRPr="00D85E66" w:rsidRDefault="00D85E66">
            <w:pPr>
              <w:pStyle w:val="CasesLegislationAppealFrom"/>
              <w:spacing w:after="60"/>
            </w:pPr>
            <w:r w:rsidRPr="00D85E66">
              <w:rPr>
                <w:i/>
              </w:rPr>
              <w:t xml:space="preserve">Parbery &amp; Ors v QNI Metals Pty Ltd &amp; Ors </w:t>
            </w:r>
            <w:r w:rsidRPr="00D85E66">
              <w:t>[2018] QSC 240</w:t>
            </w:r>
          </w:p>
          <w:p w14:paraId="050C82D8" w14:textId="77777777" w:rsidR="00D85E66" w:rsidRPr="00D85E66" w:rsidRDefault="00D85E66">
            <w:pPr>
              <w:pStyle w:val="CasesLegislationAppealFrom"/>
              <w:spacing w:after="60"/>
              <w:rPr>
                <w:szCs w:val="24"/>
              </w:rPr>
            </w:pPr>
            <w:r w:rsidRPr="00D85E66">
              <w:rPr>
                <w:i/>
                <w:szCs w:val="24"/>
              </w:rPr>
              <w:t xml:space="preserve">Pharm-a-Care Laboratories Pty Ltd v Commonwealth (No 3) </w:t>
            </w:r>
            <w:r w:rsidRPr="00D85E66">
              <w:rPr>
                <w:szCs w:val="24"/>
              </w:rPr>
              <w:t>[2010] FCA 361; (2010) 267 ALR 494</w:t>
            </w:r>
          </w:p>
          <w:p w14:paraId="4C0453BD" w14:textId="77777777" w:rsidR="00D85E66" w:rsidRPr="00D85E66" w:rsidRDefault="00D85E66">
            <w:pPr>
              <w:pStyle w:val="CasesLegislationAppealFrom"/>
              <w:spacing w:after="60"/>
              <w:rPr>
                <w:szCs w:val="24"/>
              </w:rPr>
            </w:pPr>
            <w:r w:rsidRPr="00D85E66">
              <w:rPr>
                <w:i/>
                <w:szCs w:val="24"/>
              </w:rPr>
              <w:t xml:space="preserve">Plaintiff M83A-2019 v Morrison (No 2) </w:t>
            </w:r>
            <w:r w:rsidRPr="00D85E66">
              <w:rPr>
                <w:szCs w:val="24"/>
              </w:rPr>
              <w:t>[2020] FCA 1198</w:t>
            </w:r>
          </w:p>
          <w:p w14:paraId="5D0D4722" w14:textId="77777777" w:rsidR="00D85E66" w:rsidRPr="00D85E66" w:rsidRDefault="00D85E66">
            <w:pPr>
              <w:pStyle w:val="CasesLegislationAppealFrom"/>
              <w:spacing w:after="60"/>
            </w:pPr>
            <w:r w:rsidRPr="00D85E66">
              <w:rPr>
                <w:i/>
              </w:rPr>
              <w:t xml:space="preserve">Polar Aviation Pty Ltd v Civil Aviation Safety Authority </w:t>
            </w:r>
            <w:r w:rsidRPr="00D85E66">
              <w:t>[2012] FCAFC 97; (2012) 203 FCR 32</w:t>
            </w:r>
          </w:p>
          <w:p w14:paraId="616EDC82" w14:textId="77777777" w:rsidR="00D85E66" w:rsidRPr="00C21661" w:rsidRDefault="00D85E66" w:rsidP="00D85E66">
            <w:pPr>
              <w:pStyle w:val="CasesLegislationAppealFrom"/>
              <w:spacing w:after="60"/>
            </w:pPr>
            <w:r w:rsidRPr="008B590E">
              <w:rPr>
                <w:i/>
                <w:iCs/>
                <w:shd w:val="clear" w:color="auto" w:fill="FFFFFF"/>
              </w:rPr>
              <w:t xml:space="preserve">Sabapathy v Jetstar Airways </w:t>
            </w:r>
            <w:r w:rsidRPr="008B590E">
              <w:rPr>
                <w:iCs/>
                <w:shd w:val="clear" w:color="auto" w:fill="FFFFFF"/>
              </w:rPr>
              <w:t>[2021] FCAFC 25</w:t>
            </w:r>
          </w:p>
          <w:p w14:paraId="750E5C69" w14:textId="77777777" w:rsidR="00D85E66" w:rsidRPr="00D85E66" w:rsidRDefault="00D85E66" w:rsidP="00266572">
            <w:pPr>
              <w:pStyle w:val="CasesLegislationAppealFrom"/>
              <w:spacing w:after="60"/>
              <w:rPr>
                <w:szCs w:val="24"/>
              </w:rPr>
            </w:pPr>
            <w:r w:rsidRPr="00266572">
              <w:rPr>
                <w:i/>
                <w:szCs w:val="24"/>
              </w:rPr>
              <w:t>Spencer</w:t>
            </w:r>
            <w:r w:rsidRPr="00F53AAB">
              <w:rPr>
                <w:i/>
                <w:spacing w:val="-5"/>
                <w:szCs w:val="24"/>
              </w:rPr>
              <w:t xml:space="preserve"> </w:t>
            </w:r>
            <w:r w:rsidRPr="00E6753D">
              <w:rPr>
                <w:i/>
                <w:szCs w:val="24"/>
              </w:rPr>
              <w:t>v</w:t>
            </w:r>
            <w:r w:rsidRPr="00E6753D">
              <w:rPr>
                <w:i/>
                <w:spacing w:val="-6"/>
                <w:szCs w:val="24"/>
              </w:rPr>
              <w:t xml:space="preserve"> </w:t>
            </w:r>
            <w:r w:rsidRPr="00E6753D">
              <w:rPr>
                <w:i/>
                <w:szCs w:val="24"/>
              </w:rPr>
              <w:t>Commonwealth</w:t>
            </w:r>
            <w:r w:rsidRPr="0016344A">
              <w:rPr>
                <w:i/>
                <w:spacing w:val="-4"/>
                <w:sz w:val="18"/>
              </w:rPr>
              <w:t xml:space="preserve"> </w:t>
            </w:r>
            <w:r w:rsidRPr="0016344A">
              <w:t xml:space="preserve">[2010] </w:t>
            </w:r>
            <w:r w:rsidRPr="0016344A">
              <w:rPr>
                <w:szCs w:val="24"/>
              </w:rPr>
              <w:t>HCA 28; (2010)</w:t>
            </w:r>
            <w:r w:rsidRPr="0058207C">
              <w:rPr>
                <w:spacing w:val="-4"/>
                <w:szCs w:val="24"/>
              </w:rPr>
              <w:t xml:space="preserve"> </w:t>
            </w:r>
            <w:r w:rsidRPr="00B41310">
              <w:rPr>
                <w:szCs w:val="24"/>
              </w:rPr>
              <w:t>241</w:t>
            </w:r>
            <w:r w:rsidRPr="00B41310">
              <w:rPr>
                <w:spacing w:val="-4"/>
                <w:szCs w:val="24"/>
              </w:rPr>
              <w:t xml:space="preserve"> </w:t>
            </w:r>
            <w:r w:rsidRPr="009C4677">
              <w:rPr>
                <w:szCs w:val="24"/>
              </w:rPr>
              <w:t>CLR</w:t>
            </w:r>
            <w:r w:rsidRPr="009C4677">
              <w:rPr>
                <w:spacing w:val="-7"/>
                <w:szCs w:val="24"/>
              </w:rPr>
              <w:t xml:space="preserve"> </w:t>
            </w:r>
            <w:r w:rsidRPr="00D85E66">
              <w:rPr>
                <w:szCs w:val="24"/>
              </w:rPr>
              <w:t>118</w:t>
            </w:r>
          </w:p>
          <w:p w14:paraId="42FC2BA5" w14:textId="77777777" w:rsidR="00C21661" w:rsidRPr="00C21661" w:rsidRDefault="00D85E66" w:rsidP="00266572">
            <w:pPr>
              <w:pStyle w:val="CasesLegislationAppealFrom"/>
              <w:spacing w:after="60"/>
            </w:pPr>
            <w:r w:rsidRPr="00C21661">
              <w:rPr>
                <w:i/>
                <w:iCs/>
              </w:rPr>
              <w:t>Thomson v STX Pan Ocean Co Ltd</w:t>
            </w:r>
            <w:r w:rsidRPr="00C21661">
              <w:t> [2012] FCAFC 15</w:t>
            </w:r>
          </w:p>
          <w:p w14:paraId="5F232A63" w14:textId="77777777" w:rsidR="00D85E66" w:rsidRPr="008B590E" w:rsidRDefault="00D85E66" w:rsidP="00266572">
            <w:pPr>
              <w:pStyle w:val="CasesLegislationAppealFrom"/>
              <w:spacing w:after="60"/>
              <w:rPr>
                <w:szCs w:val="24"/>
                <w:shd w:val="clear" w:color="auto" w:fill="FFFFFF"/>
              </w:rPr>
            </w:pPr>
            <w:r w:rsidRPr="008B590E">
              <w:rPr>
                <w:i/>
                <w:szCs w:val="24"/>
                <w:shd w:val="clear" w:color="auto" w:fill="FFFFFF"/>
              </w:rPr>
              <w:t>Wright Rubber Products Pty Ltd v Bayer AG</w:t>
            </w:r>
            <w:r w:rsidRPr="008B590E">
              <w:rPr>
                <w:szCs w:val="24"/>
                <w:shd w:val="clear" w:color="auto" w:fill="FFFFFF"/>
              </w:rPr>
              <w:t> [2008] FCA 1510</w:t>
            </w:r>
          </w:p>
          <w:p w14:paraId="631E02D0" w14:textId="77777777" w:rsidR="00D85E66" w:rsidRPr="00D85E66" w:rsidRDefault="00D85E66">
            <w:pPr>
              <w:pStyle w:val="CasesLegislationAppealFrom"/>
              <w:spacing w:after="60"/>
            </w:pPr>
            <w:r w:rsidRPr="00D85E66">
              <w:rPr>
                <w:i/>
                <w:szCs w:val="24"/>
              </w:rPr>
              <w:t xml:space="preserve">Trade Practices Commission v Allied Mills Industries Pty Ltd </w:t>
            </w:r>
            <w:r w:rsidRPr="00D85E66">
              <w:rPr>
                <w:szCs w:val="24"/>
              </w:rPr>
              <w:t xml:space="preserve">(1980) </w:t>
            </w:r>
            <w:r w:rsidRPr="00D85E66">
              <w:t>32 ALR 570</w:t>
            </w:r>
          </w:p>
          <w:p w14:paraId="115EC027" w14:textId="77777777" w:rsidR="00D85E66" w:rsidRPr="00D85E66" w:rsidRDefault="00D85E66">
            <w:pPr>
              <w:pStyle w:val="CasesLegislationAppealFrom"/>
              <w:spacing w:after="60"/>
            </w:pPr>
            <w:r w:rsidRPr="00D85E66">
              <w:rPr>
                <w:i/>
              </w:rPr>
              <w:t xml:space="preserve">Trade Practices Commission v TNT Management Pty Ltd </w:t>
            </w:r>
            <w:r w:rsidRPr="00D85E66">
              <w:t>(1985) 6 FCR 1</w:t>
            </w:r>
          </w:p>
          <w:p w14:paraId="7AFE62CB" w14:textId="77777777" w:rsidR="00D85E66" w:rsidRPr="00D85E66" w:rsidRDefault="00B05A16">
            <w:pPr>
              <w:pStyle w:val="CasesLegislationAppealFrom"/>
              <w:spacing w:after="60"/>
              <w:rPr>
                <w:szCs w:val="24"/>
              </w:rPr>
            </w:pPr>
            <w:r>
              <w:rPr>
                <w:i/>
                <w:szCs w:val="24"/>
              </w:rPr>
              <w:t>Trade Practices Commission</w:t>
            </w:r>
            <w:r w:rsidR="00D85E66" w:rsidRPr="00D85E66">
              <w:rPr>
                <w:i/>
                <w:szCs w:val="24"/>
              </w:rPr>
              <w:t xml:space="preserve"> v David Jones (Australia) Pty Ltd </w:t>
            </w:r>
            <w:r w:rsidR="00D85E66" w:rsidRPr="00D85E66">
              <w:rPr>
                <w:szCs w:val="24"/>
              </w:rPr>
              <w:t>(1985) 7 FCR 109</w:t>
            </w:r>
          </w:p>
          <w:p w14:paraId="0C2102A8" w14:textId="77777777" w:rsidR="00D85E66" w:rsidRPr="00D85E66" w:rsidRDefault="00D85E66">
            <w:pPr>
              <w:pStyle w:val="CasesLegislationAppealFrom"/>
              <w:spacing w:after="60"/>
            </w:pPr>
            <w:r w:rsidRPr="00D85E66">
              <w:rPr>
                <w:i/>
              </w:rPr>
              <w:t xml:space="preserve">Tradestock Pty Ltd v TNT (Management) Pty Ltd (No 2) </w:t>
            </w:r>
            <w:r w:rsidRPr="00D85E66">
              <w:t>[1978] FCA 1; (1978) 17 ALR 257</w:t>
            </w:r>
          </w:p>
          <w:p w14:paraId="696F92B6" w14:textId="77777777" w:rsidR="00D85E66" w:rsidRPr="00C21661" w:rsidRDefault="00D85E66">
            <w:pPr>
              <w:pStyle w:val="CasesLegislationAppealFrom"/>
              <w:spacing w:after="60"/>
              <w:rPr>
                <w:szCs w:val="24"/>
              </w:rPr>
            </w:pPr>
            <w:r w:rsidRPr="008B590E">
              <w:rPr>
                <w:i/>
                <w:iCs/>
              </w:rPr>
              <w:t>Uber Australia Pty Ltd v </w:t>
            </w:r>
            <w:r w:rsidRPr="008B590E">
              <w:rPr>
                <w:bCs/>
                <w:i/>
                <w:iCs/>
              </w:rPr>
              <w:t>Andrianaki</w:t>
            </w:r>
            <w:r w:rsidRPr="00C21661">
              <w:rPr>
                <w:bCs/>
                <w:i/>
                <w:iCs/>
              </w:rPr>
              <w:t>s</w:t>
            </w:r>
            <w:r w:rsidRPr="00C21661">
              <w:t> [2020] VSCA 186</w:t>
            </w:r>
            <w:r w:rsidRPr="00C21661">
              <w:rPr>
                <w:szCs w:val="24"/>
              </w:rPr>
              <w:t>; (2020) 61 VR 580</w:t>
            </w:r>
          </w:p>
          <w:p w14:paraId="785C4C58" w14:textId="77777777" w:rsidR="00D85E66" w:rsidRPr="00D85E66" w:rsidRDefault="00D85E66">
            <w:pPr>
              <w:pStyle w:val="CasesLegislationAppealFrom"/>
              <w:spacing w:after="60"/>
              <w:rPr>
                <w:szCs w:val="24"/>
              </w:rPr>
            </w:pPr>
            <w:r w:rsidRPr="00D85E66">
              <w:rPr>
                <w:i/>
                <w:szCs w:val="24"/>
              </w:rPr>
              <w:t xml:space="preserve">Walton v Gardiner </w:t>
            </w:r>
            <w:r w:rsidRPr="00D85E66">
              <w:rPr>
                <w:szCs w:val="24"/>
              </w:rPr>
              <w:t>[1993] HCA 77; (1993) 177 CLR 378</w:t>
            </w:r>
          </w:p>
          <w:p w14:paraId="07E9D252" w14:textId="77777777" w:rsidR="00D85E66" w:rsidRPr="00D85E66" w:rsidRDefault="00D85E66">
            <w:pPr>
              <w:pStyle w:val="CasesLegislationAppealFrom"/>
              <w:spacing w:after="60"/>
            </w:pPr>
            <w:r w:rsidRPr="00D85E66">
              <w:rPr>
                <w:i/>
              </w:rPr>
              <w:t>White Industries Australia Ltd v Federal Commissioner of Taxation</w:t>
            </w:r>
            <w:r w:rsidRPr="00D85E66">
              <w:t xml:space="preserve"> [2007] FCA 511; (2007) 160 FCR 298</w:t>
            </w:r>
          </w:p>
          <w:p w14:paraId="30363B21" w14:textId="77777777" w:rsidR="00D85E66" w:rsidRPr="00D85E66" w:rsidRDefault="00D85E66">
            <w:pPr>
              <w:pStyle w:val="CasesLegislationAppealFrom"/>
              <w:spacing w:after="60"/>
            </w:pPr>
            <w:r w:rsidRPr="00D85E66">
              <w:rPr>
                <w:i/>
                <w:iCs/>
                <w:shd w:val="clear" w:color="auto" w:fill="FFFFFF"/>
              </w:rPr>
              <w:t>Williams &amp; Humbert v W &amp; H Trade Marks</w:t>
            </w:r>
            <w:r w:rsidRPr="00D85E66">
              <w:rPr>
                <w:shd w:val="clear" w:color="auto" w:fill="FFFFFF"/>
              </w:rPr>
              <w:t> </w:t>
            </w:r>
            <w:r w:rsidRPr="00D85E66">
              <w:rPr>
                <w:i/>
                <w:shd w:val="clear" w:color="auto" w:fill="FFFFFF"/>
              </w:rPr>
              <w:t xml:space="preserve">(Jersey) Ltd </w:t>
            </w:r>
            <w:r w:rsidRPr="00D85E66">
              <w:t>[1986] AC 368</w:t>
            </w:r>
          </w:p>
          <w:p w14:paraId="2B872254" w14:textId="77777777" w:rsidR="00D85E66" w:rsidRPr="00D85E66" w:rsidRDefault="00D85E66">
            <w:pPr>
              <w:pStyle w:val="CasesLegislationAppealFrom"/>
              <w:spacing w:after="60"/>
            </w:pPr>
            <w:r w:rsidRPr="00D85E66">
              <w:rPr>
                <w:i/>
              </w:rPr>
              <w:t xml:space="preserve">Wride v Schulze </w:t>
            </w:r>
            <w:r w:rsidRPr="00D85E66">
              <w:t>[2004] FCAFC 216</w:t>
            </w:r>
            <w:bookmarkEnd w:id="4"/>
          </w:p>
        </w:tc>
      </w:tr>
      <w:tr w:rsidR="00BE57E3" w14:paraId="3F7947DB" w14:textId="77777777" w:rsidTr="00EB23FB">
        <w:tc>
          <w:tcPr>
            <w:tcW w:w="3084" w:type="dxa"/>
            <w:shd w:val="clear" w:color="auto" w:fill="auto"/>
          </w:tcPr>
          <w:p w14:paraId="05AAFF16" w14:textId="77777777" w:rsidR="00BE57E3" w:rsidRDefault="00BE57E3" w:rsidP="00D23528">
            <w:pPr>
              <w:pStyle w:val="Normal1linespace"/>
              <w:widowControl w:val="0"/>
            </w:pPr>
          </w:p>
        </w:tc>
        <w:tc>
          <w:tcPr>
            <w:tcW w:w="5989" w:type="dxa"/>
            <w:shd w:val="clear" w:color="auto" w:fill="auto"/>
          </w:tcPr>
          <w:p w14:paraId="0C088F97" w14:textId="77777777" w:rsidR="00BE57E3" w:rsidRDefault="00BE57E3" w:rsidP="00D23528">
            <w:pPr>
              <w:pStyle w:val="Normal1linespace"/>
              <w:widowControl w:val="0"/>
              <w:jc w:val="left"/>
            </w:pPr>
          </w:p>
        </w:tc>
      </w:tr>
      <w:tr w:rsidR="00BE57E3" w14:paraId="316B39AE" w14:textId="77777777" w:rsidTr="00EB23FB">
        <w:tc>
          <w:tcPr>
            <w:tcW w:w="3084" w:type="dxa"/>
            <w:shd w:val="clear" w:color="auto" w:fill="auto"/>
          </w:tcPr>
          <w:p w14:paraId="2AC678A6" w14:textId="77777777" w:rsidR="00BE57E3" w:rsidRDefault="00BE57E3" w:rsidP="00501A12">
            <w:pPr>
              <w:pStyle w:val="Normal1linespace"/>
              <w:widowControl w:val="0"/>
            </w:pPr>
            <w:r>
              <w:t>Division:</w:t>
            </w:r>
          </w:p>
        </w:tc>
        <w:tc>
          <w:tcPr>
            <w:tcW w:w="5989" w:type="dxa"/>
            <w:shd w:val="clear" w:color="auto" w:fill="auto"/>
          </w:tcPr>
          <w:p w14:paraId="1B0F34D9" w14:textId="024B154E" w:rsidR="00BE57E3" w:rsidRPr="00F17599" w:rsidRDefault="00BA0D14" w:rsidP="00501A12">
            <w:pPr>
              <w:pStyle w:val="Normal1linespace"/>
              <w:widowControl w:val="0"/>
              <w:jc w:val="left"/>
            </w:pPr>
            <w:r>
              <w:fldChar w:fldCharType="begin"/>
            </w:r>
            <w:r>
              <w:instrText xml:space="preserve"> DOCPROPERTY  Division </w:instrText>
            </w:r>
            <w:r>
              <w:fldChar w:fldCharType="separate"/>
            </w:r>
            <w:r w:rsidR="00F87C4E">
              <w:t>General Division</w:t>
            </w:r>
            <w:r>
              <w:fldChar w:fldCharType="end"/>
            </w:r>
          </w:p>
        </w:tc>
      </w:tr>
      <w:tr w:rsidR="00BE57E3" w14:paraId="115A50B5" w14:textId="77777777" w:rsidTr="00EB23FB">
        <w:tc>
          <w:tcPr>
            <w:tcW w:w="3084" w:type="dxa"/>
            <w:shd w:val="clear" w:color="auto" w:fill="auto"/>
          </w:tcPr>
          <w:p w14:paraId="7990A1AC" w14:textId="77777777" w:rsidR="00BE57E3" w:rsidRDefault="00BE57E3" w:rsidP="00501A12">
            <w:pPr>
              <w:pStyle w:val="Normal1linespace"/>
              <w:widowControl w:val="0"/>
            </w:pPr>
            <w:bookmarkStart w:id="5" w:name="Registry_rows" w:colFirst="0" w:colLast="1"/>
          </w:p>
        </w:tc>
        <w:tc>
          <w:tcPr>
            <w:tcW w:w="5989" w:type="dxa"/>
            <w:shd w:val="clear" w:color="auto" w:fill="auto"/>
          </w:tcPr>
          <w:p w14:paraId="3C973F0B" w14:textId="77777777" w:rsidR="00BE57E3" w:rsidRDefault="00BE57E3" w:rsidP="00501A12">
            <w:pPr>
              <w:pStyle w:val="Normal1linespace"/>
              <w:widowControl w:val="0"/>
              <w:jc w:val="left"/>
            </w:pPr>
          </w:p>
        </w:tc>
      </w:tr>
      <w:tr w:rsidR="00BE57E3" w14:paraId="2A6688B6" w14:textId="77777777" w:rsidTr="00EB23FB">
        <w:tc>
          <w:tcPr>
            <w:tcW w:w="3084" w:type="dxa"/>
            <w:shd w:val="clear" w:color="auto" w:fill="auto"/>
          </w:tcPr>
          <w:p w14:paraId="50D6DCB6" w14:textId="77777777" w:rsidR="00BE57E3" w:rsidRDefault="00BE57E3" w:rsidP="00501A12">
            <w:pPr>
              <w:pStyle w:val="Normal1linespace"/>
              <w:widowControl w:val="0"/>
            </w:pPr>
            <w:r>
              <w:t>Registry:</w:t>
            </w:r>
          </w:p>
        </w:tc>
        <w:tc>
          <w:tcPr>
            <w:tcW w:w="5989" w:type="dxa"/>
            <w:shd w:val="clear" w:color="auto" w:fill="auto"/>
          </w:tcPr>
          <w:p w14:paraId="5DDE0B5B" w14:textId="79A7004B" w:rsidR="00BE57E3" w:rsidRPr="00F17599" w:rsidRDefault="00BA0D14" w:rsidP="00501A12">
            <w:pPr>
              <w:pStyle w:val="Normal1linespace"/>
              <w:widowControl w:val="0"/>
              <w:jc w:val="left"/>
            </w:pPr>
            <w:r>
              <w:fldChar w:fldCharType="begin"/>
            </w:r>
            <w:r>
              <w:instrText xml:space="preserve"> DOCPROPERTY  Registry </w:instrText>
            </w:r>
            <w:r>
              <w:fldChar w:fldCharType="separate"/>
            </w:r>
            <w:r w:rsidR="00F87C4E">
              <w:t>New South Wales</w:t>
            </w:r>
            <w:r>
              <w:fldChar w:fldCharType="end"/>
            </w:r>
          </w:p>
        </w:tc>
      </w:tr>
      <w:tr w:rsidR="00BE57E3" w14:paraId="5584E9C4" w14:textId="77777777" w:rsidTr="00EB23FB">
        <w:tc>
          <w:tcPr>
            <w:tcW w:w="3084" w:type="dxa"/>
            <w:shd w:val="clear" w:color="auto" w:fill="auto"/>
          </w:tcPr>
          <w:p w14:paraId="3A97821D" w14:textId="77777777" w:rsidR="00BE57E3" w:rsidRDefault="00BE57E3" w:rsidP="00501A12">
            <w:pPr>
              <w:pStyle w:val="Normal1linespace"/>
              <w:widowControl w:val="0"/>
            </w:pPr>
            <w:bookmarkStart w:id="6" w:name="NPARow" w:colFirst="0" w:colLast="1"/>
            <w:bookmarkEnd w:id="5"/>
          </w:p>
        </w:tc>
        <w:tc>
          <w:tcPr>
            <w:tcW w:w="5989" w:type="dxa"/>
            <w:shd w:val="clear" w:color="auto" w:fill="auto"/>
          </w:tcPr>
          <w:p w14:paraId="61675DC3" w14:textId="77777777" w:rsidR="00BE57E3" w:rsidRPr="00F17599" w:rsidRDefault="00BE57E3" w:rsidP="00501A12">
            <w:pPr>
              <w:pStyle w:val="Normal1linespace"/>
              <w:widowControl w:val="0"/>
              <w:jc w:val="left"/>
              <w:rPr>
                <w:b/>
              </w:rPr>
            </w:pPr>
          </w:p>
        </w:tc>
      </w:tr>
      <w:tr w:rsidR="00BE57E3" w14:paraId="71DA5C1E" w14:textId="77777777" w:rsidTr="00EB23FB">
        <w:tc>
          <w:tcPr>
            <w:tcW w:w="3084" w:type="dxa"/>
            <w:shd w:val="clear" w:color="auto" w:fill="auto"/>
          </w:tcPr>
          <w:p w14:paraId="6708DB91" w14:textId="77777777" w:rsidR="00BE57E3" w:rsidRDefault="00BE57E3" w:rsidP="00501A12">
            <w:pPr>
              <w:pStyle w:val="Normal1linespace"/>
              <w:widowControl w:val="0"/>
            </w:pPr>
            <w:r>
              <w:t>National Practice Area:</w:t>
            </w:r>
          </w:p>
        </w:tc>
        <w:tc>
          <w:tcPr>
            <w:tcW w:w="5989" w:type="dxa"/>
            <w:shd w:val="clear" w:color="auto" w:fill="auto"/>
          </w:tcPr>
          <w:p w14:paraId="59DC41EF" w14:textId="58505699" w:rsidR="00BE57E3" w:rsidRPr="00F17599" w:rsidRDefault="00BA0D14" w:rsidP="00D23528">
            <w:pPr>
              <w:pStyle w:val="Normal1linespace"/>
              <w:widowControl w:val="0"/>
              <w:jc w:val="left"/>
              <w:rPr>
                <w:b/>
              </w:rPr>
            </w:pPr>
            <w:r>
              <w:fldChar w:fldCharType="begin"/>
            </w:r>
            <w:r>
              <w:instrText xml:space="preserve"> DOCPROPERTY  "Practice Area"  \* MERGEFORMAT </w:instrText>
            </w:r>
            <w:r>
              <w:fldChar w:fldCharType="separate"/>
            </w:r>
            <w:r w:rsidR="00F87C4E">
              <w:t>Commercial and Corporations</w:t>
            </w:r>
            <w:r>
              <w:fldChar w:fldCharType="end"/>
            </w:r>
          </w:p>
        </w:tc>
      </w:tr>
      <w:tr w:rsidR="00BE57E3" w14:paraId="24EFD926" w14:textId="77777777" w:rsidTr="00EB23FB">
        <w:tc>
          <w:tcPr>
            <w:tcW w:w="3084" w:type="dxa"/>
            <w:shd w:val="clear" w:color="auto" w:fill="auto"/>
          </w:tcPr>
          <w:p w14:paraId="610CD31F" w14:textId="77777777" w:rsidR="00BE57E3" w:rsidRDefault="00BE57E3" w:rsidP="00501A12">
            <w:pPr>
              <w:pStyle w:val="Normal1linespace"/>
              <w:widowControl w:val="0"/>
            </w:pPr>
            <w:bookmarkStart w:id="7" w:name="SubAreaRow" w:colFirst="0" w:colLast="1"/>
            <w:bookmarkEnd w:id="6"/>
          </w:p>
        </w:tc>
        <w:tc>
          <w:tcPr>
            <w:tcW w:w="5989" w:type="dxa"/>
            <w:shd w:val="clear" w:color="auto" w:fill="auto"/>
          </w:tcPr>
          <w:p w14:paraId="440C3F94" w14:textId="77777777" w:rsidR="00BE57E3" w:rsidRDefault="00BE57E3" w:rsidP="00D23528">
            <w:pPr>
              <w:pStyle w:val="Normal1linespace"/>
              <w:widowControl w:val="0"/>
              <w:jc w:val="left"/>
            </w:pPr>
          </w:p>
        </w:tc>
      </w:tr>
      <w:tr w:rsidR="00BE57E3" w14:paraId="1F71E963" w14:textId="77777777" w:rsidTr="00EB23FB">
        <w:tc>
          <w:tcPr>
            <w:tcW w:w="3084" w:type="dxa"/>
            <w:shd w:val="clear" w:color="auto" w:fill="auto"/>
          </w:tcPr>
          <w:p w14:paraId="206A4C1E" w14:textId="77777777" w:rsidR="00BE57E3" w:rsidRDefault="00BE57E3" w:rsidP="00501A12">
            <w:pPr>
              <w:pStyle w:val="Normal1linespace"/>
              <w:widowControl w:val="0"/>
            </w:pPr>
            <w:r>
              <w:t>Sub-area:</w:t>
            </w:r>
          </w:p>
        </w:tc>
        <w:tc>
          <w:tcPr>
            <w:tcW w:w="5989" w:type="dxa"/>
            <w:shd w:val="clear" w:color="auto" w:fill="auto"/>
          </w:tcPr>
          <w:p w14:paraId="28F6CF0D" w14:textId="1620FE74" w:rsidR="00BE57E3" w:rsidRPr="00837288" w:rsidRDefault="00BA0D14" w:rsidP="00D23528">
            <w:pPr>
              <w:pStyle w:val="Normal1linespace"/>
              <w:widowControl w:val="0"/>
              <w:jc w:val="left"/>
            </w:pPr>
            <w:r>
              <w:fldChar w:fldCharType="begin"/>
            </w:r>
            <w:r>
              <w:instrText xml:space="preserve"> DOCPROPERTY  "Sub Area"  \* MERGEFORMAT </w:instrText>
            </w:r>
            <w:r>
              <w:fldChar w:fldCharType="separate"/>
            </w:r>
            <w:r w:rsidR="00F87C4E">
              <w:t>Economic Regulator, Competition and Access</w:t>
            </w:r>
            <w:r>
              <w:fldChar w:fldCharType="end"/>
            </w:r>
          </w:p>
        </w:tc>
      </w:tr>
      <w:bookmarkEnd w:id="7"/>
      <w:tr w:rsidR="00BE57E3" w14:paraId="1682FD79" w14:textId="77777777" w:rsidTr="00EB23FB">
        <w:tc>
          <w:tcPr>
            <w:tcW w:w="3084" w:type="dxa"/>
            <w:shd w:val="clear" w:color="auto" w:fill="auto"/>
          </w:tcPr>
          <w:p w14:paraId="70132F43" w14:textId="77777777" w:rsidR="00BE57E3" w:rsidRDefault="00BE57E3" w:rsidP="00501A12">
            <w:pPr>
              <w:pStyle w:val="Normal1linespace"/>
              <w:widowControl w:val="0"/>
            </w:pPr>
          </w:p>
        </w:tc>
        <w:tc>
          <w:tcPr>
            <w:tcW w:w="5989" w:type="dxa"/>
            <w:shd w:val="clear" w:color="auto" w:fill="auto"/>
          </w:tcPr>
          <w:p w14:paraId="2B09154D" w14:textId="77777777" w:rsidR="00BE57E3" w:rsidRDefault="00BE57E3" w:rsidP="00501A12">
            <w:pPr>
              <w:pStyle w:val="Normal1linespace"/>
              <w:widowControl w:val="0"/>
              <w:jc w:val="left"/>
            </w:pPr>
          </w:p>
        </w:tc>
      </w:tr>
      <w:tr w:rsidR="00BE57E3" w14:paraId="16B81FCB" w14:textId="77777777" w:rsidTr="00EB23FB">
        <w:tc>
          <w:tcPr>
            <w:tcW w:w="3084" w:type="dxa"/>
            <w:shd w:val="clear" w:color="auto" w:fill="auto"/>
          </w:tcPr>
          <w:p w14:paraId="3A42BDE9" w14:textId="77777777" w:rsidR="00BE57E3" w:rsidRDefault="00BE57E3" w:rsidP="00501A12">
            <w:pPr>
              <w:pStyle w:val="Normal1linespace"/>
              <w:widowControl w:val="0"/>
            </w:pPr>
            <w:r>
              <w:t>Number of paragraphs:</w:t>
            </w:r>
          </w:p>
        </w:tc>
        <w:tc>
          <w:tcPr>
            <w:tcW w:w="5989" w:type="dxa"/>
            <w:shd w:val="clear" w:color="auto" w:fill="auto"/>
          </w:tcPr>
          <w:p w14:paraId="2D7C5AE7" w14:textId="77777777" w:rsidR="00BE57E3" w:rsidRDefault="00096BAD" w:rsidP="00501A12">
            <w:pPr>
              <w:pStyle w:val="Normal1linespace"/>
              <w:widowControl w:val="0"/>
              <w:jc w:val="left"/>
            </w:pPr>
            <w:r>
              <w:t>93</w:t>
            </w:r>
          </w:p>
        </w:tc>
      </w:tr>
      <w:tr w:rsidR="00BE57E3" w14:paraId="74A5F16B" w14:textId="77777777" w:rsidTr="00EB23FB">
        <w:tc>
          <w:tcPr>
            <w:tcW w:w="3084" w:type="dxa"/>
            <w:shd w:val="clear" w:color="auto" w:fill="auto"/>
          </w:tcPr>
          <w:p w14:paraId="30A87A5A" w14:textId="77777777" w:rsidR="00BE57E3" w:rsidRDefault="00BE57E3" w:rsidP="00BE57E3">
            <w:pPr>
              <w:pStyle w:val="Normal1linespace"/>
              <w:widowControl w:val="0"/>
              <w:jc w:val="left"/>
            </w:pPr>
          </w:p>
        </w:tc>
        <w:tc>
          <w:tcPr>
            <w:tcW w:w="5989" w:type="dxa"/>
            <w:shd w:val="clear" w:color="auto" w:fill="auto"/>
          </w:tcPr>
          <w:p w14:paraId="4A6A8CBC" w14:textId="77777777" w:rsidR="00BE57E3" w:rsidRDefault="00BE57E3" w:rsidP="00BE57E3">
            <w:pPr>
              <w:pStyle w:val="Normal1linespace"/>
              <w:widowControl w:val="0"/>
              <w:jc w:val="left"/>
            </w:pPr>
          </w:p>
        </w:tc>
      </w:tr>
      <w:tr w:rsidR="00BE57E3" w14:paraId="5DC4A763" w14:textId="77777777" w:rsidTr="00EB23FB">
        <w:tc>
          <w:tcPr>
            <w:tcW w:w="3084" w:type="dxa"/>
            <w:shd w:val="clear" w:color="auto" w:fill="auto"/>
          </w:tcPr>
          <w:p w14:paraId="1D2B9002" w14:textId="77777777" w:rsidR="00BE57E3" w:rsidRDefault="00BE57E3" w:rsidP="00BE57E3">
            <w:pPr>
              <w:pStyle w:val="Normal1linespace"/>
              <w:widowControl w:val="0"/>
              <w:jc w:val="left"/>
            </w:pPr>
            <w:bookmarkStart w:id="8" w:name="CounselDate" w:colFirst="0" w:colLast="2"/>
            <w:r w:rsidRPr="006A24E3">
              <w:t>Date of hearing:</w:t>
            </w:r>
          </w:p>
        </w:tc>
        <w:tc>
          <w:tcPr>
            <w:tcW w:w="5989" w:type="dxa"/>
            <w:shd w:val="clear" w:color="auto" w:fill="auto"/>
          </w:tcPr>
          <w:p w14:paraId="2B405333" w14:textId="77777777" w:rsidR="00BE57E3" w:rsidRDefault="00BE57E3" w:rsidP="00BE57E3">
            <w:pPr>
              <w:pStyle w:val="Normal1linespace"/>
              <w:widowControl w:val="0"/>
              <w:jc w:val="left"/>
            </w:pPr>
            <w:bookmarkStart w:id="9" w:name="HearingDate"/>
            <w:r>
              <w:t xml:space="preserve">26 July 2021 </w:t>
            </w:r>
            <w:bookmarkEnd w:id="9"/>
          </w:p>
        </w:tc>
      </w:tr>
      <w:tr w:rsidR="00BE57E3" w14:paraId="59BC5BE9" w14:textId="77777777" w:rsidTr="00EB23FB">
        <w:tc>
          <w:tcPr>
            <w:tcW w:w="3084" w:type="dxa"/>
            <w:shd w:val="clear" w:color="auto" w:fill="auto"/>
          </w:tcPr>
          <w:p w14:paraId="5C567554" w14:textId="77777777" w:rsidR="00BE57E3" w:rsidRDefault="00BE57E3" w:rsidP="00BE57E3">
            <w:pPr>
              <w:pStyle w:val="Normal1linespace"/>
              <w:widowControl w:val="0"/>
              <w:jc w:val="left"/>
            </w:pPr>
          </w:p>
        </w:tc>
        <w:tc>
          <w:tcPr>
            <w:tcW w:w="5989" w:type="dxa"/>
            <w:shd w:val="clear" w:color="auto" w:fill="auto"/>
          </w:tcPr>
          <w:p w14:paraId="7BDFF4B9" w14:textId="77777777" w:rsidR="00BE57E3" w:rsidRDefault="00BE57E3" w:rsidP="00BE57E3">
            <w:pPr>
              <w:pStyle w:val="Normal1linespace"/>
              <w:widowControl w:val="0"/>
              <w:jc w:val="left"/>
            </w:pPr>
          </w:p>
        </w:tc>
      </w:tr>
      <w:tr w:rsidR="00BE57E3" w14:paraId="55B03C7C" w14:textId="77777777" w:rsidTr="00EB23FB">
        <w:tc>
          <w:tcPr>
            <w:tcW w:w="3084" w:type="dxa"/>
            <w:shd w:val="clear" w:color="auto" w:fill="auto"/>
          </w:tcPr>
          <w:p w14:paraId="2A1ED97B" w14:textId="77777777" w:rsidR="00BE57E3" w:rsidRPr="00BE57E3" w:rsidRDefault="0077351A" w:rsidP="00BE57E3">
            <w:pPr>
              <w:pStyle w:val="Normal1linespace"/>
              <w:widowControl w:val="0"/>
              <w:jc w:val="left"/>
            </w:pPr>
            <w:bookmarkStart w:id="10" w:name="Place_rows" w:colFirst="0" w:colLast="1"/>
            <w:r>
              <w:t>Counsel for the Applicant:</w:t>
            </w:r>
          </w:p>
        </w:tc>
        <w:tc>
          <w:tcPr>
            <w:tcW w:w="5989" w:type="dxa"/>
            <w:shd w:val="clear" w:color="auto" w:fill="auto"/>
          </w:tcPr>
          <w:p w14:paraId="7C8A035F" w14:textId="77777777" w:rsidR="00BE57E3" w:rsidRPr="00BE57E3" w:rsidRDefault="0077351A" w:rsidP="00BE57E3">
            <w:pPr>
              <w:pStyle w:val="Normal1linespace"/>
              <w:widowControl w:val="0"/>
              <w:jc w:val="left"/>
            </w:pPr>
            <w:r>
              <w:t>Mr S White SC and Ms C Dermody</w:t>
            </w:r>
          </w:p>
        </w:tc>
      </w:tr>
      <w:tr w:rsidR="0077351A" w14:paraId="47B82135" w14:textId="77777777" w:rsidTr="00EB23FB">
        <w:tc>
          <w:tcPr>
            <w:tcW w:w="3084" w:type="dxa"/>
            <w:shd w:val="clear" w:color="auto" w:fill="auto"/>
          </w:tcPr>
          <w:p w14:paraId="650D4D51" w14:textId="77777777" w:rsidR="0077351A" w:rsidRDefault="0077351A" w:rsidP="00BE57E3">
            <w:pPr>
              <w:pStyle w:val="Normal1linespace"/>
              <w:widowControl w:val="0"/>
              <w:jc w:val="left"/>
            </w:pPr>
          </w:p>
        </w:tc>
        <w:tc>
          <w:tcPr>
            <w:tcW w:w="5989" w:type="dxa"/>
            <w:shd w:val="clear" w:color="auto" w:fill="auto"/>
          </w:tcPr>
          <w:p w14:paraId="4A5C0852" w14:textId="77777777" w:rsidR="0077351A" w:rsidRPr="00BE57E3" w:rsidRDefault="0077351A" w:rsidP="00BE57E3">
            <w:pPr>
              <w:pStyle w:val="Normal1linespace"/>
              <w:widowControl w:val="0"/>
              <w:jc w:val="left"/>
            </w:pPr>
          </w:p>
        </w:tc>
      </w:tr>
      <w:tr w:rsidR="0077351A" w14:paraId="5D687837" w14:textId="77777777" w:rsidTr="00EB23FB">
        <w:tc>
          <w:tcPr>
            <w:tcW w:w="3084" w:type="dxa"/>
            <w:shd w:val="clear" w:color="auto" w:fill="auto"/>
          </w:tcPr>
          <w:p w14:paraId="7DDECBE9" w14:textId="77777777" w:rsidR="0077351A" w:rsidRDefault="0077351A" w:rsidP="00BE57E3">
            <w:pPr>
              <w:pStyle w:val="Normal1linespace"/>
              <w:widowControl w:val="0"/>
              <w:jc w:val="left"/>
            </w:pPr>
            <w:r>
              <w:t>Solicitor for the Applicant:</w:t>
            </w:r>
          </w:p>
        </w:tc>
        <w:tc>
          <w:tcPr>
            <w:tcW w:w="5989" w:type="dxa"/>
            <w:shd w:val="clear" w:color="auto" w:fill="auto"/>
          </w:tcPr>
          <w:p w14:paraId="6741ABCB" w14:textId="77777777" w:rsidR="0077351A" w:rsidRPr="00BE57E3" w:rsidRDefault="0077351A" w:rsidP="00BE57E3">
            <w:pPr>
              <w:pStyle w:val="Normal1linespace"/>
              <w:widowControl w:val="0"/>
              <w:jc w:val="left"/>
            </w:pPr>
            <w:r>
              <w:t>Johnson Winter &amp; Slattery</w:t>
            </w:r>
          </w:p>
        </w:tc>
      </w:tr>
      <w:tr w:rsidR="0077351A" w14:paraId="078877A9" w14:textId="77777777" w:rsidTr="00EB23FB">
        <w:tc>
          <w:tcPr>
            <w:tcW w:w="3084" w:type="dxa"/>
            <w:shd w:val="clear" w:color="auto" w:fill="auto"/>
          </w:tcPr>
          <w:p w14:paraId="0BD8BE49" w14:textId="77777777" w:rsidR="0077351A" w:rsidRDefault="0077351A" w:rsidP="00BE57E3">
            <w:pPr>
              <w:pStyle w:val="Normal1linespace"/>
              <w:widowControl w:val="0"/>
              <w:jc w:val="left"/>
            </w:pPr>
          </w:p>
        </w:tc>
        <w:tc>
          <w:tcPr>
            <w:tcW w:w="5989" w:type="dxa"/>
            <w:shd w:val="clear" w:color="auto" w:fill="auto"/>
          </w:tcPr>
          <w:p w14:paraId="1508A401" w14:textId="77777777" w:rsidR="0077351A" w:rsidRPr="00BE57E3" w:rsidRDefault="0077351A" w:rsidP="00BE57E3">
            <w:pPr>
              <w:pStyle w:val="Normal1linespace"/>
              <w:widowControl w:val="0"/>
              <w:jc w:val="left"/>
            </w:pPr>
          </w:p>
        </w:tc>
      </w:tr>
      <w:tr w:rsidR="0077351A" w14:paraId="5DE9635C" w14:textId="77777777" w:rsidTr="00EB23FB">
        <w:tc>
          <w:tcPr>
            <w:tcW w:w="3084" w:type="dxa"/>
            <w:shd w:val="clear" w:color="auto" w:fill="auto"/>
          </w:tcPr>
          <w:p w14:paraId="196331D7" w14:textId="77777777" w:rsidR="0077351A" w:rsidRDefault="0077351A" w:rsidP="00BE57E3">
            <w:pPr>
              <w:pStyle w:val="Normal1linespace"/>
              <w:widowControl w:val="0"/>
              <w:jc w:val="left"/>
            </w:pPr>
            <w:r>
              <w:t>Counsel for the Respondent:</w:t>
            </w:r>
          </w:p>
        </w:tc>
        <w:tc>
          <w:tcPr>
            <w:tcW w:w="5989" w:type="dxa"/>
            <w:shd w:val="clear" w:color="auto" w:fill="auto"/>
          </w:tcPr>
          <w:p w14:paraId="0D7BB55D" w14:textId="77777777" w:rsidR="0077351A" w:rsidRPr="00BE57E3" w:rsidRDefault="0077351A" w:rsidP="00E757CF">
            <w:pPr>
              <w:pStyle w:val="Normal1linespace"/>
              <w:widowControl w:val="0"/>
              <w:jc w:val="left"/>
            </w:pPr>
            <w:r>
              <w:t>M</w:t>
            </w:r>
            <w:r w:rsidR="00C2628F">
              <w:t>r</w:t>
            </w:r>
            <w:r>
              <w:t xml:space="preserve"> M Hodge QC and Ms S Marsh</w:t>
            </w:r>
          </w:p>
        </w:tc>
      </w:tr>
      <w:tr w:rsidR="0077351A" w14:paraId="21B5C67A" w14:textId="77777777" w:rsidTr="00EB23FB">
        <w:tc>
          <w:tcPr>
            <w:tcW w:w="3084" w:type="dxa"/>
            <w:shd w:val="clear" w:color="auto" w:fill="auto"/>
          </w:tcPr>
          <w:p w14:paraId="5D95B190" w14:textId="77777777" w:rsidR="0077351A" w:rsidRDefault="0077351A" w:rsidP="00BE57E3">
            <w:pPr>
              <w:pStyle w:val="Normal1linespace"/>
              <w:widowControl w:val="0"/>
              <w:jc w:val="left"/>
            </w:pPr>
          </w:p>
        </w:tc>
        <w:tc>
          <w:tcPr>
            <w:tcW w:w="5989" w:type="dxa"/>
            <w:shd w:val="clear" w:color="auto" w:fill="auto"/>
          </w:tcPr>
          <w:p w14:paraId="52C9C5CA" w14:textId="77777777" w:rsidR="0077351A" w:rsidRPr="00BE57E3" w:rsidRDefault="0077351A" w:rsidP="00BE57E3">
            <w:pPr>
              <w:pStyle w:val="Normal1linespace"/>
              <w:widowControl w:val="0"/>
              <w:jc w:val="left"/>
            </w:pPr>
          </w:p>
        </w:tc>
      </w:tr>
      <w:tr w:rsidR="0077351A" w14:paraId="2EEA40F0" w14:textId="77777777" w:rsidTr="00EB23FB">
        <w:tc>
          <w:tcPr>
            <w:tcW w:w="3084" w:type="dxa"/>
            <w:shd w:val="clear" w:color="auto" w:fill="auto"/>
          </w:tcPr>
          <w:p w14:paraId="558C05F8" w14:textId="77777777" w:rsidR="0077351A" w:rsidRDefault="0077351A" w:rsidP="00BE57E3">
            <w:pPr>
              <w:pStyle w:val="Normal1linespace"/>
              <w:widowControl w:val="0"/>
              <w:jc w:val="left"/>
            </w:pPr>
            <w:r>
              <w:t>Solicitor for the Respondent:</w:t>
            </w:r>
          </w:p>
        </w:tc>
        <w:tc>
          <w:tcPr>
            <w:tcW w:w="5989" w:type="dxa"/>
            <w:shd w:val="clear" w:color="auto" w:fill="auto"/>
          </w:tcPr>
          <w:p w14:paraId="77CDD827" w14:textId="77777777" w:rsidR="0077351A" w:rsidRPr="00BE57E3" w:rsidRDefault="0077351A" w:rsidP="00BE57E3">
            <w:pPr>
              <w:pStyle w:val="Normal1linespace"/>
              <w:widowControl w:val="0"/>
              <w:jc w:val="left"/>
            </w:pPr>
            <w:r>
              <w:t>Wallace &amp; Wallace Lawyers</w:t>
            </w:r>
          </w:p>
        </w:tc>
      </w:tr>
    </w:tbl>
    <w:p w14:paraId="6BC9F8E6" w14:textId="77777777" w:rsidR="007470BD" w:rsidRDefault="007470BD">
      <w:pPr>
        <w:pStyle w:val="Normal1linespace"/>
      </w:pPr>
      <w:bookmarkStart w:id="11" w:name="AppCounsel"/>
      <w:bookmarkEnd w:id="8"/>
      <w:bookmarkEnd w:id="10"/>
      <w:bookmarkEnd w:id="11"/>
    </w:p>
    <w:p w14:paraId="3E5E74DC" w14:textId="77777777" w:rsidR="00E94CBF" w:rsidRDefault="00E94CBF">
      <w:pPr>
        <w:pStyle w:val="Normal1linespace"/>
      </w:pPr>
    </w:p>
    <w:p w14:paraId="48B5E594"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0535277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7CEDB031" w14:textId="77777777" w:rsidTr="00315150">
        <w:tc>
          <w:tcPr>
            <w:tcW w:w="6912" w:type="dxa"/>
            <w:gridSpan w:val="2"/>
          </w:tcPr>
          <w:p w14:paraId="63372198" w14:textId="77777777" w:rsidR="00A46CCC" w:rsidRPr="001765E0" w:rsidRDefault="00A46CCC" w:rsidP="00525A49">
            <w:pPr>
              <w:pStyle w:val="NormalHeadings"/>
            </w:pPr>
          </w:p>
        </w:tc>
        <w:tc>
          <w:tcPr>
            <w:tcW w:w="2330" w:type="dxa"/>
          </w:tcPr>
          <w:p w14:paraId="5510B49C" w14:textId="77777777" w:rsidR="00A46CCC" w:rsidRDefault="00BE57E3" w:rsidP="00F92355">
            <w:pPr>
              <w:pStyle w:val="NormalHeadings"/>
              <w:jc w:val="right"/>
            </w:pPr>
            <w:bookmarkStart w:id="12" w:name="FileNo"/>
            <w:r>
              <w:t>NSD</w:t>
            </w:r>
            <w:r w:rsidR="0033011B">
              <w:t xml:space="preserve"> </w:t>
            </w:r>
            <w:r>
              <w:t>1144 of 2020</w:t>
            </w:r>
            <w:bookmarkEnd w:id="12"/>
          </w:p>
        </w:tc>
      </w:tr>
      <w:tr w:rsidR="00A46CCC" w14:paraId="4AA8369B" w14:textId="77777777" w:rsidTr="00315150">
        <w:trPr>
          <w:trHeight w:val="386"/>
        </w:trPr>
        <w:tc>
          <w:tcPr>
            <w:tcW w:w="2376" w:type="dxa"/>
          </w:tcPr>
          <w:p w14:paraId="458D3ABE" w14:textId="77777777" w:rsidR="00A46CCC" w:rsidRDefault="00A46CCC" w:rsidP="00D23528">
            <w:pPr>
              <w:pStyle w:val="NormalHeadings"/>
              <w:jc w:val="left"/>
              <w:rPr>
                <w:caps/>
                <w:szCs w:val="24"/>
              </w:rPr>
            </w:pPr>
            <w:bookmarkStart w:id="13" w:name="Parties"/>
            <w:r>
              <w:rPr>
                <w:caps/>
                <w:szCs w:val="24"/>
              </w:rPr>
              <w:t>BETWEEN:</w:t>
            </w:r>
          </w:p>
        </w:tc>
        <w:tc>
          <w:tcPr>
            <w:tcW w:w="6866" w:type="dxa"/>
            <w:gridSpan w:val="2"/>
          </w:tcPr>
          <w:p w14:paraId="56135713" w14:textId="77777777" w:rsidR="00A46CCC" w:rsidRDefault="0033011B" w:rsidP="00BE57E3">
            <w:pPr>
              <w:pStyle w:val="NormalHeadings"/>
              <w:jc w:val="left"/>
            </w:pPr>
            <w:bookmarkStart w:id="14" w:name="Applicant"/>
            <w:bookmarkEnd w:id="14"/>
            <w:r>
              <w:t>AUSTRALIAN COMPETITION AND CONSUMER COMMISSION</w:t>
            </w:r>
          </w:p>
          <w:p w14:paraId="3F005BC1" w14:textId="77777777" w:rsidR="0033011B" w:rsidRDefault="0033011B" w:rsidP="003633B0">
            <w:pPr>
              <w:pStyle w:val="PartyType"/>
              <w:rPr>
                <w:b/>
              </w:rPr>
            </w:pPr>
            <w:r>
              <w:t xml:space="preserve">Applicant </w:t>
            </w:r>
          </w:p>
          <w:p w14:paraId="0BCCCB84" w14:textId="77777777" w:rsidR="0033011B" w:rsidRPr="00527BA7" w:rsidRDefault="0033011B" w:rsidP="00BE57E3">
            <w:pPr>
              <w:pStyle w:val="NormalHeadings"/>
              <w:jc w:val="left"/>
              <w:rPr>
                <w:b w:val="0"/>
              </w:rPr>
            </w:pPr>
          </w:p>
        </w:tc>
      </w:tr>
      <w:tr w:rsidR="00A46CCC" w14:paraId="3E6A607C" w14:textId="77777777" w:rsidTr="00315150">
        <w:trPr>
          <w:trHeight w:val="386"/>
        </w:trPr>
        <w:tc>
          <w:tcPr>
            <w:tcW w:w="2376" w:type="dxa"/>
          </w:tcPr>
          <w:p w14:paraId="3243C63B" w14:textId="77777777" w:rsidR="00A46CCC" w:rsidRDefault="00A46CCC" w:rsidP="00D23528">
            <w:pPr>
              <w:pStyle w:val="NormalHeadings"/>
              <w:jc w:val="left"/>
              <w:rPr>
                <w:caps/>
                <w:szCs w:val="24"/>
              </w:rPr>
            </w:pPr>
            <w:r>
              <w:rPr>
                <w:caps/>
                <w:szCs w:val="24"/>
              </w:rPr>
              <w:t>AND:</w:t>
            </w:r>
          </w:p>
        </w:tc>
        <w:tc>
          <w:tcPr>
            <w:tcW w:w="6866" w:type="dxa"/>
            <w:gridSpan w:val="2"/>
          </w:tcPr>
          <w:p w14:paraId="6D188AD1" w14:textId="77777777" w:rsidR="00BE57E3" w:rsidRDefault="00BE57E3" w:rsidP="00BE57E3">
            <w:pPr>
              <w:pStyle w:val="NormalHeadings"/>
              <w:jc w:val="left"/>
            </w:pPr>
            <w:bookmarkStart w:id="15" w:name="Respondent"/>
            <w:r>
              <w:t>NQCRANES PTY LTD</w:t>
            </w:r>
          </w:p>
          <w:p w14:paraId="61925568" w14:textId="77777777" w:rsidR="00BE57E3" w:rsidRDefault="00BE57E3" w:rsidP="00BE57E3">
            <w:pPr>
              <w:pStyle w:val="PartyType"/>
            </w:pPr>
            <w:r>
              <w:t>Respondent</w:t>
            </w:r>
          </w:p>
          <w:bookmarkEnd w:id="15"/>
          <w:p w14:paraId="45E35CC2" w14:textId="77777777" w:rsidR="00A46CCC" w:rsidRPr="006555B4" w:rsidRDefault="00A46CCC" w:rsidP="00D23528">
            <w:pPr>
              <w:pStyle w:val="NormalHeadings"/>
              <w:jc w:val="left"/>
            </w:pPr>
          </w:p>
        </w:tc>
      </w:tr>
    </w:tbl>
    <w:p w14:paraId="12043F01"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BCAB30B" w14:textId="77777777">
        <w:tc>
          <w:tcPr>
            <w:tcW w:w="2376" w:type="dxa"/>
          </w:tcPr>
          <w:p w14:paraId="47F1C78E"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21816349" w14:textId="77777777" w:rsidR="00395B24" w:rsidRDefault="00BE57E3">
            <w:pPr>
              <w:pStyle w:val="NormalHeadings"/>
              <w:jc w:val="left"/>
              <w:rPr>
                <w:caps/>
                <w:szCs w:val="24"/>
              </w:rPr>
            </w:pPr>
            <w:bookmarkStart w:id="18" w:name="Judge"/>
            <w:r>
              <w:rPr>
                <w:caps/>
                <w:szCs w:val="24"/>
              </w:rPr>
              <w:t>ABRAHAM J</w:t>
            </w:r>
            <w:bookmarkEnd w:id="18"/>
          </w:p>
        </w:tc>
      </w:tr>
      <w:tr w:rsidR="00395B24" w14:paraId="6119EB8A" w14:textId="77777777">
        <w:tc>
          <w:tcPr>
            <w:tcW w:w="2376" w:type="dxa"/>
          </w:tcPr>
          <w:p w14:paraId="2A43B0CC" w14:textId="77777777" w:rsidR="00395B24" w:rsidRDefault="002C7385">
            <w:pPr>
              <w:pStyle w:val="NormalHeadings"/>
              <w:spacing w:after="120"/>
              <w:jc w:val="left"/>
              <w:rPr>
                <w:caps/>
                <w:szCs w:val="24"/>
              </w:rPr>
            </w:pPr>
            <w:r>
              <w:rPr>
                <w:caps/>
                <w:szCs w:val="24"/>
              </w:rPr>
              <w:t>DATE OF ORDER:</w:t>
            </w:r>
          </w:p>
        </w:tc>
        <w:tc>
          <w:tcPr>
            <w:tcW w:w="6866" w:type="dxa"/>
          </w:tcPr>
          <w:p w14:paraId="01E24912" w14:textId="351AED9B" w:rsidR="00395B24" w:rsidRDefault="00F1261A">
            <w:pPr>
              <w:pStyle w:val="NormalHeadings"/>
              <w:jc w:val="left"/>
              <w:rPr>
                <w:caps/>
                <w:szCs w:val="24"/>
              </w:rPr>
            </w:pPr>
            <w:bookmarkStart w:id="19" w:name="Judgment_Dated"/>
            <w:r>
              <w:rPr>
                <w:caps/>
                <w:szCs w:val="24"/>
              </w:rPr>
              <w:t xml:space="preserve">20 October </w:t>
            </w:r>
            <w:r w:rsidR="00BE57E3">
              <w:rPr>
                <w:caps/>
                <w:szCs w:val="24"/>
              </w:rPr>
              <w:t>2021</w:t>
            </w:r>
            <w:bookmarkEnd w:id="19"/>
          </w:p>
        </w:tc>
      </w:tr>
    </w:tbl>
    <w:p w14:paraId="3A6DE939" w14:textId="77777777" w:rsidR="00395B24" w:rsidRDefault="00395B24">
      <w:pPr>
        <w:pStyle w:val="NormalHeadings"/>
        <w:rPr>
          <w:b w:val="0"/>
        </w:rPr>
      </w:pPr>
    </w:p>
    <w:p w14:paraId="25990341" w14:textId="77777777" w:rsidR="008D1617" w:rsidRDefault="008D1617">
      <w:pPr>
        <w:pStyle w:val="NormalHeadings"/>
        <w:rPr>
          <w:b w:val="0"/>
        </w:rPr>
      </w:pPr>
    </w:p>
    <w:p w14:paraId="7A1E9C64" w14:textId="77777777" w:rsidR="00395B24" w:rsidRDefault="002C7385">
      <w:pPr>
        <w:pStyle w:val="NormalHeadings"/>
      </w:pPr>
      <w:r>
        <w:t>THE COURT ORDERS THAT:</w:t>
      </w:r>
    </w:p>
    <w:p w14:paraId="0362A8FC" w14:textId="77777777" w:rsidR="007F60DF" w:rsidRDefault="007F60DF" w:rsidP="00243E5E">
      <w:pPr>
        <w:pStyle w:val="NormalHeadings"/>
      </w:pPr>
    </w:p>
    <w:p w14:paraId="7AF97A60" w14:textId="63EDC480" w:rsidR="001A6C52" w:rsidRDefault="00233772" w:rsidP="001A6C52">
      <w:pPr>
        <w:pStyle w:val="Order1"/>
      </w:pPr>
      <w:r>
        <w:t xml:space="preserve">The </w:t>
      </w:r>
      <w:r w:rsidR="00FA385E">
        <w:t xml:space="preserve">respondent’s </w:t>
      </w:r>
      <w:r w:rsidR="000B5AB7">
        <w:t xml:space="preserve">amended interlocutory </w:t>
      </w:r>
      <w:r>
        <w:t>application</w:t>
      </w:r>
      <w:r w:rsidR="000B5AB7">
        <w:t>, dated 8 March 2021,</w:t>
      </w:r>
      <w:r>
        <w:t xml:space="preserve"> is dismissed.</w:t>
      </w:r>
    </w:p>
    <w:p w14:paraId="4FD8A2DE" w14:textId="77777777" w:rsidR="00745E29" w:rsidRDefault="00233772" w:rsidP="001A6C52">
      <w:pPr>
        <w:pStyle w:val="Order1"/>
      </w:pPr>
      <w:r>
        <w:t xml:space="preserve">The respondent is to pay the </w:t>
      </w:r>
      <w:r w:rsidR="00206EAB">
        <w:t xml:space="preserve">applicant’s </w:t>
      </w:r>
      <w:r>
        <w:t xml:space="preserve">costs, to be agreed or assessed. </w:t>
      </w:r>
    </w:p>
    <w:p w14:paraId="44ED115D" w14:textId="77777777" w:rsidR="000477AA" w:rsidRDefault="000477AA" w:rsidP="001A6C52">
      <w:pPr>
        <w:pStyle w:val="Order1"/>
      </w:pPr>
      <w:r>
        <w:t xml:space="preserve">The </w:t>
      </w:r>
      <w:r w:rsidR="00E85F00">
        <w:t>applicant has</w:t>
      </w:r>
      <w:r>
        <w:t xml:space="preserve"> leave to amend its amended statement of claim, dated 22 February 2021, in respect to the matters identified in the reasons for judgment of Abraham J at [49] and [78]. </w:t>
      </w:r>
    </w:p>
    <w:p w14:paraId="55BFFA25" w14:textId="77777777" w:rsidR="001A6C52" w:rsidRDefault="001A6C52" w:rsidP="001A6C52">
      <w:pPr>
        <w:pStyle w:val="BodyText"/>
      </w:pPr>
    </w:p>
    <w:p w14:paraId="40EC43B8" w14:textId="77777777" w:rsidR="00A431E6" w:rsidRDefault="00A431E6" w:rsidP="001A6C52">
      <w:pPr>
        <w:pStyle w:val="BodyText"/>
      </w:pPr>
    </w:p>
    <w:p w14:paraId="42EEC15C" w14:textId="77777777" w:rsidR="0050309C" w:rsidRDefault="00BE57E3"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5C7CC641" w14:textId="77777777" w:rsidR="009D328D" w:rsidRDefault="009D328D" w:rsidP="002B0E91">
      <w:pPr>
        <w:pStyle w:val="BodyText"/>
      </w:pPr>
    </w:p>
    <w:p w14:paraId="39CE91AB"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44B70FBB"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3DE36521" w14:textId="77777777" w:rsidR="00290E9C" w:rsidRPr="00404E3E" w:rsidRDefault="00BE57E3" w:rsidP="00404E3E">
      <w:pPr>
        <w:pStyle w:val="NormalHeadings"/>
        <w:spacing w:line="360" w:lineRule="auto"/>
        <w:jc w:val="left"/>
        <w:rPr>
          <w:sz w:val="26"/>
          <w:szCs w:val="26"/>
        </w:rPr>
      </w:pPr>
      <w:r>
        <w:rPr>
          <w:sz w:val="26"/>
          <w:szCs w:val="26"/>
        </w:rPr>
        <w:t>ABRAHAM J</w:t>
      </w:r>
      <w:r w:rsidR="0077351A">
        <w:rPr>
          <w:sz w:val="26"/>
          <w:szCs w:val="26"/>
        </w:rPr>
        <w:t>:</w:t>
      </w:r>
    </w:p>
    <w:p w14:paraId="57AB87EA" w14:textId="77777777" w:rsidR="00BD5614" w:rsidRDefault="00290E9C" w:rsidP="00290E9C">
      <w:pPr>
        <w:pStyle w:val="ParaNumbering"/>
      </w:pPr>
      <w:r>
        <w:t xml:space="preserve">The </w:t>
      </w:r>
      <w:r w:rsidR="0033011B">
        <w:t>Australian Competition and Consumer Commission (ACCC)</w:t>
      </w:r>
      <w:r>
        <w:t xml:space="preserve">, by its amended originating application </w:t>
      </w:r>
      <w:r w:rsidR="00B35D48">
        <w:t xml:space="preserve">(AOA) </w:t>
      </w:r>
      <w:r>
        <w:t>and amended statement of claim</w:t>
      </w:r>
      <w:r w:rsidR="005129F5">
        <w:t xml:space="preserve"> (ASOC),</w:t>
      </w:r>
      <w:r w:rsidR="00404E3E">
        <w:t xml:space="preserve"> filed </w:t>
      </w:r>
      <w:r w:rsidR="0033011B">
        <w:t xml:space="preserve">on </w:t>
      </w:r>
      <w:r w:rsidR="00404E3E">
        <w:t>22 February 2021</w:t>
      </w:r>
      <w:r>
        <w:t xml:space="preserve">, alleges </w:t>
      </w:r>
      <w:r w:rsidR="0033011B">
        <w:t xml:space="preserve">that </w:t>
      </w:r>
      <w:r>
        <w:t>the respondent</w:t>
      </w:r>
      <w:r w:rsidR="0033011B">
        <w:t>,</w:t>
      </w:r>
      <w:r w:rsidRPr="00290E9C">
        <w:rPr>
          <w:spacing w:val="-15"/>
        </w:rPr>
        <w:t xml:space="preserve"> </w:t>
      </w:r>
      <w:r>
        <w:t xml:space="preserve">NQCranes </w:t>
      </w:r>
      <w:r w:rsidR="0033011B">
        <w:t>Pty Ltd</w:t>
      </w:r>
      <w:r w:rsidR="00B13EDE">
        <w:t xml:space="preserve"> (NQCranes)</w:t>
      </w:r>
      <w:r w:rsidR="0033011B">
        <w:t xml:space="preserve">, </w:t>
      </w:r>
      <w:r w:rsidR="00BD5614">
        <w:t xml:space="preserve">contravened the cartel provisions in the </w:t>
      </w:r>
      <w:r w:rsidR="00BD5614" w:rsidRPr="00813AA1">
        <w:rPr>
          <w:i/>
        </w:rPr>
        <w:t>Competition and Co</w:t>
      </w:r>
      <w:r w:rsidR="00BD5614" w:rsidRPr="000B50E4">
        <w:rPr>
          <w:i/>
        </w:rPr>
        <w:t>nsumer Act 2010</w:t>
      </w:r>
      <w:r w:rsidR="00BD5614" w:rsidRPr="000B50E4">
        <w:t xml:space="preserve"> (Cth)</w:t>
      </w:r>
      <w:r w:rsidR="0033011B">
        <w:t xml:space="preserve"> (CCA)</w:t>
      </w:r>
      <w:r w:rsidR="00BD5614">
        <w:t>:</w:t>
      </w:r>
    </w:p>
    <w:p w14:paraId="6A8A0F8C" w14:textId="77777777" w:rsidR="00BD5614" w:rsidRDefault="00404E3E" w:rsidP="00BA0D14">
      <w:pPr>
        <w:pStyle w:val="ListNo1"/>
      </w:pPr>
      <w:r>
        <w:t>by making</w:t>
      </w:r>
      <w:r w:rsidR="00BD5614">
        <w:t xml:space="preserve"> and giving effect to an agreement or understanding with MHE-Demag</w:t>
      </w:r>
      <w:r w:rsidR="00BD5614" w:rsidRPr="00290E9C">
        <w:rPr>
          <w:spacing w:val="-13"/>
        </w:rPr>
        <w:t xml:space="preserve"> </w:t>
      </w:r>
      <w:r w:rsidR="00BD5614">
        <w:t>Australia</w:t>
      </w:r>
      <w:r w:rsidR="00BD5614" w:rsidRPr="00290E9C">
        <w:rPr>
          <w:spacing w:val="-14"/>
        </w:rPr>
        <w:t xml:space="preserve"> </w:t>
      </w:r>
      <w:r w:rsidR="00BD5614">
        <w:t>Pty</w:t>
      </w:r>
      <w:r w:rsidR="00BD5614" w:rsidRPr="00290E9C">
        <w:rPr>
          <w:spacing w:val="-15"/>
        </w:rPr>
        <w:t xml:space="preserve"> </w:t>
      </w:r>
      <w:r w:rsidR="00BD5614">
        <w:t>Ltd</w:t>
      </w:r>
      <w:r w:rsidR="005868B9">
        <w:t xml:space="preserve"> (MHE-Demag)</w:t>
      </w:r>
      <w:r w:rsidR="00BD5614">
        <w:t>, described as a</w:t>
      </w:r>
      <w:r w:rsidR="00290E9C">
        <w:t xml:space="preserve"> </w:t>
      </w:r>
      <w:r w:rsidR="00BD5614">
        <w:t>“</w:t>
      </w:r>
      <w:r w:rsidR="00290E9C">
        <w:t>Non-Targeting Arrang</w:t>
      </w:r>
      <w:r w:rsidR="00BD5614">
        <w:t>e</w:t>
      </w:r>
      <w:r w:rsidR="00290E9C">
        <w:t>ment</w:t>
      </w:r>
      <w:r w:rsidR="00BD5614">
        <w:t xml:space="preserve">”; and </w:t>
      </w:r>
    </w:p>
    <w:p w14:paraId="4D834B25" w14:textId="365202D0" w:rsidR="00404E3E" w:rsidRDefault="00BD5614" w:rsidP="00BA0D14">
      <w:pPr>
        <w:pStyle w:val="ListNo1"/>
      </w:pPr>
      <w:r>
        <w:t xml:space="preserve">by </w:t>
      </w:r>
      <w:r w:rsidR="00404E3E">
        <w:t xml:space="preserve">making an agreement, namely the </w:t>
      </w:r>
      <w:r w:rsidR="005A790B" w:rsidRPr="005A790B">
        <w:t>Distributorship Agreement</w:t>
      </w:r>
      <w:r w:rsidR="00404E3E">
        <w:t xml:space="preserve"> executed on 26</w:t>
      </w:r>
      <w:r w:rsidR="00B13EDE">
        <w:t> </w:t>
      </w:r>
      <w:r w:rsidR="00404E3E">
        <w:t>August</w:t>
      </w:r>
      <w:r w:rsidR="00B13EDE">
        <w:t> </w:t>
      </w:r>
      <w:r w:rsidR="00404E3E">
        <w:t>2016 with MHE-Demag</w:t>
      </w:r>
      <w:r w:rsidR="00B13EDE">
        <w:t>,</w:t>
      </w:r>
      <w:r w:rsidR="00404E3E">
        <w:t xml:space="preserve"> which contained the “Co-</w:t>
      </w:r>
      <w:r w:rsidR="005868B9">
        <w:t>O</w:t>
      </w:r>
      <w:r w:rsidR="00404E3E">
        <w:t xml:space="preserve">rdinated Approach Provision”, a cartel provision, and </w:t>
      </w:r>
      <w:r>
        <w:t xml:space="preserve">giving effect to </w:t>
      </w:r>
      <w:r w:rsidR="00404E3E">
        <w:t>that provision.</w:t>
      </w:r>
    </w:p>
    <w:p w14:paraId="40E6A9C0" w14:textId="77777777" w:rsidR="00290E9C" w:rsidRPr="00233772" w:rsidRDefault="00290E9C" w:rsidP="00404E3E">
      <w:pPr>
        <w:pStyle w:val="ParaNumbering"/>
      </w:pPr>
      <w:r w:rsidRPr="00233772">
        <w:t>NQC</w:t>
      </w:r>
      <w:r w:rsidR="00DB0809" w:rsidRPr="00233772">
        <w:t>ranes</w:t>
      </w:r>
      <w:r w:rsidRPr="00233772">
        <w:t xml:space="preserve"> seeks an or</w:t>
      </w:r>
      <w:r w:rsidR="00404E3E" w:rsidRPr="00233772">
        <w:t>der</w:t>
      </w:r>
      <w:r w:rsidR="00B13EDE" w:rsidRPr="00233772">
        <w:t xml:space="preserve"> under r 16.21 of the </w:t>
      </w:r>
      <w:r w:rsidR="00B13EDE" w:rsidRPr="00813AA1">
        <w:rPr>
          <w:i/>
        </w:rPr>
        <w:t xml:space="preserve">Federal Court Rules 2011 </w:t>
      </w:r>
      <w:r w:rsidR="00B13EDE" w:rsidRPr="000B50E4">
        <w:t>(Cth)</w:t>
      </w:r>
      <w:r w:rsidR="00A05FB1" w:rsidRPr="00233772">
        <w:t xml:space="preserve"> (Rules)</w:t>
      </w:r>
      <w:r w:rsidR="00B13EDE" w:rsidRPr="00233772">
        <w:t xml:space="preserve">, or alternatively under s 37P of the </w:t>
      </w:r>
      <w:r w:rsidR="00B13EDE" w:rsidRPr="00813AA1">
        <w:rPr>
          <w:i/>
        </w:rPr>
        <w:t xml:space="preserve">Federal Court of Australia Act 1976 </w:t>
      </w:r>
      <w:r w:rsidR="00B13EDE" w:rsidRPr="000B50E4">
        <w:t>(Cth)</w:t>
      </w:r>
      <w:r w:rsidR="00B13EDE" w:rsidRPr="00233772">
        <w:t xml:space="preserve"> (FCA Act)</w:t>
      </w:r>
      <w:r w:rsidR="006113FA" w:rsidRPr="00233772">
        <w:t>,</w:t>
      </w:r>
      <w:r w:rsidR="00404E3E" w:rsidRPr="00233772">
        <w:t xml:space="preserve"> that the relevant paragraphs in the pleadings relating to the </w:t>
      </w:r>
      <w:r w:rsidR="00B13EDE" w:rsidRPr="00233772">
        <w:t xml:space="preserve">making </w:t>
      </w:r>
      <w:r w:rsidR="00404E3E" w:rsidRPr="00233772">
        <w:t xml:space="preserve">and </w:t>
      </w:r>
      <w:r w:rsidR="00B13EDE" w:rsidRPr="00233772">
        <w:t xml:space="preserve">giving </w:t>
      </w:r>
      <w:r w:rsidR="00404E3E" w:rsidRPr="00233772">
        <w:t>effect to the Non-Targeting Arrangement, and giving effect to the Co-</w:t>
      </w:r>
      <w:r w:rsidR="005868B9" w:rsidRPr="00233772">
        <w:t>O</w:t>
      </w:r>
      <w:r w:rsidR="00404E3E" w:rsidRPr="00233772">
        <w:t>rdinated Approach Provision, be struck out.</w:t>
      </w:r>
    </w:p>
    <w:p w14:paraId="6C0B0663" w14:textId="1C1B48FE" w:rsidR="00404E3E" w:rsidRPr="0023167B" w:rsidRDefault="0076766E" w:rsidP="00404E3E">
      <w:pPr>
        <w:pStyle w:val="ParaNumbering"/>
      </w:pPr>
      <w:r w:rsidRPr="00233772">
        <w:t>For the reasons below</w:t>
      </w:r>
      <w:r w:rsidR="00B13EDE" w:rsidRPr="00233772">
        <w:t>,</w:t>
      </w:r>
      <w:r w:rsidRPr="00233772">
        <w:t xml:space="preserve"> the application to strike out </w:t>
      </w:r>
      <w:r w:rsidR="0096692A" w:rsidRPr="00233772">
        <w:t>[9]-[9G</w:t>
      </w:r>
      <w:r w:rsidR="0096692A" w:rsidRPr="00F1261A">
        <w:t xml:space="preserve">] </w:t>
      </w:r>
      <w:r w:rsidR="00AD074A" w:rsidRPr="00F1261A">
        <w:t>(set out at [</w:t>
      </w:r>
      <w:r w:rsidR="00AD074A" w:rsidRPr="00F1261A">
        <w:fldChar w:fldCharType="begin"/>
      </w:r>
      <w:r w:rsidR="00AD074A" w:rsidRPr="00F1261A">
        <w:instrText xml:space="preserve"> REF _Ref85116964 \r \h </w:instrText>
      </w:r>
      <w:r w:rsidR="008B590E" w:rsidRPr="00F1261A">
        <w:instrText xml:space="preserve"> \* MERGEFORMAT </w:instrText>
      </w:r>
      <w:r w:rsidR="00AD074A" w:rsidRPr="00F1261A">
        <w:fldChar w:fldCharType="separate"/>
      </w:r>
      <w:r w:rsidR="00F87C4E">
        <w:t>63</w:t>
      </w:r>
      <w:r w:rsidR="00AD074A" w:rsidRPr="00F1261A">
        <w:fldChar w:fldCharType="end"/>
      </w:r>
      <w:r w:rsidR="00AD074A" w:rsidRPr="00F1261A">
        <w:t>]</w:t>
      </w:r>
      <w:r w:rsidR="00D70B6A" w:rsidRPr="00F1261A">
        <w:t xml:space="preserve"> and [</w:t>
      </w:r>
      <w:r w:rsidR="00D70B6A" w:rsidRPr="00F1261A">
        <w:fldChar w:fldCharType="begin"/>
      </w:r>
      <w:r w:rsidR="00D70B6A" w:rsidRPr="00F1261A">
        <w:instrText xml:space="preserve"> REF _Ref85122777 \r \h </w:instrText>
      </w:r>
      <w:r w:rsidR="008B590E" w:rsidRPr="00F1261A">
        <w:instrText xml:space="preserve"> \* MERGEFORMAT </w:instrText>
      </w:r>
      <w:r w:rsidR="00D70B6A" w:rsidRPr="00F1261A">
        <w:fldChar w:fldCharType="separate"/>
      </w:r>
      <w:r w:rsidR="00F87C4E">
        <w:t>88</w:t>
      </w:r>
      <w:r w:rsidR="00D70B6A" w:rsidRPr="00F1261A">
        <w:fldChar w:fldCharType="end"/>
      </w:r>
      <w:r w:rsidR="00D70B6A" w:rsidRPr="00F1261A">
        <w:t>]</w:t>
      </w:r>
      <w:r w:rsidR="00AD074A" w:rsidRPr="00F1261A">
        <w:t xml:space="preserve">) </w:t>
      </w:r>
      <w:r w:rsidR="0096692A" w:rsidRPr="00F1261A">
        <w:t>a</w:t>
      </w:r>
      <w:r w:rsidR="0096692A" w:rsidRPr="00233772">
        <w:t>nd [18]-[19] of the ASOC and [1], [1A], [2] and [</w:t>
      </w:r>
      <w:r w:rsidR="0096692A" w:rsidRPr="0023167B">
        <w:t>4</w:t>
      </w:r>
      <w:r w:rsidR="0096692A" w:rsidRPr="00233772">
        <w:t xml:space="preserve">] </w:t>
      </w:r>
      <w:r w:rsidR="003C2FA4" w:rsidRPr="00233772">
        <w:t xml:space="preserve">of the AOA is </w:t>
      </w:r>
      <w:r w:rsidR="00BE061A" w:rsidRPr="00233772">
        <w:t>refused</w:t>
      </w:r>
      <w:r w:rsidR="0096692A" w:rsidRPr="00233772">
        <w:t xml:space="preserve">. </w:t>
      </w:r>
    </w:p>
    <w:p w14:paraId="7E00E36C" w14:textId="77777777" w:rsidR="004E1173" w:rsidRDefault="00290E9C" w:rsidP="00527BA7">
      <w:pPr>
        <w:pStyle w:val="Heading2"/>
      </w:pPr>
      <w:r w:rsidRPr="00233772">
        <w:t>Legal principles</w:t>
      </w:r>
      <w:r>
        <w:t xml:space="preserve"> </w:t>
      </w:r>
    </w:p>
    <w:p w14:paraId="03218FF6" w14:textId="77777777" w:rsidR="004E1173" w:rsidRPr="00577BD8" w:rsidRDefault="00CE1774" w:rsidP="004E1173">
      <w:pPr>
        <w:pStyle w:val="ParaNumbering"/>
      </w:pPr>
      <w:r w:rsidRPr="0020473A">
        <w:t>A</w:t>
      </w:r>
      <w:r w:rsidR="004E1173" w:rsidRPr="0020473A">
        <w:t xml:space="preserve"> strike out application is directed to the sufficiency of the pleadings or equivalent</w:t>
      </w:r>
      <w:r w:rsidR="004E1173" w:rsidRPr="0020473A">
        <w:rPr>
          <w:spacing w:val="-4"/>
        </w:rPr>
        <w:t xml:space="preserve"> </w:t>
      </w:r>
      <w:r w:rsidR="004E1173" w:rsidRPr="0020473A">
        <w:t>documentation</w:t>
      </w:r>
      <w:r w:rsidRPr="0020473A">
        <w:t>, as opposed to the underlying prospects of succe</w:t>
      </w:r>
      <w:r w:rsidR="00900C3A" w:rsidRPr="0020473A">
        <w:t>ss of the proceedings</w:t>
      </w:r>
      <w:r w:rsidR="004E1173" w:rsidRPr="0020473A">
        <w:t xml:space="preserve">: </w:t>
      </w:r>
      <w:r w:rsidR="004E1173" w:rsidRPr="00813AA1">
        <w:rPr>
          <w:i/>
          <w:szCs w:val="24"/>
        </w:rPr>
        <w:t>Spencer</w:t>
      </w:r>
      <w:r w:rsidR="004E1173" w:rsidRPr="000B50E4">
        <w:rPr>
          <w:i/>
          <w:spacing w:val="-5"/>
          <w:szCs w:val="24"/>
        </w:rPr>
        <w:t xml:space="preserve"> </w:t>
      </w:r>
      <w:r w:rsidR="004E1173" w:rsidRPr="00206EAB">
        <w:rPr>
          <w:i/>
          <w:szCs w:val="24"/>
        </w:rPr>
        <w:t>v</w:t>
      </w:r>
      <w:r w:rsidR="004E1173" w:rsidRPr="00206EAB">
        <w:rPr>
          <w:i/>
          <w:spacing w:val="-6"/>
          <w:szCs w:val="24"/>
        </w:rPr>
        <w:t xml:space="preserve"> </w:t>
      </w:r>
      <w:r w:rsidR="004E1173" w:rsidRPr="00206EAB">
        <w:rPr>
          <w:i/>
          <w:szCs w:val="24"/>
        </w:rPr>
        <w:t>Commonwealth</w:t>
      </w:r>
      <w:r w:rsidR="004E1173" w:rsidRPr="00206EAB">
        <w:rPr>
          <w:i/>
          <w:spacing w:val="-4"/>
          <w:sz w:val="18"/>
        </w:rPr>
        <w:t xml:space="preserve"> </w:t>
      </w:r>
      <w:r w:rsidR="004E1173" w:rsidRPr="00206EAB">
        <w:t xml:space="preserve">[2010] </w:t>
      </w:r>
      <w:r w:rsidR="004E1173" w:rsidRPr="00206EAB">
        <w:rPr>
          <w:szCs w:val="24"/>
        </w:rPr>
        <w:t>HCA 28; (2010)</w:t>
      </w:r>
      <w:r w:rsidR="004E1173" w:rsidRPr="00206EAB">
        <w:rPr>
          <w:spacing w:val="-4"/>
          <w:szCs w:val="24"/>
        </w:rPr>
        <w:t xml:space="preserve"> </w:t>
      </w:r>
      <w:r w:rsidR="004E1173" w:rsidRPr="00206EAB">
        <w:rPr>
          <w:szCs w:val="24"/>
        </w:rPr>
        <w:t>241</w:t>
      </w:r>
      <w:r w:rsidR="004E1173" w:rsidRPr="00206EAB">
        <w:rPr>
          <w:spacing w:val="-4"/>
          <w:szCs w:val="24"/>
        </w:rPr>
        <w:t xml:space="preserve"> </w:t>
      </w:r>
      <w:r w:rsidR="004E1173" w:rsidRPr="00206EAB">
        <w:rPr>
          <w:szCs w:val="24"/>
        </w:rPr>
        <w:t>CLR</w:t>
      </w:r>
      <w:r w:rsidR="004E1173" w:rsidRPr="00206EAB">
        <w:rPr>
          <w:spacing w:val="-7"/>
          <w:szCs w:val="24"/>
        </w:rPr>
        <w:t xml:space="preserve"> </w:t>
      </w:r>
      <w:r w:rsidR="004E1173" w:rsidRPr="00206EAB">
        <w:rPr>
          <w:szCs w:val="24"/>
        </w:rPr>
        <w:t>118</w:t>
      </w:r>
      <w:r w:rsidR="004E1173" w:rsidRPr="0020473A">
        <w:rPr>
          <w:spacing w:val="-6"/>
          <w:szCs w:val="24"/>
        </w:rPr>
        <w:t xml:space="preserve"> (</w:t>
      </w:r>
      <w:r w:rsidR="004E1173" w:rsidRPr="0020473A">
        <w:rPr>
          <w:i/>
          <w:spacing w:val="-6"/>
          <w:szCs w:val="24"/>
        </w:rPr>
        <w:t>Spencer</w:t>
      </w:r>
      <w:r w:rsidR="004E1173" w:rsidRPr="0020473A">
        <w:rPr>
          <w:spacing w:val="-6"/>
          <w:szCs w:val="24"/>
        </w:rPr>
        <w:t xml:space="preserve">) </w:t>
      </w:r>
      <w:r w:rsidR="004E1173" w:rsidRPr="0020473A">
        <w:rPr>
          <w:szCs w:val="24"/>
        </w:rPr>
        <w:t>at</w:t>
      </w:r>
      <w:r w:rsidR="004E1173" w:rsidRPr="0020473A">
        <w:rPr>
          <w:spacing w:val="-6"/>
          <w:szCs w:val="24"/>
        </w:rPr>
        <w:t xml:space="preserve"> [23]</w:t>
      </w:r>
      <w:r w:rsidR="006113FA" w:rsidRPr="0020473A">
        <w:rPr>
          <w:spacing w:val="-6"/>
          <w:szCs w:val="24"/>
        </w:rPr>
        <w:t xml:space="preserve">, </w:t>
      </w:r>
      <w:r w:rsidR="006113FA" w:rsidRPr="00745E29">
        <w:t xml:space="preserve">citing Lindgren J in </w:t>
      </w:r>
      <w:r w:rsidR="006113FA" w:rsidRPr="00813AA1">
        <w:rPr>
          <w:i/>
        </w:rPr>
        <w:t xml:space="preserve">White Industries Australia Ltd v Federal Commissioner of </w:t>
      </w:r>
      <w:r w:rsidR="006113FA" w:rsidRPr="000B50E4">
        <w:rPr>
          <w:i/>
        </w:rPr>
        <w:t>Taxation</w:t>
      </w:r>
      <w:r w:rsidR="006113FA" w:rsidRPr="000B50E4">
        <w:t xml:space="preserve"> [2007</w:t>
      </w:r>
      <w:r w:rsidR="00D13660" w:rsidRPr="000B50E4">
        <w:t>]</w:t>
      </w:r>
      <w:r w:rsidR="006113FA" w:rsidRPr="000B50E4">
        <w:t xml:space="preserve"> FCA 511; (2007) 160 FCR 298</w:t>
      </w:r>
      <w:r w:rsidR="006113FA" w:rsidRPr="00745E29">
        <w:t xml:space="preserve"> at 309</w:t>
      </w:r>
      <w:r w:rsidR="004E1173" w:rsidRPr="00745E29">
        <w:t>.</w:t>
      </w:r>
    </w:p>
    <w:p w14:paraId="399C8F3C" w14:textId="77777777" w:rsidR="004E1173" w:rsidRPr="004368C4" w:rsidRDefault="004E1173" w:rsidP="00D23528">
      <w:pPr>
        <w:pStyle w:val="ParaNumbering"/>
        <w:rPr>
          <w:sz w:val="12"/>
        </w:rPr>
      </w:pPr>
      <w:r w:rsidRPr="0020473A">
        <w:rPr>
          <w:lang w:val="en"/>
        </w:rPr>
        <w:t>Where the evidence shows that a person may have a reasonable cause of action or reasonable prospect</w:t>
      </w:r>
      <w:r w:rsidR="00A05FB1" w:rsidRPr="0020473A">
        <w:rPr>
          <w:lang w:val="en"/>
        </w:rPr>
        <w:t>s</w:t>
      </w:r>
      <w:r w:rsidRPr="0020473A">
        <w:rPr>
          <w:lang w:val="en"/>
        </w:rPr>
        <w:t xml:space="preserve"> of success, but the person’s pleading does not disclose that to be the case, the Court may be empowered to strike out the pleading under r 16.21</w:t>
      </w:r>
      <w:r w:rsidR="00DE036B" w:rsidRPr="0020473A">
        <w:rPr>
          <w:lang w:val="en"/>
        </w:rPr>
        <w:t>(1)(e)</w:t>
      </w:r>
      <w:r w:rsidRPr="0020473A">
        <w:rPr>
          <w:lang w:val="en"/>
        </w:rPr>
        <w:t xml:space="preserve"> </w:t>
      </w:r>
      <w:r w:rsidRPr="0020473A">
        <w:t>of the Rules</w:t>
      </w:r>
      <w:r w:rsidR="00CE1774" w:rsidRPr="0020473A">
        <w:rPr>
          <w:lang w:val="en"/>
        </w:rPr>
        <w:t>.</w:t>
      </w:r>
      <w:r w:rsidRPr="0020473A">
        <w:rPr>
          <w:lang w:val="en"/>
        </w:rPr>
        <w:t xml:space="preserve"> </w:t>
      </w:r>
      <w:r w:rsidRPr="0020473A">
        <w:t>An application for the striking out of pleadings may be made on one or more of the grounds in r 16.21, which relevantly include that the pleading:</w:t>
      </w:r>
      <w:bookmarkStart w:id="22" w:name="9.1._contains_frivolous_or_vexatious_mat"/>
      <w:bookmarkEnd w:id="22"/>
      <w:r w:rsidRPr="0020473A">
        <w:rPr>
          <w:sz w:val="12"/>
        </w:rPr>
        <w:t xml:space="preserve"> </w:t>
      </w:r>
      <w:r w:rsidRPr="0020473A">
        <w:t>contains frivolous or vexatious</w:t>
      </w:r>
      <w:r w:rsidRPr="0020473A">
        <w:rPr>
          <w:spacing w:val="-3"/>
        </w:rPr>
        <w:t xml:space="preserve"> </w:t>
      </w:r>
      <w:r w:rsidRPr="0020473A">
        <w:t>material: r 16.21</w:t>
      </w:r>
      <w:r w:rsidR="00DE036B" w:rsidRPr="0020473A">
        <w:t>(1)</w:t>
      </w:r>
      <w:r w:rsidRPr="0020473A">
        <w:t>(b);</w:t>
      </w:r>
      <w:bookmarkStart w:id="23" w:name="9.2._is_evasive_or_ambiguous;"/>
      <w:bookmarkEnd w:id="23"/>
      <w:r w:rsidRPr="0020473A">
        <w:t xml:space="preserve"> is </w:t>
      </w:r>
      <w:r w:rsidRPr="0020473A">
        <w:lastRenderedPageBreak/>
        <w:t>evasive or</w:t>
      </w:r>
      <w:r w:rsidRPr="0020473A">
        <w:rPr>
          <w:spacing w:val="2"/>
        </w:rPr>
        <w:t xml:space="preserve"> </w:t>
      </w:r>
      <w:r w:rsidRPr="0020473A">
        <w:t>ambiguous: r 16.21</w:t>
      </w:r>
      <w:r w:rsidR="00DE036B" w:rsidRPr="0020473A">
        <w:t>(1)</w:t>
      </w:r>
      <w:r w:rsidRPr="0020473A">
        <w:t>(c);</w:t>
      </w:r>
      <w:bookmarkStart w:id="24" w:name="9.3._is_likely_to_cause_prejudice,_embar"/>
      <w:bookmarkEnd w:id="24"/>
      <w:r w:rsidRPr="0020473A">
        <w:rPr>
          <w:sz w:val="12"/>
        </w:rPr>
        <w:t xml:space="preserve"> </w:t>
      </w:r>
      <w:r w:rsidRPr="0020473A">
        <w:t>is likely to cause prejudice, embarrassment or delay in the</w:t>
      </w:r>
      <w:r w:rsidRPr="0020473A">
        <w:rPr>
          <w:spacing w:val="-13"/>
        </w:rPr>
        <w:t xml:space="preserve"> </w:t>
      </w:r>
      <w:r w:rsidRPr="0020473A">
        <w:t>proceeding: r 16.21</w:t>
      </w:r>
      <w:r w:rsidR="00DE036B" w:rsidRPr="0020473A">
        <w:t>(1)</w:t>
      </w:r>
      <w:r w:rsidRPr="0020473A">
        <w:t>(d);</w:t>
      </w:r>
      <w:bookmarkStart w:id="25" w:name="9.4._fails_to_disclose_a_reasonable_caus"/>
      <w:bookmarkEnd w:id="25"/>
      <w:r w:rsidRPr="0020473A">
        <w:rPr>
          <w:sz w:val="12"/>
        </w:rPr>
        <w:t xml:space="preserve"> </w:t>
      </w:r>
      <w:r w:rsidRPr="0020473A">
        <w:t>fails</w:t>
      </w:r>
      <w:r w:rsidRPr="0020473A">
        <w:rPr>
          <w:spacing w:val="-8"/>
        </w:rPr>
        <w:t xml:space="preserve"> </w:t>
      </w:r>
      <w:r w:rsidRPr="0020473A">
        <w:t>to</w:t>
      </w:r>
      <w:r w:rsidRPr="0020473A">
        <w:rPr>
          <w:spacing w:val="-11"/>
        </w:rPr>
        <w:t xml:space="preserve"> </w:t>
      </w:r>
      <w:r w:rsidRPr="0020473A">
        <w:t>disclose</w:t>
      </w:r>
      <w:r w:rsidRPr="0020473A">
        <w:rPr>
          <w:spacing w:val="-11"/>
        </w:rPr>
        <w:t xml:space="preserve"> </w:t>
      </w:r>
      <w:r w:rsidRPr="0020473A">
        <w:t>a</w:t>
      </w:r>
      <w:r w:rsidRPr="0020473A">
        <w:rPr>
          <w:spacing w:val="-11"/>
        </w:rPr>
        <w:t xml:space="preserve"> </w:t>
      </w:r>
      <w:r w:rsidRPr="0020473A">
        <w:t>reasonable</w:t>
      </w:r>
      <w:r w:rsidRPr="0020473A">
        <w:rPr>
          <w:spacing w:val="-9"/>
        </w:rPr>
        <w:t xml:space="preserve"> </w:t>
      </w:r>
      <w:r w:rsidRPr="0020473A">
        <w:t>cause</w:t>
      </w:r>
      <w:r w:rsidRPr="0020473A">
        <w:rPr>
          <w:spacing w:val="-11"/>
        </w:rPr>
        <w:t xml:space="preserve"> </w:t>
      </w:r>
      <w:r w:rsidRPr="0020473A">
        <w:t>of</w:t>
      </w:r>
      <w:r w:rsidRPr="0020473A">
        <w:rPr>
          <w:spacing w:val="-7"/>
        </w:rPr>
        <w:t xml:space="preserve"> </w:t>
      </w:r>
      <w:r w:rsidRPr="0020473A">
        <w:t>action</w:t>
      </w:r>
      <w:r w:rsidRPr="0020473A">
        <w:rPr>
          <w:spacing w:val="-9"/>
        </w:rPr>
        <w:t xml:space="preserve"> </w:t>
      </w:r>
      <w:r w:rsidRPr="0020473A">
        <w:t>or</w:t>
      </w:r>
      <w:r w:rsidRPr="0020473A">
        <w:rPr>
          <w:spacing w:val="-10"/>
        </w:rPr>
        <w:t xml:space="preserve"> </w:t>
      </w:r>
      <w:r w:rsidRPr="0020473A">
        <w:t>defence</w:t>
      </w:r>
      <w:r w:rsidRPr="0020473A">
        <w:rPr>
          <w:spacing w:val="-11"/>
        </w:rPr>
        <w:t xml:space="preserve"> </w:t>
      </w:r>
      <w:r w:rsidRPr="0020473A">
        <w:t>or</w:t>
      </w:r>
      <w:r w:rsidRPr="0020473A">
        <w:rPr>
          <w:spacing w:val="-10"/>
        </w:rPr>
        <w:t xml:space="preserve"> </w:t>
      </w:r>
      <w:r w:rsidRPr="0020473A">
        <w:t>other</w:t>
      </w:r>
      <w:r w:rsidRPr="0020473A">
        <w:rPr>
          <w:spacing w:val="-10"/>
        </w:rPr>
        <w:t xml:space="preserve"> </w:t>
      </w:r>
      <w:r w:rsidRPr="0020473A">
        <w:t>case</w:t>
      </w:r>
      <w:r w:rsidRPr="0020473A">
        <w:rPr>
          <w:spacing w:val="-10"/>
        </w:rPr>
        <w:t xml:space="preserve"> </w:t>
      </w:r>
      <w:r w:rsidRPr="0020473A">
        <w:t>appropriate to the nature of the pleading: r 16.21</w:t>
      </w:r>
      <w:r w:rsidR="00DE036B" w:rsidRPr="0020473A">
        <w:t>(1)</w:t>
      </w:r>
      <w:r w:rsidRPr="0020473A">
        <w:t>(e);</w:t>
      </w:r>
      <w:r w:rsidRPr="0020473A">
        <w:rPr>
          <w:spacing w:val="-6"/>
        </w:rPr>
        <w:t xml:space="preserve"> </w:t>
      </w:r>
      <w:r w:rsidRPr="0020473A">
        <w:t>or</w:t>
      </w:r>
      <w:bookmarkStart w:id="26" w:name="9.5._is_otherwise_an_abuse_of_the_proces"/>
      <w:bookmarkEnd w:id="26"/>
      <w:r w:rsidRPr="0020473A">
        <w:rPr>
          <w:sz w:val="12"/>
        </w:rPr>
        <w:t xml:space="preserve"> </w:t>
      </w:r>
      <w:r w:rsidRPr="0020473A">
        <w:t xml:space="preserve">is otherwise an abuse of the process </w:t>
      </w:r>
      <w:r w:rsidRPr="004368C4">
        <w:t>of the</w:t>
      </w:r>
      <w:r w:rsidRPr="004368C4">
        <w:rPr>
          <w:spacing w:val="-7"/>
        </w:rPr>
        <w:t xml:space="preserve"> </w:t>
      </w:r>
      <w:r w:rsidRPr="004368C4">
        <w:t>Court: r 16.21</w:t>
      </w:r>
      <w:r w:rsidR="00DE036B" w:rsidRPr="004368C4">
        <w:t>(1)</w:t>
      </w:r>
      <w:r w:rsidRPr="004368C4">
        <w:t>(f).</w:t>
      </w:r>
    </w:p>
    <w:p w14:paraId="462FB37C" w14:textId="77777777" w:rsidR="004E1173" w:rsidRPr="004368C4" w:rsidRDefault="004E1173" w:rsidP="0020473A">
      <w:pPr>
        <w:pStyle w:val="ParaNumbering"/>
      </w:pPr>
      <w:bookmarkStart w:id="27" w:name="_Ref84590848"/>
      <w:r w:rsidRPr="004368C4">
        <w:t xml:space="preserve">Rule 16.21 is critically concerned with the sufficiency of the pleadings. </w:t>
      </w:r>
      <w:r w:rsidR="0023388E" w:rsidRPr="004368C4">
        <w:t xml:space="preserve">Rule 16.02 sets out the </w:t>
      </w:r>
      <w:r w:rsidR="00151AAE" w:rsidRPr="004368C4">
        <w:t xml:space="preserve">general </w:t>
      </w:r>
      <w:r w:rsidR="0023388E" w:rsidRPr="004368C4">
        <w:t xml:space="preserve">rules </w:t>
      </w:r>
      <w:r w:rsidR="00151AAE" w:rsidRPr="004368C4">
        <w:t>concerning</w:t>
      </w:r>
      <w:r w:rsidR="0020473A" w:rsidRPr="004368C4">
        <w:t xml:space="preserve"> the content of pleadings. </w:t>
      </w:r>
      <w:r w:rsidR="0023388E" w:rsidRPr="004368C4">
        <w:t>The failure to comply with any of the rules in r 16.02</w:t>
      </w:r>
      <w:r w:rsidR="00A448EC">
        <w:t>(2)</w:t>
      </w:r>
      <w:r w:rsidR="0023388E" w:rsidRPr="004368C4">
        <w:t xml:space="preserve"> may found an application </w:t>
      </w:r>
      <w:r w:rsidR="00151AAE" w:rsidRPr="004368C4">
        <w:t>to</w:t>
      </w:r>
      <w:r w:rsidR="0023388E" w:rsidRPr="004368C4">
        <w:t xml:space="preserve"> strike out a pleading un</w:t>
      </w:r>
      <w:r w:rsidR="0020473A" w:rsidRPr="004368C4">
        <w:t xml:space="preserve">der r 16.21. </w:t>
      </w:r>
      <w:r w:rsidRPr="004368C4">
        <w:t xml:space="preserve">The requirements for a pleading were described in </w:t>
      </w:r>
      <w:r w:rsidRPr="00813AA1">
        <w:rPr>
          <w:i/>
        </w:rPr>
        <w:t xml:space="preserve">Wride v Schulze </w:t>
      </w:r>
      <w:r w:rsidRPr="000B50E4">
        <w:t>[2004] FCAFC 216</w:t>
      </w:r>
      <w:r w:rsidRPr="004368C4">
        <w:t xml:space="preserve"> at [25] as follows:</w:t>
      </w:r>
      <w:bookmarkEnd w:id="27"/>
      <w:r w:rsidRPr="004368C4">
        <w:t xml:space="preserve">  </w:t>
      </w:r>
      <w:bookmarkStart w:id="28" w:name="[T]he_pleadings_must_disclose_a_reasonab"/>
      <w:bookmarkEnd w:id="28"/>
    </w:p>
    <w:p w14:paraId="2F057FDA" w14:textId="77777777" w:rsidR="004E1173" w:rsidRPr="004368C4" w:rsidRDefault="004E1173" w:rsidP="004E1173">
      <w:pPr>
        <w:pStyle w:val="Quote1"/>
      </w:pPr>
      <w:r w:rsidRPr="004368C4">
        <w:t>[T]he</w:t>
      </w:r>
      <w:r w:rsidRPr="004368C4">
        <w:rPr>
          <w:spacing w:val="-18"/>
        </w:rPr>
        <w:t xml:space="preserve"> </w:t>
      </w:r>
      <w:r w:rsidRPr="004368C4">
        <w:t>pleadings</w:t>
      </w:r>
      <w:r w:rsidRPr="004368C4">
        <w:rPr>
          <w:spacing w:val="-15"/>
        </w:rPr>
        <w:t xml:space="preserve"> </w:t>
      </w:r>
      <w:r w:rsidRPr="004368C4">
        <w:t>must</w:t>
      </w:r>
      <w:r w:rsidRPr="004368C4">
        <w:rPr>
          <w:spacing w:val="-17"/>
        </w:rPr>
        <w:t xml:space="preserve"> </w:t>
      </w:r>
      <w:r w:rsidRPr="004368C4">
        <w:t>disclose</w:t>
      </w:r>
      <w:r w:rsidRPr="004368C4">
        <w:rPr>
          <w:spacing w:val="-17"/>
        </w:rPr>
        <w:t xml:space="preserve"> </w:t>
      </w:r>
      <w:r w:rsidRPr="004368C4">
        <w:t>a</w:t>
      </w:r>
      <w:r w:rsidRPr="004368C4">
        <w:rPr>
          <w:spacing w:val="-18"/>
        </w:rPr>
        <w:t xml:space="preserve"> </w:t>
      </w:r>
      <w:r w:rsidRPr="004368C4">
        <w:t>reasonable</w:t>
      </w:r>
      <w:r w:rsidRPr="004368C4">
        <w:rPr>
          <w:spacing w:val="-17"/>
        </w:rPr>
        <w:t xml:space="preserve"> </w:t>
      </w:r>
      <w:r w:rsidRPr="004368C4">
        <w:t>cause</w:t>
      </w:r>
      <w:r w:rsidRPr="004368C4">
        <w:rPr>
          <w:spacing w:val="-18"/>
        </w:rPr>
        <w:t xml:space="preserve"> </w:t>
      </w:r>
      <w:r w:rsidRPr="004368C4">
        <w:t>of</w:t>
      </w:r>
      <w:r w:rsidRPr="004368C4">
        <w:rPr>
          <w:spacing w:val="-14"/>
        </w:rPr>
        <w:t xml:space="preserve"> </w:t>
      </w:r>
      <w:r w:rsidRPr="004368C4">
        <w:t>action</w:t>
      </w:r>
      <w:r w:rsidRPr="004368C4">
        <w:rPr>
          <w:spacing w:val="-15"/>
        </w:rPr>
        <w:t xml:space="preserve"> </w:t>
      </w:r>
      <w:r w:rsidRPr="004368C4">
        <w:t>against</w:t>
      </w:r>
      <w:r w:rsidRPr="004368C4">
        <w:rPr>
          <w:spacing w:val="-16"/>
        </w:rPr>
        <w:t xml:space="preserve"> </w:t>
      </w:r>
      <w:r w:rsidRPr="004368C4">
        <w:t>the</w:t>
      </w:r>
      <w:r w:rsidRPr="004368C4">
        <w:rPr>
          <w:spacing w:val="-15"/>
        </w:rPr>
        <w:t xml:space="preserve"> </w:t>
      </w:r>
      <w:r w:rsidRPr="004368C4">
        <w:t>party</w:t>
      </w:r>
      <w:r w:rsidRPr="004368C4">
        <w:rPr>
          <w:spacing w:val="-17"/>
        </w:rPr>
        <w:t xml:space="preserve"> </w:t>
      </w:r>
      <w:r w:rsidRPr="004368C4">
        <w:t>against whom the cause of action is brought and must state all material facts necessary to establish that cause of action and the relief sought. A “reasonable cause of action” for</w:t>
      </w:r>
      <w:r w:rsidRPr="004368C4">
        <w:rPr>
          <w:spacing w:val="-10"/>
        </w:rPr>
        <w:t xml:space="preserve"> </w:t>
      </w:r>
      <w:r w:rsidRPr="004368C4">
        <w:t>this</w:t>
      </w:r>
      <w:r w:rsidRPr="004368C4">
        <w:rPr>
          <w:spacing w:val="-9"/>
        </w:rPr>
        <w:t xml:space="preserve"> </w:t>
      </w:r>
      <w:r w:rsidRPr="004368C4">
        <w:t>purpose</w:t>
      </w:r>
      <w:r w:rsidRPr="004368C4">
        <w:rPr>
          <w:spacing w:val="-8"/>
        </w:rPr>
        <w:t xml:space="preserve"> </w:t>
      </w:r>
      <w:r w:rsidRPr="004368C4">
        <w:t>means</w:t>
      </w:r>
      <w:r w:rsidRPr="004368C4">
        <w:rPr>
          <w:spacing w:val="-9"/>
        </w:rPr>
        <w:t xml:space="preserve"> </w:t>
      </w:r>
      <w:r w:rsidRPr="004368C4">
        <w:t>one</w:t>
      </w:r>
      <w:r w:rsidRPr="004368C4">
        <w:rPr>
          <w:spacing w:val="-7"/>
        </w:rPr>
        <w:t xml:space="preserve"> </w:t>
      </w:r>
      <w:r w:rsidRPr="004368C4">
        <w:t>which</w:t>
      </w:r>
      <w:r w:rsidRPr="004368C4">
        <w:rPr>
          <w:spacing w:val="-8"/>
        </w:rPr>
        <w:t xml:space="preserve"> </w:t>
      </w:r>
      <w:r w:rsidRPr="004368C4">
        <w:t>has</w:t>
      </w:r>
      <w:r w:rsidRPr="004368C4">
        <w:rPr>
          <w:spacing w:val="-9"/>
        </w:rPr>
        <w:t xml:space="preserve"> </w:t>
      </w:r>
      <w:r w:rsidRPr="004368C4">
        <w:t>some</w:t>
      </w:r>
      <w:r w:rsidRPr="004368C4">
        <w:rPr>
          <w:spacing w:val="-10"/>
        </w:rPr>
        <w:t xml:space="preserve"> </w:t>
      </w:r>
      <w:r w:rsidRPr="004368C4">
        <w:t>chance</w:t>
      </w:r>
      <w:r w:rsidRPr="004368C4">
        <w:rPr>
          <w:spacing w:val="-9"/>
        </w:rPr>
        <w:t xml:space="preserve"> </w:t>
      </w:r>
      <w:r w:rsidRPr="004368C4">
        <w:t>of</w:t>
      </w:r>
      <w:r w:rsidRPr="004368C4">
        <w:rPr>
          <w:spacing w:val="-5"/>
        </w:rPr>
        <w:t xml:space="preserve"> </w:t>
      </w:r>
      <w:r w:rsidRPr="004368C4">
        <w:t>success</w:t>
      </w:r>
      <w:r w:rsidRPr="004368C4">
        <w:rPr>
          <w:spacing w:val="-9"/>
        </w:rPr>
        <w:t xml:space="preserve"> </w:t>
      </w:r>
      <w:r w:rsidRPr="004368C4">
        <w:t>if</w:t>
      </w:r>
      <w:r w:rsidRPr="004368C4">
        <w:rPr>
          <w:spacing w:val="-9"/>
        </w:rPr>
        <w:t xml:space="preserve"> </w:t>
      </w:r>
      <w:r w:rsidRPr="004368C4">
        <w:t>regard</w:t>
      </w:r>
      <w:r w:rsidRPr="004368C4">
        <w:rPr>
          <w:spacing w:val="-8"/>
        </w:rPr>
        <w:t xml:space="preserve"> </w:t>
      </w:r>
      <w:r w:rsidRPr="004368C4">
        <w:t>is</w:t>
      </w:r>
      <w:r w:rsidRPr="004368C4">
        <w:rPr>
          <w:spacing w:val="-9"/>
        </w:rPr>
        <w:t xml:space="preserve"> </w:t>
      </w:r>
      <w:r w:rsidRPr="004368C4">
        <w:t>had</w:t>
      </w:r>
      <w:r w:rsidRPr="004368C4">
        <w:rPr>
          <w:spacing w:val="-8"/>
        </w:rPr>
        <w:t xml:space="preserve"> </w:t>
      </w:r>
      <w:r w:rsidRPr="004368C4">
        <w:t>only to the allegations and the pleadings relied on by the</w:t>
      </w:r>
      <w:r w:rsidRPr="004368C4">
        <w:rPr>
          <w:spacing w:val="-10"/>
        </w:rPr>
        <w:t xml:space="preserve"> </w:t>
      </w:r>
      <w:r w:rsidRPr="004368C4">
        <w:t>applicant.</w:t>
      </w:r>
    </w:p>
    <w:p w14:paraId="0106A5F1" w14:textId="77777777" w:rsidR="00CE1774" w:rsidRPr="00CE1774" w:rsidRDefault="00F12E12" w:rsidP="00CE1774">
      <w:pPr>
        <w:pStyle w:val="ParaNumbering"/>
      </w:pPr>
      <w:r>
        <w:t xml:space="preserve">The general principles concerning the Court’s power to strike out a pleading were </w:t>
      </w:r>
      <w:r w:rsidR="008052E3">
        <w:t xml:space="preserve">summarised </w:t>
      </w:r>
      <w:r>
        <w:t>in</w:t>
      </w:r>
      <w:r w:rsidR="00CE1774" w:rsidRPr="00CE1774">
        <w:t xml:space="preserve"> </w:t>
      </w:r>
      <w:r w:rsidR="00CE1774" w:rsidRPr="00813AA1">
        <w:rPr>
          <w:i/>
        </w:rPr>
        <w:t xml:space="preserve">Polar Aviation Pty Ltd v Civil Aviation Safety Authority </w:t>
      </w:r>
      <w:r w:rsidR="00077452" w:rsidRPr="000B50E4">
        <w:t xml:space="preserve">[2012] FCAFC 97; </w:t>
      </w:r>
      <w:r w:rsidR="00CE1774" w:rsidRPr="000B50E4">
        <w:t>(2012) 203 FCR 32</w:t>
      </w:r>
      <w:r w:rsidR="00CE1774" w:rsidRPr="00CE1774">
        <w:t>5</w:t>
      </w:r>
      <w:r w:rsidR="0030176B">
        <w:t xml:space="preserve"> (</w:t>
      </w:r>
      <w:r w:rsidR="0030176B">
        <w:rPr>
          <w:i/>
        </w:rPr>
        <w:t>Polar Aviation</w:t>
      </w:r>
      <w:r w:rsidR="0030176B">
        <w:t xml:space="preserve">) </w:t>
      </w:r>
      <w:r w:rsidR="00CE1774" w:rsidRPr="00CE1774">
        <w:t>at [43]</w:t>
      </w:r>
      <w:r w:rsidR="00077452">
        <w:t xml:space="preserve">, citing Beaumont J in </w:t>
      </w:r>
      <w:r w:rsidR="005062C0" w:rsidRPr="00813AA1">
        <w:rPr>
          <w:i/>
        </w:rPr>
        <w:t>Allstate Life Insurance Co</w:t>
      </w:r>
      <w:r w:rsidR="00077452" w:rsidRPr="000B50E4">
        <w:rPr>
          <w:i/>
        </w:rPr>
        <w:t xml:space="preserve"> v Australia &amp; New Zealand Banking Group Ltd </w:t>
      </w:r>
      <w:r w:rsidR="00077452" w:rsidRPr="00206EAB">
        <w:t xml:space="preserve">[1994] FCA </w:t>
      </w:r>
      <w:r w:rsidR="007D6054" w:rsidRPr="00206EAB">
        <w:t>6</w:t>
      </w:r>
      <w:r w:rsidR="00077452" w:rsidRPr="00206EAB">
        <w:t>36; (1994) 217 ALR 226</w:t>
      </w:r>
      <w:r w:rsidR="00077452">
        <w:t xml:space="preserve"> </w:t>
      </w:r>
      <w:r w:rsidR="00F3574D">
        <w:t>(</w:t>
      </w:r>
      <w:r w:rsidR="00F3574D">
        <w:rPr>
          <w:i/>
        </w:rPr>
        <w:t>Allstate</w:t>
      </w:r>
      <w:r w:rsidR="00F3574D">
        <w:t xml:space="preserve">) </w:t>
      </w:r>
      <w:r w:rsidR="00077452">
        <w:t>at 236</w:t>
      </w:r>
      <w:r w:rsidR="00CE1774" w:rsidRPr="00CE1774">
        <w:t>.</w:t>
      </w:r>
    </w:p>
    <w:p w14:paraId="7718B68F" w14:textId="77777777" w:rsidR="00DB0809" w:rsidRPr="004368C4" w:rsidRDefault="004E1173" w:rsidP="00DB0809">
      <w:pPr>
        <w:pStyle w:val="ParaNumbering"/>
        <w:rPr>
          <w:szCs w:val="24"/>
        </w:rPr>
      </w:pPr>
      <w:r w:rsidRPr="004368C4">
        <w:rPr>
          <w:szCs w:val="24"/>
        </w:rPr>
        <w:t>A</w:t>
      </w:r>
      <w:r w:rsidRPr="004368C4">
        <w:rPr>
          <w:spacing w:val="-5"/>
          <w:szCs w:val="24"/>
        </w:rPr>
        <w:t xml:space="preserve"> </w:t>
      </w:r>
      <w:r w:rsidRPr="004368C4">
        <w:rPr>
          <w:szCs w:val="24"/>
        </w:rPr>
        <w:t>pleading</w:t>
      </w:r>
      <w:r w:rsidRPr="004368C4">
        <w:rPr>
          <w:spacing w:val="-2"/>
          <w:szCs w:val="24"/>
        </w:rPr>
        <w:t xml:space="preserve"> </w:t>
      </w:r>
      <w:r w:rsidRPr="004368C4">
        <w:rPr>
          <w:szCs w:val="24"/>
        </w:rPr>
        <w:t>will</w:t>
      </w:r>
      <w:r w:rsidRPr="004368C4">
        <w:rPr>
          <w:spacing w:val="-6"/>
          <w:szCs w:val="24"/>
        </w:rPr>
        <w:t xml:space="preserve"> </w:t>
      </w:r>
      <w:r w:rsidRPr="004368C4">
        <w:rPr>
          <w:szCs w:val="24"/>
        </w:rPr>
        <w:t>be</w:t>
      </w:r>
      <w:r w:rsidRPr="004368C4">
        <w:rPr>
          <w:spacing w:val="-4"/>
          <w:szCs w:val="24"/>
        </w:rPr>
        <w:t xml:space="preserve"> </w:t>
      </w:r>
      <w:r w:rsidRPr="004368C4">
        <w:rPr>
          <w:szCs w:val="24"/>
        </w:rPr>
        <w:t>insufficiently</w:t>
      </w:r>
      <w:r w:rsidRPr="004368C4">
        <w:rPr>
          <w:spacing w:val="-6"/>
          <w:szCs w:val="24"/>
        </w:rPr>
        <w:t xml:space="preserve"> </w:t>
      </w:r>
      <w:r w:rsidRPr="004368C4">
        <w:rPr>
          <w:szCs w:val="24"/>
        </w:rPr>
        <w:t>specific</w:t>
      </w:r>
      <w:r w:rsidRPr="004368C4">
        <w:rPr>
          <w:spacing w:val="-4"/>
          <w:szCs w:val="24"/>
        </w:rPr>
        <w:t xml:space="preserve"> </w:t>
      </w:r>
      <w:r w:rsidRPr="004368C4">
        <w:rPr>
          <w:szCs w:val="24"/>
        </w:rPr>
        <w:t>where</w:t>
      </w:r>
      <w:r w:rsidRPr="004368C4">
        <w:rPr>
          <w:spacing w:val="-4"/>
          <w:szCs w:val="24"/>
        </w:rPr>
        <w:t xml:space="preserve"> </w:t>
      </w:r>
      <w:r w:rsidRPr="004368C4">
        <w:rPr>
          <w:szCs w:val="24"/>
        </w:rPr>
        <w:t>it</w:t>
      </w:r>
      <w:r w:rsidRPr="004368C4">
        <w:rPr>
          <w:spacing w:val="-3"/>
          <w:szCs w:val="24"/>
        </w:rPr>
        <w:t xml:space="preserve"> </w:t>
      </w:r>
      <w:r w:rsidRPr="004368C4">
        <w:rPr>
          <w:szCs w:val="24"/>
        </w:rPr>
        <w:t>is</w:t>
      </w:r>
      <w:r w:rsidRPr="004368C4">
        <w:rPr>
          <w:spacing w:val="-9"/>
          <w:szCs w:val="24"/>
        </w:rPr>
        <w:t xml:space="preserve"> </w:t>
      </w:r>
      <w:r w:rsidRPr="004368C4">
        <w:rPr>
          <w:szCs w:val="24"/>
        </w:rPr>
        <w:t>cast</w:t>
      </w:r>
      <w:r w:rsidRPr="004368C4">
        <w:rPr>
          <w:spacing w:val="-3"/>
          <w:szCs w:val="24"/>
        </w:rPr>
        <w:t xml:space="preserve"> </w:t>
      </w:r>
      <w:r w:rsidRPr="004368C4">
        <w:rPr>
          <w:szCs w:val="24"/>
        </w:rPr>
        <w:t>at</w:t>
      </w:r>
      <w:r w:rsidRPr="004368C4">
        <w:rPr>
          <w:spacing w:val="-4"/>
          <w:szCs w:val="24"/>
        </w:rPr>
        <w:t xml:space="preserve"> </w:t>
      </w:r>
      <w:r w:rsidRPr="004368C4">
        <w:rPr>
          <w:szCs w:val="24"/>
        </w:rPr>
        <w:t>such</w:t>
      </w:r>
      <w:r w:rsidRPr="004368C4">
        <w:rPr>
          <w:spacing w:val="-4"/>
          <w:szCs w:val="24"/>
        </w:rPr>
        <w:t xml:space="preserve"> </w:t>
      </w:r>
      <w:r w:rsidRPr="004368C4">
        <w:rPr>
          <w:szCs w:val="24"/>
        </w:rPr>
        <w:t>a</w:t>
      </w:r>
      <w:r w:rsidRPr="004368C4">
        <w:rPr>
          <w:spacing w:val="-5"/>
          <w:szCs w:val="24"/>
        </w:rPr>
        <w:t xml:space="preserve"> </w:t>
      </w:r>
      <w:r w:rsidRPr="004368C4">
        <w:rPr>
          <w:szCs w:val="24"/>
        </w:rPr>
        <w:t>high</w:t>
      </w:r>
      <w:r w:rsidRPr="004368C4">
        <w:rPr>
          <w:spacing w:val="-4"/>
          <w:szCs w:val="24"/>
        </w:rPr>
        <w:t xml:space="preserve"> </w:t>
      </w:r>
      <w:r w:rsidRPr="004368C4">
        <w:rPr>
          <w:szCs w:val="24"/>
        </w:rPr>
        <w:t>level</w:t>
      </w:r>
      <w:r w:rsidRPr="004368C4">
        <w:rPr>
          <w:spacing w:val="-5"/>
          <w:szCs w:val="24"/>
        </w:rPr>
        <w:t xml:space="preserve"> </w:t>
      </w:r>
      <w:r w:rsidRPr="004368C4">
        <w:rPr>
          <w:szCs w:val="24"/>
        </w:rPr>
        <w:t>of</w:t>
      </w:r>
      <w:r w:rsidRPr="004368C4">
        <w:rPr>
          <w:spacing w:val="-4"/>
          <w:szCs w:val="24"/>
        </w:rPr>
        <w:t xml:space="preserve"> </w:t>
      </w:r>
      <w:r w:rsidRPr="004368C4">
        <w:rPr>
          <w:szCs w:val="24"/>
        </w:rPr>
        <w:t xml:space="preserve">generality that it fails to inform the respondents of the case they have to meet: </w:t>
      </w:r>
      <w:r w:rsidRPr="00813AA1">
        <w:rPr>
          <w:i/>
          <w:szCs w:val="24"/>
        </w:rPr>
        <w:t>Charlie</w:t>
      </w:r>
      <w:r w:rsidRPr="000B50E4">
        <w:rPr>
          <w:i/>
          <w:spacing w:val="-11"/>
          <w:szCs w:val="24"/>
        </w:rPr>
        <w:t xml:space="preserve"> </w:t>
      </w:r>
      <w:r w:rsidRPr="000B50E4">
        <w:rPr>
          <w:i/>
          <w:szCs w:val="24"/>
        </w:rPr>
        <w:t>Carter</w:t>
      </w:r>
      <w:r w:rsidRPr="000B50E4">
        <w:rPr>
          <w:i/>
          <w:spacing w:val="-8"/>
          <w:szCs w:val="24"/>
        </w:rPr>
        <w:t xml:space="preserve"> </w:t>
      </w:r>
      <w:r w:rsidRPr="000B50E4">
        <w:rPr>
          <w:i/>
          <w:szCs w:val="24"/>
        </w:rPr>
        <w:t>Pty</w:t>
      </w:r>
      <w:r w:rsidRPr="000B50E4">
        <w:rPr>
          <w:i/>
          <w:spacing w:val="-9"/>
          <w:szCs w:val="24"/>
        </w:rPr>
        <w:t xml:space="preserve"> </w:t>
      </w:r>
      <w:r w:rsidRPr="00FD71D0">
        <w:rPr>
          <w:i/>
          <w:szCs w:val="24"/>
        </w:rPr>
        <w:t>Ltd</w:t>
      </w:r>
      <w:r w:rsidRPr="00E757CF">
        <w:rPr>
          <w:i/>
          <w:spacing w:val="-10"/>
          <w:szCs w:val="24"/>
        </w:rPr>
        <w:t xml:space="preserve"> </w:t>
      </w:r>
      <w:r w:rsidRPr="00E757CF">
        <w:rPr>
          <w:i/>
          <w:szCs w:val="24"/>
        </w:rPr>
        <w:t>v</w:t>
      </w:r>
      <w:r w:rsidRPr="00E757CF">
        <w:rPr>
          <w:i/>
          <w:spacing w:val="-10"/>
          <w:szCs w:val="24"/>
        </w:rPr>
        <w:t xml:space="preserve"> </w:t>
      </w:r>
      <w:r w:rsidRPr="00E757CF">
        <w:rPr>
          <w:i/>
          <w:szCs w:val="24"/>
        </w:rPr>
        <w:t>The</w:t>
      </w:r>
      <w:r w:rsidRPr="00E757CF">
        <w:rPr>
          <w:i/>
          <w:spacing w:val="-7"/>
          <w:szCs w:val="24"/>
        </w:rPr>
        <w:t xml:space="preserve"> </w:t>
      </w:r>
      <w:r w:rsidRPr="00206EAB">
        <w:rPr>
          <w:i/>
          <w:szCs w:val="24"/>
        </w:rPr>
        <w:t>Shop,</w:t>
      </w:r>
      <w:r w:rsidRPr="00206EAB">
        <w:rPr>
          <w:i/>
          <w:spacing w:val="-10"/>
          <w:szCs w:val="24"/>
        </w:rPr>
        <w:t xml:space="preserve"> </w:t>
      </w:r>
      <w:r w:rsidRPr="00206EAB">
        <w:rPr>
          <w:i/>
          <w:szCs w:val="24"/>
        </w:rPr>
        <w:t>Distributive</w:t>
      </w:r>
      <w:r w:rsidRPr="00206EAB">
        <w:rPr>
          <w:i/>
          <w:spacing w:val="-10"/>
          <w:szCs w:val="24"/>
        </w:rPr>
        <w:t xml:space="preserve"> </w:t>
      </w:r>
      <w:r w:rsidRPr="00206EAB">
        <w:rPr>
          <w:i/>
          <w:szCs w:val="24"/>
        </w:rPr>
        <w:t>and</w:t>
      </w:r>
      <w:r w:rsidRPr="00206EAB">
        <w:rPr>
          <w:i/>
          <w:spacing w:val="-11"/>
          <w:szCs w:val="24"/>
        </w:rPr>
        <w:t xml:space="preserve"> </w:t>
      </w:r>
      <w:r w:rsidRPr="00206EAB">
        <w:rPr>
          <w:i/>
          <w:szCs w:val="24"/>
        </w:rPr>
        <w:t>Allied</w:t>
      </w:r>
      <w:r w:rsidRPr="00206EAB">
        <w:rPr>
          <w:i/>
          <w:spacing w:val="-10"/>
          <w:szCs w:val="24"/>
        </w:rPr>
        <w:t xml:space="preserve"> </w:t>
      </w:r>
      <w:r w:rsidRPr="00206EAB">
        <w:rPr>
          <w:i/>
          <w:szCs w:val="24"/>
        </w:rPr>
        <w:t>Employees’</w:t>
      </w:r>
      <w:r w:rsidRPr="00206EAB">
        <w:rPr>
          <w:i/>
          <w:spacing w:val="-9"/>
          <w:szCs w:val="24"/>
        </w:rPr>
        <w:t xml:space="preserve"> </w:t>
      </w:r>
      <w:r w:rsidRPr="00206EAB">
        <w:rPr>
          <w:i/>
          <w:szCs w:val="24"/>
        </w:rPr>
        <w:t>Association</w:t>
      </w:r>
      <w:r w:rsidRPr="00206EAB">
        <w:rPr>
          <w:i/>
          <w:spacing w:val="-7"/>
          <w:szCs w:val="24"/>
        </w:rPr>
        <w:t xml:space="preserve"> </w:t>
      </w:r>
      <w:r w:rsidRPr="00206EAB">
        <w:rPr>
          <w:i/>
          <w:szCs w:val="24"/>
        </w:rPr>
        <w:t>of</w:t>
      </w:r>
      <w:r w:rsidRPr="00206EAB">
        <w:rPr>
          <w:i/>
          <w:spacing w:val="-11"/>
          <w:szCs w:val="24"/>
        </w:rPr>
        <w:t xml:space="preserve"> </w:t>
      </w:r>
      <w:r w:rsidRPr="00206EAB">
        <w:rPr>
          <w:i/>
          <w:szCs w:val="24"/>
        </w:rPr>
        <w:t>Western</w:t>
      </w:r>
      <w:r w:rsidRPr="00206EAB">
        <w:rPr>
          <w:i/>
          <w:spacing w:val="-7"/>
          <w:szCs w:val="24"/>
        </w:rPr>
        <w:t xml:space="preserve"> </w:t>
      </w:r>
      <w:r w:rsidRPr="00206EAB">
        <w:rPr>
          <w:i/>
          <w:szCs w:val="24"/>
        </w:rPr>
        <w:t>Australia</w:t>
      </w:r>
      <w:r w:rsidRPr="00206EAB">
        <w:rPr>
          <w:i/>
          <w:spacing w:val="-10"/>
          <w:szCs w:val="24"/>
        </w:rPr>
        <w:t xml:space="preserve"> </w:t>
      </w:r>
      <w:r w:rsidRPr="00206EAB">
        <w:rPr>
          <w:szCs w:val="24"/>
        </w:rPr>
        <w:t>(1987) 13 FCR 413,</w:t>
      </w:r>
      <w:r w:rsidR="00406100" w:rsidRPr="00206EAB">
        <w:rPr>
          <w:szCs w:val="24"/>
        </w:rPr>
        <w:t xml:space="preserve"> at</w:t>
      </w:r>
      <w:r w:rsidRPr="00206EAB">
        <w:rPr>
          <w:szCs w:val="24"/>
        </w:rPr>
        <w:t xml:space="preserve"> 417-418</w:t>
      </w:r>
      <w:r w:rsidRPr="004368C4">
        <w:rPr>
          <w:szCs w:val="24"/>
        </w:rPr>
        <w:t xml:space="preserve">; </w:t>
      </w:r>
      <w:r w:rsidRPr="00813AA1">
        <w:rPr>
          <w:i/>
          <w:szCs w:val="24"/>
        </w:rPr>
        <w:t xml:space="preserve">Pharm-a-Care Laboratories Pty Ltd v Commonwealth (No 3) </w:t>
      </w:r>
      <w:r w:rsidRPr="000B50E4">
        <w:rPr>
          <w:szCs w:val="24"/>
        </w:rPr>
        <w:t>[2010] FCA 361; (2010) 267 ALR 494</w:t>
      </w:r>
      <w:r w:rsidRPr="004368C4">
        <w:rPr>
          <w:szCs w:val="24"/>
        </w:rPr>
        <w:t xml:space="preserve"> at [98]-[99]. </w:t>
      </w:r>
      <w:r w:rsidRPr="004368C4">
        <w:t>Pleadings must fulfil the basic function of identifying the issues between the parties,</w:t>
      </w:r>
      <w:r w:rsidRPr="004368C4">
        <w:rPr>
          <w:spacing w:val="-11"/>
        </w:rPr>
        <w:t xml:space="preserve"> </w:t>
      </w:r>
      <w:r w:rsidRPr="004368C4">
        <w:t>disclosing</w:t>
      </w:r>
      <w:r w:rsidRPr="004368C4">
        <w:rPr>
          <w:spacing w:val="-7"/>
        </w:rPr>
        <w:t xml:space="preserve"> </w:t>
      </w:r>
      <w:r w:rsidRPr="004368C4">
        <w:t>an</w:t>
      </w:r>
      <w:r w:rsidRPr="004368C4">
        <w:rPr>
          <w:spacing w:val="-9"/>
        </w:rPr>
        <w:t xml:space="preserve"> </w:t>
      </w:r>
      <w:r w:rsidRPr="004368C4">
        <w:t>arguable</w:t>
      </w:r>
      <w:r w:rsidRPr="004368C4">
        <w:rPr>
          <w:spacing w:val="-9"/>
        </w:rPr>
        <w:t xml:space="preserve"> </w:t>
      </w:r>
      <w:r w:rsidRPr="004368C4">
        <w:t>cause</w:t>
      </w:r>
      <w:r w:rsidRPr="004368C4">
        <w:rPr>
          <w:spacing w:val="-10"/>
        </w:rPr>
        <w:t xml:space="preserve"> </w:t>
      </w:r>
      <w:r w:rsidRPr="004368C4">
        <w:t>of</w:t>
      </w:r>
      <w:r w:rsidRPr="004368C4">
        <w:rPr>
          <w:spacing w:val="-6"/>
        </w:rPr>
        <w:t xml:space="preserve"> </w:t>
      </w:r>
      <w:r w:rsidRPr="004368C4">
        <w:t>action</w:t>
      </w:r>
      <w:r w:rsidRPr="004368C4">
        <w:rPr>
          <w:spacing w:val="-9"/>
        </w:rPr>
        <w:t xml:space="preserve"> </w:t>
      </w:r>
      <w:r w:rsidRPr="004368C4">
        <w:t>or</w:t>
      </w:r>
      <w:r w:rsidRPr="004368C4">
        <w:rPr>
          <w:spacing w:val="-12"/>
        </w:rPr>
        <w:t xml:space="preserve"> </w:t>
      </w:r>
      <w:r w:rsidRPr="004368C4">
        <w:t>defence,</w:t>
      </w:r>
      <w:r w:rsidRPr="004368C4">
        <w:rPr>
          <w:spacing w:val="-11"/>
        </w:rPr>
        <w:t xml:space="preserve"> </w:t>
      </w:r>
      <w:r w:rsidRPr="004368C4">
        <w:t>and</w:t>
      </w:r>
      <w:r w:rsidRPr="004368C4">
        <w:rPr>
          <w:spacing w:val="-9"/>
        </w:rPr>
        <w:t xml:space="preserve"> </w:t>
      </w:r>
      <w:r w:rsidRPr="004368C4">
        <w:t>ensuring</w:t>
      </w:r>
      <w:r w:rsidRPr="004368C4">
        <w:rPr>
          <w:spacing w:val="-10"/>
        </w:rPr>
        <w:t xml:space="preserve"> </w:t>
      </w:r>
      <w:r w:rsidRPr="004368C4">
        <w:t>that</w:t>
      </w:r>
      <w:r w:rsidRPr="004368C4">
        <w:rPr>
          <w:spacing w:val="-7"/>
        </w:rPr>
        <w:t xml:space="preserve"> </w:t>
      </w:r>
      <w:r w:rsidRPr="004368C4">
        <w:t>parties</w:t>
      </w:r>
      <w:r w:rsidRPr="004368C4">
        <w:rPr>
          <w:spacing w:val="-9"/>
        </w:rPr>
        <w:t xml:space="preserve"> </w:t>
      </w:r>
      <w:r w:rsidRPr="004368C4">
        <w:t>are apprised of the case to be</w:t>
      </w:r>
      <w:r w:rsidRPr="004368C4">
        <w:rPr>
          <w:spacing w:val="-2"/>
        </w:rPr>
        <w:t xml:space="preserve"> </w:t>
      </w:r>
      <w:r w:rsidRPr="004368C4">
        <w:rPr>
          <w:szCs w:val="24"/>
        </w:rPr>
        <w:t xml:space="preserve">met: </w:t>
      </w:r>
      <w:r w:rsidRPr="00813AA1">
        <w:rPr>
          <w:i/>
          <w:szCs w:val="24"/>
        </w:rPr>
        <w:t xml:space="preserve">Plaintiff M83A-2019 v Morrison (No 2) </w:t>
      </w:r>
      <w:r w:rsidRPr="000B50E4">
        <w:rPr>
          <w:szCs w:val="24"/>
        </w:rPr>
        <w:t>[2020] FCA 1198</w:t>
      </w:r>
      <w:r w:rsidRPr="004368C4">
        <w:rPr>
          <w:szCs w:val="24"/>
        </w:rPr>
        <w:t xml:space="preserve"> at [50] (</w:t>
      </w:r>
      <w:r w:rsidRPr="004368C4">
        <w:rPr>
          <w:i/>
          <w:szCs w:val="24"/>
        </w:rPr>
        <w:t>Plaintiff M83A-2019 v Morrison</w:t>
      </w:r>
      <w:r w:rsidRPr="004368C4">
        <w:rPr>
          <w:szCs w:val="24"/>
        </w:rPr>
        <w:t>).</w:t>
      </w:r>
      <w:r w:rsidRPr="004368C4">
        <w:rPr>
          <w:sz w:val="22"/>
          <w:szCs w:val="22"/>
        </w:rPr>
        <w:t xml:space="preserve"> </w:t>
      </w:r>
    </w:p>
    <w:p w14:paraId="0A208C02" w14:textId="0F03E61E" w:rsidR="00DB0809" w:rsidRPr="00DC4817" w:rsidRDefault="004E1173" w:rsidP="00DB0809">
      <w:pPr>
        <w:pStyle w:val="ParaNumbering"/>
        <w:rPr>
          <w:szCs w:val="24"/>
        </w:rPr>
      </w:pPr>
      <w:r w:rsidRPr="00DC4817">
        <w:rPr>
          <w:lang w:val="en"/>
        </w:rPr>
        <w:t xml:space="preserve">A pleading is embarrassing where it is unintelligible, ambiguous, vague or too general, such that the opposite party does not know what is alleged against him or her: </w:t>
      </w:r>
      <w:r w:rsidRPr="00813AA1">
        <w:rPr>
          <w:i/>
          <w:lang w:val="en"/>
        </w:rPr>
        <w:t>Fair Work Ombudsman v Eastern Colour Pty Ltd</w:t>
      </w:r>
      <w:r w:rsidRPr="000B50E4">
        <w:rPr>
          <w:lang w:val="en"/>
        </w:rPr>
        <w:t xml:space="preserve"> </w:t>
      </w:r>
      <w:r w:rsidRPr="000B50E4">
        <w:t>[2011] FCA 803</w:t>
      </w:r>
      <w:r w:rsidR="006D24D2" w:rsidRPr="000B50E4">
        <w:rPr>
          <w:lang w:val="en"/>
        </w:rPr>
        <w:t>; (2019) 209 IR 263</w:t>
      </w:r>
      <w:r w:rsidRPr="00DC4817">
        <w:rPr>
          <w:lang w:val="en"/>
        </w:rPr>
        <w:t xml:space="preserve"> </w:t>
      </w:r>
      <w:r w:rsidR="00FC30FB">
        <w:rPr>
          <w:lang w:val="en"/>
        </w:rPr>
        <w:t>(</w:t>
      </w:r>
      <w:r w:rsidR="00FC30FB">
        <w:rPr>
          <w:i/>
          <w:lang w:val="en"/>
        </w:rPr>
        <w:t>Eastern Colour</w:t>
      </w:r>
      <w:r w:rsidR="00FC30FB">
        <w:rPr>
          <w:lang w:val="en"/>
        </w:rPr>
        <w:t xml:space="preserve">) </w:t>
      </w:r>
      <w:r w:rsidRPr="00DC4817">
        <w:rPr>
          <w:lang w:val="en"/>
        </w:rPr>
        <w:t>at [</w:t>
      </w:r>
      <w:r w:rsidR="006D24D2" w:rsidRPr="00DC4817">
        <w:rPr>
          <w:lang w:val="en"/>
        </w:rPr>
        <w:t>1</w:t>
      </w:r>
      <w:r w:rsidRPr="00DC4817">
        <w:rPr>
          <w:lang w:val="en"/>
        </w:rPr>
        <w:t>8]</w:t>
      </w:r>
      <w:r w:rsidR="00435865" w:rsidRPr="00DC4817">
        <w:rPr>
          <w:lang w:val="en"/>
        </w:rPr>
        <w:t xml:space="preserve">, citing </w:t>
      </w:r>
      <w:r w:rsidR="00435865" w:rsidRPr="00813AA1">
        <w:rPr>
          <w:i/>
          <w:lang w:val="en"/>
        </w:rPr>
        <w:t xml:space="preserve">Meckiff v Simpson </w:t>
      </w:r>
      <w:r w:rsidR="00435865" w:rsidRPr="000B50E4">
        <w:rPr>
          <w:lang w:val="en"/>
        </w:rPr>
        <w:t>[1968] VR 62</w:t>
      </w:r>
      <w:r w:rsidR="00435865" w:rsidRPr="00DC4817">
        <w:rPr>
          <w:lang w:val="en"/>
        </w:rPr>
        <w:t xml:space="preserve"> at 70</w:t>
      </w:r>
      <w:r w:rsidRPr="00DC4817">
        <w:rPr>
          <w:lang w:val="en"/>
        </w:rPr>
        <w:t xml:space="preserve">. A pleading may be considered to be embarrassing if it suffers from narrative, prolixity or irrelevancies to the extent it is not a pleading to which the other party can reasonably be expected to plead to: </w:t>
      </w:r>
      <w:r w:rsidRPr="00813AA1">
        <w:rPr>
          <w:bCs/>
          <w:i/>
          <w:iCs/>
          <w:lang w:val="en"/>
        </w:rPr>
        <w:t>Fuller v Toms</w:t>
      </w:r>
      <w:r w:rsidRPr="000B50E4">
        <w:rPr>
          <w:lang w:val="en"/>
        </w:rPr>
        <w:t xml:space="preserve"> </w:t>
      </w:r>
      <w:r w:rsidR="00186DD4" w:rsidRPr="000B50E4">
        <w:rPr>
          <w:lang w:val="en"/>
        </w:rPr>
        <w:t>[2012] FCA 27</w:t>
      </w:r>
      <w:r w:rsidRPr="000B50E4">
        <w:rPr>
          <w:lang w:val="en"/>
        </w:rPr>
        <w:t xml:space="preserve">; </w:t>
      </w:r>
      <w:r w:rsidR="008E57DC" w:rsidRPr="00813AA1">
        <w:rPr>
          <w:lang w:val="en"/>
        </w:rPr>
        <w:t>(2012) 247 FCR 440</w:t>
      </w:r>
      <w:r w:rsidRPr="00DC4817">
        <w:rPr>
          <w:lang w:val="en"/>
        </w:rPr>
        <w:t xml:space="preserve"> at </w:t>
      </w:r>
      <w:r w:rsidR="000477AA" w:rsidRPr="00DC4817">
        <w:rPr>
          <w:lang w:val="en"/>
        </w:rPr>
        <w:t>[80]</w:t>
      </w:r>
      <w:r w:rsidR="00C21661">
        <w:rPr>
          <w:lang w:val="en"/>
        </w:rPr>
        <w:t xml:space="preserve">, </w:t>
      </w:r>
      <w:r w:rsidRPr="00DC4817">
        <w:rPr>
          <w:lang w:val="en"/>
        </w:rPr>
        <w:t>[8</w:t>
      </w:r>
      <w:r w:rsidR="009E5821" w:rsidRPr="00DC4817">
        <w:rPr>
          <w:lang w:val="en"/>
        </w:rPr>
        <w:t>3</w:t>
      </w:r>
      <w:r w:rsidRPr="00DC4817">
        <w:rPr>
          <w:lang w:val="en"/>
        </w:rPr>
        <w:t xml:space="preserve">]. </w:t>
      </w:r>
      <w:r w:rsidR="00550D12" w:rsidRPr="00DC4817">
        <w:rPr>
          <w:lang w:val="en"/>
        </w:rPr>
        <w:t xml:space="preserve">It has been said that </w:t>
      </w:r>
      <w:r w:rsidR="00806CCB" w:rsidRPr="00DC4817">
        <w:rPr>
          <w:lang w:val="en"/>
        </w:rPr>
        <w:t xml:space="preserve">a </w:t>
      </w:r>
      <w:r w:rsidR="00550D12" w:rsidRPr="00DC4817">
        <w:rPr>
          <w:lang w:val="en"/>
        </w:rPr>
        <w:t>pleading is embarrassing if it “</w:t>
      </w:r>
      <w:r w:rsidR="00550D12" w:rsidRPr="00DC4817">
        <w:rPr>
          <w:shd w:val="clear" w:color="auto" w:fill="FFFFFF"/>
        </w:rPr>
        <w:t>is susceptible to vario</w:t>
      </w:r>
      <w:bookmarkStart w:id="29" w:name="_GoBack"/>
      <w:bookmarkEnd w:id="29"/>
      <w:r w:rsidR="00550D12" w:rsidRPr="00DC4817">
        <w:rPr>
          <w:shd w:val="clear" w:color="auto" w:fill="FFFFFF"/>
        </w:rPr>
        <w:t xml:space="preserve">us meanings, or contains inconsistent allegations or in which </w:t>
      </w:r>
      <w:r w:rsidR="00550D12" w:rsidRPr="00DC4817">
        <w:rPr>
          <w:shd w:val="clear" w:color="auto" w:fill="FFFFFF"/>
        </w:rPr>
        <w:lastRenderedPageBreak/>
        <w:t>alternatives are confusingly intermixed or in which irrelevant allegations are made tending to increase expense</w:t>
      </w:r>
      <w:r w:rsidR="00550D12" w:rsidRPr="00DC4817">
        <w:rPr>
          <w:szCs w:val="24"/>
          <w:shd w:val="clear" w:color="auto" w:fill="FFFFFF"/>
        </w:rPr>
        <w:t xml:space="preserve">”: </w:t>
      </w:r>
      <w:r w:rsidR="00550D12" w:rsidRPr="00813AA1">
        <w:rPr>
          <w:i/>
          <w:szCs w:val="24"/>
        </w:rPr>
        <w:t xml:space="preserve">Bartlett v Swan Television and Radio Broadcasters Pty Ltd </w:t>
      </w:r>
      <w:r w:rsidR="002071DE" w:rsidRPr="000B50E4">
        <w:rPr>
          <w:shd w:val="clear" w:color="auto" w:fill="FFFFFF"/>
        </w:rPr>
        <w:t>[</w:t>
      </w:r>
      <w:r w:rsidR="00CA5D05" w:rsidRPr="000B50E4">
        <w:rPr>
          <w:shd w:val="clear" w:color="auto" w:fill="FFFFFF"/>
        </w:rPr>
        <w:t>1995</w:t>
      </w:r>
      <w:r w:rsidR="002071DE" w:rsidRPr="000B50E4">
        <w:rPr>
          <w:shd w:val="clear" w:color="auto" w:fill="FFFFFF"/>
        </w:rPr>
        <w:t>]</w:t>
      </w:r>
      <w:r w:rsidR="00CA5D05" w:rsidRPr="00FD71D0">
        <w:rPr>
          <w:shd w:val="clear" w:color="auto" w:fill="FFFFFF"/>
        </w:rPr>
        <w:t xml:space="preserve"> ATPR 41-434</w:t>
      </w:r>
      <w:r w:rsidR="001A643C" w:rsidRPr="00DC4817">
        <w:rPr>
          <w:shd w:val="clear" w:color="auto" w:fill="FFFFFF"/>
        </w:rPr>
        <w:t xml:space="preserve"> </w:t>
      </w:r>
      <w:r w:rsidR="00550D12" w:rsidRPr="00DC4817">
        <w:rPr>
          <w:shd w:val="clear" w:color="auto" w:fill="FFFFFF"/>
        </w:rPr>
        <w:t xml:space="preserve">at [25]; </w:t>
      </w:r>
      <w:r w:rsidR="00550D12" w:rsidRPr="00813AA1">
        <w:rPr>
          <w:bCs/>
          <w:i/>
          <w:shd w:val="clear" w:color="auto" w:fill="FFFFFF"/>
        </w:rPr>
        <w:t>Faruqi v Latham</w:t>
      </w:r>
      <w:r w:rsidR="00550D12" w:rsidRPr="000B50E4">
        <w:rPr>
          <w:bCs/>
          <w:shd w:val="clear" w:color="auto" w:fill="FFFFFF"/>
        </w:rPr>
        <w:t> </w:t>
      </w:r>
      <w:r w:rsidR="001449B8" w:rsidRPr="000B50E4">
        <w:t>[2018] FCA 1328</w:t>
      </w:r>
      <w:r w:rsidR="00550D12" w:rsidRPr="00DC4817">
        <w:rPr>
          <w:shd w:val="clear" w:color="auto" w:fill="FFFFFF"/>
        </w:rPr>
        <w:t xml:space="preserve"> </w:t>
      </w:r>
      <w:r w:rsidR="001449B8" w:rsidRPr="00DC4817">
        <w:rPr>
          <w:shd w:val="clear" w:color="auto" w:fill="FFFFFF"/>
        </w:rPr>
        <w:t xml:space="preserve">at </w:t>
      </w:r>
      <w:r w:rsidR="00550D12" w:rsidRPr="00DC4817">
        <w:rPr>
          <w:shd w:val="clear" w:color="auto" w:fill="FFFFFF"/>
        </w:rPr>
        <w:t>[94].</w:t>
      </w:r>
      <w:r w:rsidR="00550D12" w:rsidRPr="00DC4817">
        <w:rPr>
          <w:rFonts w:ascii="Helvetica" w:hAnsi="Helvetica" w:cs="Helvetica"/>
          <w:shd w:val="clear" w:color="auto" w:fill="FFFFFF"/>
        </w:rPr>
        <w:t> </w:t>
      </w:r>
      <w:r w:rsidR="00DB0809" w:rsidRPr="00DC4817">
        <w:rPr>
          <w:szCs w:val="24"/>
        </w:rPr>
        <w:t>Although facts or characterisations of facts can be pleaded in the alternative, a pleading should not “</w:t>
      </w:r>
      <w:r w:rsidR="00933F30" w:rsidRPr="00DC4817">
        <w:rPr>
          <w:szCs w:val="24"/>
        </w:rPr>
        <w:t>[</w:t>
      </w:r>
      <w:r w:rsidR="00DB0809" w:rsidRPr="00DC4817">
        <w:rPr>
          <w:szCs w:val="24"/>
        </w:rPr>
        <w:t>plant</w:t>
      </w:r>
      <w:r w:rsidR="00933F30" w:rsidRPr="00DC4817">
        <w:rPr>
          <w:szCs w:val="24"/>
        </w:rPr>
        <w:t>]</w:t>
      </w:r>
      <w:r w:rsidR="00DB0809" w:rsidRPr="00DC4817">
        <w:rPr>
          <w:szCs w:val="24"/>
        </w:rPr>
        <w:t xml:space="preserve"> a forest of </w:t>
      </w:r>
      <w:r w:rsidR="00541957">
        <w:rPr>
          <w:szCs w:val="24"/>
        </w:rPr>
        <w:t xml:space="preserve">forensic </w:t>
      </w:r>
      <w:r w:rsidR="00C1319B" w:rsidRPr="00DC4817">
        <w:rPr>
          <w:szCs w:val="24"/>
        </w:rPr>
        <w:t xml:space="preserve">contingencies” </w:t>
      </w:r>
      <w:r w:rsidR="00DB0809" w:rsidRPr="00DC4817">
        <w:rPr>
          <w:szCs w:val="24"/>
        </w:rPr>
        <w:t>which are only pulled together in final submissions:</w:t>
      </w:r>
      <w:r w:rsidR="00DB0809" w:rsidRPr="00DC4817">
        <w:rPr>
          <w:spacing w:val="-12"/>
          <w:szCs w:val="24"/>
        </w:rPr>
        <w:t xml:space="preserve"> </w:t>
      </w:r>
      <w:r w:rsidR="00DB0809" w:rsidRPr="00813AA1">
        <w:rPr>
          <w:i/>
          <w:szCs w:val="24"/>
        </w:rPr>
        <w:t>Forrest</w:t>
      </w:r>
      <w:r w:rsidR="00DB0809" w:rsidRPr="000B50E4">
        <w:rPr>
          <w:i/>
          <w:spacing w:val="-10"/>
          <w:szCs w:val="24"/>
        </w:rPr>
        <w:t xml:space="preserve"> </w:t>
      </w:r>
      <w:r w:rsidR="00DB0809" w:rsidRPr="000B50E4">
        <w:rPr>
          <w:i/>
          <w:szCs w:val="24"/>
        </w:rPr>
        <w:t>v</w:t>
      </w:r>
      <w:r w:rsidR="00DB0809" w:rsidRPr="000B50E4">
        <w:rPr>
          <w:i/>
          <w:spacing w:val="-11"/>
          <w:szCs w:val="24"/>
        </w:rPr>
        <w:t xml:space="preserve"> </w:t>
      </w:r>
      <w:r w:rsidR="00DB0809" w:rsidRPr="000B50E4">
        <w:rPr>
          <w:i/>
          <w:szCs w:val="24"/>
        </w:rPr>
        <w:t>Australian</w:t>
      </w:r>
      <w:r w:rsidR="00DB0809" w:rsidRPr="000B50E4">
        <w:rPr>
          <w:i/>
          <w:spacing w:val="-10"/>
          <w:szCs w:val="24"/>
        </w:rPr>
        <w:t xml:space="preserve"> </w:t>
      </w:r>
      <w:r w:rsidR="00DB0809" w:rsidRPr="00FD71D0">
        <w:rPr>
          <w:i/>
          <w:szCs w:val="24"/>
        </w:rPr>
        <w:t>Securities</w:t>
      </w:r>
      <w:r w:rsidR="00DB0809" w:rsidRPr="00E757CF">
        <w:rPr>
          <w:i/>
          <w:spacing w:val="-11"/>
          <w:szCs w:val="24"/>
        </w:rPr>
        <w:t xml:space="preserve"> </w:t>
      </w:r>
      <w:r w:rsidR="00DB0809" w:rsidRPr="00E757CF">
        <w:rPr>
          <w:i/>
          <w:szCs w:val="24"/>
        </w:rPr>
        <w:t>and</w:t>
      </w:r>
      <w:r w:rsidR="00DB0809" w:rsidRPr="00E757CF">
        <w:rPr>
          <w:i/>
          <w:spacing w:val="-11"/>
          <w:szCs w:val="24"/>
        </w:rPr>
        <w:t xml:space="preserve"> </w:t>
      </w:r>
      <w:r w:rsidR="00DB0809" w:rsidRPr="00E757CF">
        <w:rPr>
          <w:i/>
          <w:szCs w:val="24"/>
        </w:rPr>
        <w:t>Investments</w:t>
      </w:r>
      <w:r w:rsidR="00DB0809" w:rsidRPr="00E757CF">
        <w:rPr>
          <w:i/>
          <w:spacing w:val="-10"/>
          <w:szCs w:val="24"/>
        </w:rPr>
        <w:t xml:space="preserve"> </w:t>
      </w:r>
      <w:r w:rsidR="00DB0809" w:rsidRPr="00E757CF">
        <w:rPr>
          <w:i/>
          <w:szCs w:val="24"/>
        </w:rPr>
        <w:t>Commission</w:t>
      </w:r>
      <w:r w:rsidR="00DB0809" w:rsidRPr="00E757CF">
        <w:rPr>
          <w:i/>
          <w:spacing w:val="-11"/>
          <w:szCs w:val="24"/>
        </w:rPr>
        <w:t xml:space="preserve"> </w:t>
      </w:r>
      <w:r w:rsidR="00DB0809" w:rsidRPr="00F04215">
        <w:rPr>
          <w:szCs w:val="24"/>
        </w:rPr>
        <w:t>[2012]</w:t>
      </w:r>
      <w:r w:rsidR="00DB0809" w:rsidRPr="00F04215">
        <w:rPr>
          <w:spacing w:val="-11"/>
          <w:szCs w:val="24"/>
        </w:rPr>
        <w:t xml:space="preserve"> </w:t>
      </w:r>
      <w:r w:rsidR="00DB0809" w:rsidRPr="005F3626">
        <w:rPr>
          <w:szCs w:val="24"/>
        </w:rPr>
        <w:t>HCA 39</w:t>
      </w:r>
      <w:r w:rsidR="00D40B75" w:rsidRPr="005F3626">
        <w:rPr>
          <w:szCs w:val="24"/>
        </w:rPr>
        <w:t>; (2012) 247 CLR 486</w:t>
      </w:r>
      <w:r w:rsidR="00D40B75" w:rsidRPr="00DC4817">
        <w:rPr>
          <w:szCs w:val="24"/>
        </w:rPr>
        <w:t xml:space="preserve"> at</w:t>
      </w:r>
      <w:r w:rsidR="00DB0809" w:rsidRPr="00DC4817">
        <w:rPr>
          <w:szCs w:val="24"/>
        </w:rPr>
        <w:t xml:space="preserve"> 503</w:t>
      </w:r>
      <w:r w:rsidR="00DB0809" w:rsidRPr="00DC4817">
        <w:rPr>
          <w:sz w:val="20"/>
        </w:rPr>
        <w:t xml:space="preserve">. </w:t>
      </w:r>
    </w:p>
    <w:p w14:paraId="1DA7D1B7" w14:textId="77777777" w:rsidR="00550D12" w:rsidRPr="00DC4817" w:rsidRDefault="00DB0809" w:rsidP="00D13660">
      <w:pPr>
        <w:pStyle w:val="ParaNumbering"/>
        <w:rPr>
          <w:szCs w:val="24"/>
        </w:rPr>
      </w:pPr>
      <w:r w:rsidRPr="00DC4817">
        <w:rPr>
          <w:lang w:val="en"/>
        </w:rPr>
        <w:t xml:space="preserve">Although </w:t>
      </w:r>
      <w:r w:rsidRPr="00DC4817">
        <w:t>t</w:t>
      </w:r>
      <w:r w:rsidR="00550D12" w:rsidRPr="00DC4817">
        <w:t>he categories are not closed to circumstances which wil</w:t>
      </w:r>
      <w:r w:rsidRPr="00DC4817">
        <w:t xml:space="preserve">l amount to an abuse of process, </w:t>
      </w:r>
      <w:r w:rsidR="001D0071" w:rsidRPr="00DC4817">
        <w:t xml:space="preserve">in the context of determining an application to stay proceedings on abuse of process grounds, the High Court recognised that </w:t>
      </w:r>
      <w:r w:rsidRPr="00DC4817">
        <w:t>s</w:t>
      </w:r>
      <w:r w:rsidR="00550D12" w:rsidRPr="00DC4817">
        <w:t>uch circumstances extend “to all those categories of cases in which the processes and procedures of the court, which exist to administer justice with fairness and impartiality, may be converted into instruments of injustice or unfairness”</w:t>
      </w:r>
      <w:r w:rsidR="00CE3CC9" w:rsidRPr="00DC4817">
        <w:t xml:space="preserve">: </w:t>
      </w:r>
      <w:r w:rsidR="00CE3CC9" w:rsidRPr="00813AA1">
        <w:rPr>
          <w:i/>
          <w:szCs w:val="24"/>
        </w:rPr>
        <w:t xml:space="preserve">Walton v Gardiner </w:t>
      </w:r>
      <w:r w:rsidR="00CE3CC9" w:rsidRPr="000B50E4">
        <w:rPr>
          <w:szCs w:val="24"/>
        </w:rPr>
        <w:t>[1993] HCA 77; (1993) 177 CLR 378</w:t>
      </w:r>
      <w:r w:rsidR="00CE3CC9" w:rsidRPr="00DC4817">
        <w:rPr>
          <w:szCs w:val="24"/>
        </w:rPr>
        <w:t xml:space="preserve"> (</w:t>
      </w:r>
      <w:r w:rsidR="00CE3CC9" w:rsidRPr="00DC4817">
        <w:rPr>
          <w:i/>
          <w:szCs w:val="24"/>
        </w:rPr>
        <w:t>Walton</w:t>
      </w:r>
      <w:r w:rsidR="00CE3CC9" w:rsidRPr="00DC4817">
        <w:rPr>
          <w:szCs w:val="24"/>
        </w:rPr>
        <w:t>) at 392-393</w:t>
      </w:r>
      <w:r w:rsidR="00CE3CC9" w:rsidRPr="00DC4817">
        <w:t>. This includes</w:t>
      </w:r>
      <w:r w:rsidR="00550D12" w:rsidRPr="00DC4817">
        <w:t xml:space="preserve"> bringing </w:t>
      </w:r>
      <w:r w:rsidR="00550D12" w:rsidRPr="00DC4817">
        <w:rPr>
          <w:szCs w:val="24"/>
        </w:rPr>
        <w:t>proceedings which are clearly foredoomed to fail or which are manifestly unfair to a party to the</w:t>
      </w:r>
      <w:r w:rsidR="00550D12" w:rsidRPr="00DC4817">
        <w:rPr>
          <w:spacing w:val="-14"/>
          <w:szCs w:val="24"/>
        </w:rPr>
        <w:t xml:space="preserve"> </w:t>
      </w:r>
      <w:r w:rsidRPr="00DC4817">
        <w:rPr>
          <w:szCs w:val="24"/>
        </w:rPr>
        <w:t>litigation</w:t>
      </w:r>
      <w:r w:rsidR="00CE3CC9" w:rsidRPr="00DC4817">
        <w:rPr>
          <w:szCs w:val="24"/>
        </w:rPr>
        <w:t xml:space="preserve">: </w:t>
      </w:r>
      <w:r w:rsidR="00CE3CC9" w:rsidRPr="00DC4817">
        <w:rPr>
          <w:i/>
          <w:szCs w:val="24"/>
        </w:rPr>
        <w:t xml:space="preserve">Walton </w:t>
      </w:r>
      <w:r w:rsidR="00CE3CC9" w:rsidRPr="00DC4817">
        <w:rPr>
          <w:szCs w:val="24"/>
        </w:rPr>
        <w:t>at 392-393</w:t>
      </w:r>
      <w:r w:rsidRPr="00DC4817">
        <w:rPr>
          <w:szCs w:val="24"/>
        </w:rPr>
        <w:t xml:space="preserve">. </w:t>
      </w:r>
    </w:p>
    <w:p w14:paraId="4A251AAB" w14:textId="77777777" w:rsidR="004368C4" w:rsidRPr="002A5ECA" w:rsidRDefault="004368C4" w:rsidP="003C0004">
      <w:pPr>
        <w:pStyle w:val="ParaNumbering"/>
      </w:pPr>
      <w:r w:rsidRPr="002A5ECA">
        <w:rPr>
          <w:lang w:val="en"/>
        </w:rPr>
        <w:t>For the purposes of r 16.21</w:t>
      </w:r>
      <w:r w:rsidR="00541957">
        <w:rPr>
          <w:lang w:val="en"/>
        </w:rPr>
        <w:t>(1)(e)</w:t>
      </w:r>
      <w:r w:rsidRPr="002A5ECA">
        <w:rPr>
          <w:lang w:val="en"/>
        </w:rPr>
        <w:t xml:space="preserve">, a “reasonable cause of action” is one that has some chance of success having regard to the allegations pleaded: </w:t>
      </w:r>
      <w:r w:rsidRPr="002A5ECA">
        <w:rPr>
          <w:i/>
          <w:lang w:val="en"/>
        </w:rPr>
        <w:t>Polar Aviation</w:t>
      </w:r>
      <w:r w:rsidRPr="002A5ECA">
        <w:rPr>
          <w:lang w:val="en"/>
        </w:rPr>
        <w:t xml:space="preserve"> at [42]-[43]; </w:t>
      </w:r>
      <w:r w:rsidRPr="00813AA1">
        <w:rPr>
          <w:i/>
          <w:lang w:val="en"/>
        </w:rPr>
        <w:t>Chandrasekaran v Commonwealth of Australia (No 3)</w:t>
      </w:r>
      <w:r w:rsidRPr="000B50E4">
        <w:rPr>
          <w:lang w:val="en"/>
        </w:rPr>
        <w:t xml:space="preserve"> [2020] FCA 1629</w:t>
      </w:r>
      <w:r w:rsidRPr="002A5ECA">
        <w:rPr>
          <w:lang w:val="en"/>
        </w:rPr>
        <w:t xml:space="preserve"> </w:t>
      </w:r>
      <w:r w:rsidR="00F3574D" w:rsidRPr="002A5ECA">
        <w:rPr>
          <w:lang w:val="en"/>
        </w:rPr>
        <w:t>(</w:t>
      </w:r>
      <w:r w:rsidR="00F3574D" w:rsidRPr="002A5ECA">
        <w:rPr>
          <w:i/>
          <w:lang w:val="en"/>
        </w:rPr>
        <w:t>Chandrasekaran</w:t>
      </w:r>
      <w:r w:rsidR="00F3574D" w:rsidRPr="002A5ECA">
        <w:rPr>
          <w:lang w:val="en"/>
        </w:rPr>
        <w:t xml:space="preserve">) </w:t>
      </w:r>
      <w:r w:rsidRPr="002A5ECA">
        <w:rPr>
          <w:lang w:val="en"/>
        </w:rPr>
        <w:t xml:space="preserve">at [108]-[111]. </w:t>
      </w:r>
      <w:r w:rsidRPr="008B590E">
        <w:rPr>
          <w:lang w:val="en"/>
        </w:rPr>
        <w:t>A cause of action cannot be struck out merely on the basis that it appears to be weak:</w:t>
      </w:r>
      <w:r w:rsidRPr="002A5ECA">
        <w:rPr>
          <w:color w:val="333333"/>
          <w:szCs w:val="24"/>
          <w:shd w:val="clear" w:color="auto" w:fill="FFFFFF"/>
        </w:rPr>
        <w:t> </w:t>
      </w:r>
      <w:r w:rsidRPr="002A5ECA">
        <w:rPr>
          <w:i/>
          <w:lang w:val="en"/>
        </w:rPr>
        <w:t>Chandrasekaran</w:t>
      </w:r>
      <w:r w:rsidRPr="002A5ECA">
        <w:rPr>
          <w:i/>
          <w:iCs/>
          <w:color w:val="333333"/>
          <w:szCs w:val="24"/>
          <w:shd w:val="clear" w:color="auto" w:fill="FFFFFF"/>
        </w:rPr>
        <w:t xml:space="preserve"> </w:t>
      </w:r>
      <w:r w:rsidRPr="002A5ECA">
        <w:rPr>
          <w:iCs/>
          <w:color w:val="333333"/>
          <w:szCs w:val="24"/>
          <w:shd w:val="clear" w:color="auto" w:fill="FFFFFF"/>
        </w:rPr>
        <w:t>at [108]</w:t>
      </w:r>
      <w:r w:rsidR="003C0004" w:rsidRPr="002A5ECA">
        <w:rPr>
          <w:iCs/>
          <w:color w:val="333333"/>
          <w:szCs w:val="24"/>
          <w:shd w:val="clear" w:color="auto" w:fill="FFFFFF"/>
        </w:rPr>
        <w:t xml:space="preserve">; </w:t>
      </w:r>
      <w:r w:rsidRPr="002A5ECA">
        <w:rPr>
          <w:i/>
          <w:iCs/>
          <w:szCs w:val="24"/>
          <w:shd w:val="clear" w:color="auto" w:fill="FFFFFF"/>
        </w:rPr>
        <w:t xml:space="preserve">Allstate </w:t>
      </w:r>
      <w:r w:rsidRPr="002A5ECA">
        <w:rPr>
          <w:szCs w:val="24"/>
        </w:rPr>
        <w:t>at 236.</w:t>
      </w:r>
    </w:p>
    <w:p w14:paraId="0C7CED03" w14:textId="77777777" w:rsidR="00550D12" w:rsidRPr="00AA2F58" w:rsidRDefault="00550D12" w:rsidP="00D23528">
      <w:pPr>
        <w:pStyle w:val="ParaNumbering"/>
        <w:rPr>
          <w:szCs w:val="24"/>
        </w:rPr>
      </w:pPr>
      <w:r w:rsidRPr="00DC4817">
        <w:rPr>
          <w:szCs w:val="24"/>
        </w:rPr>
        <w:t>The power to strike o</w:t>
      </w:r>
      <w:r w:rsidRPr="00AA2F58">
        <w:rPr>
          <w:szCs w:val="24"/>
        </w:rPr>
        <w:t xml:space="preserve">ut will not be exercised unless no reasonable amendment could cure the alleged defect such that there is no reasonable question to be tried: </w:t>
      </w:r>
      <w:r w:rsidRPr="00AA2F58">
        <w:rPr>
          <w:i/>
          <w:szCs w:val="24"/>
        </w:rPr>
        <w:t>Polar</w:t>
      </w:r>
      <w:r w:rsidR="0030176B" w:rsidRPr="00AA2F58">
        <w:rPr>
          <w:i/>
          <w:szCs w:val="24"/>
        </w:rPr>
        <w:t xml:space="preserve"> Aviation</w:t>
      </w:r>
      <w:r w:rsidRPr="00AA2F58">
        <w:rPr>
          <w:szCs w:val="24"/>
        </w:rPr>
        <w:t xml:space="preserve"> at [43]</w:t>
      </w:r>
      <w:r w:rsidR="00D47BBB" w:rsidRPr="00AA2F58">
        <w:rPr>
          <w:szCs w:val="24"/>
        </w:rPr>
        <w:t xml:space="preserve">; </w:t>
      </w:r>
      <w:r w:rsidR="00D47BBB" w:rsidRPr="00AA2F58">
        <w:rPr>
          <w:i/>
          <w:szCs w:val="24"/>
        </w:rPr>
        <w:t xml:space="preserve">Chandrasekaran </w:t>
      </w:r>
      <w:r w:rsidR="00D47BBB" w:rsidRPr="00AA2F58">
        <w:rPr>
          <w:szCs w:val="24"/>
        </w:rPr>
        <w:t>at [102]</w:t>
      </w:r>
      <w:r w:rsidRPr="00AA2F58">
        <w:rPr>
          <w:szCs w:val="24"/>
        </w:rPr>
        <w:t>.</w:t>
      </w:r>
    </w:p>
    <w:p w14:paraId="2F9D4C3B" w14:textId="77777777" w:rsidR="004E1173" w:rsidRPr="00452B44" w:rsidRDefault="004E1173" w:rsidP="004E1173">
      <w:pPr>
        <w:pStyle w:val="ParaNumbering"/>
      </w:pPr>
      <w:r w:rsidRPr="00AA2F58">
        <w:t>Although r</w:t>
      </w:r>
      <w:r w:rsidRPr="00AA2F58">
        <w:rPr>
          <w:spacing w:val="-8"/>
        </w:rPr>
        <w:t xml:space="preserve"> </w:t>
      </w:r>
      <w:r w:rsidRPr="00AA2F58">
        <w:t>16.21</w:t>
      </w:r>
      <w:r w:rsidRPr="00AA2F58">
        <w:rPr>
          <w:spacing w:val="-9"/>
        </w:rPr>
        <w:t xml:space="preserve"> </w:t>
      </w:r>
      <w:r w:rsidRPr="00AA2F58">
        <w:t>is</w:t>
      </w:r>
      <w:r w:rsidRPr="00AA2F58">
        <w:rPr>
          <w:spacing w:val="-8"/>
        </w:rPr>
        <w:t xml:space="preserve"> </w:t>
      </w:r>
      <w:r w:rsidRPr="00AA2F58">
        <w:t>directed</w:t>
      </w:r>
      <w:r w:rsidRPr="00AA2F58">
        <w:rPr>
          <w:spacing w:val="-8"/>
        </w:rPr>
        <w:t xml:space="preserve"> </w:t>
      </w:r>
      <w:r w:rsidRPr="00AA2F58">
        <w:t>to</w:t>
      </w:r>
      <w:r w:rsidRPr="00AA2F58">
        <w:rPr>
          <w:spacing w:val="-6"/>
        </w:rPr>
        <w:t xml:space="preserve"> </w:t>
      </w:r>
      <w:r w:rsidRPr="00AA2F58">
        <w:t>“pleadings”,</w:t>
      </w:r>
      <w:r w:rsidRPr="00AA2F58">
        <w:rPr>
          <w:spacing w:val="-7"/>
        </w:rPr>
        <w:t xml:space="preserve"> </w:t>
      </w:r>
      <w:r w:rsidRPr="00AA2F58">
        <w:t>which</w:t>
      </w:r>
      <w:r w:rsidRPr="00AA2F58">
        <w:rPr>
          <w:spacing w:val="-7"/>
        </w:rPr>
        <w:t xml:space="preserve"> </w:t>
      </w:r>
      <w:r w:rsidR="0030176B" w:rsidRPr="00AA2F58">
        <w:t>are</w:t>
      </w:r>
      <w:r w:rsidR="0030176B" w:rsidRPr="00AA2F58">
        <w:rPr>
          <w:spacing w:val="-10"/>
        </w:rPr>
        <w:t xml:space="preserve"> </w:t>
      </w:r>
      <w:r w:rsidRPr="00AA2F58">
        <w:t>defined</w:t>
      </w:r>
      <w:r w:rsidRPr="00AA2F58">
        <w:rPr>
          <w:spacing w:val="-6"/>
        </w:rPr>
        <w:t xml:space="preserve"> </w:t>
      </w:r>
      <w:r w:rsidRPr="00AA2F58">
        <w:t>in</w:t>
      </w:r>
      <w:r w:rsidRPr="00AA2F58">
        <w:rPr>
          <w:spacing w:val="-9"/>
        </w:rPr>
        <w:t xml:space="preserve"> </w:t>
      </w:r>
      <w:r w:rsidRPr="00AA2F58">
        <w:t>the</w:t>
      </w:r>
      <w:r w:rsidRPr="00AA2F58">
        <w:rPr>
          <w:spacing w:val="-9"/>
        </w:rPr>
        <w:t xml:space="preserve"> </w:t>
      </w:r>
      <w:r w:rsidRPr="00AA2F58">
        <w:t>Dictionary</w:t>
      </w:r>
      <w:r w:rsidRPr="00AA2F58">
        <w:rPr>
          <w:spacing w:val="-10"/>
        </w:rPr>
        <w:t xml:space="preserve"> </w:t>
      </w:r>
      <w:r w:rsidRPr="00AA2F58">
        <w:t>to</w:t>
      </w:r>
      <w:r w:rsidRPr="00AA2F58">
        <w:rPr>
          <w:spacing w:val="-9"/>
        </w:rPr>
        <w:t xml:space="preserve"> </w:t>
      </w:r>
      <w:r w:rsidRPr="00AA2F58">
        <w:t>the</w:t>
      </w:r>
      <w:r w:rsidRPr="00AA2F58">
        <w:rPr>
          <w:spacing w:val="-9"/>
        </w:rPr>
        <w:t xml:space="preserve"> </w:t>
      </w:r>
      <w:r w:rsidRPr="00AA2F58">
        <w:t>Rules so</w:t>
      </w:r>
      <w:r w:rsidRPr="00452B44">
        <w:rPr>
          <w:spacing w:val="-12"/>
        </w:rPr>
        <w:t xml:space="preserve"> </w:t>
      </w:r>
      <w:r w:rsidRPr="00452B44">
        <w:t>as</w:t>
      </w:r>
      <w:r w:rsidRPr="00452B44">
        <w:rPr>
          <w:spacing w:val="-12"/>
        </w:rPr>
        <w:t xml:space="preserve"> </w:t>
      </w:r>
      <w:r w:rsidRPr="00452B44">
        <w:t>not</w:t>
      </w:r>
      <w:r w:rsidRPr="00452B44">
        <w:rPr>
          <w:spacing w:val="-13"/>
        </w:rPr>
        <w:t xml:space="preserve"> </w:t>
      </w:r>
      <w:r w:rsidRPr="00452B44">
        <w:t>to</w:t>
      </w:r>
      <w:r w:rsidRPr="00452B44">
        <w:rPr>
          <w:spacing w:val="-11"/>
        </w:rPr>
        <w:t xml:space="preserve"> </w:t>
      </w:r>
      <w:r w:rsidRPr="00452B44">
        <w:t>include</w:t>
      </w:r>
      <w:r w:rsidRPr="00452B44">
        <w:rPr>
          <w:spacing w:val="-12"/>
        </w:rPr>
        <w:t xml:space="preserve"> </w:t>
      </w:r>
      <w:r w:rsidRPr="00452B44">
        <w:t>an</w:t>
      </w:r>
      <w:r w:rsidRPr="00452B44">
        <w:rPr>
          <w:spacing w:val="-12"/>
        </w:rPr>
        <w:t xml:space="preserve"> </w:t>
      </w:r>
      <w:r w:rsidRPr="00452B44">
        <w:t>originating</w:t>
      </w:r>
      <w:r w:rsidRPr="00452B44">
        <w:rPr>
          <w:spacing w:val="-9"/>
        </w:rPr>
        <w:t xml:space="preserve"> </w:t>
      </w:r>
      <w:r w:rsidRPr="00452B44">
        <w:t>application,</w:t>
      </w:r>
      <w:r w:rsidRPr="00452B44">
        <w:rPr>
          <w:spacing w:val="-13"/>
        </w:rPr>
        <w:t xml:space="preserve"> </w:t>
      </w:r>
      <w:r w:rsidRPr="00452B44">
        <w:t>r</w:t>
      </w:r>
      <w:r w:rsidRPr="00452B44">
        <w:rPr>
          <w:spacing w:val="-11"/>
        </w:rPr>
        <w:t xml:space="preserve"> </w:t>
      </w:r>
      <w:r w:rsidRPr="00452B44">
        <w:t>6.01</w:t>
      </w:r>
      <w:r w:rsidRPr="00452B44">
        <w:rPr>
          <w:spacing w:val="-12"/>
        </w:rPr>
        <w:t xml:space="preserve"> </w:t>
      </w:r>
      <w:r w:rsidRPr="00452B44">
        <w:t>provides</w:t>
      </w:r>
      <w:r w:rsidRPr="00452B44">
        <w:rPr>
          <w:spacing w:val="-11"/>
        </w:rPr>
        <w:t xml:space="preserve"> </w:t>
      </w:r>
      <w:r w:rsidRPr="00452B44">
        <w:t>a</w:t>
      </w:r>
      <w:r w:rsidRPr="00452B44">
        <w:rPr>
          <w:spacing w:val="-12"/>
        </w:rPr>
        <w:t xml:space="preserve"> </w:t>
      </w:r>
      <w:r w:rsidRPr="00452B44">
        <w:t>similar</w:t>
      </w:r>
      <w:r w:rsidRPr="00452B44">
        <w:rPr>
          <w:spacing w:val="-10"/>
        </w:rPr>
        <w:t xml:space="preserve"> </w:t>
      </w:r>
      <w:r w:rsidRPr="00452B44">
        <w:t xml:space="preserve">power applicable to any “document filed in a proceeding”. That includes an originating application. Where a document </w:t>
      </w:r>
      <w:r w:rsidR="00BA6779">
        <w:t xml:space="preserve">filed in a proceeding </w:t>
      </w:r>
      <w:r w:rsidRPr="00452B44">
        <w:t xml:space="preserve">contains a matter that is scandalous, vexatious or oppressive, the Court is empowered to order that the document be removed from the file or that the matter be struck from the document. To the extent that an originating application is drafted in such a way that it does not disclose a reasonable cause </w:t>
      </w:r>
      <w:r w:rsidRPr="00452B44">
        <w:rPr>
          <w:spacing w:val="-3"/>
        </w:rPr>
        <w:t>of</w:t>
      </w:r>
      <w:r w:rsidRPr="00452B44">
        <w:rPr>
          <w:spacing w:val="55"/>
        </w:rPr>
        <w:t xml:space="preserve"> </w:t>
      </w:r>
      <w:r w:rsidRPr="00452B44">
        <w:t>action, or is insufficiently specific and thereby oppressive, it would attract the operation of this</w:t>
      </w:r>
      <w:r w:rsidRPr="00452B44">
        <w:rPr>
          <w:spacing w:val="2"/>
        </w:rPr>
        <w:t xml:space="preserve"> </w:t>
      </w:r>
      <w:r w:rsidRPr="00452B44">
        <w:t>rule</w:t>
      </w:r>
      <w:r w:rsidR="00C02358" w:rsidRPr="00452B44">
        <w:t xml:space="preserve">: </w:t>
      </w:r>
      <w:r w:rsidR="005537DF" w:rsidRPr="00452B44">
        <w:t xml:space="preserve">see </w:t>
      </w:r>
      <w:r w:rsidR="00C02358" w:rsidRPr="00813AA1">
        <w:rPr>
          <w:i/>
        </w:rPr>
        <w:t xml:space="preserve">Abela v Minister for Home Affairs </w:t>
      </w:r>
      <w:r w:rsidR="00C02358" w:rsidRPr="00206EAB">
        <w:t>[2021] FCA 96</w:t>
      </w:r>
      <w:r w:rsidR="00C02358" w:rsidRPr="00452B44">
        <w:t xml:space="preserve"> at [20]</w:t>
      </w:r>
      <w:r w:rsidRPr="00452B44">
        <w:t>.</w:t>
      </w:r>
    </w:p>
    <w:p w14:paraId="4082397E" w14:textId="77777777" w:rsidR="004E1173" w:rsidRPr="00187220" w:rsidRDefault="004E1173" w:rsidP="004E1173">
      <w:pPr>
        <w:pStyle w:val="ParaNumbering"/>
      </w:pPr>
      <w:r w:rsidRPr="00BE048B">
        <w:rPr>
          <w:lang w:val="en"/>
        </w:rPr>
        <w:lastRenderedPageBreak/>
        <w:t xml:space="preserve">Rules 16.02 and 16.21 must be interpreted and applied in light of s 37M of the FCA Act, which provides that the overarching purpose of the civil practice and procedure provisions is to facilitate the just resolution of disputes according to law as quickly, inexpensively and efficiently as possible: </w:t>
      </w:r>
      <w:r w:rsidRPr="00BE048B">
        <w:rPr>
          <w:i/>
          <w:lang w:val="en"/>
        </w:rPr>
        <w:t xml:space="preserve">Chandrasekaran </w:t>
      </w:r>
      <w:r w:rsidRPr="00BE048B">
        <w:rPr>
          <w:lang w:val="en"/>
        </w:rPr>
        <w:t>at [101].</w:t>
      </w:r>
    </w:p>
    <w:p w14:paraId="5EE46A3E" w14:textId="77777777" w:rsidR="00187220" w:rsidRPr="00AD074A" w:rsidRDefault="00187220" w:rsidP="00187220">
      <w:pPr>
        <w:pStyle w:val="ParaNumbering"/>
      </w:pPr>
      <w:r w:rsidRPr="009C4677">
        <w:t>In that context I note also that at least in contemporary times with the development of case management procedures, it has been recognised</w:t>
      </w:r>
      <w:r w:rsidR="00AD074A">
        <w:t xml:space="preserve"> that</w:t>
      </w:r>
      <w:r w:rsidRPr="009C4677">
        <w:t xml:space="preserve"> courts do not take an “unduly technical or restrictive approach to pleadings”, provided they fulfil their function: </w:t>
      </w:r>
      <w:r w:rsidRPr="009C4677">
        <w:rPr>
          <w:i/>
          <w:iCs/>
        </w:rPr>
        <w:t>Thomson v STX Pan Ocean Co Ltd</w:t>
      </w:r>
      <w:r w:rsidRPr="009C4677">
        <w:t xml:space="preserve"> [2012] FCAFC 15 at [13], citing </w:t>
      </w:r>
      <w:r w:rsidRPr="00AD074A">
        <w:rPr>
          <w:i/>
          <w:iCs/>
        </w:rPr>
        <w:t xml:space="preserve">Barclay Mowlem Construction </w:t>
      </w:r>
      <w:r w:rsidR="00A41D15" w:rsidRPr="00AD074A">
        <w:rPr>
          <w:i/>
          <w:iCs/>
        </w:rPr>
        <w:t xml:space="preserve">Ltd </w:t>
      </w:r>
      <w:r w:rsidRPr="00AD074A">
        <w:rPr>
          <w:i/>
          <w:iCs/>
        </w:rPr>
        <w:t>v Dampier Port Authority</w:t>
      </w:r>
      <w:r w:rsidRPr="00AD074A">
        <w:t> </w:t>
      </w:r>
      <w:r w:rsidR="00A41D15" w:rsidRPr="00AD074A">
        <w:t>[2006] WASC 281</w:t>
      </w:r>
      <w:r w:rsidRPr="00AD074A">
        <w:t>; </w:t>
      </w:r>
      <w:r w:rsidR="00A41D15" w:rsidRPr="00AD074A">
        <w:t>(2006) 33 WAR 82</w:t>
      </w:r>
      <w:r w:rsidRPr="00AD074A">
        <w:t xml:space="preserve"> </w:t>
      </w:r>
      <w:r w:rsidR="00895A45" w:rsidRPr="00AD074A">
        <w:t xml:space="preserve">at [4]-[8] </w:t>
      </w:r>
      <w:r w:rsidRPr="00AD074A">
        <w:t xml:space="preserve">and see </w:t>
      </w:r>
      <w:r w:rsidRPr="00AD074A">
        <w:rPr>
          <w:bCs/>
          <w:i/>
          <w:shd w:val="clear" w:color="auto" w:fill="FFFFFF"/>
        </w:rPr>
        <w:t>Allianz Australia Insurance Limited v Delor Vue Apartments CTS 39788</w:t>
      </w:r>
      <w:r w:rsidRPr="00AD074A">
        <w:rPr>
          <w:bCs/>
          <w:shd w:val="clear" w:color="auto" w:fill="FFFFFF"/>
        </w:rPr>
        <w:t> </w:t>
      </w:r>
      <w:r w:rsidR="00A41D15" w:rsidRPr="00AD074A">
        <w:t>[2021] FCAFC 121</w:t>
      </w:r>
      <w:r w:rsidRPr="00AD074A">
        <w:rPr>
          <w:bCs/>
          <w:shd w:val="clear" w:color="auto" w:fill="FFFFFF"/>
        </w:rPr>
        <w:t xml:space="preserve"> at [152].</w:t>
      </w:r>
    </w:p>
    <w:p w14:paraId="7BCCB3B2" w14:textId="77777777" w:rsidR="00452B44" w:rsidRPr="008B590E" w:rsidRDefault="00452B44" w:rsidP="00452B44">
      <w:pPr>
        <w:pStyle w:val="ParaNumbering"/>
        <w:rPr>
          <w:lang w:val="en"/>
        </w:rPr>
      </w:pPr>
      <w:r w:rsidRPr="00315150">
        <w:rPr>
          <w:lang w:val="en"/>
        </w:rPr>
        <w:t>For completeness</w:t>
      </w:r>
      <w:r w:rsidR="00F3574D" w:rsidRPr="00315150">
        <w:rPr>
          <w:lang w:val="en"/>
        </w:rPr>
        <w:t>,</w:t>
      </w:r>
      <w:r w:rsidR="00187220" w:rsidRPr="00315150">
        <w:rPr>
          <w:lang w:val="en"/>
        </w:rPr>
        <w:t xml:space="preserve"> </w:t>
      </w:r>
      <w:r w:rsidRPr="00315150">
        <w:rPr>
          <w:lang w:val="en"/>
        </w:rPr>
        <w:t xml:space="preserve">the respondent also relies in the alternative, on s 37P of the </w:t>
      </w:r>
      <w:r w:rsidR="00F3574D" w:rsidRPr="00315150">
        <w:rPr>
          <w:lang w:val="en"/>
        </w:rPr>
        <w:t xml:space="preserve">FCA </w:t>
      </w:r>
      <w:r w:rsidRPr="00315150">
        <w:rPr>
          <w:lang w:val="en"/>
        </w:rPr>
        <w:t>Act</w:t>
      </w:r>
      <w:r w:rsidR="00F3574D" w:rsidRPr="00315150">
        <w:rPr>
          <w:lang w:val="en"/>
        </w:rPr>
        <w:t>,</w:t>
      </w:r>
      <w:r w:rsidRPr="00315150">
        <w:rPr>
          <w:lang w:val="en"/>
        </w:rPr>
        <w:t xml:space="preserve"> </w:t>
      </w:r>
      <w:r w:rsidR="00F3574D" w:rsidRPr="00315150">
        <w:rPr>
          <w:lang w:val="en"/>
        </w:rPr>
        <w:t xml:space="preserve">which </w:t>
      </w:r>
      <w:r w:rsidRPr="008B590E">
        <w:rPr>
          <w:lang w:val="en"/>
        </w:rPr>
        <w:t xml:space="preserve">confers power on the Court to give directions about practice and procedure to be followed in relation to a civil proceeding before the Court, in accordance with the overarching purpose </w:t>
      </w:r>
      <w:r w:rsidR="00F3574D" w:rsidRPr="008B590E">
        <w:rPr>
          <w:lang w:val="en"/>
        </w:rPr>
        <w:t xml:space="preserve">of civil practice and procedure provisions </w:t>
      </w:r>
      <w:r w:rsidRPr="008B590E">
        <w:rPr>
          <w:lang w:val="en"/>
        </w:rPr>
        <w:t>under s 37M of the FCA</w:t>
      </w:r>
      <w:r w:rsidR="00F3574D" w:rsidRPr="008B590E">
        <w:rPr>
          <w:lang w:val="en"/>
        </w:rPr>
        <w:t xml:space="preserve"> Act</w:t>
      </w:r>
      <w:r w:rsidRPr="008B590E">
        <w:rPr>
          <w:lang w:val="en"/>
        </w:rPr>
        <w:t>.</w:t>
      </w:r>
      <w:r w:rsidR="007F7643" w:rsidRPr="008B590E">
        <w:rPr>
          <w:lang w:val="en"/>
        </w:rPr>
        <w:t xml:space="preserve"> </w:t>
      </w:r>
    </w:p>
    <w:p w14:paraId="7716B86F" w14:textId="77777777" w:rsidR="00DB0809" w:rsidRPr="00AA2F58" w:rsidRDefault="00DB0809" w:rsidP="0020473A">
      <w:pPr>
        <w:pStyle w:val="Heading2"/>
      </w:pPr>
      <w:r w:rsidRPr="00DB0809">
        <w:t>S</w:t>
      </w:r>
      <w:r w:rsidRPr="00AA2F58">
        <w:t>ubmissions</w:t>
      </w:r>
    </w:p>
    <w:p w14:paraId="3DAE756F" w14:textId="77777777" w:rsidR="004E1173" w:rsidRPr="00AA2F58" w:rsidRDefault="00DB0809" w:rsidP="0020473A">
      <w:pPr>
        <w:pStyle w:val="Heading3"/>
      </w:pPr>
      <w:r w:rsidRPr="00AA2F58">
        <w:t xml:space="preserve">NQCranes </w:t>
      </w:r>
    </w:p>
    <w:p w14:paraId="68DBE795" w14:textId="293E8200" w:rsidR="003D4E61" w:rsidRPr="00AA2F58" w:rsidRDefault="005214CB" w:rsidP="002A5ECA">
      <w:pPr>
        <w:pStyle w:val="ParaNumbering"/>
      </w:pPr>
      <w:r w:rsidRPr="00AA2F58">
        <w:t xml:space="preserve">NQCranes’ </w:t>
      </w:r>
      <w:r w:rsidR="00DB0809" w:rsidRPr="00AA2F58">
        <w:t>submission is directed to two aspects</w:t>
      </w:r>
      <w:r w:rsidR="001B4A59" w:rsidRPr="00AA2F58">
        <w:t xml:space="preserve"> of the ACCC’s case</w:t>
      </w:r>
      <w:r w:rsidRPr="00AA2F58">
        <w:t>;</w:t>
      </w:r>
      <w:r w:rsidR="00DB0809" w:rsidRPr="00AA2F58">
        <w:t xml:space="preserve"> </w:t>
      </w:r>
      <w:r w:rsidRPr="00AA2F58">
        <w:t>(</w:t>
      </w:r>
      <w:r w:rsidR="00B45BEA">
        <w:t>i</w:t>
      </w:r>
      <w:r w:rsidRPr="00AA2F58">
        <w:t xml:space="preserve">) </w:t>
      </w:r>
      <w:r w:rsidR="00DB0809" w:rsidRPr="00AA2F58">
        <w:t>giving effect to the Co-</w:t>
      </w:r>
      <w:r w:rsidR="0016344A">
        <w:t>O</w:t>
      </w:r>
      <w:r w:rsidR="00DB0809" w:rsidRPr="00AA2F58">
        <w:t>rdinated Approach Provision</w:t>
      </w:r>
      <w:r w:rsidR="00B45BEA">
        <w:t xml:space="preserve">; and </w:t>
      </w:r>
      <w:r w:rsidR="00B45BEA" w:rsidRPr="00AA2F58">
        <w:t>(</w:t>
      </w:r>
      <w:r w:rsidR="00077D37">
        <w:t>i</w:t>
      </w:r>
      <w:r w:rsidR="00B45BEA" w:rsidRPr="00AA2F58">
        <w:t>i) making and giving effect to t</w:t>
      </w:r>
      <w:r w:rsidR="00B45BEA">
        <w:t>he Non-Targeting Arrangement</w:t>
      </w:r>
      <w:r w:rsidR="00DB0809" w:rsidRPr="00AA2F58">
        <w:t xml:space="preserve">. </w:t>
      </w:r>
      <w:r w:rsidR="002A5ECA" w:rsidRPr="00AA2F58">
        <w:t xml:space="preserve">The effect of the first aspect is to strike out the whole of the Non-Targeting Arrangement case. </w:t>
      </w:r>
    </w:p>
    <w:p w14:paraId="57502B2D" w14:textId="77777777" w:rsidR="00FF7F7C" w:rsidRPr="007634DD" w:rsidRDefault="00FF7F7C" w:rsidP="00FF7F7C">
      <w:pPr>
        <w:pStyle w:val="Heading4"/>
      </w:pPr>
      <w:r>
        <w:t xml:space="preserve">Co-Ordinated Approach Provision </w:t>
      </w:r>
    </w:p>
    <w:p w14:paraId="39953457" w14:textId="77777777" w:rsidR="00FF7F7C" w:rsidRPr="00F63584" w:rsidRDefault="00D977A8" w:rsidP="00FF7F7C">
      <w:pPr>
        <w:pStyle w:val="ParaNumbering"/>
        <w:rPr>
          <w:szCs w:val="24"/>
        </w:rPr>
      </w:pPr>
      <w:r>
        <w:t xml:space="preserve">NQCranes’ submission was directed </w:t>
      </w:r>
      <w:r w:rsidR="00FF7F7C">
        <w:t xml:space="preserve">to </w:t>
      </w:r>
      <w:r>
        <w:t xml:space="preserve">the give </w:t>
      </w:r>
      <w:r w:rsidR="00FF7F7C">
        <w:t xml:space="preserve">effect </w:t>
      </w:r>
      <w:r>
        <w:t xml:space="preserve">allegation in respect </w:t>
      </w:r>
      <w:r w:rsidR="00FF7F7C">
        <w:t>to the Co-Ordinated Approach Provisio</w:t>
      </w:r>
      <w:r w:rsidR="00FF7F7C" w:rsidRPr="00D977A8">
        <w:t>n</w:t>
      </w:r>
      <w:r w:rsidR="00FF7F7C" w:rsidRPr="00745E29">
        <w:t>.</w:t>
      </w:r>
      <w:r w:rsidR="00696030">
        <w:t xml:space="preserve"> </w:t>
      </w:r>
      <w:r w:rsidR="00FF7F7C">
        <w:t xml:space="preserve">The submission commenced with the legal principles. NQCranes submitted that the words “give effect to” in s 4 were recently considered in </w:t>
      </w:r>
      <w:r w:rsidR="00FF7F7C" w:rsidRPr="00813AA1">
        <w:rPr>
          <w:i/>
        </w:rPr>
        <w:t>Australian Competition and Consumer Commission</w:t>
      </w:r>
      <w:r w:rsidR="00FF7F7C" w:rsidRPr="000B50E4">
        <w:t xml:space="preserve"> </w:t>
      </w:r>
      <w:r w:rsidR="00FF7F7C" w:rsidRPr="000B50E4">
        <w:rPr>
          <w:i/>
        </w:rPr>
        <w:t>v Yazaki</w:t>
      </w:r>
      <w:r w:rsidR="00FF7F7C" w:rsidRPr="000B50E4">
        <w:t xml:space="preserve"> </w:t>
      </w:r>
      <w:r w:rsidR="00FF7F7C" w:rsidRPr="000B50E4">
        <w:rPr>
          <w:i/>
        </w:rPr>
        <w:t xml:space="preserve">Corporation </w:t>
      </w:r>
      <w:r w:rsidR="00FF7F7C" w:rsidRPr="000B50E4">
        <w:t>[2018] FCAFC 73; (2018) 262 FCR 243</w:t>
      </w:r>
      <w:r w:rsidR="00FF7F7C">
        <w:t xml:space="preserve"> (</w:t>
      </w:r>
      <w:r w:rsidR="00FF7F7C" w:rsidRPr="00F63584">
        <w:rPr>
          <w:i/>
        </w:rPr>
        <w:t>Yazaki</w:t>
      </w:r>
      <w:r w:rsidR="00FF7F7C">
        <w:t xml:space="preserve">). In </w:t>
      </w:r>
      <w:r w:rsidR="00FF7F7C" w:rsidRPr="00F63584">
        <w:rPr>
          <w:i/>
        </w:rPr>
        <w:t xml:space="preserve">Yazaki, </w:t>
      </w:r>
      <w:r w:rsidR="00FF7F7C">
        <w:t>the Court said at [70] that “[i]t is apparent from s 4 that ‘give effect to’</w:t>
      </w:r>
      <w:r w:rsidR="00FF7F7C" w:rsidRPr="00527BA7">
        <w:t xml:space="preserve"> </w:t>
      </w:r>
      <w:r w:rsidR="00FF7F7C" w:rsidRPr="00F63584">
        <w:rPr>
          <w:u w:val="single"/>
        </w:rPr>
        <w:t>focuses on the implementation</w:t>
      </w:r>
      <w:r w:rsidR="00FF7F7C" w:rsidRPr="000E588D">
        <w:t xml:space="preserve"> </w:t>
      </w:r>
      <w:r w:rsidR="00FF7F7C">
        <w:t xml:space="preserve">of the contract, arrangement or understanding at issue” (emphasis in submissions). It was submitted </w:t>
      </w:r>
      <w:r w:rsidR="00FF7F7C" w:rsidRPr="00F63584">
        <w:rPr>
          <w:szCs w:val="24"/>
        </w:rPr>
        <w:t xml:space="preserve">that to be properly characterised as “giving effect to” a provision of a contract, arrangement or understanding, “it must be demonstrated sufficiently to have been actually undertaken pursuant to, in accordance with, or otherwise </w:t>
      </w:r>
      <w:r w:rsidR="00FF7F7C" w:rsidRPr="00F63584">
        <w:rPr>
          <w:szCs w:val="24"/>
          <w:u w:val="single"/>
        </w:rPr>
        <w:t>enacting, implementing or administering</w:t>
      </w:r>
      <w:r w:rsidR="00FF7F7C" w:rsidRPr="00F63584">
        <w:rPr>
          <w:szCs w:val="24"/>
        </w:rPr>
        <w:t xml:space="preserve"> that agreement”: </w:t>
      </w:r>
      <w:r w:rsidR="00FF7F7C" w:rsidRPr="00F63584">
        <w:rPr>
          <w:i/>
          <w:szCs w:val="24"/>
        </w:rPr>
        <w:t xml:space="preserve">Yazaki </w:t>
      </w:r>
      <w:r w:rsidR="00FF7F7C" w:rsidRPr="00F63584">
        <w:rPr>
          <w:szCs w:val="24"/>
        </w:rPr>
        <w:t xml:space="preserve">at [71] (emphasis in </w:t>
      </w:r>
      <w:r w:rsidR="00FF7F7C" w:rsidRPr="00F63584">
        <w:rPr>
          <w:szCs w:val="24"/>
        </w:rPr>
        <w:lastRenderedPageBreak/>
        <w:t>submissions). This is ultimately a question of fact decided in light of the circumstances of the particular</w:t>
      </w:r>
      <w:r w:rsidR="00FF7F7C" w:rsidRPr="00F63584">
        <w:rPr>
          <w:spacing w:val="-15"/>
          <w:szCs w:val="24"/>
        </w:rPr>
        <w:t xml:space="preserve"> </w:t>
      </w:r>
      <w:r w:rsidR="00FF7F7C" w:rsidRPr="00F63584">
        <w:rPr>
          <w:szCs w:val="24"/>
        </w:rPr>
        <w:t xml:space="preserve">case: </w:t>
      </w:r>
      <w:r w:rsidR="00FF7F7C" w:rsidRPr="00F63584">
        <w:rPr>
          <w:i/>
          <w:szCs w:val="24"/>
        </w:rPr>
        <w:t xml:space="preserve">Yazaki </w:t>
      </w:r>
      <w:r w:rsidR="00FF7F7C" w:rsidRPr="00F63584">
        <w:rPr>
          <w:szCs w:val="24"/>
        </w:rPr>
        <w:t>at [71] and [76].</w:t>
      </w:r>
    </w:p>
    <w:p w14:paraId="2C05C306" w14:textId="0EB288C6" w:rsidR="00FF7F7C" w:rsidRPr="00E93F42" w:rsidRDefault="00FF7F7C" w:rsidP="00E93F42">
      <w:pPr>
        <w:pStyle w:val="ParaNumbering"/>
      </w:pPr>
      <w:r>
        <w:t>It was submitted that the</w:t>
      </w:r>
      <w:r>
        <w:rPr>
          <w:spacing w:val="-5"/>
        </w:rPr>
        <w:t xml:space="preserve"> </w:t>
      </w:r>
      <w:r>
        <w:t>giving</w:t>
      </w:r>
      <w:r>
        <w:rPr>
          <w:spacing w:val="-2"/>
        </w:rPr>
        <w:t xml:space="preserve"> </w:t>
      </w:r>
      <w:r>
        <w:t>effect</w:t>
      </w:r>
      <w:r>
        <w:rPr>
          <w:spacing w:val="-3"/>
        </w:rPr>
        <w:t xml:space="preserve"> </w:t>
      </w:r>
      <w:r>
        <w:t>to</w:t>
      </w:r>
      <w:r>
        <w:rPr>
          <w:spacing w:val="-6"/>
        </w:rPr>
        <w:t xml:space="preserve"> </w:t>
      </w:r>
      <w:r>
        <w:t>the</w:t>
      </w:r>
      <w:r>
        <w:rPr>
          <w:spacing w:val="-4"/>
        </w:rPr>
        <w:t xml:space="preserve"> </w:t>
      </w:r>
      <w:r>
        <w:t>Co-Ordinated</w:t>
      </w:r>
      <w:r>
        <w:rPr>
          <w:spacing w:val="-3"/>
        </w:rPr>
        <w:t xml:space="preserve"> </w:t>
      </w:r>
      <w:r>
        <w:t>Approach</w:t>
      </w:r>
      <w:r>
        <w:rPr>
          <w:spacing w:val="-4"/>
        </w:rPr>
        <w:t xml:space="preserve"> </w:t>
      </w:r>
      <w:r>
        <w:t>Provision as pleaded alleges various categories of communications</w:t>
      </w:r>
      <w:r w:rsidR="00E93F42" w:rsidRPr="00E93F42">
        <w:t>,</w:t>
      </w:r>
      <w:r w:rsidR="008B590E" w:rsidRPr="00E93F42">
        <w:t xml:space="preserve"> </w:t>
      </w:r>
      <w:r w:rsidRPr="00E93F42">
        <w:t>which are also said to constitute</w:t>
      </w:r>
      <w:r w:rsidRPr="00E93F42">
        <w:rPr>
          <w:spacing w:val="-13"/>
        </w:rPr>
        <w:t xml:space="preserve"> </w:t>
      </w:r>
      <w:r w:rsidRPr="00E93F42">
        <w:t>giving</w:t>
      </w:r>
      <w:r w:rsidRPr="00E93F42">
        <w:rPr>
          <w:spacing w:val="-6"/>
        </w:rPr>
        <w:t xml:space="preserve"> </w:t>
      </w:r>
      <w:r w:rsidRPr="00E93F42">
        <w:t xml:space="preserve">effect to the Non-Targeting Arrangement (with the addition of </w:t>
      </w:r>
      <w:r w:rsidRPr="00E93F42">
        <w:rPr>
          <w:spacing w:val="-2"/>
        </w:rPr>
        <w:t xml:space="preserve">two </w:t>
      </w:r>
      <w:r w:rsidRPr="00E93F42">
        <w:t>further communications pleaded in paragraph</w:t>
      </w:r>
      <w:r w:rsidR="00BA6779" w:rsidRPr="00E93F42">
        <w:t>s</w:t>
      </w:r>
      <w:r w:rsidRPr="00E93F42">
        <w:t xml:space="preserve"> </w:t>
      </w:r>
      <w:r w:rsidR="008E57DC" w:rsidRPr="00E93F42">
        <w:t>[</w:t>
      </w:r>
      <w:r w:rsidRPr="00E93F42">
        <w:t>9F(a)</w:t>
      </w:r>
      <w:r w:rsidR="008E57DC" w:rsidRPr="00E93F42">
        <w:t>]</w:t>
      </w:r>
      <w:r w:rsidRPr="00E93F42">
        <w:t xml:space="preserve"> and</w:t>
      </w:r>
      <w:r w:rsidRPr="00E93F42">
        <w:rPr>
          <w:spacing w:val="-9"/>
        </w:rPr>
        <w:t xml:space="preserve"> </w:t>
      </w:r>
      <w:r w:rsidR="008E57DC" w:rsidRPr="00E93F42">
        <w:rPr>
          <w:spacing w:val="-9"/>
        </w:rPr>
        <w:t>[9F</w:t>
      </w:r>
      <w:r w:rsidRPr="00E93F42">
        <w:t>(b)</w:t>
      </w:r>
      <w:r w:rsidR="008E57DC" w:rsidRPr="00E93F42">
        <w:t>]</w:t>
      </w:r>
      <w:r w:rsidRPr="00E93F42">
        <w:t>).</w:t>
      </w:r>
      <w:r w:rsidR="008B590E" w:rsidRPr="00E93F42">
        <w:t xml:space="preserve">  </w:t>
      </w:r>
    </w:p>
    <w:p w14:paraId="741799B7" w14:textId="494CB130" w:rsidR="00FF7F7C" w:rsidRPr="00B838E4" w:rsidRDefault="00FF7F7C" w:rsidP="00FF7F7C">
      <w:pPr>
        <w:pStyle w:val="ParaNumbering"/>
        <w:spacing w:before="10"/>
        <w:rPr>
          <w:sz w:val="21"/>
        </w:rPr>
      </w:pPr>
      <w:r>
        <w:t xml:space="preserve">In summary, it was submitted that the ACCC relies on various categories </w:t>
      </w:r>
      <w:r w:rsidRPr="00B838E4">
        <w:rPr>
          <w:spacing w:val="-3"/>
        </w:rPr>
        <w:t xml:space="preserve">of </w:t>
      </w:r>
      <w:r>
        <w:t>communications between senior managers at NQCranes</w:t>
      </w:r>
      <w:r w:rsidR="00AA619E">
        <w:t xml:space="preserve">, </w:t>
      </w:r>
      <w:r>
        <w:t>including</w:t>
      </w:r>
      <w:r w:rsidR="00AA619E">
        <w:t>:</w:t>
      </w:r>
      <w:r>
        <w:t xml:space="preserve"> proposing but not effecting the exchange of customer lists with MHE-Demag</w:t>
      </w:r>
      <w:r w:rsidR="00AA619E">
        <w:t>;</w:t>
      </w:r>
      <w:r>
        <w:t xml:space="preserve"> exchanging emails and attending meetings with senior managers of MHE-Demag</w:t>
      </w:r>
      <w:r w:rsidR="00AA619E">
        <w:t>;</w:t>
      </w:r>
      <w:r>
        <w:t xml:space="preserve"> meetings with operational managers at NQCranes</w:t>
      </w:r>
      <w:r w:rsidR="00AA619E">
        <w:t>;</w:t>
      </w:r>
      <w:r>
        <w:t xml:space="preserve"> and raising and responding to complaints arising out of the mutual targeting of customers by both NQCranes and</w:t>
      </w:r>
      <w:r w:rsidRPr="00B838E4">
        <w:rPr>
          <w:spacing w:val="-13"/>
        </w:rPr>
        <w:t xml:space="preserve"> </w:t>
      </w:r>
      <w:r>
        <w:t>MHE-Demag. Many of these communications themselves indicate that the Co-Ordinated Approach Provision</w:t>
      </w:r>
      <w:r w:rsidRPr="00B838E4">
        <w:rPr>
          <w:spacing w:val="-13"/>
        </w:rPr>
        <w:t xml:space="preserve"> </w:t>
      </w:r>
      <w:r>
        <w:t>and</w:t>
      </w:r>
      <w:r w:rsidRPr="00B838E4">
        <w:rPr>
          <w:spacing w:val="-12"/>
        </w:rPr>
        <w:t xml:space="preserve"> </w:t>
      </w:r>
      <w:r>
        <w:t>the</w:t>
      </w:r>
      <w:r w:rsidRPr="00B838E4">
        <w:rPr>
          <w:spacing w:val="-12"/>
        </w:rPr>
        <w:t xml:space="preserve"> </w:t>
      </w:r>
      <w:r>
        <w:t>alleged</w:t>
      </w:r>
      <w:r w:rsidRPr="00B838E4">
        <w:rPr>
          <w:spacing w:val="-14"/>
        </w:rPr>
        <w:t xml:space="preserve"> </w:t>
      </w:r>
      <w:r>
        <w:t>Non-Targeting</w:t>
      </w:r>
      <w:r w:rsidRPr="00B838E4">
        <w:rPr>
          <w:spacing w:val="-12"/>
        </w:rPr>
        <w:t xml:space="preserve"> </w:t>
      </w:r>
      <w:r>
        <w:t>Agreement</w:t>
      </w:r>
      <w:r w:rsidRPr="00B838E4">
        <w:rPr>
          <w:spacing w:val="-11"/>
        </w:rPr>
        <w:t xml:space="preserve"> </w:t>
      </w:r>
      <w:r>
        <w:t>were</w:t>
      </w:r>
      <w:r w:rsidRPr="00B838E4">
        <w:rPr>
          <w:spacing w:val="-11"/>
        </w:rPr>
        <w:t xml:space="preserve"> </w:t>
      </w:r>
      <w:r>
        <w:t>not</w:t>
      </w:r>
      <w:r w:rsidRPr="00B838E4">
        <w:rPr>
          <w:spacing w:val="-12"/>
        </w:rPr>
        <w:t xml:space="preserve"> </w:t>
      </w:r>
      <w:r>
        <w:t>in</w:t>
      </w:r>
      <w:r w:rsidRPr="00B838E4">
        <w:rPr>
          <w:spacing w:val="-15"/>
        </w:rPr>
        <w:t xml:space="preserve"> </w:t>
      </w:r>
      <w:r>
        <w:t>fact</w:t>
      </w:r>
      <w:r w:rsidRPr="00B838E4">
        <w:rPr>
          <w:spacing w:val="-11"/>
        </w:rPr>
        <w:t xml:space="preserve"> </w:t>
      </w:r>
      <w:r>
        <w:t>implemented.</w:t>
      </w:r>
      <w:r w:rsidRPr="00B838E4">
        <w:rPr>
          <w:spacing w:val="-10"/>
        </w:rPr>
        <w:t xml:space="preserve"> </w:t>
      </w:r>
      <w:r>
        <w:t xml:space="preserve">The receipt of communications which in substance indicate that NQCranes </w:t>
      </w:r>
      <w:r w:rsidRPr="00B838E4">
        <w:rPr>
          <w:spacing w:val="-3"/>
        </w:rPr>
        <w:t xml:space="preserve">was </w:t>
      </w:r>
      <w:r>
        <w:t>not acting in accordance with the alleged cartel provisions cannot be conduct which gives effect to those</w:t>
      </w:r>
      <w:r w:rsidRPr="00B838E4">
        <w:rPr>
          <w:spacing w:val="-5"/>
        </w:rPr>
        <w:t xml:space="preserve"> </w:t>
      </w:r>
      <w:r w:rsidRPr="00F63584">
        <w:t>provisions.</w:t>
      </w:r>
      <w:r w:rsidRPr="00F63584">
        <w:rPr>
          <w:sz w:val="21"/>
        </w:rPr>
        <w:t xml:space="preserve"> </w:t>
      </w:r>
      <w:r w:rsidRPr="00F63584">
        <w:t>It was submitted that the ASOC</w:t>
      </w:r>
      <w:r w:rsidRPr="00B838E4">
        <w:t xml:space="preserve"> alleged the respondent “retract[ed] an offer to provide services to a potential client, Mesh and Bar, in Brisbane, which </w:t>
      </w:r>
      <w:r w:rsidRPr="00B838E4">
        <w:rPr>
          <w:spacing w:val="-2"/>
        </w:rPr>
        <w:t xml:space="preserve">was </w:t>
      </w:r>
      <w:r w:rsidRPr="00B838E4">
        <w:t>identified as being a MHE-Demag client at the relevant</w:t>
      </w:r>
      <w:r w:rsidRPr="00B838E4">
        <w:rPr>
          <w:spacing w:val="-11"/>
        </w:rPr>
        <w:t xml:space="preserve"> </w:t>
      </w:r>
      <w:r w:rsidRPr="00B838E4">
        <w:t xml:space="preserve">time”, but the particular does not support the allegation. </w:t>
      </w:r>
    </w:p>
    <w:p w14:paraId="4870E7D5" w14:textId="77777777" w:rsidR="00FF7F7C" w:rsidRPr="003D4E61" w:rsidRDefault="00FF7F7C" w:rsidP="00FF7F7C">
      <w:pPr>
        <w:pStyle w:val="ParaNumbering"/>
      </w:pPr>
      <w:r>
        <w:t>It was submitted that the ACCC has conducted an investigation utilising its compulsory powers but it is apparent on the face of its pleading that it has not identified any conduct of NQCranes of avoiding targeting MHE-Demag’s existing customers. It was submitted that the give effect case ought to be struck out without leave to</w:t>
      </w:r>
      <w:r w:rsidRPr="003D4E61">
        <w:rPr>
          <w:spacing w:val="-1"/>
        </w:rPr>
        <w:t xml:space="preserve"> </w:t>
      </w:r>
      <w:r>
        <w:t>replead.</w:t>
      </w:r>
    </w:p>
    <w:p w14:paraId="2E7AB504" w14:textId="2EF45B1F" w:rsidR="00FF7F7C" w:rsidRDefault="00FF7F7C" w:rsidP="00FF7F7C">
      <w:pPr>
        <w:pStyle w:val="ParaNumbering"/>
      </w:pPr>
      <w:r w:rsidRPr="00C34365">
        <w:t>It was also submitted that</w:t>
      </w:r>
      <w:r w:rsidR="00E93F42" w:rsidRPr="00C34365">
        <w:t xml:space="preserve"> as a result of the </w:t>
      </w:r>
      <w:r w:rsidRPr="00C34365">
        <w:t>significant</w:t>
      </w:r>
      <w:r w:rsidRPr="00C34365">
        <w:rPr>
          <w:spacing w:val="-2"/>
        </w:rPr>
        <w:t xml:space="preserve"> </w:t>
      </w:r>
      <w:r w:rsidRPr="00C34365">
        <w:t>overlap</w:t>
      </w:r>
      <w:r w:rsidRPr="00C34365">
        <w:rPr>
          <w:spacing w:val="-6"/>
        </w:rPr>
        <w:t xml:space="preserve"> </w:t>
      </w:r>
      <w:r w:rsidRPr="00C34365">
        <w:t>between</w:t>
      </w:r>
      <w:r w:rsidRPr="00C34365">
        <w:rPr>
          <w:spacing w:val="-6"/>
        </w:rPr>
        <w:t xml:space="preserve"> </w:t>
      </w:r>
      <w:r w:rsidRPr="00C34365">
        <w:t>the</w:t>
      </w:r>
      <w:r w:rsidRPr="00C34365">
        <w:rPr>
          <w:spacing w:val="-2"/>
        </w:rPr>
        <w:t xml:space="preserve"> </w:t>
      </w:r>
      <w:r w:rsidRPr="00C34365">
        <w:t>give</w:t>
      </w:r>
      <w:r w:rsidRPr="00C34365">
        <w:rPr>
          <w:spacing w:val="-5"/>
        </w:rPr>
        <w:t xml:space="preserve"> </w:t>
      </w:r>
      <w:r w:rsidRPr="00C34365">
        <w:t>effect</w:t>
      </w:r>
      <w:r w:rsidRPr="00C34365">
        <w:rPr>
          <w:spacing w:val="-3"/>
        </w:rPr>
        <w:t xml:space="preserve"> </w:t>
      </w:r>
      <w:r w:rsidRPr="00C34365">
        <w:t>conduct</w:t>
      </w:r>
      <w:r w:rsidRPr="00C34365">
        <w:rPr>
          <w:spacing w:val="-3"/>
        </w:rPr>
        <w:t xml:space="preserve"> </w:t>
      </w:r>
      <w:r w:rsidRPr="00C34365">
        <w:t>pleaded</w:t>
      </w:r>
      <w:r w:rsidRPr="00C34365">
        <w:rPr>
          <w:spacing w:val="-6"/>
        </w:rPr>
        <w:t xml:space="preserve"> </w:t>
      </w:r>
      <w:r w:rsidRPr="00C34365">
        <w:t>in</w:t>
      </w:r>
      <w:r w:rsidRPr="00C34365">
        <w:rPr>
          <w:spacing w:val="-6"/>
        </w:rPr>
        <w:t xml:space="preserve"> </w:t>
      </w:r>
      <w:r w:rsidRPr="00C34365">
        <w:t>respect of the Co-Ordinated Approach Provision an</w:t>
      </w:r>
      <w:r w:rsidR="00E93F42" w:rsidRPr="00C34365">
        <w:t>d the Non-Targeting Arrangement, i</w:t>
      </w:r>
      <w:r w:rsidRPr="00C34365">
        <w:t>n effect, it is said</w:t>
      </w:r>
      <w:r>
        <w:t xml:space="preserve"> that NQCranes and MHE-Demag gave effect</w:t>
      </w:r>
      <w:r>
        <w:rPr>
          <w:spacing w:val="-7"/>
        </w:rPr>
        <w:t xml:space="preserve"> </w:t>
      </w:r>
      <w:r>
        <w:t>to</w:t>
      </w:r>
      <w:r>
        <w:rPr>
          <w:spacing w:val="-8"/>
        </w:rPr>
        <w:t xml:space="preserve"> </w:t>
      </w:r>
      <w:r>
        <w:t>two</w:t>
      </w:r>
      <w:r>
        <w:rPr>
          <w:spacing w:val="-6"/>
        </w:rPr>
        <w:t xml:space="preserve"> </w:t>
      </w:r>
      <w:r>
        <w:t>overlapping</w:t>
      </w:r>
      <w:r>
        <w:rPr>
          <w:spacing w:val="-4"/>
        </w:rPr>
        <w:t xml:space="preserve"> </w:t>
      </w:r>
      <w:r>
        <w:t>cartel</w:t>
      </w:r>
      <w:r>
        <w:rPr>
          <w:spacing w:val="-7"/>
        </w:rPr>
        <w:t xml:space="preserve"> </w:t>
      </w:r>
      <w:r>
        <w:t>provisions</w:t>
      </w:r>
      <w:r>
        <w:rPr>
          <w:spacing w:val="-7"/>
        </w:rPr>
        <w:t xml:space="preserve"> </w:t>
      </w:r>
      <w:r>
        <w:t>concurrently</w:t>
      </w:r>
      <w:r>
        <w:rPr>
          <w:spacing w:val="-8"/>
        </w:rPr>
        <w:t xml:space="preserve"> </w:t>
      </w:r>
      <w:r>
        <w:t>and</w:t>
      </w:r>
      <w:r>
        <w:rPr>
          <w:spacing w:val="-7"/>
        </w:rPr>
        <w:t xml:space="preserve"> </w:t>
      </w:r>
      <w:r>
        <w:t>by</w:t>
      </w:r>
      <w:r>
        <w:rPr>
          <w:spacing w:val="-9"/>
        </w:rPr>
        <w:t xml:space="preserve"> </w:t>
      </w:r>
      <w:r>
        <w:t>the</w:t>
      </w:r>
      <w:r>
        <w:rPr>
          <w:spacing w:val="-6"/>
        </w:rPr>
        <w:t xml:space="preserve"> </w:t>
      </w:r>
      <w:r>
        <w:t>same</w:t>
      </w:r>
      <w:r>
        <w:rPr>
          <w:spacing w:val="-8"/>
        </w:rPr>
        <w:t xml:space="preserve"> </w:t>
      </w:r>
      <w:r>
        <w:t>conduct.</w:t>
      </w:r>
      <w:r>
        <w:rPr>
          <w:spacing w:val="-9"/>
        </w:rPr>
        <w:t xml:space="preserve"> </w:t>
      </w:r>
      <w:r>
        <w:t>This contention</w:t>
      </w:r>
      <w:r w:rsidR="00696030">
        <w:t>, NQCranes submits,</w:t>
      </w:r>
      <w:r>
        <w:t xml:space="preserve"> is embarrassing: r</w:t>
      </w:r>
      <w:r>
        <w:rPr>
          <w:spacing w:val="-15"/>
        </w:rPr>
        <w:t> </w:t>
      </w:r>
      <w:r>
        <w:t>16.21(1)(d).</w:t>
      </w:r>
    </w:p>
    <w:p w14:paraId="347F1DBD" w14:textId="77777777" w:rsidR="00932909" w:rsidRPr="00932909" w:rsidRDefault="00932909" w:rsidP="00527BA7">
      <w:pPr>
        <w:pStyle w:val="Heading4"/>
      </w:pPr>
      <w:r w:rsidRPr="00932909">
        <w:t xml:space="preserve">Non-Targeting Arrangement </w:t>
      </w:r>
    </w:p>
    <w:p w14:paraId="0BA4B9D9" w14:textId="6EA82030" w:rsidR="004E1173" w:rsidRDefault="003D4E61" w:rsidP="003D4E61">
      <w:pPr>
        <w:pStyle w:val="ParaNumbering"/>
      </w:pPr>
      <w:r>
        <w:t xml:space="preserve">As to the Non-Targeting Arrangement, this is pleaded as an arrangement separate to the </w:t>
      </w:r>
      <w:r w:rsidR="005A790B">
        <w:t>Distributorship</w:t>
      </w:r>
      <w:r>
        <w:t xml:space="preserve"> Agreement </w:t>
      </w:r>
      <w:r w:rsidR="001B4A59">
        <w:t xml:space="preserve">and is </w:t>
      </w:r>
      <w:r>
        <w:t xml:space="preserve">said to arise out of “negotiations in relation to the </w:t>
      </w:r>
      <w:r w:rsidR="005A790B">
        <w:t>D</w:t>
      </w:r>
      <w:r>
        <w:t xml:space="preserve">istributorship </w:t>
      </w:r>
      <w:r w:rsidR="005A790B">
        <w:t>A</w:t>
      </w:r>
      <w:r>
        <w:t>greement”.</w:t>
      </w:r>
      <w:r w:rsidRPr="003D4E61">
        <w:rPr>
          <w:position w:val="8"/>
          <w:sz w:val="14"/>
        </w:rPr>
        <w:t xml:space="preserve"> </w:t>
      </w:r>
      <w:r>
        <w:t>It was submitted that it aligns with the Co-</w:t>
      </w:r>
      <w:r w:rsidRPr="003D4E61">
        <w:rPr>
          <w:szCs w:val="24"/>
        </w:rPr>
        <w:t xml:space="preserve">Ordinated Approach </w:t>
      </w:r>
      <w:r w:rsidRPr="003D4E61">
        <w:rPr>
          <w:szCs w:val="24"/>
        </w:rPr>
        <w:lastRenderedPageBreak/>
        <w:t xml:space="preserve">Provision for the purposes of NQCranes and MHE-Demag refraining from targeting each other’s customers in the Brisbane and Newcastle area but differs in respect of it not forming part of an overall </w:t>
      </w:r>
      <w:r w:rsidR="005A790B">
        <w:rPr>
          <w:szCs w:val="24"/>
        </w:rPr>
        <w:t>Distributorship</w:t>
      </w:r>
      <w:r w:rsidR="005A790B" w:rsidRPr="003D4E61">
        <w:rPr>
          <w:szCs w:val="24"/>
        </w:rPr>
        <w:t xml:space="preserve"> </w:t>
      </w:r>
      <w:r w:rsidRPr="003D4E61">
        <w:rPr>
          <w:szCs w:val="24"/>
        </w:rPr>
        <w:t>Agreement for</w:t>
      </w:r>
      <w:r w:rsidRPr="003D4E61">
        <w:rPr>
          <w:spacing w:val="-7"/>
          <w:szCs w:val="24"/>
        </w:rPr>
        <w:t xml:space="preserve"> </w:t>
      </w:r>
      <w:r w:rsidRPr="003D4E61">
        <w:rPr>
          <w:szCs w:val="24"/>
        </w:rPr>
        <w:t xml:space="preserve">supply. </w:t>
      </w:r>
    </w:p>
    <w:p w14:paraId="497A79AC" w14:textId="77777777" w:rsidR="005614B0" w:rsidRPr="00AA2F58" w:rsidRDefault="003D4E61" w:rsidP="00D23528">
      <w:pPr>
        <w:pStyle w:val="ParaNumbering"/>
        <w:spacing w:before="8"/>
        <w:rPr>
          <w:sz w:val="20"/>
        </w:rPr>
      </w:pPr>
      <w:r>
        <w:t xml:space="preserve">NQCranes submitted </w:t>
      </w:r>
      <w:r w:rsidRPr="00AA2F58">
        <w:t xml:space="preserve">there are two critical problems. </w:t>
      </w:r>
    </w:p>
    <w:p w14:paraId="7A9A8C07" w14:textId="77777777" w:rsidR="003D4E61" w:rsidRPr="005614B0" w:rsidRDefault="003D4E61" w:rsidP="005614B0">
      <w:pPr>
        <w:pStyle w:val="ParaNumbering"/>
        <w:spacing w:before="8"/>
        <w:rPr>
          <w:sz w:val="20"/>
        </w:rPr>
      </w:pPr>
      <w:r w:rsidRPr="00AA2F58">
        <w:rPr>
          <w:i/>
        </w:rPr>
        <w:t>First</w:t>
      </w:r>
      <w:r w:rsidRPr="00AA2F58">
        <w:t xml:space="preserve">, the ACCC’s new case </w:t>
      </w:r>
      <w:r w:rsidR="005318CF" w:rsidRPr="00AA2F58">
        <w:t xml:space="preserve">concerning </w:t>
      </w:r>
      <w:r w:rsidR="008E7ACF" w:rsidRPr="00AA2F58">
        <w:t xml:space="preserve">the </w:t>
      </w:r>
      <w:r w:rsidR="005614B0" w:rsidRPr="00AA2F58">
        <w:t xml:space="preserve">Non-Targeting Arrangement </w:t>
      </w:r>
      <w:r w:rsidRPr="00AA2F58">
        <w:t xml:space="preserve">cannot satisfy the meeting of minds or commitment elements for an arrangement under the </w:t>
      </w:r>
      <w:r w:rsidR="00536419" w:rsidRPr="00AA2F58">
        <w:t>CCA</w:t>
      </w:r>
      <w:r w:rsidRPr="00AA2F58">
        <w:t>. The f</w:t>
      </w:r>
      <w:r w:rsidR="005614B0" w:rsidRPr="00AA2F58">
        <w:t xml:space="preserve">acts </w:t>
      </w:r>
      <w:r w:rsidR="00A24BEE" w:rsidRPr="00AA2F58">
        <w:t xml:space="preserve">particularised in [9] of the ASOC </w:t>
      </w:r>
      <w:r w:rsidR="002A5ECA" w:rsidRPr="00AA2F58">
        <w:t>are</w:t>
      </w:r>
      <w:r w:rsidRPr="00AA2F58">
        <w:t xml:space="preserve"> part of the negotiations for the Distri</w:t>
      </w:r>
      <w:r w:rsidR="005614B0" w:rsidRPr="00AA2F58">
        <w:t>butorship Agreement. The effect of the allegation</w:t>
      </w:r>
      <w:r w:rsidRPr="00AA2F58">
        <w:t xml:space="preserve"> is tha</w:t>
      </w:r>
      <w:r w:rsidR="005614B0" w:rsidRPr="00AA2F58">
        <w:t xml:space="preserve">t those negotiations </w:t>
      </w:r>
      <w:r w:rsidRPr="00AA2F58">
        <w:t xml:space="preserve">gave rise to a separate arrangement immediately prior to the execution of the </w:t>
      </w:r>
      <w:r w:rsidR="00B303A3" w:rsidRPr="00AA2F58">
        <w:t>Distri</w:t>
      </w:r>
      <w:r w:rsidR="00B303A3">
        <w:t xml:space="preserve">butorship Agreement </w:t>
      </w:r>
      <w:r>
        <w:t xml:space="preserve">and </w:t>
      </w:r>
      <w:r w:rsidR="00AA619E">
        <w:t xml:space="preserve">is </w:t>
      </w:r>
      <w:r>
        <w:t>constituted by just one of the provisions of the soon-to-be executed</w:t>
      </w:r>
      <w:r w:rsidRPr="005614B0">
        <w:rPr>
          <w:spacing w:val="-12"/>
        </w:rPr>
        <w:t xml:space="preserve"> </w:t>
      </w:r>
      <w:r w:rsidR="00B303A3">
        <w:t>Distributorship Agreement</w:t>
      </w:r>
      <w:r>
        <w:t>.</w:t>
      </w:r>
      <w:r w:rsidR="005614B0">
        <w:t xml:space="preserve"> </w:t>
      </w:r>
      <w:r>
        <w:t>There</w:t>
      </w:r>
      <w:r w:rsidRPr="005614B0">
        <w:rPr>
          <w:spacing w:val="-3"/>
        </w:rPr>
        <w:t xml:space="preserve"> </w:t>
      </w:r>
      <w:r>
        <w:t>are</w:t>
      </w:r>
      <w:r w:rsidRPr="005614B0">
        <w:rPr>
          <w:spacing w:val="-6"/>
        </w:rPr>
        <w:t xml:space="preserve"> </w:t>
      </w:r>
      <w:r>
        <w:t>no</w:t>
      </w:r>
      <w:r w:rsidRPr="005614B0">
        <w:rPr>
          <w:spacing w:val="-7"/>
        </w:rPr>
        <w:t xml:space="preserve"> </w:t>
      </w:r>
      <w:r>
        <w:t>material</w:t>
      </w:r>
      <w:r w:rsidRPr="005614B0">
        <w:rPr>
          <w:spacing w:val="-7"/>
        </w:rPr>
        <w:t xml:space="preserve"> </w:t>
      </w:r>
      <w:r>
        <w:t>facts</w:t>
      </w:r>
      <w:r w:rsidRPr="005614B0">
        <w:rPr>
          <w:spacing w:val="-4"/>
        </w:rPr>
        <w:t xml:space="preserve"> </w:t>
      </w:r>
      <w:r>
        <w:t>pleaded</w:t>
      </w:r>
      <w:r w:rsidRPr="005614B0">
        <w:rPr>
          <w:spacing w:val="-4"/>
        </w:rPr>
        <w:t xml:space="preserve"> </w:t>
      </w:r>
      <w:r>
        <w:t>which</w:t>
      </w:r>
      <w:r w:rsidRPr="005614B0">
        <w:rPr>
          <w:spacing w:val="-4"/>
        </w:rPr>
        <w:t xml:space="preserve"> </w:t>
      </w:r>
      <w:r>
        <w:t>would</w:t>
      </w:r>
      <w:r w:rsidRPr="005614B0">
        <w:rPr>
          <w:spacing w:val="-4"/>
        </w:rPr>
        <w:t xml:space="preserve"> </w:t>
      </w:r>
      <w:r>
        <w:t>support</w:t>
      </w:r>
      <w:r w:rsidRPr="005614B0">
        <w:rPr>
          <w:spacing w:val="-4"/>
        </w:rPr>
        <w:t xml:space="preserve"> </w:t>
      </w:r>
      <w:r>
        <w:t>the</w:t>
      </w:r>
      <w:r w:rsidRPr="005614B0">
        <w:rPr>
          <w:spacing w:val="-7"/>
        </w:rPr>
        <w:t xml:space="preserve"> </w:t>
      </w:r>
      <w:r>
        <w:t>conclusion</w:t>
      </w:r>
      <w:r w:rsidRPr="005614B0">
        <w:rPr>
          <w:spacing w:val="-4"/>
        </w:rPr>
        <w:t xml:space="preserve"> </w:t>
      </w:r>
      <w:r>
        <w:t>that</w:t>
      </w:r>
      <w:r w:rsidRPr="005614B0">
        <w:rPr>
          <w:spacing w:val="-2"/>
        </w:rPr>
        <w:t xml:space="preserve"> </w:t>
      </w:r>
      <w:r>
        <w:t>the</w:t>
      </w:r>
      <w:r w:rsidRPr="005614B0">
        <w:rPr>
          <w:spacing w:val="-4"/>
        </w:rPr>
        <w:t xml:space="preserve"> </w:t>
      </w:r>
      <w:r w:rsidR="002A5ECA">
        <w:t>Non-</w:t>
      </w:r>
      <w:r>
        <w:t xml:space="preserve">Targeting Arrangement was made. </w:t>
      </w:r>
    </w:p>
    <w:p w14:paraId="15FAF2DD" w14:textId="77777777" w:rsidR="003D4E61" w:rsidRDefault="005614B0" w:rsidP="005614B0">
      <w:pPr>
        <w:pStyle w:val="ParaNumbering"/>
      </w:pPr>
      <w:r>
        <w:t>It was submitted that t</w:t>
      </w:r>
      <w:r w:rsidR="003D4E61">
        <w:t>he</w:t>
      </w:r>
      <w:r w:rsidR="003D4E61">
        <w:rPr>
          <w:spacing w:val="-12"/>
        </w:rPr>
        <w:t xml:space="preserve"> </w:t>
      </w:r>
      <w:r w:rsidR="003D4E61">
        <w:t>ACCC’s</w:t>
      </w:r>
      <w:r w:rsidR="003D4E61">
        <w:rPr>
          <w:spacing w:val="-11"/>
        </w:rPr>
        <w:t xml:space="preserve"> </w:t>
      </w:r>
      <w:r w:rsidR="003D4E61">
        <w:t>attempt</w:t>
      </w:r>
      <w:r w:rsidR="003D4E61">
        <w:rPr>
          <w:spacing w:val="-9"/>
        </w:rPr>
        <w:t xml:space="preserve"> </w:t>
      </w:r>
      <w:r w:rsidR="003D4E61">
        <w:t>to</w:t>
      </w:r>
      <w:r w:rsidR="003D4E61">
        <w:rPr>
          <w:spacing w:val="-13"/>
        </w:rPr>
        <w:t xml:space="preserve"> </w:t>
      </w:r>
      <w:r w:rsidR="003D4E61">
        <w:t>sever</w:t>
      </w:r>
      <w:r w:rsidR="003D4E61">
        <w:rPr>
          <w:spacing w:val="-9"/>
        </w:rPr>
        <w:t xml:space="preserve"> </w:t>
      </w:r>
      <w:r w:rsidR="003D4E61">
        <w:t>the</w:t>
      </w:r>
      <w:r w:rsidR="003D4E61">
        <w:rPr>
          <w:spacing w:val="-10"/>
        </w:rPr>
        <w:t xml:space="preserve"> </w:t>
      </w:r>
      <w:r w:rsidR="003D4E61">
        <w:t>negotiations</w:t>
      </w:r>
      <w:r w:rsidR="003D4E61">
        <w:rPr>
          <w:spacing w:val="-13"/>
        </w:rPr>
        <w:t xml:space="preserve"> </w:t>
      </w:r>
      <w:r w:rsidR="003D4E61">
        <w:t>from</w:t>
      </w:r>
      <w:r w:rsidR="003D4E61">
        <w:rPr>
          <w:spacing w:val="-9"/>
        </w:rPr>
        <w:t xml:space="preserve"> </w:t>
      </w:r>
      <w:r w:rsidR="003D4E61">
        <w:t>the</w:t>
      </w:r>
      <w:r w:rsidR="003D4E61">
        <w:rPr>
          <w:spacing w:val="-12"/>
        </w:rPr>
        <w:t xml:space="preserve"> </w:t>
      </w:r>
      <w:r w:rsidR="003D4E61">
        <w:t>written</w:t>
      </w:r>
      <w:r w:rsidR="003D4E61">
        <w:rPr>
          <w:spacing w:val="-12"/>
        </w:rPr>
        <w:t xml:space="preserve"> </w:t>
      </w:r>
      <w:r w:rsidR="00B303A3">
        <w:t>Distributorship Agreement</w:t>
      </w:r>
      <w:r w:rsidR="00B303A3">
        <w:rPr>
          <w:spacing w:val="-13"/>
        </w:rPr>
        <w:t xml:space="preserve"> </w:t>
      </w:r>
      <w:r w:rsidR="003D4E61">
        <w:t>and</w:t>
      </w:r>
      <w:r w:rsidR="003D4E61">
        <w:rPr>
          <w:spacing w:val="-11"/>
        </w:rPr>
        <w:t xml:space="preserve"> </w:t>
      </w:r>
      <w:r w:rsidR="003D4E61">
        <w:t>a</w:t>
      </w:r>
      <w:r w:rsidR="003D4E61">
        <w:rPr>
          <w:spacing w:val="-11"/>
        </w:rPr>
        <w:t xml:space="preserve"> </w:t>
      </w:r>
      <w:r w:rsidR="003D4E61">
        <w:t xml:space="preserve">single part of </w:t>
      </w:r>
      <w:r w:rsidR="00B303A3">
        <w:t xml:space="preserve">that </w:t>
      </w:r>
      <w:r w:rsidR="003D4E61">
        <w:t>agreement from the rest of the agreement</w:t>
      </w:r>
      <w:r w:rsidR="00F63584">
        <w:t>,</w:t>
      </w:r>
      <w:r w:rsidR="003D4E61">
        <w:t xml:space="preserve"> is a</w:t>
      </w:r>
      <w:r w:rsidR="003D4E61">
        <w:rPr>
          <w:spacing w:val="-13"/>
        </w:rPr>
        <w:t xml:space="preserve"> </w:t>
      </w:r>
      <w:r w:rsidR="003D4E61">
        <w:t>contrivance.</w:t>
      </w:r>
      <w:r>
        <w:t xml:space="preserve"> </w:t>
      </w:r>
      <w:r w:rsidR="003D4E61">
        <w:t>This problem means that no reasonable cause of action is disclosed and, by itself or together with other matters, lead</w:t>
      </w:r>
      <w:r w:rsidR="00A24BEE">
        <w:t>s</w:t>
      </w:r>
      <w:r w:rsidR="003D4E61">
        <w:t xml:space="preserve"> to the conclusion that the new allegations are an abuse of</w:t>
      </w:r>
      <w:r w:rsidR="003D4E61" w:rsidRPr="005614B0">
        <w:rPr>
          <w:spacing w:val="-1"/>
        </w:rPr>
        <w:t xml:space="preserve"> </w:t>
      </w:r>
      <w:r w:rsidR="003D4E61">
        <w:t>process.</w:t>
      </w:r>
    </w:p>
    <w:p w14:paraId="5743C7C0" w14:textId="77777777" w:rsidR="005614B0" w:rsidRPr="005614B0" w:rsidRDefault="005614B0" w:rsidP="005614B0">
      <w:pPr>
        <w:pStyle w:val="ParaNumbering"/>
        <w:rPr>
          <w:szCs w:val="24"/>
        </w:rPr>
      </w:pPr>
      <w:r w:rsidRPr="00A93EB3">
        <w:rPr>
          <w:i/>
        </w:rPr>
        <w:t>Second</w:t>
      </w:r>
      <w:r>
        <w:t xml:space="preserve">, the </w:t>
      </w:r>
      <w:r w:rsidR="00B52511">
        <w:t xml:space="preserve">ACCC’s </w:t>
      </w:r>
      <w:r>
        <w:t>case is now incoherent. The Non-Targeting Arrangement</w:t>
      </w:r>
      <w:r w:rsidRPr="005614B0">
        <w:rPr>
          <w:spacing w:val="-18"/>
        </w:rPr>
        <w:t xml:space="preserve"> </w:t>
      </w:r>
      <w:r>
        <w:t>is</w:t>
      </w:r>
      <w:r w:rsidRPr="005614B0">
        <w:rPr>
          <w:spacing w:val="-16"/>
        </w:rPr>
        <w:t xml:space="preserve"> </w:t>
      </w:r>
      <w:r>
        <w:t>not</w:t>
      </w:r>
      <w:r w:rsidRPr="005614B0">
        <w:rPr>
          <w:spacing w:val="-17"/>
        </w:rPr>
        <w:t xml:space="preserve"> </w:t>
      </w:r>
      <w:r>
        <w:t>alleged</w:t>
      </w:r>
      <w:r w:rsidRPr="005614B0">
        <w:rPr>
          <w:spacing w:val="-17"/>
        </w:rPr>
        <w:t xml:space="preserve"> </w:t>
      </w:r>
      <w:r>
        <w:t>to</w:t>
      </w:r>
      <w:r w:rsidRPr="005614B0">
        <w:rPr>
          <w:spacing w:val="-16"/>
        </w:rPr>
        <w:t xml:space="preserve"> </w:t>
      </w:r>
      <w:r>
        <w:t>be</w:t>
      </w:r>
      <w:r w:rsidRPr="005614B0">
        <w:rPr>
          <w:spacing w:val="-15"/>
        </w:rPr>
        <w:t xml:space="preserve"> </w:t>
      </w:r>
      <w:r>
        <w:t>an</w:t>
      </w:r>
      <w:r w:rsidRPr="005614B0">
        <w:rPr>
          <w:spacing w:val="-18"/>
        </w:rPr>
        <w:t xml:space="preserve"> </w:t>
      </w:r>
      <w:r>
        <w:t>alternative</w:t>
      </w:r>
      <w:r w:rsidRPr="005614B0">
        <w:rPr>
          <w:spacing w:val="-16"/>
        </w:rPr>
        <w:t xml:space="preserve"> </w:t>
      </w:r>
      <w:r>
        <w:t>to</w:t>
      </w:r>
      <w:r w:rsidRPr="005614B0">
        <w:rPr>
          <w:spacing w:val="-16"/>
        </w:rPr>
        <w:t xml:space="preserve"> </w:t>
      </w:r>
      <w:r>
        <w:t>the</w:t>
      </w:r>
      <w:r w:rsidRPr="005614B0">
        <w:rPr>
          <w:spacing w:val="-14"/>
        </w:rPr>
        <w:t xml:space="preserve"> </w:t>
      </w:r>
      <w:r>
        <w:t>case</w:t>
      </w:r>
      <w:r w:rsidRPr="005614B0">
        <w:rPr>
          <w:spacing w:val="-19"/>
        </w:rPr>
        <w:t xml:space="preserve"> </w:t>
      </w:r>
      <w:r>
        <w:t>based</w:t>
      </w:r>
      <w:r w:rsidRPr="005614B0">
        <w:rPr>
          <w:spacing w:val="-18"/>
        </w:rPr>
        <w:t xml:space="preserve"> </w:t>
      </w:r>
      <w:r>
        <w:t>on</w:t>
      </w:r>
      <w:r w:rsidRPr="005614B0">
        <w:rPr>
          <w:spacing w:val="-18"/>
        </w:rPr>
        <w:t xml:space="preserve"> </w:t>
      </w:r>
      <w:r>
        <w:t>the</w:t>
      </w:r>
      <w:r w:rsidRPr="005614B0">
        <w:rPr>
          <w:spacing w:val="-14"/>
        </w:rPr>
        <w:t xml:space="preserve"> </w:t>
      </w:r>
      <w:r>
        <w:t>Distributorship Agreement</w:t>
      </w:r>
      <w:r w:rsidRPr="005614B0">
        <w:rPr>
          <w:spacing w:val="-10"/>
        </w:rPr>
        <w:t xml:space="preserve"> </w:t>
      </w:r>
      <w:r>
        <w:t>or</w:t>
      </w:r>
      <w:r w:rsidRPr="005614B0">
        <w:rPr>
          <w:spacing w:val="-13"/>
        </w:rPr>
        <w:t xml:space="preserve"> </w:t>
      </w:r>
      <w:r>
        <w:t>the</w:t>
      </w:r>
      <w:r w:rsidRPr="005614B0">
        <w:rPr>
          <w:spacing w:val="-11"/>
        </w:rPr>
        <w:t xml:space="preserve"> </w:t>
      </w:r>
      <w:r>
        <w:t>Co-Ordinated</w:t>
      </w:r>
      <w:r w:rsidRPr="005614B0">
        <w:rPr>
          <w:spacing w:val="-11"/>
        </w:rPr>
        <w:t xml:space="preserve"> </w:t>
      </w:r>
      <w:r>
        <w:t>Approach</w:t>
      </w:r>
      <w:r w:rsidRPr="005614B0">
        <w:rPr>
          <w:spacing w:val="-11"/>
        </w:rPr>
        <w:t xml:space="preserve"> </w:t>
      </w:r>
      <w:r>
        <w:t>Provision. The ASOC does not grapple with how the Non-Targeting Arrangement could operate concurrently with the Distributorship Agreement and the Co-Ordinated Approach Provision. The consequence is that the same conduct of NQCranes is alleged to be both giving effect to the Non-Targeting Arrangement and giving effect to the Co-Ordinated Approach</w:t>
      </w:r>
      <w:r w:rsidRPr="005614B0">
        <w:rPr>
          <w:spacing w:val="-5"/>
        </w:rPr>
        <w:t xml:space="preserve"> </w:t>
      </w:r>
      <w:r>
        <w:t xml:space="preserve">Provision. It was submitted that the present case is </w:t>
      </w:r>
      <w:r w:rsidRPr="005614B0">
        <w:rPr>
          <w:szCs w:val="24"/>
        </w:rPr>
        <w:t xml:space="preserve">analogous to that considered </w:t>
      </w:r>
      <w:r w:rsidR="00B303A3">
        <w:rPr>
          <w:szCs w:val="24"/>
        </w:rPr>
        <w:t xml:space="preserve">by Sheppard J </w:t>
      </w:r>
      <w:r w:rsidRPr="005614B0">
        <w:rPr>
          <w:szCs w:val="24"/>
        </w:rPr>
        <w:t xml:space="preserve">in </w:t>
      </w:r>
      <w:r w:rsidRPr="00813AA1">
        <w:rPr>
          <w:i/>
          <w:szCs w:val="24"/>
        </w:rPr>
        <w:t xml:space="preserve">Trade Practices Commission v Allied Mills Industries Pty Ltd </w:t>
      </w:r>
      <w:r w:rsidRPr="000B50E4">
        <w:rPr>
          <w:szCs w:val="24"/>
        </w:rPr>
        <w:t xml:space="preserve">(1980) </w:t>
      </w:r>
      <w:r w:rsidRPr="000B50E4">
        <w:t>32 ALR 5</w:t>
      </w:r>
      <w:r w:rsidRPr="00206EAB">
        <w:t>70</w:t>
      </w:r>
      <w:r>
        <w:t xml:space="preserve"> </w:t>
      </w:r>
      <w:r w:rsidR="0035161C">
        <w:t>(</w:t>
      </w:r>
      <w:r w:rsidR="0035161C">
        <w:rPr>
          <w:i/>
        </w:rPr>
        <w:t>Allied Mills</w:t>
      </w:r>
      <w:r w:rsidR="0035161C">
        <w:t>)</w:t>
      </w:r>
      <w:r>
        <w:t xml:space="preserve">. </w:t>
      </w:r>
      <w:r>
        <w:rPr>
          <w:szCs w:val="24"/>
        </w:rPr>
        <w:t>Therefore</w:t>
      </w:r>
      <w:r w:rsidR="00254E59">
        <w:rPr>
          <w:szCs w:val="24"/>
        </w:rPr>
        <w:t>,</w:t>
      </w:r>
      <w:r>
        <w:rPr>
          <w:szCs w:val="24"/>
        </w:rPr>
        <w:t xml:space="preserve"> </w:t>
      </w:r>
      <w:r>
        <w:t>the new allegations are likely to cause prejudice, embarrassment or delay in the proceeding and are an abuse of</w:t>
      </w:r>
      <w:r w:rsidRPr="005614B0">
        <w:rPr>
          <w:spacing w:val="-13"/>
        </w:rPr>
        <w:t xml:space="preserve"> </w:t>
      </w:r>
      <w:r>
        <w:t>process.</w:t>
      </w:r>
    </w:p>
    <w:p w14:paraId="5E52E4D1" w14:textId="77777777" w:rsidR="003D4E61" w:rsidRDefault="009254A2" w:rsidP="009254A2">
      <w:pPr>
        <w:pStyle w:val="ParaNumbering"/>
      </w:pPr>
      <w:bookmarkStart w:id="30" w:name="_Ref83901280"/>
      <w:r>
        <w:t xml:space="preserve">NQCranes accepted during the hearing that if the pleading is not deficient in the manner it contends, that is the end of the matter. The issue of abuse of process does not arise, as it is only relevant to the question of whether </w:t>
      </w:r>
      <w:r w:rsidR="00254E59">
        <w:t xml:space="preserve">the </w:t>
      </w:r>
      <w:r>
        <w:t>ACCC should be given leave to replead.</w:t>
      </w:r>
      <w:bookmarkEnd w:id="30"/>
      <w:r>
        <w:t xml:space="preserve"> </w:t>
      </w:r>
    </w:p>
    <w:p w14:paraId="2D211E7D" w14:textId="77777777" w:rsidR="003D4E61" w:rsidRPr="00745E29" w:rsidRDefault="009254A2" w:rsidP="003D4E61">
      <w:pPr>
        <w:pStyle w:val="ParaNumbering"/>
      </w:pPr>
      <w:r w:rsidRPr="00745E29">
        <w:lastRenderedPageBreak/>
        <w:t>It submitted in reply</w:t>
      </w:r>
      <w:r w:rsidR="002A5ECA">
        <w:t>,</w:t>
      </w:r>
      <w:r w:rsidRPr="00745E29">
        <w:t xml:space="preserve"> that the ACCC</w:t>
      </w:r>
      <w:r w:rsidR="002A56AF" w:rsidRPr="00745E29">
        <w:t>’</w:t>
      </w:r>
      <w:r w:rsidRPr="00745E29">
        <w:t>s cas</w:t>
      </w:r>
      <w:r w:rsidR="002A5ECA">
        <w:t xml:space="preserve">e on this pleading is not one of </w:t>
      </w:r>
      <w:r w:rsidRPr="00745E29">
        <w:t xml:space="preserve">the parties having reached a consensus about some of the terms which gave rise to an arrangement preceding the formal entry into a written contract. Rather, </w:t>
      </w:r>
      <w:r w:rsidR="00E41B42" w:rsidRPr="00745E29">
        <w:t xml:space="preserve">the ACCC </w:t>
      </w:r>
      <w:r w:rsidRPr="00745E29">
        <w:t>alleges that there was an arrangement that was entered into by 17 August 20</w:t>
      </w:r>
      <w:r w:rsidR="001673DB" w:rsidRPr="00745E29">
        <w:t>1</w:t>
      </w:r>
      <w:r w:rsidRPr="00745E29">
        <w:t xml:space="preserve">6 that continued </w:t>
      </w:r>
      <w:r w:rsidR="00730884" w:rsidRPr="00745E29">
        <w:t>for</w:t>
      </w:r>
      <w:r w:rsidRPr="00745E29">
        <w:t xml:space="preserve"> the entire period that the </w:t>
      </w:r>
      <w:r w:rsidR="00E41B42" w:rsidRPr="00745E29">
        <w:t xml:space="preserve">agreement </w:t>
      </w:r>
      <w:r w:rsidRPr="00745E29">
        <w:t>was in operation</w:t>
      </w:r>
      <w:r w:rsidR="00730884" w:rsidRPr="00745E29">
        <w:t>,</w:t>
      </w:r>
      <w:r w:rsidRPr="00745E29">
        <w:t xml:space="preserve"> up until at least 18 October 2018. </w:t>
      </w:r>
    </w:p>
    <w:p w14:paraId="6A9B5ED9" w14:textId="77777777" w:rsidR="00D23528" w:rsidRPr="00932909" w:rsidRDefault="00D23528" w:rsidP="00527BA7">
      <w:pPr>
        <w:pStyle w:val="Heading3"/>
      </w:pPr>
      <w:r w:rsidRPr="00932909">
        <w:t>ACCC</w:t>
      </w:r>
    </w:p>
    <w:p w14:paraId="6592A8EF" w14:textId="77777777" w:rsidR="00FF7F7C" w:rsidRPr="00932909" w:rsidRDefault="00FF7F7C" w:rsidP="00FF7F7C">
      <w:pPr>
        <w:pStyle w:val="Heading4"/>
      </w:pPr>
      <w:r>
        <w:t>Co-Ordinated Approach Provision</w:t>
      </w:r>
    </w:p>
    <w:p w14:paraId="4667CD90" w14:textId="77777777" w:rsidR="00FF7F7C" w:rsidRDefault="00FF7F7C" w:rsidP="00FF7F7C">
      <w:pPr>
        <w:pStyle w:val="ParaNumbering"/>
      </w:pPr>
      <w:r>
        <w:t xml:space="preserve">The ACCC also made submissions as to what amounts to “give effect to”, including by reference to </w:t>
      </w:r>
      <w:r w:rsidRPr="00527BA7">
        <w:rPr>
          <w:i/>
        </w:rPr>
        <w:t>Yazaki</w:t>
      </w:r>
      <w:r>
        <w:t xml:space="preserve"> at [64] and [71]; </w:t>
      </w:r>
      <w:r w:rsidRPr="00813AA1">
        <w:rPr>
          <w:i/>
        </w:rPr>
        <w:t xml:space="preserve">Tradestock Pty Ltd v TNT (Management) Pty Ltd </w:t>
      </w:r>
      <w:r w:rsidR="004D60A8" w:rsidRPr="00813AA1">
        <w:rPr>
          <w:i/>
        </w:rPr>
        <w:t xml:space="preserve">(No 2) </w:t>
      </w:r>
      <w:r w:rsidRPr="00813AA1">
        <w:t>[1978] FCA 1; (1978) 17 ALR 257</w:t>
      </w:r>
      <w:r>
        <w:rPr>
          <w:rStyle w:val="Hyperlink"/>
          <w:color w:val="auto"/>
          <w:szCs w:val="24"/>
          <w:u w:val="none"/>
        </w:rPr>
        <w:t xml:space="preserve"> (</w:t>
      </w:r>
      <w:r>
        <w:rPr>
          <w:rStyle w:val="Hyperlink"/>
          <w:i/>
          <w:color w:val="auto"/>
          <w:szCs w:val="24"/>
          <w:u w:val="none"/>
        </w:rPr>
        <w:t>Tradestock</w:t>
      </w:r>
      <w:r>
        <w:rPr>
          <w:rStyle w:val="Hyperlink"/>
          <w:color w:val="auto"/>
          <w:szCs w:val="24"/>
          <w:u w:val="none"/>
        </w:rPr>
        <w:t>)</w:t>
      </w:r>
      <w:r>
        <w:t xml:space="preserve"> at [26]–[27], </w:t>
      </w:r>
      <w:r w:rsidRPr="00813AA1">
        <w:rPr>
          <w:i/>
        </w:rPr>
        <w:t>Trade Practices Commission v TNT Management</w:t>
      </w:r>
      <w:r w:rsidRPr="000B50E4">
        <w:rPr>
          <w:i/>
        </w:rPr>
        <w:t xml:space="preserve"> Pty Ltd </w:t>
      </w:r>
      <w:r w:rsidRPr="000B50E4">
        <w:t>(1985) 6 FCR 1</w:t>
      </w:r>
      <w:r>
        <w:t xml:space="preserve">; </w:t>
      </w:r>
      <w:r w:rsidRPr="00813AA1">
        <w:rPr>
          <w:i/>
        </w:rPr>
        <w:t xml:space="preserve">Australian Competition and Consumer </w:t>
      </w:r>
      <w:r w:rsidRPr="00206EAB">
        <w:rPr>
          <w:i/>
        </w:rPr>
        <w:t>Commission v Yazaki Corporation (No 2)</w:t>
      </w:r>
      <w:r w:rsidRPr="00206EAB">
        <w:rPr>
          <w:i/>
          <w:spacing w:val="-30"/>
        </w:rPr>
        <w:t xml:space="preserve"> </w:t>
      </w:r>
      <w:r w:rsidRPr="00206EAB">
        <w:t>[2015] FCA 1304; (2015) 332 ALR 396</w:t>
      </w:r>
      <w:r>
        <w:t xml:space="preserve"> at [221]–[223], </w:t>
      </w:r>
      <w:r w:rsidRPr="00813AA1">
        <w:rPr>
          <w:i/>
        </w:rPr>
        <w:t xml:space="preserve">Australian Competition and Consumer Commission v Cascade Coal Pty Ltd (No 3) </w:t>
      </w:r>
      <w:r w:rsidRPr="000B50E4">
        <w:t>[2018] FCA 1019</w:t>
      </w:r>
      <w:r>
        <w:t xml:space="preserve"> at [528], and </w:t>
      </w:r>
      <w:r w:rsidRPr="00813AA1">
        <w:rPr>
          <w:i/>
        </w:rPr>
        <w:t>Australian Competition and Consumer Commission</w:t>
      </w:r>
      <w:r w:rsidRPr="00813AA1" w:rsidDel="00D77714">
        <w:rPr>
          <w:i/>
        </w:rPr>
        <w:t xml:space="preserve"> </w:t>
      </w:r>
      <w:r w:rsidRPr="00813AA1">
        <w:rPr>
          <w:i/>
        </w:rPr>
        <w:t>v Air New Zealand</w:t>
      </w:r>
      <w:r w:rsidRPr="00206EAB">
        <w:rPr>
          <w:i/>
        </w:rPr>
        <w:t xml:space="preserve"> Ltd </w:t>
      </w:r>
      <w:r w:rsidRPr="00206EAB">
        <w:t>[2014] FCA 1157; (2014) 319 ALR 388</w:t>
      </w:r>
      <w:r>
        <w:t xml:space="preserve"> (</w:t>
      </w:r>
      <w:r>
        <w:rPr>
          <w:i/>
        </w:rPr>
        <w:t>ACCC v Air New Zealand</w:t>
      </w:r>
      <w:r>
        <w:t>) at [464].</w:t>
      </w:r>
    </w:p>
    <w:p w14:paraId="1745E701" w14:textId="3AA6805F" w:rsidR="00FF7F7C" w:rsidRPr="007F7643" w:rsidRDefault="00FF7F7C" w:rsidP="00FF7F7C">
      <w:pPr>
        <w:pStyle w:val="ParaNumbering"/>
        <w:rPr>
          <w:szCs w:val="24"/>
        </w:rPr>
      </w:pPr>
      <w:r w:rsidRPr="00D23528">
        <w:rPr>
          <w:szCs w:val="24"/>
        </w:rPr>
        <w:t>It submitted that it is at least a</w:t>
      </w:r>
      <w:r>
        <w:rPr>
          <w:szCs w:val="24"/>
        </w:rPr>
        <w:t xml:space="preserve"> debatable question of fact and/</w:t>
      </w:r>
      <w:r w:rsidRPr="00D23528">
        <w:rPr>
          <w:szCs w:val="24"/>
        </w:rPr>
        <w:t xml:space="preserve">or law as to whether one or more of the pleaded acts or things </w:t>
      </w:r>
      <w:r>
        <w:rPr>
          <w:szCs w:val="24"/>
        </w:rPr>
        <w:t>were given</w:t>
      </w:r>
      <w:r w:rsidRPr="00D23528">
        <w:rPr>
          <w:szCs w:val="24"/>
        </w:rPr>
        <w:t xml:space="preserve"> effect to, in the sense of enacting, implementing or administering, the relevant arrangement/provision</w:t>
      </w:r>
      <w:r>
        <w:rPr>
          <w:szCs w:val="24"/>
        </w:rPr>
        <w:t>. It submitted that t</w:t>
      </w:r>
      <w:r w:rsidRPr="00D23528">
        <w:rPr>
          <w:szCs w:val="24"/>
        </w:rPr>
        <w:t>he</w:t>
      </w:r>
      <w:r w:rsidRPr="00D23528">
        <w:rPr>
          <w:spacing w:val="-11"/>
          <w:szCs w:val="24"/>
        </w:rPr>
        <w:t xml:space="preserve"> </w:t>
      </w:r>
      <w:r w:rsidRPr="00D23528">
        <w:rPr>
          <w:szCs w:val="24"/>
        </w:rPr>
        <w:t>issue</w:t>
      </w:r>
      <w:r w:rsidRPr="00D23528">
        <w:rPr>
          <w:spacing w:val="-11"/>
          <w:szCs w:val="24"/>
        </w:rPr>
        <w:t xml:space="preserve"> </w:t>
      </w:r>
      <w:r w:rsidRPr="00D23528">
        <w:rPr>
          <w:szCs w:val="24"/>
        </w:rPr>
        <w:t>of</w:t>
      </w:r>
      <w:r w:rsidRPr="00D23528">
        <w:rPr>
          <w:spacing w:val="-11"/>
          <w:szCs w:val="24"/>
        </w:rPr>
        <w:t xml:space="preserve"> </w:t>
      </w:r>
      <w:r w:rsidRPr="00D23528">
        <w:rPr>
          <w:szCs w:val="24"/>
        </w:rPr>
        <w:t>whether</w:t>
      </w:r>
      <w:r w:rsidRPr="00D23528">
        <w:rPr>
          <w:spacing w:val="-10"/>
          <w:szCs w:val="24"/>
        </w:rPr>
        <w:t xml:space="preserve"> </w:t>
      </w:r>
      <w:r w:rsidRPr="00D23528">
        <w:rPr>
          <w:szCs w:val="24"/>
        </w:rPr>
        <w:t>NQC</w:t>
      </w:r>
      <w:r>
        <w:rPr>
          <w:szCs w:val="24"/>
        </w:rPr>
        <w:t>ranes</w:t>
      </w:r>
      <w:r w:rsidRPr="00D23528">
        <w:rPr>
          <w:spacing w:val="-11"/>
          <w:szCs w:val="24"/>
        </w:rPr>
        <w:t xml:space="preserve"> </w:t>
      </w:r>
      <w:r w:rsidRPr="00D23528">
        <w:rPr>
          <w:szCs w:val="24"/>
        </w:rPr>
        <w:t>has,</w:t>
      </w:r>
      <w:r w:rsidRPr="00D23528">
        <w:rPr>
          <w:spacing w:val="-11"/>
          <w:szCs w:val="24"/>
        </w:rPr>
        <w:t xml:space="preserve"> </w:t>
      </w:r>
      <w:r w:rsidRPr="00D23528">
        <w:rPr>
          <w:szCs w:val="24"/>
        </w:rPr>
        <w:t>as</w:t>
      </w:r>
      <w:r w:rsidRPr="00D23528">
        <w:rPr>
          <w:spacing w:val="-10"/>
          <w:szCs w:val="24"/>
        </w:rPr>
        <w:t xml:space="preserve"> </w:t>
      </w:r>
      <w:r w:rsidRPr="00D23528">
        <w:rPr>
          <w:szCs w:val="24"/>
        </w:rPr>
        <w:t>a</w:t>
      </w:r>
      <w:r w:rsidRPr="00D23528">
        <w:rPr>
          <w:spacing w:val="-11"/>
          <w:szCs w:val="24"/>
        </w:rPr>
        <w:t xml:space="preserve"> </w:t>
      </w:r>
      <w:r w:rsidRPr="00D23528">
        <w:rPr>
          <w:szCs w:val="24"/>
        </w:rPr>
        <w:t>matter</w:t>
      </w:r>
      <w:r w:rsidRPr="00D23528">
        <w:rPr>
          <w:spacing w:val="-11"/>
          <w:szCs w:val="24"/>
        </w:rPr>
        <w:t xml:space="preserve"> </w:t>
      </w:r>
      <w:r w:rsidRPr="00D23528">
        <w:rPr>
          <w:szCs w:val="24"/>
        </w:rPr>
        <w:t>of</w:t>
      </w:r>
      <w:r w:rsidRPr="00D23528">
        <w:rPr>
          <w:spacing w:val="-11"/>
          <w:szCs w:val="24"/>
        </w:rPr>
        <w:t xml:space="preserve"> </w:t>
      </w:r>
      <w:r w:rsidRPr="00D23528">
        <w:rPr>
          <w:szCs w:val="24"/>
        </w:rPr>
        <w:t>law</w:t>
      </w:r>
      <w:r w:rsidRPr="00D23528">
        <w:rPr>
          <w:spacing w:val="-10"/>
          <w:szCs w:val="24"/>
        </w:rPr>
        <w:t xml:space="preserve"> </w:t>
      </w:r>
      <w:r w:rsidRPr="00D23528">
        <w:rPr>
          <w:szCs w:val="24"/>
        </w:rPr>
        <w:t>and</w:t>
      </w:r>
      <w:r w:rsidRPr="00D23528">
        <w:rPr>
          <w:spacing w:val="-11"/>
          <w:szCs w:val="24"/>
        </w:rPr>
        <w:t xml:space="preserve"> </w:t>
      </w:r>
      <w:r w:rsidRPr="00D23528">
        <w:rPr>
          <w:szCs w:val="24"/>
        </w:rPr>
        <w:t>in</w:t>
      </w:r>
      <w:r w:rsidRPr="00D23528">
        <w:rPr>
          <w:spacing w:val="-11"/>
          <w:szCs w:val="24"/>
        </w:rPr>
        <w:t xml:space="preserve"> </w:t>
      </w:r>
      <w:r w:rsidRPr="00D23528">
        <w:rPr>
          <w:szCs w:val="24"/>
        </w:rPr>
        <w:t>the</w:t>
      </w:r>
      <w:r w:rsidRPr="00D23528">
        <w:rPr>
          <w:spacing w:val="-10"/>
          <w:szCs w:val="24"/>
        </w:rPr>
        <w:t xml:space="preserve"> </w:t>
      </w:r>
      <w:r w:rsidRPr="00D23528">
        <w:rPr>
          <w:szCs w:val="24"/>
        </w:rPr>
        <w:t>terms</w:t>
      </w:r>
      <w:r w:rsidRPr="00D23528">
        <w:rPr>
          <w:spacing w:val="-10"/>
          <w:szCs w:val="24"/>
        </w:rPr>
        <w:t xml:space="preserve"> </w:t>
      </w:r>
      <w:r w:rsidRPr="00D23528">
        <w:rPr>
          <w:szCs w:val="24"/>
        </w:rPr>
        <w:t>of</w:t>
      </w:r>
      <w:r w:rsidRPr="00D23528">
        <w:rPr>
          <w:spacing w:val="-11"/>
          <w:szCs w:val="24"/>
        </w:rPr>
        <w:t xml:space="preserve"> </w:t>
      </w:r>
      <w:r>
        <w:rPr>
          <w:szCs w:val="24"/>
        </w:rPr>
        <w:t>s</w:t>
      </w:r>
      <w:r w:rsidRPr="00D23528">
        <w:rPr>
          <w:spacing w:val="-11"/>
          <w:szCs w:val="24"/>
        </w:rPr>
        <w:t xml:space="preserve"> </w:t>
      </w:r>
      <w:r w:rsidRPr="00D23528">
        <w:rPr>
          <w:szCs w:val="24"/>
        </w:rPr>
        <w:t>4</w:t>
      </w:r>
      <w:r w:rsidRPr="00D23528">
        <w:rPr>
          <w:spacing w:val="-10"/>
          <w:szCs w:val="24"/>
        </w:rPr>
        <w:t xml:space="preserve"> </w:t>
      </w:r>
      <w:r w:rsidRPr="00D23528">
        <w:rPr>
          <w:szCs w:val="24"/>
        </w:rPr>
        <w:t>of</w:t>
      </w:r>
      <w:r w:rsidRPr="00D23528">
        <w:rPr>
          <w:spacing w:val="-11"/>
          <w:szCs w:val="24"/>
        </w:rPr>
        <w:t xml:space="preserve"> </w:t>
      </w:r>
      <w:r w:rsidRPr="00D23528">
        <w:rPr>
          <w:szCs w:val="24"/>
        </w:rPr>
        <w:t>the</w:t>
      </w:r>
      <w:r w:rsidRPr="00D23528">
        <w:rPr>
          <w:spacing w:val="-11"/>
          <w:szCs w:val="24"/>
        </w:rPr>
        <w:t xml:space="preserve"> </w:t>
      </w:r>
      <w:r w:rsidRPr="00D23528">
        <w:rPr>
          <w:szCs w:val="24"/>
        </w:rPr>
        <w:t>CCA,</w:t>
      </w:r>
      <w:r w:rsidRPr="00D23528">
        <w:rPr>
          <w:spacing w:val="-10"/>
          <w:szCs w:val="24"/>
        </w:rPr>
        <w:t xml:space="preserve"> </w:t>
      </w:r>
      <w:r>
        <w:rPr>
          <w:szCs w:val="24"/>
        </w:rPr>
        <w:t>“g</w:t>
      </w:r>
      <w:r w:rsidR="0010589A">
        <w:rPr>
          <w:szCs w:val="24"/>
        </w:rPr>
        <w:t>iven effect” to the arrangement</w:t>
      </w:r>
      <w:r>
        <w:rPr>
          <w:szCs w:val="24"/>
        </w:rPr>
        <w:t>/provision</w:t>
      </w:r>
      <w:r w:rsidRPr="00D23528">
        <w:rPr>
          <w:szCs w:val="24"/>
        </w:rPr>
        <w:t>, is appropriately considered in the context of the facts as they emerge from the evidenc</w:t>
      </w:r>
      <w:r>
        <w:rPr>
          <w:szCs w:val="24"/>
        </w:rPr>
        <w:t>e in the proceeding. It</w:t>
      </w:r>
      <w:r w:rsidRPr="00D23528">
        <w:rPr>
          <w:szCs w:val="24"/>
        </w:rPr>
        <w:t xml:space="preserve"> may be difficult for this Court to reach a decision on the legal question of “give effect” with only the pleadings to guide the Court on the facts, and </w:t>
      </w:r>
      <w:r w:rsidRPr="007F7643">
        <w:rPr>
          <w:szCs w:val="24"/>
        </w:rPr>
        <w:t>before all the facts have been fully</w:t>
      </w:r>
      <w:r w:rsidRPr="007F7643">
        <w:rPr>
          <w:spacing w:val="-1"/>
          <w:szCs w:val="24"/>
        </w:rPr>
        <w:t xml:space="preserve"> </w:t>
      </w:r>
      <w:r w:rsidRPr="007F7643">
        <w:rPr>
          <w:szCs w:val="24"/>
        </w:rPr>
        <w:t xml:space="preserve">explored. </w:t>
      </w:r>
      <w:r w:rsidRPr="007F7643">
        <w:t xml:space="preserve">It submitted that it will be for the Court to weigh all the evidence, and rather than in a piecemeal fashion in isolation from all the other evidence, identify whether particular conduct rises to the level of giving effect to the arrangement, understanding or contract. The ACCC submitted that the respondent’s approach </w:t>
      </w:r>
      <w:r w:rsidRPr="007F7643">
        <w:rPr>
          <w:szCs w:val="24"/>
        </w:rPr>
        <w:t xml:space="preserve">is </w:t>
      </w:r>
      <w:r w:rsidRPr="007F7643">
        <w:t xml:space="preserve">inimical to the caution that </w:t>
      </w:r>
      <w:r w:rsidR="00AA619E">
        <w:t>c</w:t>
      </w:r>
      <w:r w:rsidRPr="007F7643">
        <w:t xml:space="preserve">ourts have said should be displayed when approaching a case on a strikeout application. </w:t>
      </w:r>
      <w:r w:rsidRPr="007F7643">
        <w:rPr>
          <w:szCs w:val="24"/>
        </w:rPr>
        <w:t>It submitted that i</w:t>
      </w:r>
      <w:r w:rsidRPr="007F7643">
        <w:t xml:space="preserve">t is also possible that further evidence will be adduced in the proceeding that proves acts or things that constitute giving effect to the arrangement/provision, although the ACCC accepted if the pleading is now defective it cannot rely on what may be obtained in the future as a basis on which the pleading should not be struck out.  </w:t>
      </w:r>
    </w:p>
    <w:p w14:paraId="6FBBD519" w14:textId="77777777" w:rsidR="00932909" w:rsidRPr="00932909" w:rsidRDefault="00932909" w:rsidP="00527BA7">
      <w:pPr>
        <w:pStyle w:val="Heading4"/>
      </w:pPr>
      <w:r w:rsidRPr="00932909">
        <w:lastRenderedPageBreak/>
        <w:t>Non-Targeting Arrangement</w:t>
      </w:r>
    </w:p>
    <w:p w14:paraId="13EB01B7" w14:textId="77777777" w:rsidR="00932909" w:rsidRDefault="00932909" w:rsidP="00932909">
      <w:pPr>
        <w:pStyle w:val="ParaNumbering"/>
      </w:pPr>
      <w:r w:rsidRPr="0052240D">
        <w:t>The ACCC submitted that there is no difficulty in the ACCC alleging both the Non-Targeting Arrangement and the Co-Ordinated Approach Provision. There is no barrier to the ACCC pleading the existence of both of these arrangements, as to which the Court may be persuaded as to one, both, or none. It submitted that although NQCranes</w:t>
      </w:r>
      <w:r w:rsidRPr="0052240D">
        <w:rPr>
          <w:spacing w:val="-16"/>
        </w:rPr>
        <w:t xml:space="preserve"> </w:t>
      </w:r>
      <w:r w:rsidRPr="0052240D">
        <w:t>characterises</w:t>
      </w:r>
      <w:r w:rsidRPr="0052240D">
        <w:rPr>
          <w:spacing w:val="-15"/>
        </w:rPr>
        <w:t xml:space="preserve"> </w:t>
      </w:r>
      <w:r w:rsidRPr="0052240D">
        <w:t>the</w:t>
      </w:r>
      <w:r w:rsidRPr="0052240D">
        <w:rPr>
          <w:spacing w:val="-15"/>
        </w:rPr>
        <w:t xml:space="preserve"> </w:t>
      </w:r>
      <w:r w:rsidRPr="0052240D">
        <w:t>separate</w:t>
      </w:r>
      <w:r w:rsidRPr="0052240D">
        <w:rPr>
          <w:spacing w:val="-15"/>
        </w:rPr>
        <w:t xml:space="preserve"> </w:t>
      </w:r>
      <w:r w:rsidRPr="0052240D">
        <w:t>allegations</w:t>
      </w:r>
      <w:r w:rsidRPr="0052240D">
        <w:rPr>
          <w:spacing w:val="-15"/>
        </w:rPr>
        <w:t xml:space="preserve"> </w:t>
      </w:r>
      <w:r w:rsidRPr="0052240D">
        <w:t>as</w:t>
      </w:r>
      <w:r w:rsidRPr="0052240D">
        <w:rPr>
          <w:spacing w:val="-15"/>
        </w:rPr>
        <w:t xml:space="preserve"> </w:t>
      </w:r>
      <w:r w:rsidRPr="0052240D">
        <w:t>a</w:t>
      </w:r>
      <w:r w:rsidRPr="0052240D">
        <w:rPr>
          <w:spacing w:val="-15"/>
        </w:rPr>
        <w:t xml:space="preserve"> </w:t>
      </w:r>
      <w:r w:rsidRPr="0052240D">
        <w:t>“contrivance</w:t>
      </w:r>
      <w:r w:rsidR="00DF669E">
        <w:t>,</w:t>
      </w:r>
      <w:r w:rsidRPr="0052240D">
        <w:t>”</w:t>
      </w:r>
      <w:r w:rsidRPr="0052240D">
        <w:rPr>
          <w:spacing w:val="-15"/>
        </w:rPr>
        <w:t xml:space="preserve"> </w:t>
      </w:r>
      <w:r>
        <w:t>it</w:t>
      </w:r>
      <w:r w:rsidRPr="0052240D">
        <w:t xml:space="preserve"> does not submit that it does not understand the case as put by the</w:t>
      </w:r>
      <w:r w:rsidRPr="0052240D">
        <w:rPr>
          <w:spacing w:val="-18"/>
        </w:rPr>
        <w:t xml:space="preserve"> </w:t>
      </w:r>
      <w:r w:rsidRPr="0052240D">
        <w:t>ACCC.</w:t>
      </w:r>
    </w:p>
    <w:p w14:paraId="39AD9708" w14:textId="7708C1B8" w:rsidR="00206C99" w:rsidRPr="00F63584" w:rsidRDefault="00206C99" w:rsidP="00932909">
      <w:pPr>
        <w:pStyle w:val="ParaNumbering"/>
      </w:pPr>
      <w:r w:rsidRPr="00F63584">
        <w:t>The ACCC emphasised that there are two important distinctions between the Non-Targeting Arrangement and the Co-Ordinated Approach Provision: (i) the geographic dimensions of those two agreements; and (ii) that the Non-Targeting Arrangement was given effect</w:t>
      </w:r>
      <w:r w:rsidR="00A247A3">
        <w:t xml:space="preserve"> to</w:t>
      </w:r>
      <w:r w:rsidRPr="00F63584">
        <w:t xml:space="preserve"> prior to entering into the Co-Ordinated</w:t>
      </w:r>
      <w:r w:rsidR="00AA619E">
        <w:t xml:space="preserve"> </w:t>
      </w:r>
      <w:r w:rsidRPr="00F63584">
        <w:t>Approach Provision.</w:t>
      </w:r>
    </w:p>
    <w:p w14:paraId="5387E7AB" w14:textId="791B667A" w:rsidR="00932909" w:rsidRPr="00745E29" w:rsidRDefault="00F63584" w:rsidP="00932909">
      <w:pPr>
        <w:pStyle w:val="ParaNumbering"/>
      </w:pPr>
      <w:r w:rsidRPr="00745E29">
        <w:t>In that regard</w:t>
      </w:r>
      <w:r w:rsidR="00A247A3" w:rsidRPr="00745E29">
        <w:t>,</w:t>
      </w:r>
      <w:r w:rsidRPr="00745E29">
        <w:t xml:space="preserve"> it was </w:t>
      </w:r>
      <w:r w:rsidR="00932909" w:rsidRPr="00745E29">
        <w:t>submitted that the ASOC makes clear the differences between the Non-Targeting Arrangement and the Co-Ordinated Approach Provision, which includes as to the date they were made (being for the Non-Targeting Arrangement no later than 17 August 2016 and the Co- Ordinated</w:t>
      </w:r>
      <w:r w:rsidR="00932909" w:rsidRPr="00745E29">
        <w:rPr>
          <w:spacing w:val="-15"/>
        </w:rPr>
        <w:t xml:space="preserve"> </w:t>
      </w:r>
      <w:r w:rsidR="00932909" w:rsidRPr="00745E29">
        <w:t>Approach</w:t>
      </w:r>
      <w:r w:rsidR="00932909" w:rsidRPr="00745E29">
        <w:rPr>
          <w:spacing w:val="-13"/>
        </w:rPr>
        <w:t xml:space="preserve"> </w:t>
      </w:r>
      <w:r w:rsidR="00932909" w:rsidRPr="00745E29">
        <w:t>Provision</w:t>
      </w:r>
      <w:r w:rsidR="00932909" w:rsidRPr="00745E29">
        <w:rPr>
          <w:spacing w:val="-13"/>
        </w:rPr>
        <w:t xml:space="preserve"> </w:t>
      </w:r>
      <w:r w:rsidR="00932909" w:rsidRPr="00745E29">
        <w:t>from</w:t>
      </w:r>
      <w:r w:rsidR="00932909" w:rsidRPr="00745E29">
        <w:rPr>
          <w:spacing w:val="-14"/>
        </w:rPr>
        <w:t xml:space="preserve"> </w:t>
      </w:r>
      <w:r w:rsidR="00932909" w:rsidRPr="00745E29">
        <w:t>26</w:t>
      </w:r>
      <w:r w:rsidR="00932909" w:rsidRPr="00745E29">
        <w:rPr>
          <w:spacing w:val="-15"/>
        </w:rPr>
        <w:t xml:space="preserve"> </w:t>
      </w:r>
      <w:r w:rsidR="00932909" w:rsidRPr="00745E29">
        <w:t>August</w:t>
      </w:r>
      <w:r w:rsidR="00932909" w:rsidRPr="00745E29">
        <w:rPr>
          <w:spacing w:val="-14"/>
        </w:rPr>
        <w:t xml:space="preserve"> </w:t>
      </w:r>
      <w:r w:rsidR="00932909" w:rsidRPr="00745E29">
        <w:t>2016)</w:t>
      </w:r>
      <w:r w:rsidR="00932909" w:rsidRPr="00745E29">
        <w:rPr>
          <w:spacing w:val="-15"/>
        </w:rPr>
        <w:t xml:space="preserve"> </w:t>
      </w:r>
      <w:r w:rsidR="00932909" w:rsidRPr="00745E29">
        <w:t>and</w:t>
      </w:r>
      <w:r w:rsidR="00932909" w:rsidRPr="00745E29">
        <w:rPr>
          <w:spacing w:val="-15"/>
        </w:rPr>
        <w:t xml:space="preserve"> </w:t>
      </w:r>
      <w:r w:rsidR="00932909" w:rsidRPr="00745E29">
        <w:t>their</w:t>
      </w:r>
      <w:r w:rsidR="00932909" w:rsidRPr="00745E29">
        <w:rPr>
          <w:spacing w:val="-15"/>
        </w:rPr>
        <w:t xml:space="preserve"> </w:t>
      </w:r>
      <w:r w:rsidR="00932909" w:rsidRPr="00745E29">
        <w:t>scope</w:t>
      </w:r>
      <w:r w:rsidR="00932909" w:rsidRPr="00745E29">
        <w:rPr>
          <w:spacing w:val="-15"/>
        </w:rPr>
        <w:t xml:space="preserve"> </w:t>
      </w:r>
      <w:r w:rsidR="00932909" w:rsidRPr="00745E29">
        <w:t>(being</w:t>
      </w:r>
      <w:r w:rsidR="00932909" w:rsidRPr="00745E29">
        <w:rPr>
          <w:spacing w:val="-15"/>
        </w:rPr>
        <w:t xml:space="preserve"> </w:t>
      </w:r>
      <w:r w:rsidR="00932909" w:rsidRPr="00745E29">
        <w:t>for</w:t>
      </w:r>
      <w:r w:rsidR="00932909" w:rsidRPr="00745E29">
        <w:rPr>
          <w:spacing w:val="-15"/>
        </w:rPr>
        <w:t xml:space="preserve"> </w:t>
      </w:r>
      <w:r w:rsidR="00932909" w:rsidRPr="00745E29">
        <w:t>the</w:t>
      </w:r>
      <w:r w:rsidR="00932909" w:rsidRPr="00745E29">
        <w:rPr>
          <w:spacing w:val="-15"/>
        </w:rPr>
        <w:t xml:space="preserve"> </w:t>
      </w:r>
      <w:r w:rsidR="00932909" w:rsidRPr="00745E29">
        <w:t xml:space="preserve">Non-Targeting Arrangement that NQCranes and </w:t>
      </w:r>
      <w:r w:rsidR="00DF669E" w:rsidRPr="00745E29">
        <w:t>MHE-</w:t>
      </w:r>
      <w:r w:rsidR="00932909" w:rsidRPr="00745E29">
        <w:t xml:space="preserve">Demag would not target each other’s </w:t>
      </w:r>
      <w:r w:rsidR="00AA619E">
        <w:t xml:space="preserve">servicing </w:t>
      </w:r>
      <w:r w:rsidR="00932909" w:rsidRPr="00745E29">
        <w:t>clients in the Brisbane and Newcastle area, and</w:t>
      </w:r>
      <w:r w:rsidR="00C04528">
        <w:t xml:space="preserve"> for</w:t>
      </w:r>
      <w:r w:rsidR="00932909" w:rsidRPr="00745E29">
        <w:t xml:space="preserve"> the Co-Ordinated Approach Provision that NQCranes and </w:t>
      </w:r>
      <w:r w:rsidR="00D61C9A" w:rsidRPr="00745E29">
        <w:t>MHE-</w:t>
      </w:r>
      <w:r w:rsidR="00932909" w:rsidRPr="00745E29">
        <w:t>Demag would operate in the service markets in a co-ordinated approach so that current customers are not targeted and for potential future customers they focus their energies on the other service competitors and not each</w:t>
      </w:r>
      <w:r w:rsidR="00932909" w:rsidRPr="00745E29">
        <w:rPr>
          <w:spacing w:val="-1"/>
        </w:rPr>
        <w:t xml:space="preserve"> </w:t>
      </w:r>
      <w:r w:rsidR="00932909" w:rsidRPr="00745E29">
        <w:t xml:space="preserve">other). </w:t>
      </w:r>
    </w:p>
    <w:p w14:paraId="1FCF7C31" w14:textId="77777777" w:rsidR="007F7643" w:rsidRPr="00745E29" w:rsidRDefault="007F7643" w:rsidP="007F7643">
      <w:pPr>
        <w:pStyle w:val="ParaNumbering"/>
      </w:pPr>
      <w:r w:rsidRPr="00745E29">
        <w:t xml:space="preserve">As to the submission that the ACCC’s case is now incoherent, it was submitted that issue can be resolved by an amendment to the commencement of [10] of the ASOC which addressed the Distributorship Agreement, inserting the words, “further, or in the alternative”, to make it clear that it is a separate agreement that has been entered into. </w:t>
      </w:r>
    </w:p>
    <w:p w14:paraId="75DC1AF2" w14:textId="77777777" w:rsidR="00932909" w:rsidRPr="00E13EC2" w:rsidRDefault="00932909" w:rsidP="00932909">
      <w:pPr>
        <w:pStyle w:val="ParaNumbering"/>
      </w:pPr>
      <w:r w:rsidRPr="0065429C">
        <w:t xml:space="preserve">As to the submission that there is no particular or basis to establish the necessary meeting of the minds in respect to the Non-Targeting Arrangement, the ACCC submitted that one is not looking at it from the approach of a contract but from that of an understanding which is something less than a contract. The existence of the arrangement can be inferred from the particulars in [9] of the ASOC, and in the context of what is alleged in [7]-[8] of the ASOC. The ACCC submitted that during the course of negotiating the </w:t>
      </w:r>
      <w:r w:rsidR="005A790B">
        <w:t>Distributorship Agreement</w:t>
      </w:r>
      <w:r w:rsidRPr="0065429C">
        <w:t xml:space="preserve">, </w:t>
      </w:r>
      <w:r w:rsidR="004836B4">
        <w:t>NQCranes and MHE-Demag</w:t>
      </w:r>
      <w:r w:rsidRPr="0065429C">
        <w:t xml:space="preserve"> reached an understanding in relation to at least one matter, which </w:t>
      </w:r>
      <w:r w:rsidRPr="0065429C">
        <w:lastRenderedPageBreak/>
        <w:t xml:space="preserve">is the non-targeting of customers in the Brisbane and Newcastle area, and as a matter of law </w:t>
      </w:r>
      <w:r w:rsidRPr="00745E29">
        <w:t xml:space="preserve">there is no reason why this cannot be a separate agreement. In effect, </w:t>
      </w:r>
      <w:r w:rsidR="00A247A3" w:rsidRPr="00745E29">
        <w:t xml:space="preserve">it is alleged that the parties </w:t>
      </w:r>
      <w:r w:rsidR="00913BB7" w:rsidRPr="00745E29">
        <w:t xml:space="preserve">may have </w:t>
      </w:r>
      <w:r w:rsidR="00A247A3" w:rsidRPr="00745E29">
        <w:t xml:space="preserve">adopted </w:t>
      </w:r>
      <w:r w:rsidRPr="00745E29">
        <w:t xml:space="preserve">the approach that </w:t>
      </w:r>
      <w:r w:rsidR="00F63584" w:rsidRPr="00745E29">
        <w:t xml:space="preserve">the entirety of the deal is still </w:t>
      </w:r>
      <w:r w:rsidR="00A247A3" w:rsidRPr="00745E29">
        <w:t xml:space="preserve">to </w:t>
      </w:r>
      <w:r w:rsidR="00F63584" w:rsidRPr="00745E29">
        <w:t xml:space="preserve">be negotiated, but in the meantime </w:t>
      </w:r>
      <w:r w:rsidR="00A247A3" w:rsidRPr="00745E29">
        <w:t xml:space="preserve">they decided </w:t>
      </w:r>
      <w:r w:rsidR="00F63584" w:rsidRPr="00745E29">
        <w:t xml:space="preserve">to give effect to this aspect. </w:t>
      </w:r>
      <w:r w:rsidRPr="00745E29">
        <w:t xml:space="preserve">Emphasis was placed on the reference in the particulars to </w:t>
      </w:r>
      <w:r w:rsidR="009C5254" w:rsidRPr="00745E29">
        <w:t xml:space="preserve">the </w:t>
      </w:r>
      <w:r w:rsidRPr="00745E29">
        <w:t xml:space="preserve">Brisbane and Newcastle </w:t>
      </w:r>
      <w:r w:rsidR="009C5254" w:rsidRPr="00745E29">
        <w:t xml:space="preserve">area </w:t>
      </w:r>
      <w:r w:rsidRPr="00745E29">
        <w:t xml:space="preserve">as opposed to the broader area that the </w:t>
      </w:r>
      <w:r w:rsidR="005A790B" w:rsidRPr="00745E29">
        <w:t>Distributorship Agreement</w:t>
      </w:r>
      <w:r w:rsidRPr="00745E29">
        <w:t xml:space="preserve"> is directed to</w:t>
      </w:r>
      <w:r w:rsidR="007F7643" w:rsidRPr="00745E29">
        <w:t>.</w:t>
      </w:r>
      <w:r w:rsidR="00F63584" w:rsidRPr="00745E29">
        <w:t xml:space="preserve"> </w:t>
      </w:r>
      <w:r w:rsidR="00A247A3" w:rsidRPr="00745E29">
        <w:t xml:space="preserve">The ACCC </w:t>
      </w:r>
      <w:r w:rsidR="00F63584" w:rsidRPr="00745E29">
        <w:t xml:space="preserve">submitted the approach adopted </w:t>
      </w:r>
      <w:r w:rsidR="00A247A3" w:rsidRPr="00745E29">
        <w:t xml:space="preserve">in its pleadings </w:t>
      </w:r>
      <w:r w:rsidR="00F63584" w:rsidRPr="00745E29">
        <w:t xml:space="preserve">which alleges </w:t>
      </w:r>
      <w:r w:rsidR="00913BB7" w:rsidRPr="00745E29">
        <w:t xml:space="preserve">the existence of </w:t>
      </w:r>
      <w:r w:rsidR="00F63584" w:rsidRPr="00745E29">
        <w:t xml:space="preserve">both </w:t>
      </w:r>
      <w:r w:rsidR="00913BB7" w:rsidRPr="00745E29">
        <w:t xml:space="preserve">agreements </w:t>
      </w:r>
      <w:r w:rsidR="00F63584" w:rsidRPr="00745E29">
        <w:t>is permissible</w:t>
      </w:r>
      <w:r w:rsidR="007F7643" w:rsidRPr="00745E29">
        <w:t>.</w:t>
      </w:r>
      <w:r w:rsidR="00360A4D" w:rsidRPr="00745E29">
        <w:rPr>
          <w:b/>
          <w:i/>
          <w:szCs w:val="22"/>
        </w:rPr>
        <w:t xml:space="preserve"> </w:t>
      </w:r>
      <w:r w:rsidR="00360A4D" w:rsidRPr="00745E29">
        <w:rPr>
          <w:szCs w:val="22"/>
        </w:rPr>
        <w:t>I</w:t>
      </w:r>
      <w:r w:rsidR="009C253D" w:rsidRPr="00745E29">
        <w:rPr>
          <w:szCs w:val="22"/>
        </w:rPr>
        <w:t>t is for NQCranes to</w:t>
      </w:r>
      <w:r w:rsidR="009C253D">
        <w:rPr>
          <w:szCs w:val="22"/>
        </w:rPr>
        <w:t xml:space="preserve"> either admit or deny those facts, and ultimately a matter for this Court to determine, at a </w:t>
      </w:r>
      <w:r w:rsidR="00F22BC1">
        <w:rPr>
          <w:szCs w:val="22"/>
        </w:rPr>
        <w:t xml:space="preserve">final </w:t>
      </w:r>
      <w:r w:rsidR="009C253D">
        <w:rPr>
          <w:szCs w:val="22"/>
        </w:rPr>
        <w:t>hearing, whether or not they are made out</w:t>
      </w:r>
      <w:r>
        <w:rPr>
          <w:szCs w:val="22"/>
        </w:rPr>
        <w:t xml:space="preserve">. </w:t>
      </w:r>
    </w:p>
    <w:p w14:paraId="1802AA21" w14:textId="77777777" w:rsidR="00932909" w:rsidRPr="007F7643" w:rsidRDefault="0035161C" w:rsidP="00932909">
      <w:pPr>
        <w:pStyle w:val="ParaNumbering"/>
      </w:pPr>
      <w:r w:rsidRPr="007F7643">
        <w:t xml:space="preserve">The ACCC </w:t>
      </w:r>
      <w:r w:rsidR="00932909" w:rsidRPr="007F7643">
        <w:t xml:space="preserve">submitted that this case </w:t>
      </w:r>
      <w:r w:rsidR="007F7643">
        <w:t xml:space="preserve">is </w:t>
      </w:r>
      <w:r w:rsidR="00932909" w:rsidRPr="007F7643">
        <w:t>different to the situation</w:t>
      </w:r>
      <w:r w:rsidR="00932909" w:rsidRPr="007F7643">
        <w:rPr>
          <w:spacing w:val="-11"/>
        </w:rPr>
        <w:t xml:space="preserve"> </w:t>
      </w:r>
      <w:r w:rsidR="00932909" w:rsidRPr="007F7643">
        <w:t>in</w:t>
      </w:r>
      <w:r w:rsidR="00932909" w:rsidRPr="007F7643">
        <w:rPr>
          <w:spacing w:val="-11"/>
        </w:rPr>
        <w:t xml:space="preserve"> </w:t>
      </w:r>
      <w:r w:rsidR="00932909" w:rsidRPr="007F7643">
        <w:rPr>
          <w:i/>
        </w:rPr>
        <w:t>Allied</w:t>
      </w:r>
      <w:r w:rsidR="00932909" w:rsidRPr="007F7643">
        <w:rPr>
          <w:i/>
          <w:spacing w:val="-9"/>
        </w:rPr>
        <w:t xml:space="preserve"> </w:t>
      </w:r>
      <w:r w:rsidR="00932909" w:rsidRPr="007F7643">
        <w:rPr>
          <w:i/>
        </w:rPr>
        <w:t>Mills.</w:t>
      </w:r>
      <w:r w:rsidR="00932909" w:rsidRPr="007F7643">
        <w:rPr>
          <w:i/>
          <w:spacing w:val="-11"/>
        </w:rPr>
        <w:t xml:space="preserve"> </w:t>
      </w:r>
    </w:p>
    <w:p w14:paraId="39458357" w14:textId="77777777" w:rsidR="007F7643" w:rsidRDefault="00932909" w:rsidP="00932909">
      <w:pPr>
        <w:pStyle w:val="ParaNumbering"/>
      </w:pPr>
      <w:r>
        <w:t>It submitted that NQCranes</w:t>
      </w:r>
      <w:r w:rsidR="001001C7">
        <w:t>’</w:t>
      </w:r>
      <w:r>
        <w:t xml:space="preserve"> submission as to the anti-overlap provisions is not relevant to the consideration of this application, and as such the ACCC has not made any submissions as to its operation. </w:t>
      </w:r>
      <w:r w:rsidR="0035161C">
        <w:t>The AC</w:t>
      </w:r>
      <w:r w:rsidR="00206C99">
        <w:t>C</w:t>
      </w:r>
      <w:r w:rsidR="0035161C">
        <w:t>C noted that n</w:t>
      </w:r>
      <w:r>
        <w:t>o defence has yet been filed</w:t>
      </w:r>
      <w:r w:rsidR="0035161C">
        <w:t xml:space="preserve"> by NQCranes</w:t>
      </w:r>
      <w:r>
        <w:t xml:space="preserve">. </w:t>
      </w:r>
    </w:p>
    <w:p w14:paraId="3ACC61CB" w14:textId="77777777" w:rsidR="00932909" w:rsidRDefault="007F7643" w:rsidP="00932909">
      <w:pPr>
        <w:pStyle w:val="ParaNumbering"/>
      </w:pPr>
      <w:r>
        <w:t xml:space="preserve">The ACCC submitted that the respondent’s reliance on s 37P is unclear, however, it is unnecessary to resolve for the purposes of this application. </w:t>
      </w:r>
    </w:p>
    <w:p w14:paraId="4DD083A2" w14:textId="77777777" w:rsidR="0052240D" w:rsidRPr="0052240D" w:rsidRDefault="00932909" w:rsidP="00527BA7">
      <w:pPr>
        <w:pStyle w:val="Heading2"/>
      </w:pPr>
      <w:r w:rsidRPr="00932909">
        <w:t>Consideration</w:t>
      </w:r>
      <w:r>
        <w:t xml:space="preserve"> </w:t>
      </w:r>
    </w:p>
    <w:p w14:paraId="5356C45A" w14:textId="77777777" w:rsidR="00900C3A" w:rsidRPr="00E938D1" w:rsidRDefault="006B41AE" w:rsidP="00900C3A">
      <w:pPr>
        <w:pStyle w:val="ParaNumbering"/>
      </w:pPr>
      <w:r>
        <w:t>T</w:t>
      </w:r>
      <w:r w:rsidR="00932909">
        <w:t xml:space="preserve">here is no issue between the parties as to the relevant principles applicable to </w:t>
      </w:r>
      <w:r w:rsidR="00831933">
        <w:t>NQCranes’</w:t>
      </w:r>
      <w:r>
        <w:t xml:space="preserve"> application seeking to strike out aspects of the ACCC</w:t>
      </w:r>
      <w:r w:rsidR="00831933">
        <w:t>’s</w:t>
      </w:r>
      <w:r>
        <w:t xml:space="preserve"> pleadings</w:t>
      </w:r>
      <w:r w:rsidR="00146938">
        <w:t>.</w:t>
      </w:r>
      <w:r w:rsidR="00913BB7">
        <w:t xml:space="preserve"> </w:t>
      </w:r>
      <w:r w:rsidR="00900C3A">
        <w:t xml:space="preserve">The power to strike out should be exercised with caution, and only in a plain and obvious case. </w:t>
      </w:r>
      <w:r w:rsidR="00900C3A" w:rsidRPr="00900C3A">
        <w:t>T</w:t>
      </w:r>
      <w:r w:rsidR="00900C3A" w:rsidRPr="008B590E">
        <w:t>hat the case appears to be a weak one is not of itself sufficient to justify striking out the action.</w:t>
      </w:r>
    </w:p>
    <w:p w14:paraId="42B79D1E" w14:textId="77777777" w:rsidR="00410B4A" w:rsidRPr="00410B4A" w:rsidRDefault="00E938D1" w:rsidP="00527BA7">
      <w:pPr>
        <w:pStyle w:val="Heading3"/>
      </w:pPr>
      <w:r w:rsidRPr="00BB5FAF">
        <w:t>Co-</w:t>
      </w:r>
      <w:r w:rsidR="001C49BD">
        <w:t>O</w:t>
      </w:r>
      <w:r w:rsidRPr="00BB5FAF">
        <w:t>rdinated Approach Provision</w:t>
      </w:r>
      <w:r>
        <w:t xml:space="preserve"> </w:t>
      </w:r>
    </w:p>
    <w:p w14:paraId="19135B5F" w14:textId="210DEA9E" w:rsidR="00410B4A" w:rsidRPr="00FF7F7C" w:rsidRDefault="00410B4A" w:rsidP="00E938D1">
      <w:pPr>
        <w:pStyle w:val="ParaNumbering"/>
      </w:pPr>
      <w:bookmarkStart w:id="31" w:name="_Ref84598587"/>
      <w:r w:rsidRPr="00AA2F58">
        <w:t xml:space="preserve">This relates to [18]-[19] of the ASOC and [2] of the </w:t>
      </w:r>
      <w:r w:rsidR="00B35D48" w:rsidRPr="00AA2F58">
        <w:t>A</w:t>
      </w:r>
      <w:r w:rsidRPr="00AA2F58">
        <w:t xml:space="preserve">OA. </w:t>
      </w:r>
      <w:r w:rsidR="002A5ECA" w:rsidRPr="00AA2F58">
        <w:t>T</w:t>
      </w:r>
      <w:r w:rsidR="004F2447" w:rsidRPr="00AA2F58">
        <w:t xml:space="preserve">here is </w:t>
      </w:r>
      <w:r w:rsidR="00EC135C" w:rsidRPr="00AA2F58">
        <w:t>some</w:t>
      </w:r>
      <w:r w:rsidR="009D310B" w:rsidRPr="00AA2F58">
        <w:t xml:space="preserve"> degre</w:t>
      </w:r>
      <w:r w:rsidR="009D310B" w:rsidRPr="00D0380C">
        <w:t>e of</w:t>
      </w:r>
      <w:r w:rsidR="004F2447" w:rsidRPr="00D0380C">
        <w:t xml:space="preserve"> overlap in respect to the </w:t>
      </w:r>
      <w:r w:rsidR="009D310B" w:rsidRPr="00D0380C">
        <w:t>conduct</w:t>
      </w:r>
      <w:r w:rsidR="004F2447" w:rsidRPr="00D0380C">
        <w:t xml:space="preserve"> </w:t>
      </w:r>
      <w:r w:rsidR="009D310B" w:rsidRPr="00D0380C">
        <w:t>which is alleged to constitute giving effect</w:t>
      </w:r>
      <w:r w:rsidR="004F2447" w:rsidRPr="00D0380C">
        <w:t xml:space="preserve"> to</w:t>
      </w:r>
      <w:r w:rsidR="00566FED" w:rsidRPr="00D0380C">
        <w:t xml:space="preserve"> both</w:t>
      </w:r>
      <w:r w:rsidR="004F2447" w:rsidRPr="00D0380C">
        <w:t xml:space="preserve"> the Co-Ordinated Approach Provision and the</w:t>
      </w:r>
      <w:r w:rsidR="00566FED" w:rsidRPr="00D0380C">
        <w:t xml:space="preserve"> Non-Targeting Arrangement</w:t>
      </w:r>
      <w:r w:rsidR="002E7624" w:rsidRPr="00D0380C">
        <w:t xml:space="preserve">. </w:t>
      </w:r>
      <w:r w:rsidR="00624175" w:rsidRPr="00D0380C">
        <w:t>To the extent that there is overlap, a</w:t>
      </w:r>
      <w:r w:rsidR="002E7624" w:rsidRPr="00D0380C">
        <w:t xml:space="preserve">spects of my consideration regarding the Co-Ordinated Approach </w:t>
      </w:r>
      <w:r w:rsidR="007E01D8" w:rsidRPr="00D0380C">
        <w:t>Provision</w:t>
      </w:r>
      <w:r w:rsidR="002E7624" w:rsidRPr="00D0380C">
        <w:t xml:space="preserve">, are also relevant to my consideration of </w:t>
      </w:r>
      <w:r w:rsidR="00624175" w:rsidRPr="00D0380C">
        <w:t>NQCranes’</w:t>
      </w:r>
      <w:r w:rsidR="002E7624" w:rsidRPr="00D0380C">
        <w:t xml:space="preserve"> application to strike out the Non-Targeting Arrangement give effect pleadings</w:t>
      </w:r>
      <w:r w:rsidR="00566FED" w:rsidRPr="00D0380C">
        <w:t>, discussed below at [</w:t>
      </w:r>
      <w:r w:rsidR="00566FED" w:rsidRPr="00D0380C">
        <w:fldChar w:fldCharType="begin"/>
      </w:r>
      <w:r w:rsidR="00566FED" w:rsidRPr="00D0380C">
        <w:instrText xml:space="preserve"> REF _Ref83884372 \r \h </w:instrText>
      </w:r>
      <w:r w:rsidR="00745E29" w:rsidRPr="00D0380C">
        <w:instrText xml:space="preserve"> \* MERGEFORMAT </w:instrText>
      </w:r>
      <w:r w:rsidR="00566FED" w:rsidRPr="00D0380C">
        <w:fldChar w:fldCharType="separate"/>
      </w:r>
      <w:r w:rsidR="00F87C4E">
        <w:t>88</w:t>
      </w:r>
      <w:r w:rsidR="00566FED" w:rsidRPr="00D0380C">
        <w:fldChar w:fldCharType="end"/>
      </w:r>
      <w:r w:rsidR="00566FED" w:rsidRPr="00D0380C">
        <w:t>]-[</w:t>
      </w:r>
      <w:r w:rsidR="00566FED" w:rsidRPr="00D0380C">
        <w:fldChar w:fldCharType="begin"/>
      </w:r>
      <w:r w:rsidR="00566FED" w:rsidRPr="00D0380C">
        <w:instrText xml:space="preserve"> REF _Ref83884381 \r \h </w:instrText>
      </w:r>
      <w:r w:rsidR="00745E29" w:rsidRPr="00D0380C">
        <w:instrText xml:space="preserve"> \* MERGEFORMAT </w:instrText>
      </w:r>
      <w:r w:rsidR="00566FED" w:rsidRPr="00D0380C">
        <w:fldChar w:fldCharType="separate"/>
      </w:r>
      <w:r w:rsidR="00F87C4E">
        <w:t>90</w:t>
      </w:r>
      <w:r w:rsidR="00566FED" w:rsidRPr="00D0380C">
        <w:fldChar w:fldCharType="end"/>
      </w:r>
      <w:r w:rsidR="00566FED" w:rsidRPr="00D0380C">
        <w:t>]</w:t>
      </w:r>
      <w:r w:rsidR="002E7624" w:rsidRPr="00D0380C">
        <w:t>.</w:t>
      </w:r>
      <w:bookmarkEnd w:id="31"/>
    </w:p>
    <w:p w14:paraId="16A50C54" w14:textId="668F9134" w:rsidR="00E938D1" w:rsidRPr="00AA2F58" w:rsidRDefault="00E938D1" w:rsidP="00E938D1">
      <w:pPr>
        <w:pStyle w:val="ParaNumbering"/>
      </w:pPr>
      <w:r w:rsidRPr="004F2447">
        <w:t>The crux of NQCranes</w:t>
      </w:r>
      <w:r w:rsidR="00831933" w:rsidRPr="004F2447">
        <w:t>’</w:t>
      </w:r>
      <w:r w:rsidRPr="004F2447">
        <w:t xml:space="preserve"> submission is that the matters pleaded, even if they could be </w:t>
      </w:r>
      <w:r w:rsidR="00913BB7" w:rsidRPr="004F2447">
        <w:t>accepted</w:t>
      </w:r>
      <w:r w:rsidRPr="004F2447">
        <w:t xml:space="preserve">, could not establish </w:t>
      </w:r>
      <w:r w:rsidR="005810BA" w:rsidRPr="004F2447">
        <w:t>that NQCranes gave effect</w:t>
      </w:r>
      <w:r w:rsidRPr="004F2447">
        <w:t xml:space="preserve"> to any </w:t>
      </w:r>
      <w:r w:rsidR="00E6744A" w:rsidRPr="004F2447">
        <w:t xml:space="preserve">provision of an </w:t>
      </w:r>
      <w:r w:rsidRPr="004F2447">
        <w:t>arrangement within s 4 of the C</w:t>
      </w:r>
      <w:r w:rsidR="00831933" w:rsidRPr="004F2447">
        <w:t>CA</w:t>
      </w:r>
      <w:r w:rsidRPr="004F2447">
        <w:t>. For example, it was submitted that internal communication</w:t>
      </w:r>
      <w:r w:rsidR="00CC67CB" w:rsidRPr="004F2447">
        <w:t xml:space="preserve">s, </w:t>
      </w:r>
      <w:r w:rsidRPr="004F2447">
        <w:t>as pleaded in this case</w:t>
      </w:r>
      <w:r w:rsidR="00CC67CB" w:rsidRPr="004F2447">
        <w:t>,</w:t>
      </w:r>
      <w:r w:rsidRPr="004F2447">
        <w:t xml:space="preserve"> </w:t>
      </w:r>
      <w:r w:rsidR="000F7171" w:rsidRPr="004F2447">
        <w:lastRenderedPageBreak/>
        <w:t>are not sufficient</w:t>
      </w:r>
      <w:r w:rsidR="00CC67CB" w:rsidRPr="004F2447">
        <w:t xml:space="preserve"> to establish that </w:t>
      </w:r>
      <w:r w:rsidR="00C80008" w:rsidRPr="004F2447">
        <w:t xml:space="preserve">the </w:t>
      </w:r>
      <w:r w:rsidR="007E01D8">
        <w:t xml:space="preserve">arrangement </w:t>
      </w:r>
      <w:r w:rsidR="00CC67CB" w:rsidRPr="004F2447">
        <w:t>was given effect to by NQCranes</w:t>
      </w:r>
      <w:r w:rsidR="000F7171" w:rsidRPr="004F2447">
        <w:t xml:space="preserve">, as </w:t>
      </w:r>
      <w:r w:rsidR="00CC67CB" w:rsidRPr="004F2447">
        <w:t xml:space="preserve">the ACCC is required to establish that NQCranes </w:t>
      </w:r>
      <w:r w:rsidR="00CC67CB" w:rsidRPr="004F2447">
        <w:rPr>
          <w:szCs w:val="22"/>
        </w:rPr>
        <w:t>refrained from doing some external act</w:t>
      </w:r>
      <w:r w:rsidR="00D63DF4" w:rsidRPr="004F2447">
        <w:rPr>
          <w:szCs w:val="22"/>
        </w:rPr>
        <w:t xml:space="preserve"> (namely, targeting customers)</w:t>
      </w:r>
      <w:r w:rsidRPr="004F2447">
        <w:t xml:space="preserve">. </w:t>
      </w:r>
      <w:r w:rsidR="00D63DF4" w:rsidRPr="004F2447">
        <w:t>In particular</w:t>
      </w:r>
      <w:r w:rsidR="00CC67CB" w:rsidRPr="004F2447">
        <w:t>, the ACCC’s pleading</w:t>
      </w:r>
      <w:r w:rsidR="00DB533E">
        <w:t>,</w:t>
      </w:r>
      <w:r w:rsidR="00CC67CB" w:rsidRPr="004F2447">
        <w:t xml:space="preserve"> that s</w:t>
      </w:r>
      <w:r w:rsidRPr="004F2447">
        <w:t xml:space="preserve">enior managers within the company </w:t>
      </w:r>
      <w:r w:rsidR="00ED0BCA" w:rsidRPr="004F2447">
        <w:t>informed</w:t>
      </w:r>
      <w:r w:rsidR="00CC67CB" w:rsidRPr="004F2447">
        <w:t xml:space="preserve"> </w:t>
      </w:r>
      <w:r w:rsidR="00ED0BCA" w:rsidRPr="004F2447">
        <w:t xml:space="preserve">their </w:t>
      </w:r>
      <w:r w:rsidRPr="004F2447">
        <w:t>junior employees about the provisions of the contract or arrangement</w:t>
      </w:r>
      <w:r w:rsidR="00DB533E">
        <w:t>,</w:t>
      </w:r>
      <w:r w:rsidRPr="004F2447">
        <w:t xml:space="preserve"> </w:t>
      </w:r>
      <w:r w:rsidR="004F2447">
        <w:t>could</w:t>
      </w:r>
      <w:r w:rsidR="00CC67CB" w:rsidRPr="004F2447">
        <w:t xml:space="preserve"> </w:t>
      </w:r>
      <w:r w:rsidRPr="004F2447">
        <w:t xml:space="preserve">not </w:t>
      </w:r>
      <w:r w:rsidR="004F2447">
        <w:t xml:space="preserve">ever </w:t>
      </w:r>
      <w:r w:rsidR="00CC67CB" w:rsidRPr="004F2447">
        <w:t xml:space="preserve">constitute </w:t>
      </w:r>
      <w:r w:rsidRPr="004F2447">
        <w:t xml:space="preserve">implementing a </w:t>
      </w:r>
      <w:r w:rsidR="00CC67CB" w:rsidRPr="004F2447">
        <w:t xml:space="preserve">cartel </w:t>
      </w:r>
      <w:r w:rsidRPr="004F2447">
        <w:t>provision that require</w:t>
      </w:r>
      <w:r w:rsidR="004F2447">
        <w:t>d</w:t>
      </w:r>
      <w:r w:rsidRPr="004F2447">
        <w:t xml:space="preserve"> </w:t>
      </w:r>
      <w:r w:rsidR="004F2447">
        <w:t>NQCranes</w:t>
      </w:r>
      <w:r w:rsidRPr="004F2447">
        <w:t xml:space="preserve"> to do </w:t>
      </w:r>
      <w:r w:rsidRPr="004F2447">
        <w:rPr>
          <w:szCs w:val="22"/>
        </w:rPr>
        <w:t>or refrain from do</w:t>
      </w:r>
      <w:r w:rsidRPr="00AA2F58">
        <w:rPr>
          <w:szCs w:val="22"/>
        </w:rPr>
        <w:t xml:space="preserve">ing external acts. </w:t>
      </w:r>
      <w:r w:rsidR="00FF7F7C" w:rsidRPr="00AA2F58">
        <w:rPr>
          <w:szCs w:val="22"/>
        </w:rPr>
        <w:t xml:space="preserve">It was accepted by </w:t>
      </w:r>
      <w:r w:rsidRPr="00AA2F58">
        <w:rPr>
          <w:szCs w:val="22"/>
        </w:rPr>
        <w:t xml:space="preserve">NQCranes </w:t>
      </w:r>
      <w:r w:rsidR="00FF7F7C" w:rsidRPr="00AA2F58">
        <w:rPr>
          <w:szCs w:val="22"/>
        </w:rPr>
        <w:t xml:space="preserve">if it had been alleged it </w:t>
      </w:r>
      <w:r w:rsidR="00DF55F2" w:rsidRPr="00AA2F58">
        <w:rPr>
          <w:szCs w:val="22"/>
        </w:rPr>
        <w:t xml:space="preserve">had </w:t>
      </w:r>
      <w:r w:rsidRPr="00AA2F58">
        <w:rPr>
          <w:szCs w:val="22"/>
        </w:rPr>
        <w:t>given these instructions</w:t>
      </w:r>
      <w:r w:rsidR="00C04528">
        <w:rPr>
          <w:szCs w:val="22"/>
        </w:rPr>
        <w:t>,</w:t>
      </w:r>
      <w:r w:rsidRPr="00AA2F58">
        <w:rPr>
          <w:szCs w:val="22"/>
        </w:rPr>
        <w:t xml:space="preserve"> and </w:t>
      </w:r>
      <w:r w:rsidR="00DF55F2" w:rsidRPr="00AA2F58">
        <w:rPr>
          <w:szCs w:val="22"/>
        </w:rPr>
        <w:t>in</w:t>
      </w:r>
      <w:r w:rsidRPr="00AA2F58">
        <w:rPr>
          <w:szCs w:val="22"/>
        </w:rPr>
        <w:t xml:space="preserve"> accordance with </w:t>
      </w:r>
      <w:r w:rsidR="00C04528">
        <w:rPr>
          <w:szCs w:val="22"/>
        </w:rPr>
        <w:t>those</w:t>
      </w:r>
      <w:r w:rsidR="00C04528" w:rsidRPr="00AA2F58">
        <w:rPr>
          <w:szCs w:val="22"/>
        </w:rPr>
        <w:t xml:space="preserve"> </w:t>
      </w:r>
      <w:r w:rsidRPr="00AA2F58">
        <w:rPr>
          <w:szCs w:val="22"/>
        </w:rPr>
        <w:t xml:space="preserve">instructions </w:t>
      </w:r>
      <w:r w:rsidR="00C04528" w:rsidRPr="00AA2F58">
        <w:rPr>
          <w:szCs w:val="22"/>
        </w:rPr>
        <w:t xml:space="preserve">junior employees had </w:t>
      </w:r>
      <w:r w:rsidRPr="00AA2F58">
        <w:rPr>
          <w:szCs w:val="22"/>
        </w:rPr>
        <w:t>refrained from targeting MHE-Demag’s customers, that would be an allegation of giving effect to the provision</w:t>
      </w:r>
      <w:r w:rsidR="00CC67CB" w:rsidRPr="00AA2F58">
        <w:rPr>
          <w:szCs w:val="22"/>
        </w:rPr>
        <w:t>.</w:t>
      </w:r>
      <w:r w:rsidR="00FF7F7C" w:rsidRPr="00AA2F58">
        <w:rPr>
          <w:szCs w:val="22"/>
        </w:rPr>
        <w:t xml:space="preserve"> </w:t>
      </w:r>
      <w:r w:rsidR="00CC67CB" w:rsidRPr="00AA2F58">
        <w:rPr>
          <w:szCs w:val="22"/>
        </w:rPr>
        <w:t>However,</w:t>
      </w:r>
      <w:r w:rsidR="00D0380C" w:rsidRPr="00AA2F58">
        <w:rPr>
          <w:szCs w:val="22"/>
        </w:rPr>
        <w:t xml:space="preserve"> it was contended,</w:t>
      </w:r>
      <w:r w:rsidR="00FF7F7C" w:rsidRPr="00AA2F58">
        <w:rPr>
          <w:szCs w:val="22"/>
        </w:rPr>
        <w:t xml:space="preserve"> that was </w:t>
      </w:r>
      <w:r w:rsidRPr="00AA2F58">
        <w:rPr>
          <w:szCs w:val="22"/>
        </w:rPr>
        <w:t xml:space="preserve">not </w:t>
      </w:r>
      <w:r w:rsidR="00FF7F7C" w:rsidRPr="00AA2F58">
        <w:rPr>
          <w:szCs w:val="22"/>
        </w:rPr>
        <w:t>the allegation made</w:t>
      </w:r>
      <w:r w:rsidR="00CC67CB" w:rsidRPr="00AA2F58">
        <w:rPr>
          <w:szCs w:val="22"/>
        </w:rPr>
        <w:t xml:space="preserve"> by the ACCC</w:t>
      </w:r>
      <w:r w:rsidR="007E01D8" w:rsidRPr="00AA2F58">
        <w:rPr>
          <w:szCs w:val="22"/>
        </w:rPr>
        <w:t xml:space="preserve"> in its pleadings</w:t>
      </w:r>
      <w:r w:rsidR="00FF7F7C" w:rsidRPr="00AA2F58">
        <w:rPr>
          <w:szCs w:val="22"/>
        </w:rPr>
        <w:t xml:space="preserve">. </w:t>
      </w:r>
    </w:p>
    <w:p w14:paraId="54D6AA90" w14:textId="77777777" w:rsidR="00E938D1" w:rsidRPr="00D0380C" w:rsidRDefault="00E938D1" w:rsidP="00E938D1">
      <w:pPr>
        <w:pStyle w:val="ParaNumbering"/>
        <w:rPr>
          <w:szCs w:val="24"/>
        </w:rPr>
      </w:pPr>
      <w:r w:rsidRPr="00D0380C">
        <w:rPr>
          <w:szCs w:val="24"/>
        </w:rPr>
        <w:t xml:space="preserve">In </w:t>
      </w:r>
      <w:r w:rsidRPr="00D0380C">
        <w:rPr>
          <w:bCs/>
          <w:i/>
          <w:szCs w:val="24"/>
          <w:shd w:val="clear" w:color="auto" w:fill="FFFFFF"/>
        </w:rPr>
        <w:t>Yazaki</w:t>
      </w:r>
      <w:r w:rsidRPr="00D0380C">
        <w:rPr>
          <w:bCs/>
          <w:szCs w:val="24"/>
          <w:shd w:val="clear" w:color="auto" w:fill="FFFFFF"/>
        </w:rPr>
        <w:t>, which was referred to by both parties, the Court observed at [71]</w:t>
      </w:r>
      <w:r w:rsidR="00DF55F2" w:rsidRPr="00D0380C">
        <w:rPr>
          <w:bCs/>
          <w:szCs w:val="24"/>
          <w:shd w:val="clear" w:color="auto" w:fill="FFFFFF"/>
        </w:rPr>
        <w:t>:</w:t>
      </w:r>
    </w:p>
    <w:p w14:paraId="4A5A2B0E" w14:textId="77777777" w:rsidR="00E938D1" w:rsidRPr="000E5F4B" w:rsidRDefault="00E938D1" w:rsidP="00527BA7">
      <w:pPr>
        <w:pStyle w:val="Quote1"/>
        <w:rPr>
          <w:lang w:eastAsia="en-AU"/>
        </w:rPr>
      </w:pPr>
      <w:r w:rsidRPr="00D0380C">
        <w:rPr>
          <w:lang w:eastAsia="en-AU"/>
        </w:rPr>
        <w:t>We agree that the ordinary meaning of “give effect to” – at least taken in isolation – does not necessarily compel a knowledge requirement. In our view, its ordinary meaning is not ambiguous in that regard. Conceptually, it is a term whose principal concern is the existence of certain conduct and whether such conduct implements, enacts, or otherwise administers an agreement. As a concept, its ordinary meaning does not immediately or necessarily evoke the subjective intentions that may underlie such conduct. Of course, in order for conduct to be said to “give effect to” an agreement, it must be demonstrated sufficiently to have been actually undertaken pursuant to, in accordance with, or otherwise enacting, implementing or administering that</w:t>
      </w:r>
      <w:r w:rsidRPr="000E5F4B">
        <w:rPr>
          <w:lang w:eastAsia="en-AU"/>
        </w:rPr>
        <w:t xml:space="preserve"> agreement. However, that is a question of fact rather than a matter of legal interpretation. The fact that the actor undertaking the impugned conduct had knowledge, in a subjective sense, of the scheme in question would likely be probative evidence towards satisfying the legal standard of “give effect to”. However, adducing such evidence is not necessarily the only means of satisfying the legal standard of “give effect to”, at least based on its ordinary meaning.</w:t>
      </w:r>
    </w:p>
    <w:p w14:paraId="0032A2A3" w14:textId="77777777" w:rsidR="00E938D1" w:rsidRPr="00C02119" w:rsidRDefault="00E938D1" w:rsidP="00E938D1">
      <w:pPr>
        <w:pStyle w:val="ParaNumbering"/>
        <w:rPr>
          <w:szCs w:val="24"/>
          <w:lang w:eastAsia="en-AU"/>
        </w:rPr>
      </w:pPr>
      <w:r>
        <w:rPr>
          <w:szCs w:val="24"/>
        </w:rPr>
        <w:t>Relevantly, given the submission advanced in this case, i</w:t>
      </w:r>
      <w:r w:rsidRPr="00C02119">
        <w:rPr>
          <w:szCs w:val="24"/>
        </w:rPr>
        <w:t>n </w:t>
      </w:r>
      <w:r w:rsidRPr="00C02119">
        <w:rPr>
          <w:i/>
          <w:iCs/>
          <w:szCs w:val="24"/>
        </w:rPr>
        <w:t>Tradestock</w:t>
      </w:r>
      <w:r w:rsidRPr="00C02119">
        <w:rPr>
          <w:szCs w:val="24"/>
        </w:rPr>
        <w:t xml:space="preserve">, Smithers J addressed an argument that </w:t>
      </w:r>
      <w:r w:rsidR="00DF55F2">
        <w:rPr>
          <w:szCs w:val="24"/>
        </w:rPr>
        <w:t xml:space="preserve">acting </w:t>
      </w:r>
      <w:r w:rsidRPr="00C02119">
        <w:rPr>
          <w:szCs w:val="24"/>
        </w:rPr>
        <w:t xml:space="preserve">“in accordance with” </w:t>
      </w:r>
      <w:r w:rsidR="00DF55F2">
        <w:rPr>
          <w:szCs w:val="24"/>
        </w:rPr>
        <w:t xml:space="preserve">a contract, arrangement or understanding </w:t>
      </w:r>
      <w:r w:rsidRPr="00C02119">
        <w:rPr>
          <w:szCs w:val="24"/>
        </w:rPr>
        <w:t xml:space="preserve">required proof of the reason the actor acted as he or she did. His Honour rejected this </w:t>
      </w:r>
      <w:r>
        <w:rPr>
          <w:szCs w:val="24"/>
        </w:rPr>
        <w:t>submission. He said at 269-270</w:t>
      </w:r>
      <w:r w:rsidRPr="00C02119">
        <w:rPr>
          <w:szCs w:val="24"/>
        </w:rPr>
        <w:t>:</w:t>
      </w:r>
    </w:p>
    <w:p w14:paraId="319605EE" w14:textId="77777777" w:rsidR="00E938D1" w:rsidRPr="00FB2E28" w:rsidRDefault="00E938D1" w:rsidP="00527BA7">
      <w:pPr>
        <w:pStyle w:val="Quote1"/>
      </w:pPr>
      <w:r w:rsidRPr="00C02119">
        <w:t>Since the </w:t>
      </w:r>
      <w:r w:rsidR="005024E7" w:rsidRPr="00745E29">
        <w:t>Trade Practices Act 1974</w:t>
      </w:r>
      <w:r w:rsidRPr="003B24C0">
        <w:t> ha</w:t>
      </w:r>
      <w:r w:rsidRPr="00C02119">
        <w:t>s been operative it has been the will of Parliament that contracts arrangements or understandings such as that now alleged should not be made and if made should not be given effect to. And Parliament has said that in relation to a provision of a contract arrangement or understanding the words “give effect to” are to include “do an act</w:t>
      </w:r>
      <w:r w:rsidRPr="00FB2E28">
        <w:t xml:space="preserve"> or thing in pursuance of or in accordance with or enforce or purport to enforce” </w:t>
      </w:r>
      <w:r w:rsidR="005024E7" w:rsidRPr="00FB2E28">
        <w:t>(s 4(1)).</w:t>
      </w:r>
      <w:r w:rsidRPr="00FB2E28">
        <w:t xml:space="preserve"> It is to be observed that an act done by way of implementation of a contract arrangement or understanding would necessarily be done “in pursuance thereof”. If the only acts struck at by the Act are those done by way of implementation of the contract arrangement or understanding then there is no work left to be done by the words “or in accordance with”. And there is good reason for thinking that those words are intended to cover the situation where what is done is or </w:t>
      </w:r>
      <w:r w:rsidRPr="00FB2E28">
        <w:lastRenderedPageBreak/>
        <w:t>may be done for reasons other than to implement the understanding. In such circumstances proof of the real or dominant motive or reason actuating the actor is likely to be a matter of great difficulty and may in many cases be impossible. To adopt the view submitted by Mr Rogers would be to conclude that Parliament which has stated its disapproval of the relevant contract arrangement or understanding and the kind of action for which it provides was content to allow such action to proceed as though it were lawful in circumstances where the evidence was insufficient to prove the precise motive for or actuating reason of the conduct in question.</w:t>
      </w:r>
    </w:p>
    <w:p w14:paraId="636E5693" w14:textId="77777777" w:rsidR="00E938D1" w:rsidRPr="00745E29" w:rsidRDefault="00DB1680" w:rsidP="00E938D1">
      <w:pPr>
        <w:pStyle w:val="ParaNumbering"/>
      </w:pPr>
      <w:r w:rsidRPr="00745E29">
        <w:t>At the very least, it is clear from the passages recited above</w:t>
      </w:r>
      <w:r w:rsidRPr="00745E29">
        <w:rPr>
          <w:i/>
        </w:rPr>
        <w:t xml:space="preserve">, </w:t>
      </w:r>
      <w:r w:rsidRPr="00745E29">
        <w:t>that there is a reasonable argument that the concept of “give effect to” in s 4 is not as narrow as contended for by NQCranes.</w:t>
      </w:r>
    </w:p>
    <w:p w14:paraId="1AFC28D6" w14:textId="77777777" w:rsidR="00E938D1" w:rsidRPr="00BA639F" w:rsidRDefault="00E938D1" w:rsidP="00E938D1">
      <w:pPr>
        <w:pStyle w:val="ParaNumbering"/>
      </w:pPr>
      <w:r w:rsidRPr="00BA639F">
        <w:t xml:space="preserve">It is plain that there is an issue in this case as to the breadth of the phrase “give effect to” and whether evidence of certain acts is capable of satisfying the relevant criteria. </w:t>
      </w:r>
      <w:r w:rsidR="00CD05D9" w:rsidRPr="00BA639F">
        <w:t>I</w:t>
      </w:r>
      <w:r w:rsidRPr="00BA639F">
        <w:t xml:space="preserve">t has been said that </w:t>
      </w:r>
      <w:r w:rsidRPr="00D85E66">
        <w:rPr>
          <w:shd w:val="clear" w:color="auto" w:fill="FFFFFF"/>
        </w:rPr>
        <w:t>where a point of law has to be decided, and the judge is satisfied that this can be done appropriately at this stage, thereby avoiding the necessity of, and expense in going to trial, the court is entitled to determine the point: cf </w:t>
      </w:r>
      <w:r w:rsidRPr="00D85E66">
        <w:rPr>
          <w:i/>
          <w:iCs/>
          <w:shd w:val="clear" w:color="auto" w:fill="FFFFFF"/>
        </w:rPr>
        <w:t>Williams &amp; Humbert v W &amp; H Trade Marks</w:t>
      </w:r>
      <w:r w:rsidRPr="00266572">
        <w:rPr>
          <w:shd w:val="clear" w:color="auto" w:fill="FFFFFF"/>
        </w:rPr>
        <w:t> </w:t>
      </w:r>
      <w:r w:rsidR="00CD05D9" w:rsidRPr="00266572">
        <w:rPr>
          <w:i/>
          <w:shd w:val="clear" w:color="auto" w:fill="FFFFFF"/>
        </w:rPr>
        <w:t xml:space="preserve">(Jersey) Ltd </w:t>
      </w:r>
      <w:r w:rsidR="00CD05D9" w:rsidRPr="00F53AAB">
        <w:t>[1986] AC 368</w:t>
      </w:r>
      <w:r w:rsidR="00CD05D9" w:rsidRPr="00E6753D">
        <w:t xml:space="preserve"> cited in </w:t>
      </w:r>
      <w:r w:rsidR="00CD05D9" w:rsidRPr="00E6753D">
        <w:rPr>
          <w:i/>
        </w:rPr>
        <w:t>Polar</w:t>
      </w:r>
      <w:r w:rsidR="00CD05D9" w:rsidRPr="0016344A">
        <w:t xml:space="preserve"> </w:t>
      </w:r>
      <w:r w:rsidR="00CD05D9" w:rsidRPr="00EB23FB">
        <w:rPr>
          <w:i/>
        </w:rPr>
        <w:t>Aviation</w:t>
      </w:r>
      <w:r w:rsidR="00CD05D9" w:rsidRPr="0016344A">
        <w:t xml:space="preserve"> at [43].</w:t>
      </w:r>
      <w:r w:rsidRPr="0016344A">
        <w:t xml:space="preserve"> However, given the submissions on this </w:t>
      </w:r>
      <w:r w:rsidRPr="00EF6B3D">
        <w:t>application</w:t>
      </w:r>
      <w:r w:rsidR="00CD05D9" w:rsidRPr="00EF6B3D">
        <w:t>,</w:t>
      </w:r>
      <w:r w:rsidR="00CC4DA4" w:rsidRPr="00EF6B3D">
        <w:t xml:space="preserve"> </w:t>
      </w:r>
      <w:r w:rsidRPr="00EF6B3D">
        <w:t>the dispute</w:t>
      </w:r>
      <w:r w:rsidRPr="00BA639F">
        <w:t xml:space="preserve"> in this case necessarily also involves a consideration of the evidence, and </w:t>
      </w:r>
      <w:r w:rsidR="001001C7" w:rsidRPr="00D85E66">
        <w:t xml:space="preserve">in particular, a consideration of </w:t>
      </w:r>
      <w:r w:rsidR="00FF7F7C" w:rsidRPr="00D85E66">
        <w:t xml:space="preserve">that evidence </w:t>
      </w:r>
      <w:r w:rsidRPr="00D85E66">
        <w:t>in combination as opposed to a piecemeal approach</w:t>
      </w:r>
      <w:r w:rsidR="00E820F8" w:rsidRPr="00266572">
        <w:t xml:space="preserve"> (which occurred on this application)</w:t>
      </w:r>
      <w:r w:rsidR="00FF7F7C" w:rsidRPr="00266572">
        <w:t xml:space="preserve">. This </w:t>
      </w:r>
      <w:r w:rsidRPr="00F53AAB">
        <w:t xml:space="preserve">ought only to occur at the end of the </w:t>
      </w:r>
      <w:r w:rsidRPr="00BA639F">
        <w:t xml:space="preserve">hearing. </w:t>
      </w:r>
    </w:p>
    <w:p w14:paraId="56B74EA4" w14:textId="77777777" w:rsidR="00E938D1" w:rsidRPr="00BA639F" w:rsidRDefault="00E938D1" w:rsidP="00E938D1">
      <w:pPr>
        <w:pStyle w:val="ParaNumbering"/>
      </w:pPr>
      <w:r w:rsidRPr="00BA639F">
        <w:t xml:space="preserve">Moreover, NQCranes approached each </w:t>
      </w:r>
      <w:r w:rsidR="00C24E07" w:rsidRPr="00BA639F">
        <w:t xml:space="preserve">of the impugned </w:t>
      </w:r>
      <w:r w:rsidRPr="00BA639F">
        <w:t>particular</w:t>
      </w:r>
      <w:r w:rsidR="00C24E07" w:rsidRPr="00BA639F">
        <w:t>s</w:t>
      </w:r>
      <w:r w:rsidRPr="00BA639F">
        <w:t xml:space="preserve"> in a vacuum, and restricted the consideration of material facts to direct implementation. That is unduly narrow. There is no </w:t>
      </w:r>
      <w:r w:rsidR="0029720A" w:rsidRPr="00BA639F">
        <w:t xml:space="preserve">logical </w:t>
      </w:r>
      <w:r w:rsidRPr="00BA639F">
        <w:t xml:space="preserve">reason why a case of giving effect </w:t>
      </w:r>
      <w:r w:rsidRPr="00EB23FB">
        <w:t xml:space="preserve">to </w:t>
      </w:r>
      <w:r w:rsidR="00CC4DA4" w:rsidRPr="00EB23FB">
        <w:t xml:space="preserve">a cartel </w:t>
      </w:r>
      <w:r w:rsidR="00CC4DA4" w:rsidRPr="00090823">
        <w:t xml:space="preserve">understanding </w:t>
      </w:r>
      <w:r w:rsidR="00CC4DA4" w:rsidRPr="00EB23FB">
        <w:t>or arrangement</w:t>
      </w:r>
      <w:r w:rsidR="00CC4DA4" w:rsidRPr="00BA639F">
        <w:t xml:space="preserve"> </w:t>
      </w:r>
      <w:r w:rsidRPr="00BA639F">
        <w:t>cannot be proved by circumstantial evidence, with inferences being drawn that acts have been done in pursuance of or in accordance with the implementation of the arrangement</w:t>
      </w:r>
      <w:r w:rsidR="003143F1" w:rsidRPr="00D85E66">
        <w:t xml:space="preserve">: see for example </w:t>
      </w:r>
      <w:r w:rsidR="003143F1" w:rsidRPr="00D85E66">
        <w:rPr>
          <w:i/>
        </w:rPr>
        <w:t xml:space="preserve">Australian Competition and Consumer Commission v Leahy Petroleum Pty Ltd </w:t>
      </w:r>
      <w:r w:rsidR="003143F1" w:rsidRPr="00266572">
        <w:t>[2007] FCA 794; (2007) 160 FCR 321</w:t>
      </w:r>
      <w:r w:rsidRPr="00266572">
        <w:t xml:space="preserve">. </w:t>
      </w:r>
      <w:r w:rsidRPr="00F53AAB">
        <w:rPr>
          <w:i/>
        </w:rPr>
        <w:t>First</w:t>
      </w:r>
      <w:r w:rsidRPr="00E6753D">
        <w:t xml:space="preserve">, as explained above, NQCranes complains that the pleadings of internal communications </w:t>
      </w:r>
      <w:r w:rsidR="00AC6D37" w:rsidRPr="00BA639F">
        <w:t xml:space="preserve">are incapable of supporting the give effect case </w:t>
      </w:r>
      <w:r w:rsidRPr="00BA639F">
        <w:t xml:space="preserve">unless </w:t>
      </w:r>
      <w:r w:rsidR="00AC6D37" w:rsidRPr="00BA639F">
        <w:t>those communications concerned</w:t>
      </w:r>
      <w:r w:rsidRPr="00BA639F">
        <w:t xml:space="preserve">, in effect, </w:t>
      </w:r>
      <w:r w:rsidR="00AC6D37" w:rsidRPr="00BA639F">
        <w:t>giving</w:t>
      </w:r>
      <w:r w:rsidRPr="00BA639F">
        <w:t xml:space="preserve"> an instruction to be followed not to target </w:t>
      </w:r>
      <w:r w:rsidR="00131A43" w:rsidRPr="00BA639F">
        <w:t>MHE-</w:t>
      </w:r>
      <w:r w:rsidRPr="00BA639F">
        <w:t xml:space="preserve">Demag customers </w:t>
      </w:r>
      <w:r w:rsidR="00AC6D37" w:rsidRPr="00BA639F">
        <w:t>(</w:t>
      </w:r>
      <w:r w:rsidRPr="00BA639F">
        <w:t xml:space="preserve">and that </w:t>
      </w:r>
      <w:r w:rsidR="003143F1" w:rsidRPr="00BA639F">
        <w:t xml:space="preserve">instruction </w:t>
      </w:r>
      <w:r w:rsidRPr="00BA639F">
        <w:t>was followed</w:t>
      </w:r>
      <w:r w:rsidR="00AC6D37" w:rsidRPr="00BA639F">
        <w:t>)</w:t>
      </w:r>
      <w:r w:rsidRPr="00BA639F">
        <w:t xml:space="preserve">. However, for the reasons given above, that </w:t>
      </w:r>
      <w:r w:rsidR="00AC6D37" w:rsidRPr="00BA639F">
        <w:t xml:space="preserve">approach </w:t>
      </w:r>
      <w:r w:rsidRPr="00451937">
        <w:t xml:space="preserve">is </w:t>
      </w:r>
      <w:r w:rsidR="00CC4DA4" w:rsidRPr="00451937">
        <w:t xml:space="preserve">arguably </w:t>
      </w:r>
      <w:r w:rsidRPr="00451937">
        <w:t>to</w:t>
      </w:r>
      <w:r w:rsidR="00D64351" w:rsidRPr="00451937">
        <w:t>o</w:t>
      </w:r>
      <w:r w:rsidRPr="00451937">
        <w:t xml:space="preserve"> narrow</w:t>
      </w:r>
      <w:r w:rsidRPr="00BA639F">
        <w:t>. It is at least arguable that such communications, considered in context, are capable of giving effect to the arrangement.</w:t>
      </w:r>
      <w:r w:rsidRPr="00D85E66">
        <w:t xml:space="preserve"> </w:t>
      </w:r>
      <w:r w:rsidRPr="00266572">
        <w:rPr>
          <w:i/>
        </w:rPr>
        <w:t>Second</w:t>
      </w:r>
      <w:r w:rsidRPr="00266572">
        <w:t xml:space="preserve">, NQCranes submitted that the receipt of communications which in substance indicate that </w:t>
      </w:r>
      <w:r w:rsidR="00D64351" w:rsidRPr="00BA639F">
        <w:t xml:space="preserve">it </w:t>
      </w:r>
      <w:r w:rsidRPr="00BA639F">
        <w:rPr>
          <w:spacing w:val="-3"/>
        </w:rPr>
        <w:t xml:space="preserve">was </w:t>
      </w:r>
      <w:r w:rsidRPr="00BA639F">
        <w:t>not acting in accordance with the alleged cartel provisions cannot be conduct which gives effect to those</w:t>
      </w:r>
      <w:r w:rsidRPr="00BA639F">
        <w:rPr>
          <w:spacing w:val="-5"/>
        </w:rPr>
        <w:t xml:space="preserve"> </w:t>
      </w:r>
      <w:r w:rsidRPr="00BA639F">
        <w:t xml:space="preserve">provisions. This is a reference to the ASOC at [18(d)] and [18(e)] </w:t>
      </w:r>
      <w:r w:rsidR="00D64351" w:rsidRPr="00BA639F">
        <w:t xml:space="preserve">which </w:t>
      </w:r>
      <w:r w:rsidRPr="00BA639F">
        <w:t xml:space="preserve">refers to NQCranes </w:t>
      </w:r>
      <w:r w:rsidRPr="00BA639F">
        <w:lastRenderedPageBreak/>
        <w:t xml:space="preserve">raising complaints with </w:t>
      </w:r>
      <w:r w:rsidR="00D64351" w:rsidRPr="00BA639F">
        <w:t>MHE-</w:t>
      </w:r>
      <w:r w:rsidRPr="00BA639F">
        <w:t xml:space="preserve">Demag, and responding to complaints raised by </w:t>
      </w:r>
      <w:r w:rsidR="00D64351" w:rsidRPr="00BA639F">
        <w:t>MHE-</w:t>
      </w:r>
      <w:r w:rsidRPr="00BA639F">
        <w:t>Demag in relation to targeting of clients in the Brisbane and Newcastle area. NQCranes</w:t>
      </w:r>
      <w:r w:rsidR="008F685A" w:rsidRPr="00BA639F">
        <w:t>’</w:t>
      </w:r>
      <w:r w:rsidRPr="00BA639F">
        <w:t xml:space="preserve"> submission was </w:t>
      </w:r>
      <w:r w:rsidR="00D64351" w:rsidRPr="00BA639F">
        <w:t xml:space="preserve">that </w:t>
      </w:r>
      <w:r w:rsidRPr="00BA639F">
        <w:t xml:space="preserve">the existence of complaints regarding a failure to comply with the alleged cartel provisions indicates that </w:t>
      </w:r>
      <w:r w:rsidR="008F685A" w:rsidRPr="00BA639F">
        <w:t xml:space="preserve">it </w:t>
      </w:r>
      <w:r w:rsidRPr="00BA639F">
        <w:t>was not acting in pursuit of or otherwise in accordance with those provisions</w:t>
      </w:r>
      <w:r w:rsidR="001132E5" w:rsidRPr="00BA639F">
        <w:t>,</w:t>
      </w:r>
      <w:r w:rsidRPr="00BA639F">
        <w:t xml:space="preserve"> as a matter of fact. However, in certain circumstances, evidence of complaints can give rise to giving effect to a cartel provision: see for example </w:t>
      </w:r>
      <w:r w:rsidRPr="00BA639F">
        <w:rPr>
          <w:i/>
        </w:rPr>
        <w:t>Australian Competition and Consumer Commission v Renegade Gas Pty Ltd</w:t>
      </w:r>
      <w:r w:rsidRPr="00BA639F">
        <w:t xml:space="preserve"> [2014] FCA 1135. Again, that is at least arguable. </w:t>
      </w:r>
    </w:p>
    <w:p w14:paraId="5150CC8F" w14:textId="77777777" w:rsidR="00E938D1" w:rsidRDefault="00E938D1" w:rsidP="00E938D1">
      <w:pPr>
        <w:pStyle w:val="ParaNumbering"/>
      </w:pPr>
      <w:r>
        <w:t xml:space="preserve">It is appropriate to refer to one final matter, which is the complaint by NQCranes that at </w:t>
      </w:r>
      <w:r w:rsidR="008F685A">
        <w:t xml:space="preserve">[18(f)] of the </w:t>
      </w:r>
      <w:r>
        <w:t xml:space="preserve">ASOC </w:t>
      </w:r>
      <w:r w:rsidR="008F685A">
        <w:t>the ACCC</w:t>
      </w:r>
      <w:r>
        <w:t xml:space="preserve"> alleges that NQCranes retracted an offer for services to a potential client, Mesh and Bar, </w:t>
      </w:r>
      <w:r w:rsidR="0006160B">
        <w:t xml:space="preserve">in </w:t>
      </w:r>
      <w:r>
        <w:t>Brisbane. NQCranes submitted that was not a retraction by NQCr</w:t>
      </w:r>
      <w:r w:rsidR="00BB6BC5">
        <w:t xml:space="preserve">anes. That may well be correct. </w:t>
      </w:r>
      <w:r>
        <w:t xml:space="preserve">The particular to the pleading </w:t>
      </w:r>
      <w:r w:rsidR="00AB6710">
        <w:t xml:space="preserve">in the ASOC </w:t>
      </w:r>
      <w:r>
        <w:t xml:space="preserve">is as follows: </w:t>
      </w:r>
    </w:p>
    <w:p w14:paraId="23C461C4" w14:textId="77777777" w:rsidR="00AB6710" w:rsidRDefault="00AB6710" w:rsidP="00527BA7">
      <w:pPr>
        <w:pStyle w:val="Quote1"/>
      </w:pPr>
      <w:r>
        <w:t>N</w:t>
      </w:r>
      <w:r w:rsidR="001C43DA">
        <w:t>Q</w:t>
      </w:r>
      <w:r>
        <w:t>C retracting an offer to provide services to a potential client</w:t>
      </w:r>
      <w:r w:rsidR="00DD0530">
        <w:t>,</w:t>
      </w:r>
      <w:r>
        <w:t xml:space="preserve"> Mesh and Bar, in Brisbane, which was identified as being a Demag client at the relevant time. </w:t>
      </w:r>
    </w:p>
    <w:p w14:paraId="3FE7718C" w14:textId="77777777" w:rsidR="00E938D1" w:rsidRPr="00BB6BC5" w:rsidRDefault="00B35D48" w:rsidP="00E938D1">
      <w:pPr>
        <w:pStyle w:val="ParaNumbering"/>
      </w:pPr>
      <w:bookmarkStart w:id="32" w:name="_Ref84847100"/>
      <w:r w:rsidRPr="00BB6BC5">
        <w:t>T</w:t>
      </w:r>
      <w:r w:rsidR="00E938D1" w:rsidRPr="00BB6BC5">
        <w:t xml:space="preserve">he ACCC accepted during submissions that, although not pleaded in this manner, the better view might be </w:t>
      </w:r>
      <w:r w:rsidR="001C49BD" w:rsidRPr="00BB6BC5">
        <w:t xml:space="preserve">either </w:t>
      </w:r>
      <w:r w:rsidR="00E938D1" w:rsidRPr="00BB6BC5">
        <w:t xml:space="preserve">that the purchase order was pulled by Mesh </w:t>
      </w:r>
      <w:r w:rsidR="001132E5" w:rsidRPr="00BB6BC5">
        <w:t xml:space="preserve">and </w:t>
      </w:r>
      <w:r w:rsidR="00E938D1" w:rsidRPr="00BB6BC5">
        <w:t xml:space="preserve">Bar because of the approach that had been made to it by </w:t>
      </w:r>
      <w:r w:rsidR="008F685A" w:rsidRPr="00BB6BC5">
        <w:t>MHE-</w:t>
      </w:r>
      <w:r w:rsidR="00E938D1" w:rsidRPr="00BB6BC5">
        <w:t>Demag</w:t>
      </w:r>
      <w:r w:rsidR="001C49BD" w:rsidRPr="00BB6BC5">
        <w:t>, or that MHE-Demag caused the offer to be pulled</w:t>
      </w:r>
      <w:r w:rsidR="00E938D1" w:rsidRPr="00BB6BC5">
        <w:t xml:space="preserve">. The ACCC accepted they would need leave to amend </w:t>
      </w:r>
      <w:r w:rsidR="0006160B">
        <w:t>the pleading to this effect</w:t>
      </w:r>
      <w:r w:rsidR="00E938D1" w:rsidRPr="00BB6BC5">
        <w:t>. Nonetheless, as the ACCC</w:t>
      </w:r>
      <w:r w:rsidR="00DD3871" w:rsidRPr="00BB6BC5">
        <w:t xml:space="preserve"> submitted,</w:t>
      </w:r>
      <w:r w:rsidR="00E938D1" w:rsidRPr="00BB6BC5">
        <w:t xml:space="preserve"> </w:t>
      </w:r>
      <w:r w:rsidRPr="00BB6BC5">
        <w:t xml:space="preserve">it </w:t>
      </w:r>
      <w:r w:rsidR="00E938D1" w:rsidRPr="00BB6BC5">
        <w:t xml:space="preserve">is still the same point being made, that the parties were giving effect to this arrangement. </w:t>
      </w:r>
      <w:r w:rsidR="00DD3871" w:rsidRPr="00BB6BC5">
        <w:t>Leave is given to amend this particular.</w:t>
      </w:r>
      <w:bookmarkEnd w:id="32"/>
      <w:r w:rsidR="00DD3871" w:rsidRPr="00BB6BC5">
        <w:t xml:space="preserve"> </w:t>
      </w:r>
    </w:p>
    <w:p w14:paraId="2CFBDD6E" w14:textId="77777777" w:rsidR="00E938D1" w:rsidRPr="00900C3A" w:rsidRDefault="00E938D1" w:rsidP="00E820F8">
      <w:pPr>
        <w:pStyle w:val="ParaNumbering"/>
      </w:pPr>
      <w:bookmarkStart w:id="33" w:name="_Ref84598594"/>
      <w:r>
        <w:t>In my view</w:t>
      </w:r>
      <w:r w:rsidR="007B151C">
        <w:t>,</w:t>
      </w:r>
      <w:r>
        <w:t xml:space="preserve"> NQCranes ha</w:t>
      </w:r>
      <w:r w:rsidR="001C49BD">
        <w:t>s</w:t>
      </w:r>
      <w:r>
        <w:t xml:space="preserve"> not established that the give effect case in respect to the Co-</w:t>
      </w:r>
      <w:r w:rsidR="007B151C">
        <w:t>O</w:t>
      </w:r>
      <w:r>
        <w:t>rdinated Approach Provision ought to be struck out.</w:t>
      </w:r>
      <w:bookmarkEnd w:id="33"/>
    </w:p>
    <w:p w14:paraId="556A8912" w14:textId="77777777" w:rsidR="00900C3A" w:rsidRPr="00BB5FAF" w:rsidRDefault="006B41AE" w:rsidP="00527BA7">
      <w:pPr>
        <w:pStyle w:val="Heading3"/>
      </w:pPr>
      <w:r w:rsidRPr="00BB5FAF">
        <w:t>Non-Targeting</w:t>
      </w:r>
      <w:r w:rsidR="00BB5FAF">
        <w:t xml:space="preserve"> Arrangement</w:t>
      </w:r>
    </w:p>
    <w:p w14:paraId="731955A5" w14:textId="188FA88F" w:rsidR="00C129F4" w:rsidRPr="00527BA7" w:rsidRDefault="004A019A" w:rsidP="00C129F4">
      <w:pPr>
        <w:pStyle w:val="ParaNumbering"/>
      </w:pPr>
      <w:r w:rsidRPr="00527BA7">
        <w:t xml:space="preserve">The </w:t>
      </w:r>
      <w:r w:rsidR="00C02119" w:rsidRPr="00527BA7">
        <w:t xml:space="preserve">submissions </w:t>
      </w:r>
      <w:r w:rsidR="00E820F8" w:rsidRPr="00527BA7">
        <w:t xml:space="preserve">on this topic </w:t>
      </w:r>
      <w:r w:rsidR="00C02119" w:rsidRPr="00527BA7">
        <w:t xml:space="preserve">must be considered </w:t>
      </w:r>
      <w:r w:rsidRPr="00527BA7">
        <w:t xml:space="preserve">in </w:t>
      </w:r>
      <w:r w:rsidR="00AB6710">
        <w:t>the following</w:t>
      </w:r>
      <w:r w:rsidR="00AB6710" w:rsidRPr="00527BA7">
        <w:t xml:space="preserve"> </w:t>
      </w:r>
      <w:r w:rsidRPr="00527BA7">
        <w:t xml:space="preserve">context. As pleaded in the </w:t>
      </w:r>
      <w:r w:rsidR="00ED7337">
        <w:t>ASOC</w:t>
      </w:r>
      <w:r w:rsidRPr="00527BA7">
        <w:t>, o</w:t>
      </w:r>
      <w:r w:rsidR="00C129F4" w:rsidRPr="00527BA7">
        <w:t xml:space="preserve">n 26 August 2016, NQCranes and </w:t>
      </w:r>
      <w:r w:rsidR="00AB6710">
        <w:t>MHE-</w:t>
      </w:r>
      <w:r w:rsidR="00C129F4" w:rsidRPr="00527BA7">
        <w:t xml:space="preserve">Demag signed a written agreement, which as noted above, was described as a </w:t>
      </w:r>
      <w:r w:rsidR="00AB6710">
        <w:t>D</w:t>
      </w:r>
      <w:r w:rsidR="00C129F4" w:rsidRPr="00527BA7">
        <w:t xml:space="preserve">istributorship </w:t>
      </w:r>
      <w:r w:rsidR="00AB6710">
        <w:t>A</w:t>
      </w:r>
      <w:r w:rsidR="00C129F4" w:rsidRPr="00527BA7">
        <w:t>greement. The C</w:t>
      </w:r>
      <w:r w:rsidR="00ED7337">
        <w:t>o</w:t>
      </w:r>
      <w:r w:rsidR="00C129F4" w:rsidRPr="00527BA7">
        <w:t>-</w:t>
      </w:r>
      <w:r w:rsidR="00AB6710">
        <w:t>O</w:t>
      </w:r>
      <w:r w:rsidR="00C129F4" w:rsidRPr="00527BA7">
        <w:t xml:space="preserve">rdinated Approach Provision in that agreement </w:t>
      </w:r>
      <w:r w:rsidR="00ED7B3F">
        <w:t xml:space="preserve">pleaded by the ACCC </w:t>
      </w:r>
      <w:r w:rsidR="00C129F4" w:rsidRPr="00527BA7">
        <w:t>is that in relation to Territory 2 (</w:t>
      </w:r>
      <w:r w:rsidR="00ED7B3F">
        <w:t xml:space="preserve">the area in </w:t>
      </w:r>
      <w:r w:rsidR="00C129F4" w:rsidRPr="00527BA7">
        <w:t xml:space="preserve">Queensland south of Gladstone and </w:t>
      </w:r>
      <w:r w:rsidR="00ED7B3F">
        <w:t xml:space="preserve">in </w:t>
      </w:r>
      <w:r w:rsidR="00C129F4" w:rsidRPr="00527BA7">
        <w:t xml:space="preserve">Newcastle), </w:t>
      </w:r>
      <w:r w:rsidR="00C129F4" w:rsidRPr="00414A2E">
        <w:t>NQCranes</w:t>
      </w:r>
      <w:r w:rsidR="00C129F4" w:rsidRPr="00527BA7">
        <w:t xml:space="preserve"> and </w:t>
      </w:r>
      <w:r w:rsidR="00ED7B3F">
        <w:t>MHE</w:t>
      </w:r>
      <w:r w:rsidR="001132E5">
        <w:t>-</w:t>
      </w:r>
      <w:r w:rsidR="00C129F4" w:rsidRPr="00527BA7">
        <w:t>Demag will operate in the service markets in a co­ordinated approach so that their current customers are not targeted by the other. For potential future customers</w:t>
      </w:r>
      <w:r w:rsidR="00C47832">
        <w:t>,</w:t>
      </w:r>
      <w:r w:rsidR="00C129F4" w:rsidRPr="00527BA7">
        <w:t xml:space="preserve"> the two organi</w:t>
      </w:r>
      <w:r w:rsidR="00ED7B3F">
        <w:t>s</w:t>
      </w:r>
      <w:r w:rsidR="00C129F4" w:rsidRPr="00527BA7">
        <w:t xml:space="preserve">ations will ensure that their energies are focused on the other service competitors and not each other. This was the alleged </w:t>
      </w:r>
      <w:r w:rsidR="00C129F4" w:rsidRPr="00527BA7">
        <w:lastRenderedPageBreak/>
        <w:t>cartel provision th</w:t>
      </w:r>
      <w:r w:rsidR="00ED7B3F">
        <w:t>e</w:t>
      </w:r>
      <w:r w:rsidR="00C129F4" w:rsidRPr="00527BA7">
        <w:t xml:space="preserve"> subject of the originating application, before the ASOC was filed which included the Non-Targeting Arrangement. </w:t>
      </w:r>
    </w:p>
    <w:p w14:paraId="2DF7A08A" w14:textId="77777777" w:rsidR="00C129F4" w:rsidRPr="00527BA7" w:rsidRDefault="00C129F4" w:rsidP="00527BA7">
      <w:pPr>
        <w:pStyle w:val="ParaNumbering"/>
      </w:pPr>
      <w:r w:rsidRPr="00527BA7">
        <w:t xml:space="preserve">On its face, the Non-Targeting Arrangement, as alleged </w:t>
      </w:r>
      <w:r w:rsidR="004A019A" w:rsidRPr="00527BA7">
        <w:t>in the ASOC</w:t>
      </w:r>
      <w:r w:rsidR="00ED7B3F">
        <w:t>,</w:t>
      </w:r>
      <w:r w:rsidR="004A019A" w:rsidRPr="00527BA7">
        <w:t xml:space="preserve"> </w:t>
      </w:r>
      <w:r w:rsidR="00DD3871" w:rsidRPr="00527BA7">
        <w:t xml:space="preserve">is that NQCranes and </w:t>
      </w:r>
      <w:r w:rsidR="00831933" w:rsidRPr="00527BA7">
        <w:t>MHE-</w:t>
      </w:r>
      <w:r w:rsidR="00DD3871" w:rsidRPr="00527BA7">
        <w:t xml:space="preserve">Demag were not to </w:t>
      </w:r>
      <w:r w:rsidRPr="00527BA7">
        <w:t xml:space="preserve">target each other’s customers </w:t>
      </w:r>
      <w:r w:rsidR="00DD3871" w:rsidRPr="00527BA7">
        <w:t xml:space="preserve">in respect of the servicing of overhead cranes, </w:t>
      </w:r>
      <w:r w:rsidRPr="00527BA7">
        <w:t>in the Brisbane and Newcastle area. It is separate from the Co-</w:t>
      </w:r>
      <w:r w:rsidR="00831933" w:rsidRPr="00527BA7">
        <w:t>O</w:t>
      </w:r>
      <w:r w:rsidRPr="00527BA7">
        <w:t>rdinated Approach Provision.</w:t>
      </w:r>
      <w:r w:rsidR="004A019A" w:rsidRPr="00527BA7">
        <w:t xml:space="preserve"> </w:t>
      </w:r>
    </w:p>
    <w:p w14:paraId="0FD6A2E1" w14:textId="77777777" w:rsidR="004A019A" w:rsidRPr="00D85E66" w:rsidRDefault="00DA73BA" w:rsidP="00527BA7">
      <w:pPr>
        <w:pStyle w:val="ParaNumbering"/>
      </w:pPr>
      <w:r w:rsidRPr="00BA639F">
        <w:t xml:space="preserve">The ACCC identify </w:t>
      </w:r>
      <w:r w:rsidR="00DD3871" w:rsidRPr="00BA639F">
        <w:t xml:space="preserve">what it alleges are </w:t>
      </w:r>
      <w:r w:rsidRPr="00BA639F">
        <w:t>two differences in the arrangements</w:t>
      </w:r>
      <w:r w:rsidR="00DD3871" w:rsidRPr="00D85E66">
        <w:t>, as pleaded</w:t>
      </w:r>
      <w:r w:rsidRPr="00D85E66">
        <w:t xml:space="preserve">: </w:t>
      </w:r>
      <w:r w:rsidRPr="00D85E66">
        <w:rPr>
          <w:i/>
        </w:rPr>
        <w:t>first</w:t>
      </w:r>
      <w:r w:rsidRPr="00266572">
        <w:t>, the timing</w:t>
      </w:r>
      <w:r w:rsidR="00A12CD9" w:rsidRPr="00BA639F">
        <w:t>,</w:t>
      </w:r>
      <w:r w:rsidRPr="00BA639F">
        <w:t xml:space="preserve"> with the Non-Targeting Arrangement existing no later than 17 August 2016, whereas the Co-</w:t>
      </w:r>
      <w:r w:rsidR="00A41D15" w:rsidRPr="00BA639F">
        <w:t>O</w:t>
      </w:r>
      <w:r w:rsidRPr="00BA639F">
        <w:t xml:space="preserve">rdinated Approach Provision was from 26 August 2016, some 10 days later; and </w:t>
      </w:r>
      <w:r w:rsidRPr="00BA639F">
        <w:rPr>
          <w:i/>
        </w:rPr>
        <w:t>second</w:t>
      </w:r>
      <w:r w:rsidRPr="00BA639F">
        <w:t>, the geographic reach of the provisions, with the Non-Targeting Arrangement relating to the Brisbane and Newcastle areas, and the Co-</w:t>
      </w:r>
      <w:r w:rsidR="00A41D15" w:rsidRPr="00BA639F">
        <w:t>O</w:t>
      </w:r>
      <w:r w:rsidRPr="00BA639F">
        <w:t xml:space="preserve">rdinated Approach Provision </w:t>
      </w:r>
      <w:r w:rsidR="002A0D1D" w:rsidRPr="00BA639F">
        <w:t xml:space="preserve">relating to the area of </w:t>
      </w:r>
      <w:r w:rsidRPr="00BA639F">
        <w:t xml:space="preserve">Queensland south of Gladstone and Newcastle, a much broader area. </w:t>
      </w:r>
      <w:r w:rsidR="00C02119" w:rsidRPr="00BA639F">
        <w:t>Pausing there, I note that Brisbane is south of Gladstone.</w:t>
      </w:r>
      <w:r w:rsidR="005D5484" w:rsidRPr="00BA639F">
        <w:t xml:space="preserve"> The ACCC also submitted that this arrangement was given effect to before the </w:t>
      </w:r>
      <w:r w:rsidR="005D5484" w:rsidRPr="00EB23FB">
        <w:t>Co</w:t>
      </w:r>
      <w:r w:rsidR="005D5484" w:rsidRPr="00BA639F">
        <w:t>-</w:t>
      </w:r>
      <w:r w:rsidR="00A41D15" w:rsidRPr="00BA639F">
        <w:t>O</w:t>
      </w:r>
      <w:r w:rsidR="005D5484" w:rsidRPr="00D85E66">
        <w:t xml:space="preserve">rdinated Approach Provision. </w:t>
      </w:r>
    </w:p>
    <w:p w14:paraId="383355ED" w14:textId="77777777" w:rsidR="00C02119" w:rsidRPr="009D34D5" w:rsidRDefault="008B0ABC" w:rsidP="00C129F4">
      <w:pPr>
        <w:pStyle w:val="ParaNumbering"/>
      </w:pPr>
      <w:r>
        <w:rPr>
          <w:szCs w:val="24"/>
        </w:rPr>
        <w:t>I</w:t>
      </w:r>
      <w:r w:rsidRPr="00414A2E">
        <w:t>n that context, I turn to the issues raised.</w:t>
      </w:r>
    </w:p>
    <w:p w14:paraId="247423D1" w14:textId="77777777" w:rsidR="003A5A72" w:rsidRPr="009D34D5" w:rsidRDefault="0060207A" w:rsidP="00C129F4">
      <w:pPr>
        <w:pStyle w:val="ParaNumbering"/>
      </w:pPr>
      <w:r>
        <w:t>NQCranes</w:t>
      </w:r>
      <w:r w:rsidR="003A5A72" w:rsidRPr="00414A2E">
        <w:t xml:space="preserve"> seeks to strike out both the make and give effect pleadings</w:t>
      </w:r>
      <w:r w:rsidR="00414A2E">
        <w:t xml:space="preserve"> in relation to the Non-Targeting Arrangement</w:t>
      </w:r>
      <w:r w:rsidR="002C18A5" w:rsidRPr="00414A2E">
        <w:t>, and I will address each separately</w:t>
      </w:r>
      <w:r w:rsidR="003A5A72" w:rsidRPr="00414A2E">
        <w:t>.</w:t>
      </w:r>
    </w:p>
    <w:p w14:paraId="168EBDAE" w14:textId="77777777" w:rsidR="002C18A5" w:rsidRPr="00BA639F" w:rsidRDefault="002C18A5" w:rsidP="002C18A5">
      <w:pPr>
        <w:pStyle w:val="ParaNumbering"/>
      </w:pPr>
      <w:bookmarkStart w:id="34" w:name="_Ref83900171"/>
      <w:r w:rsidRPr="00BA639F">
        <w:t>Before doing so</w:t>
      </w:r>
      <w:r w:rsidR="0060207A" w:rsidRPr="00BA639F">
        <w:t>,</w:t>
      </w:r>
      <w:r w:rsidRPr="00D85E66">
        <w:t xml:space="preserve"> it is appropriate to refer to NQCranes</w:t>
      </w:r>
      <w:r w:rsidR="0060207A" w:rsidRPr="00D85E66">
        <w:t>’</w:t>
      </w:r>
      <w:r w:rsidRPr="00D85E66">
        <w:t xml:space="preserve"> submission</w:t>
      </w:r>
      <w:r w:rsidRPr="00266572">
        <w:t xml:space="preserve"> that the Non-</w:t>
      </w:r>
      <w:r w:rsidR="0060207A" w:rsidRPr="00266572">
        <w:t>T</w:t>
      </w:r>
      <w:r w:rsidRPr="00266572">
        <w:t>argeting Arrangement pleading is</w:t>
      </w:r>
      <w:r w:rsidR="0060207A" w:rsidRPr="00BA639F">
        <w:t xml:space="preserve"> </w:t>
      </w:r>
      <w:r w:rsidRPr="00BA639F">
        <w:t>as a result of the ACCC being aware of its reliance on the anti-overlap provisions, that this is an at</w:t>
      </w:r>
      <w:r w:rsidR="00D0380C" w:rsidRPr="00BA639F">
        <w:t>tempt to circumvent that, and the pleading</w:t>
      </w:r>
      <w:r w:rsidRPr="00BA639F">
        <w:t xml:space="preserve"> is </w:t>
      </w:r>
      <w:r w:rsidR="00414A2E" w:rsidRPr="00BA639F">
        <w:t xml:space="preserve">therefore </w:t>
      </w:r>
      <w:r w:rsidRPr="00BA639F">
        <w:t xml:space="preserve">an abuse of process. </w:t>
      </w:r>
      <w:r w:rsidR="00D0380C" w:rsidRPr="00BA639F">
        <w:t xml:space="preserve">The submission by NQCranes appeared to proceed on the basis that it is correct when it contends the defence applies. </w:t>
      </w:r>
      <w:r w:rsidRPr="00BA639F">
        <w:t xml:space="preserve">Although the anti-overlap provisions in s </w:t>
      </w:r>
      <w:r w:rsidR="007D0775" w:rsidRPr="00BA639F">
        <w:t>45AR</w:t>
      </w:r>
      <w:r w:rsidR="001132E5" w:rsidRPr="00BA639F">
        <w:t>(1)</w:t>
      </w:r>
      <w:r w:rsidR="007D0775" w:rsidRPr="00BA639F">
        <w:t xml:space="preserve"> </w:t>
      </w:r>
      <w:r w:rsidR="00D0380C" w:rsidRPr="00BA639F">
        <w:t>have been</w:t>
      </w:r>
      <w:r w:rsidRPr="00BA639F">
        <w:t xml:space="preserve"> raised by NQCranes</w:t>
      </w:r>
      <w:r w:rsidR="00D0380C" w:rsidRPr="00BA639F">
        <w:t xml:space="preserve"> (including at the first case management hearing of this matter)</w:t>
      </w:r>
      <w:r w:rsidRPr="00BA639F">
        <w:t xml:space="preserve">, no defence has yet been filed, and as such it has not yet been pleaded as relied upon. </w:t>
      </w:r>
      <w:r w:rsidR="008034FB" w:rsidRPr="00BA639F">
        <w:t xml:space="preserve">The pleadings are not yet closed. </w:t>
      </w:r>
      <w:r w:rsidRPr="00EB23FB">
        <w:t>There</w:t>
      </w:r>
      <w:r w:rsidR="00595182" w:rsidRPr="00EB23FB">
        <w:t>fore</w:t>
      </w:r>
      <w:r w:rsidR="00890CCF" w:rsidRPr="00EB23FB">
        <w:t>,</w:t>
      </w:r>
      <w:r w:rsidR="00595182" w:rsidRPr="00EB23FB">
        <w:t xml:space="preserve"> there</w:t>
      </w:r>
      <w:r w:rsidRPr="00EB23FB">
        <w:t xml:space="preserve"> is no</w:t>
      </w:r>
      <w:r w:rsidRPr="00BA639F">
        <w:t xml:space="preserve"> evidence in </w:t>
      </w:r>
      <w:r w:rsidRPr="00EB23FB">
        <w:t>re</w:t>
      </w:r>
      <w:r w:rsidR="00595182" w:rsidRPr="00EB23FB">
        <w:t xml:space="preserve">lation to </w:t>
      </w:r>
      <w:r w:rsidRPr="00EB23FB">
        <w:t>matters</w:t>
      </w:r>
      <w:r w:rsidRPr="00BA639F">
        <w:t xml:space="preserve"> relevant to that</w:t>
      </w:r>
      <w:r w:rsidR="007D0775" w:rsidRPr="00BA639F">
        <w:t xml:space="preserve"> defence</w:t>
      </w:r>
      <w:r w:rsidR="002F1DE4" w:rsidRPr="00D85E66">
        <w:t>.</w:t>
      </w:r>
      <w:r w:rsidR="009D34D5" w:rsidRPr="00D85E66">
        <w:t xml:space="preserve"> </w:t>
      </w:r>
      <w:r w:rsidRPr="00D85E66">
        <w:t>This application is not the occasion to consider i</w:t>
      </w:r>
      <w:r w:rsidRPr="00266572">
        <w:t>ts application to these proceedings. The legal principles relevant to this application, and what NQCranes is required to establish to have</w:t>
      </w:r>
      <w:r w:rsidR="00290B19" w:rsidRPr="00266572">
        <w:t xml:space="preserve"> the</w:t>
      </w:r>
      <w:r w:rsidRPr="00266572">
        <w:t xml:space="preserve"> impugned pleadings struck out</w:t>
      </w:r>
      <w:r w:rsidR="009D34D5" w:rsidRPr="00BA639F">
        <w:t>,</w:t>
      </w:r>
      <w:r w:rsidRPr="00BA639F">
        <w:t xml:space="preserve"> </w:t>
      </w:r>
      <w:r w:rsidR="009D34D5" w:rsidRPr="00BA639F">
        <w:t xml:space="preserve">are </w:t>
      </w:r>
      <w:r w:rsidRPr="00BA639F">
        <w:t xml:space="preserve">summarised above. </w:t>
      </w:r>
      <w:r w:rsidR="0041558A" w:rsidRPr="00BA639F">
        <w:t>They are not in dispute. It was not suggested by NQCranes that a party is not entitled to revisit its pleading in light of information it receives from the opposing party. T</w:t>
      </w:r>
      <w:r w:rsidR="002F1DE4" w:rsidRPr="00BA639F">
        <w:t>he issue is whether the ASOC is</w:t>
      </w:r>
      <w:r w:rsidR="0041558A" w:rsidRPr="00BA639F">
        <w:t xml:space="preserve"> deficient in the manner contended. </w:t>
      </w:r>
      <w:r w:rsidR="002F1DE4" w:rsidRPr="00BA639F">
        <w:t xml:space="preserve">If it is </w:t>
      </w:r>
      <w:r w:rsidR="008034FB" w:rsidRPr="00BA639F">
        <w:t>not</w:t>
      </w:r>
      <w:r w:rsidR="002F1DE4" w:rsidRPr="00BA639F">
        <w:t xml:space="preserve"> (or not </w:t>
      </w:r>
      <w:r w:rsidR="00C47832" w:rsidRPr="00BA639F">
        <w:t xml:space="preserve">to the extent </w:t>
      </w:r>
      <w:r w:rsidR="002F1DE4" w:rsidRPr="00BA639F">
        <w:t>that would result in a strike out)</w:t>
      </w:r>
      <w:r w:rsidR="008034FB" w:rsidRPr="00BA639F">
        <w:t xml:space="preserve">, the purported </w:t>
      </w:r>
      <w:r w:rsidR="008034FB" w:rsidRPr="00BA639F">
        <w:lastRenderedPageBreak/>
        <w:t>motivation for t</w:t>
      </w:r>
      <w:r w:rsidR="00D5692F" w:rsidRPr="00BA639F">
        <w:t xml:space="preserve">he </w:t>
      </w:r>
      <w:r w:rsidR="00D5692F" w:rsidRPr="005B0231">
        <w:t xml:space="preserve">pleading </w:t>
      </w:r>
      <w:r w:rsidR="00595182" w:rsidRPr="005B0231">
        <w:t>in this case</w:t>
      </w:r>
      <w:r w:rsidR="00595182" w:rsidRPr="00BA639F">
        <w:t xml:space="preserve"> </w:t>
      </w:r>
      <w:r w:rsidR="00D5692F" w:rsidRPr="00BA639F">
        <w:t>does not convert this</w:t>
      </w:r>
      <w:r w:rsidR="008034FB" w:rsidRPr="00D85E66">
        <w:t xml:space="preserve"> pleading into an abuse of process. </w:t>
      </w:r>
      <w:r w:rsidR="00595182" w:rsidRPr="005B0231">
        <w:t>NQCranes ultimately did not submit otherwise</w:t>
      </w:r>
      <w:r w:rsidR="00595182" w:rsidRPr="00BA639F">
        <w:t xml:space="preserve">. </w:t>
      </w:r>
      <w:r w:rsidR="00D0380C" w:rsidRPr="00BA639F">
        <w:t xml:space="preserve">That is, </w:t>
      </w:r>
      <w:r w:rsidR="00975C17" w:rsidRPr="00D85E66">
        <w:t xml:space="preserve">even </w:t>
      </w:r>
      <w:r w:rsidR="00D0380C" w:rsidRPr="00D85E66">
        <w:t xml:space="preserve">if </w:t>
      </w:r>
      <w:r w:rsidR="00CF507C" w:rsidRPr="00D85E66">
        <w:t>the amendments may have arisen as a result of the ACCC hav</w:t>
      </w:r>
      <w:r w:rsidR="00DA2983" w:rsidRPr="00266572">
        <w:t>ing</w:t>
      </w:r>
      <w:r w:rsidR="00CF507C" w:rsidRPr="00266572">
        <w:t xml:space="preserve"> reconsidered its pleading (and evidence) after NQCranes flagged the anti-overlap defence </w:t>
      </w:r>
      <w:r w:rsidR="00DA2983" w:rsidRPr="00266572">
        <w:t xml:space="preserve">that </w:t>
      </w:r>
      <w:r w:rsidR="00CF507C" w:rsidRPr="00F53AAB">
        <w:t xml:space="preserve">does </w:t>
      </w:r>
      <w:r w:rsidR="00CF507C" w:rsidRPr="005B0231">
        <w:t>not</w:t>
      </w:r>
      <w:r w:rsidR="00595182" w:rsidRPr="005B0231">
        <w:t>, by itself,</w:t>
      </w:r>
      <w:r w:rsidR="00CF507C" w:rsidRPr="005B0231">
        <w:t xml:space="preserve"> gi</w:t>
      </w:r>
      <w:r w:rsidR="00CF507C" w:rsidRPr="00BA639F">
        <w:t xml:space="preserve">ve rise to the pleading being an abuse of process. </w:t>
      </w:r>
      <w:r w:rsidR="0041558A" w:rsidRPr="00BA639F">
        <w:t>NQ</w:t>
      </w:r>
      <w:r w:rsidR="002F1DE4" w:rsidRPr="00D85E66">
        <w:t xml:space="preserve">Cranes accepted during the </w:t>
      </w:r>
      <w:r w:rsidR="0041558A" w:rsidRPr="00D85E66">
        <w:t xml:space="preserve">hearing that if </w:t>
      </w:r>
      <w:r w:rsidR="00CF507C" w:rsidRPr="00266572">
        <w:t>the pleadings</w:t>
      </w:r>
      <w:r w:rsidR="0041558A" w:rsidRPr="00266572">
        <w:t xml:space="preserve"> were not</w:t>
      </w:r>
      <w:r w:rsidR="002F1DE4" w:rsidRPr="00F53AAB">
        <w:t xml:space="preserve"> </w:t>
      </w:r>
      <w:r w:rsidR="00975C17" w:rsidRPr="00E6753D">
        <w:t>deficient in the manner contended</w:t>
      </w:r>
      <w:r w:rsidR="0041558A" w:rsidRPr="0016344A">
        <w:t xml:space="preserve">, then the </w:t>
      </w:r>
      <w:r w:rsidR="0041558A" w:rsidRPr="005B0231">
        <w:t xml:space="preserve">issue </w:t>
      </w:r>
      <w:r w:rsidR="00595182" w:rsidRPr="005B0231">
        <w:t xml:space="preserve">it raises as an </w:t>
      </w:r>
      <w:r w:rsidR="0041558A" w:rsidRPr="005B0231">
        <w:t>abuse</w:t>
      </w:r>
      <w:r w:rsidR="0041558A" w:rsidRPr="00BA639F">
        <w:t xml:space="preserve"> of process was only relevant to any issue of leave to replead. </w:t>
      </w:r>
      <w:bookmarkEnd w:id="34"/>
    </w:p>
    <w:p w14:paraId="7D0F6AE3" w14:textId="77777777" w:rsidR="003A5A72" w:rsidRPr="00745E29" w:rsidRDefault="00C47832" w:rsidP="00527BA7">
      <w:pPr>
        <w:pStyle w:val="Heading4"/>
        <w:rPr>
          <w:i w:val="0"/>
        </w:rPr>
      </w:pPr>
      <w:r>
        <w:t xml:space="preserve">Non-Targeting Arrangement – Make </w:t>
      </w:r>
    </w:p>
    <w:p w14:paraId="53848CE3" w14:textId="77777777" w:rsidR="003A5A72" w:rsidRDefault="003A5A72" w:rsidP="00C129F4">
      <w:pPr>
        <w:pStyle w:val="ParaNumbering"/>
        <w:rPr>
          <w:szCs w:val="24"/>
        </w:rPr>
      </w:pPr>
      <w:r>
        <w:rPr>
          <w:szCs w:val="24"/>
        </w:rPr>
        <w:t xml:space="preserve">This relates to </w:t>
      </w:r>
      <w:r w:rsidR="00622450">
        <w:rPr>
          <w:szCs w:val="24"/>
        </w:rPr>
        <w:t>[9]-[9E] of the ASOC and [1]</w:t>
      </w:r>
      <w:r w:rsidR="001B52C1">
        <w:rPr>
          <w:szCs w:val="24"/>
        </w:rPr>
        <w:t xml:space="preserve">-[1A] </w:t>
      </w:r>
      <w:r w:rsidR="00622450">
        <w:rPr>
          <w:szCs w:val="24"/>
        </w:rPr>
        <w:t xml:space="preserve">of the </w:t>
      </w:r>
      <w:r w:rsidR="00DF73D9">
        <w:rPr>
          <w:szCs w:val="24"/>
        </w:rPr>
        <w:t>A</w:t>
      </w:r>
      <w:r w:rsidR="00622450">
        <w:rPr>
          <w:szCs w:val="24"/>
        </w:rPr>
        <w:t xml:space="preserve">OA. </w:t>
      </w:r>
    </w:p>
    <w:p w14:paraId="1F1DB536" w14:textId="77777777" w:rsidR="00D17BF0" w:rsidRPr="00CF507C" w:rsidRDefault="00BB5FAF" w:rsidP="00D17BF0">
      <w:pPr>
        <w:pStyle w:val="ParaNumbering"/>
        <w:rPr>
          <w:szCs w:val="24"/>
        </w:rPr>
      </w:pPr>
      <w:r w:rsidRPr="00CF507C">
        <w:rPr>
          <w:szCs w:val="24"/>
        </w:rPr>
        <w:t>Although a number of complaints were made by NQCranes</w:t>
      </w:r>
      <w:r w:rsidR="00DD3871" w:rsidRPr="00CF507C">
        <w:rPr>
          <w:szCs w:val="24"/>
        </w:rPr>
        <w:t xml:space="preserve"> in this regard</w:t>
      </w:r>
      <w:r w:rsidRPr="00CF507C">
        <w:rPr>
          <w:szCs w:val="24"/>
        </w:rPr>
        <w:t xml:space="preserve">, </w:t>
      </w:r>
      <w:r w:rsidR="00C2222B" w:rsidRPr="00CF507C">
        <w:rPr>
          <w:szCs w:val="24"/>
        </w:rPr>
        <w:t xml:space="preserve">as noted above, </w:t>
      </w:r>
      <w:r w:rsidRPr="00CF507C">
        <w:rPr>
          <w:szCs w:val="24"/>
        </w:rPr>
        <w:t xml:space="preserve">two were highlighted as critical. </w:t>
      </w:r>
      <w:r w:rsidR="001878A6" w:rsidRPr="00CF507C">
        <w:rPr>
          <w:i/>
          <w:szCs w:val="24"/>
        </w:rPr>
        <w:t>First,</w:t>
      </w:r>
      <w:r w:rsidR="001878A6" w:rsidRPr="00CF507C">
        <w:rPr>
          <w:szCs w:val="24"/>
        </w:rPr>
        <w:t xml:space="preserve"> </w:t>
      </w:r>
      <w:r w:rsidR="00E820F8" w:rsidRPr="00CF507C">
        <w:rPr>
          <w:szCs w:val="24"/>
        </w:rPr>
        <w:t xml:space="preserve">NQCranes submitted </w:t>
      </w:r>
      <w:r w:rsidR="00D5692F" w:rsidRPr="00CF507C">
        <w:rPr>
          <w:szCs w:val="24"/>
        </w:rPr>
        <w:t xml:space="preserve">that </w:t>
      </w:r>
      <w:r w:rsidR="00E820F8" w:rsidRPr="00CF507C">
        <w:rPr>
          <w:szCs w:val="24"/>
        </w:rPr>
        <w:t xml:space="preserve">there was no meeting of the minds in respect to this </w:t>
      </w:r>
      <w:r w:rsidR="00DD3871" w:rsidRPr="00CF507C">
        <w:rPr>
          <w:szCs w:val="24"/>
        </w:rPr>
        <w:t>“</w:t>
      </w:r>
      <w:r w:rsidR="00E820F8" w:rsidRPr="00CF507C">
        <w:rPr>
          <w:szCs w:val="24"/>
        </w:rPr>
        <w:t>single</w:t>
      </w:r>
      <w:r w:rsidR="00DD3871" w:rsidRPr="00CF507C">
        <w:rPr>
          <w:szCs w:val="24"/>
        </w:rPr>
        <w:t>”</w:t>
      </w:r>
      <w:r w:rsidR="00E820F8" w:rsidRPr="00CF507C">
        <w:rPr>
          <w:szCs w:val="24"/>
        </w:rPr>
        <w:t xml:space="preserve"> provision. </w:t>
      </w:r>
      <w:r w:rsidR="001878A6" w:rsidRPr="00CF507C">
        <w:rPr>
          <w:i/>
          <w:szCs w:val="24"/>
        </w:rPr>
        <w:t>Second</w:t>
      </w:r>
      <w:r w:rsidR="001878A6" w:rsidRPr="00CF507C">
        <w:rPr>
          <w:szCs w:val="24"/>
        </w:rPr>
        <w:t>, the ACCC</w:t>
      </w:r>
      <w:r w:rsidR="00DF73D9" w:rsidRPr="00CF507C">
        <w:rPr>
          <w:szCs w:val="24"/>
        </w:rPr>
        <w:t>’s case</w:t>
      </w:r>
      <w:r w:rsidR="001878A6" w:rsidRPr="00CF507C">
        <w:rPr>
          <w:szCs w:val="24"/>
        </w:rPr>
        <w:t xml:space="preserve"> is now incoherent. Each will be addressed separately. </w:t>
      </w:r>
    </w:p>
    <w:p w14:paraId="51BD9CCD" w14:textId="77777777" w:rsidR="00CA0134" w:rsidRPr="00CF507C" w:rsidRDefault="002E1E6B" w:rsidP="00EA2E05">
      <w:pPr>
        <w:pStyle w:val="ParaNumbering"/>
        <w:rPr>
          <w:szCs w:val="24"/>
        </w:rPr>
      </w:pPr>
      <w:r w:rsidRPr="00CF507C">
        <w:rPr>
          <w:szCs w:val="24"/>
        </w:rPr>
        <w:t>Paragraph</w:t>
      </w:r>
      <w:r w:rsidR="00CA0134" w:rsidRPr="00CF507C">
        <w:rPr>
          <w:szCs w:val="24"/>
        </w:rPr>
        <w:t xml:space="preserve"> [9] of the ASOC</w:t>
      </w:r>
      <w:r w:rsidR="00B0123E" w:rsidRPr="00CF507C">
        <w:rPr>
          <w:szCs w:val="24"/>
        </w:rPr>
        <w:t xml:space="preserve">, </w:t>
      </w:r>
      <w:r w:rsidRPr="00CF507C">
        <w:rPr>
          <w:szCs w:val="24"/>
        </w:rPr>
        <w:t xml:space="preserve">which the respondent impugns in its submissions, </w:t>
      </w:r>
      <w:r w:rsidR="00B0123E" w:rsidRPr="00CF507C">
        <w:rPr>
          <w:szCs w:val="24"/>
        </w:rPr>
        <w:t xml:space="preserve">must </w:t>
      </w:r>
      <w:r w:rsidRPr="00CF507C">
        <w:rPr>
          <w:szCs w:val="24"/>
        </w:rPr>
        <w:t xml:space="preserve">be </w:t>
      </w:r>
      <w:r w:rsidR="00B0123E" w:rsidRPr="00CF507C">
        <w:rPr>
          <w:szCs w:val="24"/>
        </w:rPr>
        <w:t>consider</w:t>
      </w:r>
      <w:r w:rsidRPr="00CF507C">
        <w:rPr>
          <w:szCs w:val="24"/>
        </w:rPr>
        <w:t>ed</w:t>
      </w:r>
      <w:r w:rsidR="00B0123E" w:rsidRPr="00CF507C">
        <w:rPr>
          <w:szCs w:val="24"/>
        </w:rPr>
        <w:t xml:space="preserve"> in the context of the pleading as a whole.</w:t>
      </w:r>
      <w:r w:rsidR="00D17BF0" w:rsidRPr="00CF507C">
        <w:rPr>
          <w:szCs w:val="24"/>
        </w:rPr>
        <w:t xml:space="preserve"> </w:t>
      </w:r>
    </w:p>
    <w:p w14:paraId="7235498C" w14:textId="77777777" w:rsidR="00CA0134" w:rsidRPr="00CF507C" w:rsidRDefault="00B0123E" w:rsidP="00CA0134">
      <w:pPr>
        <w:pStyle w:val="ParaNumbering"/>
        <w:rPr>
          <w:szCs w:val="24"/>
        </w:rPr>
      </w:pPr>
      <w:r w:rsidRPr="00CF507C">
        <w:rPr>
          <w:szCs w:val="24"/>
        </w:rPr>
        <w:t xml:space="preserve">The paragraphs in the ASOC preceding [9] address the following. The </w:t>
      </w:r>
      <w:r w:rsidR="00CA0134" w:rsidRPr="00CF507C">
        <w:rPr>
          <w:szCs w:val="24"/>
        </w:rPr>
        <w:t xml:space="preserve">ASOC describes the parties at [3]. The relevant markets are identified in [4], with particulars. It is pleaded at [5] that </w:t>
      </w:r>
      <w:r w:rsidR="00CA0134" w:rsidRPr="00CF507C">
        <w:rPr>
          <w:w w:val="105"/>
        </w:rPr>
        <w:t>at all material times, NQC</w:t>
      </w:r>
      <w:r w:rsidR="00FA694C" w:rsidRPr="00CF507C">
        <w:rPr>
          <w:w w:val="105"/>
        </w:rPr>
        <w:t>ranes</w:t>
      </w:r>
      <w:r w:rsidR="00CA0134" w:rsidRPr="00CF507C">
        <w:rPr>
          <w:w w:val="105"/>
        </w:rPr>
        <w:t xml:space="preserve"> and </w:t>
      </w:r>
      <w:r w:rsidR="00FA694C" w:rsidRPr="00CF507C">
        <w:rPr>
          <w:w w:val="105"/>
        </w:rPr>
        <w:t>MHE-</w:t>
      </w:r>
      <w:r w:rsidR="00CA0134" w:rsidRPr="00CF507C">
        <w:rPr>
          <w:w w:val="105"/>
        </w:rPr>
        <w:t xml:space="preserve">Demag were participants in the Overhead </w:t>
      </w:r>
      <w:r w:rsidR="00CA0134" w:rsidRPr="00CF507C">
        <w:rPr>
          <w:w w:val="105"/>
          <w:u w:color="262826"/>
        </w:rPr>
        <w:t>Crane Servicing</w:t>
      </w:r>
      <w:r w:rsidR="00CA0134" w:rsidRPr="00CF507C">
        <w:rPr>
          <w:spacing w:val="-12"/>
          <w:w w:val="105"/>
          <w:u w:color="262826"/>
        </w:rPr>
        <w:t xml:space="preserve"> </w:t>
      </w:r>
      <w:r w:rsidR="00CA0134" w:rsidRPr="00CF507C">
        <w:rPr>
          <w:spacing w:val="-3"/>
          <w:w w:val="105"/>
          <w:u w:color="262826"/>
        </w:rPr>
        <w:t>Markets</w:t>
      </w:r>
      <w:r w:rsidR="00CA0134" w:rsidRPr="00CF507C">
        <w:rPr>
          <w:spacing w:val="-3"/>
          <w:w w:val="105"/>
        </w:rPr>
        <w:t xml:space="preserve">. At [6] it is pleaded that </w:t>
      </w:r>
      <w:r w:rsidR="00CA0134" w:rsidRPr="00CF507C">
        <w:rPr>
          <w:noProof/>
          <w:lang w:eastAsia="en-AU"/>
        </w:rPr>
        <mc:AlternateContent>
          <mc:Choice Requires="wps">
            <w:drawing>
              <wp:anchor distT="0" distB="0" distL="114300" distR="114300" simplePos="0" relativeHeight="251659264" behindDoc="0" locked="0" layoutInCell="1" allowOverlap="1" wp14:anchorId="2327017B" wp14:editId="2A708AC6">
                <wp:simplePos x="0" y="0"/>
                <wp:positionH relativeFrom="page">
                  <wp:posOffset>440055</wp:posOffset>
                </wp:positionH>
                <wp:positionV relativeFrom="page">
                  <wp:posOffset>9201150</wp:posOffset>
                </wp:positionV>
                <wp:extent cx="0" cy="0"/>
                <wp:effectExtent l="11430" t="571500" r="7620" b="5683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8DD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5pt,724.5pt" to="34.6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" strokeweight=".25461mm">
                <w10:wrap anchorx="page" anchory="page"/>
              </v:line>
            </w:pict>
          </mc:Fallback>
        </mc:AlternateContent>
      </w:r>
      <w:r w:rsidR="00CA0134" w:rsidRPr="00CF507C">
        <w:rPr>
          <w:noProof/>
          <w:lang w:eastAsia="en-AU"/>
        </w:rPr>
        <mc:AlternateContent>
          <mc:Choice Requires="wps">
            <w:drawing>
              <wp:anchor distT="0" distB="0" distL="114300" distR="114300" simplePos="0" relativeHeight="251660288" behindDoc="0" locked="0" layoutInCell="1" allowOverlap="1" wp14:anchorId="3A88A586" wp14:editId="2742C61F">
                <wp:simplePos x="0" y="0"/>
                <wp:positionH relativeFrom="page">
                  <wp:posOffset>467360</wp:posOffset>
                </wp:positionH>
                <wp:positionV relativeFrom="page">
                  <wp:posOffset>2885440</wp:posOffset>
                </wp:positionV>
                <wp:extent cx="0" cy="0"/>
                <wp:effectExtent l="10160" t="961390" r="8890" b="9626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7E3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227.2pt" to="36.8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" strokeweight=".25461mm">
                <w10:wrap anchorx="page" anchory="page"/>
              </v:line>
            </w:pict>
          </mc:Fallback>
        </mc:AlternateContent>
      </w:r>
      <w:r w:rsidR="00CA0134" w:rsidRPr="00CF507C">
        <w:rPr>
          <w:szCs w:val="24"/>
        </w:rPr>
        <w:t>a</w:t>
      </w:r>
      <w:r w:rsidR="00CA0134" w:rsidRPr="00CF507C">
        <w:rPr>
          <w:w w:val="105"/>
        </w:rPr>
        <w:t xml:space="preserve">t all material times, </w:t>
      </w:r>
      <w:r w:rsidR="00AF2D12" w:rsidRPr="00CF507C">
        <w:rPr>
          <w:w w:val="105"/>
        </w:rPr>
        <w:t xml:space="preserve">NQCranes </w:t>
      </w:r>
      <w:r w:rsidR="00CA0134" w:rsidRPr="00CF507C">
        <w:rPr>
          <w:w w:val="105"/>
        </w:rPr>
        <w:t xml:space="preserve">and </w:t>
      </w:r>
      <w:r w:rsidR="00AF2D12" w:rsidRPr="00CF507C">
        <w:rPr>
          <w:w w:val="105"/>
        </w:rPr>
        <w:t>MHE-</w:t>
      </w:r>
      <w:r w:rsidR="00CA0134" w:rsidRPr="00CF507C">
        <w:rPr>
          <w:w w:val="105"/>
        </w:rPr>
        <w:t xml:space="preserve">Demag were in competition with each other, or but for the </w:t>
      </w:r>
      <w:r w:rsidR="006C16BD" w:rsidRPr="00CF507C">
        <w:rPr>
          <w:w w:val="105"/>
          <w:u w:color="4690BF"/>
        </w:rPr>
        <w:t>arrangements</w:t>
      </w:r>
      <w:r w:rsidR="00CA0134" w:rsidRPr="00CF507C">
        <w:rPr>
          <w:w w:val="105"/>
        </w:rPr>
        <w:t xml:space="preserve"> would have been, or would have been likely to be, in competition with each othe</w:t>
      </w:r>
      <w:r w:rsidR="006C16BD" w:rsidRPr="00CF507C">
        <w:rPr>
          <w:w w:val="105"/>
        </w:rPr>
        <w:t>r, within the meaning of s</w:t>
      </w:r>
      <w:r w:rsidR="00CA0134" w:rsidRPr="00CF507C">
        <w:rPr>
          <w:w w:val="105"/>
        </w:rPr>
        <w:t xml:space="preserve"> 44ZZRD(4) of the </w:t>
      </w:r>
      <w:r w:rsidR="00AF2D12" w:rsidRPr="00CF507C">
        <w:rPr>
          <w:w w:val="105"/>
        </w:rPr>
        <w:t>CCA</w:t>
      </w:r>
      <w:r w:rsidR="00CA0134" w:rsidRPr="00CF507C">
        <w:rPr>
          <w:w w:val="105"/>
        </w:rPr>
        <w:t xml:space="preserve">, as in force prior to 6 November </w:t>
      </w:r>
      <w:r w:rsidR="00CA0134" w:rsidRPr="00CF507C">
        <w:rPr>
          <w:spacing w:val="-7"/>
          <w:w w:val="105"/>
        </w:rPr>
        <w:t xml:space="preserve">2017, </w:t>
      </w:r>
      <w:r w:rsidR="00CA0134" w:rsidRPr="00CF507C">
        <w:rPr>
          <w:w w:val="105"/>
        </w:rPr>
        <w:t xml:space="preserve">and </w:t>
      </w:r>
      <w:r w:rsidR="00AF2D12" w:rsidRPr="00CF507C">
        <w:rPr>
          <w:w w:val="105"/>
        </w:rPr>
        <w:t xml:space="preserve">s </w:t>
      </w:r>
      <w:r w:rsidR="00CA0134" w:rsidRPr="00CF507C">
        <w:rPr>
          <w:w w:val="105"/>
        </w:rPr>
        <w:t xml:space="preserve">45AD(4) of the </w:t>
      </w:r>
      <w:r w:rsidR="00AF2D12" w:rsidRPr="00CF507C">
        <w:rPr>
          <w:w w:val="105"/>
        </w:rPr>
        <w:t xml:space="preserve">CCA </w:t>
      </w:r>
      <w:r w:rsidR="00CA0134" w:rsidRPr="00CF507C">
        <w:rPr>
          <w:w w:val="105"/>
        </w:rPr>
        <w:t xml:space="preserve">since 6 November 2017, in the Overhead </w:t>
      </w:r>
      <w:r w:rsidR="00CA0134" w:rsidRPr="00CF507C">
        <w:rPr>
          <w:spacing w:val="-3"/>
          <w:w w:val="105"/>
          <w:u w:color="181A1A"/>
        </w:rPr>
        <w:t xml:space="preserve">Crane </w:t>
      </w:r>
      <w:r w:rsidR="00CA0134" w:rsidRPr="00CF507C">
        <w:rPr>
          <w:w w:val="105"/>
          <w:u w:color="181A1A"/>
        </w:rPr>
        <w:t>Servicing</w:t>
      </w:r>
      <w:r w:rsidR="00CA0134" w:rsidRPr="00CF507C">
        <w:rPr>
          <w:spacing w:val="37"/>
          <w:w w:val="105"/>
          <w:u w:color="181A1A"/>
        </w:rPr>
        <w:t xml:space="preserve"> </w:t>
      </w:r>
      <w:r w:rsidR="00CA0134" w:rsidRPr="00CF507C">
        <w:rPr>
          <w:spacing w:val="-5"/>
          <w:w w:val="105"/>
          <w:u w:color="181A1A"/>
        </w:rPr>
        <w:t>Markets</w:t>
      </w:r>
      <w:r w:rsidR="00CA0134" w:rsidRPr="00CF507C">
        <w:rPr>
          <w:spacing w:val="-5"/>
          <w:w w:val="105"/>
        </w:rPr>
        <w:t>.</w:t>
      </w:r>
      <w:r w:rsidR="006C16BD" w:rsidRPr="00CF507C">
        <w:rPr>
          <w:spacing w:val="-5"/>
          <w:w w:val="105"/>
        </w:rPr>
        <w:t xml:space="preserve"> </w:t>
      </w:r>
    </w:p>
    <w:p w14:paraId="01538157" w14:textId="77777777" w:rsidR="00F7329A" w:rsidRDefault="00CE1868" w:rsidP="00F7329A">
      <w:pPr>
        <w:pStyle w:val="ParaNumbering"/>
        <w:rPr>
          <w:szCs w:val="24"/>
        </w:rPr>
      </w:pPr>
      <w:r w:rsidRPr="00CF507C">
        <w:rPr>
          <w:szCs w:val="24"/>
        </w:rPr>
        <w:t>A</w:t>
      </w:r>
      <w:r w:rsidR="00F7329A" w:rsidRPr="00CF507C">
        <w:rPr>
          <w:szCs w:val="24"/>
        </w:rPr>
        <w:t xml:space="preserve">lthough </w:t>
      </w:r>
      <w:r w:rsidR="00F86911" w:rsidRPr="00CF507C">
        <w:rPr>
          <w:szCs w:val="24"/>
        </w:rPr>
        <w:t>NQCranes</w:t>
      </w:r>
      <w:r w:rsidR="00F7329A" w:rsidRPr="00CF507C">
        <w:rPr>
          <w:szCs w:val="24"/>
        </w:rPr>
        <w:t xml:space="preserve"> criticised</w:t>
      </w:r>
      <w:r w:rsidR="00F7329A">
        <w:rPr>
          <w:szCs w:val="24"/>
        </w:rPr>
        <w:t xml:space="preserve"> [7] and [8] o</w:t>
      </w:r>
      <w:r w:rsidR="00F86911">
        <w:rPr>
          <w:szCs w:val="24"/>
        </w:rPr>
        <w:t>f</w:t>
      </w:r>
      <w:r w:rsidR="00F7329A">
        <w:rPr>
          <w:szCs w:val="24"/>
        </w:rPr>
        <w:t xml:space="preserve"> the ASOC, </w:t>
      </w:r>
      <w:r w:rsidR="00AF2D12">
        <w:rPr>
          <w:szCs w:val="24"/>
        </w:rPr>
        <w:t>NQCranes does not seek to strike out those paragraphs</w:t>
      </w:r>
      <w:r w:rsidR="006C16BD">
        <w:rPr>
          <w:szCs w:val="24"/>
        </w:rPr>
        <w:t xml:space="preserve">. </w:t>
      </w:r>
      <w:r w:rsidR="00B0123E">
        <w:rPr>
          <w:szCs w:val="24"/>
        </w:rPr>
        <w:t>I</w:t>
      </w:r>
      <w:r w:rsidR="00F7329A">
        <w:rPr>
          <w:szCs w:val="24"/>
        </w:rPr>
        <w:t xml:space="preserve">t is appropriate to recite [7] and [8] because that is the </w:t>
      </w:r>
      <w:r w:rsidR="00B0123E">
        <w:rPr>
          <w:szCs w:val="24"/>
        </w:rPr>
        <w:t xml:space="preserve">immediate </w:t>
      </w:r>
      <w:r w:rsidR="00F7329A">
        <w:rPr>
          <w:szCs w:val="24"/>
        </w:rPr>
        <w:t xml:space="preserve">context in which [9] is pleaded. Paragraphs [7] and [8] are as follows: </w:t>
      </w:r>
    </w:p>
    <w:p w14:paraId="68C568EC" w14:textId="6D1F6B82" w:rsidR="00B41395" w:rsidRDefault="00812EF0" w:rsidP="006D34F4">
      <w:pPr>
        <w:pStyle w:val="Quote1"/>
      </w:pPr>
      <w:r>
        <w:rPr>
          <w:noProof/>
          <w:lang w:eastAsia="en-AU"/>
        </w:rPr>
        <w:lastRenderedPageBreak/>
        <w:drawing>
          <wp:inline distT="0" distB="0" distL="0" distR="0" wp14:anchorId="696C515C" wp14:editId="7A4D2475">
            <wp:extent cx="5639586" cy="694469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OC - [7]-[8].PNG"/>
                    <pic:cNvPicPr/>
                  </pic:nvPicPr>
                  <pic:blipFill>
                    <a:blip r:embed="rId14">
                      <a:extLst>
                        <a:ext uri="{28A0092B-C50C-407E-A947-70E740481C1C}">
                          <a14:useLocalDpi xmlns:a14="http://schemas.microsoft.com/office/drawing/2010/main" val="0"/>
                        </a:ext>
                      </a:extLst>
                    </a:blip>
                    <a:stretch>
                      <a:fillRect/>
                    </a:stretch>
                  </pic:blipFill>
                  <pic:spPr>
                    <a:xfrm>
                      <a:off x="0" y="0"/>
                      <a:ext cx="5639586" cy="6944694"/>
                    </a:xfrm>
                    <a:prstGeom prst="rect">
                      <a:avLst/>
                    </a:prstGeom>
                  </pic:spPr>
                </pic:pic>
              </a:graphicData>
            </a:graphic>
          </wp:inline>
        </w:drawing>
      </w:r>
    </w:p>
    <w:p w14:paraId="7857044A" w14:textId="77777777" w:rsidR="00B0123E" w:rsidRDefault="00813D39" w:rsidP="00E820F8">
      <w:pPr>
        <w:pStyle w:val="ParaNumbering"/>
        <w:rPr>
          <w:szCs w:val="24"/>
        </w:rPr>
      </w:pPr>
      <w:r w:rsidRPr="00CF507C">
        <w:rPr>
          <w:szCs w:val="24"/>
        </w:rPr>
        <w:t xml:space="preserve">It is accepted that the Non-Targeting Arrangement </w:t>
      </w:r>
      <w:r w:rsidR="0030009F" w:rsidRPr="00CF507C">
        <w:rPr>
          <w:szCs w:val="24"/>
        </w:rPr>
        <w:t>is said to</w:t>
      </w:r>
      <w:r w:rsidR="0030009F">
        <w:rPr>
          <w:szCs w:val="24"/>
        </w:rPr>
        <w:t xml:space="preserve"> have occurred during the negotiation process which resulted in the </w:t>
      </w:r>
      <w:r w:rsidR="005A790B" w:rsidRPr="005A790B">
        <w:t>Distributorship Agreement</w:t>
      </w:r>
      <w:r w:rsidR="0030009F">
        <w:rPr>
          <w:szCs w:val="24"/>
        </w:rPr>
        <w:t xml:space="preserve">. </w:t>
      </w:r>
    </w:p>
    <w:p w14:paraId="3D4C93ED" w14:textId="77777777" w:rsidR="00EA2E05" w:rsidRDefault="0030009F" w:rsidP="00E820F8">
      <w:pPr>
        <w:pStyle w:val="ParaNumbering"/>
        <w:rPr>
          <w:szCs w:val="24"/>
        </w:rPr>
      </w:pPr>
      <w:bookmarkStart w:id="35" w:name="_Ref85116964"/>
      <w:r>
        <w:rPr>
          <w:szCs w:val="24"/>
        </w:rPr>
        <w:t>In that context [9] is in the following terms:</w:t>
      </w:r>
      <w:bookmarkEnd w:id="35"/>
    </w:p>
    <w:p w14:paraId="3DD3CD7B" w14:textId="7108E101" w:rsidR="00812EF0" w:rsidRPr="008D5530" w:rsidRDefault="00812EF0" w:rsidP="00812EF0">
      <w:pPr>
        <w:pStyle w:val="Quote1"/>
        <w:ind w:left="1440" w:hanging="703"/>
      </w:pPr>
    </w:p>
    <w:p w14:paraId="76B3AD35" w14:textId="0FBBE89F" w:rsidR="008D5530" w:rsidRPr="008D5530" w:rsidRDefault="00114235" w:rsidP="006D34F4">
      <w:pPr>
        <w:pStyle w:val="Quote1"/>
      </w:pPr>
      <w:r>
        <w:rPr>
          <w:noProof/>
          <w:lang w:eastAsia="en-AU"/>
        </w:rPr>
        <w:lastRenderedPageBreak/>
        <w:drawing>
          <wp:inline distT="0" distB="0" distL="0" distR="0" wp14:anchorId="36D7DE4D" wp14:editId="544E8E0B">
            <wp:extent cx="5172075" cy="776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72075" cy="7762875"/>
                    </a:xfrm>
                    <a:prstGeom prst="rect">
                      <a:avLst/>
                    </a:prstGeom>
                  </pic:spPr>
                </pic:pic>
              </a:graphicData>
            </a:graphic>
          </wp:inline>
        </w:drawing>
      </w:r>
    </w:p>
    <w:p w14:paraId="17FC15AB" w14:textId="37848B94" w:rsidR="00114235" w:rsidRDefault="00114235" w:rsidP="006D34F4">
      <w:pPr>
        <w:pStyle w:val="Quote1"/>
        <w:rPr>
          <w:szCs w:val="24"/>
        </w:rPr>
      </w:pPr>
      <w:r>
        <w:rPr>
          <w:noProof/>
          <w:lang w:eastAsia="en-AU"/>
        </w:rPr>
        <w:lastRenderedPageBreak/>
        <w:drawing>
          <wp:inline distT="0" distB="0" distL="0" distR="0" wp14:anchorId="72EB73CB" wp14:editId="7012933E">
            <wp:extent cx="5057775" cy="5572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57775" cy="5572125"/>
                    </a:xfrm>
                    <a:prstGeom prst="rect">
                      <a:avLst/>
                    </a:prstGeom>
                  </pic:spPr>
                </pic:pic>
              </a:graphicData>
            </a:graphic>
          </wp:inline>
        </w:drawing>
      </w:r>
    </w:p>
    <w:p w14:paraId="4362CE74" w14:textId="471E0628" w:rsidR="00114235" w:rsidRDefault="00E16863" w:rsidP="006D34F4">
      <w:pPr>
        <w:pStyle w:val="Quote1"/>
        <w:rPr>
          <w:szCs w:val="24"/>
        </w:rPr>
      </w:pPr>
      <w:r>
        <w:rPr>
          <w:noProof/>
          <w:lang w:eastAsia="en-AU"/>
        </w:rPr>
        <w:drawing>
          <wp:inline distT="0" distB="0" distL="0" distR="0" wp14:anchorId="65DF0CF6" wp14:editId="759EA1E0">
            <wp:extent cx="5076825" cy="2647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076825" cy="2647950"/>
                    </a:xfrm>
                    <a:prstGeom prst="rect">
                      <a:avLst/>
                    </a:prstGeom>
                  </pic:spPr>
                </pic:pic>
              </a:graphicData>
            </a:graphic>
          </wp:inline>
        </w:drawing>
      </w:r>
    </w:p>
    <w:p w14:paraId="6DC11C00" w14:textId="406B38D5" w:rsidR="00E16863" w:rsidRDefault="00E16863" w:rsidP="006D34F4">
      <w:pPr>
        <w:pStyle w:val="Quote1"/>
        <w:rPr>
          <w:szCs w:val="24"/>
        </w:rPr>
      </w:pPr>
      <w:r>
        <w:rPr>
          <w:noProof/>
          <w:lang w:eastAsia="en-AU"/>
        </w:rPr>
        <w:lastRenderedPageBreak/>
        <w:drawing>
          <wp:inline distT="0" distB="0" distL="0" distR="0" wp14:anchorId="6C702D53" wp14:editId="6F9017F0">
            <wp:extent cx="5057775" cy="2762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57775" cy="2762250"/>
                    </a:xfrm>
                    <a:prstGeom prst="rect">
                      <a:avLst/>
                    </a:prstGeom>
                  </pic:spPr>
                </pic:pic>
              </a:graphicData>
            </a:graphic>
          </wp:inline>
        </w:drawing>
      </w:r>
    </w:p>
    <w:p w14:paraId="6608C3DC" w14:textId="1C406721" w:rsidR="00D17BF0" w:rsidRPr="00AA2F58" w:rsidRDefault="00D17BF0" w:rsidP="00D17BF0">
      <w:pPr>
        <w:pStyle w:val="ParaNumbering"/>
        <w:rPr>
          <w:szCs w:val="24"/>
        </w:rPr>
      </w:pPr>
      <w:r>
        <w:rPr>
          <w:szCs w:val="24"/>
        </w:rPr>
        <w:t>Before di</w:t>
      </w:r>
      <w:r w:rsidRPr="00AA2F58">
        <w:rPr>
          <w:szCs w:val="24"/>
        </w:rPr>
        <w:t xml:space="preserve">rectly addressing the submission as to the first basis, the meeting of the minds, </w:t>
      </w:r>
      <w:r w:rsidR="009E2B96" w:rsidRPr="00AA2F58">
        <w:t>it is appropriate to make two</w:t>
      </w:r>
      <w:r w:rsidRPr="00AA2F58">
        <w:t xml:space="preserve"> preliminary observations.</w:t>
      </w:r>
    </w:p>
    <w:p w14:paraId="794EC7A1" w14:textId="236C8B3A" w:rsidR="00B37F5A" w:rsidRPr="00AA2F58" w:rsidRDefault="00B37F5A" w:rsidP="009E2B96">
      <w:pPr>
        <w:pStyle w:val="ParaNumbering"/>
      </w:pPr>
      <w:r w:rsidRPr="00AA2F58">
        <w:rPr>
          <w:i/>
        </w:rPr>
        <w:t>First</w:t>
      </w:r>
      <w:r w:rsidRPr="00AA2F58">
        <w:t>, the ACCC’s sub</w:t>
      </w:r>
      <w:r w:rsidR="00F81EE6" w:rsidRPr="00AA2F58">
        <w:t xml:space="preserve">mission </w:t>
      </w:r>
      <w:r w:rsidRPr="00AA2F58">
        <w:t>that during a negotiation</w:t>
      </w:r>
      <w:r w:rsidR="009E2B96" w:rsidRPr="00AA2F58">
        <w:t>,</w:t>
      </w:r>
      <w:r w:rsidRPr="00AA2F58">
        <w:t xml:space="preserve"> parties might reach an understanding about an aspect(s) and put that into effect as a separate arrangement to that ultimately negotiated, can be accepted for present purposes. </w:t>
      </w:r>
      <w:r w:rsidR="00F81EE6" w:rsidRPr="00AA2F58">
        <w:t xml:space="preserve">To put it another way, there is no reason as a matter of law why that could not occur. </w:t>
      </w:r>
    </w:p>
    <w:p w14:paraId="5E4D5D3A" w14:textId="101C950F" w:rsidR="00D17BF0" w:rsidRDefault="00D17BF0" w:rsidP="00D17BF0">
      <w:pPr>
        <w:pStyle w:val="ParaNumbering"/>
        <w:rPr>
          <w:szCs w:val="24"/>
        </w:rPr>
      </w:pPr>
      <w:r w:rsidRPr="00AA2F58">
        <w:rPr>
          <w:i/>
          <w:szCs w:val="24"/>
        </w:rPr>
        <w:t>Second</w:t>
      </w:r>
      <w:r w:rsidRPr="00AA2F58">
        <w:rPr>
          <w:szCs w:val="24"/>
        </w:rPr>
        <w:t>, it can also be accepted, as contended by the ACCC, that whether an understanding or arrangement is reached can be established by circumstantial evidence, the strength coming from the inference drawn from the combination of considerations: se</w:t>
      </w:r>
      <w:r>
        <w:rPr>
          <w:szCs w:val="24"/>
        </w:rPr>
        <w:t xml:space="preserve">e for example </w:t>
      </w:r>
      <w:r w:rsidRPr="00527BA7">
        <w:rPr>
          <w:i/>
          <w:szCs w:val="24"/>
        </w:rPr>
        <w:t>ACCC v Air New Zealand</w:t>
      </w:r>
      <w:r>
        <w:rPr>
          <w:szCs w:val="24"/>
        </w:rPr>
        <w:t xml:space="preserve"> at [464] and </w:t>
      </w:r>
      <w:r w:rsidRPr="00813AA1">
        <w:rPr>
          <w:i/>
          <w:szCs w:val="24"/>
        </w:rPr>
        <w:t xml:space="preserve">Australian Competition and Consumer Commission v Colgate Palm-Olive Pty Ltd (No 4) </w:t>
      </w:r>
      <w:r w:rsidRPr="00813AA1">
        <w:rPr>
          <w:szCs w:val="24"/>
        </w:rPr>
        <w:t>[2017] FCA 1590</w:t>
      </w:r>
      <w:r w:rsidR="000827CE" w:rsidRPr="00813AA1">
        <w:rPr>
          <w:szCs w:val="24"/>
        </w:rPr>
        <w:t>; (2017) 353 ALR 460</w:t>
      </w:r>
      <w:r>
        <w:rPr>
          <w:szCs w:val="24"/>
        </w:rPr>
        <w:t xml:space="preserve"> at [428]</w:t>
      </w:r>
      <w:r w:rsidR="008C1AE0">
        <w:rPr>
          <w:szCs w:val="24"/>
        </w:rPr>
        <w:t>-[429]</w:t>
      </w:r>
      <w:r>
        <w:rPr>
          <w:szCs w:val="24"/>
        </w:rPr>
        <w:t xml:space="preserve">. </w:t>
      </w:r>
    </w:p>
    <w:p w14:paraId="58FE7015" w14:textId="421A3D81" w:rsidR="006C4D5F" w:rsidRPr="000C2D4F" w:rsidRDefault="00D17BF0" w:rsidP="000F7171">
      <w:pPr>
        <w:pStyle w:val="ParaNumbering"/>
      </w:pPr>
      <w:r w:rsidRPr="000C2D4F">
        <w:rPr>
          <w:szCs w:val="24"/>
        </w:rPr>
        <w:t xml:space="preserve">Turning to </w:t>
      </w:r>
      <w:r w:rsidR="006C4D5F" w:rsidRPr="000C2D4F">
        <w:rPr>
          <w:szCs w:val="24"/>
        </w:rPr>
        <w:t>NQCranes</w:t>
      </w:r>
      <w:r w:rsidR="00FC30FB" w:rsidRPr="000C2D4F">
        <w:rPr>
          <w:szCs w:val="24"/>
        </w:rPr>
        <w:t>’</w:t>
      </w:r>
      <w:r w:rsidR="006C4D5F" w:rsidRPr="000C2D4F">
        <w:rPr>
          <w:szCs w:val="24"/>
        </w:rPr>
        <w:t xml:space="preserve"> </w:t>
      </w:r>
      <w:r w:rsidRPr="000C2D4F">
        <w:rPr>
          <w:szCs w:val="24"/>
        </w:rPr>
        <w:t xml:space="preserve">submission as to the first basis. NQCranes </w:t>
      </w:r>
      <w:r w:rsidR="006C4D5F" w:rsidRPr="000C2D4F">
        <w:rPr>
          <w:szCs w:val="24"/>
        </w:rPr>
        <w:t>contended</w:t>
      </w:r>
      <w:r w:rsidR="00CE1868" w:rsidRPr="000C2D4F">
        <w:rPr>
          <w:szCs w:val="24"/>
        </w:rPr>
        <w:t xml:space="preserve"> that the pleading in [9] is conclusory, citing </w:t>
      </w:r>
      <w:r w:rsidR="00CE1868" w:rsidRPr="000C2D4F">
        <w:rPr>
          <w:i/>
          <w:szCs w:val="24"/>
        </w:rPr>
        <w:t xml:space="preserve">Trade Practices Commission v David Jones (Australia) Pty Ltd </w:t>
      </w:r>
      <w:r w:rsidR="00CE1868" w:rsidRPr="000C2D4F">
        <w:rPr>
          <w:szCs w:val="24"/>
        </w:rPr>
        <w:t>(1985) 7 FCR 109 (</w:t>
      </w:r>
      <w:r w:rsidR="00CE1868" w:rsidRPr="000C2D4F">
        <w:rPr>
          <w:i/>
          <w:szCs w:val="24"/>
        </w:rPr>
        <w:t>TPC v David Jones</w:t>
      </w:r>
      <w:r w:rsidR="00CE1868" w:rsidRPr="000C2D4F">
        <w:rPr>
          <w:szCs w:val="24"/>
        </w:rPr>
        <w:t xml:space="preserve">) per Fisher J. Contrary to NQCranes’ submission, TPC v David Jones does not stand for the proposition that a mere conclusory statement in a pleading, </w:t>
      </w:r>
      <w:r w:rsidR="00A402D8" w:rsidRPr="000C2D4F">
        <w:rPr>
          <w:szCs w:val="24"/>
        </w:rPr>
        <w:t xml:space="preserve">without more, will </w:t>
      </w:r>
      <w:r w:rsidR="006C4D5F" w:rsidRPr="000C2D4F">
        <w:rPr>
          <w:szCs w:val="24"/>
        </w:rPr>
        <w:t>necessarily be</w:t>
      </w:r>
      <w:r w:rsidR="00CE1868" w:rsidRPr="000C2D4F">
        <w:rPr>
          <w:szCs w:val="24"/>
        </w:rPr>
        <w:t xml:space="preserve"> liable to be struck out</w:t>
      </w:r>
      <w:r w:rsidR="006C4D5F" w:rsidRPr="000C2D4F">
        <w:rPr>
          <w:szCs w:val="24"/>
        </w:rPr>
        <w:t>: see for example</w:t>
      </w:r>
      <w:r w:rsidR="006C4D5F" w:rsidRPr="000C2D4F">
        <w:rPr>
          <w:szCs w:val="24"/>
          <w:shd w:val="clear" w:color="auto" w:fill="FFFFFF"/>
        </w:rPr>
        <w:t xml:space="preserve"> </w:t>
      </w:r>
      <w:r w:rsidR="00CE1868" w:rsidRPr="000C2D4F">
        <w:rPr>
          <w:i/>
          <w:szCs w:val="24"/>
          <w:shd w:val="clear" w:color="auto" w:fill="FFFFFF"/>
        </w:rPr>
        <w:t xml:space="preserve">Kernel Holdings Pty Ltd v Rothmans of Pall Mall </w:t>
      </w:r>
      <w:r w:rsidR="00A402D8" w:rsidRPr="000C2D4F">
        <w:rPr>
          <w:i/>
          <w:szCs w:val="24"/>
          <w:shd w:val="clear" w:color="auto" w:fill="FFFFFF"/>
        </w:rPr>
        <w:t xml:space="preserve">(Australia) Pty Ltd </w:t>
      </w:r>
      <w:r w:rsidR="00CE1868" w:rsidRPr="000C2D4F">
        <w:rPr>
          <w:szCs w:val="24"/>
          <w:shd w:val="clear" w:color="auto" w:fill="FFFFFF"/>
        </w:rPr>
        <w:t>[1991] FCA 557</w:t>
      </w:r>
      <w:r w:rsidR="00A402D8" w:rsidRPr="000C2D4F">
        <w:rPr>
          <w:szCs w:val="24"/>
          <w:shd w:val="clear" w:color="auto" w:fill="FFFFFF"/>
        </w:rPr>
        <w:t>; (1991) 217 ALR 171</w:t>
      </w:r>
      <w:r w:rsidR="00CE1868" w:rsidRPr="000C2D4F">
        <w:rPr>
          <w:szCs w:val="24"/>
          <w:shd w:val="clear" w:color="auto" w:fill="FFFFFF"/>
        </w:rPr>
        <w:t xml:space="preserve"> at [7] and</w:t>
      </w:r>
      <w:r w:rsidR="00CE1868" w:rsidRPr="000C2D4F">
        <w:rPr>
          <w:i/>
          <w:szCs w:val="24"/>
          <w:shd w:val="clear" w:color="auto" w:fill="FFFFFF"/>
        </w:rPr>
        <w:t xml:space="preserve"> </w:t>
      </w:r>
      <w:r w:rsidR="00CE1868" w:rsidRPr="000C2D4F">
        <w:rPr>
          <w:i/>
        </w:rPr>
        <w:t>Communications, Electrical, Electronic, Energy, Information, Postal, Plumbing and Allied Services Union v Stanwell Corporation Ltd (No 3)</w:t>
      </w:r>
      <w:r w:rsidR="00CE1868" w:rsidRPr="000C2D4F">
        <w:t xml:space="preserve"> [2014] FCA 1324 at [12]</w:t>
      </w:r>
      <w:r w:rsidR="00C2222B" w:rsidRPr="000C2D4F">
        <w:rPr>
          <w:szCs w:val="24"/>
          <w:shd w:val="clear" w:color="auto" w:fill="FFFFFF"/>
        </w:rPr>
        <w:t>.</w:t>
      </w:r>
      <w:r w:rsidR="00CE1868" w:rsidRPr="000C2D4F">
        <w:rPr>
          <w:szCs w:val="24"/>
          <w:shd w:val="clear" w:color="auto" w:fill="FFFFFF"/>
        </w:rPr>
        <w:t xml:space="preserve"> </w:t>
      </w:r>
      <w:r w:rsidR="00FC30FB" w:rsidRPr="000C2D4F">
        <w:rPr>
          <w:szCs w:val="24"/>
          <w:shd w:val="clear" w:color="auto" w:fill="FFFFFF"/>
        </w:rPr>
        <w:t xml:space="preserve">For example, </w:t>
      </w:r>
      <w:r w:rsidR="00FC30FB" w:rsidRPr="000C2D4F">
        <w:rPr>
          <w:szCs w:val="24"/>
        </w:rPr>
        <w:t>a</w:t>
      </w:r>
      <w:r w:rsidR="006C4D5F" w:rsidRPr="000C2D4F">
        <w:rPr>
          <w:szCs w:val="24"/>
        </w:rPr>
        <w:t xml:space="preserve"> pleading of a conclusion may, in some circumstances</w:t>
      </w:r>
      <w:r w:rsidR="00FC30FB" w:rsidRPr="000C2D4F">
        <w:rPr>
          <w:szCs w:val="24"/>
        </w:rPr>
        <w:t>,</w:t>
      </w:r>
      <w:r w:rsidR="006C4D5F" w:rsidRPr="000C2D4F">
        <w:rPr>
          <w:szCs w:val="24"/>
        </w:rPr>
        <w:t xml:space="preserve"> constitute a material fact</w:t>
      </w:r>
      <w:r w:rsidR="00A1796E" w:rsidRPr="000C2D4F">
        <w:rPr>
          <w:szCs w:val="24"/>
        </w:rPr>
        <w:t xml:space="preserve">: </w:t>
      </w:r>
      <w:r w:rsidR="00A1796E" w:rsidRPr="000C2D4F">
        <w:rPr>
          <w:i/>
          <w:szCs w:val="24"/>
        </w:rPr>
        <w:t xml:space="preserve">Eastern Colour </w:t>
      </w:r>
      <w:r w:rsidR="00A1796E" w:rsidRPr="000C2D4F">
        <w:rPr>
          <w:szCs w:val="24"/>
        </w:rPr>
        <w:t>at [40]</w:t>
      </w:r>
      <w:r w:rsidR="006C4D5F" w:rsidRPr="000C2D4F">
        <w:rPr>
          <w:szCs w:val="24"/>
        </w:rPr>
        <w:t xml:space="preserve">. </w:t>
      </w:r>
      <w:r w:rsidR="00E11BB3" w:rsidRPr="000C2D4F">
        <w:rPr>
          <w:szCs w:val="24"/>
        </w:rPr>
        <w:t>Even if that be so,</w:t>
      </w:r>
      <w:r w:rsidR="00E11BB3" w:rsidRPr="000C2D4F">
        <w:rPr>
          <w:szCs w:val="24"/>
          <w:shd w:val="clear" w:color="auto" w:fill="FFFFFF"/>
        </w:rPr>
        <w:t xml:space="preserve"> </w:t>
      </w:r>
      <w:r w:rsidR="00E11BB3" w:rsidRPr="000C2D4F">
        <w:rPr>
          <w:szCs w:val="24"/>
        </w:rPr>
        <w:t xml:space="preserve">it is not sufficient simply to plead a conclusion drawn from unstated </w:t>
      </w:r>
      <w:r w:rsidR="00E11BB3" w:rsidRPr="000C2D4F">
        <w:rPr>
          <w:szCs w:val="24"/>
        </w:rPr>
        <w:lastRenderedPageBreak/>
        <w:t>facts,</w:t>
      </w:r>
      <w:r w:rsidR="00CE1868" w:rsidRPr="000C2D4F">
        <w:rPr>
          <w:szCs w:val="24"/>
        </w:rPr>
        <w:t xml:space="preserve"> or otherwise stated at too high a level of generality</w:t>
      </w:r>
      <w:r w:rsidR="00FC30FB" w:rsidRPr="000C2D4F">
        <w:rPr>
          <w:szCs w:val="24"/>
        </w:rPr>
        <w:t>, such that the other party does not know the case it has to meet</w:t>
      </w:r>
      <w:r w:rsidR="00CE1868" w:rsidRPr="000C2D4F">
        <w:rPr>
          <w:szCs w:val="24"/>
        </w:rPr>
        <w:t>:</w:t>
      </w:r>
      <w:r w:rsidR="00CE1868" w:rsidRPr="000C2D4F">
        <w:rPr>
          <w:szCs w:val="24"/>
          <w:shd w:val="clear" w:color="auto" w:fill="FFFFFF"/>
        </w:rPr>
        <w:t xml:space="preserve"> </w:t>
      </w:r>
      <w:r w:rsidR="00CE1868" w:rsidRPr="000C2D4F">
        <w:rPr>
          <w:i/>
          <w:szCs w:val="24"/>
          <w:shd w:val="clear" w:color="auto" w:fill="FFFFFF"/>
        </w:rPr>
        <w:t>Wright Rubber Products Pty Ltd v Bayer AG</w:t>
      </w:r>
      <w:r w:rsidR="00CE1868" w:rsidRPr="000C2D4F">
        <w:rPr>
          <w:szCs w:val="24"/>
          <w:shd w:val="clear" w:color="auto" w:fill="FFFFFF"/>
        </w:rPr>
        <w:t> [2008] FCA 1510 at [5]</w:t>
      </w:r>
      <w:r w:rsidR="00FC30FB" w:rsidRPr="000C2D4F">
        <w:rPr>
          <w:szCs w:val="24"/>
          <w:shd w:val="clear" w:color="auto" w:fill="FFFFFF"/>
        </w:rPr>
        <w:t xml:space="preserve">; </w:t>
      </w:r>
      <w:r w:rsidR="00FC30FB" w:rsidRPr="000C2D4F">
        <w:rPr>
          <w:i/>
          <w:szCs w:val="24"/>
        </w:rPr>
        <w:t xml:space="preserve">Eastern Colour </w:t>
      </w:r>
      <w:r w:rsidR="00FC30FB" w:rsidRPr="000C2D4F">
        <w:rPr>
          <w:szCs w:val="24"/>
        </w:rPr>
        <w:t>at [40]</w:t>
      </w:r>
      <w:r w:rsidR="00CE1868" w:rsidRPr="000C2D4F">
        <w:rPr>
          <w:szCs w:val="24"/>
          <w:shd w:val="clear" w:color="auto" w:fill="FFFFFF"/>
        </w:rPr>
        <w:t xml:space="preserve">. </w:t>
      </w:r>
      <w:r w:rsidR="006C4D5F" w:rsidRPr="000C2D4F">
        <w:rPr>
          <w:szCs w:val="24"/>
          <w:shd w:val="clear" w:color="auto" w:fill="FFFFFF"/>
        </w:rPr>
        <w:t>Whether that is so is case specific</w:t>
      </w:r>
      <w:r w:rsidR="009E2B96" w:rsidRPr="000C2D4F">
        <w:rPr>
          <w:szCs w:val="24"/>
          <w:shd w:val="clear" w:color="auto" w:fill="FFFFFF"/>
        </w:rPr>
        <w:t>.</w:t>
      </w:r>
    </w:p>
    <w:p w14:paraId="341EB2B1" w14:textId="77777777" w:rsidR="006C4D5F" w:rsidRPr="00AA2F58" w:rsidRDefault="006C4D5F" w:rsidP="000F7171">
      <w:pPr>
        <w:pStyle w:val="ParaNumbering"/>
      </w:pPr>
      <w:r w:rsidRPr="00AA2F58">
        <w:t>I note at the outset that although the respondent complained in oral submissions that [9A] and [9B] (and as a result the paragraphs which follow) are deficient because</w:t>
      </w:r>
      <w:r w:rsidR="00F06095" w:rsidRPr="00AA2F58">
        <w:t>,</w:t>
      </w:r>
      <w:r w:rsidRPr="00AA2F58">
        <w:t xml:space="preserve"> inter alia, they adopt the language of the statute without pleading material facts, such paragraphs are also pleaded in respect to the </w:t>
      </w:r>
      <w:r w:rsidR="0013753F" w:rsidRPr="00AA2F58">
        <w:t>Distributorship</w:t>
      </w:r>
      <w:r w:rsidR="00F06095" w:rsidRPr="00AA2F58">
        <w:t xml:space="preserve"> </w:t>
      </w:r>
      <w:r w:rsidRPr="00AA2F58">
        <w:t xml:space="preserve">Agreement </w:t>
      </w:r>
      <w:r w:rsidR="009E2B96" w:rsidRPr="00AA2F58">
        <w:t xml:space="preserve">at ASOC [13]-[16] </w:t>
      </w:r>
      <w:r w:rsidRPr="00AA2F58">
        <w:t xml:space="preserve">without complaint by the respondent. It is not suggested that [13]-[16] insufficiently pleads matters relevant to the </w:t>
      </w:r>
      <w:r w:rsidR="00CF2E53" w:rsidRPr="00AA2F58">
        <w:t xml:space="preserve">Distributorship </w:t>
      </w:r>
      <w:r w:rsidRPr="00AA2F58">
        <w:t>Agreement</w:t>
      </w:r>
      <w:r w:rsidR="00813D39" w:rsidRPr="00AA2F58">
        <w:t xml:space="preserve"> such as they ought to be struck out</w:t>
      </w:r>
      <w:r w:rsidRPr="00AA2F58">
        <w:t>, or that as a result of those paragraphs of the pleading the respondent do</w:t>
      </w:r>
      <w:r w:rsidR="00BE26B0" w:rsidRPr="00AA2F58">
        <w:t>es</w:t>
      </w:r>
      <w:r w:rsidRPr="00AA2F58">
        <w:t xml:space="preserve"> not know the case </w:t>
      </w:r>
      <w:r w:rsidR="00BE26B0" w:rsidRPr="00AA2F58">
        <w:t>it has</w:t>
      </w:r>
      <w:r w:rsidRPr="00AA2F58">
        <w:t xml:space="preserve"> to meet. </w:t>
      </w:r>
      <w:r w:rsidR="000B7BE7" w:rsidRPr="00AA2F58">
        <w:t xml:space="preserve">I note also that the pleading in respect to the make </w:t>
      </w:r>
      <w:r w:rsidR="00A402D8" w:rsidRPr="00AA2F58">
        <w:t xml:space="preserve">allegation </w:t>
      </w:r>
      <w:r w:rsidR="000B7BE7" w:rsidRPr="00AA2F58">
        <w:t xml:space="preserve">in relation to the </w:t>
      </w:r>
      <w:r w:rsidR="00A402D8" w:rsidRPr="00AA2F58">
        <w:t>Distributorship</w:t>
      </w:r>
      <w:r w:rsidR="000B7BE7" w:rsidRPr="00AA2F58">
        <w:t xml:space="preserve"> Agreement, in effect does no more at [10]-[12] than plead the terms of the agreement. </w:t>
      </w:r>
      <w:r w:rsidR="00BE26B0" w:rsidRPr="00AA2F58">
        <w:t xml:space="preserve">No challenge is made to the adequacy of that pleading. </w:t>
      </w:r>
      <w:r w:rsidRPr="00AA2F58">
        <w:t>As a consequence</w:t>
      </w:r>
      <w:r w:rsidR="0013753F" w:rsidRPr="00AA2F58">
        <w:t>,</w:t>
      </w:r>
      <w:r w:rsidRPr="00AA2F58">
        <w:t xml:space="preserve"> I focus the consideration </w:t>
      </w:r>
      <w:r w:rsidR="00813D39" w:rsidRPr="00AA2F58">
        <w:t>on [9]</w:t>
      </w:r>
      <w:r w:rsidR="009E2B96" w:rsidRPr="00AA2F58">
        <w:t>, which was in practical terms, the pleading to which most attention was directed</w:t>
      </w:r>
      <w:r w:rsidR="000A6122" w:rsidRPr="00AA2F58">
        <w:t xml:space="preserve"> in the respondent’s submission</w:t>
      </w:r>
      <w:r w:rsidR="009E2B96" w:rsidRPr="00AA2F58">
        <w:t xml:space="preserve">. </w:t>
      </w:r>
      <w:r w:rsidR="00813D39" w:rsidRPr="00AA2F58">
        <w:t xml:space="preserve"> </w:t>
      </w:r>
    </w:p>
    <w:p w14:paraId="18B9FAB5" w14:textId="77777777" w:rsidR="006C4D5F" w:rsidRPr="00AA2F58" w:rsidRDefault="006C4D5F" w:rsidP="00813D39">
      <w:pPr>
        <w:pStyle w:val="ParaNumbering"/>
        <w:rPr>
          <w:szCs w:val="24"/>
        </w:rPr>
      </w:pPr>
      <w:r w:rsidRPr="00AA2F58">
        <w:rPr>
          <w:szCs w:val="24"/>
        </w:rPr>
        <w:t xml:space="preserve">In [9], it is alleged that the existence of the Non-Targeting Arrangement can be inferred from what is then identified or referred to as three particulars. </w:t>
      </w:r>
    </w:p>
    <w:p w14:paraId="31D3B364" w14:textId="77777777" w:rsidR="00D40947" w:rsidRPr="00AA2F58" w:rsidRDefault="00AC4A79" w:rsidP="00D40947">
      <w:pPr>
        <w:pStyle w:val="ParaNumbering"/>
        <w:rPr>
          <w:szCs w:val="24"/>
        </w:rPr>
      </w:pPr>
      <w:r w:rsidRPr="00AA2F58">
        <w:t>The respondent</w:t>
      </w:r>
      <w:r w:rsidR="00E6753D">
        <w:t>’</w:t>
      </w:r>
      <w:r w:rsidRPr="00AA2F58">
        <w:t xml:space="preserve">s submission </w:t>
      </w:r>
      <w:r w:rsidR="006C16BD" w:rsidRPr="00AA2F58">
        <w:t>on [9]</w:t>
      </w:r>
      <w:r w:rsidR="009E2B96" w:rsidRPr="00AA2F58">
        <w:t xml:space="preserve"> </w:t>
      </w:r>
      <w:r w:rsidRPr="00AA2F58">
        <w:t xml:space="preserve">was directed, at least in part, to the </w:t>
      </w:r>
      <w:r w:rsidR="00D40947" w:rsidRPr="00AA2F58">
        <w:t xml:space="preserve">evidence and </w:t>
      </w:r>
      <w:r w:rsidRPr="00AA2F58">
        <w:t>documents underpinning</w:t>
      </w:r>
      <w:r w:rsidR="00CB09B4" w:rsidRPr="00AA2F58">
        <w:t xml:space="preserve"> these particulars, to address what the </w:t>
      </w:r>
      <w:r w:rsidR="00C90993" w:rsidRPr="00AA2F58">
        <w:t>respondent</w:t>
      </w:r>
      <w:r w:rsidR="00CB09B4" w:rsidRPr="00AA2F58">
        <w:t xml:space="preserve"> said could, or on its submissio</w:t>
      </w:r>
      <w:r w:rsidR="00C2222B" w:rsidRPr="00AA2F58">
        <w:t>n, could not</w:t>
      </w:r>
      <w:r w:rsidR="00440A9E" w:rsidRPr="00AA2F58">
        <w:t>,</w:t>
      </w:r>
      <w:r w:rsidR="00C2222B" w:rsidRPr="00AA2F58">
        <w:t xml:space="preserve"> be inferred from them</w:t>
      </w:r>
      <w:r w:rsidR="00CB09B4" w:rsidRPr="00AA2F58">
        <w:t xml:space="preserve">. </w:t>
      </w:r>
      <w:r w:rsidR="00C2222B" w:rsidRPr="00AA2F58">
        <w:t xml:space="preserve">It involved an assessment of </w:t>
      </w:r>
      <w:r w:rsidR="00CF2E53" w:rsidRPr="00AA2F58">
        <w:t xml:space="preserve">the </w:t>
      </w:r>
      <w:r w:rsidR="00C2222B" w:rsidRPr="00AA2F58">
        <w:t>evidence</w:t>
      </w:r>
      <w:r w:rsidR="0037448D" w:rsidRPr="00AA2F58">
        <w:t xml:space="preserve"> underpinning the</w:t>
      </w:r>
      <w:r w:rsidR="00CF2E53" w:rsidRPr="00AA2F58">
        <w:t>se</w:t>
      </w:r>
      <w:r w:rsidR="0037448D" w:rsidRPr="00AA2F58">
        <w:t xml:space="preserve"> particulars, leading to a submission that the Non-Targeting Arrangement could not be established. </w:t>
      </w:r>
      <w:r w:rsidR="00811382" w:rsidRPr="00AA2F58">
        <w:t>For example, in respect to the particular (iii) it was contended that what is pleaded is “plucked” from a longer document, and the document read as a whole does not support the particular.</w:t>
      </w:r>
      <w:r w:rsidR="00440A9E" w:rsidRPr="00AA2F58">
        <w:t xml:space="preserve"> </w:t>
      </w:r>
      <w:r w:rsidR="00CB09B4" w:rsidRPr="00AA2F58">
        <w:t xml:space="preserve">However, on a strike out application, one is </w:t>
      </w:r>
      <w:r w:rsidR="00D51932" w:rsidRPr="00AA2F58">
        <w:t xml:space="preserve">only </w:t>
      </w:r>
      <w:r w:rsidR="00CB09B4" w:rsidRPr="00AA2F58">
        <w:t>addressing the face of the ASOC</w:t>
      </w:r>
      <w:r w:rsidR="00D40947" w:rsidRPr="00AA2F58">
        <w:t xml:space="preserve">. As observed in </w:t>
      </w:r>
      <w:r w:rsidR="00D40947" w:rsidRPr="008B590E">
        <w:rPr>
          <w:i/>
          <w:iCs/>
          <w:szCs w:val="24"/>
          <w:shd w:val="clear" w:color="auto" w:fill="FFFFFF"/>
        </w:rPr>
        <w:t xml:space="preserve">Imobilari Pty Ltd v </w:t>
      </w:r>
      <w:r w:rsidR="00D40947" w:rsidRPr="0011679E">
        <w:rPr>
          <w:i/>
          <w:iCs/>
          <w:szCs w:val="24"/>
          <w:shd w:val="clear" w:color="auto" w:fill="FFFFFF"/>
        </w:rPr>
        <w:t>Opes Prime Stockbroking Ltd </w:t>
      </w:r>
      <w:r w:rsidR="00C90993" w:rsidRPr="0011679E">
        <w:t>[2008</w:t>
      </w:r>
      <w:r w:rsidR="00C90993" w:rsidRPr="00813AA1">
        <w:t>] FCA 1920</w:t>
      </w:r>
      <w:r w:rsidR="00C90993" w:rsidRPr="00206EAB">
        <w:rPr>
          <w:szCs w:val="24"/>
          <w:shd w:val="clear" w:color="auto" w:fill="FFFFFF"/>
        </w:rPr>
        <w:t>;</w:t>
      </w:r>
      <w:r w:rsidR="00D40947" w:rsidRPr="00206EAB">
        <w:rPr>
          <w:szCs w:val="24"/>
          <w:shd w:val="clear" w:color="auto" w:fill="FFFFFF"/>
        </w:rPr>
        <w:t> </w:t>
      </w:r>
      <w:r w:rsidR="00C90993" w:rsidRPr="00206EAB">
        <w:t>(2008) 252 ALR 41</w:t>
      </w:r>
      <w:r w:rsidR="00D40947" w:rsidRPr="00206EAB">
        <w:rPr>
          <w:szCs w:val="24"/>
          <w:shd w:val="clear" w:color="auto" w:fill="FFFFFF"/>
        </w:rPr>
        <w:t> at 43</w:t>
      </w:r>
      <w:r w:rsidR="00721BBF" w:rsidRPr="00AA2F58">
        <w:rPr>
          <w:szCs w:val="24"/>
          <w:shd w:val="clear" w:color="auto" w:fill="FFFFFF"/>
        </w:rPr>
        <w:t xml:space="preserve"> (emphasis in original)</w:t>
      </w:r>
      <w:r w:rsidR="00D40947" w:rsidRPr="00AA2F58">
        <w:rPr>
          <w:szCs w:val="24"/>
          <w:shd w:val="clear" w:color="auto" w:fill="FFFFFF"/>
        </w:rPr>
        <w:t>:</w:t>
      </w:r>
      <w:r w:rsidR="00D51932" w:rsidRPr="00AA2F58">
        <w:rPr>
          <w:szCs w:val="24"/>
        </w:rPr>
        <w:t xml:space="preserve"> </w:t>
      </w:r>
    </w:p>
    <w:p w14:paraId="2195E1AA" w14:textId="77777777" w:rsidR="00D40947" w:rsidRPr="00AA2F58" w:rsidRDefault="00D40947" w:rsidP="00262C29">
      <w:pPr>
        <w:pStyle w:val="Quote1"/>
      </w:pPr>
      <w:r w:rsidRPr="00AA2F58">
        <w:rPr>
          <w:shd w:val="clear" w:color="auto" w:fill="FFFFFF"/>
        </w:rPr>
        <w:t>The fundamental thing to understand about the strike-out rule, which the language of O 11 r 16 itself makes clear, is that the rule is concerned only with the adequacy of the </w:t>
      </w:r>
      <w:r w:rsidRPr="00AA2F58">
        <w:rPr>
          <w:i/>
          <w:iCs/>
          <w:shd w:val="clear" w:color="auto" w:fill="FFFFFF"/>
        </w:rPr>
        <w:t>pleading</w:t>
      </w:r>
      <w:r w:rsidRPr="00AA2F58">
        <w:rPr>
          <w:shd w:val="clear" w:color="auto" w:fill="FFFFFF"/>
        </w:rPr>
        <w:t> (or to be more precise, the allegations and the causes of action asserted therein) as a matter of law. The rule does not permit or allow consideration of facts or evidence outside the pleadings: </w:t>
      </w:r>
      <w:r w:rsidRPr="00AA2F58">
        <w:rPr>
          <w:i/>
          <w:iCs/>
          <w:shd w:val="clear" w:color="auto" w:fill="FFFFFF"/>
        </w:rPr>
        <w:t xml:space="preserve">Dey v Victorian Railway </w:t>
      </w:r>
      <w:r w:rsidR="002619CE" w:rsidRPr="00AA2F58">
        <w:rPr>
          <w:i/>
          <w:iCs/>
          <w:shd w:val="clear" w:color="auto" w:fill="FFFFFF"/>
        </w:rPr>
        <w:t>Cmrs</w:t>
      </w:r>
      <w:r w:rsidR="002619CE" w:rsidRPr="00AA2F58">
        <w:rPr>
          <w:shd w:val="clear" w:color="auto" w:fill="FFFFFF"/>
        </w:rPr>
        <w:t> </w:t>
      </w:r>
      <w:r w:rsidR="00721BBF" w:rsidRPr="00AA2F58">
        <w:t>[1949] HCA 1</w:t>
      </w:r>
      <w:r w:rsidRPr="00AA2F58">
        <w:rPr>
          <w:shd w:val="clear" w:color="auto" w:fill="FFFFFF"/>
        </w:rPr>
        <w:t>; </w:t>
      </w:r>
      <w:r w:rsidR="00721BBF" w:rsidRPr="00AA2F58">
        <w:t>(1949) 78 CLR 62</w:t>
      </w:r>
      <w:r w:rsidR="006A3FC6" w:rsidRPr="00AA2F58">
        <w:rPr>
          <w:shd w:val="clear" w:color="auto" w:fill="FFFFFF"/>
        </w:rPr>
        <w:t xml:space="preserve"> at</w:t>
      </w:r>
      <w:r w:rsidRPr="00AA2F58">
        <w:rPr>
          <w:shd w:val="clear" w:color="auto" w:fill="FFFFFF"/>
        </w:rPr>
        <w:t xml:space="preserve"> 91</w:t>
      </w:r>
      <w:r w:rsidR="006A3FC6" w:rsidRPr="00AA2F58">
        <w:rPr>
          <w:shd w:val="clear" w:color="auto" w:fill="FFFFFF"/>
        </w:rPr>
        <w:t xml:space="preserve"> and</w:t>
      </w:r>
      <w:r w:rsidRPr="00AA2F58">
        <w:rPr>
          <w:shd w:val="clear" w:color="auto" w:fill="FFFFFF"/>
        </w:rPr>
        <w:t xml:space="preserve"> 109; see also </w:t>
      </w:r>
      <w:r w:rsidRPr="00AA2F58">
        <w:rPr>
          <w:i/>
          <w:iCs/>
          <w:shd w:val="clear" w:color="auto" w:fill="FFFFFF"/>
        </w:rPr>
        <w:t xml:space="preserve">General Steel Industries Inc v </w:t>
      </w:r>
      <w:r w:rsidR="002619CE" w:rsidRPr="00AA2F58">
        <w:rPr>
          <w:i/>
          <w:iCs/>
          <w:shd w:val="clear" w:color="auto" w:fill="FFFFFF"/>
        </w:rPr>
        <w:t xml:space="preserve">Cmr </w:t>
      </w:r>
      <w:r w:rsidRPr="00AA2F58">
        <w:rPr>
          <w:i/>
          <w:iCs/>
          <w:shd w:val="clear" w:color="auto" w:fill="FFFFFF"/>
        </w:rPr>
        <w:t>for Railways (NSW)</w:t>
      </w:r>
      <w:r w:rsidRPr="00AA2F58">
        <w:rPr>
          <w:shd w:val="clear" w:color="auto" w:fill="FFFFFF"/>
        </w:rPr>
        <w:t> (1964) </w:t>
      </w:r>
      <w:r w:rsidR="00721BBF" w:rsidRPr="00AA2F58">
        <w:t>112 CLR 125</w:t>
      </w:r>
      <w:r w:rsidR="006A3FC6" w:rsidRPr="00AA2F58">
        <w:rPr>
          <w:shd w:val="clear" w:color="auto" w:fill="FFFFFF"/>
        </w:rPr>
        <w:t xml:space="preserve"> at</w:t>
      </w:r>
      <w:r w:rsidRPr="00AA2F58">
        <w:rPr>
          <w:shd w:val="clear" w:color="auto" w:fill="FFFFFF"/>
        </w:rPr>
        <w:t xml:space="preserve"> 129</w:t>
      </w:r>
      <w:r w:rsidR="006A3FC6" w:rsidRPr="00AA2F58">
        <w:rPr>
          <w:shd w:val="clear" w:color="auto" w:fill="FFFFFF"/>
        </w:rPr>
        <w:t>; [1965] 165 ALR 636 at 638 (</w:t>
      </w:r>
      <w:r w:rsidR="006A3FC6" w:rsidRPr="00AA2F58">
        <w:rPr>
          <w:i/>
          <w:shd w:val="clear" w:color="auto" w:fill="FFFFFF"/>
        </w:rPr>
        <w:t>General Steel</w:t>
      </w:r>
      <w:r w:rsidR="006A3FC6" w:rsidRPr="00AA2F58">
        <w:rPr>
          <w:shd w:val="clear" w:color="auto" w:fill="FFFFFF"/>
        </w:rPr>
        <w:t>)</w:t>
      </w:r>
      <w:r w:rsidRPr="00AA2F58">
        <w:rPr>
          <w:shd w:val="clear" w:color="auto" w:fill="FFFFFF"/>
        </w:rPr>
        <w:t xml:space="preserve">. Indeed…the court must, for purposes of deciding the strike-out motion and deciding </w:t>
      </w:r>
      <w:r w:rsidRPr="00AA2F58">
        <w:rPr>
          <w:shd w:val="clear" w:color="auto" w:fill="FFFFFF"/>
        </w:rPr>
        <w:lastRenderedPageBreak/>
        <w:t>whether a pleading discloses a reasonable cause of action, assume the truth of the allegations in the statement of claim and draw all inferences in favour of the non-moving party because the question is whether those allegations, even if proved, cannot succeed as a matter of law: </w:t>
      </w:r>
      <w:r w:rsidRPr="00AA2F58">
        <w:rPr>
          <w:i/>
          <w:iCs/>
          <w:shd w:val="clear" w:color="auto" w:fill="FFFFFF"/>
        </w:rPr>
        <w:t>General Steel</w:t>
      </w:r>
      <w:r w:rsidRPr="00AA2F58">
        <w:rPr>
          <w:shd w:val="clear" w:color="auto" w:fill="FFFFFF"/>
        </w:rPr>
        <w:t> </w:t>
      </w:r>
      <w:r w:rsidR="006A3FC6" w:rsidRPr="00AA2F58">
        <w:rPr>
          <w:shd w:val="clear" w:color="auto" w:fill="FFFFFF"/>
        </w:rPr>
        <w:t xml:space="preserve">at </w:t>
      </w:r>
      <w:r w:rsidRPr="00AA2F58">
        <w:rPr>
          <w:shd w:val="clear" w:color="auto" w:fill="FFFFFF"/>
        </w:rPr>
        <w:t>CLR at 129</w:t>
      </w:r>
      <w:r w:rsidR="006A3FC6" w:rsidRPr="00AA2F58">
        <w:rPr>
          <w:shd w:val="clear" w:color="auto" w:fill="FFFFFF"/>
        </w:rPr>
        <w:t>; ALR 638</w:t>
      </w:r>
      <w:r w:rsidRPr="00AA2F58">
        <w:rPr>
          <w:shd w:val="clear" w:color="auto" w:fill="FFFFFF"/>
        </w:rPr>
        <w:t>.</w:t>
      </w:r>
    </w:p>
    <w:p w14:paraId="0DFF0489" w14:textId="77777777" w:rsidR="00F7329A" w:rsidRPr="00BA639F" w:rsidRDefault="00CB09B4" w:rsidP="007001A9">
      <w:pPr>
        <w:pStyle w:val="ParaNumbering"/>
        <w:rPr>
          <w:rFonts w:ascii="Helvetica" w:hAnsi="Helvetica" w:cs="Helvetica"/>
          <w:color w:val="333333"/>
          <w:sz w:val="29"/>
          <w:szCs w:val="29"/>
        </w:rPr>
      </w:pPr>
      <w:r w:rsidRPr="00AA68AB">
        <w:t xml:space="preserve">It must be apparent on the face of the ASOC that the </w:t>
      </w:r>
      <w:r w:rsidR="00AC4A79" w:rsidRPr="00AA68AB">
        <w:rPr>
          <w:shd w:val="clear" w:color="auto" w:fill="FFFFFF"/>
        </w:rPr>
        <w:t xml:space="preserve">facts pleaded, if proved, </w:t>
      </w:r>
      <w:r w:rsidR="005F703F" w:rsidRPr="00AA68AB">
        <w:rPr>
          <w:shd w:val="clear" w:color="auto" w:fill="FFFFFF"/>
        </w:rPr>
        <w:t>could</w:t>
      </w:r>
      <w:r w:rsidR="00AC4A79" w:rsidRPr="00AA68AB">
        <w:rPr>
          <w:shd w:val="clear" w:color="auto" w:fill="FFFFFF"/>
        </w:rPr>
        <w:t xml:space="preserve"> establish the cause of action relied upon by the relevant plaintiff or plaintiffs</w:t>
      </w:r>
      <w:r w:rsidR="00875489" w:rsidRPr="00AA68AB">
        <w:rPr>
          <w:shd w:val="clear" w:color="auto" w:fill="FFFFFF"/>
        </w:rPr>
        <w:t>.</w:t>
      </w:r>
      <w:r w:rsidR="00875489" w:rsidRPr="00AA68AB">
        <w:t xml:space="preserve"> More</w:t>
      </w:r>
      <w:r w:rsidR="00875489" w:rsidRPr="00D85E66">
        <w:t xml:space="preserve">over, </w:t>
      </w:r>
      <w:r w:rsidR="00875489" w:rsidRPr="008B590E">
        <w:t>a</w:t>
      </w:r>
      <w:r w:rsidR="00F35715" w:rsidRPr="008B590E">
        <w:t xml:space="preserve"> “reasonable cause of action” in this context means “one </w:t>
      </w:r>
      <w:r w:rsidR="0024128E" w:rsidRPr="008B590E">
        <w:t>with</w:t>
      </w:r>
      <w:r w:rsidR="00F35715" w:rsidRPr="008B590E">
        <w:t xml:space="preserve"> some chance of success, having regard to the allegations pleaded, even if weak”</w:t>
      </w:r>
      <w:r w:rsidR="00F35715" w:rsidRPr="008B590E">
        <w:rPr>
          <w:shd w:val="clear" w:color="auto" w:fill="FFFFFF"/>
        </w:rPr>
        <w:t>: </w:t>
      </w:r>
      <w:r w:rsidR="00A744B7" w:rsidRPr="008B590E">
        <w:rPr>
          <w:i/>
          <w:iCs/>
          <w:shd w:val="clear" w:color="auto" w:fill="FFFFFF"/>
        </w:rPr>
        <w:t xml:space="preserve">Polar Aviation </w:t>
      </w:r>
      <w:r w:rsidR="00A744B7" w:rsidRPr="008B590E">
        <w:rPr>
          <w:iCs/>
          <w:shd w:val="clear" w:color="auto" w:fill="FFFFFF"/>
        </w:rPr>
        <w:t>at [42]</w:t>
      </w:r>
      <w:r w:rsidR="00595182" w:rsidRPr="008B590E">
        <w:rPr>
          <w:iCs/>
          <w:shd w:val="clear" w:color="auto" w:fill="FFFFFF"/>
        </w:rPr>
        <w:t xml:space="preserve">; and see </w:t>
      </w:r>
      <w:r w:rsidR="0024128E" w:rsidRPr="008B590E">
        <w:rPr>
          <w:i/>
          <w:iCs/>
          <w:shd w:val="clear" w:color="auto" w:fill="FFFFFF"/>
        </w:rPr>
        <w:t xml:space="preserve">Allstate </w:t>
      </w:r>
      <w:r w:rsidR="0024128E" w:rsidRPr="008B590E">
        <w:rPr>
          <w:iCs/>
          <w:shd w:val="clear" w:color="auto" w:fill="FFFFFF"/>
        </w:rPr>
        <w:t xml:space="preserve">at 236; </w:t>
      </w:r>
      <w:r w:rsidR="00AB3E56" w:rsidRPr="008B590E">
        <w:rPr>
          <w:i/>
          <w:iCs/>
          <w:shd w:val="clear" w:color="auto" w:fill="FFFFFF"/>
        </w:rPr>
        <w:t xml:space="preserve">Sabapathy v Jetstar Airways </w:t>
      </w:r>
      <w:r w:rsidR="00AB3E56" w:rsidRPr="008B590E">
        <w:rPr>
          <w:iCs/>
          <w:shd w:val="clear" w:color="auto" w:fill="FFFFFF"/>
        </w:rPr>
        <w:t>[202</w:t>
      </w:r>
      <w:r w:rsidR="00595182" w:rsidRPr="008B590E">
        <w:rPr>
          <w:iCs/>
          <w:shd w:val="clear" w:color="auto" w:fill="FFFFFF"/>
        </w:rPr>
        <w:t>1] FCAFC 25 at [50].</w:t>
      </w:r>
      <w:r w:rsidR="00AB3E56" w:rsidRPr="008B590E">
        <w:rPr>
          <w:i/>
          <w:iCs/>
          <w:shd w:val="clear" w:color="auto" w:fill="FFFFFF"/>
        </w:rPr>
        <w:t xml:space="preserve"> </w:t>
      </w:r>
      <w:r w:rsidR="00875489" w:rsidRPr="008B590E">
        <w:t xml:space="preserve">It is a high hurdle that the respondent must cross to establish that a pleading be struck out: </w:t>
      </w:r>
      <w:r w:rsidR="00F35715" w:rsidRPr="008B590E">
        <w:rPr>
          <w:i/>
          <w:iCs/>
        </w:rPr>
        <w:t>Uber Australia Pty Ltd v </w:t>
      </w:r>
      <w:r w:rsidR="00F35715" w:rsidRPr="008B590E">
        <w:rPr>
          <w:bCs/>
          <w:i/>
          <w:iCs/>
        </w:rPr>
        <w:t>Andrianaki</w:t>
      </w:r>
      <w:r w:rsidR="00F35715" w:rsidRPr="0011679E">
        <w:rPr>
          <w:bCs/>
          <w:i/>
          <w:iCs/>
        </w:rPr>
        <w:t>s</w:t>
      </w:r>
      <w:r w:rsidR="00F35715" w:rsidRPr="0011679E">
        <w:t> </w:t>
      </w:r>
      <w:r w:rsidR="00D51932" w:rsidRPr="0011679E">
        <w:t>[2020] VSCA 186</w:t>
      </w:r>
      <w:r w:rsidR="00D51932" w:rsidRPr="0011679E">
        <w:rPr>
          <w:szCs w:val="24"/>
        </w:rPr>
        <w:t>; (2020) 61 VR 580</w:t>
      </w:r>
      <w:r w:rsidR="00D51932" w:rsidRPr="0011679E">
        <w:t xml:space="preserve"> at [35]</w:t>
      </w:r>
      <w:r w:rsidR="00D51932" w:rsidRPr="00E6753D">
        <w:t xml:space="preserve"> (considering a</w:t>
      </w:r>
      <w:r w:rsidR="00FB2BAB" w:rsidRPr="00E6753D">
        <w:t xml:space="preserve">n </w:t>
      </w:r>
      <w:r w:rsidR="00D51932" w:rsidRPr="00E6753D">
        <w:t xml:space="preserve">application under r 23.02 of the </w:t>
      </w:r>
      <w:r w:rsidR="00102CCA" w:rsidRPr="00A744B7">
        <w:rPr>
          <w:i/>
        </w:rPr>
        <w:t xml:space="preserve">Supreme Court </w:t>
      </w:r>
      <w:r w:rsidR="00102CCA" w:rsidRPr="0011679E">
        <w:rPr>
          <w:i/>
        </w:rPr>
        <w:t>(General Civil Procedure) Rules 2015</w:t>
      </w:r>
      <w:r w:rsidR="00F35715" w:rsidRPr="008B590E">
        <w:rPr>
          <w:i/>
          <w:iCs/>
        </w:rPr>
        <w:t> </w:t>
      </w:r>
      <w:r w:rsidR="00F35715" w:rsidRPr="008B590E">
        <w:t xml:space="preserve">(Vic) to strike out </w:t>
      </w:r>
      <w:r w:rsidR="00FB2BAB" w:rsidRPr="008B590E">
        <w:t xml:space="preserve">a </w:t>
      </w:r>
      <w:r w:rsidR="00F35715" w:rsidRPr="008B590E">
        <w:t>statement of claim as either not disclosing a cause of action or being embarrassing</w:t>
      </w:r>
      <w:r w:rsidR="00875489" w:rsidRPr="008B590E">
        <w:t xml:space="preserve">), cited in </w:t>
      </w:r>
      <w:r w:rsidR="00875489" w:rsidRPr="0011679E">
        <w:rPr>
          <w:bCs/>
          <w:i/>
          <w:shd w:val="clear" w:color="auto" w:fill="FFFFFF"/>
        </w:rPr>
        <w:t xml:space="preserve">Gall v Domino’s Pizza Enterprises </w:t>
      </w:r>
      <w:r w:rsidR="00102CCA" w:rsidRPr="0011679E">
        <w:rPr>
          <w:bCs/>
          <w:i/>
          <w:shd w:val="clear" w:color="auto" w:fill="FFFFFF"/>
        </w:rPr>
        <w:t xml:space="preserve">Ltd </w:t>
      </w:r>
      <w:r w:rsidR="00875489" w:rsidRPr="0011679E">
        <w:rPr>
          <w:bCs/>
          <w:i/>
          <w:shd w:val="clear" w:color="auto" w:fill="FFFFFF"/>
        </w:rPr>
        <w:t>(No 2)</w:t>
      </w:r>
      <w:r w:rsidR="00875489" w:rsidRPr="0011679E">
        <w:rPr>
          <w:bCs/>
          <w:shd w:val="clear" w:color="auto" w:fill="FFFFFF"/>
        </w:rPr>
        <w:t> </w:t>
      </w:r>
      <w:r w:rsidR="00102CCA" w:rsidRPr="0011679E">
        <w:t>[2021] FCA 345</w:t>
      </w:r>
      <w:r w:rsidR="00102CCA" w:rsidRPr="0011679E">
        <w:rPr>
          <w:bCs/>
          <w:szCs w:val="24"/>
        </w:rPr>
        <w:t xml:space="preserve">; </w:t>
      </w:r>
      <w:r w:rsidR="00102CCA" w:rsidRPr="00A744B7">
        <w:rPr>
          <w:bCs/>
          <w:szCs w:val="24"/>
        </w:rPr>
        <w:t>(2021) 304 IR 300</w:t>
      </w:r>
      <w:r w:rsidR="00875489" w:rsidRPr="00A744B7">
        <w:rPr>
          <w:bCs/>
          <w:shd w:val="clear" w:color="auto" w:fill="FFFFFF"/>
        </w:rPr>
        <w:t xml:space="preserve"> at [60]</w:t>
      </w:r>
      <w:r w:rsidR="00F7329A" w:rsidRPr="00BA639F">
        <w:rPr>
          <w:bCs/>
          <w:shd w:val="clear" w:color="auto" w:fill="FFFFFF"/>
        </w:rPr>
        <w:t xml:space="preserve">; </w:t>
      </w:r>
      <w:r w:rsidR="00F7329A" w:rsidRPr="00BA639F">
        <w:rPr>
          <w:bCs/>
          <w:i/>
          <w:shd w:val="clear" w:color="auto" w:fill="FFFFFF"/>
        </w:rPr>
        <w:t xml:space="preserve">Impiombato v BHP Group </w:t>
      </w:r>
      <w:r w:rsidR="00102CCA" w:rsidRPr="00BA639F">
        <w:rPr>
          <w:bCs/>
          <w:i/>
          <w:shd w:val="clear" w:color="auto" w:fill="FFFFFF"/>
        </w:rPr>
        <w:t xml:space="preserve">Ltd </w:t>
      </w:r>
      <w:r w:rsidR="00F7329A" w:rsidRPr="00BA639F">
        <w:rPr>
          <w:bCs/>
          <w:i/>
          <w:shd w:val="clear" w:color="auto" w:fill="FFFFFF"/>
        </w:rPr>
        <w:t>(No 2) </w:t>
      </w:r>
      <w:r w:rsidR="00102CCA" w:rsidRPr="00BA639F">
        <w:t>[2020] FCA 1720</w:t>
      </w:r>
      <w:r w:rsidR="00F7329A" w:rsidRPr="00BA639F">
        <w:rPr>
          <w:bCs/>
          <w:shd w:val="clear" w:color="auto" w:fill="FFFFFF"/>
        </w:rPr>
        <w:t xml:space="preserve"> at [142]</w:t>
      </w:r>
      <w:r w:rsidR="00811382" w:rsidRPr="00BA639F">
        <w:rPr>
          <w:bCs/>
          <w:shd w:val="clear" w:color="auto" w:fill="FFFFFF"/>
        </w:rPr>
        <w:t xml:space="preserve"> (I note that leave was given by the Full Court on a limited basis, and the primary judge’s conclusions in respect to the strike out application were not disturbed: </w:t>
      </w:r>
      <w:r w:rsidR="005B72A9" w:rsidRPr="00BA639F">
        <w:rPr>
          <w:bCs/>
          <w:i/>
          <w:shd w:val="clear" w:color="auto" w:fill="FFFFFF"/>
        </w:rPr>
        <w:t xml:space="preserve">BHP Group Ltd v </w:t>
      </w:r>
      <w:r w:rsidR="00811382" w:rsidRPr="00BA639F">
        <w:rPr>
          <w:bCs/>
          <w:i/>
          <w:shd w:val="clear" w:color="auto" w:fill="FFFFFF"/>
        </w:rPr>
        <w:t>Impiombato</w:t>
      </w:r>
      <w:r w:rsidR="00811382" w:rsidRPr="00BA639F">
        <w:rPr>
          <w:bCs/>
          <w:shd w:val="clear" w:color="auto" w:fill="FFFFFF"/>
        </w:rPr>
        <w:t xml:space="preserve"> [2021] FCAFC 93).</w:t>
      </w:r>
    </w:p>
    <w:p w14:paraId="0B5DC414" w14:textId="77777777" w:rsidR="00F7329A" w:rsidRDefault="00F7329A" w:rsidP="00F7329A">
      <w:pPr>
        <w:pStyle w:val="ParaNumbering"/>
        <w:rPr>
          <w:szCs w:val="24"/>
        </w:rPr>
      </w:pPr>
      <w:r w:rsidRPr="00AA2F58">
        <w:rPr>
          <w:szCs w:val="24"/>
        </w:rPr>
        <w:t xml:space="preserve">On its face, </w:t>
      </w:r>
      <w:r w:rsidR="00102CCA" w:rsidRPr="00AA2F58">
        <w:rPr>
          <w:szCs w:val="24"/>
        </w:rPr>
        <w:t xml:space="preserve">particular </w:t>
      </w:r>
      <w:r w:rsidRPr="00AA2F58">
        <w:rPr>
          <w:szCs w:val="24"/>
        </w:rPr>
        <w:t>(iii) appe</w:t>
      </w:r>
      <w:r w:rsidR="00500FF7" w:rsidRPr="00AA2F58">
        <w:rPr>
          <w:szCs w:val="24"/>
        </w:rPr>
        <w:t>ars to be minutes of a meeting of NQCranes</w:t>
      </w:r>
      <w:r w:rsidR="005B72A9" w:rsidRPr="00AA2F58">
        <w:rPr>
          <w:szCs w:val="24"/>
        </w:rPr>
        <w:t>’</w:t>
      </w:r>
      <w:r w:rsidR="00500FF7" w:rsidRPr="00AA2F58">
        <w:rPr>
          <w:szCs w:val="24"/>
        </w:rPr>
        <w:t xml:space="preserve"> management on 17</w:t>
      </w:r>
      <w:r w:rsidR="005B72A9" w:rsidRPr="00AA2F58">
        <w:rPr>
          <w:szCs w:val="24"/>
        </w:rPr>
        <w:t> </w:t>
      </w:r>
      <w:r w:rsidR="00500FF7" w:rsidRPr="00AA2F58">
        <w:rPr>
          <w:szCs w:val="24"/>
        </w:rPr>
        <w:t>August</w:t>
      </w:r>
      <w:r w:rsidR="005B72A9" w:rsidRPr="00AA2F58">
        <w:rPr>
          <w:szCs w:val="24"/>
        </w:rPr>
        <w:t> </w:t>
      </w:r>
      <w:r w:rsidR="00500FF7" w:rsidRPr="00AA2F58">
        <w:rPr>
          <w:szCs w:val="24"/>
        </w:rPr>
        <w:t>2016</w:t>
      </w:r>
      <w:r w:rsidRPr="00AA2F58">
        <w:rPr>
          <w:szCs w:val="24"/>
        </w:rPr>
        <w:t xml:space="preserve">, and not </w:t>
      </w:r>
      <w:r w:rsidR="00102CCA" w:rsidRPr="00AA2F58">
        <w:rPr>
          <w:szCs w:val="24"/>
        </w:rPr>
        <w:t xml:space="preserve">a </w:t>
      </w:r>
      <w:r w:rsidRPr="00AA2F58">
        <w:rPr>
          <w:szCs w:val="24"/>
        </w:rPr>
        <w:t xml:space="preserve">communication between the parties, </w:t>
      </w:r>
      <w:r w:rsidR="000A7270" w:rsidRPr="00AA2F58">
        <w:rPr>
          <w:szCs w:val="24"/>
        </w:rPr>
        <w:t xml:space="preserve">and </w:t>
      </w:r>
      <w:r w:rsidR="00102CCA" w:rsidRPr="00AA2F58">
        <w:rPr>
          <w:szCs w:val="24"/>
        </w:rPr>
        <w:t xml:space="preserve">particulars </w:t>
      </w:r>
      <w:r w:rsidRPr="00AA2F58">
        <w:rPr>
          <w:szCs w:val="24"/>
        </w:rPr>
        <w:t xml:space="preserve">(i) and (ii) </w:t>
      </w:r>
      <w:r w:rsidR="000A7270" w:rsidRPr="00AA2F58">
        <w:rPr>
          <w:szCs w:val="24"/>
        </w:rPr>
        <w:t xml:space="preserve">are </w:t>
      </w:r>
      <w:r w:rsidRPr="00AA2F58">
        <w:rPr>
          <w:szCs w:val="24"/>
        </w:rPr>
        <w:t>communication</w:t>
      </w:r>
      <w:r w:rsidR="00102CCA" w:rsidRPr="00AA2F58">
        <w:rPr>
          <w:szCs w:val="24"/>
        </w:rPr>
        <w:t>s</w:t>
      </w:r>
      <w:r w:rsidRPr="00AA2F58">
        <w:rPr>
          <w:szCs w:val="24"/>
        </w:rPr>
        <w:t xml:space="preserve"> between Mr</w:t>
      </w:r>
      <w:r w:rsidR="000A7270" w:rsidRPr="00AA2F58">
        <w:rPr>
          <w:szCs w:val="24"/>
        </w:rPr>
        <w:t> </w:t>
      </w:r>
      <w:r w:rsidRPr="00AA2F58">
        <w:rPr>
          <w:szCs w:val="24"/>
        </w:rPr>
        <w:t xml:space="preserve">Pidgeon of NQCranes and Mr Costanzo of </w:t>
      </w:r>
      <w:r w:rsidR="00102CCA" w:rsidRPr="00AA2F58">
        <w:rPr>
          <w:szCs w:val="24"/>
        </w:rPr>
        <w:t>MHE-</w:t>
      </w:r>
      <w:r w:rsidRPr="00AA2F58">
        <w:rPr>
          <w:szCs w:val="24"/>
        </w:rPr>
        <w:t>Demag</w:t>
      </w:r>
      <w:r w:rsidR="00500FF7" w:rsidRPr="00AA2F58">
        <w:rPr>
          <w:szCs w:val="24"/>
        </w:rPr>
        <w:t xml:space="preserve"> on 15 and 16 August </w:t>
      </w:r>
      <w:r w:rsidR="005B72A9" w:rsidRPr="00AA2F58">
        <w:rPr>
          <w:szCs w:val="24"/>
        </w:rPr>
        <w:t xml:space="preserve">2016 </w:t>
      </w:r>
      <w:r w:rsidR="00500FF7" w:rsidRPr="00AA2F58">
        <w:rPr>
          <w:szCs w:val="24"/>
        </w:rPr>
        <w:t>respectively</w:t>
      </w:r>
      <w:r w:rsidRPr="00AA2F58">
        <w:rPr>
          <w:szCs w:val="24"/>
        </w:rPr>
        <w:t>. In respect to the inter</w:t>
      </w:r>
      <w:r w:rsidR="000A7270" w:rsidRPr="00AA2F58">
        <w:rPr>
          <w:szCs w:val="24"/>
        </w:rPr>
        <w:t>-</w:t>
      </w:r>
      <w:r w:rsidRPr="00AA2F58">
        <w:rPr>
          <w:szCs w:val="24"/>
        </w:rPr>
        <w:t>parties communications, as pleaded, particular (ii) is not without its difficulties in the absence of the full documents. If it refers to the list of topics discussed</w:t>
      </w:r>
      <w:r w:rsidR="00102CCA" w:rsidRPr="00AA2F58">
        <w:rPr>
          <w:szCs w:val="24"/>
        </w:rPr>
        <w:t>,</w:t>
      </w:r>
      <w:r w:rsidRPr="00AA2F58">
        <w:rPr>
          <w:szCs w:val="24"/>
        </w:rPr>
        <w:t xml:space="preserve"> referred to in </w:t>
      </w:r>
      <w:r w:rsidR="001632AD" w:rsidRPr="00AA2F58">
        <w:rPr>
          <w:szCs w:val="24"/>
        </w:rPr>
        <w:t xml:space="preserve">particular </w:t>
      </w:r>
      <w:r w:rsidRPr="00AA2F58">
        <w:rPr>
          <w:szCs w:val="24"/>
        </w:rPr>
        <w:t>(i)</w:t>
      </w:r>
      <w:r w:rsidR="00102CCA" w:rsidRPr="00AA2F58">
        <w:rPr>
          <w:szCs w:val="24"/>
        </w:rPr>
        <w:t>,</w:t>
      </w:r>
      <w:r w:rsidRPr="00AA2F58">
        <w:rPr>
          <w:szCs w:val="24"/>
        </w:rPr>
        <w:t xml:space="preserve"> it appears that </w:t>
      </w:r>
      <w:r w:rsidR="00102CCA" w:rsidRPr="00AA2F58">
        <w:rPr>
          <w:szCs w:val="24"/>
        </w:rPr>
        <w:t>MHE-</w:t>
      </w:r>
      <w:r w:rsidRPr="00AA2F58">
        <w:rPr>
          <w:szCs w:val="24"/>
        </w:rPr>
        <w:t xml:space="preserve">Demag is responding </w:t>
      </w:r>
      <w:r w:rsidR="000A7270" w:rsidRPr="00AA2F58">
        <w:rPr>
          <w:szCs w:val="24"/>
        </w:rPr>
        <w:t xml:space="preserve">to </w:t>
      </w:r>
      <w:r w:rsidRPr="00AA2F58">
        <w:rPr>
          <w:szCs w:val="24"/>
        </w:rPr>
        <w:t>that list, which includes</w:t>
      </w:r>
      <w:r w:rsidR="001632AD" w:rsidRPr="00AA2F58">
        <w:rPr>
          <w:szCs w:val="24"/>
        </w:rPr>
        <w:t xml:space="preserve"> a statement to the effect that</w:t>
      </w:r>
      <w:r w:rsidRPr="00AA2F58">
        <w:rPr>
          <w:szCs w:val="24"/>
        </w:rPr>
        <w:t xml:space="preserve"> the non-targeting “all </w:t>
      </w:r>
      <w:r w:rsidR="001632AD" w:rsidRPr="00AA2F58">
        <w:rPr>
          <w:szCs w:val="24"/>
        </w:rPr>
        <w:t xml:space="preserve">looks </w:t>
      </w:r>
      <w:r w:rsidRPr="00AA2F58">
        <w:rPr>
          <w:szCs w:val="24"/>
        </w:rPr>
        <w:t>good</w:t>
      </w:r>
      <w:r w:rsidR="001632AD" w:rsidRPr="00AA2F58">
        <w:rPr>
          <w:szCs w:val="24"/>
        </w:rPr>
        <w:t>”,</w:t>
      </w:r>
      <w:r w:rsidRPr="00AA2F58">
        <w:rPr>
          <w:szCs w:val="24"/>
        </w:rPr>
        <w:t xml:space="preserve"> except for one unrelated aspect. However, this is in the context of the pleading in [7] and [8]. </w:t>
      </w:r>
      <w:r w:rsidR="00500FF7" w:rsidRPr="00AA2F58">
        <w:rPr>
          <w:szCs w:val="24"/>
        </w:rPr>
        <w:t xml:space="preserve">Particular (iii) and the meeting of </w:t>
      </w:r>
      <w:r w:rsidR="005B72A9" w:rsidRPr="00AA2F58">
        <w:rPr>
          <w:szCs w:val="24"/>
        </w:rPr>
        <w:t xml:space="preserve">NQCranes’ </w:t>
      </w:r>
      <w:r w:rsidR="00500FF7" w:rsidRPr="00AA2F58">
        <w:rPr>
          <w:szCs w:val="24"/>
        </w:rPr>
        <w:t xml:space="preserve">management is in the context of those communications in (i) and (ii). </w:t>
      </w:r>
    </w:p>
    <w:p w14:paraId="2737F19C" w14:textId="77777777" w:rsidR="0051744F" w:rsidRPr="00D85E66" w:rsidRDefault="0051744F" w:rsidP="0051744F">
      <w:pPr>
        <w:pStyle w:val="ParaNumbering"/>
      </w:pPr>
      <w:r w:rsidRPr="00D85E66">
        <w:rPr>
          <w:szCs w:val="24"/>
        </w:rPr>
        <w:t>I note ultimately the issue as pleaded is not whether only this provision was agreed in the negotiations, but whether it has been established that by no later than 17 August 2016, there was an arrangement to do as alleged. For present purposes, the issue is whether, given the basis of this application as articulated, it is established that there is no reasonable cause of action disclosed.</w:t>
      </w:r>
    </w:p>
    <w:p w14:paraId="283CA5F2" w14:textId="57104D65" w:rsidR="00E94238" w:rsidRPr="000D4DE3" w:rsidRDefault="001304FD" w:rsidP="00E94238">
      <w:pPr>
        <w:pStyle w:val="ParaNumbering"/>
        <w:rPr>
          <w:szCs w:val="24"/>
        </w:rPr>
      </w:pPr>
      <w:r w:rsidRPr="00BA639F">
        <w:rPr>
          <w:szCs w:val="24"/>
        </w:rPr>
        <w:lastRenderedPageBreak/>
        <w:t>I appreciate that the respondent</w:t>
      </w:r>
      <w:r w:rsidR="0037448D" w:rsidRPr="00BA639F">
        <w:rPr>
          <w:szCs w:val="24"/>
        </w:rPr>
        <w:t xml:space="preserve"> contended that the do</w:t>
      </w:r>
      <w:r w:rsidR="0037448D" w:rsidRPr="00D85E66">
        <w:rPr>
          <w:szCs w:val="24"/>
        </w:rPr>
        <w:t xml:space="preserve">cuments do not support </w:t>
      </w:r>
      <w:r w:rsidR="00811382" w:rsidRPr="00D85E66">
        <w:rPr>
          <w:szCs w:val="24"/>
        </w:rPr>
        <w:t>the particulars and therefore the pleading</w:t>
      </w:r>
      <w:r w:rsidR="0037448D" w:rsidRPr="00266572">
        <w:rPr>
          <w:szCs w:val="24"/>
        </w:rPr>
        <w:t xml:space="preserve"> is an abuse of process. NQCranes in its written submissions contended that </w:t>
      </w:r>
      <w:r w:rsidR="00ED1149" w:rsidRPr="00BA639F">
        <w:rPr>
          <w:szCs w:val="24"/>
        </w:rPr>
        <w:t xml:space="preserve">in </w:t>
      </w:r>
      <w:r w:rsidR="0037448D" w:rsidRPr="00BA639F">
        <w:t xml:space="preserve">considering whether to strike </w:t>
      </w:r>
      <w:r w:rsidR="00E71C12" w:rsidRPr="00BA639F">
        <w:t xml:space="preserve">out </w:t>
      </w:r>
      <w:r w:rsidR="0037448D" w:rsidRPr="00BA639F">
        <w:t>part of a pleading on the basis of an abuse of process, the Court is entitled to examine the cause of action which may involve a consideration of the evidence in the substantive</w:t>
      </w:r>
      <w:r w:rsidR="0037448D" w:rsidRPr="00BA639F">
        <w:rPr>
          <w:spacing w:val="-8"/>
        </w:rPr>
        <w:t xml:space="preserve"> </w:t>
      </w:r>
      <w:r w:rsidR="0037448D" w:rsidRPr="00BA639F">
        <w:t>case.</w:t>
      </w:r>
      <w:r w:rsidRPr="00BA639F">
        <w:t xml:space="preserve"> For that proposition</w:t>
      </w:r>
      <w:r w:rsidR="00E71C12" w:rsidRPr="00BA639F">
        <w:t>,</w:t>
      </w:r>
      <w:r w:rsidRPr="00BA639F">
        <w:t xml:space="preserve"> the </w:t>
      </w:r>
      <w:r w:rsidR="00E71C12" w:rsidRPr="00BA639F">
        <w:t xml:space="preserve">respondent </w:t>
      </w:r>
      <w:r w:rsidRPr="00BA639F">
        <w:t>refer</w:t>
      </w:r>
      <w:r w:rsidR="00E71C12" w:rsidRPr="00BA639F">
        <w:t>s</w:t>
      </w:r>
      <w:r w:rsidRPr="00BA639F">
        <w:t xml:space="preserve"> to </w:t>
      </w:r>
      <w:r w:rsidRPr="00BA639F">
        <w:rPr>
          <w:i/>
        </w:rPr>
        <w:t xml:space="preserve">Parbery &amp; Ors v QNI Metals Pty Ltd &amp; Ors </w:t>
      </w:r>
      <w:r w:rsidRPr="00BA639F">
        <w:t xml:space="preserve">[2018] QSC 240 </w:t>
      </w:r>
      <w:r w:rsidR="00CF10A2" w:rsidRPr="00BA639F">
        <w:t>(</w:t>
      </w:r>
      <w:r w:rsidR="00CF10A2" w:rsidRPr="00BA639F">
        <w:rPr>
          <w:i/>
        </w:rPr>
        <w:t>Parbery</w:t>
      </w:r>
      <w:r w:rsidR="00CF10A2" w:rsidRPr="00BA639F">
        <w:t xml:space="preserve">) </w:t>
      </w:r>
      <w:r w:rsidRPr="00BA639F">
        <w:t xml:space="preserve">per Jackson J at [146]-[147], noting that the rule under consideration </w:t>
      </w:r>
      <w:r w:rsidR="00CF10A2" w:rsidRPr="00BA639F">
        <w:t xml:space="preserve">in </w:t>
      </w:r>
      <w:r w:rsidR="00CF10A2" w:rsidRPr="00BA639F">
        <w:rPr>
          <w:i/>
        </w:rPr>
        <w:t xml:space="preserve">Parbery </w:t>
      </w:r>
      <w:r w:rsidRPr="00BA639F">
        <w:t xml:space="preserve">was r 171 of </w:t>
      </w:r>
      <w:r w:rsidR="00C7441C" w:rsidRPr="00BA639F">
        <w:t xml:space="preserve">the </w:t>
      </w:r>
      <w:r w:rsidRPr="00BA639F">
        <w:rPr>
          <w:i/>
        </w:rPr>
        <w:t xml:space="preserve">Uniform Civil Procedure Rules 1999 </w:t>
      </w:r>
      <w:r w:rsidRPr="00BA639F">
        <w:t>(Qld)</w:t>
      </w:r>
      <w:r w:rsidR="00C7441C" w:rsidRPr="00BA639F">
        <w:t>,</w:t>
      </w:r>
      <w:r w:rsidRPr="00BA639F">
        <w:t xml:space="preserve"> which by r</w:t>
      </w:r>
      <w:r w:rsidR="00C7441C" w:rsidRPr="00BA639F">
        <w:t> </w:t>
      </w:r>
      <w:r w:rsidRPr="00BA639F">
        <w:t xml:space="preserve">171(3) expressly refers to the receipt of evidence by the Court in a strike out application. </w:t>
      </w:r>
      <w:r w:rsidR="004461A2" w:rsidRPr="00BA639F">
        <w:t>No such</w:t>
      </w:r>
      <w:r w:rsidR="004E024E" w:rsidRPr="00BA639F">
        <w:t xml:space="preserve"> provision exists in the Rules.</w:t>
      </w:r>
      <w:r w:rsidR="00C472D2" w:rsidRPr="00BA639F">
        <w:t xml:space="preserve"> </w:t>
      </w:r>
      <w:r w:rsidRPr="00BA639F">
        <w:t xml:space="preserve">The respondent also referred to </w:t>
      </w:r>
      <w:r w:rsidRPr="00BA639F">
        <w:rPr>
          <w:i/>
        </w:rPr>
        <w:t>Batistatos</w:t>
      </w:r>
      <w:r w:rsidR="00A52863" w:rsidRPr="00BA639F">
        <w:rPr>
          <w:i/>
        </w:rPr>
        <w:t xml:space="preserve"> v Roads &amp; Traffic Authority of New South Wales </w:t>
      </w:r>
      <w:r w:rsidR="00A52863" w:rsidRPr="00BA639F">
        <w:t xml:space="preserve">[2006] HCA 27; (2006) </w:t>
      </w:r>
      <w:r w:rsidR="00A52863" w:rsidRPr="00BA639F">
        <w:rPr>
          <w:rFonts w:cs="Calibri"/>
          <w:szCs w:val="24"/>
          <w:lang w:val="en-US"/>
        </w:rPr>
        <w:t>226 CLR 256</w:t>
      </w:r>
      <w:r w:rsidRPr="00BA639F">
        <w:rPr>
          <w:i/>
        </w:rPr>
        <w:t xml:space="preserve"> </w:t>
      </w:r>
      <w:r w:rsidRPr="00BA639F">
        <w:t>where the High Court referred to the power of the Court to “inform… its conscience upon affidavit</w:t>
      </w:r>
      <w:r w:rsidR="000E62BA" w:rsidRPr="00BA639F">
        <w:t>s</w:t>
      </w:r>
      <w:r w:rsidRPr="00BA639F">
        <w:t>” in protecting its own processes, per Gleeson CJ, Gummow, Hayne and Crennan J</w:t>
      </w:r>
      <w:r w:rsidR="00A52863" w:rsidRPr="00BA639F">
        <w:t>J</w:t>
      </w:r>
      <w:r w:rsidRPr="00BA639F">
        <w:t xml:space="preserve"> at [11]. </w:t>
      </w:r>
      <w:r w:rsidR="0085012B" w:rsidRPr="00BA639F">
        <w:t xml:space="preserve">I note that there the </w:t>
      </w:r>
      <w:r w:rsidR="00811382" w:rsidRPr="00BA639F">
        <w:t xml:space="preserve">High </w:t>
      </w:r>
      <w:r w:rsidR="0085012B" w:rsidRPr="00BA639F">
        <w:t xml:space="preserve">Court was considering whether a stay of proceedings ought to be granted on the basis </w:t>
      </w:r>
      <w:r w:rsidR="006B7EAA" w:rsidRPr="00BA639F">
        <w:t xml:space="preserve">that </w:t>
      </w:r>
      <w:r w:rsidR="0085012B" w:rsidRPr="00BA639F">
        <w:t>the proceedings are an abuse of process. There will be circumstances where, given the basis of an application for a stay</w:t>
      </w:r>
      <w:r w:rsidR="006B7EAA" w:rsidRPr="00BA639F">
        <w:t>,</w:t>
      </w:r>
      <w:r w:rsidR="0085012B" w:rsidRPr="00BA639F">
        <w:t xml:space="preserve"> it will be necessary </w:t>
      </w:r>
      <w:r w:rsidR="004461A2" w:rsidRPr="00BA639F">
        <w:t>for evidence to be considered</w:t>
      </w:r>
      <w:r w:rsidR="00E94238" w:rsidRPr="00BA639F">
        <w:t xml:space="preserve"> (for example a stay based on prejudicial publicity, </w:t>
      </w:r>
      <w:r w:rsidR="00C472D2" w:rsidRPr="00BA639F">
        <w:t xml:space="preserve">or the </w:t>
      </w:r>
      <w:r w:rsidR="00E94238" w:rsidRPr="00BA639F">
        <w:t>ill health of an accused). This is a strike out application, and considered at an early stage of the proceedings. T</w:t>
      </w:r>
      <w:r w:rsidR="0085012B" w:rsidRPr="00BA639F">
        <w:t xml:space="preserve">he basis for the abuse </w:t>
      </w:r>
      <w:r w:rsidR="006B7EAA" w:rsidRPr="00BA639F">
        <w:t xml:space="preserve">of process argument in this case </w:t>
      </w:r>
      <w:r w:rsidR="0085012B" w:rsidRPr="00BA639F">
        <w:t xml:space="preserve">appears to be because </w:t>
      </w:r>
      <w:r w:rsidR="006B7EAA" w:rsidRPr="00BA639F">
        <w:t xml:space="preserve">it </w:t>
      </w:r>
      <w:r w:rsidR="0085012B" w:rsidRPr="00BA639F">
        <w:t xml:space="preserve">is alleged that the pleading </w:t>
      </w:r>
      <w:r w:rsidR="006B7EAA" w:rsidRPr="00BA639F">
        <w:t xml:space="preserve">has been introduced </w:t>
      </w:r>
      <w:r w:rsidR="0085012B" w:rsidRPr="00BA639F">
        <w:t xml:space="preserve">to get </w:t>
      </w:r>
      <w:r w:rsidRPr="00BA639F">
        <w:t>around the anti-overlap defence, which I have addressed above at [</w:t>
      </w:r>
      <w:r w:rsidR="006B7EAA" w:rsidRPr="00BA639F">
        <w:fldChar w:fldCharType="begin"/>
      </w:r>
      <w:r w:rsidR="006B7EAA" w:rsidRPr="00BA639F">
        <w:instrText xml:space="preserve"> REF _Ref83900171 \r \h </w:instrText>
      </w:r>
      <w:r w:rsidR="00E94238" w:rsidRPr="00BA639F">
        <w:instrText xml:space="preserve"> \* MERGEFORMAT </w:instrText>
      </w:r>
      <w:r w:rsidR="006B7EAA" w:rsidRPr="00BA639F">
        <w:fldChar w:fldCharType="separate"/>
      </w:r>
      <w:r w:rsidR="00F87C4E">
        <w:t>56</w:t>
      </w:r>
      <w:r w:rsidR="006B7EAA" w:rsidRPr="00BA639F">
        <w:fldChar w:fldCharType="end"/>
      </w:r>
      <w:r w:rsidRPr="00BA639F">
        <w:t>]</w:t>
      </w:r>
      <w:r w:rsidR="00E94238" w:rsidRPr="00BA639F">
        <w:t xml:space="preserve">. </w:t>
      </w:r>
      <w:r w:rsidR="0085012B" w:rsidRPr="00BA639F">
        <w:t>I note that th</w:t>
      </w:r>
      <w:r w:rsidR="0049508B" w:rsidRPr="00BA639F">
        <w:t>e respondent did not contend that</w:t>
      </w:r>
      <w:r w:rsidR="0085012B" w:rsidRPr="00BA639F">
        <w:t xml:space="preserve"> </w:t>
      </w:r>
      <w:r w:rsidR="00ED1149" w:rsidRPr="00D85E66">
        <w:t xml:space="preserve">the ACCC’s </w:t>
      </w:r>
      <w:r w:rsidR="0085012B" w:rsidRPr="00266572">
        <w:t xml:space="preserve">conduct </w:t>
      </w:r>
      <w:r w:rsidR="00ED1149" w:rsidRPr="00266572">
        <w:t xml:space="preserve">in amending the pleading </w:t>
      </w:r>
      <w:r w:rsidR="0049508B" w:rsidRPr="00266572">
        <w:t xml:space="preserve">per se </w:t>
      </w:r>
      <w:r w:rsidR="0085012B" w:rsidRPr="00F53AAB">
        <w:t xml:space="preserve">was improper. </w:t>
      </w:r>
      <w:r w:rsidR="00CF10A2" w:rsidRPr="00F53AAB">
        <w:t>In effect, the respondent alleges that the pleadi</w:t>
      </w:r>
      <w:r w:rsidR="00CF10A2" w:rsidRPr="00BA639F">
        <w:t xml:space="preserve">ng </w:t>
      </w:r>
      <w:r w:rsidR="00BE061A" w:rsidRPr="00BA639F">
        <w:t>is an abuse of process because</w:t>
      </w:r>
      <w:r w:rsidR="00CF10A2" w:rsidRPr="00BA639F">
        <w:t xml:space="preserve"> there is no reasonable cause of action as the evidence does not support the pleading</w:t>
      </w:r>
      <w:r w:rsidR="00CF10A2" w:rsidRPr="00D85E66">
        <w:t xml:space="preserve">. </w:t>
      </w:r>
      <w:r w:rsidR="00B65C1E" w:rsidRPr="00D85E66">
        <w:t xml:space="preserve">The failure to disclose a </w:t>
      </w:r>
      <w:r w:rsidR="004E024E" w:rsidRPr="00D85E66">
        <w:t>reasonable cause of action is a separate identified basis on which a pleading can be struck out.</w:t>
      </w:r>
      <w:r w:rsidR="004E024E" w:rsidRPr="00BA639F">
        <w:t xml:space="preserve"> </w:t>
      </w:r>
      <w:r w:rsidRPr="00BA639F">
        <w:t xml:space="preserve">The </w:t>
      </w:r>
      <w:r w:rsidR="0085012B" w:rsidRPr="00BA639F">
        <w:t>argument was</w:t>
      </w:r>
      <w:r w:rsidRPr="00BA639F">
        <w:t xml:space="preserve"> rather circu</w:t>
      </w:r>
      <w:r w:rsidRPr="000D4DE3">
        <w:t>lar.</w:t>
      </w:r>
      <w:r w:rsidR="00CF10A2" w:rsidRPr="000D4DE3">
        <w:t xml:space="preserve"> </w:t>
      </w:r>
      <w:r w:rsidR="00327285" w:rsidRPr="000D4DE3">
        <w:t>I</w:t>
      </w:r>
      <w:r w:rsidR="003235A2" w:rsidRPr="000D4DE3">
        <w:t>n the circumstances of this case, the</w:t>
      </w:r>
      <w:r w:rsidR="00012684" w:rsidRPr="000D4DE3">
        <w:t xml:space="preserve"> submission</w:t>
      </w:r>
      <w:r w:rsidR="003235A2" w:rsidRPr="000D4DE3">
        <w:t xml:space="preserve"> </w:t>
      </w:r>
      <w:r w:rsidR="00327285" w:rsidRPr="000D4DE3">
        <w:t>ought not</w:t>
      </w:r>
      <w:r w:rsidRPr="000D4DE3">
        <w:t xml:space="preserve"> circumvent the </w:t>
      </w:r>
      <w:r w:rsidR="00E86FA3" w:rsidRPr="000D4DE3">
        <w:t>orthodox</w:t>
      </w:r>
      <w:r w:rsidR="00322E7E" w:rsidRPr="000D4DE3">
        <w:t xml:space="preserve"> </w:t>
      </w:r>
      <w:r w:rsidRPr="000D4DE3">
        <w:t xml:space="preserve">approach </w:t>
      </w:r>
      <w:r w:rsidR="0085012B" w:rsidRPr="000D4DE3">
        <w:t>to an application to strike out the pleading on the basis that there is, inter alia, no reasonable cause of action.</w:t>
      </w:r>
      <w:r w:rsidR="00E94238" w:rsidRPr="000D4DE3">
        <w:t xml:space="preserve"> The submis</w:t>
      </w:r>
      <w:r w:rsidR="00E94238" w:rsidRPr="00266572">
        <w:t xml:space="preserve">sion is dependent on an assessment of the documents to which </w:t>
      </w:r>
      <w:r w:rsidR="00E94238" w:rsidRPr="000D4DE3">
        <w:t xml:space="preserve">attention was drawn. That is a submission on the merits as to what inferences can be drawn. </w:t>
      </w:r>
      <w:r w:rsidR="008E4D15" w:rsidRPr="000D4DE3">
        <w:t>In any event</w:t>
      </w:r>
      <w:r w:rsidR="004461A2" w:rsidRPr="000D4DE3">
        <w:t>,</w:t>
      </w:r>
      <w:r w:rsidR="002427A0" w:rsidRPr="000D4DE3">
        <w:t xml:space="preserve"> </w:t>
      </w:r>
      <w:r w:rsidR="003235A2" w:rsidRPr="000D4DE3">
        <w:t>in this case</w:t>
      </w:r>
      <w:r w:rsidR="00012684" w:rsidRPr="000D4DE3">
        <w:t>,</w:t>
      </w:r>
      <w:r w:rsidR="004461A2" w:rsidRPr="000D4DE3">
        <w:t xml:space="preserve"> it is plainly not appropriate to determine what inferences, o</w:t>
      </w:r>
      <w:r w:rsidR="006B7EAA" w:rsidRPr="000D4DE3">
        <w:t>r</w:t>
      </w:r>
      <w:r w:rsidR="004461A2" w:rsidRPr="000D4DE3">
        <w:t xml:space="preserve"> </w:t>
      </w:r>
      <w:r w:rsidR="002427A0" w:rsidRPr="000D4DE3">
        <w:t>which</w:t>
      </w:r>
      <w:r w:rsidR="003235A2" w:rsidRPr="000D4DE3">
        <w:t xml:space="preserve"> </w:t>
      </w:r>
      <w:r w:rsidR="004461A2" w:rsidRPr="000D4DE3">
        <w:t>competing inferences</w:t>
      </w:r>
      <w:r w:rsidR="006B7EAA" w:rsidRPr="000D4DE3">
        <w:t>,</w:t>
      </w:r>
      <w:r w:rsidR="004461A2" w:rsidRPr="000D4DE3">
        <w:t xml:space="preserve"> ought to be drawn </w:t>
      </w:r>
      <w:r w:rsidR="00012684" w:rsidRPr="000D4DE3">
        <w:t xml:space="preserve">or accepted </w:t>
      </w:r>
      <w:r w:rsidR="00CF10A2" w:rsidRPr="000D4DE3">
        <w:t xml:space="preserve">from the documents </w:t>
      </w:r>
      <w:r w:rsidR="00E94238" w:rsidRPr="000D4DE3">
        <w:t xml:space="preserve">which were addressed separately </w:t>
      </w:r>
      <w:r w:rsidR="004461A2" w:rsidRPr="000D4DE3">
        <w:t xml:space="preserve">at this stage of the proceedings, and in isolation from other evidence. </w:t>
      </w:r>
      <w:r w:rsidR="003C7F07" w:rsidRPr="000D4DE3">
        <w:t>Lastly</w:t>
      </w:r>
      <w:r w:rsidR="00383F53" w:rsidRPr="000D4DE3">
        <w:t xml:space="preserve">, </w:t>
      </w:r>
      <w:r w:rsidR="003C7F07" w:rsidRPr="000D4DE3">
        <w:t xml:space="preserve">in any case, I note that </w:t>
      </w:r>
      <w:r w:rsidR="00383F53" w:rsidRPr="000D4DE3">
        <w:t xml:space="preserve">the respondent accepted at the hearing that if the arrangement is properly pleaded, the pleading is not an abuse </w:t>
      </w:r>
      <w:r w:rsidR="003C7F07" w:rsidRPr="000D4DE3">
        <w:t xml:space="preserve">of process </w:t>
      </w:r>
      <w:r w:rsidR="00383F53" w:rsidRPr="000D4DE3">
        <w:t>(as noted above at [</w:t>
      </w:r>
      <w:r w:rsidR="00383F53" w:rsidRPr="000D4DE3">
        <w:fldChar w:fldCharType="begin"/>
      </w:r>
      <w:r w:rsidR="00383F53" w:rsidRPr="000D4DE3">
        <w:instrText xml:space="preserve"> REF _Ref83901280 \r \h  \* MERGEFORMAT </w:instrText>
      </w:r>
      <w:r w:rsidR="00383F53" w:rsidRPr="000D4DE3">
        <w:fldChar w:fldCharType="separate"/>
      </w:r>
      <w:r w:rsidR="00F87C4E">
        <w:t>28</w:t>
      </w:r>
      <w:r w:rsidR="00383F53" w:rsidRPr="000D4DE3">
        <w:fldChar w:fldCharType="end"/>
      </w:r>
      <w:r w:rsidR="00383F53" w:rsidRPr="000D4DE3">
        <w:t>])</w:t>
      </w:r>
      <w:r w:rsidR="00815476">
        <w:t>.</w:t>
      </w:r>
    </w:p>
    <w:p w14:paraId="39B6F833" w14:textId="33887827" w:rsidR="007A7DA0" w:rsidRPr="008B590E" w:rsidRDefault="002427A0" w:rsidP="007A7DA0">
      <w:pPr>
        <w:pStyle w:val="ParaNumbering"/>
      </w:pPr>
      <w:r>
        <w:lastRenderedPageBreak/>
        <w:t>Altho</w:t>
      </w:r>
      <w:r w:rsidRPr="000D4DE3">
        <w:t>ugh there may be some</w:t>
      </w:r>
      <w:r w:rsidR="00F7329A" w:rsidRPr="000D4DE3">
        <w:t xml:space="preserve"> strength to </w:t>
      </w:r>
      <w:r w:rsidR="004E024E" w:rsidRPr="000D4DE3">
        <w:t>aspect</w:t>
      </w:r>
      <w:r w:rsidR="001539EC" w:rsidRPr="000D4DE3">
        <w:t>s</w:t>
      </w:r>
      <w:r w:rsidR="004E024E" w:rsidRPr="000D4DE3">
        <w:t xml:space="preserve"> of </w:t>
      </w:r>
      <w:r w:rsidR="00F7329A" w:rsidRPr="000D4DE3">
        <w:t>NQCranes</w:t>
      </w:r>
      <w:r w:rsidR="00102CCA" w:rsidRPr="000D4DE3">
        <w:t>’</w:t>
      </w:r>
      <w:r w:rsidR="00F7329A" w:rsidRPr="000D4DE3">
        <w:t xml:space="preserve"> submission</w:t>
      </w:r>
      <w:r w:rsidR="004E024E" w:rsidRPr="000D4DE3">
        <w:t xml:space="preserve">, </w:t>
      </w:r>
      <w:r w:rsidR="00102CCA" w:rsidRPr="000D4DE3">
        <w:t>considering</w:t>
      </w:r>
      <w:r w:rsidR="007A7AEF" w:rsidRPr="000D4DE3">
        <w:t xml:space="preserve"> the </w:t>
      </w:r>
      <w:r w:rsidR="00F7329A" w:rsidRPr="000D4DE3">
        <w:t>pleading in [9] in its context, the r</w:t>
      </w:r>
      <w:r w:rsidR="00F7329A" w:rsidRPr="008B590E">
        <w:t xml:space="preserve">espondent </w:t>
      </w:r>
      <w:r w:rsidR="001539EC" w:rsidRPr="008B590E">
        <w:t xml:space="preserve">has </w:t>
      </w:r>
      <w:r w:rsidR="00F7329A" w:rsidRPr="008B590E">
        <w:t xml:space="preserve">not established that there is no reasonable cause of action. NQCranes has not overcome the substantial hurdle necessary to succeed </w:t>
      </w:r>
      <w:r w:rsidR="00FC69C1" w:rsidRPr="008B590E">
        <w:t>on this</w:t>
      </w:r>
      <w:r w:rsidR="00F7329A" w:rsidRPr="008B590E">
        <w:t xml:space="preserve"> basis of </w:t>
      </w:r>
      <w:r w:rsidR="00FC69C1" w:rsidRPr="008B590E">
        <w:t>the application.</w:t>
      </w:r>
    </w:p>
    <w:p w14:paraId="3B5C9AB6" w14:textId="77777777" w:rsidR="00FC69C1" w:rsidRPr="00AA2F58" w:rsidRDefault="00FC69C1" w:rsidP="00FC69C1">
      <w:pPr>
        <w:pStyle w:val="ParaNumbering"/>
        <w:rPr>
          <w:szCs w:val="24"/>
        </w:rPr>
      </w:pPr>
      <w:r w:rsidRPr="00AA2F58">
        <w:rPr>
          <w:szCs w:val="24"/>
        </w:rPr>
        <w:t>Tu</w:t>
      </w:r>
      <w:r w:rsidR="00813D39" w:rsidRPr="00AA2F58">
        <w:rPr>
          <w:szCs w:val="24"/>
        </w:rPr>
        <w:t xml:space="preserve">rning to the </w:t>
      </w:r>
      <w:r w:rsidR="00D5692F" w:rsidRPr="00AA2F58">
        <w:rPr>
          <w:szCs w:val="24"/>
        </w:rPr>
        <w:t xml:space="preserve">matter identified by NQCranes as </w:t>
      </w:r>
      <w:r w:rsidR="00D17BF0" w:rsidRPr="00AA2F58">
        <w:rPr>
          <w:szCs w:val="24"/>
        </w:rPr>
        <w:t xml:space="preserve">the </w:t>
      </w:r>
      <w:r w:rsidR="00813D39" w:rsidRPr="00AA2F58">
        <w:rPr>
          <w:szCs w:val="24"/>
        </w:rPr>
        <w:t xml:space="preserve">second </w:t>
      </w:r>
      <w:r w:rsidR="00D17BF0" w:rsidRPr="00AA2F58">
        <w:rPr>
          <w:szCs w:val="24"/>
        </w:rPr>
        <w:t xml:space="preserve">basis of the </w:t>
      </w:r>
      <w:r w:rsidRPr="00AA2F58">
        <w:rPr>
          <w:szCs w:val="24"/>
        </w:rPr>
        <w:t>complaint</w:t>
      </w:r>
      <w:r w:rsidR="00D17BF0" w:rsidRPr="00AA2F58">
        <w:rPr>
          <w:szCs w:val="24"/>
        </w:rPr>
        <w:t>,</w:t>
      </w:r>
      <w:r w:rsidRPr="00AA2F58">
        <w:rPr>
          <w:szCs w:val="24"/>
        </w:rPr>
        <w:t xml:space="preserve"> that the pleading in relation to the Non-Targeting Arrangement is incoherent, likely to cause prejudice, embarrass</w:t>
      </w:r>
      <w:r w:rsidR="006403F8" w:rsidRPr="00AA2F58">
        <w:rPr>
          <w:szCs w:val="24"/>
        </w:rPr>
        <w:t>ment</w:t>
      </w:r>
      <w:r w:rsidRPr="00AA2F58">
        <w:rPr>
          <w:szCs w:val="24"/>
        </w:rPr>
        <w:t xml:space="preserve"> or delay. </w:t>
      </w:r>
      <w:r w:rsidR="004C3600" w:rsidRPr="00AA2F58">
        <w:rPr>
          <w:szCs w:val="24"/>
        </w:rPr>
        <w:t xml:space="preserve">This submission also encompassed an allegation </w:t>
      </w:r>
      <w:r w:rsidR="009A2B9E" w:rsidRPr="00AA2F58">
        <w:rPr>
          <w:szCs w:val="24"/>
        </w:rPr>
        <w:t xml:space="preserve">that </w:t>
      </w:r>
      <w:r w:rsidR="004C3600" w:rsidRPr="00AA2F58">
        <w:rPr>
          <w:szCs w:val="24"/>
        </w:rPr>
        <w:t xml:space="preserve">the pleading </w:t>
      </w:r>
      <w:r w:rsidR="009A2B9E" w:rsidRPr="00AA2F58">
        <w:rPr>
          <w:szCs w:val="24"/>
        </w:rPr>
        <w:t xml:space="preserve">is </w:t>
      </w:r>
      <w:r w:rsidR="004C3600" w:rsidRPr="00AA2F58">
        <w:rPr>
          <w:szCs w:val="24"/>
        </w:rPr>
        <w:t xml:space="preserve">an abuse of process. </w:t>
      </w:r>
    </w:p>
    <w:p w14:paraId="6AA81E51" w14:textId="3AFBE85F" w:rsidR="0040442F" w:rsidRPr="00BA639F" w:rsidRDefault="00D17BF0" w:rsidP="0040442F">
      <w:pPr>
        <w:pStyle w:val="ParaNumbering"/>
        <w:rPr>
          <w:color w:val="333333"/>
          <w:szCs w:val="24"/>
        </w:rPr>
      </w:pPr>
      <w:r w:rsidRPr="00AA68AB">
        <w:rPr>
          <w:szCs w:val="24"/>
        </w:rPr>
        <w:t>I</w:t>
      </w:r>
      <w:r w:rsidR="00AD2951" w:rsidRPr="00AA68AB">
        <w:rPr>
          <w:szCs w:val="24"/>
        </w:rPr>
        <w:t xml:space="preserve">t was apparent from </w:t>
      </w:r>
      <w:r w:rsidRPr="00AA68AB">
        <w:rPr>
          <w:szCs w:val="24"/>
        </w:rPr>
        <w:t>NQCranes</w:t>
      </w:r>
      <w:r w:rsidR="00E54915" w:rsidRPr="00AA68AB">
        <w:rPr>
          <w:szCs w:val="24"/>
        </w:rPr>
        <w:t>’</w:t>
      </w:r>
      <w:r w:rsidRPr="00AA68AB">
        <w:rPr>
          <w:szCs w:val="24"/>
        </w:rPr>
        <w:t xml:space="preserve"> </w:t>
      </w:r>
      <w:r w:rsidR="00AD2951" w:rsidRPr="00AA68AB">
        <w:rPr>
          <w:szCs w:val="24"/>
        </w:rPr>
        <w:t>submissions that it did not app</w:t>
      </w:r>
      <w:r w:rsidRPr="00AA68AB">
        <w:rPr>
          <w:szCs w:val="24"/>
        </w:rPr>
        <w:t xml:space="preserve">ear really to be contended that it </w:t>
      </w:r>
      <w:r w:rsidR="0040442F" w:rsidRPr="00AA68AB">
        <w:rPr>
          <w:szCs w:val="24"/>
        </w:rPr>
        <w:t xml:space="preserve">did not know the case it had to meet. </w:t>
      </w:r>
      <w:r w:rsidR="008B3E64" w:rsidRPr="00AA68AB">
        <w:rPr>
          <w:szCs w:val="24"/>
        </w:rPr>
        <w:t>Leaving aside the issue of proof, the allegation</w:t>
      </w:r>
      <w:r w:rsidR="0011679E" w:rsidRPr="00AA68AB">
        <w:rPr>
          <w:szCs w:val="24"/>
        </w:rPr>
        <w:t xml:space="preserve"> as pleaded</w:t>
      </w:r>
      <w:r w:rsidR="008B3E64" w:rsidRPr="00AA68AB">
        <w:rPr>
          <w:szCs w:val="24"/>
        </w:rPr>
        <w:t xml:space="preserve"> is straight forward. </w:t>
      </w:r>
      <w:r w:rsidR="004C3600" w:rsidRPr="00AA68AB">
        <w:rPr>
          <w:szCs w:val="24"/>
        </w:rPr>
        <w:t xml:space="preserve">Rather, </w:t>
      </w:r>
      <w:r w:rsidR="004E024E" w:rsidRPr="00AA68AB">
        <w:rPr>
          <w:szCs w:val="24"/>
        </w:rPr>
        <w:t xml:space="preserve">NQCranes’ </w:t>
      </w:r>
      <w:r w:rsidR="004C3600" w:rsidRPr="00AA68AB">
        <w:rPr>
          <w:szCs w:val="24"/>
        </w:rPr>
        <w:t>complaint was re</w:t>
      </w:r>
      <w:r w:rsidR="008B3E64" w:rsidRPr="00AA68AB">
        <w:rPr>
          <w:szCs w:val="24"/>
        </w:rPr>
        <w:t xml:space="preserve">ally </w:t>
      </w:r>
      <w:r w:rsidR="00CA2832">
        <w:rPr>
          <w:szCs w:val="24"/>
        </w:rPr>
        <w:t>focussed on the</w:t>
      </w:r>
      <w:r w:rsidR="008B3E64" w:rsidRPr="00AA68AB">
        <w:rPr>
          <w:szCs w:val="24"/>
        </w:rPr>
        <w:t xml:space="preserve"> Non-Targeting Arrangement</w:t>
      </w:r>
      <w:r w:rsidR="004C3600" w:rsidRPr="00AA68AB">
        <w:rPr>
          <w:szCs w:val="24"/>
        </w:rPr>
        <w:t xml:space="preserve"> being a contrivance. </w:t>
      </w:r>
    </w:p>
    <w:p w14:paraId="4EA00056" w14:textId="77777777" w:rsidR="008B3E64" w:rsidRPr="00BA639F" w:rsidRDefault="008B3E64" w:rsidP="004C3600">
      <w:pPr>
        <w:pStyle w:val="ParaNumbering"/>
      </w:pPr>
      <w:bookmarkStart w:id="36" w:name="_Ref84847140"/>
      <w:r w:rsidRPr="00D85E66">
        <w:t>There was some issue raised as</w:t>
      </w:r>
      <w:r w:rsidRPr="00BA639F">
        <w:t xml:space="preserve"> to whether this arrangement was pleaded as an alternative. The </w:t>
      </w:r>
      <w:r w:rsidR="004C3600" w:rsidRPr="00BA639F">
        <w:t xml:space="preserve">ACCC submitted it is apparent </w:t>
      </w:r>
      <w:r w:rsidR="004E024E" w:rsidRPr="00BA639F">
        <w:t xml:space="preserve">from </w:t>
      </w:r>
      <w:r w:rsidR="004E024E" w:rsidRPr="00D85E66">
        <w:t xml:space="preserve">the ASOC that </w:t>
      </w:r>
      <w:r w:rsidR="004C3600" w:rsidRPr="00D85E66">
        <w:t>what</w:t>
      </w:r>
      <w:r w:rsidR="004C3600" w:rsidRPr="00BA639F">
        <w:t xml:space="preserve"> is all</w:t>
      </w:r>
      <w:r w:rsidRPr="00BA639F">
        <w:t>eged is a separate arrangement. In its written submission NQCranes a</w:t>
      </w:r>
      <w:r w:rsidRPr="00D85E66">
        <w:t>pproached its argument on the basis that it is a separate arrangement. Indeed, that is the basis of the argument as to incoherence, that the same conduct is said to relate to separate arrangements. As the ACCC submitted, if that needed clarification they c</w:t>
      </w:r>
      <w:r w:rsidRPr="00266572">
        <w:t xml:space="preserve">ould do so </w:t>
      </w:r>
      <w:r w:rsidR="004C3600" w:rsidRPr="00266572">
        <w:t xml:space="preserve">by insertion of the words </w:t>
      </w:r>
      <w:r w:rsidR="006403F8" w:rsidRPr="00266572">
        <w:t xml:space="preserve">“further, or in the alternative” </w:t>
      </w:r>
      <w:r w:rsidR="004C3600" w:rsidRPr="00F53AAB">
        <w:t xml:space="preserve">at the commencement of [10] of the ASOC, to make it clear that this is alleged to be a separate arrangement entered into by the parties. </w:t>
      </w:r>
      <w:r w:rsidRPr="00BA639F">
        <w:t>I would grant leave for that amendment to be made.</w:t>
      </w:r>
      <w:bookmarkEnd w:id="36"/>
      <w:r w:rsidRPr="00BA639F">
        <w:t xml:space="preserve"> </w:t>
      </w:r>
    </w:p>
    <w:p w14:paraId="6B39C732" w14:textId="77777777" w:rsidR="00C468A9" w:rsidRPr="008B590E" w:rsidRDefault="00C468A9" w:rsidP="00D13660">
      <w:pPr>
        <w:pStyle w:val="ParaNumbering"/>
      </w:pPr>
      <w:r w:rsidRPr="008B590E">
        <w:t xml:space="preserve">This </w:t>
      </w:r>
      <w:r w:rsidR="00251699" w:rsidRPr="008B590E">
        <w:t xml:space="preserve">second </w:t>
      </w:r>
      <w:r w:rsidRPr="008B590E">
        <w:t xml:space="preserve">submission, although advanced in addressing the </w:t>
      </w:r>
      <w:r w:rsidR="0079219B" w:rsidRPr="008B590E">
        <w:t xml:space="preserve">pleadings concerning the making of the </w:t>
      </w:r>
      <w:r w:rsidR="009A2B9E" w:rsidRPr="008B590E">
        <w:t>Non-Targeting Arrangement,</w:t>
      </w:r>
      <w:r w:rsidR="00FE38C0" w:rsidRPr="008B590E">
        <w:t xml:space="preserve"> relied</w:t>
      </w:r>
      <w:r w:rsidRPr="008B590E">
        <w:t xml:space="preserve"> also on the plead</w:t>
      </w:r>
      <w:r w:rsidR="004C3600" w:rsidRPr="008B590E">
        <w:t>ings in respect to</w:t>
      </w:r>
      <w:r w:rsidR="006403F8" w:rsidRPr="008B590E">
        <w:t xml:space="preserve"> the</w:t>
      </w:r>
      <w:r w:rsidR="004C3600" w:rsidRPr="008B590E">
        <w:t xml:space="preserve"> give effect</w:t>
      </w:r>
      <w:r w:rsidR="009A2B9E" w:rsidRPr="008B590E">
        <w:t xml:space="preserve"> case for the Non-Targeting Arrangement</w:t>
      </w:r>
      <w:r w:rsidR="004C3600" w:rsidRPr="008B590E">
        <w:t xml:space="preserve">. </w:t>
      </w:r>
    </w:p>
    <w:p w14:paraId="229BAED8" w14:textId="77777777" w:rsidR="00055ADE" w:rsidRPr="00AA2F58" w:rsidRDefault="00FE38C0" w:rsidP="00055ADE">
      <w:pPr>
        <w:pStyle w:val="ParaNumbering"/>
      </w:pPr>
      <w:r w:rsidRPr="00AA2F58">
        <w:t>In this context, NQCranes submitted that there were “</w:t>
      </w:r>
      <w:r w:rsidR="00055ADE" w:rsidRPr="00AA2F58">
        <w:t>two separate and complete meeting of minds</w:t>
      </w:r>
      <w:r w:rsidRPr="00AA2F58">
        <w:t xml:space="preserve">” </w:t>
      </w:r>
      <w:r w:rsidR="00055ADE" w:rsidRPr="00AA2F58">
        <w:t xml:space="preserve">relevantly </w:t>
      </w:r>
      <w:r w:rsidRPr="00AA2F58">
        <w:t xml:space="preserve">to </w:t>
      </w:r>
      <w:r w:rsidR="00055ADE" w:rsidRPr="00AA2F58">
        <w:t xml:space="preserve">the same effect, and which </w:t>
      </w:r>
      <w:r w:rsidRPr="00AA2F58">
        <w:t xml:space="preserve">were concurrent </w:t>
      </w:r>
      <w:r w:rsidR="00055ADE" w:rsidRPr="00AA2F58">
        <w:t>and</w:t>
      </w:r>
      <w:r w:rsidR="00055ADE" w:rsidRPr="00AA2F58">
        <w:rPr>
          <w:spacing w:val="-12"/>
        </w:rPr>
        <w:t xml:space="preserve"> </w:t>
      </w:r>
      <w:r w:rsidR="00055ADE" w:rsidRPr="00AA2F58">
        <w:t>operated</w:t>
      </w:r>
      <w:r w:rsidR="00055ADE" w:rsidRPr="00AA2F58">
        <w:rPr>
          <w:spacing w:val="-13"/>
        </w:rPr>
        <w:t xml:space="preserve"> </w:t>
      </w:r>
      <w:r w:rsidR="00055ADE" w:rsidRPr="00AA2F58">
        <w:t>for</w:t>
      </w:r>
      <w:r w:rsidRPr="00AA2F58">
        <w:rPr>
          <w:spacing w:val="-12"/>
        </w:rPr>
        <w:t xml:space="preserve"> </w:t>
      </w:r>
      <w:r w:rsidR="00055ADE" w:rsidRPr="00AA2F58">
        <w:t>two</w:t>
      </w:r>
      <w:r w:rsidR="00055ADE" w:rsidRPr="00AA2F58">
        <w:rPr>
          <w:spacing w:val="-11"/>
        </w:rPr>
        <w:t xml:space="preserve"> </w:t>
      </w:r>
      <w:r w:rsidR="00055ADE" w:rsidRPr="00AA2F58">
        <w:t>years</w:t>
      </w:r>
      <w:r w:rsidR="00055ADE" w:rsidRPr="00AA2F58">
        <w:rPr>
          <w:spacing w:val="-11"/>
        </w:rPr>
        <w:t xml:space="preserve"> </w:t>
      </w:r>
      <w:r w:rsidR="00055ADE" w:rsidRPr="00AA2F58">
        <w:t>so</w:t>
      </w:r>
      <w:r w:rsidR="00055ADE" w:rsidRPr="00AA2F58">
        <w:rPr>
          <w:spacing w:val="-11"/>
        </w:rPr>
        <w:t xml:space="preserve"> </w:t>
      </w:r>
      <w:r w:rsidR="00055ADE" w:rsidRPr="00AA2F58">
        <w:t>tha</w:t>
      </w:r>
      <w:r w:rsidRPr="00AA2F58">
        <w:t xml:space="preserve">t </w:t>
      </w:r>
      <w:r w:rsidR="00055ADE" w:rsidRPr="00AA2F58">
        <w:t xml:space="preserve">the same conduct was giving effect to both the </w:t>
      </w:r>
      <w:r w:rsidR="00E741D2" w:rsidRPr="00AA2F58">
        <w:t>Non-Targeting Arrangement and the Co-Ordinated Approach Provision</w:t>
      </w:r>
      <w:r w:rsidRPr="00AA2F58">
        <w:t>. The submission is concerned with the artificiality of the allegation, which is said to be a contrivance to overcome the anti-overlap provisions</w:t>
      </w:r>
    </w:p>
    <w:p w14:paraId="498F5AAD" w14:textId="77777777" w:rsidR="00251699" w:rsidRPr="00AA2F58" w:rsidRDefault="00251699" w:rsidP="00251699">
      <w:pPr>
        <w:pStyle w:val="ParaNumbering"/>
        <w:rPr>
          <w:color w:val="333333"/>
          <w:szCs w:val="24"/>
        </w:rPr>
      </w:pPr>
      <w:r w:rsidRPr="008B590E">
        <w:t xml:space="preserve">As previously observed, there is no logical basis to suggest that an understanding or arrangement cannot be reached and put into effect before a formal agreement. </w:t>
      </w:r>
      <w:r w:rsidRPr="00AA2F58">
        <w:t xml:space="preserve">It is appropriate </w:t>
      </w:r>
      <w:r w:rsidRPr="00AA2F58">
        <w:lastRenderedPageBreak/>
        <w:t xml:space="preserve">to return to that discussion. The submission advanced by the ACCC to illustrate the proposition was </w:t>
      </w:r>
      <w:r w:rsidR="007612E1" w:rsidRPr="00AA2F58">
        <w:t xml:space="preserve">by </w:t>
      </w:r>
      <w:r w:rsidRPr="00AA2F58">
        <w:t>reference to the fact that an interim agreement may be put in place. To be more specific, in that context, the ACCC submitted that:</w:t>
      </w:r>
    </w:p>
    <w:p w14:paraId="1B968042" w14:textId="77777777" w:rsidR="00251699" w:rsidRPr="004B0027" w:rsidRDefault="00251699" w:rsidP="002A5ECA">
      <w:pPr>
        <w:pStyle w:val="Quote1"/>
      </w:pPr>
      <w:r w:rsidRPr="004B0027">
        <w:t xml:space="preserve">It may turn out that the evidence will be that…the parties decided that they wanted to in the interim put in place – or maybe not even in the interim. Maybe an ongoing arrangement whereby, before finalising the detail of the distribution agreement, they would give effect to Brisbane and Newcastle.  </w:t>
      </w:r>
    </w:p>
    <w:p w14:paraId="77C31C8B" w14:textId="77777777" w:rsidR="00251699" w:rsidRPr="007612E1" w:rsidRDefault="00251699" w:rsidP="007612E1">
      <w:pPr>
        <w:pStyle w:val="ParaNumbering"/>
      </w:pPr>
      <w:r>
        <w:t xml:space="preserve">The give effect </w:t>
      </w:r>
      <w:r w:rsidR="00BE0DF0">
        <w:t>case concerning</w:t>
      </w:r>
      <w:r>
        <w:t xml:space="preserve"> the Non-Targeting </w:t>
      </w:r>
      <w:r w:rsidR="00A65131">
        <w:t>A</w:t>
      </w:r>
      <w:r>
        <w:t>rrangement is pleaded as continuing at least until 18</w:t>
      </w:r>
      <w:r w:rsidR="008A791F">
        <w:t> </w:t>
      </w:r>
      <w:r>
        <w:t>October</w:t>
      </w:r>
      <w:r w:rsidR="008A791F">
        <w:t> </w:t>
      </w:r>
      <w:r>
        <w:t xml:space="preserve">2018, not as an interim arrangement. </w:t>
      </w:r>
      <w:r w:rsidR="007612E1">
        <w:t xml:space="preserve">Two of the matters pleaded as giving effect to </w:t>
      </w:r>
      <w:r w:rsidR="008A791F">
        <w:t xml:space="preserve">the </w:t>
      </w:r>
      <w:r w:rsidR="007612E1">
        <w:t>Non-</w:t>
      </w:r>
      <w:r w:rsidR="00BE0DF0">
        <w:t>T</w:t>
      </w:r>
      <w:r w:rsidR="007612E1">
        <w:t xml:space="preserve">argeting Arrangement are alleged to have occurred before </w:t>
      </w:r>
      <w:r w:rsidR="008A791F">
        <w:t xml:space="preserve">entering into </w:t>
      </w:r>
      <w:r w:rsidR="007612E1">
        <w:t xml:space="preserve">the </w:t>
      </w:r>
      <w:r w:rsidR="005A790B" w:rsidRPr="005A790B">
        <w:t>Distributorship Agreement</w:t>
      </w:r>
      <w:r w:rsidR="007612E1">
        <w:t>. The remainder are those also pleaded in relation to the Co-</w:t>
      </w:r>
      <w:r w:rsidR="00BE0DF0">
        <w:t>O</w:t>
      </w:r>
      <w:r w:rsidR="007612E1">
        <w:t xml:space="preserve">rdinated Approach Provision. </w:t>
      </w:r>
    </w:p>
    <w:p w14:paraId="132B0605" w14:textId="77777777" w:rsidR="00055ADE" w:rsidRPr="008B590E" w:rsidRDefault="007612E1" w:rsidP="003F00AF">
      <w:pPr>
        <w:pStyle w:val="ParaNumbering"/>
      </w:pPr>
      <w:r w:rsidRPr="008B590E">
        <w:t xml:space="preserve">Speaking at a level of generality, there appears to be no reason why, as a matter of logic, actions could not be undertaken pursuant to more than one agreement. That, of course, says nothing about whether that is so in the circumstances of this case. That was not the subject of any direct submission in this case. </w:t>
      </w:r>
      <w:r w:rsidR="00813D39" w:rsidRPr="008B590E">
        <w:t xml:space="preserve">In any event, whether that occurred in this case would be a matter of evidence, and not a matter to be decided on a strike out application. </w:t>
      </w:r>
      <w:r w:rsidR="0051744F" w:rsidRPr="008B590E">
        <w:t xml:space="preserve"> </w:t>
      </w:r>
    </w:p>
    <w:p w14:paraId="7492BBAA" w14:textId="77777777" w:rsidR="003F00AF" w:rsidRPr="003F00AF" w:rsidRDefault="003F00AF" w:rsidP="003F00AF">
      <w:pPr>
        <w:pStyle w:val="ParaNumbering"/>
        <w:rPr>
          <w:color w:val="333333"/>
          <w:szCs w:val="24"/>
        </w:rPr>
      </w:pPr>
      <w:r w:rsidRPr="008B590E">
        <w:t xml:space="preserve">This aspect of the second submission by NQCranes was the basis of its contention that the Non-Targeting Arrangement </w:t>
      </w:r>
      <w:r>
        <w:t>should be treated analogous</w:t>
      </w:r>
      <w:r w:rsidR="008A791F">
        <w:t>ly</w:t>
      </w:r>
      <w:r>
        <w:t xml:space="preserve"> to </w:t>
      </w:r>
      <w:r w:rsidRPr="00527BA7">
        <w:rPr>
          <w:i/>
        </w:rPr>
        <w:t>Allied Mills</w:t>
      </w:r>
      <w:r>
        <w:t xml:space="preserve">, and </w:t>
      </w:r>
      <w:r w:rsidR="004C3600">
        <w:t xml:space="preserve">therefore </w:t>
      </w:r>
      <w:r>
        <w:t xml:space="preserve">struck out as an abuse of process. It was submitted </w:t>
      </w:r>
      <w:r w:rsidRPr="00527BA7">
        <w:rPr>
          <w:i/>
        </w:rPr>
        <w:t>Allied Mills</w:t>
      </w:r>
      <w:r>
        <w:t xml:space="preserve"> stood for the proposition that where a conspiracy to make an unlawful arrangement or understanding is pleaded in the alternative to making an identical unlawful arrangement or understanding in order to</w:t>
      </w:r>
      <w:r w:rsidRPr="003F00AF">
        <w:rPr>
          <w:spacing w:val="-7"/>
        </w:rPr>
        <w:t xml:space="preserve"> </w:t>
      </w:r>
      <w:r>
        <w:t>gain</w:t>
      </w:r>
      <w:r w:rsidRPr="003F00AF">
        <w:rPr>
          <w:spacing w:val="-4"/>
        </w:rPr>
        <w:t xml:space="preserve"> </w:t>
      </w:r>
      <w:r>
        <w:t>a</w:t>
      </w:r>
      <w:r w:rsidRPr="003F00AF">
        <w:rPr>
          <w:spacing w:val="-8"/>
        </w:rPr>
        <w:t xml:space="preserve"> </w:t>
      </w:r>
      <w:r>
        <w:t>forensic</w:t>
      </w:r>
      <w:r w:rsidRPr="003F00AF">
        <w:rPr>
          <w:spacing w:val="-5"/>
        </w:rPr>
        <w:t xml:space="preserve"> </w:t>
      </w:r>
      <w:r>
        <w:t>advantage,</w:t>
      </w:r>
      <w:r w:rsidRPr="003F00AF">
        <w:rPr>
          <w:spacing w:val="-4"/>
        </w:rPr>
        <w:t xml:space="preserve"> </w:t>
      </w:r>
      <w:r>
        <w:t>the</w:t>
      </w:r>
      <w:r w:rsidRPr="003F00AF">
        <w:rPr>
          <w:spacing w:val="-6"/>
        </w:rPr>
        <w:t xml:space="preserve"> </w:t>
      </w:r>
      <w:r>
        <w:t>conspiracy</w:t>
      </w:r>
      <w:r w:rsidRPr="003F00AF">
        <w:rPr>
          <w:spacing w:val="-6"/>
        </w:rPr>
        <w:t xml:space="preserve"> </w:t>
      </w:r>
      <w:r>
        <w:t>will</w:t>
      </w:r>
      <w:r w:rsidRPr="003F00AF">
        <w:rPr>
          <w:spacing w:val="-7"/>
        </w:rPr>
        <w:t xml:space="preserve"> </w:t>
      </w:r>
      <w:r>
        <w:t>be</w:t>
      </w:r>
      <w:r w:rsidRPr="003F00AF">
        <w:rPr>
          <w:spacing w:val="-4"/>
        </w:rPr>
        <w:t xml:space="preserve"> </w:t>
      </w:r>
      <w:r>
        <w:t>struck</w:t>
      </w:r>
      <w:r w:rsidRPr="003F00AF">
        <w:rPr>
          <w:spacing w:val="-5"/>
        </w:rPr>
        <w:t xml:space="preserve"> </w:t>
      </w:r>
      <w:r>
        <w:t>out</w:t>
      </w:r>
      <w:r w:rsidRPr="003F00AF">
        <w:rPr>
          <w:spacing w:val="-4"/>
        </w:rPr>
        <w:t xml:space="preserve"> </w:t>
      </w:r>
      <w:r>
        <w:t>on</w:t>
      </w:r>
      <w:r w:rsidRPr="003F00AF">
        <w:rPr>
          <w:spacing w:val="-7"/>
        </w:rPr>
        <w:t xml:space="preserve"> </w:t>
      </w:r>
      <w:r>
        <w:t>the</w:t>
      </w:r>
      <w:r w:rsidRPr="003F00AF">
        <w:rPr>
          <w:spacing w:val="-5"/>
        </w:rPr>
        <w:t xml:space="preserve"> </w:t>
      </w:r>
      <w:r>
        <w:t>basis</w:t>
      </w:r>
      <w:r w:rsidRPr="003F00AF">
        <w:rPr>
          <w:spacing w:val="-6"/>
        </w:rPr>
        <w:t xml:space="preserve"> </w:t>
      </w:r>
      <w:r>
        <w:t>that</w:t>
      </w:r>
      <w:r w:rsidRPr="003F00AF">
        <w:rPr>
          <w:spacing w:val="-4"/>
        </w:rPr>
        <w:t xml:space="preserve"> </w:t>
      </w:r>
      <w:r>
        <w:t>it</w:t>
      </w:r>
      <w:r w:rsidRPr="003F00AF">
        <w:rPr>
          <w:spacing w:val="-4"/>
        </w:rPr>
        <w:t xml:space="preserve"> </w:t>
      </w:r>
      <w:r>
        <w:t>is</w:t>
      </w:r>
      <w:r w:rsidRPr="003F00AF">
        <w:rPr>
          <w:spacing w:val="-6"/>
        </w:rPr>
        <w:t xml:space="preserve"> </w:t>
      </w:r>
      <w:r>
        <w:t xml:space="preserve">an abuse of process. </w:t>
      </w:r>
    </w:p>
    <w:p w14:paraId="3C365E65" w14:textId="77777777" w:rsidR="003F00AF" w:rsidRPr="00AA2F58" w:rsidRDefault="003F00AF" w:rsidP="003F00AF">
      <w:pPr>
        <w:pStyle w:val="ParaNumbering"/>
      </w:pPr>
      <w:r w:rsidRPr="00AA2F58">
        <w:t xml:space="preserve">It may be accepted, as contended for by the ACCC, that the facts in this case are not analogous with those considered in </w:t>
      </w:r>
      <w:r w:rsidRPr="00AA2F58">
        <w:rPr>
          <w:i/>
        </w:rPr>
        <w:t>Allied Mills</w:t>
      </w:r>
      <w:r w:rsidRPr="00AA2F58">
        <w:t>, where Shep</w:t>
      </w:r>
      <w:r w:rsidR="001D35DC">
        <w:t>par</w:t>
      </w:r>
      <w:r w:rsidRPr="00AA2F58">
        <w:t xml:space="preserve">d J concluded that the allegations were, in reality, identical. </w:t>
      </w:r>
      <w:r w:rsidR="00840994" w:rsidRPr="00AA2F58">
        <w:t>Shep</w:t>
      </w:r>
      <w:r w:rsidR="001D35DC">
        <w:t>par</w:t>
      </w:r>
      <w:r w:rsidR="00840994" w:rsidRPr="00AA2F58">
        <w:t>d J concluded that it wa</w:t>
      </w:r>
      <w:r w:rsidR="000B7BE7" w:rsidRPr="00AA2F58">
        <w:t xml:space="preserve">s not appropriate to allege </w:t>
      </w:r>
      <w:r w:rsidR="004D7D44" w:rsidRPr="00AA2F58">
        <w:t xml:space="preserve">on the same facts </w:t>
      </w:r>
      <w:r w:rsidR="000B7BE7" w:rsidRPr="00AA2F58">
        <w:t xml:space="preserve">as an alternative to an arrangement or understanding made unlawful by the </w:t>
      </w:r>
      <w:r w:rsidR="000B7BE7" w:rsidRPr="0023167B">
        <w:rPr>
          <w:i/>
        </w:rPr>
        <w:t>Trade Practices Act</w:t>
      </w:r>
      <w:r w:rsidR="00840994" w:rsidRPr="0023167B">
        <w:rPr>
          <w:i/>
        </w:rPr>
        <w:t xml:space="preserve"> </w:t>
      </w:r>
      <w:r w:rsidR="005927B3" w:rsidRPr="0023167B">
        <w:rPr>
          <w:i/>
        </w:rPr>
        <w:t>1974</w:t>
      </w:r>
      <w:r w:rsidR="005927B3">
        <w:t xml:space="preserve"> (Cth) </w:t>
      </w:r>
      <w:r w:rsidR="00840994" w:rsidRPr="00AA2F58">
        <w:t>(then in operation), conspiracies which are themselves such arrangements or understandings.</w:t>
      </w:r>
      <w:r w:rsidR="004D7D44" w:rsidRPr="00AA2F58">
        <w:t xml:space="preserve"> </w:t>
      </w:r>
      <w:r w:rsidRPr="00AA2F58">
        <w:t xml:space="preserve">Nonetheless, only </w:t>
      </w:r>
      <w:r w:rsidR="00F52A8B" w:rsidRPr="00AA2F58">
        <w:t xml:space="preserve">the </w:t>
      </w:r>
      <w:r w:rsidRPr="00AA2F58">
        <w:t xml:space="preserve">part of the pleading </w:t>
      </w:r>
      <w:r w:rsidR="00F52A8B" w:rsidRPr="00AA2F58">
        <w:t xml:space="preserve">which related to the conspiracy </w:t>
      </w:r>
      <w:r w:rsidRPr="00AA2F58">
        <w:t xml:space="preserve">was struck out. </w:t>
      </w:r>
      <w:r w:rsidR="001D35DC">
        <w:t>Sheppard</w:t>
      </w:r>
      <w:r w:rsidR="001D35DC" w:rsidRPr="00AA2F58">
        <w:t xml:space="preserve"> </w:t>
      </w:r>
      <w:r w:rsidRPr="00AA2F58">
        <w:t xml:space="preserve">J </w:t>
      </w:r>
      <w:r w:rsidR="00275549" w:rsidRPr="00AA2F58">
        <w:t>found that</w:t>
      </w:r>
      <w:r w:rsidRPr="00AA2F58">
        <w:t xml:space="preserve"> in relation to the remainder</w:t>
      </w:r>
      <w:r w:rsidR="00275549" w:rsidRPr="00AA2F58">
        <w:t xml:space="preserve"> of the pleadings</w:t>
      </w:r>
      <w:r w:rsidRPr="00AA2F58">
        <w:t xml:space="preserve">, which he described as somewhat vague and unspecific, </w:t>
      </w:r>
      <w:r w:rsidR="00C46373" w:rsidRPr="00AA2F58">
        <w:t xml:space="preserve">it was impossible to </w:t>
      </w:r>
      <w:r w:rsidR="00275549" w:rsidRPr="00AA2F58">
        <w:t>conclude</w:t>
      </w:r>
      <w:r w:rsidR="00C46373" w:rsidRPr="00AA2F58">
        <w:t xml:space="preserve"> that </w:t>
      </w:r>
      <w:r w:rsidRPr="00AA2F58">
        <w:t xml:space="preserve">there was not </w:t>
      </w:r>
      <w:r w:rsidRPr="00AA2F58">
        <w:lastRenderedPageBreak/>
        <w:t xml:space="preserve">a real question to be tried. </w:t>
      </w:r>
      <w:r w:rsidRPr="00AA2F58">
        <w:rPr>
          <w:i/>
        </w:rPr>
        <w:t>Allied Mills</w:t>
      </w:r>
      <w:r w:rsidRPr="00AA2F58">
        <w:t xml:space="preserve"> obviously turned on an analysis of the pleadings in that case. </w:t>
      </w:r>
    </w:p>
    <w:p w14:paraId="0CD0296D" w14:textId="77777777" w:rsidR="0016389F" w:rsidRPr="00AA2F58" w:rsidRDefault="003F00AF" w:rsidP="0016389F">
      <w:pPr>
        <w:pStyle w:val="ParaNumbering"/>
      </w:pPr>
      <w:r w:rsidRPr="00AA2F58">
        <w:t>In this case</w:t>
      </w:r>
      <w:r w:rsidR="005255C0" w:rsidRPr="00AA2F58">
        <w:t>,</w:t>
      </w:r>
      <w:r w:rsidRPr="00AA2F58">
        <w:t xml:space="preserve"> the Non-Targeting Arrangement is pleaded in the ASOC to have commenced at an earlier point of time to the Co-</w:t>
      </w:r>
      <w:r w:rsidR="005255C0" w:rsidRPr="00AA2F58">
        <w:t>O</w:t>
      </w:r>
      <w:r w:rsidRPr="00AA2F58">
        <w:t>rdinated Approach Provision, relates to a narrower geographical area and on the pleading was given effect to before the entry into the Co-</w:t>
      </w:r>
      <w:r w:rsidR="005255C0" w:rsidRPr="00AA2F58">
        <w:t>O</w:t>
      </w:r>
      <w:r w:rsidRPr="00AA2F58">
        <w:t xml:space="preserve">rdinated Approach Provision by the parties. </w:t>
      </w:r>
    </w:p>
    <w:p w14:paraId="28D2012F" w14:textId="77777777" w:rsidR="0016389F" w:rsidRPr="00BA639F" w:rsidRDefault="00187220" w:rsidP="00187220">
      <w:pPr>
        <w:pStyle w:val="ParaNumbering"/>
      </w:pPr>
      <w:r w:rsidRPr="008B590E">
        <w:t>I</w:t>
      </w:r>
      <w:r w:rsidR="0016389F" w:rsidRPr="008B590E">
        <w:t xml:space="preserve"> am troubled at </w:t>
      </w:r>
      <w:r w:rsidR="00DF0F26" w:rsidRPr="008B590E">
        <w:t xml:space="preserve">the </w:t>
      </w:r>
      <w:r w:rsidR="0016389F" w:rsidRPr="008B590E">
        <w:t>commonality b</w:t>
      </w:r>
      <w:r w:rsidR="0099046D" w:rsidRPr="008B590E">
        <w:t xml:space="preserve">etween aspects of the give effect pleading. </w:t>
      </w:r>
      <w:r w:rsidR="0016389F" w:rsidRPr="008B590E">
        <w:t xml:space="preserve">However, </w:t>
      </w:r>
      <w:r w:rsidR="0099046D" w:rsidRPr="008B590E">
        <w:t>as previously observed, as a general proposition whether an act could be in pursuance of one or both arrangement</w:t>
      </w:r>
      <w:r w:rsidR="00DF0F26" w:rsidRPr="008B590E">
        <w:t>s</w:t>
      </w:r>
      <w:r w:rsidR="0099046D" w:rsidRPr="008B590E">
        <w:t xml:space="preserve">, if they are established, is a factual matter, dependent on the evidence. </w:t>
      </w:r>
      <w:r w:rsidR="00DF0F26" w:rsidRPr="008B590E">
        <w:t>NQCranes</w:t>
      </w:r>
      <w:r w:rsidR="0016389F" w:rsidRPr="008B590E">
        <w:t xml:space="preserve"> have not established that overall the pleading is incoherent, </w:t>
      </w:r>
      <w:r w:rsidR="0016389F" w:rsidRPr="00BA639F">
        <w:t>cause</w:t>
      </w:r>
      <w:r w:rsidR="00DF0F26" w:rsidRPr="00BA639F">
        <w:t>s</w:t>
      </w:r>
      <w:r w:rsidR="0016389F" w:rsidRPr="00BA639F">
        <w:t xml:space="preserve"> prejudice, embarrassment or delay in the proceeding</w:t>
      </w:r>
      <w:r w:rsidR="001D27E0" w:rsidRPr="00BA639F">
        <w:t xml:space="preserve"> or </w:t>
      </w:r>
      <w:r w:rsidR="00DF0F26" w:rsidRPr="00BA639F">
        <w:t xml:space="preserve">is otherwise </w:t>
      </w:r>
      <w:r w:rsidR="0016389F" w:rsidRPr="00BA639F">
        <w:t>an abuse of</w:t>
      </w:r>
      <w:r w:rsidR="0016389F" w:rsidRPr="008B590E">
        <w:t xml:space="preserve"> </w:t>
      </w:r>
      <w:r w:rsidRPr="00BA639F">
        <w:t xml:space="preserve">process. </w:t>
      </w:r>
      <w:r w:rsidR="0016389F" w:rsidRPr="008B590E">
        <w:t>NQCranes has not overcome the substantial hurdle necessary to succeed on this basis of the application.</w:t>
      </w:r>
    </w:p>
    <w:p w14:paraId="1B841F99" w14:textId="77777777" w:rsidR="003F00AF" w:rsidRPr="0016389F" w:rsidRDefault="0016389F" w:rsidP="00527BA7">
      <w:pPr>
        <w:pStyle w:val="Heading4"/>
      </w:pPr>
      <w:r w:rsidRPr="0016389F">
        <w:t>Non-Targeting Arrangement – give effect</w:t>
      </w:r>
    </w:p>
    <w:p w14:paraId="0A744DF4" w14:textId="6DFCBC0D" w:rsidR="00C7468F" w:rsidRDefault="008E5897" w:rsidP="003F00AF">
      <w:pPr>
        <w:pStyle w:val="ParaNumbering"/>
        <w:rPr>
          <w:color w:val="333333"/>
          <w:szCs w:val="24"/>
        </w:rPr>
      </w:pPr>
      <w:bookmarkStart w:id="37" w:name="_Ref85122777"/>
      <w:bookmarkStart w:id="38" w:name="_Ref83884372"/>
      <w:r w:rsidRPr="00A7786F">
        <w:rPr>
          <w:szCs w:val="24"/>
        </w:rPr>
        <w:t>This relates to [9F]-[9G] of the ASOC</w:t>
      </w:r>
      <w:r w:rsidR="00C7468F" w:rsidRPr="00A7786F">
        <w:rPr>
          <w:szCs w:val="24"/>
        </w:rPr>
        <w:t xml:space="preserve"> which </w:t>
      </w:r>
      <w:r w:rsidR="00640253" w:rsidRPr="00A7786F">
        <w:rPr>
          <w:szCs w:val="24"/>
        </w:rPr>
        <w:t>is</w:t>
      </w:r>
      <w:r w:rsidR="00C7468F" w:rsidRPr="00A7786F">
        <w:rPr>
          <w:szCs w:val="24"/>
        </w:rPr>
        <w:t xml:space="preserve"> as follows:</w:t>
      </w:r>
      <w:bookmarkEnd w:id="37"/>
    </w:p>
    <w:bookmarkEnd w:id="38"/>
    <w:p w14:paraId="68FD155C" w14:textId="406B9363" w:rsidR="00812EF0" w:rsidRDefault="00617AD5" w:rsidP="00617AD5">
      <w:pPr>
        <w:pStyle w:val="Quote1"/>
        <w:rPr>
          <w:color w:val="333333"/>
          <w:szCs w:val="24"/>
        </w:rPr>
      </w:pPr>
      <w:r>
        <w:rPr>
          <w:noProof/>
          <w:lang w:eastAsia="en-AU"/>
        </w:rPr>
        <w:drawing>
          <wp:inline distT="0" distB="0" distL="0" distR="0" wp14:anchorId="7A02190C" wp14:editId="00CEB2B9">
            <wp:extent cx="5200650" cy="3171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00650" cy="3171825"/>
                    </a:xfrm>
                    <a:prstGeom prst="rect">
                      <a:avLst/>
                    </a:prstGeom>
                  </pic:spPr>
                </pic:pic>
              </a:graphicData>
            </a:graphic>
          </wp:inline>
        </w:drawing>
      </w:r>
    </w:p>
    <w:p w14:paraId="08E73F51" w14:textId="36E5E706" w:rsidR="00E16863" w:rsidRDefault="00E16863" w:rsidP="008B590E">
      <w:pPr>
        <w:pStyle w:val="Quote1"/>
        <w:ind w:left="1440" w:hanging="703"/>
        <w:rPr>
          <w:color w:val="333333"/>
          <w:szCs w:val="24"/>
        </w:rPr>
      </w:pPr>
    </w:p>
    <w:p w14:paraId="2CDCA46D" w14:textId="391A2660" w:rsidR="00E16863" w:rsidRDefault="00E16863" w:rsidP="008B590E">
      <w:pPr>
        <w:pStyle w:val="Quote1"/>
        <w:ind w:left="1440" w:hanging="703"/>
        <w:rPr>
          <w:color w:val="333333"/>
          <w:szCs w:val="24"/>
        </w:rPr>
      </w:pPr>
    </w:p>
    <w:p w14:paraId="3B3F0399" w14:textId="322E1351" w:rsidR="00E16863" w:rsidRDefault="00E16863" w:rsidP="00E16863">
      <w:pPr>
        <w:pStyle w:val="Quote1"/>
        <w:ind w:left="2143" w:hanging="703"/>
        <w:rPr>
          <w:color w:val="333333"/>
          <w:szCs w:val="24"/>
        </w:rPr>
      </w:pPr>
    </w:p>
    <w:p w14:paraId="0DC4603D" w14:textId="2D899E96" w:rsidR="00E16863" w:rsidRDefault="006D34F4" w:rsidP="006D34F4">
      <w:pPr>
        <w:pStyle w:val="Quote2"/>
        <w:rPr>
          <w:szCs w:val="24"/>
        </w:rPr>
      </w:pPr>
      <w:r>
        <w:rPr>
          <w:noProof/>
          <w:lang w:eastAsia="en-AU"/>
        </w:rPr>
        <w:lastRenderedPageBreak/>
        <w:drawing>
          <wp:inline distT="0" distB="0" distL="0" distR="0" wp14:anchorId="1395B9E2" wp14:editId="735024C3">
            <wp:extent cx="4495800" cy="8334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495800" cy="8334375"/>
                    </a:xfrm>
                    <a:prstGeom prst="rect">
                      <a:avLst/>
                    </a:prstGeom>
                  </pic:spPr>
                </pic:pic>
              </a:graphicData>
            </a:graphic>
          </wp:inline>
        </w:drawing>
      </w:r>
    </w:p>
    <w:p w14:paraId="4EA474D9" w14:textId="28F08841" w:rsidR="00E16863" w:rsidRDefault="00E16863" w:rsidP="006D34F4">
      <w:pPr>
        <w:pStyle w:val="Quote1"/>
        <w:rPr>
          <w:szCs w:val="24"/>
        </w:rPr>
      </w:pPr>
      <w:r>
        <w:rPr>
          <w:noProof/>
          <w:lang w:eastAsia="en-AU"/>
        </w:rPr>
        <w:lastRenderedPageBreak/>
        <w:drawing>
          <wp:inline distT="0" distB="0" distL="0" distR="0" wp14:anchorId="2EA7FE68" wp14:editId="751936B6">
            <wp:extent cx="5038725" cy="1076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038725" cy="1076325"/>
                    </a:xfrm>
                    <a:prstGeom prst="rect">
                      <a:avLst/>
                    </a:prstGeom>
                  </pic:spPr>
                </pic:pic>
              </a:graphicData>
            </a:graphic>
          </wp:inline>
        </w:drawing>
      </w:r>
    </w:p>
    <w:p w14:paraId="0AF29DAE" w14:textId="73924D18" w:rsidR="0016389F" w:rsidRPr="001E7AFA" w:rsidRDefault="0016389F" w:rsidP="003F00AF">
      <w:pPr>
        <w:pStyle w:val="ParaNumbering"/>
        <w:rPr>
          <w:szCs w:val="24"/>
        </w:rPr>
      </w:pPr>
      <w:r w:rsidRPr="001E7AFA">
        <w:rPr>
          <w:szCs w:val="24"/>
        </w:rPr>
        <w:t>This matter has been addressed in part in the preceding discussion</w:t>
      </w:r>
      <w:r w:rsidR="008E4073" w:rsidRPr="001E7AFA">
        <w:rPr>
          <w:szCs w:val="24"/>
        </w:rPr>
        <w:t xml:space="preserve"> at [</w:t>
      </w:r>
      <w:r w:rsidR="008E4073" w:rsidRPr="001E7AFA">
        <w:rPr>
          <w:szCs w:val="24"/>
        </w:rPr>
        <w:fldChar w:fldCharType="begin"/>
      </w:r>
      <w:r w:rsidR="008E4073" w:rsidRPr="001E7AFA">
        <w:rPr>
          <w:szCs w:val="24"/>
        </w:rPr>
        <w:instrText xml:space="preserve"> REF _Ref84598587 \r \h </w:instrText>
      </w:r>
      <w:r w:rsidR="008E4073" w:rsidRPr="001E7AFA">
        <w:rPr>
          <w:szCs w:val="24"/>
        </w:rPr>
      </w:r>
      <w:r w:rsidR="008E4073" w:rsidRPr="001E7AFA">
        <w:rPr>
          <w:szCs w:val="24"/>
        </w:rPr>
        <w:fldChar w:fldCharType="separate"/>
      </w:r>
      <w:r w:rsidR="00F87C4E">
        <w:rPr>
          <w:szCs w:val="24"/>
        </w:rPr>
        <w:t>41</w:t>
      </w:r>
      <w:r w:rsidR="008E4073" w:rsidRPr="001E7AFA">
        <w:rPr>
          <w:szCs w:val="24"/>
        </w:rPr>
        <w:fldChar w:fldCharType="end"/>
      </w:r>
      <w:r w:rsidR="008E4073" w:rsidRPr="001E7AFA">
        <w:rPr>
          <w:szCs w:val="24"/>
        </w:rPr>
        <w:t>]-[</w:t>
      </w:r>
      <w:r w:rsidR="008E4073" w:rsidRPr="001E7AFA">
        <w:rPr>
          <w:szCs w:val="24"/>
        </w:rPr>
        <w:fldChar w:fldCharType="begin"/>
      </w:r>
      <w:r w:rsidR="008E4073" w:rsidRPr="001E7AFA">
        <w:rPr>
          <w:szCs w:val="24"/>
        </w:rPr>
        <w:instrText xml:space="preserve"> REF _Ref84598594 \r \h </w:instrText>
      </w:r>
      <w:r w:rsidR="008E4073" w:rsidRPr="001E7AFA">
        <w:rPr>
          <w:szCs w:val="24"/>
        </w:rPr>
      </w:r>
      <w:r w:rsidR="008E4073" w:rsidRPr="001E7AFA">
        <w:rPr>
          <w:szCs w:val="24"/>
        </w:rPr>
        <w:fldChar w:fldCharType="separate"/>
      </w:r>
      <w:r w:rsidR="00F87C4E">
        <w:rPr>
          <w:szCs w:val="24"/>
        </w:rPr>
        <w:t>50</w:t>
      </w:r>
      <w:r w:rsidR="008E4073" w:rsidRPr="001E7AFA">
        <w:rPr>
          <w:szCs w:val="24"/>
        </w:rPr>
        <w:fldChar w:fldCharType="end"/>
      </w:r>
      <w:r w:rsidR="008E4073" w:rsidRPr="001E7AFA">
        <w:rPr>
          <w:szCs w:val="24"/>
        </w:rPr>
        <w:t>]</w:t>
      </w:r>
      <w:r w:rsidR="00E2113A" w:rsidRPr="001E7AFA">
        <w:rPr>
          <w:szCs w:val="24"/>
        </w:rPr>
        <w:t>.</w:t>
      </w:r>
      <w:r w:rsidRPr="001E7AFA">
        <w:rPr>
          <w:szCs w:val="24"/>
        </w:rPr>
        <w:t xml:space="preserve"> </w:t>
      </w:r>
    </w:p>
    <w:p w14:paraId="1897D84E" w14:textId="77777777" w:rsidR="00EA2E05" w:rsidRPr="00AA2F58" w:rsidRDefault="0016389F" w:rsidP="0016389F">
      <w:pPr>
        <w:pStyle w:val="ParaNumbering"/>
        <w:rPr>
          <w:color w:val="333333"/>
          <w:szCs w:val="24"/>
        </w:rPr>
      </w:pPr>
      <w:bookmarkStart w:id="39" w:name="_Ref83884381"/>
      <w:r w:rsidRPr="001E7AFA">
        <w:rPr>
          <w:szCs w:val="24"/>
        </w:rPr>
        <w:t>As to NQCranes</w:t>
      </w:r>
      <w:r w:rsidR="00DF0F26" w:rsidRPr="001E7AFA">
        <w:rPr>
          <w:szCs w:val="24"/>
        </w:rPr>
        <w:t>’</w:t>
      </w:r>
      <w:r w:rsidRPr="001E7AFA">
        <w:rPr>
          <w:szCs w:val="24"/>
        </w:rPr>
        <w:t xml:space="preserve"> submission in relation to the</w:t>
      </w:r>
      <w:r w:rsidR="00E2113A" w:rsidRPr="001E7AFA">
        <w:rPr>
          <w:szCs w:val="24"/>
        </w:rPr>
        <w:t xml:space="preserve"> give effect</w:t>
      </w:r>
      <w:r w:rsidRPr="001E7AFA">
        <w:rPr>
          <w:szCs w:val="24"/>
        </w:rPr>
        <w:t xml:space="preserve"> pleading</w:t>
      </w:r>
      <w:r w:rsidR="00D66EE4" w:rsidRPr="001E7AFA">
        <w:rPr>
          <w:szCs w:val="24"/>
        </w:rPr>
        <w:t xml:space="preserve"> for the Non-Targeting Arrangement,</w:t>
      </w:r>
      <w:r w:rsidRPr="001E7AFA">
        <w:rPr>
          <w:szCs w:val="24"/>
        </w:rPr>
        <w:t xml:space="preserve"> this relates to the criticisms also relied on in relation to the Co-</w:t>
      </w:r>
      <w:r w:rsidR="00E2113A" w:rsidRPr="001E7AFA">
        <w:rPr>
          <w:szCs w:val="24"/>
        </w:rPr>
        <w:t>O</w:t>
      </w:r>
      <w:r w:rsidRPr="001E7AFA">
        <w:rPr>
          <w:szCs w:val="24"/>
        </w:rPr>
        <w:t>rdinated Approach Provision</w:t>
      </w:r>
      <w:r w:rsidR="00E2113A" w:rsidRPr="001E7AFA">
        <w:rPr>
          <w:szCs w:val="24"/>
        </w:rPr>
        <w:t>.</w:t>
      </w:r>
      <w:r w:rsidRPr="001E7AFA">
        <w:rPr>
          <w:szCs w:val="24"/>
        </w:rPr>
        <w:t xml:space="preserve"> </w:t>
      </w:r>
      <w:r w:rsidR="00E2113A" w:rsidRPr="001E7AFA">
        <w:t>F</w:t>
      </w:r>
      <w:r w:rsidRPr="001E7AFA">
        <w:t>or th</w:t>
      </w:r>
      <w:r w:rsidRPr="008B590E">
        <w:t>e reasons given in relation to the Co-</w:t>
      </w:r>
      <w:r w:rsidR="00A41D15" w:rsidRPr="008B590E">
        <w:t>O</w:t>
      </w:r>
      <w:r w:rsidRPr="008B590E">
        <w:t xml:space="preserve">rdinated Approach Provision, NQCranes has not established that this aspect ought to be struck out. </w:t>
      </w:r>
      <w:r w:rsidRPr="00315150">
        <w:t>The two addition</w:t>
      </w:r>
      <w:r w:rsidR="00DF0F26" w:rsidRPr="00315150">
        <w:t>al</w:t>
      </w:r>
      <w:r w:rsidRPr="00315150">
        <w:t xml:space="preserve"> matters pleaded in relation to </w:t>
      </w:r>
      <w:r w:rsidR="00DF0F26" w:rsidRPr="00315150">
        <w:t xml:space="preserve">the </w:t>
      </w:r>
      <w:r w:rsidRPr="00315150">
        <w:t>N</w:t>
      </w:r>
      <w:r w:rsidRPr="0011679E">
        <w:t>on-Targeting Arrangement, fall into the same ca</w:t>
      </w:r>
      <w:r w:rsidRPr="00315150">
        <w:t>tegory</w:t>
      </w:r>
      <w:r>
        <w:rPr>
          <w:szCs w:val="24"/>
        </w:rPr>
        <w:t xml:space="preserve">, and give rise to an argument of the meaning of “give effect to”, the practical breadth of which is in dispute in this hearing and its application to </w:t>
      </w:r>
      <w:r w:rsidR="0041558A">
        <w:rPr>
          <w:szCs w:val="24"/>
        </w:rPr>
        <w:t xml:space="preserve">the matters pleaded in this case. Therefore, for the same reasons as previously articulated, NQCranes has not established that those particulars </w:t>
      </w:r>
      <w:r w:rsidR="0041558A" w:rsidRPr="00AA2F58">
        <w:rPr>
          <w:szCs w:val="24"/>
        </w:rPr>
        <w:t>ought to be struck from the pleading.</w:t>
      </w:r>
      <w:bookmarkEnd w:id="39"/>
    </w:p>
    <w:p w14:paraId="1451F5BD" w14:textId="77777777" w:rsidR="00146938" w:rsidRPr="00AA2F58" w:rsidRDefault="00146938" w:rsidP="0023167B">
      <w:pPr>
        <w:pStyle w:val="Heading2"/>
        <w:rPr>
          <w:color w:val="333333"/>
        </w:rPr>
      </w:pPr>
      <w:r w:rsidRPr="00AA2F58">
        <w:t>Section 37P</w:t>
      </w:r>
    </w:p>
    <w:p w14:paraId="274D1F7D" w14:textId="77777777" w:rsidR="00146938" w:rsidRPr="00AA2F58" w:rsidRDefault="00146938" w:rsidP="0016389F">
      <w:pPr>
        <w:pStyle w:val="ParaNumbering"/>
        <w:rPr>
          <w:color w:val="333333"/>
          <w:szCs w:val="24"/>
        </w:rPr>
      </w:pPr>
      <w:r w:rsidRPr="00AA2F58">
        <w:t xml:space="preserve">Although the respondent also relied on s 37P of the FCA Act in support of its claim, no separate submission was advanced as to the relevance of that provision to its submission. In particular, no submission was advanced that </w:t>
      </w:r>
      <w:r w:rsidR="00DA6BDC" w:rsidRPr="00AA2F58">
        <w:t xml:space="preserve">s 37P </w:t>
      </w:r>
      <w:r w:rsidRPr="00AA2F58">
        <w:t>had work to do over and above the principles in relation to a strike out application</w:t>
      </w:r>
      <w:r w:rsidR="00DA6BDC" w:rsidRPr="00AA2F58">
        <w:t xml:space="preserve"> under r 16.21</w:t>
      </w:r>
      <w:r w:rsidRPr="00AA2F58">
        <w:t xml:space="preserve">. That is, it was not suggested </w:t>
      </w:r>
      <w:r w:rsidR="00DA6BDC" w:rsidRPr="00AA2F58">
        <w:t xml:space="preserve">that </w:t>
      </w:r>
      <w:r w:rsidRPr="00AA2F58">
        <w:t xml:space="preserve">if the application under r 16.21 did not succeed, s 37P provided a separate basis for the proceedings to be struck out in this case. The ACCC questioned the application of the provision to this application. In my view, on the application as argued by NQCranes, in the circumstances of this case, nothing turns on s 37P.  </w:t>
      </w:r>
    </w:p>
    <w:p w14:paraId="54BDD15B" w14:textId="77777777" w:rsidR="0041558A" w:rsidRPr="00AA2F58" w:rsidRDefault="0041558A" w:rsidP="00527BA7">
      <w:pPr>
        <w:pStyle w:val="Heading2"/>
        <w:rPr>
          <w:color w:val="333333"/>
        </w:rPr>
      </w:pPr>
      <w:r w:rsidRPr="00AA2F58">
        <w:t>Conclusion</w:t>
      </w:r>
    </w:p>
    <w:p w14:paraId="11156CD3" w14:textId="77777777" w:rsidR="008462D2" w:rsidRPr="001E7AFA" w:rsidRDefault="0010111E" w:rsidP="00AA2F58">
      <w:pPr>
        <w:pStyle w:val="ParaNumbering"/>
        <w:rPr>
          <w:szCs w:val="24"/>
        </w:rPr>
      </w:pPr>
      <w:r w:rsidRPr="001E7AFA">
        <w:rPr>
          <w:szCs w:val="24"/>
        </w:rPr>
        <w:t>For the reasons above, the respondent’s application is dismissed.</w:t>
      </w:r>
      <w:r w:rsidR="00814261" w:rsidRPr="001E7AFA">
        <w:rPr>
          <w:szCs w:val="24"/>
        </w:rPr>
        <w:t xml:space="preserve"> </w:t>
      </w:r>
    </w:p>
    <w:p w14:paraId="7DFC892E" w14:textId="739A7E78" w:rsidR="00AA2F58" w:rsidRDefault="008462D2" w:rsidP="00BA639F">
      <w:pPr>
        <w:pStyle w:val="ParaNumbering"/>
        <w:rPr>
          <w:color w:val="333333"/>
          <w:szCs w:val="24"/>
        </w:rPr>
      </w:pPr>
      <w:r w:rsidRPr="001E7AFA">
        <w:rPr>
          <w:szCs w:val="24"/>
        </w:rPr>
        <w:t>As noted above, I give leave for the applicant to amend</w:t>
      </w:r>
      <w:r w:rsidR="00187220" w:rsidRPr="001E7AFA">
        <w:rPr>
          <w:szCs w:val="24"/>
        </w:rPr>
        <w:t xml:space="preserve"> </w:t>
      </w:r>
      <w:r w:rsidR="00181A03" w:rsidRPr="001E7AFA">
        <w:rPr>
          <w:szCs w:val="24"/>
        </w:rPr>
        <w:t>the particular matters identified at [</w:t>
      </w:r>
      <w:r w:rsidR="00181A03" w:rsidRPr="001E7AFA">
        <w:rPr>
          <w:szCs w:val="24"/>
        </w:rPr>
        <w:fldChar w:fldCharType="begin"/>
      </w:r>
      <w:r w:rsidR="00181A03" w:rsidRPr="001E7AFA">
        <w:rPr>
          <w:szCs w:val="24"/>
        </w:rPr>
        <w:instrText xml:space="preserve"> REF _Ref84847100 \r \h </w:instrText>
      </w:r>
      <w:r w:rsidR="00181A03" w:rsidRPr="001E7AFA">
        <w:rPr>
          <w:szCs w:val="24"/>
        </w:rPr>
      </w:r>
      <w:r w:rsidR="00181A03" w:rsidRPr="001E7AFA">
        <w:rPr>
          <w:szCs w:val="24"/>
        </w:rPr>
        <w:fldChar w:fldCharType="separate"/>
      </w:r>
      <w:r w:rsidR="00F87C4E">
        <w:rPr>
          <w:szCs w:val="24"/>
        </w:rPr>
        <w:t>49</w:t>
      </w:r>
      <w:r w:rsidR="00181A03" w:rsidRPr="001E7AFA">
        <w:rPr>
          <w:szCs w:val="24"/>
        </w:rPr>
        <w:fldChar w:fldCharType="end"/>
      </w:r>
      <w:r w:rsidR="00181A03" w:rsidRPr="001E7AFA">
        <w:rPr>
          <w:szCs w:val="24"/>
        </w:rPr>
        <w:t>] and at [</w:t>
      </w:r>
      <w:r w:rsidR="00181A03" w:rsidRPr="001E7AFA">
        <w:rPr>
          <w:szCs w:val="24"/>
        </w:rPr>
        <w:fldChar w:fldCharType="begin"/>
      </w:r>
      <w:r w:rsidR="00181A03" w:rsidRPr="001E7AFA">
        <w:rPr>
          <w:szCs w:val="24"/>
        </w:rPr>
        <w:instrText xml:space="preserve"> REF _Ref84847140 \r \h </w:instrText>
      </w:r>
      <w:r w:rsidR="00181A03" w:rsidRPr="001E7AFA">
        <w:rPr>
          <w:szCs w:val="24"/>
        </w:rPr>
      </w:r>
      <w:r w:rsidR="00181A03" w:rsidRPr="001E7AFA">
        <w:rPr>
          <w:szCs w:val="24"/>
        </w:rPr>
        <w:fldChar w:fldCharType="separate"/>
      </w:r>
      <w:r w:rsidR="00F87C4E">
        <w:rPr>
          <w:szCs w:val="24"/>
        </w:rPr>
        <w:t>78</w:t>
      </w:r>
      <w:r w:rsidR="00181A03" w:rsidRPr="001E7AFA">
        <w:rPr>
          <w:szCs w:val="24"/>
        </w:rPr>
        <w:fldChar w:fldCharType="end"/>
      </w:r>
      <w:r w:rsidR="00181A03" w:rsidRPr="001E7AFA">
        <w:rPr>
          <w:szCs w:val="24"/>
        </w:rPr>
        <w:t>].</w:t>
      </w:r>
      <w:r w:rsidR="005F703F" w:rsidRPr="001E7AFA">
        <w:rPr>
          <w:szCs w:val="24"/>
        </w:rPr>
        <w:t xml:space="preserve"> </w:t>
      </w:r>
    </w:p>
    <w:p w14:paraId="5C27A232" w14:textId="37668C71" w:rsidR="00096BAD" w:rsidRDefault="00096BAD" w:rsidP="00AD074A">
      <w:pPr>
        <w:pStyle w:val="BodyText"/>
      </w:pPr>
      <w:bookmarkStart w:id="40" w:name="Certification"/>
    </w:p>
    <w:p w14:paraId="7426A94F" w14:textId="77777777" w:rsidR="00E16863" w:rsidRDefault="00E16863" w:rsidP="00AD074A">
      <w:pPr>
        <w:pStyle w:val="BodyText"/>
      </w:pPr>
    </w:p>
    <w:tbl>
      <w:tblPr>
        <w:tblW w:w="0" w:type="auto"/>
        <w:tblLook w:val="04A0" w:firstRow="1" w:lastRow="0" w:firstColumn="1" w:lastColumn="0" w:noHBand="0" w:noVBand="1"/>
      </w:tblPr>
      <w:tblGrid>
        <w:gridCol w:w="3794"/>
      </w:tblGrid>
      <w:tr w:rsidR="00096BAD" w:rsidRPr="00096BAD" w14:paraId="72AC1CDC" w14:textId="77777777">
        <w:tc>
          <w:tcPr>
            <w:tcW w:w="3794" w:type="dxa"/>
            <w:shd w:val="clear" w:color="auto" w:fill="auto"/>
          </w:tcPr>
          <w:p w14:paraId="778634FF" w14:textId="77777777" w:rsidR="00096BAD" w:rsidRPr="00D85E66" w:rsidRDefault="00096BAD" w:rsidP="00266572">
            <w:pPr>
              <w:pStyle w:val="Normal1linespace"/>
            </w:pPr>
            <w:r w:rsidRPr="00D85E66">
              <w:lastRenderedPageBreak/>
              <w:t xml:space="preserve">I certify that the preceding </w:t>
            </w:r>
            <w:r>
              <w:t>ninety</w:t>
            </w:r>
            <w:r w:rsidR="00266572">
              <w:t>-</w:t>
            </w:r>
            <w:r>
              <w:t>three</w:t>
            </w:r>
            <w:r w:rsidRPr="00D85E66">
              <w:t xml:space="preserve"> (</w:t>
            </w:r>
            <w:r>
              <w:t>93</w:t>
            </w:r>
            <w:r w:rsidRPr="00D85E66">
              <w:t xml:space="preserve">) numbered </w:t>
            </w:r>
            <w:bookmarkStart w:id="41" w:name="CertPara"/>
            <w:r>
              <w:t xml:space="preserve">paragraphs </w:t>
            </w:r>
            <w:bookmarkEnd w:id="41"/>
            <w:r>
              <w:t>are</w:t>
            </w:r>
            <w:r w:rsidRPr="00D85E66">
              <w:t xml:space="preserve"> a true copy of the Reasons for Judgment of </w:t>
            </w:r>
            <w:bookmarkStart w:id="42" w:name="bkHonourable"/>
            <w:r w:rsidRPr="00D85E66">
              <w:t xml:space="preserve">the Honourable </w:t>
            </w:r>
            <w:bookmarkStart w:id="43" w:name="Justice"/>
            <w:bookmarkEnd w:id="42"/>
            <w:r>
              <w:t>Justice Abraham</w:t>
            </w:r>
            <w:bookmarkEnd w:id="43"/>
            <w:r w:rsidRPr="00D85E66">
              <w:t>.</w:t>
            </w:r>
          </w:p>
        </w:tc>
      </w:tr>
    </w:tbl>
    <w:p w14:paraId="4FDC186F" w14:textId="77777777" w:rsidR="00096BAD" w:rsidRDefault="00096BAD" w:rsidP="00AD074A">
      <w:pPr>
        <w:pStyle w:val="BodyText"/>
      </w:pPr>
    </w:p>
    <w:p w14:paraId="49A2458C" w14:textId="77777777" w:rsidR="00096BAD" w:rsidRDefault="00096BAD" w:rsidP="00AD074A">
      <w:pPr>
        <w:pStyle w:val="BodyText"/>
      </w:pPr>
    </w:p>
    <w:p w14:paraId="7152E2EC" w14:textId="77777777" w:rsidR="00096BAD" w:rsidRDefault="00096BAD" w:rsidP="00AD074A">
      <w:pPr>
        <w:pStyle w:val="BodyText"/>
      </w:pPr>
    </w:p>
    <w:p w14:paraId="13D87A7D" w14:textId="5ABA7BA2" w:rsidR="00096BAD" w:rsidRDefault="00096BAD" w:rsidP="00AD074A">
      <w:pPr>
        <w:pStyle w:val="BodyText"/>
      </w:pPr>
      <w:r>
        <w:t>Associate:</w:t>
      </w:r>
    </w:p>
    <w:p w14:paraId="72DFBF89" w14:textId="77777777" w:rsidR="00096BAD" w:rsidRDefault="00096BAD" w:rsidP="00AD074A">
      <w:pPr>
        <w:pStyle w:val="BodyText"/>
      </w:pPr>
    </w:p>
    <w:p w14:paraId="0CC3D878" w14:textId="1E6FA45D" w:rsidR="00096BAD" w:rsidRDefault="00096BAD" w:rsidP="00AD074A">
      <w:pPr>
        <w:pStyle w:val="BodyText"/>
        <w:tabs>
          <w:tab w:val="left" w:pos="1134"/>
        </w:tabs>
      </w:pPr>
      <w:r>
        <w:t>Dated:</w:t>
      </w:r>
      <w:r>
        <w:tab/>
      </w:r>
      <w:bookmarkStart w:id="44" w:name="CertifyDated"/>
      <w:r w:rsidR="002614C9">
        <w:t>20 October</w:t>
      </w:r>
      <w:r>
        <w:t xml:space="preserve"> 2021</w:t>
      </w:r>
      <w:bookmarkEnd w:id="44"/>
    </w:p>
    <w:p w14:paraId="50542412" w14:textId="77777777" w:rsidR="00096BAD" w:rsidRDefault="00096BAD" w:rsidP="00AD074A">
      <w:pPr>
        <w:pStyle w:val="BodyText"/>
      </w:pPr>
    </w:p>
    <w:bookmarkEnd w:id="40"/>
    <w:p w14:paraId="46F8B462" w14:textId="77777777" w:rsidR="00BA639F" w:rsidRPr="00EB23FB" w:rsidRDefault="00BA639F" w:rsidP="00EB23FB">
      <w:pPr>
        <w:pStyle w:val="BodyText"/>
      </w:pPr>
    </w:p>
    <w:sectPr w:rsidR="00BA639F" w:rsidRPr="00EB23FB"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1F02" w14:textId="77777777" w:rsidR="008B590E" w:rsidRDefault="008B590E">
      <w:pPr>
        <w:spacing w:line="20" w:lineRule="exact"/>
      </w:pPr>
    </w:p>
    <w:p w14:paraId="184175EE" w14:textId="77777777" w:rsidR="008B590E" w:rsidRDefault="008B590E"/>
    <w:p w14:paraId="2255FC03" w14:textId="77777777" w:rsidR="008B590E" w:rsidRDefault="008B590E"/>
  </w:endnote>
  <w:endnote w:type="continuationSeparator" w:id="0">
    <w:p w14:paraId="58A044E3" w14:textId="77777777" w:rsidR="008B590E" w:rsidRDefault="008B590E">
      <w:r>
        <w:t xml:space="preserve"> </w:t>
      </w:r>
    </w:p>
    <w:p w14:paraId="177FA4F7" w14:textId="77777777" w:rsidR="008B590E" w:rsidRDefault="008B590E"/>
    <w:p w14:paraId="16E84BCF" w14:textId="77777777" w:rsidR="008B590E" w:rsidRDefault="008B590E"/>
  </w:endnote>
  <w:endnote w:type="continuationNotice" w:id="1">
    <w:p w14:paraId="697C099C" w14:textId="77777777" w:rsidR="008B590E" w:rsidRDefault="008B590E">
      <w:r>
        <w:t xml:space="preserve"> </w:t>
      </w:r>
    </w:p>
    <w:p w14:paraId="56899D42" w14:textId="77777777" w:rsidR="008B590E" w:rsidRDefault="008B590E"/>
    <w:p w14:paraId="7862C2EB" w14:textId="77777777" w:rsidR="008B590E" w:rsidRDefault="008B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71CE" w14:textId="7FA9315E" w:rsidR="008B590E" w:rsidRPr="00C47B9D" w:rsidRDefault="008B590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DB44BF0" wp14:editId="78D1F56D">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F965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67B45">
          <w:rPr>
            <w:bCs/>
            <w:sz w:val="18"/>
            <w:szCs w:val="18"/>
          </w:rPr>
          <w:t>Australian Competition and Consumer Commission v NQCranes Pty Ltd [2021] FCA 1270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1229" w14:textId="2A8DA439" w:rsidR="008B590E" w:rsidRPr="00C47B9D" w:rsidRDefault="008B590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9C147A1" wp14:editId="76E5B27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8178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15CEB791A574782AF836CAC005BE04D"/>
        </w:placeholder>
        <w:dataBinding w:prefixMappings="xmlns:ns0='http://schemas.globalmacros.com/FCA'" w:xpath="/ns0:root[1]/ns0:Name[1]" w:storeItemID="{687E7CCB-4AA5-44E7-B148-17BA2B6F57C0}"/>
        <w:text w:multiLine="1"/>
      </w:sdtPr>
      <w:sdtEndPr/>
      <w:sdtContent>
        <w:r w:rsidR="00A67B45">
          <w:rPr>
            <w:bCs/>
            <w:sz w:val="18"/>
            <w:szCs w:val="18"/>
          </w:rPr>
          <w:t>Australian Competition and Consumer Commission v NQCranes Pty Ltd [2021] FCA 1270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22</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7209" w14:textId="6F3EB89D" w:rsidR="008B590E" w:rsidRPr="00C47B9D" w:rsidRDefault="008B590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4FB99C7" wp14:editId="2347438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F86E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58CC223DD694F8A9C2AF8468046EEA4"/>
        </w:placeholder>
        <w:dataBinding w:prefixMappings="xmlns:ns0='http://schemas.globalmacros.com/FCA'" w:xpath="/ns0:root[1]/ns0:Name[1]" w:storeItemID="{687E7CCB-4AA5-44E7-B148-17BA2B6F57C0}"/>
        <w:text w:multiLine="1"/>
      </w:sdtPr>
      <w:sdtEndPr/>
      <w:sdtContent>
        <w:r w:rsidR="00A67B45">
          <w:rPr>
            <w:bCs/>
            <w:sz w:val="18"/>
            <w:szCs w:val="18"/>
          </w:rPr>
          <w:t>Australian Competition and Consumer Commission v NQCranes Pty Ltd [2021] FCA 1270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633B0">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D49A" w14:textId="54E31E1C" w:rsidR="008B590E" w:rsidRPr="00C47B9D" w:rsidRDefault="008B590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FF682E2" wp14:editId="2F08071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2BBD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FA616C6E0A842DA84AF7F2D11CDDD0E"/>
        </w:placeholder>
        <w:dataBinding w:prefixMappings="xmlns:ns0='http://schemas.globalmacros.com/FCA'" w:xpath="/ns0:root[1]/ns0:Name[1]" w:storeItemID="{687E7CCB-4AA5-44E7-B148-17BA2B6F57C0}"/>
        <w:text w:multiLine="1"/>
      </w:sdtPr>
      <w:sdtEndPr/>
      <w:sdtContent>
        <w:r w:rsidR="00A67B45">
          <w:rPr>
            <w:bCs/>
            <w:sz w:val="18"/>
            <w:szCs w:val="18"/>
          </w:rPr>
          <w:t>Australian Competition and Consumer Commission v NQCranes Pty Ltd [2021] FCA 1270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A0D14">
      <w:rPr>
        <w:bCs/>
        <w:noProof/>
        <w:sz w:val="20"/>
      </w:rPr>
      <w:t>3</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ABB8" w14:textId="5D06226F" w:rsidR="008B590E" w:rsidRPr="00C47B9D" w:rsidRDefault="008B590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20417D3" wp14:editId="5212F522">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A695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4603529596C4D288CB7F4B2938E9E54"/>
        </w:placeholder>
        <w:dataBinding w:prefixMappings="xmlns:ns0='http://schemas.globalmacros.com/FCA'" w:xpath="/ns0:root[1]/ns0:Name[1]" w:storeItemID="{687E7CCB-4AA5-44E7-B148-17BA2B6F57C0}"/>
        <w:text w:multiLine="1"/>
      </w:sdtPr>
      <w:sdtEndPr/>
      <w:sdtContent>
        <w:r w:rsidR="00A67B45">
          <w:rPr>
            <w:bCs/>
            <w:sz w:val="18"/>
            <w:szCs w:val="18"/>
          </w:rPr>
          <w:t>Australian Competition and Consumer Commission v NQCranes Pty Ltd [2021] FCA 1270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A0D1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9B69A" w14:textId="77777777" w:rsidR="008B590E" w:rsidRDefault="008B590E"/>
    <w:p w14:paraId="6E2F26E8" w14:textId="77777777" w:rsidR="008B590E" w:rsidRDefault="008B590E"/>
    <w:p w14:paraId="21F480F4" w14:textId="77777777" w:rsidR="008B590E" w:rsidRDefault="008B590E"/>
  </w:footnote>
  <w:footnote w:type="continuationSeparator" w:id="0">
    <w:p w14:paraId="792B31AF" w14:textId="77777777" w:rsidR="008B590E" w:rsidRDefault="008B590E">
      <w:r>
        <w:continuationSeparator/>
      </w:r>
    </w:p>
    <w:p w14:paraId="091E1278" w14:textId="77777777" w:rsidR="008B590E" w:rsidRDefault="008B590E"/>
    <w:p w14:paraId="61B73DDD" w14:textId="77777777" w:rsidR="008B590E" w:rsidRDefault="008B59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38BA" w14:textId="77777777" w:rsidR="008B590E" w:rsidRDefault="008B590E">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09A5" w14:textId="77777777" w:rsidR="008B590E" w:rsidRDefault="008B590E">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C279" w14:textId="77777777" w:rsidR="008B590E" w:rsidRDefault="008B590E"/>
  <w:p w14:paraId="0A61C4F8" w14:textId="77777777" w:rsidR="008B590E" w:rsidRDefault="008B59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473D" w14:textId="77777777" w:rsidR="008B590E" w:rsidRDefault="008B590E">
    <w:pPr>
      <w:tabs>
        <w:tab w:val="center" w:pos="4512"/>
      </w:tabs>
      <w:suppressAutoHyphens/>
    </w:pPr>
  </w:p>
  <w:p w14:paraId="0340836C" w14:textId="77777777" w:rsidR="008B590E" w:rsidRDefault="008B590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DD9A" w14:textId="77777777" w:rsidR="008B590E" w:rsidRDefault="008B590E" w:rsidP="00A436E8">
    <w:pPr>
      <w:pStyle w:val="Header"/>
      <w:tabs>
        <w:tab w:val="clear" w:pos="4320"/>
        <w:tab w:val="clear" w:pos="8640"/>
      </w:tabs>
    </w:pPr>
  </w:p>
  <w:p w14:paraId="42D39099" w14:textId="77777777" w:rsidR="008B590E" w:rsidRDefault="008B59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24053F"/>
    <w:multiLevelType w:val="multilevel"/>
    <w:tmpl w:val="CC16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0BC00035"/>
    <w:multiLevelType w:val="hybridMultilevel"/>
    <w:tmpl w:val="C302B1B4"/>
    <w:lvl w:ilvl="0" w:tplc="E41E02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9C5D74"/>
    <w:multiLevelType w:val="multilevel"/>
    <w:tmpl w:val="0028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9AE3DD1"/>
    <w:multiLevelType w:val="singleLevel"/>
    <w:tmpl w:val="75943B4A"/>
    <w:lvl w:ilvl="0">
      <w:start w:val="1"/>
      <w:numFmt w:val="decimal"/>
      <w:lvlRestart w:val="0"/>
      <w:pStyle w:val="ParaNumbering"/>
      <w:lvlText w:val="%1"/>
      <w:lvlJc w:val="left"/>
      <w:pPr>
        <w:tabs>
          <w:tab w:val="num" w:pos="720"/>
        </w:tabs>
        <w:ind w:left="0" w:hanging="720"/>
      </w:pPr>
      <w:rPr>
        <w:rFonts w:ascii="Times New Roman" w:hAnsi="Times New Roman" w:cs="Times New Roman" w:hint="default"/>
        <w:color w:val="auto"/>
        <w:sz w:val="20"/>
      </w:rPr>
    </w:lvl>
  </w:abstractNum>
  <w:abstractNum w:abstractNumId="19"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31402068"/>
    <w:multiLevelType w:val="multilevel"/>
    <w:tmpl w:val="CAD6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15:restartNumberingAfterBreak="0">
    <w:nsid w:val="368128B6"/>
    <w:multiLevelType w:val="hybridMultilevel"/>
    <w:tmpl w:val="1116B88E"/>
    <w:lvl w:ilvl="0" w:tplc="A894E422">
      <w:start w:val="3"/>
      <w:numFmt w:val="decimal"/>
      <w:lvlText w:val="%1"/>
      <w:lvlJc w:val="left"/>
      <w:pPr>
        <w:ind w:left="881" w:hanging="744"/>
      </w:pPr>
      <w:rPr>
        <w:rFonts w:hint="default"/>
        <w:w w:val="106"/>
      </w:rPr>
    </w:lvl>
    <w:lvl w:ilvl="1" w:tplc="A68E3890">
      <w:start w:val="1"/>
      <w:numFmt w:val="lowerLetter"/>
      <w:lvlText w:val="(%2)"/>
      <w:lvlJc w:val="left"/>
      <w:pPr>
        <w:ind w:left="1630" w:hanging="750"/>
      </w:pPr>
      <w:rPr>
        <w:rFonts w:hint="default"/>
        <w:spacing w:val="-1"/>
        <w:w w:val="109"/>
      </w:rPr>
    </w:lvl>
    <w:lvl w:ilvl="2" w:tplc="56E028EA">
      <w:start w:val="1"/>
      <w:numFmt w:val="lowerRoman"/>
      <w:lvlText w:val="(%3)"/>
      <w:lvlJc w:val="left"/>
      <w:pPr>
        <w:ind w:left="3023" w:hanging="711"/>
      </w:pPr>
      <w:rPr>
        <w:rFonts w:hint="default"/>
        <w:spacing w:val="-1"/>
        <w:w w:val="104"/>
      </w:rPr>
    </w:lvl>
    <w:lvl w:ilvl="3" w:tplc="12C8CA12">
      <w:numFmt w:val="bullet"/>
      <w:lvlText w:val="•"/>
      <w:lvlJc w:val="left"/>
      <w:pPr>
        <w:ind w:left="2280" w:hanging="711"/>
      </w:pPr>
      <w:rPr>
        <w:rFonts w:hint="default"/>
      </w:rPr>
    </w:lvl>
    <w:lvl w:ilvl="4" w:tplc="BFC69EF4">
      <w:numFmt w:val="bullet"/>
      <w:lvlText w:val="•"/>
      <w:lvlJc w:val="left"/>
      <w:pPr>
        <w:ind w:left="2300" w:hanging="711"/>
      </w:pPr>
      <w:rPr>
        <w:rFonts w:hint="default"/>
      </w:rPr>
    </w:lvl>
    <w:lvl w:ilvl="5" w:tplc="95A08E64">
      <w:numFmt w:val="bullet"/>
      <w:lvlText w:val="•"/>
      <w:lvlJc w:val="left"/>
      <w:pPr>
        <w:ind w:left="3020" w:hanging="711"/>
      </w:pPr>
      <w:rPr>
        <w:rFonts w:hint="default"/>
      </w:rPr>
    </w:lvl>
    <w:lvl w:ilvl="6" w:tplc="1EB8CA20">
      <w:numFmt w:val="bullet"/>
      <w:lvlText w:val="•"/>
      <w:lvlJc w:val="left"/>
      <w:pPr>
        <w:ind w:left="4429" w:hanging="711"/>
      </w:pPr>
      <w:rPr>
        <w:rFonts w:hint="default"/>
      </w:rPr>
    </w:lvl>
    <w:lvl w:ilvl="7" w:tplc="D76AA86A">
      <w:numFmt w:val="bullet"/>
      <w:lvlText w:val="•"/>
      <w:lvlJc w:val="left"/>
      <w:pPr>
        <w:ind w:left="5839" w:hanging="711"/>
      </w:pPr>
      <w:rPr>
        <w:rFonts w:hint="default"/>
      </w:rPr>
    </w:lvl>
    <w:lvl w:ilvl="8" w:tplc="85FEE248">
      <w:numFmt w:val="bullet"/>
      <w:lvlText w:val="•"/>
      <w:lvlJc w:val="left"/>
      <w:pPr>
        <w:ind w:left="7249" w:hanging="711"/>
      </w:pPr>
      <w:rPr>
        <w:rFonts w:hint="default"/>
      </w:rPr>
    </w:lvl>
  </w:abstractNum>
  <w:abstractNum w:abstractNumId="25" w15:restartNumberingAfterBreak="0">
    <w:nsid w:val="494817A7"/>
    <w:multiLevelType w:val="multilevel"/>
    <w:tmpl w:val="0F0EC90E"/>
    <w:numStyleLink w:val="FCListNo"/>
  </w:abstractNum>
  <w:abstractNum w:abstractNumId="2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EF720FD"/>
    <w:multiLevelType w:val="hybridMultilevel"/>
    <w:tmpl w:val="88FCB66E"/>
    <w:lvl w:ilvl="0" w:tplc="242C2C78">
      <w:start w:val="1"/>
      <w:numFmt w:val="lowerLetter"/>
      <w:lvlText w:val="(%1)"/>
      <w:lvlJc w:val="left"/>
      <w:pPr>
        <w:ind w:left="2666" w:hanging="828"/>
      </w:pPr>
      <w:rPr>
        <w:rFonts w:ascii="Arial" w:eastAsia="Arial" w:hAnsi="Arial" w:cs="Arial" w:hint="default"/>
        <w:spacing w:val="-1"/>
        <w:w w:val="100"/>
        <w:sz w:val="20"/>
        <w:szCs w:val="20"/>
        <w:lang w:val="en-AU" w:eastAsia="en-AU" w:bidi="en-AU"/>
      </w:rPr>
    </w:lvl>
    <w:lvl w:ilvl="1" w:tplc="40CC2D2A">
      <w:numFmt w:val="bullet"/>
      <w:lvlText w:val="•"/>
      <w:lvlJc w:val="left"/>
      <w:pPr>
        <w:ind w:left="3408" w:hanging="828"/>
      </w:pPr>
      <w:rPr>
        <w:rFonts w:hint="default"/>
        <w:lang w:val="en-AU" w:eastAsia="en-AU" w:bidi="en-AU"/>
      </w:rPr>
    </w:lvl>
    <w:lvl w:ilvl="2" w:tplc="1B6A097C">
      <w:numFmt w:val="bullet"/>
      <w:lvlText w:val="•"/>
      <w:lvlJc w:val="left"/>
      <w:pPr>
        <w:ind w:left="4157" w:hanging="828"/>
      </w:pPr>
      <w:rPr>
        <w:rFonts w:hint="default"/>
        <w:lang w:val="en-AU" w:eastAsia="en-AU" w:bidi="en-AU"/>
      </w:rPr>
    </w:lvl>
    <w:lvl w:ilvl="3" w:tplc="2BFA9E16">
      <w:numFmt w:val="bullet"/>
      <w:lvlText w:val="•"/>
      <w:lvlJc w:val="left"/>
      <w:pPr>
        <w:ind w:left="4905" w:hanging="828"/>
      </w:pPr>
      <w:rPr>
        <w:rFonts w:hint="default"/>
        <w:lang w:val="en-AU" w:eastAsia="en-AU" w:bidi="en-AU"/>
      </w:rPr>
    </w:lvl>
    <w:lvl w:ilvl="4" w:tplc="530C5C68">
      <w:numFmt w:val="bullet"/>
      <w:lvlText w:val="•"/>
      <w:lvlJc w:val="left"/>
      <w:pPr>
        <w:ind w:left="5654" w:hanging="828"/>
      </w:pPr>
      <w:rPr>
        <w:rFonts w:hint="default"/>
        <w:lang w:val="en-AU" w:eastAsia="en-AU" w:bidi="en-AU"/>
      </w:rPr>
    </w:lvl>
    <w:lvl w:ilvl="5" w:tplc="81FAE852">
      <w:numFmt w:val="bullet"/>
      <w:lvlText w:val="•"/>
      <w:lvlJc w:val="left"/>
      <w:pPr>
        <w:ind w:left="6403" w:hanging="828"/>
      </w:pPr>
      <w:rPr>
        <w:rFonts w:hint="default"/>
        <w:lang w:val="en-AU" w:eastAsia="en-AU" w:bidi="en-AU"/>
      </w:rPr>
    </w:lvl>
    <w:lvl w:ilvl="6" w:tplc="29AE51BA">
      <w:numFmt w:val="bullet"/>
      <w:lvlText w:val="•"/>
      <w:lvlJc w:val="left"/>
      <w:pPr>
        <w:ind w:left="7151" w:hanging="828"/>
      </w:pPr>
      <w:rPr>
        <w:rFonts w:hint="default"/>
        <w:lang w:val="en-AU" w:eastAsia="en-AU" w:bidi="en-AU"/>
      </w:rPr>
    </w:lvl>
    <w:lvl w:ilvl="7" w:tplc="A1F48E56">
      <w:numFmt w:val="bullet"/>
      <w:lvlText w:val="•"/>
      <w:lvlJc w:val="left"/>
      <w:pPr>
        <w:ind w:left="7900" w:hanging="828"/>
      </w:pPr>
      <w:rPr>
        <w:rFonts w:hint="default"/>
        <w:lang w:val="en-AU" w:eastAsia="en-AU" w:bidi="en-AU"/>
      </w:rPr>
    </w:lvl>
    <w:lvl w:ilvl="8" w:tplc="E3166426">
      <w:numFmt w:val="bullet"/>
      <w:lvlText w:val="•"/>
      <w:lvlJc w:val="left"/>
      <w:pPr>
        <w:ind w:left="8648" w:hanging="828"/>
      </w:pPr>
      <w:rPr>
        <w:rFonts w:hint="default"/>
        <w:lang w:val="en-AU" w:eastAsia="en-AU" w:bidi="en-AU"/>
      </w:rPr>
    </w:lvl>
  </w:abstractNum>
  <w:abstractNum w:abstractNumId="29" w15:restartNumberingAfterBreak="0">
    <w:nsid w:val="504C4982"/>
    <w:multiLevelType w:val="hybridMultilevel"/>
    <w:tmpl w:val="9D2AC880"/>
    <w:lvl w:ilvl="0" w:tplc="9244DD4A">
      <w:numFmt w:val="bullet"/>
      <w:lvlText w:val=""/>
      <w:lvlJc w:val="left"/>
      <w:pPr>
        <w:ind w:left="2459" w:hanging="360"/>
      </w:pPr>
      <w:rPr>
        <w:rFonts w:ascii="Symbol" w:eastAsia="Symbol" w:hAnsi="Symbol" w:cs="Symbol" w:hint="default"/>
        <w:w w:val="100"/>
        <w:sz w:val="18"/>
        <w:szCs w:val="18"/>
        <w:lang w:val="en-AU" w:eastAsia="en-AU" w:bidi="en-AU"/>
      </w:rPr>
    </w:lvl>
    <w:lvl w:ilvl="1" w:tplc="1226AD42">
      <w:numFmt w:val="bullet"/>
      <w:lvlText w:val="•"/>
      <w:lvlJc w:val="left"/>
      <w:pPr>
        <w:ind w:left="3228" w:hanging="360"/>
      </w:pPr>
      <w:rPr>
        <w:rFonts w:hint="default"/>
        <w:lang w:val="en-AU" w:eastAsia="en-AU" w:bidi="en-AU"/>
      </w:rPr>
    </w:lvl>
    <w:lvl w:ilvl="2" w:tplc="559CB210">
      <w:numFmt w:val="bullet"/>
      <w:lvlText w:val="•"/>
      <w:lvlJc w:val="left"/>
      <w:pPr>
        <w:ind w:left="3997" w:hanging="360"/>
      </w:pPr>
      <w:rPr>
        <w:rFonts w:hint="default"/>
        <w:lang w:val="en-AU" w:eastAsia="en-AU" w:bidi="en-AU"/>
      </w:rPr>
    </w:lvl>
    <w:lvl w:ilvl="3" w:tplc="B32055D2">
      <w:numFmt w:val="bullet"/>
      <w:lvlText w:val="•"/>
      <w:lvlJc w:val="left"/>
      <w:pPr>
        <w:ind w:left="4765" w:hanging="360"/>
      </w:pPr>
      <w:rPr>
        <w:rFonts w:hint="default"/>
        <w:lang w:val="en-AU" w:eastAsia="en-AU" w:bidi="en-AU"/>
      </w:rPr>
    </w:lvl>
    <w:lvl w:ilvl="4" w:tplc="F4447BB6">
      <w:numFmt w:val="bullet"/>
      <w:lvlText w:val="•"/>
      <w:lvlJc w:val="left"/>
      <w:pPr>
        <w:ind w:left="5534" w:hanging="360"/>
      </w:pPr>
      <w:rPr>
        <w:rFonts w:hint="default"/>
        <w:lang w:val="en-AU" w:eastAsia="en-AU" w:bidi="en-AU"/>
      </w:rPr>
    </w:lvl>
    <w:lvl w:ilvl="5" w:tplc="6FFC97F8">
      <w:numFmt w:val="bullet"/>
      <w:lvlText w:val="•"/>
      <w:lvlJc w:val="left"/>
      <w:pPr>
        <w:ind w:left="6303" w:hanging="360"/>
      </w:pPr>
      <w:rPr>
        <w:rFonts w:hint="default"/>
        <w:lang w:val="en-AU" w:eastAsia="en-AU" w:bidi="en-AU"/>
      </w:rPr>
    </w:lvl>
    <w:lvl w:ilvl="6" w:tplc="97D6891A">
      <w:numFmt w:val="bullet"/>
      <w:lvlText w:val="•"/>
      <w:lvlJc w:val="left"/>
      <w:pPr>
        <w:ind w:left="7071" w:hanging="360"/>
      </w:pPr>
      <w:rPr>
        <w:rFonts w:hint="default"/>
        <w:lang w:val="en-AU" w:eastAsia="en-AU" w:bidi="en-AU"/>
      </w:rPr>
    </w:lvl>
    <w:lvl w:ilvl="7" w:tplc="17046102">
      <w:numFmt w:val="bullet"/>
      <w:lvlText w:val="•"/>
      <w:lvlJc w:val="left"/>
      <w:pPr>
        <w:ind w:left="7840" w:hanging="360"/>
      </w:pPr>
      <w:rPr>
        <w:rFonts w:hint="default"/>
        <w:lang w:val="en-AU" w:eastAsia="en-AU" w:bidi="en-AU"/>
      </w:rPr>
    </w:lvl>
    <w:lvl w:ilvl="8" w:tplc="F93E7C8E">
      <w:numFmt w:val="bullet"/>
      <w:lvlText w:val="•"/>
      <w:lvlJc w:val="left"/>
      <w:pPr>
        <w:ind w:left="8608" w:hanging="360"/>
      </w:pPr>
      <w:rPr>
        <w:rFonts w:hint="default"/>
        <w:lang w:val="en-AU" w:eastAsia="en-AU" w:bidi="en-AU"/>
      </w:rPr>
    </w:lvl>
  </w:abstractNum>
  <w:abstractNum w:abstractNumId="30" w15:restartNumberingAfterBreak="0">
    <w:nsid w:val="51160D82"/>
    <w:multiLevelType w:val="multilevel"/>
    <w:tmpl w:val="E0E2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EC7B19"/>
    <w:multiLevelType w:val="multilevel"/>
    <w:tmpl w:val="A418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037426"/>
    <w:multiLevelType w:val="multilevel"/>
    <w:tmpl w:val="665A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6D16C7"/>
    <w:multiLevelType w:val="multilevel"/>
    <w:tmpl w:val="189A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A1E5A6C"/>
    <w:multiLevelType w:val="multilevel"/>
    <w:tmpl w:val="4FA8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BC0769"/>
    <w:multiLevelType w:val="multilevel"/>
    <w:tmpl w:val="85B61668"/>
    <w:lvl w:ilvl="0">
      <w:start w:val="1"/>
      <w:numFmt w:val="decimal"/>
      <w:lvlText w:val="%1."/>
      <w:lvlJc w:val="left"/>
      <w:pPr>
        <w:ind w:left="965" w:hanging="568"/>
      </w:pPr>
      <w:rPr>
        <w:rFonts w:ascii="Arial" w:eastAsia="Arial" w:hAnsi="Arial" w:cs="Arial" w:hint="default"/>
        <w:spacing w:val="-12"/>
        <w:w w:val="100"/>
        <w:sz w:val="20"/>
        <w:szCs w:val="20"/>
        <w:lang w:val="en-AU" w:eastAsia="en-AU" w:bidi="en-AU"/>
      </w:rPr>
    </w:lvl>
    <w:lvl w:ilvl="1">
      <w:start w:val="1"/>
      <w:numFmt w:val="decimal"/>
      <w:lvlText w:val="%1.%2"/>
      <w:lvlJc w:val="left"/>
      <w:pPr>
        <w:ind w:left="1873" w:hanging="908"/>
      </w:pPr>
      <w:rPr>
        <w:rFonts w:ascii="Arial" w:eastAsia="Arial" w:hAnsi="Arial" w:cs="Arial" w:hint="default"/>
        <w:spacing w:val="-25"/>
        <w:w w:val="100"/>
        <w:sz w:val="20"/>
        <w:szCs w:val="20"/>
        <w:lang w:val="en-AU" w:eastAsia="en-AU" w:bidi="en-AU"/>
      </w:rPr>
    </w:lvl>
    <w:lvl w:ilvl="2">
      <w:start w:val="6"/>
      <w:numFmt w:val="decimal"/>
      <w:lvlText w:val="(%3)"/>
      <w:lvlJc w:val="left"/>
      <w:pPr>
        <w:ind w:left="2660" w:hanging="561"/>
      </w:pPr>
      <w:rPr>
        <w:rFonts w:ascii="Arial" w:eastAsia="Arial" w:hAnsi="Arial" w:cs="Arial" w:hint="default"/>
        <w:spacing w:val="-1"/>
        <w:w w:val="100"/>
        <w:sz w:val="18"/>
        <w:szCs w:val="18"/>
        <w:lang w:val="en-AU" w:eastAsia="en-AU" w:bidi="en-AU"/>
      </w:rPr>
    </w:lvl>
    <w:lvl w:ilvl="3">
      <w:start w:val="1"/>
      <w:numFmt w:val="lowerLetter"/>
      <w:lvlText w:val="(%4)"/>
      <w:lvlJc w:val="left"/>
      <w:pPr>
        <w:ind w:left="3233" w:hanging="573"/>
      </w:pPr>
      <w:rPr>
        <w:rFonts w:ascii="Arial" w:eastAsia="Arial" w:hAnsi="Arial" w:cs="Arial" w:hint="default"/>
        <w:spacing w:val="-1"/>
        <w:w w:val="100"/>
        <w:sz w:val="18"/>
        <w:szCs w:val="18"/>
        <w:lang w:val="en-AU" w:eastAsia="en-AU" w:bidi="en-AU"/>
      </w:rPr>
    </w:lvl>
    <w:lvl w:ilvl="4">
      <w:numFmt w:val="bullet"/>
      <w:lvlText w:val="•"/>
      <w:lvlJc w:val="left"/>
      <w:pPr>
        <w:ind w:left="3240" w:hanging="573"/>
      </w:pPr>
      <w:rPr>
        <w:rFonts w:hint="default"/>
        <w:lang w:val="en-AU" w:eastAsia="en-AU" w:bidi="en-AU"/>
      </w:rPr>
    </w:lvl>
    <w:lvl w:ilvl="5">
      <w:numFmt w:val="bullet"/>
      <w:lvlText w:val="•"/>
      <w:lvlJc w:val="left"/>
      <w:pPr>
        <w:ind w:left="4391" w:hanging="573"/>
      </w:pPr>
      <w:rPr>
        <w:rFonts w:hint="default"/>
        <w:lang w:val="en-AU" w:eastAsia="en-AU" w:bidi="en-AU"/>
      </w:rPr>
    </w:lvl>
    <w:lvl w:ilvl="6">
      <w:numFmt w:val="bullet"/>
      <w:lvlText w:val="•"/>
      <w:lvlJc w:val="left"/>
      <w:pPr>
        <w:ind w:left="5542" w:hanging="573"/>
      </w:pPr>
      <w:rPr>
        <w:rFonts w:hint="default"/>
        <w:lang w:val="en-AU" w:eastAsia="en-AU" w:bidi="en-AU"/>
      </w:rPr>
    </w:lvl>
    <w:lvl w:ilvl="7">
      <w:numFmt w:val="bullet"/>
      <w:lvlText w:val="•"/>
      <w:lvlJc w:val="left"/>
      <w:pPr>
        <w:ind w:left="6693" w:hanging="573"/>
      </w:pPr>
      <w:rPr>
        <w:rFonts w:hint="default"/>
        <w:lang w:val="en-AU" w:eastAsia="en-AU" w:bidi="en-AU"/>
      </w:rPr>
    </w:lvl>
    <w:lvl w:ilvl="8">
      <w:numFmt w:val="bullet"/>
      <w:lvlText w:val="•"/>
      <w:lvlJc w:val="left"/>
      <w:pPr>
        <w:ind w:left="7844" w:hanging="573"/>
      </w:pPr>
      <w:rPr>
        <w:rFonts w:hint="default"/>
        <w:lang w:val="en-AU" w:eastAsia="en-AU" w:bidi="en-AU"/>
      </w:rPr>
    </w:lvl>
  </w:abstractNum>
  <w:abstractNum w:abstractNumId="37" w15:restartNumberingAfterBreak="0">
    <w:nsid w:val="6DD3787B"/>
    <w:multiLevelType w:val="hybridMultilevel"/>
    <w:tmpl w:val="D61806B2"/>
    <w:lvl w:ilvl="0" w:tplc="5526F2EE">
      <w:start w:val="1"/>
      <w:numFmt w:val="decimal"/>
      <w:lvlText w:val="%1."/>
      <w:lvlJc w:val="left"/>
      <w:pPr>
        <w:ind w:left="1140" w:hanging="720"/>
      </w:pPr>
      <w:rPr>
        <w:rFonts w:ascii="Arial" w:eastAsia="Arial" w:hAnsi="Arial" w:cs="Arial" w:hint="default"/>
        <w:spacing w:val="-1"/>
        <w:w w:val="100"/>
        <w:sz w:val="22"/>
        <w:szCs w:val="22"/>
      </w:rPr>
    </w:lvl>
    <w:lvl w:ilvl="1" w:tplc="3FF88D72">
      <w:start w:val="1"/>
      <w:numFmt w:val="lowerLetter"/>
      <w:lvlText w:val="(%2)"/>
      <w:lvlJc w:val="left"/>
      <w:pPr>
        <w:ind w:left="1860" w:hanging="721"/>
      </w:pPr>
      <w:rPr>
        <w:rFonts w:ascii="Arial" w:eastAsia="Arial" w:hAnsi="Arial" w:cs="Arial" w:hint="default"/>
        <w:w w:val="100"/>
        <w:sz w:val="22"/>
        <w:szCs w:val="22"/>
      </w:rPr>
    </w:lvl>
    <w:lvl w:ilvl="2" w:tplc="CC427A50">
      <w:start w:val="1"/>
      <w:numFmt w:val="lowerRoman"/>
      <w:lvlText w:val="(%3)"/>
      <w:lvlJc w:val="left"/>
      <w:pPr>
        <w:ind w:left="2580" w:hanging="721"/>
      </w:pPr>
      <w:rPr>
        <w:rFonts w:ascii="Arial" w:eastAsia="Arial" w:hAnsi="Arial" w:cs="Arial" w:hint="default"/>
        <w:w w:val="100"/>
        <w:sz w:val="22"/>
        <w:szCs w:val="22"/>
      </w:rPr>
    </w:lvl>
    <w:lvl w:ilvl="3" w:tplc="B6184680">
      <w:start w:val="1"/>
      <w:numFmt w:val="upperLetter"/>
      <w:lvlText w:val="%4."/>
      <w:lvlJc w:val="left"/>
      <w:pPr>
        <w:ind w:left="2688" w:hanging="567"/>
      </w:pPr>
      <w:rPr>
        <w:rFonts w:ascii="Arial" w:eastAsia="Arial" w:hAnsi="Arial" w:cs="Arial" w:hint="default"/>
        <w:w w:val="99"/>
        <w:sz w:val="20"/>
        <w:szCs w:val="20"/>
      </w:rPr>
    </w:lvl>
    <w:lvl w:ilvl="4" w:tplc="10E0D1E8">
      <w:numFmt w:val="bullet"/>
      <w:lvlText w:val="•"/>
      <w:lvlJc w:val="left"/>
      <w:pPr>
        <w:ind w:left="3775" w:hanging="567"/>
      </w:pPr>
      <w:rPr>
        <w:rFonts w:hint="default"/>
      </w:rPr>
    </w:lvl>
    <w:lvl w:ilvl="5" w:tplc="48682A72">
      <w:numFmt w:val="bullet"/>
      <w:lvlText w:val="•"/>
      <w:lvlJc w:val="left"/>
      <w:pPr>
        <w:ind w:left="4870" w:hanging="567"/>
      </w:pPr>
      <w:rPr>
        <w:rFonts w:hint="default"/>
      </w:rPr>
    </w:lvl>
    <w:lvl w:ilvl="6" w:tplc="D09A4D4C">
      <w:numFmt w:val="bullet"/>
      <w:lvlText w:val="•"/>
      <w:lvlJc w:val="left"/>
      <w:pPr>
        <w:ind w:left="5965" w:hanging="567"/>
      </w:pPr>
      <w:rPr>
        <w:rFonts w:hint="default"/>
      </w:rPr>
    </w:lvl>
    <w:lvl w:ilvl="7" w:tplc="F466725A">
      <w:numFmt w:val="bullet"/>
      <w:lvlText w:val="•"/>
      <w:lvlJc w:val="left"/>
      <w:pPr>
        <w:ind w:left="7060" w:hanging="567"/>
      </w:pPr>
      <w:rPr>
        <w:rFonts w:hint="default"/>
      </w:rPr>
    </w:lvl>
    <w:lvl w:ilvl="8" w:tplc="72046254">
      <w:numFmt w:val="bullet"/>
      <w:lvlText w:val="•"/>
      <w:lvlJc w:val="left"/>
      <w:pPr>
        <w:ind w:left="8155" w:hanging="567"/>
      </w:pPr>
      <w:rPr>
        <w:rFonts w:hint="default"/>
      </w:rPr>
    </w:lvl>
  </w:abstractNum>
  <w:abstractNum w:abstractNumId="3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6"/>
  </w:num>
  <w:num w:numId="15">
    <w:abstractNumId w:val="27"/>
  </w:num>
  <w:num w:numId="16">
    <w:abstractNumId w:val="39"/>
  </w:num>
  <w:num w:numId="17">
    <w:abstractNumId w:val="17"/>
  </w:num>
  <w:num w:numId="18">
    <w:abstractNumId w:val="38"/>
  </w:num>
  <w:num w:numId="19">
    <w:abstractNumId w:val="13"/>
  </w:num>
  <w:num w:numId="20">
    <w:abstractNumId w:val="23"/>
  </w:num>
  <w:num w:numId="21">
    <w:abstractNumId w:val="19"/>
  </w:num>
  <w:num w:numId="22">
    <w:abstractNumId w:val="20"/>
  </w:num>
  <w:num w:numId="23">
    <w:abstractNumId w:val="25"/>
  </w:num>
  <w:num w:numId="24">
    <w:abstractNumId w:val="11"/>
  </w:num>
  <w:num w:numId="25">
    <w:abstractNumId w:val="11"/>
  </w:num>
  <w:num w:numId="26">
    <w:abstractNumId w:val="14"/>
  </w:num>
  <w:num w:numId="27">
    <w:abstractNumId w:val="28"/>
  </w:num>
  <w:num w:numId="28">
    <w:abstractNumId w:val="36"/>
  </w:num>
  <w:num w:numId="29">
    <w:abstractNumId w:val="10"/>
  </w:num>
  <w:num w:numId="30">
    <w:abstractNumId w:val="24"/>
  </w:num>
  <w:num w:numId="31">
    <w:abstractNumId w:val="30"/>
    <w:lvlOverride w:ilvl="0">
      <w:startOverride w:val="223"/>
    </w:lvlOverride>
  </w:num>
  <w:num w:numId="32">
    <w:abstractNumId w:val="29"/>
  </w:num>
  <w:num w:numId="33">
    <w:abstractNumId w:val="15"/>
    <w:lvlOverride w:ilvl="0">
      <w:startOverride w:val="71"/>
    </w:lvlOverride>
  </w:num>
  <w:num w:numId="34">
    <w:abstractNumId w:val="37"/>
  </w:num>
  <w:num w:numId="35">
    <w:abstractNumId w:val="33"/>
    <w:lvlOverride w:ilvl="0">
      <w:startOverride w:val="58"/>
    </w:lvlOverride>
  </w:num>
  <w:num w:numId="36">
    <w:abstractNumId w:val="35"/>
    <w:lvlOverride w:ilvl="0">
      <w:startOverride w:val="59"/>
    </w:lvlOverride>
  </w:num>
  <w:num w:numId="37">
    <w:abstractNumId w:val="35"/>
    <w:lvlOverride w:ilvl="0">
      <w:startOverride w:val="60"/>
    </w:lvlOverride>
  </w:num>
  <w:num w:numId="38">
    <w:abstractNumId w:val="12"/>
    <w:lvlOverride w:ilvl="0">
      <w:startOverride w:val="61"/>
    </w:lvlOverride>
  </w:num>
  <w:num w:numId="39">
    <w:abstractNumId w:val="18"/>
  </w:num>
  <w:num w:numId="40">
    <w:abstractNumId w:val="18"/>
  </w:num>
  <w:num w:numId="41">
    <w:abstractNumId w:val="32"/>
    <w:lvlOverride w:ilvl="0">
      <w:startOverride w:val="24"/>
    </w:lvlOverride>
  </w:num>
  <w:num w:numId="42">
    <w:abstractNumId w:val="21"/>
    <w:lvlOverride w:ilvl="0">
      <w:startOverride w:val="25"/>
    </w:lvlOverride>
  </w:num>
  <w:num w:numId="43">
    <w:abstractNumId w:val="31"/>
    <w:lvlOverride w:ilvl="0">
      <w:startOverride w:val="13"/>
    </w:lvlOverride>
  </w:num>
  <w:num w:numId="44">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1144 of 2020"/>
    <w:docVar w:name="Initiators" w:val="(and another named in the Schedule)"/>
    <w:docVar w:name="InTheMatterOf" w:val="Australian Competition and Consumer Commission v NQCranes Pty Ltd"/>
    <w:docVar w:name="Judgdate" w:val="XX XX 2021"/>
    <w:docVar w:name="Judge" w:val="Abraham"/>
    <w:docVar w:name="JudgeType" w:val="Justice"/>
    <w:docVar w:name="lstEntryList" w:val="-1"/>
    <w:docVar w:name="NSD" w:val="NSD "/>
    <w:docVar w:name="NumApps" w:val="0"/>
    <w:docVar w:name="NumApps_" w:val="0"/>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Sydney"/>
    <w:docVar w:name="PracticeArea" w:val="Commercial and Corporations"/>
    <w:docVar w:name="RESAndAnother" w:val="True"/>
    <w:docVar w:name="RESAndOthers" w:val="False"/>
    <w:docVar w:name="Respondent" w:val="NQ Cranes Pty Ltd"/>
    <w:docVar w:name="ResState" w:val="New South Wales"/>
    <w:docVar w:name="SubArea" w:val="Economic Regulator, Competition and Access (C &amp; C)"/>
  </w:docVars>
  <w:rsids>
    <w:rsidRoot w:val="00BE57E3"/>
    <w:rsid w:val="00000747"/>
    <w:rsid w:val="000034FA"/>
    <w:rsid w:val="000059DA"/>
    <w:rsid w:val="000115C5"/>
    <w:rsid w:val="00012684"/>
    <w:rsid w:val="0001469E"/>
    <w:rsid w:val="00015993"/>
    <w:rsid w:val="00021CCB"/>
    <w:rsid w:val="00022289"/>
    <w:rsid w:val="00027398"/>
    <w:rsid w:val="0003201A"/>
    <w:rsid w:val="0003207A"/>
    <w:rsid w:val="00032996"/>
    <w:rsid w:val="00032F9F"/>
    <w:rsid w:val="00035690"/>
    <w:rsid w:val="00037429"/>
    <w:rsid w:val="00041C07"/>
    <w:rsid w:val="0004333F"/>
    <w:rsid w:val="00045BB7"/>
    <w:rsid w:val="000477AA"/>
    <w:rsid w:val="00055719"/>
    <w:rsid w:val="00055ADE"/>
    <w:rsid w:val="0005641B"/>
    <w:rsid w:val="0006160B"/>
    <w:rsid w:val="0006196A"/>
    <w:rsid w:val="00063628"/>
    <w:rsid w:val="0006795D"/>
    <w:rsid w:val="00077452"/>
    <w:rsid w:val="00077D37"/>
    <w:rsid w:val="00081497"/>
    <w:rsid w:val="000827CE"/>
    <w:rsid w:val="00085255"/>
    <w:rsid w:val="00090823"/>
    <w:rsid w:val="00094193"/>
    <w:rsid w:val="00096BAD"/>
    <w:rsid w:val="000A2E76"/>
    <w:rsid w:val="000A4807"/>
    <w:rsid w:val="000A4919"/>
    <w:rsid w:val="000A4BE4"/>
    <w:rsid w:val="000A6122"/>
    <w:rsid w:val="000A7270"/>
    <w:rsid w:val="000B50E4"/>
    <w:rsid w:val="000B5AB7"/>
    <w:rsid w:val="000B7BE7"/>
    <w:rsid w:val="000C023E"/>
    <w:rsid w:val="000C2D4F"/>
    <w:rsid w:val="000C4CB0"/>
    <w:rsid w:val="000C5195"/>
    <w:rsid w:val="000C62EF"/>
    <w:rsid w:val="000D2137"/>
    <w:rsid w:val="000D3FD2"/>
    <w:rsid w:val="000D4B2E"/>
    <w:rsid w:val="000D4DE3"/>
    <w:rsid w:val="000E3FC8"/>
    <w:rsid w:val="000E588D"/>
    <w:rsid w:val="000E5F4B"/>
    <w:rsid w:val="000E62BA"/>
    <w:rsid w:val="000E7BAE"/>
    <w:rsid w:val="000F133D"/>
    <w:rsid w:val="000F6CFE"/>
    <w:rsid w:val="000F7171"/>
    <w:rsid w:val="001001C7"/>
    <w:rsid w:val="0010111E"/>
    <w:rsid w:val="0010197D"/>
    <w:rsid w:val="001024E2"/>
    <w:rsid w:val="00102CCA"/>
    <w:rsid w:val="0010536B"/>
    <w:rsid w:val="0010589A"/>
    <w:rsid w:val="001072AA"/>
    <w:rsid w:val="0011145C"/>
    <w:rsid w:val="00111C05"/>
    <w:rsid w:val="001128BD"/>
    <w:rsid w:val="001132E5"/>
    <w:rsid w:val="00113FE6"/>
    <w:rsid w:val="0011419D"/>
    <w:rsid w:val="00114235"/>
    <w:rsid w:val="00114B02"/>
    <w:rsid w:val="0011679E"/>
    <w:rsid w:val="0011684F"/>
    <w:rsid w:val="001178D0"/>
    <w:rsid w:val="001226C0"/>
    <w:rsid w:val="00126EC8"/>
    <w:rsid w:val="0012731C"/>
    <w:rsid w:val="001304FD"/>
    <w:rsid w:val="00131A43"/>
    <w:rsid w:val="00132054"/>
    <w:rsid w:val="00134964"/>
    <w:rsid w:val="001351B9"/>
    <w:rsid w:val="0013614F"/>
    <w:rsid w:val="001367F8"/>
    <w:rsid w:val="0013753F"/>
    <w:rsid w:val="001449B8"/>
    <w:rsid w:val="00146938"/>
    <w:rsid w:val="00151AAE"/>
    <w:rsid w:val="001539EC"/>
    <w:rsid w:val="00155CD2"/>
    <w:rsid w:val="001632AD"/>
    <w:rsid w:val="0016344A"/>
    <w:rsid w:val="0016389F"/>
    <w:rsid w:val="001673DB"/>
    <w:rsid w:val="00167650"/>
    <w:rsid w:val="001727A4"/>
    <w:rsid w:val="0017376C"/>
    <w:rsid w:val="001738AB"/>
    <w:rsid w:val="001765E0"/>
    <w:rsid w:val="00177759"/>
    <w:rsid w:val="00180BB3"/>
    <w:rsid w:val="00181A03"/>
    <w:rsid w:val="00185E6B"/>
    <w:rsid w:val="00186DD4"/>
    <w:rsid w:val="00187220"/>
    <w:rsid w:val="001878A6"/>
    <w:rsid w:val="00187BBC"/>
    <w:rsid w:val="00191E76"/>
    <w:rsid w:val="001927B0"/>
    <w:rsid w:val="001932F3"/>
    <w:rsid w:val="001A2B40"/>
    <w:rsid w:val="001A4309"/>
    <w:rsid w:val="001A46AE"/>
    <w:rsid w:val="001A643C"/>
    <w:rsid w:val="001A6C52"/>
    <w:rsid w:val="001B1053"/>
    <w:rsid w:val="001B14AC"/>
    <w:rsid w:val="001B39E9"/>
    <w:rsid w:val="001B4A59"/>
    <w:rsid w:val="001B52C1"/>
    <w:rsid w:val="001B7940"/>
    <w:rsid w:val="001B7F28"/>
    <w:rsid w:val="001C030F"/>
    <w:rsid w:val="001C171A"/>
    <w:rsid w:val="001C37CA"/>
    <w:rsid w:val="001C4085"/>
    <w:rsid w:val="001C43DA"/>
    <w:rsid w:val="001C49BD"/>
    <w:rsid w:val="001D0071"/>
    <w:rsid w:val="001D27E0"/>
    <w:rsid w:val="001D35DC"/>
    <w:rsid w:val="001D4303"/>
    <w:rsid w:val="001D6746"/>
    <w:rsid w:val="001E3B49"/>
    <w:rsid w:val="001E4A05"/>
    <w:rsid w:val="001E6703"/>
    <w:rsid w:val="001E7388"/>
    <w:rsid w:val="001E7AFA"/>
    <w:rsid w:val="001F13DD"/>
    <w:rsid w:val="001F2473"/>
    <w:rsid w:val="001F2DBC"/>
    <w:rsid w:val="001F73E8"/>
    <w:rsid w:val="0020262C"/>
    <w:rsid w:val="00202723"/>
    <w:rsid w:val="0020473A"/>
    <w:rsid w:val="002063EE"/>
    <w:rsid w:val="00206C99"/>
    <w:rsid w:val="00206EAB"/>
    <w:rsid w:val="002071DE"/>
    <w:rsid w:val="00211A3E"/>
    <w:rsid w:val="00215BCA"/>
    <w:rsid w:val="00217AC4"/>
    <w:rsid w:val="00221461"/>
    <w:rsid w:val="00222024"/>
    <w:rsid w:val="00224193"/>
    <w:rsid w:val="00224537"/>
    <w:rsid w:val="00225E53"/>
    <w:rsid w:val="00227555"/>
    <w:rsid w:val="0023167B"/>
    <w:rsid w:val="00233772"/>
    <w:rsid w:val="0023388E"/>
    <w:rsid w:val="00235956"/>
    <w:rsid w:val="0024128E"/>
    <w:rsid w:val="00241C6A"/>
    <w:rsid w:val="002422F7"/>
    <w:rsid w:val="002427A0"/>
    <w:rsid w:val="00242C4A"/>
    <w:rsid w:val="00243E5E"/>
    <w:rsid w:val="00247C9A"/>
    <w:rsid w:val="0025160C"/>
    <w:rsid w:val="00251699"/>
    <w:rsid w:val="00251C6F"/>
    <w:rsid w:val="002535D0"/>
    <w:rsid w:val="002539B3"/>
    <w:rsid w:val="00254E59"/>
    <w:rsid w:val="00255116"/>
    <w:rsid w:val="00256336"/>
    <w:rsid w:val="00257C3E"/>
    <w:rsid w:val="002602C2"/>
    <w:rsid w:val="002614C9"/>
    <w:rsid w:val="002619CE"/>
    <w:rsid w:val="00261A70"/>
    <w:rsid w:val="00262C29"/>
    <w:rsid w:val="00266572"/>
    <w:rsid w:val="002666C9"/>
    <w:rsid w:val="00270136"/>
    <w:rsid w:val="00270FD7"/>
    <w:rsid w:val="00271C1B"/>
    <w:rsid w:val="00274F5B"/>
    <w:rsid w:val="00275549"/>
    <w:rsid w:val="002803F7"/>
    <w:rsid w:val="00280836"/>
    <w:rsid w:val="00282E1A"/>
    <w:rsid w:val="002840F1"/>
    <w:rsid w:val="00290B19"/>
    <w:rsid w:val="00290E9C"/>
    <w:rsid w:val="0029113B"/>
    <w:rsid w:val="002932FF"/>
    <w:rsid w:val="002934C0"/>
    <w:rsid w:val="0029720A"/>
    <w:rsid w:val="0029764C"/>
    <w:rsid w:val="002A0D1D"/>
    <w:rsid w:val="002A1B50"/>
    <w:rsid w:val="002A56AF"/>
    <w:rsid w:val="002A5ECA"/>
    <w:rsid w:val="002B0E91"/>
    <w:rsid w:val="002B0F5B"/>
    <w:rsid w:val="002B132C"/>
    <w:rsid w:val="002B3F23"/>
    <w:rsid w:val="002B4EB5"/>
    <w:rsid w:val="002B5AF5"/>
    <w:rsid w:val="002B6779"/>
    <w:rsid w:val="002B71C0"/>
    <w:rsid w:val="002B767E"/>
    <w:rsid w:val="002B7A34"/>
    <w:rsid w:val="002C0287"/>
    <w:rsid w:val="002C18A5"/>
    <w:rsid w:val="002C319E"/>
    <w:rsid w:val="002C31AD"/>
    <w:rsid w:val="002C45E1"/>
    <w:rsid w:val="002C7385"/>
    <w:rsid w:val="002D00E6"/>
    <w:rsid w:val="002D2DBB"/>
    <w:rsid w:val="002D37D8"/>
    <w:rsid w:val="002D54A6"/>
    <w:rsid w:val="002E075C"/>
    <w:rsid w:val="002E1E6B"/>
    <w:rsid w:val="002E5BF9"/>
    <w:rsid w:val="002E6A7A"/>
    <w:rsid w:val="002E7624"/>
    <w:rsid w:val="002F1DE4"/>
    <w:rsid w:val="002F1E49"/>
    <w:rsid w:val="002F4E9C"/>
    <w:rsid w:val="0030009F"/>
    <w:rsid w:val="0030176B"/>
    <w:rsid w:val="003019F3"/>
    <w:rsid w:val="00301B63"/>
    <w:rsid w:val="00302F4E"/>
    <w:rsid w:val="00303ED2"/>
    <w:rsid w:val="00305908"/>
    <w:rsid w:val="00307B00"/>
    <w:rsid w:val="0031256C"/>
    <w:rsid w:val="00312999"/>
    <w:rsid w:val="003143F1"/>
    <w:rsid w:val="00314D6C"/>
    <w:rsid w:val="00315150"/>
    <w:rsid w:val="00316D2A"/>
    <w:rsid w:val="00321D41"/>
    <w:rsid w:val="00322A7C"/>
    <w:rsid w:val="00322E7E"/>
    <w:rsid w:val="00322EEC"/>
    <w:rsid w:val="00323061"/>
    <w:rsid w:val="003235A2"/>
    <w:rsid w:val="003260DA"/>
    <w:rsid w:val="00327285"/>
    <w:rsid w:val="0033011B"/>
    <w:rsid w:val="0033122D"/>
    <w:rsid w:val="0033502F"/>
    <w:rsid w:val="003402D3"/>
    <w:rsid w:val="00343ABC"/>
    <w:rsid w:val="00343B95"/>
    <w:rsid w:val="003463FE"/>
    <w:rsid w:val="00347D41"/>
    <w:rsid w:val="00350D09"/>
    <w:rsid w:val="0035161C"/>
    <w:rsid w:val="003522BD"/>
    <w:rsid w:val="003554B3"/>
    <w:rsid w:val="00355E27"/>
    <w:rsid w:val="00356632"/>
    <w:rsid w:val="00357C7E"/>
    <w:rsid w:val="00360A4D"/>
    <w:rsid w:val="00361CFE"/>
    <w:rsid w:val="003620A1"/>
    <w:rsid w:val="003633B0"/>
    <w:rsid w:val="00364FE8"/>
    <w:rsid w:val="003653B6"/>
    <w:rsid w:val="00365FCC"/>
    <w:rsid w:val="0037448D"/>
    <w:rsid w:val="00374CC4"/>
    <w:rsid w:val="003774B2"/>
    <w:rsid w:val="00380F2D"/>
    <w:rsid w:val="00383F53"/>
    <w:rsid w:val="003845A9"/>
    <w:rsid w:val="003850C9"/>
    <w:rsid w:val="00390883"/>
    <w:rsid w:val="00392144"/>
    <w:rsid w:val="003921D9"/>
    <w:rsid w:val="003922F8"/>
    <w:rsid w:val="00395B24"/>
    <w:rsid w:val="003A2D38"/>
    <w:rsid w:val="003A50B4"/>
    <w:rsid w:val="003A5A72"/>
    <w:rsid w:val="003A7ECC"/>
    <w:rsid w:val="003B24C0"/>
    <w:rsid w:val="003B2C72"/>
    <w:rsid w:val="003B509E"/>
    <w:rsid w:val="003B58B4"/>
    <w:rsid w:val="003B72EE"/>
    <w:rsid w:val="003C0004"/>
    <w:rsid w:val="003C1333"/>
    <w:rsid w:val="003C20FF"/>
    <w:rsid w:val="003C2FA4"/>
    <w:rsid w:val="003C32D3"/>
    <w:rsid w:val="003C427C"/>
    <w:rsid w:val="003C550A"/>
    <w:rsid w:val="003C6055"/>
    <w:rsid w:val="003C6F13"/>
    <w:rsid w:val="003C7F07"/>
    <w:rsid w:val="003D2650"/>
    <w:rsid w:val="003D4E61"/>
    <w:rsid w:val="003D560C"/>
    <w:rsid w:val="003D5C00"/>
    <w:rsid w:val="003D60C9"/>
    <w:rsid w:val="003E3154"/>
    <w:rsid w:val="003E5874"/>
    <w:rsid w:val="003E6ED3"/>
    <w:rsid w:val="003E72D3"/>
    <w:rsid w:val="003F00AF"/>
    <w:rsid w:val="003F193E"/>
    <w:rsid w:val="003F242C"/>
    <w:rsid w:val="003F34F1"/>
    <w:rsid w:val="00401CD9"/>
    <w:rsid w:val="0040442F"/>
    <w:rsid w:val="00404E3E"/>
    <w:rsid w:val="00406100"/>
    <w:rsid w:val="004104B6"/>
    <w:rsid w:val="00410B4A"/>
    <w:rsid w:val="00411AE8"/>
    <w:rsid w:val="00413B74"/>
    <w:rsid w:val="00414A2E"/>
    <w:rsid w:val="0041558A"/>
    <w:rsid w:val="0042176F"/>
    <w:rsid w:val="004324BF"/>
    <w:rsid w:val="004342F3"/>
    <w:rsid w:val="00435865"/>
    <w:rsid w:val="00435C5F"/>
    <w:rsid w:val="00436155"/>
    <w:rsid w:val="004368C4"/>
    <w:rsid w:val="00440A9E"/>
    <w:rsid w:val="00441056"/>
    <w:rsid w:val="00441E98"/>
    <w:rsid w:val="004461A2"/>
    <w:rsid w:val="00450D52"/>
    <w:rsid w:val="00450F3A"/>
    <w:rsid w:val="00451937"/>
    <w:rsid w:val="004524F0"/>
    <w:rsid w:val="00452B44"/>
    <w:rsid w:val="004532F7"/>
    <w:rsid w:val="00464D51"/>
    <w:rsid w:val="00472027"/>
    <w:rsid w:val="00475EAA"/>
    <w:rsid w:val="004763DF"/>
    <w:rsid w:val="004804CF"/>
    <w:rsid w:val="004836B4"/>
    <w:rsid w:val="00484962"/>
    <w:rsid w:val="00484F6D"/>
    <w:rsid w:val="00484FB7"/>
    <w:rsid w:val="0048554D"/>
    <w:rsid w:val="0048719E"/>
    <w:rsid w:val="0049338A"/>
    <w:rsid w:val="00493610"/>
    <w:rsid w:val="0049417F"/>
    <w:rsid w:val="0049508B"/>
    <w:rsid w:val="00496D41"/>
    <w:rsid w:val="004A019A"/>
    <w:rsid w:val="004A2322"/>
    <w:rsid w:val="004A6602"/>
    <w:rsid w:val="004B0027"/>
    <w:rsid w:val="004B3EFA"/>
    <w:rsid w:val="004C2A87"/>
    <w:rsid w:val="004C3600"/>
    <w:rsid w:val="004C4D7B"/>
    <w:rsid w:val="004C4ED3"/>
    <w:rsid w:val="004C6058"/>
    <w:rsid w:val="004C667B"/>
    <w:rsid w:val="004C7ECD"/>
    <w:rsid w:val="004D067F"/>
    <w:rsid w:val="004D23D7"/>
    <w:rsid w:val="004D2EA5"/>
    <w:rsid w:val="004D32A6"/>
    <w:rsid w:val="004D53E5"/>
    <w:rsid w:val="004D60A8"/>
    <w:rsid w:val="004D7D44"/>
    <w:rsid w:val="004E024E"/>
    <w:rsid w:val="004E1173"/>
    <w:rsid w:val="004E25B7"/>
    <w:rsid w:val="004E683A"/>
    <w:rsid w:val="004E6DC4"/>
    <w:rsid w:val="004F143D"/>
    <w:rsid w:val="004F1A46"/>
    <w:rsid w:val="004F21C1"/>
    <w:rsid w:val="004F2447"/>
    <w:rsid w:val="004F590A"/>
    <w:rsid w:val="004F5A00"/>
    <w:rsid w:val="004F77E5"/>
    <w:rsid w:val="00500965"/>
    <w:rsid w:val="00500B7D"/>
    <w:rsid w:val="00500FF7"/>
    <w:rsid w:val="00501A12"/>
    <w:rsid w:val="005024E7"/>
    <w:rsid w:val="0050309C"/>
    <w:rsid w:val="005062C0"/>
    <w:rsid w:val="005129F5"/>
    <w:rsid w:val="0051327C"/>
    <w:rsid w:val="0051346D"/>
    <w:rsid w:val="00513EAE"/>
    <w:rsid w:val="0051434F"/>
    <w:rsid w:val="00514F0D"/>
    <w:rsid w:val="005150DF"/>
    <w:rsid w:val="00516806"/>
    <w:rsid w:val="0051744F"/>
    <w:rsid w:val="0052098C"/>
    <w:rsid w:val="00521214"/>
    <w:rsid w:val="005214CB"/>
    <w:rsid w:val="0052240D"/>
    <w:rsid w:val="005255C0"/>
    <w:rsid w:val="00525A49"/>
    <w:rsid w:val="005262D1"/>
    <w:rsid w:val="00527BA7"/>
    <w:rsid w:val="00530876"/>
    <w:rsid w:val="00530CFD"/>
    <w:rsid w:val="005318CF"/>
    <w:rsid w:val="00532E57"/>
    <w:rsid w:val="00533313"/>
    <w:rsid w:val="00535613"/>
    <w:rsid w:val="005359EB"/>
    <w:rsid w:val="00536419"/>
    <w:rsid w:val="00540995"/>
    <w:rsid w:val="00541957"/>
    <w:rsid w:val="0054254A"/>
    <w:rsid w:val="0054500B"/>
    <w:rsid w:val="005466B5"/>
    <w:rsid w:val="00547A4A"/>
    <w:rsid w:val="0055085D"/>
    <w:rsid w:val="00550D12"/>
    <w:rsid w:val="005537DF"/>
    <w:rsid w:val="00554314"/>
    <w:rsid w:val="0056007D"/>
    <w:rsid w:val="00560C20"/>
    <w:rsid w:val="005614B0"/>
    <w:rsid w:val="00562829"/>
    <w:rsid w:val="005629B3"/>
    <w:rsid w:val="00566FED"/>
    <w:rsid w:val="005724F6"/>
    <w:rsid w:val="00573AC4"/>
    <w:rsid w:val="00574B49"/>
    <w:rsid w:val="00577BD8"/>
    <w:rsid w:val="005801FC"/>
    <w:rsid w:val="005810BA"/>
    <w:rsid w:val="0058207C"/>
    <w:rsid w:val="005820F9"/>
    <w:rsid w:val="00582142"/>
    <w:rsid w:val="00585BA9"/>
    <w:rsid w:val="005868B9"/>
    <w:rsid w:val="00587359"/>
    <w:rsid w:val="005927B3"/>
    <w:rsid w:val="00593AFC"/>
    <w:rsid w:val="00595016"/>
    <w:rsid w:val="00595182"/>
    <w:rsid w:val="00597AAE"/>
    <w:rsid w:val="005A222C"/>
    <w:rsid w:val="005A26BD"/>
    <w:rsid w:val="005A2F17"/>
    <w:rsid w:val="005A3FEA"/>
    <w:rsid w:val="005A4DF8"/>
    <w:rsid w:val="005A78C8"/>
    <w:rsid w:val="005A790B"/>
    <w:rsid w:val="005B0231"/>
    <w:rsid w:val="005B04A1"/>
    <w:rsid w:val="005B1426"/>
    <w:rsid w:val="005B72A9"/>
    <w:rsid w:val="005B7745"/>
    <w:rsid w:val="005C0A8E"/>
    <w:rsid w:val="005C1767"/>
    <w:rsid w:val="005C185C"/>
    <w:rsid w:val="005C2F63"/>
    <w:rsid w:val="005C3F00"/>
    <w:rsid w:val="005C42EF"/>
    <w:rsid w:val="005C4FC7"/>
    <w:rsid w:val="005C54D2"/>
    <w:rsid w:val="005D2C92"/>
    <w:rsid w:val="005D5484"/>
    <w:rsid w:val="005E02F5"/>
    <w:rsid w:val="005E0510"/>
    <w:rsid w:val="005E176E"/>
    <w:rsid w:val="005E218E"/>
    <w:rsid w:val="005E23C4"/>
    <w:rsid w:val="005E35A0"/>
    <w:rsid w:val="005F0D1B"/>
    <w:rsid w:val="005F1865"/>
    <w:rsid w:val="005F3626"/>
    <w:rsid w:val="005F703F"/>
    <w:rsid w:val="006007BD"/>
    <w:rsid w:val="006013C8"/>
    <w:rsid w:val="0060207A"/>
    <w:rsid w:val="0060270D"/>
    <w:rsid w:val="00602BD8"/>
    <w:rsid w:val="00604611"/>
    <w:rsid w:val="006067A0"/>
    <w:rsid w:val="006113FA"/>
    <w:rsid w:val="00611586"/>
    <w:rsid w:val="00612D26"/>
    <w:rsid w:val="00615855"/>
    <w:rsid w:val="00617AD5"/>
    <w:rsid w:val="00620DA8"/>
    <w:rsid w:val="00621887"/>
    <w:rsid w:val="00622450"/>
    <w:rsid w:val="00624175"/>
    <w:rsid w:val="00624520"/>
    <w:rsid w:val="00625CBE"/>
    <w:rsid w:val="006271F5"/>
    <w:rsid w:val="00632300"/>
    <w:rsid w:val="00632BB7"/>
    <w:rsid w:val="00635B36"/>
    <w:rsid w:val="00636871"/>
    <w:rsid w:val="00636BE4"/>
    <w:rsid w:val="00640253"/>
    <w:rsid w:val="006403F8"/>
    <w:rsid w:val="00640EE1"/>
    <w:rsid w:val="00640F4E"/>
    <w:rsid w:val="0064185C"/>
    <w:rsid w:val="00643DE0"/>
    <w:rsid w:val="0064437D"/>
    <w:rsid w:val="00644E85"/>
    <w:rsid w:val="00652885"/>
    <w:rsid w:val="00652C52"/>
    <w:rsid w:val="00654005"/>
    <w:rsid w:val="0065429C"/>
    <w:rsid w:val="0065548D"/>
    <w:rsid w:val="0066063F"/>
    <w:rsid w:val="00662BB0"/>
    <w:rsid w:val="00663878"/>
    <w:rsid w:val="00667773"/>
    <w:rsid w:val="00670743"/>
    <w:rsid w:val="00680A85"/>
    <w:rsid w:val="0068197D"/>
    <w:rsid w:val="00681ADF"/>
    <w:rsid w:val="00685539"/>
    <w:rsid w:val="00690EE2"/>
    <w:rsid w:val="00693300"/>
    <w:rsid w:val="00693854"/>
    <w:rsid w:val="00694BEB"/>
    <w:rsid w:val="00695189"/>
    <w:rsid w:val="00695287"/>
    <w:rsid w:val="00696030"/>
    <w:rsid w:val="006A0E20"/>
    <w:rsid w:val="006A1840"/>
    <w:rsid w:val="006A1BCA"/>
    <w:rsid w:val="006A24E3"/>
    <w:rsid w:val="006A3FC6"/>
    <w:rsid w:val="006A5695"/>
    <w:rsid w:val="006A6065"/>
    <w:rsid w:val="006B0439"/>
    <w:rsid w:val="006B3904"/>
    <w:rsid w:val="006B41AE"/>
    <w:rsid w:val="006B5B7D"/>
    <w:rsid w:val="006B7EAA"/>
    <w:rsid w:val="006C1111"/>
    <w:rsid w:val="006C16BD"/>
    <w:rsid w:val="006C1E18"/>
    <w:rsid w:val="006C1F8C"/>
    <w:rsid w:val="006C32F5"/>
    <w:rsid w:val="006C4D5F"/>
    <w:rsid w:val="006C5B46"/>
    <w:rsid w:val="006C6E39"/>
    <w:rsid w:val="006D0ECF"/>
    <w:rsid w:val="006D24D2"/>
    <w:rsid w:val="006D34F4"/>
    <w:rsid w:val="006D3D5B"/>
    <w:rsid w:val="006D4C92"/>
    <w:rsid w:val="006D4EB6"/>
    <w:rsid w:val="006D7054"/>
    <w:rsid w:val="006E35BF"/>
    <w:rsid w:val="006E4D38"/>
    <w:rsid w:val="006E7850"/>
    <w:rsid w:val="006F46D6"/>
    <w:rsid w:val="006F5659"/>
    <w:rsid w:val="006F60CF"/>
    <w:rsid w:val="007001A9"/>
    <w:rsid w:val="00700980"/>
    <w:rsid w:val="007027B0"/>
    <w:rsid w:val="007028D9"/>
    <w:rsid w:val="0070644A"/>
    <w:rsid w:val="00707218"/>
    <w:rsid w:val="00710D04"/>
    <w:rsid w:val="00712B1D"/>
    <w:rsid w:val="00715751"/>
    <w:rsid w:val="007171BA"/>
    <w:rsid w:val="00717616"/>
    <w:rsid w:val="00721BBF"/>
    <w:rsid w:val="00725B49"/>
    <w:rsid w:val="00730009"/>
    <w:rsid w:val="00730884"/>
    <w:rsid w:val="007325D9"/>
    <w:rsid w:val="00734625"/>
    <w:rsid w:val="0073583B"/>
    <w:rsid w:val="007360CA"/>
    <w:rsid w:val="00737685"/>
    <w:rsid w:val="007453A5"/>
    <w:rsid w:val="00745E29"/>
    <w:rsid w:val="0074667B"/>
    <w:rsid w:val="007470BD"/>
    <w:rsid w:val="00750652"/>
    <w:rsid w:val="00752A2A"/>
    <w:rsid w:val="00754FBD"/>
    <w:rsid w:val="0075661F"/>
    <w:rsid w:val="00760A7D"/>
    <w:rsid w:val="00760EC0"/>
    <w:rsid w:val="007612E1"/>
    <w:rsid w:val="007634DD"/>
    <w:rsid w:val="00765634"/>
    <w:rsid w:val="0076766E"/>
    <w:rsid w:val="007711BD"/>
    <w:rsid w:val="00771606"/>
    <w:rsid w:val="0077351A"/>
    <w:rsid w:val="00773C66"/>
    <w:rsid w:val="0078003A"/>
    <w:rsid w:val="00780771"/>
    <w:rsid w:val="00781F85"/>
    <w:rsid w:val="007834C0"/>
    <w:rsid w:val="00785AE8"/>
    <w:rsid w:val="0079219B"/>
    <w:rsid w:val="007929CF"/>
    <w:rsid w:val="00796A55"/>
    <w:rsid w:val="007A49E7"/>
    <w:rsid w:val="007A6F28"/>
    <w:rsid w:val="007A7AEF"/>
    <w:rsid w:val="007A7DA0"/>
    <w:rsid w:val="007B03C6"/>
    <w:rsid w:val="007B0884"/>
    <w:rsid w:val="007B0DB1"/>
    <w:rsid w:val="007B151C"/>
    <w:rsid w:val="007B5673"/>
    <w:rsid w:val="007B6484"/>
    <w:rsid w:val="007B7238"/>
    <w:rsid w:val="007B76FF"/>
    <w:rsid w:val="007C1FA5"/>
    <w:rsid w:val="007C3BF6"/>
    <w:rsid w:val="007C67B3"/>
    <w:rsid w:val="007C69E8"/>
    <w:rsid w:val="007D0775"/>
    <w:rsid w:val="007D0FD2"/>
    <w:rsid w:val="007D1E9F"/>
    <w:rsid w:val="007D2EF8"/>
    <w:rsid w:val="007D561F"/>
    <w:rsid w:val="007D6054"/>
    <w:rsid w:val="007D7FD2"/>
    <w:rsid w:val="007E01D8"/>
    <w:rsid w:val="007E03B2"/>
    <w:rsid w:val="007E13D9"/>
    <w:rsid w:val="007E2AEC"/>
    <w:rsid w:val="007E41BE"/>
    <w:rsid w:val="007E4DB6"/>
    <w:rsid w:val="007E6733"/>
    <w:rsid w:val="007E690F"/>
    <w:rsid w:val="007E7CD4"/>
    <w:rsid w:val="007F12AC"/>
    <w:rsid w:val="007F4501"/>
    <w:rsid w:val="007F60DF"/>
    <w:rsid w:val="007F7643"/>
    <w:rsid w:val="00801800"/>
    <w:rsid w:val="00801861"/>
    <w:rsid w:val="00801B5B"/>
    <w:rsid w:val="008025AA"/>
    <w:rsid w:val="008034FB"/>
    <w:rsid w:val="008052E3"/>
    <w:rsid w:val="00806CCB"/>
    <w:rsid w:val="00811382"/>
    <w:rsid w:val="00812EF0"/>
    <w:rsid w:val="00813AA1"/>
    <w:rsid w:val="00813D39"/>
    <w:rsid w:val="00814261"/>
    <w:rsid w:val="00815476"/>
    <w:rsid w:val="008216E7"/>
    <w:rsid w:val="00825BE6"/>
    <w:rsid w:val="008276B4"/>
    <w:rsid w:val="00831927"/>
    <w:rsid w:val="00831933"/>
    <w:rsid w:val="00833517"/>
    <w:rsid w:val="00833965"/>
    <w:rsid w:val="00833A13"/>
    <w:rsid w:val="00837288"/>
    <w:rsid w:val="00840994"/>
    <w:rsid w:val="00841BD3"/>
    <w:rsid w:val="0084273D"/>
    <w:rsid w:val="00844E3F"/>
    <w:rsid w:val="00845A83"/>
    <w:rsid w:val="008462D2"/>
    <w:rsid w:val="00846747"/>
    <w:rsid w:val="00846BB9"/>
    <w:rsid w:val="0085012B"/>
    <w:rsid w:val="0085549A"/>
    <w:rsid w:val="008649D5"/>
    <w:rsid w:val="008653ED"/>
    <w:rsid w:val="00870E8F"/>
    <w:rsid w:val="008712BB"/>
    <w:rsid w:val="00871DA7"/>
    <w:rsid w:val="00875489"/>
    <w:rsid w:val="008830E7"/>
    <w:rsid w:val="008867E3"/>
    <w:rsid w:val="00890CCF"/>
    <w:rsid w:val="00890EDE"/>
    <w:rsid w:val="00892B38"/>
    <w:rsid w:val="008937EE"/>
    <w:rsid w:val="00893C7C"/>
    <w:rsid w:val="00895A45"/>
    <w:rsid w:val="008A0A14"/>
    <w:rsid w:val="008A1741"/>
    <w:rsid w:val="008A2484"/>
    <w:rsid w:val="008A4616"/>
    <w:rsid w:val="008A52F3"/>
    <w:rsid w:val="008A791F"/>
    <w:rsid w:val="008B0ABC"/>
    <w:rsid w:val="008B31E7"/>
    <w:rsid w:val="008B3E64"/>
    <w:rsid w:val="008B580D"/>
    <w:rsid w:val="008B590E"/>
    <w:rsid w:val="008B5F50"/>
    <w:rsid w:val="008C1AE0"/>
    <w:rsid w:val="008C26D9"/>
    <w:rsid w:val="008C5BAF"/>
    <w:rsid w:val="008C6D50"/>
    <w:rsid w:val="008C7167"/>
    <w:rsid w:val="008C7503"/>
    <w:rsid w:val="008D1617"/>
    <w:rsid w:val="008D330F"/>
    <w:rsid w:val="008D48C1"/>
    <w:rsid w:val="008D5530"/>
    <w:rsid w:val="008E4073"/>
    <w:rsid w:val="008E4D15"/>
    <w:rsid w:val="008E57DC"/>
    <w:rsid w:val="008E5897"/>
    <w:rsid w:val="008E6315"/>
    <w:rsid w:val="008E6495"/>
    <w:rsid w:val="008E7ACF"/>
    <w:rsid w:val="008F07FC"/>
    <w:rsid w:val="008F11E0"/>
    <w:rsid w:val="008F3EA7"/>
    <w:rsid w:val="008F4872"/>
    <w:rsid w:val="008F685A"/>
    <w:rsid w:val="008F78BC"/>
    <w:rsid w:val="008F7B63"/>
    <w:rsid w:val="008F7D6A"/>
    <w:rsid w:val="00900C3A"/>
    <w:rsid w:val="00901C86"/>
    <w:rsid w:val="00903603"/>
    <w:rsid w:val="00903C12"/>
    <w:rsid w:val="00903F9F"/>
    <w:rsid w:val="009054CB"/>
    <w:rsid w:val="00911F8D"/>
    <w:rsid w:val="00912F94"/>
    <w:rsid w:val="00913BB7"/>
    <w:rsid w:val="009171BC"/>
    <w:rsid w:val="00922264"/>
    <w:rsid w:val="0092497E"/>
    <w:rsid w:val="009254A2"/>
    <w:rsid w:val="0092590B"/>
    <w:rsid w:val="00925BF3"/>
    <w:rsid w:val="00925E60"/>
    <w:rsid w:val="009264B3"/>
    <w:rsid w:val="00927585"/>
    <w:rsid w:val="00932909"/>
    <w:rsid w:val="00933F30"/>
    <w:rsid w:val="009365E0"/>
    <w:rsid w:val="009379FF"/>
    <w:rsid w:val="00942BA2"/>
    <w:rsid w:val="009432B7"/>
    <w:rsid w:val="00944C86"/>
    <w:rsid w:val="00947C02"/>
    <w:rsid w:val="00950BE6"/>
    <w:rsid w:val="00953AEC"/>
    <w:rsid w:val="00957DE8"/>
    <w:rsid w:val="00960ECB"/>
    <w:rsid w:val="009615D6"/>
    <w:rsid w:val="009639D7"/>
    <w:rsid w:val="0096692A"/>
    <w:rsid w:val="00967855"/>
    <w:rsid w:val="00974709"/>
    <w:rsid w:val="00975930"/>
    <w:rsid w:val="00975C17"/>
    <w:rsid w:val="00976DFF"/>
    <w:rsid w:val="00980736"/>
    <w:rsid w:val="00981A39"/>
    <w:rsid w:val="00982D56"/>
    <w:rsid w:val="00983DBF"/>
    <w:rsid w:val="00987097"/>
    <w:rsid w:val="0099046D"/>
    <w:rsid w:val="00991123"/>
    <w:rsid w:val="00991CAB"/>
    <w:rsid w:val="00994B35"/>
    <w:rsid w:val="009A2B9E"/>
    <w:rsid w:val="009A3A9C"/>
    <w:rsid w:val="009A7F6C"/>
    <w:rsid w:val="009B046C"/>
    <w:rsid w:val="009B13FA"/>
    <w:rsid w:val="009B1E2D"/>
    <w:rsid w:val="009C253D"/>
    <w:rsid w:val="009C4677"/>
    <w:rsid w:val="009C5254"/>
    <w:rsid w:val="009C59FB"/>
    <w:rsid w:val="009C6F3B"/>
    <w:rsid w:val="009D1467"/>
    <w:rsid w:val="009D310B"/>
    <w:rsid w:val="009D328D"/>
    <w:rsid w:val="009D34D5"/>
    <w:rsid w:val="009D69DF"/>
    <w:rsid w:val="009E2B96"/>
    <w:rsid w:val="009E44F1"/>
    <w:rsid w:val="009E4FA6"/>
    <w:rsid w:val="009E5821"/>
    <w:rsid w:val="009E7D93"/>
    <w:rsid w:val="009F1E8A"/>
    <w:rsid w:val="009F3C34"/>
    <w:rsid w:val="009F462C"/>
    <w:rsid w:val="009F5C33"/>
    <w:rsid w:val="00A026F0"/>
    <w:rsid w:val="00A03EAC"/>
    <w:rsid w:val="00A04DBB"/>
    <w:rsid w:val="00A05FB1"/>
    <w:rsid w:val="00A07EA0"/>
    <w:rsid w:val="00A10B0E"/>
    <w:rsid w:val="00A11CA6"/>
    <w:rsid w:val="00A12CD9"/>
    <w:rsid w:val="00A1796E"/>
    <w:rsid w:val="00A20C49"/>
    <w:rsid w:val="00A22932"/>
    <w:rsid w:val="00A247A3"/>
    <w:rsid w:val="00A24BEE"/>
    <w:rsid w:val="00A269CA"/>
    <w:rsid w:val="00A336EE"/>
    <w:rsid w:val="00A33F46"/>
    <w:rsid w:val="00A3427E"/>
    <w:rsid w:val="00A359AC"/>
    <w:rsid w:val="00A402D8"/>
    <w:rsid w:val="00A40F83"/>
    <w:rsid w:val="00A410FB"/>
    <w:rsid w:val="00A41413"/>
    <w:rsid w:val="00A41D15"/>
    <w:rsid w:val="00A431E6"/>
    <w:rsid w:val="00A436E8"/>
    <w:rsid w:val="00A448EC"/>
    <w:rsid w:val="00A44DDE"/>
    <w:rsid w:val="00A45FB1"/>
    <w:rsid w:val="00A46CCC"/>
    <w:rsid w:val="00A47996"/>
    <w:rsid w:val="00A50FD0"/>
    <w:rsid w:val="00A51CFE"/>
    <w:rsid w:val="00A5204D"/>
    <w:rsid w:val="00A52863"/>
    <w:rsid w:val="00A61605"/>
    <w:rsid w:val="00A61D75"/>
    <w:rsid w:val="00A65131"/>
    <w:rsid w:val="00A65F97"/>
    <w:rsid w:val="00A67B45"/>
    <w:rsid w:val="00A744B7"/>
    <w:rsid w:val="00A76C13"/>
    <w:rsid w:val="00A7786F"/>
    <w:rsid w:val="00A812B2"/>
    <w:rsid w:val="00A84396"/>
    <w:rsid w:val="00A84FD0"/>
    <w:rsid w:val="00A92814"/>
    <w:rsid w:val="00A92E79"/>
    <w:rsid w:val="00A93EB3"/>
    <w:rsid w:val="00A950B6"/>
    <w:rsid w:val="00A95D45"/>
    <w:rsid w:val="00AA2B04"/>
    <w:rsid w:val="00AA2F58"/>
    <w:rsid w:val="00AA5408"/>
    <w:rsid w:val="00AA619E"/>
    <w:rsid w:val="00AA68AB"/>
    <w:rsid w:val="00AB3E56"/>
    <w:rsid w:val="00AB41C1"/>
    <w:rsid w:val="00AB4CF2"/>
    <w:rsid w:val="00AB5A78"/>
    <w:rsid w:val="00AB5F03"/>
    <w:rsid w:val="00AB6710"/>
    <w:rsid w:val="00AB6CCA"/>
    <w:rsid w:val="00AC223F"/>
    <w:rsid w:val="00AC33B1"/>
    <w:rsid w:val="00AC4A79"/>
    <w:rsid w:val="00AC6D37"/>
    <w:rsid w:val="00AD074A"/>
    <w:rsid w:val="00AD12A8"/>
    <w:rsid w:val="00AD2951"/>
    <w:rsid w:val="00AD343F"/>
    <w:rsid w:val="00AE023F"/>
    <w:rsid w:val="00AE3E21"/>
    <w:rsid w:val="00AF2206"/>
    <w:rsid w:val="00AF2D12"/>
    <w:rsid w:val="00AF3577"/>
    <w:rsid w:val="00AF35F9"/>
    <w:rsid w:val="00AF6486"/>
    <w:rsid w:val="00B0123E"/>
    <w:rsid w:val="00B03BBB"/>
    <w:rsid w:val="00B04237"/>
    <w:rsid w:val="00B0424C"/>
    <w:rsid w:val="00B05A16"/>
    <w:rsid w:val="00B05C7D"/>
    <w:rsid w:val="00B13EDE"/>
    <w:rsid w:val="00B1525D"/>
    <w:rsid w:val="00B15D57"/>
    <w:rsid w:val="00B16347"/>
    <w:rsid w:val="00B17D6E"/>
    <w:rsid w:val="00B2435E"/>
    <w:rsid w:val="00B303A3"/>
    <w:rsid w:val="00B3068C"/>
    <w:rsid w:val="00B31BC0"/>
    <w:rsid w:val="00B32789"/>
    <w:rsid w:val="00B346C3"/>
    <w:rsid w:val="00B35D48"/>
    <w:rsid w:val="00B37F5A"/>
    <w:rsid w:val="00B4005C"/>
    <w:rsid w:val="00B40612"/>
    <w:rsid w:val="00B41310"/>
    <w:rsid w:val="00B41395"/>
    <w:rsid w:val="00B41D79"/>
    <w:rsid w:val="00B4227E"/>
    <w:rsid w:val="00B44265"/>
    <w:rsid w:val="00B4471C"/>
    <w:rsid w:val="00B451A6"/>
    <w:rsid w:val="00B45BEA"/>
    <w:rsid w:val="00B51232"/>
    <w:rsid w:val="00B52511"/>
    <w:rsid w:val="00B54CBA"/>
    <w:rsid w:val="00B56D6E"/>
    <w:rsid w:val="00B60846"/>
    <w:rsid w:val="00B64347"/>
    <w:rsid w:val="00B65C1E"/>
    <w:rsid w:val="00B65DC6"/>
    <w:rsid w:val="00B677CC"/>
    <w:rsid w:val="00B67AC2"/>
    <w:rsid w:val="00B70A99"/>
    <w:rsid w:val="00B710F1"/>
    <w:rsid w:val="00B722DE"/>
    <w:rsid w:val="00B751E3"/>
    <w:rsid w:val="00B75674"/>
    <w:rsid w:val="00B75BA6"/>
    <w:rsid w:val="00B76C44"/>
    <w:rsid w:val="00B800FA"/>
    <w:rsid w:val="00B811F6"/>
    <w:rsid w:val="00B8184A"/>
    <w:rsid w:val="00B82283"/>
    <w:rsid w:val="00B828D8"/>
    <w:rsid w:val="00B838E4"/>
    <w:rsid w:val="00B83F87"/>
    <w:rsid w:val="00B87CDC"/>
    <w:rsid w:val="00B910C1"/>
    <w:rsid w:val="00B9200D"/>
    <w:rsid w:val="00BA0D14"/>
    <w:rsid w:val="00BA2CA4"/>
    <w:rsid w:val="00BA2EFA"/>
    <w:rsid w:val="00BA3DBC"/>
    <w:rsid w:val="00BA639F"/>
    <w:rsid w:val="00BA6779"/>
    <w:rsid w:val="00BA707A"/>
    <w:rsid w:val="00BB1AFB"/>
    <w:rsid w:val="00BB27AE"/>
    <w:rsid w:val="00BB2DA2"/>
    <w:rsid w:val="00BB45DB"/>
    <w:rsid w:val="00BB56DC"/>
    <w:rsid w:val="00BB5FAF"/>
    <w:rsid w:val="00BB6BC5"/>
    <w:rsid w:val="00BC47F3"/>
    <w:rsid w:val="00BC5A7E"/>
    <w:rsid w:val="00BD5614"/>
    <w:rsid w:val="00BD5A55"/>
    <w:rsid w:val="00BE061A"/>
    <w:rsid w:val="00BE0DF0"/>
    <w:rsid w:val="00BE183D"/>
    <w:rsid w:val="00BE26B0"/>
    <w:rsid w:val="00BE4939"/>
    <w:rsid w:val="00BE4BD6"/>
    <w:rsid w:val="00BE57E3"/>
    <w:rsid w:val="00BF57AF"/>
    <w:rsid w:val="00BF5D7A"/>
    <w:rsid w:val="00C01C2E"/>
    <w:rsid w:val="00C02119"/>
    <w:rsid w:val="00C02358"/>
    <w:rsid w:val="00C02D33"/>
    <w:rsid w:val="00C04528"/>
    <w:rsid w:val="00C04B53"/>
    <w:rsid w:val="00C117AF"/>
    <w:rsid w:val="00C1232C"/>
    <w:rsid w:val="00C129F4"/>
    <w:rsid w:val="00C1319B"/>
    <w:rsid w:val="00C20FDD"/>
    <w:rsid w:val="00C21661"/>
    <w:rsid w:val="00C2222B"/>
    <w:rsid w:val="00C24E07"/>
    <w:rsid w:val="00C2628F"/>
    <w:rsid w:val="00C27C6B"/>
    <w:rsid w:val="00C34365"/>
    <w:rsid w:val="00C348A7"/>
    <w:rsid w:val="00C352E1"/>
    <w:rsid w:val="00C3594D"/>
    <w:rsid w:val="00C36054"/>
    <w:rsid w:val="00C36442"/>
    <w:rsid w:val="00C400CE"/>
    <w:rsid w:val="00C410FD"/>
    <w:rsid w:val="00C434BB"/>
    <w:rsid w:val="00C457DE"/>
    <w:rsid w:val="00C46373"/>
    <w:rsid w:val="00C468A9"/>
    <w:rsid w:val="00C472D2"/>
    <w:rsid w:val="00C47832"/>
    <w:rsid w:val="00C47DD3"/>
    <w:rsid w:val="00C53562"/>
    <w:rsid w:val="00C539FB"/>
    <w:rsid w:val="00C600A7"/>
    <w:rsid w:val="00C66CCC"/>
    <w:rsid w:val="00C66E57"/>
    <w:rsid w:val="00C7088E"/>
    <w:rsid w:val="00C73564"/>
    <w:rsid w:val="00C74119"/>
    <w:rsid w:val="00C74150"/>
    <w:rsid w:val="00C7441C"/>
    <w:rsid w:val="00C7468F"/>
    <w:rsid w:val="00C75594"/>
    <w:rsid w:val="00C80008"/>
    <w:rsid w:val="00C83AE8"/>
    <w:rsid w:val="00C85982"/>
    <w:rsid w:val="00C87229"/>
    <w:rsid w:val="00C90371"/>
    <w:rsid w:val="00C90993"/>
    <w:rsid w:val="00C954F3"/>
    <w:rsid w:val="00CA0134"/>
    <w:rsid w:val="00CA0466"/>
    <w:rsid w:val="00CA246D"/>
    <w:rsid w:val="00CA2832"/>
    <w:rsid w:val="00CA3C7E"/>
    <w:rsid w:val="00CA4122"/>
    <w:rsid w:val="00CA50D9"/>
    <w:rsid w:val="00CA5D05"/>
    <w:rsid w:val="00CB09B4"/>
    <w:rsid w:val="00CB3054"/>
    <w:rsid w:val="00CB5636"/>
    <w:rsid w:val="00CB7969"/>
    <w:rsid w:val="00CC3EE5"/>
    <w:rsid w:val="00CC465E"/>
    <w:rsid w:val="00CC4DA4"/>
    <w:rsid w:val="00CC67CB"/>
    <w:rsid w:val="00CD05D9"/>
    <w:rsid w:val="00CD7321"/>
    <w:rsid w:val="00CE1774"/>
    <w:rsid w:val="00CE1868"/>
    <w:rsid w:val="00CE3CC9"/>
    <w:rsid w:val="00CE425C"/>
    <w:rsid w:val="00CE58AC"/>
    <w:rsid w:val="00CF10A2"/>
    <w:rsid w:val="00CF2E53"/>
    <w:rsid w:val="00CF3A60"/>
    <w:rsid w:val="00CF507C"/>
    <w:rsid w:val="00CF5A80"/>
    <w:rsid w:val="00D00568"/>
    <w:rsid w:val="00D0380C"/>
    <w:rsid w:val="00D045EE"/>
    <w:rsid w:val="00D05091"/>
    <w:rsid w:val="00D07F71"/>
    <w:rsid w:val="00D10CA6"/>
    <w:rsid w:val="00D10F21"/>
    <w:rsid w:val="00D134CF"/>
    <w:rsid w:val="00D13660"/>
    <w:rsid w:val="00D1530A"/>
    <w:rsid w:val="00D1573B"/>
    <w:rsid w:val="00D17530"/>
    <w:rsid w:val="00D17BF0"/>
    <w:rsid w:val="00D20C42"/>
    <w:rsid w:val="00D22317"/>
    <w:rsid w:val="00D23528"/>
    <w:rsid w:val="00D24806"/>
    <w:rsid w:val="00D32B3E"/>
    <w:rsid w:val="00D34040"/>
    <w:rsid w:val="00D34E69"/>
    <w:rsid w:val="00D36C78"/>
    <w:rsid w:val="00D375EE"/>
    <w:rsid w:val="00D40947"/>
    <w:rsid w:val="00D40B75"/>
    <w:rsid w:val="00D478C1"/>
    <w:rsid w:val="00D47BBB"/>
    <w:rsid w:val="00D51932"/>
    <w:rsid w:val="00D55AE8"/>
    <w:rsid w:val="00D56056"/>
    <w:rsid w:val="00D5692F"/>
    <w:rsid w:val="00D570D7"/>
    <w:rsid w:val="00D57D0A"/>
    <w:rsid w:val="00D6085F"/>
    <w:rsid w:val="00D61C9A"/>
    <w:rsid w:val="00D62699"/>
    <w:rsid w:val="00D63DF4"/>
    <w:rsid w:val="00D64351"/>
    <w:rsid w:val="00D66EE4"/>
    <w:rsid w:val="00D70B6A"/>
    <w:rsid w:val="00D761AE"/>
    <w:rsid w:val="00D77714"/>
    <w:rsid w:val="00D778E9"/>
    <w:rsid w:val="00D8074E"/>
    <w:rsid w:val="00D812BF"/>
    <w:rsid w:val="00D82620"/>
    <w:rsid w:val="00D85707"/>
    <w:rsid w:val="00D85E66"/>
    <w:rsid w:val="00D90279"/>
    <w:rsid w:val="00D907FB"/>
    <w:rsid w:val="00D95F42"/>
    <w:rsid w:val="00D9725F"/>
    <w:rsid w:val="00D977A8"/>
    <w:rsid w:val="00D97AAE"/>
    <w:rsid w:val="00DA01B1"/>
    <w:rsid w:val="00DA11A2"/>
    <w:rsid w:val="00DA14ED"/>
    <w:rsid w:val="00DA26D6"/>
    <w:rsid w:val="00DA2983"/>
    <w:rsid w:val="00DA6BDC"/>
    <w:rsid w:val="00DA73BA"/>
    <w:rsid w:val="00DB0809"/>
    <w:rsid w:val="00DB1680"/>
    <w:rsid w:val="00DB2EF1"/>
    <w:rsid w:val="00DB3DE1"/>
    <w:rsid w:val="00DB533E"/>
    <w:rsid w:val="00DB5DA0"/>
    <w:rsid w:val="00DB716C"/>
    <w:rsid w:val="00DC2404"/>
    <w:rsid w:val="00DC4817"/>
    <w:rsid w:val="00DC5A32"/>
    <w:rsid w:val="00DC5C85"/>
    <w:rsid w:val="00DC7C5D"/>
    <w:rsid w:val="00DD0530"/>
    <w:rsid w:val="00DD1564"/>
    <w:rsid w:val="00DD16C3"/>
    <w:rsid w:val="00DD1956"/>
    <w:rsid w:val="00DD3871"/>
    <w:rsid w:val="00DD4236"/>
    <w:rsid w:val="00DD44F1"/>
    <w:rsid w:val="00DD665D"/>
    <w:rsid w:val="00DD6957"/>
    <w:rsid w:val="00DD6E7A"/>
    <w:rsid w:val="00DE0064"/>
    <w:rsid w:val="00DE036B"/>
    <w:rsid w:val="00DE23E2"/>
    <w:rsid w:val="00DE3067"/>
    <w:rsid w:val="00DF0F26"/>
    <w:rsid w:val="00DF3EEE"/>
    <w:rsid w:val="00DF4AA3"/>
    <w:rsid w:val="00DF4AF1"/>
    <w:rsid w:val="00DF55F2"/>
    <w:rsid w:val="00DF669E"/>
    <w:rsid w:val="00DF73D9"/>
    <w:rsid w:val="00DF75E1"/>
    <w:rsid w:val="00DF7B1C"/>
    <w:rsid w:val="00DF7CCF"/>
    <w:rsid w:val="00E007CC"/>
    <w:rsid w:val="00E01F4E"/>
    <w:rsid w:val="00E027BC"/>
    <w:rsid w:val="00E04104"/>
    <w:rsid w:val="00E07769"/>
    <w:rsid w:val="00E10F0D"/>
    <w:rsid w:val="00E11BB3"/>
    <w:rsid w:val="00E1208D"/>
    <w:rsid w:val="00E14EA5"/>
    <w:rsid w:val="00E14F11"/>
    <w:rsid w:val="00E15D28"/>
    <w:rsid w:val="00E16863"/>
    <w:rsid w:val="00E173B1"/>
    <w:rsid w:val="00E2070E"/>
    <w:rsid w:val="00E20CCD"/>
    <w:rsid w:val="00E21133"/>
    <w:rsid w:val="00E2113A"/>
    <w:rsid w:val="00E2327E"/>
    <w:rsid w:val="00E266EF"/>
    <w:rsid w:val="00E2671B"/>
    <w:rsid w:val="00E326A8"/>
    <w:rsid w:val="00E32DA8"/>
    <w:rsid w:val="00E406E4"/>
    <w:rsid w:val="00E41B42"/>
    <w:rsid w:val="00E44AE7"/>
    <w:rsid w:val="00E47428"/>
    <w:rsid w:val="00E47CFF"/>
    <w:rsid w:val="00E50844"/>
    <w:rsid w:val="00E54915"/>
    <w:rsid w:val="00E55252"/>
    <w:rsid w:val="00E56C8E"/>
    <w:rsid w:val="00E5716B"/>
    <w:rsid w:val="00E571ED"/>
    <w:rsid w:val="00E57F1F"/>
    <w:rsid w:val="00E62B32"/>
    <w:rsid w:val="00E646F5"/>
    <w:rsid w:val="00E66B9F"/>
    <w:rsid w:val="00E6744A"/>
    <w:rsid w:val="00E6753D"/>
    <w:rsid w:val="00E70A6A"/>
    <w:rsid w:val="00E710D6"/>
    <w:rsid w:val="00E71C12"/>
    <w:rsid w:val="00E73DA4"/>
    <w:rsid w:val="00E741D2"/>
    <w:rsid w:val="00E757CF"/>
    <w:rsid w:val="00E76E45"/>
    <w:rsid w:val="00E777C9"/>
    <w:rsid w:val="00E81DA6"/>
    <w:rsid w:val="00E820F8"/>
    <w:rsid w:val="00E84212"/>
    <w:rsid w:val="00E85F00"/>
    <w:rsid w:val="00E86FA3"/>
    <w:rsid w:val="00E9044A"/>
    <w:rsid w:val="00E9086C"/>
    <w:rsid w:val="00E90AAA"/>
    <w:rsid w:val="00E91A0F"/>
    <w:rsid w:val="00E91B4E"/>
    <w:rsid w:val="00E938D1"/>
    <w:rsid w:val="00E93F42"/>
    <w:rsid w:val="00E94238"/>
    <w:rsid w:val="00E94A71"/>
    <w:rsid w:val="00E94CBF"/>
    <w:rsid w:val="00E9506F"/>
    <w:rsid w:val="00E96A91"/>
    <w:rsid w:val="00EA03CE"/>
    <w:rsid w:val="00EA23E5"/>
    <w:rsid w:val="00EA2E05"/>
    <w:rsid w:val="00EA4E2E"/>
    <w:rsid w:val="00EB0A15"/>
    <w:rsid w:val="00EB23FB"/>
    <w:rsid w:val="00EB2417"/>
    <w:rsid w:val="00EB2CCB"/>
    <w:rsid w:val="00EB7A25"/>
    <w:rsid w:val="00EB7CC6"/>
    <w:rsid w:val="00EC0F3E"/>
    <w:rsid w:val="00EC135C"/>
    <w:rsid w:val="00EC183D"/>
    <w:rsid w:val="00EC57A7"/>
    <w:rsid w:val="00ED0817"/>
    <w:rsid w:val="00ED0BCA"/>
    <w:rsid w:val="00ED1149"/>
    <w:rsid w:val="00ED7337"/>
    <w:rsid w:val="00ED7B3F"/>
    <w:rsid w:val="00ED7DD9"/>
    <w:rsid w:val="00EE290A"/>
    <w:rsid w:val="00EE445B"/>
    <w:rsid w:val="00EF3113"/>
    <w:rsid w:val="00EF3F84"/>
    <w:rsid w:val="00EF6B3D"/>
    <w:rsid w:val="00F04215"/>
    <w:rsid w:val="00F06095"/>
    <w:rsid w:val="00F1261A"/>
    <w:rsid w:val="00F12DA4"/>
    <w:rsid w:val="00F12E12"/>
    <w:rsid w:val="00F14E55"/>
    <w:rsid w:val="00F176AC"/>
    <w:rsid w:val="00F22834"/>
    <w:rsid w:val="00F22BC1"/>
    <w:rsid w:val="00F23163"/>
    <w:rsid w:val="00F26F28"/>
    <w:rsid w:val="00F27714"/>
    <w:rsid w:val="00F3137B"/>
    <w:rsid w:val="00F3276E"/>
    <w:rsid w:val="00F33817"/>
    <w:rsid w:val="00F33D3C"/>
    <w:rsid w:val="00F34BCB"/>
    <w:rsid w:val="00F35463"/>
    <w:rsid w:val="00F35715"/>
    <w:rsid w:val="00F3574D"/>
    <w:rsid w:val="00F3732E"/>
    <w:rsid w:val="00F37A91"/>
    <w:rsid w:val="00F408A0"/>
    <w:rsid w:val="00F4474F"/>
    <w:rsid w:val="00F45CF5"/>
    <w:rsid w:val="00F47DB0"/>
    <w:rsid w:val="00F50C3F"/>
    <w:rsid w:val="00F50DAC"/>
    <w:rsid w:val="00F50E34"/>
    <w:rsid w:val="00F52A8B"/>
    <w:rsid w:val="00F53AAB"/>
    <w:rsid w:val="00F53EF7"/>
    <w:rsid w:val="00F54BF2"/>
    <w:rsid w:val="00F57754"/>
    <w:rsid w:val="00F62D95"/>
    <w:rsid w:val="00F63584"/>
    <w:rsid w:val="00F65A0F"/>
    <w:rsid w:val="00F70CB5"/>
    <w:rsid w:val="00F71A9B"/>
    <w:rsid w:val="00F7329A"/>
    <w:rsid w:val="00F734C2"/>
    <w:rsid w:val="00F775AC"/>
    <w:rsid w:val="00F8030E"/>
    <w:rsid w:val="00F81EE6"/>
    <w:rsid w:val="00F82E5C"/>
    <w:rsid w:val="00F86911"/>
    <w:rsid w:val="00F87C4E"/>
    <w:rsid w:val="00F919CE"/>
    <w:rsid w:val="00F92355"/>
    <w:rsid w:val="00F93963"/>
    <w:rsid w:val="00F94291"/>
    <w:rsid w:val="00F978BD"/>
    <w:rsid w:val="00FA05F1"/>
    <w:rsid w:val="00FA17F7"/>
    <w:rsid w:val="00FA298A"/>
    <w:rsid w:val="00FA385E"/>
    <w:rsid w:val="00FA4F7B"/>
    <w:rsid w:val="00FA5B66"/>
    <w:rsid w:val="00FA694C"/>
    <w:rsid w:val="00FB2BAB"/>
    <w:rsid w:val="00FB2E28"/>
    <w:rsid w:val="00FB30EB"/>
    <w:rsid w:val="00FB7982"/>
    <w:rsid w:val="00FC0734"/>
    <w:rsid w:val="00FC0FC5"/>
    <w:rsid w:val="00FC30FB"/>
    <w:rsid w:val="00FC401A"/>
    <w:rsid w:val="00FC588F"/>
    <w:rsid w:val="00FC6879"/>
    <w:rsid w:val="00FC69C1"/>
    <w:rsid w:val="00FC7DC9"/>
    <w:rsid w:val="00FD05F8"/>
    <w:rsid w:val="00FD0E51"/>
    <w:rsid w:val="00FD231E"/>
    <w:rsid w:val="00FD671A"/>
    <w:rsid w:val="00FD71D0"/>
    <w:rsid w:val="00FE00B6"/>
    <w:rsid w:val="00FE1B30"/>
    <w:rsid w:val="00FE1E5D"/>
    <w:rsid w:val="00FE38C0"/>
    <w:rsid w:val="00FE7B44"/>
    <w:rsid w:val="00FF3D34"/>
    <w:rsid w:val="00FF6F2B"/>
    <w:rsid w:val="00FF7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6E89DE3"/>
  <w15:docId w15:val="{90E59941-366D-4ADF-A02F-35C4D867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6BAD"/>
    <w:pPr>
      <w:spacing w:line="360" w:lineRule="auto"/>
      <w:jc w:val="both"/>
    </w:pPr>
    <w:rPr>
      <w:sz w:val="24"/>
      <w:lang w:eastAsia="en-US"/>
    </w:rPr>
  </w:style>
  <w:style w:type="paragraph" w:styleId="Heading1">
    <w:name w:val="heading 1"/>
    <w:basedOn w:val="Normal"/>
    <w:next w:val="ParaNumbering"/>
    <w:qFormat/>
    <w:rsid w:val="00096BAD"/>
    <w:pPr>
      <w:keepNext/>
      <w:spacing w:before="240" w:after="60" w:line="240" w:lineRule="auto"/>
      <w:outlineLvl w:val="0"/>
    </w:pPr>
    <w:rPr>
      <w:b/>
      <w:caps/>
      <w:kern w:val="28"/>
    </w:rPr>
  </w:style>
  <w:style w:type="paragraph" w:styleId="Heading2">
    <w:name w:val="heading 2"/>
    <w:basedOn w:val="Normal"/>
    <w:next w:val="ParaNumbering"/>
    <w:qFormat/>
    <w:rsid w:val="00096BAD"/>
    <w:pPr>
      <w:keepNext/>
      <w:spacing w:before="240" w:after="60" w:line="240" w:lineRule="auto"/>
      <w:outlineLvl w:val="1"/>
    </w:pPr>
    <w:rPr>
      <w:b/>
      <w:szCs w:val="24"/>
    </w:rPr>
  </w:style>
  <w:style w:type="paragraph" w:styleId="Heading3">
    <w:name w:val="heading 3"/>
    <w:basedOn w:val="Normal"/>
    <w:next w:val="ParaNumbering"/>
    <w:qFormat/>
    <w:rsid w:val="00096BAD"/>
    <w:pPr>
      <w:keepNext/>
      <w:spacing w:before="240" w:after="60" w:line="240" w:lineRule="auto"/>
      <w:outlineLvl w:val="2"/>
    </w:pPr>
    <w:rPr>
      <w:b/>
      <w:i/>
    </w:rPr>
  </w:style>
  <w:style w:type="paragraph" w:styleId="Heading4">
    <w:name w:val="heading 4"/>
    <w:basedOn w:val="Normal"/>
    <w:next w:val="ParaNumbering"/>
    <w:qFormat/>
    <w:rsid w:val="00096BAD"/>
    <w:pPr>
      <w:keepNext/>
      <w:spacing w:before="240" w:after="60" w:line="240" w:lineRule="auto"/>
      <w:jc w:val="left"/>
      <w:outlineLvl w:val="3"/>
    </w:pPr>
    <w:rPr>
      <w:i/>
      <w:szCs w:val="24"/>
    </w:rPr>
  </w:style>
  <w:style w:type="paragraph" w:styleId="Heading5">
    <w:name w:val="heading 5"/>
    <w:basedOn w:val="fcHeading1"/>
    <w:next w:val="ParaNumbering"/>
    <w:qFormat/>
    <w:rsid w:val="00096BAD"/>
    <w:pPr>
      <w:outlineLvl w:val="4"/>
    </w:pPr>
    <w:rPr>
      <w:caps w:val="0"/>
    </w:rPr>
  </w:style>
  <w:style w:type="paragraph" w:styleId="Heading6">
    <w:name w:val="heading 6"/>
    <w:basedOn w:val="fcHeading2"/>
    <w:next w:val="ParaNumbering"/>
    <w:qFormat/>
    <w:rsid w:val="00096BAD"/>
    <w:pPr>
      <w:outlineLvl w:val="5"/>
    </w:pPr>
  </w:style>
  <w:style w:type="paragraph" w:styleId="Heading7">
    <w:name w:val="heading 7"/>
    <w:basedOn w:val="fcHeading3"/>
    <w:next w:val="ParaNumbering"/>
    <w:qFormat/>
    <w:rsid w:val="00096BAD"/>
    <w:pPr>
      <w:outlineLvl w:val="6"/>
    </w:pPr>
    <w:rPr>
      <w:i w:val="0"/>
    </w:rPr>
  </w:style>
  <w:style w:type="paragraph" w:styleId="Heading8">
    <w:name w:val="heading 8"/>
    <w:basedOn w:val="fcHeading4"/>
    <w:next w:val="ParaNumbering"/>
    <w:rsid w:val="00096BAD"/>
    <w:pPr>
      <w:outlineLvl w:val="7"/>
    </w:pPr>
    <w:rPr>
      <w:smallCaps w:val="0"/>
    </w:rPr>
  </w:style>
  <w:style w:type="paragraph" w:styleId="Heading9">
    <w:name w:val="heading 9"/>
    <w:basedOn w:val="fcHeading5"/>
    <w:next w:val="ParaNumbering"/>
    <w:rsid w:val="00096BA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096BAD"/>
    <w:pPr>
      <w:spacing w:line="240" w:lineRule="auto"/>
    </w:pPr>
  </w:style>
  <w:style w:type="paragraph" w:styleId="Header">
    <w:name w:val="header"/>
    <w:basedOn w:val="Normal"/>
    <w:semiHidden/>
    <w:rsid w:val="00096BAD"/>
    <w:pPr>
      <w:tabs>
        <w:tab w:val="center" w:pos="4320"/>
        <w:tab w:val="right" w:pos="8640"/>
      </w:tabs>
    </w:pPr>
  </w:style>
  <w:style w:type="paragraph" w:styleId="Footer">
    <w:name w:val="footer"/>
    <w:basedOn w:val="Normal"/>
    <w:semiHidden/>
    <w:rsid w:val="00096BAD"/>
    <w:pPr>
      <w:tabs>
        <w:tab w:val="center" w:pos="4320"/>
        <w:tab w:val="right" w:pos="8640"/>
      </w:tabs>
    </w:pPr>
  </w:style>
  <w:style w:type="paragraph" w:customStyle="1" w:styleId="ParaNumbering">
    <w:name w:val="ParaNumbering"/>
    <w:basedOn w:val="Normal"/>
    <w:rsid w:val="00096BAD"/>
    <w:pPr>
      <w:numPr>
        <w:numId w:val="1"/>
      </w:numPr>
      <w:tabs>
        <w:tab w:val="clear" w:pos="720"/>
      </w:tabs>
      <w:spacing w:before="180" w:after="180"/>
    </w:pPr>
  </w:style>
  <w:style w:type="paragraph" w:customStyle="1" w:styleId="Quote1">
    <w:name w:val="Quote1"/>
    <w:rsid w:val="00096BAD"/>
    <w:pPr>
      <w:widowControl w:val="0"/>
      <w:spacing w:after="180"/>
      <w:ind w:left="737" w:right="737"/>
      <w:jc w:val="both"/>
    </w:pPr>
    <w:rPr>
      <w:sz w:val="22"/>
      <w:lang w:eastAsia="en-US"/>
    </w:rPr>
  </w:style>
  <w:style w:type="paragraph" w:customStyle="1" w:styleId="NormalHeadings">
    <w:name w:val="Normal Headings"/>
    <w:link w:val="NormalHeadingsChar"/>
    <w:rsid w:val="00096BAD"/>
    <w:pPr>
      <w:widowControl w:val="0"/>
      <w:jc w:val="both"/>
    </w:pPr>
    <w:rPr>
      <w:b/>
      <w:sz w:val="24"/>
      <w:lang w:eastAsia="en-US"/>
    </w:rPr>
  </w:style>
  <w:style w:type="table" w:styleId="TableGrid">
    <w:name w:val="Table Grid"/>
    <w:basedOn w:val="TableNormal"/>
    <w:semiHidden/>
    <w:rsid w:val="00096BA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096BAD"/>
    <w:pPr>
      <w:spacing w:before="20" w:after="20"/>
      <w:jc w:val="center"/>
    </w:pPr>
    <w:rPr>
      <w:b/>
      <w:sz w:val="26"/>
    </w:rPr>
  </w:style>
  <w:style w:type="paragraph" w:customStyle="1" w:styleId="Normal1linespace">
    <w:name w:val="Normal1linespace"/>
    <w:basedOn w:val="Normal"/>
    <w:rsid w:val="00096BAD"/>
    <w:pPr>
      <w:spacing w:line="240" w:lineRule="auto"/>
    </w:pPr>
  </w:style>
  <w:style w:type="paragraph" w:styleId="BalloonText">
    <w:name w:val="Balloon Text"/>
    <w:basedOn w:val="Normal"/>
    <w:semiHidden/>
    <w:rsid w:val="00096BAD"/>
    <w:rPr>
      <w:rFonts w:ascii="Tahoma" w:hAnsi="Tahoma" w:cs="Tahoma"/>
      <w:sz w:val="16"/>
      <w:szCs w:val="16"/>
    </w:rPr>
  </w:style>
  <w:style w:type="paragraph" w:customStyle="1" w:styleId="StyleBold">
    <w:name w:val="Style Bold"/>
    <w:basedOn w:val="Normal"/>
    <w:next w:val="BodyText"/>
    <w:semiHidden/>
    <w:rsid w:val="00096BAD"/>
    <w:rPr>
      <w:szCs w:val="24"/>
    </w:rPr>
  </w:style>
  <w:style w:type="paragraph" w:customStyle="1" w:styleId="Bold">
    <w:name w:val="Bold"/>
    <w:basedOn w:val="Normal"/>
    <w:next w:val="Normal"/>
    <w:semiHidden/>
    <w:rsid w:val="00096BAD"/>
    <w:pPr>
      <w:suppressAutoHyphens/>
      <w:jc w:val="left"/>
    </w:pPr>
    <w:rPr>
      <w:b/>
      <w:szCs w:val="24"/>
    </w:rPr>
  </w:style>
  <w:style w:type="paragraph" w:customStyle="1" w:styleId="Certify">
    <w:name w:val="Certify"/>
    <w:basedOn w:val="Normal"/>
    <w:link w:val="CertifyChar"/>
    <w:semiHidden/>
    <w:rsid w:val="00096BAD"/>
    <w:pPr>
      <w:spacing w:line="240" w:lineRule="auto"/>
    </w:pPr>
    <w:rPr>
      <w:szCs w:val="24"/>
    </w:rPr>
  </w:style>
  <w:style w:type="character" w:styleId="CommentReference">
    <w:name w:val="annotation reference"/>
    <w:semiHidden/>
    <w:rsid w:val="00096BAD"/>
    <w:rPr>
      <w:sz w:val="16"/>
      <w:szCs w:val="16"/>
    </w:rPr>
  </w:style>
  <w:style w:type="paragraph" w:styleId="CommentText">
    <w:name w:val="annotation text"/>
    <w:basedOn w:val="Normal"/>
    <w:semiHidden/>
    <w:rsid w:val="00096BAD"/>
    <w:rPr>
      <w:sz w:val="20"/>
    </w:rPr>
  </w:style>
  <w:style w:type="paragraph" w:styleId="CommentSubject">
    <w:name w:val="annotation subject"/>
    <w:basedOn w:val="CommentText"/>
    <w:next w:val="CommentText"/>
    <w:semiHidden/>
    <w:rsid w:val="00096BAD"/>
    <w:rPr>
      <w:b/>
      <w:bCs/>
    </w:rPr>
  </w:style>
  <w:style w:type="paragraph" w:customStyle="1" w:styleId="FCBullets">
    <w:name w:val="FCBullets"/>
    <w:basedOn w:val="Normal"/>
    <w:rsid w:val="00096BAD"/>
    <w:pPr>
      <w:numPr>
        <w:numId w:val="2"/>
      </w:numPr>
      <w:spacing w:before="60" w:after="60"/>
    </w:pPr>
  </w:style>
  <w:style w:type="paragraph" w:customStyle="1" w:styleId="JudgeStyle">
    <w:name w:val="JudgeStyle"/>
    <w:basedOn w:val="Heading1"/>
    <w:next w:val="ParaNumbering"/>
    <w:semiHidden/>
    <w:rsid w:val="00096BAD"/>
  </w:style>
  <w:style w:type="paragraph" w:styleId="TOC1">
    <w:name w:val="toc 1"/>
    <w:basedOn w:val="Normal"/>
    <w:next w:val="Normal"/>
    <w:autoRedefine/>
    <w:semiHidden/>
    <w:rsid w:val="00096BAD"/>
    <w:pPr>
      <w:tabs>
        <w:tab w:val="right" w:leader="dot" w:pos="9071"/>
      </w:tabs>
    </w:pPr>
  </w:style>
  <w:style w:type="paragraph" w:styleId="TOC2">
    <w:name w:val="toc 2"/>
    <w:basedOn w:val="Normal"/>
    <w:next w:val="Normal"/>
    <w:autoRedefine/>
    <w:semiHidden/>
    <w:rsid w:val="00096BAD"/>
    <w:pPr>
      <w:tabs>
        <w:tab w:val="right" w:leader="dot" w:pos="9071"/>
      </w:tabs>
      <w:ind w:left="240"/>
    </w:pPr>
  </w:style>
  <w:style w:type="paragraph" w:styleId="TOC3">
    <w:name w:val="toc 3"/>
    <w:basedOn w:val="Normal"/>
    <w:next w:val="Normal"/>
    <w:autoRedefine/>
    <w:semiHidden/>
    <w:rsid w:val="00096BAD"/>
    <w:pPr>
      <w:tabs>
        <w:tab w:val="right" w:leader="dot" w:pos="9071"/>
      </w:tabs>
      <w:ind w:left="480"/>
    </w:pPr>
  </w:style>
  <w:style w:type="paragraph" w:styleId="TOC4">
    <w:name w:val="toc 4"/>
    <w:basedOn w:val="Normal"/>
    <w:next w:val="Normal"/>
    <w:autoRedefine/>
    <w:semiHidden/>
    <w:rsid w:val="00096BAD"/>
    <w:pPr>
      <w:tabs>
        <w:tab w:val="right" w:leader="dot" w:pos="9071"/>
      </w:tabs>
      <w:ind w:left="720"/>
    </w:pPr>
  </w:style>
  <w:style w:type="paragraph" w:customStyle="1" w:styleId="NoNum">
    <w:name w:val="No Num"/>
    <w:basedOn w:val="Normal1linespace"/>
    <w:rsid w:val="00096BAD"/>
    <w:pPr>
      <w:spacing w:before="120" w:after="180" w:line="360" w:lineRule="auto"/>
    </w:pPr>
  </w:style>
  <w:style w:type="paragraph" w:customStyle="1" w:styleId="AppealTable">
    <w:name w:val="AppealTable"/>
    <w:basedOn w:val="Normal"/>
    <w:unhideWhenUsed/>
    <w:rsid w:val="00096BAD"/>
    <w:pPr>
      <w:spacing w:line="240" w:lineRule="auto"/>
      <w:jc w:val="left"/>
    </w:pPr>
    <w:rPr>
      <w:b/>
      <w:caps/>
      <w:sz w:val="22"/>
      <w:szCs w:val="22"/>
    </w:rPr>
  </w:style>
  <w:style w:type="paragraph" w:customStyle="1" w:styleId="Quote3">
    <w:name w:val="Quote3"/>
    <w:basedOn w:val="Quote1"/>
    <w:rsid w:val="00096BAD"/>
    <w:pPr>
      <w:ind w:left="2160"/>
    </w:pPr>
  </w:style>
  <w:style w:type="paragraph" w:customStyle="1" w:styleId="Quote2">
    <w:name w:val="Quote2"/>
    <w:basedOn w:val="Quote1"/>
    <w:rsid w:val="00096BAD"/>
    <w:pPr>
      <w:ind w:left="1440"/>
    </w:pPr>
  </w:style>
  <w:style w:type="paragraph" w:customStyle="1" w:styleId="FTOC1">
    <w:name w:val="FTOC 1"/>
    <w:basedOn w:val="Normal"/>
    <w:semiHidden/>
    <w:rsid w:val="00096BAD"/>
    <w:pPr>
      <w:tabs>
        <w:tab w:val="right" w:leader="dot" w:pos="9072"/>
      </w:tabs>
      <w:spacing w:before="120" w:after="60" w:line="240" w:lineRule="auto"/>
      <w:jc w:val="left"/>
    </w:pPr>
    <w:rPr>
      <w:b/>
      <w:caps/>
      <w:kern w:val="28"/>
    </w:rPr>
  </w:style>
  <w:style w:type="paragraph" w:customStyle="1" w:styleId="ListNo1">
    <w:name w:val="List No 1"/>
    <w:basedOn w:val="Normal"/>
    <w:rsid w:val="00096BAD"/>
    <w:pPr>
      <w:numPr>
        <w:numId w:val="23"/>
      </w:numPr>
      <w:spacing w:before="60" w:after="60"/>
    </w:pPr>
  </w:style>
  <w:style w:type="paragraph" w:customStyle="1" w:styleId="FTOC2">
    <w:name w:val="FTOC 2"/>
    <w:basedOn w:val="Normal"/>
    <w:semiHidden/>
    <w:rsid w:val="00096BAD"/>
    <w:pPr>
      <w:tabs>
        <w:tab w:val="right" w:leader="dot" w:pos="9072"/>
      </w:tabs>
      <w:spacing w:before="120" w:after="60" w:line="240" w:lineRule="auto"/>
      <w:ind w:left="238"/>
      <w:jc w:val="left"/>
    </w:pPr>
    <w:rPr>
      <w:b/>
    </w:rPr>
  </w:style>
  <w:style w:type="paragraph" w:customStyle="1" w:styleId="FTOC3">
    <w:name w:val="FTOC 3"/>
    <w:basedOn w:val="Normal"/>
    <w:semiHidden/>
    <w:rsid w:val="00096BAD"/>
    <w:pPr>
      <w:tabs>
        <w:tab w:val="right" w:leader="dot" w:pos="9072"/>
      </w:tabs>
      <w:spacing w:before="120" w:after="60" w:line="240" w:lineRule="auto"/>
      <w:ind w:left="482"/>
      <w:jc w:val="left"/>
    </w:pPr>
    <w:rPr>
      <w:b/>
      <w:i/>
    </w:rPr>
  </w:style>
  <w:style w:type="paragraph" w:customStyle="1" w:styleId="FTOC4">
    <w:name w:val="FTOC 4"/>
    <w:basedOn w:val="Normal"/>
    <w:semiHidden/>
    <w:rsid w:val="00096BAD"/>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096BAD"/>
    <w:pPr>
      <w:tabs>
        <w:tab w:val="right" w:leader="dot" w:pos="9072"/>
      </w:tabs>
      <w:ind w:left="960"/>
    </w:pPr>
  </w:style>
  <w:style w:type="numbering" w:styleId="111111">
    <w:name w:val="Outline List 2"/>
    <w:basedOn w:val="NoList"/>
    <w:semiHidden/>
    <w:rsid w:val="00096BAD"/>
    <w:pPr>
      <w:numPr>
        <w:numId w:val="13"/>
      </w:numPr>
    </w:pPr>
  </w:style>
  <w:style w:type="numbering" w:styleId="1ai">
    <w:name w:val="Outline List 1"/>
    <w:basedOn w:val="NoList"/>
    <w:semiHidden/>
    <w:rsid w:val="00096BAD"/>
    <w:pPr>
      <w:numPr>
        <w:numId w:val="14"/>
      </w:numPr>
    </w:pPr>
  </w:style>
  <w:style w:type="numbering" w:styleId="ArticleSection">
    <w:name w:val="Outline List 3"/>
    <w:basedOn w:val="NoList"/>
    <w:semiHidden/>
    <w:rsid w:val="00096BAD"/>
    <w:pPr>
      <w:numPr>
        <w:numId w:val="15"/>
      </w:numPr>
    </w:pPr>
  </w:style>
  <w:style w:type="paragraph" w:styleId="BodyText">
    <w:name w:val="Body Text"/>
    <w:basedOn w:val="Normal"/>
    <w:link w:val="BodyTextChar"/>
    <w:qFormat/>
    <w:rsid w:val="00096BAD"/>
  </w:style>
  <w:style w:type="paragraph" w:styleId="BodyText2">
    <w:name w:val="Body Text 2"/>
    <w:basedOn w:val="Normal"/>
    <w:semiHidden/>
    <w:rsid w:val="00096BAD"/>
    <w:pPr>
      <w:spacing w:after="120" w:line="480" w:lineRule="auto"/>
    </w:pPr>
  </w:style>
  <w:style w:type="paragraph" w:styleId="BodyText3">
    <w:name w:val="Body Text 3"/>
    <w:basedOn w:val="Normal"/>
    <w:semiHidden/>
    <w:rsid w:val="00096BAD"/>
    <w:pPr>
      <w:spacing w:after="120"/>
    </w:pPr>
    <w:rPr>
      <w:sz w:val="16"/>
      <w:szCs w:val="16"/>
    </w:rPr>
  </w:style>
  <w:style w:type="paragraph" w:styleId="BodyTextFirstIndent">
    <w:name w:val="Body Text First Indent"/>
    <w:basedOn w:val="BodyText"/>
    <w:semiHidden/>
    <w:rsid w:val="00096BAD"/>
    <w:pPr>
      <w:ind w:firstLine="210"/>
    </w:pPr>
  </w:style>
  <w:style w:type="paragraph" w:styleId="BodyTextIndent">
    <w:name w:val="Body Text Indent"/>
    <w:basedOn w:val="Normal"/>
    <w:semiHidden/>
    <w:rsid w:val="00096BAD"/>
    <w:pPr>
      <w:spacing w:after="120"/>
      <w:ind w:left="283"/>
    </w:pPr>
  </w:style>
  <w:style w:type="paragraph" w:styleId="BodyTextFirstIndent2">
    <w:name w:val="Body Text First Indent 2"/>
    <w:basedOn w:val="BodyTextIndent"/>
    <w:semiHidden/>
    <w:rsid w:val="00096BAD"/>
    <w:pPr>
      <w:ind w:firstLine="210"/>
    </w:pPr>
  </w:style>
  <w:style w:type="paragraph" w:styleId="BodyTextIndent2">
    <w:name w:val="Body Text Indent 2"/>
    <w:basedOn w:val="Normal"/>
    <w:semiHidden/>
    <w:rsid w:val="00096BAD"/>
    <w:pPr>
      <w:spacing w:after="120" w:line="480" w:lineRule="auto"/>
      <w:ind w:left="283"/>
    </w:pPr>
  </w:style>
  <w:style w:type="paragraph" w:styleId="BodyTextIndent3">
    <w:name w:val="Body Text Indent 3"/>
    <w:basedOn w:val="Normal"/>
    <w:semiHidden/>
    <w:rsid w:val="00096BAD"/>
    <w:pPr>
      <w:spacing w:after="120"/>
      <w:ind w:left="283"/>
    </w:pPr>
    <w:rPr>
      <w:sz w:val="16"/>
      <w:szCs w:val="16"/>
    </w:rPr>
  </w:style>
  <w:style w:type="paragraph" w:styleId="Closing">
    <w:name w:val="Closing"/>
    <w:basedOn w:val="Normal"/>
    <w:semiHidden/>
    <w:rsid w:val="00096BAD"/>
    <w:pPr>
      <w:ind w:left="4252"/>
    </w:pPr>
  </w:style>
  <w:style w:type="paragraph" w:styleId="Date">
    <w:name w:val="Date"/>
    <w:basedOn w:val="Normal"/>
    <w:next w:val="Normal"/>
    <w:semiHidden/>
    <w:rsid w:val="00096BAD"/>
  </w:style>
  <w:style w:type="paragraph" w:styleId="E-mailSignature">
    <w:name w:val="E-mail Signature"/>
    <w:basedOn w:val="Normal"/>
    <w:semiHidden/>
    <w:rsid w:val="00096BAD"/>
  </w:style>
  <w:style w:type="character" w:styleId="Emphasis">
    <w:name w:val="Emphasis"/>
    <w:semiHidden/>
    <w:rsid w:val="00096BAD"/>
    <w:rPr>
      <w:i/>
      <w:iCs/>
    </w:rPr>
  </w:style>
  <w:style w:type="paragraph" w:styleId="EnvelopeAddress">
    <w:name w:val="envelope address"/>
    <w:basedOn w:val="Normal"/>
    <w:semiHidden/>
    <w:rsid w:val="00096BA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096BAD"/>
    <w:rPr>
      <w:rFonts w:ascii="Arial" w:hAnsi="Arial" w:cs="Arial"/>
      <w:sz w:val="20"/>
    </w:rPr>
  </w:style>
  <w:style w:type="character" w:styleId="FollowedHyperlink">
    <w:name w:val="FollowedHyperlink"/>
    <w:semiHidden/>
    <w:rsid w:val="00096BAD"/>
    <w:rPr>
      <w:color w:val="800080"/>
      <w:u w:val="single"/>
    </w:rPr>
  </w:style>
  <w:style w:type="character" w:styleId="HTMLAcronym">
    <w:name w:val="HTML Acronym"/>
    <w:basedOn w:val="DefaultParagraphFont"/>
    <w:semiHidden/>
    <w:rsid w:val="00096BAD"/>
  </w:style>
  <w:style w:type="paragraph" w:styleId="HTMLAddress">
    <w:name w:val="HTML Address"/>
    <w:basedOn w:val="Normal"/>
    <w:semiHidden/>
    <w:rsid w:val="00096BAD"/>
    <w:rPr>
      <w:i/>
      <w:iCs/>
    </w:rPr>
  </w:style>
  <w:style w:type="character" w:styleId="HTMLCite">
    <w:name w:val="HTML Cite"/>
    <w:semiHidden/>
    <w:rsid w:val="00096BAD"/>
    <w:rPr>
      <w:i/>
      <w:iCs/>
    </w:rPr>
  </w:style>
  <w:style w:type="character" w:styleId="HTMLCode">
    <w:name w:val="HTML Code"/>
    <w:semiHidden/>
    <w:rsid w:val="00096BAD"/>
    <w:rPr>
      <w:rFonts w:ascii="Courier New" w:hAnsi="Courier New" w:cs="Courier New"/>
      <w:sz w:val="20"/>
      <w:szCs w:val="20"/>
    </w:rPr>
  </w:style>
  <w:style w:type="character" w:styleId="HTMLDefinition">
    <w:name w:val="HTML Definition"/>
    <w:semiHidden/>
    <w:rsid w:val="00096BAD"/>
    <w:rPr>
      <w:i/>
      <w:iCs/>
    </w:rPr>
  </w:style>
  <w:style w:type="character" w:styleId="HTMLKeyboard">
    <w:name w:val="HTML Keyboard"/>
    <w:semiHidden/>
    <w:rsid w:val="00096BAD"/>
    <w:rPr>
      <w:rFonts w:ascii="Courier New" w:hAnsi="Courier New" w:cs="Courier New"/>
      <w:sz w:val="20"/>
      <w:szCs w:val="20"/>
    </w:rPr>
  </w:style>
  <w:style w:type="paragraph" w:styleId="HTMLPreformatted">
    <w:name w:val="HTML Preformatted"/>
    <w:basedOn w:val="Normal"/>
    <w:semiHidden/>
    <w:rsid w:val="00096BAD"/>
    <w:rPr>
      <w:rFonts w:ascii="Courier New" w:hAnsi="Courier New" w:cs="Courier New"/>
      <w:sz w:val="20"/>
    </w:rPr>
  </w:style>
  <w:style w:type="character" w:styleId="HTMLSample">
    <w:name w:val="HTML Sample"/>
    <w:semiHidden/>
    <w:rsid w:val="00096BAD"/>
    <w:rPr>
      <w:rFonts w:ascii="Courier New" w:hAnsi="Courier New" w:cs="Courier New"/>
    </w:rPr>
  </w:style>
  <w:style w:type="character" w:styleId="HTMLTypewriter">
    <w:name w:val="HTML Typewriter"/>
    <w:semiHidden/>
    <w:rsid w:val="00096BAD"/>
    <w:rPr>
      <w:rFonts w:ascii="Courier New" w:hAnsi="Courier New" w:cs="Courier New"/>
      <w:sz w:val="20"/>
      <w:szCs w:val="20"/>
    </w:rPr>
  </w:style>
  <w:style w:type="character" w:styleId="HTMLVariable">
    <w:name w:val="HTML Variable"/>
    <w:semiHidden/>
    <w:rsid w:val="00096BAD"/>
    <w:rPr>
      <w:i/>
      <w:iCs/>
    </w:rPr>
  </w:style>
  <w:style w:type="character" w:styleId="Hyperlink">
    <w:name w:val="Hyperlink"/>
    <w:semiHidden/>
    <w:rsid w:val="00096BAD"/>
    <w:rPr>
      <w:color w:val="0000FF"/>
      <w:u w:val="single"/>
    </w:rPr>
  </w:style>
  <w:style w:type="character" w:styleId="LineNumber">
    <w:name w:val="line number"/>
    <w:basedOn w:val="DefaultParagraphFont"/>
    <w:semiHidden/>
    <w:rsid w:val="00096BAD"/>
  </w:style>
  <w:style w:type="paragraph" w:styleId="List">
    <w:name w:val="List"/>
    <w:basedOn w:val="Normal"/>
    <w:semiHidden/>
    <w:rsid w:val="00096BAD"/>
    <w:pPr>
      <w:ind w:left="283" w:hanging="283"/>
    </w:pPr>
  </w:style>
  <w:style w:type="paragraph" w:styleId="List2">
    <w:name w:val="List 2"/>
    <w:basedOn w:val="Normal"/>
    <w:semiHidden/>
    <w:rsid w:val="00096BAD"/>
    <w:pPr>
      <w:ind w:left="566" w:hanging="283"/>
    </w:pPr>
  </w:style>
  <w:style w:type="paragraph" w:styleId="List3">
    <w:name w:val="List 3"/>
    <w:basedOn w:val="Normal"/>
    <w:semiHidden/>
    <w:rsid w:val="00096BAD"/>
    <w:pPr>
      <w:ind w:left="849" w:hanging="283"/>
    </w:pPr>
  </w:style>
  <w:style w:type="paragraph" w:styleId="List4">
    <w:name w:val="List 4"/>
    <w:basedOn w:val="Normal"/>
    <w:semiHidden/>
    <w:rsid w:val="00096BAD"/>
    <w:pPr>
      <w:ind w:left="1132" w:hanging="283"/>
    </w:pPr>
  </w:style>
  <w:style w:type="paragraph" w:styleId="List5">
    <w:name w:val="List 5"/>
    <w:basedOn w:val="Normal"/>
    <w:semiHidden/>
    <w:rsid w:val="00096BAD"/>
    <w:pPr>
      <w:ind w:left="1415" w:hanging="283"/>
    </w:pPr>
  </w:style>
  <w:style w:type="paragraph" w:styleId="ListBullet">
    <w:name w:val="List Bullet"/>
    <w:basedOn w:val="Normal"/>
    <w:semiHidden/>
    <w:rsid w:val="00096BAD"/>
    <w:pPr>
      <w:numPr>
        <w:numId w:val="3"/>
      </w:numPr>
    </w:pPr>
  </w:style>
  <w:style w:type="paragraph" w:styleId="ListBullet2">
    <w:name w:val="List Bullet 2"/>
    <w:basedOn w:val="Normal"/>
    <w:semiHidden/>
    <w:rsid w:val="00096BAD"/>
    <w:pPr>
      <w:numPr>
        <w:numId w:val="4"/>
      </w:numPr>
    </w:pPr>
  </w:style>
  <w:style w:type="paragraph" w:styleId="ListBullet3">
    <w:name w:val="List Bullet 3"/>
    <w:basedOn w:val="Normal"/>
    <w:semiHidden/>
    <w:rsid w:val="00096BAD"/>
    <w:pPr>
      <w:numPr>
        <w:numId w:val="5"/>
      </w:numPr>
    </w:pPr>
  </w:style>
  <w:style w:type="paragraph" w:styleId="ListBullet4">
    <w:name w:val="List Bullet 4"/>
    <w:basedOn w:val="Normal"/>
    <w:semiHidden/>
    <w:rsid w:val="00096BAD"/>
    <w:pPr>
      <w:numPr>
        <w:numId w:val="6"/>
      </w:numPr>
    </w:pPr>
  </w:style>
  <w:style w:type="paragraph" w:styleId="ListBullet5">
    <w:name w:val="List Bullet 5"/>
    <w:basedOn w:val="Normal"/>
    <w:semiHidden/>
    <w:rsid w:val="00096BAD"/>
    <w:pPr>
      <w:numPr>
        <w:numId w:val="7"/>
      </w:numPr>
    </w:pPr>
  </w:style>
  <w:style w:type="paragraph" w:styleId="ListContinue">
    <w:name w:val="List Continue"/>
    <w:basedOn w:val="Normal"/>
    <w:semiHidden/>
    <w:rsid w:val="00096BAD"/>
    <w:pPr>
      <w:spacing w:after="120"/>
      <w:ind w:left="283"/>
    </w:pPr>
  </w:style>
  <w:style w:type="paragraph" w:styleId="ListContinue2">
    <w:name w:val="List Continue 2"/>
    <w:basedOn w:val="Normal"/>
    <w:semiHidden/>
    <w:rsid w:val="00096BAD"/>
    <w:pPr>
      <w:spacing w:after="120"/>
      <w:ind w:left="566"/>
    </w:pPr>
  </w:style>
  <w:style w:type="paragraph" w:styleId="ListContinue3">
    <w:name w:val="List Continue 3"/>
    <w:basedOn w:val="Normal"/>
    <w:semiHidden/>
    <w:rsid w:val="00096BAD"/>
    <w:pPr>
      <w:spacing w:after="120"/>
      <w:ind w:left="849"/>
    </w:pPr>
  </w:style>
  <w:style w:type="paragraph" w:styleId="ListContinue4">
    <w:name w:val="List Continue 4"/>
    <w:basedOn w:val="Normal"/>
    <w:semiHidden/>
    <w:rsid w:val="00096BAD"/>
    <w:pPr>
      <w:spacing w:after="120"/>
      <w:ind w:left="1132"/>
    </w:pPr>
  </w:style>
  <w:style w:type="paragraph" w:styleId="ListContinue5">
    <w:name w:val="List Continue 5"/>
    <w:basedOn w:val="Normal"/>
    <w:semiHidden/>
    <w:rsid w:val="00096BAD"/>
    <w:pPr>
      <w:spacing w:after="120"/>
      <w:ind w:left="1415"/>
    </w:pPr>
  </w:style>
  <w:style w:type="paragraph" w:styleId="ListNumber">
    <w:name w:val="List Number"/>
    <w:basedOn w:val="Normal"/>
    <w:semiHidden/>
    <w:rsid w:val="00096BAD"/>
    <w:pPr>
      <w:numPr>
        <w:numId w:val="8"/>
      </w:numPr>
    </w:pPr>
  </w:style>
  <w:style w:type="paragraph" w:styleId="ListNumber2">
    <w:name w:val="List Number 2"/>
    <w:basedOn w:val="Normal"/>
    <w:semiHidden/>
    <w:rsid w:val="00096BAD"/>
    <w:pPr>
      <w:numPr>
        <w:numId w:val="9"/>
      </w:numPr>
    </w:pPr>
  </w:style>
  <w:style w:type="paragraph" w:styleId="ListNumber3">
    <w:name w:val="List Number 3"/>
    <w:basedOn w:val="Normal"/>
    <w:semiHidden/>
    <w:rsid w:val="00096BAD"/>
    <w:pPr>
      <w:numPr>
        <w:numId w:val="10"/>
      </w:numPr>
    </w:pPr>
  </w:style>
  <w:style w:type="paragraph" w:styleId="ListNumber4">
    <w:name w:val="List Number 4"/>
    <w:basedOn w:val="Normal"/>
    <w:semiHidden/>
    <w:rsid w:val="00096BAD"/>
    <w:pPr>
      <w:numPr>
        <w:numId w:val="11"/>
      </w:numPr>
    </w:pPr>
  </w:style>
  <w:style w:type="paragraph" w:styleId="ListNumber5">
    <w:name w:val="List Number 5"/>
    <w:basedOn w:val="Normal"/>
    <w:semiHidden/>
    <w:rsid w:val="00096BAD"/>
    <w:pPr>
      <w:numPr>
        <w:numId w:val="12"/>
      </w:numPr>
    </w:pPr>
  </w:style>
  <w:style w:type="paragraph" w:styleId="MessageHeader">
    <w:name w:val="Message Header"/>
    <w:basedOn w:val="Normal"/>
    <w:semiHidden/>
    <w:rsid w:val="00096B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096BAD"/>
    <w:rPr>
      <w:szCs w:val="24"/>
    </w:rPr>
  </w:style>
  <w:style w:type="paragraph" w:styleId="NormalIndent">
    <w:name w:val="Normal Indent"/>
    <w:basedOn w:val="Normal"/>
    <w:semiHidden/>
    <w:rsid w:val="00096BAD"/>
    <w:pPr>
      <w:ind w:left="720"/>
    </w:pPr>
  </w:style>
  <w:style w:type="paragraph" w:styleId="NoteHeading">
    <w:name w:val="Note Heading"/>
    <w:basedOn w:val="Normal"/>
    <w:next w:val="Normal"/>
    <w:semiHidden/>
    <w:rsid w:val="00096BAD"/>
  </w:style>
  <w:style w:type="character" w:styleId="PageNumber">
    <w:name w:val="page number"/>
    <w:basedOn w:val="DefaultParagraphFont"/>
    <w:semiHidden/>
    <w:rsid w:val="00096BAD"/>
  </w:style>
  <w:style w:type="paragraph" w:styleId="PlainText">
    <w:name w:val="Plain Text"/>
    <w:basedOn w:val="Normal"/>
    <w:semiHidden/>
    <w:rsid w:val="00096BAD"/>
    <w:rPr>
      <w:rFonts w:ascii="Courier New" w:hAnsi="Courier New" w:cs="Courier New"/>
      <w:sz w:val="20"/>
    </w:rPr>
  </w:style>
  <w:style w:type="paragraph" w:styleId="Salutation">
    <w:name w:val="Salutation"/>
    <w:basedOn w:val="Normal"/>
    <w:next w:val="Normal"/>
    <w:semiHidden/>
    <w:rsid w:val="00096BAD"/>
  </w:style>
  <w:style w:type="paragraph" w:styleId="Signature">
    <w:name w:val="Signature"/>
    <w:basedOn w:val="Normal"/>
    <w:semiHidden/>
    <w:rsid w:val="00096BAD"/>
    <w:pPr>
      <w:ind w:left="4252"/>
    </w:pPr>
  </w:style>
  <w:style w:type="character" w:styleId="Strong">
    <w:name w:val="Strong"/>
    <w:semiHidden/>
    <w:rsid w:val="00096BAD"/>
    <w:rPr>
      <w:b/>
      <w:bCs/>
    </w:rPr>
  </w:style>
  <w:style w:type="paragraph" w:styleId="Subtitle">
    <w:name w:val="Subtitle"/>
    <w:basedOn w:val="Normal"/>
    <w:semiHidden/>
    <w:rsid w:val="00096BAD"/>
    <w:pPr>
      <w:spacing w:after="60"/>
      <w:jc w:val="center"/>
      <w:outlineLvl w:val="1"/>
    </w:pPr>
    <w:rPr>
      <w:rFonts w:ascii="Arial" w:hAnsi="Arial" w:cs="Arial"/>
      <w:szCs w:val="24"/>
    </w:rPr>
  </w:style>
  <w:style w:type="table" w:styleId="Table3Deffects1">
    <w:name w:val="Table 3D effects 1"/>
    <w:basedOn w:val="TableNormal"/>
    <w:semiHidden/>
    <w:rsid w:val="00096BA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6BA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6BA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6BA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6BA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6BA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6BA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6BA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6BA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6BA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6BA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6BA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6BA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6BA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6BA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6BA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6BA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96BA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6BA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6BA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6BA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6BA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6BA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6BA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6BA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6BA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6BA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6BA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6BA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6BA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6BA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6BA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6BA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6BA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6BA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6BA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6BA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6BA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6BA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6BA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6BA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6BA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6BA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096BAD"/>
    <w:pPr>
      <w:spacing w:before="120" w:after="60" w:line="240" w:lineRule="auto"/>
      <w:jc w:val="left"/>
    </w:pPr>
  </w:style>
  <w:style w:type="paragraph" w:customStyle="1" w:styleId="bTOC2">
    <w:name w:val="bTOC 2"/>
    <w:basedOn w:val="TOC2"/>
    <w:semiHidden/>
    <w:rsid w:val="00096BAD"/>
    <w:pPr>
      <w:spacing w:before="120" w:after="60" w:line="240" w:lineRule="auto"/>
      <w:ind w:left="238"/>
      <w:jc w:val="left"/>
    </w:pPr>
  </w:style>
  <w:style w:type="paragraph" w:customStyle="1" w:styleId="bTOC3">
    <w:name w:val="bTOC 3"/>
    <w:basedOn w:val="TOC3"/>
    <w:semiHidden/>
    <w:rsid w:val="00096BAD"/>
    <w:pPr>
      <w:spacing w:before="120" w:after="60" w:line="240" w:lineRule="auto"/>
      <w:ind w:left="482"/>
      <w:jc w:val="left"/>
    </w:pPr>
  </w:style>
  <w:style w:type="paragraph" w:customStyle="1" w:styleId="bTOC4">
    <w:name w:val="bTOC 4"/>
    <w:basedOn w:val="TOC4"/>
    <w:semiHidden/>
    <w:rsid w:val="00096BAD"/>
    <w:pPr>
      <w:spacing w:before="120" w:after="60" w:line="240" w:lineRule="auto"/>
      <w:jc w:val="left"/>
    </w:pPr>
  </w:style>
  <w:style w:type="paragraph" w:customStyle="1" w:styleId="Counsel">
    <w:name w:val="Counsel"/>
    <w:basedOn w:val="Normal"/>
    <w:unhideWhenUsed/>
    <w:rsid w:val="00096BAD"/>
    <w:pPr>
      <w:widowControl w:val="0"/>
      <w:suppressAutoHyphens/>
      <w:spacing w:line="240" w:lineRule="auto"/>
    </w:pPr>
  </w:style>
  <w:style w:type="character" w:customStyle="1" w:styleId="CertifyChar">
    <w:name w:val="Certify Char"/>
    <w:link w:val="Certify"/>
    <w:semiHidden/>
    <w:rsid w:val="00096BAD"/>
    <w:rPr>
      <w:sz w:val="24"/>
      <w:szCs w:val="24"/>
      <w:lang w:eastAsia="en-US"/>
    </w:rPr>
  </w:style>
  <w:style w:type="paragraph" w:customStyle="1" w:styleId="fcHeading1">
    <w:name w:val="fcHeading 1"/>
    <w:basedOn w:val="Normal"/>
    <w:next w:val="ParaNumbering"/>
    <w:semiHidden/>
    <w:rsid w:val="00096BAD"/>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096BAD"/>
    <w:pPr>
      <w:keepNext/>
      <w:numPr>
        <w:ilvl w:val="1"/>
        <w:numId w:val="16"/>
      </w:numPr>
      <w:spacing w:before="240" w:after="60" w:line="240" w:lineRule="auto"/>
    </w:pPr>
    <w:rPr>
      <w:b/>
    </w:rPr>
  </w:style>
  <w:style w:type="paragraph" w:customStyle="1" w:styleId="fcHeading3">
    <w:name w:val="fcHeading 3"/>
    <w:basedOn w:val="Normal"/>
    <w:next w:val="ParaNumbering"/>
    <w:semiHidden/>
    <w:rsid w:val="00096BAD"/>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096BAD"/>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096BAD"/>
    <w:pPr>
      <w:keepNext/>
      <w:numPr>
        <w:ilvl w:val="4"/>
        <w:numId w:val="16"/>
      </w:numPr>
      <w:spacing w:before="240" w:after="60" w:line="240" w:lineRule="auto"/>
    </w:pPr>
    <w:rPr>
      <w:b/>
      <w:caps/>
    </w:rPr>
  </w:style>
  <w:style w:type="paragraph" w:customStyle="1" w:styleId="FTOC5">
    <w:name w:val="FTOC 5"/>
    <w:basedOn w:val="Normal"/>
    <w:semiHidden/>
    <w:rsid w:val="00096BAD"/>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096BAD"/>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096BAD"/>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096BAD"/>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096BAD"/>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096BAD"/>
    <w:pPr>
      <w:tabs>
        <w:tab w:val="right" w:leader="dot" w:pos="9072"/>
      </w:tabs>
      <w:spacing w:before="120" w:after="60" w:line="240" w:lineRule="auto"/>
      <w:ind w:left="709" w:hanging="709"/>
      <w:jc w:val="left"/>
    </w:pPr>
  </w:style>
  <w:style w:type="paragraph" w:customStyle="1" w:styleId="bTOC6">
    <w:name w:val="bTOC 6"/>
    <w:basedOn w:val="Normal"/>
    <w:semiHidden/>
    <w:rsid w:val="00096BAD"/>
    <w:pPr>
      <w:tabs>
        <w:tab w:val="right" w:leader="dot" w:pos="9072"/>
      </w:tabs>
      <w:spacing w:before="120" w:after="60" w:line="240" w:lineRule="auto"/>
      <w:ind w:left="1418" w:hanging="709"/>
      <w:jc w:val="left"/>
    </w:pPr>
  </w:style>
  <w:style w:type="paragraph" w:customStyle="1" w:styleId="bTOC7">
    <w:name w:val="bTOC 7"/>
    <w:basedOn w:val="Normal"/>
    <w:semiHidden/>
    <w:rsid w:val="00096BAD"/>
    <w:pPr>
      <w:tabs>
        <w:tab w:val="right" w:leader="dot" w:pos="9072"/>
      </w:tabs>
      <w:spacing w:before="120" w:after="60" w:line="240" w:lineRule="auto"/>
      <w:ind w:left="2240" w:hanging="822"/>
      <w:jc w:val="left"/>
    </w:pPr>
  </w:style>
  <w:style w:type="paragraph" w:customStyle="1" w:styleId="bTOC8">
    <w:name w:val="bTOC 8"/>
    <w:basedOn w:val="Normal"/>
    <w:semiHidden/>
    <w:rsid w:val="00096BAD"/>
    <w:pPr>
      <w:keepNext/>
      <w:tabs>
        <w:tab w:val="right" w:leader="dot" w:pos="9072"/>
      </w:tabs>
      <w:spacing w:before="120" w:after="60" w:line="240" w:lineRule="auto"/>
      <w:ind w:left="3373" w:hanging="1247"/>
      <w:jc w:val="left"/>
    </w:pPr>
  </w:style>
  <w:style w:type="paragraph" w:customStyle="1" w:styleId="bTOC9">
    <w:name w:val="bTOC 9"/>
    <w:basedOn w:val="Normal"/>
    <w:semiHidden/>
    <w:rsid w:val="00096BAD"/>
    <w:pPr>
      <w:keepNext/>
      <w:tabs>
        <w:tab w:val="right" w:leader="dot" w:pos="9072"/>
      </w:tabs>
      <w:spacing w:before="120" w:after="60" w:line="240" w:lineRule="auto"/>
      <w:ind w:left="4082" w:hanging="1247"/>
      <w:jc w:val="left"/>
    </w:pPr>
  </w:style>
  <w:style w:type="paragraph" w:customStyle="1" w:styleId="ListNo2">
    <w:name w:val="List No 2"/>
    <w:basedOn w:val="ListNo1"/>
    <w:rsid w:val="00096BAD"/>
    <w:pPr>
      <w:numPr>
        <w:ilvl w:val="1"/>
      </w:numPr>
    </w:pPr>
  </w:style>
  <w:style w:type="paragraph" w:customStyle="1" w:styleId="ListNo3">
    <w:name w:val="List No 3"/>
    <w:basedOn w:val="ListNo2"/>
    <w:rsid w:val="00096BAD"/>
    <w:pPr>
      <w:numPr>
        <w:ilvl w:val="2"/>
      </w:numPr>
    </w:pPr>
  </w:style>
  <w:style w:type="numbering" w:customStyle="1" w:styleId="FCListNo">
    <w:name w:val="FCListNo"/>
    <w:uiPriority w:val="99"/>
    <w:rsid w:val="00096BAD"/>
    <w:pPr>
      <w:numPr>
        <w:numId w:val="17"/>
      </w:numPr>
    </w:pPr>
  </w:style>
  <w:style w:type="paragraph" w:customStyle="1" w:styleId="SingleSpace">
    <w:name w:val="SingleSpace"/>
    <w:basedOn w:val="Normal"/>
    <w:rsid w:val="00096BAD"/>
    <w:pPr>
      <w:spacing w:line="240" w:lineRule="auto"/>
    </w:pPr>
    <w:rPr>
      <w:szCs w:val="22"/>
    </w:rPr>
  </w:style>
  <w:style w:type="paragraph" w:customStyle="1" w:styleId="Quote1Bullet">
    <w:name w:val="Quote1 Bullet"/>
    <w:basedOn w:val="Quote1"/>
    <w:rsid w:val="00096BAD"/>
    <w:pPr>
      <w:numPr>
        <w:numId w:val="18"/>
      </w:numPr>
      <w:ind w:left="1440" w:hanging="720"/>
    </w:pPr>
  </w:style>
  <w:style w:type="paragraph" w:customStyle="1" w:styleId="Quote2Bullet">
    <w:name w:val="Quote2 Bullet"/>
    <w:basedOn w:val="Quote2"/>
    <w:rsid w:val="00096BAD"/>
    <w:pPr>
      <w:numPr>
        <w:numId w:val="19"/>
      </w:numPr>
      <w:ind w:hanging="720"/>
    </w:pPr>
  </w:style>
  <w:style w:type="paragraph" w:customStyle="1" w:styleId="Quote3Bullet">
    <w:name w:val="Quote3 Bullet"/>
    <w:basedOn w:val="Quote3"/>
    <w:rsid w:val="00096BAD"/>
    <w:pPr>
      <w:numPr>
        <w:numId w:val="20"/>
      </w:numPr>
      <w:ind w:hanging="720"/>
    </w:pPr>
  </w:style>
  <w:style w:type="paragraph" w:customStyle="1" w:styleId="Order1">
    <w:name w:val="Order 1"/>
    <w:basedOn w:val="Normal"/>
    <w:rsid w:val="00096BAD"/>
    <w:pPr>
      <w:numPr>
        <w:numId w:val="21"/>
      </w:numPr>
      <w:spacing w:before="60" w:after="60"/>
    </w:pPr>
  </w:style>
  <w:style w:type="numbering" w:customStyle="1" w:styleId="FCOrders">
    <w:name w:val="FCOrders"/>
    <w:uiPriority w:val="99"/>
    <w:rsid w:val="00096BAD"/>
    <w:pPr>
      <w:numPr>
        <w:numId w:val="21"/>
      </w:numPr>
    </w:pPr>
  </w:style>
  <w:style w:type="paragraph" w:customStyle="1" w:styleId="BodyTextBold">
    <w:name w:val="Body Text Bold"/>
    <w:basedOn w:val="BodyText"/>
    <w:rsid w:val="00096BAD"/>
    <w:rPr>
      <w:b/>
    </w:rPr>
  </w:style>
  <w:style w:type="paragraph" w:customStyle="1" w:styleId="GeneralHeading">
    <w:name w:val="General Heading"/>
    <w:basedOn w:val="BodyTextBold"/>
    <w:next w:val="BodyText"/>
    <w:rsid w:val="00096BAD"/>
    <w:pPr>
      <w:spacing w:line="480" w:lineRule="auto"/>
      <w:jc w:val="center"/>
    </w:pPr>
    <w:rPr>
      <w:sz w:val="28"/>
    </w:rPr>
  </w:style>
  <w:style w:type="paragraph" w:customStyle="1" w:styleId="ReasonJudge">
    <w:name w:val="Reason Judge"/>
    <w:basedOn w:val="BodyText"/>
    <w:next w:val="BodyText"/>
    <w:rsid w:val="00096BAD"/>
    <w:pPr>
      <w:jc w:val="left"/>
    </w:pPr>
    <w:rPr>
      <w:b/>
      <w:sz w:val="26"/>
    </w:rPr>
  </w:style>
  <w:style w:type="paragraph" w:customStyle="1" w:styleId="FileNo">
    <w:name w:val="FileNo"/>
    <w:basedOn w:val="NormalHeadings"/>
    <w:rsid w:val="00096BAD"/>
    <w:pPr>
      <w:tabs>
        <w:tab w:val="right" w:pos="3609"/>
      </w:tabs>
      <w:spacing w:line="276" w:lineRule="auto"/>
      <w:jc w:val="right"/>
    </w:pPr>
    <w:rPr>
      <w:szCs w:val="24"/>
    </w:rPr>
  </w:style>
  <w:style w:type="paragraph" w:customStyle="1" w:styleId="CasesLegislationAppealFrom">
    <w:name w:val="Cases Legislation Appeal From"/>
    <w:basedOn w:val="Normal1linespace"/>
    <w:rsid w:val="00096BAD"/>
    <w:pPr>
      <w:widowControl w:val="0"/>
      <w:spacing w:after="100"/>
      <w:jc w:val="left"/>
    </w:pPr>
  </w:style>
  <w:style w:type="paragraph" w:customStyle="1" w:styleId="PartyName">
    <w:name w:val="Party Name"/>
    <w:basedOn w:val="NormalHeadings"/>
    <w:rsid w:val="00096BAD"/>
    <w:pPr>
      <w:jc w:val="left"/>
    </w:pPr>
    <w:rPr>
      <w:szCs w:val="24"/>
    </w:rPr>
  </w:style>
  <w:style w:type="paragraph" w:customStyle="1" w:styleId="PartyType">
    <w:name w:val="Party Type"/>
    <w:basedOn w:val="PartyName"/>
    <w:rsid w:val="00096BAD"/>
    <w:rPr>
      <w:b w:val="0"/>
    </w:rPr>
  </w:style>
  <w:style w:type="paragraph" w:customStyle="1" w:styleId="Small-TableswithinQuotes">
    <w:name w:val="Small - Tables within Quotes"/>
    <w:basedOn w:val="BodyText"/>
    <w:rsid w:val="00096BAD"/>
    <w:pPr>
      <w:spacing w:line="240" w:lineRule="auto"/>
      <w:jc w:val="left"/>
    </w:pPr>
    <w:rPr>
      <w:sz w:val="22"/>
    </w:rPr>
  </w:style>
  <w:style w:type="character" w:customStyle="1" w:styleId="BodyTextChar">
    <w:name w:val="Body Text Char"/>
    <w:basedOn w:val="DefaultParagraphFont"/>
    <w:link w:val="BodyText"/>
    <w:rsid w:val="00096BAD"/>
    <w:rPr>
      <w:sz w:val="24"/>
      <w:lang w:eastAsia="en-US"/>
    </w:rPr>
  </w:style>
  <w:style w:type="character" w:customStyle="1" w:styleId="NormalHeadingsChar">
    <w:name w:val="Normal Headings Char"/>
    <w:basedOn w:val="DefaultParagraphFont"/>
    <w:link w:val="NormalHeadings"/>
    <w:rsid w:val="00096BAD"/>
    <w:rPr>
      <w:b/>
      <w:sz w:val="24"/>
      <w:lang w:eastAsia="en-US"/>
    </w:rPr>
  </w:style>
  <w:style w:type="paragraph" w:customStyle="1" w:styleId="CourtTitle">
    <w:name w:val="CourtTitle"/>
    <w:basedOn w:val="NormalHeadings"/>
    <w:rsid w:val="00096BAD"/>
    <w:pPr>
      <w:jc w:val="center"/>
    </w:pPr>
    <w:rPr>
      <w:caps/>
      <w:sz w:val="32"/>
    </w:rPr>
  </w:style>
  <w:style w:type="paragraph" w:customStyle="1" w:styleId="MNC">
    <w:name w:val="MNC"/>
    <w:basedOn w:val="MediaNeutralStyle"/>
    <w:rsid w:val="00096BAD"/>
    <w:pPr>
      <w:spacing w:after="240"/>
    </w:pPr>
    <w:rPr>
      <w:sz w:val="28"/>
    </w:rPr>
  </w:style>
  <w:style w:type="paragraph" w:customStyle="1" w:styleId="Quote4">
    <w:name w:val="Quote4"/>
    <w:basedOn w:val="Quote1"/>
    <w:rsid w:val="00096BAD"/>
    <w:pPr>
      <w:ind w:left="2880"/>
    </w:pPr>
  </w:style>
  <w:style w:type="paragraph" w:customStyle="1" w:styleId="Quote4Bullet">
    <w:name w:val="Quote4 Bullet"/>
    <w:basedOn w:val="Quote4"/>
    <w:rsid w:val="00096BAD"/>
    <w:pPr>
      <w:numPr>
        <w:numId w:val="22"/>
      </w:numPr>
      <w:ind w:hanging="720"/>
    </w:pPr>
  </w:style>
  <w:style w:type="character" w:styleId="PlaceholderText">
    <w:name w:val="Placeholder Text"/>
    <w:basedOn w:val="DefaultParagraphFont"/>
    <w:uiPriority w:val="99"/>
    <w:semiHidden/>
    <w:rsid w:val="00096BAD"/>
    <w:rPr>
      <w:color w:val="808080"/>
    </w:rPr>
  </w:style>
  <w:style w:type="paragraph" w:customStyle="1" w:styleId="Order2">
    <w:name w:val="Order 2"/>
    <w:basedOn w:val="Order1"/>
    <w:rsid w:val="00096BAD"/>
    <w:pPr>
      <w:numPr>
        <w:ilvl w:val="1"/>
      </w:numPr>
    </w:pPr>
  </w:style>
  <w:style w:type="paragraph" w:customStyle="1" w:styleId="Order3">
    <w:name w:val="Order 3"/>
    <w:basedOn w:val="Order2"/>
    <w:rsid w:val="00096BAD"/>
    <w:pPr>
      <w:numPr>
        <w:ilvl w:val="2"/>
      </w:numPr>
    </w:pPr>
  </w:style>
  <w:style w:type="paragraph" w:customStyle="1" w:styleId="ListNo1alt">
    <w:name w:val="List No 1 (alt)"/>
    <w:basedOn w:val="Normal"/>
    <w:rsid w:val="00096BAD"/>
    <w:pPr>
      <w:numPr>
        <w:numId w:val="24"/>
      </w:numPr>
      <w:spacing w:before="60" w:after="60"/>
    </w:pPr>
  </w:style>
  <w:style w:type="paragraph" w:customStyle="1" w:styleId="ListNo2alt">
    <w:name w:val="List No 2 (alt)"/>
    <w:basedOn w:val="ListNo1alt"/>
    <w:rsid w:val="00096BAD"/>
    <w:pPr>
      <w:numPr>
        <w:ilvl w:val="1"/>
      </w:numPr>
    </w:pPr>
  </w:style>
  <w:style w:type="paragraph" w:customStyle="1" w:styleId="ListNo3alt">
    <w:name w:val="List No 3 (alt)"/>
    <w:basedOn w:val="ListNo2alt"/>
    <w:rsid w:val="00096BAD"/>
    <w:pPr>
      <w:numPr>
        <w:ilvl w:val="2"/>
      </w:numPr>
    </w:pPr>
  </w:style>
  <w:style w:type="numbering" w:customStyle="1" w:styleId="FCListNoalt">
    <w:name w:val="FC List No (alt)"/>
    <w:uiPriority w:val="99"/>
    <w:rsid w:val="00096BAD"/>
    <w:pPr>
      <w:numPr>
        <w:numId w:val="24"/>
      </w:numPr>
    </w:pPr>
  </w:style>
  <w:style w:type="paragraph" w:customStyle="1" w:styleId="Order4">
    <w:name w:val="Order 4"/>
    <w:basedOn w:val="Order3"/>
    <w:rsid w:val="00096BAD"/>
    <w:pPr>
      <w:numPr>
        <w:ilvl w:val="3"/>
      </w:numPr>
    </w:pPr>
  </w:style>
  <w:style w:type="paragraph" w:customStyle="1" w:styleId="OrdersNumberL1">
    <w:name w:val="OrdersNumberL1"/>
    <w:basedOn w:val="Normal"/>
    <w:rsid w:val="008025AA"/>
    <w:pPr>
      <w:spacing w:before="240" w:after="240" w:line="240" w:lineRule="auto"/>
      <w:ind w:left="476" w:hanging="476"/>
      <w:jc w:val="left"/>
    </w:pPr>
    <w:rPr>
      <w:rFonts w:eastAsia="Times New Roman"/>
      <w:szCs w:val="24"/>
      <w:lang w:eastAsia="en-AU"/>
    </w:rPr>
  </w:style>
  <w:style w:type="paragraph" w:customStyle="1" w:styleId="Quotation">
    <w:name w:val="Quotation"/>
    <w:basedOn w:val="Normal"/>
    <w:rsid w:val="008025AA"/>
    <w:pPr>
      <w:spacing w:line="240" w:lineRule="auto"/>
      <w:ind w:left="540"/>
      <w:jc w:val="left"/>
    </w:pPr>
    <w:rPr>
      <w:rFonts w:eastAsia="Times New Roman"/>
      <w:i/>
      <w:szCs w:val="24"/>
      <w:lang w:eastAsia="en-AU"/>
    </w:rPr>
  </w:style>
  <w:style w:type="paragraph" w:styleId="ListParagraph">
    <w:name w:val="List Paragraph"/>
    <w:basedOn w:val="Normal"/>
    <w:uiPriority w:val="1"/>
    <w:qFormat/>
    <w:rsid w:val="00290E9C"/>
    <w:pPr>
      <w:widowControl w:val="0"/>
      <w:autoSpaceDE w:val="0"/>
      <w:autoSpaceDN w:val="0"/>
      <w:spacing w:before="1" w:line="240" w:lineRule="auto"/>
      <w:ind w:left="1873" w:right="676" w:hanging="907"/>
    </w:pPr>
    <w:rPr>
      <w:rFonts w:ascii="Arial" w:eastAsia="Arial" w:hAnsi="Arial" w:cs="Arial"/>
      <w:sz w:val="22"/>
      <w:szCs w:val="22"/>
      <w:lang w:eastAsia="en-AU" w:bidi="en-AU"/>
    </w:rPr>
  </w:style>
  <w:style w:type="paragraph" w:styleId="Revision">
    <w:name w:val="Revision"/>
    <w:hidden/>
    <w:uiPriority w:val="99"/>
    <w:semiHidden/>
    <w:rsid w:val="002A5ECA"/>
    <w:rPr>
      <w:sz w:val="24"/>
      <w:lang w:eastAsia="en-US"/>
    </w:rPr>
  </w:style>
  <w:style w:type="paragraph" w:customStyle="1" w:styleId="00c904ba">
    <w:name w:val="00c904ba"/>
    <w:basedOn w:val="Normal"/>
    <w:rsid w:val="0051744F"/>
    <w:pPr>
      <w:spacing w:before="100" w:beforeAutospacing="1" w:after="100" w:afterAutospacing="1" w:line="240" w:lineRule="auto"/>
      <w:jc w:val="left"/>
    </w:pPr>
    <w:rPr>
      <w:rFonts w:eastAsia="Times New Roman"/>
      <w:szCs w:val="24"/>
      <w:lang w:eastAsia="en-AU"/>
    </w:rPr>
  </w:style>
  <w:style w:type="paragraph" w:customStyle="1" w:styleId="001b21fe">
    <w:name w:val="001b21fe"/>
    <w:basedOn w:val="Normal"/>
    <w:rsid w:val="0051744F"/>
    <w:pPr>
      <w:spacing w:before="100" w:beforeAutospacing="1" w:after="100" w:afterAutospacing="1" w:line="240" w:lineRule="auto"/>
      <w:jc w:val="left"/>
    </w:pPr>
    <w:rPr>
      <w:rFonts w:eastAsia="Times New Roman"/>
      <w:szCs w:val="24"/>
      <w:lang w:eastAsia="en-AU"/>
    </w:rPr>
  </w:style>
  <w:style w:type="paragraph" w:styleId="FootnoteText">
    <w:name w:val="footnote text"/>
    <w:basedOn w:val="Normal"/>
    <w:link w:val="FootnoteTextChar"/>
    <w:semiHidden/>
    <w:unhideWhenUsed/>
    <w:rsid w:val="00096BAD"/>
    <w:pPr>
      <w:spacing w:line="240" w:lineRule="auto"/>
    </w:pPr>
    <w:rPr>
      <w:sz w:val="20"/>
    </w:rPr>
  </w:style>
  <w:style w:type="character" w:customStyle="1" w:styleId="FootnoteTextChar">
    <w:name w:val="Footnote Text Char"/>
    <w:basedOn w:val="DefaultParagraphFont"/>
    <w:link w:val="FootnoteText"/>
    <w:semiHidden/>
    <w:rsid w:val="00096BAD"/>
    <w:rPr>
      <w:lang w:eastAsia="en-US"/>
    </w:rPr>
  </w:style>
  <w:style w:type="character" w:styleId="FootnoteReference">
    <w:name w:val="footnote reference"/>
    <w:basedOn w:val="DefaultParagraphFont"/>
    <w:semiHidden/>
    <w:unhideWhenUsed/>
    <w:rsid w:val="00096BAD"/>
    <w:rPr>
      <w:vertAlign w:val="superscript"/>
    </w:rPr>
  </w:style>
  <w:style w:type="paragraph" w:customStyle="1" w:styleId="FCBullets2">
    <w:name w:val="FCBullets2"/>
    <w:basedOn w:val="FCBullets"/>
    <w:rsid w:val="00096BAD"/>
    <w:pPr>
      <w:numPr>
        <w:ilvl w:val="1"/>
      </w:numPr>
    </w:pPr>
  </w:style>
  <w:style w:type="numbering" w:customStyle="1" w:styleId="FCNotes">
    <w:name w:val="FCNotes"/>
    <w:uiPriority w:val="99"/>
    <w:rsid w:val="00096BAD"/>
    <w:pPr>
      <w:numPr>
        <w:numId w:val="46"/>
      </w:numPr>
    </w:pPr>
  </w:style>
  <w:style w:type="paragraph" w:customStyle="1" w:styleId="Notes">
    <w:name w:val="Notes"/>
    <w:basedOn w:val="Normal"/>
    <w:rsid w:val="00096BAD"/>
    <w:pPr>
      <w:numPr>
        <w:numId w:val="46"/>
      </w:numPr>
      <w:spacing w:before="60" w:after="60"/>
    </w:pPr>
  </w:style>
  <w:style w:type="paragraph" w:customStyle="1" w:styleId="OrdersHeading1">
    <w:name w:val="Orders Heading 1"/>
    <w:basedOn w:val="Normal"/>
    <w:next w:val="BodyText"/>
    <w:rsid w:val="00096BAD"/>
    <w:pPr>
      <w:keepNext/>
      <w:spacing w:before="240" w:after="180" w:line="240" w:lineRule="auto"/>
    </w:pPr>
    <w:rPr>
      <w:b/>
      <w:caps/>
    </w:rPr>
  </w:style>
  <w:style w:type="paragraph" w:customStyle="1" w:styleId="OrdersHeading2">
    <w:name w:val="Orders Heading 2"/>
    <w:basedOn w:val="Normal"/>
    <w:next w:val="BodyText"/>
    <w:rsid w:val="00096BAD"/>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1777">
      <w:bodyDiv w:val="1"/>
      <w:marLeft w:val="0"/>
      <w:marRight w:val="0"/>
      <w:marTop w:val="0"/>
      <w:marBottom w:val="0"/>
      <w:divBdr>
        <w:top w:val="none" w:sz="0" w:space="0" w:color="auto"/>
        <w:left w:val="none" w:sz="0" w:space="0" w:color="auto"/>
        <w:bottom w:val="none" w:sz="0" w:space="0" w:color="auto"/>
        <w:right w:val="none" w:sz="0" w:space="0" w:color="auto"/>
      </w:divBdr>
      <w:divsChild>
        <w:div w:id="4326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26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915776">
      <w:bodyDiv w:val="1"/>
      <w:marLeft w:val="0"/>
      <w:marRight w:val="0"/>
      <w:marTop w:val="0"/>
      <w:marBottom w:val="0"/>
      <w:divBdr>
        <w:top w:val="none" w:sz="0" w:space="0" w:color="auto"/>
        <w:left w:val="none" w:sz="0" w:space="0" w:color="auto"/>
        <w:bottom w:val="none" w:sz="0" w:space="0" w:color="auto"/>
        <w:right w:val="none" w:sz="0" w:space="0" w:color="auto"/>
      </w:divBdr>
    </w:div>
    <w:div w:id="461508003">
      <w:bodyDiv w:val="1"/>
      <w:marLeft w:val="0"/>
      <w:marRight w:val="0"/>
      <w:marTop w:val="0"/>
      <w:marBottom w:val="0"/>
      <w:divBdr>
        <w:top w:val="none" w:sz="0" w:space="0" w:color="auto"/>
        <w:left w:val="none" w:sz="0" w:space="0" w:color="auto"/>
        <w:bottom w:val="none" w:sz="0" w:space="0" w:color="auto"/>
        <w:right w:val="none" w:sz="0" w:space="0" w:color="auto"/>
      </w:divBdr>
    </w:div>
    <w:div w:id="496304840">
      <w:bodyDiv w:val="1"/>
      <w:marLeft w:val="0"/>
      <w:marRight w:val="0"/>
      <w:marTop w:val="0"/>
      <w:marBottom w:val="0"/>
      <w:divBdr>
        <w:top w:val="none" w:sz="0" w:space="0" w:color="auto"/>
        <w:left w:val="none" w:sz="0" w:space="0" w:color="auto"/>
        <w:bottom w:val="none" w:sz="0" w:space="0" w:color="auto"/>
        <w:right w:val="none" w:sz="0" w:space="0" w:color="auto"/>
      </w:divBdr>
    </w:div>
    <w:div w:id="744499504">
      <w:bodyDiv w:val="1"/>
      <w:marLeft w:val="0"/>
      <w:marRight w:val="0"/>
      <w:marTop w:val="0"/>
      <w:marBottom w:val="0"/>
      <w:divBdr>
        <w:top w:val="none" w:sz="0" w:space="0" w:color="auto"/>
        <w:left w:val="none" w:sz="0" w:space="0" w:color="auto"/>
        <w:bottom w:val="none" w:sz="0" w:space="0" w:color="auto"/>
        <w:right w:val="none" w:sz="0" w:space="0" w:color="auto"/>
      </w:divBdr>
      <w:divsChild>
        <w:div w:id="147498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1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582523">
      <w:bodyDiv w:val="1"/>
      <w:marLeft w:val="0"/>
      <w:marRight w:val="0"/>
      <w:marTop w:val="0"/>
      <w:marBottom w:val="0"/>
      <w:divBdr>
        <w:top w:val="none" w:sz="0" w:space="0" w:color="auto"/>
        <w:left w:val="none" w:sz="0" w:space="0" w:color="auto"/>
        <w:bottom w:val="none" w:sz="0" w:space="0" w:color="auto"/>
        <w:right w:val="none" w:sz="0" w:space="0" w:color="auto"/>
      </w:divBdr>
    </w:div>
    <w:div w:id="1389961969">
      <w:bodyDiv w:val="1"/>
      <w:marLeft w:val="0"/>
      <w:marRight w:val="0"/>
      <w:marTop w:val="0"/>
      <w:marBottom w:val="0"/>
      <w:divBdr>
        <w:top w:val="none" w:sz="0" w:space="0" w:color="auto"/>
        <w:left w:val="none" w:sz="0" w:space="0" w:color="auto"/>
        <w:bottom w:val="none" w:sz="0" w:space="0" w:color="auto"/>
        <w:right w:val="none" w:sz="0" w:space="0" w:color="auto"/>
      </w:divBdr>
    </w:div>
    <w:div w:id="1469855868">
      <w:bodyDiv w:val="1"/>
      <w:marLeft w:val="0"/>
      <w:marRight w:val="0"/>
      <w:marTop w:val="0"/>
      <w:marBottom w:val="0"/>
      <w:divBdr>
        <w:top w:val="none" w:sz="0" w:space="0" w:color="auto"/>
        <w:left w:val="none" w:sz="0" w:space="0" w:color="auto"/>
        <w:bottom w:val="none" w:sz="0" w:space="0" w:color="auto"/>
        <w:right w:val="none" w:sz="0" w:space="0" w:color="auto"/>
      </w:divBdr>
      <w:divsChild>
        <w:div w:id="1901791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47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74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4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7286050">
      <w:bodyDiv w:val="1"/>
      <w:marLeft w:val="0"/>
      <w:marRight w:val="0"/>
      <w:marTop w:val="0"/>
      <w:marBottom w:val="0"/>
      <w:divBdr>
        <w:top w:val="none" w:sz="0" w:space="0" w:color="auto"/>
        <w:left w:val="none" w:sz="0" w:space="0" w:color="auto"/>
        <w:bottom w:val="none" w:sz="0" w:space="0" w:color="auto"/>
        <w:right w:val="none" w:sz="0" w:space="0" w:color="auto"/>
      </w:divBdr>
    </w:div>
    <w:div w:id="1539051396">
      <w:bodyDiv w:val="1"/>
      <w:marLeft w:val="0"/>
      <w:marRight w:val="0"/>
      <w:marTop w:val="0"/>
      <w:marBottom w:val="0"/>
      <w:divBdr>
        <w:top w:val="none" w:sz="0" w:space="0" w:color="auto"/>
        <w:left w:val="none" w:sz="0" w:space="0" w:color="auto"/>
        <w:bottom w:val="none" w:sz="0" w:space="0" w:color="auto"/>
        <w:right w:val="none" w:sz="0" w:space="0" w:color="auto"/>
      </w:divBdr>
    </w:div>
    <w:div w:id="1971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jp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g"/><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CB73FB1AB457594D42A92B55A4C1E"/>
        <w:category>
          <w:name w:val="General"/>
          <w:gallery w:val="placeholder"/>
        </w:category>
        <w:types>
          <w:type w:val="bbPlcHdr"/>
        </w:types>
        <w:behaviors>
          <w:behavior w:val="content"/>
        </w:behaviors>
        <w:guid w:val="{131A9FF7-4D6D-476E-B617-85609B64878F}"/>
      </w:docPartPr>
      <w:docPartBody>
        <w:p w:rsidR="003F075A" w:rsidRDefault="003F075A">
          <w:pPr>
            <w:pStyle w:val="C07CB73FB1AB457594D42A92B55A4C1E"/>
          </w:pPr>
          <w:r>
            <w:rPr>
              <w:rStyle w:val="PlaceholderText"/>
            </w:rPr>
            <w:t>MNC Text</w:t>
          </w:r>
        </w:p>
      </w:docPartBody>
    </w:docPart>
    <w:docPart>
      <w:docPartPr>
        <w:name w:val="315CEB791A574782AF836CAC005BE04D"/>
        <w:category>
          <w:name w:val="General"/>
          <w:gallery w:val="placeholder"/>
        </w:category>
        <w:types>
          <w:type w:val="bbPlcHdr"/>
        </w:types>
        <w:behaviors>
          <w:behavior w:val="content"/>
        </w:behaviors>
        <w:guid w:val="{48AE44C9-0AB3-48F5-A599-4D7B97FE8055}"/>
      </w:docPartPr>
      <w:docPartBody>
        <w:p w:rsidR="003F075A" w:rsidRDefault="003F075A">
          <w:pPr>
            <w:pStyle w:val="315CEB791A574782AF836CAC005BE04D"/>
          </w:pPr>
          <w:r w:rsidRPr="005C44BE">
            <w:rPr>
              <w:rStyle w:val="PlaceholderText"/>
            </w:rPr>
            <w:t>Click or tap here to enter text.</w:t>
          </w:r>
        </w:p>
      </w:docPartBody>
    </w:docPart>
    <w:docPart>
      <w:docPartPr>
        <w:name w:val="E58CC223DD694F8A9C2AF8468046EEA4"/>
        <w:category>
          <w:name w:val="General"/>
          <w:gallery w:val="placeholder"/>
        </w:category>
        <w:types>
          <w:type w:val="bbPlcHdr"/>
        </w:types>
        <w:behaviors>
          <w:behavior w:val="content"/>
        </w:behaviors>
        <w:guid w:val="{285C39E0-B754-4EB5-A818-16C106B9F689}"/>
      </w:docPartPr>
      <w:docPartBody>
        <w:p w:rsidR="003F075A" w:rsidRDefault="003F075A">
          <w:pPr>
            <w:pStyle w:val="E58CC223DD694F8A9C2AF8468046EEA4"/>
          </w:pPr>
          <w:r w:rsidRPr="005C44BE">
            <w:rPr>
              <w:rStyle w:val="PlaceholderText"/>
            </w:rPr>
            <w:t>Click or tap here to enter text.</w:t>
          </w:r>
        </w:p>
      </w:docPartBody>
    </w:docPart>
    <w:docPart>
      <w:docPartPr>
        <w:name w:val="2FA616C6E0A842DA84AF7F2D11CDDD0E"/>
        <w:category>
          <w:name w:val="General"/>
          <w:gallery w:val="placeholder"/>
        </w:category>
        <w:types>
          <w:type w:val="bbPlcHdr"/>
        </w:types>
        <w:behaviors>
          <w:behavior w:val="content"/>
        </w:behaviors>
        <w:guid w:val="{CC22BD8E-6EBF-42F8-9201-E59D535CEAA7}"/>
      </w:docPartPr>
      <w:docPartBody>
        <w:p w:rsidR="003F075A" w:rsidRDefault="003F075A">
          <w:pPr>
            <w:pStyle w:val="2FA616C6E0A842DA84AF7F2D11CDDD0E"/>
          </w:pPr>
          <w:r w:rsidRPr="005C44BE">
            <w:rPr>
              <w:rStyle w:val="PlaceholderText"/>
            </w:rPr>
            <w:t>Click or tap here to enter text.</w:t>
          </w:r>
        </w:p>
      </w:docPartBody>
    </w:docPart>
    <w:docPart>
      <w:docPartPr>
        <w:name w:val="C4603529596C4D288CB7F4B2938E9E54"/>
        <w:category>
          <w:name w:val="General"/>
          <w:gallery w:val="placeholder"/>
        </w:category>
        <w:types>
          <w:type w:val="bbPlcHdr"/>
        </w:types>
        <w:behaviors>
          <w:behavior w:val="content"/>
        </w:behaviors>
        <w:guid w:val="{FDF24B39-442A-489A-A8FB-9DDEAD1CFCCE}"/>
      </w:docPartPr>
      <w:docPartBody>
        <w:p w:rsidR="003F075A" w:rsidRDefault="003F075A">
          <w:pPr>
            <w:pStyle w:val="C4603529596C4D288CB7F4B2938E9E5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5A"/>
    <w:rsid w:val="002815CA"/>
    <w:rsid w:val="00325369"/>
    <w:rsid w:val="003F075A"/>
    <w:rsid w:val="00500706"/>
    <w:rsid w:val="00717E5E"/>
    <w:rsid w:val="007F64EB"/>
    <w:rsid w:val="00A1629E"/>
    <w:rsid w:val="00B608A6"/>
    <w:rsid w:val="00BB22C8"/>
    <w:rsid w:val="00C762D8"/>
    <w:rsid w:val="00D02076"/>
    <w:rsid w:val="00D713CF"/>
    <w:rsid w:val="00DE16F6"/>
    <w:rsid w:val="00F24FEA"/>
    <w:rsid w:val="00F52D6A"/>
    <w:rsid w:val="00F53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7CB73FB1AB457594D42A92B55A4C1E">
    <w:name w:val="C07CB73FB1AB457594D42A92B55A4C1E"/>
  </w:style>
  <w:style w:type="paragraph" w:customStyle="1" w:styleId="315CEB791A574782AF836CAC005BE04D">
    <w:name w:val="315CEB791A574782AF836CAC005BE04D"/>
  </w:style>
  <w:style w:type="paragraph" w:customStyle="1" w:styleId="E58CC223DD694F8A9C2AF8468046EEA4">
    <w:name w:val="E58CC223DD694F8A9C2AF8468046EEA4"/>
  </w:style>
  <w:style w:type="paragraph" w:customStyle="1" w:styleId="2FA616C6E0A842DA84AF7F2D11CDDD0E">
    <w:name w:val="2FA616C6E0A842DA84AF7F2D11CDDD0E"/>
  </w:style>
  <w:style w:type="paragraph" w:customStyle="1" w:styleId="C4603529596C4D288CB7F4B2938E9E54">
    <w:name w:val="C4603529596C4D288CB7F4B2938E9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Competition and Consumer Commission v NQCranes Pty Ltd [2021] FCA 1270</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13CE569-B53F-4DA8-AB17-3E8E283D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32</Pages>
  <Words>10223</Words>
  <Characters>52035</Characters>
  <Application>Microsoft Office Word</Application>
  <DocSecurity>0</DocSecurity>
  <Lines>1300</Lines>
  <Paragraphs>662</Paragraphs>
  <ScaleCrop>false</ScaleCrop>
  <HeadingPairs>
    <vt:vector size="2" baseType="variant">
      <vt:variant>
        <vt:lpstr>Title</vt:lpstr>
      </vt:variant>
      <vt:variant>
        <vt:i4>1</vt:i4>
      </vt:variant>
    </vt:vector>
  </HeadingPairs>
  <TitlesOfParts>
    <vt:vector size="1" baseType="lpstr">
      <vt:lpstr>Australian Competition and Consumer Commission v NQCranes Pty Ltd [2021] FCA 1270</vt:lpstr>
    </vt:vector>
  </TitlesOfParts>
  <Company>Federal Court of Australia</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NQCranes Pty Ltd [2021] FCA 1270</dc:title>
  <dc:creator>Federal Court of Australia</dc:creator>
  <cp:lastModifiedBy>Federal Court of Australia</cp:lastModifiedBy>
  <cp:revision>5</cp:revision>
  <cp:lastPrinted>2021-10-19T21:51:00Z</cp:lastPrinted>
  <dcterms:created xsi:type="dcterms:W3CDTF">2021-10-20T04:08:00Z</dcterms:created>
  <dcterms:modified xsi:type="dcterms:W3CDTF">2021-10-20T04:29:00Z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