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5515" w14:textId="77777777" w:rsidR="00395B24" w:rsidRDefault="00E8593E" w:rsidP="00A22932">
      <w:pPr>
        <w:pStyle w:val="CourtTitle"/>
      </w:pPr>
      <w:r>
        <w:fldChar w:fldCharType="begin"/>
      </w:r>
      <w:r>
        <w:instrText xml:space="preserve"> DOCPROPERTY  Court  \* MERGEFORMAT </w:instrText>
      </w:r>
      <w:r>
        <w:fldChar w:fldCharType="separate"/>
      </w:r>
      <w:r w:rsidR="001D77BC">
        <w:t>Federal Court of Australia</w:t>
      </w:r>
      <w:r>
        <w:fldChar w:fldCharType="end"/>
      </w:r>
    </w:p>
    <w:p w14:paraId="1CC75516" w14:textId="77777777" w:rsidR="00395B24" w:rsidRDefault="00395B24">
      <w:pPr>
        <w:pStyle w:val="NormalHeadings"/>
        <w:jc w:val="center"/>
        <w:rPr>
          <w:sz w:val="32"/>
        </w:rPr>
      </w:pPr>
    </w:p>
    <w:bookmarkStart w:id="0" w:name="MNC"/>
    <w:p w14:paraId="1CC75517" w14:textId="77777777" w:rsidR="00374CC4" w:rsidRDefault="00E8593E" w:rsidP="001A2B40">
      <w:pPr>
        <w:pStyle w:val="MNC"/>
      </w:pPr>
      <w:sdt>
        <w:sdtPr>
          <w:alias w:val="MNC"/>
          <w:tag w:val="MNC"/>
          <w:id w:val="343289786"/>
          <w:lock w:val="sdtLocked"/>
          <w:placeholder>
            <w:docPart w:val="640DDBB509344166A2A31DE298B7100E"/>
          </w:placeholder>
          <w:dataBinding w:prefixMappings="xmlns:ns0='http://schemas.globalmacros.com/FCA'" w:xpath="/ns0:root[1]/ns0:Name[1]" w:storeItemID="{687E7CCB-4AA5-44E7-B148-17BA2B6F57C0}"/>
          <w:text w:multiLine="1"/>
        </w:sdtPr>
        <w:sdtEndPr/>
        <w:sdtContent>
          <w:r w:rsidR="00460813">
            <w:t xml:space="preserve">Lee v Fair Work Commission [2021] FCA </w:t>
          </w:r>
          <w:r w:rsidR="00F02259">
            <w:t>1188</w:t>
          </w:r>
          <w:r w:rsidR="00890EDE">
            <w:t xml:space="preserve"> </w:t>
          </w:r>
          <w:r w:rsidR="00693854">
            <w:t xml:space="preserve"> </w:t>
          </w:r>
        </w:sdtContent>
      </w:sdt>
      <w:bookmarkEnd w:id="0"/>
      <w:r w:rsidR="005C185C">
        <w:t xml:space="preserve"> </w:t>
      </w:r>
    </w:p>
    <w:tbl>
      <w:tblPr>
        <w:tblW w:w="9065" w:type="dxa"/>
        <w:tblLayout w:type="fixed"/>
        <w:tblLook w:val="01E0" w:firstRow="1" w:lastRow="1" w:firstColumn="1" w:lastColumn="1" w:noHBand="0" w:noVBand="0"/>
        <w:tblCaption w:val="Cover Table"/>
        <w:tblDescription w:val="Cover Table"/>
      </w:tblPr>
      <w:tblGrid>
        <w:gridCol w:w="3064"/>
        <w:gridCol w:w="12"/>
        <w:gridCol w:w="5977"/>
        <w:gridCol w:w="12"/>
      </w:tblGrid>
      <w:tr w:rsidR="001D77BC" w14:paraId="1CC7551A" w14:textId="77777777" w:rsidTr="001D77BC">
        <w:tc>
          <w:tcPr>
            <w:tcW w:w="3076" w:type="dxa"/>
            <w:gridSpan w:val="2"/>
            <w:shd w:val="clear" w:color="auto" w:fill="auto"/>
          </w:tcPr>
          <w:p w14:paraId="1CC75518" w14:textId="77777777" w:rsidR="001D77BC" w:rsidRDefault="001D77BC" w:rsidP="002539B3">
            <w:pPr>
              <w:pStyle w:val="Normal1linespace"/>
              <w:widowControl w:val="0"/>
              <w:spacing w:after="60"/>
              <w:jc w:val="left"/>
            </w:pPr>
            <w:bookmarkStart w:id="1" w:name="AppealFrom_row" w:colFirst="0" w:colLast="1"/>
            <w:r>
              <w:t>Appeal from:</w:t>
            </w:r>
          </w:p>
        </w:tc>
        <w:tc>
          <w:tcPr>
            <w:tcW w:w="5989" w:type="dxa"/>
            <w:gridSpan w:val="2"/>
            <w:shd w:val="clear" w:color="auto" w:fill="auto"/>
          </w:tcPr>
          <w:p w14:paraId="1CC75519" w14:textId="77777777" w:rsidR="001D77BC" w:rsidRDefault="00E8593E" w:rsidP="002539B3">
            <w:pPr>
              <w:pStyle w:val="CasesLegislationAppealFrom"/>
              <w:spacing w:after="60"/>
            </w:pPr>
            <w:r>
              <w:fldChar w:fldCharType="begin"/>
            </w:r>
            <w:r>
              <w:instrText xml:space="preserve"> DOCPROPERTY  AppealFrom  \* MERGEFORMAT </w:instrText>
            </w:r>
            <w:r>
              <w:fldChar w:fldCharType="separate"/>
            </w:r>
            <w:r w:rsidR="001D77BC">
              <w:t xml:space="preserve">Application for extension of time: </w:t>
            </w:r>
            <w:r w:rsidR="001D77BC" w:rsidRPr="001D77BC">
              <w:rPr>
                <w:i/>
              </w:rPr>
              <w:t>Lee v Superior Wood Pty Ltd</w:t>
            </w:r>
            <w:r w:rsidR="001D77BC">
              <w:t xml:space="preserve"> [2021] FCA 515</w:t>
            </w:r>
            <w:r>
              <w:fldChar w:fldCharType="end"/>
            </w:r>
          </w:p>
        </w:tc>
      </w:tr>
      <w:tr w:rsidR="001D77BC" w14:paraId="1CC7551D" w14:textId="77777777" w:rsidTr="001D77BC">
        <w:tc>
          <w:tcPr>
            <w:tcW w:w="3076" w:type="dxa"/>
            <w:gridSpan w:val="2"/>
            <w:shd w:val="clear" w:color="auto" w:fill="auto"/>
          </w:tcPr>
          <w:p w14:paraId="1CC7551B" w14:textId="77777777" w:rsidR="001D77BC" w:rsidRDefault="001D77BC" w:rsidP="00663878">
            <w:pPr>
              <w:pStyle w:val="Normal1linespace"/>
              <w:widowControl w:val="0"/>
              <w:jc w:val="left"/>
            </w:pPr>
          </w:p>
        </w:tc>
        <w:tc>
          <w:tcPr>
            <w:tcW w:w="5989" w:type="dxa"/>
            <w:gridSpan w:val="2"/>
            <w:shd w:val="clear" w:color="auto" w:fill="auto"/>
          </w:tcPr>
          <w:p w14:paraId="1CC7551C" w14:textId="77777777" w:rsidR="001D77BC" w:rsidRDefault="001D77BC" w:rsidP="00663878">
            <w:pPr>
              <w:pStyle w:val="Normal1linespace"/>
              <w:widowControl w:val="0"/>
              <w:jc w:val="left"/>
            </w:pPr>
          </w:p>
        </w:tc>
      </w:tr>
      <w:bookmarkEnd w:id="1"/>
      <w:tr w:rsidR="00395B24" w14:paraId="1CC75520" w14:textId="77777777" w:rsidTr="001D77BC">
        <w:trPr>
          <w:gridAfter w:val="1"/>
          <w:wAfter w:w="12" w:type="dxa"/>
        </w:trPr>
        <w:tc>
          <w:tcPr>
            <w:tcW w:w="3064" w:type="dxa"/>
            <w:shd w:val="clear" w:color="auto" w:fill="auto"/>
          </w:tcPr>
          <w:p w14:paraId="1CC7551E" w14:textId="77777777" w:rsidR="00395B24" w:rsidRDefault="00460813" w:rsidP="00663878">
            <w:pPr>
              <w:pStyle w:val="Normal1linespace"/>
              <w:widowControl w:val="0"/>
              <w:jc w:val="left"/>
            </w:pPr>
            <w:r>
              <w:t>File number</w:t>
            </w:r>
            <w:r w:rsidR="002C7385">
              <w:t>:</w:t>
            </w:r>
          </w:p>
        </w:tc>
        <w:tc>
          <w:tcPr>
            <w:tcW w:w="5989" w:type="dxa"/>
            <w:gridSpan w:val="2"/>
            <w:shd w:val="clear" w:color="auto" w:fill="auto"/>
          </w:tcPr>
          <w:p w14:paraId="1CC7551F" w14:textId="77777777" w:rsidR="00395B24" w:rsidRPr="001D77BC" w:rsidRDefault="00E8593E" w:rsidP="001D77BC">
            <w:pPr>
              <w:pStyle w:val="Normal1linespace"/>
              <w:jc w:val="left"/>
            </w:pPr>
            <w:r>
              <w:fldChar w:fldCharType="begin" w:fldLock="1"/>
            </w:r>
            <w:r>
              <w:instrText xml:space="preserve"> REF  FileNo  \* MERGEFORMAT </w:instrText>
            </w:r>
            <w:r>
              <w:fldChar w:fldCharType="separate"/>
            </w:r>
            <w:r w:rsidR="001D77BC" w:rsidRPr="001D77BC">
              <w:t>QUD 161 of 2021</w:t>
            </w:r>
            <w:r>
              <w:fldChar w:fldCharType="end"/>
            </w:r>
          </w:p>
        </w:tc>
      </w:tr>
      <w:tr w:rsidR="00395B24" w14:paraId="1CC75523" w14:textId="77777777" w:rsidTr="001D77BC">
        <w:trPr>
          <w:gridAfter w:val="1"/>
          <w:wAfter w:w="12" w:type="dxa"/>
        </w:trPr>
        <w:tc>
          <w:tcPr>
            <w:tcW w:w="3064" w:type="dxa"/>
            <w:shd w:val="clear" w:color="auto" w:fill="auto"/>
          </w:tcPr>
          <w:p w14:paraId="1CC75521" w14:textId="77777777" w:rsidR="00395B24" w:rsidRDefault="00395B24" w:rsidP="00663878">
            <w:pPr>
              <w:pStyle w:val="Normal1linespace"/>
              <w:widowControl w:val="0"/>
              <w:jc w:val="left"/>
            </w:pPr>
          </w:p>
        </w:tc>
        <w:tc>
          <w:tcPr>
            <w:tcW w:w="5989" w:type="dxa"/>
            <w:gridSpan w:val="2"/>
            <w:shd w:val="clear" w:color="auto" w:fill="auto"/>
          </w:tcPr>
          <w:p w14:paraId="1CC75522" w14:textId="77777777" w:rsidR="00395B24" w:rsidRDefault="00395B24" w:rsidP="00663878">
            <w:pPr>
              <w:pStyle w:val="Normal1linespace"/>
              <w:widowControl w:val="0"/>
              <w:jc w:val="left"/>
            </w:pPr>
          </w:p>
        </w:tc>
      </w:tr>
      <w:tr w:rsidR="00395B24" w14:paraId="1CC75526" w14:textId="77777777" w:rsidTr="001D77BC">
        <w:trPr>
          <w:gridAfter w:val="1"/>
          <w:wAfter w:w="12" w:type="dxa"/>
        </w:trPr>
        <w:tc>
          <w:tcPr>
            <w:tcW w:w="3064" w:type="dxa"/>
            <w:shd w:val="clear" w:color="auto" w:fill="auto"/>
          </w:tcPr>
          <w:p w14:paraId="1CC75524" w14:textId="77777777" w:rsidR="00395B24" w:rsidRDefault="002C7385" w:rsidP="00663878">
            <w:pPr>
              <w:pStyle w:val="Normal1linespace"/>
              <w:widowControl w:val="0"/>
              <w:jc w:val="left"/>
            </w:pPr>
            <w:r>
              <w:t>Judg</w:t>
            </w:r>
            <w:r w:rsidR="005724F6">
              <w:t>ment of</w:t>
            </w:r>
            <w:r>
              <w:t>:</w:t>
            </w:r>
          </w:p>
        </w:tc>
        <w:tc>
          <w:tcPr>
            <w:tcW w:w="5989" w:type="dxa"/>
            <w:gridSpan w:val="2"/>
            <w:shd w:val="clear" w:color="auto" w:fill="auto"/>
          </w:tcPr>
          <w:p w14:paraId="1CC75525" w14:textId="77777777" w:rsidR="00395B24" w:rsidRDefault="002C7385" w:rsidP="00663878">
            <w:pPr>
              <w:pStyle w:val="Normal1linespace"/>
              <w:widowControl w:val="0"/>
              <w:jc w:val="left"/>
              <w:rPr>
                <w:b/>
              </w:rPr>
            </w:pPr>
            <w:r w:rsidRPr="001D77BC">
              <w:rPr>
                <w:b/>
              </w:rPr>
              <w:fldChar w:fldCharType="begin" w:fldLock="1"/>
            </w:r>
            <w:r w:rsidRPr="001D77BC">
              <w:rPr>
                <w:b/>
              </w:rPr>
              <w:instrText xml:space="preserve"> REF  Judge  \* MERGEFORMAT </w:instrText>
            </w:r>
            <w:r w:rsidRPr="001D77BC">
              <w:rPr>
                <w:b/>
              </w:rPr>
              <w:fldChar w:fldCharType="separate"/>
            </w:r>
            <w:r w:rsidR="001D77BC" w:rsidRPr="001D77BC">
              <w:rPr>
                <w:b/>
                <w:caps/>
                <w:szCs w:val="24"/>
              </w:rPr>
              <w:t>RANGIAH J</w:t>
            </w:r>
            <w:r w:rsidRPr="001D77BC">
              <w:rPr>
                <w:b/>
              </w:rPr>
              <w:fldChar w:fldCharType="end"/>
            </w:r>
          </w:p>
        </w:tc>
      </w:tr>
      <w:tr w:rsidR="00395B24" w14:paraId="1CC75529" w14:textId="77777777" w:rsidTr="001D77BC">
        <w:trPr>
          <w:gridAfter w:val="1"/>
          <w:wAfter w:w="12" w:type="dxa"/>
        </w:trPr>
        <w:tc>
          <w:tcPr>
            <w:tcW w:w="3064" w:type="dxa"/>
            <w:shd w:val="clear" w:color="auto" w:fill="auto"/>
          </w:tcPr>
          <w:p w14:paraId="1CC75527" w14:textId="77777777" w:rsidR="00395B24" w:rsidRDefault="00395B24" w:rsidP="00663878">
            <w:pPr>
              <w:pStyle w:val="Normal1linespace"/>
              <w:widowControl w:val="0"/>
              <w:jc w:val="left"/>
            </w:pPr>
          </w:p>
        </w:tc>
        <w:tc>
          <w:tcPr>
            <w:tcW w:w="5989" w:type="dxa"/>
            <w:gridSpan w:val="2"/>
            <w:shd w:val="clear" w:color="auto" w:fill="auto"/>
          </w:tcPr>
          <w:p w14:paraId="1CC75528" w14:textId="77777777" w:rsidR="00395B24" w:rsidRDefault="00395B24" w:rsidP="00663878">
            <w:pPr>
              <w:pStyle w:val="Normal1linespace"/>
              <w:widowControl w:val="0"/>
              <w:jc w:val="left"/>
            </w:pPr>
          </w:p>
        </w:tc>
      </w:tr>
      <w:tr w:rsidR="00395B24" w14:paraId="1CC7552C" w14:textId="77777777" w:rsidTr="001D77BC">
        <w:trPr>
          <w:gridAfter w:val="1"/>
          <w:wAfter w:w="12" w:type="dxa"/>
        </w:trPr>
        <w:tc>
          <w:tcPr>
            <w:tcW w:w="3064" w:type="dxa"/>
            <w:shd w:val="clear" w:color="auto" w:fill="auto"/>
          </w:tcPr>
          <w:p w14:paraId="1CC7552A" w14:textId="77777777" w:rsidR="00395B24" w:rsidRDefault="002C7385" w:rsidP="00663878">
            <w:pPr>
              <w:pStyle w:val="Normal1linespace"/>
              <w:widowControl w:val="0"/>
              <w:jc w:val="left"/>
            </w:pPr>
            <w:r>
              <w:t>Date of judgment:</w:t>
            </w:r>
          </w:p>
        </w:tc>
        <w:tc>
          <w:tcPr>
            <w:tcW w:w="5989" w:type="dxa"/>
            <w:gridSpan w:val="2"/>
            <w:shd w:val="clear" w:color="auto" w:fill="auto"/>
          </w:tcPr>
          <w:p w14:paraId="1CC7552B" w14:textId="77777777" w:rsidR="00395B24" w:rsidRDefault="001D77BC" w:rsidP="00663878">
            <w:pPr>
              <w:pStyle w:val="Normal1linespace"/>
              <w:widowControl w:val="0"/>
              <w:jc w:val="left"/>
            </w:pPr>
            <w:bookmarkStart w:id="2" w:name="JudgmentDate"/>
            <w:r>
              <w:t>6 October 2021</w:t>
            </w:r>
            <w:bookmarkEnd w:id="2"/>
          </w:p>
        </w:tc>
      </w:tr>
      <w:tr w:rsidR="00395B24" w14:paraId="1CC7552F" w14:textId="77777777" w:rsidTr="001D77BC">
        <w:trPr>
          <w:gridAfter w:val="1"/>
          <w:wAfter w:w="12" w:type="dxa"/>
        </w:trPr>
        <w:tc>
          <w:tcPr>
            <w:tcW w:w="3064" w:type="dxa"/>
            <w:shd w:val="clear" w:color="auto" w:fill="auto"/>
          </w:tcPr>
          <w:p w14:paraId="1CC7552D" w14:textId="77777777" w:rsidR="00395B24" w:rsidRDefault="00395B24" w:rsidP="00663878">
            <w:pPr>
              <w:pStyle w:val="Normal1linespace"/>
              <w:widowControl w:val="0"/>
              <w:jc w:val="left"/>
            </w:pPr>
          </w:p>
        </w:tc>
        <w:tc>
          <w:tcPr>
            <w:tcW w:w="5989" w:type="dxa"/>
            <w:gridSpan w:val="2"/>
            <w:shd w:val="clear" w:color="auto" w:fill="auto"/>
          </w:tcPr>
          <w:p w14:paraId="1CC7552E" w14:textId="77777777" w:rsidR="00395B24" w:rsidRDefault="00395B24" w:rsidP="00663878">
            <w:pPr>
              <w:pStyle w:val="Normal1linespace"/>
              <w:widowControl w:val="0"/>
              <w:jc w:val="left"/>
            </w:pPr>
          </w:p>
        </w:tc>
      </w:tr>
      <w:tr w:rsidR="00395B24" w14:paraId="1CC75532" w14:textId="77777777" w:rsidTr="001D77BC">
        <w:trPr>
          <w:gridAfter w:val="1"/>
          <w:wAfter w:w="12" w:type="dxa"/>
        </w:trPr>
        <w:tc>
          <w:tcPr>
            <w:tcW w:w="3064" w:type="dxa"/>
            <w:shd w:val="clear" w:color="auto" w:fill="auto"/>
          </w:tcPr>
          <w:p w14:paraId="1CC75530" w14:textId="77777777" w:rsidR="00395B24" w:rsidRDefault="002C7385" w:rsidP="00663878">
            <w:pPr>
              <w:pStyle w:val="Normal1linespace"/>
              <w:widowControl w:val="0"/>
              <w:jc w:val="left"/>
            </w:pPr>
            <w:r>
              <w:t>Catchwords:</w:t>
            </w:r>
          </w:p>
        </w:tc>
        <w:tc>
          <w:tcPr>
            <w:tcW w:w="5989" w:type="dxa"/>
            <w:gridSpan w:val="2"/>
            <w:shd w:val="clear" w:color="auto" w:fill="auto"/>
          </w:tcPr>
          <w:p w14:paraId="1CC75531" w14:textId="77777777" w:rsidR="00395B24" w:rsidRPr="006C12F3" w:rsidRDefault="006C12F3" w:rsidP="009E493A">
            <w:pPr>
              <w:pStyle w:val="Normal1linespace"/>
              <w:widowControl w:val="0"/>
              <w:jc w:val="left"/>
            </w:pPr>
            <w:bookmarkStart w:id="3" w:name="Catchwords"/>
            <w:r>
              <w:rPr>
                <w:b/>
              </w:rPr>
              <w:t xml:space="preserve">PRACTICE AND PROCEDURE – </w:t>
            </w:r>
            <w:r>
              <w:t xml:space="preserve">application for extension of time to seek leave to appeal against </w:t>
            </w:r>
            <w:r w:rsidR="009E493A">
              <w:t xml:space="preserve">interlocutory </w:t>
            </w:r>
            <w:r>
              <w:t xml:space="preserve">judgment of </w:t>
            </w:r>
            <w:r w:rsidR="005C5F55">
              <w:t xml:space="preserve">a single judge of </w:t>
            </w:r>
            <w:r>
              <w:t>the Federal Court</w:t>
            </w:r>
            <w:r w:rsidR="005C5F55">
              <w:t xml:space="preserve"> </w:t>
            </w:r>
            <w:r>
              <w:t>–</w:t>
            </w:r>
            <w:r w:rsidR="00960FD7">
              <w:t xml:space="preserve"> </w:t>
            </w:r>
            <w:r>
              <w:t>primary judge dismissed the proceeding on the basis of procedural deficiencies in the applicant’s o</w:t>
            </w:r>
            <w:r w:rsidR="00960FD7">
              <w:t>riginating application –</w:t>
            </w:r>
            <w:r>
              <w:t xml:space="preserve"> application </w:t>
            </w:r>
            <w:r w:rsidR="009E493A">
              <w:t xml:space="preserve">for leave to appeal </w:t>
            </w:r>
            <w:r w:rsidR="00020F28">
              <w:t>filed nine days out of time –</w:t>
            </w:r>
            <w:r>
              <w:t xml:space="preserve"> </w:t>
            </w:r>
            <w:r w:rsidR="00020F28">
              <w:t xml:space="preserve">whether satisfactory explanation for delay – whether proposed </w:t>
            </w:r>
            <w:r w:rsidR="00C775F3">
              <w:t xml:space="preserve">application for leave to </w:t>
            </w:r>
            <w:r w:rsidR="00020F28">
              <w:t xml:space="preserve">appeal </w:t>
            </w:r>
            <w:r w:rsidR="00201E9D">
              <w:t xml:space="preserve">and appeal </w:t>
            </w:r>
            <w:r w:rsidR="00020F28">
              <w:t>ha</w:t>
            </w:r>
            <w:r w:rsidR="00DC501C">
              <w:t>ve</w:t>
            </w:r>
            <w:r w:rsidR="00020F28">
              <w:t xml:space="preserve"> merit</w:t>
            </w:r>
            <w:r w:rsidR="0007742D">
              <w:t xml:space="preserve"> </w:t>
            </w:r>
            <w:r w:rsidR="00020F28">
              <w:t>– application for extensi</w:t>
            </w:r>
            <w:r w:rsidR="00960FD7">
              <w:t>on of time refused</w:t>
            </w:r>
            <w:r w:rsidR="00020F28">
              <w:t xml:space="preserve"> </w:t>
            </w:r>
            <w:bookmarkEnd w:id="3"/>
          </w:p>
        </w:tc>
      </w:tr>
      <w:tr w:rsidR="00395B24" w14:paraId="1CC75535" w14:textId="77777777" w:rsidTr="001D77BC">
        <w:trPr>
          <w:gridAfter w:val="1"/>
          <w:wAfter w:w="12" w:type="dxa"/>
        </w:trPr>
        <w:tc>
          <w:tcPr>
            <w:tcW w:w="3064" w:type="dxa"/>
            <w:shd w:val="clear" w:color="auto" w:fill="auto"/>
          </w:tcPr>
          <w:p w14:paraId="1CC75533" w14:textId="77777777" w:rsidR="00395B24" w:rsidRDefault="00395B24" w:rsidP="00663878">
            <w:pPr>
              <w:pStyle w:val="Normal1linespace"/>
              <w:widowControl w:val="0"/>
              <w:jc w:val="left"/>
            </w:pPr>
          </w:p>
        </w:tc>
        <w:tc>
          <w:tcPr>
            <w:tcW w:w="5989" w:type="dxa"/>
            <w:gridSpan w:val="2"/>
            <w:shd w:val="clear" w:color="auto" w:fill="auto"/>
          </w:tcPr>
          <w:p w14:paraId="1CC75534" w14:textId="77777777" w:rsidR="00395B24" w:rsidRDefault="00395B24" w:rsidP="00663878">
            <w:pPr>
              <w:pStyle w:val="Normal1linespace"/>
              <w:widowControl w:val="0"/>
              <w:jc w:val="left"/>
            </w:pPr>
          </w:p>
        </w:tc>
      </w:tr>
      <w:tr w:rsidR="00395B24" w14:paraId="1CC7553A" w14:textId="77777777" w:rsidTr="001D77BC">
        <w:trPr>
          <w:gridAfter w:val="1"/>
          <w:wAfter w:w="12" w:type="dxa"/>
        </w:trPr>
        <w:tc>
          <w:tcPr>
            <w:tcW w:w="3064" w:type="dxa"/>
            <w:shd w:val="clear" w:color="auto" w:fill="auto"/>
          </w:tcPr>
          <w:p w14:paraId="1CC75536" w14:textId="77777777" w:rsidR="00395B24" w:rsidRDefault="002C7385" w:rsidP="00663878">
            <w:pPr>
              <w:pStyle w:val="Normal1linespace"/>
              <w:widowControl w:val="0"/>
              <w:jc w:val="left"/>
            </w:pPr>
            <w:r>
              <w:t>Legislation:</w:t>
            </w:r>
          </w:p>
        </w:tc>
        <w:tc>
          <w:tcPr>
            <w:tcW w:w="5989" w:type="dxa"/>
            <w:gridSpan w:val="2"/>
            <w:shd w:val="clear" w:color="auto" w:fill="auto"/>
          </w:tcPr>
          <w:p w14:paraId="1CC75537" w14:textId="77777777" w:rsidR="00F56D11" w:rsidRDefault="00F56D11" w:rsidP="00F56D11">
            <w:pPr>
              <w:pStyle w:val="CasesLegislationAppealFrom"/>
              <w:spacing w:after="60"/>
              <w:rPr>
                <w:i/>
              </w:rPr>
            </w:pPr>
            <w:bookmarkStart w:id="4" w:name="Legislation"/>
            <w:r w:rsidRPr="00F56D11">
              <w:rPr>
                <w:i/>
              </w:rPr>
              <w:t>Fair Work Act 2009</w:t>
            </w:r>
            <w:r w:rsidRPr="00F56D11">
              <w:t xml:space="preserve"> (Cth)</w:t>
            </w:r>
            <w:r>
              <w:t xml:space="preserve"> s 570</w:t>
            </w:r>
          </w:p>
          <w:p w14:paraId="1CC75538" w14:textId="77777777" w:rsidR="00F56D11" w:rsidRPr="00F56D11" w:rsidRDefault="00F56D11" w:rsidP="00F56D11">
            <w:pPr>
              <w:pStyle w:val="CasesLegislationAppealFrom"/>
              <w:spacing w:after="60"/>
            </w:pPr>
            <w:r w:rsidRPr="00F56D11">
              <w:rPr>
                <w:i/>
              </w:rPr>
              <w:t xml:space="preserve">Federal Court Rules 2011 </w:t>
            </w:r>
            <w:r w:rsidRPr="00F56D11">
              <w:t>(Cth)</w:t>
            </w:r>
            <w:r>
              <w:t xml:space="preserve"> rr </w:t>
            </w:r>
            <w:r w:rsidR="00895235">
              <w:t xml:space="preserve">1.40, </w:t>
            </w:r>
            <w:r>
              <w:t xml:space="preserve">2.16, </w:t>
            </w:r>
            <w:r w:rsidR="00895235">
              <w:t xml:space="preserve">4.01, </w:t>
            </w:r>
            <w:r>
              <w:t>5.04, 5.23, 12.01, 35.13</w:t>
            </w:r>
            <w:r w:rsidR="00895235">
              <w:t>, 35.14</w:t>
            </w:r>
          </w:p>
          <w:p w14:paraId="1CC75539" w14:textId="77777777" w:rsidR="00F56D11" w:rsidRPr="00F56D11" w:rsidRDefault="00F56D11" w:rsidP="00F56D11">
            <w:pPr>
              <w:pStyle w:val="CasesLegislationAppealFrom"/>
              <w:spacing w:after="60"/>
            </w:pPr>
            <w:r w:rsidRPr="00F56D11">
              <w:rPr>
                <w:i/>
              </w:rPr>
              <w:t>Federal Court of Australia Act 1976</w:t>
            </w:r>
            <w:r w:rsidRPr="00F56D11">
              <w:t xml:space="preserve"> (Cth)</w:t>
            </w:r>
            <w:r>
              <w:t xml:space="preserve"> ss 24(1A) and 24(1AA)</w:t>
            </w:r>
            <w:bookmarkEnd w:id="4"/>
          </w:p>
        </w:tc>
      </w:tr>
      <w:tr w:rsidR="00395B24" w14:paraId="1CC7553D" w14:textId="77777777" w:rsidTr="001D77BC">
        <w:trPr>
          <w:gridAfter w:val="1"/>
          <w:wAfter w:w="12" w:type="dxa"/>
        </w:trPr>
        <w:tc>
          <w:tcPr>
            <w:tcW w:w="3064" w:type="dxa"/>
            <w:shd w:val="clear" w:color="auto" w:fill="auto"/>
          </w:tcPr>
          <w:p w14:paraId="1CC7553B" w14:textId="77777777" w:rsidR="00395B24" w:rsidRDefault="00395B24" w:rsidP="00663878">
            <w:pPr>
              <w:pStyle w:val="Normal1linespace"/>
              <w:widowControl w:val="0"/>
              <w:jc w:val="left"/>
            </w:pPr>
          </w:p>
        </w:tc>
        <w:tc>
          <w:tcPr>
            <w:tcW w:w="5989" w:type="dxa"/>
            <w:gridSpan w:val="2"/>
            <w:shd w:val="clear" w:color="auto" w:fill="auto"/>
          </w:tcPr>
          <w:p w14:paraId="1CC7553C" w14:textId="77777777" w:rsidR="00395B24" w:rsidRDefault="00395B24" w:rsidP="00663878">
            <w:pPr>
              <w:pStyle w:val="Normal1linespace"/>
              <w:widowControl w:val="0"/>
              <w:jc w:val="left"/>
            </w:pPr>
          </w:p>
        </w:tc>
      </w:tr>
      <w:tr w:rsidR="00395B24" w14:paraId="1CC75546" w14:textId="77777777" w:rsidTr="001D77BC">
        <w:trPr>
          <w:gridAfter w:val="1"/>
          <w:wAfter w:w="12" w:type="dxa"/>
        </w:trPr>
        <w:tc>
          <w:tcPr>
            <w:tcW w:w="3064" w:type="dxa"/>
            <w:shd w:val="clear" w:color="auto" w:fill="auto"/>
          </w:tcPr>
          <w:p w14:paraId="1CC7553E" w14:textId="77777777" w:rsidR="00395B24" w:rsidRDefault="002C7385" w:rsidP="00663878">
            <w:pPr>
              <w:pStyle w:val="Normal1linespace"/>
              <w:widowControl w:val="0"/>
              <w:jc w:val="left"/>
            </w:pPr>
            <w:r>
              <w:t>Cases cited:</w:t>
            </w:r>
          </w:p>
        </w:tc>
        <w:tc>
          <w:tcPr>
            <w:tcW w:w="5989" w:type="dxa"/>
            <w:gridSpan w:val="2"/>
            <w:shd w:val="clear" w:color="auto" w:fill="auto"/>
          </w:tcPr>
          <w:p w14:paraId="1CC7553F" w14:textId="77777777" w:rsidR="00180478" w:rsidRDefault="00180478" w:rsidP="00F56D11">
            <w:pPr>
              <w:pStyle w:val="CasesLegislationAppealFrom"/>
              <w:spacing w:after="60"/>
            </w:pPr>
            <w:bookmarkStart w:id="5" w:name="Cases_Cited"/>
            <w:r>
              <w:rPr>
                <w:i/>
              </w:rPr>
              <w:t>D</w:t>
            </w:r>
            <w:r w:rsidRPr="00F56D11">
              <w:rPr>
                <w:i/>
              </w:rPr>
              <w:t xml:space="preserve">écor Corporation Pty Ltd v Dart Industries Inc </w:t>
            </w:r>
            <w:r w:rsidRPr="00F56D11">
              <w:t>(1991) 33 FCR 397</w:t>
            </w:r>
          </w:p>
          <w:p w14:paraId="1CC75540" w14:textId="77777777" w:rsidR="00180478" w:rsidRPr="00F56D11" w:rsidRDefault="00180478" w:rsidP="00F56D11">
            <w:pPr>
              <w:pStyle w:val="CasesLegislationAppealFrom"/>
              <w:spacing w:after="60"/>
            </w:pPr>
            <w:r w:rsidRPr="00F56D11">
              <w:rPr>
                <w:i/>
              </w:rPr>
              <w:t>Lee v Superior Wood Pty Ltd</w:t>
            </w:r>
            <w:r w:rsidRPr="00F56D11">
              <w:t xml:space="preserve"> [2020] FWCFB 6011</w:t>
            </w:r>
          </w:p>
          <w:p w14:paraId="1CC75541" w14:textId="77777777" w:rsidR="00180478" w:rsidRPr="00F56D11" w:rsidRDefault="00180478" w:rsidP="00F56D11">
            <w:pPr>
              <w:pStyle w:val="CasesLegislationAppealFrom"/>
              <w:spacing w:after="60"/>
            </w:pPr>
            <w:r w:rsidRPr="00F56D11">
              <w:rPr>
                <w:i/>
              </w:rPr>
              <w:t>Lee v Superior Wood Pty Ltd</w:t>
            </w:r>
            <w:r w:rsidRPr="00F56D11">
              <w:t xml:space="preserve"> [2021] FCA 515</w:t>
            </w:r>
          </w:p>
          <w:p w14:paraId="1CC75542" w14:textId="77777777" w:rsidR="00895235" w:rsidRPr="00895235" w:rsidRDefault="00180478" w:rsidP="00F56D11">
            <w:pPr>
              <w:pStyle w:val="CasesLegislationAppealFrom"/>
              <w:spacing w:after="60"/>
            </w:pPr>
            <w:r w:rsidRPr="00F56D11">
              <w:rPr>
                <w:i/>
              </w:rPr>
              <w:t>Lee v Superior Wood Pty Ltd</w:t>
            </w:r>
            <w:r w:rsidRPr="00F56D11">
              <w:t xml:space="preserve"> </w:t>
            </w:r>
            <w:r w:rsidRPr="00F56D11">
              <w:rPr>
                <w:i/>
              </w:rPr>
              <w:t>t/a Superior Wood</w:t>
            </w:r>
            <w:r w:rsidRPr="00F56D11">
              <w:t xml:space="preserve"> [2019] FWC 5095 </w:t>
            </w:r>
          </w:p>
          <w:p w14:paraId="1CC75543" w14:textId="77777777" w:rsidR="00180478" w:rsidRDefault="00180478" w:rsidP="00F56D11">
            <w:pPr>
              <w:pStyle w:val="CasesLegislationAppealFrom"/>
              <w:spacing w:after="60"/>
            </w:pPr>
            <w:r>
              <w:rPr>
                <w:i/>
              </w:rPr>
              <w:t xml:space="preserve">R v Australian Broadcasting Tribunal; Ex parte Hardiman </w:t>
            </w:r>
            <w:r w:rsidRPr="00817362">
              <w:t>(1980)</w:t>
            </w:r>
            <w:r>
              <w:rPr>
                <w:i/>
              </w:rPr>
              <w:t xml:space="preserve"> </w:t>
            </w:r>
            <w:r w:rsidRPr="00817362">
              <w:t>144</w:t>
            </w:r>
            <w:r>
              <w:t xml:space="preserve"> CLR 13</w:t>
            </w:r>
          </w:p>
          <w:p w14:paraId="1CC75544" w14:textId="77777777" w:rsidR="00895235" w:rsidRPr="00F56D11" w:rsidRDefault="00895235" w:rsidP="00F56D11">
            <w:pPr>
              <w:pStyle w:val="CasesLegislationAppealFrom"/>
              <w:spacing w:after="60"/>
            </w:pPr>
            <w:r>
              <w:rPr>
                <w:i/>
              </w:rPr>
              <w:t xml:space="preserve">State of </w:t>
            </w:r>
            <w:r w:rsidRPr="004D2E7F">
              <w:rPr>
                <w:i/>
              </w:rPr>
              <w:t>New South Wales v Canellis</w:t>
            </w:r>
            <w:r w:rsidRPr="004D2E7F">
              <w:t xml:space="preserve"> (1994) 181 CLR 309</w:t>
            </w:r>
          </w:p>
          <w:p w14:paraId="1CC75545" w14:textId="77777777" w:rsidR="00F56D11" w:rsidRPr="00F56D11" w:rsidRDefault="00180478" w:rsidP="00180478">
            <w:pPr>
              <w:pStyle w:val="CasesLegislationAppealFrom"/>
              <w:spacing w:after="60"/>
            </w:pPr>
            <w:r w:rsidRPr="00F56D11">
              <w:rPr>
                <w:i/>
              </w:rPr>
              <w:t>Wilson v Alexander</w:t>
            </w:r>
            <w:r w:rsidRPr="00F56D11">
              <w:t xml:space="preserve"> (2003) 135 FCR 27</w:t>
            </w:r>
            <w:r w:rsidR="005A1DFC">
              <w:t>3</w:t>
            </w:r>
            <w:r>
              <w:t xml:space="preserve"> </w:t>
            </w:r>
            <w:bookmarkEnd w:id="5"/>
          </w:p>
        </w:tc>
      </w:tr>
      <w:tr w:rsidR="001D77BC" w14:paraId="1CC75549" w14:textId="77777777" w:rsidTr="001D77BC">
        <w:tc>
          <w:tcPr>
            <w:tcW w:w="3076" w:type="dxa"/>
            <w:gridSpan w:val="2"/>
            <w:shd w:val="clear" w:color="auto" w:fill="auto"/>
          </w:tcPr>
          <w:p w14:paraId="1CC75547" w14:textId="77777777" w:rsidR="001D77BC" w:rsidRDefault="001D77BC" w:rsidP="002F7154">
            <w:pPr>
              <w:pStyle w:val="Normal1linespace"/>
              <w:widowControl w:val="0"/>
            </w:pPr>
          </w:p>
        </w:tc>
        <w:tc>
          <w:tcPr>
            <w:tcW w:w="5989" w:type="dxa"/>
            <w:gridSpan w:val="2"/>
            <w:shd w:val="clear" w:color="auto" w:fill="auto"/>
          </w:tcPr>
          <w:p w14:paraId="1CC75548" w14:textId="77777777" w:rsidR="001D77BC" w:rsidRDefault="001D77BC" w:rsidP="002F7154">
            <w:pPr>
              <w:pStyle w:val="Normal1linespace"/>
              <w:widowControl w:val="0"/>
              <w:jc w:val="left"/>
            </w:pPr>
          </w:p>
        </w:tc>
      </w:tr>
      <w:tr w:rsidR="001D77BC" w14:paraId="1CC7554C" w14:textId="77777777" w:rsidTr="001D77BC">
        <w:tc>
          <w:tcPr>
            <w:tcW w:w="3076" w:type="dxa"/>
            <w:gridSpan w:val="2"/>
            <w:shd w:val="clear" w:color="auto" w:fill="auto"/>
          </w:tcPr>
          <w:p w14:paraId="1CC7554A" w14:textId="77777777" w:rsidR="001D77BC" w:rsidRDefault="001D77BC" w:rsidP="00501A12">
            <w:pPr>
              <w:pStyle w:val="Normal1linespace"/>
              <w:widowControl w:val="0"/>
            </w:pPr>
            <w:r>
              <w:t>Division:</w:t>
            </w:r>
          </w:p>
        </w:tc>
        <w:tc>
          <w:tcPr>
            <w:tcW w:w="5989" w:type="dxa"/>
            <w:gridSpan w:val="2"/>
            <w:shd w:val="clear" w:color="auto" w:fill="auto"/>
          </w:tcPr>
          <w:p w14:paraId="1CC7554B" w14:textId="77777777" w:rsidR="001D77BC" w:rsidRPr="00F17599" w:rsidRDefault="00E8593E" w:rsidP="00501A12">
            <w:pPr>
              <w:pStyle w:val="Normal1linespace"/>
              <w:widowControl w:val="0"/>
              <w:jc w:val="left"/>
            </w:pPr>
            <w:r>
              <w:fldChar w:fldCharType="begin"/>
            </w:r>
            <w:r>
              <w:instrText xml:space="preserve"> DOCPROPERTY  Division </w:instrText>
            </w:r>
            <w:r>
              <w:fldChar w:fldCharType="separate"/>
            </w:r>
            <w:r w:rsidR="001D77BC">
              <w:t>General Division</w:t>
            </w:r>
            <w:r>
              <w:fldChar w:fldCharType="end"/>
            </w:r>
          </w:p>
        </w:tc>
      </w:tr>
      <w:tr w:rsidR="001D77BC" w14:paraId="1CC7554F" w14:textId="77777777" w:rsidTr="001D77BC">
        <w:tc>
          <w:tcPr>
            <w:tcW w:w="3076" w:type="dxa"/>
            <w:gridSpan w:val="2"/>
            <w:shd w:val="clear" w:color="auto" w:fill="auto"/>
          </w:tcPr>
          <w:p w14:paraId="1CC7554D" w14:textId="77777777" w:rsidR="001D77BC" w:rsidRDefault="001D77BC" w:rsidP="00501A12">
            <w:pPr>
              <w:pStyle w:val="Normal1linespace"/>
              <w:widowControl w:val="0"/>
            </w:pPr>
            <w:bookmarkStart w:id="6" w:name="Registry_rows" w:colFirst="0" w:colLast="1"/>
          </w:p>
        </w:tc>
        <w:tc>
          <w:tcPr>
            <w:tcW w:w="5989" w:type="dxa"/>
            <w:gridSpan w:val="2"/>
            <w:shd w:val="clear" w:color="auto" w:fill="auto"/>
          </w:tcPr>
          <w:p w14:paraId="1CC7554E" w14:textId="77777777" w:rsidR="001D77BC" w:rsidRDefault="001D77BC" w:rsidP="00501A12">
            <w:pPr>
              <w:pStyle w:val="Normal1linespace"/>
              <w:widowControl w:val="0"/>
              <w:jc w:val="left"/>
            </w:pPr>
          </w:p>
        </w:tc>
      </w:tr>
      <w:tr w:rsidR="001D77BC" w14:paraId="1CC75552" w14:textId="77777777" w:rsidTr="001D77BC">
        <w:tc>
          <w:tcPr>
            <w:tcW w:w="3076" w:type="dxa"/>
            <w:gridSpan w:val="2"/>
            <w:shd w:val="clear" w:color="auto" w:fill="auto"/>
          </w:tcPr>
          <w:p w14:paraId="1CC75550" w14:textId="77777777" w:rsidR="001D77BC" w:rsidRDefault="001D77BC" w:rsidP="00501A12">
            <w:pPr>
              <w:pStyle w:val="Normal1linespace"/>
              <w:widowControl w:val="0"/>
            </w:pPr>
            <w:r>
              <w:t>Registry:</w:t>
            </w:r>
          </w:p>
        </w:tc>
        <w:tc>
          <w:tcPr>
            <w:tcW w:w="5989" w:type="dxa"/>
            <w:gridSpan w:val="2"/>
            <w:shd w:val="clear" w:color="auto" w:fill="auto"/>
          </w:tcPr>
          <w:p w14:paraId="1CC75551" w14:textId="77777777" w:rsidR="001D77BC" w:rsidRPr="00F17599" w:rsidRDefault="00E8593E" w:rsidP="00501A12">
            <w:pPr>
              <w:pStyle w:val="Normal1linespace"/>
              <w:widowControl w:val="0"/>
              <w:jc w:val="left"/>
            </w:pPr>
            <w:r>
              <w:fldChar w:fldCharType="begin"/>
            </w:r>
            <w:r>
              <w:instrText xml:space="preserve"> DOCPROPERTY  Registry </w:instrText>
            </w:r>
            <w:r>
              <w:fldChar w:fldCharType="separate"/>
            </w:r>
            <w:r w:rsidR="001D77BC">
              <w:t>Queensland</w:t>
            </w:r>
            <w:r>
              <w:fldChar w:fldCharType="end"/>
            </w:r>
          </w:p>
        </w:tc>
      </w:tr>
      <w:tr w:rsidR="001D77BC" w14:paraId="1CC75555" w14:textId="77777777" w:rsidTr="001D77BC">
        <w:tc>
          <w:tcPr>
            <w:tcW w:w="3076" w:type="dxa"/>
            <w:gridSpan w:val="2"/>
            <w:shd w:val="clear" w:color="auto" w:fill="auto"/>
          </w:tcPr>
          <w:p w14:paraId="1CC75553" w14:textId="77777777" w:rsidR="001D77BC" w:rsidRDefault="001D77BC" w:rsidP="00501A12">
            <w:pPr>
              <w:pStyle w:val="Normal1linespace"/>
              <w:widowControl w:val="0"/>
            </w:pPr>
            <w:bookmarkStart w:id="7" w:name="NPARow" w:colFirst="0" w:colLast="1"/>
            <w:bookmarkEnd w:id="6"/>
          </w:p>
        </w:tc>
        <w:tc>
          <w:tcPr>
            <w:tcW w:w="5989" w:type="dxa"/>
            <w:gridSpan w:val="2"/>
            <w:shd w:val="clear" w:color="auto" w:fill="auto"/>
          </w:tcPr>
          <w:p w14:paraId="1CC75554" w14:textId="77777777" w:rsidR="001D77BC" w:rsidRPr="00F17599" w:rsidRDefault="001D77BC" w:rsidP="00501A12">
            <w:pPr>
              <w:pStyle w:val="Normal1linespace"/>
              <w:widowControl w:val="0"/>
              <w:jc w:val="left"/>
              <w:rPr>
                <w:b/>
              </w:rPr>
            </w:pPr>
          </w:p>
        </w:tc>
      </w:tr>
      <w:tr w:rsidR="001D77BC" w14:paraId="1CC75558" w14:textId="77777777" w:rsidTr="001D77BC">
        <w:tc>
          <w:tcPr>
            <w:tcW w:w="3076" w:type="dxa"/>
            <w:gridSpan w:val="2"/>
            <w:shd w:val="clear" w:color="auto" w:fill="auto"/>
          </w:tcPr>
          <w:p w14:paraId="1CC75556" w14:textId="77777777" w:rsidR="001D77BC" w:rsidRDefault="001D77BC" w:rsidP="00501A12">
            <w:pPr>
              <w:pStyle w:val="Normal1linespace"/>
              <w:widowControl w:val="0"/>
            </w:pPr>
            <w:r>
              <w:t>National Practice Area:</w:t>
            </w:r>
          </w:p>
        </w:tc>
        <w:tc>
          <w:tcPr>
            <w:tcW w:w="5989" w:type="dxa"/>
            <w:gridSpan w:val="2"/>
            <w:shd w:val="clear" w:color="auto" w:fill="auto"/>
          </w:tcPr>
          <w:p w14:paraId="1CC75557" w14:textId="77777777" w:rsidR="001D77BC" w:rsidRPr="00F17599" w:rsidRDefault="00E8593E" w:rsidP="00171DBB">
            <w:pPr>
              <w:pStyle w:val="Normal1linespace"/>
              <w:widowControl w:val="0"/>
              <w:jc w:val="left"/>
              <w:rPr>
                <w:b/>
              </w:rPr>
            </w:pPr>
            <w:r>
              <w:fldChar w:fldCharType="begin"/>
            </w:r>
            <w:r>
              <w:instrText xml:space="preserve"> DOCPROPERTY  "Practice Area"  \* MERGEFORMAT </w:instrText>
            </w:r>
            <w:r>
              <w:fldChar w:fldCharType="separate"/>
            </w:r>
            <w:r w:rsidR="001D77BC">
              <w:t>Employment and Industrial Relations</w:t>
            </w:r>
            <w:r>
              <w:fldChar w:fldCharType="end"/>
            </w:r>
          </w:p>
        </w:tc>
      </w:tr>
      <w:tr w:rsidR="001D77BC" w14:paraId="1CC7555B" w14:textId="77777777" w:rsidTr="001D77BC">
        <w:tc>
          <w:tcPr>
            <w:tcW w:w="3076" w:type="dxa"/>
            <w:gridSpan w:val="2"/>
            <w:shd w:val="clear" w:color="auto" w:fill="auto"/>
          </w:tcPr>
          <w:p w14:paraId="1CC75559" w14:textId="77777777" w:rsidR="001D77BC" w:rsidRDefault="001D77BC" w:rsidP="00501A12">
            <w:pPr>
              <w:pStyle w:val="Normal1linespace"/>
              <w:widowControl w:val="0"/>
            </w:pPr>
            <w:bookmarkStart w:id="8" w:name="SubAreaRow" w:colFirst="0" w:colLast="1"/>
            <w:bookmarkEnd w:id="7"/>
          </w:p>
        </w:tc>
        <w:tc>
          <w:tcPr>
            <w:tcW w:w="5989" w:type="dxa"/>
            <w:gridSpan w:val="2"/>
            <w:shd w:val="clear" w:color="auto" w:fill="auto"/>
          </w:tcPr>
          <w:p w14:paraId="1CC7555A" w14:textId="77777777" w:rsidR="001D77BC" w:rsidRDefault="001D77BC" w:rsidP="00171DBB">
            <w:pPr>
              <w:pStyle w:val="Normal1linespace"/>
              <w:widowControl w:val="0"/>
              <w:jc w:val="left"/>
            </w:pPr>
          </w:p>
        </w:tc>
      </w:tr>
      <w:bookmarkEnd w:id="8"/>
      <w:tr w:rsidR="00460813" w14:paraId="1CC7555E" w14:textId="77777777" w:rsidTr="001D77BC">
        <w:trPr>
          <w:gridAfter w:val="1"/>
          <w:wAfter w:w="12" w:type="dxa"/>
        </w:trPr>
        <w:tc>
          <w:tcPr>
            <w:tcW w:w="3064" w:type="dxa"/>
            <w:shd w:val="clear" w:color="auto" w:fill="auto"/>
          </w:tcPr>
          <w:p w14:paraId="1CC7555C" w14:textId="77777777" w:rsidR="00460813" w:rsidRDefault="00460813" w:rsidP="00501A12">
            <w:pPr>
              <w:pStyle w:val="Normal1linespace"/>
              <w:widowControl w:val="0"/>
            </w:pPr>
            <w:r>
              <w:t>Number of paragraphs:</w:t>
            </w:r>
          </w:p>
        </w:tc>
        <w:tc>
          <w:tcPr>
            <w:tcW w:w="5989" w:type="dxa"/>
            <w:gridSpan w:val="2"/>
            <w:shd w:val="clear" w:color="auto" w:fill="auto"/>
          </w:tcPr>
          <w:p w14:paraId="1CC7555D" w14:textId="77777777" w:rsidR="00460813" w:rsidRDefault="008D5364" w:rsidP="00501A12">
            <w:pPr>
              <w:pStyle w:val="Normal1linespace"/>
              <w:widowControl w:val="0"/>
              <w:jc w:val="left"/>
            </w:pPr>
            <w:bookmarkStart w:id="9" w:name="PlaceCategoryParagraphs"/>
            <w:r>
              <w:t>34</w:t>
            </w:r>
            <w:bookmarkEnd w:id="9"/>
          </w:p>
        </w:tc>
      </w:tr>
      <w:tr w:rsidR="00460813" w14:paraId="1CC75561" w14:textId="77777777" w:rsidTr="001D77BC">
        <w:trPr>
          <w:gridAfter w:val="1"/>
          <w:wAfter w:w="12" w:type="dxa"/>
        </w:trPr>
        <w:tc>
          <w:tcPr>
            <w:tcW w:w="3064" w:type="dxa"/>
            <w:shd w:val="clear" w:color="auto" w:fill="auto"/>
          </w:tcPr>
          <w:p w14:paraId="1CC7555F" w14:textId="77777777" w:rsidR="00460813" w:rsidRDefault="00460813" w:rsidP="00460813">
            <w:pPr>
              <w:pStyle w:val="Normal1linespace"/>
              <w:widowControl w:val="0"/>
              <w:jc w:val="left"/>
            </w:pPr>
          </w:p>
        </w:tc>
        <w:tc>
          <w:tcPr>
            <w:tcW w:w="5989" w:type="dxa"/>
            <w:gridSpan w:val="2"/>
            <w:shd w:val="clear" w:color="auto" w:fill="auto"/>
          </w:tcPr>
          <w:p w14:paraId="1CC75560" w14:textId="77777777" w:rsidR="00460813" w:rsidRDefault="00460813" w:rsidP="00460813">
            <w:pPr>
              <w:pStyle w:val="Normal1linespace"/>
              <w:widowControl w:val="0"/>
              <w:jc w:val="left"/>
            </w:pPr>
          </w:p>
        </w:tc>
      </w:tr>
      <w:tr w:rsidR="00460813" w14:paraId="1CC75564" w14:textId="77777777" w:rsidTr="001D77BC">
        <w:trPr>
          <w:gridAfter w:val="1"/>
          <w:wAfter w:w="12" w:type="dxa"/>
        </w:trPr>
        <w:tc>
          <w:tcPr>
            <w:tcW w:w="3064" w:type="dxa"/>
            <w:shd w:val="clear" w:color="auto" w:fill="auto"/>
          </w:tcPr>
          <w:p w14:paraId="1CC75562" w14:textId="77777777" w:rsidR="00460813" w:rsidRDefault="00460813" w:rsidP="00460813">
            <w:pPr>
              <w:pStyle w:val="Normal1linespace"/>
              <w:widowControl w:val="0"/>
              <w:jc w:val="left"/>
            </w:pPr>
            <w:bookmarkStart w:id="10" w:name="CounselDate" w:colFirst="0" w:colLast="2"/>
            <w:r w:rsidRPr="006A24E3">
              <w:t>Date of hearing:</w:t>
            </w:r>
          </w:p>
        </w:tc>
        <w:tc>
          <w:tcPr>
            <w:tcW w:w="5989" w:type="dxa"/>
            <w:gridSpan w:val="2"/>
            <w:shd w:val="clear" w:color="auto" w:fill="auto"/>
          </w:tcPr>
          <w:p w14:paraId="1CC75563" w14:textId="77777777" w:rsidR="00460813" w:rsidRDefault="00E77BD8" w:rsidP="00460813">
            <w:pPr>
              <w:pStyle w:val="Normal1linespace"/>
              <w:widowControl w:val="0"/>
              <w:jc w:val="left"/>
            </w:pPr>
            <w:bookmarkStart w:id="11" w:name="HearingDate"/>
            <w:r>
              <w:t>16 September 2021</w:t>
            </w:r>
            <w:r w:rsidR="00460813">
              <w:t xml:space="preserve"> </w:t>
            </w:r>
            <w:bookmarkEnd w:id="11"/>
          </w:p>
        </w:tc>
      </w:tr>
      <w:tr w:rsidR="00460813" w14:paraId="1CC75567" w14:textId="77777777" w:rsidTr="001D77BC">
        <w:trPr>
          <w:gridAfter w:val="1"/>
          <w:wAfter w:w="12" w:type="dxa"/>
        </w:trPr>
        <w:tc>
          <w:tcPr>
            <w:tcW w:w="3064" w:type="dxa"/>
            <w:shd w:val="clear" w:color="auto" w:fill="auto"/>
          </w:tcPr>
          <w:p w14:paraId="1CC75565" w14:textId="77777777" w:rsidR="00460813" w:rsidRDefault="00460813" w:rsidP="00460813">
            <w:pPr>
              <w:pStyle w:val="Normal1linespace"/>
              <w:widowControl w:val="0"/>
              <w:jc w:val="left"/>
            </w:pPr>
          </w:p>
        </w:tc>
        <w:tc>
          <w:tcPr>
            <w:tcW w:w="5989" w:type="dxa"/>
            <w:gridSpan w:val="2"/>
            <w:shd w:val="clear" w:color="auto" w:fill="auto"/>
          </w:tcPr>
          <w:p w14:paraId="1CC75566" w14:textId="77777777" w:rsidR="00460813" w:rsidRDefault="00460813" w:rsidP="00460813">
            <w:pPr>
              <w:pStyle w:val="Normal1linespace"/>
              <w:widowControl w:val="0"/>
              <w:jc w:val="left"/>
            </w:pPr>
          </w:p>
        </w:tc>
      </w:tr>
      <w:tr w:rsidR="00747DAA" w14:paraId="1CC7556A" w14:textId="77777777" w:rsidTr="001D77BC">
        <w:trPr>
          <w:gridAfter w:val="1"/>
          <w:wAfter w:w="12" w:type="dxa"/>
        </w:trPr>
        <w:tc>
          <w:tcPr>
            <w:tcW w:w="3064" w:type="dxa"/>
            <w:shd w:val="clear" w:color="auto" w:fill="auto"/>
          </w:tcPr>
          <w:p w14:paraId="1CC75568" w14:textId="77777777" w:rsidR="00747DAA" w:rsidRDefault="00747DAA" w:rsidP="009D043A">
            <w:pPr>
              <w:pStyle w:val="Normal1linespace"/>
              <w:keepNext/>
              <w:widowControl w:val="0"/>
              <w:jc w:val="left"/>
            </w:pPr>
            <w:r>
              <w:t>Counsel for the Applicant:</w:t>
            </w:r>
          </w:p>
        </w:tc>
        <w:tc>
          <w:tcPr>
            <w:tcW w:w="5989" w:type="dxa"/>
            <w:gridSpan w:val="2"/>
            <w:shd w:val="clear" w:color="auto" w:fill="auto"/>
          </w:tcPr>
          <w:p w14:paraId="1CC75569" w14:textId="77777777" w:rsidR="00747DAA" w:rsidRDefault="00747DAA" w:rsidP="009D043A">
            <w:pPr>
              <w:pStyle w:val="Normal1linespace"/>
              <w:keepNext/>
              <w:widowControl w:val="0"/>
              <w:jc w:val="left"/>
            </w:pPr>
            <w:r>
              <w:t>The Applicant appeared in person</w:t>
            </w:r>
          </w:p>
        </w:tc>
      </w:tr>
      <w:tr w:rsidR="00747DAA" w14:paraId="1CC7556D" w14:textId="77777777" w:rsidTr="001D77BC">
        <w:trPr>
          <w:gridAfter w:val="1"/>
          <w:wAfter w:w="12" w:type="dxa"/>
        </w:trPr>
        <w:tc>
          <w:tcPr>
            <w:tcW w:w="3064" w:type="dxa"/>
            <w:shd w:val="clear" w:color="auto" w:fill="auto"/>
          </w:tcPr>
          <w:p w14:paraId="1CC7556B" w14:textId="77777777" w:rsidR="00747DAA" w:rsidRDefault="00747DAA" w:rsidP="009D043A">
            <w:pPr>
              <w:pStyle w:val="Normal1linespace"/>
              <w:keepNext/>
              <w:widowControl w:val="0"/>
              <w:jc w:val="left"/>
            </w:pPr>
          </w:p>
        </w:tc>
        <w:tc>
          <w:tcPr>
            <w:tcW w:w="5989" w:type="dxa"/>
            <w:gridSpan w:val="2"/>
            <w:shd w:val="clear" w:color="auto" w:fill="auto"/>
          </w:tcPr>
          <w:p w14:paraId="1CC7556C" w14:textId="77777777" w:rsidR="00747DAA" w:rsidRDefault="00747DAA" w:rsidP="009D043A">
            <w:pPr>
              <w:pStyle w:val="Normal1linespace"/>
              <w:keepNext/>
              <w:widowControl w:val="0"/>
              <w:jc w:val="left"/>
            </w:pPr>
          </w:p>
        </w:tc>
      </w:tr>
      <w:tr w:rsidR="00747DAA" w14:paraId="1CC75570" w14:textId="77777777" w:rsidTr="001D77BC">
        <w:trPr>
          <w:gridAfter w:val="1"/>
          <w:wAfter w:w="12" w:type="dxa"/>
        </w:trPr>
        <w:tc>
          <w:tcPr>
            <w:tcW w:w="3064" w:type="dxa"/>
            <w:shd w:val="clear" w:color="auto" w:fill="auto"/>
          </w:tcPr>
          <w:p w14:paraId="1CC7556E" w14:textId="77777777" w:rsidR="00747DAA" w:rsidRDefault="00747DAA" w:rsidP="00747DAA">
            <w:pPr>
              <w:pStyle w:val="Normal1linespace"/>
              <w:widowControl w:val="0"/>
              <w:jc w:val="left"/>
            </w:pPr>
            <w:r>
              <w:t>Counsel for First to Fourth Respondents:</w:t>
            </w:r>
          </w:p>
        </w:tc>
        <w:tc>
          <w:tcPr>
            <w:tcW w:w="5989" w:type="dxa"/>
            <w:gridSpan w:val="2"/>
            <w:shd w:val="clear" w:color="auto" w:fill="auto"/>
          </w:tcPr>
          <w:p w14:paraId="1CC7556F" w14:textId="77777777" w:rsidR="00747DAA" w:rsidRDefault="00747DAA" w:rsidP="00460813">
            <w:pPr>
              <w:pStyle w:val="Normal1linespace"/>
              <w:widowControl w:val="0"/>
              <w:jc w:val="left"/>
            </w:pPr>
            <w:r>
              <w:t>The First to Fourth Respondents filed submitting notices</w:t>
            </w:r>
            <w:r w:rsidR="005A1DFC">
              <w:t xml:space="preserve"> save as to costs</w:t>
            </w:r>
          </w:p>
        </w:tc>
      </w:tr>
      <w:tr w:rsidR="00747DAA" w14:paraId="1CC75573" w14:textId="77777777" w:rsidTr="001D77BC">
        <w:trPr>
          <w:gridAfter w:val="1"/>
          <w:wAfter w:w="12" w:type="dxa"/>
        </w:trPr>
        <w:tc>
          <w:tcPr>
            <w:tcW w:w="3064" w:type="dxa"/>
            <w:shd w:val="clear" w:color="auto" w:fill="auto"/>
          </w:tcPr>
          <w:p w14:paraId="1CC75571" w14:textId="77777777" w:rsidR="00747DAA" w:rsidRDefault="00747DAA" w:rsidP="00747DAA">
            <w:pPr>
              <w:pStyle w:val="Normal1linespace"/>
              <w:widowControl w:val="0"/>
              <w:jc w:val="left"/>
            </w:pPr>
          </w:p>
        </w:tc>
        <w:tc>
          <w:tcPr>
            <w:tcW w:w="5989" w:type="dxa"/>
            <w:gridSpan w:val="2"/>
            <w:shd w:val="clear" w:color="auto" w:fill="auto"/>
          </w:tcPr>
          <w:p w14:paraId="1CC75572" w14:textId="77777777" w:rsidR="00747DAA" w:rsidRDefault="00747DAA" w:rsidP="00460813">
            <w:pPr>
              <w:pStyle w:val="Normal1linespace"/>
              <w:widowControl w:val="0"/>
              <w:jc w:val="left"/>
            </w:pPr>
          </w:p>
        </w:tc>
      </w:tr>
      <w:tr w:rsidR="00747DAA" w14:paraId="1CC75576" w14:textId="77777777" w:rsidTr="001D77BC">
        <w:trPr>
          <w:gridAfter w:val="1"/>
          <w:wAfter w:w="12" w:type="dxa"/>
        </w:trPr>
        <w:tc>
          <w:tcPr>
            <w:tcW w:w="3064" w:type="dxa"/>
            <w:shd w:val="clear" w:color="auto" w:fill="auto"/>
          </w:tcPr>
          <w:p w14:paraId="1CC75574" w14:textId="77777777" w:rsidR="00747DAA" w:rsidRDefault="00747DAA" w:rsidP="00747DAA">
            <w:pPr>
              <w:pStyle w:val="Normal1linespace"/>
              <w:widowControl w:val="0"/>
              <w:jc w:val="left"/>
            </w:pPr>
            <w:r>
              <w:t>Solicitor for the Fifth Respondent:</w:t>
            </w:r>
          </w:p>
        </w:tc>
        <w:tc>
          <w:tcPr>
            <w:tcW w:w="5989" w:type="dxa"/>
            <w:gridSpan w:val="2"/>
            <w:shd w:val="clear" w:color="auto" w:fill="auto"/>
          </w:tcPr>
          <w:p w14:paraId="1CC75575" w14:textId="77777777" w:rsidR="00747DAA" w:rsidRDefault="00747DAA" w:rsidP="005A1DFC">
            <w:pPr>
              <w:pStyle w:val="Normal1linespace"/>
              <w:widowControl w:val="0"/>
              <w:jc w:val="left"/>
            </w:pPr>
            <w:r>
              <w:t>Mr M Curran</w:t>
            </w:r>
            <w:r w:rsidR="005A1DFC">
              <w:t xml:space="preserve"> of </w:t>
            </w:r>
            <w:r>
              <w:t>Gilchrist Connell</w:t>
            </w:r>
          </w:p>
        </w:tc>
      </w:tr>
      <w:bookmarkEnd w:id="10"/>
    </w:tbl>
    <w:p w14:paraId="1CC75577"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1CC7557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CC7557B" w14:textId="77777777" w:rsidTr="00E81DA6">
        <w:tc>
          <w:tcPr>
            <w:tcW w:w="6912" w:type="dxa"/>
            <w:gridSpan w:val="2"/>
          </w:tcPr>
          <w:p w14:paraId="1CC75579" w14:textId="77777777" w:rsidR="00A46CCC" w:rsidRPr="001765E0" w:rsidRDefault="00A46CCC" w:rsidP="00525A49">
            <w:pPr>
              <w:pStyle w:val="NormalHeadings"/>
            </w:pPr>
          </w:p>
        </w:tc>
        <w:tc>
          <w:tcPr>
            <w:tcW w:w="2330" w:type="dxa"/>
          </w:tcPr>
          <w:p w14:paraId="1CC7557A" w14:textId="77777777" w:rsidR="00A46CCC" w:rsidRDefault="001D77BC" w:rsidP="00F92355">
            <w:pPr>
              <w:pStyle w:val="NormalHeadings"/>
              <w:jc w:val="right"/>
            </w:pPr>
            <w:bookmarkStart w:id="12" w:name="FileNo"/>
            <w:r>
              <w:t>QUD 161 of 2021</w:t>
            </w:r>
            <w:bookmarkEnd w:id="12"/>
          </w:p>
        </w:tc>
      </w:tr>
      <w:tr w:rsidR="00A76C13" w14:paraId="1CC7557D" w14:textId="77777777" w:rsidTr="00F461A4">
        <w:tc>
          <w:tcPr>
            <w:tcW w:w="9242" w:type="dxa"/>
            <w:gridSpan w:val="3"/>
          </w:tcPr>
          <w:p w14:paraId="1CC7557C" w14:textId="77777777" w:rsidR="00A76C13" w:rsidRPr="00A76C13" w:rsidRDefault="001D77BC" w:rsidP="001D77BC">
            <w:pPr>
              <w:pStyle w:val="NormalHeadings"/>
              <w:jc w:val="left"/>
            </w:pPr>
            <w:bookmarkStart w:id="13" w:name="InTheMatterOf"/>
            <w:r>
              <w:t xml:space="preserve"> </w:t>
            </w:r>
            <w:bookmarkEnd w:id="13"/>
          </w:p>
        </w:tc>
      </w:tr>
      <w:tr w:rsidR="00A46CCC" w14:paraId="1CC75582" w14:textId="77777777" w:rsidTr="005041F0">
        <w:trPr>
          <w:trHeight w:val="386"/>
        </w:trPr>
        <w:tc>
          <w:tcPr>
            <w:tcW w:w="2376" w:type="dxa"/>
          </w:tcPr>
          <w:p w14:paraId="1CC7557E"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1CC7557F" w14:textId="77777777" w:rsidR="001D77BC" w:rsidRDefault="001D77BC" w:rsidP="001D77BC">
            <w:pPr>
              <w:pStyle w:val="NormalHeadings"/>
              <w:jc w:val="left"/>
            </w:pPr>
            <w:bookmarkStart w:id="15" w:name="Applicant"/>
            <w:r>
              <w:t>JEREMY LEE</w:t>
            </w:r>
          </w:p>
          <w:p w14:paraId="1CC75580" w14:textId="77777777" w:rsidR="001D77BC" w:rsidRDefault="001D77BC" w:rsidP="001D77BC">
            <w:pPr>
              <w:pStyle w:val="PartyType"/>
            </w:pPr>
            <w:r>
              <w:t>Applicant</w:t>
            </w:r>
          </w:p>
          <w:bookmarkEnd w:id="15"/>
          <w:p w14:paraId="1CC75581" w14:textId="77777777" w:rsidR="00A46CCC" w:rsidRPr="006555B4" w:rsidRDefault="00A46CCC" w:rsidP="005041F0">
            <w:pPr>
              <w:pStyle w:val="NormalHeadings"/>
              <w:jc w:val="left"/>
            </w:pPr>
          </w:p>
        </w:tc>
      </w:tr>
      <w:tr w:rsidR="00A46CCC" w14:paraId="1CC7558D" w14:textId="77777777" w:rsidTr="005041F0">
        <w:trPr>
          <w:trHeight w:val="386"/>
        </w:trPr>
        <w:tc>
          <w:tcPr>
            <w:tcW w:w="2376" w:type="dxa"/>
          </w:tcPr>
          <w:p w14:paraId="1CC75583" w14:textId="77777777" w:rsidR="00A46CCC" w:rsidRDefault="00A46CCC" w:rsidP="005041F0">
            <w:pPr>
              <w:pStyle w:val="NormalHeadings"/>
              <w:jc w:val="left"/>
              <w:rPr>
                <w:caps/>
                <w:szCs w:val="24"/>
              </w:rPr>
            </w:pPr>
            <w:r>
              <w:rPr>
                <w:caps/>
                <w:szCs w:val="24"/>
              </w:rPr>
              <w:t>AND:</w:t>
            </w:r>
          </w:p>
        </w:tc>
        <w:tc>
          <w:tcPr>
            <w:tcW w:w="6866" w:type="dxa"/>
            <w:gridSpan w:val="2"/>
          </w:tcPr>
          <w:p w14:paraId="1CC75584" w14:textId="77777777" w:rsidR="001D77BC" w:rsidRDefault="001D77BC" w:rsidP="001D77BC">
            <w:pPr>
              <w:pStyle w:val="NormalHeadings"/>
              <w:jc w:val="left"/>
            </w:pPr>
            <w:bookmarkStart w:id="16" w:name="Respondent"/>
            <w:r>
              <w:t>FAIR WORK COMMISSION</w:t>
            </w:r>
          </w:p>
          <w:p w14:paraId="1CC75585" w14:textId="77777777" w:rsidR="001D77BC" w:rsidRDefault="001D77BC" w:rsidP="001D77BC">
            <w:pPr>
              <w:pStyle w:val="PartyType"/>
            </w:pPr>
            <w:r>
              <w:t>First Respondent</w:t>
            </w:r>
          </w:p>
          <w:p w14:paraId="1CC75586" w14:textId="77777777" w:rsidR="001D77BC" w:rsidRDefault="001D77BC" w:rsidP="005041F0">
            <w:pPr>
              <w:pStyle w:val="NormalHeadings"/>
              <w:jc w:val="left"/>
            </w:pPr>
          </w:p>
          <w:p w14:paraId="1CC75587" w14:textId="77777777" w:rsidR="001D77BC" w:rsidRDefault="001D77BC" w:rsidP="001D77BC">
            <w:pPr>
              <w:pStyle w:val="NormalHeadings"/>
              <w:jc w:val="left"/>
            </w:pPr>
            <w:r>
              <w:t>VICE PRESIDENT ADAM HATCHER</w:t>
            </w:r>
          </w:p>
          <w:p w14:paraId="1CC75588" w14:textId="77777777" w:rsidR="001D77BC" w:rsidRDefault="001D77BC" w:rsidP="001D77BC">
            <w:pPr>
              <w:pStyle w:val="PartyType"/>
            </w:pPr>
            <w:r>
              <w:t>Second Respondent</w:t>
            </w:r>
          </w:p>
          <w:p w14:paraId="1CC75589" w14:textId="77777777" w:rsidR="001D77BC" w:rsidRDefault="001D77BC" w:rsidP="005041F0">
            <w:pPr>
              <w:pStyle w:val="NormalHeadings"/>
              <w:jc w:val="left"/>
            </w:pPr>
          </w:p>
          <w:p w14:paraId="1CC7558A" w14:textId="77777777" w:rsidR="001D77BC" w:rsidRDefault="001D77BC" w:rsidP="001D77BC">
            <w:pPr>
              <w:pStyle w:val="NormalHeadings"/>
              <w:jc w:val="left"/>
            </w:pPr>
            <w:r>
              <w:t xml:space="preserve">DEPUTY PRESIDENT AMBER MILLHOUSE </w:t>
            </w:r>
            <w:r w:rsidRPr="001D77BC">
              <w:rPr>
                <w:b w:val="0"/>
              </w:rPr>
              <w:t>(and others named in the Schedule)</w:t>
            </w:r>
          </w:p>
          <w:p w14:paraId="1CC7558B" w14:textId="77777777" w:rsidR="001D77BC" w:rsidRDefault="001D77BC" w:rsidP="001D77BC">
            <w:pPr>
              <w:pStyle w:val="PartyType"/>
            </w:pPr>
            <w:r>
              <w:t>Third Respondent</w:t>
            </w:r>
          </w:p>
          <w:bookmarkEnd w:id="16"/>
          <w:p w14:paraId="1CC7558C" w14:textId="77777777" w:rsidR="00A46CCC" w:rsidRPr="006555B4" w:rsidRDefault="00A46CCC" w:rsidP="005041F0">
            <w:pPr>
              <w:pStyle w:val="NormalHeadings"/>
              <w:jc w:val="left"/>
            </w:pPr>
          </w:p>
        </w:tc>
      </w:tr>
    </w:tbl>
    <w:p w14:paraId="1CC7558E"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1CC75591" w14:textId="77777777">
        <w:tc>
          <w:tcPr>
            <w:tcW w:w="2376" w:type="dxa"/>
          </w:tcPr>
          <w:p w14:paraId="1CC7558F"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1CC75590" w14:textId="77777777" w:rsidR="00395B24" w:rsidRDefault="001D77BC">
            <w:pPr>
              <w:pStyle w:val="NormalHeadings"/>
              <w:jc w:val="left"/>
              <w:rPr>
                <w:caps/>
                <w:szCs w:val="24"/>
              </w:rPr>
            </w:pPr>
            <w:bookmarkStart w:id="19" w:name="Judge"/>
            <w:r>
              <w:rPr>
                <w:caps/>
                <w:szCs w:val="24"/>
              </w:rPr>
              <w:t>RANGIAH J</w:t>
            </w:r>
            <w:bookmarkEnd w:id="19"/>
          </w:p>
        </w:tc>
      </w:tr>
      <w:tr w:rsidR="00395B24" w14:paraId="1CC75594" w14:textId="77777777">
        <w:tc>
          <w:tcPr>
            <w:tcW w:w="2376" w:type="dxa"/>
          </w:tcPr>
          <w:p w14:paraId="1CC75592" w14:textId="77777777" w:rsidR="00395B24" w:rsidRPr="001D77BC" w:rsidRDefault="002C7385">
            <w:pPr>
              <w:pStyle w:val="NormalHeadings"/>
              <w:spacing w:after="120"/>
              <w:jc w:val="left"/>
              <w:rPr>
                <w:caps/>
                <w:szCs w:val="24"/>
              </w:rPr>
            </w:pPr>
            <w:r w:rsidRPr="001D77BC">
              <w:rPr>
                <w:caps/>
                <w:szCs w:val="24"/>
              </w:rPr>
              <w:t>DATE OF ORDER:</w:t>
            </w:r>
          </w:p>
        </w:tc>
        <w:tc>
          <w:tcPr>
            <w:tcW w:w="6866" w:type="dxa"/>
          </w:tcPr>
          <w:p w14:paraId="1CC75593" w14:textId="77777777" w:rsidR="00395B24" w:rsidRPr="001D77BC" w:rsidRDefault="001D77BC">
            <w:pPr>
              <w:pStyle w:val="NormalHeadings"/>
              <w:jc w:val="left"/>
              <w:rPr>
                <w:caps/>
                <w:szCs w:val="24"/>
              </w:rPr>
            </w:pPr>
            <w:bookmarkStart w:id="20" w:name="Judgment_Dated"/>
            <w:r w:rsidRPr="001D77BC">
              <w:rPr>
                <w:caps/>
                <w:szCs w:val="24"/>
              </w:rPr>
              <w:t>6 OCTOBER 2021</w:t>
            </w:r>
            <w:bookmarkEnd w:id="20"/>
          </w:p>
        </w:tc>
      </w:tr>
    </w:tbl>
    <w:p w14:paraId="1CC75595" w14:textId="77777777" w:rsidR="00395B24" w:rsidRDefault="00395B24">
      <w:pPr>
        <w:pStyle w:val="NormalHeadings"/>
        <w:rPr>
          <w:b w:val="0"/>
        </w:rPr>
      </w:pPr>
    </w:p>
    <w:p w14:paraId="1CC75596" w14:textId="77777777" w:rsidR="008D1617" w:rsidRDefault="008D1617">
      <w:pPr>
        <w:pStyle w:val="NormalHeadings"/>
        <w:rPr>
          <w:b w:val="0"/>
        </w:rPr>
      </w:pPr>
    </w:p>
    <w:p w14:paraId="1CC75597" w14:textId="77777777" w:rsidR="00395B24" w:rsidRDefault="002C7385">
      <w:pPr>
        <w:pStyle w:val="NormalHeadings"/>
      </w:pPr>
      <w:r>
        <w:t>THE COURT ORDERS THAT:</w:t>
      </w:r>
    </w:p>
    <w:p w14:paraId="1CC75598" w14:textId="77777777" w:rsidR="007F60DF" w:rsidRDefault="007F60DF" w:rsidP="00243E5E">
      <w:pPr>
        <w:pStyle w:val="NormalHeadings"/>
      </w:pPr>
    </w:p>
    <w:p w14:paraId="1CC75599" w14:textId="77777777" w:rsidR="00020F28" w:rsidRDefault="00020F28" w:rsidP="00960FD7">
      <w:pPr>
        <w:pStyle w:val="Order1"/>
      </w:pPr>
      <w:r>
        <w:t>The application for an extension of time to</w:t>
      </w:r>
      <w:r w:rsidR="00960FD7">
        <w:t xml:space="preserve"> seek leave to appeal is</w:t>
      </w:r>
      <w:r w:rsidR="00F71CBE">
        <w:t xml:space="preserve"> dismissed</w:t>
      </w:r>
      <w:r>
        <w:t>.</w:t>
      </w:r>
    </w:p>
    <w:p w14:paraId="1CC7559A" w14:textId="77777777" w:rsidR="00020F28" w:rsidRDefault="00960FD7" w:rsidP="00020F28">
      <w:pPr>
        <w:pStyle w:val="Order1"/>
      </w:pPr>
      <w:r>
        <w:t xml:space="preserve">There be no order as to </w:t>
      </w:r>
      <w:r w:rsidR="00020F28">
        <w:t>costs.</w:t>
      </w:r>
    </w:p>
    <w:p w14:paraId="1CC7559B" w14:textId="77777777" w:rsidR="001A6C52" w:rsidRDefault="001A6C52" w:rsidP="001A6C52">
      <w:pPr>
        <w:pStyle w:val="BodyText"/>
      </w:pPr>
    </w:p>
    <w:p w14:paraId="1CC7559C" w14:textId="77777777" w:rsidR="00A431E6" w:rsidRDefault="00A431E6" w:rsidP="001A6C52">
      <w:pPr>
        <w:pStyle w:val="BodyText"/>
      </w:pPr>
    </w:p>
    <w:p w14:paraId="1CC7559D" w14:textId="77777777" w:rsidR="0050309C" w:rsidRDefault="001D77BC"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1CC7559E" w14:textId="77777777" w:rsidR="00604342" w:rsidRDefault="00604342" w:rsidP="002B0E91">
      <w:pPr>
        <w:pStyle w:val="BodyText"/>
      </w:pPr>
    </w:p>
    <w:p w14:paraId="1CC7559F"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1CC755A0"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1CC755A1" w14:textId="77777777" w:rsidR="00694BEB" w:rsidRDefault="00FB17FA" w:rsidP="005E0510">
      <w:pPr>
        <w:pStyle w:val="NormalHeadings"/>
        <w:spacing w:line="360" w:lineRule="auto"/>
        <w:jc w:val="left"/>
        <w:rPr>
          <w:sz w:val="26"/>
          <w:szCs w:val="26"/>
        </w:rPr>
      </w:pPr>
      <w:r>
        <w:rPr>
          <w:sz w:val="26"/>
          <w:szCs w:val="26"/>
        </w:rPr>
        <w:t>RANGIAH J:</w:t>
      </w:r>
    </w:p>
    <w:p w14:paraId="1CC755A2" w14:textId="77777777" w:rsidR="00AB3147" w:rsidRDefault="00FB17FA" w:rsidP="003472A4">
      <w:pPr>
        <w:pStyle w:val="ParaNumbering"/>
      </w:pPr>
      <w:r>
        <w:t xml:space="preserve">This is an application for </w:t>
      </w:r>
      <w:r w:rsidR="00020F28">
        <w:t xml:space="preserve">an </w:t>
      </w:r>
      <w:r>
        <w:t xml:space="preserve">extension of time </w:t>
      </w:r>
      <w:r w:rsidR="00960FD7">
        <w:t xml:space="preserve">to seek leave to appeal against the </w:t>
      </w:r>
      <w:r>
        <w:t xml:space="preserve">judgment of a judge </w:t>
      </w:r>
      <w:r w:rsidR="00020F28">
        <w:t xml:space="preserve">of this Court </w:t>
      </w:r>
      <w:r>
        <w:t xml:space="preserve">in </w:t>
      </w:r>
      <w:r w:rsidRPr="00F56D11">
        <w:rPr>
          <w:i/>
        </w:rPr>
        <w:t>Lee v Superior Wood Pty Ltd</w:t>
      </w:r>
      <w:r w:rsidRPr="00F56D11">
        <w:t xml:space="preserve"> [2021] FCA 515</w:t>
      </w:r>
      <w:r>
        <w:t xml:space="preserve">.  </w:t>
      </w:r>
    </w:p>
    <w:p w14:paraId="1CC755A3" w14:textId="77777777" w:rsidR="00FB17FA" w:rsidRDefault="00FB17FA" w:rsidP="00FB17FA">
      <w:pPr>
        <w:pStyle w:val="ParaNumbering"/>
      </w:pPr>
      <w:r>
        <w:t xml:space="preserve">The </w:t>
      </w:r>
      <w:r w:rsidR="00AB3147">
        <w:t xml:space="preserve">judgment </w:t>
      </w:r>
      <w:r w:rsidR="00020F28">
        <w:t xml:space="preserve">of the primary judge </w:t>
      </w:r>
      <w:r w:rsidR="00AB3147">
        <w:t xml:space="preserve">was </w:t>
      </w:r>
      <w:r>
        <w:t xml:space="preserve">interlocutory.  Accordingly, </w:t>
      </w:r>
      <w:r w:rsidR="00544BDA" w:rsidRPr="00F56D11">
        <w:t>s 24</w:t>
      </w:r>
      <w:r w:rsidRPr="00F56D11">
        <w:t xml:space="preserve">(1A) of the </w:t>
      </w:r>
      <w:r w:rsidRPr="00F56D11">
        <w:rPr>
          <w:i/>
        </w:rPr>
        <w:t xml:space="preserve">Federal Court of Australia </w:t>
      </w:r>
      <w:r w:rsidR="00544BDA" w:rsidRPr="00F56D11">
        <w:rPr>
          <w:i/>
        </w:rPr>
        <w:t xml:space="preserve">Act </w:t>
      </w:r>
      <w:r w:rsidRPr="00F56D11">
        <w:rPr>
          <w:i/>
        </w:rPr>
        <w:t>1976</w:t>
      </w:r>
      <w:r w:rsidRPr="00F56D11">
        <w:t xml:space="preserve"> </w:t>
      </w:r>
      <w:r w:rsidR="00622A40" w:rsidRPr="00F56D11">
        <w:t>(Cth)</w:t>
      </w:r>
      <w:r w:rsidR="00622A40">
        <w:t xml:space="preserve"> (</w:t>
      </w:r>
      <w:r w:rsidR="00E66F82">
        <w:t xml:space="preserve">the </w:t>
      </w:r>
      <w:r w:rsidR="00622A40">
        <w:rPr>
          <w:b/>
        </w:rPr>
        <w:t>FCA Act</w:t>
      </w:r>
      <w:r w:rsidR="00622A40">
        <w:t xml:space="preserve">) </w:t>
      </w:r>
      <w:r>
        <w:t>requires the applicant t</w:t>
      </w:r>
      <w:r w:rsidR="00544BDA">
        <w:t xml:space="preserve">o obtain leave to appeal.  </w:t>
      </w:r>
      <w:r w:rsidR="00544BDA" w:rsidRPr="00F56D11">
        <w:t>Rule </w:t>
      </w:r>
      <w:r w:rsidRPr="00F56D11">
        <w:t xml:space="preserve">35.13 of the </w:t>
      </w:r>
      <w:r w:rsidRPr="00F56D11">
        <w:rPr>
          <w:i/>
        </w:rPr>
        <w:t xml:space="preserve">Federal Court </w:t>
      </w:r>
      <w:r w:rsidR="00544BDA" w:rsidRPr="00F56D11">
        <w:rPr>
          <w:i/>
        </w:rPr>
        <w:t xml:space="preserve">Rules </w:t>
      </w:r>
      <w:r w:rsidRPr="00F56D11">
        <w:rPr>
          <w:i/>
        </w:rPr>
        <w:t>2011</w:t>
      </w:r>
      <w:r w:rsidRPr="00F56D11">
        <w:t xml:space="preserve"> </w:t>
      </w:r>
      <w:r w:rsidR="00544BDA" w:rsidRPr="00F56D11">
        <w:t>(Cth)</w:t>
      </w:r>
      <w:r w:rsidR="00544BDA">
        <w:t xml:space="preserve"> </w:t>
      </w:r>
      <w:r w:rsidR="00F56D11">
        <w:t>(</w:t>
      </w:r>
      <w:r w:rsidR="00E66F82">
        <w:t xml:space="preserve">the </w:t>
      </w:r>
      <w:r w:rsidR="00F56D11">
        <w:rPr>
          <w:b/>
        </w:rPr>
        <w:t>Rules</w:t>
      </w:r>
      <w:r w:rsidR="00F56D11">
        <w:t>)</w:t>
      </w:r>
      <w:r w:rsidR="00215D0B">
        <w:t xml:space="preserve"> provides </w:t>
      </w:r>
      <w:r w:rsidR="00AB3147">
        <w:t xml:space="preserve">that </w:t>
      </w:r>
      <w:r>
        <w:t xml:space="preserve">an application for leave to appeal </w:t>
      </w:r>
      <w:r w:rsidR="00215D0B">
        <w:t xml:space="preserve">must </w:t>
      </w:r>
      <w:r>
        <w:t>be filed within</w:t>
      </w:r>
      <w:r w:rsidR="00020F28">
        <w:t xml:space="preserve"> 14 days after the date of judg</w:t>
      </w:r>
      <w:r>
        <w:t xml:space="preserve">ment.  </w:t>
      </w:r>
      <w:r w:rsidR="00960FD7">
        <w:t>Rule 35.14 of the Rules allows an application to be made for an extension of time to seek leave to appeal.</w:t>
      </w:r>
    </w:p>
    <w:p w14:paraId="1CC755A4" w14:textId="77777777" w:rsidR="00FB17FA" w:rsidRDefault="00AB3147" w:rsidP="00960FD7">
      <w:pPr>
        <w:pStyle w:val="ParaNumbering"/>
        <w:tabs>
          <w:tab w:val="clear" w:pos="720"/>
        </w:tabs>
      </w:pPr>
      <w:r>
        <w:t>The applicati</w:t>
      </w:r>
      <w:r w:rsidR="00960FD7">
        <w:t xml:space="preserve">on for an extension of time </w:t>
      </w:r>
      <w:r>
        <w:t xml:space="preserve">was filed about nine days </w:t>
      </w:r>
      <w:r w:rsidR="0007742D">
        <w:t xml:space="preserve">outside </w:t>
      </w:r>
      <w:r w:rsidR="00215D0B">
        <w:t xml:space="preserve">the </w:t>
      </w:r>
      <w:r>
        <w:t>time</w:t>
      </w:r>
      <w:r w:rsidR="0007742D">
        <w:t xml:space="preserve"> for filing an application for leave to appeal</w:t>
      </w:r>
      <w:r>
        <w:t xml:space="preserve">. </w:t>
      </w:r>
      <w:r w:rsidR="00215D0B">
        <w:t>The factors relevant to the</w:t>
      </w:r>
      <w:r w:rsidR="00FB17FA">
        <w:t xml:space="preserve"> grant of an extension of time include whether the applicant has provided </w:t>
      </w:r>
      <w:r w:rsidR="00544BDA">
        <w:t xml:space="preserve">a </w:t>
      </w:r>
      <w:r w:rsidR="00FB17FA">
        <w:t xml:space="preserve">satisfactory explanation for </w:t>
      </w:r>
      <w:r w:rsidR="00215D0B">
        <w:t xml:space="preserve">the </w:t>
      </w:r>
      <w:r w:rsidR="00FB17FA">
        <w:t xml:space="preserve">delay and </w:t>
      </w:r>
      <w:r w:rsidR="00215D0B">
        <w:t xml:space="preserve">whether </w:t>
      </w:r>
      <w:r w:rsidR="00960FD7">
        <w:t>the proposed application for leave to appea</w:t>
      </w:r>
      <w:r w:rsidR="00215D0B">
        <w:t>l has prospects of success</w:t>
      </w:r>
      <w:r w:rsidR="00FB17FA">
        <w:t xml:space="preserve">: </w:t>
      </w:r>
      <w:r w:rsidR="00FB17FA" w:rsidRPr="00960FD7">
        <w:rPr>
          <w:i/>
        </w:rPr>
        <w:t xml:space="preserve">Wilson </w:t>
      </w:r>
      <w:r w:rsidR="00544BDA" w:rsidRPr="00960FD7">
        <w:rPr>
          <w:i/>
        </w:rPr>
        <w:t xml:space="preserve">v </w:t>
      </w:r>
      <w:r w:rsidR="00FB17FA" w:rsidRPr="00960FD7">
        <w:rPr>
          <w:i/>
        </w:rPr>
        <w:t>Alexander</w:t>
      </w:r>
      <w:r w:rsidR="00FB17FA" w:rsidRPr="00F56D11">
        <w:t xml:space="preserve"> </w:t>
      </w:r>
      <w:r w:rsidR="00544BDA" w:rsidRPr="00F56D11">
        <w:t>(</w:t>
      </w:r>
      <w:r w:rsidR="00FB17FA" w:rsidRPr="00F56D11">
        <w:t>200</w:t>
      </w:r>
      <w:r w:rsidR="00544BDA" w:rsidRPr="00F56D11">
        <w:t>3)</w:t>
      </w:r>
      <w:r w:rsidR="00FB17FA" w:rsidRPr="00F56D11">
        <w:t xml:space="preserve"> 135</w:t>
      </w:r>
      <w:r w:rsidR="00544BDA" w:rsidRPr="00F56D11">
        <w:t xml:space="preserve"> F</w:t>
      </w:r>
      <w:r w:rsidR="00FB17FA" w:rsidRPr="00F56D11">
        <w:t>CR 273</w:t>
      </w:r>
      <w:r w:rsidR="00FB17FA">
        <w:t xml:space="preserve"> </w:t>
      </w:r>
      <w:r w:rsidR="00544BDA">
        <w:t>at [</w:t>
      </w:r>
      <w:r w:rsidR="00FB17FA">
        <w:t>24</w:t>
      </w:r>
      <w:r w:rsidR="00544BDA">
        <w:t>]</w:t>
      </w:r>
      <w:r w:rsidR="00622A40">
        <w:t>-[25]</w:t>
      </w:r>
      <w:r w:rsidR="00FB17FA">
        <w:t>.</w:t>
      </w:r>
    </w:p>
    <w:p w14:paraId="1CC755A5" w14:textId="77777777" w:rsidR="00FB17FA" w:rsidRDefault="00215D0B" w:rsidP="00326A96">
      <w:pPr>
        <w:pStyle w:val="ParaNumbering"/>
        <w:keepNext/>
      </w:pPr>
      <w:r>
        <w:t xml:space="preserve">The factors relevant to </w:t>
      </w:r>
      <w:r w:rsidR="00201E9D">
        <w:t xml:space="preserve">the </w:t>
      </w:r>
      <w:r>
        <w:t xml:space="preserve">prospects of success of </w:t>
      </w:r>
      <w:r w:rsidR="00201E9D">
        <w:t xml:space="preserve">an </w:t>
      </w:r>
      <w:r w:rsidR="00FB17FA">
        <w:t>application for leave to appeal</w:t>
      </w:r>
      <w:r>
        <w:t xml:space="preserve"> include</w:t>
      </w:r>
      <w:r w:rsidR="00FB17FA">
        <w:t>:</w:t>
      </w:r>
    </w:p>
    <w:p w14:paraId="1CC755A6" w14:textId="77777777" w:rsidR="00FB17FA" w:rsidRDefault="00FB17FA" w:rsidP="00544BDA">
      <w:pPr>
        <w:pStyle w:val="ListNo1alt"/>
      </w:pPr>
      <w:r>
        <w:t>whether,</w:t>
      </w:r>
      <w:r w:rsidR="00C67568">
        <w:t xml:space="preserve"> in all </w:t>
      </w:r>
      <w:r w:rsidR="00326A96">
        <w:t xml:space="preserve">the </w:t>
      </w:r>
      <w:r w:rsidR="00C67568">
        <w:t>circumstances, the judg</w:t>
      </w:r>
      <w:r>
        <w:t xml:space="preserve">ment of the primary judge is attended by sufficient doubt to warrant it being reconsidered by a </w:t>
      </w:r>
      <w:r w:rsidR="00C67568">
        <w:t>Full Court</w:t>
      </w:r>
      <w:r>
        <w:t>; and</w:t>
      </w:r>
    </w:p>
    <w:p w14:paraId="1CC755A7" w14:textId="77777777" w:rsidR="00FB17FA" w:rsidRDefault="00C67568" w:rsidP="00544BDA">
      <w:pPr>
        <w:pStyle w:val="ListNo1alt"/>
      </w:pPr>
      <w:r>
        <w:t xml:space="preserve">whether </w:t>
      </w:r>
      <w:r w:rsidR="00FB17FA">
        <w:t>substantial injustice would result if leave were refused</w:t>
      </w:r>
      <w:r w:rsidR="00492B79">
        <w:t>,</w:t>
      </w:r>
      <w:r w:rsidR="00FB17FA">
        <w:t xml:space="preserve"> supposing the decision were wrong.</w:t>
      </w:r>
    </w:p>
    <w:p w14:paraId="1CC755A8" w14:textId="77777777" w:rsidR="00215D0B" w:rsidRDefault="00215D0B" w:rsidP="007D7328">
      <w:pPr>
        <w:pStyle w:val="NoNum"/>
      </w:pPr>
      <w:r>
        <w:t>(</w:t>
      </w:r>
      <w:r w:rsidRPr="007D7328">
        <w:rPr>
          <w:i/>
        </w:rPr>
        <w:t>Décor Corporation Pty Ltd v Dart Industries Inc</w:t>
      </w:r>
      <w:r w:rsidRPr="00F56D11">
        <w:t xml:space="preserve"> (1991) 33 FCR 397</w:t>
      </w:r>
      <w:r>
        <w:t xml:space="preserve"> at 398–9).</w:t>
      </w:r>
    </w:p>
    <w:p w14:paraId="1CC755A9" w14:textId="77777777" w:rsidR="00FB17FA" w:rsidRDefault="00960FD7" w:rsidP="00FB17FA">
      <w:pPr>
        <w:pStyle w:val="ParaNumbering"/>
      </w:pPr>
      <w:r>
        <w:t>T</w:t>
      </w:r>
      <w:r w:rsidR="00FB17FA">
        <w:t>he applicant</w:t>
      </w:r>
      <w:r w:rsidR="00326A96">
        <w:t>’s</w:t>
      </w:r>
      <w:r w:rsidR="00FB17FA">
        <w:t xml:space="preserve"> </w:t>
      </w:r>
      <w:r w:rsidR="00326A96">
        <w:t xml:space="preserve">explanation </w:t>
      </w:r>
      <w:r w:rsidR="00FB17FA">
        <w:t>for his delay</w:t>
      </w:r>
      <w:r w:rsidR="00326A96">
        <w:t xml:space="preserve"> is that he was unaware of the time limit</w:t>
      </w:r>
      <w:r>
        <w:t xml:space="preserve"> to seek leave to appeal.</w:t>
      </w:r>
      <w:r w:rsidR="00FB17FA">
        <w:t xml:space="preserve">  </w:t>
      </w:r>
      <w:r w:rsidR="00E5489A">
        <w:t xml:space="preserve">The </w:t>
      </w:r>
      <w:r w:rsidR="00215D0B">
        <w:t>delay was</w:t>
      </w:r>
      <w:r w:rsidR="00FB17FA">
        <w:t xml:space="preserve"> </w:t>
      </w:r>
      <w:r>
        <w:t xml:space="preserve">fairly short. The </w:t>
      </w:r>
      <w:r w:rsidR="00E5489A">
        <w:t xml:space="preserve">default </w:t>
      </w:r>
      <w:r w:rsidR="00622A40">
        <w:t xml:space="preserve">of </w:t>
      </w:r>
      <w:r w:rsidR="00E5489A">
        <w:t xml:space="preserve">the applicant as </w:t>
      </w:r>
      <w:r w:rsidR="002E3E86">
        <w:t xml:space="preserve">a </w:t>
      </w:r>
      <w:r w:rsidR="00FB17FA">
        <w:t>self</w:t>
      </w:r>
      <w:r w:rsidR="002E3E86">
        <w:t>-</w:t>
      </w:r>
      <w:r w:rsidR="00FB17FA">
        <w:t>represented litigant</w:t>
      </w:r>
      <w:r>
        <w:t xml:space="preserve"> is understandable. </w:t>
      </w:r>
      <w:r w:rsidR="00E5489A">
        <w:t>The main issue is whether</w:t>
      </w:r>
      <w:r w:rsidR="00FB17FA">
        <w:t xml:space="preserve"> there is sufficient merit in the proposed </w:t>
      </w:r>
      <w:r>
        <w:t xml:space="preserve">application for leave to </w:t>
      </w:r>
      <w:r w:rsidR="00FB17FA">
        <w:t>appeal</w:t>
      </w:r>
      <w:r w:rsidR="00215D0B">
        <w:t>, which in turn depends upon whether there is sufficient merit in the proposed appeal.</w:t>
      </w:r>
    </w:p>
    <w:p w14:paraId="1CC755AA" w14:textId="77777777" w:rsidR="00FB17FA" w:rsidRDefault="00FB17FA" w:rsidP="00F02259">
      <w:pPr>
        <w:pStyle w:val="ParaNumbering"/>
        <w:keepLines/>
      </w:pPr>
      <w:r>
        <w:lastRenderedPageBreak/>
        <w:t xml:space="preserve">The proceeding </w:t>
      </w:r>
      <w:r w:rsidR="00622A40">
        <w:t>before</w:t>
      </w:r>
      <w:r>
        <w:t xml:space="preserve"> the primary judge sought review of </w:t>
      </w:r>
      <w:r w:rsidR="005020ED">
        <w:t>a</w:t>
      </w:r>
      <w:r>
        <w:t xml:space="preserve"> decision of the </w:t>
      </w:r>
      <w:r w:rsidR="005020ED">
        <w:t xml:space="preserve">Full Bench </w:t>
      </w:r>
      <w:r>
        <w:t xml:space="preserve">of the </w:t>
      </w:r>
      <w:r w:rsidR="005020ED">
        <w:t>Fair Work Commission</w:t>
      </w:r>
      <w:r w:rsidR="00E5489A">
        <w:t xml:space="preserve"> </w:t>
      </w:r>
      <w:r w:rsidR="00F8378C">
        <w:t>(</w:t>
      </w:r>
      <w:r w:rsidR="00E66F82">
        <w:t xml:space="preserve">the </w:t>
      </w:r>
      <w:r w:rsidR="007B1011" w:rsidRPr="007B1011">
        <w:rPr>
          <w:b/>
        </w:rPr>
        <w:t>Commission</w:t>
      </w:r>
      <w:r w:rsidR="00960FD7">
        <w:t xml:space="preserve">) </w:t>
      </w:r>
      <w:r w:rsidR="00E5489A">
        <w:t xml:space="preserve">made on </w:t>
      </w:r>
      <w:r>
        <w:t>10 November 2020</w:t>
      </w:r>
      <w:r w:rsidR="00DC501C">
        <w:t xml:space="preserve">: see </w:t>
      </w:r>
      <w:r w:rsidR="00DC501C" w:rsidRPr="00F56D11">
        <w:rPr>
          <w:i/>
        </w:rPr>
        <w:t>Lee v Superior Wood Pty Ltd</w:t>
      </w:r>
      <w:r w:rsidR="00DC501C" w:rsidRPr="00F56D11">
        <w:t xml:space="preserve"> [2020] FWCFB 6011</w:t>
      </w:r>
      <w:r w:rsidR="00DC501C">
        <w:t>. The Full Bench’s decision</w:t>
      </w:r>
      <w:r>
        <w:t xml:space="preserve"> </w:t>
      </w:r>
      <w:r w:rsidR="00DC501C">
        <w:t xml:space="preserve">rejected </w:t>
      </w:r>
      <w:r w:rsidR="005020ED">
        <w:t>an</w:t>
      </w:r>
      <w:r>
        <w:t xml:space="preserve"> appeal by the applicant against a decision </w:t>
      </w:r>
      <w:r w:rsidR="00DC501C">
        <w:t xml:space="preserve">of </w:t>
      </w:r>
      <w:r w:rsidR="00761169">
        <w:t>a single Commissioner</w:t>
      </w:r>
      <w:r w:rsidR="00DC501C">
        <w:t xml:space="preserve"> made on 22 July 2019</w:t>
      </w:r>
      <w:r>
        <w:t>: see</w:t>
      </w:r>
      <w:r w:rsidR="00A1733F">
        <w:t xml:space="preserve"> </w:t>
      </w:r>
      <w:r w:rsidRPr="00F56D11">
        <w:rPr>
          <w:i/>
        </w:rPr>
        <w:t xml:space="preserve">Lee </w:t>
      </w:r>
      <w:r w:rsidR="005020ED" w:rsidRPr="00F56D11">
        <w:rPr>
          <w:i/>
        </w:rPr>
        <w:t>v Superior Wood Pty Ltd</w:t>
      </w:r>
      <w:r w:rsidR="005020ED" w:rsidRPr="00F56D11">
        <w:t xml:space="preserve"> </w:t>
      </w:r>
      <w:r w:rsidR="005020ED" w:rsidRPr="00F56D11">
        <w:rPr>
          <w:i/>
        </w:rPr>
        <w:t>t/</w:t>
      </w:r>
      <w:r w:rsidRPr="00F56D11">
        <w:rPr>
          <w:i/>
        </w:rPr>
        <w:t xml:space="preserve">a </w:t>
      </w:r>
      <w:r w:rsidR="005020ED" w:rsidRPr="00F56D11">
        <w:rPr>
          <w:i/>
        </w:rPr>
        <w:t>Superior Wood</w:t>
      </w:r>
      <w:r w:rsidR="005020ED" w:rsidRPr="00F56D11">
        <w:t xml:space="preserve"> [</w:t>
      </w:r>
      <w:r w:rsidRPr="00F56D11">
        <w:t>2019</w:t>
      </w:r>
      <w:r w:rsidR="005020ED" w:rsidRPr="00F56D11">
        <w:t>]</w:t>
      </w:r>
      <w:r w:rsidRPr="00F56D11">
        <w:t xml:space="preserve"> FWC</w:t>
      </w:r>
      <w:r w:rsidR="005020ED" w:rsidRPr="00F56D11">
        <w:t xml:space="preserve"> </w:t>
      </w:r>
      <w:r w:rsidRPr="00F56D11">
        <w:t>5095</w:t>
      </w:r>
      <w:r w:rsidR="00F175D0">
        <w:t>.</w:t>
      </w:r>
    </w:p>
    <w:p w14:paraId="1CC755AB" w14:textId="77777777" w:rsidR="00E20A6C" w:rsidRDefault="00960FD7" w:rsidP="00E20A6C">
      <w:pPr>
        <w:pStyle w:val="ParaNumbering"/>
      </w:pPr>
      <w:r>
        <w:t xml:space="preserve">The application </w:t>
      </w:r>
      <w:r w:rsidR="00476A9A">
        <w:t xml:space="preserve">for review </w:t>
      </w:r>
      <w:r w:rsidR="00F175D0">
        <w:t xml:space="preserve">of the Full Bench’s decision </w:t>
      </w:r>
      <w:r>
        <w:t>cam</w:t>
      </w:r>
      <w:r w:rsidR="00E20A6C">
        <w:t>e</w:t>
      </w:r>
      <w:r>
        <w:t xml:space="preserve"> on for a case management hearing before the primary judge on </w:t>
      </w:r>
      <w:r w:rsidR="00E20A6C">
        <w:t xml:space="preserve">19 April 2021. His Honour made the following </w:t>
      </w:r>
      <w:r w:rsidR="00F175D0">
        <w:t>O</w:t>
      </w:r>
      <w:r w:rsidR="00E20A6C">
        <w:t>rders:</w:t>
      </w:r>
    </w:p>
    <w:p w14:paraId="1CC755AC" w14:textId="77777777" w:rsidR="00E20A6C" w:rsidRDefault="00E20A6C" w:rsidP="00E20A6C">
      <w:pPr>
        <w:pStyle w:val="Quote1"/>
        <w:ind w:left="1440" w:hanging="703"/>
      </w:pPr>
      <w:r>
        <w:t xml:space="preserve">1. </w:t>
      </w:r>
      <w:r>
        <w:tab/>
        <w:t>Superior Wood Pty Ltd trading as Superior Wood be joined as the first respondent.</w:t>
      </w:r>
    </w:p>
    <w:p w14:paraId="1CC755AD" w14:textId="77777777" w:rsidR="00E20A6C" w:rsidRDefault="00E20A6C" w:rsidP="00E20A6C">
      <w:pPr>
        <w:pStyle w:val="Quote1"/>
      </w:pPr>
      <w:r>
        <w:t xml:space="preserve">2. </w:t>
      </w:r>
      <w:r>
        <w:tab/>
        <w:t>The Fair Work Commission become the second respondent.</w:t>
      </w:r>
    </w:p>
    <w:p w14:paraId="1CC755AE" w14:textId="77777777" w:rsidR="00E20A6C" w:rsidRDefault="00E20A6C" w:rsidP="00E20A6C">
      <w:pPr>
        <w:pStyle w:val="Quote1"/>
        <w:ind w:left="1440" w:hanging="703"/>
      </w:pPr>
      <w:r>
        <w:t xml:space="preserve">3. </w:t>
      </w:r>
      <w:r>
        <w:tab/>
        <w:t>The presently named second, third and fourth respondents, namely Vice President Adam Hatcher, Deputy President Amber Millhouse, and Commissioner Peter Hampton be removed as respondent parties.</w:t>
      </w:r>
    </w:p>
    <w:p w14:paraId="1CC755AF" w14:textId="77777777" w:rsidR="00E20A6C" w:rsidRDefault="00E20A6C" w:rsidP="00E20A6C">
      <w:pPr>
        <w:pStyle w:val="Quote1"/>
        <w:ind w:left="1440" w:hanging="703"/>
      </w:pPr>
      <w:r>
        <w:t xml:space="preserve">4. </w:t>
      </w:r>
      <w:r>
        <w:tab/>
        <w:t>The need for the service of the originating application on the new first respondent be dispensed with.</w:t>
      </w:r>
    </w:p>
    <w:p w14:paraId="1CC755B0" w14:textId="77777777" w:rsidR="00E20A6C" w:rsidRDefault="00E20A6C" w:rsidP="00E20A6C">
      <w:pPr>
        <w:pStyle w:val="Quote1"/>
        <w:ind w:left="1440" w:hanging="703"/>
      </w:pPr>
      <w:r>
        <w:t xml:space="preserve">5. </w:t>
      </w:r>
      <w:r>
        <w:tab/>
        <w:t xml:space="preserve">The applicant provide forthwith to the Court his telephone number as required by rule 2.16 of the </w:t>
      </w:r>
      <w:r w:rsidRPr="00020F28">
        <w:rPr>
          <w:i/>
        </w:rPr>
        <w:t>Federal Court Rules 2011</w:t>
      </w:r>
      <w:r>
        <w:t xml:space="preserve"> (Cth).</w:t>
      </w:r>
    </w:p>
    <w:p w14:paraId="1CC755B1" w14:textId="77777777" w:rsidR="00E20A6C" w:rsidRDefault="00E20A6C" w:rsidP="00E20A6C">
      <w:pPr>
        <w:pStyle w:val="Quote1"/>
        <w:ind w:left="1440" w:hanging="703"/>
      </w:pPr>
      <w:r>
        <w:t xml:space="preserve">6. </w:t>
      </w:r>
      <w:r>
        <w:tab/>
        <w:t>The proceeding be dismissed for want of compliance with order number 6 (sic 5).</w:t>
      </w:r>
    </w:p>
    <w:p w14:paraId="1CC755B2" w14:textId="77777777" w:rsidR="00E20A6C" w:rsidRDefault="00E20A6C" w:rsidP="00E20A6C">
      <w:pPr>
        <w:pStyle w:val="Quote1"/>
      </w:pPr>
      <w:r>
        <w:t xml:space="preserve">7. </w:t>
      </w:r>
      <w:r>
        <w:tab/>
        <w:t>No order as to costs.</w:t>
      </w:r>
    </w:p>
    <w:p w14:paraId="1CC755B3" w14:textId="77777777" w:rsidR="00E20A6C" w:rsidRDefault="00E20A6C" w:rsidP="00E20A6C">
      <w:pPr>
        <w:pStyle w:val="ParaNumbering"/>
      </w:pPr>
      <w:r>
        <w:t xml:space="preserve">The most significant of the </w:t>
      </w:r>
      <w:r w:rsidR="00F175D0">
        <w:t>O</w:t>
      </w:r>
      <w:r>
        <w:t xml:space="preserve">rders was to dismiss the proceeding for want of compliance </w:t>
      </w:r>
      <w:r w:rsidR="002D1DC8">
        <w:t xml:space="preserve">by the applicant </w:t>
      </w:r>
      <w:r>
        <w:t xml:space="preserve">with the </w:t>
      </w:r>
      <w:r w:rsidR="007B6B40">
        <w:t>o</w:t>
      </w:r>
      <w:r>
        <w:t xml:space="preserve">rder to </w:t>
      </w:r>
      <w:r w:rsidRPr="00E20A6C">
        <w:t>provide his telephone number as required by rule 2.16</w:t>
      </w:r>
      <w:r w:rsidR="00895235">
        <w:t>(1)(d)</w:t>
      </w:r>
      <w:r w:rsidRPr="00E20A6C">
        <w:t xml:space="preserve"> of the </w:t>
      </w:r>
      <w:r>
        <w:t>Rules.</w:t>
      </w:r>
    </w:p>
    <w:p w14:paraId="1CC755B4" w14:textId="77777777" w:rsidR="0039587A" w:rsidRDefault="00E20A6C" w:rsidP="00E20A6C">
      <w:pPr>
        <w:pStyle w:val="ParaNumbering"/>
      </w:pPr>
      <w:r>
        <w:t xml:space="preserve">The </w:t>
      </w:r>
      <w:r w:rsidR="00960FD7">
        <w:t>primary judge</w:t>
      </w:r>
      <w:r>
        <w:t xml:space="preserve"> provided</w:t>
      </w:r>
      <w:r w:rsidR="00960FD7">
        <w:t xml:space="preserve"> </w:t>
      </w:r>
      <w:r w:rsidR="00960FD7" w:rsidRPr="00685460">
        <w:t xml:space="preserve">reasons for </w:t>
      </w:r>
      <w:r w:rsidR="00476A9A">
        <w:t>making the O</w:t>
      </w:r>
      <w:r>
        <w:t>rders</w:t>
      </w:r>
      <w:r w:rsidR="002D1DC8">
        <w:t xml:space="preserve"> of 19 April 2021</w:t>
      </w:r>
      <w:r>
        <w:t xml:space="preserve">. </w:t>
      </w:r>
      <w:r w:rsidR="00960FD7" w:rsidRPr="00685460">
        <w:t xml:space="preserve"> </w:t>
      </w:r>
      <w:r>
        <w:t xml:space="preserve">His Honour </w:t>
      </w:r>
      <w:r w:rsidR="00FB17FA" w:rsidRPr="00685460">
        <w:t>observed that the applicant</w:t>
      </w:r>
      <w:r w:rsidR="00DD57A3">
        <w:t>’</w:t>
      </w:r>
      <w:r w:rsidR="00FB17FA" w:rsidRPr="00685460">
        <w:t>s originating applicati</w:t>
      </w:r>
      <w:r>
        <w:t xml:space="preserve">on </w:t>
      </w:r>
      <w:r w:rsidR="00476A9A">
        <w:t>was</w:t>
      </w:r>
      <w:r w:rsidR="00215D0B">
        <w:t xml:space="preserve"> </w:t>
      </w:r>
      <w:r w:rsidR="00215D0B" w:rsidRPr="00685460">
        <w:t>deficient</w:t>
      </w:r>
      <w:r w:rsidR="00FB17FA" w:rsidRPr="00685460">
        <w:t xml:space="preserve"> in two ways.  First, it failed to provide a contact telephone number </w:t>
      </w:r>
      <w:r w:rsidR="002E153F" w:rsidRPr="00685460">
        <w:t>a</w:t>
      </w:r>
      <w:r w:rsidR="00FB17FA" w:rsidRPr="00685460">
        <w:t xml:space="preserve">s required by </w:t>
      </w:r>
      <w:r w:rsidR="002E153F" w:rsidRPr="00F56D11">
        <w:t>r </w:t>
      </w:r>
      <w:r w:rsidR="00FB17FA" w:rsidRPr="00F56D11">
        <w:t>2.16(</w:t>
      </w:r>
      <w:r w:rsidR="002E153F" w:rsidRPr="00F56D11">
        <w:t>1)(d</w:t>
      </w:r>
      <w:r w:rsidR="00FB17FA" w:rsidRPr="00F56D11">
        <w:t>) of the</w:t>
      </w:r>
      <w:r w:rsidR="00F56D11">
        <w:rPr>
          <w:i/>
        </w:rPr>
        <w:t xml:space="preserve"> </w:t>
      </w:r>
      <w:r w:rsidR="00F56D11">
        <w:t>Rules</w:t>
      </w:r>
      <w:r w:rsidR="00FB17FA" w:rsidRPr="00685460">
        <w:t xml:space="preserve">.  Second, </w:t>
      </w:r>
      <w:r w:rsidR="00215D0B">
        <w:t xml:space="preserve">it </w:t>
      </w:r>
      <w:r w:rsidR="00FB17FA" w:rsidRPr="00685460">
        <w:t>named unnecessary parties</w:t>
      </w:r>
      <w:r w:rsidR="002E153F" w:rsidRPr="00685460">
        <w:t>,</w:t>
      </w:r>
      <w:r w:rsidR="00FB17FA" w:rsidRPr="00685460">
        <w:t xml:space="preserve"> </w:t>
      </w:r>
      <w:r w:rsidR="002E153F" w:rsidRPr="00685460">
        <w:t xml:space="preserve">namely </w:t>
      </w:r>
      <w:r w:rsidR="00FB17FA" w:rsidRPr="00685460">
        <w:t xml:space="preserve">the members constituting the </w:t>
      </w:r>
      <w:r w:rsidR="002E153F" w:rsidRPr="00685460">
        <w:t xml:space="preserve">Full Bench </w:t>
      </w:r>
      <w:r w:rsidR="00FB17FA" w:rsidRPr="00685460">
        <w:t xml:space="preserve">of the </w:t>
      </w:r>
      <w:r w:rsidR="002E153F" w:rsidRPr="00685460">
        <w:t xml:space="preserve">Commission </w:t>
      </w:r>
      <w:r w:rsidR="00FB17FA" w:rsidRPr="00685460">
        <w:t xml:space="preserve">(instead of the </w:t>
      </w:r>
      <w:r w:rsidR="002E153F" w:rsidRPr="00685460">
        <w:t xml:space="preserve">Commission </w:t>
      </w:r>
      <w:r w:rsidR="00FB17FA" w:rsidRPr="00685460">
        <w:t xml:space="preserve">itself), and failed to name a necessary party, namely </w:t>
      </w:r>
      <w:r>
        <w:t xml:space="preserve">the applicant’s former employer, </w:t>
      </w:r>
      <w:r w:rsidR="002E153F" w:rsidRPr="00685460">
        <w:t>Superior Wood Pty Ltd</w:t>
      </w:r>
      <w:r w:rsidR="00F175D0">
        <w:t xml:space="preserve"> (the </w:t>
      </w:r>
      <w:r w:rsidR="00F175D0">
        <w:rPr>
          <w:b/>
        </w:rPr>
        <w:t>employer</w:t>
      </w:r>
      <w:r w:rsidR="00F175D0">
        <w:t>)</w:t>
      </w:r>
      <w:r w:rsidR="00FB17FA" w:rsidRPr="00685460">
        <w:t xml:space="preserve">.  </w:t>
      </w:r>
    </w:p>
    <w:p w14:paraId="1CC755B5" w14:textId="77777777" w:rsidR="00FB17FA" w:rsidRPr="00685460" w:rsidRDefault="00FB17FA" w:rsidP="007D7328">
      <w:pPr>
        <w:pStyle w:val="ParaNumbering"/>
        <w:keepNext/>
        <w:keepLines/>
      </w:pPr>
      <w:r w:rsidRPr="00685460">
        <w:lastRenderedPageBreak/>
        <w:t xml:space="preserve">The </w:t>
      </w:r>
      <w:r w:rsidR="00E20A6C">
        <w:t xml:space="preserve">primary judge’s </w:t>
      </w:r>
      <w:r w:rsidRPr="00685460">
        <w:t>reasons noted that at the commencement of the</w:t>
      </w:r>
      <w:r w:rsidR="00E20A6C">
        <w:t xml:space="preserve"> case management hearing</w:t>
      </w:r>
      <w:r w:rsidR="004E1F1A" w:rsidRPr="00685460">
        <w:t>,</w:t>
      </w:r>
      <w:r w:rsidR="004D2E7F">
        <w:t xml:space="preserve"> the proceeding had been</w:t>
      </w:r>
      <w:r w:rsidRPr="00685460">
        <w:t xml:space="preserve"> regularised in the second respect</w:t>
      </w:r>
      <w:r w:rsidR="002D1DC8">
        <w:t>,</w:t>
      </w:r>
      <w:r w:rsidRPr="00685460">
        <w:t xml:space="preserve"> such that the individual members of the </w:t>
      </w:r>
      <w:r w:rsidR="00E20A6C">
        <w:t xml:space="preserve">Full Bench </w:t>
      </w:r>
      <w:r w:rsidR="00476A9A">
        <w:t xml:space="preserve">had been </w:t>
      </w:r>
      <w:r w:rsidRPr="00685460">
        <w:t xml:space="preserve">removed as parties </w:t>
      </w:r>
      <w:r w:rsidR="005C5F55">
        <w:t xml:space="preserve">and replaced by the Commission, </w:t>
      </w:r>
      <w:r w:rsidRPr="00685460">
        <w:t xml:space="preserve">and the employer </w:t>
      </w:r>
      <w:r w:rsidR="00476A9A">
        <w:t xml:space="preserve">had been </w:t>
      </w:r>
      <w:r w:rsidRPr="00685460">
        <w:t xml:space="preserve">joined as a party.  Accordingly, his </w:t>
      </w:r>
      <w:r w:rsidR="004E1F1A" w:rsidRPr="00685460">
        <w:t xml:space="preserve">Honour </w:t>
      </w:r>
      <w:r w:rsidR="004D2E7F">
        <w:t xml:space="preserve">had </w:t>
      </w:r>
      <w:r w:rsidRPr="00685460">
        <w:t xml:space="preserve">made </w:t>
      </w:r>
      <w:r w:rsidR="00E84FD7" w:rsidRPr="00685460">
        <w:t xml:space="preserve">Orders </w:t>
      </w:r>
      <w:r w:rsidR="0039587A">
        <w:t>1 to 3</w:t>
      </w:r>
      <w:r w:rsidR="0067048B">
        <w:t xml:space="preserve"> of the Orders of 19 April 2021</w:t>
      </w:r>
      <w:r w:rsidR="00E20A6C">
        <w:t xml:space="preserve">. </w:t>
      </w:r>
    </w:p>
    <w:p w14:paraId="1CC755B6" w14:textId="77777777" w:rsidR="004E1F1A" w:rsidRDefault="0039587A" w:rsidP="004D2E7F">
      <w:pPr>
        <w:pStyle w:val="ParaNumbering"/>
      </w:pPr>
      <w:r>
        <w:t>The p</w:t>
      </w:r>
      <w:r w:rsidR="00FB17FA">
        <w:t>rimary judge</w:t>
      </w:r>
      <w:r w:rsidR="00DD57A3">
        <w:t>’</w:t>
      </w:r>
      <w:r w:rsidR="00FB17FA">
        <w:t>s reasons continued as follows:</w:t>
      </w:r>
    </w:p>
    <w:p w14:paraId="1CC755B7" w14:textId="77777777" w:rsidR="004E1F1A" w:rsidRDefault="004E1F1A" w:rsidP="004E1F1A">
      <w:pPr>
        <w:pStyle w:val="Quote1"/>
        <w:ind w:left="1440" w:hanging="703"/>
      </w:pPr>
      <w:r>
        <w:t xml:space="preserve">4 </w:t>
      </w:r>
      <w:r>
        <w:tab/>
        <w:t>The case then proceeded further with case management. In the course of that, and noting the absence of a telephone number, as well as a residential address, I asked Mr Lee to provide each of them. He provided a residential address. That residential address, as handwritten by him, I direct be marked as Exhibit 1 and placed on the Court file with the annotation, not to be opened without the leave of the Court or a judge.</w:t>
      </w:r>
    </w:p>
    <w:p w14:paraId="1CC755B8" w14:textId="77777777" w:rsidR="004E1F1A" w:rsidRDefault="004E1F1A" w:rsidP="00685460">
      <w:pPr>
        <w:pStyle w:val="Quote1"/>
        <w:keepNext/>
        <w:keepLines/>
        <w:ind w:left="1440" w:hanging="703"/>
      </w:pPr>
      <w:r>
        <w:t xml:space="preserve">5 </w:t>
      </w:r>
      <w:r>
        <w:tab/>
        <w:t>Mr Lee declined to provide a telephone number. I directed him so to do. I also adjourned the Court so that he might have the benefit of reflecting upon what may be the consequence of noncompliance with the direction to provide a telephone number. Upon resumption, I ascertained from the employer that it had no particular interest in knowing the telephone number; that had been a concern on the part of Mr Lee. I informed Mr Lee that it was my settled view that it remained the case that the administration of justice in this case required that the registry be able to contact him as required by telephone in addition to other means of communication. I also expressly directed his attention to r 2.16(1)(d) of the Rules and provided him with a copy of that for him to read in conjunction with his brother. I warned him that a consequence of a failure to comply with a direction to provide the telephone number may be that his proceeding may be dismissed for want of compliance with a case management direction.</w:t>
      </w:r>
    </w:p>
    <w:p w14:paraId="1CC755B9" w14:textId="77777777" w:rsidR="00FB17FA" w:rsidRDefault="004E1F1A" w:rsidP="004E1F1A">
      <w:pPr>
        <w:pStyle w:val="Quote1"/>
        <w:ind w:left="1440" w:hanging="703"/>
      </w:pPr>
      <w:r>
        <w:t xml:space="preserve">6 </w:t>
      </w:r>
      <w:r>
        <w:tab/>
        <w:t>I offered Mr Lee a further opportunity, on brief adjournment, to reflect on the course that he had earlier indicated. He voiced an apprehension on his part to me as to some particular adverse impact or disadvantage that might attend the provision of a telephone number to the Court. I assured him that there would be no such disadvantage, but rather, if anything, every advantage in terms of the administration of his proceeding in the facility offered by the ability to contact him as if and when required by telephone. He persisted nonetheless in a settled view that he would not provide a contact telephone number. That being so, in my view, the proceeding should be dismissed for want of compliance with a case management direction. I so order.</w:t>
      </w:r>
    </w:p>
    <w:p w14:paraId="1CC755BA" w14:textId="77777777" w:rsidR="00FB17FA" w:rsidRPr="00685460" w:rsidRDefault="00FB17FA" w:rsidP="00FB17FA">
      <w:pPr>
        <w:pStyle w:val="ParaNumbering"/>
      </w:pPr>
      <w:r w:rsidRPr="00685460">
        <w:t xml:space="preserve">The matters referred to </w:t>
      </w:r>
      <w:r w:rsidR="00622A40">
        <w:t xml:space="preserve">by the primary judge </w:t>
      </w:r>
      <w:r w:rsidRPr="00685460">
        <w:t xml:space="preserve">in these paragraphs were reflected in </w:t>
      </w:r>
      <w:r w:rsidR="006D700E" w:rsidRPr="00685460">
        <w:t xml:space="preserve">Orders 5 </w:t>
      </w:r>
      <w:r w:rsidRPr="00685460">
        <w:t xml:space="preserve">and </w:t>
      </w:r>
      <w:r w:rsidR="006D700E" w:rsidRPr="00685460">
        <w:t>6</w:t>
      </w:r>
      <w:r w:rsidRPr="00685460">
        <w:t xml:space="preserve"> of the </w:t>
      </w:r>
      <w:r w:rsidR="006D700E" w:rsidRPr="00685460">
        <w:t xml:space="preserve">Orders </w:t>
      </w:r>
      <w:r w:rsidR="00E20A6C">
        <w:t>of 19 April 2021</w:t>
      </w:r>
      <w:r w:rsidR="006D700E" w:rsidRPr="00685460">
        <w:t>.</w:t>
      </w:r>
    </w:p>
    <w:p w14:paraId="1CC755BB" w14:textId="77777777" w:rsidR="00D75CBE" w:rsidRDefault="00FB17FA" w:rsidP="007D7328">
      <w:pPr>
        <w:pStyle w:val="ParaNumbering"/>
        <w:keepNext/>
        <w:keepLines/>
      </w:pPr>
      <w:r>
        <w:lastRenderedPageBreak/>
        <w:t>The</w:t>
      </w:r>
      <w:r w:rsidR="00E20A6C">
        <w:t xml:space="preserve"> </w:t>
      </w:r>
      <w:r w:rsidR="00BC1AAF">
        <w:t xml:space="preserve">proposed </w:t>
      </w:r>
      <w:r w:rsidR="00E20A6C">
        <w:t xml:space="preserve">grounds of appeal in the </w:t>
      </w:r>
      <w:r>
        <w:t>applicant</w:t>
      </w:r>
      <w:r w:rsidR="00DD57A3">
        <w:t>’</w:t>
      </w:r>
      <w:r>
        <w:t>s</w:t>
      </w:r>
      <w:r w:rsidR="00F56D11">
        <w:t xml:space="preserve"> </w:t>
      </w:r>
      <w:r>
        <w:t>draft notice of appea</w:t>
      </w:r>
      <w:r w:rsidR="00E20A6C">
        <w:t>l are as follows</w:t>
      </w:r>
      <w:r w:rsidR="00D75CBE">
        <w:t>:</w:t>
      </w:r>
    </w:p>
    <w:p w14:paraId="1CC755BC" w14:textId="77777777" w:rsidR="00F037AE" w:rsidRDefault="00F037AE" w:rsidP="007D7328">
      <w:pPr>
        <w:pStyle w:val="Quote1"/>
        <w:keepNext/>
        <w:keepLines/>
        <w:ind w:left="1440" w:hanging="703"/>
      </w:pPr>
      <w:r>
        <w:t>1.</w:t>
      </w:r>
      <w:r>
        <w:tab/>
        <w:t>Judge Logan refused to allow the unrepresented Applicant to be represented by his brother, then ignored the Applicant</w:t>
      </w:r>
      <w:r w:rsidR="00DD57A3">
        <w:t>’</w:t>
      </w:r>
      <w:r>
        <w:t>s Appeal of that Decision.</w:t>
      </w:r>
    </w:p>
    <w:p w14:paraId="1CC755BD" w14:textId="77777777" w:rsidR="00F037AE" w:rsidRDefault="00F037AE" w:rsidP="007D7328">
      <w:pPr>
        <w:pStyle w:val="Quote1"/>
        <w:keepNext/>
        <w:keepLines/>
        <w:ind w:left="1440" w:hanging="703"/>
      </w:pPr>
      <w:r>
        <w:t>2.</w:t>
      </w:r>
      <w:r>
        <w:tab/>
        <w:t>This is grossly unfair as the Respondent is a state legal tribunal and has unlimited resources and government solicitors for representation.</w:t>
      </w:r>
    </w:p>
    <w:p w14:paraId="1CC755BE" w14:textId="77777777" w:rsidR="00F037AE" w:rsidRDefault="00F037AE" w:rsidP="00F037AE">
      <w:pPr>
        <w:pStyle w:val="Quote1"/>
        <w:ind w:left="1440" w:hanging="703"/>
      </w:pPr>
      <w:r>
        <w:t>3.</w:t>
      </w:r>
      <w:r>
        <w:tab/>
        <w:t>There was no Joinder Application for Superior Wood to be listed as a Respondent.</w:t>
      </w:r>
    </w:p>
    <w:p w14:paraId="1CC755BF" w14:textId="77777777" w:rsidR="00F037AE" w:rsidRDefault="00F037AE" w:rsidP="007D7328">
      <w:pPr>
        <w:pStyle w:val="Quote1"/>
        <w:ind w:left="1440" w:hanging="703"/>
      </w:pPr>
      <w:r>
        <w:t>4.</w:t>
      </w:r>
      <w:r>
        <w:tab/>
        <w:t>Judge Logan Ordered the alteration of an Originating Application without any application to do so, and without the consent of the Applicant.</w:t>
      </w:r>
    </w:p>
    <w:p w14:paraId="1CC755C0" w14:textId="77777777" w:rsidR="00F037AE" w:rsidRDefault="00F037AE" w:rsidP="00F037AE">
      <w:pPr>
        <w:pStyle w:val="Quote1"/>
        <w:ind w:left="1440" w:hanging="703"/>
      </w:pPr>
      <w:r>
        <w:t>5.</w:t>
      </w:r>
      <w:r>
        <w:tab/>
        <w:t>Judge Logan acted to strike the matter out by Summary Dismissal, independently of parties. There was no application for Summary Dismissal.</w:t>
      </w:r>
    </w:p>
    <w:p w14:paraId="1CC755C1" w14:textId="77777777" w:rsidR="00F037AE" w:rsidRDefault="00F037AE" w:rsidP="00F037AE">
      <w:pPr>
        <w:pStyle w:val="Quote1"/>
        <w:ind w:left="1440" w:hanging="703"/>
      </w:pPr>
      <w:r>
        <w:t>6.</w:t>
      </w:r>
      <w:r>
        <w:tab/>
        <w:t>Judge Logan Summarily Dismissed an historic appeal for want of the Applicants phone number. The Dismissal was entirely at the discretion of Judge Logan and was petty, redundant, and an attempt to deny the Applicant due legal process.</w:t>
      </w:r>
    </w:p>
    <w:p w14:paraId="1CC755C2" w14:textId="77777777" w:rsidR="00F037AE" w:rsidRDefault="00F037AE" w:rsidP="007D7328">
      <w:pPr>
        <w:pStyle w:val="Quote1"/>
        <w:ind w:left="1440" w:hanging="703"/>
      </w:pPr>
      <w:r>
        <w:t>7.</w:t>
      </w:r>
      <w:r>
        <w:tab/>
        <w:t xml:space="preserve">Judge Logan has misrepresented the Applicant in his </w:t>
      </w:r>
      <w:r w:rsidRPr="00F037AE">
        <w:rPr>
          <w:i/>
        </w:rPr>
        <w:t>Reasons For Judgement</w:t>
      </w:r>
      <w:r>
        <w:t>. The Court claims that the Applicant was concerned that his phone number would be misused by Superior Wood. This is wrong. The Applicant was refusing to provide his personal telephone number to the Court because the Court had previously abused it. The Court was again attempting to use the Applicants phone contact to divert the matter to an informal process, instead of progressing it to substantive appeal hearing.</w:t>
      </w:r>
    </w:p>
    <w:p w14:paraId="1CC755C3" w14:textId="77777777" w:rsidR="00F037AE" w:rsidRDefault="00F037AE" w:rsidP="00F037AE">
      <w:pPr>
        <w:pStyle w:val="Quote1"/>
        <w:ind w:left="1440" w:hanging="703"/>
      </w:pPr>
      <w:r>
        <w:t>8.</w:t>
      </w:r>
      <w:r>
        <w:tab/>
        <w:t>Judge Logan has attempted to deny the Applicant a proper appeal hearing, by demanding the Applicant</w:t>
      </w:r>
      <w:r w:rsidR="00DD57A3">
        <w:t>’</w:t>
      </w:r>
      <w:r>
        <w:t>s phone number for informal, secret communications and negotiations.</w:t>
      </w:r>
    </w:p>
    <w:p w14:paraId="1CC755C4" w14:textId="77777777" w:rsidR="00F037AE" w:rsidRDefault="00F037AE" w:rsidP="00F037AE">
      <w:pPr>
        <w:pStyle w:val="Quote1"/>
        <w:ind w:left="1440" w:hanging="703"/>
      </w:pPr>
      <w:r>
        <w:t>9.</w:t>
      </w:r>
      <w:r>
        <w:tab/>
        <w:t>Judge Logan used the Case Management Hearing to introduce and legitimize a non-party to the matter (Superior Wood).</w:t>
      </w:r>
    </w:p>
    <w:p w14:paraId="1CC755C5" w14:textId="77777777" w:rsidR="00F037AE" w:rsidRDefault="00F037AE" w:rsidP="00F037AE">
      <w:pPr>
        <w:pStyle w:val="Quote1"/>
        <w:ind w:left="1440" w:hanging="703"/>
      </w:pPr>
      <w:r>
        <w:t>10.</w:t>
      </w:r>
      <w:r>
        <w:tab/>
        <w:t>Judge Logan then provided detailed legal strategy advice to Superior Wood, about how it might best extinguish the Applicant</w:t>
      </w:r>
      <w:r w:rsidR="00DD57A3">
        <w:t>’</w:t>
      </w:r>
      <w:r>
        <w:t>s case in the Federal Court. This could well constitute Unconscionable Conduct.</w:t>
      </w:r>
    </w:p>
    <w:p w14:paraId="1CC755C6" w14:textId="77777777" w:rsidR="00F037AE" w:rsidRDefault="00F037AE" w:rsidP="00622A40">
      <w:pPr>
        <w:pStyle w:val="Quote1"/>
        <w:ind w:left="1440" w:hanging="703"/>
      </w:pPr>
      <w:r>
        <w:t>11.</w:t>
      </w:r>
      <w:r>
        <w:tab/>
      </w:r>
      <w:r w:rsidR="00622A40">
        <w:t xml:space="preserve">Judge </w:t>
      </w:r>
      <w:r>
        <w:t>Logan failed to order the Fair Work Commission to make a Submitting Notice.</w:t>
      </w:r>
    </w:p>
    <w:p w14:paraId="1CC755C7" w14:textId="77777777" w:rsidR="00FB17FA" w:rsidRDefault="00F037AE" w:rsidP="00F037AE">
      <w:pPr>
        <w:pStyle w:val="Quote1"/>
      </w:pPr>
      <w:r>
        <w:t>12.</w:t>
      </w:r>
      <w:r>
        <w:tab/>
        <w:t>The Fair Work Commission failed to make a Submitting Notice.</w:t>
      </w:r>
    </w:p>
    <w:p w14:paraId="1CC755C8" w14:textId="77777777" w:rsidR="00F037AE" w:rsidRDefault="00F037AE" w:rsidP="005B3660">
      <w:pPr>
        <w:pStyle w:val="Quote1"/>
        <w:ind w:left="1440" w:hanging="703"/>
      </w:pPr>
      <w:r>
        <w:t>13.</w:t>
      </w:r>
      <w:r>
        <w:tab/>
        <w:t>The Fair Work Commission made submissions to the Court in breach of it</w:t>
      </w:r>
      <w:r w:rsidR="00DD57A3">
        <w:t>’</w:t>
      </w:r>
      <w:r>
        <w:t>s obligation to provide a Submitting Notice.</w:t>
      </w:r>
    </w:p>
    <w:p w14:paraId="1CC755C9" w14:textId="77777777" w:rsidR="00F037AE" w:rsidRDefault="00F037AE" w:rsidP="005B3660">
      <w:pPr>
        <w:pStyle w:val="Quote1"/>
        <w:ind w:left="1440" w:hanging="703"/>
      </w:pPr>
      <w:r>
        <w:t>14.</w:t>
      </w:r>
      <w:r>
        <w:tab/>
        <w:t>Judge Logan asked the Fair Work Commission for submissions. He then heard those submissions, in conflict with his obligation to impartiality, and immediately ordered the suggested alterations.</w:t>
      </w:r>
    </w:p>
    <w:p w14:paraId="1CC755CA" w14:textId="77777777" w:rsidR="00F037AE" w:rsidRDefault="00F037AE" w:rsidP="005B3660">
      <w:pPr>
        <w:pStyle w:val="Quote1"/>
        <w:ind w:left="1440" w:hanging="703"/>
      </w:pPr>
      <w:r>
        <w:t>15.</w:t>
      </w:r>
      <w:r>
        <w:tab/>
        <w:t>The Fair Work Commission has secretly contacted and threatened the unrepresented Applicant.</w:t>
      </w:r>
    </w:p>
    <w:p w14:paraId="1CC755CB" w14:textId="77777777" w:rsidR="00F037AE" w:rsidRDefault="00F037AE" w:rsidP="007D7328">
      <w:pPr>
        <w:pStyle w:val="Quote1"/>
        <w:keepLines/>
        <w:ind w:left="1440" w:hanging="703"/>
      </w:pPr>
      <w:r>
        <w:t>16.</w:t>
      </w:r>
      <w:r>
        <w:tab/>
        <w:t>The Federal Court has a profound, undeclared conflict of interest in the matter which has overtaken its</w:t>
      </w:r>
      <w:r w:rsidR="00DD57A3">
        <w:t>’</w:t>
      </w:r>
      <w:r>
        <w:t xml:space="preserve"> obligations to treat this precedent matter impartially.</w:t>
      </w:r>
    </w:p>
    <w:p w14:paraId="1CC755CC" w14:textId="77777777" w:rsidR="00F037AE" w:rsidRDefault="00F037AE" w:rsidP="005B3660">
      <w:pPr>
        <w:pStyle w:val="Quote1"/>
        <w:ind w:left="1440" w:hanging="703"/>
      </w:pPr>
      <w:r>
        <w:lastRenderedPageBreak/>
        <w:t>17.</w:t>
      </w:r>
      <w:r>
        <w:tab/>
        <w:t>Art.14 of The Australia</w:t>
      </w:r>
      <w:r w:rsidR="00622A40">
        <w:t>n Human Rights Commission Act 1</w:t>
      </w:r>
      <w:r>
        <w:t>986 (also Art.14 of the International Covenant on Civil and Political Rights (ICCPR).</w:t>
      </w:r>
    </w:p>
    <w:p w14:paraId="1CC755CD" w14:textId="77777777" w:rsidR="00F037AE" w:rsidRPr="005B3660" w:rsidRDefault="00F037AE" w:rsidP="005B3660">
      <w:pPr>
        <w:pStyle w:val="Quote2"/>
        <w:rPr>
          <w:i/>
        </w:rPr>
      </w:pPr>
      <w:r w:rsidRPr="005B3660">
        <w:rPr>
          <w:i/>
        </w:rPr>
        <w:t>All persons shall be equal before the courts and tribunals. In the determination of a ...</w:t>
      </w:r>
      <w:r w:rsidR="005B3660">
        <w:rPr>
          <w:i/>
        </w:rPr>
        <w:t xml:space="preserve"> </w:t>
      </w:r>
      <w:r w:rsidRPr="0067048B">
        <w:t>[person</w:t>
      </w:r>
      <w:r w:rsidR="00DD57A3" w:rsidRPr="0067048B">
        <w:t>’</w:t>
      </w:r>
      <w:r w:rsidRPr="0067048B">
        <w:t>s]</w:t>
      </w:r>
      <w:r w:rsidRPr="005B3660">
        <w:rPr>
          <w:i/>
        </w:rPr>
        <w:t xml:space="preserve"> rights and obligations in a suit at law, everyone shall be entitled to a fair and public hearing by a competent, independent and impartial tribunal established by law.</w:t>
      </w:r>
    </w:p>
    <w:p w14:paraId="1CC755CE" w14:textId="77777777" w:rsidR="00F037AE" w:rsidRDefault="00F037AE" w:rsidP="00652AF0">
      <w:pPr>
        <w:pStyle w:val="Quote1"/>
        <w:ind w:left="1440" w:hanging="703"/>
      </w:pPr>
      <w:r>
        <w:t>18.</w:t>
      </w:r>
      <w:r>
        <w:tab/>
        <w:t>The Federal Court is the only avenue of appeal from the Fair Work Commission. The Applicant has sought to have the Federal Court hear this Appeal and has been denied by the Court as a result of its own conflict of interest.</w:t>
      </w:r>
    </w:p>
    <w:p w14:paraId="1CC755CF" w14:textId="77777777" w:rsidR="00F037AE" w:rsidRDefault="00F037AE" w:rsidP="007D7328">
      <w:pPr>
        <w:pStyle w:val="Quote1"/>
        <w:ind w:left="1440" w:hanging="703"/>
      </w:pPr>
      <w:r>
        <w:t>19.</w:t>
      </w:r>
      <w:r>
        <w:tab/>
        <w:t>The Court</w:t>
      </w:r>
      <w:r w:rsidR="00DD57A3">
        <w:t>’</w:t>
      </w:r>
      <w:r>
        <w:t>s requirement of impartiality means that proceedings must be free from bias, and the objective perception of bias. The Court has continuously displayed bias against the Appellant.</w:t>
      </w:r>
    </w:p>
    <w:p w14:paraId="1CC755D0" w14:textId="77777777" w:rsidR="00F037AE" w:rsidRDefault="00F037AE" w:rsidP="007D7328">
      <w:pPr>
        <w:pStyle w:val="Quote1"/>
      </w:pPr>
      <w:r>
        <w:t>20.</w:t>
      </w:r>
      <w:r>
        <w:tab/>
        <w:t>I appeal the Court</w:t>
      </w:r>
      <w:r w:rsidR="00DD57A3">
        <w:t>’</w:t>
      </w:r>
      <w:r>
        <w:t>s Order to dismiss this matter.</w:t>
      </w:r>
    </w:p>
    <w:p w14:paraId="1CC755D1" w14:textId="77777777" w:rsidR="004D2E7F" w:rsidRDefault="00FB1BC9" w:rsidP="00FB1BC9">
      <w:pPr>
        <w:pStyle w:val="ParaNumbering"/>
      </w:pPr>
      <w:r>
        <w:t xml:space="preserve">Proposed ground 1 alleges that the primary judge refused to allow the applicant to be represented by his brother. </w:t>
      </w:r>
      <w:r w:rsidR="004D2E7F">
        <w:t xml:space="preserve">Proposed ground 2 argues that this was unfair in light of the disparity of resources between the Commission and the applicant. </w:t>
      </w:r>
      <w:r>
        <w:t xml:space="preserve"> </w:t>
      </w:r>
    </w:p>
    <w:p w14:paraId="1CC755D2" w14:textId="77777777" w:rsidR="00FB1BC9" w:rsidRDefault="00FB1BC9" w:rsidP="0078786D">
      <w:pPr>
        <w:pStyle w:val="ParaNumbering"/>
      </w:pPr>
      <w:r>
        <w:t xml:space="preserve">Rule 4.01(1) of the Rules </w:t>
      </w:r>
      <w:r w:rsidR="00923729">
        <w:t>provides</w:t>
      </w:r>
      <w:r w:rsidR="00B85BE1">
        <w:t xml:space="preserve"> </w:t>
      </w:r>
      <w:r w:rsidR="00005857">
        <w:t>that a person may be represented</w:t>
      </w:r>
      <w:r w:rsidR="00147646">
        <w:t xml:space="preserve"> in the Court by a lawyer or may be unrepresented.  </w:t>
      </w:r>
      <w:r w:rsidR="00AC09DE">
        <w:t xml:space="preserve">There is no suggestion that the applicant’s brother is a lawyer. </w:t>
      </w:r>
      <w:r w:rsidR="00147646">
        <w:t xml:space="preserve">The applicant had no </w:t>
      </w:r>
      <w:r w:rsidR="00147646" w:rsidRPr="00F71CBE">
        <w:rPr>
          <w:i/>
        </w:rPr>
        <w:t>right</w:t>
      </w:r>
      <w:r w:rsidR="00147646">
        <w:t xml:space="preserve"> to representation by his brother. </w:t>
      </w:r>
      <w:r w:rsidR="00FF06D1">
        <w:t xml:space="preserve">There is no requirement </w:t>
      </w:r>
      <w:r w:rsidR="00FF06D1" w:rsidRPr="00FF06D1">
        <w:t xml:space="preserve">that legal representation </w:t>
      </w:r>
      <w:r w:rsidR="00A1733F">
        <w:t xml:space="preserve">be provided for a party to </w:t>
      </w:r>
      <w:r w:rsidR="00FF06D1">
        <w:t xml:space="preserve">a civil proceeding: </w:t>
      </w:r>
      <w:r w:rsidR="00895235" w:rsidRPr="0078786D">
        <w:rPr>
          <w:i/>
        </w:rPr>
        <w:t xml:space="preserve">State of </w:t>
      </w:r>
      <w:r w:rsidR="00FF06D1" w:rsidRPr="0078786D">
        <w:rPr>
          <w:i/>
        </w:rPr>
        <w:t>New South Wales v Canellis</w:t>
      </w:r>
      <w:r w:rsidR="00FF06D1" w:rsidRPr="004D2E7F">
        <w:t xml:space="preserve"> (1994) 181 CLR 309</w:t>
      </w:r>
      <w:r w:rsidR="00FF06D1">
        <w:t xml:space="preserve"> at</w:t>
      </w:r>
      <w:r w:rsidR="00895235">
        <w:t xml:space="preserve"> 3</w:t>
      </w:r>
      <w:r w:rsidR="00476A9A">
        <w:t>28</w:t>
      </w:r>
      <w:r w:rsidR="00FF06D1">
        <w:t xml:space="preserve">. This principle recognises that there may </w:t>
      </w:r>
      <w:r w:rsidR="0078786D">
        <w:t xml:space="preserve">well </w:t>
      </w:r>
      <w:r w:rsidR="00FF06D1">
        <w:t xml:space="preserve">be disparity between the resources of the parties. However, that disparity does not require that a party must be permitted to be represented by a person who is not a lawyer. The applicant’s brother was permitted to act as a McKenzie friend.  </w:t>
      </w:r>
      <w:r w:rsidR="004D2E7F">
        <w:t>The applicant has not demonstrated any</w:t>
      </w:r>
      <w:r w:rsidR="00147646">
        <w:t xml:space="preserve"> arguable ground of error </w:t>
      </w:r>
      <w:r w:rsidR="004D2E7F">
        <w:t xml:space="preserve">on the basis of </w:t>
      </w:r>
      <w:r w:rsidR="00147646">
        <w:t xml:space="preserve">his Honour’s refusal to allow </w:t>
      </w:r>
      <w:r w:rsidR="005C5F55">
        <w:t>the applicant to be represented by his brother</w:t>
      </w:r>
      <w:r w:rsidR="00147646">
        <w:t xml:space="preserve">. </w:t>
      </w:r>
    </w:p>
    <w:p w14:paraId="1CC755D3" w14:textId="77777777" w:rsidR="00077768" w:rsidRDefault="00FB17FA" w:rsidP="00FB17FA">
      <w:pPr>
        <w:pStyle w:val="ParaNumbering"/>
      </w:pPr>
      <w:r>
        <w:t>Proposed grounds 3</w:t>
      </w:r>
      <w:r w:rsidR="00B0726F">
        <w:t xml:space="preserve">, </w:t>
      </w:r>
      <w:r>
        <w:t>4</w:t>
      </w:r>
      <w:r w:rsidR="00B0726F">
        <w:t xml:space="preserve"> and </w:t>
      </w:r>
      <w:r>
        <w:t xml:space="preserve">9 </w:t>
      </w:r>
      <w:r w:rsidR="00B0726F">
        <w:t xml:space="preserve">purport </w:t>
      </w:r>
      <w:r>
        <w:t xml:space="preserve">to </w:t>
      </w:r>
      <w:r w:rsidR="0015157A">
        <w:t xml:space="preserve">challenge </w:t>
      </w:r>
      <w:r>
        <w:t xml:space="preserve">the joinder of </w:t>
      </w:r>
      <w:r w:rsidR="00F175D0">
        <w:t xml:space="preserve">the employer </w:t>
      </w:r>
      <w:r>
        <w:t>as a respondent</w:t>
      </w:r>
      <w:r w:rsidR="00AC09DE">
        <w:t>,</w:t>
      </w:r>
      <w:r w:rsidR="00F05751">
        <w:t xml:space="preserve"> or the substitution of the Commission as a respondent in place of the individually named members</w:t>
      </w:r>
      <w:r w:rsidR="00E20A6C">
        <w:t xml:space="preserve"> of the Full Bench</w:t>
      </w:r>
      <w:r w:rsidR="006E6ABE">
        <w:t>.</w:t>
      </w:r>
      <w:r>
        <w:t xml:space="preserve"> However, </w:t>
      </w:r>
      <w:r w:rsidR="00B0726F" w:rsidRPr="00F56D11">
        <w:t>s </w:t>
      </w:r>
      <w:r w:rsidRPr="00F56D11">
        <w:t>24(1AA)</w:t>
      </w:r>
      <w:r w:rsidR="00083FAF">
        <w:t>(b)(i)</w:t>
      </w:r>
      <w:r w:rsidRPr="00F56D11">
        <w:t xml:space="preserve"> </w:t>
      </w:r>
      <w:r w:rsidR="00622A40" w:rsidRPr="00F56D11">
        <w:t>of the FCA Act</w:t>
      </w:r>
      <w:r w:rsidR="00622A40">
        <w:t xml:space="preserve"> </w:t>
      </w:r>
      <w:r>
        <w:t>provides that no appeal may be brought from a decision to join or remove a party.  Accordingly, those grounds cannot succeed.</w:t>
      </w:r>
    </w:p>
    <w:p w14:paraId="1CC755D4" w14:textId="77777777" w:rsidR="00DD57A3" w:rsidRDefault="00DD57A3" w:rsidP="00DD57A3">
      <w:pPr>
        <w:pStyle w:val="ParaNumbering"/>
      </w:pPr>
      <w:r>
        <w:t xml:space="preserve">Proposed grounds </w:t>
      </w:r>
      <w:r w:rsidR="0014511C">
        <w:t xml:space="preserve">5, </w:t>
      </w:r>
      <w:r>
        <w:t>6, 7 and 8 challenge the dismissal of the proceeding on the basis of the applicant’s failure to comply with an order that he provide to the Court his telephone number as required by r 2.16</w:t>
      </w:r>
      <w:r w:rsidR="00083FAF">
        <w:t>(1)(d)</w:t>
      </w:r>
      <w:r>
        <w:t xml:space="preserve"> of the Rules.</w:t>
      </w:r>
    </w:p>
    <w:p w14:paraId="1CC755D5" w14:textId="77777777" w:rsidR="00DD57A3" w:rsidRDefault="00DD57A3" w:rsidP="00DD57A3">
      <w:pPr>
        <w:pStyle w:val="ParaNumbering"/>
      </w:pPr>
      <w:r>
        <w:lastRenderedPageBreak/>
        <w:t>Rule 2.16 of the Rules provides</w:t>
      </w:r>
      <w:r w:rsidR="00E20A6C">
        <w:t>, relevantly</w:t>
      </w:r>
      <w:r>
        <w:t>:</w:t>
      </w:r>
    </w:p>
    <w:p w14:paraId="1CC755D6" w14:textId="77777777" w:rsidR="00DD57A3" w:rsidRPr="00DD57A3" w:rsidRDefault="00DD57A3" w:rsidP="00DD57A3">
      <w:pPr>
        <w:pStyle w:val="Quote1"/>
        <w:rPr>
          <w:b/>
        </w:rPr>
      </w:pPr>
      <w:r w:rsidRPr="00DD57A3">
        <w:rPr>
          <w:b/>
        </w:rPr>
        <w:t>2.16</w:t>
      </w:r>
      <w:r>
        <w:rPr>
          <w:b/>
        </w:rPr>
        <w:tab/>
      </w:r>
      <w:r w:rsidRPr="00DD57A3">
        <w:rPr>
          <w:b/>
        </w:rPr>
        <w:t>Details at foot of each document</w:t>
      </w:r>
    </w:p>
    <w:p w14:paraId="1CC755D7" w14:textId="77777777" w:rsidR="00DD57A3" w:rsidRDefault="00DD57A3" w:rsidP="00DD57A3">
      <w:pPr>
        <w:pStyle w:val="Quote1"/>
        <w:ind w:left="1440" w:hanging="703"/>
      </w:pPr>
      <w:r>
        <w:t>(1)</w:t>
      </w:r>
      <w:r>
        <w:tab/>
        <w:t>A document filed in a proceeding must contain the following information under a horizontal line at the foot of the front page of the document:</w:t>
      </w:r>
    </w:p>
    <w:p w14:paraId="1CC755D8" w14:textId="77777777" w:rsidR="00DD57A3" w:rsidRDefault="00DD57A3" w:rsidP="00DD57A3">
      <w:pPr>
        <w:pStyle w:val="Quote2"/>
        <w:ind w:left="2160" w:hanging="720"/>
      </w:pPr>
      <w:r>
        <w:t>(a)</w:t>
      </w:r>
      <w:r>
        <w:tab/>
        <w:t>the name and role of the party on whose behalf the document is filed;</w:t>
      </w:r>
    </w:p>
    <w:p w14:paraId="1CC755D9" w14:textId="77777777" w:rsidR="00DD57A3" w:rsidRDefault="00DD57A3" w:rsidP="00DD57A3">
      <w:pPr>
        <w:pStyle w:val="Quote2"/>
        <w:ind w:left="2160" w:hanging="720"/>
      </w:pPr>
      <w:r>
        <w:t>(b)</w:t>
      </w:r>
      <w:r>
        <w:tab/>
        <w:t>the name of the person or lawyer responsible for preparation of the document;</w:t>
      </w:r>
    </w:p>
    <w:p w14:paraId="1CC755DA" w14:textId="77777777" w:rsidR="00DD57A3" w:rsidRDefault="00DD57A3" w:rsidP="00DD57A3">
      <w:pPr>
        <w:pStyle w:val="Quote2"/>
        <w:ind w:left="2160" w:hanging="720"/>
      </w:pPr>
      <w:r>
        <w:t>(c)</w:t>
      </w:r>
      <w:r>
        <w:tab/>
        <w:t>if the party is represented by a lawyer—the telephone number, fax number and email address of the lawyer;</w:t>
      </w:r>
    </w:p>
    <w:p w14:paraId="1CC755DB" w14:textId="77777777" w:rsidR="00DD57A3" w:rsidRDefault="00DD57A3" w:rsidP="00DD57A3">
      <w:pPr>
        <w:pStyle w:val="Quote2"/>
        <w:ind w:left="2160" w:hanging="720"/>
      </w:pPr>
      <w:r>
        <w:t>(d)</w:t>
      </w:r>
      <w:r>
        <w:tab/>
        <w:t>if the party is not represented by a lawyer—the telephone number, fax number and email address, if any, of the party;</w:t>
      </w:r>
    </w:p>
    <w:p w14:paraId="1CC755DC" w14:textId="77777777" w:rsidR="00DD57A3" w:rsidRDefault="00DD57A3" w:rsidP="0023781C">
      <w:pPr>
        <w:pStyle w:val="Quote2"/>
        <w:keepLines/>
        <w:ind w:left="2160" w:hanging="720"/>
      </w:pPr>
      <w:r>
        <w:t>(e)</w:t>
      </w:r>
      <w:r>
        <w:tab/>
        <w:t>the address for service of the party.</w:t>
      </w:r>
    </w:p>
    <w:p w14:paraId="1CC755DD" w14:textId="77777777" w:rsidR="00E20A6C" w:rsidRDefault="00E20A6C" w:rsidP="0023781C">
      <w:pPr>
        <w:pStyle w:val="Quote2"/>
        <w:keepLines/>
        <w:ind w:left="2160" w:hanging="720"/>
      </w:pPr>
      <w:r>
        <w:t>…</w:t>
      </w:r>
    </w:p>
    <w:p w14:paraId="1CC755DE" w14:textId="77777777" w:rsidR="00DD57A3" w:rsidRDefault="00DD57A3" w:rsidP="00DD57A3">
      <w:pPr>
        <w:pStyle w:val="ParaNumbering"/>
      </w:pPr>
      <w:r>
        <w:t>The applicant submits that the words “if any” in r 2</w:t>
      </w:r>
      <w:r w:rsidR="005B2658">
        <w:t>.16(1)(d) of the Rules indicate</w:t>
      </w:r>
      <w:r>
        <w:t xml:space="preserve"> that provision of a telephone number is at the discretion of the party filing a document.  </w:t>
      </w:r>
      <w:r w:rsidR="005B2658">
        <w:t>However, t</w:t>
      </w:r>
      <w:r>
        <w:t>hat submission misconstrues the provision.</w:t>
      </w:r>
    </w:p>
    <w:p w14:paraId="1CC755DF" w14:textId="77777777" w:rsidR="005B2658" w:rsidRDefault="00DD57A3" w:rsidP="00DD57A3">
      <w:pPr>
        <w:pStyle w:val="ParaNumbering"/>
      </w:pPr>
      <w:r w:rsidRPr="00F56D11">
        <w:t>Rule 2.</w:t>
      </w:r>
      <w:r w:rsidR="00622A40" w:rsidRPr="00F56D11">
        <w:t>1</w:t>
      </w:r>
      <w:r w:rsidRPr="00F56D11">
        <w:t>6(</w:t>
      </w:r>
      <w:r w:rsidR="00130FA7" w:rsidRPr="00F56D11">
        <w:t>1</w:t>
      </w:r>
      <w:r w:rsidRPr="00F56D11">
        <w:t>)</w:t>
      </w:r>
      <w:r>
        <w:t xml:space="preserve"> provides that a document filed in </w:t>
      </w:r>
      <w:r w:rsidR="00130FA7">
        <w:t xml:space="preserve">a </w:t>
      </w:r>
      <w:r>
        <w:t>proceeding “must contain the following informati</w:t>
      </w:r>
      <w:r w:rsidR="005B2658">
        <w:t>on”.  The rule then sets out</w:t>
      </w:r>
      <w:r w:rsidR="00296FDB">
        <w:t>, from subparagraphs (a)-(e),</w:t>
      </w:r>
      <w:r w:rsidR="005B2658">
        <w:t xml:space="preserve"> five categories of</w:t>
      </w:r>
      <w:r>
        <w:t xml:space="preserve"> information</w:t>
      </w:r>
      <w:r w:rsidR="00296FDB">
        <w:t xml:space="preserve"> </w:t>
      </w:r>
      <w:r>
        <w:t xml:space="preserve">that </w:t>
      </w:r>
      <w:r w:rsidRPr="005B2658">
        <w:t xml:space="preserve">must </w:t>
      </w:r>
      <w:r>
        <w:t xml:space="preserve">be </w:t>
      </w:r>
      <w:r w:rsidR="005B2658">
        <w:t xml:space="preserve">contained </w:t>
      </w:r>
      <w:r>
        <w:t xml:space="preserve">in the document.  </w:t>
      </w:r>
    </w:p>
    <w:p w14:paraId="1CC755E0" w14:textId="77777777" w:rsidR="00DD57A3" w:rsidRDefault="00296FDB" w:rsidP="00DD57A3">
      <w:pPr>
        <w:pStyle w:val="ParaNumbering"/>
      </w:pPr>
      <w:r>
        <w:t>Subp</w:t>
      </w:r>
      <w:r w:rsidR="00DD57A3">
        <w:t>aragraphs (a), (</w:t>
      </w:r>
      <w:r w:rsidR="00130FA7">
        <w:t>b), (c</w:t>
      </w:r>
      <w:r w:rsidR="00DD57A3">
        <w:t>), and (</w:t>
      </w:r>
      <w:r w:rsidR="00130FA7">
        <w:t>e</w:t>
      </w:r>
      <w:r w:rsidR="00DD57A3">
        <w:t xml:space="preserve">) </w:t>
      </w:r>
      <w:r w:rsidR="005B2658">
        <w:t xml:space="preserve">are drawn </w:t>
      </w:r>
      <w:r w:rsidR="006D5CA0">
        <w:t>upon</w:t>
      </w:r>
      <w:r w:rsidR="005B2658">
        <w:t xml:space="preserve"> the </w:t>
      </w:r>
      <w:r w:rsidR="0023781C">
        <w:t xml:space="preserve">assumption </w:t>
      </w:r>
      <w:r w:rsidR="005B2658">
        <w:t>that all parties have</w:t>
      </w:r>
      <w:r w:rsidR="00DD57A3">
        <w:t xml:space="preserve"> and can provide the information required by those </w:t>
      </w:r>
      <w:r>
        <w:t>subparagraphs.  Subp</w:t>
      </w:r>
      <w:r w:rsidR="00DD57A3">
        <w:t>aragraph (</w:t>
      </w:r>
      <w:r w:rsidR="000D1A4F">
        <w:t>d</w:t>
      </w:r>
      <w:r w:rsidR="00DD57A3">
        <w:t xml:space="preserve">), which applies to </w:t>
      </w:r>
      <w:r w:rsidR="000D1A4F">
        <w:t xml:space="preserve">a </w:t>
      </w:r>
      <w:r w:rsidR="00DD57A3">
        <w:t>party not represented by a lawyer, is different.  The words “if any” qualify the words</w:t>
      </w:r>
      <w:r w:rsidR="005B2658">
        <w:t>,</w:t>
      </w:r>
      <w:r w:rsidR="00DD57A3">
        <w:t xml:space="preserve"> “the telephone number, f</w:t>
      </w:r>
      <w:r>
        <w:t>ax number and email address”.  Subp</w:t>
      </w:r>
      <w:r w:rsidR="00DD57A3">
        <w:t xml:space="preserve">aragraph </w:t>
      </w:r>
      <w:r w:rsidR="000D1A4F">
        <w:t>(d)</w:t>
      </w:r>
      <w:r w:rsidR="00DD57A3">
        <w:t xml:space="preserve"> envisages that not all unrepresented parties will necessarily have a telephone number, fax numbe</w:t>
      </w:r>
      <w:r w:rsidR="005B2658">
        <w:t xml:space="preserve">r </w:t>
      </w:r>
      <w:r w:rsidR="00A1733F">
        <w:t>or</w:t>
      </w:r>
      <w:r w:rsidR="00083FAF">
        <w:t xml:space="preserve"> </w:t>
      </w:r>
      <w:r>
        <w:t>email address.  Subp</w:t>
      </w:r>
      <w:r w:rsidR="000D1A4F">
        <w:t>aragraph </w:t>
      </w:r>
      <w:r w:rsidR="00DD57A3">
        <w:t>(</w:t>
      </w:r>
      <w:r w:rsidR="000D1A4F">
        <w:t>d</w:t>
      </w:r>
      <w:r w:rsidR="00DD57A3">
        <w:t xml:space="preserve">) requires that if a party </w:t>
      </w:r>
      <w:r w:rsidR="0023781C">
        <w:t xml:space="preserve">who is </w:t>
      </w:r>
      <w:r w:rsidR="00DD57A3">
        <w:t xml:space="preserve">not represented by a lawyer has a telephone number, fax number and email address, the party </w:t>
      </w:r>
      <w:r w:rsidR="00DD57A3" w:rsidRPr="00A1733F">
        <w:rPr>
          <w:i/>
        </w:rPr>
        <w:t>must</w:t>
      </w:r>
      <w:r w:rsidR="00DD57A3">
        <w:t xml:space="preserve"> provide that information in a document filed in a proceeding.</w:t>
      </w:r>
    </w:p>
    <w:p w14:paraId="1CC755E1" w14:textId="77777777" w:rsidR="00DD57A3" w:rsidRDefault="00DD57A3" w:rsidP="007D7328">
      <w:pPr>
        <w:pStyle w:val="ParaNumbering"/>
        <w:keepLines/>
      </w:pPr>
      <w:r>
        <w:t xml:space="preserve">The applicant does not </w:t>
      </w:r>
      <w:r w:rsidR="005B2658">
        <w:t xml:space="preserve">suggest </w:t>
      </w:r>
      <w:r>
        <w:t>that he does not have a telephone number.  In fact, he</w:t>
      </w:r>
      <w:r w:rsidR="005B2658">
        <w:t xml:space="preserve"> asserts</w:t>
      </w:r>
      <w:r>
        <w:t xml:space="preserve"> that </w:t>
      </w:r>
      <w:r w:rsidR="005B2658">
        <w:t>he did not w</w:t>
      </w:r>
      <w:r w:rsidR="00F71CBE">
        <w:t>ant</w:t>
      </w:r>
      <w:r w:rsidR="005B2658">
        <w:t xml:space="preserve"> to provide his telephone number to the Court</w:t>
      </w:r>
      <w:r>
        <w:t xml:space="preserve"> </w:t>
      </w:r>
      <w:r w:rsidR="006D5CA0">
        <w:t xml:space="preserve">because </w:t>
      </w:r>
      <w:r>
        <w:t xml:space="preserve">he had received a telephone call from the associate of another judge in </w:t>
      </w:r>
      <w:r w:rsidR="0023781C">
        <w:t xml:space="preserve">an earlier </w:t>
      </w:r>
      <w:r>
        <w:t>proceeding which he regarded as</w:t>
      </w:r>
      <w:r w:rsidR="005B2658">
        <w:t xml:space="preserve"> being</w:t>
      </w:r>
      <w:r>
        <w:t xml:space="preserve"> inappropriate.</w:t>
      </w:r>
    </w:p>
    <w:p w14:paraId="1CC755E2" w14:textId="77777777" w:rsidR="005B2658" w:rsidRDefault="00DD57A3" w:rsidP="00DD57A3">
      <w:pPr>
        <w:pStyle w:val="ParaNumbering"/>
      </w:pPr>
      <w:r>
        <w:t xml:space="preserve">The applicant submits that it was unjust and unfair that his proceeding was summarily dismissed on the basis of a matter as trivial as a failure to provide his telephone number in his </w:t>
      </w:r>
      <w:r w:rsidR="00401A97">
        <w:lastRenderedPageBreak/>
        <w:t xml:space="preserve">originating </w:t>
      </w:r>
      <w:r>
        <w:t xml:space="preserve">application.  However, that </w:t>
      </w:r>
      <w:r w:rsidR="005B2658">
        <w:t xml:space="preserve">submission </w:t>
      </w:r>
      <w:r>
        <w:t>mistakes the basis upon which the proceeding was dismissed.  The primary judge</w:t>
      </w:r>
      <w:r w:rsidR="006E1EF0">
        <w:t>’</w:t>
      </w:r>
      <w:r>
        <w:t xml:space="preserve">s orders and reasons make it clear that the proceeding was not </w:t>
      </w:r>
      <w:r w:rsidR="005B2658">
        <w:t xml:space="preserve">dismissed </w:t>
      </w:r>
      <w:r>
        <w:t xml:space="preserve">because of the applicant’s failure to provide his telephone number </w:t>
      </w:r>
      <w:r w:rsidRPr="00622A40">
        <w:rPr>
          <w:i/>
        </w:rPr>
        <w:t>per se</w:t>
      </w:r>
      <w:r>
        <w:t>, but because of the applicant</w:t>
      </w:r>
      <w:r w:rsidR="005B2658">
        <w:t xml:space="preserve">’s refusal </w:t>
      </w:r>
      <w:r>
        <w:t xml:space="preserve">to comply with the order that he provide the telephone number.  The applicant was provided with repeated opportunities to comply with the </w:t>
      </w:r>
      <w:r w:rsidR="0078786D">
        <w:t>o</w:t>
      </w:r>
      <w:r>
        <w:t xml:space="preserve">rder, but he refused to do so.  </w:t>
      </w:r>
    </w:p>
    <w:p w14:paraId="1CC755E3" w14:textId="77777777" w:rsidR="00DD57A3" w:rsidRDefault="00DD57A3" w:rsidP="00154C0F">
      <w:pPr>
        <w:pStyle w:val="ParaNumbering"/>
      </w:pPr>
      <w:r>
        <w:t xml:space="preserve">The primary judge had the power pursuant to </w:t>
      </w:r>
      <w:r w:rsidR="006E1EF0" w:rsidRPr="00F56D11">
        <w:t>r </w:t>
      </w:r>
      <w:r w:rsidRPr="00F56D11">
        <w:t>5.04(</w:t>
      </w:r>
      <w:r w:rsidR="006E1EF0" w:rsidRPr="00F56D11">
        <w:t>1</w:t>
      </w:r>
      <w:r w:rsidRPr="00F56D11">
        <w:t>)</w:t>
      </w:r>
      <w:r>
        <w:t xml:space="preserve"> </w:t>
      </w:r>
      <w:r w:rsidR="00622A40">
        <w:t xml:space="preserve">of the Rules </w:t>
      </w:r>
      <w:r>
        <w:t xml:space="preserve">to make directions for the management, conduct and hearing of </w:t>
      </w:r>
      <w:r w:rsidR="00F175D0">
        <w:t>the</w:t>
      </w:r>
      <w:r>
        <w:t xml:space="preserve"> proceeding.  It was within his </w:t>
      </w:r>
      <w:r w:rsidR="006E1EF0">
        <w:t xml:space="preserve">Honour’s </w:t>
      </w:r>
      <w:r>
        <w:t>power to make the</w:t>
      </w:r>
      <w:r w:rsidR="0078786D">
        <w:t xml:space="preserve"> o</w:t>
      </w:r>
      <w:r>
        <w:t xml:space="preserve">rder requiring the applicant to provide his telephone number.  The reasons make it clear that his </w:t>
      </w:r>
      <w:r w:rsidR="006E1EF0">
        <w:t xml:space="preserve">Honour </w:t>
      </w:r>
      <w:r>
        <w:t>considered t</w:t>
      </w:r>
      <w:r w:rsidR="005B2658">
        <w:t xml:space="preserve">hat provision of the applicant’s telephone number would be </w:t>
      </w:r>
      <w:r w:rsidR="0013414A">
        <w:t xml:space="preserve">of benefit </w:t>
      </w:r>
      <w:r w:rsidR="006A58A4">
        <w:t>in</w:t>
      </w:r>
      <w:r w:rsidR="005B2658">
        <w:t xml:space="preserve"> </w:t>
      </w:r>
      <w:r>
        <w:t>the a</w:t>
      </w:r>
      <w:r w:rsidR="005B2658">
        <w:t>dministration of the proceeding</w:t>
      </w:r>
      <w:r>
        <w:t>.</w:t>
      </w:r>
    </w:p>
    <w:p w14:paraId="1CC755E4" w14:textId="77777777" w:rsidR="00DD57A3" w:rsidRDefault="006E1EF0" w:rsidP="00DD57A3">
      <w:pPr>
        <w:pStyle w:val="ParaNumbering"/>
      </w:pPr>
      <w:r w:rsidRPr="00F56D11">
        <w:t>Rule 5.23</w:t>
      </w:r>
      <w:r w:rsidR="00DD57A3" w:rsidRPr="00F56D11">
        <w:t>(</w:t>
      </w:r>
      <w:r w:rsidRPr="00F56D11">
        <w:t>1</w:t>
      </w:r>
      <w:r w:rsidR="00DD57A3" w:rsidRPr="00F56D11">
        <w:t>)</w:t>
      </w:r>
      <w:r w:rsidR="00DD57A3">
        <w:t xml:space="preserve"> provides that if an applicant is in default of an order of the </w:t>
      </w:r>
      <w:r>
        <w:t>Court</w:t>
      </w:r>
      <w:r w:rsidR="00DD57A3">
        <w:t xml:space="preserve">, a respondent may apply to the </w:t>
      </w:r>
      <w:r>
        <w:t xml:space="preserve">Court </w:t>
      </w:r>
      <w:r w:rsidR="00DD57A3">
        <w:t xml:space="preserve">for an order, relevantly, </w:t>
      </w:r>
      <w:r w:rsidR="00622A40">
        <w:t>to dismiss</w:t>
      </w:r>
      <w:r w:rsidR="00DD57A3">
        <w:t xml:space="preserve"> the whole or any part of the relief claimed by the applicant.  As the applicant points out, there was no application by the </w:t>
      </w:r>
      <w:r>
        <w:t xml:space="preserve">respondent </w:t>
      </w:r>
      <w:r w:rsidR="00DD57A3">
        <w:t xml:space="preserve">for summary dismissal </w:t>
      </w:r>
      <w:r>
        <w:t xml:space="preserve">of the </w:t>
      </w:r>
      <w:r w:rsidR="00DD57A3">
        <w:t xml:space="preserve">proceeding, but </w:t>
      </w:r>
      <w:r>
        <w:t>r </w:t>
      </w:r>
      <w:r w:rsidR="00DD57A3">
        <w:t>1.40</w:t>
      </w:r>
      <w:r w:rsidR="00622A40">
        <w:t>(a)</w:t>
      </w:r>
      <w:r w:rsidR="00DD57A3">
        <w:t xml:space="preserve"> of the </w:t>
      </w:r>
      <w:r>
        <w:t xml:space="preserve">Rules </w:t>
      </w:r>
      <w:r w:rsidR="00DD57A3">
        <w:t xml:space="preserve">provides that the </w:t>
      </w:r>
      <w:r w:rsidR="00E23DA5">
        <w:t xml:space="preserve">Court </w:t>
      </w:r>
      <w:r w:rsidR="005B2658">
        <w:t>may</w:t>
      </w:r>
      <w:r w:rsidR="00DD57A3">
        <w:t xml:space="preserve"> exercise a power mentioned in the </w:t>
      </w:r>
      <w:r w:rsidR="00E23DA5">
        <w:t xml:space="preserve">Rules </w:t>
      </w:r>
      <w:r w:rsidR="00DD57A3">
        <w:t xml:space="preserve">on its own initiative.  That is the course that </w:t>
      </w:r>
      <w:r w:rsidR="00E23DA5">
        <w:t xml:space="preserve">his </w:t>
      </w:r>
      <w:r w:rsidR="00DD57A3">
        <w:t xml:space="preserve">Honour took.  The applicant was expressly warned that if he failed to comply with the </w:t>
      </w:r>
      <w:r w:rsidR="00F175D0">
        <w:t>O</w:t>
      </w:r>
      <w:r w:rsidR="00DD57A3">
        <w:t xml:space="preserve">rder to provide his telephone number, the consequence may be that the proceeding be dismissed for want of compliance with the </w:t>
      </w:r>
      <w:r w:rsidR="0078786D">
        <w:t>o</w:t>
      </w:r>
      <w:r w:rsidR="00DD57A3">
        <w:t>rder.</w:t>
      </w:r>
      <w:r w:rsidR="005B2658">
        <w:t xml:space="preserve"> Despite that warning, the applicant refused to provide his telephone number. </w:t>
      </w:r>
    </w:p>
    <w:p w14:paraId="1CC755E5" w14:textId="77777777" w:rsidR="003E1793" w:rsidRDefault="005B2658" w:rsidP="00DD57A3">
      <w:pPr>
        <w:pStyle w:val="ParaNumbering"/>
      </w:pPr>
      <w:r>
        <w:t xml:space="preserve">It </w:t>
      </w:r>
      <w:r w:rsidR="00DD57A3">
        <w:t xml:space="preserve">was within the power of the primary judge to make an order requiring that the applicant provide his telephone number and, when the applicant refused to comply with that order, to </w:t>
      </w:r>
      <w:r>
        <w:t xml:space="preserve">exercise the discretion </w:t>
      </w:r>
      <w:r w:rsidR="003E1793">
        <w:t xml:space="preserve">under r </w:t>
      </w:r>
      <w:r w:rsidR="003E1793" w:rsidRPr="00F56D11">
        <w:t>5.23(1)</w:t>
      </w:r>
      <w:r w:rsidR="003E1793">
        <w:t xml:space="preserve"> </w:t>
      </w:r>
      <w:r>
        <w:t xml:space="preserve">to </w:t>
      </w:r>
      <w:r w:rsidR="00DD57A3">
        <w:t>order that the proceeding be dismissed.  The applicant has not demonstrated any arguable error in the exercise of the primary judge</w:t>
      </w:r>
      <w:r w:rsidR="00B654B7">
        <w:t>’</w:t>
      </w:r>
      <w:r w:rsidR="00DD57A3">
        <w:t>s</w:t>
      </w:r>
      <w:r w:rsidR="003E1793">
        <w:t xml:space="preserve"> discretion</w:t>
      </w:r>
      <w:r w:rsidR="00DD57A3">
        <w:t>.</w:t>
      </w:r>
    </w:p>
    <w:p w14:paraId="1CC755E6" w14:textId="77777777" w:rsidR="00DD57A3" w:rsidRDefault="00DD57A3" w:rsidP="00DD57A3">
      <w:pPr>
        <w:pStyle w:val="ParaNumbering"/>
      </w:pPr>
      <w:r>
        <w:t>Further, there is no arguable case of denial of procedural fairness in circumstances where the applicant was expressly warned of the consequences of non-compliance</w:t>
      </w:r>
      <w:r w:rsidR="0078786D">
        <w:t xml:space="preserve"> with the o</w:t>
      </w:r>
      <w:r w:rsidR="00083FAF">
        <w:t>rder</w:t>
      </w:r>
      <w:r>
        <w:t xml:space="preserve">, but wilfully persisted in that non-compliance.  I am unable to discern any arguable case </w:t>
      </w:r>
      <w:r w:rsidR="00963D81">
        <w:t xml:space="preserve">of </w:t>
      </w:r>
      <w:r>
        <w:t>error in respect of the dismissal of the proceeding by the primary judge.</w:t>
      </w:r>
    </w:p>
    <w:p w14:paraId="1CC755E7" w14:textId="77777777" w:rsidR="00DD57A3" w:rsidRDefault="003E1793" w:rsidP="0015157A">
      <w:pPr>
        <w:pStyle w:val="ParaNumbering"/>
      </w:pPr>
      <w:r>
        <w:t xml:space="preserve">Proposed grounds </w:t>
      </w:r>
      <w:r w:rsidR="00DD57A3">
        <w:t xml:space="preserve">10, 14 and 19 make allegations of </w:t>
      </w:r>
      <w:r w:rsidR="00542783">
        <w:t xml:space="preserve">bias and </w:t>
      </w:r>
      <w:r>
        <w:t xml:space="preserve">apprehended </w:t>
      </w:r>
      <w:r w:rsidR="00DD57A3">
        <w:t xml:space="preserve">bias against the primary judge.  It is apparent that the proceeding </w:t>
      </w:r>
      <w:r w:rsidR="006E6ABE">
        <w:t xml:space="preserve">had been commenced in an </w:t>
      </w:r>
      <w:r w:rsidR="00DD57A3">
        <w:t xml:space="preserve">irregular </w:t>
      </w:r>
      <w:r w:rsidR="006E6ABE">
        <w:t>manner</w:t>
      </w:r>
      <w:r w:rsidR="00401A97">
        <w:t>,</w:t>
      </w:r>
      <w:r w:rsidR="006E6ABE">
        <w:t xml:space="preserve"> as </w:t>
      </w:r>
      <w:r w:rsidR="00DD57A3">
        <w:t xml:space="preserve">a necessary respondent had not been named and the members of the </w:t>
      </w:r>
      <w:r>
        <w:t xml:space="preserve">Full Bench </w:t>
      </w:r>
      <w:r w:rsidR="00401A97">
        <w:t xml:space="preserve">of the </w:t>
      </w:r>
      <w:r w:rsidR="00401A97">
        <w:lastRenderedPageBreak/>
        <w:t xml:space="preserve">Commission </w:t>
      </w:r>
      <w:r w:rsidR="0015157A">
        <w:t xml:space="preserve">had been named individually. </w:t>
      </w:r>
      <w:r w:rsidR="00DD57A3">
        <w:t xml:space="preserve">The discussion </w:t>
      </w:r>
      <w:r w:rsidR="00622A40">
        <w:t xml:space="preserve">between </w:t>
      </w:r>
      <w:r w:rsidR="00DD57A3">
        <w:t xml:space="preserve">the primary judge </w:t>
      </w:r>
      <w:r w:rsidR="00622A40">
        <w:t xml:space="preserve">and </w:t>
      </w:r>
      <w:r w:rsidR="00DD57A3">
        <w:t>the legal representative</w:t>
      </w:r>
      <w:r w:rsidR="001379B3">
        <w:t>s</w:t>
      </w:r>
      <w:r w:rsidR="00DD57A3">
        <w:t xml:space="preserve"> of the respondents </w:t>
      </w:r>
      <w:r w:rsidR="00622A40">
        <w:t xml:space="preserve">was </w:t>
      </w:r>
      <w:r w:rsidR="00DD57A3">
        <w:t>aimed a</w:t>
      </w:r>
      <w:r w:rsidR="006E6ABE">
        <w:t xml:space="preserve">t regularising the proceeding. The </w:t>
      </w:r>
      <w:r w:rsidR="00DD57A3">
        <w:t xml:space="preserve">course taken by his </w:t>
      </w:r>
      <w:r w:rsidR="00530A16">
        <w:t xml:space="preserve">Honour </w:t>
      </w:r>
      <w:r w:rsidR="006E6ABE">
        <w:t xml:space="preserve">of joining the employer and substituting </w:t>
      </w:r>
      <w:r w:rsidR="006E6ABE" w:rsidRPr="006E6ABE">
        <w:t>the Commission as a respondent in place of the individually named members of the Full Bench</w:t>
      </w:r>
      <w:r w:rsidR="006E6ABE">
        <w:t xml:space="preserve"> was proper and appropriate. </w:t>
      </w:r>
      <w:r w:rsidR="00DD57A3">
        <w:t xml:space="preserve"> </w:t>
      </w:r>
      <w:r w:rsidR="00542783">
        <w:t xml:space="preserve">There is simply no basis on the material for the allegations of bias and apprehended bias.  </w:t>
      </w:r>
    </w:p>
    <w:p w14:paraId="1CC755E8" w14:textId="77777777" w:rsidR="00622A40" w:rsidRDefault="00DD57A3" w:rsidP="00DD57A3">
      <w:pPr>
        <w:pStyle w:val="ParaNumbering"/>
      </w:pPr>
      <w:r>
        <w:t>Proposed grounds 11</w:t>
      </w:r>
      <w:r w:rsidR="00530A16">
        <w:t xml:space="preserve">, </w:t>
      </w:r>
      <w:r>
        <w:t>12 and 13 concern the failure of the primary judge to order the</w:t>
      </w:r>
      <w:r w:rsidR="00530A16">
        <w:t xml:space="preserve"> Commission </w:t>
      </w:r>
      <w:r>
        <w:t xml:space="preserve">to file a submitting notice.  The applicant’s argument seems to be that the </w:t>
      </w:r>
      <w:r w:rsidR="00530A16">
        <w:t xml:space="preserve">Commission </w:t>
      </w:r>
      <w:r>
        <w:t xml:space="preserve">was required to comply with the </w:t>
      </w:r>
      <w:r w:rsidR="00622A40">
        <w:t>p</w:t>
      </w:r>
      <w:r w:rsidR="00530A16">
        <w:t xml:space="preserve">rinciple </w:t>
      </w:r>
      <w:r w:rsidR="00E53FC3">
        <w:t>in</w:t>
      </w:r>
      <w:r w:rsidR="00180478">
        <w:rPr>
          <w:i/>
        </w:rPr>
        <w:t xml:space="preserve"> R v Australian Broadcasting Tribunal; Ex parte Hardiman </w:t>
      </w:r>
      <w:r w:rsidR="00E53FC3" w:rsidRPr="001379B3">
        <w:t>(1980)</w:t>
      </w:r>
      <w:r w:rsidR="00E53FC3">
        <w:rPr>
          <w:i/>
        </w:rPr>
        <w:t xml:space="preserve"> </w:t>
      </w:r>
      <w:r w:rsidR="00E53FC3" w:rsidRPr="001379B3">
        <w:t>144</w:t>
      </w:r>
      <w:r w:rsidR="00E53FC3">
        <w:t xml:space="preserve"> CLR 13 at 35–36, </w:t>
      </w:r>
      <w:r w:rsidRPr="00E53FC3">
        <w:t xml:space="preserve">and </w:t>
      </w:r>
      <w:r>
        <w:t xml:space="preserve">that the </w:t>
      </w:r>
      <w:r w:rsidR="00530A16">
        <w:t xml:space="preserve">Court </w:t>
      </w:r>
      <w:r>
        <w:t>was required to ensure that compliance by ordering the</w:t>
      </w:r>
      <w:r w:rsidR="00F56D11">
        <w:t xml:space="preserve"> </w:t>
      </w:r>
      <w:r w:rsidR="002452FA">
        <w:t xml:space="preserve">Commission </w:t>
      </w:r>
      <w:r>
        <w:t xml:space="preserve">to file a submitting notice.  The </w:t>
      </w:r>
      <w:r w:rsidRPr="00622A40">
        <w:rPr>
          <w:i/>
        </w:rPr>
        <w:t>Hardiman</w:t>
      </w:r>
      <w:r>
        <w:t xml:space="preserve"> </w:t>
      </w:r>
      <w:r w:rsidR="00622A40">
        <w:t>p</w:t>
      </w:r>
      <w:r w:rsidR="002452FA">
        <w:t xml:space="preserve">rinciple </w:t>
      </w:r>
      <w:r>
        <w:t>is a convention</w:t>
      </w:r>
      <w:r w:rsidR="00E53FC3">
        <w:t xml:space="preserve"> that </w:t>
      </w:r>
      <w:r w:rsidR="00A1733F">
        <w:t xml:space="preserve">generally </w:t>
      </w:r>
      <w:r w:rsidR="00E53FC3">
        <w:t xml:space="preserve">a </w:t>
      </w:r>
      <w:r w:rsidR="001379B3">
        <w:t xml:space="preserve">tribunal </w:t>
      </w:r>
      <w:r w:rsidR="00E53FC3">
        <w:t xml:space="preserve">will </w:t>
      </w:r>
      <w:r w:rsidR="00F71CBE">
        <w:t xml:space="preserve">not </w:t>
      </w:r>
      <w:r w:rsidR="00A1733F">
        <w:t>actively defend</w:t>
      </w:r>
      <w:r w:rsidR="00F71CBE">
        <w:t xml:space="preserve"> a proceeding but will submit </w:t>
      </w:r>
      <w:r w:rsidR="00E53FC3">
        <w:t xml:space="preserve">to such order as the </w:t>
      </w:r>
      <w:r w:rsidR="007B6B40">
        <w:t>c</w:t>
      </w:r>
      <w:r w:rsidR="001379B3">
        <w:t xml:space="preserve">ourt </w:t>
      </w:r>
      <w:r w:rsidR="00E53FC3">
        <w:t>may make</w:t>
      </w:r>
      <w:r w:rsidR="00F71CBE">
        <w:t>.</w:t>
      </w:r>
      <w:r w:rsidR="001379B3">
        <w:t xml:space="preserve"> </w:t>
      </w:r>
      <w:r w:rsidR="00F71CBE">
        <w:t xml:space="preserve">It </w:t>
      </w:r>
      <w:r w:rsidR="001379B3">
        <w:t>is</w:t>
      </w:r>
      <w:r w:rsidR="00E53FC3">
        <w:t xml:space="preserve"> </w:t>
      </w:r>
      <w:r>
        <w:t xml:space="preserve">not a prohibition upon the </w:t>
      </w:r>
      <w:r w:rsidR="00E53FC3">
        <w:t xml:space="preserve">participation of a </w:t>
      </w:r>
      <w:r w:rsidR="001379B3">
        <w:t xml:space="preserve">tribunal </w:t>
      </w:r>
      <w:r w:rsidR="00E53FC3">
        <w:t>in a proceeding</w:t>
      </w:r>
      <w:r>
        <w:t xml:space="preserve">.  The role taken by a </w:t>
      </w:r>
      <w:r w:rsidR="001379B3">
        <w:t xml:space="preserve">tribunal </w:t>
      </w:r>
      <w:r>
        <w:t xml:space="preserve">is a matter for the </w:t>
      </w:r>
      <w:r w:rsidR="001379B3">
        <w:t xml:space="preserve">tribunal </w:t>
      </w:r>
      <w:r>
        <w:t>itself</w:t>
      </w:r>
      <w:r w:rsidR="00E53FC3">
        <w:t xml:space="preserve">, </w:t>
      </w:r>
      <w:r w:rsidR="001379B3">
        <w:t xml:space="preserve">informed </w:t>
      </w:r>
      <w:r w:rsidR="00542783">
        <w:t>by the risk that</w:t>
      </w:r>
      <w:r w:rsidR="00291E85">
        <w:t xml:space="preserve"> </w:t>
      </w:r>
      <w:r w:rsidR="008B0599">
        <w:t xml:space="preserve">the </w:t>
      </w:r>
      <w:r w:rsidR="00212EF8">
        <w:t xml:space="preserve">tribunal </w:t>
      </w:r>
      <w:r w:rsidR="00542783">
        <w:t>may endanger</w:t>
      </w:r>
      <w:r w:rsidR="00291E85">
        <w:t xml:space="preserve"> its impartiality</w:t>
      </w:r>
      <w:r>
        <w:t xml:space="preserve">.  </w:t>
      </w:r>
      <w:r w:rsidR="00240BA5">
        <w:t>It i</w:t>
      </w:r>
      <w:r>
        <w:t xml:space="preserve">s for </w:t>
      </w:r>
      <w:r w:rsidR="006E6ABE">
        <w:t xml:space="preserve">the </w:t>
      </w:r>
      <w:r w:rsidR="008B0599">
        <w:t xml:space="preserve">tribunal </w:t>
      </w:r>
      <w:r>
        <w:t xml:space="preserve">to determine whether to file a submitting notice pursuant to </w:t>
      </w:r>
      <w:r w:rsidRPr="00F56D11">
        <w:t>r</w:t>
      </w:r>
      <w:r w:rsidR="00240BA5" w:rsidRPr="00F56D11">
        <w:t> </w:t>
      </w:r>
      <w:r w:rsidRPr="00F56D11">
        <w:t>12.01(</w:t>
      </w:r>
      <w:r w:rsidR="00240BA5" w:rsidRPr="00F56D11">
        <w:t>1</w:t>
      </w:r>
      <w:r w:rsidRPr="00F56D11">
        <w:t xml:space="preserve">) of the </w:t>
      </w:r>
      <w:r w:rsidR="00240BA5" w:rsidRPr="00F56D11">
        <w:t>Rules</w:t>
      </w:r>
      <w:r>
        <w:t xml:space="preserve">.  There was no error in his </w:t>
      </w:r>
      <w:r w:rsidR="00240BA5">
        <w:t xml:space="preserve">Honour’s </w:t>
      </w:r>
      <w:r>
        <w:t xml:space="preserve">failure to order the </w:t>
      </w:r>
      <w:r w:rsidR="00240BA5">
        <w:t xml:space="preserve">Commission </w:t>
      </w:r>
      <w:r>
        <w:t xml:space="preserve">to file a submitting notice.  </w:t>
      </w:r>
    </w:p>
    <w:p w14:paraId="1CC755E9" w14:textId="77777777" w:rsidR="00DD57A3" w:rsidRDefault="00DD57A3" w:rsidP="00DD57A3">
      <w:pPr>
        <w:pStyle w:val="ParaNumbering"/>
      </w:pPr>
      <w:r>
        <w:t>Proposed grounds 16</w:t>
      </w:r>
      <w:r w:rsidR="008B0599">
        <w:t>, 17</w:t>
      </w:r>
      <w:r>
        <w:t xml:space="preserve"> and 18 allege that the Federal Court itself has </w:t>
      </w:r>
      <w:r w:rsidR="00E231D3">
        <w:t>a conflict of interest.  The</w:t>
      </w:r>
      <w:r>
        <w:t xml:space="preserve"> applicant </w:t>
      </w:r>
      <w:r w:rsidR="003B2DDE">
        <w:t xml:space="preserve">submits </w:t>
      </w:r>
      <w:r>
        <w:t xml:space="preserve">that as the </w:t>
      </w:r>
      <w:r w:rsidR="00E231D3">
        <w:t xml:space="preserve">President </w:t>
      </w:r>
      <w:r>
        <w:t xml:space="preserve">of the </w:t>
      </w:r>
      <w:r w:rsidR="00E231D3">
        <w:t xml:space="preserve">Commission </w:t>
      </w:r>
      <w:r>
        <w:t xml:space="preserve">is a </w:t>
      </w:r>
      <w:r w:rsidR="00E231D3">
        <w:t xml:space="preserve">Federal Court </w:t>
      </w:r>
      <w:r>
        <w:t xml:space="preserve">judge, other </w:t>
      </w:r>
      <w:r w:rsidR="00542783">
        <w:t>Federal Court judges who consider</w:t>
      </w:r>
      <w:r>
        <w:t xml:space="preserve"> the validity of </w:t>
      </w:r>
      <w:r w:rsidR="00E231D3">
        <w:t xml:space="preserve">a </w:t>
      </w:r>
      <w:r>
        <w:t>decision of the</w:t>
      </w:r>
      <w:r w:rsidR="00E231D3">
        <w:t xml:space="preserve"> Commission </w:t>
      </w:r>
      <w:r>
        <w:t xml:space="preserve">have a conflict of interest.  </w:t>
      </w:r>
      <w:r w:rsidR="00E231D3">
        <w:t>It w</w:t>
      </w:r>
      <w:r>
        <w:t xml:space="preserve">as not explained </w:t>
      </w:r>
      <w:r w:rsidR="00401A97">
        <w:t xml:space="preserve">by the applicant </w:t>
      </w:r>
      <w:r>
        <w:t xml:space="preserve">how or why </w:t>
      </w:r>
      <w:r w:rsidR="00542783">
        <w:t xml:space="preserve">such </w:t>
      </w:r>
      <w:r>
        <w:t xml:space="preserve">a conflict of interest </w:t>
      </w:r>
      <w:r w:rsidR="006E6ABE">
        <w:t>arises</w:t>
      </w:r>
      <w:r>
        <w:t xml:space="preserve">.  </w:t>
      </w:r>
      <w:r w:rsidR="00E32817">
        <w:t>It was pointed out to the a</w:t>
      </w:r>
      <w:r w:rsidR="00542783">
        <w:t>pp</w:t>
      </w:r>
      <w:r w:rsidR="0078786D">
        <w:t>licant that if his submission were</w:t>
      </w:r>
      <w:r w:rsidR="00E32817">
        <w:t xml:space="preserve"> correct, hi</w:t>
      </w:r>
      <w:r w:rsidR="00542783">
        <w:t>s proposed appeal c</w:t>
      </w:r>
      <w:r w:rsidR="00E32817">
        <w:t xml:space="preserve">ould not be heard and determined.  </w:t>
      </w:r>
      <w:r>
        <w:t xml:space="preserve">The </w:t>
      </w:r>
      <w:r w:rsidR="004F6E49">
        <w:t xml:space="preserve">applicant’s </w:t>
      </w:r>
      <w:r>
        <w:t>submission cannot be accepted.</w:t>
      </w:r>
    </w:p>
    <w:p w14:paraId="1CC755EA" w14:textId="77777777" w:rsidR="00FF06D1" w:rsidRDefault="00FF06D1" w:rsidP="00FF06D1">
      <w:pPr>
        <w:pStyle w:val="ParaNumbering"/>
      </w:pPr>
      <w:r>
        <w:t>Proposed grounds 15 and 20 do not advance any grounds of appeal against the judgment of the primary judge.  They need not be considered further.</w:t>
      </w:r>
    </w:p>
    <w:p w14:paraId="1CC755EB" w14:textId="77777777" w:rsidR="00DD57A3" w:rsidRDefault="00DD57A3" w:rsidP="00B83C65">
      <w:pPr>
        <w:pStyle w:val="ParaNumbering"/>
      </w:pPr>
      <w:r>
        <w:t>The applicant ha</w:t>
      </w:r>
      <w:r w:rsidR="006E6ABE">
        <w:t>s failed to demonstrate that an application for leave to appeal against the judgment</w:t>
      </w:r>
      <w:r>
        <w:t xml:space="preserve"> of the primary judge </w:t>
      </w:r>
      <w:r w:rsidR="006E6ABE">
        <w:t xml:space="preserve">would have sufficient merit </w:t>
      </w:r>
      <w:r>
        <w:t>to warrant</w:t>
      </w:r>
      <w:r w:rsidR="006E6ABE">
        <w:t xml:space="preserve"> an extension of time </w:t>
      </w:r>
      <w:r w:rsidR="00F175D0">
        <w:t xml:space="preserve">to apply </w:t>
      </w:r>
      <w:r w:rsidR="006E6ABE">
        <w:t xml:space="preserve">for leave to appeal. </w:t>
      </w:r>
    </w:p>
    <w:p w14:paraId="1CC755EC" w14:textId="77777777" w:rsidR="000B5D27" w:rsidRDefault="000B5D27" w:rsidP="00B83C65">
      <w:pPr>
        <w:pStyle w:val="ParaNumbering"/>
      </w:pPr>
      <w:r>
        <w:t>Accordingly, the application for an extension of time to apply for leave to appeal must be dismissed.</w:t>
      </w:r>
    </w:p>
    <w:p w14:paraId="1CC755ED" w14:textId="77777777" w:rsidR="00542783" w:rsidRDefault="00542783" w:rsidP="001D77BC">
      <w:pPr>
        <w:pStyle w:val="ParaNumbering"/>
        <w:keepNext/>
        <w:keepLines/>
      </w:pPr>
      <w:r>
        <w:lastRenderedPageBreak/>
        <w:t xml:space="preserve">The parties did not make submissions as to costs, presumably on the basis that this is a proceeding to which s 570 of the </w:t>
      </w:r>
      <w:r w:rsidRPr="00542783">
        <w:rPr>
          <w:i/>
        </w:rPr>
        <w:t>Fair Work Act 2009</w:t>
      </w:r>
      <w:r>
        <w:t xml:space="preserve"> (Cth) applies. I will make no order as to costs.</w:t>
      </w:r>
    </w:p>
    <w:p w14:paraId="1CC755EE" w14:textId="77777777" w:rsidR="00F02259" w:rsidRDefault="00F02259" w:rsidP="00F02259">
      <w:pPr>
        <w:pStyle w:val="BodyText"/>
        <w:keepNext/>
        <w:keepLines/>
      </w:pPr>
    </w:p>
    <w:tbl>
      <w:tblPr>
        <w:tblW w:w="0" w:type="auto"/>
        <w:tblLook w:val="04A0" w:firstRow="1" w:lastRow="0" w:firstColumn="1" w:lastColumn="0" w:noHBand="0" w:noVBand="1"/>
      </w:tblPr>
      <w:tblGrid>
        <w:gridCol w:w="3794"/>
      </w:tblGrid>
      <w:tr w:rsidR="001D77BC" w:rsidRPr="001D77BC" w14:paraId="1CC755F0" w14:textId="77777777">
        <w:tc>
          <w:tcPr>
            <w:tcW w:w="3794" w:type="dxa"/>
            <w:shd w:val="clear" w:color="auto" w:fill="auto"/>
          </w:tcPr>
          <w:p w14:paraId="1CC755EF" w14:textId="77777777" w:rsidR="001D77BC" w:rsidRPr="001D77BC" w:rsidRDefault="001D77BC" w:rsidP="00F02259">
            <w:pPr>
              <w:pStyle w:val="Normal1linespace"/>
              <w:keepNext/>
              <w:keepLines/>
            </w:pPr>
            <w:bookmarkStart w:id="23" w:name="Certification"/>
            <w:r w:rsidRPr="001D77BC">
              <w:t xml:space="preserve">I certify that the preceding </w:t>
            </w:r>
            <w:bookmarkStart w:id="24" w:name="NumberWord"/>
            <w:r w:rsidR="008D5364">
              <w:t>thirty-four</w:t>
            </w:r>
            <w:bookmarkEnd w:id="24"/>
            <w:r w:rsidRPr="001D77BC">
              <w:t xml:space="preserve"> (</w:t>
            </w:r>
            <w:bookmarkStart w:id="25" w:name="NumberNumeral"/>
            <w:r w:rsidR="008D5364">
              <w:t>34</w:t>
            </w:r>
            <w:bookmarkEnd w:id="25"/>
            <w:r w:rsidRPr="001D77BC">
              <w:t xml:space="preserve">) numbered </w:t>
            </w:r>
            <w:bookmarkStart w:id="26" w:name="CertPara"/>
            <w:r w:rsidR="008D5364">
              <w:t>paragraphs are</w:t>
            </w:r>
            <w:bookmarkEnd w:id="26"/>
            <w:r w:rsidRPr="001D77BC">
              <w:t xml:space="preserve"> a true copy of the Reasons for Judgment of </w:t>
            </w:r>
            <w:bookmarkStart w:id="27" w:name="bkHonourable"/>
            <w:r w:rsidRPr="001D77BC">
              <w:t xml:space="preserve">the Honourable </w:t>
            </w:r>
            <w:bookmarkStart w:id="28" w:name="Justice"/>
            <w:bookmarkEnd w:id="27"/>
            <w:r>
              <w:t>Justice Rangiah</w:t>
            </w:r>
            <w:bookmarkEnd w:id="28"/>
            <w:r w:rsidRPr="001D77BC">
              <w:t>.</w:t>
            </w:r>
          </w:p>
        </w:tc>
      </w:tr>
    </w:tbl>
    <w:p w14:paraId="1CC755F1" w14:textId="77777777" w:rsidR="001D77BC" w:rsidRDefault="001D77BC" w:rsidP="00815065">
      <w:pPr>
        <w:pStyle w:val="BodyText"/>
      </w:pPr>
    </w:p>
    <w:p w14:paraId="1CC755F2" w14:textId="47123E9F" w:rsidR="001D77BC" w:rsidRDefault="001D77BC" w:rsidP="00815065">
      <w:pPr>
        <w:pStyle w:val="BodyText"/>
      </w:pPr>
      <w:r>
        <w:t>Associate:</w:t>
      </w:r>
      <w:r>
        <w:tab/>
      </w:r>
      <w:bookmarkStart w:id="29" w:name="_GoBack"/>
      <w:bookmarkEnd w:id="29"/>
    </w:p>
    <w:p w14:paraId="1CC755F3" w14:textId="77777777" w:rsidR="001D77BC" w:rsidRDefault="001D77BC" w:rsidP="00815065">
      <w:pPr>
        <w:pStyle w:val="BodyText"/>
      </w:pPr>
    </w:p>
    <w:p w14:paraId="1CC755F4" w14:textId="77777777" w:rsidR="001D77BC" w:rsidRDefault="001D77BC" w:rsidP="001D77BC">
      <w:pPr>
        <w:pStyle w:val="BodyText"/>
        <w:tabs>
          <w:tab w:val="left" w:pos="1134"/>
        </w:tabs>
      </w:pPr>
      <w:r>
        <w:t>Dated:</w:t>
      </w:r>
      <w:r>
        <w:tab/>
      </w:r>
      <w:bookmarkStart w:id="30" w:name="CertifyDated"/>
      <w:r>
        <w:t>6 October 2021</w:t>
      </w:r>
      <w:bookmarkEnd w:id="30"/>
    </w:p>
    <w:bookmarkEnd w:id="23"/>
    <w:p w14:paraId="1CC755F5" w14:textId="77777777" w:rsidR="00FC744A" w:rsidRDefault="00FC744A" w:rsidP="001D77BC">
      <w:pPr>
        <w:pStyle w:val="BodyText"/>
      </w:pPr>
    </w:p>
    <w:p w14:paraId="1CC755F6" w14:textId="77777777" w:rsidR="001D77BC" w:rsidRPr="00CD498A" w:rsidRDefault="00460813" w:rsidP="001D77BC">
      <w:pPr>
        <w:pStyle w:val="NormalHeadings"/>
        <w:spacing w:before="180" w:line="480" w:lineRule="auto"/>
        <w:jc w:val="center"/>
        <w:rPr>
          <w:sz w:val="28"/>
          <w:szCs w:val="28"/>
        </w:rPr>
      </w:pPr>
      <w:r>
        <w:br w:type="page"/>
      </w:r>
      <w:bookmarkStart w:id="31" w:name="SOP_Section"/>
      <w:r w:rsidR="001D77BC" w:rsidRPr="00CD498A">
        <w:rPr>
          <w:sz w:val="28"/>
          <w:szCs w:val="28"/>
        </w:rPr>
        <w:lastRenderedPageBreak/>
        <w:t>SCHEDULE OF PARTIES</w:t>
      </w:r>
    </w:p>
    <w:p w14:paraId="1CC755F7" w14:textId="77777777" w:rsidR="001D77BC" w:rsidRPr="00663089" w:rsidRDefault="001D77BC"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1D77BC" w14:paraId="1CC755FA" w14:textId="77777777" w:rsidTr="001D77BC">
        <w:tc>
          <w:tcPr>
            <w:tcW w:w="3368" w:type="dxa"/>
          </w:tcPr>
          <w:p w14:paraId="1CC755F8" w14:textId="77777777" w:rsidR="001D77BC" w:rsidRDefault="001D77BC" w:rsidP="004F5197">
            <w:pPr>
              <w:pStyle w:val="NormalHeadings"/>
              <w:jc w:val="left"/>
              <w:rPr>
                <w:caps/>
                <w:szCs w:val="24"/>
              </w:rPr>
            </w:pPr>
          </w:p>
        </w:tc>
        <w:tc>
          <w:tcPr>
            <w:tcW w:w="5874" w:type="dxa"/>
          </w:tcPr>
          <w:p w14:paraId="1CC755F9" w14:textId="77777777" w:rsidR="001D77BC" w:rsidRDefault="00E8593E" w:rsidP="004F5197">
            <w:pPr>
              <w:pStyle w:val="NormalHeadings"/>
              <w:jc w:val="right"/>
            </w:pPr>
            <w:r>
              <w:fldChar w:fldCharType="begin" w:fldLock="1"/>
            </w:r>
            <w:r>
              <w:instrText xml:space="preserve"> REF  FileNo </w:instrText>
            </w:r>
            <w:r>
              <w:fldChar w:fldCharType="separate"/>
            </w:r>
            <w:r w:rsidR="001D77BC">
              <w:t>QUD 161 of 2021</w:t>
            </w:r>
            <w:r>
              <w:fldChar w:fldCharType="end"/>
            </w:r>
          </w:p>
        </w:tc>
      </w:tr>
      <w:tr w:rsidR="001D77BC" w14:paraId="1CC755FD" w14:textId="77777777" w:rsidTr="001D77BC">
        <w:trPr>
          <w:trHeight w:val="386"/>
        </w:trPr>
        <w:tc>
          <w:tcPr>
            <w:tcW w:w="3368" w:type="dxa"/>
          </w:tcPr>
          <w:p w14:paraId="1CC755FB" w14:textId="77777777" w:rsidR="001D77BC" w:rsidRDefault="001D77BC" w:rsidP="0087788E">
            <w:pPr>
              <w:pStyle w:val="BodyTextBold"/>
              <w:spacing w:before="180"/>
              <w:jc w:val="left"/>
            </w:pPr>
            <w:bookmarkStart w:id="32" w:name="SOP_RespondentsRows" w:colFirst="0" w:colLast="1"/>
            <w:r>
              <w:t>Respondents</w:t>
            </w:r>
          </w:p>
        </w:tc>
        <w:tc>
          <w:tcPr>
            <w:tcW w:w="5874" w:type="dxa"/>
            <w:tcMar>
              <w:left w:w="28" w:type="dxa"/>
            </w:tcMar>
          </w:tcPr>
          <w:p w14:paraId="1CC755FC" w14:textId="77777777" w:rsidR="001D77BC" w:rsidRDefault="001D77BC" w:rsidP="0087788E">
            <w:pPr>
              <w:pStyle w:val="BodyText"/>
              <w:jc w:val="left"/>
            </w:pPr>
          </w:p>
        </w:tc>
      </w:tr>
      <w:tr w:rsidR="001D77BC" w14:paraId="1CC75600" w14:textId="77777777" w:rsidTr="001D77BC">
        <w:trPr>
          <w:trHeight w:val="386"/>
        </w:trPr>
        <w:tc>
          <w:tcPr>
            <w:tcW w:w="3368" w:type="dxa"/>
          </w:tcPr>
          <w:p w14:paraId="1CC755FE" w14:textId="77777777" w:rsidR="001D77BC" w:rsidRDefault="001D77BC" w:rsidP="00F2363B">
            <w:pPr>
              <w:pStyle w:val="BodyText"/>
              <w:spacing w:after="240" w:line="240" w:lineRule="auto"/>
              <w:jc w:val="left"/>
            </w:pPr>
            <w:bookmarkStart w:id="33" w:name="SOP_FirstRespondent"/>
            <w:bookmarkEnd w:id="33"/>
            <w:r>
              <w:t>Fourth Respondent:</w:t>
            </w:r>
          </w:p>
        </w:tc>
        <w:tc>
          <w:tcPr>
            <w:tcW w:w="5874" w:type="dxa"/>
            <w:tcMar>
              <w:left w:w="28" w:type="dxa"/>
            </w:tcMar>
          </w:tcPr>
          <w:p w14:paraId="1CC755FF" w14:textId="77777777" w:rsidR="001D77BC" w:rsidRDefault="001D77BC" w:rsidP="00F2363B">
            <w:pPr>
              <w:pStyle w:val="BodyText"/>
              <w:spacing w:after="240" w:line="240" w:lineRule="auto"/>
              <w:jc w:val="left"/>
            </w:pPr>
            <w:r>
              <w:t>COMMISSIONER PETER HAMPTON</w:t>
            </w:r>
          </w:p>
        </w:tc>
      </w:tr>
      <w:tr w:rsidR="001D77BC" w14:paraId="1CC75603" w14:textId="77777777" w:rsidTr="001D77BC">
        <w:trPr>
          <w:trHeight w:val="386"/>
        </w:trPr>
        <w:tc>
          <w:tcPr>
            <w:tcW w:w="3368" w:type="dxa"/>
          </w:tcPr>
          <w:p w14:paraId="1CC75601" w14:textId="77777777" w:rsidR="001D77BC" w:rsidRDefault="001D77BC" w:rsidP="00F2363B">
            <w:pPr>
              <w:pStyle w:val="BodyText"/>
              <w:spacing w:after="240" w:line="240" w:lineRule="auto"/>
              <w:jc w:val="left"/>
            </w:pPr>
            <w:r>
              <w:t>Fifth Respondent:</w:t>
            </w:r>
          </w:p>
        </w:tc>
        <w:tc>
          <w:tcPr>
            <w:tcW w:w="5874" w:type="dxa"/>
            <w:tcMar>
              <w:left w:w="28" w:type="dxa"/>
            </w:tcMar>
          </w:tcPr>
          <w:p w14:paraId="1CC75602" w14:textId="77777777" w:rsidR="001D77BC" w:rsidRDefault="001D77BC" w:rsidP="00F2363B">
            <w:pPr>
              <w:pStyle w:val="BodyText"/>
              <w:spacing w:after="240" w:line="240" w:lineRule="auto"/>
              <w:jc w:val="left"/>
            </w:pPr>
            <w:r>
              <w:t>SUPERIOR WOOD PTY LTD</w:t>
            </w:r>
          </w:p>
        </w:tc>
      </w:tr>
      <w:bookmarkEnd w:id="32"/>
    </w:tbl>
    <w:p w14:paraId="1CC75604" w14:textId="77777777" w:rsidR="001D77BC" w:rsidRDefault="001D77BC" w:rsidP="002B0E91">
      <w:pPr>
        <w:pStyle w:val="BodyText"/>
      </w:pPr>
    </w:p>
    <w:bookmarkEnd w:id="31"/>
    <w:p w14:paraId="1CC75605" w14:textId="77777777" w:rsidR="00460813" w:rsidRDefault="00460813" w:rsidP="004B652E">
      <w:pPr>
        <w:pStyle w:val="BodyText"/>
        <w:tabs>
          <w:tab w:val="left" w:pos="1134"/>
        </w:tabs>
      </w:pPr>
    </w:p>
    <w:sectPr w:rsidR="00460813"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560C" w14:textId="77777777" w:rsidR="00460813" w:rsidRDefault="00460813">
      <w:pPr>
        <w:spacing w:line="20" w:lineRule="exact"/>
      </w:pPr>
    </w:p>
    <w:p w14:paraId="1CC7560D" w14:textId="77777777" w:rsidR="00460813" w:rsidRDefault="00460813"/>
    <w:p w14:paraId="1CC7560E" w14:textId="77777777" w:rsidR="00460813" w:rsidRDefault="00460813"/>
  </w:endnote>
  <w:endnote w:type="continuationSeparator" w:id="0">
    <w:p w14:paraId="1CC7560F" w14:textId="77777777" w:rsidR="00460813" w:rsidRDefault="00460813">
      <w:r>
        <w:t xml:space="preserve"> </w:t>
      </w:r>
    </w:p>
    <w:p w14:paraId="1CC75610" w14:textId="77777777" w:rsidR="00460813" w:rsidRDefault="00460813"/>
    <w:p w14:paraId="1CC75611" w14:textId="77777777" w:rsidR="00460813" w:rsidRDefault="00460813"/>
  </w:endnote>
  <w:endnote w:type="continuationNotice" w:id="1">
    <w:p w14:paraId="1CC75612" w14:textId="77777777" w:rsidR="00460813" w:rsidRDefault="00460813">
      <w:r>
        <w:t xml:space="preserve"> </w:t>
      </w:r>
    </w:p>
    <w:p w14:paraId="1CC75613" w14:textId="77777777" w:rsidR="00460813" w:rsidRDefault="00460813"/>
    <w:p w14:paraId="1CC75614" w14:textId="77777777" w:rsidR="00460813" w:rsidRDefault="00460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7" w14:textId="77777777" w:rsidR="001C40B2" w:rsidRDefault="001C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8" w14:textId="7777777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CC75624" wp14:editId="1CC75625">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280E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02259">
          <w:rPr>
            <w:bCs/>
            <w:sz w:val="18"/>
            <w:szCs w:val="18"/>
          </w:rPr>
          <w:t xml:space="preserve">Lee v Fair Work Commission [2021] FCA 1188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A" w14:textId="77777777" w:rsidR="00395B24" w:rsidRPr="001C40B2" w:rsidRDefault="00395B24" w:rsidP="001C40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C" w14:textId="77777777"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1CC75626" wp14:editId="1CC7562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7677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61478D722624B5892A0F1F84439A6A2"/>
        </w:placeholder>
        <w:dataBinding w:prefixMappings="xmlns:ns0='http://schemas.globalmacros.com/FCA'" w:xpath="/ns0:root[1]/ns0:Name[1]" w:storeItemID="{687E7CCB-4AA5-44E7-B148-17BA2B6F57C0}"/>
        <w:text w:multiLine="1"/>
      </w:sdtPr>
      <w:sdtEndPr/>
      <w:sdtContent>
        <w:r w:rsidR="00F02259">
          <w:rPr>
            <w:bCs/>
            <w:sz w:val="18"/>
            <w:szCs w:val="18"/>
          </w:rPr>
          <w:t xml:space="preserve">Lee v Fair Work Commission [2021] FCA 1188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E" w14:textId="63C7654B"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CC75628" wp14:editId="1CC75629">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9F69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0C4F61899124B4DBFED35C5490C98B5"/>
        </w:placeholder>
        <w:dataBinding w:prefixMappings="xmlns:ns0='http://schemas.globalmacros.com/FCA'" w:xpath="/ns0:root[1]/ns0:Name[1]" w:storeItemID="{687E7CCB-4AA5-44E7-B148-17BA2B6F57C0}"/>
        <w:text w:multiLine="1"/>
      </w:sdtPr>
      <w:sdtEndPr/>
      <w:sdtContent>
        <w:r w:rsidR="00F02259">
          <w:rPr>
            <w:bCs/>
            <w:sz w:val="18"/>
            <w:szCs w:val="18"/>
          </w:rPr>
          <w:t xml:space="preserve">Lee v Fair Work Commission [2021] FCA 1188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8593E">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21" w14:textId="4AAB24BB"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CC7562A" wp14:editId="1CC7562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5F12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F9C4B3F229E4149BF147A96EBD22CEF"/>
        </w:placeholder>
        <w:dataBinding w:prefixMappings="xmlns:ns0='http://schemas.globalmacros.com/FCA'" w:xpath="/ns0:root[1]/ns0:Name[1]" w:storeItemID="{687E7CCB-4AA5-44E7-B148-17BA2B6F57C0}"/>
        <w:text w:multiLine="1"/>
      </w:sdtPr>
      <w:sdtEndPr/>
      <w:sdtContent>
        <w:r w:rsidR="00F02259">
          <w:rPr>
            <w:bCs/>
            <w:sz w:val="18"/>
            <w:szCs w:val="18"/>
          </w:rPr>
          <w:t xml:space="preserve">Lee v Fair Work Commission [2021] FCA 1188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8593E">
      <w:rPr>
        <w:bCs/>
        <w:noProof/>
        <w:sz w:val="20"/>
      </w:rPr>
      <w:t>9</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23" w14:textId="71002724"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CC7562C" wp14:editId="1CC7562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03AE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5CD9824A94B4134AC275D2DBF987389"/>
        </w:placeholder>
        <w:dataBinding w:prefixMappings="xmlns:ns0='http://schemas.globalmacros.com/FCA'" w:xpath="/ns0:root[1]/ns0:Name[1]" w:storeItemID="{687E7CCB-4AA5-44E7-B148-17BA2B6F57C0}"/>
        <w:text w:multiLine="1"/>
      </w:sdtPr>
      <w:sdtEndPr/>
      <w:sdtContent>
        <w:r w:rsidR="00F02259">
          <w:rPr>
            <w:bCs/>
            <w:sz w:val="18"/>
            <w:szCs w:val="18"/>
          </w:rPr>
          <w:t xml:space="preserve">Lee v Fair Work Commission [2021] FCA 1188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8593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75608" w14:textId="77777777" w:rsidR="00460813" w:rsidRDefault="00460813"/>
  </w:footnote>
  <w:footnote w:type="continuationSeparator" w:id="0">
    <w:p w14:paraId="1CC75609" w14:textId="77777777" w:rsidR="00460813" w:rsidRDefault="00460813">
      <w:r>
        <w:continuationSeparator/>
      </w:r>
    </w:p>
    <w:p w14:paraId="1CC7560A" w14:textId="77777777" w:rsidR="00460813" w:rsidRDefault="00460813"/>
    <w:p w14:paraId="1CC7560B" w14:textId="77777777" w:rsidR="00460813" w:rsidRDefault="004608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5" w14:textId="77777777" w:rsidR="001C40B2" w:rsidRDefault="001C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6" w14:textId="77777777" w:rsidR="001C40B2" w:rsidRDefault="001C4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9" w14:textId="77777777" w:rsidR="001C40B2" w:rsidRDefault="001C4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B"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D"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1F"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20"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5622"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Application for extension of time: Lee v Superior Wood Pty Ltd [2021] FCA 515"/>
    <w:docVar w:name="Applicant" w:val="Jeremy Lee"/>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161 of 2021"/>
    <w:docVar w:name="Initiators" w:val="(and another named in the Schedule)"/>
    <w:docVar w:name="Judgdate" w:val="6 October 2021"/>
    <w:docVar w:name="Judge" w:val="Rangiah"/>
    <w:docVar w:name="JudgeType" w:val="Justice"/>
    <w:docVar w:name="lstEntryList" w:val="-1"/>
    <w:docVar w:name="myEntryList" w:val="Counsel for the Applicant=The Applicant appeared in person|Solicitor for the Fifth Respondent=Mr M Curran for Gilchrist Connell|Counsel for the First, Second, Third and Fourth Respondents=The First to Fourth Respondents filed submitting notices"/>
    <w:docVar w:name="NSD" w:val="NSD "/>
    <w:docVar w:name="NumApps" w:val="1"/>
    <w:docVar w:name="NumApps_" w:val="1"/>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False"/>
    <w:docVar w:name="RESAndOthers" w:val="True"/>
    <w:docVar w:name="Respondent" w:val="Fair Work Commission|Vice President Adam Hatcher|Deputy President Amber Millhouse|Commissioner Peter Hampton|Superior Wood Pty Ltd"/>
    <w:docVar w:name="ResState" w:val="Queensland"/>
    <w:docVar w:name="SubArea" w:val="(none)"/>
  </w:docVars>
  <w:rsids>
    <w:rsidRoot w:val="00460813"/>
    <w:rsid w:val="00000747"/>
    <w:rsid w:val="00005857"/>
    <w:rsid w:val="000115C5"/>
    <w:rsid w:val="0001469E"/>
    <w:rsid w:val="00015993"/>
    <w:rsid w:val="00020F28"/>
    <w:rsid w:val="00021CCB"/>
    <w:rsid w:val="00022289"/>
    <w:rsid w:val="00027398"/>
    <w:rsid w:val="0003201A"/>
    <w:rsid w:val="0003207A"/>
    <w:rsid w:val="00032F9F"/>
    <w:rsid w:val="00041C07"/>
    <w:rsid w:val="00045BB7"/>
    <w:rsid w:val="00055719"/>
    <w:rsid w:val="0005641B"/>
    <w:rsid w:val="0006196A"/>
    <w:rsid w:val="000650F0"/>
    <w:rsid w:val="00071FB3"/>
    <w:rsid w:val="0007742D"/>
    <w:rsid w:val="00077768"/>
    <w:rsid w:val="00081497"/>
    <w:rsid w:val="000831EC"/>
    <w:rsid w:val="00083FAF"/>
    <w:rsid w:val="00085255"/>
    <w:rsid w:val="00093058"/>
    <w:rsid w:val="000A2860"/>
    <w:rsid w:val="000A2E76"/>
    <w:rsid w:val="000A4807"/>
    <w:rsid w:val="000A4BE4"/>
    <w:rsid w:val="000B5D27"/>
    <w:rsid w:val="000C023E"/>
    <w:rsid w:val="000C5195"/>
    <w:rsid w:val="000C62EF"/>
    <w:rsid w:val="000D1A4F"/>
    <w:rsid w:val="000D2137"/>
    <w:rsid w:val="000D3FD2"/>
    <w:rsid w:val="000D4B2E"/>
    <w:rsid w:val="000D78A5"/>
    <w:rsid w:val="000E3FC8"/>
    <w:rsid w:val="000E7BAE"/>
    <w:rsid w:val="000F133D"/>
    <w:rsid w:val="000F6380"/>
    <w:rsid w:val="0010536B"/>
    <w:rsid w:val="0011145C"/>
    <w:rsid w:val="001128BD"/>
    <w:rsid w:val="0011419D"/>
    <w:rsid w:val="00114B02"/>
    <w:rsid w:val="001226C0"/>
    <w:rsid w:val="00126EC8"/>
    <w:rsid w:val="0012731C"/>
    <w:rsid w:val="00130FA7"/>
    <w:rsid w:val="00132054"/>
    <w:rsid w:val="0013414A"/>
    <w:rsid w:val="00134964"/>
    <w:rsid w:val="001351B9"/>
    <w:rsid w:val="001379B3"/>
    <w:rsid w:val="0014511C"/>
    <w:rsid w:val="00147646"/>
    <w:rsid w:val="0015157A"/>
    <w:rsid w:val="00154C0F"/>
    <w:rsid w:val="00155CD2"/>
    <w:rsid w:val="001727A4"/>
    <w:rsid w:val="0017376C"/>
    <w:rsid w:val="001738AB"/>
    <w:rsid w:val="001765E0"/>
    <w:rsid w:val="00177759"/>
    <w:rsid w:val="00180478"/>
    <w:rsid w:val="00180BB3"/>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C40B2"/>
    <w:rsid w:val="001D4303"/>
    <w:rsid w:val="001D6746"/>
    <w:rsid w:val="001D77BC"/>
    <w:rsid w:val="001E0C61"/>
    <w:rsid w:val="001E3B49"/>
    <w:rsid w:val="001E4A05"/>
    <w:rsid w:val="001E6A19"/>
    <w:rsid w:val="001E7388"/>
    <w:rsid w:val="001F13DD"/>
    <w:rsid w:val="001F2473"/>
    <w:rsid w:val="001F2DBC"/>
    <w:rsid w:val="001F73E8"/>
    <w:rsid w:val="00201E9D"/>
    <w:rsid w:val="0020262C"/>
    <w:rsid w:val="00202723"/>
    <w:rsid w:val="00211A3E"/>
    <w:rsid w:val="00212EF8"/>
    <w:rsid w:val="00213FEB"/>
    <w:rsid w:val="00214055"/>
    <w:rsid w:val="00215BCA"/>
    <w:rsid w:val="00215D0B"/>
    <w:rsid w:val="00217AC4"/>
    <w:rsid w:val="00221461"/>
    <w:rsid w:val="00224537"/>
    <w:rsid w:val="00235956"/>
    <w:rsid w:val="0023781C"/>
    <w:rsid w:val="00240BA5"/>
    <w:rsid w:val="00243E5E"/>
    <w:rsid w:val="002452FA"/>
    <w:rsid w:val="002467A6"/>
    <w:rsid w:val="00247C9A"/>
    <w:rsid w:val="0025160C"/>
    <w:rsid w:val="00253337"/>
    <w:rsid w:val="002535D0"/>
    <w:rsid w:val="002539B3"/>
    <w:rsid w:val="00256336"/>
    <w:rsid w:val="00257C3E"/>
    <w:rsid w:val="002602C2"/>
    <w:rsid w:val="002666C9"/>
    <w:rsid w:val="00270136"/>
    <w:rsid w:val="002702A4"/>
    <w:rsid w:val="00270FD7"/>
    <w:rsid w:val="00274F5B"/>
    <w:rsid w:val="00275327"/>
    <w:rsid w:val="00280836"/>
    <w:rsid w:val="00282E1A"/>
    <w:rsid w:val="002840F1"/>
    <w:rsid w:val="0029113B"/>
    <w:rsid w:val="00291E85"/>
    <w:rsid w:val="002934C0"/>
    <w:rsid w:val="00293E1F"/>
    <w:rsid w:val="00296FDB"/>
    <w:rsid w:val="0029764C"/>
    <w:rsid w:val="002A1B50"/>
    <w:rsid w:val="002B0E91"/>
    <w:rsid w:val="002B132C"/>
    <w:rsid w:val="002B3F23"/>
    <w:rsid w:val="002B4EB5"/>
    <w:rsid w:val="002B5AF5"/>
    <w:rsid w:val="002B6779"/>
    <w:rsid w:val="002B71C0"/>
    <w:rsid w:val="002B7A34"/>
    <w:rsid w:val="002C31AD"/>
    <w:rsid w:val="002C7385"/>
    <w:rsid w:val="002D1DC8"/>
    <w:rsid w:val="002D2DBB"/>
    <w:rsid w:val="002D37D8"/>
    <w:rsid w:val="002D54A6"/>
    <w:rsid w:val="002E153F"/>
    <w:rsid w:val="002E3E86"/>
    <w:rsid w:val="002E5BF9"/>
    <w:rsid w:val="002E6A7A"/>
    <w:rsid w:val="002F1E49"/>
    <w:rsid w:val="002F4E9C"/>
    <w:rsid w:val="002F6E15"/>
    <w:rsid w:val="00302F4E"/>
    <w:rsid w:val="00305DF2"/>
    <w:rsid w:val="0031256C"/>
    <w:rsid w:val="00314D6C"/>
    <w:rsid w:val="00316D2A"/>
    <w:rsid w:val="00322A7C"/>
    <w:rsid w:val="00322EEC"/>
    <w:rsid w:val="00323061"/>
    <w:rsid w:val="00326A96"/>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87A"/>
    <w:rsid w:val="00395B24"/>
    <w:rsid w:val="003A2D38"/>
    <w:rsid w:val="003A7ECC"/>
    <w:rsid w:val="003B2C72"/>
    <w:rsid w:val="003B2DDE"/>
    <w:rsid w:val="003B58B4"/>
    <w:rsid w:val="003C1333"/>
    <w:rsid w:val="003C20FF"/>
    <w:rsid w:val="003C550A"/>
    <w:rsid w:val="003C6055"/>
    <w:rsid w:val="003D2650"/>
    <w:rsid w:val="003D560C"/>
    <w:rsid w:val="003D5C00"/>
    <w:rsid w:val="003E1793"/>
    <w:rsid w:val="003E3154"/>
    <w:rsid w:val="003E5874"/>
    <w:rsid w:val="003E72D3"/>
    <w:rsid w:val="003F193E"/>
    <w:rsid w:val="003F242C"/>
    <w:rsid w:val="003F2CE7"/>
    <w:rsid w:val="003F34F1"/>
    <w:rsid w:val="00401A97"/>
    <w:rsid w:val="004104B6"/>
    <w:rsid w:val="00411AE8"/>
    <w:rsid w:val="00413B74"/>
    <w:rsid w:val="004342F3"/>
    <w:rsid w:val="00434C07"/>
    <w:rsid w:val="00435C5F"/>
    <w:rsid w:val="00436155"/>
    <w:rsid w:val="00436460"/>
    <w:rsid w:val="00441E98"/>
    <w:rsid w:val="00450F3A"/>
    <w:rsid w:val="004532F7"/>
    <w:rsid w:val="00460813"/>
    <w:rsid w:val="00464D51"/>
    <w:rsid w:val="00472027"/>
    <w:rsid w:val="00476A9A"/>
    <w:rsid w:val="004804CF"/>
    <w:rsid w:val="00483314"/>
    <w:rsid w:val="00484962"/>
    <w:rsid w:val="00484F6D"/>
    <w:rsid w:val="00484FB7"/>
    <w:rsid w:val="0048554D"/>
    <w:rsid w:val="00492B79"/>
    <w:rsid w:val="0049338A"/>
    <w:rsid w:val="0049417F"/>
    <w:rsid w:val="00496D41"/>
    <w:rsid w:val="004A6602"/>
    <w:rsid w:val="004B2C19"/>
    <w:rsid w:val="004B3EFA"/>
    <w:rsid w:val="004B652E"/>
    <w:rsid w:val="004C2A87"/>
    <w:rsid w:val="004C4D7B"/>
    <w:rsid w:val="004C4ED3"/>
    <w:rsid w:val="004C667B"/>
    <w:rsid w:val="004C7ECD"/>
    <w:rsid w:val="004D2E7F"/>
    <w:rsid w:val="004D2EA5"/>
    <w:rsid w:val="004D32A6"/>
    <w:rsid w:val="004D53E5"/>
    <w:rsid w:val="004E1F1A"/>
    <w:rsid w:val="004E6DC4"/>
    <w:rsid w:val="004F21C1"/>
    <w:rsid w:val="004F6E49"/>
    <w:rsid w:val="00501A12"/>
    <w:rsid w:val="005020ED"/>
    <w:rsid w:val="0050309C"/>
    <w:rsid w:val="0051327C"/>
    <w:rsid w:val="0051346D"/>
    <w:rsid w:val="00513EAE"/>
    <w:rsid w:val="0051434F"/>
    <w:rsid w:val="00516806"/>
    <w:rsid w:val="0052098C"/>
    <w:rsid w:val="00525A49"/>
    <w:rsid w:val="005262D1"/>
    <w:rsid w:val="00530876"/>
    <w:rsid w:val="00530A16"/>
    <w:rsid w:val="00535613"/>
    <w:rsid w:val="005359EB"/>
    <w:rsid w:val="0054254A"/>
    <w:rsid w:val="00542783"/>
    <w:rsid w:val="00544BDA"/>
    <w:rsid w:val="0054500B"/>
    <w:rsid w:val="005466B5"/>
    <w:rsid w:val="00554314"/>
    <w:rsid w:val="00562829"/>
    <w:rsid w:val="005629B3"/>
    <w:rsid w:val="0057128A"/>
    <w:rsid w:val="005724F6"/>
    <w:rsid w:val="00573AC4"/>
    <w:rsid w:val="005801FC"/>
    <w:rsid w:val="00585BA9"/>
    <w:rsid w:val="00587359"/>
    <w:rsid w:val="00595016"/>
    <w:rsid w:val="00597AAE"/>
    <w:rsid w:val="005A1DFC"/>
    <w:rsid w:val="005A222C"/>
    <w:rsid w:val="005A4DF8"/>
    <w:rsid w:val="005A78C8"/>
    <w:rsid w:val="005B1426"/>
    <w:rsid w:val="005B2658"/>
    <w:rsid w:val="005B3660"/>
    <w:rsid w:val="005C0A8E"/>
    <w:rsid w:val="005C1767"/>
    <w:rsid w:val="005C185C"/>
    <w:rsid w:val="005C42EF"/>
    <w:rsid w:val="005C5F55"/>
    <w:rsid w:val="005D2034"/>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2A40"/>
    <w:rsid w:val="00624520"/>
    <w:rsid w:val="006271F5"/>
    <w:rsid w:val="00632300"/>
    <w:rsid w:val="00632BB7"/>
    <w:rsid w:val="00635B36"/>
    <w:rsid w:val="00636871"/>
    <w:rsid w:val="00640EE1"/>
    <w:rsid w:val="00640F4E"/>
    <w:rsid w:val="00643DE0"/>
    <w:rsid w:val="0064437D"/>
    <w:rsid w:val="00644E85"/>
    <w:rsid w:val="006516D8"/>
    <w:rsid w:val="00652AF0"/>
    <w:rsid w:val="00652C52"/>
    <w:rsid w:val="0066063F"/>
    <w:rsid w:val="00662BB0"/>
    <w:rsid w:val="00663878"/>
    <w:rsid w:val="00667773"/>
    <w:rsid w:val="0067048B"/>
    <w:rsid w:val="00670743"/>
    <w:rsid w:val="00680A85"/>
    <w:rsid w:val="00681ADF"/>
    <w:rsid w:val="00685460"/>
    <w:rsid w:val="00690EE2"/>
    <w:rsid w:val="00693854"/>
    <w:rsid w:val="00694BEB"/>
    <w:rsid w:val="006951CB"/>
    <w:rsid w:val="006A0E20"/>
    <w:rsid w:val="006A24E3"/>
    <w:rsid w:val="006A5695"/>
    <w:rsid w:val="006A58A4"/>
    <w:rsid w:val="006B0439"/>
    <w:rsid w:val="006B3904"/>
    <w:rsid w:val="006B5B7D"/>
    <w:rsid w:val="006C12F3"/>
    <w:rsid w:val="006C5B46"/>
    <w:rsid w:val="006C6E39"/>
    <w:rsid w:val="006D0ECF"/>
    <w:rsid w:val="006D3D5B"/>
    <w:rsid w:val="006D4C92"/>
    <w:rsid w:val="006D4EB6"/>
    <w:rsid w:val="006D5CA0"/>
    <w:rsid w:val="006D700E"/>
    <w:rsid w:val="006E1EF0"/>
    <w:rsid w:val="006E35BF"/>
    <w:rsid w:val="006E6ABE"/>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47DAA"/>
    <w:rsid w:val="00760EC0"/>
    <w:rsid w:val="00761169"/>
    <w:rsid w:val="007711BD"/>
    <w:rsid w:val="0078003A"/>
    <w:rsid w:val="00780771"/>
    <w:rsid w:val="0078786D"/>
    <w:rsid w:val="007929CF"/>
    <w:rsid w:val="007A081D"/>
    <w:rsid w:val="007A49E7"/>
    <w:rsid w:val="007A6F28"/>
    <w:rsid w:val="007B03C6"/>
    <w:rsid w:val="007B0DB1"/>
    <w:rsid w:val="007B1011"/>
    <w:rsid w:val="007B5673"/>
    <w:rsid w:val="007B6B40"/>
    <w:rsid w:val="007B7238"/>
    <w:rsid w:val="007B76FF"/>
    <w:rsid w:val="007C3BF6"/>
    <w:rsid w:val="007C67B3"/>
    <w:rsid w:val="007D0FD2"/>
    <w:rsid w:val="007D2EF8"/>
    <w:rsid w:val="007D561F"/>
    <w:rsid w:val="007D7328"/>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0C7"/>
    <w:rsid w:val="008216E7"/>
    <w:rsid w:val="00825BE6"/>
    <w:rsid w:val="008276B4"/>
    <w:rsid w:val="00831927"/>
    <w:rsid w:val="00837288"/>
    <w:rsid w:val="00841BD3"/>
    <w:rsid w:val="0084273D"/>
    <w:rsid w:val="00844E3F"/>
    <w:rsid w:val="00845A83"/>
    <w:rsid w:val="00846BB9"/>
    <w:rsid w:val="008649D5"/>
    <w:rsid w:val="008712BB"/>
    <w:rsid w:val="00875455"/>
    <w:rsid w:val="00877997"/>
    <w:rsid w:val="008830E7"/>
    <w:rsid w:val="00890EDE"/>
    <w:rsid w:val="00892B38"/>
    <w:rsid w:val="00895235"/>
    <w:rsid w:val="008953F5"/>
    <w:rsid w:val="008A1741"/>
    <w:rsid w:val="008A2484"/>
    <w:rsid w:val="008A52F3"/>
    <w:rsid w:val="008B0599"/>
    <w:rsid w:val="008B524C"/>
    <w:rsid w:val="008C26D9"/>
    <w:rsid w:val="008C6D50"/>
    <w:rsid w:val="008C7167"/>
    <w:rsid w:val="008C7503"/>
    <w:rsid w:val="008D1617"/>
    <w:rsid w:val="008D330F"/>
    <w:rsid w:val="008D48C1"/>
    <w:rsid w:val="008D5364"/>
    <w:rsid w:val="008E05F4"/>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3729"/>
    <w:rsid w:val="0092497E"/>
    <w:rsid w:val="0092590B"/>
    <w:rsid w:val="00925BF3"/>
    <w:rsid w:val="00925E60"/>
    <w:rsid w:val="009264B3"/>
    <w:rsid w:val="00931E4C"/>
    <w:rsid w:val="009365E0"/>
    <w:rsid w:val="00940F35"/>
    <w:rsid w:val="00942BA2"/>
    <w:rsid w:val="009432B7"/>
    <w:rsid w:val="00944C86"/>
    <w:rsid w:val="00947C02"/>
    <w:rsid w:val="00950BE6"/>
    <w:rsid w:val="00957DE8"/>
    <w:rsid w:val="00960ECB"/>
    <w:rsid w:val="00960FD7"/>
    <w:rsid w:val="009615D6"/>
    <w:rsid w:val="00963D81"/>
    <w:rsid w:val="00967855"/>
    <w:rsid w:val="00971CD1"/>
    <w:rsid w:val="00974709"/>
    <w:rsid w:val="00980736"/>
    <w:rsid w:val="00981A39"/>
    <w:rsid w:val="00981F47"/>
    <w:rsid w:val="00982D56"/>
    <w:rsid w:val="00983DBF"/>
    <w:rsid w:val="00987097"/>
    <w:rsid w:val="00991123"/>
    <w:rsid w:val="00991CAB"/>
    <w:rsid w:val="009A3A9C"/>
    <w:rsid w:val="009B046C"/>
    <w:rsid w:val="009B13FA"/>
    <w:rsid w:val="009B1E2D"/>
    <w:rsid w:val="009C59FB"/>
    <w:rsid w:val="009C6F3B"/>
    <w:rsid w:val="009D043A"/>
    <w:rsid w:val="009D1467"/>
    <w:rsid w:val="009D2792"/>
    <w:rsid w:val="009D328D"/>
    <w:rsid w:val="009E493A"/>
    <w:rsid w:val="009E4FA6"/>
    <w:rsid w:val="009E7D93"/>
    <w:rsid w:val="009F3C34"/>
    <w:rsid w:val="009F462C"/>
    <w:rsid w:val="009F5C33"/>
    <w:rsid w:val="00A026F0"/>
    <w:rsid w:val="00A03EAC"/>
    <w:rsid w:val="00A04DBB"/>
    <w:rsid w:val="00A07EA0"/>
    <w:rsid w:val="00A11CA6"/>
    <w:rsid w:val="00A1733F"/>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61605"/>
    <w:rsid w:val="00A6367C"/>
    <w:rsid w:val="00A65F97"/>
    <w:rsid w:val="00A73B04"/>
    <w:rsid w:val="00A76C13"/>
    <w:rsid w:val="00A84FD0"/>
    <w:rsid w:val="00A92E79"/>
    <w:rsid w:val="00A950B6"/>
    <w:rsid w:val="00A95D45"/>
    <w:rsid w:val="00AA3EA8"/>
    <w:rsid w:val="00AB3147"/>
    <w:rsid w:val="00AB41C1"/>
    <w:rsid w:val="00AB4CF2"/>
    <w:rsid w:val="00AB6CCA"/>
    <w:rsid w:val="00AC09DE"/>
    <w:rsid w:val="00AC223F"/>
    <w:rsid w:val="00AC33B1"/>
    <w:rsid w:val="00AD12A8"/>
    <w:rsid w:val="00AE023F"/>
    <w:rsid w:val="00AF3577"/>
    <w:rsid w:val="00AF35F9"/>
    <w:rsid w:val="00B0424C"/>
    <w:rsid w:val="00B05C7D"/>
    <w:rsid w:val="00B0726F"/>
    <w:rsid w:val="00B15D57"/>
    <w:rsid w:val="00B16347"/>
    <w:rsid w:val="00B17D6E"/>
    <w:rsid w:val="00B2435E"/>
    <w:rsid w:val="00B346C3"/>
    <w:rsid w:val="00B4005C"/>
    <w:rsid w:val="00B4227E"/>
    <w:rsid w:val="00B4471C"/>
    <w:rsid w:val="00B451A6"/>
    <w:rsid w:val="00B56D6E"/>
    <w:rsid w:val="00B64347"/>
    <w:rsid w:val="00B654B7"/>
    <w:rsid w:val="00B65DC6"/>
    <w:rsid w:val="00B67AC2"/>
    <w:rsid w:val="00B722DE"/>
    <w:rsid w:val="00B751E3"/>
    <w:rsid w:val="00B75BA6"/>
    <w:rsid w:val="00B76C44"/>
    <w:rsid w:val="00B8184A"/>
    <w:rsid w:val="00B82283"/>
    <w:rsid w:val="00B828D8"/>
    <w:rsid w:val="00B83F87"/>
    <w:rsid w:val="00B85BE1"/>
    <w:rsid w:val="00B87CDC"/>
    <w:rsid w:val="00B910C1"/>
    <w:rsid w:val="00BA2CA4"/>
    <w:rsid w:val="00BA2EFA"/>
    <w:rsid w:val="00BA3DBC"/>
    <w:rsid w:val="00BA707A"/>
    <w:rsid w:val="00BB1AFB"/>
    <w:rsid w:val="00BB27AE"/>
    <w:rsid w:val="00BB2DA2"/>
    <w:rsid w:val="00BB31E9"/>
    <w:rsid w:val="00BB56DC"/>
    <w:rsid w:val="00BC1AAF"/>
    <w:rsid w:val="00BE183D"/>
    <w:rsid w:val="00BF24C2"/>
    <w:rsid w:val="00BF5D7A"/>
    <w:rsid w:val="00C01C2E"/>
    <w:rsid w:val="00C02D33"/>
    <w:rsid w:val="00C04B53"/>
    <w:rsid w:val="00C1232C"/>
    <w:rsid w:val="00C24C4D"/>
    <w:rsid w:val="00C27C6B"/>
    <w:rsid w:val="00C3594D"/>
    <w:rsid w:val="00C36442"/>
    <w:rsid w:val="00C400CE"/>
    <w:rsid w:val="00C410FD"/>
    <w:rsid w:val="00C457DE"/>
    <w:rsid w:val="00C47DD3"/>
    <w:rsid w:val="00C52FB9"/>
    <w:rsid w:val="00C5316F"/>
    <w:rsid w:val="00C53562"/>
    <w:rsid w:val="00C539FB"/>
    <w:rsid w:val="00C57BCD"/>
    <w:rsid w:val="00C66AA3"/>
    <w:rsid w:val="00C66E57"/>
    <w:rsid w:val="00C67568"/>
    <w:rsid w:val="00C67EB8"/>
    <w:rsid w:val="00C724D7"/>
    <w:rsid w:val="00C74150"/>
    <w:rsid w:val="00C75594"/>
    <w:rsid w:val="00C775F3"/>
    <w:rsid w:val="00C85982"/>
    <w:rsid w:val="00CA0466"/>
    <w:rsid w:val="00CA246D"/>
    <w:rsid w:val="00CA3541"/>
    <w:rsid w:val="00CA50D9"/>
    <w:rsid w:val="00CB3054"/>
    <w:rsid w:val="00CB5636"/>
    <w:rsid w:val="00CB5F30"/>
    <w:rsid w:val="00CC3EE5"/>
    <w:rsid w:val="00CC6E47"/>
    <w:rsid w:val="00CE425C"/>
    <w:rsid w:val="00CE58AC"/>
    <w:rsid w:val="00CF5A80"/>
    <w:rsid w:val="00D045EE"/>
    <w:rsid w:val="00D05091"/>
    <w:rsid w:val="00D10CA6"/>
    <w:rsid w:val="00D10F21"/>
    <w:rsid w:val="00D134CF"/>
    <w:rsid w:val="00D1573B"/>
    <w:rsid w:val="00D15A18"/>
    <w:rsid w:val="00D16DDC"/>
    <w:rsid w:val="00D24806"/>
    <w:rsid w:val="00D34040"/>
    <w:rsid w:val="00D34E69"/>
    <w:rsid w:val="00D36C78"/>
    <w:rsid w:val="00D375EE"/>
    <w:rsid w:val="00D47CF0"/>
    <w:rsid w:val="00D55AE8"/>
    <w:rsid w:val="00D56056"/>
    <w:rsid w:val="00D6085F"/>
    <w:rsid w:val="00D62699"/>
    <w:rsid w:val="00D70C8C"/>
    <w:rsid w:val="00D75CBE"/>
    <w:rsid w:val="00D778E9"/>
    <w:rsid w:val="00D812BF"/>
    <w:rsid w:val="00D82620"/>
    <w:rsid w:val="00D85707"/>
    <w:rsid w:val="00D9725F"/>
    <w:rsid w:val="00DA01B1"/>
    <w:rsid w:val="00DA11A2"/>
    <w:rsid w:val="00DA14ED"/>
    <w:rsid w:val="00DA26D6"/>
    <w:rsid w:val="00DB2EF1"/>
    <w:rsid w:val="00DB3DE1"/>
    <w:rsid w:val="00DB5DA0"/>
    <w:rsid w:val="00DB716C"/>
    <w:rsid w:val="00DC501C"/>
    <w:rsid w:val="00DC5C85"/>
    <w:rsid w:val="00DC7C5D"/>
    <w:rsid w:val="00DD4236"/>
    <w:rsid w:val="00DD44F1"/>
    <w:rsid w:val="00DD57A3"/>
    <w:rsid w:val="00DD6957"/>
    <w:rsid w:val="00DD6E7A"/>
    <w:rsid w:val="00DE3067"/>
    <w:rsid w:val="00DF3EEE"/>
    <w:rsid w:val="00DF4456"/>
    <w:rsid w:val="00DF75E1"/>
    <w:rsid w:val="00E027BC"/>
    <w:rsid w:val="00E045BE"/>
    <w:rsid w:val="00E060F9"/>
    <w:rsid w:val="00E10F0D"/>
    <w:rsid w:val="00E14EA5"/>
    <w:rsid w:val="00E2070E"/>
    <w:rsid w:val="00E20A6C"/>
    <w:rsid w:val="00E21133"/>
    <w:rsid w:val="00E231D3"/>
    <w:rsid w:val="00E2327E"/>
    <w:rsid w:val="00E23DA5"/>
    <w:rsid w:val="00E266EF"/>
    <w:rsid w:val="00E326A8"/>
    <w:rsid w:val="00E32817"/>
    <w:rsid w:val="00E47428"/>
    <w:rsid w:val="00E53FC3"/>
    <w:rsid w:val="00E5489A"/>
    <w:rsid w:val="00E56C8E"/>
    <w:rsid w:val="00E5716B"/>
    <w:rsid w:val="00E57F1F"/>
    <w:rsid w:val="00E66B9F"/>
    <w:rsid w:val="00E66F82"/>
    <w:rsid w:val="00E70A6A"/>
    <w:rsid w:val="00E710D6"/>
    <w:rsid w:val="00E73DA4"/>
    <w:rsid w:val="00E743A6"/>
    <w:rsid w:val="00E76E45"/>
    <w:rsid w:val="00E777C9"/>
    <w:rsid w:val="00E77BD8"/>
    <w:rsid w:val="00E81DA6"/>
    <w:rsid w:val="00E84212"/>
    <w:rsid w:val="00E84FD7"/>
    <w:rsid w:val="00E8593E"/>
    <w:rsid w:val="00E9086C"/>
    <w:rsid w:val="00E90AAA"/>
    <w:rsid w:val="00E91A0F"/>
    <w:rsid w:val="00E94A71"/>
    <w:rsid w:val="00E94CBF"/>
    <w:rsid w:val="00EA03CE"/>
    <w:rsid w:val="00EA23E5"/>
    <w:rsid w:val="00EA4E2E"/>
    <w:rsid w:val="00EB2417"/>
    <w:rsid w:val="00EB2CCB"/>
    <w:rsid w:val="00EB7A25"/>
    <w:rsid w:val="00EC0F3E"/>
    <w:rsid w:val="00EC4E80"/>
    <w:rsid w:val="00EC56A4"/>
    <w:rsid w:val="00EC57A7"/>
    <w:rsid w:val="00ED0817"/>
    <w:rsid w:val="00ED7DD9"/>
    <w:rsid w:val="00EE445B"/>
    <w:rsid w:val="00EF3113"/>
    <w:rsid w:val="00EF3F84"/>
    <w:rsid w:val="00F02259"/>
    <w:rsid w:val="00F037AE"/>
    <w:rsid w:val="00F05751"/>
    <w:rsid w:val="00F175D0"/>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56D11"/>
    <w:rsid w:val="00F57AF6"/>
    <w:rsid w:val="00F64224"/>
    <w:rsid w:val="00F71CBE"/>
    <w:rsid w:val="00F775AC"/>
    <w:rsid w:val="00F8378C"/>
    <w:rsid w:val="00F9214D"/>
    <w:rsid w:val="00F92355"/>
    <w:rsid w:val="00F93963"/>
    <w:rsid w:val="00F94291"/>
    <w:rsid w:val="00FA298A"/>
    <w:rsid w:val="00FA5B66"/>
    <w:rsid w:val="00FB0B9C"/>
    <w:rsid w:val="00FB17FA"/>
    <w:rsid w:val="00FB1BC9"/>
    <w:rsid w:val="00FB30EB"/>
    <w:rsid w:val="00FB7982"/>
    <w:rsid w:val="00FC0734"/>
    <w:rsid w:val="00FC0FC5"/>
    <w:rsid w:val="00FC588F"/>
    <w:rsid w:val="00FC6879"/>
    <w:rsid w:val="00FC744A"/>
    <w:rsid w:val="00FD43C2"/>
    <w:rsid w:val="00FD57CC"/>
    <w:rsid w:val="00FE1B30"/>
    <w:rsid w:val="00FE65B2"/>
    <w:rsid w:val="00FE7B44"/>
    <w:rsid w:val="00FF06D1"/>
    <w:rsid w:val="00FF0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CC75515"/>
  <w15:docId w15:val="{75E2B179-8874-45E2-BE0B-BE902673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0DDBB509344166A2A31DE298B7100E"/>
        <w:category>
          <w:name w:val="General"/>
          <w:gallery w:val="placeholder"/>
        </w:category>
        <w:types>
          <w:type w:val="bbPlcHdr"/>
        </w:types>
        <w:behaviors>
          <w:behavior w:val="content"/>
        </w:behaviors>
        <w:guid w:val="{723DD5E2-6694-4244-A83A-2F80A7937189}"/>
      </w:docPartPr>
      <w:docPartBody>
        <w:p w:rsidR="00F3564B" w:rsidRDefault="00F3564B">
          <w:pPr>
            <w:pStyle w:val="640DDBB509344166A2A31DE298B7100E"/>
          </w:pPr>
          <w:r>
            <w:rPr>
              <w:rStyle w:val="PlaceholderText"/>
            </w:rPr>
            <w:t>MNC Text</w:t>
          </w:r>
        </w:p>
      </w:docPartBody>
    </w:docPart>
    <w:docPart>
      <w:docPartPr>
        <w:name w:val="961478D722624B5892A0F1F84439A6A2"/>
        <w:category>
          <w:name w:val="General"/>
          <w:gallery w:val="placeholder"/>
        </w:category>
        <w:types>
          <w:type w:val="bbPlcHdr"/>
        </w:types>
        <w:behaviors>
          <w:behavior w:val="content"/>
        </w:behaviors>
        <w:guid w:val="{1377DC01-F69B-44A2-AE20-567FED93AE62}"/>
      </w:docPartPr>
      <w:docPartBody>
        <w:p w:rsidR="00F3564B" w:rsidRDefault="00F3564B">
          <w:pPr>
            <w:pStyle w:val="961478D722624B5892A0F1F84439A6A2"/>
          </w:pPr>
          <w:r w:rsidRPr="005C44BE">
            <w:rPr>
              <w:rStyle w:val="PlaceholderText"/>
            </w:rPr>
            <w:t>Click or tap here to enter text.</w:t>
          </w:r>
        </w:p>
      </w:docPartBody>
    </w:docPart>
    <w:docPart>
      <w:docPartPr>
        <w:name w:val="50C4F61899124B4DBFED35C5490C98B5"/>
        <w:category>
          <w:name w:val="General"/>
          <w:gallery w:val="placeholder"/>
        </w:category>
        <w:types>
          <w:type w:val="bbPlcHdr"/>
        </w:types>
        <w:behaviors>
          <w:behavior w:val="content"/>
        </w:behaviors>
        <w:guid w:val="{EE06A6A1-42F7-4B8F-A045-6C7EFE869D04}"/>
      </w:docPartPr>
      <w:docPartBody>
        <w:p w:rsidR="00F3564B" w:rsidRDefault="00F3564B">
          <w:pPr>
            <w:pStyle w:val="50C4F61899124B4DBFED35C5490C98B5"/>
          </w:pPr>
          <w:r w:rsidRPr="005C44BE">
            <w:rPr>
              <w:rStyle w:val="PlaceholderText"/>
            </w:rPr>
            <w:t>Click or tap here to enter text.</w:t>
          </w:r>
        </w:p>
      </w:docPartBody>
    </w:docPart>
    <w:docPart>
      <w:docPartPr>
        <w:name w:val="9F9C4B3F229E4149BF147A96EBD22CEF"/>
        <w:category>
          <w:name w:val="General"/>
          <w:gallery w:val="placeholder"/>
        </w:category>
        <w:types>
          <w:type w:val="bbPlcHdr"/>
        </w:types>
        <w:behaviors>
          <w:behavior w:val="content"/>
        </w:behaviors>
        <w:guid w:val="{8F477E55-82E0-49B7-859D-F1F7063B082E}"/>
      </w:docPartPr>
      <w:docPartBody>
        <w:p w:rsidR="00F3564B" w:rsidRDefault="00F3564B">
          <w:pPr>
            <w:pStyle w:val="9F9C4B3F229E4149BF147A96EBD22CEF"/>
          </w:pPr>
          <w:r w:rsidRPr="005C44BE">
            <w:rPr>
              <w:rStyle w:val="PlaceholderText"/>
            </w:rPr>
            <w:t>Click or tap here to enter text.</w:t>
          </w:r>
        </w:p>
      </w:docPartBody>
    </w:docPart>
    <w:docPart>
      <w:docPartPr>
        <w:name w:val="25CD9824A94B4134AC275D2DBF987389"/>
        <w:category>
          <w:name w:val="General"/>
          <w:gallery w:val="placeholder"/>
        </w:category>
        <w:types>
          <w:type w:val="bbPlcHdr"/>
        </w:types>
        <w:behaviors>
          <w:behavior w:val="content"/>
        </w:behaviors>
        <w:guid w:val="{67D59C4D-F0CF-4576-AD12-841703795FC6}"/>
      </w:docPartPr>
      <w:docPartBody>
        <w:p w:rsidR="00F3564B" w:rsidRDefault="00F3564B">
          <w:pPr>
            <w:pStyle w:val="25CD9824A94B4134AC275D2DBF98738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4B"/>
    <w:rsid w:val="00F3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0DDBB509344166A2A31DE298B7100E">
    <w:name w:val="640DDBB509344166A2A31DE298B7100E"/>
  </w:style>
  <w:style w:type="paragraph" w:customStyle="1" w:styleId="961478D722624B5892A0F1F84439A6A2">
    <w:name w:val="961478D722624B5892A0F1F84439A6A2"/>
  </w:style>
  <w:style w:type="paragraph" w:customStyle="1" w:styleId="50C4F61899124B4DBFED35C5490C98B5">
    <w:name w:val="50C4F61899124B4DBFED35C5490C98B5"/>
  </w:style>
  <w:style w:type="paragraph" w:customStyle="1" w:styleId="9F9C4B3F229E4149BF147A96EBD22CEF">
    <w:name w:val="9F9C4B3F229E4149BF147A96EBD22CEF"/>
  </w:style>
  <w:style w:type="paragraph" w:customStyle="1" w:styleId="25CD9824A94B4134AC275D2DBF987389">
    <w:name w:val="25CD9824A94B4134AC275D2DBF987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13D9D818C28438DB81EB6340DF8C5" ma:contentTypeVersion="" ma:contentTypeDescription="Create a new document." ma:contentTypeScope="" ma:versionID="9a13847a5d731a39efa971f3b0af1175">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globalmacros.com/FCA">
  <Name>Lee v Fair Work Commission [2021] FCA 1188  </Name>
</root>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11BA-F130-4C04-9216-38F9C023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5D5F76B1-5340-4CAA-BEF5-5C93FA6E32CD}">
  <ds:schemaRefs>
    <ds:schemaRef ds:uri="http://schemas.microsoft.com/office/2006/documentManagement/types"/>
    <ds:schemaRef ds:uri="http://schemas.microsoft.com/sharepoint/v3/fields"/>
    <ds:schemaRef ds:uri="http://schemas.openxmlformats.org/package/2006/metadata/core-properties"/>
    <ds:schemaRef ds:uri="85512599-8531-48e1-9b90-9215d01f2c32"/>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4EAD168-E6D3-4892-8496-618F1FF54550}">
  <ds:schemaRefs>
    <ds:schemaRef ds:uri="http://schemas.microsoft.com/sharepoint/v3/contenttype/forms"/>
  </ds:schemaRefs>
</ds:datastoreItem>
</file>

<file path=customXml/itemProps5.xml><?xml version="1.0" encoding="utf-8"?>
<ds:datastoreItem xmlns:ds="http://schemas.openxmlformats.org/officeDocument/2006/customXml" ds:itemID="{59030C06-A14B-4E61-9E0D-1FC93E0D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Pages>
  <Words>3757</Words>
  <Characters>18768</Characters>
  <Application>Microsoft Office Word</Application>
  <DocSecurity>0</DocSecurity>
  <Lines>426</Lines>
  <Paragraphs>180</Paragraphs>
  <ScaleCrop>false</ScaleCrop>
  <HeadingPairs>
    <vt:vector size="2" baseType="variant">
      <vt:variant>
        <vt:lpstr>Title</vt:lpstr>
      </vt:variant>
      <vt:variant>
        <vt:i4>1</vt:i4>
      </vt:variant>
    </vt:vector>
  </HeadingPairs>
  <TitlesOfParts>
    <vt:vector size="1" baseType="lpstr">
      <vt:lpstr>Lee v Fair Work Commission [2021] FCA 1188  </vt:lpstr>
    </vt:vector>
  </TitlesOfParts>
  <Company>Federal Court of Australia</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v Fair Work Commission [2021] FCA 1188</dc:title>
  <dc:creator>Federal Court of Australia</dc:creator>
  <cp:lastModifiedBy>Federal Court of Australia</cp:lastModifiedBy>
  <cp:revision>3</cp:revision>
  <cp:lastPrinted>2021-10-06T00:05:00Z</cp:lastPrinted>
  <dcterms:created xsi:type="dcterms:W3CDTF">2021-10-06T02:44:00Z</dcterms:created>
  <dcterms:modified xsi:type="dcterms:W3CDTF">2021-10-06T02:44:00Z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Application for extension of time: Lee v Superior Wood Pty Ltd [2021] FCA 515</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0x010100BD313D9D818C28438DB81EB6340DF8C5</vt:lpwstr>
  </property>
</Properties>
</file>