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B24" w:rsidRDefault="002C7385">
      <w:pPr>
        <w:pStyle w:val="NormalHeadings"/>
        <w:jc w:val="center"/>
        <w:rPr>
          <w:sz w:val="32"/>
        </w:rPr>
      </w:pPr>
      <w:r>
        <w:rPr>
          <w:sz w:val="32"/>
        </w:rPr>
        <w:t>FEDERAL COURT OF AUSTRALIA</w:t>
      </w:r>
    </w:p>
    <w:p w:rsidR="00395B24" w:rsidRDefault="00395B24">
      <w:pPr>
        <w:pStyle w:val="NormalHeadings"/>
        <w:jc w:val="center"/>
        <w:rPr>
          <w:sz w:val="32"/>
        </w:rPr>
      </w:pPr>
    </w:p>
    <w:p w:rsidR="00395B24" w:rsidRDefault="00784D8D">
      <w:pPr>
        <w:pStyle w:val="MediaNeutralStyle"/>
      </w:pPr>
      <w:bookmarkStart w:id="0" w:name="MNC"/>
      <w:r>
        <w:t>Yeo</w:t>
      </w:r>
      <w:r w:rsidR="00B14153">
        <w:t xml:space="preserve">, in the matter of Ready Kit Cabinets Pty Ltd (in </w:t>
      </w:r>
      <w:proofErr w:type="spellStart"/>
      <w:r w:rsidR="00B14153">
        <w:t>liq</w:t>
      </w:r>
      <w:proofErr w:type="spellEnd"/>
      <w:r w:rsidR="00B14153">
        <w:t>)</w:t>
      </w:r>
      <w:r>
        <w:t xml:space="preserve"> v Deputy Commissioner of Taxation [2020] FCA </w:t>
      </w:r>
      <w:r w:rsidR="00F23FDC">
        <w:t>632</w:t>
      </w:r>
      <w:r>
        <w:t xml:space="preserve"> </w:t>
      </w:r>
      <w:bookmarkEnd w:id="0"/>
    </w:p>
    <w:p w:rsidR="00395B24"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rsidTr="002C0154">
        <w:tc>
          <w:tcPr>
            <w:tcW w:w="3085" w:type="dxa"/>
            <w:shd w:val="clear" w:color="auto" w:fill="auto"/>
          </w:tcPr>
          <w:p w:rsidR="00395B24" w:rsidRDefault="002C7385" w:rsidP="00784D8D">
            <w:pPr>
              <w:pStyle w:val="Normal1linespace"/>
              <w:widowControl w:val="0"/>
              <w:jc w:val="left"/>
            </w:pPr>
            <w:r>
              <w:t>File number:</w:t>
            </w:r>
          </w:p>
        </w:tc>
        <w:tc>
          <w:tcPr>
            <w:tcW w:w="5989" w:type="dxa"/>
            <w:shd w:val="clear" w:color="auto" w:fill="auto"/>
          </w:tcPr>
          <w:p w:rsidR="00395B24" w:rsidRPr="00784D8D" w:rsidRDefault="00E439BF" w:rsidP="00784D8D">
            <w:pPr>
              <w:pStyle w:val="Normal1linespace"/>
              <w:jc w:val="left"/>
            </w:pPr>
            <w:r>
              <w:fldChar w:fldCharType="begin" w:fldLock="1"/>
            </w:r>
            <w:r>
              <w:instrText xml:space="preserve"> REF  FileNo  \* MERGEFORMAT </w:instrText>
            </w:r>
            <w:r>
              <w:fldChar w:fldCharType="separate"/>
            </w:r>
            <w:r w:rsidR="00784D8D" w:rsidRPr="00784D8D">
              <w:t>VID 695 of 2018</w:t>
            </w:r>
            <w:r>
              <w:fldChar w:fldCharType="end"/>
            </w:r>
          </w:p>
        </w:tc>
      </w:tr>
      <w:tr w:rsidR="00395B24" w:rsidTr="002C0154">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2C0154">
        <w:tc>
          <w:tcPr>
            <w:tcW w:w="3085" w:type="dxa"/>
            <w:shd w:val="clear" w:color="auto" w:fill="auto"/>
          </w:tcPr>
          <w:p w:rsidR="00395B24" w:rsidRDefault="002C7385" w:rsidP="00784D8D">
            <w:pPr>
              <w:pStyle w:val="Normal1linespace"/>
              <w:widowControl w:val="0"/>
              <w:jc w:val="left"/>
            </w:pPr>
            <w:r>
              <w:t>Judge:</w:t>
            </w:r>
          </w:p>
        </w:tc>
        <w:tc>
          <w:tcPr>
            <w:tcW w:w="5989" w:type="dxa"/>
            <w:shd w:val="clear" w:color="auto" w:fill="auto"/>
          </w:tcPr>
          <w:p w:rsidR="00395B24" w:rsidRDefault="002C7385" w:rsidP="00663878">
            <w:pPr>
              <w:pStyle w:val="Normal1linespace"/>
              <w:widowControl w:val="0"/>
              <w:jc w:val="left"/>
              <w:rPr>
                <w:b/>
              </w:rPr>
            </w:pPr>
            <w:r w:rsidRPr="00784D8D">
              <w:rPr>
                <w:b/>
              </w:rPr>
              <w:fldChar w:fldCharType="begin" w:fldLock="1"/>
            </w:r>
            <w:r w:rsidRPr="00784D8D">
              <w:rPr>
                <w:b/>
              </w:rPr>
              <w:instrText xml:space="preserve"> REF  Judge  \* MERGEFORMAT </w:instrText>
            </w:r>
            <w:r w:rsidRPr="00784D8D">
              <w:rPr>
                <w:b/>
              </w:rPr>
              <w:fldChar w:fldCharType="separate"/>
            </w:r>
            <w:r w:rsidR="00784D8D" w:rsidRPr="00784D8D">
              <w:rPr>
                <w:b/>
                <w:caps/>
                <w:szCs w:val="24"/>
              </w:rPr>
              <w:t>MIDDLETON J</w:t>
            </w:r>
            <w:r w:rsidRPr="00784D8D">
              <w:rPr>
                <w:b/>
              </w:rPr>
              <w:fldChar w:fldCharType="end"/>
            </w:r>
          </w:p>
        </w:tc>
      </w:tr>
      <w:tr w:rsidR="00395B24" w:rsidTr="002C0154">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2C0154">
        <w:tc>
          <w:tcPr>
            <w:tcW w:w="3085" w:type="dxa"/>
            <w:shd w:val="clear" w:color="auto" w:fill="auto"/>
          </w:tcPr>
          <w:p w:rsidR="00395B24" w:rsidRDefault="002C7385" w:rsidP="00663878">
            <w:pPr>
              <w:pStyle w:val="Normal1linespace"/>
              <w:widowControl w:val="0"/>
              <w:jc w:val="left"/>
            </w:pPr>
            <w:r>
              <w:t>Date of judgment:</w:t>
            </w:r>
          </w:p>
        </w:tc>
        <w:tc>
          <w:tcPr>
            <w:tcW w:w="5989" w:type="dxa"/>
            <w:shd w:val="clear" w:color="auto" w:fill="auto"/>
          </w:tcPr>
          <w:p w:rsidR="00395B24" w:rsidRDefault="002C0154" w:rsidP="002C0154">
            <w:pPr>
              <w:pStyle w:val="Normal1linespace"/>
              <w:widowControl w:val="0"/>
              <w:jc w:val="left"/>
            </w:pPr>
            <w:bookmarkStart w:id="1" w:name="JudgmentDate"/>
            <w:r>
              <w:t>15 May 2020</w:t>
            </w:r>
            <w:bookmarkEnd w:id="1"/>
          </w:p>
        </w:tc>
      </w:tr>
      <w:tr w:rsidR="00395B24" w:rsidTr="002C0154">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2C0154">
        <w:tc>
          <w:tcPr>
            <w:tcW w:w="3085" w:type="dxa"/>
            <w:shd w:val="clear" w:color="auto" w:fill="auto"/>
          </w:tcPr>
          <w:p w:rsidR="00395B24" w:rsidRDefault="002C7385" w:rsidP="00663878">
            <w:pPr>
              <w:pStyle w:val="Normal1linespace"/>
              <w:widowControl w:val="0"/>
              <w:jc w:val="left"/>
            </w:pPr>
            <w:r>
              <w:t>Catchwords:</w:t>
            </w:r>
          </w:p>
        </w:tc>
        <w:tc>
          <w:tcPr>
            <w:tcW w:w="5989" w:type="dxa"/>
            <w:shd w:val="clear" w:color="auto" w:fill="auto"/>
          </w:tcPr>
          <w:p w:rsidR="00395B24" w:rsidRDefault="009503B8" w:rsidP="00F53A25">
            <w:pPr>
              <w:pStyle w:val="Normal1linespace"/>
              <w:widowControl w:val="0"/>
              <w:jc w:val="left"/>
            </w:pPr>
            <w:bookmarkStart w:id="2" w:name="Catchwords"/>
            <w:r>
              <w:rPr>
                <w:b/>
              </w:rPr>
              <w:t>CORPORATIONS</w:t>
            </w:r>
            <w:r>
              <w:t xml:space="preserve"> – winding up – deed of company arrangement – voidable transactions – unfair preferences – director-related transactions – </w:t>
            </w:r>
            <w:r w:rsidR="00C63A6D">
              <w:t xml:space="preserve">source of director’s authority </w:t>
            </w:r>
            <w:r w:rsidR="009A3E0A">
              <w:t>where control of company</w:t>
            </w:r>
            <w:r w:rsidR="00F53A25">
              <w:t xml:space="preserve"> subject to</w:t>
            </w:r>
            <w:r w:rsidR="00C63A6D">
              <w:t xml:space="preserve"> deed of company arrangement has been returned to the director –</w:t>
            </w:r>
            <w:r w:rsidR="00F53A25">
              <w:t xml:space="preserve"> </w:t>
            </w:r>
            <w:r w:rsidR="00C63A6D">
              <w:t xml:space="preserve">where deed of company arrangement required the company to comply with taxation obligations – whether payment made by company director to the Deputy Commissioner of Taxation while the company was subject to a deed of company arrangement is a voidable transaction – use of extrinsic material – </w:t>
            </w:r>
            <w:r>
              <w:t>meaning of ‘by, or under the authority of’ – Corporations Act 2001 (</w:t>
            </w:r>
            <w:proofErr w:type="spellStart"/>
            <w:r>
              <w:t>Cth</w:t>
            </w:r>
            <w:proofErr w:type="spellEnd"/>
            <w:r>
              <w:t xml:space="preserve">) </w:t>
            </w:r>
            <w:proofErr w:type="spellStart"/>
            <w:r>
              <w:t>ss</w:t>
            </w:r>
            <w:proofErr w:type="spellEnd"/>
            <w:r>
              <w:t xml:space="preserve"> 444D, 444G, 588FA, 588FE(2B)</w:t>
            </w:r>
            <w:r w:rsidR="002C7385">
              <w:t xml:space="preserve"> </w:t>
            </w:r>
            <w:bookmarkEnd w:id="2"/>
          </w:p>
        </w:tc>
      </w:tr>
      <w:tr w:rsidR="00395B24" w:rsidTr="002C0154">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2C0154">
        <w:tc>
          <w:tcPr>
            <w:tcW w:w="3085" w:type="dxa"/>
            <w:shd w:val="clear" w:color="auto" w:fill="auto"/>
          </w:tcPr>
          <w:p w:rsidR="00395B24" w:rsidRDefault="002C7385" w:rsidP="00663878">
            <w:pPr>
              <w:pStyle w:val="Normal1linespace"/>
              <w:widowControl w:val="0"/>
              <w:jc w:val="left"/>
            </w:pPr>
            <w:r>
              <w:t>Legislation:</w:t>
            </w:r>
          </w:p>
        </w:tc>
        <w:tc>
          <w:tcPr>
            <w:tcW w:w="5989" w:type="dxa"/>
            <w:shd w:val="clear" w:color="auto" w:fill="auto"/>
          </w:tcPr>
          <w:p w:rsidR="009F30E1" w:rsidRDefault="009F30E1" w:rsidP="00D82620">
            <w:pPr>
              <w:pStyle w:val="CasesLegislationAppealFrom"/>
              <w:spacing w:after="60"/>
              <w:rPr>
                <w:i/>
                <w:iCs/>
              </w:rPr>
            </w:pPr>
            <w:bookmarkStart w:id="3" w:name="Legislation"/>
            <w:r>
              <w:rPr>
                <w:i/>
                <w:lang w:eastAsia="en-AU"/>
              </w:rPr>
              <w:t xml:space="preserve">Corporations Act 2001 </w:t>
            </w:r>
            <w:r>
              <w:rPr>
                <w:lang w:eastAsia="en-AU"/>
              </w:rPr>
              <w:t>(</w:t>
            </w:r>
            <w:proofErr w:type="spellStart"/>
            <w:r>
              <w:rPr>
                <w:lang w:eastAsia="en-AU"/>
              </w:rPr>
              <w:t>Cth</w:t>
            </w:r>
            <w:proofErr w:type="spellEnd"/>
            <w:r>
              <w:rPr>
                <w:lang w:eastAsia="en-AU"/>
              </w:rPr>
              <w:t>)</w:t>
            </w:r>
            <w:r>
              <w:rPr>
                <w:i/>
                <w:iCs/>
              </w:rPr>
              <w:t xml:space="preserve"> </w:t>
            </w:r>
          </w:p>
          <w:p w:rsidR="00395B24" w:rsidRDefault="009F30E1" w:rsidP="00D82620">
            <w:pPr>
              <w:pStyle w:val="CasesLegislationAppealFrom"/>
              <w:spacing w:after="60"/>
            </w:pPr>
            <w:r>
              <w:rPr>
                <w:i/>
                <w:iCs/>
              </w:rPr>
              <w:t xml:space="preserve">Corporations Amendment (Insolvency) Act 2007 </w:t>
            </w:r>
            <w:r>
              <w:t>(</w:t>
            </w:r>
            <w:proofErr w:type="spellStart"/>
            <w:r>
              <w:t>Cth</w:t>
            </w:r>
            <w:proofErr w:type="spellEnd"/>
            <w:r>
              <w:t xml:space="preserve">) </w:t>
            </w:r>
            <w:bookmarkEnd w:id="3"/>
          </w:p>
        </w:tc>
      </w:tr>
      <w:tr w:rsidR="00395B24" w:rsidTr="002C0154">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2C0154">
        <w:tc>
          <w:tcPr>
            <w:tcW w:w="3085" w:type="dxa"/>
            <w:shd w:val="clear" w:color="auto" w:fill="auto"/>
          </w:tcPr>
          <w:p w:rsidR="00395B24" w:rsidRDefault="002C7385" w:rsidP="00663878">
            <w:pPr>
              <w:pStyle w:val="Normal1linespace"/>
              <w:widowControl w:val="0"/>
              <w:jc w:val="left"/>
            </w:pPr>
            <w:r>
              <w:t>Cases cited:</w:t>
            </w:r>
          </w:p>
        </w:tc>
        <w:tc>
          <w:tcPr>
            <w:tcW w:w="5989" w:type="dxa"/>
            <w:shd w:val="clear" w:color="auto" w:fill="auto"/>
          </w:tcPr>
          <w:p w:rsidR="00282F32" w:rsidRDefault="00282F32" w:rsidP="00D82620">
            <w:pPr>
              <w:pStyle w:val="CasesLegislationAppealFrom"/>
              <w:spacing w:after="60"/>
              <w:rPr>
                <w:i/>
                <w:iCs/>
                <w:szCs w:val="24"/>
                <w:lang w:eastAsia="en-AU"/>
              </w:rPr>
            </w:pPr>
            <w:bookmarkStart w:id="4" w:name="Cases_Cited"/>
            <w:r>
              <w:rPr>
                <w:i/>
                <w:iCs/>
                <w:szCs w:val="24"/>
                <w:lang w:eastAsia="en-AU"/>
              </w:rPr>
              <w:t xml:space="preserve">Cargill International s A. v Solid Energy New Zealand Limited (subject to deed of company arrangement) </w:t>
            </w:r>
            <w:r>
              <w:rPr>
                <w:szCs w:val="24"/>
                <w:lang w:eastAsia="en-AU"/>
              </w:rPr>
              <w:t>[1016] NZHC 1917</w:t>
            </w:r>
            <w:r>
              <w:rPr>
                <w:i/>
                <w:iCs/>
                <w:szCs w:val="24"/>
                <w:lang w:eastAsia="en-AU"/>
              </w:rPr>
              <w:t xml:space="preserve"> </w:t>
            </w:r>
          </w:p>
          <w:p w:rsidR="00282F32" w:rsidRDefault="00282F32" w:rsidP="00D82620">
            <w:pPr>
              <w:pStyle w:val="CasesLegislationAppealFrom"/>
              <w:spacing w:after="60"/>
              <w:rPr>
                <w:szCs w:val="24"/>
                <w:lang w:eastAsia="en-AU"/>
              </w:rPr>
            </w:pPr>
            <w:r>
              <w:rPr>
                <w:i/>
                <w:iCs/>
                <w:szCs w:val="24"/>
                <w:lang w:eastAsia="en-AU"/>
              </w:rPr>
              <w:t xml:space="preserve">Commissioner of Taxation v Eichmann </w:t>
            </w:r>
            <w:r>
              <w:rPr>
                <w:szCs w:val="24"/>
                <w:lang w:eastAsia="en-AU"/>
              </w:rPr>
              <w:t>[2019] FCA 2155</w:t>
            </w:r>
          </w:p>
          <w:p w:rsidR="00282F32" w:rsidRDefault="00282F32" w:rsidP="00D82620">
            <w:pPr>
              <w:pStyle w:val="CasesLegislationAppealFrom"/>
              <w:spacing w:after="60"/>
              <w:rPr>
                <w:i/>
                <w:iCs/>
                <w:szCs w:val="24"/>
                <w:lang w:eastAsia="en-AU"/>
              </w:rPr>
            </w:pPr>
            <w:r>
              <w:rPr>
                <w:i/>
                <w:iCs/>
                <w:szCs w:val="24"/>
                <w:lang w:eastAsia="en-AU"/>
              </w:rPr>
              <w:t xml:space="preserve">Deputy Commissioner of Taxation v </w:t>
            </w:r>
            <w:proofErr w:type="spellStart"/>
            <w:r>
              <w:rPr>
                <w:i/>
                <w:iCs/>
                <w:szCs w:val="24"/>
                <w:lang w:eastAsia="en-AU"/>
              </w:rPr>
              <w:t>Foodcorp</w:t>
            </w:r>
            <w:proofErr w:type="spellEnd"/>
            <w:r>
              <w:rPr>
                <w:i/>
                <w:iCs/>
                <w:szCs w:val="24"/>
                <w:lang w:eastAsia="en-AU"/>
              </w:rPr>
              <w:t xml:space="preserve"> Pty Ltd </w:t>
            </w:r>
            <w:r>
              <w:rPr>
                <w:szCs w:val="24"/>
                <w:lang w:eastAsia="en-AU"/>
              </w:rPr>
              <w:t>(1994) 13 ASCR 796</w:t>
            </w:r>
            <w:r>
              <w:rPr>
                <w:i/>
                <w:iCs/>
                <w:szCs w:val="24"/>
                <w:lang w:eastAsia="en-AU"/>
              </w:rPr>
              <w:t xml:space="preserve"> </w:t>
            </w:r>
          </w:p>
          <w:p w:rsidR="00B200BF" w:rsidRDefault="00B200BF" w:rsidP="00D82620">
            <w:pPr>
              <w:pStyle w:val="CasesLegislationAppealFrom"/>
              <w:spacing w:after="60"/>
              <w:rPr>
                <w:i/>
                <w:iCs/>
                <w:szCs w:val="24"/>
                <w:lang w:eastAsia="en-AU"/>
              </w:rPr>
            </w:pPr>
            <w:r>
              <w:rPr>
                <w:i/>
                <w:szCs w:val="24"/>
                <w:lang w:eastAsia="en-AU"/>
              </w:rPr>
              <w:t xml:space="preserve">Esso Australia Resources Pty Ltd v Commissioner of Taxation </w:t>
            </w:r>
            <w:r>
              <w:rPr>
                <w:szCs w:val="24"/>
                <w:lang w:eastAsia="en-AU"/>
              </w:rPr>
              <w:t>(2011) 194 FCR 32</w:t>
            </w:r>
          </w:p>
          <w:p w:rsidR="00282F32" w:rsidRDefault="00282F32" w:rsidP="00D82620">
            <w:pPr>
              <w:pStyle w:val="CasesLegislationAppealFrom"/>
              <w:spacing w:after="60"/>
              <w:rPr>
                <w:i/>
              </w:rPr>
            </w:pPr>
            <w:r>
              <w:rPr>
                <w:i/>
                <w:iCs/>
              </w:rPr>
              <w:t xml:space="preserve">MYT Engineering Pty Ltd v </w:t>
            </w:r>
            <w:proofErr w:type="spellStart"/>
            <w:r>
              <w:rPr>
                <w:i/>
                <w:iCs/>
              </w:rPr>
              <w:t>Mulcon</w:t>
            </w:r>
            <w:proofErr w:type="spellEnd"/>
            <w:r>
              <w:rPr>
                <w:i/>
                <w:iCs/>
              </w:rPr>
              <w:t xml:space="preserve"> Pty Ltd </w:t>
            </w:r>
            <w:r>
              <w:t>(1999) 195 CLR 636</w:t>
            </w:r>
            <w:r>
              <w:rPr>
                <w:i/>
              </w:rPr>
              <w:t xml:space="preserve"> </w:t>
            </w:r>
          </w:p>
          <w:p w:rsidR="00282F32" w:rsidRDefault="00282F32" w:rsidP="00D82620">
            <w:pPr>
              <w:pStyle w:val="CasesLegislationAppealFrom"/>
              <w:spacing w:after="60"/>
              <w:rPr>
                <w:i/>
                <w:lang w:eastAsia="en-AU"/>
              </w:rPr>
            </w:pPr>
            <w:r>
              <w:rPr>
                <w:i/>
              </w:rPr>
              <w:t>Reed Constructions Australia Limited v DM Fabrications Pty Ltd</w:t>
            </w:r>
            <w:r>
              <w:t xml:space="preserve"> (2007) 25 ACLC </w:t>
            </w:r>
            <w:r>
              <w:rPr>
                <w:szCs w:val="24"/>
              </w:rPr>
              <w:t>1463</w:t>
            </w:r>
            <w:r>
              <w:rPr>
                <w:i/>
                <w:lang w:eastAsia="en-AU"/>
              </w:rPr>
              <w:t xml:space="preserve"> </w:t>
            </w:r>
          </w:p>
          <w:p w:rsidR="00B200BF" w:rsidRDefault="00B200BF" w:rsidP="00D82620">
            <w:pPr>
              <w:pStyle w:val="CasesLegislationAppealFrom"/>
              <w:spacing w:after="60"/>
              <w:rPr>
                <w:i/>
                <w:lang w:eastAsia="en-AU"/>
              </w:rPr>
            </w:pPr>
            <w:r>
              <w:rPr>
                <w:i/>
                <w:szCs w:val="24"/>
                <w:lang w:eastAsia="en-AU"/>
              </w:rPr>
              <w:t xml:space="preserve">Saeed v Minister for Immigration and Citizenship </w:t>
            </w:r>
            <w:r>
              <w:rPr>
                <w:szCs w:val="24"/>
                <w:lang w:eastAsia="en-AU"/>
              </w:rPr>
              <w:t xml:space="preserve">(2010) 241 CLR 252 </w:t>
            </w:r>
          </w:p>
          <w:p w:rsidR="00395B24" w:rsidRPr="00471C1A" w:rsidRDefault="00282F32" w:rsidP="00282F32">
            <w:pPr>
              <w:pStyle w:val="CasesLegislationAppealFrom"/>
              <w:spacing w:after="60"/>
              <w:rPr>
                <w:i/>
                <w:iCs/>
                <w:szCs w:val="24"/>
                <w:lang w:eastAsia="en-AU"/>
              </w:rPr>
            </w:pPr>
            <w:r>
              <w:rPr>
                <w:i/>
                <w:iCs/>
                <w:szCs w:val="24"/>
                <w:lang w:eastAsia="en-AU"/>
              </w:rPr>
              <w:t xml:space="preserve">Sharp &amp; Anor v Blake &amp; Anor </w:t>
            </w:r>
            <w:r>
              <w:rPr>
                <w:szCs w:val="24"/>
                <w:lang w:eastAsia="en-AU"/>
              </w:rPr>
              <w:t>[2015] EWHC 3220</w:t>
            </w:r>
            <w:r>
              <w:rPr>
                <w:i/>
                <w:iCs/>
                <w:szCs w:val="24"/>
                <w:lang w:eastAsia="en-AU"/>
              </w:rPr>
              <w:t xml:space="preserve"> </w:t>
            </w:r>
            <w:bookmarkEnd w:id="4"/>
          </w:p>
        </w:tc>
      </w:tr>
      <w:tr w:rsidR="002C0154" w:rsidRPr="002C0154" w:rsidTr="002C0154">
        <w:tc>
          <w:tcPr>
            <w:tcW w:w="3085" w:type="dxa"/>
            <w:shd w:val="clear" w:color="auto" w:fill="auto"/>
          </w:tcPr>
          <w:p w:rsidR="002C0154" w:rsidRPr="002C0154" w:rsidRDefault="002C0154" w:rsidP="002C0154">
            <w:pPr>
              <w:pStyle w:val="Normal1linespace"/>
              <w:jc w:val="left"/>
            </w:pPr>
          </w:p>
        </w:tc>
        <w:tc>
          <w:tcPr>
            <w:tcW w:w="5989" w:type="dxa"/>
            <w:shd w:val="clear" w:color="auto" w:fill="auto"/>
          </w:tcPr>
          <w:p w:rsidR="002C0154" w:rsidRPr="002C0154" w:rsidRDefault="002C0154" w:rsidP="002C0154">
            <w:pPr>
              <w:pStyle w:val="Normal1linespace"/>
              <w:jc w:val="left"/>
            </w:pPr>
          </w:p>
        </w:tc>
      </w:tr>
      <w:tr w:rsidR="002C0154" w:rsidRPr="002C0154" w:rsidTr="002C0154">
        <w:tc>
          <w:tcPr>
            <w:tcW w:w="3085" w:type="dxa"/>
            <w:shd w:val="clear" w:color="auto" w:fill="auto"/>
          </w:tcPr>
          <w:p w:rsidR="002C0154" w:rsidRPr="002C0154" w:rsidRDefault="002C0154" w:rsidP="002C0154">
            <w:pPr>
              <w:pStyle w:val="Normal1linespace"/>
              <w:jc w:val="left"/>
            </w:pPr>
            <w:bookmarkStart w:id="5" w:name="CounselDate" w:colFirst="0" w:colLast="2"/>
            <w:r w:rsidRPr="002C0154">
              <w:t>Date of hearing:</w:t>
            </w:r>
          </w:p>
        </w:tc>
        <w:tc>
          <w:tcPr>
            <w:tcW w:w="5989" w:type="dxa"/>
            <w:shd w:val="clear" w:color="auto" w:fill="auto"/>
          </w:tcPr>
          <w:p w:rsidR="002C0154" w:rsidRPr="002C0154" w:rsidRDefault="002C0154" w:rsidP="002C0154">
            <w:pPr>
              <w:pStyle w:val="Normal1linespace"/>
              <w:jc w:val="left"/>
            </w:pPr>
            <w:bookmarkStart w:id="6" w:name="HearingDate"/>
            <w:r>
              <w:t>31 March 2020</w:t>
            </w:r>
            <w:bookmarkEnd w:id="6"/>
          </w:p>
        </w:tc>
      </w:tr>
      <w:tr w:rsidR="002C0154" w:rsidRPr="002C0154" w:rsidTr="002C0154">
        <w:tc>
          <w:tcPr>
            <w:tcW w:w="3085" w:type="dxa"/>
            <w:shd w:val="clear" w:color="auto" w:fill="auto"/>
          </w:tcPr>
          <w:p w:rsidR="002C0154" w:rsidRPr="002C0154" w:rsidRDefault="002C0154" w:rsidP="002C0154">
            <w:pPr>
              <w:pStyle w:val="Normal1linespace"/>
              <w:jc w:val="left"/>
            </w:pPr>
          </w:p>
        </w:tc>
        <w:tc>
          <w:tcPr>
            <w:tcW w:w="5989" w:type="dxa"/>
            <w:shd w:val="clear" w:color="auto" w:fill="auto"/>
          </w:tcPr>
          <w:p w:rsidR="002C0154" w:rsidRPr="002C0154" w:rsidRDefault="002C0154" w:rsidP="002C0154">
            <w:pPr>
              <w:pStyle w:val="Normal1linespace"/>
              <w:jc w:val="left"/>
            </w:pPr>
          </w:p>
        </w:tc>
      </w:tr>
      <w:bookmarkEnd w:id="5"/>
      <w:tr w:rsidR="002C0154" w:rsidTr="002C0154">
        <w:tc>
          <w:tcPr>
            <w:tcW w:w="3085" w:type="dxa"/>
            <w:shd w:val="clear" w:color="auto" w:fill="auto"/>
          </w:tcPr>
          <w:p w:rsidR="002C0154" w:rsidRDefault="002C0154" w:rsidP="002C0154">
            <w:pPr>
              <w:pStyle w:val="Normal1linespace"/>
              <w:widowControl w:val="0"/>
              <w:jc w:val="left"/>
            </w:pPr>
            <w:r>
              <w:lastRenderedPageBreak/>
              <w:t>Registry:</w:t>
            </w:r>
          </w:p>
        </w:tc>
        <w:tc>
          <w:tcPr>
            <w:tcW w:w="5989" w:type="dxa"/>
            <w:shd w:val="clear" w:color="auto" w:fill="auto"/>
          </w:tcPr>
          <w:p w:rsidR="002C0154" w:rsidRPr="00F17599" w:rsidRDefault="00D27448" w:rsidP="002C0154">
            <w:pPr>
              <w:pStyle w:val="Normal1linespace"/>
              <w:widowControl w:val="0"/>
              <w:jc w:val="left"/>
            </w:pPr>
            <w:fldSimple w:instr=" DOCPROPERTY  Registry " w:fldLock="1">
              <w:r w:rsidR="002C0154">
                <w:t>Victoria</w:t>
              </w:r>
            </w:fldSimple>
          </w:p>
        </w:tc>
      </w:tr>
      <w:tr w:rsidR="002C0154" w:rsidTr="002C0154">
        <w:tc>
          <w:tcPr>
            <w:tcW w:w="3085" w:type="dxa"/>
            <w:shd w:val="clear" w:color="auto" w:fill="auto"/>
          </w:tcPr>
          <w:p w:rsidR="002C0154" w:rsidRDefault="002C0154" w:rsidP="002C0154">
            <w:pPr>
              <w:pStyle w:val="Normal1linespace"/>
              <w:widowControl w:val="0"/>
              <w:jc w:val="left"/>
            </w:pPr>
          </w:p>
        </w:tc>
        <w:tc>
          <w:tcPr>
            <w:tcW w:w="5989" w:type="dxa"/>
            <w:shd w:val="clear" w:color="auto" w:fill="auto"/>
          </w:tcPr>
          <w:p w:rsidR="002C0154" w:rsidRDefault="002C0154" w:rsidP="002C0154">
            <w:pPr>
              <w:pStyle w:val="Normal1linespace"/>
              <w:widowControl w:val="0"/>
              <w:jc w:val="left"/>
            </w:pPr>
          </w:p>
        </w:tc>
      </w:tr>
      <w:tr w:rsidR="002C0154" w:rsidTr="002C0154">
        <w:tc>
          <w:tcPr>
            <w:tcW w:w="3085" w:type="dxa"/>
            <w:shd w:val="clear" w:color="auto" w:fill="auto"/>
          </w:tcPr>
          <w:p w:rsidR="002C0154" w:rsidRDefault="002C0154" w:rsidP="002C0154">
            <w:pPr>
              <w:pStyle w:val="Normal1linespace"/>
              <w:widowControl w:val="0"/>
              <w:jc w:val="left"/>
            </w:pPr>
            <w:r>
              <w:t>Division:</w:t>
            </w:r>
          </w:p>
        </w:tc>
        <w:tc>
          <w:tcPr>
            <w:tcW w:w="5989" w:type="dxa"/>
            <w:shd w:val="clear" w:color="auto" w:fill="auto"/>
          </w:tcPr>
          <w:p w:rsidR="002C0154" w:rsidRPr="00F17599" w:rsidRDefault="00D27448" w:rsidP="002C0154">
            <w:pPr>
              <w:pStyle w:val="Normal1linespace"/>
              <w:widowControl w:val="0"/>
              <w:jc w:val="left"/>
            </w:pPr>
            <w:fldSimple w:instr=" DOCPROPERTY  Division " w:fldLock="1">
              <w:r w:rsidR="002C0154">
                <w:t>General Division</w:t>
              </w:r>
            </w:fldSimple>
          </w:p>
        </w:tc>
      </w:tr>
      <w:tr w:rsidR="002C0154" w:rsidTr="002C0154">
        <w:tc>
          <w:tcPr>
            <w:tcW w:w="3085" w:type="dxa"/>
            <w:shd w:val="clear" w:color="auto" w:fill="auto"/>
          </w:tcPr>
          <w:p w:rsidR="002C0154" w:rsidRDefault="002C0154" w:rsidP="002C0154">
            <w:pPr>
              <w:pStyle w:val="Normal1linespace"/>
              <w:widowControl w:val="0"/>
              <w:jc w:val="left"/>
            </w:pPr>
          </w:p>
        </w:tc>
        <w:tc>
          <w:tcPr>
            <w:tcW w:w="5989" w:type="dxa"/>
            <w:shd w:val="clear" w:color="auto" w:fill="auto"/>
          </w:tcPr>
          <w:p w:rsidR="002C0154" w:rsidRPr="00F17599" w:rsidRDefault="002C0154" w:rsidP="002C0154">
            <w:pPr>
              <w:pStyle w:val="Normal1linespace"/>
              <w:widowControl w:val="0"/>
              <w:jc w:val="left"/>
              <w:rPr>
                <w:b/>
              </w:rPr>
            </w:pPr>
          </w:p>
        </w:tc>
      </w:tr>
      <w:tr w:rsidR="002C0154" w:rsidTr="002C0154">
        <w:tc>
          <w:tcPr>
            <w:tcW w:w="3085" w:type="dxa"/>
            <w:shd w:val="clear" w:color="auto" w:fill="auto"/>
          </w:tcPr>
          <w:p w:rsidR="002C0154" w:rsidRDefault="002C0154" w:rsidP="002C0154">
            <w:pPr>
              <w:pStyle w:val="Normal1linespace"/>
              <w:widowControl w:val="0"/>
              <w:jc w:val="left"/>
            </w:pPr>
            <w:r>
              <w:t>National Practice Area:</w:t>
            </w:r>
          </w:p>
        </w:tc>
        <w:tc>
          <w:tcPr>
            <w:tcW w:w="5989" w:type="dxa"/>
            <w:shd w:val="clear" w:color="auto" w:fill="auto"/>
          </w:tcPr>
          <w:p w:rsidR="002C0154" w:rsidRPr="00F17599" w:rsidRDefault="00D27448" w:rsidP="002C0154">
            <w:pPr>
              <w:pStyle w:val="Normal1linespace"/>
              <w:widowControl w:val="0"/>
              <w:jc w:val="left"/>
              <w:rPr>
                <w:b/>
              </w:rPr>
            </w:pPr>
            <w:fldSimple w:instr=" DOCPROPERTY  &quot;Practice Area&quot;  \* MERGEFORMAT " w:fldLock="1">
              <w:r w:rsidR="002C0154">
                <w:t>Commercial and Corporations</w:t>
              </w:r>
            </w:fldSimple>
          </w:p>
        </w:tc>
      </w:tr>
      <w:tr w:rsidR="002C0154" w:rsidTr="002C0154">
        <w:tc>
          <w:tcPr>
            <w:tcW w:w="3085" w:type="dxa"/>
            <w:shd w:val="clear" w:color="auto" w:fill="auto"/>
          </w:tcPr>
          <w:p w:rsidR="002C0154" w:rsidRDefault="002C0154" w:rsidP="002C0154">
            <w:pPr>
              <w:pStyle w:val="Normal1linespace"/>
              <w:widowControl w:val="0"/>
              <w:jc w:val="left"/>
            </w:pPr>
          </w:p>
        </w:tc>
        <w:tc>
          <w:tcPr>
            <w:tcW w:w="5989" w:type="dxa"/>
            <w:shd w:val="clear" w:color="auto" w:fill="auto"/>
          </w:tcPr>
          <w:p w:rsidR="002C0154" w:rsidRDefault="002C0154" w:rsidP="002C0154">
            <w:pPr>
              <w:pStyle w:val="Normal1linespace"/>
              <w:widowControl w:val="0"/>
              <w:jc w:val="left"/>
            </w:pPr>
          </w:p>
        </w:tc>
      </w:tr>
      <w:tr w:rsidR="002C0154" w:rsidTr="002C0154">
        <w:tc>
          <w:tcPr>
            <w:tcW w:w="3085" w:type="dxa"/>
            <w:shd w:val="clear" w:color="auto" w:fill="auto"/>
          </w:tcPr>
          <w:p w:rsidR="002C0154" w:rsidRDefault="002C0154" w:rsidP="002C0154">
            <w:pPr>
              <w:pStyle w:val="Normal1linespace"/>
              <w:widowControl w:val="0"/>
              <w:jc w:val="left"/>
            </w:pPr>
            <w:r>
              <w:t>Sub-area:</w:t>
            </w:r>
          </w:p>
        </w:tc>
        <w:tc>
          <w:tcPr>
            <w:tcW w:w="5989" w:type="dxa"/>
            <w:shd w:val="clear" w:color="auto" w:fill="auto"/>
          </w:tcPr>
          <w:p w:rsidR="002C0154" w:rsidRPr="00435936" w:rsidRDefault="00D27448" w:rsidP="002C0154">
            <w:pPr>
              <w:pStyle w:val="Normal1linespace"/>
              <w:widowControl w:val="0"/>
              <w:jc w:val="left"/>
            </w:pPr>
            <w:fldSimple w:instr=" DOCPROPERTY  &quot;Sub Area&quot;  \* MERGEFORMAT " w:fldLock="1">
              <w:r w:rsidR="002C0154" w:rsidRPr="002C0154">
                <w:rPr>
                  <w:bCs/>
                  <w:lang w:val="en-US"/>
                </w:rPr>
                <w:t>Corporations and Corporate</w:t>
              </w:r>
              <w:r w:rsidR="002C0154">
                <w:t xml:space="preserve"> Insolvency</w:t>
              </w:r>
            </w:fldSimple>
          </w:p>
        </w:tc>
      </w:tr>
      <w:tr w:rsidR="002C0154" w:rsidTr="002C0154">
        <w:tc>
          <w:tcPr>
            <w:tcW w:w="3085" w:type="dxa"/>
            <w:shd w:val="clear" w:color="auto" w:fill="auto"/>
          </w:tcPr>
          <w:p w:rsidR="002C0154" w:rsidRDefault="002C0154" w:rsidP="002C0154">
            <w:pPr>
              <w:pStyle w:val="Normal1linespace"/>
              <w:widowControl w:val="0"/>
              <w:jc w:val="left"/>
            </w:pPr>
          </w:p>
        </w:tc>
        <w:tc>
          <w:tcPr>
            <w:tcW w:w="5989" w:type="dxa"/>
            <w:shd w:val="clear" w:color="auto" w:fill="auto"/>
          </w:tcPr>
          <w:p w:rsidR="002C0154" w:rsidRDefault="002C0154" w:rsidP="002C0154">
            <w:pPr>
              <w:pStyle w:val="Normal1linespace"/>
              <w:widowControl w:val="0"/>
              <w:jc w:val="left"/>
              <w:rPr>
                <w:b/>
              </w:rPr>
            </w:pPr>
          </w:p>
        </w:tc>
      </w:tr>
      <w:tr w:rsidR="002C0154" w:rsidTr="002C0154">
        <w:tc>
          <w:tcPr>
            <w:tcW w:w="3085" w:type="dxa"/>
            <w:shd w:val="clear" w:color="auto" w:fill="auto"/>
          </w:tcPr>
          <w:p w:rsidR="002C0154" w:rsidRDefault="002C0154" w:rsidP="002C0154">
            <w:pPr>
              <w:pStyle w:val="Normal1linespace"/>
              <w:widowControl w:val="0"/>
              <w:jc w:val="left"/>
            </w:pPr>
            <w:r>
              <w:t>Category:</w:t>
            </w:r>
          </w:p>
        </w:tc>
        <w:tc>
          <w:tcPr>
            <w:tcW w:w="5989" w:type="dxa"/>
            <w:shd w:val="clear" w:color="auto" w:fill="auto"/>
          </w:tcPr>
          <w:p w:rsidR="002C0154" w:rsidRDefault="002C0154" w:rsidP="002C0154">
            <w:pPr>
              <w:pStyle w:val="Normal1linespace"/>
              <w:widowControl w:val="0"/>
              <w:jc w:val="left"/>
            </w:pPr>
            <w:r w:rsidRPr="002C0154">
              <w:t>Catchwords</w:t>
            </w:r>
          </w:p>
        </w:tc>
      </w:tr>
      <w:tr w:rsidR="002C0154" w:rsidTr="002C0154">
        <w:tc>
          <w:tcPr>
            <w:tcW w:w="3085" w:type="dxa"/>
            <w:shd w:val="clear" w:color="auto" w:fill="auto"/>
          </w:tcPr>
          <w:p w:rsidR="002C0154" w:rsidRDefault="002C0154" w:rsidP="002C0154">
            <w:pPr>
              <w:pStyle w:val="Normal1linespace"/>
              <w:widowControl w:val="0"/>
              <w:jc w:val="left"/>
            </w:pPr>
          </w:p>
        </w:tc>
        <w:tc>
          <w:tcPr>
            <w:tcW w:w="5989" w:type="dxa"/>
            <w:shd w:val="clear" w:color="auto" w:fill="auto"/>
          </w:tcPr>
          <w:p w:rsidR="002C0154" w:rsidRDefault="002C0154" w:rsidP="002C0154">
            <w:pPr>
              <w:pStyle w:val="Normal1linespace"/>
              <w:widowControl w:val="0"/>
              <w:jc w:val="left"/>
            </w:pPr>
          </w:p>
        </w:tc>
      </w:tr>
      <w:tr w:rsidR="002C0154" w:rsidTr="002C0154">
        <w:tc>
          <w:tcPr>
            <w:tcW w:w="3085" w:type="dxa"/>
            <w:shd w:val="clear" w:color="auto" w:fill="auto"/>
          </w:tcPr>
          <w:p w:rsidR="002C0154" w:rsidRDefault="002C0154" w:rsidP="002C0154">
            <w:pPr>
              <w:pStyle w:val="Normal1linespace"/>
              <w:widowControl w:val="0"/>
              <w:jc w:val="left"/>
            </w:pPr>
            <w:r>
              <w:t>Number of paragraphs:</w:t>
            </w:r>
          </w:p>
        </w:tc>
        <w:tc>
          <w:tcPr>
            <w:tcW w:w="5989" w:type="dxa"/>
            <w:shd w:val="clear" w:color="auto" w:fill="auto"/>
          </w:tcPr>
          <w:p w:rsidR="002C0154" w:rsidRDefault="002C0154" w:rsidP="002C0154">
            <w:pPr>
              <w:pStyle w:val="Normal1linespace"/>
              <w:widowControl w:val="0"/>
              <w:jc w:val="left"/>
            </w:pPr>
            <w:bookmarkStart w:id="7" w:name="PlaceCategoryParagraphs"/>
            <w:r>
              <w:t>66</w:t>
            </w:r>
            <w:bookmarkEnd w:id="7"/>
          </w:p>
        </w:tc>
      </w:tr>
      <w:tr w:rsidR="002C0154" w:rsidTr="002C0154">
        <w:tc>
          <w:tcPr>
            <w:tcW w:w="3085" w:type="dxa"/>
            <w:shd w:val="clear" w:color="auto" w:fill="auto"/>
          </w:tcPr>
          <w:p w:rsidR="002C0154" w:rsidRDefault="002C0154" w:rsidP="002C0154">
            <w:pPr>
              <w:pStyle w:val="Normal1linespace"/>
              <w:widowControl w:val="0"/>
              <w:jc w:val="left"/>
            </w:pPr>
          </w:p>
        </w:tc>
        <w:tc>
          <w:tcPr>
            <w:tcW w:w="5989" w:type="dxa"/>
            <w:shd w:val="clear" w:color="auto" w:fill="auto"/>
          </w:tcPr>
          <w:p w:rsidR="002C0154" w:rsidRDefault="002C0154" w:rsidP="002C0154">
            <w:pPr>
              <w:pStyle w:val="Normal1linespace"/>
              <w:widowControl w:val="0"/>
              <w:jc w:val="left"/>
            </w:pPr>
          </w:p>
        </w:tc>
      </w:tr>
      <w:tr w:rsidR="002C0154" w:rsidTr="002C0154">
        <w:tc>
          <w:tcPr>
            <w:tcW w:w="3085" w:type="dxa"/>
            <w:shd w:val="clear" w:color="auto" w:fill="auto"/>
          </w:tcPr>
          <w:p w:rsidR="002C0154" w:rsidRDefault="002C0154" w:rsidP="002C0154">
            <w:pPr>
              <w:pStyle w:val="Normal1linespace"/>
              <w:widowControl w:val="0"/>
              <w:jc w:val="left"/>
            </w:pPr>
            <w:bookmarkStart w:id="8" w:name="Counsel" w:colFirst="0" w:colLast="2"/>
            <w:r>
              <w:t>Counsel for the Applicants:</w:t>
            </w:r>
          </w:p>
        </w:tc>
        <w:tc>
          <w:tcPr>
            <w:tcW w:w="5989" w:type="dxa"/>
            <w:shd w:val="clear" w:color="auto" w:fill="auto"/>
          </w:tcPr>
          <w:p w:rsidR="002C0154" w:rsidRDefault="002C0154" w:rsidP="002C0154">
            <w:pPr>
              <w:pStyle w:val="Normal1linespace"/>
              <w:widowControl w:val="0"/>
              <w:jc w:val="left"/>
            </w:pPr>
            <w:bookmarkStart w:id="9" w:name="AppCounsel"/>
            <w:bookmarkEnd w:id="9"/>
            <w:r>
              <w:t xml:space="preserve">Mr P </w:t>
            </w:r>
            <w:proofErr w:type="spellStart"/>
            <w:r>
              <w:t>Fary</w:t>
            </w:r>
            <w:proofErr w:type="spellEnd"/>
            <w:r>
              <w:t xml:space="preserve"> with Mr A Silver</w:t>
            </w:r>
          </w:p>
        </w:tc>
      </w:tr>
      <w:tr w:rsidR="002C0154" w:rsidTr="002C0154">
        <w:tc>
          <w:tcPr>
            <w:tcW w:w="3085" w:type="dxa"/>
            <w:shd w:val="clear" w:color="auto" w:fill="auto"/>
          </w:tcPr>
          <w:p w:rsidR="002C0154" w:rsidRDefault="002C0154" w:rsidP="002C0154">
            <w:pPr>
              <w:pStyle w:val="Normal1linespace"/>
              <w:widowControl w:val="0"/>
              <w:jc w:val="left"/>
            </w:pPr>
          </w:p>
        </w:tc>
        <w:tc>
          <w:tcPr>
            <w:tcW w:w="5989" w:type="dxa"/>
            <w:shd w:val="clear" w:color="auto" w:fill="auto"/>
          </w:tcPr>
          <w:p w:rsidR="002C0154" w:rsidRDefault="002C0154" w:rsidP="002C0154">
            <w:pPr>
              <w:pStyle w:val="Normal1linespace"/>
              <w:widowControl w:val="0"/>
              <w:jc w:val="left"/>
            </w:pPr>
          </w:p>
        </w:tc>
      </w:tr>
      <w:tr w:rsidR="002C0154" w:rsidTr="002C0154">
        <w:tc>
          <w:tcPr>
            <w:tcW w:w="3085" w:type="dxa"/>
            <w:shd w:val="clear" w:color="auto" w:fill="auto"/>
          </w:tcPr>
          <w:p w:rsidR="002C0154" w:rsidRDefault="002C0154" w:rsidP="002C0154">
            <w:pPr>
              <w:pStyle w:val="Normal1linespace"/>
              <w:widowControl w:val="0"/>
              <w:jc w:val="left"/>
            </w:pPr>
            <w:r>
              <w:t>Solicitor for the Applicants:</w:t>
            </w:r>
          </w:p>
        </w:tc>
        <w:tc>
          <w:tcPr>
            <w:tcW w:w="5989" w:type="dxa"/>
            <w:shd w:val="clear" w:color="auto" w:fill="auto"/>
          </w:tcPr>
          <w:p w:rsidR="002C0154" w:rsidRDefault="002C0154" w:rsidP="002C0154">
            <w:pPr>
              <w:pStyle w:val="Normal1linespace"/>
              <w:widowControl w:val="0"/>
              <w:jc w:val="left"/>
            </w:pPr>
            <w:r>
              <w:t>SBA Law</w:t>
            </w:r>
          </w:p>
        </w:tc>
      </w:tr>
      <w:tr w:rsidR="002C0154" w:rsidTr="002C0154">
        <w:tc>
          <w:tcPr>
            <w:tcW w:w="3085" w:type="dxa"/>
            <w:shd w:val="clear" w:color="auto" w:fill="auto"/>
          </w:tcPr>
          <w:p w:rsidR="002C0154" w:rsidRDefault="002C0154" w:rsidP="002C0154">
            <w:pPr>
              <w:pStyle w:val="Normal1linespace"/>
              <w:widowControl w:val="0"/>
              <w:jc w:val="left"/>
            </w:pPr>
          </w:p>
        </w:tc>
        <w:tc>
          <w:tcPr>
            <w:tcW w:w="5989" w:type="dxa"/>
            <w:shd w:val="clear" w:color="auto" w:fill="auto"/>
          </w:tcPr>
          <w:p w:rsidR="002C0154" w:rsidRDefault="002C0154" w:rsidP="002C0154">
            <w:pPr>
              <w:pStyle w:val="Normal1linespace"/>
              <w:widowControl w:val="0"/>
              <w:jc w:val="left"/>
            </w:pPr>
          </w:p>
        </w:tc>
      </w:tr>
      <w:tr w:rsidR="002C0154" w:rsidTr="002C0154">
        <w:tc>
          <w:tcPr>
            <w:tcW w:w="3085" w:type="dxa"/>
            <w:shd w:val="clear" w:color="auto" w:fill="auto"/>
          </w:tcPr>
          <w:p w:rsidR="002C0154" w:rsidRDefault="002C0154" w:rsidP="002C0154">
            <w:pPr>
              <w:pStyle w:val="Normal1linespace"/>
              <w:widowControl w:val="0"/>
              <w:jc w:val="left"/>
            </w:pPr>
            <w:r>
              <w:t>Counsel for the Respondent:</w:t>
            </w:r>
          </w:p>
        </w:tc>
        <w:tc>
          <w:tcPr>
            <w:tcW w:w="5989" w:type="dxa"/>
            <w:shd w:val="clear" w:color="auto" w:fill="auto"/>
          </w:tcPr>
          <w:p w:rsidR="002C0154" w:rsidRDefault="002C0154" w:rsidP="002C0154">
            <w:pPr>
              <w:pStyle w:val="Normal1linespace"/>
              <w:widowControl w:val="0"/>
              <w:jc w:val="left"/>
            </w:pPr>
            <w:r>
              <w:t xml:space="preserve">Mr S </w:t>
            </w:r>
            <w:proofErr w:type="spellStart"/>
            <w:r>
              <w:t>Rosewarne</w:t>
            </w:r>
            <w:proofErr w:type="spellEnd"/>
          </w:p>
        </w:tc>
      </w:tr>
      <w:tr w:rsidR="002C0154" w:rsidTr="002C0154">
        <w:tc>
          <w:tcPr>
            <w:tcW w:w="3085" w:type="dxa"/>
            <w:shd w:val="clear" w:color="auto" w:fill="auto"/>
          </w:tcPr>
          <w:p w:rsidR="002C0154" w:rsidRDefault="002C0154" w:rsidP="002C0154">
            <w:pPr>
              <w:pStyle w:val="Normal1linespace"/>
              <w:widowControl w:val="0"/>
              <w:jc w:val="left"/>
            </w:pPr>
          </w:p>
        </w:tc>
        <w:tc>
          <w:tcPr>
            <w:tcW w:w="5989" w:type="dxa"/>
            <w:shd w:val="clear" w:color="auto" w:fill="auto"/>
          </w:tcPr>
          <w:p w:rsidR="002C0154" w:rsidRDefault="002C0154" w:rsidP="002C0154">
            <w:pPr>
              <w:pStyle w:val="Normal1linespace"/>
              <w:widowControl w:val="0"/>
              <w:jc w:val="left"/>
            </w:pPr>
          </w:p>
        </w:tc>
      </w:tr>
      <w:tr w:rsidR="002C0154" w:rsidTr="002C0154">
        <w:tc>
          <w:tcPr>
            <w:tcW w:w="3085" w:type="dxa"/>
            <w:shd w:val="clear" w:color="auto" w:fill="auto"/>
          </w:tcPr>
          <w:p w:rsidR="002C0154" w:rsidRDefault="002C0154" w:rsidP="002C0154">
            <w:pPr>
              <w:pStyle w:val="Normal1linespace"/>
              <w:widowControl w:val="0"/>
              <w:jc w:val="left"/>
            </w:pPr>
            <w:r>
              <w:t>Solicitor for the Respondent:</w:t>
            </w:r>
          </w:p>
        </w:tc>
        <w:tc>
          <w:tcPr>
            <w:tcW w:w="5989" w:type="dxa"/>
            <w:shd w:val="clear" w:color="auto" w:fill="auto"/>
          </w:tcPr>
          <w:p w:rsidR="002C0154" w:rsidRDefault="002C0154" w:rsidP="002C0154">
            <w:pPr>
              <w:pStyle w:val="Normal1linespace"/>
              <w:widowControl w:val="0"/>
              <w:jc w:val="left"/>
            </w:pPr>
            <w:r>
              <w:t>Craddock Murray Neumann Lawyers</w:t>
            </w:r>
          </w:p>
        </w:tc>
      </w:tr>
      <w:bookmarkEnd w:id="8"/>
    </w:tbl>
    <w:p w:rsidR="00395B24" w:rsidRDefault="00395B24">
      <w:pPr>
        <w:pStyle w:val="Normal1linespace"/>
      </w:pPr>
    </w:p>
    <w:p w:rsidR="0092590B" w:rsidRDefault="0092590B">
      <w:pPr>
        <w:pStyle w:val="Normal1linespace"/>
      </w:pPr>
    </w:p>
    <w:tbl>
      <w:tblPr>
        <w:tblpPr w:leftFromText="181" w:rightFromText="181" w:tblpYSpec="bottom"/>
        <w:tblOverlap w:val="never"/>
        <w:tblW w:w="9044" w:type="dxa"/>
        <w:tblLayout w:type="fixed"/>
        <w:tblLook w:val="01E0" w:firstRow="1" w:lastRow="1" w:firstColumn="1" w:lastColumn="1" w:noHBand="0" w:noVBand="0"/>
      </w:tblPr>
      <w:tblGrid>
        <w:gridCol w:w="3052"/>
        <w:gridCol w:w="5992"/>
      </w:tblGrid>
      <w:tr w:rsidR="002F047A" w:rsidTr="00CD225D">
        <w:tc>
          <w:tcPr>
            <w:tcW w:w="3052" w:type="dxa"/>
            <w:shd w:val="clear" w:color="auto" w:fill="auto"/>
          </w:tcPr>
          <w:p w:rsidR="002F047A" w:rsidRPr="00223FB4" w:rsidRDefault="002F047A" w:rsidP="00615AAC">
            <w:pPr>
              <w:pStyle w:val="Normal1linespace"/>
              <w:jc w:val="left"/>
              <w:rPr>
                <w:b/>
              </w:rPr>
            </w:pPr>
            <w:r w:rsidRPr="00223FB4">
              <w:rPr>
                <w:b/>
              </w:rPr>
              <w:t>Table of Corrections</w:t>
            </w:r>
          </w:p>
        </w:tc>
        <w:tc>
          <w:tcPr>
            <w:tcW w:w="5992" w:type="dxa"/>
            <w:shd w:val="clear" w:color="auto" w:fill="auto"/>
          </w:tcPr>
          <w:p w:rsidR="002F047A" w:rsidRDefault="002F047A" w:rsidP="00615AAC">
            <w:pPr>
              <w:pStyle w:val="Normal1linespace"/>
              <w:widowControl w:val="0"/>
              <w:jc w:val="left"/>
              <w:rPr>
                <w:b/>
              </w:rPr>
            </w:pPr>
          </w:p>
        </w:tc>
      </w:tr>
      <w:tr w:rsidR="002F047A" w:rsidTr="00CD225D">
        <w:tc>
          <w:tcPr>
            <w:tcW w:w="3052" w:type="dxa"/>
            <w:shd w:val="clear" w:color="auto" w:fill="auto"/>
          </w:tcPr>
          <w:p w:rsidR="002F047A" w:rsidRDefault="002F047A" w:rsidP="00615AAC">
            <w:pPr>
              <w:pStyle w:val="Normal1linespace"/>
              <w:widowControl w:val="0"/>
              <w:jc w:val="left"/>
            </w:pPr>
          </w:p>
        </w:tc>
        <w:tc>
          <w:tcPr>
            <w:tcW w:w="5992" w:type="dxa"/>
            <w:shd w:val="clear" w:color="auto" w:fill="auto"/>
          </w:tcPr>
          <w:p w:rsidR="002F047A" w:rsidRDefault="002F047A" w:rsidP="00615AAC">
            <w:pPr>
              <w:pStyle w:val="Normal1linespace"/>
              <w:widowControl w:val="0"/>
              <w:jc w:val="left"/>
            </w:pPr>
          </w:p>
        </w:tc>
      </w:tr>
      <w:tr w:rsidR="002F047A" w:rsidTr="00CD225D">
        <w:tc>
          <w:tcPr>
            <w:tcW w:w="3052" w:type="dxa"/>
            <w:shd w:val="clear" w:color="auto" w:fill="auto"/>
          </w:tcPr>
          <w:p w:rsidR="002F047A" w:rsidRDefault="002F047A" w:rsidP="00615AAC">
            <w:pPr>
              <w:pStyle w:val="Normal1linespace"/>
              <w:widowControl w:val="0"/>
              <w:jc w:val="left"/>
            </w:pPr>
            <w:bookmarkStart w:id="10" w:name="SelectMe"/>
            <w:bookmarkEnd w:id="10"/>
            <w:r>
              <w:t>15 September 2020</w:t>
            </w:r>
          </w:p>
        </w:tc>
        <w:tc>
          <w:tcPr>
            <w:tcW w:w="5992" w:type="dxa"/>
            <w:shd w:val="clear" w:color="auto" w:fill="auto"/>
          </w:tcPr>
          <w:p w:rsidR="002F047A" w:rsidRDefault="00CD225D" w:rsidP="00615AAC">
            <w:pPr>
              <w:pStyle w:val="Normal1linespace"/>
              <w:widowControl w:val="0"/>
              <w:jc w:val="left"/>
            </w:pPr>
            <w:r>
              <w:t>Paragraph 62 has been deleted in its entirety and replaced with the following:</w:t>
            </w:r>
          </w:p>
        </w:tc>
      </w:tr>
      <w:tr w:rsidR="00CD225D" w:rsidTr="00CD225D">
        <w:tc>
          <w:tcPr>
            <w:tcW w:w="3052" w:type="dxa"/>
            <w:shd w:val="clear" w:color="auto" w:fill="auto"/>
          </w:tcPr>
          <w:p w:rsidR="00CD225D" w:rsidRDefault="00CD225D" w:rsidP="00615AAC">
            <w:pPr>
              <w:pStyle w:val="Normal1linespace"/>
              <w:widowControl w:val="0"/>
              <w:jc w:val="left"/>
            </w:pPr>
          </w:p>
        </w:tc>
        <w:tc>
          <w:tcPr>
            <w:tcW w:w="5992" w:type="dxa"/>
            <w:shd w:val="clear" w:color="auto" w:fill="auto"/>
          </w:tcPr>
          <w:p w:rsidR="00CD225D" w:rsidRDefault="00CD225D" w:rsidP="00615AAC">
            <w:pPr>
              <w:pStyle w:val="Normal1linespace"/>
              <w:widowControl w:val="0"/>
              <w:jc w:val="left"/>
            </w:pPr>
          </w:p>
        </w:tc>
      </w:tr>
      <w:tr w:rsidR="00CD225D" w:rsidTr="004576EB">
        <w:tc>
          <w:tcPr>
            <w:tcW w:w="9044" w:type="dxa"/>
            <w:gridSpan w:val="2"/>
            <w:shd w:val="clear" w:color="auto" w:fill="auto"/>
          </w:tcPr>
          <w:p w:rsidR="00CD225D" w:rsidRDefault="00342626" w:rsidP="00342626">
            <w:pPr>
              <w:pStyle w:val="Small-TableswithinQuotes"/>
              <w:rPr>
                <w:lang w:eastAsia="en-AU"/>
              </w:rPr>
            </w:pPr>
            <w:r>
              <w:rPr>
                <w:lang w:eastAsia="en-AU"/>
              </w:rPr>
              <w:t xml:space="preserve">62      </w:t>
            </w:r>
            <w:r w:rsidR="00CD225D">
              <w:rPr>
                <w:lang w:eastAsia="en-AU"/>
              </w:rPr>
              <w:t xml:space="preserve">The relevant task of the Court is to construe the words employed by Parliament in the context in which they have been used: </w:t>
            </w:r>
            <w:r w:rsidR="00CD225D" w:rsidRPr="0018193C">
              <w:rPr>
                <w:i/>
                <w:iCs/>
                <w:lang w:eastAsia="en-AU"/>
              </w:rPr>
              <w:t xml:space="preserve">Commissioner of Taxation v Eichmann </w:t>
            </w:r>
            <w:r w:rsidR="00CD225D">
              <w:rPr>
                <w:lang w:eastAsia="en-AU"/>
              </w:rPr>
              <w:t xml:space="preserve">[2019] FCA 2155 at [39].  As we are reminded in </w:t>
            </w:r>
            <w:r w:rsidR="00CD225D">
              <w:rPr>
                <w:i/>
                <w:lang w:eastAsia="en-AU"/>
              </w:rPr>
              <w:t xml:space="preserve">Saeed v Minister for Immigration and Citizenship </w:t>
            </w:r>
            <w:r w:rsidR="00CD225D">
              <w:rPr>
                <w:lang w:eastAsia="en-AU"/>
              </w:rPr>
              <w:t xml:space="preserve">(2010) 241 CLR 252 at 264-265 (per French CJ, </w:t>
            </w:r>
            <w:proofErr w:type="spellStart"/>
            <w:r w:rsidR="00CD225D">
              <w:rPr>
                <w:lang w:eastAsia="en-AU"/>
              </w:rPr>
              <w:t>Gummow</w:t>
            </w:r>
            <w:proofErr w:type="spellEnd"/>
            <w:r w:rsidR="00CD225D">
              <w:rPr>
                <w:lang w:eastAsia="en-AU"/>
              </w:rPr>
              <w:t xml:space="preserve">, Hayne, </w:t>
            </w:r>
            <w:proofErr w:type="spellStart"/>
            <w:r w:rsidR="00CD225D">
              <w:rPr>
                <w:lang w:eastAsia="en-AU"/>
              </w:rPr>
              <w:t>Crennan</w:t>
            </w:r>
            <w:proofErr w:type="spellEnd"/>
            <w:r w:rsidR="00CD225D">
              <w:rPr>
                <w:lang w:eastAsia="en-AU"/>
              </w:rPr>
              <w:t xml:space="preserve"> and </w:t>
            </w:r>
            <w:proofErr w:type="spellStart"/>
            <w:r w:rsidR="00CD225D">
              <w:rPr>
                <w:lang w:eastAsia="en-AU"/>
              </w:rPr>
              <w:t>Kiefel</w:t>
            </w:r>
            <w:proofErr w:type="spellEnd"/>
            <w:r w:rsidR="00CD225D">
              <w:rPr>
                <w:lang w:eastAsia="en-AU"/>
              </w:rPr>
              <w:t xml:space="preserve"> JJ) (see also, </w:t>
            </w:r>
            <w:r w:rsidR="00CD225D">
              <w:rPr>
                <w:i/>
                <w:lang w:eastAsia="en-AU"/>
              </w:rPr>
              <w:t xml:space="preserve">Esso Australia Resources Pty Ltd v Commissioner of Taxation </w:t>
            </w:r>
            <w:r w:rsidR="00CD225D">
              <w:rPr>
                <w:lang w:eastAsia="en-AU"/>
              </w:rPr>
              <w:t>(2011) 194 FCR 32 at [126]-[129]), extrinsic material is secondary (footnotes omitted):</w:t>
            </w:r>
          </w:p>
          <w:p w:rsidR="00342626" w:rsidRDefault="00342626" w:rsidP="00342626">
            <w:pPr>
              <w:pStyle w:val="Small-TableswithinQuotes"/>
              <w:rPr>
                <w:lang w:eastAsia="en-AU"/>
              </w:rPr>
            </w:pPr>
          </w:p>
          <w:p w:rsidR="00CD225D" w:rsidRPr="00D53529" w:rsidRDefault="00CD225D" w:rsidP="00CD225D">
            <w:pPr>
              <w:pStyle w:val="Quote1"/>
              <w:rPr>
                <w:i/>
                <w:szCs w:val="22"/>
                <w:lang w:eastAsia="en-AU"/>
              </w:rPr>
            </w:pPr>
            <w:r>
              <w:rPr>
                <w:i/>
                <w:szCs w:val="22"/>
                <w:lang w:eastAsia="en-AU"/>
              </w:rPr>
              <w:t xml:space="preserve">As </w:t>
            </w:r>
            <w:proofErr w:type="spellStart"/>
            <w:r>
              <w:rPr>
                <w:i/>
                <w:szCs w:val="22"/>
                <w:lang w:eastAsia="en-AU"/>
              </w:rPr>
              <w:t>Gummow</w:t>
            </w:r>
            <w:proofErr w:type="spellEnd"/>
            <w:r>
              <w:rPr>
                <w:i/>
                <w:szCs w:val="22"/>
                <w:lang w:eastAsia="en-AU"/>
              </w:rPr>
              <w:t xml:space="preserve"> J observed in </w:t>
            </w:r>
            <w:proofErr w:type="spellStart"/>
            <w:r w:rsidRPr="00372AF2">
              <w:rPr>
                <w:szCs w:val="22"/>
                <w:lang w:eastAsia="en-AU"/>
              </w:rPr>
              <w:t>Wik</w:t>
            </w:r>
            <w:proofErr w:type="spellEnd"/>
            <w:r w:rsidRPr="00372AF2">
              <w:rPr>
                <w:szCs w:val="22"/>
                <w:lang w:eastAsia="en-AU"/>
              </w:rPr>
              <w:t xml:space="preserve"> Peoples v Queensland</w:t>
            </w:r>
            <w:r>
              <w:rPr>
                <w:i/>
                <w:szCs w:val="22"/>
                <w:lang w:eastAsia="en-AU"/>
              </w:rPr>
              <w:t>, i</w:t>
            </w:r>
            <w:r w:rsidRPr="00D53529">
              <w:rPr>
                <w:i/>
                <w:szCs w:val="22"/>
                <w:lang w:eastAsia="en-AU"/>
              </w:rPr>
              <w:t xml:space="preserve">t is necessary to keep in mind that when it is said the legislative </w:t>
            </w:r>
            <w:r w:rsidRPr="00D53529">
              <w:rPr>
                <w:i/>
                <w:iCs/>
                <w:szCs w:val="22"/>
                <w:lang w:eastAsia="en-AU"/>
              </w:rPr>
              <w:t xml:space="preserve">“intention” is to be ascertained, “what is involved is the ‘intention </w:t>
            </w:r>
            <w:r w:rsidRPr="006461D7">
              <w:rPr>
                <w:iCs/>
                <w:szCs w:val="22"/>
                <w:lang w:eastAsia="en-AU"/>
              </w:rPr>
              <w:t>manifested</w:t>
            </w:r>
            <w:r w:rsidRPr="00D53529">
              <w:rPr>
                <w:i/>
                <w:iCs/>
                <w:szCs w:val="22"/>
                <w:lang w:eastAsia="en-AU"/>
              </w:rPr>
              <w:t>’ by the legislation”. Statements as to the legislative intention made in explanatory memoranda or by Ministers, however clear or emphatic, cannot overcome the need to carefully consider the words of the statute to ascertain its meaning</w:t>
            </w:r>
            <w:r w:rsidR="00372AF2">
              <w:rPr>
                <w:i/>
                <w:iCs/>
                <w:szCs w:val="22"/>
                <w:lang w:eastAsia="en-AU"/>
              </w:rPr>
              <w:t>.</w:t>
            </w:r>
          </w:p>
          <w:p w:rsidR="00CD225D" w:rsidRDefault="00CD225D" w:rsidP="00615AAC">
            <w:pPr>
              <w:pStyle w:val="Normal1linespace"/>
              <w:widowControl w:val="0"/>
              <w:jc w:val="left"/>
            </w:pPr>
          </w:p>
        </w:tc>
      </w:tr>
    </w:tbl>
    <w:p w:rsidR="002F047A" w:rsidRDefault="002F047A">
      <w:pPr>
        <w:pStyle w:val="Normal1linespace"/>
      </w:pPr>
    </w:p>
    <w:p w:rsidR="00395B24" w:rsidRDefault="00395B24">
      <w:pPr>
        <w:pStyle w:val="Normal1linespace"/>
        <w:sectPr w:rsidR="00395B24">
          <w:endnotePr>
            <w:numFmt w:val="decimal"/>
          </w:endnotePr>
          <w:type w:val="continuous"/>
          <w:pgSz w:w="11907" w:h="16840" w:code="9"/>
          <w:pgMar w:top="1440" w:right="1440" w:bottom="1440" w:left="1440" w:header="851" w:footer="851"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525A49">
            <w:pPr>
              <w:pStyle w:val="NormalHeadings"/>
            </w:pPr>
          </w:p>
        </w:tc>
        <w:tc>
          <w:tcPr>
            <w:tcW w:w="2330" w:type="dxa"/>
          </w:tcPr>
          <w:p w:rsidR="00A46CCC" w:rsidRDefault="00784D8D" w:rsidP="00F92355">
            <w:pPr>
              <w:pStyle w:val="NormalHeadings"/>
              <w:jc w:val="right"/>
            </w:pPr>
            <w:bookmarkStart w:id="11" w:name="FileNo"/>
            <w:r>
              <w:t>VID 695 of 2018</w:t>
            </w:r>
            <w:bookmarkEnd w:id="11"/>
          </w:p>
        </w:tc>
      </w:tr>
      <w:tr w:rsidR="00A76C13" w:rsidTr="00FD24F6">
        <w:tc>
          <w:tcPr>
            <w:tcW w:w="9242" w:type="dxa"/>
            <w:gridSpan w:val="3"/>
          </w:tcPr>
          <w:p w:rsidR="00A76C13" w:rsidRPr="00A76C13" w:rsidRDefault="00784D8D" w:rsidP="00784D8D">
            <w:pPr>
              <w:pStyle w:val="NormalHeadings"/>
              <w:spacing w:before="240" w:after="240"/>
              <w:jc w:val="left"/>
            </w:pPr>
            <w:bookmarkStart w:id="12" w:name="InTheMatterOf"/>
            <w:r>
              <w:t>IN THE MATTER OF READY K</w:t>
            </w:r>
            <w:r w:rsidR="00F23FDC">
              <w:t>I</w:t>
            </w:r>
            <w:r>
              <w:t>T CABINETS PTY LTD (ACN 131 173 567) (IN LIQUIDATION)</w:t>
            </w:r>
            <w:bookmarkEnd w:id="12"/>
          </w:p>
        </w:tc>
      </w:tr>
      <w:tr w:rsidR="00A46CCC" w:rsidTr="00FD24F6">
        <w:trPr>
          <w:trHeight w:val="386"/>
        </w:trPr>
        <w:tc>
          <w:tcPr>
            <w:tcW w:w="2376" w:type="dxa"/>
          </w:tcPr>
          <w:p w:rsidR="00A46CCC" w:rsidRDefault="00A46CCC" w:rsidP="00FD24F6">
            <w:pPr>
              <w:pStyle w:val="NormalHeadings"/>
              <w:jc w:val="left"/>
              <w:rPr>
                <w:caps/>
                <w:szCs w:val="24"/>
              </w:rPr>
            </w:pPr>
            <w:bookmarkStart w:id="13" w:name="Parties"/>
            <w:r>
              <w:rPr>
                <w:caps/>
                <w:szCs w:val="24"/>
              </w:rPr>
              <w:t>BETWEEN:</w:t>
            </w:r>
          </w:p>
        </w:tc>
        <w:tc>
          <w:tcPr>
            <w:tcW w:w="6866" w:type="dxa"/>
            <w:gridSpan w:val="2"/>
          </w:tcPr>
          <w:p w:rsidR="00784D8D" w:rsidRDefault="00784D8D" w:rsidP="00784D8D">
            <w:pPr>
              <w:pStyle w:val="NormalHeadings"/>
              <w:jc w:val="left"/>
            </w:pPr>
            <w:bookmarkStart w:id="14" w:name="Applicant"/>
            <w:r>
              <w:t>ANDREW REGINALD YEO AS JOINT AND SEVERAL LIQUIDATOR OF READY K</w:t>
            </w:r>
            <w:r w:rsidR="00F23FDC">
              <w:t>I</w:t>
            </w:r>
            <w:r>
              <w:t>T CABINETS PTY LTD (ACN 131 173 567)</w:t>
            </w:r>
          </w:p>
          <w:p w:rsidR="00784D8D" w:rsidRDefault="00784D8D" w:rsidP="00784D8D">
            <w:pPr>
              <w:pStyle w:val="PartyType"/>
            </w:pPr>
            <w:r>
              <w:t>First Applicant</w:t>
            </w:r>
          </w:p>
          <w:p w:rsidR="00784D8D" w:rsidRDefault="00784D8D" w:rsidP="00FD24F6">
            <w:pPr>
              <w:pStyle w:val="NormalHeadings"/>
              <w:jc w:val="left"/>
              <w:rPr>
                <w:szCs w:val="24"/>
              </w:rPr>
            </w:pPr>
          </w:p>
          <w:p w:rsidR="00784D8D" w:rsidRDefault="00784D8D" w:rsidP="00784D8D">
            <w:pPr>
              <w:pStyle w:val="NormalHeadings"/>
              <w:jc w:val="left"/>
            </w:pPr>
            <w:r>
              <w:t>GESS MICHAEL RAMBALDI AS JOINT AND SEVERAL LIQUIDATOR OF READY K</w:t>
            </w:r>
            <w:r w:rsidR="00F23FDC">
              <w:t>I</w:t>
            </w:r>
            <w:r>
              <w:t>T CABINETS PTY LTD (ACN 131 173 567)</w:t>
            </w:r>
          </w:p>
          <w:p w:rsidR="00784D8D" w:rsidRDefault="00784D8D" w:rsidP="00784D8D">
            <w:pPr>
              <w:pStyle w:val="PartyType"/>
            </w:pPr>
            <w:r>
              <w:t>Second Applicant</w:t>
            </w:r>
          </w:p>
          <w:p w:rsidR="00784D8D" w:rsidRDefault="00784D8D" w:rsidP="00FD24F6">
            <w:pPr>
              <w:pStyle w:val="NormalHeadings"/>
              <w:jc w:val="left"/>
              <w:rPr>
                <w:szCs w:val="24"/>
              </w:rPr>
            </w:pPr>
          </w:p>
          <w:p w:rsidR="00784D8D" w:rsidRDefault="00784D8D" w:rsidP="00784D8D">
            <w:pPr>
              <w:pStyle w:val="NormalHeadings"/>
              <w:jc w:val="left"/>
            </w:pPr>
            <w:r>
              <w:t>READY KIT CABINETS PTY LTD (ACN 131 173 567)</w:t>
            </w:r>
          </w:p>
          <w:p w:rsidR="00784D8D" w:rsidRDefault="00784D8D" w:rsidP="00784D8D">
            <w:pPr>
              <w:pStyle w:val="PartyType"/>
            </w:pPr>
            <w:r>
              <w:t>Third Applicant</w:t>
            </w:r>
          </w:p>
          <w:bookmarkEnd w:id="14"/>
          <w:p w:rsidR="00A46CCC" w:rsidRPr="006555B4" w:rsidRDefault="00A46CCC" w:rsidP="00FD24F6">
            <w:pPr>
              <w:pStyle w:val="NormalHeadings"/>
              <w:jc w:val="left"/>
            </w:pPr>
          </w:p>
        </w:tc>
      </w:tr>
      <w:tr w:rsidR="00A46CCC" w:rsidTr="00FD24F6">
        <w:trPr>
          <w:trHeight w:val="386"/>
        </w:trPr>
        <w:tc>
          <w:tcPr>
            <w:tcW w:w="2376" w:type="dxa"/>
          </w:tcPr>
          <w:p w:rsidR="00A46CCC" w:rsidRDefault="00A46CCC" w:rsidP="00FD24F6">
            <w:pPr>
              <w:pStyle w:val="NormalHeadings"/>
              <w:jc w:val="left"/>
              <w:rPr>
                <w:caps/>
                <w:szCs w:val="24"/>
              </w:rPr>
            </w:pPr>
            <w:r>
              <w:rPr>
                <w:caps/>
                <w:szCs w:val="24"/>
              </w:rPr>
              <w:t>AND:</w:t>
            </w:r>
          </w:p>
        </w:tc>
        <w:tc>
          <w:tcPr>
            <w:tcW w:w="6866" w:type="dxa"/>
            <w:gridSpan w:val="2"/>
          </w:tcPr>
          <w:p w:rsidR="00784D8D" w:rsidRDefault="00784D8D" w:rsidP="00784D8D">
            <w:pPr>
              <w:pStyle w:val="NormalHeadings"/>
              <w:jc w:val="left"/>
            </w:pPr>
            <w:bookmarkStart w:id="15" w:name="Respondent"/>
            <w:r>
              <w:t>DEPUTY COMMISSIONER OF TAXATION</w:t>
            </w:r>
          </w:p>
          <w:p w:rsidR="00784D8D" w:rsidRDefault="00784D8D" w:rsidP="00784D8D">
            <w:pPr>
              <w:pStyle w:val="PartyType"/>
            </w:pPr>
            <w:r>
              <w:t>Respondent</w:t>
            </w:r>
          </w:p>
          <w:bookmarkEnd w:id="15"/>
          <w:p w:rsidR="00A46CCC" w:rsidRPr="006555B4" w:rsidRDefault="00A46CCC" w:rsidP="00FD24F6">
            <w:pPr>
              <w:pStyle w:val="NormalHeadings"/>
              <w:jc w:val="left"/>
            </w:pPr>
          </w:p>
        </w:tc>
      </w:tr>
    </w:tbl>
    <w:p w:rsidR="00395B24" w:rsidRDefault="00395B24">
      <w:pPr>
        <w:pStyle w:val="NormalHeadings"/>
      </w:pPr>
      <w:bookmarkStart w:id="16" w:name="CrossClaimPosition"/>
      <w:bookmarkEnd w:id="13"/>
      <w:bookmarkEnd w:id="16"/>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784D8D">
            <w:pPr>
              <w:pStyle w:val="NormalHeadings"/>
              <w:spacing w:after="120"/>
              <w:jc w:val="left"/>
              <w:rPr>
                <w:caps/>
                <w:szCs w:val="24"/>
              </w:rPr>
            </w:pPr>
            <w:bookmarkStart w:id="17" w:name="JudgeText"/>
            <w:r>
              <w:rPr>
                <w:caps/>
                <w:szCs w:val="24"/>
              </w:rPr>
              <w:t>JUDGE</w:t>
            </w:r>
            <w:bookmarkEnd w:id="17"/>
            <w:r w:rsidR="002C7385">
              <w:rPr>
                <w:caps/>
                <w:szCs w:val="24"/>
              </w:rPr>
              <w:t>:</w:t>
            </w:r>
          </w:p>
        </w:tc>
        <w:tc>
          <w:tcPr>
            <w:tcW w:w="6866" w:type="dxa"/>
          </w:tcPr>
          <w:p w:rsidR="00395B24" w:rsidRDefault="00784D8D">
            <w:pPr>
              <w:pStyle w:val="NormalHeadings"/>
              <w:jc w:val="left"/>
              <w:rPr>
                <w:caps/>
                <w:szCs w:val="24"/>
              </w:rPr>
            </w:pPr>
            <w:bookmarkStart w:id="18" w:name="Judge"/>
            <w:r>
              <w:rPr>
                <w:caps/>
                <w:szCs w:val="24"/>
              </w:rPr>
              <w:t>MIDDLETON J</w:t>
            </w:r>
            <w:bookmarkEnd w:id="18"/>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2C0154" w:rsidP="002C0154">
            <w:pPr>
              <w:pStyle w:val="NormalHeadings"/>
              <w:jc w:val="left"/>
              <w:rPr>
                <w:caps/>
                <w:szCs w:val="24"/>
              </w:rPr>
            </w:pPr>
            <w:bookmarkStart w:id="19" w:name="Judgment_Dated"/>
            <w:r>
              <w:rPr>
                <w:caps/>
                <w:szCs w:val="24"/>
              </w:rPr>
              <w:t>15 May 2020</w:t>
            </w:r>
            <w:bookmarkEnd w:id="19"/>
          </w:p>
        </w:tc>
      </w:tr>
    </w:tbl>
    <w:p w:rsidR="00395B24" w:rsidRDefault="00395B24">
      <w:pPr>
        <w:pStyle w:val="NormalHeadings"/>
        <w:rPr>
          <w:b w:val="0"/>
        </w:rPr>
      </w:pPr>
    </w:p>
    <w:p w:rsidR="008D1617" w:rsidRDefault="008D1617">
      <w:pPr>
        <w:pStyle w:val="NormalHeadings"/>
        <w:rPr>
          <w:b w:val="0"/>
        </w:rPr>
      </w:pPr>
    </w:p>
    <w:p w:rsidR="00395B24" w:rsidRDefault="002C7385">
      <w:pPr>
        <w:pStyle w:val="NormalHeadings"/>
      </w:pPr>
      <w:r>
        <w:t>THE COURT ORDERS THAT:</w:t>
      </w:r>
    </w:p>
    <w:p w:rsidR="00395B24" w:rsidRDefault="00395B24">
      <w:pPr>
        <w:pStyle w:val="NormalHeadings"/>
      </w:pPr>
    </w:p>
    <w:p w:rsidR="00395B24" w:rsidRDefault="00471C1A" w:rsidP="00274F5B">
      <w:pPr>
        <w:pStyle w:val="Order1"/>
      </w:pPr>
      <w:bookmarkStart w:id="20" w:name="Order_Start_Text"/>
      <w:bookmarkEnd w:id="20"/>
      <w:r>
        <w:rPr>
          <w:lang w:eastAsia="en-AU"/>
        </w:rPr>
        <w:t>Within 14 days the parties confer and file any agreed minutes of order reflecting the reasons for judgment (including as to costs) or in the event of disagreement a short written submission as to the orders sought.</w:t>
      </w:r>
    </w:p>
    <w:p w:rsidR="00636871" w:rsidRDefault="00636871" w:rsidP="002B0E91">
      <w:pPr>
        <w:pStyle w:val="BodyText"/>
      </w:pPr>
    </w:p>
    <w:p w:rsidR="00395B24" w:rsidRDefault="00395B24" w:rsidP="002B0E91">
      <w:pPr>
        <w:pStyle w:val="BodyText"/>
      </w:pPr>
    </w:p>
    <w:p w:rsidR="00395B24" w:rsidRDefault="002C7385" w:rsidP="004D53E5">
      <w:pPr>
        <w:pStyle w:val="SingleSpace"/>
      </w:pPr>
      <w:r>
        <w:t>Note:</w:t>
      </w:r>
      <w:r>
        <w:tab/>
        <w:t xml:space="preserve">Entry of orders is dealt with in Rule 39.32 of the </w:t>
      </w:r>
      <w:r>
        <w:rPr>
          <w:i/>
        </w:rPr>
        <w:t>Federal Court Rules 2011</w:t>
      </w:r>
      <w:r>
        <w:t>.</w:t>
      </w:r>
    </w:p>
    <w:p w:rsidR="00395B24" w:rsidRDefault="00395B24" w:rsidP="002B0E91">
      <w:pPr>
        <w:pStyle w:val="BodyText"/>
      </w:pPr>
    </w:p>
    <w:p w:rsidR="00395B24" w:rsidRDefault="00395B24" w:rsidP="001F2DBC">
      <w:pPr>
        <w:pStyle w:val="BodyText"/>
      </w:pPr>
    </w:p>
    <w:p w:rsidR="0092590B" w:rsidRDefault="0092590B" w:rsidP="002B0E91">
      <w:pPr>
        <w:pStyle w:val="BodyText"/>
      </w:pPr>
    </w:p>
    <w:p w:rsidR="00395B24" w:rsidRDefault="00395B24">
      <w:pPr>
        <w:pStyle w:val="NormalHeadings"/>
        <w:spacing w:before="240" w:after="120"/>
        <w:rPr>
          <w:b w:val="0"/>
        </w:rPr>
        <w:sectPr w:rsidR="00395B24" w:rsidSect="0092590B">
          <w:headerReference w:type="default" r:id="rId8"/>
          <w:headerReference w:type="first" r:id="rId9"/>
          <w:endnotePr>
            <w:numFmt w:val="decimal"/>
          </w:endnotePr>
          <w:pgSz w:w="11907" w:h="16840" w:code="9"/>
          <w:pgMar w:top="1440" w:right="1440" w:bottom="1440" w:left="1440" w:header="851" w:footer="851" w:gutter="0"/>
          <w:pgNumType w:fmt="lowerRoman" w:start="1"/>
          <w:cols w:space="720"/>
          <w:noEndnote/>
          <w:titlePg/>
        </w:sectPr>
      </w:pPr>
    </w:p>
    <w:p w:rsidR="00484F6D" w:rsidRPr="00045BB7" w:rsidRDefault="00484F6D" w:rsidP="00045BB7">
      <w:pPr>
        <w:pStyle w:val="NormalHeadings"/>
        <w:spacing w:line="480" w:lineRule="auto"/>
        <w:jc w:val="center"/>
        <w:rPr>
          <w:sz w:val="28"/>
          <w:szCs w:val="28"/>
        </w:rPr>
      </w:pPr>
      <w:bookmarkStart w:id="21" w:name="ReasonsPage"/>
      <w:bookmarkEnd w:id="21"/>
      <w:r w:rsidRPr="00045BB7">
        <w:rPr>
          <w:sz w:val="28"/>
          <w:szCs w:val="28"/>
        </w:rPr>
        <w:lastRenderedPageBreak/>
        <w:t>REASONS FOR JUDGMENT</w:t>
      </w:r>
    </w:p>
    <w:p w:rsidR="00484F6D" w:rsidRDefault="00784D8D" w:rsidP="0062777D">
      <w:pPr>
        <w:pStyle w:val="NormalHeadings"/>
        <w:spacing w:line="360" w:lineRule="auto"/>
        <w:jc w:val="left"/>
        <w:rPr>
          <w:sz w:val="26"/>
          <w:szCs w:val="26"/>
        </w:rPr>
      </w:pPr>
      <w:r>
        <w:rPr>
          <w:sz w:val="26"/>
          <w:szCs w:val="26"/>
        </w:rPr>
        <w:t>MIDDLETON J</w:t>
      </w:r>
      <w:r w:rsidR="00484F6D" w:rsidRPr="00EA03CE">
        <w:rPr>
          <w:sz w:val="26"/>
          <w:szCs w:val="26"/>
        </w:rPr>
        <w:t>:</w:t>
      </w:r>
    </w:p>
    <w:p w:rsidR="00562A99" w:rsidRPr="0062777D" w:rsidRDefault="00562A99" w:rsidP="00562A99">
      <w:pPr>
        <w:pStyle w:val="Heading1"/>
      </w:pPr>
      <w:r>
        <w:t>INTRODUCTION</w:t>
      </w:r>
    </w:p>
    <w:p w:rsidR="003F7C8F" w:rsidRDefault="003F7C8F" w:rsidP="00FD24F6">
      <w:pPr>
        <w:pStyle w:val="ParaNumbering"/>
        <w:rPr>
          <w:lang w:eastAsia="en-AU"/>
        </w:rPr>
      </w:pPr>
      <w:r>
        <w:rPr>
          <w:lang w:eastAsia="en-AU"/>
        </w:rPr>
        <w:t>These proceedings concern:</w:t>
      </w:r>
    </w:p>
    <w:p w:rsidR="00FD24F6" w:rsidRPr="00C56539" w:rsidRDefault="003F7C8F" w:rsidP="00FD24F6">
      <w:pPr>
        <w:pStyle w:val="ListNo1"/>
        <w:rPr>
          <w:lang w:eastAsia="en-AU"/>
        </w:rPr>
      </w:pPr>
      <w:r>
        <w:rPr>
          <w:lang w:eastAsia="en-AU"/>
        </w:rPr>
        <w:t xml:space="preserve">the third applicant, </w:t>
      </w:r>
      <w:r w:rsidRPr="00C56539">
        <w:rPr>
          <w:lang w:eastAsia="en-AU"/>
        </w:rPr>
        <w:t>Ready Kit Cabinets Pty Ltd (in liquidation)</w:t>
      </w:r>
      <w:r w:rsidR="00FD24F6" w:rsidRPr="00C56539">
        <w:rPr>
          <w:lang w:eastAsia="en-AU"/>
        </w:rPr>
        <w:t xml:space="preserve"> </w:t>
      </w:r>
      <w:r w:rsidRPr="00C56539">
        <w:rPr>
          <w:lang w:eastAsia="en-AU"/>
        </w:rPr>
        <w:t>(</w:t>
      </w:r>
      <w:r w:rsidR="009761A8">
        <w:rPr>
          <w:lang w:eastAsia="en-AU"/>
        </w:rPr>
        <w:t xml:space="preserve">the </w:t>
      </w:r>
      <w:r w:rsidR="00B44817" w:rsidRPr="00C56539">
        <w:rPr>
          <w:lang w:eastAsia="en-AU"/>
        </w:rPr>
        <w:t>‘</w:t>
      </w:r>
      <w:r w:rsidR="009761A8" w:rsidRPr="009761A8">
        <w:rPr>
          <w:b/>
          <w:lang w:eastAsia="en-AU"/>
        </w:rPr>
        <w:t>C</w:t>
      </w:r>
      <w:r w:rsidRPr="00C56539">
        <w:rPr>
          <w:b/>
          <w:bCs/>
          <w:lang w:eastAsia="en-AU"/>
        </w:rPr>
        <w:t>ompany</w:t>
      </w:r>
      <w:r w:rsidR="00B44817" w:rsidRPr="00C56539">
        <w:rPr>
          <w:bCs/>
          <w:lang w:eastAsia="en-AU"/>
        </w:rPr>
        <w:t>’</w:t>
      </w:r>
      <w:r w:rsidRPr="00C56539">
        <w:rPr>
          <w:lang w:eastAsia="en-AU"/>
        </w:rPr>
        <w:t>);</w:t>
      </w:r>
    </w:p>
    <w:p w:rsidR="003F7C8F" w:rsidRPr="00C56539" w:rsidRDefault="003F7C8F" w:rsidP="00FD24F6">
      <w:pPr>
        <w:pStyle w:val="ListNo1"/>
        <w:rPr>
          <w:lang w:eastAsia="en-AU"/>
        </w:rPr>
      </w:pPr>
      <w:r w:rsidRPr="00C56539">
        <w:rPr>
          <w:lang w:eastAsia="en-AU"/>
        </w:rPr>
        <w:t>the first and second applicants</w:t>
      </w:r>
      <w:r w:rsidR="00BD794A">
        <w:rPr>
          <w:lang w:eastAsia="en-AU"/>
        </w:rPr>
        <w:t xml:space="preserve">, Andrew Yeo and </w:t>
      </w:r>
      <w:proofErr w:type="spellStart"/>
      <w:r w:rsidR="00BD794A">
        <w:rPr>
          <w:lang w:eastAsia="en-AU"/>
        </w:rPr>
        <w:t>Gess</w:t>
      </w:r>
      <w:proofErr w:type="spellEnd"/>
      <w:r w:rsidR="00BD794A">
        <w:rPr>
          <w:lang w:eastAsia="en-AU"/>
        </w:rPr>
        <w:t xml:space="preserve"> </w:t>
      </w:r>
      <w:proofErr w:type="spellStart"/>
      <w:r w:rsidR="00BD794A">
        <w:rPr>
          <w:lang w:eastAsia="en-AU"/>
        </w:rPr>
        <w:t>Rambaldi</w:t>
      </w:r>
      <w:proofErr w:type="spellEnd"/>
      <w:r w:rsidR="00BD794A">
        <w:rPr>
          <w:lang w:eastAsia="en-AU"/>
        </w:rPr>
        <w:t>,</w:t>
      </w:r>
      <w:r w:rsidRPr="00C56539">
        <w:rPr>
          <w:lang w:eastAsia="en-AU"/>
        </w:rPr>
        <w:t xml:space="preserve"> who are:</w:t>
      </w:r>
    </w:p>
    <w:p w:rsidR="00FD24F6" w:rsidRPr="00C56539" w:rsidRDefault="003F7C8F" w:rsidP="00FD24F6">
      <w:pPr>
        <w:pStyle w:val="ListNo2"/>
        <w:rPr>
          <w:lang w:eastAsia="en-AU"/>
        </w:rPr>
      </w:pPr>
      <w:r w:rsidRPr="00C56539">
        <w:rPr>
          <w:lang w:eastAsia="en-AU"/>
        </w:rPr>
        <w:t>former deed administrators of the company (</w:t>
      </w:r>
      <w:r w:rsidR="009761A8">
        <w:rPr>
          <w:lang w:eastAsia="en-AU"/>
        </w:rPr>
        <w:t xml:space="preserve">the </w:t>
      </w:r>
      <w:r w:rsidR="00B44817" w:rsidRPr="00C56539">
        <w:rPr>
          <w:lang w:eastAsia="en-AU"/>
        </w:rPr>
        <w:t>‘</w:t>
      </w:r>
      <w:r w:rsidR="009761A8">
        <w:rPr>
          <w:b/>
          <w:lang w:eastAsia="en-AU"/>
        </w:rPr>
        <w:t>D</w:t>
      </w:r>
      <w:r w:rsidR="000B77DE">
        <w:rPr>
          <w:b/>
          <w:bCs/>
          <w:lang w:eastAsia="en-AU"/>
        </w:rPr>
        <w:t>eed A</w:t>
      </w:r>
      <w:r w:rsidRPr="00C56539">
        <w:rPr>
          <w:b/>
          <w:bCs/>
          <w:lang w:eastAsia="en-AU"/>
        </w:rPr>
        <w:t>dministrators</w:t>
      </w:r>
      <w:r w:rsidR="00B44817" w:rsidRPr="00C56539">
        <w:rPr>
          <w:bCs/>
          <w:lang w:eastAsia="en-AU"/>
        </w:rPr>
        <w:t>’</w:t>
      </w:r>
      <w:r w:rsidRPr="00C56539">
        <w:rPr>
          <w:lang w:eastAsia="en-AU"/>
        </w:rPr>
        <w:t>);</w:t>
      </w:r>
    </w:p>
    <w:p w:rsidR="00FD24F6" w:rsidRPr="00C56539" w:rsidRDefault="003F7C8F" w:rsidP="00FD24F6">
      <w:pPr>
        <w:pStyle w:val="ListNo2"/>
        <w:rPr>
          <w:lang w:eastAsia="en-AU"/>
        </w:rPr>
      </w:pPr>
      <w:r w:rsidRPr="00C56539">
        <w:rPr>
          <w:lang w:eastAsia="en-AU"/>
        </w:rPr>
        <w:t>liquidators of the company;</w:t>
      </w:r>
    </w:p>
    <w:p w:rsidR="0062777D" w:rsidRDefault="003F7C8F" w:rsidP="00BD794A">
      <w:pPr>
        <w:pStyle w:val="ListNo1"/>
        <w:rPr>
          <w:lang w:eastAsia="en-AU"/>
        </w:rPr>
      </w:pPr>
      <w:r w:rsidRPr="00C56539">
        <w:rPr>
          <w:lang w:eastAsia="en-AU"/>
        </w:rPr>
        <w:t>a deed of company a</w:t>
      </w:r>
      <w:r w:rsidR="00A01A91">
        <w:rPr>
          <w:lang w:eastAsia="en-AU"/>
        </w:rPr>
        <w:t>rrangement entered into by the C</w:t>
      </w:r>
      <w:r w:rsidRPr="00C56539">
        <w:rPr>
          <w:lang w:eastAsia="en-AU"/>
        </w:rPr>
        <w:t>ompany on 11</w:t>
      </w:r>
      <w:r w:rsidR="0062777D" w:rsidRPr="00C56539">
        <w:rPr>
          <w:lang w:eastAsia="en-AU"/>
        </w:rPr>
        <w:t xml:space="preserve"> </w:t>
      </w:r>
      <w:r w:rsidRPr="00C56539">
        <w:rPr>
          <w:lang w:eastAsia="en-AU"/>
        </w:rPr>
        <w:t>December 2013 (</w:t>
      </w:r>
      <w:r w:rsidR="009761A8">
        <w:rPr>
          <w:lang w:eastAsia="en-AU"/>
        </w:rPr>
        <w:t xml:space="preserve">the </w:t>
      </w:r>
      <w:r w:rsidR="00B44817" w:rsidRPr="00C56539">
        <w:rPr>
          <w:lang w:eastAsia="en-AU"/>
        </w:rPr>
        <w:t>‘</w:t>
      </w:r>
      <w:r w:rsidR="009761A8">
        <w:rPr>
          <w:b/>
          <w:bCs/>
          <w:lang w:eastAsia="en-AU"/>
        </w:rPr>
        <w:t>D</w:t>
      </w:r>
      <w:r w:rsidR="00A01A91">
        <w:rPr>
          <w:b/>
          <w:bCs/>
          <w:lang w:eastAsia="en-AU"/>
        </w:rPr>
        <w:t>OCA</w:t>
      </w:r>
      <w:r w:rsidR="00B44817" w:rsidRPr="00C56539">
        <w:rPr>
          <w:bCs/>
          <w:lang w:eastAsia="en-AU"/>
        </w:rPr>
        <w:t>’</w:t>
      </w:r>
      <w:r w:rsidRPr="00C56539">
        <w:rPr>
          <w:lang w:eastAsia="en-AU"/>
        </w:rPr>
        <w:t>) pursuant to a resolution of creditors made on 22</w:t>
      </w:r>
      <w:r w:rsidR="0062777D" w:rsidRPr="00C56539">
        <w:rPr>
          <w:lang w:eastAsia="en-AU"/>
        </w:rPr>
        <w:t xml:space="preserve"> </w:t>
      </w:r>
      <w:r w:rsidRPr="00C56539">
        <w:rPr>
          <w:lang w:eastAsia="en-AU"/>
        </w:rPr>
        <w:t>November 2013 and which was terminated</w:t>
      </w:r>
      <w:r>
        <w:rPr>
          <w:lang w:eastAsia="en-AU"/>
        </w:rPr>
        <w:t xml:space="preserve"> on 5 July 2017;</w:t>
      </w:r>
      <w:r w:rsidR="00BD794A">
        <w:rPr>
          <w:lang w:eastAsia="en-AU"/>
        </w:rPr>
        <w:t xml:space="preserve"> and</w:t>
      </w:r>
    </w:p>
    <w:p w:rsidR="0062777D" w:rsidRPr="00C56539" w:rsidRDefault="003F7C8F" w:rsidP="00BD794A">
      <w:pPr>
        <w:pStyle w:val="ListNo1"/>
        <w:rPr>
          <w:lang w:eastAsia="en-AU"/>
        </w:rPr>
      </w:pPr>
      <w:r w:rsidRPr="00C56539">
        <w:rPr>
          <w:lang w:eastAsia="en-AU"/>
        </w:rPr>
        <w:t xml:space="preserve">payments made by the company to the </w:t>
      </w:r>
      <w:r w:rsidR="00853624">
        <w:rPr>
          <w:lang w:eastAsia="en-AU"/>
        </w:rPr>
        <w:t xml:space="preserve">Respondent, the </w:t>
      </w:r>
      <w:r w:rsidRPr="00C56539">
        <w:rPr>
          <w:lang w:eastAsia="en-AU"/>
        </w:rPr>
        <w:t>Deputy Commissioner of Taxation</w:t>
      </w:r>
      <w:r w:rsidR="0062777D" w:rsidRPr="00C56539">
        <w:rPr>
          <w:lang w:eastAsia="en-AU"/>
        </w:rPr>
        <w:t xml:space="preserve"> </w:t>
      </w:r>
      <w:r w:rsidRPr="00C56539">
        <w:rPr>
          <w:lang w:eastAsia="en-AU"/>
        </w:rPr>
        <w:t>(</w:t>
      </w:r>
      <w:r w:rsidR="009761A8">
        <w:rPr>
          <w:lang w:eastAsia="en-AU"/>
        </w:rPr>
        <w:t xml:space="preserve">the </w:t>
      </w:r>
      <w:r w:rsidR="00B44817" w:rsidRPr="00C56539">
        <w:rPr>
          <w:lang w:eastAsia="en-AU"/>
        </w:rPr>
        <w:t>‘</w:t>
      </w:r>
      <w:r w:rsidRPr="00C56539">
        <w:rPr>
          <w:b/>
          <w:bCs/>
          <w:lang w:eastAsia="en-AU"/>
        </w:rPr>
        <w:t>DCT</w:t>
      </w:r>
      <w:r w:rsidR="00B44817" w:rsidRPr="00C56539">
        <w:rPr>
          <w:bCs/>
          <w:lang w:eastAsia="en-AU"/>
        </w:rPr>
        <w:t>’</w:t>
      </w:r>
      <w:r w:rsidRPr="00C56539">
        <w:rPr>
          <w:lang w:eastAsia="en-AU"/>
        </w:rPr>
        <w:t>)</w:t>
      </w:r>
      <w:r w:rsidR="009316A2">
        <w:rPr>
          <w:lang w:eastAsia="en-AU"/>
        </w:rPr>
        <w:t>,</w:t>
      </w:r>
      <w:r w:rsidRPr="00C56539">
        <w:rPr>
          <w:lang w:eastAsia="en-AU"/>
        </w:rPr>
        <w:t xml:space="preserve"> during the administration of the deed totalling $304,772.15</w:t>
      </w:r>
      <w:r w:rsidR="0062777D" w:rsidRPr="00C56539">
        <w:rPr>
          <w:lang w:eastAsia="en-AU"/>
        </w:rPr>
        <w:t xml:space="preserve"> </w:t>
      </w:r>
      <w:r w:rsidR="00F829C3">
        <w:rPr>
          <w:lang w:eastAsia="en-AU"/>
        </w:rPr>
        <w:t>in discharge</w:t>
      </w:r>
      <w:r w:rsidR="005D75B4">
        <w:rPr>
          <w:lang w:eastAsia="en-AU"/>
        </w:rPr>
        <w:t xml:space="preserve"> of the tax liabilities of the C</w:t>
      </w:r>
      <w:r w:rsidR="00F829C3">
        <w:rPr>
          <w:lang w:eastAsia="en-AU"/>
        </w:rPr>
        <w:t>ompany</w:t>
      </w:r>
      <w:r w:rsidR="00F829C3" w:rsidRPr="00F829C3">
        <w:rPr>
          <w:lang w:eastAsia="en-AU"/>
        </w:rPr>
        <w:t xml:space="preserve"> </w:t>
      </w:r>
      <w:r w:rsidR="00F829C3" w:rsidRPr="00C56539">
        <w:rPr>
          <w:lang w:eastAsia="en-AU"/>
        </w:rPr>
        <w:t>(</w:t>
      </w:r>
      <w:r w:rsidR="009761A8">
        <w:rPr>
          <w:lang w:eastAsia="en-AU"/>
        </w:rPr>
        <w:t xml:space="preserve">the </w:t>
      </w:r>
      <w:r w:rsidR="00F829C3" w:rsidRPr="00C56539">
        <w:rPr>
          <w:lang w:eastAsia="en-AU"/>
        </w:rPr>
        <w:t>‘</w:t>
      </w:r>
      <w:r w:rsidR="009761A8">
        <w:rPr>
          <w:b/>
          <w:bCs/>
          <w:lang w:eastAsia="en-AU"/>
        </w:rPr>
        <w:t>P</w:t>
      </w:r>
      <w:r w:rsidR="00F829C3" w:rsidRPr="00C56539">
        <w:rPr>
          <w:b/>
          <w:bCs/>
          <w:lang w:eastAsia="en-AU"/>
        </w:rPr>
        <w:t>ayments</w:t>
      </w:r>
      <w:r w:rsidR="00F829C3" w:rsidRPr="00C56539">
        <w:rPr>
          <w:bCs/>
          <w:lang w:eastAsia="en-AU"/>
        </w:rPr>
        <w:t>’</w:t>
      </w:r>
      <w:r w:rsidR="00F829C3">
        <w:rPr>
          <w:lang w:eastAsia="en-AU"/>
        </w:rPr>
        <w:t>).</w:t>
      </w:r>
    </w:p>
    <w:p w:rsidR="00704EB5" w:rsidRDefault="00B44817" w:rsidP="00FD24F6">
      <w:pPr>
        <w:pStyle w:val="ParaNumbering"/>
        <w:rPr>
          <w:lang w:eastAsia="en-AU"/>
        </w:rPr>
      </w:pPr>
      <w:r>
        <w:rPr>
          <w:lang w:eastAsia="en-AU"/>
        </w:rPr>
        <w:t xml:space="preserve">The </w:t>
      </w:r>
      <w:r w:rsidR="00373BEF">
        <w:rPr>
          <w:lang w:eastAsia="en-AU"/>
        </w:rPr>
        <w:t>Applicants</w:t>
      </w:r>
      <w:r w:rsidR="00562A99">
        <w:rPr>
          <w:lang w:eastAsia="en-AU"/>
        </w:rPr>
        <w:t xml:space="preserve"> claim the P</w:t>
      </w:r>
      <w:r w:rsidR="00F829C3">
        <w:rPr>
          <w:lang w:eastAsia="en-AU"/>
        </w:rPr>
        <w:t xml:space="preserve">ayments are recoverable from the DCT as unfair preferences </w:t>
      </w:r>
      <w:r w:rsidR="00CE5058">
        <w:rPr>
          <w:lang w:eastAsia="en-AU"/>
        </w:rPr>
        <w:t>under</w:t>
      </w:r>
      <w:r w:rsidR="00F829C3">
        <w:rPr>
          <w:lang w:eastAsia="en-AU"/>
        </w:rPr>
        <w:t xml:space="preserve"> s 588FA of the </w:t>
      </w:r>
      <w:r w:rsidR="00F829C3">
        <w:rPr>
          <w:i/>
          <w:lang w:eastAsia="en-AU"/>
        </w:rPr>
        <w:t xml:space="preserve">Corporations Act 2001 </w:t>
      </w:r>
      <w:r w:rsidR="00F829C3">
        <w:rPr>
          <w:lang w:eastAsia="en-AU"/>
        </w:rPr>
        <w:t>(</w:t>
      </w:r>
      <w:proofErr w:type="spellStart"/>
      <w:r w:rsidR="00F829C3">
        <w:rPr>
          <w:lang w:eastAsia="en-AU"/>
        </w:rPr>
        <w:t>Cth</w:t>
      </w:r>
      <w:proofErr w:type="spellEnd"/>
      <w:r w:rsidR="00F829C3">
        <w:rPr>
          <w:lang w:eastAsia="en-AU"/>
        </w:rPr>
        <w:t>)</w:t>
      </w:r>
      <w:r w:rsidR="00974592">
        <w:rPr>
          <w:lang w:eastAsia="en-AU"/>
        </w:rPr>
        <w:t xml:space="preserve"> (</w:t>
      </w:r>
      <w:r w:rsidR="009761A8">
        <w:rPr>
          <w:lang w:eastAsia="en-AU"/>
        </w:rPr>
        <w:t xml:space="preserve">the </w:t>
      </w:r>
      <w:r w:rsidR="00974592">
        <w:rPr>
          <w:lang w:eastAsia="en-AU"/>
        </w:rPr>
        <w:t>‘</w:t>
      </w:r>
      <w:r w:rsidR="009761A8">
        <w:rPr>
          <w:b/>
          <w:lang w:eastAsia="en-AU"/>
        </w:rPr>
        <w:t xml:space="preserve">Corporations </w:t>
      </w:r>
      <w:r w:rsidR="00974592">
        <w:rPr>
          <w:b/>
          <w:lang w:eastAsia="en-AU"/>
        </w:rPr>
        <w:t>Act</w:t>
      </w:r>
      <w:r w:rsidR="00974592">
        <w:rPr>
          <w:lang w:eastAsia="en-AU"/>
        </w:rPr>
        <w:t>’)</w:t>
      </w:r>
      <w:r w:rsidR="00F829C3">
        <w:rPr>
          <w:lang w:eastAsia="en-AU"/>
        </w:rPr>
        <w:t>.</w:t>
      </w:r>
    </w:p>
    <w:p w:rsidR="003F7C8F" w:rsidRDefault="00704EB5" w:rsidP="0062777D">
      <w:pPr>
        <w:pStyle w:val="ParaNumbering"/>
        <w:rPr>
          <w:lang w:eastAsia="en-AU"/>
        </w:rPr>
      </w:pPr>
      <w:r>
        <w:rPr>
          <w:lang w:eastAsia="en-AU"/>
        </w:rPr>
        <w:t xml:space="preserve">The </w:t>
      </w:r>
      <w:r w:rsidR="00CE5058">
        <w:rPr>
          <w:lang w:eastAsia="en-AU"/>
        </w:rPr>
        <w:t>Company made the P</w:t>
      </w:r>
      <w:r>
        <w:rPr>
          <w:lang w:eastAsia="en-AU"/>
        </w:rPr>
        <w:t xml:space="preserve">ayments </w:t>
      </w:r>
      <w:r w:rsidR="00CE5058">
        <w:rPr>
          <w:lang w:eastAsia="en-AU"/>
        </w:rPr>
        <w:t>to the DCT while the C</w:t>
      </w:r>
      <w:r w:rsidR="005D75B4">
        <w:rPr>
          <w:lang w:eastAsia="en-AU"/>
        </w:rPr>
        <w:t>ompany was the subject of the</w:t>
      </w:r>
      <w:r>
        <w:rPr>
          <w:lang w:eastAsia="en-AU"/>
        </w:rPr>
        <w:t xml:space="preserve"> </w:t>
      </w:r>
      <w:r w:rsidR="005D75B4">
        <w:rPr>
          <w:lang w:eastAsia="en-AU"/>
        </w:rPr>
        <w:t>DOCA.</w:t>
      </w:r>
      <w:r w:rsidR="00F829C3">
        <w:rPr>
          <w:lang w:eastAsia="en-AU"/>
        </w:rPr>
        <w:t xml:space="preserve"> </w:t>
      </w:r>
    </w:p>
    <w:p w:rsidR="00974592" w:rsidRDefault="00974592" w:rsidP="00974592">
      <w:pPr>
        <w:pStyle w:val="ParaNumbering"/>
        <w:rPr>
          <w:lang w:eastAsia="en-AU"/>
        </w:rPr>
      </w:pPr>
      <w:r>
        <w:rPr>
          <w:lang w:eastAsia="en-AU"/>
        </w:rPr>
        <w:t xml:space="preserve">The </w:t>
      </w:r>
      <w:r w:rsidR="00A965F4">
        <w:rPr>
          <w:lang w:eastAsia="en-AU"/>
        </w:rPr>
        <w:t>only</w:t>
      </w:r>
      <w:r w:rsidR="00CE5058">
        <w:rPr>
          <w:lang w:eastAsia="en-AU"/>
        </w:rPr>
        <w:t xml:space="preserve"> issue </w:t>
      </w:r>
      <w:r w:rsidR="00E71EFE">
        <w:rPr>
          <w:lang w:eastAsia="en-AU"/>
        </w:rPr>
        <w:t>in this proceeding is</w:t>
      </w:r>
      <w:r>
        <w:rPr>
          <w:lang w:eastAsia="en-AU"/>
        </w:rPr>
        <w:t xml:space="preserve"> whether the requirements of s</w:t>
      </w:r>
      <w:r w:rsidR="00CE1DFB">
        <w:rPr>
          <w:lang w:eastAsia="en-AU"/>
        </w:rPr>
        <w:t>ub-s</w:t>
      </w:r>
      <w:r>
        <w:rPr>
          <w:lang w:eastAsia="en-AU"/>
        </w:rPr>
        <w:t xml:space="preserve"> 588FE(2B)(d) of the </w:t>
      </w:r>
      <w:r w:rsidR="00E71EFE">
        <w:rPr>
          <w:lang w:eastAsia="en-AU"/>
        </w:rPr>
        <w:t>Corporations Act have</w:t>
      </w:r>
      <w:r>
        <w:rPr>
          <w:lang w:eastAsia="en-AU"/>
        </w:rPr>
        <w:t xml:space="preserve"> been satisfied</w:t>
      </w:r>
      <w:r w:rsidR="0074404F">
        <w:rPr>
          <w:lang w:eastAsia="en-AU"/>
        </w:rPr>
        <w:t xml:space="preserve">; in particular whether the Payments were made </w:t>
      </w:r>
      <w:r w:rsidR="00471C1A">
        <w:rPr>
          <w:lang w:eastAsia="en-AU"/>
        </w:rPr>
        <w:t xml:space="preserve">on behalf of the Company </w:t>
      </w:r>
      <w:r w:rsidR="008C556C">
        <w:rPr>
          <w:lang w:eastAsia="en-AU"/>
        </w:rPr>
        <w:t>‘</w:t>
      </w:r>
      <w:r w:rsidR="0074404F">
        <w:rPr>
          <w:lang w:eastAsia="en-AU"/>
        </w:rPr>
        <w:t>under the authority of</w:t>
      </w:r>
      <w:r w:rsidR="008C556C">
        <w:rPr>
          <w:lang w:eastAsia="en-AU"/>
        </w:rPr>
        <w:t>’</w:t>
      </w:r>
      <w:r w:rsidR="0074404F">
        <w:rPr>
          <w:lang w:eastAsia="en-AU"/>
        </w:rPr>
        <w:t xml:space="preserve"> the Deed Administrators</w:t>
      </w:r>
      <w:r>
        <w:rPr>
          <w:lang w:eastAsia="en-AU"/>
        </w:rPr>
        <w:t xml:space="preserve">.   </w:t>
      </w:r>
    </w:p>
    <w:p w:rsidR="003F7C8F" w:rsidRDefault="003F7C8F" w:rsidP="00FD24F6">
      <w:pPr>
        <w:pStyle w:val="ParaNumbering"/>
        <w:rPr>
          <w:lang w:eastAsia="en-AU"/>
        </w:rPr>
      </w:pPr>
      <w:r>
        <w:rPr>
          <w:lang w:eastAsia="en-AU"/>
        </w:rPr>
        <w:t xml:space="preserve">The </w:t>
      </w:r>
      <w:r w:rsidR="003A4566">
        <w:rPr>
          <w:lang w:eastAsia="en-AU"/>
        </w:rPr>
        <w:t>A</w:t>
      </w:r>
      <w:r w:rsidR="00B44817">
        <w:rPr>
          <w:lang w:eastAsia="en-AU"/>
        </w:rPr>
        <w:t xml:space="preserve">pplicants’ argument </w:t>
      </w:r>
      <w:r w:rsidR="003A4566">
        <w:rPr>
          <w:lang w:eastAsia="en-AU"/>
        </w:rPr>
        <w:t>can be summarised</w:t>
      </w:r>
      <w:r>
        <w:rPr>
          <w:lang w:eastAsia="en-AU"/>
        </w:rPr>
        <w:t xml:space="preserve"> as follows:</w:t>
      </w:r>
    </w:p>
    <w:p w:rsidR="0062777D" w:rsidRDefault="006F1984" w:rsidP="00342626">
      <w:pPr>
        <w:pStyle w:val="ListNo1"/>
        <w:numPr>
          <w:ilvl w:val="0"/>
          <w:numId w:val="21"/>
        </w:numPr>
        <w:rPr>
          <w:lang w:eastAsia="en-AU"/>
        </w:rPr>
      </w:pPr>
      <w:r>
        <w:rPr>
          <w:lang w:eastAsia="en-AU"/>
        </w:rPr>
        <w:t>Mario</w:t>
      </w:r>
      <w:r w:rsidR="0087102D">
        <w:rPr>
          <w:lang w:eastAsia="en-AU"/>
        </w:rPr>
        <w:t xml:space="preserve">n </w:t>
      </w:r>
      <w:proofErr w:type="spellStart"/>
      <w:r w:rsidR="0087102D">
        <w:rPr>
          <w:lang w:eastAsia="en-AU"/>
        </w:rPr>
        <w:t>Posadowski</w:t>
      </w:r>
      <w:proofErr w:type="spellEnd"/>
      <w:r w:rsidR="0087102D">
        <w:rPr>
          <w:lang w:eastAsia="en-AU"/>
        </w:rPr>
        <w:t xml:space="preserve">, </w:t>
      </w:r>
      <w:r w:rsidR="003F7C8F">
        <w:rPr>
          <w:lang w:eastAsia="en-AU"/>
        </w:rPr>
        <w:t xml:space="preserve">the </w:t>
      </w:r>
      <w:r w:rsidR="00261927">
        <w:rPr>
          <w:lang w:eastAsia="en-AU"/>
        </w:rPr>
        <w:t xml:space="preserve">sole </w:t>
      </w:r>
      <w:r w:rsidR="003F7C8F">
        <w:rPr>
          <w:lang w:eastAsia="en-AU"/>
        </w:rPr>
        <w:t>director</w:t>
      </w:r>
      <w:r w:rsidR="0087102D">
        <w:rPr>
          <w:lang w:eastAsia="en-AU"/>
        </w:rPr>
        <w:t xml:space="preserve"> of the Company </w:t>
      </w:r>
      <w:r w:rsidR="003A4566">
        <w:rPr>
          <w:lang w:eastAsia="en-AU"/>
        </w:rPr>
        <w:t>(the ‘</w:t>
      </w:r>
      <w:r w:rsidR="003A4566">
        <w:rPr>
          <w:b/>
          <w:lang w:eastAsia="en-AU"/>
        </w:rPr>
        <w:t>Director</w:t>
      </w:r>
      <w:r w:rsidR="003A4566">
        <w:rPr>
          <w:lang w:eastAsia="en-AU"/>
        </w:rPr>
        <w:t>’)</w:t>
      </w:r>
      <w:r w:rsidR="0087102D">
        <w:rPr>
          <w:lang w:eastAsia="en-AU"/>
        </w:rPr>
        <w:t>,</w:t>
      </w:r>
      <w:r w:rsidR="003F7C8F">
        <w:rPr>
          <w:lang w:eastAsia="en-AU"/>
        </w:rPr>
        <w:t xml:space="preserve"> made each</w:t>
      </w:r>
      <w:r w:rsidR="000279C1">
        <w:rPr>
          <w:lang w:eastAsia="en-AU"/>
        </w:rPr>
        <w:t xml:space="preserve"> of the P</w:t>
      </w:r>
      <w:r w:rsidR="001A367E">
        <w:rPr>
          <w:lang w:eastAsia="en-AU"/>
        </w:rPr>
        <w:t>ayments pursuant to his</w:t>
      </w:r>
      <w:r w:rsidR="003F7C8F">
        <w:rPr>
          <w:lang w:eastAsia="en-AU"/>
        </w:rPr>
        <w:t xml:space="preserve"> authority to do so</w:t>
      </w:r>
      <w:r w:rsidR="0062777D">
        <w:rPr>
          <w:lang w:eastAsia="en-AU"/>
        </w:rPr>
        <w:t xml:space="preserve"> </w:t>
      </w:r>
      <w:r w:rsidR="000279C1">
        <w:rPr>
          <w:lang w:eastAsia="en-AU"/>
        </w:rPr>
        <w:t>as a director of the C</w:t>
      </w:r>
      <w:r w:rsidR="003F7C8F">
        <w:rPr>
          <w:lang w:eastAsia="en-AU"/>
        </w:rPr>
        <w:t>ompany, such authority being derived from the</w:t>
      </w:r>
      <w:r w:rsidR="0062777D">
        <w:rPr>
          <w:lang w:eastAsia="en-AU"/>
        </w:rPr>
        <w:t xml:space="preserve"> </w:t>
      </w:r>
      <w:r w:rsidR="000279C1">
        <w:rPr>
          <w:lang w:eastAsia="en-AU"/>
        </w:rPr>
        <w:t>C</w:t>
      </w:r>
      <w:r w:rsidR="003F7C8F">
        <w:rPr>
          <w:lang w:eastAsia="en-AU"/>
        </w:rPr>
        <w:t xml:space="preserve">ompany’s constitution and the </w:t>
      </w:r>
      <w:r w:rsidR="000279C1">
        <w:rPr>
          <w:lang w:eastAsia="en-AU"/>
        </w:rPr>
        <w:t xml:space="preserve">Corporations </w:t>
      </w:r>
      <w:r w:rsidR="003F7C8F">
        <w:rPr>
          <w:lang w:eastAsia="en-AU"/>
        </w:rPr>
        <w:t>Act;</w:t>
      </w:r>
    </w:p>
    <w:p w:rsidR="0062777D" w:rsidRDefault="00655706" w:rsidP="00342626">
      <w:pPr>
        <w:pStyle w:val="ListNo1"/>
        <w:numPr>
          <w:ilvl w:val="0"/>
          <w:numId w:val="21"/>
        </w:numPr>
        <w:rPr>
          <w:lang w:eastAsia="en-AU"/>
        </w:rPr>
      </w:pPr>
      <w:r>
        <w:rPr>
          <w:lang w:eastAsia="en-AU"/>
        </w:rPr>
        <w:t>the DOCA</w:t>
      </w:r>
      <w:r w:rsidR="000B77DE">
        <w:rPr>
          <w:lang w:eastAsia="en-AU"/>
        </w:rPr>
        <w:t xml:space="preserve"> did not give the Deed A</w:t>
      </w:r>
      <w:r w:rsidR="003F7C8F">
        <w:rPr>
          <w:lang w:eastAsia="en-AU"/>
        </w:rPr>
        <w:t>dministrators the authority to make the</w:t>
      </w:r>
      <w:r w:rsidR="0062777D">
        <w:rPr>
          <w:lang w:eastAsia="en-AU"/>
        </w:rPr>
        <w:t xml:space="preserve"> </w:t>
      </w:r>
      <w:r w:rsidR="000B77DE">
        <w:rPr>
          <w:lang w:eastAsia="en-AU"/>
        </w:rPr>
        <w:t>P</w:t>
      </w:r>
      <w:r w:rsidR="003F7C8F">
        <w:rPr>
          <w:lang w:eastAsia="en-AU"/>
        </w:rPr>
        <w:t xml:space="preserve">ayments and they were not made </w:t>
      </w:r>
      <w:r w:rsidR="009316A2">
        <w:rPr>
          <w:lang w:eastAsia="en-AU"/>
        </w:rPr>
        <w:t>‘</w:t>
      </w:r>
      <w:r w:rsidR="003F7C8F">
        <w:rPr>
          <w:lang w:eastAsia="en-AU"/>
        </w:rPr>
        <w:t>by</w:t>
      </w:r>
      <w:r w:rsidR="009316A2">
        <w:rPr>
          <w:lang w:eastAsia="en-AU"/>
        </w:rPr>
        <w:t>,</w:t>
      </w:r>
      <w:r w:rsidR="000B77DE">
        <w:rPr>
          <w:lang w:eastAsia="en-AU"/>
        </w:rPr>
        <w:t xml:space="preserve"> or under the authority of</w:t>
      </w:r>
      <w:r w:rsidR="009316A2">
        <w:rPr>
          <w:lang w:eastAsia="en-AU"/>
        </w:rPr>
        <w:t>’</w:t>
      </w:r>
      <w:r w:rsidR="000B77DE">
        <w:rPr>
          <w:lang w:eastAsia="en-AU"/>
        </w:rPr>
        <w:t xml:space="preserve"> the D</w:t>
      </w:r>
      <w:r w:rsidR="003F7C8F">
        <w:rPr>
          <w:lang w:eastAsia="en-AU"/>
        </w:rPr>
        <w:t>eed</w:t>
      </w:r>
      <w:r w:rsidR="0062777D">
        <w:rPr>
          <w:lang w:eastAsia="en-AU"/>
        </w:rPr>
        <w:t xml:space="preserve"> </w:t>
      </w:r>
      <w:r w:rsidR="000B77DE">
        <w:rPr>
          <w:lang w:eastAsia="en-AU"/>
        </w:rPr>
        <w:t>A</w:t>
      </w:r>
      <w:r w:rsidR="003F7C8F">
        <w:rPr>
          <w:lang w:eastAsia="en-AU"/>
        </w:rPr>
        <w:t>dministrators;</w:t>
      </w:r>
    </w:p>
    <w:p w:rsidR="0062777D" w:rsidRDefault="003F7C8F" w:rsidP="00342626">
      <w:pPr>
        <w:pStyle w:val="ListNo1"/>
        <w:numPr>
          <w:ilvl w:val="0"/>
          <w:numId w:val="21"/>
        </w:numPr>
        <w:rPr>
          <w:lang w:eastAsia="en-AU"/>
        </w:rPr>
      </w:pPr>
      <w:r>
        <w:rPr>
          <w:lang w:eastAsia="en-AU"/>
        </w:rPr>
        <w:t xml:space="preserve">to the extent </w:t>
      </w:r>
      <w:r w:rsidR="00693EB9">
        <w:rPr>
          <w:lang w:eastAsia="en-AU"/>
        </w:rPr>
        <w:t xml:space="preserve">that </w:t>
      </w:r>
      <w:r>
        <w:rPr>
          <w:lang w:eastAsia="en-AU"/>
        </w:rPr>
        <w:t>there is</w:t>
      </w:r>
      <w:r w:rsidR="00693EB9">
        <w:rPr>
          <w:lang w:eastAsia="en-AU"/>
        </w:rPr>
        <w:t xml:space="preserve"> a</w:t>
      </w:r>
      <w:r>
        <w:rPr>
          <w:lang w:eastAsia="en-AU"/>
        </w:rPr>
        <w:t xml:space="preserve"> dispute as to the meaning of s</w:t>
      </w:r>
      <w:r w:rsidR="00CE1DFB">
        <w:rPr>
          <w:lang w:eastAsia="en-AU"/>
        </w:rPr>
        <w:t>ub-s</w:t>
      </w:r>
      <w:r>
        <w:rPr>
          <w:lang w:eastAsia="en-AU"/>
        </w:rPr>
        <w:t xml:space="preserve"> 588FE(2B)(d), and in</w:t>
      </w:r>
      <w:r w:rsidR="0062777D">
        <w:rPr>
          <w:lang w:eastAsia="en-AU"/>
        </w:rPr>
        <w:t xml:space="preserve"> </w:t>
      </w:r>
      <w:r>
        <w:rPr>
          <w:lang w:eastAsia="en-AU"/>
        </w:rPr>
        <w:t xml:space="preserve">particular the meaning of </w:t>
      </w:r>
      <w:r w:rsidR="000863FD">
        <w:rPr>
          <w:iCs/>
          <w:lang w:eastAsia="en-AU"/>
        </w:rPr>
        <w:t>‘</w:t>
      </w:r>
      <w:r w:rsidR="00693EB9">
        <w:rPr>
          <w:iCs/>
          <w:lang w:eastAsia="en-AU"/>
        </w:rPr>
        <w:t xml:space="preserve">by, or </w:t>
      </w:r>
      <w:r w:rsidR="000863FD">
        <w:rPr>
          <w:iCs/>
          <w:lang w:eastAsia="en-AU"/>
        </w:rPr>
        <w:t>under the authority of’</w:t>
      </w:r>
      <w:r>
        <w:rPr>
          <w:lang w:eastAsia="en-AU"/>
        </w:rPr>
        <w:t>, the wording of the</w:t>
      </w:r>
      <w:r w:rsidR="0062777D">
        <w:rPr>
          <w:lang w:eastAsia="en-AU"/>
        </w:rPr>
        <w:t xml:space="preserve"> </w:t>
      </w:r>
      <w:r w:rsidR="000863FD">
        <w:rPr>
          <w:lang w:eastAsia="en-AU"/>
        </w:rPr>
        <w:t xml:space="preserve">sub-section </w:t>
      </w:r>
      <w:r w:rsidR="000863FD">
        <w:rPr>
          <w:lang w:eastAsia="en-AU"/>
        </w:rPr>
        <w:lastRenderedPageBreak/>
        <w:t>is plain.</w:t>
      </w:r>
      <w:r>
        <w:rPr>
          <w:lang w:eastAsia="en-AU"/>
        </w:rPr>
        <w:t xml:space="preserve"> </w:t>
      </w:r>
      <w:r w:rsidR="000863FD">
        <w:rPr>
          <w:lang w:eastAsia="en-AU"/>
        </w:rPr>
        <w:t xml:space="preserve"> A</w:t>
      </w:r>
      <w:r>
        <w:rPr>
          <w:lang w:eastAsia="en-AU"/>
        </w:rPr>
        <w:t>lternatively, extrinsic material confirms that the sub</w:t>
      </w:r>
      <w:r w:rsidR="000863FD">
        <w:rPr>
          <w:lang w:eastAsia="en-AU"/>
        </w:rPr>
        <w:t>-</w:t>
      </w:r>
      <w:r>
        <w:rPr>
          <w:lang w:eastAsia="en-AU"/>
        </w:rPr>
        <w:t>section</w:t>
      </w:r>
      <w:r w:rsidR="0062777D">
        <w:rPr>
          <w:lang w:eastAsia="en-AU"/>
        </w:rPr>
        <w:t xml:space="preserve"> </w:t>
      </w:r>
      <w:r>
        <w:rPr>
          <w:lang w:eastAsia="en-AU"/>
        </w:rPr>
        <w:t xml:space="preserve">is intended to </w:t>
      </w:r>
      <w:r w:rsidR="002A67AF">
        <w:rPr>
          <w:lang w:eastAsia="en-AU"/>
        </w:rPr>
        <w:t>apply in circumstances where the</w:t>
      </w:r>
      <w:r>
        <w:rPr>
          <w:lang w:eastAsia="en-AU"/>
        </w:rPr>
        <w:t xml:space="preserve"> c</w:t>
      </w:r>
      <w:r w:rsidR="002A67AF">
        <w:rPr>
          <w:lang w:eastAsia="en-AU"/>
        </w:rPr>
        <w:t>ontrol of a c</w:t>
      </w:r>
      <w:r w:rsidR="000863FD">
        <w:rPr>
          <w:lang w:eastAsia="en-AU"/>
        </w:rPr>
        <w:t xml:space="preserve">ompany under </w:t>
      </w:r>
      <w:r w:rsidR="008C556C">
        <w:rPr>
          <w:lang w:eastAsia="en-AU"/>
        </w:rPr>
        <w:t>deed of company arrangement</w:t>
      </w:r>
      <w:r w:rsidR="0062777D">
        <w:rPr>
          <w:lang w:eastAsia="en-AU"/>
        </w:rPr>
        <w:t xml:space="preserve"> </w:t>
      </w:r>
      <w:r w:rsidR="002A67AF">
        <w:rPr>
          <w:lang w:eastAsia="en-AU"/>
        </w:rPr>
        <w:t>is returned to the director</w:t>
      </w:r>
      <w:r>
        <w:rPr>
          <w:lang w:eastAsia="en-AU"/>
        </w:rPr>
        <w:t>;</w:t>
      </w:r>
    </w:p>
    <w:p w:rsidR="0062777D" w:rsidRDefault="002C215E" w:rsidP="00342626">
      <w:pPr>
        <w:pStyle w:val="ListNo1"/>
        <w:numPr>
          <w:ilvl w:val="0"/>
          <w:numId w:val="21"/>
        </w:numPr>
        <w:rPr>
          <w:lang w:eastAsia="en-AU"/>
        </w:rPr>
      </w:pPr>
      <w:r>
        <w:rPr>
          <w:lang w:eastAsia="en-AU"/>
        </w:rPr>
        <w:t>a covenant by the Company contained in the D</w:t>
      </w:r>
      <w:r w:rsidR="004A26BD">
        <w:rPr>
          <w:lang w:eastAsia="en-AU"/>
        </w:rPr>
        <w:t>OCA</w:t>
      </w:r>
      <w:r w:rsidR="003F7C8F">
        <w:rPr>
          <w:lang w:eastAsia="en-AU"/>
        </w:rPr>
        <w:t xml:space="preserve"> which required the</w:t>
      </w:r>
      <w:r w:rsidR="0062777D">
        <w:rPr>
          <w:lang w:eastAsia="en-AU"/>
        </w:rPr>
        <w:t xml:space="preserve"> </w:t>
      </w:r>
      <w:r w:rsidR="004A26BD">
        <w:rPr>
          <w:lang w:eastAsia="en-AU"/>
        </w:rPr>
        <w:t>Co</w:t>
      </w:r>
      <w:r w:rsidR="003F7C8F">
        <w:rPr>
          <w:lang w:eastAsia="en-AU"/>
        </w:rPr>
        <w:t>mpany to comply with its taxation obl</w:t>
      </w:r>
      <w:r w:rsidR="008C556C">
        <w:rPr>
          <w:lang w:eastAsia="en-AU"/>
        </w:rPr>
        <w:t>igations did not mean that the P</w:t>
      </w:r>
      <w:r w:rsidR="003F7C8F">
        <w:rPr>
          <w:lang w:eastAsia="en-AU"/>
        </w:rPr>
        <w:t xml:space="preserve">ayments were made </w:t>
      </w:r>
      <w:r w:rsidR="000863FD">
        <w:rPr>
          <w:lang w:eastAsia="en-AU"/>
        </w:rPr>
        <w:t>‘</w:t>
      </w:r>
      <w:r>
        <w:rPr>
          <w:lang w:eastAsia="en-AU"/>
        </w:rPr>
        <w:t xml:space="preserve">by, or </w:t>
      </w:r>
      <w:r w:rsidR="003F7C8F" w:rsidRPr="000863FD">
        <w:rPr>
          <w:iCs/>
          <w:lang w:eastAsia="en-AU"/>
        </w:rPr>
        <w:t>under the authority of</w:t>
      </w:r>
      <w:r w:rsidR="000863FD">
        <w:rPr>
          <w:lang w:eastAsia="en-AU"/>
        </w:rPr>
        <w:t>’</w:t>
      </w:r>
      <w:r>
        <w:rPr>
          <w:lang w:eastAsia="en-AU"/>
        </w:rPr>
        <w:t xml:space="preserve"> the Deed A</w:t>
      </w:r>
      <w:r w:rsidR="003F7C8F">
        <w:rPr>
          <w:lang w:eastAsia="en-AU"/>
        </w:rPr>
        <w:t xml:space="preserve">dministrators </w:t>
      </w:r>
      <w:r w:rsidR="003F7C8F" w:rsidRPr="000863FD">
        <w:rPr>
          <w:szCs w:val="24"/>
          <w:lang w:eastAsia="en-AU"/>
        </w:rPr>
        <w:t>(</w:t>
      </w:r>
      <w:r w:rsidR="000863FD">
        <w:rPr>
          <w:szCs w:val="24"/>
          <w:lang w:eastAsia="en-AU"/>
        </w:rPr>
        <w:t>n</w:t>
      </w:r>
      <w:r w:rsidR="003F7C8F" w:rsidRPr="000863FD">
        <w:rPr>
          <w:szCs w:val="24"/>
          <w:lang w:eastAsia="en-AU"/>
        </w:rPr>
        <w:t xml:space="preserve">oting that the </w:t>
      </w:r>
      <w:r w:rsidR="001B4149">
        <w:rPr>
          <w:szCs w:val="24"/>
          <w:lang w:eastAsia="en-AU"/>
        </w:rPr>
        <w:t>Deed A</w:t>
      </w:r>
      <w:r w:rsidR="003F7C8F" w:rsidRPr="000863FD">
        <w:rPr>
          <w:szCs w:val="24"/>
          <w:lang w:eastAsia="en-AU"/>
        </w:rPr>
        <w:t>dministrator</w:t>
      </w:r>
      <w:r w:rsidR="001B4149">
        <w:rPr>
          <w:szCs w:val="24"/>
          <w:lang w:eastAsia="en-AU"/>
        </w:rPr>
        <w:t xml:space="preserve">s executed </w:t>
      </w:r>
      <w:r w:rsidR="005F6A8E">
        <w:rPr>
          <w:szCs w:val="24"/>
          <w:lang w:eastAsia="en-AU"/>
        </w:rPr>
        <w:t>the D</w:t>
      </w:r>
      <w:r w:rsidR="005F6A8E">
        <w:rPr>
          <w:szCs w:val="24"/>
          <w:lang w:eastAsia="en-AU"/>
        </w:rPr>
        <w:tab/>
        <w:t>OCA</w:t>
      </w:r>
      <w:r w:rsidR="001B4149">
        <w:rPr>
          <w:szCs w:val="24"/>
          <w:lang w:eastAsia="en-AU"/>
        </w:rPr>
        <w:t xml:space="preserve"> on behalf of the C</w:t>
      </w:r>
      <w:r w:rsidR="003F7C8F" w:rsidRPr="000863FD">
        <w:rPr>
          <w:szCs w:val="24"/>
          <w:lang w:eastAsia="en-AU"/>
        </w:rPr>
        <w:t>ompany)</w:t>
      </w:r>
      <w:r w:rsidR="003F7C8F">
        <w:rPr>
          <w:lang w:eastAsia="en-AU"/>
        </w:rPr>
        <w:t>;</w:t>
      </w:r>
      <w:r w:rsidR="0062777D">
        <w:rPr>
          <w:lang w:eastAsia="en-AU"/>
        </w:rPr>
        <w:t xml:space="preserve"> </w:t>
      </w:r>
      <w:r w:rsidR="000863FD">
        <w:rPr>
          <w:lang w:eastAsia="en-AU"/>
        </w:rPr>
        <w:t>and</w:t>
      </w:r>
    </w:p>
    <w:p w:rsidR="003F7C8F" w:rsidRDefault="005F6A8E" w:rsidP="00342626">
      <w:pPr>
        <w:pStyle w:val="ListNo1"/>
        <w:numPr>
          <w:ilvl w:val="0"/>
          <w:numId w:val="21"/>
        </w:numPr>
        <w:rPr>
          <w:lang w:eastAsia="en-AU"/>
        </w:rPr>
      </w:pPr>
      <w:r>
        <w:rPr>
          <w:lang w:eastAsia="en-AU"/>
        </w:rPr>
        <w:t>as to</w:t>
      </w:r>
      <w:r w:rsidR="003F7C8F">
        <w:rPr>
          <w:lang w:eastAsia="en-AU"/>
        </w:rPr>
        <w:t xml:space="preserve"> the covenant</w:t>
      </w:r>
      <w:r>
        <w:rPr>
          <w:lang w:eastAsia="en-AU"/>
        </w:rPr>
        <w:t xml:space="preserve"> referred to</w:t>
      </w:r>
      <w:r w:rsidR="001B4149">
        <w:rPr>
          <w:lang w:eastAsia="en-AU"/>
        </w:rPr>
        <w:t xml:space="preserve"> in (4)</w:t>
      </w:r>
      <w:r>
        <w:rPr>
          <w:lang w:eastAsia="en-AU"/>
        </w:rPr>
        <w:t xml:space="preserve">, </w:t>
      </w:r>
      <w:r w:rsidR="003F7C8F">
        <w:rPr>
          <w:lang w:eastAsia="en-AU"/>
        </w:rPr>
        <w:t xml:space="preserve">the authority to make the promise </w:t>
      </w:r>
      <w:r w:rsidR="00B6257D">
        <w:rPr>
          <w:lang w:eastAsia="en-AU"/>
        </w:rPr>
        <w:t>is to</w:t>
      </w:r>
      <w:r w:rsidR="003F7C8F">
        <w:rPr>
          <w:lang w:eastAsia="en-AU"/>
        </w:rPr>
        <w:t xml:space="preserve"> be distinguished from the</w:t>
      </w:r>
      <w:r w:rsidR="0062777D">
        <w:rPr>
          <w:lang w:eastAsia="en-AU"/>
        </w:rPr>
        <w:t xml:space="preserve"> </w:t>
      </w:r>
      <w:r w:rsidR="003F7C8F">
        <w:rPr>
          <w:lang w:eastAsia="en-AU"/>
        </w:rPr>
        <w:t>authority to make good on the promise.</w:t>
      </w:r>
    </w:p>
    <w:p w:rsidR="005C0CF1" w:rsidRDefault="005C0CF1" w:rsidP="005C0CF1">
      <w:pPr>
        <w:pStyle w:val="ParaNumbering"/>
        <w:rPr>
          <w:lang w:eastAsia="en-AU"/>
        </w:rPr>
      </w:pPr>
      <w:r>
        <w:rPr>
          <w:lang w:eastAsia="en-AU"/>
        </w:rPr>
        <w:t xml:space="preserve">The </w:t>
      </w:r>
      <w:r w:rsidR="00853624">
        <w:rPr>
          <w:lang w:eastAsia="en-AU"/>
        </w:rPr>
        <w:t>DCT</w:t>
      </w:r>
      <w:r w:rsidR="002716DD">
        <w:rPr>
          <w:lang w:eastAsia="en-AU"/>
        </w:rPr>
        <w:t xml:space="preserve"> </w:t>
      </w:r>
      <w:r w:rsidR="00613A25">
        <w:rPr>
          <w:lang w:eastAsia="en-AU"/>
        </w:rPr>
        <w:t>contends</w:t>
      </w:r>
      <w:r w:rsidR="002716DD">
        <w:rPr>
          <w:lang w:eastAsia="en-AU"/>
        </w:rPr>
        <w:t xml:space="preserve"> that the Applicant</w:t>
      </w:r>
      <w:r w:rsidR="00613A25">
        <w:rPr>
          <w:lang w:eastAsia="en-AU"/>
        </w:rPr>
        <w:t>s’ claim should fail on the basis that the P</w:t>
      </w:r>
      <w:r>
        <w:rPr>
          <w:lang w:eastAsia="en-AU"/>
        </w:rPr>
        <w:t xml:space="preserve">ayments were made ‘by, </w:t>
      </w:r>
      <w:r w:rsidR="002716DD">
        <w:rPr>
          <w:lang w:eastAsia="en-AU"/>
        </w:rPr>
        <w:t>or under the authority’ of the Deed A</w:t>
      </w:r>
      <w:r>
        <w:rPr>
          <w:lang w:eastAsia="en-AU"/>
        </w:rPr>
        <w:t>dministrators within the meaning of s</w:t>
      </w:r>
      <w:r w:rsidR="00CE1DFB">
        <w:rPr>
          <w:lang w:eastAsia="en-AU"/>
        </w:rPr>
        <w:t>ub-s</w:t>
      </w:r>
      <w:r w:rsidR="00F23FDC">
        <w:rPr>
          <w:lang w:eastAsia="en-AU"/>
        </w:rPr>
        <w:t> </w:t>
      </w:r>
      <w:r>
        <w:rPr>
          <w:lang w:eastAsia="en-AU"/>
        </w:rPr>
        <w:t xml:space="preserve">588FE(2B)(d).  </w:t>
      </w:r>
      <w:r w:rsidR="00613A25">
        <w:rPr>
          <w:lang w:eastAsia="en-AU"/>
        </w:rPr>
        <w:t>As a result of this contention, i</w:t>
      </w:r>
      <w:r>
        <w:rPr>
          <w:lang w:eastAsia="en-AU"/>
        </w:rPr>
        <w:t xml:space="preserve">t was </w:t>
      </w:r>
      <w:r w:rsidR="00613A25">
        <w:rPr>
          <w:lang w:eastAsia="en-AU"/>
        </w:rPr>
        <w:t>submitted that the Payments a</w:t>
      </w:r>
      <w:r>
        <w:rPr>
          <w:lang w:eastAsia="en-AU"/>
        </w:rPr>
        <w:t>re not unfair preferences</w:t>
      </w:r>
      <w:r w:rsidR="00613A25">
        <w:rPr>
          <w:lang w:eastAsia="en-AU"/>
        </w:rPr>
        <w:t xml:space="preserve"> and therefore are not voidable</w:t>
      </w:r>
      <w:r>
        <w:rPr>
          <w:lang w:eastAsia="en-AU"/>
        </w:rPr>
        <w:t>.</w:t>
      </w:r>
      <w:r w:rsidR="003F3B0F">
        <w:rPr>
          <w:lang w:eastAsia="en-AU"/>
        </w:rPr>
        <w:t xml:space="preserve">  </w:t>
      </w:r>
    </w:p>
    <w:p w:rsidR="00DC4F49" w:rsidRPr="00DC4F49" w:rsidRDefault="00DC4F49" w:rsidP="00DC4F49">
      <w:pPr>
        <w:pStyle w:val="ParaNumbering"/>
        <w:rPr>
          <w:szCs w:val="24"/>
          <w:lang w:eastAsia="en-AU"/>
        </w:rPr>
      </w:pPr>
      <w:r>
        <w:rPr>
          <w:lang w:eastAsia="en-AU"/>
        </w:rPr>
        <w:t xml:space="preserve">In </w:t>
      </w:r>
      <w:r w:rsidR="002716DD">
        <w:rPr>
          <w:szCs w:val="24"/>
          <w:lang w:eastAsia="en-AU"/>
        </w:rPr>
        <w:t>summary, the DCT</w:t>
      </w:r>
      <w:r w:rsidRPr="00DC4F49">
        <w:rPr>
          <w:szCs w:val="24"/>
          <w:lang w:eastAsia="en-AU"/>
        </w:rPr>
        <w:t xml:space="preserve">’s argument </w:t>
      </w:r>
      <w:r w:rsidR="002716DD">
        <w:rPr>
          <w:szCs w:val="24"/>
          <w:lang w:eastAsia="en-AU"/>
        </w:rPr>
        <w:t>can be summarised</w:t>
      </w:r>
      <w:r w:rsidRPr="00DC4F49">
        <w:rPr>
          <w:szCs w:val="24"/>
          <w:lang w:eastAsia="en-AU"/>
        </w:rPr>
        <w:t xml:space="preserve"> as follows:</w:t>
      </w:r>
    </w:p>
    <w:p w:rsidR="00DC4F49" w:rsidRPr="00DC4F49" w:rsidRDefault="00DC4F49" w:rsidP="00342626">
      <w:pPr>
        <w:pStyle w:val="ListNo1"/>
        <w:numPr>
          <w:ilvl w:val="0"/>
          <w:numId w:val="27"/>
        </w:numPr>
        <w:rPr>
          <w:szCs w:val="24"/>
        </w:rPr>
      </w:pPr>
      <w:r w:rsidRPr="00DC4F49">
        <w:rPr>
          <w:szCs w:val="24"/>
          <w:lang w:eastAsia="en-AU"/>
        </w:rPr>
        <w:t xml:space="preserve">The </w:t>
      </w:r>
      <w:r w:rsidRPr="00DC4F49">
        <w:rPr>
          <w:szCs w:val="24"/>
        </w:rPr>
        <w:t xml:space="preserve">fact that the </w:t>
      </w:r>
      <w:r w:rsidR="00BD794A">
        <w:rPr>
          <w:szCs w:val="24"/>
        </w:rPr>
        <w:t>Deed A</w:t>
      </w:r>
      <w:r w:rsidRPr="00DC4F49">
        <w:rPr>
          <w:szCs w:val="24"/>
        </w:rPr>
        <w:t>dministrators did not</w:t>
      </w:r>
      <w:r w:rsidR="00173426">
        <w:rPr>
          <w:szCs w:val="24"/>
        </w:rPr>
        <w:t xml:space="preserve"> </w:t>
      </w:r>
      <w:r w:rsidR="00BF7648">
        <w:rPr>
          <w:szCs w:val="24"/>
        </w:rPr>
        <w:t>make the Payments, or</w:t>
      </w:r>
      <w:r w:rsidRPr="00DC4F49">
        <w:rPr>
          <w:szCs w:val="24"/>
        </w:rPr>
        <w:t xml:space="preserve"> did not </w:t>
      </w:r>
      <w:r w:rsidR="00BF7648">
        <w:rPr>
          <w:szCs w:val="24"/>
        </w:rPr>
        <w:t xml:space="preserve">otherwise cause the Payments to be made, </w:t>
      </w:r>
      <w:r w:rsidRPr="00DC4F49">
        <w:rPr>
          <w:szCs w:val="24"/>
        </w:rPr>
        <w:t xml:space="preserve">does not </w:t>
      </w:r>
      <w:r w:rsidR="00173426">
        <w:rPr>
          <w:szCs w:val="24"/>
        </w:rPr>
        <w:t xml:space="preserve">answer </w:t>
      </w:r>
      <w:r w:rsidRPr="00DC4F49">
        <w:rPr>
          <w:szCs w:val="24"/>
        </w:rPr>
        <w:t xml:space="preserve">the question of whether the relevant transactions were entered into, or done, on behalf of the Company </w:t>
      </w:r>
      <w:r w:rsidR="00173426">
        <w:rPr>
          <w:szCs w:val="24"/>
        </w:rPr>
        <w:t>‘</w:t>
      </w:r>
      <w:r w:rsidRPr="00DC4F49">
        <w:rPr>
          <w:szCs w:val="24"/>
        </w:rPr>
        <w:t>by, or under the authority of</w:t>
      </w:r>
      <w:r w:rsidR="00BF7648">
        <w:rPr>
          <w:szCs w:val="24"/>
        </w:rPr>
        <w:t xml:space="preserve">’ the </w:t>
      </w:r>
      <w:r w:rsidR="00173426">
        <w:rPr>
          <w:szCs w:val="24"/>
        </w:rPr>
        <w:t>Deed A</w:t>
      </w:r>
      <w:r w:rsidRPr="00DC4F49">
        <w:rPr>
          <w:szCs w:val="24"/>
        </w:rPr>
        <w:t>dministrators, within the meaning of s</w:t>
      </w:r>
      <w:r w:rsidR="00CE1DFB">
        <w:rPr>
          <w:szCs w:val="24"/>
        </w:rPr>
        <w:t>ub-s</w:t>
      </w:r>
      <w:r w:rsidRPr="00DC4F49">
        <w:rPr>
          <w:szCs w:val="24"/>
        </w:rPr>
        <w:t xml:space="preserve"> 588FE(2B)(d)(</w:t>
      </w:r>
      <w:proofErr w:type="spellStart"/>
      <w:r w:rsidRPr="00DC4F49">
        <w:rPr>
          <w:szCs w:val="24"/>
        </w:rPr>
        <w:t>i</w:t>
      </w:r>
      <w:proofErr w:type="spellEnd"/>
      <w:r w:rsidRPr="00DC4F49">
        <w:rPr>
          <w:szCs w:val="24"/>
        </w:rPr>
        <w:t xml:space="preserve">). </w:t>
      </w:r>
    </w:p>
    <w:p w:rsidR="00DC4F49" w:rsidRPr="00DC4F49" w:rsidRDefault="00DC4F49" w:rsidP="00342626">
      <w:pPr>
        <w:pStyle w:val="ListNo1"/>
        <w:numPr>
          <w:ilvl w:val="0"/>
          <w:numId w:val="27"/>
        </w:numPr>
        <w:rPr>
          <w:szCs w:val="24"/>
        </w:rPr>
      </w:pPr>
      <w:r w:rsidRPr="00DC4F49">
        <w:rPr>
          <w:szCs w:val="24"/>
        </w:rPr>
        <w:t xml:space="preserve">Rather, the following matters demonstrate that the Payments were made ‘by, or under the authority of’ </w:t>
      </w:r>
      <w:r w:rsidR="00D039F7">
        <w:rPr>
          <w:szCs w:val="24"/>
        </w:rPr>
        <w:t>the Deed Administrators</w:t>
      </w:r>
      <w:r w:rsidRPr="00DC4F49">
        <w:rPr>
          <w:szCs w:val="24"/>
        </w:rPr>
        <w:t xml:space="preserve"> as a matter of statutory construction: </w:t>
      </w:r>
    </w:p>
    <w:p w:rsidR="00DC4F49" w:rsidRPr="00DC4F49" w:rsidRDefault="00DC4F49" w:rsidP="00342626">
      <w:pPr>
        <w:pStyle w:val="ListNo2"/>
        <w:numPr>
          <w:ilvl w:val="1"/>
          <w:numId w:val="27"/>
        </w:numPr>
        <w:rPr>
          <w:szCs w:val="24"/>
        </w:rPr>
      </w:pPr>
      <w:r w:rsidRPr="00DC4F49">
        <w:rPr>
          <w:szCs w:val="24"/>
        </w:rPr>
        <w:t xml:space="preserve">The making of the Payments was specifically required to give effect to, and cause compliance with, the terms of the DOCA. </w:t>
      </w:r>
      <w:r w:rsidR="001B49E1">
        <w:rPr>
          <w:szCs w:val="24"/>
        </w:rPr>
        <w:t xml:space="preserve"> </w:t>
      </w:r>
      <w:r w:rsidRPr="00DC4F49">
        <w:rPr>
          <w:szCs w:val="24"/>
        </w:rPr>
        <w:t xml:space="preserve">Pursuant to cl 6.1(d) of the DOCA the Company (through Mr Yeo and Mr </w:t>
      </w:r>
      <w:proofErr w:type="spellStart"/>
      <w:r w:rsidRPr="00DC4F49">
        <w:rPr>
          <w:szCs w:val="24"/>
        </w:rPr>
        <w:t>Rambaldi</w:t>
      </w:r>
      <w:proofErr w:type="spellEnd"/>
      <w:r w:rsidRPr="00DC4F49">
        <w:rPr>
          <w:szCs w:val="24"/>
        </w:rPr>
        <w:t xml:space="preserve">) expressly covenanted to make the Payments, Mr Yeo and Mr </w:t>
      </w:r>
      <w:proofErr w:type="spellStart"/>
      <w:r w:rsidRPr="00DC4F49">
        <w:rPr>
          <w:szCs w:val="24"/>
        </w:rPr>
        <w:t>Rambaldi</w:t>
      </w:r>
      <w:proofErr w:type="spellEnd"/>
      <w:r w:rsidRPr="00DC4F49">
        <w:rPr>
          <w:szCs w:val="24"/>
        </w:rPr>
        <w:t xml:space="preserve"> accepted that they were acting as the agents of the Company when exercising the powers conferred by and carrying out their duties under the DOCA (cl 3.2(a) of the DOCA), and by the operation of s 444G of the Corporations Act both Mr Yeo and Mr </w:t>
      </w:r>
      <w:proofErr w:type="spellStart"/>
      <w:r w:rsidRPr="00DC4F49">
        <w:rPr>
          <w:szCs w:val="24"/>
        </w:rPr>
        <w:t>Rambaldi</w:t>
      </w:r>
      <w:proofErr w:type="spellEnd"/>
      <w:r w:rsidRPr="00DC4F49">
        <w:rPr>
          <w:szCs w:val="24"/>
        </w:rPr>
        <w:t xml:space="preserve"> were bound by the DOCA.</w:t>
      </w:r>
    </w:p>
    <w:p w:rsidR="00DC4F49" w:rsidRPr="00DC4F49" w:rsidRDefault="00DC4F49" w:rsidP="00342626">
      <w:pPr>
        <w:pStyle w:val="ListNo2"/>
        <w:numPr>
          <w:ilvl w:val="1"/>
          <w:numId w:val="27"/>
        </w:numPr>
        <w:rPr>
          <w:szCs w:val="24"/>
        </w:rPr>
      </w:pPr>
      <w:r w:rsidRPr="00DC4F49">
        <w:rPr>
          <w:szCs w:val="24"/>
        </w:rPr>
        <w:t xml:space="preserve">It is an interpretation that is consistent with recommendation 51 of </w:t>
      </w:r>
      <w:r w:rsidR="00E31918">
        <w:rPr>
          <w:lang w:eastAsia="en-AU"/>
        </w:rPr>
        <w:t xml:space="preserve">Legal Committee of the Companies and Markets Advisory Committee, </w:t>
      </w:r>
      <w:r w:rsidR="00E31918" w:rsidRPr="008B694C">
        <w:rPr>
          <w:i/>
          <w:iCs/>
          <w:lang w:eastAsia="en-AU"/>
        </w:rPr>
        <w:t xml:space="preserve">Corporate Voluntary Administration Report, June 1998 </w:t>
      </w:r>
      <w:r w:rsidR="00E31918" w:rsidRPr="00C56539">
        <w:rPr>
          <w:lang w:eastAsia="en-AU"/>
        </w:rPr>
        <w:t>(‘</w:t>
      </w:r>
      <w:r w:rsidR="00E31918" w:rsidRPr="00C56539">
        <w:rPr>
          <w:b/>
          <w:bCs/>
          <w:lang w:eastAsia="en-AU"/>
        </w:rPr>
        <w:t xml:space="preserve">CAMAC June </w:t>
      </w:r>
      <w:r w:rsidR="00E31918">
        <w:rPr>
          <w:b/>
          <w:bCs/>
          <w:lang w:eastAsia="en-AU"/>
        </w:rPr>
        <w:t>1998 R</w:t>
      </w:r>
      <w:r w:rsidR="00E31918" w:rsidRPr="00C56539">
        <w:rPr>
          <w:b/>
          <w:bCs/>
          <w:lang w:eastAsia="en-AU"/>
        </w:rPr>
        <w:t>eport</w:t>
      </w:r>
      <w:r w:rsidR="00E31918">
        <w:rPr>
          <w:bCs/>
          <w:lang w:eastAsia="en-AU"/>
        </w:rPr>
        <w:t>’</w:t>
      </w:r>
      <w:r w:rsidR="00E31918">
        <w:rPr>
          <w:lang w:eastAsia="en-AU"/>
        </w:rPr>
        <w:t>),</w:t>
      </w:r>
      <w:r w:rsidRPr="00DC4F49">
        <w:rPr>
          <w:szCs w:val="24"/>
        </w:rPr>
        <w:t xml:space="preserve"> a recommendation that demonstrates it was intended that transactions </w:t>
      </w:r>
      <w:r w:rsidRPr="00DC4F49">
        <w:rPr>
          <w:szCs w:val="24"/>
        </w:rPr>
        <w:lastRenderedPageBreak/>
        <w:t>specifically authorised by a deed of company arrangement, but performed on behalf of the company by the directors (or others) who are in control of the day-to-day management of the company under the terms of the deed, should not be voidable as unfair preferences.</w:t>
      </w:r>
    </w:p>
    <w:p w:rsidR="00DC4F49" w:rsidRPr="00AE580F" w:rsidRDefault="005D7BF5" w:rsidP="00342626">
      <w:pPr>
        <w:pStyle w:val="ListNo2"/>
        <w:numPr>
          <w:ilvl w:val="1"/>
          <w:numId w:val="27"/>
        </w:numPr>
        <w:rPr>
          <w:szCs w:val="24"/>
        </w:rPr>
      </w:pPr>
      <w:r>
        <w:rPr>
          <w:szCs w:val="24"/>
        </w:rPr>
        <w:t>Such an interpretation</w:t>
      </w:r>
      <w:r w:rsidR="00DC4F49" w:rsidRPr="00DC4F49">
        <w:rPr>
          <w:szCs w:val="24"/>
        </w:rPr>
        <w:t xml:space="preserve"> is also co</w:t>
      </w:r>
      <w:r>
        <w:rPr>
          <w:szCs w:val="24"/>
        </w:rPr>
        <w:t xml:space="preserve">nsistent with the objects of Pt 5.3A of the Corporations Act because it </w:t>
      </w:r>
      <w:r w:rsidR="00F50202">
        <w:rPr>
          <w:szCs w:val="24"/>
        </w:rPr>
        <w:t>maximises the chances of the C</w:t>
      </w:r>
      <w:r w:rsidR="00DC4F49" w:rsidRPr="00DC4F49">
        <w:rPr>
          <w:szCs w:val="24"/>
        </w:rPr>
        <w:t>ompany, or its business, continuing in existence.</w:t>
      </w:r>
    </w:p>
    <w:p w:rsidR="00AE580F" w:rsidRDefault="003F7C8F" w:rsidP="00AE580F">
      <w:pPr>
        <w:pStyle w:val="Heading1"/>
        <w:rPr>
          <w:lang w:eastAsia="en-AU"/>
        </w:rPr>
      </w:pPr>
      <w:r>
        <w:rPr>
          <w:lang w:eastAsia="en-AU"/>
        </w:rPr>
        <w:t>Background</w:t>
      </w:r>
    </w:p>
    <w:p w:rsidR="00E74EBB" w:rsidRDefault="00AE580F" w:rsidP="00E74EBB">
      <w:pPr>
        <w:pStyle w:val="ParaNumbering"/>
      </w:pPr>
      <w:r>
        <w:t xml:space="preserve">On 29 October 2013, Mr Yeo and Mr </w:t>
      </w:r>
      <w:proofErr w:type="spellStart"/>
      <w:r>
        <w:t>Rambaldi</w:t>
      </w:r>
      <w:proofErr w:type="spellEnd"/>
      <w:r>
        <w:t xml:space="preserve"> were appointed as joint and</w:t>
      </w:r>
      <w:r w:rsidR="00F60545">
        <w:t xml:space="preserve"> several administrators of the C</w:t>
      </w:r>
      <w:r w:rsidR="00471C1A">
        <w:t xml:space="preserve">ompany pursuant to </w:t>
      </w:r>
      <w:r>
        <w:t>the</w:t>
      </w:r>
      <w:r w:rsidR="00F60545">
        <w:t xml:space="preserve"> Corporations</w:t>
      </w:r>
      <w:r>
        <w:t xml:space="preserve"> Act</w:t>
      </w:r>
      <w:r w:rsidR="003F7C8F">
        <w:rPr>
          <w:lang w:eastAsia="en-AU"/>
        </w:rPr>
        <w:t>.</w:t>
      </w:r>
    </w:p>
    <w:p w:rsidR="00926359" w:rsidRDefault="00E74EBB" w:rsidP="00926359">
      <w:pPr>
        <w:pStyle w:val="ParaNumbering"/>
      </w:pPr>
      <w:r>
        <w:t>The DCT had commen</w:t>
      </w:r>
      <w:r w:rsidR="00261927">
        <w:t xml:space="preserve">ced proceedings seeking to wind </w:t>
      </w:r>
      <w:r>
        <w:t xml:space="preserve">up the Company </w:t>
      </w:r>
      <w:r w:rsidR="00284926">
        <w:t>before</w:t>
      </w:r>
      <w:r>
        <w:t xml:space="preserve"> the appointment of Mr Yeo and Mr </w:t>
      </w:r>
      <w:proofErr w:type="spellStart"/>
      <w:r>
        <w:t>Rambaldi</w:t>
      </w:r>
      <w:proofErr w:type="spellEnd"/>
      <w:r>
        <w:t xml:space="preserve"> as voluntary administrators.</w:t>
      </w:r>
    </w:p>
    <w:p w:rsidR="00926359" w:rsidRDefault="00926359" w:rsidP="00926359">
      <w:pPr>
        <w:pStyle w:val="ParaNumbering"/>
      </w:pPr>
      <w:r>
        <w:t>The first meeting of the Company’s creditors was convened and held on 7 November 2013</w:t>
      </w:r>
      <w:r w:rsidR="00261927">
        <w:t>.</w:t>
      </w:r>
      <w:r>
        <w:t xml:space="preserve"> </w:t>
      </w:r>
    </w:p>
    <w:p w:rsidR="00454936" w:rsidRDefault="00454936" w:rsidP="00454936">
      <w:pPr>
        <w:pStyle w:val="ParaNumbering"/>
      </w:pPr>
      <w:r>
        <w:t xml:space="preserve">On 14 November 2013, Mr Yeo and Mr </w:t>
      </w:r>
      <w:proofErr w:type="spellStart"/>
      <w:r>
        <w:t>Rambaldi</w:t>
      </w:r>
      <w:proofErr w:type="spellEnd"/>
      <w:r>
        <w:t xml:space="preserve"> issued a circul</w:t>
      </w:r>
      <w:r w:rsidR="00261927">
        <w:t xml:space="preserve">ar to creditors in which they </w:t>
      </w:r>
      <w:r>
        <w:t xml:space="preserve">advised that the second meeting of the Company’s creditors would be held on 22 November 2013.  Mr Yeo and Mr </w:t>
      </w:r>
      <w:proofErr w:type="spellStart"/>
      <w:r>
        <w:t>Rambaldi</w:t>
      </w:r>
      <w:proofErr w:type="spellEnd"/>
      <w:r>
        <w:t xml:space="preserve"> provide</w:t>
      </w:r>
      <w:r w:rsidR="00261927">
        <w:t>d creditors with a copy of a</w:t>
      </w:r>
      <w:r>
        <w:t xml:space="preserve"> s 439A report with the circular.</w:t>
      </w:r>
    </w:p>
    <w:p w:rsidR="00454936" w:rsidRDefault="00454936" w:rsidP="00454936">
      <w:pPr>
        <w:pStyle w:val="ParaNumbering"/>
      </w:pPr>
      <w:r>
        <w:t xml:space="preserve">At the second meeting of creditors held on 22 November 2013 a resolution was passed (by the Chairperson, Mr Yeo, exercising his casting vote there having been a deadlock between creditors voting in number and value) that the Company should execute a deed of company arrangement.  </w:t>
      </w:r>
    </w:p>
    <w:p w:rsidR="00C44920" w:rsidRDefault="00454936" w:rsidP="00C44920">
      <w:pPr>
        <w:pStyle w:val="ParaNumbering"/>
      </w:pPr>
      <w:r>
        <w:t xml:space="preserve">On or about 11 December 2013, the DOCA was executed by each of the Company (by its then administrators, Mr Yeo and Mr </w:t>
      </w:r>
      <w:proofErr w:type="spellStart"/>
      <w:r>
        <w:t>Rambaldi</w:t>
      </w:r>
      <w:proofErr w:type="spellEnd"/>
      <w:r>
        <w:t xml:space="preserve">), Mr Yeo and Mr </w:t>
      </w:r>
      <w:proofErr w:type="spellStart"/>
      <w:r>
        <w:t>Rambaldi</w:t>
      </w:r>
      <w:proofErr w:type="spellEnd"/>
      <w:r>
        <w:t xml:space="preserve"> as</w:t>
      </w:r>
      <w:r w:rsidR="00261927">
        <w:t xml:space="preserve"> deed administrators, and </w:t>
      </w:r>
      <w:r w:rsidR="007C3C38">
        <w:t>the Director</w:t>
      </w:r>
      <w:r>
        <w:t xml:space="preserve">. </w:t>
      </w:r>
    </w:p>
    <w:p w:rsidR="00C44920" w:rsidRPr="00543A9C" w:rsidRDefault="00C44920" w:rsidP="00C44920">
      <w:pPr>
        <w:pStyle w:val="ParaNumbering"/>
        <w:rPr>
          <w:sz w:val="28"/>
        </w:rPr>
      </w:pPr>
      <w:r w:rsidRPr="00543A9C">
        <w:rPr>
          <w:szCs w:val="23"/>
        </w:rPr>
        <w:t xml:space="preserve">Recital H of the DOCA provided that: </w:t>
      </w:r>
    </w:p>
    <w:p w:rsidR="00C44920" w:rsidRPr="00983A92" w:rsidRDefault="00C44920" w:rsidP="00983A92">
      <w:pPr>
        <w:pStyle w:val="Quote1"/>
        <w:rPr>
          <w:i/>
        </w:rPr>
      </w:pPr>
      <w:r w:rsidRPr="00C44920">
        <w:rPr>
          <w:i/>
        </w:rPr>
        <w:t xml:space="preserve">This Deed binds all Creditors of </w:t>
      </w:r>
      <w:r w:rsidR="00543A9C">
        <w:rPr>
          <w:i/>
        </w:rPr>
        <w:t>[the C</w:t>
      </w:r>
      <w:r>
        <w:rPr>
          <w:i/>
        </w:rPr>
        <w:t>ompany]</w:t>
      </w:r>
      <w:r w:rsidRPr="00C44920">
        <w:rPr>
          <w:i/>
        </w:rPr>
        <w:t xml:space="preserve"> pursuant to Section 444D of the </w:t>
      </w:r>
      <w:r w:rsidRPr="00C44920">
        <w:rPr>
          <w:i/>
          <w:iCs/>
        </w:rPr>
        <w:t xml:space="preserve">Corporations Act </w:t>
      </w:r>
      <w:r w:rsidRPr="00C44920">
        <w:rPr>
          <w:i/>
        </w:rPr>
        <w:t xml:space="preserve">and </w:t>
      </w:r>
      <w:r w:rsidR="00543A9C">
        <w:rPr>
          <w:i/>
        </w:rPr>
        <w:t>[the C</w:t>
      </w:r>
      <w:r>
        <w:rPr>
          <w:i/>
        </w:rPr>
        <w:t>ompany]</w:t>
      </w:r>
      <w:r w:rsidRPr="00C44920">
        <w:rPr>
          <w:i/>
        </w:rPr>
        <w:t xml:space="preserve">, all officers and members of </w:t>
      </w:r>
      <w:r w:rsidR="00543A9C">
        <w:rPr>
          <w:i/>
        </w:rPr>
        <w:t>[the C</w:t>
      </w:r>
      <w:r>
        <w:rPr>
          <w:i/>
        </w:rPr>
        <w:t>ompany]</w:t>
      </w:r>
      <w:r w:rsidRPr="00C44920">
        <w:rPr>
          <w:i/>
        </w:rPr>
        <w:t xml:space="preserve">, and the Administrators pursuant to Section 444G of the </w:t>
      </w:r>
      <w:r w:rsidRPr="00C44920">
        <w:rPr>
          <w:iCs/>
        </w:rPr>
        <w:t>Corporations Act</w:t>
      </w:r>
      <w:r w:rsidRPr="00C44920">
        <w:rPr>
          <w:i/>
        </w:rPr>
        <w:t>.</w:t>
      </w:r>
    </w:p>
    <w:p w:rsidR="00F23FDC" w:rsidRDefault="00F23FDC">
      <w:pPr>
        <w:spacing w:line="240" w:lineRule="auto"/>
        <w:jc w:val="left"/>
        <w:rPr>
          <w:lang w:eastAsia="en-AU"/>
        </w:rPr>
      </w:pPr>
      <w:r>
        <w:rPr>
          <w:lang w:eastAsia="en-AU"/>
        </w:rPr>
        <w:br w:type="page"/>
      </w:r>
    </w:p>
    <w:p w:rsidR="003F7C8F" w:rsidRDefault="00385B23" w:rsidP="00FD24F6">
      <w:pPr>
        <w:pStyle w:val="ParaNumbering"/>
        <w:rPr>
          <w:lang w:eastAsia="en-AU"/>
        </w:rPr>
      </w:pPr>
      <w:r>
        <w:rPr>
          <w:lang w:eastAsia="en-AU"/>
        </w:rPr>
        <w:lastRenderedPageBreak/>
        <w:t>The salient elements of the DOCA</w:t>
      </w:r>
      <w:r w:rsidR="00543A9C">
        <w:rPr>
          <w:lang w:eastAsia="en-AU"/>
        </w:rPr>
        <w:t xml:space="preserve"> are</w:t>
      </w:r>
      <w:r w:rsidR="003F7C8F">
        <w:rPr>
          <w:lang w:eastAsia="en-AU"/>
        </w:rPr>
        <w:t xml:space="preserve"> that:</w:t>
      </w:r>
    </w:p>
    <w:p w:rsidR="0062777D" w:rsidRDefault="003F7C8F" w:rsidP="00342626">
      <w:pPr>
        <w:pStyle w:val="ListNo1"/>
        <w:numPr>
          <w:ilvl w:val="0"/>
          <w:numId w:val="22"/>
        </w:numPr>
        <w:rPr>
          <w:lang w:eastAsia="en-AU"/>
        </w:rPr>
      </w:pPr>
      <w:r>
        <w:rPr>
          <w:lang w:eastAsia="en-AU"/>
        </w:rPr>
        <w:t>management a</w:t>
      </w:r>
      <w:r w:rsidR="00543A9C">
        <w:rPr>
          <w:lang w:eastAsia="en-AU"/>
        </w:rPr>
        <w:t>nd control of the C</w:t>
      </w:r>
      <w:r w:rsidR="0048094D">
        <w:rPr>
          <w:lang w:eastAsia="en-AU"/>
        </w:rPr>
        <w:t>ompany’s day-</w:t>
      </w:r>
      <w:r>
        <w:rPr>
          <w:lang w:eastAsia="en-AU"/>
        </w:rPr>
        <w:t>to</w:t>
      </w:r>
      <w:r w:rsidR="0048094D">
        <w:rPr>
          <w:lang w:eastAsia="en-AU"/>
        </w:rPr>
        <w:t>-</w:t>
      </w:r>
      <w:r>
        <w:rPr>
          <w:lang w:eastAsia="en-AU"/>
        </w:rPr>
        <w:t>day business affairs</w:t>
      </w:r>
      <w:r w:rsidR="0062777D">
        <w:rPr>
          <w:lang w:eastAsia="en-AU"/>
        </w:rPr>
        <w:t xml:space="preserve"> </w:t>
      </w:r>
      <w:r w:rsidR="00385B23">
        <w:rPr>
          <w:lang w:eastAsia="en-AU"/>
        </w:rPr>
        <w:t>were returned to the D</w:t>
      </w:r>
      <w:r>
        <w:rPr>
          <w:lang w:eastAsia="en-AU"/>
        </w:rPr>
        <w:t>irector;</w:t>
      </w:r>
    </w:p>
    <w:p w:rsidR="0062777D" w:rsidRDefault="003F7C8F" w:rsidP="00342626">
      <w:pPr>
        <w:pStyle w:val="ListNo1"/>
        <w:numPr>
          <w:ilvl w:val="0"/>
          <w:numId w:val="22"/>
        </w:numPr>
        <w:rPr>
          <w:lang w:eastAsia="en-AU"/>
        </w:rPr>
      </w:pPr>
      <w:r>
        <w:rPr>
          <w:lang w:eastAsia="en-AU"/>
        </w:rPr>
        <w:t>a fund was est</w:t>
      </w:r>
      <w:r w:rsidR="00385B23">
        <w:rPr>
          <w:lang w:eastAsia="en-AU"/>
        </w:rPr>
        <w:t>ablished and controlled by the Deed A</w:t>
      </w:r>
      <w:r>
        <w:rPr>
          <w:lang w:eastAsia="en-AU"/>
        </w:rPr>
        <w:t>dministrators which</w:t>
      </w:r>
      <w:r w:rsidR="0062777D">
        <w:rPr>
          <w:lang w:eastAsia="en-AU"/>
        </w:rPr>
        <w:t xml:space="preserve"> </w:t>
      </w:r>
      <w:r>
        <w:rPr>
          <w:lang w:eastAsia="en-AU"/>
        </w:rPr>
        <w:t>constituted the whole of the property available for distribution to</w:t>
      </w:r>
      <w:r w:rsidR="0062777D">
        <w:rPr>
          <w:lang w:eastAsia="en-AU"/>
        </w:rPr>
        <w:t xml:space="preserve"> </w:t>
      </w:r>
      <w:r>
        <w:rPr>
          <w:lang w:eastAsia="en-AU"/>
        </w:rPr>
        <w:t>participating creditors;</w:t>
      </w:r>
    </w:p>
    <w:p w:rsidR="0062777D" w:rsidRDefault="00385B23" w:rsidP="00342626">
      <w:pPr>
        <w:pStyle w:val="ListNo1"/>
        <w:numPr>
          <w:ilvl w:val="0"/>
          <w:numId w:val="22"/>
        </w:numPr>
        <w:rPr>
          <w:lang w:eastAsia="en-AU"/>
        </w:rPr>
      </w:pPr>
      <w:r>
        <w:rPr>
          <w:lang w:eastAsia="en-AU"/>
        </w:rPr>
        <w:t>the Company and D</w:t>
      </w:r>
      <w:r w:rsidR="003F7C8F">
        <w:rPr>
          <w:lang w:eastAsia="en-AU"/>
        </w:rPr>
        <w:t>irector made certain covenants and undertakings,</w:t>
      </w:r>
      <w:r w:rsidR="0062777D">
        <w:rPr>
          <w:lang w:eastAsia="en-AU"/>
        </w:rPr>
        <w:t xml:space="preserve"> </w:t>
      </w:r>
      <w:r w:rsidR="00AA233C">
        <w:rPr>
          <w:lang w:eastAsia="en-AU"/>
        </w:rPr>
        <w:t>including in respect of the C</w:t>
      </w:r>
      <w:r w:rsidR="003F7C8F">
        <w:rPr>
          <w:lang w:eastAsia="en-AU"/>
        </w:rPr>
        <w:t>ompany’s compliance with its taxation</w:t>
      </w:r>
      <w:r w:rsidR="0062777D">
        <w:rPr>
          <w:lang w:eastAsia="en-AU"/>
        </w:rPr>
        <w:t xml:space="preserve"> </w:t>
      </w:r>
      <w:r w:rsidR="003F7C8F">
        <w:rPr>
          <w:lang w:eastAsia="en-AU"/>
        </w:rPr>
        <w:t>obligations;</w:t>
      </w:r>
      <w:r w:rsidR="0048094D">
        <w:rPr>
          <w:lang w:eastAsia="en-AU"/>
        </w:rPr>
        <w:t xml:space="preserve"> and</w:t>
      </w:r>
    </w:p>
    <w:p w:rsidR="003F7C8F" w:rsidRDefault="003F7C8F" w:rsidP="00342626">
      <w:pPr>
        <w:pStyle w:val="ListNo1"/>
        <w:numPr>
          <w:ilvl w:val="0"/>
          <w:numId w:val="22"/>
        </w:numPr>
        <w:rPr>
          <w:lang w:eastAsia="en-AU"/>
        </w:rPr>
      </w:pPr>
      <w:r>
        <w:rPr>
          <w:lang w:eastAsia="en-AU"/>
        </w:rPr>
        <w:t>u</w:t>
      </w:r>
      <w:r w:rsidR="00385B23">
        <w:rPr>
          <w:lang w:eastAsia="en-AU"/>
        </w:rPr>
        <w:t>pon default of the DOCA by the Company or the Director, the D</w:t>
      </w:r>
      <w:r>
        <w:rPr>
          <w:lang w:eastAsia="en-AU"/>
        </w:rPr>
        <w:t>eed</w:t>
      </w:r>
      <w:r w:rsidR="0062777D">
        <w:rPr>
          <w:lang w:eastAsia="en-AU"/>
        </w:rPr>
        <w:t xml:space="preserve"> </w:t>
      </w:r>
      <w:r w:rsidR="00385B23">
        <w:rPr>
          <w:lang w:eastAsia="en-AU"/>
        </w:rPr>
        <w:t>Administrators</w:t>
      </w:r>
      <w:r>
        <w:rPr>
          <w:lang w:eastAsia="en-AU"/>
        </w:rPr>
        <w:t xml:space="preserve"> were to convene a meeting of creditors to determine</w:t>
      </w:r>
      <w:r w:rsidR="0062777D">
        <w:rPr>
          <w:lang w:eastAsia="en-AU"/>
        </w:rPr>
        <w:t xml:space="preserve"> </w:t>
      </w:r>
      <w:r w:rsidR="00385B23">
        <w:rPr>
          <w:lang w:eastAsia="en-AU"/>
        </w:rPr>
        <w:t>whether to terminate the DOCA</w:t>
      </w:r>
      <w:r w:rsidR="00AA233C">
        <w:rPr>
          <w:lang w:eastAsia="en-AU"/>
        </w:rPr>
        <w:t xml:space="preserve"> and wind up the C</w:t>
      </w:r>
      <w:r>
        <w:rPr>
          <w:lang w:eastAsia="en-AU"/>
        </w:rPr>
        <w:t>ompany.</w:t>
      </w:r>
    </w:p>
    <w:p w:rsidR="0062777D" w:rsidRDefault="003F7C8F" w:rsidP="00FD24F6">
      <w:pPr>
        <w:pStyle w:val="ParaNumbering"/>
        <w:rPr>
          <w:lang w:eastAsia="en-AU"/>
        </w:rPr>
      </w:pPr>
      <w:r>
        <w:rPr>
          <w:lang w:eastAsia="en-AU"/>
        </w:rPr>
        <w:t>Between 11 Dece</w:t>
      </w:r>
      <w:r w:rsidR="00914739">
        <w:rPr>
          <w:lang w:eastAsia="en-AU"/>
        </w:rPr>
        <w:t>mber 2013 and 5 July 2017, the C</w:t>
      </w:r>
      <w:r>
        <w:rPr>
          <w:lang w:eastAsia="en-AU"/>
        </w:rPr>
        <w:t>ompany was returned to the</w:t>
      </w:r>
      <w:r w:rsidR="0062777D">
        <w:rPr>
          <w:lang w:eastAsia="en-AU"/>
        </w:rPr>
        <w:t xml:space="preserve"> </w:t>
      </w:r>
      <w:r w:rsidR="00914739">
        <w:rPr>
          <w:lang w:eastAsia="en-AU"/>
        </w:rPr>
        <w:t>management and control of the Di</w:t>
      </w:r>
      <w:r>
        <w:rPr>
          <w:lang w:eastAsia="en-AU"/>
        </w:rPr>
        <w:t>rector and continued to trade.</w:t>
      </w:r>
    </w:p>
    <w:p w:rsidR="0062777D" w:rsidRDefault="003F7C8F" w:rsidP="00FD24F6">
      <w:pPr>
        <w:pStyle w:val="ParaNumbering"/>
        <w:rPr>
          <w:lang w:eastAsia="en-AU"/>
        </w:rPr>
      </w:pPr>
      <w:r>
        <w:rPr>
          <w:lang w:eastAsia="en-AU"/>
        </w:rPr>
        <w:t>Between 28 Febru</w:t>
      </w:r>
      <w:r w:rsidR="00914739">
        <w:rPr>
          <w:lang w:eastAsia="en-AU"/>
        </w:rPr>
        <w:t>ary 2014 and 16 June 2017, the C</w:t>
      </w:r>
      <w:r>
        <w:rPr>
          <w:lang w:eastAsia="en-AU"/>
        </w:rPr>
        <w:t>ompany incurred fresh</w:t>
      </w:r>
      <w:r w:rsidR="0062777D">
        <w:rPr>
          <w:lang w:eastAsia="en-AU"/>
        </w:rPr>
        <w:t xml:space="preserve"> </w:t>
      </w:r>
      <w:r>
        <w:rPr>
          <w:lang w:eastAsia="en-AU"/>
        </w:rPr>
        <w:t>liabilities with the DCT in the sum of $403,000.76 and made payments to the</w:t>
      </w:r>
      <w:r w:rsidR="001B2FA0">
        <w:rPr>
          <w:lang w:eastAsia="en-AU"/>
        </w:rPr>
        <w:t xml:space="preserve"> DCT totalling $304,772.15.</w:t>
      </w:r>
    </w:p>
    <w:p w:rsidR="0062777D" w:rsidRDefault="001B2FA0" w:rsidP="00FD24F6">
      <w:pPr>
        <w:pStyle w:val="ParaNumbering"/>
        <w:rPr>
          <w:lang w:eastAsia="en-AU"/>
        </w:rPr>
      </w:pPr>
      <w:r>
        <w:rPr>
          <w:lang w:eastAsia="en-AU"/>
        </w:rPr>
        <w:t xml:space="preserve">On 5 July 2017, a meeting of creditors was </w:t>
      </w:r>
      <w:r w:rsidRPr="007661EC">
        <w:rPr>
          <w:szCs w:val="24"/>
          <w:lang w:eastAsia="en-AU"/>
        </w:rPr>
        <w:t>convened (</w:t>
      </w:r>
      <w:r w:rsidR="007661EC" w:rsidRPr="007661EC">
        <w:rPr>
          <w:szCs w:val="24"/>
          <w:lang w:eastAsia="en-AU"/>
        </w:rPr>
        <w:t>b</w:t>
      </w:r>
      <w:r w:rsidRPr="007661EC">
        <w:rPr>
          <w:szCs w:val="24"/>
          <w:lang w:eastAsia="en-AU"/>
        </w:rPr>
        <w:t>eing the sixth adjournment of the meeting with the consent of the DCT) p</w:t>
      </w:r>
      <w:r>
        <w:rPr>
          <w:lang w:eastAsia="en-AU"/>
        </w:rPr>
        <w:t>ursuant to s 445F of the</w:t>
      </w:r>
      <w:r w:rsidR="00FE26D9">
        <w:rPr>
          <w:lang w:eastAsia="en-AU"/>
        </w:rPr>
        <w:t xml:space="preserve"> Corporations</w:t>
      </w:r>
      <w:r w:rsidR="0062777D">
        <w:rPr>
          <w:lang w:eastAsia="en-AU"/>
        </w:rPr>
        <w:t xml:space="preserve"> </w:t>
      </w:r>
      <w:r>
        <w:rPr>
          <w:lang w:eastAsia="en-AU"/>
        </w:rPr>
        <w:t>Act at which creditor</w:t>
      </w:r>
      <w:r w:rsidR="00FE26D9">
        <w:rPr>
          <w:lang w:eastAsia="en-AU"/>
        </w:rPr>
        <w:t>s resolved to terminate the DOCA and that the D</w:t>
      </w:r>
      <w:r>
        <w:rPr>
          <w:lang w:eastAsia="en-AU"/>
        </w:rPr>
        <w:t>eed</w:t>
      </w:r>
      <w:r w:rsidR="0062777D">
        <w:rPr>
          <w:lang w:eastAsia="en-AU"/>
        </w:rPr>
        <w:t xml:space="preserve"> </w:t>
      </w:r>
      <w:r w:rsidR="00FE26D9">
        <w:rPr>
          <w:lang w:eastAsia="en-AU"/>
        </w:rPr>
        <w:t>A</w:t>
      </w:r>
      <w:r>
        <w:rPr>
          <w:lang w:eastAsia="en-AU"/>
        </w:rPr>
        <w:t>dministrators</w:t>
      </w:r>
      <w:r w:rsidR="00AA233C">
        <w:rPr>
          <w:lang w:eastAsia="en-AU"/>
        </w:rPr>
        <w:t xml:space="preserve"> become the liquidators of the C</w:t>
      </w:r>
      <w:r>
        <w:rPr>
          <w:lang w:eastAsia="en-AU"/>
        </w:rPr>
        <w:t>ompany.</w:t>
      </w:r>
    </w:p>
    <w:p w:rsidR="001B2FA0" w:rsidRDefault="001B2FA0" w:rsidP="00FD24F6">
      <w:pPr>
        <w:pStyle w:val="ParaNumbering"/>
        <w:rPr>
          <w:lang w:eastAsia="en-AU"/>
        </w:rPr>
      </w:pPr>
      <w:r>
        <w:rPr>
          <w:lang w:eastAsia="en-AU"/>
        </w:rPr>
        <w:t>The estimate of unsecured</w:t>
      </w:r>
      <w:r w:rsidR="00AA233C">
        <w:rPr>
          <w:lang w:eastAsia="en-AU"/>
        </w:rPr>
        <w:t xml:space="preserve"> outstanding debts owed by the C</w:t>
      </w:r>
      <w:r>
        <w:rPr>
          <w:lang w:eastAsia="en-AU"/>
        </w:rPr>
        <w:t>ompany upon</w:t>
      </w:r>
      <w:r w:rsidR="0062777D">
        <w:rPr>
          <w:lang w:eastAsia="en-AU"/>
        </w:rPr>
        <w:t xml:space="preserve"> </w:t>
      </w:r>
      <w:r>
        <w:rPr>
          <w:lang w:eastAsia="en-AU"/>
        </w:rPr>
        <w:t>liquidation</w:t>
      </w:r>
      <w:r w:rsidR="005A5C7D">
        <w:rPr>
          <w:lang w:eastAsia="en-AU"/>
        </w:rPr>
        <w:t xml:space="preserve"> is $652,676.49 (excluding the P</w:t>
      </w:r>
      <w:r>
        <w:rPr>
          <w:lang w:eastAsia="en-AU"/>
        </w:rPr>
        <w:t>ayments if voidable).</w:t>
      </w:r>
    </w:p>
    <w:p w:rsidR="000379D4" w:rsidRDefault="000379D4" w:rsidP="00FD24F6">
      <w:pPr>
        <w:pStyle w:val="ParaNumbering"/>
        <w:rPr>
          <w:lang w:eastAsia="en-AU"/>
        </w:rPr>
      </w:pPr>
      <w:r>
        <w:rPr>
          <w:lang w:eastAsia="en-AU"/>
        </w:rPr>
        <w:t>Additional facts were agreed between the parties, in the form of Mr Yeo’s answers to the DCT’s questions put by way of a ‘deposition’ before the hearing (marked Exhibit ‘A’ in these proceedings).  I do not consider the</w:t>
      </w:r>
      <w:r w:rsidR="008737D8">
        <w:rPr>
          <w:lang w:eastAsia="en-AU"/>
        </w:rPr>
        <w:t xml:space="preserve"> additional</w:t>
      </w:r>
      <w:r>
        <w:rPr>
          <w:lang w:eastAsia="en-AU"/>
        </w:rPr>
        <w:t xml:space="preserve"> facts add anything to the dispute between the parties, but the DCT relied upon these particular facts:</w:t>
      </w:r>
    </w:p>
    <w:p w:rsidR="0087543C" w:rsidRPr="0087543C" w:rsidRDefault="0087543C" w:rsidP="00342626">
      <w:pPr>
        <w:pStyle w:val="Quote1"/>
        <w:numPr>
          <w:ilvl w:val="0"/>
          <w:numId w:val="29"/>
        </w:numPr>
        <w:rPr>
          <w:i/>
          <w:lang w:eastAsia="en-AU"/>
        </w:rPr>
      </w:pPr>
      <w:r w:rsidRPr="0087543C">
        <w:rPr>
          <w:i/>
          <w:lang w:eastAsia="en-AU"/>
        </w:rPr>
        <w:t xml:space="preserve">Upon being appointed as voluntary administrators of the Company, Mr Yeo and Mr </w:t>
      </w:r>
      <w:proofErr w:type="spellStart"/>
      <w:r w:rsidRPr="0087543C">
        <w:rPr>
          <w:i/>
          <w:lang w:eastAsia="en-AU"/>
        </w:rPr>
        <w:t>Rambaldi</w:t>
      </w:r>
      <w:proofErr w:type="spellEnd"/>
      <w:r w:rsidRPr="0087543C">
        <w:rPr>
          <w:i/>
          <w:lang w:eastAsia="en-AU"/>
        </w:rPr>
        <w:t xml:space="preserve"> established a separate bank account (the administration account) via which they conducted transactions in the administration of the Company.</w:t>
      </w:r>
    </w:p>
    <w:p w:rsidR="0087543C" w:rsidRPr="0087543C" w:rsidRDefault="0087543C" w:rsidP="00342626">
      <w:pPr>
        <w:pStyle w:val="Quote1"/>
        <w:numPr>
          <w:ilvl w:val="0"/>
          <w:numId w:val="29"/>
        </w:numPr>
        <w:rPr>
          <w:i/>
          <w:lang w:eastAsia="en-AU"/>
        </w:rPr>
      </w:pPr>
      <w:r w:rsidRPr="0087543C">
        <w:rPr>
          <w:i/>
          <w:lang w:eastAsia="en-AU"/>
        </w:rPr>
        <w:t>Mr Yeo agrees that it is not uncommon for an insolvency practitioner appointed as voluntary administrator to:</w:t>
      </w:r>
    </w:p>
    <w:p w:rsidR="0087543C" w:rsidRPr="0087543C" w:rsidRDefault="0087543C" w:rsidP="00342626">
      <w:pPr>
        <w:pStyle w:val="Quote1"/>
        <w:numPr>
          <w:ilvl w:val="1"/>
          <w:numId w:val="29"/>
        </w:numPr>
        <w:rPr>
          <w:i/>
          <w:lang w:eastAsia="en-AU"/>
        </w:rPr>
      </w:pPr>
      <w:r w:rsidRPr="0087543C">
        <w:rPr>
          <w:i/>
          <w:lang w:eastAsia="en-AU"/>
        </w:rPr>
        <w:t>write to banks on appointment and request that they freeze all direct debits, but still allow credits to be received into, any pre-appointment bank accounts operated by the company in voluntary administration; and</w:t>
      </w:r>
    </w:p>
    <w:p w:rsidR="0087543C" w:rsidRPr="0087543C" w:rsidRDefault="0087543C" w:rsidP="00342626">
      <w:pPr>
        <w:pStyle w:val="Quote1"/>
        <w:numPr>
          <w:ilvl w:val="1"/>
          <w:numId w:val="29"/>
        </w:numPr>
        <w:rPr>
          <w:i/>
          <w:lang w:eastAsia="en-AU"/>
        </w:rPr>
      </w:pPr>
      <w:r w:rsidRPr="0087543C">
        <w:rPr>
          <w:i/>
          <w:lang w:eastAsia="en-AU"/>
        </w:rPr>
        <w:lastRenderedPageBreak/>
        <w:t>liaise with the banks to establish a process by which all pre-appointment bank accounts of the company are ‘swept’ into an administration account established by the voluntary administrator.</w:t>
      </w:r>
    </w:p>
    <w:p w:rsidR="0087543C" w:rsidRPr="0087543C" w:rsidRDefault="0087543C" w:rsidP="00342626">
      <w:pPr>
        <w:pStyle w:val="Quote1"/>
        <w:numPr>
          <w:ilvl w:val="0"/>
          <w:numId w:val="29"/>
        </w:numPr>
        <w:rPr>
          <w:i/>
          <w:lang w:eastAsia="en-AU"/>
        </w:rPr>
      </w:pPr>
      <w:r w:rsidRPr="0087543C">
        <w:rPr>
          <w:i/>
          <w:lang w:eastAsia="en-AU"/>
        </w:rPr>
        <w:t>Were the steps referred to in paragraphs 2 and 3 above taken in relation to the Company? If not, why not?</w:t>
      </w:r>
    </w:p>
    <w:p w:rsidR="0087543C" w:rsidRDefault="0087543C" w:rsidP="00342626">
      <w:pPr>
        <w:pStyle w:val="Quote1"/>
        <w:numPr>
          <w:ilvl w:val="0"/>
          <w:numId w:val="30"/>
        </w:numPr>
        <w:ind w:left="1134"/>
        <w:rPr>
          <w:lang w:eastAsia="en-AU"/>
        </w:rPr>
      </w:pPr>
      <w:r>
        <w:rPr>
          <w:lang w:eastAsia="en-AU"/>
        </w:rPr>
        <w:t xml:space="preserve">Yes. When appointed as voluntary administrators Mr </w:t>
      </w:r>
      <w:proofErr w:type="spellStart"/>
      <w:r>
        <w:rPr>
          <w:lang w:eastAsia="en-AU"/>
        </w:rPr>
        <w:t>Rambaldi</w:t>
      </w:r>
      <w:proofErr w:type="spellEnd"/>
      <w:r>
        <w:rPr>
          <w:lang w:eastAsia="en-AU"/>
        </w:rPr>
        <w:t xml:space="preserve"> and I did open a bank account from which we could conduct the administration of the Company. Upon my appointment as a voluntary administrator of the Company I caused a generic letter to be sent to financial institutions requesting that all payments from bank accounts belonging to the Company be frozen. The Company’s bank accounts that were identified were maintained with the Commonwealth Bank of Australia and the National Australia Bank. After the deed was executed, I caused the Commonwealth Bank of Australia to be notified of the deed and for the accounts to be unfrozen. A copy of the email from Tim </w:t>
      </w:r>
      <w:proofErr w:type="spellStart"/>
      <w:r>
        <w:rPr>
          <w:lang w:eastAsia="en-AU"/>
        </w:rPr>
        <w:t>Bradd</w:t>
      </w:r>
      <w:proofErr w:type="spellEnd"/>
      <w:r>
        <w:rPr>
          <w:lang w:eastAsia="en-AU"/>
        </w:rPr>
        <w:t xml:space="preserve"> of my office to the Commonwealth Bank of Australia is attached and marked “A”. I do not believe that any communication was sent to the National Australia Bank or that that account was used by the Company thereafter. I did not at any time take any steps to have myself appointed as a signatory on the Company’s bank accounts, nor did I take any steps to have the director, Marion </w:t>
      </w:r>
      <w:proofErr w:type="spellStart"/>
      <w:r>
        <w:rPr>
          <w:lang w:eastAsia="en-AU"/>
        </w:rPr>
        <w:t>Posadowski</w:t>
      </w:r>
      <w:proofErr w:type="spellEnd"/>
      <w:r>
        <w:rPr>
          <w:lang w:eastAsia="en-AU"/>
        </w:rPr>
        <w:t>, removed as a signatory of the accounts while the Company was in administration.</w:t>
      </w:r>
    </w:p>
    <w:p w:rsidR="0087543C" w:rsidRPr="0087543C" w:rsidRDefault="0087543C" w:rsidP="00342626">
      <w:pPr>
        <w:pStyle w:val="Quote1"/>
        <w:numPr>
          <w:ilvl w:val="0"/>
          <w:numId w:val="29"/>
        </w:numPr>
        <w:rPr>
          <w:i/>
          <w:lang w:eastAsia="en-AU"/>
        </w:rPr>
      </w:pPr>
      <w:r w:rsidRPr="0087543C">
        <w:rPr>
          <w:i/>
          <w:lang w:eastAsia="en-AU"/>
        </w:rPr>
        <w:t xml:space="preserve">At paragraph 11 of Mr Yeo’s affidavit dated 3 February 2020, he states that he did not have access to, and was not a signatory of, any of the Company’s bank accounts between 28 February 2014 and 16 May 2017. What steps did Mr Yeo take to ‘unfreeze’ the </w:t>
      </w:r>
      <w:proofErr w:type="spellStart"/>
      <w:r w:rsidRPr="0087543C">
        <w:rPr>
          <w:i/>
          <w:lang w:eastAsia="en-AU"/>
        </w:rPr>
        <w:t>preadministration</w:t>
      </w:r>
      <w:proofErr w:type="spellEnd"/>
      <w:r w:rsidRPr="0087543C">
        <w:rPr>
          <w:i/>
          <w:lang w:eastAsia="en-AU"/>
        </w:rPr>
        <w:t xml:space="preserve"> bank accounts of the Company so that they could be operated upon by other persons?</w:t>
      </w:r>
    </w:p>
    <w:p w:rsidR="0087543C" w:rsidRDefault="0087543C" w:rsidP="00342626">
      <w:pPr>
        <w:pStyle w:val="Quote1"/>
        <w:numPr>
          <w:ilvl w:val="0"/>
          <w:numId w:val="31"/>
        </w:numPr>
        <w:rPr>
          <w:lang w:eastAsia="en-AU"/>
        </w:rPr>
      </w:pPr>
      <w:r w:rsidRPr="0087543C">
        <w:rPr>
          <w:lang w:eastAsia="en-AU"/>
        </w:rPr>
        <w:t>Mr Yeo only had access to and was a signatory to the bank account he caused to be</w:t>
      </w:r>
      <w:r>
        <w:rPr>
          <w:lang w:eastAsia="en-AU"/>
        </w:rPr>
        <w:t xml:space="preserve"> </w:t>
      </w:r>
      <w:r w:rsidRPr="0087543C">
        <w:rPr>
          <w:lang w:eastAsia="en-AU"/>
        </w:rPr>
        <w:t>opened for the purpose of conducting the administratio</w:t>
      </w:r>
      <w:r>
        <w:rPr>
          <w:lang w:eastAsia="en-AU"/>
        </w:rPr>
        <w:t xml:space="preserve">n of the Company and thereafter </w:t>
      </w:r>
      <w:r w:rsidRPr="0087543C">
        <w:rPr>
          <w:lang w:eastAsia="en-AU"/>
        </w:rPr>
        <w:t xml:space="preserve">the deed administration of the Company, being an </w:t>
      </w:r>
      <w:r>
        <w:rPr>
          <w:lang w:eastAsia="en-AU"/>
        </w:rPr>
        <w:t>account maintained by Macquarie Bank. Otherwise, see answer above.</w:t>
      </w:r>
    </w:p>
    <w:p w:rsidR="0087543C" w:rsidRDefault="0087543C" w:rsidP="00342626">
      <w:pPr>
        <w:pStyle w:val="Quote1"/>
        <w:numPr>
          <w:ilvl w:val="0"/>
          <w:numId w:val="29"/>
        </w:numPr>
        <w:rPr>
          <w:i/>
          <w:lang w:eastAsia="en-AU"/>
        </w:rPr>
      </w:pPr>
      <w:r w:rsidRPr="0087543C">
        <w:rPr>
          <w:i/>
          <w:lang w:eastAsia="en-AU"/>
        </w:rPr>
        <w:t>The minutes of the second meeting of the creditors of the Company held on 22</w:t>
      </w:r>
      <w:r w:rsidR="00F23FDC">
        <w:rPr>
          <w:i/>
          <w:lang w:eastAsia="en-AU"/>
        </w:rPr>
        <w:t> </w:t>
      </w:r>
      <w:r w:rsidRPr="0087543C">
        <w:rPr>
          <w:i/>
          <w:lang w:eastAsia="en-AU"/>
        </w:rPr>
        <w:t xml:space="preserve">November 2013 record that </w:t>
      </w:r>
      <w:r w:rsidRPr="0087543C">
        <w:rPr>
          <w:lang w:eastAsia="en-AU"/>
        </w:rPr>
        <w:t xml:space="preserve">“Ms </w:t>
      </w:r>
      <w:proofErr w:type="spellStart"/>
      <w:r w:rsidRPr="0087543C">
        <w:rPr>
          <w:lang w:eastAsia="en-AU"/>
        </w:rPr>
        <w:t>Tongacan</w:t>
      </w:r>
      <w:proofErr w:type="spellEnd"/>
      <w:r w:rsidRPr="0087543C">
        <w:rPr>
          <w:lang w:eastAsia="en-AU"/>
        </w:rPr>
        <w:t xml:space="preserve"> [on behalf of the ATO] enquired as to the capacity of the business to move forward given it had failed to this point”</w:t>
      </w:r>
      <w:r w:rsidRPr="0087543C">
        <w:rPr>
          <w:i/>
          <w:lang w:eastAsia="en-AU"/>
        </w:rPr>
        <w:t xml:space="preserve"> and </w:t>
      </w:r>
      <w:r w:rsidRPr="0087543C">
        <w:rPr>
          <w:lang w:eastAsia="en-AU"/>
        </w:rPr>
        <w:t>“the Chairperson [Mr Yeo] noted that even if the DOCA fails, the security afforded by the DOCA ensured a better return to creditors in the event of a subsequent liquidation.”</w:t>
      </w:r>
      <w:r w:rsidRPr="0087543C">
        <w:rPr>
          <w:i/>
          <w:lang w:eastAsia="en-AU"/>
        </w:rPr>
        <w:t xml:space="preserve"> Mr Yeo does not have a recollection of these comments.</w:t>
      </w:r>
    </w:p>
    <w:p w:rsidR="005A3464" w:rsidRDefault="005A3464" w:rsidP="00342626">
      <w:pPr>
        <w:pStyle w:val="Quote1"/>
        <w:numPr>
          <w:ilvl w:val="0"/>
          <w:numId w:val="29"/>
        </w:numPr>
        <w:rPr>
          <w:i/>
          <w:lang w:eastAsia="en-AU"/>
        </w:rPr>
      </w:pPr>
      <w:r>
        <w:rPr>
          <w:i/>
          <w:lang w:eastAsia="en-AU"/>
        </w:rPr>
        <w:t>…</w:t>
      </w:r>
    </w:p>
    <w:p w:rsidR="005A3464" w:rsidRDefault="005A3464" w:rsidP="00342626">
      <w:pPr>
        <w:pStyle w:val="Quote1"/>
        <w:numPr>
          <w:ilvl w:val="0"/>
          <w:numId w:val="29"/>
        </w:numPr>
        <w:rPr>
          <w:i/>
          <w:lang w:eastAsia="en-AU"/>
        </w:rPr>
      </w:pPr>
      <w:r w:rsidRPr="005A3464">
        <w:rPr>
          <w:i/>
          <w:lang w:eastAsia="en-AU"/>
        </w:rPr>
        <w:t xml:space="preserve">In addition to the matters referred to </w:t>
      </w:r>
      <w:proofErr w:type="spellStart"/>
      <w:r w:rsidRPr="005A3464">
        <w:rPr>
          <w:i/>
          <w:lang w:eastAsia="en-AU"/>
        </w:rPr>
        <w:t>at</w:t>
      </w:r>
      <w:proofErr w:type="spellEnd"/>
      <w:r w:rsidRPr="005A3464">
        <w:rPr>
          <w:i/>
          <w:lang w:eastAsia="en-AU"/>
        </w:rPr>
        <w:t xml:space="preserve"> paragraph 10 of Mr Yeo’s affidavit dated 3 February 2020, Mr Yeo was aware at all times that pursuant to the ongoing requirement for the Company to comply with its statutory obligations and in accordance with the covenant and undertaking of the Company and Director contained in the DOCA the Company was required to comply with all taxation laws including the lodgement of any required business activity statements, together with any other information required under the taxation laws, and to make payments of any amounts due to the Australian Taxation Office within the prescribed time limits.</w:t>
      </w:r>
    </w:p>
    <w:p w:rsidR="00B059A7" w:rsidRDefault="00B059A7" w:rsidP="00B059A7">
      <w:pPr>
        <w:pStyle w:val="Quote1"/>
        <w:ind w:left="1097"/>
        <w:rPr>
          <w:i/>
          <w:lang w:eastAsia="en-AU"/>
        </w:rPr>
      </w:pPr>
      <w:r>
        <w:rPr>
          <w:i/>
          <w:lang w:eastAsia="en-AU"/>
        </w:rPr>
        <w:t>…</w:t>
      </w:r>
    </w:p>
    <w:p w:rsidR="003164BE" w:rsidRPr="003164BE" w:rsidRDefault="003164BE" w:rsidP="00B059A7">
      <w:pPr>
        <w:pStyle w:val="Quote1"/>
        <w:ind w:left="1097"/>
        <w:rPr>
          <w:lang w:eastAsia="en-AU"/>
        </w:rPr>
      </w:pPr>
      <w:r>
        <w:rPr>
          <w:lang w:eastAsia="en-AU"/>
        </w:rPr>
        <w:t>(Emphasis in original)</w:t>
      </w:r>
    </w:p>
    <w:p w:rsidR="0087543C" w:rsidRPr="0087543C" w:rsidRDefault="0087543C" w:rsidP="0087543C">
      <w:pPr>
        <w:pStyle w:val="Quote1"/>
        <w:rPr>
          <w:lang w:eastAsia="en-AU"/>
        </w:rPr>
      </w:pPr>
    </w:p>
    <w:p w:rsidR="003C3A36" w:rsidRDefault="003C3A36" w:rsidP="00B271BF">
      <w:pPr>
        <w:pStyle w:val="Heading1"/>
        <w:rPr>
          <w:lang w:eastAsia="en-AU"/>
        </w:rPr>
      </w:pPr>
      <w:r>
        <w:rPr>
          <w:lang w:eastAsia="en-AU"/>
        </w:rPr>
        <w:lastRenderedPageBreak/>
        <w:t>The Corporations Act and the effect of the DOCA</w:t>
      </w:r>
    </w:p>
    <w:p w:rsidR="00560FFC" w:rsidRDefault="00560FFC" w:rsidP="0062777D">
      <w:pPr>
        <w:pStyle w:val="ParaNumbering"/>
        <w:rPr>
          <w:lang w:eastAsia="en-AU"/>
        </w:rPr>
      </w:pPr>
      <w:r>
        <w:rPr>
          <w:lang w:eastAsia="en-AU"/>
        </w:rPr>
        <w:t>Section 444D of the</w:t>
      </w:r>
      <w:r w:rsidR="00E1717C">
        <w:rPr>
          <w:lang w:eastAsia="en-AU"/>
        </w:rPr>
        <w:t xml:space="preserve"> Corporations</w:t>
      </w:r>
      <w:r>
        <w:rPr>
          <w:lang w:eastAsia="en-AU"/>
        </w:rPr>
        <w:t xml:space="preserve"> Act provides:</w:t>
      </w:r>
    </w:p>
    <w:p w:rsidR="00560FFC" w:rsidRPr="009F30E1" w:rsidRDefault="00560FFC" w:rsidP="00342626">
      <w:pPr>
        <w:pStyle w:val="Quote1"/>
        <w:numPr>
          <w:ilvl w:val="0"/>
          <w:numId w:val="23"/>
        </w:numPr>
        <w:ind w:left="1418" w:hanging="681"/>
        <w:rPr>
          <w:i/>
          <w:lang w:eastAsia="en-AU"/>
        </w:rPr>
      </w:pPr>
      <w:r w:rsidRPr="009F30E1">
        <w:rPr>
          <w:i/>
          <w:lang w:eastAsia="en-AU"/>
        </w:rPr>
        <w:t>A deed of company arrangement binds all creditors of the company, so far as concerns claims arising on or before the day specified in the deed under paragraph 444A(4)(</w:t>
      </w:r>
      <w:proofErr w:type="spellStart"/>
      <w:r w:rsidRPr="009F30E1">
        <w:rPr>
          <w:i/>
          <w:lang w:eastAsia="en-AU"/>
        </w:rPr>
        <w:t>i</w:t>
      </w:r>
      <w:proofErr w:type="spellEnd"/>
      <w:r w:rsidRPr="009F30E1">
        <w:rPr>
          <w:i/>
          <w:lang w:eastAsia="en-AU"/>
        </w:rPr>
        <w:t>).</w:t>
      </w:r>
    </w:p>
    <w:p w:rsidR="00560FFC" w:rsidRDefault="00560FFC" w:rsidP="00342626">
      <w:pPr>
        <w:pStyle w:val="Quote1"/>
        <w:numPr>
          <w:ilvl w:val="0"/>
          <w:numId w:val="23"/>
        </w:numPr>
        <w:ind w:left="1418" w:hanging="681"/>
        <w:rPr>
          <w:i/>
          <w:lang w:eastAsia="en-AU"/>
        </w:rPr>
      </w:pPr>
      <w:r>
        <w:rPr>
          <w:i/>
          <w:lang w:eastAsia="en-AU"/>
        </w:rPr>
        <w:t>Subsection (1) does not prevent a secured creditor from realising or otherwise dealing with the security interest, except so far as:</w:t>
      </w:r>
    </w:p>
    <w:p w:rsidR="00560FFC" w:rsidRPr="009F30E1" w:rsidRDefault="009F30E1" w:rsidP="009F30E1">
      <w:pPr>
        <w:pStyle w:val="Quote2"/>
        <w:ind w:left="2160" w:hanging="720"/>
        <w:rPr>
          <w:i/>
          <w:lang w:eastAsia="en-AU"/>
        </w:rPr>
      </w:pPr>
      <w:r>
        <w:rPr>
          <w:i/>
          <w:lang w:eastAsia="en-AU"/>
        </w:rPr>
        <w:t>(a)</w:t>
      </w:r>
      <w:r>
        <w:rPr>
          <w:i/>
          <w:lang w:eastAsia="en-AU"/>
        </w:rPr>
        <w:tab/>
      </w:r>
      <w:r w:rsidR="00560FFC" w:rsidRPr="009F30E1">
        <w:rPr>
          <w:i/>
          <w:lang w:eastAsia="en-AU"/>
        </w:rPr>
        <w:t>the deed so provides in relation to a secured creditor who voted in favour of the resolution of creditors because of which the company executed the deed; or</w:t>
      </w:r>
    </w:p>
    <w:p w:rsidR="00560FFC" w:rsidRPr="009F30E1" w:rsidRDefault="009F30E1" w:rsidP="009F30E1">
      <w:pPr>
        <w:pStyle w:val="Quote2"/>
        <w:rPr>
          <w:i/>
          <w:lang w:eastAsia="en-AU"/>
        </w:rPr>
      </w:pPr>
      <w:r>
        <w:rPr>
          <w:i/>
          <w:lang w:eastAsia="en-AU"/>
        </w:rPr>
        <w:t>(b)</w:t>
      </w:r>
      <w:r>
        <w:rPr>
          <w:i/>
          <w:lang w:eastAsia="en-AU"/>
        </w:rPr>
        <w:tab/>
      </w:r>
      <w:r w:rsidR="00560FFC" w:rsidRPr="009F30E1">
        <w:rPr>
          <w:i/>
          <w:lang w:eastAsia="en-AU"/>
        </w:rPr>
        <w:t>the Court orders under subsection 444F(2).</w:t>
      </w:r>
    </w:p>
    <w:p w:rsidR="00560FFC" w:rsidRPr="009F30E1" w:rsidRDefault="009F30E1" w:rsidP="009F30E1">
      <w:pPr>
        <w:pStyle w:val="Quote1"/>
        <w:ind w:left="1440" w:hanging="703"/>
        <w:rPr>
          <w:i/>
          <w:lang w:eastAsia="en-AU"/>
        </w:rPr>
      </w:pPr>
      <w:r>
        <w:rPr>
          <w:i/>
          <w:lang w:eastAsia="en-AU"/>
        </w:rPr>
        <w:t>(3)</w:t>
      </w:r>
      <w:r>
        <w:rPr>
          <w:i/>
          <w:lang w:eastAsia="en-AU"/>
        </w:rPr>
        <w:tab/>
      </w:r>
      <w:r w:rsidR="00D405CD" w:rsidRPr="009F30E1">
        <w:rPr>
          <w:i/>
          <w:lang w:eastAsia="en-AU"/>
        </w:rPr>
        <w:t>Subsection (1) does not affect a right that an owner or lessor of property has in relation to that property except so far as:</w:t>
      </w:r>
    </w:p>
    <w:p w:rsidR="00D405CD" w:rsidRPr="0096566E" w:rsidRDefault="0096566E" w:rsidP="0096566E">
      <w:pPr>
        <w:pStyle w:val="Quote2"/>
        <w:ind w:left="2160" w:hanging="720"/>
        <w:rPr>
          <w:i/>
          <w:lang w:eastAsia="en-AU"/>
        </w:rPr>
      </w:pPr>
      <w:r>
        <w:rPr>
          <w:i/>
          <w:lang w:eastAsia="en-AU"/>
        </w:rPr>
        <w:t>(a)</w:t>
      </w:r>
      <w:r>
        <w:rPr>
          <w:i/>
          <w:lang w:eastAsia="en-AU"/>
        </w:rPr>
        <w:tab/>
      </w:r>
      <w:r w:rsidR="00D405CD" w:rsidRPr="0096566E">
        <w:rPr>
          <w:i/>
          <w:lang w:eastAsia="en-AU"/>
        </w:rPr>
        <w:t>the deed so provides in relation to an owner or lessor of property who voted in favour of the resolution of creditors because of which the company executed the deed; or</w:t>
      </w:r>
    </w:p>
    <w:p w:rsidR="00D405CD" w:rsidRPr="0096566E" w:rsidRDefault="0096566E" w:rsidP="0096566E">
      <w:pPr>
        <w:pStyle w:val="Quote2"/>
        <w:rPr>
          <w:i/>
          <w:lang w:eastAsia="en-AU"/>
        </w:rPr>
      </w:pPr>
      <w:r>
        <w:rPr>
          <w:i/>
          <w:lang w:eastAsia="en-AU"/>
        </w:rPr>
        <w:t>(b)</w:t>
      </w:r>
      <w:r>
        <w:rPr>
          <w:i/>
          <w:lang w:eastAsia="en-AU"/>
        </w:rPr>
        <w:tab/>
      </w:r>
      <w:r w:rsidR="00D405CD" w:rsidRPr="0096566E">
        <w:rPr>
          <w:i/>
          <w:lang w:eastAsia="en-AU"/>
        </w:rPr>
        <w:t>the Court orders under subsection 444F(4).</w:t>
      </w:r>
    </w:p>
    <w:p w:rsidR="00D405CD" w:rsidRPr="0096566E" w:rsidRDefault="00D405CD" w:rsidP="0096566E">
      <w:pPr>
        <w:pStyle w:val="Quote1"/>
        <w:ind w:left="1440" w:hanging="703"/>
        <w:rPr>
          <w:i/>
          <w:lang w:eastAsia="en-AU"/>
        </w:rPr>
      </w:pPr>
      <w:r w:rsidRPr="0096566E">
        <w:rPr>
          <w:i/>
          <w:lang w:eastAsia="en-AU"/>
        </w:rPr>
        <w:t>(3A)</w:t>
      </w:r>
      <w:r w:rsidR="0096566E">
        <w:rPr>
          <w:i/>
          <w:lang w:eastAsia="en-AU"/>
        </w:rPr>
        <w:tab/>
      </w:r>
      <w:r w:rsidRPr="0096566E">
        <w:rPr>
          <w:i/>
          <w:lang w:eastAsia="en-AU"/>
        </w:rPr>
        <w:t>Subsection (1) does not</w:t>
      </w:r>
      <w:r w:rsidR="00DD146C" w:rsidRPr="0096566E">
        <w:rPr>
          <w:i/>
          <w:lang w:eastAsia="en-AU"/>
        </w:rPr>
        <w:t xml:space="preserve"> apply in relation to an owner or lessor of PPSA retention of title property of the company.</w:t>
      </w:r>
    </w:p>
    <w:p w:rsidR="00D405CD" w:rsidRPr="0096566E" w:rsidRDefault="00C170C9" w:rsidP="0096566E">
      <w:pPr>
        <w:pStyle w:val="Quote2"/>
        <w:rPr>
          <w:i/>
          <w:lang w:eastAsia="en-AU"/>
        </w:rPr>
      </w:pPr>
      <w:r w:rsidRPr="0096566E">
        <w:rPr>
          <w:b/>
          <w:i/>
          <w:lang w:eastAsia="en-AU"/>
        </w:rPr>
        <w:t xml:space="preserve">Note: </w:t>
      </w:r>
      <w:r w:rsidRPr="0096566E">
        <w:rPr>
          <w:i/>
          <w:lang w:eastAsia="en-AU"/>
        </w:rPr>
        <w:t xml:space="preserve">Subsection (2) applies in relation to an owner or lessor of PPSA retention of title property of the company. Such an owner or lessor is a secured creditor of the company (see section 51F (meaning of </w:t>
      </w:r>
      <w:r w:rsidRPr="0096566E">
        <w:rPr>
          <w:b/>
          <w:i/>
          <w:lang w:eastAsia="en-AU"/>
        </w:rPr>
        <w:t>PPSA retention of title property</w:t>
      </w:r>
      <w:r w:rsidRPr="0096566E">
        <w:rPr>
          <w:i/>
          <w:lang w:eastAsia="en-AU"/>
        </w:rPr>
        <w:t>)).</w:t>
      </w:r>
    </w:p>
    <w:p w:rsidR="00C170C9" w:rsidRPr="0096566E" w:rsidRDefault="0096566E" w:rsidP="0096566E">
      <w:pPr>
        <w:pStyle w:val="Quote1"/>
        <w:ind w:left="1440" w:hanging="703"/>
        <w:rPr>
          <w:i/>
          <w:lang w:eastAsia="en-AU"/>
        </w:rPr>
      </w:pPr>
      <w:r>
        <w:rPr>
          <w:i/>
          <w:lang w:eastAsia="en-AU"/>
        </w:rPr>
        <w:t>(4)</w:t>
      </w:r>
      <w:r>
        <w:rPr>
          <w:i/>
          <w:lang w:eastAsia="en-AU"/>
        </w:rPr>
        <w:tab/>
      </w:r>
      <w:r w:rsidR="00C170C9" w:rsidRPr="0096566E">
        <w:rPr>
          <w:i/>
          <w:lang w:eastAsia="en-AU"/>
        </w:rPr>
        <w:t>Section 231 does not prevent a creditor of the company from becoming a member of the company as a result of the deed requiring the creditor to accept an offer of shares in the company.</w:t>
      </w:r>
    </w:p>
    <w:p w:rsidR="000A6021" w:rsidRDefault="00116ECE" w:rsidP="000A6021">
      <w:pPr>
        <w:pStyle w:val="ParaNumbering"/>
      </w:pPr>
      <w:r>
        <w:t xml:space="preserve">Section </w:t>
      </w:r>
      <w:r w:rsidRPr="00116ECE">
        <w:rPr>
          <w:sz w:val="23"/>
          <w:szCs w:val="23"/>
        </w:rPr>
        <w:t xml:space="preserve">444G of the </w:t>
      </w:r>
      <w:r w:rsidR="00722EBC">
        <w:rPr>
          <w:sz w:val="23"/>
          <w:szCs w:val="23"/>
        </w:rPr>
        <w:t xml:space="preserve">Corporations </w:t>
      </w:r>
      <w:r w:rsidRPr="00116ECE">
        <w:rPr>
          <w:sz w:val="23"/>
          <w:szCs w:val="23"/>
        </w:rPr>
        <w:t xml:space="preserve">Act further provides that a </w:t>
      </w:r>
      <w:r w:rsidR="006A367C">
        <w:rPr>
          <w:sz w:val="23"/>
          <w:szCs w:val="23"/>
        </w:rPr>
        <w:t>deed of company arrangement</w:t>
      </w:r>
      <w:r w:rsidRPr="00116ECE">
        <w:rPr>
          <w:sz w:val="23"/>
          <w:szCs w:val="23"/>
        </w:rPr>
        <w:t xml:space="preserve"> also binds the company, its officers and members, and the deed’s administrator. </w:t>
      </w:r>
    </w:p>
    <w:p w:rsidR="000A6021" w:rsidRDefault="008E2EDA" w:rsidP="000A6021">
      <w:pPr>
        <w:pStyle w:val="ParaNumbering"/>
      </w:pPr>
      <w:r>
        <w:rPr>
          <w:szCs w:val="24"/>
        </w:rPr>
        <w:t>I</w:t>
      </w:r>
      <w:r w:rsidRPr="000A6021">
        <w:rPr>
          <w:szCs w:val="24"/>
        </w:rPr>
        <w:t>n</w:t>
      </w:r>
      <w:r>
        <w:t xml:space="preserve"> discussing the nature of a deed of company arrangement </w:t>
      </w:r>
      <w:r w:rsidR="000A6021">
        <w:t xml:space="preserve">the High Court in </w:t>
      </w:r>
      <w:r w:rsidR="000A6021">
        <w:rPr>
          <w:i/>
          <w:iCs/>
        </w:rPr>
        <w:t xml:space="preserve">MYT Engineering Pty Ltd v </w:t>
      </w:r>
      <w:proofErr w:type="spellStart"/>
      <w:r w:rsidR="000A6021">
        <w:rPr>
          <w:i/>
          <w:iCs/>
        </w:rPr>
        <w:t>Mulcon</w:t>
      </w:r>
      <w:proofErr w:type="spellEnd"/>
      <w:r w:rsidR="000A6021">
        <w:rPr>
          <w:i/>
          <w:iCs/>
        </w:rPr>
        <w:t xml:space="preserve"> Pty Ltd </w:t>
      </w:r>
      <w:r w:rsidR="000A6021">
        <w:t>(1999) 195 CLR 636 (</w:t>
      </w:r>
      <w:r w:rsidR="000A6021" w:rsidRPr="000A6021">
        <w:rPr>
          <w:szCs w:val="24"/>
        </w:rPr>
        <w:t xml:space="preserve">per Gleeson CJ, </w:t>
      </w:r>
      <w:proofErr w:type="spellStart"/>
      <w:r w:rsidR="000A6021" w:rsidRPr="000A6021">
        <w:rPr>
          <w:szCs w:val="24"/>
        </w:rPr>
        <w:t>Gaudron</w:t>
      </w:r>
      <w:proofErr w:type="spellEnd"/>
      <w:r w:rsidR="000A6021" w:rsidRPr="000A6021">
        <w:rPr>
          <w:szCs w:val="24"/>
        </w:rPr>
        <w:t xml:space="preserve">, </w:t>
      </w:r>
      <w:proofErr w:type="spellStart"/>
      <w:r w:rsidR="000A6021" w:rsidRPr="000A6021">
        <w:rPr>
          <w:szCs w:val="24"/>
        </w:rPr>
        <w:t>Gummow</w:t>
      </w:r>
      <w:proofErr w:type="spellEnd"/>
      <w:r w:rsidR="000A6021" w:rsidRPr="000A6021">
        <w:rPr>
          <w:szCs w:val="24"/>
        </w:rPr>
        <w:t xml:space="preserve"> and Hayne</w:t>
      </w:r>
      <w:r w:rsidR="00F23FDC">
        <w:rPr>
          <w:szCs w:val="24"/>
        </w:rPr>
        <w:t> </w:t>
      </w:r>
      <w:r w:rsidR="000A6021" w:rsidRPr="000A6021">
        <w:rPr>
          <w:szCs w:val="24"/>
        </w:rPr>
        <w:t>JJ at [25])</w:t>
      </w:r>
      <w:r>
        <w:rPr>
          <w:szCs w:val="24"/>
        </w:rPr>
        <w:t xml:space="preserve"> noted</w:t>
      </w:r>
      <w:r w:rsidR="000A6021">
        <w:t xml:space="preserve">: </w:t>
      </w:r>
    </w:p>
    <w:p w:rsidR="006142F6" w:rsidRPr="006142F6" w:rsidRDefault="000A6021" w:rsidP="006142F6">
      <w:pPr>
        <w:pStyle w:val="Quote1"/>
        <w:rPr>
          <w:i/>
        </w:rPr>
      </w:pPr>
      <w:r w:rsidRPr="000A6021">
        <w:rPr>
          <w:i/>
        </w:rPr>
        <w:t xml:space="preserve">It may be, however, that the deed of company arrangement is not simply a contract. No doubt a deed of company arrangement will contain stipulations and promises of a kind found in contracts between parties. But a deed of company arrangement is more than a set of promises between those who are parties to it. (The only essential parties to a deed of company arrangement are the company and the deed administrator.) First, it is a document that, on execution, effects a change in status of the company </w:t>
      </w:r>
      <w:r w:rsidR="006142F6">
        <w:rPr>
          <w:i/>
        </w:rPr>
        <w:t>–</w:t>
      </w:r>
      <w:r w:rsidRPr="000A6021">
        <w:rPr>
          <w:i/>
        </w:rPr>
        <w:t xml:space="preserve"> from a company under administration to a company subject to a deed of company arrangement. Secondly, it is a document that contains terms that bind all creditors of the company “so far as concerns claims arising on or before the day specified in the deed under paragraph 444A(4)(</w:t>
      </w:r>
      <w:proofErr w:type="spellStart"/>
      <w:r w:rsidRPr="000A6021">
        <w:rPr>
          <w:i/>
        </w:rPr>
        <w:t>i</w:t>
      </w:r>
      <w:proofErr w:type="spellEnd"/>
      <w:r w:rsidRPr="000A6021">
        <w:rPr>
          <w:i/>
        </w:rPr>
        <w:t xml:space="preserve">)”. Those obligations stem from the combined </w:t>
      </w:r>
      <w:r w:rsidRPr="000A6021">
        <w:rPr>
          <w:i/>
        </w:rPr>
        <w:lastRenderedPageBreak/>
        <w:t xml:space="preserve">operation of the deed of company arrangement and the Law, not from any contractual bargain between the persons bound, and are imposed on all creditors </w:t>
      </w:r>
      <w:r w:rsidR="00307CB2">
        <w:rPr>
          <w:i/>
        </w:rPr>
        <w:t>–</w:t>
      </w:r>
      <w:r w:rsidRPr="000A6021">
        <w:rPr>
          <w:i/>
        </w:rPr>
        <w:t xml:space="preserve"> not just those who voted in favour of any composition or moratorium reflected in the deed of company arrangement.</w:t>
      </w:r>
    </w:p>
    <w:p w:rsidR="006142F6" w:rsidRPr="006142F6" w:rsidRDefault="006142F6" w:rsidP="006142F6">
      <w:pPr>
        <w:pStyle w:val="ParaNumbering"/>
        <w:rPr>
          <w:szCs w:val="24"/>
        </w:rPr>
      </w:pPr>
      <w:r>
        <w:t xml:space="preserve">As further explained by Barrett J in </w:t>
      </w:r>
      <w:r w:rsidRPr="00307CB2">
        <w:rPr>
          <w:i/>
        </w:rPr>
        <w:t>Reed Constructions Australia Limited v DM Fabrications Pty Ltd</w:t>
      </w:r>
      <w:r>
        <w:t xml:space="preserve"> (2007) 25 ACLC </w:t>
      </w:r>
      <w:r w:rsidR="00307CB2">
        <w:rPr>
          <w:szCs w:val="24"/>
        </w:rPr>
        <w:t>1463 (at [20])</w:t>
      </w:r>
      <w:r w:rsidRPr="006142F6">
        <w:rPr>
          <w:szCs w:val="24"/>
        </w:rPr>
        <w:t xml:space="preserve">: </w:t>
      </w:r>
    </w:p>
    <w:p w:rsidR="00F93F86" w:rsidRPr="006142F6" w:rsidRDefault="006142F6" w:rsidP="006142F6">
      <w:pPr>
        <w:pStyle w:val="Quote1"/>
        <w:rPr>
          <w:i/>
          <w:lang w:eastAsia="en-AU"/>
        </w:rPr>
      </w:pPr>
      <w:r w:rsidRPr="006142F6">
        <w:rPr>
          <w:i/>
        </w:rPr>
        <w:t>Sections 444D and 444G identify persons who are bound by a deed of company arrangement. Those persons are not parties bound together by contract. They are persons whose rights and obligations are created by law by virtue of the execution of the relevant instruments. They are akin, in that respect, to persons bound by a scheme of arrangement under Part 5.1 of the Corporations Act.</w:t>
      </w:r>
    </w:p>
    <w:p w:rsidR="0050273C" w:rsidRDefault="0050273C" w:rsidP="0050273C">
      <w:pPr>
        <w:pStyle w:val="ParaNumbering"/>
      </w:pPr>
      <w:r>
        <w:t xml:space="preserve">Each of the </w:t>
      </w:r>
      <w:r w:rsidR="00722EBC">
        <w:t>above provisions is found in P</w:t>
      </w:r>
      <w:r>
        <w:t>t 5.3A of the Corporations Act.  The object of Pt</w:t>
      </w:r>
      <w:r w:rsidR="00F23FDC">
        <w:t> </w:t>
      </w:r>
      <w:r>
        <w:t xml:space="preserve">5.3A, which is headed ‘Administration of a company’s affairs with a view to executing a deed of company arrangement’, is stated in s 435A: </w:t>
      </w:r>
    </w:p>
    <w:p w:rsidR="0050273C" w:rsidRPr="0050273C" w:rsidRDefault="0050273C" w:rsidP="0050273C">
      <w:pPr>
        <w:pStyle w:val="Quote1"/>
        <w:rPr>
          <w:i/>
          <w:szCs w:val="22"/>
        </w:rPr>
      </w:pPr>
      <w:r w:rsidRPr="0050273C">
        <w:rPr>
          <w:i/>
          <w:szCs w:val="22"/>
        </w:rPr>
        <w:t>The object of this Part</w:t>
      </w:r>
      <w:r w:rsidR="00333DD8">
        <w:rPr>
          <w:i/>
          <w:szCs w:val="22"/>
        </w:rPr>
        <w:t xml:space="preserve"> …</w:t>
      </w:r>
      <w:r w:rsidRPr="0050273C">
        <w:rPr>
          <w:i/>
          <w:szCs w:val="22"/>
        </w:rPr>
        <w:t xml:space="preserve"> is to provide for the business, property and affairs of an insolvent company to be administered in a way that: </w:t>
      </w:r>
    </w:p>
    <w:p w:rsidR="0050273C" w:rsidRPr="0096566E" w:rsidRDefault="0096566E" w:rsidP="0096566E">
      <w:pPr>
        <w:pStyle w:val="Quote1"/>
        <w:ind w:left="1440" w:hanging="703"/>
        <w:rPr>
          <w:i/>
        </w:rPr>
      </w:pPr>
      <w:r>
        <w:rPr>
          <w:i/>
        </w:rPr>
        <w:t>(a)</w:t>
      </w:r>
      <w:r>
        <w:rPr>
          <w:i/>
        </w:rPr>
        <w:tab/>
      </w:r>
      <w:r w:rsidR="0050273C" w:rsidRPr="0096566E">
        <w:rPr>
          <w:i/>
        </w:rPr>
        <w:t xml:space="preserve">maximises the chances of the company, or as much as possible of its business, continuing in existence; or </w:t>
      </w:r>
    </w:p>
    <w:p w:rsidR="0050273C" w:rsidRPr="0096566E" w:rsidRDefault="0096566E" w:rsidP="0096566E">
      <w:pPr>
        <w:pStyle w:val="Quote1"/>
        <w:ind w:left="1440" w:hanging="703"/>
        <w:rPr>
          <w:i/>
        </w:rPr>
      </w:pPr>
      <w:r>
        <w:rPr>
          <w:i/>
        </w:rPr>
        <w:t>(b)</w:t>
      </w:r>
      <w:r>
        <w:rPr>
          <w:i/>
        </w:rPr>
        <w:tab/>
      </w:r>
      <w:r w:rsidR="0050273C" w:rsidRPr="0096566E">
        <w:rPr>
          <w:i/>
        </w:rPr>
        <w:t xml:space="preserve">if it is not possible for the company or its business to continue in existence </w:t>
      </w:r>
      <w:r w:rsidR="00333DD8" w:rsidRPr="0096566E">
        <w:rPr>
          <w:i/>
        </w:rPr>
        <w:t>–</w:t>
      </w:r>
      <w:r w:rsidR="0050273C" w:rsidRPr="0096566E">
        <w:rPr>
          <w:i/>
        </w:rPr>
        <w:t xml:space="preserve"> results in a better return for the company’s creditors and members than would result from an immediate winding up of the company.</w:t>
      </w:r>
    </w:p>
    <w:p w:rsidR="00CE260A" w:rsidRDefault="00CE260A" w:rsidP="00CE260A">
      <w:pPr>
        <w:pStyle w:val="Heading2"/>
        <w:rPr>
          <w:lang w:eastAsia="en-AU"/>
        </w:rPr>
      </w:pPr>
      <w:r>
        <w:rPr>
          <w:lang w:eastAsia="en-AU"/>
        </w:rPr>
        <w:t>The introduction of s</w:t>
      </w:r>
      <w:r w:rsidR="00B52CFA">
        <w:rPr>
          <w:lang w:eastAsia="en-AU"/>
        </w:rPr>
        <w:t>ub-s</w:t>
      </w:r>
      <w:r>
        <w:rPr>
          <w:lang w:eastAsia="en-AU"/>
        </w:rPr>
        <w:t xml:space="preserve"> 588FE(2B)</w:t>
      </w:r>
    </w:p>
    <w:p w:rsidR="001B2FA0" w:rsidRDefault="001B2FA0" w:rsidP="0062777D">
      <w:pPr>
        <w:pStyle w:val="ParaNumbering"/>
        <w:rPr>
          <w:lang w:eastAsia="en-AU"/>
        </w:rPr>
      </w:pPr>
      <w:r>
        <w:rPr>
          <w:lang w:eastAsia="en-AU"/>
        </w:rPr>
        <w:t>Section 588FA of the</w:t>
      </w:r>
      <w:r w:rsidR="002B3467">
        <w:rPr>
          <w:lang w:eastAsia="en-AU"/>
        </w:rPr>
        <w:t xml:space="preserve"> Corporations</w:t>
      </w:r>
      <w:r>
        <w:rPr>
          <w:lang w:eastAsia="en-AU"/>
        </w:rPr>
        <w:t xml:space="preserve"> Act provides:</w:t>
      </w:r>
    </w:p>
    <w:p w:rsidR="001B2FA0" w:rsidRPr="0096566E" w:rsidRDefault="001B2FA0" w:rsidP="00342626">
      <w:pPr>
        <w:pStyle w:val="Quote1"/>
        <w:numPr>
          <w:ilvl w:val="0"/>
          <w:numId w:val="28"/>
        </w:numPr>
        <w:ind w:left="1418" w:hanging="681"/>
        <w:rPr>
          <w:i/>
          <w:lang w:eastAsia="en-AU"/>
        </w:rPr>
      </w:pPr>
      <w:r w:rsidRPr="0096566E">
        <w:rPr>
          <w:i/>
          <w:lang w:eastAsia="en-AU"/>
        </w:rPr>
        <w:t>A transaction is an unfair preference given by a company to a</w:t>
      </w:r>
      <w:r w:rsidR="0062777D" w:rsidRPr="0096566E">
        <w:rPr>
          <w:i/>
          <w:lang w:eastAsia="en-AU"/>
        </w:rPr>
        <w:t xml:space="preserve"> </w:t>
      </w:r>
      <w:r w:rsidRPr="0096566E">
        <w:rPr>
          <w:i/>
          <w:iCs/>
          <w:lang w:eastAsia="en-AU"/>
        </w:rPr>
        <w:t>creditor of the company if, and only if:</w:t>
      </w:r>
    </w:p>
    <w:p w:rsidR="0062777D" w:rsidRPr="0096566E" w:rsidRDefault="0096566E" w:rsidP="0096566E">
      <w:pPr>
        <w:pStyle w:val="Quote2"/>
        <w:ind w:left="2160" w:hanging="720"/>
        <w:rPr>
          <w:i/>
          <w:lang w:eastAsia="en-AU"/>
        </w:rPr>
      </w:pPr>
      <w:r>
        <w:rPr>
          <w:i/>
          <w:lang w:eastAsia="en-AU"/>
        </w:rPr>
        <w:t>(a)</w:t>
      </w:r>
      <w:r>
        <w:rPr>
          <w:i/>
          <w:lang w:eastAsia="en-AU"/>
        </w:rPr>
        <w:tab/>
      </w:r>
      <w:r w:rsidR="001B2FA0" w:rsidRPr="0096566E">
        <w:rPr>
          <w:i/>
          <w:lang w:eastAsia="en-AU"/>
        </w:rPr>
        <w:t>the company and the creditor are parties to the transaction</w:t>
      </w:r>
      <w:r w:rsidR="0062777D" w:rsidRPr="0096566E">
        <w:rPr>
          <w:i/>
          <w:lang w:eastAsia="en-AU"/>
        </w:rPr>
        <w:t xml:space="preserve"> </w:t>
      </w:r>
      <w:r w:rsidR="001B2FA0" w:rsidRPr="0096566E">
        <w:rPr>
          <w:i/>
          <w:iCs/>
          <w:lang w:eastAsia="en-AU"/>
        </w:rPr>
        <w:t>(even if someone else is also a party); and</w:t>
      </w:r>
    </w:p>
    <w:p w:rsidR="001B2FA0" w:rsidRPr="0096566E" w:rsidRDefault="0096566E" w:rsidP="0096566E">
      <w:pPr>
        <w:pStyle w:val="Quote2"/>
        <w:ind w:left="2160" w:hanging="720"/>
        <w:rPr>
          <w:i/>
          <w:lang w:eastAsia="en-AU"/>
        </w:rPr>
      </w:pPr>
      <w:r>
        <w:rPr>
          <w:i/>
          <w:lang w:eastAsia="en-AU"/>
        </w:rPr>
        <w:t>(b)</w:t>
      </w:r>
      <w:r>
        <w:rPr>
          <w:i/>
          <w:lang w:eastAsia="en-AU"/>
        </w:rPr>
        <w:tab/>
      </w:r>
      <w:r w:rsidR="001B2FA0" w:rsidRPr="0096566E">
        <w:rPr>
          <w:i/>
          <w:lang w:eastAsia="en-AU"/>
        </w:rPr>
        <w:t>the transaction results in the creditor receiving from the</w:t>
      </w:r>
      <w:r w:rsidR="0062777D" w:rsidRPr="0096566E">
        <w:rPr>
          <w:i/>
          <w:lang w:eastAsia="en-AU"/>
        </w:rPr>
        <w:t xml:space="preserve"> </w:t>
      </w:r>
      <w:r w:rsidR="001B2FA0" w:rsidRPr="0096566E">
        <w:rPr>
          <w:i/>
          <w:lang w:eastAsia="en-AU"/>
        </w:rPr>
        <w:t>company, in respect of an unsecured debt that the company</w:t>
      </w:r>
      <w:r w:rsidR="0062777D" w:rsidRPr="0096566E">
        <w:rPr>
          <w:i/>
          <w:lang w:eastAsia="en-AU"/>
        </w:rPr>
        <w:t xml:space="preserve"> </w:t>
      </w:r>
      <w:r w:rsidR="001B2FA0" w:rsidRPr="0096566E">
        <w:rPr>
          <w:i/>
          <w:lang w:eastAsia="en-AU"/>
        </w:rPr>
        <w:t>owes to the creditor, more than the creditor would receive</w:t>
      </w:r>
      <w:r w:rsidR="0062777D" w:rsidRPr="0096566E">
        <w:rPr>
          <w:i/>
          <w:lang w:eastAsia="en-AU"/>
        </w:rPr>
        <w:t xml:space="preserve"> </w:t>
      </w:r>
      <w:r w:rsidR="001B2FA0" w:rsidRPr="0096566E">
        <w:rPr>
          <w:i/>
          <w:lang w:eastAsia="en-AU"/>
        </w:rPr>
        <w:t>from the company in respect of the debt if the transaction were</w:t>
      </w:r>
      <w:r w:rsidR="0062777D" w:rsidRPr="0096566E">
        <w:rPr>
          <w:i/>
          <w:lang w:eastAsia="en-AU"/>
        </w:rPr>
        <w:t xml:space="preserve"> </w:t>
      </w:r>
      <w:r w:rsidR="001B2FA0" w:rsidRPr="0096566E">
        <w:rPr>
          <w:i/>
          <w:lang w:eastAsia="en-AU"/>
        </w:rPr>
        <w:t>set aside and the creditor were to prove for the debt in a</w:t>
      </w:r>
      <w:r w:rsidR="0062777D" w:rsidRPr="0096566E">
        <w:rPr>
          <w:i/>
          <w:lang w:eastAsia="en-AU"/>
        </w:rPr>
        <w:t xml:space="preserve"> </w:t>
      </w:r>
      <w:r w:rsidR="001B2FA0" w:rsidRPr="0096566E">
        <w:rPr>
          <w:i/>
          <w:lang w:eastAsia="en-AU"/>
        </w:rPr>
        <w:t>winding up of the company;</w:t>
      </w:r>
    </w:p>
    <w:p w:rsidR="001B2FA0" w:rsidRPr="0096566E" w:rsidRDefault="001B2FA0" w:rsidP="0096566E">
      <w:pPr>
        <w:pStyle w:val="Quote2"/>
        <w:rPr>
          <w:i/>
          <w:lang w:eastAsia="en-AU"/>
        </w:rPr>
      </w:pPr>
      <w:r w:rsidRPr="0096566E">
        <w:rPr>
          <w:i/>
          <w:lang w:eastAsia="en-AU"/>
        </w:rPr>
        <w:t>even if the transaction is entered into, is given effect to, or is</w:t>
      </w:r>
      <w:r w:rsidR="00C04D3D" w:rsidRPr="0096566E">
        <w:rPr>
          <w:i/>
          <w:lang w:eastAsia="en-AU"/>
        </w:rPr>
        <w:t xml:space="preserve"> </w:t>
      </w:r>
      <w:r w:rsidRPr="0096566E">
        <w:rPr>
          <w:i/>
          <w:lang w:eastAsia="en-AU"/>
        </w:rPr>
        <w:t>required to be given effect to, because of an order of an</w:t>
      </w:r>
      <w:r w:rsidR="00C04D3D" w:rsidRPr="0096566E">
        <w:rPr>
          <w:i/>
          <w:lang w:eastAsia="en-AU"/>
        </w:rPr>
        <w:t xml:space="preserve"> </w:t>
      </w:r>
      <w:r w:rsidRPr="0096566E">
        <w:rPr>
          <w:i/>
          <w:lang w:eastAsia="en-AU"/>
        </w:rPr>
        <w:t>Australian court or a direction by an agency.</w:t>
      </w:r>
    </w:p>
    <w:p w:rsidR="001B2FA0" w:rsidRPr="0096566E" w:rsidRDefault="001B2FA0" w:rsidP="00342626">
      <w:pPr>
        <w:pStyle w:val="Quote1"/>
        <w:numPr>
          <w:ilvl w:val="0"/>
          <w:numId w:val="28"/>
        </w:numPr>
        <w:ind w:left="1418" w:hanging="681"/>
        <w:rPr>
          <w:i/>
          <w:lang w:eastAsia="en-AU"/>
        </w:rPr>
      </w:pPr>
      <w:r w:rsidRPr="0096566E">
        <w:rPr>
          <w:i/>
          <w:lang w:eastAsia="en-AU"/>
        </w:rPr>
        <w:t>For the purposes of subsection (1), a secured debt is taken to be</w:t>
      </w:r>
      <w:r w:rsidR="00C04D3D" w:rsidRPr="0096566E">
        <w:rPr>
          <w:i/>
          <w:lang w:eastAsia="en-AU"/>
        </w:rPr>
        <w:t xml:space="preserve"> </w:t>
      </w:r>
      <w:r w:rsidRPr="0096566E">
        <w:rPr>
          <w:i/>
          <w:lang w:eastAsia="en-AU"/>
        </w:rPr>
        <w:t>unsecured to the extent of so much of it (if any) as is not reflected in</w:t>
      </w:r>
      <w:r w:rsidR="00C04D3D" w:rsidRPr="0096566E">
        <w:rPr>
          <w:i/>
          <w:lang w:eastAsia="en-AU"/>
        </w:rPr>
        <w:t xml:space="preserve"> </w:t>
      </w:r>
      <w:r w:rsidRPr="0096566E">
        <w:rPr>
          <w:i/>
          <w:lang w:eastAsia="en-AU"/>
        </w:rPr>
        <w:t>the value of the security.</w:t>
      </w:r>
      <w:r w:rsidR="00C04D3D" w:rsidRPr="0096566E">
        <w:rPr>
          <w:i/>
          <w:lang w:eastAsia="en-AU"/>
        </w:rPr>
        <w:t xml:space="preserve"> </w:t>
      </w:r>
    </w:p>
    <w:p w:rsidR="001B2FA0" w:rsidRDefault="00E75B5A" w:rsidP="00E75B5A">
      <w:pPr>
        <w:pStyle w:val="ParaNumbering"/>
        <w:rPr>
          <w:lang w:eastAsia="en-AU"/>
        </w:rPr>
      </w:pPr>
      <w:r w:rsidRPr="00E75B5A">
        <w:t>S</w:t>
      </w:r>
      <w:r w:rsidR="00327280">
        <w:t>ubs</w:t>
      </w:r>
      <w:r w:rsidRPr="00E75B5A">
        <w:t xml:space="preserve">ection 588FE(2B) of the </w:t>
      </w:r>
      <w:r w:rsidR="00561AB0">
        <w:t xml:space="preserve">Corporations </w:t>
      </w:r>
      <w:r w:rsidRPr="00E75B5A">
        <w:t xml:space="preserve">Act was inserted by reason of the enactment of the </w:t>
      </w:r>
      <w:r w:rsidRPr="00E75B5A">
        <w:rPr>
          <w:i/>
          <w:iCs/>
        </w:rPr>
        <w:t xml:space="preserve">Corporations Amendment (Insolvency) Act 2007 </w:t>
      </w:r>
      <w:r w:rsidRPr="00E75B5A">
        <w:t>(</w:t>
      </w:r>
      <w:proofErr w:type="spellStart"/>
      <w:r w:rsidRPr="00E75B5A">
        <w:t>Cth</w:t>
      </w:r>
      <w:proofErr w:type="spellEnd"/>
      <w:r w:rsidRPr="00E75B5A">
        <w:t>)</w:t>
      </w:r>
      <w:r>
        <w:t>.</w:t>
      </w:r>
      <w:r>
        <w:rPr>
          <w:lang w:eastAsia="en-AU"/>
        </w:rPr>
        <w:t xml:space="preserve">  It </w:t>
      </w:r>
      <w:r w:rsidR="00BF6F7F">
        <w:rPr>
          <w:lang w:eastAsia="en-AU"/>
        </w:rPr>
        <w:t>provide</w:t>
      </w:r>
      <w:r w:rsidR="00B059A7">
        <w:rPr>
          <w:lang w:eastAsia="en-AU"/>
        </w:rPr>
        <w:t>s</w:t>
      </w:r>
      <w:r w:rsidR="001B2FA0">
        <w:rPr>
          <w:lang w:eastAsia="en-AU"/>
        </w:rPr>
        <w:t xml:space="preserve"> as follows:</w:t>
      </w:r>
    </w:p>
    <w:p w:rsidR="001B2FA0" w:rsidRPr="00817327" w:rsidRDefault="00EC0FDE" w:rsidP="00C04D3D">
      <w:pPr>
        <w:pStyle w:val="Quote1"/>
        <w:rPr>
          <w:i/>
          <w:szCs w:val="22"/>
          <w:lang w:eastAsia="en-AU"/>
        </w:rPr>
      </w:pPr>
      <w:r>
        <w:rPr>
          <w:i/>
          <w:szCs w:val="22"/>
          <w:lang w:eastAsia="en-AU"/>
        </w:rPr>
        <w:lastRenderedPageBreak/>
        <w:t>(2B)</w:t>
      </w:r>
      <w:r>
        <w:rPr>
          <w:i/>
          <w:szCs w:val="22"/>
          <w:lang w:eastAsia="en-AU"/>
        </w:rPr>
        <w:tab/>
      </w:r>
      <w:r w:rsidR="001B2FA0" w:rsidRPr="00817327">
        <w:rPr>
          <w:i/>
          <w:szCs w:val="22"/>
          <w:lang w:eastAsia="en-AU"/>
        </w:rPr>
        <w:t>The transaction is voidable if:</w:t>
      </w:r>
    </w:p>
    <w:p w:rsidR="008851B0" w:rsidRPr="00EC0FDE" w:rsidRDefault="00EC0FDE" w:rsidP="00EC0FDE">
      <w:pPr>
        <w:pStyle w:val="Quote2"/>
        <w:rPr>
          <w:i/>
          <w:lang w:eastAsia="en-AU"/>
        </w:rPr>
      </w:pPr>
      <w:r>
        <w:rPr>
          <w:i/>
          <w:lang w:eastAsia="en-AU"/>
        </w:rPr>
        <w:t>(a)</w:t>
      </w:r>
      <w:r>
        <w:rPr>
          <w:i/>
          <w:lang w:eastAsia="en-AU"/>
        </w:rPr>
        <w:tab/>
      </w:r>
      <w:r w:rsidR="001B2FA0" w:rsidRPr="00EC0FDE">
        <w:rPr>
          <w:i/>
          <w:lang w:eastAsia="en-AU"/>
        </w:rPr>
        <w:t>the transaction is:</w:t>
      </w:r>
    </w:p>
    <w:p w:rsidR="008851B0" w:rsidRPr="00EC0FDE" w:rsidRDefault="00EC0FDE" w:rsidP="00EC0FDE">
      <w:pPr>
        <w:pStyle w:val="Quote3"/>
        <w:ind w:left="2880" w:hanging="720"/>
        <w:rPr>
          <w:i/>
          <w:lang w:eastAsia="en-AU"/>
        </w:rPr>
      </w:pPr>
      <w:r>
        <w:rPr>
          <w:i/>
          <w:lang w:eastAsia="en-AU"/>
        </w:rPr>
        <w:t>(</w:t>
      </w:r>
      <w:proofErr w:type="spellStart"/>
      <w:r>
        <w:rPr>
          <w:i/>
          <w:lang w:eastAsia="en-AU"/>
        </w:rPr>
        <w:t>i</w:t>
      </w:r>
      <w:proofErr w:type="spellEnd"/>
      <w:r>
        <w:rPr>
          <w:i/>
          <w:lang w:eastAsia="en-AU"/>
        </w:rPr>
        <w:t>)</w:t>
      </w:r>
      <w:r>
        <w:rPr>
          <w:i/>
          <w:lang w:eastAsia="en-AU"/>
        </w:rPr>
        <w:tab/>
      </w:r>
      <w:r w:rsidR="00817327" w:rsidRPr="00EC0FDE">
        <w:rPr>
          <w:i/>
          <w:lang w:eastAsia="en-AU"/>
        </w:rPr>
        <w:t>an uncommercial transaction of the company; or</w:t>
      </w:r>
    </w:p>
    <w:p w:rsidR="001B2FA0" w:rsidRPr="00EC0FDE" w:rsidRDefault="00EC0FDE" w:rsidP="00EC0FDE">
      <w:pPr>
        <w:pStyle w:val="Quote3"/>
        <w:ind w:left="2880" w:hanging="720"/>
        <w:rPr>
          <w:i/>
          <w:lang w:eastAsia="en-AU"/>
        </w:rPr>
      </w:pPr>
      <w:r>
        <w:rPr>
          <w:i/>
          <w:iCs/>
          <w:lang w:eastAsia="en-AU"/>
        </w:rPr>
        <w:t>(ii)</w:t>
      </w:r>
      <w:r>
        <w:rPr>
          <w:i/>
          <w:iCs/>
          <w:lang w:eastAsia="en-AU"/>
        </w:rPr>
        <w:tab/>
      </w:r>
      <w:r w:rsidR="001B2FA0" w:rsidRPr="00EC0FDE">
        <w:rPr>
          <w:i/>
          <w:iCs/>
          <w:lang w:eastAsia="en-AU"/>
        </w:rPr>
        <w:t>an unfair preference given by the company to a creditor</w:t>
      </w:r>
      <w:r w:rsidR="00064917" w:rsidRPr="00EC0FDE">
        <w:rPr>
          <w:i/>
          <w:iCs/>
          <w:lang w:eastAsia="en-AU"/>
        </w:rPr>
        <w:t xml:space="preserve"> </w:t>
      </w:r>
      <w:r w:rsidR="001B2FA0" w:rsidRPr="00EC0FDE">
        <w:rPr>
          <w:i/>
          <w:iCs/>
          <w:lang w:eastAsia="en-AU"/>
        </w:rPr>
        <w:t>of the company;</w:t>
      </w:r>
      <w:r w:rsidR="008851B0" w:rsidRPr="00EC0FDE">
        <w:rPr>
          <w:i/>
          <w:iCs/>
          <w:lang w:eastAsia="en-AU"/>
        </w:rPr>
        <w:t xml:space="preserve"> </w:t>
      </w:r>
      <w:r w:rsidR="00817327" w:rsidRPr="00EC0FDE">
        <w:rPr>
          <w:i/>
          <w:iCs/>
          <w:lang w:eastAsia="en-AU"/>
        </w:rPr>
        <w:t>or</w:t>
      </w:r>
    </w:p>
    <w:p w:rsidR="009D5D9B" w:rsidRPr="00EC0FDE" w:rsidRDefault="00EC0FDE" w:rsidP="00EC0FDE">
      <w:pPr>
        <w:pStyle w:val="Quote3"/>
        <w:ind w:left="2880" w:hanging="720"/>
        <w:rPr>
          <w:i/>
          <w:lang w:eastAsia="en-AU"/>
        </w:rPr>
      </w:pPr>
      <w:r>
        <w:rPr>
          <w:i/>
          <w:iCs/>
          <w:lang w:eastAsia="en-AU"/>
        </w:rPr>
        <w:t>(iii)</w:t>
      </w:r>
      <w:r>
        <w:rPr>
          <w:i/>
          <w:iCs/>
          <w:lang w:eastAsia="en-AU"/>
        </w:rPr>
        <w:tab/>
      </w:r>
      <w:r w:rsidR="00817327" w:rsidRPr="00EC0FDE">
        <w:rPr>
          <w:i/>
          <w:iCs/>
          <w:lang w:eastAsia="en-AU"/>
        </w:rPr>
        <w:t>an unfair loan to the company; or</w:t>
      </w:r>
    </w:p>
    <w:p w:rsidR="00817327" w:rsidRPr="00EC0FDE" w:rsidRDefault="00EC0FDE" w:rsidP="00EC0FDE">
      <w:pPr>
        <w:pStyle w:val="Quote3"/>
        <w:ind w:left="2880" w:hanging="720"/>
        <w:rPr>
          <w:i/>
          <w:lang w:eastAsia="en-AU"/>
        </w:rPr>
      </w:pPr>
      <w:r>
        <w:rPr>
          <w:i/>
          <w:iCs/>
          <w:lang w:eastAsia="en-AU"/>
        </w:rPr>
        <w:t>(iv)</w:t>
      </w:r>
      <w:r>
        <w:rPr>
          <w:i/>
          <w:iCs/>
          <w:lang w:eastAsia="en-AU"/>
        </w:rPr>
        <w:tab/>
      </w:r>
      <w:r w:rsidR="00817327" w:rsidRPr="00EC0FDE">
        <w:rPr>
          <w:i/>
          <w:iCs/>
          <w:lang w:eastAsia="en-AU"/>
        </w:rPr>
        <w:t>an unreasonable director-related transaction of the company; and</w:t>
      </w:r>
    </w:p>
    <w:p w:rsidR="001B2FA0" w:rsidRPr="00EC0FDE" w:rsidRDefault="00EC0FDE" w:rsidP="00EC0FDE">
      <w:pPr>
        <w:pStyle w:val="Quote2"/>
        <w:ind w:left="2160" w:hanging="720"/>
        <w:rPr>
          <w:i/>
          <w:lang w:eastAsia="en-AU"/>
        </w:rPr>
      </w:pPr>
      <w:r>
        <w:rPr>
          <w:i/>
          <w:lang w:eastAsia="en-AU"/>
        </w:rPr>
        <w:t>(b)</w:t>
      </w:r>
      <w:r>
        <w:rPr>
          <w:i/>
          <w:lang w:eastAsia="en-AU"/>
        </w:rPr>
        <w:tab/>
      </w:r>
      <w:r w:rsidR="001B2FA0" w:rsidRPr="00EC0FDE">
        <w:rPr>
          <w:i/>
          <w:lang w:eastAsia="en-AU"/>
        </w:rPr>
        <w:t>the company was subject to a deed of company arrangement</w:t>
      </w:r>
      <w:r w:rsidR="00E26B63" w:rsidRPr="00EC0FDE">
        <w:rPr>
          <w:i/>
          <w:lang w:eastAsia="en-AU"/>
        </w:rPr>
        <w:t xml:space="preserve"> </w:t>
      </w:r>
      <w:r w:rsidR="001B2FA0" w:rsidRPr="00EC0FDE">
        <w:rPr>
          <w:i/>
          <w:lang w:eastAsia="en-AU"/>
        </w:rPr>
        <w:t>immediately before:</w:t>
      </w:r>
    </w:p>
    <w:p w:rsidR="00817327" w:rsidRPr="00EC0FDE" w:rsidRDefault="00EC0FDE" w:rsidP="00EC0FDE">
      <w:pPr>
        <w:pStyle w:val="Quote3"/>
        <w:ind w:left="2880" w:hanging="720"/>
        <w:rPr>
          <w:i/>
          <w:lang w:eastAsia="en-AU"/>
        </w:rPr>
      </w:pPr>
      <w:r>
        <w:rPr>
          <w:i/>
          <w:lang w:eastAsia="en-AU"/>
        </w:rPr>
        <w:t>(</w:t>
      </w:r>
      <w:proofErr w:type="spellStart"/>
      <w:r>
        <w:rPr>
          <w:i/>
          <w:lang w:eastAsia="en-AU"/>
        </w:rPr>
        <w:t>i</w:t>
      </w:r>
      <w:proofErr w:type="spellEnd"/>
      <w:r>
        <w:rPr>
          <w:i/>
          <w:lang w:eastAsia="en-AU"/>
        </w:rPr>
        <w:t>)</w:t>
      </w:r>
      <w:r>
        <w:rPr>
          <w:i/>
          <w:lang w:eastAsia="en-AU"/>
        </w:rPr>
        <w:tab/>
      </w:r>
      <w:r w:rsidR="001B2FA0" w:rsidRPr="00EC0FDE">
        <w:rPr>
          <w:i/>
          <w:lang w:eastAsia="en-AU"/>
        </w:rPr>
        <w:t>the company resolved by special resolution that it be</w:t>
      </w:r>
      <w:r w:rsidR="00E26B63" w:rsidRPr="00EC0FDE">
        <w:rPr>
          <w:i/>
          <w:lang w:eastAsia="en-AU"/>
        </w:rPr>
        <w:t xml:space="preserve"> </w:t>
      </w:r>
      <w:r w:rsidR="001B2FA0" w:rsidRPr="00EC0FDE">
        <w:rPr>
          <w:i/>
          <w:lang w:eastAsia="en-AU"/>
        </w:rPr>
        <w:t>wound up voluntarily;</w:t>
      </w:r>
      <w:r w:rsidR="00561AB0" w:rsidRPr="00EC0FDE">
        <w:rPr>
          <w:i/>
          <w:lang w:eastAsia="en-AU"/>
        </w:rPr>
        <w:t xml:space="preserve"> </w:t>
      </w:r>
      <w:r w:rsidR="00817327" w:rsidRPr="00EC0FDE">
        <w:rPr>
          <w:i/>
          <w:lang w:eastAsia="en-AU"/>
        </w:rPr>
        <w:t>or</w:t>
      </w:r>
    </w:p>
    <w:p w:rsidR="001B2FA0" w:rsidRPr="00EC0FDE" w:rsidRDefault="00EC0FDE" w:rsidP="00EC0FDE">
      <w:pPr>
        <w:pStyle w:val="Quote3"/>
        <w:rPr>
          <w:i/>
          <w:lang w:eastAsia="en-AU"/>
        </w:rPr>
      </w:pPr>
      <w:r>
        <w:rPr>
          <w:i/>
          <w:lang w:eastAsia="en-AU"/>
        </w:rPr>
        <w:t>(ii)</w:t>
      </w:r>
      <w:r>
        <w:rPr>
          <w:i/>
          <w:lang w:eastAsia="en-AU"/>
        </w:rPr>
        <w:tab/>
      </w:r>
      <w:r w:rsidR="00817327" w:rsidRPr="00EC0FDE">
        <w:rPr>
          <w:i/>
          <w:lang w:eastAsia="en-AU"/>
        </w:rPr>
        <w:t>the Court ordered that the company be wound up; and</w:t>
      </w:r>
    </w:p>
    <w:p w:rsidR="001B2FA0" w:rsidRPr="00EC0FDE" w:rsidRDefault="00EC0FDE" w:rsidP="00EC0FDE">
      <w:pPr>
        <w:pStyle w:val="Quote2"/>
        <w:ind w:left="2160" w:hanging="720"/>
        <w:rPr>
          <w:i/>
          <w:lang w:eastAsia="en-AU"/>
        </w:rPr>
      </w:pPr>
      <w:r>
        <w:rPr>
          <w:i/>
          <w:lang w:eastAsia="en-AU"/>
        </w:rPr>
        <w:t>(c)</w:t>
      </w:r>
      <w:r>
        <w:rPr>
          <w:i/>
          <w:lang w:eastAsia="en-AU"/>
        </w:rPr>
        <w:tab/>
      </w:r>
      <w:r w:rsidR="001B2FA0" w:rsidRPr="00EC0FDE">
        <w:rPr>
          <w:i/>
          <w:lang w:eastAsia="en-AU"/>
        </w:rPr>
        <w:t>the transaction was entered into, or an act was done for the</w:t>
      </w:r>
      <w:r w:rsidR="00E26B63" w:rsidRPr="00EC0FDE">
        <w:rPr>
          <w:i/>
          <w:lang w:eastAsia="en-AU"/>
        </w:rPr>
        <w:t xml:space="preserve"> </w:t>
      </w:r>
      <w:r w:rsidR="001B2FA0" w:rsidRPr="00EC0FDE">
        <w:rPr>
          <w:i/>
          <w:lang w:eastAsia="en-AU"/>
        </w:rPr>
        <w:t>purpose of giving effect to it, during the period beginning at</w:t>
      </w:r>
      <w:r w:rsidR="00E26B63" w:rsidRPr="00EC0FDE">
        <w:rPr>
          <w:i/>
          <w:lang w:eastAsia="en-AU"/>
        </w:rPr>
        <w:t xml:space="preserve"> </w:t>
      </w:r>
      <w:r w:rsidR="001B2FA0" w:rsidRPr="00EC0FDE">
        <w:rPr>
          <w:i/>
          <w:lang w:eastAsia="en-AU"/>
        </w:rPr>
        <w:t>the start of the relation-back day and ending:</w:t>
      </w:r>
    </w:p>
    <w:p w:rsidR="00E26B63" w:rsidRPr="00EC0FDE" w:rsidRDefault="00EC0FDE" w:rsidP="00EC0FDE">
      <w:pPr>
        <w:pStyle w:val="Quote3"/>
        <w:ind w:left="2880" w:hanging="720"/>
        <w:rPr>
          <w:i/>
          <w:lang w:eastAsia="en-AU"/>
        </w:rPr>
      </w:pPr>
      <w:r>
        <w:rPr>
          <w:i/>
          <w:lang w:eastAsia="en-AU"/>
        </w:rPr>
        <w:t>(</w:t>
      </w:r>
      <w:proofErr w:type="spellStart"/>
      <w:r>
        <w:rPr>
          <w:i/>
          <w:lang w:eastAsia="en-AU"/>
        </w:rPr>
        <w:t>i</w:t>
      </w:r>
      <w:proofErr w:type="spellEnd"/>
      <w:r>
        <w:rPr>
          <w:i/>
          <w:lang w:eastAsia="en-AU"/>
        </w:rPr>
        <w:t>)</w:t>
      </w:r>
      <w:r>
        <w:rPr>
          <w:i/>
          <w:lang w:eastAsia="en-AU"/>
        </w:rPr>
        <w:tab/>
      </w:r>
      <w:r w:rsidR="001B2FA0" w:rsidRPr="00EC0FDE">
        <w:rPr>
          <w:i/>
          <w:lang w:eastAsia="en-AU"/>
        </w:rPr>
        <w:t>when the company made the special resolution that it be</w:t>
      </w:r>
      <w:r w:rsidR="00E26B63" w:rsidRPr="00EC0FDE">
        <w:rPr>
          <w:i/>
          <w:lang w:eastAsia="en-AU"/>
        </w:rPr>
        <w:t xml:space="preserve"> </w:t>
      </w:r>
      <w:r w:rsidR="001B2FA0" w:rsidRPr="00EC0FDE">
        <w:rPr>
          <w:i/>
          <w:lang w:eastAsia="en-AU"/>
        </w:rPr>
        <w:t xml:space="preserve">wound up voluntarily; </w:t>
      </w:r>
      <w:r w:rsidR="00817327" w:rsidRPr="00EC0FDE">
        <w:rPr>
          <w:i/>
          <w:lang w:eastAsia="en-AU"/>
        </w:rPr>
        <w:t>or</w:t>
      </w:r>
    </w:p>
    <w:p w:rsidR="001B2FA0" w:rsidRPr="00EC0FDE" w:rsidRDefault="00EC0FDE" w:rsidP="00EC0FDE">
      <w:pPr>
        <w:pStyle w:val="Quote3"/>
        <w:ind w:left="2880" w:hanging="720"/>
        <w:rPr>
          <w:i/>
          <w:lang w:eastAsia="en-AU"/>
        </w:rPr>
      </w:pPr>
      <w:r>
        <w:rPr>
          <w:i/>
          <w:lang w:eastAsia="en-AU"/>
        </w:rPr>
        <w:t>(ii)</w:t>
      </w:r>
      <w:r>
        <w:rPr>
          <w:i/>
          <w:lang w:eastAsia="en-AU"/>
        </w:rPr>
        <w:tab/>
      </w:r>
      <w:r w:rsidR="00817327" w:rsidRPr="00EC0FDE">
        <w:rPr>
          <w:i/>
          <w:lang w:eastAsia="en-AU"/>
        </w:rPr>
        <w:t>when the Court made the order that the company be wound up</w:t>
      </w:r>
      <w:r w:rsidR="001B2FA0" w:rsidRPr="00EC0FDE">
        <w:rPr>
          <w:i/>
          <w:lang w:eastAsia="en-AU"/>
        </w:rPr>
        <w:t>; and</w:t>
      </w:r>
    </w:p>
    <w:p w:rsidR="001B2FA0" w:rsidRPr="00D77D28" w:rsidRDefault="00D77D28" w:rsidP="00D77D28">
      <w:pPr>
        <w:pStyle w:val="Quote2"/>
        <w:ind w:left="2160" w:hanging="720"/>
        <w:rPr>
          <w:i/>
          <w:lang w:eastAsia="en-AU"/>
        </w:rPr>
      </w:pPr>
      <w:r>
        <w:rPr>
          <w:i/>
          <w:lang w:eastAsia="en-AU"/>
        </w:rPr>
        <w:t>(d)</w:t>
      </w:r>
      <w:r>
        <w:rPr>
          <w:i/>
          <w:lang w:eastAsia="en-AU"/>
        </w:rPr>
        <w:tab/>
      </w:r>
      <w:r w:rsidR="001B2FA0" w:rsidRPr="00D77D28">
        <w:rPr>
          <w:i/>
          <w:u w:val="single"/>
          <w:lang w:eastAsia="en-AU"/>
        </w:rPr>
        <w:t>the transaction, or the act done for the purpose of giving effect</w:t>
      </w:r>
      <w:r w:rsidR="00E26B63" w:rsidRPr="00D77D28">
        <w:rPr>
          <w:i/>
          <w:u w:val="single"/>
          <w:lang w:eastAsia="en-AU"/>
        </w:rPr>
        <w:t xml:space="preserve"> </w:t>
      </w:r>
      <w:r w:rsidR="001B2FA0" w:rsidRPr="00D77D28">
        <w:rPr>
          <w:i/>
          <w:u w:val="single"/>
          <w:lang w:eastAsia="en-AU"/>
        </w:rPr>
        <w:t>to it, was not entered into, or done, on behalf of the company</w:t>
      </w:r>
      <w:r w:rsidR="00E26B63" w:rsidRPr="00D77D28">
        <w:rPr>
          <w:i/>
          <w:u w:val="single"/>
          <w:lang w:eastAsia="en-AU"/>
        </w:rPr>
        <w:t xml:space="preserve"> </w:t>
      </w:r>
      <w:r w:rsidR="001B2FA0" w:rsidRPr="00D77D28">
        <w:rPr>
          <w:b/>
          <w:i/>
          <w:u w:val="single"/>
          <w:lang w:eastAsia="en-AU"/>
        </w:rPr>
        <w:t>by, or under the authority of</w:t>
      </w:r>
      <w:r w:rsidR="001B2FA0" w:rsidRPr="00D77D28">
        <w:rPr>
          <w:i/>
          <w:lang w:eastAsia="en-AU"/>
        </w:rPr>
        <w:t>:</w:t>
      </w:r>
    </w:p>
    <w:p w:rsidR="00E26B63" w:rsidRPr="00D77D28" w:rsidRDefault="00D77D28" w:rsidP="00D77D28">
      <w:pPr>
        <w:pStyle w:val="Quote3"/>
        <w:rPr>
          <w:i/>
          <w:lang w:eastAsia="en-AU"/>
        </w:rPr>
      </w:pPr>
      <w:r>
        <w:rPr>
          <w:i/>
          <w:lang w:eastAsia="en-AU"/>
        </w:rPr>
        <w:t>(</w:t>
      </w:r>
      <w:proofErr w:type="spellStart"/>
      <w:r>
        <w:rPr>
          <w:i/>
          <w:lang w:eastAsia="en-AU"/>
        </w:rPr>
        <w:t>i</w:t>
      </w:r>
      <w:proofErr w:type="spellEnd"/>
      <w:r>
        <w:rPr>
          <w:i/>
          <w:lang w:eastAsia="en-AU"/>
        </w:rPr>
        <w:t>)</w:t>
      </w:r>
      <w:r>
        <w:rPr>
          <w:i/>
          <w:lang w:eastAsia="en-AU"/>
        </w:rPr>
        <w:tab/>
      </w:r>
      <w:r w:rsidR="001B2FA0" w:rsidRPr="00D77D28">
        <w:rPr>
          <w:i/>
          <w:lang w:eastAsia="en-AU"/>
        </w:rPr>
        <w:t>the administrator of the deed; or</w:t>
      </w:r>
    </w:p>
    <w:p w:rsidR="00561AB0" w:rsidRPr="00D77D28" w:rsidRDefault="00D77D28" w:rsidP="00D77D28">
      <w:pPr>
        <w:pStyle w:val="Quote3"/>
        <w:rPr>
          <w:i/>
          <w:lang w:eastAsia="en-AU"/>
        </w:rPr>
      </w:pPr>
      <w:r>
        <w:rPr>
          <w:i/>
          <w:lang w:eastAsia="en-AU"/>
        </w:rPr>
        <w:t>(ii)</w:t>
      </w:r>
      <w:r>
        <w:rPr>
          <w:i/>
          <w:lang w:eastAsia="en-AU"/>
        </w:rPr>
        <w:tab/>
      </w:r>
      <w:r w:rsidR="001B2FA0" w:rsidRPr="00D77D28">
        <w:rPr>
          <w:i/>
          <w:lang w:eastAsia="en-AU"/>
        </w:rPr>
        <w:t>the administrator of the company.</w:t>
      </w:r>
      <w:r w:rsidR="00817327" w:rsidRPr="00D77D28">
        <w:rPr>
          <w:i/>
          <w:lang w:eastAsia="en-AU"/>
        </w:rPr>
        <w:t xml:space="preserve"> </w:t>
      </w:r>
    </w:p>
    <w:p w:rsidR="00021AFE" w:rsidRPr="0066083A" w:rsidRDefault="00817327" w:rsidP="00D77D28">
      <w:pPr>
        <w:pStyle w:val="Quote1"/>
        <w:rPr>
          <w:i/>
          <w:lang w:eastAsia="en-AU"/>
        </w:rPr>
      </w:pPr>
      <w:r>
        <w:rPr>
          <w:lang w:eastAsia="en-AU"/>
        </w:rPr>
        <w:t>(Emphasis added)</w:t>
      </w:r>
    </w:p>
    <w:p w:rsidR="00341AAC" w:rsidRDefault="004C2D90" w:rsidP="00341AAC">
      <w:pPr>
        <w:pStyle w:val="ParaNumbering"/>
        <w:rPr>
          <w:lang w:eastAsia="en-AU"/>
        </w:rPr>
      </w:pPr>
      <w:r>
        <w:rPr>
          <w:lang w:eastAsia="en-AU"/>
        </w:rPr>
        <w:t>The</w:t>
      </w:r>
      <w:r w:rsidR="00341AAC">
        <w:rPr>
          <w:lang w:eastAsia="en-AU"/>
        </w:rPr>
        <w:t>re is no doubt that the</w:t>
      </w:r>
      <w:r>
        <w:rPr>
          <w:lang w:eastAsia="en-AU"/>
        </w:rPr>
        <w:t xml:space="preserve"> </w:t>
      </w:r>
      <w:r w:rsidR="00341AAC">
        <w:rPr>
          <w:lang w:eastAsia="en-AU"/>
        </w:rPr>
        <w:t>phrase ‘by, or under</w:t>
      </w:r>
      <w:r w:rsidR="00E73D37">
        <w:rPr>
          <w:lang w:eastAsia="en-AU"/>
        </w:rPr>
        <w:t xml:space="preserve"> the authority of</w:t>
      </w:r>
      <w:r w:rsidR="00341AAC">
        <w:rPr>
          <w:lang w:eastAsia="en-AU"/>
        </w:rPr>
        <w:t>’ must be considered by reference to the text and context</w:t>
      </w:r>
      <w:r w:rsidR="00E16317">
        <w:rPr>
          <w:lang w:eastAsia="en-AU"/>
        </w:rPr>
        <w:t xml:space="preserve"> of the relevant Part of the </w:t>
      </w:r>
      <w:r w:rsidR="00E16317" w:rsidRPr="00857306">
        <w:rPr>
          <w:lang w:eastAsia="en-AU"/>
        </w:rPr>
        <w:t>Corporations Act</w:t>
      </w:r>
      <w:r w:rsidR="00341AAC" w:rsidRPr="00857306">
        <w:rPr>
          <w:lang w:eastAsia="en-AU"/>
        </w:rPr>
        <w:t xml:space="preserve">.  </w:t>
      </w:r>
      <w:r w:rsidR="00E16317" w:rsidRPr="00857306">
        <w:rPr>
          <w:lang w:eastAsia="en-AU"/>
        </w:rPr>
        <w:t>On a</w:t>
      </w:r>
      <w:r w:rsidR="00E16317">
        <w:rPr>
          <w:lang w:eastAsia="en-AU"/>
        </w:rPr>
        <w:t xml:space="preserve"> proper construction of that phrase, and in the circumstances of these proceedings, in my view</w:t>
      </w:r>
      <w:r w:rsidR="00341AAC">
        <w:rPr>
          <w:lang w:eastAsia="en-AU"/>
        </w:rPr>
        <w:t>, the Payments were not made by the Deed Administrators or under the authority of the Deed Administrators.  They may have been contemplated by the DOCA, or even required by the DOCA.  However, they were not made on behalf of the Company by the Deed Administrators themselves, but by the Director himself.  Nor were they made under the authority of the Deed Administrators.  The source of the power or authority to make the Payments by the Director on behalf of the Company</w:t>
      </w:r>
      <w:r w:rsidR="00041C6F">
        <w:rPr>
          <w:lang w:eastAsia="en-AU"/>
        </w:rPr>
        <w:t xml:space="preserve"> (which were required to be made by law)</w:t>
      </w:r>
      <w:r w:rsidR="00341AAC">
        <w:rPr>
          <w:lang w:eastAsia="en-AU"/>
        </w:rPr>
        <w:t xml:space="preserve"> </w:t>
      </w:r>
      <w:r w:rsidR="00041C6F">
        <w:rPr>
          <w:lang w:eastAsia="en-AU"/>
        </w:rPr>
        <w:t>i</w:t>
      </w:r>
      <w:r w:rsidR="00341AAC">
        <w:rPr>
          <w:lang w:eastAsia="en-AU"/>
        </w:rPr>
        <w:t>s</w:t>
      </w:r>
      <w:r w:rsidR="00041C6F">
        <w:rPr>
          <w:lang w:eastAsia="en-AU"/>
        </w:rPr>
        <w:t xml:space="preserve"> to be</w:t>
      </w:r>
      <w:r w:rsidR="00341AAC">
        <w:rPr>
          <w:lang w:eastAsia="en-AU"/>
        </w:rPr>
        <w:t xml:space="preserve"> found elsewhere, not under the authority of the Deed Administrators.</w:t>
      </w:r>
    </w:p>
    <w:p w:rsidR="001B2FA0" w:rsidRDefault="001B2FA0" w:rsidP="008B694C">
      <w:pPr>
        <w:pStyle w:val="Heading1"/>
        <w:rPr>
          <w:lang w:eastAsia="en-AU"/>
        </w:rPr>
      </w:pPr>
      <w:r>
        <w:rPr>
          <w:lang w:eastAsia="en-AU"/>
        </w:rPr>
        <w:lastRenderedPageBreak/>
        <w:t>Extrinsic Material</w:t>
      </w:r>
    </w:p>
    <w:p w:rsidR="001B2FA0" w:rsidRDefault="00653C94" w:rsidP="00FD24F6">
      <w:pPr>
        <w:pStyle w:val="ParaNumbering"/>
        <w:rPr>
          <w:lang w:eastAsia="en-AU"/>
        </w:rPr>
      </w:pPr>
      <w:r>
        <w:rPr>
          <w:lang w:eastAsia="en-AU"/>
        </w:rPr>
        <w:t>The A</w:t>
      </w:r>
      <w:r w:rsidR="00C56539">
        <w:rPr>
          <w:lang w:eastAsia="en-AU"/>
        </w:rPr>
        <w:t>pplicants submitted that there we</w:t>
      </w:r>
      <w:r w:rsidR="001B2FA0">
        <w:rPr>
          <w:lang w:eastAsia="en-AU"/>
        </w:rPr>
        <w:t>re three pieces of extrinsic material with relevance to s</w:t>
      </w:r>
      <w:r w:rsidR="00CE1DFB">
        <w:rPr>
          <w:lang w:eastAsia="en-AU"/>
        </w:rPr>
        <w:t>ub-s</w:t>
      </w:r>
      <w:r w:rsidR="008B694C">
        <w:rPr>
          <w:lang w:eastAsia="en-AU"/>
        </w:rPr>
        <w:t xml:space="preserve"> </w:t>
      </w:r>
      <w:r w:rsidR="001B2FA0">
        <w:rPr>
          <w:lang w:eastAsia="en-AU"/>
        </w:rPr>
        <w:t>588FE(2B)(d)</w:t>
      </w:r>
      <w:r>
        <w:rPr>
          <w:lang w:eastAsia="en-AU"/>
        </w:rPr>
        <w:t>, namely</w:t>
      </w:r>
      <w:r w:rsidR="001B2FA0">
        <w:rPr>
          <w:lang w:eastAsia="en-AU"/>
        </w:rPr>
        <w:t>:</w:t>
      </w:r>
    </w:p>
    <w:p w:rsidR="008B694C" w:rsidRDefault="00C56539" w:rsidP="00342626">
      <w:pPr>
        <w:pStyle w:val="ListNo1"/>
        <w:numPr>
          <w:ilvl w:val="0"/>
          <w:numId w:val="24"/>
        </w:numPr>
        <w:rPr>
          <w:lang w:eastAsia="en-AU"/>
        </w:rPr>
      </w:pPr>
      <w:r>
        <w:rPr>
          <w:lang w:eastAsia="en-AU"/>
        </w:rPr>
        <w:t xml:space="preserve">the </w:t>
      </w:r>
      <w:r w:rsidR="001B2FA0">
        <w:rPr>
          <w:lang w:eastAsia="en-AU"/>
        </w:rPr>
        <w:t>Explanatory Memorandum to the Corporations Amendment (Insolvency)</w:t>
      </w:r>
      <w:r w:rsidR="008B694C">
        <w:rPr>
          <w:lang w:eastAsia="en-AU"/>
        </w:rPr>
        <w:t xml:space="preserve"> </w:t>
      </w:r>
      <w:r w:rsidR="001B2FA0" w:rsidRPr="00C56539">
        <w:rPr>
          <w:iCs/>
          <w:lang w:eastAsia="en-AU"/>
        </w:rPr>
        <w:t>Bill 2007</w:t>
      </w:r>
      <w:r w:rsidR="001B2FA0" w:rsidRPr="008B694C">
        <w:rPr>
          <w:i/>
          <w:iCs/>
          <w:lang w:eastAsia="en-AU"/>
        </w:rPr>
        <w:t xml:space="preserve"> </w:t>
      </w:r>
      <w:r w:rsidR="001B2FA0">
        <w:rPr>
          <w:lang w:eastAsia="en-AU"/>
        </w:rPr>
        <w:t>(</w:t>
      </w:r>
      <w:proofErr w:type="spellStart"/>
      <w:r w:rsidR="001B2FA0">
        <w:rPr>
          <w:lang w:eastAsia="en-AU"/>
        </w:rPr>
        <w:t>Cth</w:t>
      </w:r>
      <w:proofErr w:type="spellEnd"/>
      <w:r w:rsidR="001B2FA0">
        <w:rPr>
          <w:lang w:eastAsia="en-AU"/>
        </w:rPr>
        <w:t>)</w:t>
      </w:r>
      <w:r w:rsidR="00654665">
        <w:rPr>
          <w:lang w:eastAsia="en-AU"/>
        </w:rPr>
        <w:t xml:space="preserve"> (‘</w:t>
      </w:r>
      <w:r w:rsidR="00654665">
        <w:rPr>
          <w:b/>
          <w:lang w:eastAsia="en-AU"/>
        </w:rPr>
        <w:t>Explanatory Memorandum</w:t>
      </w:r>
      <w:r w:rsidR="00654665">
        <w:rPr>
          <w:lang w:eastAsia="en-AU"/>
        </w:rPr>
        <w:t>’)</w:t>
      </w:r>
      <w:r w:rsidR="001B2FA0">
        <w:rPr>
          <w:lang w:eastAsia="en-AU"/>
        </w:rPr>
        <w:t>;</w:t>
      </w:r>
    </w:p>
    <w:p w:rsidR="008B694C" w:rsidRDefault="00C56539" w:rsidP="00342626">
      <w:pPr>
        <w:pStyle w:val="ListNo1"/>
        <w:numPr>
          <w:ilvl w:val="0"/>
          <w:numId w:val="24"/>
        </w:numPr>
        <w:rPr>
          <w:lang w:eastAsia="en-AU"/>
        </w:rPr>
      </w:pPr>
      <w:r>
        <w:rPr>
          <w:lang w:eastAsia="en-AU"/>
        </w:rPr>
        <w:t xml:space="preserve">the </w:t>
      </w:r>
      <w:r w:rsidR="001B2FA0" w:rsidRPr="00E31918">
        <w:rPr>
          <w:bCs/>
          <w:lang w:eastAsia="en-AU"/>
        </w:rPr>
        <w:t>CAMAC June</w:t>
      </w:r>
      <w:r w:rsidR="008B694C" w:rsidRPr="00E31918">
        <w:rPr>
          <w:bCs/>
          <w:lang w:eastAsia="en-AU"/>
        </w:rPr>
        <w:t xml:space="preserve"> </w:t>
      </w:r>
      <w:r w:rsidR="00E31918" w:rsidRPr="00E31918">
        <w:rPr>
          <w:bCs/>
          <w:lang w:eastAsia="en-AU"/>
        </w:rPr>
        <w:t>1998 Report</w:t>
      </w:r>
      <w:r w:rsidR="001B2FA0">
        <w:rPr>
          <w:lang w:eastAsia="en-AU"/>
        </w:rPr>
        <w:t>; and</w:t>
      </w:r>
    </w:p>
    <w:p w:rsidR="001B2FA0" w:rsidRPr="00654665" w:rsidRDefault="001B2FA0" w:rsidP="00342626">
      <w:pPr>
        <w:pStyle w:val="ListNo1"/>
        <w:numPr>
          <w:ilvl w:val="0"/>
          <w:numId w:val="24"/>
        </w:numPr>
        <w:rPr>
          <w:lang w:eastAsia="en-AU"/>
        </w:rPr>
      </w:pPr>
      <w:r>
        <w:rPr>
          <w:lang w:eastAsia="en-AU"/>
        </w:rPr>
        <w:t>Legal Committee of the Companies and Markets Advisory Committee,</w:t>
      </w:r>
      <w:r w:rsidR="008B694C">
        <w:rPr>
          <w:lang w:eastAsia="en-AU"/>
        </w:rPr>
        <w:t xml:space="preserve"> </w:t>
      </w:r>
      <w:r w:rsidRPr="008B694C">
        <w:rPr>
          <w:i/>
          <w:iCs/>
          <w:lang w:eastAsia="en-AU"/>
        </w:rPr>
        <w:t xml:space="preserve">Issues in External Administration, November 2008 </w:t>
      </w:r>
      <w:r>
        <w:rPr>
          <w:lang w:eastAsia="en-AU"/>
        </w:rPr>
        <w:t>(</w:t>
      </w:r>
      <w:r w:rsidR="00834331">
        <w:rPr>
          <w:lang w:eastAsia="en-AU"/>
        </w:rPr>
        <w:t>‘</w:t>
      </w:r>
      <w:r w:rsidRPr="00C56539">
        <w:rPr>
          <w:b/>
          <w:bCs/>
          <w:lang w:eastAsia="en-AU"/>
        </w:rPr>
        <w:t>CAMAC November</w:t>
      </w:r>
      <w:r w:rsidR="008B694C" w:rsidRPr="00C56539">
        <w:rPr>
          <w:b/>
          <w:bCs/>
          <w:lang w:eastAsia="en-AU"/>
        </w:rPr>
        <w:t xml:space="preserve"> </w:t>
      </w:r>
      <w:r w:rsidR="005F0D7F">
        <w:rPr>
          <w:b/>
          <w:bCs/>
          <w:lang w:eastAsia="en-AU"/>
        </w:rPr>
        <w:t>2008 R</w:t>
      </w:r>
      <w:r w:rsidRPr="00C56539">
        <w:rPr>
          <w:b/>
          <w:bCs/>
          <w:lang w:eastAsia="en-AU"/>
        </w:rPr>
        <w:t>eport</w:t>
      </w:r>
      <w:r w:rsidR="00834331">
        <w:rPr>
          <w:bCs/>
          <w:lang w:eastAsia="en-AU"/>
        </w:rPr>
        <w:t>’</w:t>
      </w:r>
      <w:r>
        <w:rPr>
          <w:lang w:eastAsia="en-AU"/>
        </w:rPr>
        <w:t>).</w:t>
      </w:r>
    </w:p>
    <w:p w:rsidR="001B2FA0" w:rsidRDefault="001B2FA0" w:rsidP="00654665">
      <w:pPr>
        <w:pStyle w:val="Heading2"/>
        <w:rPr>
          <w:lang w:eastAsia="en-AU"/>
        </w:rPr>
      </w:pPr>
      <w:r w:rsidRPr="001B2FA0">
        <w:rPr>
          <w:lang w:eastAsia="en-AU"/>
        </w:rPr>
        <w:t xml:space="preserve">Explanatory Memorandum </w:t>
      </w:r>
    </w:p>
    <w:p w:rsidR="009A06BB" w:rsidRDefault="009A06BB" w:rsidP="008B694C">
      <w:pPr>
        <w:pStyle w:val="ParaNumbering"/>
        <w:rPr>
          <w:lang w:eastAsia="en-AU"/>
        </w:rPr>
      </w:pPr>
      <w:r>
        <w:rPr>
          <w:lang w:eastAsia="en-AU"/>
        </w:rPr>
        <w:t>Paragraphs 7.197 to 7.203</w:t>
      </w:r>
      <w:r w:rsidR="001B2FA0">
        <w:rPr>
          <w:lang w:eastAsia="en-AU"/>
        </w:rPr>
        <w:t xml:space="preserve"> of the Explanatory Memorandum </w:t>
      </w:r>
      <w:r w:rsidR="001B376E">
        <w:rPr>
          <w:lang w:eastAsia="en-AU"/>
        </w:rPr>
        <w:t>relevantly provide</w:t>
      </w:r>
      <w:r>
        <w:rPr>
          <w:lang w:eastAsia="en-AU"/>
        </w:rPr>
        <w:t xml:space="preserve"> that:</w:t>
      </w:r>
    </w:p>
    <w:p w:rsidR="009A06BB" w:rsidRDefault="005969F1" w:rsidP="009A06BB">
      <w:pPr>
        <w:pStyle w:val="Quote1"/>
        <w:rPr>
          <w:i/>
          <w:lang w:eastAsia="en-AU"/>
        </w:rPr>
      </w:pPr>
      <w:r>
        <w:rPr>
          <w:i/>
          <w:lang w:eastAsia="en-AU"/>
        </w:rPr>
        <w:t xml:space="preserve">[7.197] </w:t>
      </w:r>
      <w:r w:rsidR="009A06BB">
        <w:rPr>
          <w:i/>
          <w:lang w:eastAsia="en-AU"/>
        </w:rPr>
        <w:t>Part 5.7B of the Corporations Act provides for the recovery of property or compensation for the benefit of creditors of an insolvent company. Transactions which may be ‘voidable’ under section 588FE include uncommercial transactions which are also insolvent transactions.</w:t>
      </w:r>
    </w:p>
    <w:p w:rsidR="009A06BB" w:rsidRDefault="005969F1" w:rsidP="009A06BB">
      <w:pPr>
        <w:pStyle w:val="Quote1"/>
        <w:rPr>
          <w:i/>
          <w:lang w:eastAsia="en-AU"/>
        </w:rPr>
      </w:pPr>
      <w:r>
        <w:rPr>
          <w:i/>
          <w:lang w:eastAsia="en-AU"/>
        </w:rPr>
        <w:t xml:space="preserve">[7.198] </w:t>
      </w:r>
      <w:r w:rsidR="009A06BB">
        <w:rPr>
          <w:i/>
          <w:lang w:eastAsia="en-AU"/>
        </w:rPr>
        <w:t xml:space="preserve">Companies might enter into uncommercial transactions during the administration or, particularly, under a DOCA when the company remains in the control of the directors. However, if the company later enters liquidation, those transactions may not be voidable because of requirement that the uncommercial transaction is also an insolvent transaction. Under section 588FC of the Corporations Act, the company’s own insolvency is an element of the definition of an insolvent transaction. </w:t>
      </w:r>
    </w:p>
    <w:p w:rsidR="009A06BB" w:rsidRDefault="005969F1" w:rsidP="009A06BB">
      <w:pPr>
        <w:pStyle w:val="Quote1"/>
        <w:rPr>
          <w:i/>
          <w:lang w:eastAsia="en-AU"/>
        </w:rPr>
      </w:pPr>
      <w:r>
        <w:rPr>
          <w:i/>
          <w:lang w:eastAsia="en-AU"/>
        </w:rPr>
        <w:t xml:space="preserve">[7.199] </w:t>
      </w:r>
      <w:r w:rsidR="009A06BB">
        <w:rPr>
          <w:i/>
          <w:lang w:eastAsia="en-AU"/>
        </w:rPr>
        <w:t>Unfair loans and unreasonable director-related transactions are voidable under subsections 588FE(6) and 588FE(7) of the Corporations Act respectively regardless of whether they are also insolvent transactions.</w:t>
      </w:r>
    </w:p>
    <w:p w:rsidR="009A06BB" w:rsidRDefault="005969F1" w:rsidP="009A06BB">
      <w:pPr>
        <w:pStyle w:val="Quote1"/>
        <w:rPr>
          <w:i/>
          <w:lang w:eastAsia="en-AU"/>
        </w:rPr>
      </w:pPr>
      <w:r>
        <w:rPr>
          <w:i/>
          <w:lang w:eastAsia="en-AU"/>
        </w:rPr>
        <w:t xml:space="preserve">[7.200] </w:t>
      </w:r>
      <w:r w:rsidR="009A06BB">
        <w:rPr>
          <w:i/>
          <w:lang w:eastAsia="en-AU"/>
        </w:rPr>
        <w:t>Due to the potential for abuse, the Bill will allow uncommercial transactions entered into during a voluntary administration or DOCA immediately preceding a liquidation to be voidable, regardless of whether the company was insolvent at the time of the transaction or became insolvent due to the transaction. However, any transactions done by or under the authority of the administrator or deed administrator will not be voidable. This is consistent with recommendation 51 of the CAMAC Report (1998).</w:t>
      </w:r>
    </w:p>
    <w:p w:rsidR="009A06BB" w:rsidRDefault="00107C62" w:rsidP="009A06BB">
      <w:pPr>
        <w:pStyle w:val="Quote1"/>
        <w:rPr>
          <w:b/>
          <w:i/>
          <w:lang w:eastAsia="en-AU"/>
        </w:rPr>
      </w:pPr>
      <w:r>
        <w:rPr>
          <w:b/>
          <w:i/>
          <w:lang w:eastAsia="en-AU"/>
        </w:rPr>
        <w:t>Key changes</w:t>
      </w:r>
    </w:p>
    <w:p w:rsidR="00107C62" w:rsidRDefault="005969F1" w:rsidP="009A06BB">
      <w:pPr>
        <w:pStyle w:val="Quote1"/>
        <w:rPr>
          <w:i/>
          <w:lang w:eastAsia="en-AU"/>
        </w:rPr>
      </w:pPr>
      <w:r>
        <w:rPr>
          <w:i/>
          <w:lang w:eastAsia="en-AU"/>
        </w:rPr>
        <w:t xml:space="preserve">[7.201] </w:t>
      </w:r>
      <w:r w:rsidR="00107C62">
        <w:rPr>
          <w:i/>
          <w:lang w:eastAsia="en-AU"/>
        </w:rPr>
        <w:t>New provisions will make voidable uncommercial transactions occurring between the relation-back day and the date of the resolution or court order for winding up, in circumstances where the winding up was immediately</w:t>
      </w:r>
      <w:r w:rsidR="00200914">
        <w:rPr>
          <w:i/>
          <w:lang w:eastAsia="en-AU"/>
        </w:rPr>
        <w:t xml:space="preserve"> preceded by voluntary administration or a DOCA. However, transactions entered into by or on the authority of the administrator or deed administrator will not be subject to the new rules.</w:t>
      </w:r>
    </w:p>
    <w:p w:rsidR="00200914" w:rsidRDefault="00200914" w:rsidP="009A06BB">
      <w:pPr>
        <w:pStyle w:val="Quote1"/>
        <w:rPr>
          <w:b/>
          <w:i/>
          <w:lang w:eastAsia="en-AU"/>
        </w:rPr>
      </w:pPr>
      <w:r>
        <w:rPr>
          <w:b/>
          <w:i/>
          <w:lang w:eastAsia="en-AU"/>
        </w:rPr>
        <w:t>Notes on items</w:t>
      </w:r>
    </w:p>
    <w:p w:rsidR="00200914" w:rsidRDefault="005969F1" w:rsidP="009A06BB">
      <w:pPr>
        <w:pStyle w:val="Quote1"/>
        <w:rPr>
          <w:i/>
          <w:lang w:eastAsia="en-AU"/>
        </w:rPr>
      </w:pPr>
      <w:r>
        <w:rPr>
          <w:i/>
          <w:lang w:eastAsia="en-AU"/>
        </w:rPr>
        <w:t xml:space="preserve">[7.202] </w:t>
      </w:r>
      <w:r w:rsidR="00200914">
        <w:rPr>
          <w:i/>
          <w:lang w:eastAsia="en-AU"/>
        </w:rPr>
        <w:t xml:space="preserve">Item 68 will add two new subsections to section 588FE. Subsection 588FE(2A) will apply when the company concerned was under administration immediately before </w:t>
      </w:r>
      <w:r w:rsidR="00200914">
        <w:rPr>
          <w:i/>
          <w:lang w:eastAsia="en-AU"/>
        </w:rPr>
        <w:lastRenderedPageBreak/>
        <w:t>the company resolved that it be wound up, or the court ordered that it be wound up. Subsection 588FE(2B) will apply when the company concerned was subject to a DOCA immediately before those events.</w:t>
      </w:r>
    </w:p>
    <w:p w:rsidR="00717A28" w:rsidRPr="00717A28" w:rsidRDefault="005969F1" w:rsidP="00717A28">
      <w:pPr>
        <w:pStyle w:val="Quote1"/>
        <w:rPr>
          <w:i/>
          <w:lang w:eastAsia="en-AU"/>
        </w:rPr>
      </w:pPr>
      <w:r>
        <w:rPr>
          <w:i/>
          <w:lang w:eastAsia="en-AU"/>
        </w:rPr>
        <w:t xml:space="preserve">[7.203] </w:t>
      </w:r>
      <w:r w:rsidR="00200914">
        <w:rPr>
          <w:i/>
          <w:lang w:eastAsia="en-AU"/>
        </w:rPr>
        <w:t>If a liquidation is immediately preceded by a voluntary administration or DOCA, any uncommercial transactions entered into by the company (or an act done to give effect to the transaction) on or after the relation-back day, but before the order or resolution to wind the company up, will be subject to avoidance. However, transactions or acts done on behalf of the company by, or under the authority of, the administrator or deed administrator will not be voidable under the subsections.</w:t>
      </w:r>
    </w:p>
    <w:p w:rsidR="00717A28" w:rsidRDefault="00474998" w:rsidP="00717A28">
      <w:pPr>
        <w:pStyle w:val="ParaNumbering"/>
      </w:pPr>
      <w:r>
        <w:t>The Respondent contended that</w:t>
      </w:r>
      <w:r w:rsidR="00717A28">
        <w:t xml:space="preserve"> the addition of the new subsections to s 588FE</w:t>
      </w:r>
      <w:r w:rsidR="00C20375">
        <w:t xml:space="preserve"> as noted at</w:t>
      </w:r>
      <w:r w:rsidR="00717A28">
        <w:t xml:space="preserve"> </w:t>
      </w:r>
      <w:r w:rsidR="00061075">
        <w:t xml:space="preserve">[7.200] of the Explanatory Memorandum </w:t>
      </w:r>
      <w:r w:rsidR="00717A28">
        <w:t xml:space="preserve">was intended to be consistent with recommendation 51 of the </w:t>
      </w:r>
      <w:r w:rsidR="00717A28" w:rsidRPr="00474998">
        <w:t>CAMAC June 1998 Report</w:t>
      </w:r>
      <w:r w:rsidR="00061075">
        <w:t>, which I refer to later in these reasons</w:t>
      </w:r>
      <w:r w:rsidR="00717A28">
        <w:t xml:space="preserve">. </w:t>
      </w:r>
    </w:p>
    <w:p w:rsidR="001B14AF" w:rsidRDefault="001B2FA0" w:rsidP="001B14AF">
      <w:pPr>
        <w:pStyle w:val="Heading2"/>
        <w:rPr>
          <w:lang w:eastAsia="en-AU"/>
        </w:rPr>
      </w:pPr>
      <w:r w:rsidRPr="001B2FA0">
        <w:rPr>
          <w:lang w:eastAsia="en-AU"/>
        </w:rPr>
        <w:t>CAMAC June 1998 Report</w:t>
      </w:r>
    </w:p>
    <w:p w:rsidR="00714886" w:rsidRDefault="00714886" w:rsidP="00714886">
      <w:pPr>
        <w:pStyle w:val="ParaNumbering"/>
      </w:pPr>
      <w:r>
        <w:t xml:space="preserve">In the CAMAC June 1998 Report, the </w:t>
      </w:r>
      <w:r w:rsidR="00A3186F">
        <w:rPr>
          <w:lang w:eastAsia="en-AU"/>
        </w:rPr>
        <w:t>Committee of the Companies and Markets Advisory Committee (the ‘</w:t>
      </w:r>
      <w:r w:rsidR="00A3186F">
        <w:rPr>
          <w:b/>
          <w:lang w:eastAsia="en-AU"/>
        </w:rPr>
        <w:t>Committee</w:t>
      </w:r>
      <w:r w:rsidR="00A3186F">
        <w:rPr>
          <w:lang w:eastAsia="en-AU"/>
        </w:rPr>
        <w:t>’)</w:t>
      </w:r>
      <w:r>
        <w:t xml:space="preserve"> considered the issue of how the voidable transaction provisions should be applied in circumstances where a voluntary administration precedes a winding up (at [8.10]-[8.18]).</w:t>
      </w:r>
    </w:p>
    <w:p w:rsidR="00714886" w:rsidRDefault="00714886" w:rsidP="00714886">
      <w:pPr>
        <w:pStyle w:val="ParaNumbering"/>
      </w:pPr>
      <w:r>
        <w:t>The Committee also observed</w:t>
      </w:r>
      <w:r w:rsidR="00E95FEE">
        <w:t xml:space="preserve"> </w:t>
      </w:r>
      <w:r>
        <w:t>that there were two possible policy solutions</w:t>
      </w:r>
      <w:r w:rsidR="00E95FEE">
        <w:t>:</w:t>
      </w:r>
    </w:p>
    <w:p w:rsidR="00E95FEE" w:rsidRDefault="00E95FEE" w:rsidP="00E95FEE">
      <w:pPr>
        <w:pStyle w:val="ListNo2"/>
      </w:pPr>
      <w:r>
        <w:t xml:space="preserve">To apply the provisions to all transactions.  In relation to this option, </w:t>
      </w:r>
      <w:r w:rsidR="000A23B9">
        <w:t>I set out</w:t>
      </w:r>
      <w:r>
        <w:t xml:space="preserve"> [8.12]-[8.13] and [8.16]-[8.17] of the CAMAC June 1998 Report below.</w:t>
      </w:r>
    </w:p>
    <w:p w:rsidR="00E95FEE" w:rsidRDefault="00E95FEE" w:rsidP="00E95FEE">
      <w:pPr>
        <w:pStyle w:val="ListNo2"/>
      </w:pPr>
      <w:r>
        <w:t>To restrict the provisions to on</w:t>
      </w:r>
      <w:r w:rsidR="000A23B9">
        <w:t>ly transactions from which the C</w:t>
      </w:r>
      <w:r>
        <w:t>ompany’s directors benefited directly or indirectly.  This option was rejected by the Committee (see [8.18] of the CAMAC June 1998 Report</w:t>
      </w:r>
      <w:r w:rsidR="00A3186F">
        <w:t xml:space="preserve">, which </w:t>
      </w:r>
      <w:r w:rsidR="000A23B9">
        <w:t>is</w:t>
      </w:r>
      <w:r w:rsidR="00A3186F">
        <w:t xml:space="preserve"> set out</w:t>
      </w:r>
      <w:r>
        <w:t xml:space="preserve"> below).</w:t>
      </w:r>
    </w:p>
    <w:p w:rsidR="001B2FA0" w:rsidRDefault="00E13BCD" w:rsidP="001B14AF">
      <w:pPr>
        <w:pStyle w:val="ParaNumbering"/>
        <w:rPr>
          <w:lang w:eastAsia="en-AU"/>
        </w:rPr>
      </w:pPr>
      <w:r>
        <w:rPr>
          <w:lang w:eastAsia="en-AU"/>
        </w:rPr>
        <w:t>Paragraphs 8.1 to 8.18 of the</w:t>
      </w:r>
      <w:r w:rsidR="00070106">
        <w:rPr>
          <w:lang w:eastAsia="en-AU"/>
        </w:rPr>
        <w:t xml:space="preserve"> CAMAC June 1998 R</w:t>
      </w:r>
      <w:r w:rsidR="001B2FA0">
        <w:rPr>
          <w:lang w:eastAsia="en-AU"/>
        </w:rPr>
        <w:t xml:space="preserve">eport </w:t>
      </w:r>
      <w:r>
        <w:rPr>
          <w:lang w:eastAsia="en-AU"/>
        </w:rPr>
        <w:t>provide (footnotes omitted):</w:t>
      </w:r>
    </w:p>
    <w:p w:rsidR="00E13BCD" w:rsidRDefault="00E13BCD" w:rsidP="00E13BCD">
      <w:pPr>
        <w:pStyle w:val="Quote1"/>
        <w:rPr>
          <w:b/>
          <w:i/>
          <w:lang w:eastAsia="en-AU"/>
        </w:rPr>
      </w:pPr>
      <w:r>
        <w:rPr>
          <w:b/>
          <w:i/>
          <w:lang w:eastAsia="en-AU"/>
        </w:rPr>
        <w:t>Voidable transactions</w:t>
      </w:r>
    </w:p>
    <w:p w:rsidR="00E13BCD" w:rsidRDefault="00D77D28" w:rsidP="00E13BCD">
      <w:pPr>
        <w:pStyle w:val="Quote1"/>
        <w:rPr>
          <w:i/>
          <w:lang w:eastAsia="en-AU"/>
        </w:rPr>
      </w:pPr>
      <w:r>
        <w:rPr>
          <w:i/>
          <w:lang w:eastAsia="en-AU"/>
        </w:rPr>
        <w:t>[8.1]</w:t>
      </w:r>
      <w:r>
        <w:rPr>
          <w:i/>
          <w:lang w:eastAsia="en-AU"/>
        </w:rPr>
        <w:tab/>
      </w:r>
      <w:r w:rsidR="00E13BCD">
        <w:rPr>
          <w:i/>
          <w:lang w:eastAsia="en-AU"/>
        </w:rPr>
        <w:t>One commentary that appeared after the publication of the Discussion Paper has drawn attention to two possible problems in applying the voidable transaction provisions to voluntary administrations:</w:t>
      </w:r>
    </w:p>
    <w:p w:rsidR="00E13BCD" w:rsidRPr="00206AD0" w:rsidRDefault="00E13BCD" w:rsidP="004966CA">
      <w:pPr>
        <w:pStyle w:val="Quote1Bullet"/>
        <w:rPr>
          <w:i/>
          <w:lang w:eastAsia="en-AU"/>
        </w:rPr>
      </w:pPr>
      <w:r w:rsidRPr="00206AD0">
        <w:rPr>
          <w:i/>
          <w:lang w:eastAsia="en-AU"/>
        </w:rPr>
        <w:t>some transactions are inappropriately excluded from the voidable transaction provisions</w:t>
      </w:r>
    </w:p>
    <w:p w:rsidR="00E13BCD" w:rsidRPr="00206AD0" w:rsidRDefault="00E13BCD" w:rsidP="004966CA">
      <w:pPr>
        <w:pStyle w:val="Quote1Bullet"/>
        <w:rPr>
          <w:i/>
          <w:lang w:eastAsia="en-AU"/>
        </w:rPr>
      </w:pPr>
      <w:r w:rsidRPr="00206AD0">
        <w:rPr>
          <w:i/>
          <w:lang w:eastAsia="en-AU"/>
        </w:rPr>
        <w:t>some transactions are inappropriately excluded by the voidable transaction provisions.</w:t>
      </w:r>
    </w:p>
    <w:p w:rsidR="00E13BCD" w:rsidRDefault="00E13BCD" w:rsidP="00E13BCD">
      <w:pPr>
        <w:pStyle w:val="Quote1"/>
        <w:rPr>
          <w:b/>
          <w:i/>
          <w:lang w:eastAsia="en-AU"/>
        </w:rPr>
      </w:pPr>
      <w:r>
        <w:rPr>
          <w:b/>
          <w:i/>
          <w:lang w:eastAsia="en-AU"/>
        </w:rPr>
        <w:t>Transactions inappropriately excluded from the voidable transaction provisions</w:t>
      </w:r>
    </w:p>
    <w:p w:rsidR="00E13BCD" w:rsidRDefault="00714886" w:rsidP="00E13BCD">
      <w:pPr>
        <w:pStyle w:val="Quote1"/>
        <w:rPr>
          <w:i/>
          <w:lang w:eastAsia="en-AU"/>
        </w:rPr>
      </w:pPr>
      <w:r>
        <w:rPr>
          <w:i/>
          <w:lang w:eastAsia="en-AU"/>
        </w:rPr>
        <w:t>[8.</w:t>
      </w:r>
      <w:r w:rsidR="00D77D28">
        <w:rPr>
          <w:i/>
          <w:lang w:eastAsia="en-AU"/>
        </w:rPr>
        <w:t>2]</w:t>
      </w:r>
      <w:r w:rsidR="00D77D28">
        <w:rPr>
          <w:i/>
          <w:lang w:eastAsia="en-AU"/>
        </w:rPr>
        <w:tab/>
      </w:r>
      <w:r w:rsidR="00E13BCD">
        <w:rPr>
          <w:i/>
          <w:lang w:eastAsia="en-AU"/>
        </w:rPr>
        <w:t xml:space="preserve">The voidable transaction provisions do not apply to transactions effected </w:t>
      </w:r>
      <w:r w:rsidR="00E13BCD">
        <w:rPr>
          <w:i/>
          <w:lang w:eastAsia="en-AU"/>
        </w:rPr>
        <w:lastRenderedPageBreak/>
        <w:t>during a voluntary administration that precedes a winding up. The excluded transactions include transactions under a deed of company arrangement that has not terminated when the company goes into winding up. This gap creates the opportunity for abuse, in particular, where directors who resume control of a company under a deed of company arrangement pay creditors whose debts they have personally guaranteed in preference to other creditors. If the deed fails and the c</w:t>
      </w:r>
      <w:r w:rsidR="00A22733">
        <w:rPr>
          <w:i/>
          <w:lang w:eastAsia="en-AU"/>
        </w:rPr>
        <w:t>ompany goes into liquidation, a</w:t>
      </w:r>
      <w:r w:rsidR="00E13BCD">
        <w:rPr>
          <w:i/>
          <w:lang w:eastAsia="en-AU"/>
        </w:rPr>
        <w:t xml:space="preserve"> liquidator cannot recover these preferential payments under the voidable transaction provisions, for the reasons set out below.</w:t>
      </w:r>
    </w:p>
    <w:p w:rsidR="004966CA" w:rsidRPr="00A22733" w:rsidRDefault="00D77D28" w:rsidP="00E13BCD">
      <w:pPr>
        <w:pStyle w:val="Quote1"/>
        <w:rPr>
          <w:i/>
          <w:szCs w:val="22"/>
          <w:lang w:eastAsia="en-AU"/>
        </w:rPr>
      </w:pPr>
      <w:r>
        <w:rPr>
          <w:i/>
          <w:lang w:eastAsia="en-AU"/>
        </w:rPr>
        <w:t>[8.3]</w:t>
      </w:r>
      <w:r>
        <w:rPr>
          <w:i/>
          <w:lang w:eastAsia="en-AU"/>
        </w:rPr>
        <w:tab/>
      </w:r>
      <w:r w:rsidR="004966CA" w:rsidRPr="00A22733">
        <w:rPr>
          <w:i/>
          <w:szCs w:val="22"/>
          <w:lang w:eastAsia="en-AU"/>
        </w:rPr>
        <w:t>Currently, an insolvent transaction is voidable if it was entered into:</w:t>
      </w:r>
    </w:p>
    <w:p w:rsidR="004966CA" w:rsidRPr="00D77D28" w:rsidRDefault="00D77D28" w:rsidP="00D77D28">
      <w:pPr>
        <w:pStyle w:val="Quote1"/>
        <w:rPr>
          <w:i/>
          <w:lang w:eastAsia="en-AU"/>
        </w:rPr>
      </w:pPr>
      <w:r>
        <w:rPr>
          <w:i/>
          <w:lang w:eastAsia="en-AU"/>
        </w:rPr>
        <w:t>(</w:t>
      </w:r>
      <w:proofErr w:type="spellStart"/>
      <w:r>
        <w:rPr>
          <w:i/>
          <w:lang w:eastAsia="en-AU"/>
        </w:rPr>
        <w:t>i</w:t>
      </w:r>
      <w:proofErr w:type="spellEnd"/>
      <w:r>
        <w:rPr>
          <w:i/>
          <w:lang w:eastAsia="en-AU"/>
        </w:rPr>
        <w:t>)</w:t>
      </w:r>
      <w:r>
        <w:rPr>
          <w:i/>
          <w:lang w:eastAsia="en-AU"/>
        </w:rPr>
        <w:tab/>
      </w:r>
      <w:r w:rsidR="004966CA" w:rsidRPr="00D77D28">
        <w:rPr>
          <w:i/>
          <w:lang w:eastAsia="en-AU"/>
        </w:rPr>
        <w:t>during the 6 months ending on the relation-back day, or</w:t>
      </w:r>
    </w:p>
    <w:p w:rsidR="004966CA" w:rsidRPr="00D77D28" w:rsidRDefault="00D77D28" w:rsidP="00D77D28">
      <w:pPr>
        <w:pStyle w:val="Quote1"/>
        <w:rPr>
          <w:i/>
          <w:lang w:eastAsia="en-AU"/>
        </w:rPr>
      </w:pPr>
      <w:r>
        <w:rPr>
          <w:i/>
          <w:lang w:eastAsia="en-AU"/>
        </w:rPr>
        <w:t>(ii)</w:t>
      </w:r>
      <w:r>
        <w:rPr>
          <w:i/>
          <w:lang w:eastAsia="en-AU"/>
        </w:rPr>
        <w:tab/>
      </w:r>
      <w:r w:rsidR="004966CA" w:rsidRPr="00D77D28">
        <w:rPr>
          <w:i/>
          <w:lang w:eastAsia="en-AU"/>
        </w:rPr>
        <w:t>after that day but on or before the day when the winding up began.</w:t>
      </w:r>
    </w:p>
    <w:p w:rsidR="004966CA" w:rsidRDefault="00714886" w:rsidP="004966CA">
      <w:pPr>
        <w:pStyle w:val="Quote1"/>
        <w:rPr>
          <w:i/>
          <w:lang w:eastAsia="en-AU"/>
        </w:rPr>
      </w:pPr>
      <w:r w:rsidRPr="00A22733">
        <w:rPr>
          <w:i/>
          <w:szCs w:val="22"/>
          <w:lang w:eastAsia="en-AU"/>
        </w:rPr>
        <w:t xml:space="preserve">[8.4] </w:t>
      </w:r>
      <w:r w:rsidR="004966CA" w:rsidRPr="00A22733">
        <w:rPr>
          <w:i/>
          <w:szCs w:val="22"/>
          <w:lang w:eastAsia="en-AU"/>
        </w:rPr>
        <w:t>The problem</w:t>
      </w:r>
      <w:r w:rsidR="004966CA">
        <w:rPr>
          <w:i/>
          <w:lang w:eastAsia="en-AU"/>
        </w:rPr>
        <w:t xml:space="preserve"> is that the tests of what constitutes the “relation-back day” and “the day when the winding up began” differ, depending on whether or not a voluntary administration (including a deed of company arrangement) has preceded the winding up.</w:t>
      </w:r>
    </w:p>
    <w:p w:rsidR="004966CA" w:rsidRDefault="004966CA" w:rsidP="004966CA">
      <w:pPr>
        <w:pStyle w:val="Quote1"/>
        <w:rPr>
          <w:lang w:eastAsia="en-AU"/>
        </w:rPr>
      </w:pPr>
      <w:r>
        <w:rPr>
          <w:lang w:eastAsia="en-AU"/>
        </w:rPr>
        <w:t>Where no voluntary administration precedes the winding up</w:t>
      </w:r>
    </w:p>
    <w:p w:rsidR="004966CA" w:rsidRDefault="00714886" w:rsidP="004966CA">
      <w:pPr>
        <w:pStyle w:val="Quote1"/>
        <w:rPr>
          <w:i/>
          <w:lang w:eastAsia="en-AU"/>
        </w:rPr>
      </w:pPr>
      <w:r>
        <w:rPr>
          <w:i/>
          <w:lang w:eastAsia="en-AU"/>
        </w:rPr>
        <w:t xml:space="preserve">[8.5] </w:t>
      </w:r>
      <w:r w:rsidR="004966CA">
        <w:rPr>
          <w:i/>
          <w:lang w:eastAsia="en-AU"/>
        </w:rPr>
        <w:t>In this case:</w:t>
      </w:r>
    </w:p>
    <w:p w:rsidR="00216CF2" w:rsidRPr="00216CF2" w:rsidRDefault="00216CF2" w:rsidP="00216CF2">
      <w:pPr>
        <w:pStyle w:val="Quote1Bullet"/>
        <w:rPr>
          <w:lang w:eastAsia="en-AU"/>
        </w:rPr>
      </w:pPr>
      <w:r>
        <w:rPr>
          <w:i/>
          <w:lang w:eastAsia="en-AU"/>
        </w:rPr>
        <w:t>the relation-back day is the day on which the application for a winding up order is filed, and</w:t>
      </w:r>
    </w:p>
    <w:p w:rsidR="00216CF2" w:rsidRPr="00216CF2" w:rsidRDefault="00216CF2" w:rsidP="00216CF2">
      <w:pPr>
        <w:pStyle w:val="Quote1Bullet"/>
        <w:rPr>
          <w:lang w:eastAsia="en-AU"/>
        </w:rPr>
      </w:pPr>
      <w:r>
        <w:rPr>
          <w:i/>
          <w:lang w:eastAsia="en-AU"/>
        </w:rPr>
        <w:t>the winding up begins on the day when the winding up order is made.</w:t>
      </w:r>
    </w:p>
    <w:p w:rsidR="00216CF2" w:rsidRDefault="00D77D28" w:rsidP="00216CF2">
      <w:pPr>
        <w:pStyle w:val="Quote1"/>
        <w:rPr>
          <w:i/>
          <w:lang w:eastAsia="en-AU"/>
        </w:rPr>
      </w:pPr>
      <w:r>
        <w:rPr>
          <w:i/>
          <w:lang w:eastAsia="en-AU"/>
        </w:rPr>
        <w:t>[8.6]</w:t>
      </w:r>
      <w:r>
        <w:rPr>
          <w:i/>
          <w:lang w:eastAsia="en-AU"/>
        </w:rPr>
        <w:tab/>
      </w:r>
      <w:r w:rsidR="00216CF2" w:rsidRPr="00216CF2">
        <w:rPr>
          <w:i/>
          <w:lang w:eastAsia="en-AU"/>
        </w:rPr>
        <w:t>In consequence, the voidable preference provisions apply to all transactions in the six month period</w:t>
      </w:r>
      <w:r w:rsidR="00216CF2">
        <w:rPr>
          <w:i/>
          <w:lang w:eastAsia="en-AU"/>
        </w:rPr>
        <w:t xml:space="preserve"> prior to the date of the application for a winding up order (applying (</w:t>
      </w:r>
      <w:proofErr w:type="spellStart"/>
      <w:r w:rsidR="00216CF2">
        <w:rPr>
          <w:i/>
          <w:lang w:eastAsia="en-AU"/>
        </w:rPr>
        <w:t>i</w:t>
      </w:r>
      <w:proofErr w:type="spellEnd"/>
      <w:r w:rsidR="00216CF2">
        <w:rPr>
          <w:i/>
          <w:lang w:eastAsia="en-AU"/>
        </w:rPr>
        <w:t>) above) and, in addition, to all transactions in the period between that application and the making of that order (applying (ii) above). The provision therefore works satisfactorily.</w:t>
      </w:r>
    </w:p>
    <w:p w:rsidR="00216CF2" w:rsidRDefault="00216CF2" w:rsidP="00216CF2">
      <w:pPr>
        <w:pStyle w:val="Quote1"/>
        <w:rPr>
          <w:lang w:eastAsia="en-AU"/>
        </w:rPr>
      </w:pPr>
      <w:r>
        <w:rPr>
          <w:lang w:eastAsia="en-AU"/>
        </w:rPr>
        <w:t>Where a voluntary administration precedes the winding up</w:t>
      </w:r>
    </w:p>
    <w:p w:rsidR="00216CF2" w:rsidRDefault="00D77D28" w:rsidP="00216CF2">
      <w:pPr>
        <w:pStyle w:val="Quote1"/>
        <w:rPr>
          <w:i/>
          <w:lang w:eastAsia="en-AU"/>
        </w:rPr>
      </w:pPr>
      <w:r>
        <w:rPr>
          <w:i/>
          <w:lang w:eastAsia="en-AU"/>
        </w:rPr>
        <w:t>[8.7]</w:t>
      </w:r>
      <w:r>
        <w:rPr>
          <w:i/>
          <w:lang w:eastAsia="en-AU"/>
        </w:rPr>
        <w:tab/>
      </w:r>
      <w:r w:rsidR="00216CF2">
        <w:rPr>
          <w:i/>
          <w:lang w:eastAsia="en-AU"/>
        </w:rPr>
        <w:t>In this case:</w:t>
      </w:r>
    </w:p>
    <w:p w:rsidR="00216CF2" w:rsidRPr="00216CF2" w:rsidRDefault="00216CF2" w:rsidP="00216CF2">
      <w:pPr>
        <w:pStyle w:val="Quote1Bullet"/>
        <w:rPr>
          <w:lang w:eastAsia="en-AU"/>
        </w:rPr>
      </w:pPr>
      <w:r>
        <w:rPr>
          <w:i/>
          <w:lang w:eastAsia="en-AU"/>
        </w:rPr>
        <w:t>the relation-back day is the day on which the voluntary administration began</w:t>
      </w:r>
    </w:p>
    <w:p w:rsidR="00216CF2" w:rsidRPr="00216CF2" w:rsidRDefault="00216CF2" w:rsidP="00216CF2">
      <w:pPr>
        <w:pStyle w:val="Quote1Bullet"/>
        <w:rPr>
          <w:lang w:eastAsia="en-AU"/>
        </w:rPr>
      </w:pPr>
      <w:r>
        <w:rPr>
          <w:i/>
          <w:lang w:eastAsia="en-AU"/>
        </w:rPr>
        <w:t>the winding up begins on the day on which the voluntary administration began.</w:t>
      </w:r>
    </w:p>
    <w:p w:rsidR="00216CF2" w:rsidRDefault="00D77D28" w:rsidP="00216CF2">
      <w:pPr>
        <w:pStyle w:val="Quote1"/>
        <w:rPr>
          <w:i/>
          <w:lang w:eastAsia="en-AU"/>
        </w:rPr>
      </w:pPr>
      <w:r>
        <w:rPr>
          <w:i/>
          <w:lang w:eastAsia="en-AU"/>
        </w:rPr>
        <w:t>[8.8]</w:t>
      </w:r>
      <w:r>
        <w:rPr>
          <w:i/>
          <w:lang w:eastAsia="en-AU"/>
        </w:rPr>
        <w:tab/>
      </w:r>
      <w:r w:rsidR="00216CF2">
        <w:rPr>
          <w:i/>
          <w:lang w:eastAsia="en-AU"/>
        </w:rPr>
        <w:t>In consequence, transactions in the six months prior to the day on which the voluntary administration began are subject to the voidable preference provisions (applying (</w:t>
      </w:r>
      <w:proofErr w:type="spellStart"/>
      <w:r w:rsidR="00216CF2">
        <w:rPr>
          <w:i/>
          <w:lang w:eastAsia="en-AU"/>
        </w:rPr>
        <w:t>i</w:t>
      </w:r>
      <w:proofErr w:type="spellEnd"/>
      <w:r w:rsidR="00216CF2">
        <w:rPr>
          <w:i/>
          <w:lang w:eastAsia="en-AU"/>
        </w:rPr>
        <w:t>) above). However, transactions made after the beginning of the administration (including those made under any deed of company arrangement) are not subject to the voidable preference provisions, given that the test in (ii) only covers transactions on or before the day on which the voluntary administration began.</w:t>
      </w:r>
    </w:p>
    <w:p w:rsidR="00216CF2" w:rsidRDefault="00216CF2" w:rsidP="00216CF2">
      <w:pPr>
        <w:pStyle w:val="Quote1"/>
        <w:rPr>
          <w:lang w:eastAsia="en-AU"/>
        </w:rPr>
      </w:pPr>
      <w:r>
        <w:rPr>
          <w:lang w:eastAsia="en-AU"/>
        </w:rPr>
        <w:t>Other voidable transaction provisions</w:t>
      </w:r>
    </w:p>
    <w:p w:rsidR="00390751" w:rsidRDefault="00D77D28" w:rsidP="00216CF2">
      <w:pPr>
        <w:pStyle w:val="Quote1"/>
        <w:rPr>
          <w:i/>
          <w:lang w:eastAsia="en-AU"/>
        </w:rPr>
      </w:pPr>
      <w:r>
        <w:rPr>
          <w:i/>
          <w:lang w:eastAsia="en-AU"/>
        </w:rPr>
        <w:t>[8.9]</w:t>
      </w:r>
      <w:r>
        <w:rPr>
          <w:i/>
          <w:lang w:eastAsia="en-AU"/>
        </w:rPr>
        <w:tab/>
      </w:r>
      <w:r w:rsidR="00216CF2">
        <w:rPr>
          <w:i/>
          <w:lang w:eastAsia="en-AU"/>
        </w:rPr>
        <w:t>The various specific time period for uncommercial transactions, related party transactions, transactions for the purpose of defeating, delaying or interfering with the rights of creditors and unfair loans all end on the day on which the voluntary administration began. Thus none of these transactions will be voidable in a winding up where they take place after the beginning of an administration that precedes a winding up.</w:t>
      </w:r>
    </w:p>
    <w:p w:rsidR="00864A8D" w:rsidRDefault="00864A8D" w:rsidP="00216CF2">
      <w:pPr>
        <w:pStyle w:val="Quote1"/>
        <w:rPr>
          <w:lang w:eastAsia="en-AU"/>
        </w:rPr>
      </w:pPr>
      <w:r>
        <w:rPr>
          <w:lang w:eastAsia="en-AU"/>
        </w:rPr>
        <w:t>Law reform: two possible approaches</w:t>
      </w:r>
    </w:p>
    <w:p w:rsidR="00864A8D" w:rsidRDefault="00D77D28" w:rsidP="00216CF2">
      <w:pPr>
        <w:pStyle w:val="Quote1"/>
        <w:rPr>
          <w:i/>
          <w:lang w:eastAsia="en-AU"/>
        </w:rPr>
      </w:pPr>
      <w:r>
        <w:rPr>
          <w:i/>
          <w:lang w:eastAsia="en-AU"/>
        </w:rPr>
        <w:lastRenderedPageBreak/>
        <w:t>[8.10]</w:t>
      </w:r>
      <w:r>
        <w:rPr>
          <w:i/>
          <w:lang w:eastAsia="en-AU"/>
        </w:rPr>
        <w:tab/>
      </w:r>
      <w:r w:rsidR="00864A8D">
        <w:rPr>
          <w:i/>
          <w:lang w:eastAsia="en-AU"/>
        </w:rPr>
        <w:t>The Legal Committee has considered two possible policy solutions to deal with preferences and other voidable transactions where a voluntary administration precedes a winding up.</w:t>
      </w:r>
    </w:p>
    <w:p w:rsidR="00864A8D" w:rsidRDefault="00714886" w:rsidP="00216CF2">
      <w:pPr>
        <w:pStyle w:val="Quote1"/>
        <w:rPr>
          <w:i/>
          <w:lang w:eastAsia="en-AU"/>
        </w:rPr>
      </w:pPr>
      <w:r w:rsidRPr="00714886">
        <w:rPr>
          <w:i/>
          <w:lang w:eastAsia="en-AU"/>
        </w:rPr>
        <w:t>[8.11]</w:t>
      </w:r>
      <w:r w:rsidR="00D77D28">
        <w:rPr>
          <w:lang w:eastAsia="en-AU"/>
        </w:rPr>
        <w:tab/>
      </w:r>
      <w:r w:rsidR="00864A8D">
        <w:rPr>
          <w:lang w:eastAsia="en-AU"/>
        </w:rPr>
        <w:t xml:space="preserve">First Policy Option: Apply the voidable transaction provision. </w:t>
      </w:r>
      <w:r w:rsidR="00864A8D">
        <w:rPr>
          <w:i/>
          <w:lang w:eastAsia="en-AU"/>
        </w:rPr>
        <w:t>All transactions that take place during the course of a voluntary administration (including the administration of a deed) that precedes any form of court or voluntary winding up could be made subject to the voidable transaction provisions.</w:t>
      </w:r>
    </w:p>
    <w:p w:rsidR="003E6D55" w:rsidRDefault="00D77D28" w:rsidP="00216CF2">
      <w:pPr>
        <w:pStyle w:val="Quote1"/>
        <w:rPr>
          <w:i/>
          <w:lang w:eastAsia="en-AU"/>
        </w:rPr>
      </w:pPr>
      <w:r>
        <w:rPr>
          <w:i/>
          <w:lang w:eastAsia="en-AU"/>
        </w:rPr>
        <w:t>[8.12]</w:t>
      </w:r>
      <w:r>
        <w:rPr>
          <w:i/>
          <w:lang w:eastAsia="en-AU"/>
        </w:rPr>
        <w:tab/>
      </w:r>
      <w:r w:rsidR="00864A8D">
        <w:rPr>
          <w:i/>
          <w:lang w:eastAsia="en-AU"/>
        </w:rPr>
        <w:t>However, this policy option would make it unnecessarily difficult for an administrator or deed administrator to carry on the business of the company while the company is under administration or under a deed. Creditors would be reluctant to deal with the company if payments made to them could be set aside should the company subsequently go into liquidation (notwithstanding that an administrator would be liable for debts owing to creditors).</w:t>
      </w:r>
    </w:p>
    <w:p w:rsidR="009B729D" w:rsidRDefault="00D77D28" w:rsidP="00216CF2">
      <w:pPr>
        <w:pStyle w:val="Quote1"/>
        <w:rPr>
          <w:i/>
          <w:lang w:eastAsia="en-AU"/>
        </w:rPr>
      </w:pPr>
      <w:r>
        <w:rPr>
          <w:i/>
          <w:lang w:eastAsia="en-AU"/>
        </w:rPr>
        <w:t>[8.13]</w:t>
      </w:r>
      <w:r>
        <w:rPr>
          <w:i/>
          <w:lang w:eastAsia="en-AU"/>
        </w:rPr>
        <w:tab/>
      </w:r>
      <w:r w:rsidR="003E6D55">
        <w:rPr>
          <w:i/>
          <w:lang w:eastAsia="en-AU"/>
        </w:rPr>
        <w:t>This policy option might be restricted to payments by a company that has been returned to the control of its directors under a deed of company arrangement. However, this approach could require companies to adopt the more costly alternative of retaining an insolvency practitioner as deed administrator, to avoid the uncertainty that would flow from the possibility that payments to creditors might be recovered as preferences. The opposing argument is that a company that has been returned to the control if its directors should be treated in the same manner as any other filly operational company. If that company becomes insolvent while trading under a deed of company arrangement, it might be considered justifiable to apply the general insolvency rules, including the rules regarding preferences.</w:t>
      </w:r>
    </w:p>
    <w:p w:rsidR="00B33191" w:rsidRDefault="00714886" w:rsidP="00216CF2">
      <w:pPr>
        <w:pStyle w:val="Quote1"/>
        <w:rPr>
          <w:i/>
          <w:lang w:eastAsia="en-AU"/>
        </w:rPr>
      </w:pPr>
      <w:r w:rsidRPr="00714886">
        <w:rPr>
          <w:i/>
          <w:lang w:eastAsia="en-AU"/>
        </w:rPr>
        <w:t>[8.14]</w:t>
      </w:r>
      <w:r w:rsidR="00D77D28">
        <w:rPr>
          <w:lang w:eastAsia="en-AU"/>
        </w:rPr>
        <w:tab/>
      </w:r>
      <w:r w:rsidR="009B729D">
        <w:rPr>
          <w:lang w:eastAsia="en-AU"/>
        </w:rPr>
        <w:t xml:space="preserve">Second Policy Option: Voidable transactions applicable only where directors benefit. </w:t>
      </w:r>
      <w:r w:rsidR="009B729D">
        <w:rPr>
          <w:i/>
          <w:lang w:eastAsia="en-AU"/>
        </w:rPr>
        <w:t>Any payment by a company under a deed of company arrangement that is being administered by the company’s directors (though not payments by administrators and deed administrators) could be voidable where the directors would benefit directly or indirectly from the payment. However, it may be difficult to determine in particular cases whether a director has benefitted directly or indirectly from a payment.</w:t>
      </w:r>
    </w:p>
    <w:p w:rsidR="00B33191" w:rsidRDefault="00D77D28" w:rsidP="00216CF2">
      <w:pPr>
        <w:pStyle w:val="Quote1"/>
        <w:rPr>
          <w:i/>
          <w:lang w:eastAsia="en-AU"/>
        </w:rPr>
      </w:pPr>
      <w:r>
        <w:rPr>
          <w:i/>
          <w:lang w:eastAsia="en-AU"/>
        </w:rPr>
        <w:t>[8.15]</w:t>
      </w:r>
      <w:r>
        <w:rPr>
          <w:i/>
          <w:lang w:eastAsia="en-AU"/>
        </w:rPr>
        <w:tab/>
      </w:r>
      <w:r w:rsidR="00B33191">
        <w:rPr>
          <w:i/>
          <w:lang w:eastAsia="en-AU"/>
        </w:rPr>
        <w:t>The Legal Committee favours the first policy option, with some modifications, as outlined at para 8.18 below.</w:t>
      </w:r>
    </w:p>
    <w:p w:rsidR="00B33191" w:rsidRDefault="00B33191" w:rsidP="00216CF2">
      <w:pPr>
        <w:pStyle w:val="Quote1"/>
        <w:rPr>
          <w:b/>
          <w:i/>
          <w:lang w:eastAsia="en-AU"/>
        </w:rPr>
      </w:pPr>
      <w:r>
        <w:rPr>
          <w:b/>
          <w:i/>
          <w:lang w:eastAsia="en-AU"/>
        </w:rPr>
        <w:t>Transaction inappropriately covered by the voidable transaction provisions</w:t>
      </w:r>
    </w:p>
    <w:p w:rsidR="00B33191" w:rsidRDefault="00D77D28" w:rsidP="00216CF2">
      <w:pPr>
        <w:pStyle w:val="Quote1"/>
        <w:rPr>
          <w:i/>
          <w:lang w:eastAsia="en-AU"/>
        </w:rPr>
      </w:pPr>
      <w:r>
        <w:rPr>
          <w:i/>
          <w:lang w:eastAsia="en-AU"/>
        </w:rPr>
        <w:t>[8.16]</w:t>
      </w:r>
      <w:r>
        <w:rPr>
          <w:i/>
          <w:lang w:eastAsia="en-AU"/>
        </w:rPr>
        <w:tab/>
      </w:r>
      <w:r w:rsidR="00B33191">
        <w:rPr>
          <w:i/>
          <w:lang w:eastAsia="en-AU"/>
        </w:rPr>
        <w:t>Where a company has entered into a deed of company arrangement distributions are made under the deed, the deed is terminated and the company subsequently goes into administration, immediately followed by a winding up, the relation-back day is the date the second administration begins. Distributions under the deed could therefore be liable to challenge by a liquidator under the voidable transaction provisions.</w:t>
      </w:r>
    </w:p>
    <w:p w:rsidR="00216CF2" w:rsidRPr="00216CF2" w:rsidRDefault="00D77D28" w:rsidP="00216CF2">
      <w:pPr>
        <w:pStyle w:val="Quote1"/>
        <w:rPr>
          <w:lang w:eastAsia="en-AU"/>
        </w:rPr>
      </w:pPr>
      <w:r>
        <w:rPr>
          <w:i/>
          <w:lang w:eastAsia="en-AU"/>
        </w:rPr>
        <w:t>[8.17]</w:t>
      </w:r>
      <w:r>
        <w:rPr>
          <w:i/>
          <w:lang w:eastAsia="en-AU"/>
        </w:rPr>
        <w:tab/>
      </w:r>
      <w:r w:rsidR="00B33191">
        <w:rPr>
          <w:i/>
          <w:lang w:eastAsia="en-AU"/>
        </w:rPr>
        <w:t>This anomaly could be removed by having an exception to the voidable transaction provisions for “transactions that are specifically authorised by a deed of company arrangement and carried out by the administrator of that deed”.</w:t>
      </w:r>
      <w:r w:rsidR="00216CF2">
        <w:rPr>
          <w:lang w:eastAsia="en-AU"/>
        </w:rPr>
        <w:t xml:space="preserve"> </w:t>
      </w:r>
      <w:r w:rsidR="00216CF2" w:rsidRPr="00216CF2">
        <w:rPr>
          <w:lang w:eastAsia="en-AU"/>
        </w:rPr>
        <w:t xml:space="preserve"> </w:t>
      </w:r>
    </w:p>
    <w:p w:rsidR="001B2FA0" w:rsidRPr="00B33191" w:rsidRDefault="001B2FA0" w:rsidP="00B33191">
      <w:pPr>
        <w:pStyle w:val="Quote1"/>
        <w:rPr>
          <w:b/>
          <w:i/>
          <w:lang w:eastAsia="en-AU"/>
        </w:rPr>
      </w:pPr>
      <w:r w:rsidRPr="00B33191">
        <w:rPr>
          <w:b/>
          <w:i/>
          <w:lang w:eastAsia="en-AU"/>
        </w:rPr>
        <w:t>Legal Committee view</w:t>
      </w:r>
    </w:p>
    <w:p w:rsidR="001B2FA0" w:rsidRPr="005C43D9" w:rsidRDefault="00714886" w:rsidP="005C43D9">
      <w:pPr>
        <w:pStyle w:val="Quote1"/>
        <w:rPr>
          <w:lang w:eastAsia="en-AU"/>
        </w:rPr>
      </w:pPr>
      <w:r>
        <w:rPr>
          <w:i/>
          <w:lang w:eastAsia="en-AU"/>
        </w:rPr>
        <w:t>[</w:t>
      </w:r>
      <w:r w:rsidR="001B2FA0" w:rsidRPr="00B33191">
        <w:rPr>
          <w:i/>
          <w:lang w:eastAsia="en-AU"/>
        </w:rPr>
        <w:t>8.18</w:t>
      </w:r>
      <w:r>
        <w:rPr>
          <w:i/>
          <w:lang w:eastAsia="en-AU"/>
        </w:rPr>
        <w:t>]</w:t>
      </w:r>
      <w:r w:rsidR="00D77D28">
        <w:rPr>
          <w:i/>
          <w:lang w:eastAsia="en-AU"/>
        </w:rPr>
        <w:tab/>
      </w:r>
      <w:r w:rsidR="001B2FA0" w:rsidRPr="00B33191">
        <w:rPr>
          <w:i/>
          <w:lang w:eastAsia="en-AU"/>
        </w:rPr>
        <w:t>The Legal Committee considers that the two problems with the</w:t>
      </w:r>
      <w:r w:rsidR="00B33191">
        <w:rPr>
          <w:lang w:eastAsia="en-AU"/>
        </w:rPr>
        <w:t xml:space="preserve"> </w:t>
      </w:r>
      <w:r w:rsidR="001B2FA0">
        <w:rPr>
          <w:i/>
          <w:iCs/>
          <w:lang w:eastAsia="en-AU"/>
        </w:rPr>
        <w:t>voidable transaction provisions (namely, transactions inappropriately</w:t>
      </w:r>
      <w:r w:rsidR="00B33191">
        <w:rPr>
          <w:i/>
          <w:iCs/>
          <w:lang w:eastAsia="en-AU"/>
        </w:rPr>
        <w:t xml:space="preserve"> </w:t>
      </w:r>
      <w:r w:rsidR="001B2FA0">
        <w:rPr>
          <w:i/>
          <w:iCs/>
          <w:lang w:eastAsia="en-AU"/>
        </w:rPr>
        <w:t>excluded and transactions inappropriately covered by these provisions)</w:t>
      </w:r>
      <w:r w:rsidR="005C43D9">
        <w:rPr>
          <w:i/>
          <w:iCs/>
          <w:lang w:eastAsia="en-AU"/>
        </w:rPr>
        <w:t xml:space="preserve"> </w:t>
      </w:r>
      <w:r w:rsidR="001B2FA0">
        <w:rPr>
          <w:i/>
          <w:iCs/>
          <w:lang w:eastAsia="en-AU"/>
        </w:rPr>
        <w:t>can best be rectified by providing that transactions that take place</w:t>
      </w:r>
      <w:r w:rsidR="005C43D9">
        <w:rPr>
          <w:i/>
          <w:iCs/>
          <w:lang w:eastAsia="en-AU"/>
        </w:rPr>
        <w:t xml:space="preserve"> </w:t>
      </w:r>
      <w:r w:rsidR="001B2FA0">
        <w:rPr>
          <w:i/>
          <w:iCs/>
          <w:lang w:eastAsia="en-AU"/>
        </w:rPr>
        <w:t>during the course of a voluntary administration (including during the</w:t>
      </w:r>
      <w:r w:rsidR="005C43D9">
        <w:rPr>
          <w:i/>
          <w:iCs/>
          <w:lang w:eastAsia="en-AU"/>
        </w:rPr>
        <w:t xml:space="preserve"> </w:t>
      </w:r>
      <w:r w:rsidR="001B2FA0">
        <w:rPr>
          <w:i/>
          <w:iCs/>
          <w:lang w:eastAsia="en-AU"/>
        </w:rPr>
        <w:t xml:space="preserve">administration of a deed) that precedes any form </w:t>
      </w:r>
      <w:r w:rsidR="001B2FA0">
        <w:rPr>
          <w:i/>
          <w:iCs/>
          <w:lang w:eastAsia="en-AU"/>
        </w:rPr>
        <w:lastRenderedPageBreak/>
        <w:t>of court or voluntary</w:t>
      </w:r>
      <w:r w:rsidR="005C43D9">
        <w:rPr>
          <w:i/>
          <w:iCs/>
          <w:lang w:eastAsia="en-AU"/>
        </w:rPr>
        <w:t xml:space="preserve"> </w:t>
      </w:r>
      <w:r w:rsidR="001B2FA0">
        <w:rPr>
          <w:i/>
          <w:iCs/>
          <w:lang w:eastAsia="en-AU"/>
        </w:rPr>
        <w:t>winding up, other than:</w:t>
      </w:r>
    </w:p>
    <w:p w:rsidR="005C43D9" w:rsidRPr="005C43D9" w:rsidRDefault="001B2FA0" w:rsidP="00FD24F6">
      <w:pPr>
        <w:pStyle w:val="Quote1Bullet"/>
        <w:rPr>
          <w:lang w:eastAsia="en-AU"/>
        </w:rPr>
      </w:pPr>
      <w:r w:rsidRPr="005C43D9">
        <w:rPr>
          <w:i/>
          <w:lang w:eastAsia="en-AU"/>
        </w:rPr>
        <w:t>transactions performed by or with the authority of an administrator</w:t>
      </w:r>
      <w:r w:rsidR="005C43D9" w:rsidRPr="005C43D9">
        <w:rPr>
          <w:i/>
          <w:lang w:eastAsia="en-AU"/>
        </w:rPr>
        <w:t xml:space="preserve"> </w:t>
      </w:r>
      <w:r w:rsidRPr="005C43D9">
        <w:rPr>
          <w:i/>
          <w:iCs/>
          <w:lang w:eastAsia="en-AU"/>
        </w:rPr>
        <w:t>or a deed administrator (even if in fact performed by the directors)</w:t>
      </w:r>
    </w:p>
    <w:p w:rsidR="005C43D9" w:rsidRPr="005C43D9" w:rsidRDefault="001B2FA0" w:rsidP="00FD24F6">
      <w:pPr>
        <w:pStyle w:val="Quote1Bullet"/>
        <w:rPr>
          <w:lang w:eastAsia="en-AU"/>
        </w:rPr>
      </w:pPr>
      <w:r w:rsidRPr="005C43D9">
        <w:rPr>
          <w:i/>
          <w:iCs/>
          <w:lang w:eastAsia="en-AU"/>
        </w:rPr>
        <w:t>transactions that are specifically authorised by a deed of company</w:t>
      </w:r>
      <w:r w:rsidR="005C43D9">
        <w:rPr>
          <w:i/>
          <w:iCs/>
          <w:lang w:eastAsia="en-AU"/>
        </w:rPr>
        <w:t xml:space="preserve"> </w:t>
      </w:r>
      <w:r w:rsidRPr="005C43D9">
        <w:rPr>
          <w:i/>
          <w:iCs/>
          <w:lang w:eastAsia="en-AU"/>
        </w:rPr>
        <w:t>arrangement and carried out by the administrator of that deed (who</w:t>
      </w:r>
      <w:r w:rsidR="005C43D9">
        <w:rPr>
          <w:i/>
          <w:iCs/>
          <w:lang w:eastAsia="en-AU"/>
        </w:rPr>
        <w:t xml:space="preserve"> </w:t>
      </w:r>
      <w:r w:rsidRPr="005C43D9">
        <w:rPr>
          <w:i/>
          <w:iCs/>
          <w:lang w:eastAsia="en-AU"/>
        </w:rPr>
        <w:t>must be a registered liquidator)</w:t>
      </w:r>
      <w:r w:rsidR="005C43D9">
        <w:rPr>
          <w:i/>
          <w:iCs/>
          <w:lang w:eastAsia="en-AU"/>
        </w:rPr>
        <w:t xml:space="preserve"> </w:t>
      </w:r>
    </w:p>
    <w:p w:rsidR="009A3332" w:rsidRPr="00714886" w:rsidRDefault="001B2FA0" w:rsidP="00714886">
      <w:pPr>
        <w:pStyle w:val="Quote1"/>
        <w:rPr>
          <w:lang w:eastAsia="en-AU"/>
        </w:rPr>
      </w:pPr>
      <w:r w:rsidRPr="005C43D9">
        <w:rPr>
          <w:i/>
          <w:lang w:eastAsia="en-AU"/>
        </w:rPr>
        <w:t xml:space="preserve">should be subject to the voidable transaction provisions. </w:t>
      </w:r>
      <w:r w:rsidRPr="003F3B0F">
        <w:rPr>
          <w:i/>
          <w:lang w:eastAsia="en-AU"/>
        </w:rPr>
        <w:t>Thus,</w:t>
      </w:r>
      <w:r w:rsidR="005C43D9" w:rsidRPr="003F3B0F">
        <w:rPr>
          <w:i/>
          <w:lang w:eastAsia="en-AU"/>
        </w:rPr>
        <w:t xml:space="preserve"> </w:t>
      </w:r>
      <w:r w:rsidRPr="003F3B0F">
        <w:rPr>
          <w:i/>
          <w:lang w:eastAsia="en-AU"/>
        </w:rPr>
        <w:t>transactions by company directors under a deed of company</w:t>
      </w:r>
      <w:r w:rsidR="005C43D9" w:rsidRPr="003F3B0F">
        <w:rPr>
          <w:i/>
          <w:lang w:eastAsia="en-AU"/>
        </w:rPr>
        <w:t xml:space="preserve"> </w:t>
      </w:r>
      <w:r w:rsidRPr="003F3B0F">
        <w:rPr>
          <w:i/>
          <w:lang w:eastAsia="en-AU"/>
        </w:rPr>
        <w:t>arrangement which are not authorised by the deed administrator would</w:t>
      </w:r>
      <w:r w:rsidR="005C43D9" w:rsidRPr="003F3B0F">
        <w:rPr>
          <w:i/>
          <w:lang w:eastAsia="en-AU"/>
        </w:rPr>
        <w:t xml:space="preserve"> </w:t>
      </w:r>
      <w:r w:rsidRPr="003F3B0F">
        <w:rPr>
          <w:i/>
          <w:lang w:eastAsia="en-AU"/>
        </w:rPr>
        <w:t>be subject to the voidable transaction provisions.</w:t>
      </w:r>
      <w:r w:rsidR="005C43D9">
        <w:rPr>
          <w:i/>
          <w:lang w:eastAsia="en-AU"/>
        </w:rPr>
        <w:t xml:space="preserve"> </w:t>
      </w:r>
    </w:p>
    <w:p w:rsidR="009A3332" w:rsidRPr="005607A2" w:rsidRDefault="009A3332" w:rsidP="005607A2">
      <w:pPr>
        <w:pStyle w:val="Quote1"/>
        <w:rPr>
          <w:i/>
          <w:lang w:eastAsia="en-AU"/>
        </w:rPr>
      </w:pPr>
      <w:r w:rsidRPr="005607A2">
        <w:rPr>
          <w:b/>
          <w:bCs/>
          <w:i/>
          <w:lang w:eastAsia="en-AU"/>
        </w:rPr>
        <w:t xml:space="preserve">Recommendations 51. </w:t>
      </w:r>
      <w:r w:rsidRPr="005607A2">
        <w:rPr>
          <w:i/>
          <w:lang w:eastAsia="en-AU"/>
        </w:rPr>
        <w:t>Transactions that take place during the course of</w:t>
      </w:r>
      <w:r w:rsidR="005607A2">
        <w:rPr>
          <w:i/>
          <w:lang w:eastAsia="en-AU"/>
        </w:rPr>
        <w:t xml:space="preserve"> </w:t>
      </w:r>
      <w:r w:rsidRPr="005607A2">
        <w:rPr>
          <w:i/>
          <w:lang w:eastAsia="en-AU"/>
        </w:rPr>
        <w:t>a voluntary administration (including du</w:t>
      </w:r>
      <w:r w:rsidR="005607A2">
        <w:rPr>
          <w:i/>
          <w:lang w:eastAsia="en-AU"/>
        </w:rPr>
        <w:t xml:space="preserve">ring the administration of a </w:t>
      </w:r>
      <w:r w:rsidRPr="005607A2">
        <w:rPr>
          <w:i/>
          <w:lang w:eastAsia="en-AU"/>
        </w:rPr>
        <w:t>deed) that precedes any form of cour</w:t>
      </w:r>
      <w:r w:rsidR="005607A2">
        <w:rPr>
          <w:i/>
          <w:lang w:eastAsia="en-AU"/>
        </w:rPr>
        <w:t xml:space="preserve">t or voluntary winding up other </w:t>
      </w:r>
      <w:r w:rsidRPr="005607A2">
        <w:rPr>
          <w:i/>
          <w:lang w:eastAsia="en-AU"/>
        </w:rPr>
        <w:t>than:</w:t>
      </w:r>
    </w:p>
    <w:p w:rsidR="005607A2" w:rsidRPr="005607A2" w:rsidRDefault="009A3332" w:rsidP="005607A2">
      <w:pPr>
        <w:pStyle w:val="Quote1Bullet"/>
        <w:rPr>
          <w:lang w:eastAsia="en-AU"/>
        </w:rPr>
      </w:pPr>
      <w:r w:rsidRPr="005607A2">
        <w:rPr>
          <w:i/>
          <w:lang w:eastAsia="en-AU"/>
        </w:rPr>
        <w:t>transactions performed by or with the authority of an administrator or a</w:t>
      </w:r>
      <w:r w:rsidR="005607A2" w:rsidRPr="005607A2">
        <w:rPr>
          <w:i/>
          <w:lang w:eastAsia="en-AU"/>
        </w:rPr>
        <w:t xml:space="preserve"> </w:t>
      </w:r>
      <w:r w:rsidRPr="005607A2">
        <w:rPr>
          <w:i/>
          <w:lang w:eastAsia="en-AU"/>
        </w:rPr>
        <w:t>deed administrator (even if in f</w:t>
      </w:r>
      <w:r w:rsidR="005607A2">
        <w:rPr>
          <w:i/>
          <w:lang w:eastAsia="en-AU"/>
        </w:rPr>
        <w:t>act performed by the directors)</w:t>
      </w:r>
    </w:p>
    <w:p w:rsidR="009A3332" w:rsidRPr="005607A2" w:rsidRDefault="009A3332" w:rsidP="005607A2">
      <w:pPr>
        <w:pStyle w:val="Quote1Bullet"/>
        <w:rPr>
          <w:lang w:eastAsia="en-AU"/>
        </w:rPr>
      </w:pPr>
      <w:r w:rsidRPr="005607A2">
        <w:rPr>
          <w:i/>
          <w:lang w:eastAsia="en-AU"/>
        </w:rPr>
        <w:t>transactions that are specifically authorised by a deed of company</w:t>
      </w:r>
      <w:r w:rsidR="005607A2">
        <w:rPr>
          <w:i/>
          <w:lang w:eastAsia="en-AU"/>
        </w:rPr>
        <w:t xml:space="preserve"> </w:t>
      </w:r>
      <w:r w:rsidRPr="005607A2">
        <w:rPr>
          <w:i/>
          <w:lang w:eastAsia="en-AU"/>
        </w:rPr>
        <w:t>arrangement and carried out by</w:t>
      </w:r>
      <w:r w:rsidR="00A87CF2">
        <w:rPr>
          <w:i/>
          <w:lang w:eastAsia="en-AU"/>
        </w:rPr>
        <w:t xml:space="preserve"> the administrator of that deed</w:t>
      </w:r>
    </w:p>
    <w:p w:rsidR="009A3332" w:rsidRDefault="005607A2" w:rsidP="005607A2">
      <w:pPr>
        <w:pStyle w:val="Quote1"/>
        <w:rPr>
          <w:i/>
          <w:lang w:eastAsia="en-AU"/>
        </w:rPr>
      </w:pPr>
      <w:r>
        <w:rPr>
          <w:i/>
          <w:lang w:eastAsia="en-AU"/>
        </w:rPr>
        <w:t>s</w:t>
      </w:r>
      <w:r w:rsidR="009A3332" w:rsidRPr="005607A2">
        <w:rPr>
          <w:i/>
          <w:lang w:eastAsia="en-AU"/>
        </w:rPr>
        <w:t>hould be subject to the voidable transaction provisions</w:t>
      </w:r>
      <w:r>
        <w:rPr>
          <w:i/>
          <w:lang w:eastAsia="en-AU"/>
        </w:rPr>
        <w:t>.</w:t>
      </w:r>
    </w:p>
    <w:p w:rsidR="009A3332" w:rsidRDefault="009A3332" w:rsidP="005607A2">
      <w:pPr>
        <w:pStyle w:val="Heading2"/>
        <w:rPr>
          <w:lang w:eastAsia="en-AU"/>
        </w:rPr>
      </w:pPr>
      <w:r w:rsidRPr="009A3332">
        <w:rPr>
          <w:lang w:eastAsia="en-AU"/>
        </w:rPr>
        <w:t>CAMAC November 2008 Report</w:t>
      </w:r>
    </w:p>
    <w:p w:rsidR="005607A2" w:rsidRDefault="009A3332" w:rsidP="00FD24F6">
      <w:pPr>
        <w:pStyle w:val="ParaNumbering"/>
        <w:rPr>
          <w:lang w:eastAsia="en-AU"/>
        </w:rPr>
      </w:pPr>
      <w:r>
        <w:rPr>
          <w:lang w:eastAsia="en-AU"/>
        </w:rPr>
        <w:t>Ten y</w:t>
      </w:r>
      <w:r w:rsidR="00070106">
        <w:rPr>
          <w:lang w:eastAsia="en-AU"/>
        </w:rPr>
        <w:t>ears after the CAMAC June 1998 R</w:t>
      </w:r>
      <w:r>
        <w:rPr>
          <w:lang w:eastAsia="en-AU"/>
        </w:rPr>
        <w:t xml:space="preserve">eport, </w:t>
      </w:r>
      <w:r w:rsidR="008229A2">
        <w:rPr>
          <w:lang w:eastAsia="en-AU"/>
        </w:rPr>
        <w:t>the Committee</w:t>
      </w:r>
      <w:r>
        <w:rPr>
          <w:lang w:eastAsia="en-AU"/>
        </w:rPr>
        <w:t xml:space="preserve"> published the CAMAC</w:t>
      </w:r>
      <w:r w:rsidR="005607A2">
        <w:rPr>
          <w:lang w:eastAsia="en-AU"/>
        </w:rPr>
        <w:t xml:space="preserve"> </w:t>
      </w:r>
      <w:r w:rsidR="00070106">
        <w:rPr>
          <w:lang w:eastAsia="en-AU"/>
        </w:rPr>
        <w:t>November 2008 R</w:t>
      </w:r>
      <w:r>
        <w:rPr>
          <w:lang w:eastAsia="en-AU"/>
        </w:rPr>
        <w:t>eport in whi</w:t>
      </w:r>
      <w:r w:rsidR="008229A2">
        <w:rPr>
          <w:lang w:eastAsia="en-AU"/>
        </w:rPr>
        <w:t>ch the Committee</w:t>
      </w:r>
      <w:r w:rsidR="005607A2">
        <w:rPr>
          <w:lang w:eastAsia="en-AU"/>
        </w:rPr>
        <w:t xml:space="preserve"> considered</w:t>
      </w:r>
      <w:r>
        <w:rPr>
          <w:lang w:eastAsia="en-AU"/>
        </w:rPr>
        <w:t xml:space="preserve"> s</w:t>
      </w:r>
      <w:r w:rsidR="00CE1DFB">
        <w:rPr>
          <w:lang w:eastAsia="en-AU"/>
        </w:rPr>
        <w:t>ub-s</w:t>
      </w:r>
      <w:r w:rsidR="00F23FDC">
        <w:rPr>
          <w:lang w:eastAsia="en-AU"/>
        </w:rPr>
        <w:t> </w:t>
      </w:r>
      <w:r>
        <w:rPr>
          <w:lang w:eastAsia="en-AU"/>
        </w:rPr>
        <w:t>588FE(2B)</w:t>
      </w:r>
      <w:r w:rsidR="005607A2">
        <w:rPr>
          <w:lang w:eastAsia="en-AU"/>
        </w:rPr>
        <w:t xml:space="preserve"> </w:t>
      </w:r>
      <w:r w:rsidR="00926035">
        <w:rPr>
          <w:lang w:eastAsia="en-AU"/>
        </w:rPr>
        <w:t>and</w:t>
      </w:r>
      <w:r>
        <w:rPr>
          <w:lang w:eastAsia="en-AU"/>
        </w:rPr>
        <w:t xml:space="preserve"> recommendation 51.</w:t>
      </w:r>
    </w:p>
    <w:p w:rsidR="003A18C5" w:rsidRDefault="009A3332" w:rsidP="00FD24F6">
      <w:pPr>
        <w:pStyle w:val="ParaNumbering"/>
        <w:rPr>
          <w:lang w:eastAsia="en-AU"/>
        </w:rPr>
      </w:pPr>
      <w:r>
        <w:rPr>
          <w:lang w:eastAsia="en-AU"/>
        </w:rPr>
        <w:t>The CAMA</w:t>
      </w:r>
      <w:r w:rsidR="00070106">
        <w:rPr>
          <w:lang w:eastAsia="en-AU"/>
        </w:rPr>
        <w:t>C November 2008 R</w:t>
      </w:r>
      <w:r w:rsidR="003A18C5">
        <w:rPr>
          <w:lang w:eastAsia="en-AU"/>
        </w:rPr>
        <w:t>eport provided</w:t>
      </w:r>
      <w:r w:rsidR="00466E20">
        <w:rPr>
          <w:lang w:eastAsia="en-AU"/>
        </w:rPr>
        <w:t xml:space="preserve"> (footnotes omitted)</w:t>
      </w:r>
      <w:r w:rsidR="003A18C5">
        <w:rPr>
          <w:lang w:eastAsia="en-AU"/>
        </w:rPr>
        <w:t>:</w:t>
      </w:r>
    </w:p>
    <w:p w:rsidR="009A3332" w:rsidRDefault="005021A9" w:rsidP="00E439BF">
      <w:pPr>
        <w:pStyle w:val="ListNo1"/>
        <w:numPr>
          <w:ilvl w:val="0"/>
          <w:numId w:val="38"/>
        </w:numPr>
        <w:rPr>
          <w:lang w:eastAsia="en-AU"/>
        </w:rPr>
      </w:pPr>
      <w:r>
        <w:rPr>
          <w:lang w:eastAsia="en-AU"/>
        </w:rPr>
        <w:t>at [</w:t>
      </w:r>
      <w:r w:rsidR="009A3332">
        <w:rPr>
          <w:lang w:eastAsia="en-AU"/>
        </w:rPr>
        <w:t>4.2.1</w:t>
      </w:r>
      <w:r>
        <w:rPr>
          <w:lang w:eastAsia="en-AU"/>
        </w:rPr>
        <w:t>]</w:t>
      </w:r>
      <w:r w:rsidR="009A3332">
        <w:rPr>
          <w:lang w:eastAsia="en-AU"/>
        </w:rPr>
        <w:t>:</w:t>
      </w:r>
    </w:p>
    <w:p w:rsidR="003A18C5" w:rsidRDefault="009A3332" w:rsidP="003A18C5">
      <w:pPr>
        <w:pStyle w:val="Quote1"/>
        <w:rPr>
          <w:i/>
          <w:lang w:eastAsia="en-AU"/>
        </w:rPr>
      </w:pPr>
      <w:r w:rsidRPr="003A18C5">
        <w:rPr>
          <w:i/>
          <w:lang w:eastAsia="en-AU"/>
        </w:rPr>
        <w:t>Voidable transactions are:</w:t>
      </w:r>
    </w:p>
    <w:p w:rsidR="009A3332" w:rsidRPr="00466E20" w:rsidRDefault="009A3332" w:rsidP="003A18C5">
      <w:pPr>
        <w:pStyle w:val="Quote1Bullet"/>
        <w:rPr>
          <w:i/>
          <w:lang w:eastAsia="en-AU"/>
        </w:rPr>
      </w:pPr>
      <w:r w:rsidRPr="00466E20">
        <w:rPr>
          <w:i/>
          <w:lang w:eastAsia="en-AU"/>
        </w:rPr>
        <w:t>unfair preferences</w:t>
      </w:r>
    </w:p>
    <w:p w:rsidR="009A3332" w:rsidRPr="003A18C5" w:rsidRDefault="009A3332" w:rsidP="003A18C5">
      <w:pPr>
        <w:pStyle w:val="Quote1"/>
        <w:rPr>
          <w:i/>
          <w:lang w:eastAsia="en-AU"/>
        </w:rPr>
      </w:pPr>
      <w:r w:rsidRPr="003A18C5">
        <w:rPr>
          <w:i/>
          <w:lang w:eastAsia="en-AU"/>
        </w:rPr>
        <w:t>…</w:t>
      </w:r>
    </w:p>
    <w:p w:rsidR="009A3332" w:rsidRDefault="00466E20" w:rsidP="00466E20">
      <w:pPr>
        <w:pStyle w:val="Quote1"/>
        <w:rPr>
          <w:i/>
          <w:lang w:eastAsia="en-AU"/>
        </w:rPr>
      </w:pPr>
      <w:r>
        <w:rPr>
          <w:i/>
          <w:lang w:eastAsia="en-AU"/>
        </w:rPr>
        <w:t>that we</w:t>
      </w:r>
      <w:r w:rsidR="009A3332" w:rsidRPr="003A18C5">
        <w:rPr>
          <w:i/>
          <w:lang w:eastAsia="en-AU"/>
        </w:rPr>
        <w:t xml:space="preserve">re entered into on behalf of </w:t>
      </w:r>
      <w:r>
        <w:rPr>
          <w:i/>
          <w:lang w:eastAsia="en-AU"/>
        </w:rPr>
        <w:t xml:space="preserve">the company, before the winding </w:t>
      </w:r>
      <w:r w:rsidR="009A3332" w:rsidRPr="003A18C5">
        <w:rPr>
          <w:i/>
          <w:lang w:eastAsia="en-AU"/>
        </w:rPr>
        <w:t>up began, by various parties including:</w:t>
      </w:r>
    </w:p>
    <w:p w:rsidR="00466E20" w:rsidRPr="003A18C5" w:rsidRDefault="00466E20" w:rsidP="00466E20">
      <w:pPr>
        <w:pStyle w:val="Quote1"/>
        <w:rPr>
          <w:i/>
          <w:lang w:eastAsia="en-AU"/>
        </w:rPr>
      </w:pPr>
      <w:r>
        <w:rPr>
          <w:i/>
          <w:lang w:eastAsia="en-AU"/>
        </w:rPr>
        <w:t>…</w:t>
      </w:r>
    </w:p>
    <w:p w:rsidR="009A3332" w:rsidRPr="00466E20" w:rsidRDefault="009A3332" w:rsidP="00466E20">
      <w:pPr>
        <w:pStyle w:val="Quote1Bullet"/>
        <w:rPr>
          <w:i/>
          <w:lang w:eastAsia="en-AU"/>
        </w:rPr>
      </w:pPr>
      <w:r w:rsidRPr="00466E20">
        <w:rPr>
          <w:i/>
          <w:lang w:eastAsia="en-AU"/>
        </w:rPr>
        <w:t>(from 31 December 2007) directors or officers pursuant to a</w:t>
      </w:r>
      <w:r w:rsidR="00466E20">
        <w:rPr>
          <w:i/>
          <w:lang w:eastAsia="en-AU"/>
        </w:rPr>
        <w:t xml:space="preserve"> </w:t>
      </w:r>
      <w:r w:rsidRPr="00466E20">
        <w:rPr>
          <w:i/>
          <w:lang w:eastAsia="en-AU"/>
        </w:rPr>
        <w:t>DOCA under which the company has been returned to the</w:t>
      </w:r>
      <w:r w:rsidR="00466E20">
        <w:rPr>
          <w:i/>
          <w:lang w:eastAsia="en-AU"/>
        </w:rPr>
        <w:t xml:space="preserve"> </w:t>
      </w:r>
      <w:r w:rsidRPr="00466E20">
        <w:rPr>
          <w:i/>
          <w:lang w:eastAsia="en-AU"/>
        </w:rPr>
        <w:t>control of directors (officer-initiated transactions)</w:t>
      </w:r>
    </w:p>
    <w:p w:rsidR="009A3332" w:rsidRPr="00466E20" w:rsidRDefault="00396D24" w:rsidP="00E439BF">
      <w:pPr>
        <w:pStyle w:val="ListNo1"/>
        <w:numPr>
          <w:ilvl w:val="0"/>
          <w:numId w:val="25"/>
        </w:numPr>
        <w:rPr>
          <w:lang w:eastAsia="en-AU"/>
        </w:rPr>
      </w:pPr>
      <w:r>
        <w:rPr>
          <w:lang w:eastAsia="en-AU"/>
        </w:rPr>
        <w:t>at [</w:t>
      </w:r>
      <w:r w:rsidR="009A3332">
        <w:rPr>
          <w:lang w:eastAsia="en-AU"/>
        </w:rPr>
        <w:t>4.2.2</w:t>
      </w:r>
      <w:r>
        <w:rPr>
          <w:lang w:eastAsia="en-AU"/>
        </w:rPr>
        <w:t>]</w:t>
      </w:r>
      <w:r w:rsidR="009A3332">
        <w:rPr>
          <w:lang w:eastAsia="en-AU"/>
        </w:rPr>
        <w:t>, whilst considering whether the statutory defence to</w:t>
      </w:r>
      <w:r w:rsidR="00466E20">
        <w:rPr>
          <w:lang w:eastAsia="en-AU"/>
        </w:rPr>
        <w:t xml:space="preserve"> </w:t>
      </w:r>
      <w:r w:rsidR="009A3332">
        <w:rPr>
          <w:lang w:eastAsia="en-AU"/>
        </w:rPr>
        <w:t xml:space="preserve">voidable transactions in s 588FG of the </w:t>
      </w:r>
      <w:r w:rsidR="005021A9">
        <w:rPr>
          <w:lang w:eastAsia="en-AU"/>
        </w:rPr>
        <w:t xml:space="preserve">Corporations </w:t>
      </w:r>
      <w:r w:rsidR="009A3332">
        <w:rPr>
          <w:lang w:eastAsia="en-AU"/>
        </w:rPr>
        <w:t>Act should be removed in respect</w:t>
      </w:r>
      <w:r w:rsidR="00466E20">
        <w:rPr>
          <w:lang w:eastAsia="en-AU"/>
        </w:rPr>
        <w:t xml:space="preserve"> </w:t>
      </w:r>
      <w:r w:rsidR="009A3332">
        <w:rPr>
          <w:lang w:eastAsia="en-AU"/>
        </w:rPr>
        <w:t>of such ‘officer-initiated transactions’:</w:t>
      </w:r>
    </w:p>
    <w:p w:rsidR="00F23FDC" w:rsidRDefault="00F23FDC">
      <w:pPr>
        <w:spacing w:line="240" w:lineRule="auto"/>
        <w:jc w:val="left"/>
        <w:rPr>
          <w:b/>
          <w:i/>
          <w:sz w:val="22"/>
          <w:lang w:eastAsia="en-AU"/>
        </w:rPr>
      </w:pPr>
      <w:r>
        <w:rPr>
          <w:b/>
          <w:i/>
          <w:lang w:eastAsia="en-AU"/>
        </w:rPr>
        <w:br w:type="page"/>
      </w:r>
    </w:p>
    <w:p w:rsidR="009A3332" w:rsidRPr="00466E20" w:rsidRDefault="009A3332" w:rsidP="00466E20">
      <w:pPr>
        <w:pStyle w:val="Quote1"/>
        <w:rPr>
          <w:b/>
          <w:i/>
          <w:lang w:eastAsia="en-AU"/>
        </w:rPr>
      </w:pPr>
      <w:r w:rsidRPr="00466E20">
        <w:rPr>
          <w:b/>
          <w:i/>
          <w:lang w:eastAsia="en-AU"/>
        </w:rPr>
        <w:lastRenderedPageBreak/>
        <w:t>Background</w:t>
      </w:r>
    </w:p>
    <w:p w:rsidR="009A3332" w:rsidRPr="00466E20" w:rsidRDefault="009A3332" w:rsidP="00466E20">
      <w:pPr>
        <w:pStyle w:val="Quote1"/>
        <w:rPr>
          <w:i/>
          <w:lang w:eastAsia="en-AU"/>
        </w:rPr>
      </w:pPr>
      <w:r w:rsidRPr="00466E20">
        <w:rPr>
          <w:i/>
          <w:lang w:eastAsia="en-AU"/>
        </w:rPr>
        <w:t>…</w:t>
      </w:r>
      <w:r w:rsidR="00466E20">
        <w:rPr>
          <w:i/>
          <w:lang w:eastAsia="en-AU"/>
        </w:rPr>
        <w:t xml:space="preserve"> </w:t>
      </w:r>
      <w:r w:rsidRPr="00466E20">
        <w:rPr>
          <w:i/>
          <w:lang w:eastAsia="en-AU"/>
        </w:rPr>
        <w:t>the Referred Proposal (removal o</w:t>
      </w:r>
      <w:r w:rsidR="00466E20" w:rsidRPr="00466E20">
        <w:rPr>
          <w:i/>
          <w:lang w:eastAsia="en-AU"/>
        </w:rPr>
        <w:t xml:space="preserve">f the assumed solvency defence) </w:t>
      </w:r>
      <w:r w:rsidRPr="00466E20">
        <w:rPr>
          <w:i/>
          <w:lang w:eastAsia="en-AU"/>
        </w:rPr>
        <w:t>would only be relevant where a co</w:t>
      </w:r>
      <w:r w:rsidR="00466E20" w:rsidRPr="00466E20">
        <w:rPr>
          <w:i/>
          <w:lang w:eastAsia="en-AU"/>
        </w:rPr>
        <w:t xml:space="preserve">mpany that is subject to a DOCA </w:t>
      </w:r>
      <w:r w:rsidRPr="00466E20">
        <w:rPr>
          <w:i/>
          <w:lang w:eastAsia="en-AU"/>
        </w:rPr>
        <w:t>has entered into officer-initiated transactions and has subsequently</w:t>
      </w:r>
      <w:r w:rsidR="00466E20" w:rsidRPr="00466E20">
        <w:rPr>
          <w:i/>
          <w:lang w:eastAsia="en-AU"/>
        </w:rPr>
        <w:t xml:space="preserve"> </w:t>
      </w:r>
      <w:r w:rsidRPr="00466E20">
        <w:rPr>
          <w:i/>
          <w:lang w:eastAsia="en-AU"/>
        </w:rPr>
        <w:t>gone into liquidation</w:t>
      </w:r>
      <w:r w:rsidR="00466E20">
        <w:rPr>
          <w:i/>
          <w:lang w:eastAsia="en-AU"/>
        </w:rPr>
        <w:t xml:space="preserve"> </w:t>
      </w:r>
      <w:r w:rsidRPr="00466E20">
        <w:rPr>
          <w:i/>
          <w:lang w:eastAsia="en-AU"/>
        </w:rPr>
        <w:t>…</w:t>
      </w:r>
    </w:p>
    <w:p w:rsidR="009A3332" w:rsidRPr="00A41E59" w:rsidRDefault="00A41E59" w:rsidP="00A41E59">
      <w:pPr>
        <w:pStyle w:val="Quote1"/>
        <w:rPr>
          <w:i/>
          <w:lang w:eastAsia="en-AU"/>
        </w:rPr>
      </w:pPr>
      <w:r>
        <w:rPr>
          <w:i/>
          <w:lang w:eastAsia="en-AU"/>
        </w:rPr>
        <w:t>…</w:t>
      </w:r>
    </w:p>
    <w:p w:rsidR="009A3332" w:rsidRPr="00A41E59" w:rsidRDefault="009A3332" w:rsidP="00A41E59">
      <w:pPr>
        <w:pStyle w:val="Quote1"/>
        <w:rPr>
          <w:b/>
          <w:i/>
          <w:lang w:eastAsia="en-AU"/>
        </w:rPr>
      </w:pPr>
      <w:r w:rsidRPr="00A41E59">
        <w:rPr>
          <w:b/>
          <w:i/>
          <w:lang w:eastAsia="en-AU"/>
        </w:rPr>
        <w:t>Recommendation 9</w:t>
      </w:r>
    </w:p>
    <w:p w:rsidR="009A3332" w:rsidRPr="00A41E59" w:rsidRDefault="009A3332" w:rsidP="00A41E59">
      <w:pPr>
        <w:pStyle w:val="Quote1"/>
        <w:rPr>
          <w:i/>
          <w:lang w:eastAsia="en-AU"/>
        </w:rPr>
      </w:pPr>
      <w:r w:rsidRPr="00A41E59">
        <w:rPr>
          <w:i/>
          <w:lang w:eastAsia="en-AU"/>
        </w:rPr>
        <w:t>The assumed solvency defence should remai</w:t>
      </w:r>
      <w:r w:rsidR="00A41E59">
        <w:rPr>
          <w:i/>
          <w:lang w:eastAsia="en-AU"/>
        </w:rPr>
        <w:t xml:space="preserve">n for transactions entered into </w:t>
      </w:r>
      <w:r w:rsidRPr="00A41E59">
        <w:rPr>
          <w:i/>
          <w:lang w:eastAsia="en-AU"/>
        </w:rPr>
        <w:t>by officers of a company while the com</w:t>
      </w:r>
      <w:r w:rsidR="00A41E59">
        <w:rPr>
          <w:i/>
          <w:lang w:eastAsia="en-AU"/>
        </w:rPr>
        <w:t xml:space="preserve">pany is under a deed of company </w:t>
      </w:r>
      <w:r w:rsidRPr="00A41E59">
        <w:rPr>
          <w:i/>
          <w:lang w:eastAsia="en-AU"/>
        </w:rPr>
        <w:t>arrangement.</w:t>
      </w:r>
      <w:r w:rsidRPr="00A41E59">
        <w:rPr>
          <w:i/>
          <w:sz w:val="16"/>
          <w:szCs w:val="16"/>
          <w:lang w:eastAsia="en-AU"/>
        </w:rPr>
        <w:t xml:space="preserve"> </w:t>
      </w:r>
    </w:p>
    <w:p w:rsidR="009A3332" w:rsidRDefault="009A3332" w:rsidP="00FD24F6">
      <w:pPr>
        <w:pStyle w:val="ParaNumbering"/>
        <w:rPr>
          <w:lang w:eastAsia="en-AU"/>
        </w:rPr>
      </w:pPr>
      <w:r>
        <w:rPr>
          <w:lang w:eastAsia="en-AU"/>
        </w:rPr>
        <w:t>The issue conside</w:t>
      </w:r>
      <w:r w:rsidR="00070106">
        <w:rPr>
          <w:lang w:eastAsia="en-AU"/>
        </w:rPr>
        <w:t>red in the CAMAC November 2008 R</w:t>
      </w:r>
      <w:r>
        <w:rPr>
          <w:lang w:eastAsia="en-AU"/>
        </w:rPr>
        <w:t>eport and its intersection</w:t>
      </w:r>
      <w:r w:rsidR="00A41E59">
        <w:rPr>
          <w:lang w:eastAsia="en-AU"/>
        </w:rPr>
        <w:t xml:space="preserve"> </w:t>
      </w:r>
      <w:r>
        <w:rPr>
          <w:lang w:eastAsia="en-AU"/>
        </w:rPr>
        <w:t>with s</w:t>
      </w:r>
      <w:r w:rsidR="00CE1DFB">
        <w:rPr>
          <w:lang w:eastAsia="en-AU"/>
        </w:rPr>
        <w:t>ub-s</w:t>
      </w:r>
      <w:r w:rsidR="00F23FDC">
        <w:rPr>
          <w:lang w:eastAsia="en-AU"/>
        </w:rPr>
        <w:t> </w:t>
      </w:r>
      <w:r>
        <w:rPr>
          <w:lang w:eastAsia="en-AU"/>
        </w:rPr>
        <w:t>588FE</w:t>
      </w:r>
      <w:r w:rsidR="005D7AB7">
        <w:rPr>
          <w:lang w:eastAsia="en-AU"/>
        </w:rPr>
        <w:t xml:space="preserve">(2B) is summarised by James O’Donovan, Westlaw, </w:t>
      </w:r>
      <w:r w:rsidRPr="00A41E59">
        <w:rPr>
          <w:i/>
          <w:iCs/>
          <w:lang w:eastAsia="en-AU"/>
        </w:rPr>
        <w:t>Company Receivers and Administrators</w:t>
      </w:r>
      <w:r w:rsidR="005D7AB7">
        <w:rPr>
          <w:i/>
          <w:iCs/>
          <w:lang w:eastAsia="en-AU"/>
        </w:rPr>
        <w:t xml:space="preserve"> </w:t>
      </w:r>
      <w:r w:rsidR="005D7AB7">
        <w:rPr>
          <w:iCs/>
          <w:lang w:eastAsia="en-AU"/>
        </w:rPr>
        <w:t>(online at 7 May 2020)</w:t>
      </w:r>
      <w:r w:rsidR="009B6B2C">
        <w:rPr>
          <w:iCs/>
          <w:lang w:eastAsia="en-AU"/>
        </w:rPr>
        <w:t xml:space="preserve"> (‘</w:t>
      </w:r>
      <w:r w:rsidR="009B6B2C">
        <w:rPr>
          <w:b/>
          <w:i/>
          <w:iCs/>
          <w:lang w:eastAsia="en-AU"/>
        </w:rPr>
        <w:t>Company Receivers and Administrators</w:t>
      </w:r>
      <w:r w:rsidR="009B6B2C">
        <w:rPr>
          <w:iCs/>
          <w:lang w:eastAsia="en-AU"/>
        </w:rPr>
        <w:t>’)</w:t>
      </w:r>
      <w:r w:rsidR="000E4801">
        <w:rPr>
          <w:i/>
          <w:iCs/>
          <w:lang w:eastAsia="en-AU"/>
        </w:rPr>
        <w:t xml:space="preserve"> </w:t>
      </w:r>
      <w:r w:rsidR="00AD23C4">
        <w:rPr>
          <w:iCs/>
          <w:lang w:eastAsia="en-AU"/>
        </w:rPr>
        <w:t>at [</w:t>
      </w:r>
      <w:r w:rsidR="000E4801">
        <w:rPr>
          <w:iCs/>
          <w:lang w:eastAsia="en-AU"/>
        </w:rPr>
        <w:t>52.1400</w:t>
      </w:r>
      <w:r w:rsidR="00AD23C4">
        <w:rPr>
          <w:iCs/>
          <w:lang w:eastAsia="en-AU"/>
        </w:rPr>
        <w:t>]</w:t>
      </w:r>
      <w:r>
        <w:rPr>
          <w:lang w:eastAsia="en-AU"/>
        </w:rPr>
        <w:t>:</w:t>
      </w:r>
    </w:p>
    <w:p w:rsidR="009A3332" w:rsidRPr="000E4801" w:rsidRDefault="009A3332" w:rsidP="000E4801">
      <w:pPr>
        <w:pStyle w:val="Quote1"/>
        <w:rPr>
          <w:b/>
          <w:i/>
          <w:lang w:eastAsia="en-AU"/>
        </w:rPr>
      </w:pPr>
      <w:r w:rsidRPr="000E4801">
        <w:rPr>
          <w:b/>
          <w:i/>
          <w:lang w:eastAsia="en-AU"/>
        </w:rPr>
        <w:t>Effect of the deed on voidable transactions</w:t>
      </w:r>
    </w:p>
    <w:p w:rsidR="005A1F89" w:rsidRPr="005A1F89" w:rsidRDefault="005A1F89" w:rsidP="005A1F89">
      <w:pPr>
        <w:pStyle w:val="Quote1"/>
        <w:rPr>
          <w:i/>
          <w:lang w:eastAsia="en-AU"/>
        </w:rPr>
      </w:pPr>
      <w:r w:rsidRPr="005A1F89">
        <w:rPr>
          <w:i/>
          <w:shd w:val="clear" w:color="auto" w:fill="FFFFFF"/>
        </w:rPr>
        <w:t>The deed administrators do not always take over the management of the company. A company subject to a deed of company arrangement may be managed by its directors in some cases subject to the terms of the deed. Where these directors initiate transactions while the company is subject to the deed and the company later goes into liquidation, these transactions may be challenged as voidable transactions. But third parties will have a defence under </w:t>
      </w:r>
      <w:r w:rsidRPr="005A1F89">
        <w:rPr>
          <w:rFonts w:ascii="inherit" w:hAnsi="inherit"/>
          <w:i/>
          <w:bdr w:val="none" w:sz="0" w:space="0" w:color="auto" w:frame="1"/>
          <w:shd w:val="clear" w:color="auto" w:fill="FFFFFF"/>
        </w:rPr>
        <w:t>Corp Act</w:t>
      </w:r>
      <w:r w:rsidRPr="005A1F89">
        <w:rPr>
          <w:i/>
          <w:shd w:val="clear" w:color="auto" w:fill="FFFFFF"/>
        </w:rPr>
        <w:t>, s 588FG(2) if they entered into the transactions in good faith and there were no reasonable grounds to suspect insolvency at the time when the third parties entered into the transactions. It has been suggested that this so-c</w:t>
      </w:r>
      <w:r>
        <w:rPr>
          <w:i/>
          <w:shd w:val="clear" w:color="auto" w:fill="FFFFFF"/>
        </w:rPr>
        <w:t>alled “assumed solvency defence”</w:t>
      </w:r>
      <w:r w:rsidRPr="005A1F89">
        <w:rPr>
          <w:i/>
          <w:shd w:val="clear" w:color="auto" w:fill="FFFFFF"/>
        </w:rPr>
        <w:t xml:space="preserve"> should be abolished for officer-initiated transactions under a deed of company arrangement. The advantage of this proposal is that it would make it easier for liquidators to challenge transactions entered into with third parties while the company was subject to the deed of company arrangement and it may allow liquidators to recover mor</w:t>
      </w:r>
      <w:r>
        <w:rPr>
          <w:i/>
          <w:shd w:val="clear" w:color="auto" w:fill="FFFFFF"/>
        </w:rPr>
        <w:t>e funds for unsecured creditors.</w:t>
      </w:r>
      <w:r w:rsidRPr="005A1F89">
        <w:rPr>
          <w:i/>
          <w:shd w:val="clear" w:color="auto" w:fill="FFFFFF"/>
        </w:rPr>
        <w:t> Conversely, the r</w:t>
      </w:r>
      <w:r>
        <w:rPr>
          <w:i/>
          <w:shd w:val="clear" w:color="auto" w:fill="FFFFFF"/>
        </w:rPr>
        <w:t>emoval of the “assumed solvency”</w:t>
      </w:r>
      <w:r w:rsidRPr="005A1F89">
        <w:rPr>
          <w:i/>
          <w:shd w:val="clear" w:color="auto" w:fill="FFFFFF"/>
        </w:rPr>
        <w:t xml:space="preserve"> defence would make it more difficult for company officers to enter into transactions while the company is subject to a deed of company arrangement even if those transactions were intended t</w:t>
      </w:r>
      <w:r w:rsidR="00377094">
        <w:rPr>
          <w:i/>
          <w:shd w:val="clear" w:color="auto" w:fill="FFFFFF"/>
        </w:rPr>
        <w:t>o assist the company’</w:t>
      </w:r>
      <w:r w:rsidRPr="005A1F89">
        <w:rPr>
          <w:i/>
          <w:shd w:val="clear" w:color="auto" w:fill="FFFFFF"/>
        </w:rPr>
        <w:t>s recovery. The IPA advised CAMAC that removing the defence could deter creditors from dealing with the company and this would threat</w:t>
      </w:r>
      <w:r>
        <w:rPr>
          <w:i/>
          <w:shd w:val="clear" w:color="auto" w:fill="FFFFFF"/>
        </w:rPr>
        <w:t xml:space="preserve">en the viability of the company. </w:t>
      </w:r>
      <w:r w:rsidRPr="005A1F89">
        <w:rPr>
          <w:i/>
          <w:shd w:val="clear" w:color="auto" w:fill="FFFFFF"/>
        </w:rPr>
        <w:t>It would also appear to be harsh to remove the defence where the third party reasonably believes that the company is solvent, but it turns out that the company is insolvent for reasons that the third party cou</w:t>
      </w:r>
      <w:r>
        <w:rPr>
          <w:i/>
          <w:shd w:val="clear" w:color="auto" w:fill="FFFFFF"/>
        </w:rPr>
        <w:t xml:space="preserve">ld not reasonably have foreseen. </w:t>
      </w:r>
      <w:r w:rsidRPr="005A1F89">
        <w:rPr>
          <w:i/>
          <w:shd w:val="clear" w:color="auto" w:fill="FFFFFF"/>
        </w:rPr>
        <w:t>For these reasons, CAMAC recomme</w:t>
      </w:r>
      <w:r>
        <w:rPr>
          <w:i/>
          <w:shd w:val="clear" w:color="auto" w:fill="FFFFFF"/>
        </w:rPr>
        <w:t>nded that the “assumed solvency”</w:t>
      </w:r>
      <w:r w:rsidRPr="005A1F89">
        <w:rPr>
          <w:i/>
          <w:shd w:val="clear" w:color="auto" w:fill="FFFFFF"/>
        </w:rPr>
        <w:t xml:space="preserve"> defence in Corp Act, s 588FG be retained for transactions entered into by officers of a company operating under a deed of company arrangement.</w:t>
      </w:r>
    </w:p>
    <w:p w:rsidR="003F3B0F" w:rsidRDefault="00BA6EF7" w:rsidP="003F3B0F">
      <w:pPr>
        <w:pStyle w:val="ParaNumbering"/>
        <w:rPr>
          <w:lang w:eastAsia="en-AU"/>
        </w:rPr>
      </w:pPr>
      <w:r>
        <w:t>I appreciate that this passage is said by the DCT to provide</w:t>
      </w:r>
      <w:r w:rsidR="003F3B0F">
        <w:t xml:space="preserve"> no support for the interpretation of s</w:t>
      </w:r>
      <w:r w:rsidR="00CE1DFB">
        <w:t>ub-s</w:t>
      </w:r>
      <w:r w:rsidR="003F3B0F">
        <w:t xml:space="preserve"> 588FE(2B)(d) suggested by the Applicants.  </w:t>
      </w:r>
      <w:r w:rsidR="007E5169">
        <w:t>However, I note</w:t>
      </w:r>
      <w:r w:rsidR="003F3B0F">
        <w:t xml:space="preserve"> that the CAMAC November 2008 Report draws a distinction between ‘officer-initiated transactions’ and those made under the terms of a deed of company arrangement by a deed administrator or another person, and ultimately recommended that the assumed insolvency defence should remain available even for officer-initiated transactions (</w:t>
      </w:r>
      <w:proofErr w:type="spellStart"/>
      <w:r w:rsidR="003F3B0F">
        <w:t>ie</w:t>
      </w:r>
      <w:proofErr w:type="spellEnd"/>
      <w:r w:rsidR="003F3B0F">
        <w:t xml:space="preserve"> transactions entered into by a director without the </w:t>
      </w:r>
      <w:r w:rsidR="003F3B0F">
        <w:lastRenderedPageBreak/>
        <w:t>knowledge or authority of the deed administrator</w:t>
      </w:r>
      <w:r w:rsidR="003F3B0F" w:rsidRPr="00F950F6">
        <w:rPr>
          <w:szCs w:val="24"/>
        </w:rPr>
        <w:t>) (see recommendation 9</w:t>
      </w:r>
      <w:r w:rsidR="003F3B0F">
        <w:rPr>
          <w:szCs w:val="24"/>
        </w:rPr>
        <w:t xml:space="preserve"> in the CAMAC November 2008 Report</w:t>
      </w:r>
      <w:r w:rsidR="00A81A73" w:rsidRPr="00A81A73">
        <w:rPr>
          <w:szCs w:val="24"/>
        </w:rPr>
        <w:t xml:space="preserve"> </w:t>
      </w:r>
      <w:r w:rsidR="0045124E">
        <w:rPr>
          <w:szCs w:val="24"/>
        </w:rPr>
        <w:t>which I</w:t>
      </w:r>
      <w:r w:rsidR="00A81A73">
        <w:rPr>
          <w:szCs w:val="24"/>
        </w:rPr>
        <w:t xml:space="preserve"> referred to </w:t>
      </w:r>
      <w:r w:rsidR="0045124E">
        <w:rPr>
          <w:szCs w:val="24"/>
        </w:rPr>
        <w:t>earlier</w:t>
      </w:r>
      <w:r w:rsidR="003F3B0F" w:rsidRPr="00F950F6">
        <w:rPr>
          <w:szCs w:val="24"/>
        </w:rPr>
        <w:t>).</w:t>
      </w:r>
    </w:p>
    <w:p w:rsidR="009A3332" w:rsidRDefault="004348C5" w:rsidP="009758E5">
      <w:pPr>
        <w:pStyle w:val="Heading1"/>
        <w:rPr>
          <w:lang w:eastAsia="en-AU"/>
        </w:rPr>
      </w:pPr>
      <w:r>
        <w:rPr>
          <w:lang w:eastAsia="en-AU"/>
        </w:rPr>
        <w:t>DOCA</w:t>
      </w:r>
    </w:p>
    <w:p w:rsidR="009A3332" w:rsidRDefault="004348C5" w:rsidP="00FD24F6">
      <w:pPr>
        <w:pStyle w:val="ParaNumbering"/>
        <w:rPr>
          <w:lang w:eastAsia="en-AU"/>
        </w:rPr>
      </w:pPr>
      <w:r>
        <w:rPr>
          <w:lang w:eastAsia="en-AU"/>
        </w:rPr>
        <w:t>The DOCA</w:t>
      </w:r>
      <w:r w:rsidR="009758E5">
        <w:rPr>
          <w:lang w:eastAsia="en-AU"/>
        </w:rPr>
        <w:t xml:space="preserve"> </w:t>
      </w:r>
      <w:r w:rsidR="00311490">
        <w:rPr>
          <w:lang w:eastAsia="en-AU"/>
        </w:rPr>
        <w:t>consisted of the following relevant provisions</w:t>
      </w:r>
      <w:r w:rsidR="009A3332">
        <w:rPr>
          <w:lang w:eastAsia="en-AU"/>
        </w:rPr>
        <w:t>:</w:t>
      </w:r>
    </w:p>
    <w:p w:rsidR="00DF42C1" w:rsidRPr="00DF42C1" w:rsidRDefault="00DF42C1" w:rsidP="009758E5">
      <w:pPr>
        <w:pStyle w:val="Quote1Bullet"/>
        <w:rPr>
          <w:i/>
          <w:szCs w:val="22"/>
          <w:lang w:eastAsia="en-AU"/>
        </w:rPr>
      </w:pPr>
      <w:r w:rsidRPr="00DF42C1">
        <w:rPr>
          <w:i/>
          <w:szCs w:val="22"/>
          <w:lang w:eastAsia="en-AU"/>
        </w:rPr>
        <w:t>3.2 In</w:t>
      </w:r>
      <w:r>
        <w:rPr>
          <w:i/>
          <w:szCs w:val="22"/>
          <w:lang w:eastAsia="en-AU"/>
        </w:rPr>
        <w:t xml:space="preserve"> exercising the powers conferred by this Deed and carrying out the duties arising under this Deed, the Administrators are taken to act as a</w:t>
      </w:r>
      <w:r w:rsidR="00FA20CC">
        <w:rPr>
          <w:i/>
          <w:szCs w:val="22"/>
          <w:lang w:eastAsia="en-AU"/>
        </w:rPr>
        <w:t>gent for and on behalf of [the C</w:t>
      </w:r>
      <w:r>
        <w:rPr>
          <w:i/>
          <w:szCs w:val="22"/>
          <w:lang w:eastAsia="en-AU"/>
        </w:rPr>
        <w:t>ompany].</w:t>
      </w:r>
    </w:p>
    <w:p w:rsidR="009758E5" w:rsidRPr="009758E5" w:rsidRDefault="009758E5" w:rsidP="009758E5">
      <w:pPr>
        <w:pStyle w:val="Quote1Bullet"/>
        <w:rPr>
          <w:i/>
          <w:sz w:val="24"/>
          <w:lang w:eastAsia="en-AU"/>
        </w:rPr>
      </w:pPr>
      <w:r>
        <w:rPr>
          <w:i/>
          <w:lang w:eastAsia="en-AU"/>
        </w:rPr>
        <w:t xml:space="preserve">4.1 </w:t>
      </w:r>
      <w:r w:rsidRPr="009758E5">
        <w:rPr>
          <w:i/>
          <w:lang w:eastAsia="en-AU"/>
        </w:rPr>
        <w:t>Upon commencement of this Deed and during the term of this Deed:</w:t>
      </w:r>
      <w:r w:rsidR="009A3332" w:rsidRPr="009758E5">
        <w:rPr>
          <w:i/>
          <w:lang w:eastAsia="en-AU"/>
        </w:rPr>
        <w:t xml:space="preserve"> </w:t>
      </w:r>
    </w:p>
    <w:p w:rsidR="009A3332" w:rsidRPr="00D77D28" w:rsidRDefault="00D77D28" w:rsidP="00D77D28">
      <w:pPr>
        <w:pStyle w:val="Quote2"/>
        <w:ind w:left="2160" w:hanging="720"/>
        <w:rPr>
          <w:i/>
          <w:lang w:eastAsia="en-AU"/>
        </w:rPr>
      </w:pPr>
      <w:r>
        <w:rPr>
          <w:i/>
          <w:lang w:eastAsia="en-AU"/>
        </w:rPr>
        <w:t>(a)</w:t>
      </w:r>
      <w:r>
        <w:rPr>
          <w:i/>
          <w:lang w:eastAsia="en-AU"/>
        </w:rPr>
        <w:tab/>
      </w:r>
      <w:r w:rsidR="009A3332" w:rsidRPr="00D77D28">
        <w:rPr>
          <w:i/>
          <w:lang w:eastAsia="en-AU"/>
        </w:rPr>
        <w:t>the</w:t>
      </w:r>
      <w:r w:rsidR="009758E5" w:rsidRPr="00D77D28">
        <w:rPr>
          <w:i/>
          <w:lang w:eastAsia="en-AU"/>
        </w:rPr>
        <w:t xml:space="preserve"> </w:t>
      </w:r>
      <w:r w:rsidR="009A3332" w:rsidRPr="00D77D28">
        <w:rPr>
          <w:i/>
          <w:lang w:eastAsia="en-AU"/>
        </w:rPr>
        <w:t xml:space="preserve">management and control of </w:t>
      </w:r>
      <w:r w:rsidR="009758E5" w:rsidRPr="00D77D28">
        <w:rPr>
          <w:i/>
          <w:lang w:eastAsia="en-AU"/>
        </w:rPr>
        <w:t>[</w:t>
      </w:r>
      <w:r w:rsidR="006D733B" w:rsidRPr="00D77D28">
        <w:rPr>
          <w:i/>
          <w:lang w:eastAsia="en-AU"/>
        </w:rPr>
        <w:t>the C</w:t>
      </w:r>
      <w:r w:rsidR="009A3332" w:rsidRPr="00D77D28">
        <w:rPr>
          <w:i/>
          <w:lang w:eastAsia="en-AU"/>
        </w:rPr>
        <w:t>ompany’s</w:t>
      </w:r>
      <w:r w:rsidR="009758E5" w:rsidRPr="00D77D28">
        <w:rPr>
          <w:i/>
          <w:lang w:eastAsia="en-AU"/>
        </w:rPr>
        <w:t>]</w:t>
      </w:r>
      <w:r w:rsidR="009A3332" w:rsidRPr="00D77D28">
        <w:rPr>
          <w:i/>
          <w:lang w:eastAsia="en-AU"/>
        </w:rPr>
        <w:t xml:space="preserve"> day to day business affairs</w:t>
      </w:r>
      <w:r w:rsidR="009758E5" w:rsidRPr="00D77D28">
        <w:rPr>
          <w:i/>
          <w:lang w:eastAsia="en-AU"/>
        </w:rPr>
        <w:t xml:space="preserve"> shall revert to the D</w:t>
      </w:r>
      <w:r w:rsidR="009A3332" w:rsidRPr="00D77D28">
        <w:rPr>
          <w:i/>
          <w:lang w:eastAsia="en-AU"/>
        </w:rPr>
        <w:t>irector, sub</w:t>
      </w:r>
      <w:r w:rsidR="009758E5" w:rsidRPr="00D77D28">
        <w:rPr>
          <w:i/>
          <w:lang w:eastAsia="en-AU"/>
        </w:rPr>
        <w:t>ject to the limitations in this D</w:t>
      </w:r>
      <w:r w:rsidR="009A3332" w:rsidRPr="00D77D28">
        <w:rPr>
          <w:i/>
          <w:lang w:eastAsia="en-AU"/>
        </w:rPr>
        <w:t>eed and</w:t>
      </w:r>
      <w:r w:rsidR="009758E5" w:rsidRPr="00D77D28">
        <w:rPr>
          <w:i/>
          <w:lang w:eastAsia="en-AU"/>
        </w:rPr>
        <w:t xml:space="preserve"> </w:t>
      </w:r>
      <w:r w:rsidR="009A3332" w:rsidRPr="00D77D28">
        <w:rPr>
          <w:i/>
          <w:lang w:eastAsia="en-AU"/>
        </w:rPr>
        <w:t>subject to</w:t>
      </w:r>
      <w:r w:rsidR="006D733B" w:rsidRPr="00D77D28">
        <w:rPr>
          <w:i/>
          <w:lang w:eastAsia="en-AU"/>
        </w:rPr>
        <w:t xml:space="preserve"> the rights and powers of the [Deed A</w:t>
      </w:r>
      <w:r w:rsidR="009A3332" w:rsidRPr="00D77D28">
        <w:rPr>
          <w:i/>
          <w:lang w:eastAsia="en-AU"/>
        </w:rPr>
        <w:t>dmin</w:t>
      </w:r>
      <w:r w:rsidR="009758E5" w:rsidRPr="00D77D28">
        <w:rPr>
          <w:i/>
          <w:lang w:eastAsia="en-AU"/>
        </w:rPr>
        <w:t>istrators] under clause 6 of this</w:t>
      </w:r>
      <w:r w:rsidR="009A3332" w:rsidRPr="00D77D28">
        <w:rPr>
          <w:i/>
          <w:lang w:eastAsia="en-AU"/>
        </w:rPr>
        <w:t xml:space="preserve"> </w:t>
      </w:r>
      <w:r w:rsidR="009758E5" w:rsidRPr="00D77D28">
        <w:rPr>
          <w:i/>
          <w:lang w:eastAsia="en-AU"/>
        </w:rPr>
        <w:t>D</w:t>
      </w:r>
      <w:r w:rsidR="003876D4" w:rsidRPr="00D77D28">
        <w:rPr>
          <w:i/>
          <w:lang w:eastAsia="en-AU"/>
        </w:rPr>
        <w:t>eed; …</w:t>
      </w:r>
    </w:p>
    <w:p w:rsidR="009A3332" w:rsidRPr="009758E5" w:rsidRDefault="009758E5" w:rsidP="00FD24F6">
      <w:pPr>
        <w:pStyle w:val="Quote1Bullet"/>
        <w:rPr>
          <w:i/>
          <w:lang w:eastAsia="en-AU"/>
        </w:rPr>
      </w:pPr>
      <w:r w:rsidRPr="009758E5">
        <w:rPr>
          <w:i/>
          <w:lang w:eastAsia="en-AU"/>
        </w:rPr>
        <w:t xml:space="preserve">6.1 </w:t>
      </w:r>
      <w:r w:rsidR="009A3332" w:rsidRPr="009758E5">
        <w:rPr>
          <w:i/>
          <w:lang w:eastAsia="en-AU"/>
        </w:rPr>
        <w:t xml:space="preserve">Notwithstanding clause 4.1, </w:t>
      </w:r>
      <w:r w:rsidRPr="009758E5">
        <w:rPr>
          <w:i/>
          <w:lang w:eastAsia="en-AU"/>
        </w:rPr>
        <w:t>[</w:t>
      </w:r>
      <w:r w:rsidR="006D733B">
        <w:rPr>
          <w:i/>
          <w:lang w:eastAsia="en-AU"/>
        </w:rPr>
        <w:t>the C</w:t>
      </w:r>
      <w:r w:rsidR="009A3332" w:rsidRPr="009758E5">
        <w:rPr>
          <w:i/>
          <w:lang w:eastAsia="en-AU"/>
        </w:rPr>
        <w:t>ompany</w:t>
      </w:r>
      <w:r w:rsidRPr="009758E5">
        <w:rPr>
          <w:i/>
          <w:lang w:eastAsia="en-AU"/>
        </w:rPr>
        <w:t>] and the D</w:t>
      </w:r>
      <w:r w:rsidR="009A3332" w:rsidRPr="009758E5">
        <w:rPr>
          <w:i/>
          <w:lang w:eastAsia="en-AU"/>
        </w:rPr>
        <w:t>irector covenant and</w:t>
      </w:r>
      <w:r w:rsidRPr="009758E5">
        <w:rPr>
          <w:i/>
          <w:lang w:eastAsia="en-AU"/>
        </w:rPr>
        <w:t xml:space="preserve"> </w:t>
      </w:r>
      <w:r w:rsidR="009A3332" w:rsidRPr="009758E5">
        <w:rPr>
          <w:i/>
          <w:lang w:eastAsia="en-AU"/>
        </w:rPr>
        <w:t>undertake that for th</w:t>
      </w:r>
      <w:r w:rsidR="006D733B">
        <w:rPr>
          <w:i/>
          <w:lang w:eastAsia="en-AU"/>
        </w:rPr>
        <w:t>e duration of the term of this D</w:t>
      </w:r>
      <w:r w:rsidR="009A3332" w:rsidRPr="009758E5">
        <w:rPr>
          <w:i/>
          <w:lang w:eastAsia="en-AU"/>
        </w:rPr>
        <w:t xml:space="preserve">eed </w:t>
      </w:r>
      <w:r w:rsidRPr="009758E5">
        <w:rPr>
          <w:i/>
          <w:lang w:eastAsia="en-AU"/>
        </w:rPr>
        <w:t>[</w:t>
      </w:r>
      <w:r w:rsidR="006D733B" w:rsidRPr="0030021D">
        <w:rPr>
          <w:i/>
          <w:u w:val="single"/>
          <w:lang w:eastAsia="en-AU"/>
        </w:rPr>
        <w:t>the C</w:t>
      </w:r>
      <w:r w:rsidR="009A3332" w:rsidRPr="0030021D">
        <w:rPr>
          <w:i/>
          <w:u w:val="single"/>
          <w:lang w:eastAsia="en-AU"/>
        </w:rPr>
        <w:t>ompany</w:t>
      </w:r>
      <w:r w:rsidRPr="009758E5">
        <w:rPr>
          <w:i/>
          <w:lang w:eastAsia="en-AU"/>
        </w:rPr>
        <w:t>]:</w:t>
      </w:r>
    </w:p>
    <w:p w:rsidR="00861683" w:rsidRPr="00D77D28" w:rsidRDefault="00D77D28" w:rsidP="00D77D28">
      <w:pPr>
        <w:pStyle w:val="Quote2"/>
        <w:ind w:left="2160" w:hanging="720"/>
        <w:rPr>
          <w:i/>
          <w:lang w:eastAsia="en-AU"/>
        </w:rPr>
      </w:pPr>
      <w:r>
        <w:rPr>
          <w:i/>
          <w:lang w:eastAsia="en-AU"/>
        </w:rPr>
        <w:t>(a)</w:t>
      </w:r>
      <w:r>
        <w:rPr>
          <w:i/>
          <w:lang w:eastAsia="en-AU"/>
        </w:rPr>
        <w:tab/>
      </w:r>
      <w:r w:rsidR="00775C8F" w:rsidRPr="00D77D28">
        <w:rPr>
          <w:i/>
          <w:lang w:eastAsia="en-AU"/>
        </w:rPr>
        <w:t>will not sell, transfer or otherwise dispose of any of the Business Assets, or pledge or charge the Business Assets, except in accordance with the terms of the Deed or in the ordinary course of its business or with the prior written consent of the Administrators</w:t>
      </w:r>
      <w:r w:rsidR="009758E5" w:rsidRPr="00D77D28">
        <w:rPr>
          <w:i/>
          <w:lang w:eastAsia="en-AU"/>
        </w:rPr>
        <w:t>;</w:t>
      </w:r>
      <w:r w:rsidR="00861683" w:rsidRPr="00D77D28">
        <w:rPr>
          <w:i/>
          <w:lang w:eastAsia="en-AU"/>
        </w:rPr>
        <w:t xml:space="preserve"> </w:t>
      </w:r>
    </w:p>
    <w:p w:rsidR="00861683" w:rsidRPr="00D77D28" w:rsidRDefault="00D77D28" w:rsidP="00D77D28">
      <w:pPr>
        <w:pStyle w:val="Quote2"/>
        <w:ind w:left="2160" w:hanging="720"/>
        <w:rPr>
          <w:i/>
          <w:lang w:eastAsia="en-AU"/>
        </w:rPr>
      </w:pPr>
      <w:r>
        <w:rPr>
          <w:i/>
          <w:lang w:eastAsia="en-AU"/>
        </w:rPr>
        <w:t>(b)</w:t>
      </w:r>
      <w:r>
        <w:rPr>
          <w:i/>
          <w:lang w:eastAsia="en-AU"/>
        </w:rPr>
        <w:tab/>
      </w:r>
      <w:r w:rsidR="00931FF1" w:rsidRPr="00D77D28">
        <w:rPr>
          <w:i/>
          <w:lang w:eastAsia="en-AU"/>
        </w:rPr>
        <w:t>will keep proper books and records in accordance with Section 286 of the Act and shall deliver up to the Administrators those books and records, or any part of them, at the request of the Administrators</w:t>
      </w:r>
      <w:r w:rsidR="00861683" w:rsidRPr="00D77D28">
        <w:rPr>
          <w:i/>
          <w:lang w:eastAsia="en-AU"/>
        </w:rPr>
        <w:t xml:space="preserve">; </w:t>
      </w:r>
    </w:p>
    <w:p w:rsidR="009758E5" w:rsidRPr="00D77D28" w:rsidRDefault="00D77D28" w:rsidP="00D77D28">
      <w:pPr>
        <w:pStyle w:val="Quote2"/>
        <w:ind w:left="2160" w:hanging="720"/>
        <w:rPr>
          <w:i/>
          <w:lang w:eastAsia="en-AU"/>
        </w:rPr>
      </w:pPr>
      <w:r>
        <w:rPr>
          <w:i/>
          <w:lang w:eastAsia="en-AU"/>
        </w:rPr>
        <w:t>(c)</w:t>
      </w:r>
      <w:r>
        <w:rPr>
          <w:i/>
          <w:lang w:eastAsia="en-AU"/>
        </w:rPr>
        <w:tab/>
      </w:r>
      <w:r w:rsidR="00931FF1" w:rsidRPr="00D77D28">
        <w:rPr>
          <w:i/>
          <w:lang w:eastAsia="en-AU"/>
        </w:rPr>
        <w:t>will cause Financial Statements to be prepared from time to time, but at least upon request by the Administrators prior to the Date of Termination.  [The Company] will deliver to the Administrators promptly on completion a copy of all Financial Statements prepared for or on its behalf</w:t>
      </w:r>
      <w:r w:rsidR="00861683" w:rsidRPr="00D77D28">
        <w:rPr>
          <w:i/>
          <w:lang w:eastAsia="en-AU"/>
        </w:rPr>
        <w:t xml:space="preserve">; </w:t>
      </w:r>
    </w:p>
    <w:p w:rsidR="009A3332" w:rsidRPr="00D77D28" w:rsidRDefault="00D77D28" w:rsidP="00D77D28">
      <w:pPr>
        <w:pStyle w:val="Quote2"/>
        <w:ind w:left="2160" w:hanging="720"/>
        <w:rPr>
          <w:i/>
          <w:lang w:eastAsia="en-AU"/>
        </w:rPr>
      </w:pPr>
      <w:r>
        <w:rPr>
          <w:i/>
          <w:lang w:eastAsia="en-AU"/>
        </w:rPr>
        <w:t>(d)</w:t>
      </w:r>
      <w:r>
        <w:rPr>
          <w:i/>
          <w:lang w:eastAsia="en-AU"/>
        </w:rPr>
        <w:tab/>
      </w:r>
      <w:r w:rsidR="003026CA" w:rsidRPr="00D77D28">
        <w:rPr>
          <w:i/>
          <w:lang w:eastAsia="en-AU"/>
        </w:rPr>
        <w:t xml:space="preserve">will </w:t>
      </w:r>
      <w:r w:rsidR="009A3332" w:rsidRPr="00D77D28">
        <w:rPr>
          <w:i/>
          <w:lang w:eastAsia="en-AU"/>
        </w:rPr>
        <w:t>comply with all taxation laws in ensuring lodgement of any required</w:t>
      </w:r>
      <w:r w:rsidR="009758E5" w:rsidRPr="00D77D28">
        <w:rPr>
          <w:i/>
          <w:lang w:eastAsia="en-AU"/>
        </w:rPr>
        <w:t xml:space="preserve"> </w:t>
      </w:r>
      <w:r w:rsidR="002976CA" w:rsidRPr="00D77D28">
        <w:rPr>
          <w:i/>
          <w:lang w:eastAsia="en-AU"/>
        </w:rPr>
        <w:t xml:space="preserve">Business </w:t>
      </w:r>
      <w:r w:rsidR="009A3332" w:rsidRPr="00D77D28">
        <w:rPr>
          <w:i/>
          <w:lang w:eastAsia="en-AU"/>
        </w:rPr>
        <w:t>Activity Statements together with any other returns or</w:t>
      </w:r>
      <w:r w:rsidR="009758E5" w:rsidRPr="00D77D28">
        <w:rPr>
          <w:i/>
          <w:lang w:eastAsia="en-AU"/>
        </w:rPr>
        <w:t xml:space="preserve"> </w:t>
      </w:r>
      <w:r w:rsidR="009A3332" w:rsidRPr="00D77D28">
        <w:rPr>
          <w:i/>
          <w:lang w:eastAsia="en-AU"/>
        </w:rPr>
        <w:t>information required under the taxation laws (from time to time) and</w:t>
      </w:r>
      <w:r w:rsidR="009758E5" w:rsidRPr="00D77D28">
        <w:rPr>
          <w:i/>
          <w:lang w:eastAsia="en-AU"/>
        </w:rPr>
        <w:t xml:space="preserve"> </w:t>
      </w:r>
      <w:r w:rsidR="009A3332" w:rsidRPr="00D77D28">
        <w:rPr>
          <w:i/>
          <w:lang w:eastAsia="en-AU"/>
        </w:rPr>
        <w:t>payments of amounts due from the Appointment Date to the Australian</w:t>
      </w:r>
      <w:r w:rsidR="009758E5" w:rsidRPr="00D77D28">
        <w:rPr>
          <w:i/>
          <w:lang w:eastAsia="en-AU"/>
        </w:rPr>
        <w:t xml:space="preserve"> </w:t>
      </w:r>
      <w:r w:rsidR="009A3332" w:rsidRPr="00D77D28">
        <w:rPr>
          <w:i/>
          <w:lang w:eastAsia="en-AU"/>
        </w:rPr>
        <w:t>Taxation Office wit</w:t>
      </w:r>
      <w:r w:rsidR="00B9447A" w:rsidRPr="00D77D28">
        <w:rPr>
          <w:i/>
          <w:lang w:eastAsia="en-AU"/>
        </w:rPr>
        <w:t>h</w:t>
      </w:r>
      <w:r w:rsidR="00931FF1" w:rsidRPr="00D77D28">
        <w:rPr>
          <w:i/>
          <w:lang w:eastAsia="en-AU"/>
        </w:rPr>
        <w:t>in the prescribed time limits;</w:t>
      </w:r>
    </w:p>
    <w:p w:rsidR="00931FF1" w:rsidRPr="00D77D28" w:rsidRDefault="00D77D28" w:rsidP="00D77D28">
      <w:pPr>
        <w:pStyle w:val="Quote2"/>
        <w:ind w:left="2160" w:hanging="720"/>
        <w:rPr>
          <w:i/>
          <w:lang w:eastAsia="en-AU"/>
        </w:rPr>
      </w:pPr>
      <w:r>
        <w:rPr>
          <w:i/>
          <w:lang w:eastAsia="en-AU"/>
        </w:rPr>
        <w:t>(e)</w:t>
      </w:r>
      <w:r>
        <w:rPr>
          <w:i/>
          <w:lang w:eastAsia="en-AU"/>
        </w:rPr>
        <w:tab/>
      </w:r>
      <w:r w:rsidR="00931FF1" w:rsidRPr="00D77D28">
        <w:rPr>
          <w:i/>
          <w:lang w:eastAsia="en-AU"/>
        </w:rPr>
        <w:t>will pay Employees’ normal entitlements accruing from the Appointment Date on the normal course of trading, excluding superannuation;</w:t>
      </w:r>
    </w:p>
    <w:p w:rsidR="00931FF1" w:rsidRPr="00D77D28" w:rsidRDefault="00D77D28" w:rsidP="00D77D28">
      <w:pPr>
        <w:pStyle w:val="Quote2"/>
        <w:ind w:left="2160" w:hanging="720"/>
        <w:rPr>
          <w:i/>
          <w:lang w:eastAsia="en-AU"/>
        </w:rPr>
      </w:pPr>
      <w:r>
        <w:rPr>
          <w:i/>
          <w:lang w:eastAsia="en-AU"/>
        </w:rPr>
        <w:t>(f)</w:t>
      </w:r>
      <w:r>
        <w:rPr>
          <w:i/>
          <w:lang w:eastAsia="en-AU"/>
        </w:rPr>
        <w:tab/>
      </w:r>
      <w:r w:rsidR="00931FF1" w:rsidRPr="00D77D28">
        <w:rPr>
          <w:i/>
          <w:lang w:eastAsia="en-AU"/>
        </w:rPr>
        <w:t>will pay Employees’ superannuation entitlements accruing from the Commencement Date in the normal course of trading;</w:t>
      </w:r>
    </w:p>
    <w:p w:rsidR="00931FF1" w:rsidRPr="00D77D28" w:rsidRDefault="00D77D28" w:rsidP="00D77D28">
      <w:pPr>
        <w:pStyle w:val="Quote2"/>
        <w:ind w:left="2160" w:hanging="720"/>
        <w:rPr>
          <w:i/>
          <w:lang w:eastAsia="en-AU"/>
        </w:rPr>
      </w:pPr>
      <w:r>
        <w:rPr>
          <w:i/>
          <w:lang w:eastAsia="en-AU"/>
        </w:rPr>
        <w:t>(g)</w:t>
      </w:r>
      <w:r>
        <w:rPr>
          <w:i/>
          <w:lang w:eastAsia="en-AU"/>
        </w:rPr>
        <w:tab/>
      </w:r>
      <w:r w:rsidR="00931FF1" w:rsidRPr="00D77D28">
        <w:rPr>
          <w:i/>
          <w:lang w:eastAsia="en-AU"/>
        </w:rPr>
        <w:t>will keep adequately insured all property and undertakings and risks of the Company and shall provide to the Administrators upon request Certificates of Currency evidencing the insurance position;</w:t>
      </w:r>
    </w:p>
    <w:p w:rsidR="00931FF1" w:rsidRPr="00D77D28" w:rsidRDefault="00D77D28" w:rsidP="00D77D28">
      <w:pPr>
        <w:pStyle w:val="Quote2"/>
        <w:ind w:left="2160" w:hanging="720"/>
        <w:rPr>
          <w:i/>
          <w:lang w:eastAsia="en-AU"/>
        </w:rPr>
      </w:pPr>
      <w:r>
        <w:rPr>
          <w:i/>
          <w:lang w:eastAsia="en-AU"/>
        </w:rPr>
        <w:t>(h)</w:t>
      </w:r>
      <w:r>
        <w:rPr>
          <w:i/>
          <w:lang w:eastAsia="en-AU"/>
        </w:rPr>
        <w:tab/>
      </w:r>
      <w:r w:rsidR="00931FF1" w:rsidRPr="00D77D28">
        <w:rPr>
          <w:i/>
          <w:lang w:eastAsia="en-AU"/>
        </w:rPr>
        <w:t>will immediately and fully inform the Administrators should any event occur or seem likely to occur which will materially affect [the Company’s] ability to comply with the terms of this Deed;</w:t>
      </w:r>
    </w:p>
    <w:p w:rsidR="00931FF1" w:rsidRPr="00D77D28" w:rsidRDefault="00D77D28" w:rsidP="00D77D28">
      <w:pPr>
        <w:pStyle w:val="Quote2"/>
        <w:ind w:left="2160" w:hanging="720"/>
        <w:rPr>
          <w:i/>
          <w:lang w:eastAsia="en-AU"/>
        </w:rPr>
      </w:pPr>
      <w:r>
        <w:rPr>
          <w:i/>
          <w:lang w:eastAsia="en-AU"/>
        </w:rPr>
        <w:lastRenderedPageBreak/>
        <w:t>(</w:t>
      </w:r>
      <w:proofErr w:type="spellStart"/>
      <w:r>
        <w:rPr>
          <w:i/>
          <w:lang w:eastAsia="en-AU"/>
        </w:rPr>
        <w:t>i</w:t>
      </w:r>
      <w:proofErr w:type="spellEnd"/>
      <w:r>
        <w:rPr>
          <w:i/>
          <w:lang w:eastAsia="en-AU"/>
        </w:rPr>
        <w:t>)</w:t>
      </w:r>
      <w:r>
        <w:rPr>
          <w:i/>
          <w:lang w:eastAsia="en-AU"/>
        </w:rPr>
        <w:tab/>
      </w:r>
      <w:r w:rsidR="00931FF1" w:rsidRPr="00D77D28">
        <w:rPr>
          <w:i/>
          <w:lang w:eastAsia="en-AU"/>
        </w:rPr>
        <w:t>will not change in any material particular [sic] the business in which it is engaged or the way in which the business is conducted without first giving to the Administrators adequate written notice of such change, so that the Administrators may consider the effect such change may have on this Deed;</w:t>
      </w:r>
    </w:p>
    <w:p w:rsidR="00931FF1" w:rsidRPr="00D77D28" w:rsidRDefault="00D77D28" w:rsidP="00D77D28">
      <w:pPr>
        <w:pStyle w:val="Quote2"/>
        <w:ind w:left="2160" w:hanging="720"/>
        <w:rPr>
          <w:i/>
          <w:lang w:eastAsia="en-AU"/>
        </w:rPr>
      </w:pPr>
      <w:r>
        <w:rPr>
          <w:i/>
          <w:lang w:eastAsia="en-AU"/>
        </w:rPr>
        <w:t>(j)</w:t>
      </w:r>
      <w:r>
        <w:rPr>
          <w:i/>
          <w:lang w:eastAsia="en-AU"/>
        </w:rPr>
        <w:tab/>
      </w:r>
      <w:r w:rsidR="005564A1" w:rsidRPr="00D77D28">
        <w:rPr>
          <w:i/>
          <w:lang w:eastAsia="en-AU"/>
        </w:rPr>
        <w:t>will not increase beyond the level payable at the Commencement Date any salary, wage, fee or commission or any other benefit paid to the Director or any Related Party Creditor without the Administrator’s written consent; and</w:t>
      </w:r>
    </w:p>
    <w:p w:rsidR="005564A1" w:rsidRPr="00D77D28" w:rsidRDefault="00D77D28" w:rsidP="00D77D28">
      <w:pPr>
        <w:pStyle w:val="Quote2"/>
        <w:ind w:left="2160" w:hanging="720"/>
        <w:rPr>
          <w:i/>
          <w:lang w:eastAsia="en-AU"/>
        </w:rPr>
      </w:pPr>
      <w:r>
        <w:rPr>
          <w:i/>
          <w:lang w:eastAsia="en-AU"/>
        </w:rPr>
        <w:t>(k)</w:t>
      </w:r>
      <w:r>
        <w:rPr>
          <w:i/>
          <w:lang w:eastAsia="en-AU"/>
        </w:rPr>
        <w:tab/>
      </w:r>
      <w:r w:rsidR="005564A1" w:rsidRPr="00D77D28">
        <w:rPr>
          <w:i/>
          <w:lang w:eastAsia="en-AU"/>
        </w:rPr>
        <w:t>forfeits the right to appoint a further Voluntary Administrator during the Moratorium Period.</w:t>
      </w:r>
    </w:p>
    <w:p w:rsidR="00F95BDF" w:rsidRDefault="00F95BDF" w:rsidP="00FD24F6">
      <w:pPr>
        <w:pStyle w:val="Quote1Bullet"/>
        <w:rPr>
          <w:i/>
          <w:szCs w:val="22"/>
          <w:lang w:eastAsia="en-AU"/>
        </w:rPr>
      </w:pPr>
      <w:r>
        <w:rPr>
          <w:i/>
          <w:szCs w:val="22"/>
          <w:lang w:eastAsia="en-AU"/>
        </w:rPr>
        <w:t>6.2 If [the Company] does sell the Business Assets (with the Administrators’ consent), then it agrees to pay to the Administrators the balance at that time of any monies payable by the Director into the Fund in accordance with clause 8.1(d) of this Deed from the sale proceeds.</w:t>
      </w:r>
    </w:p>
    <w:p w:rsidR="00F95BDF" w:rsidRDefault="00F95BDF" w:rsidP="00FD24F6">
      <w:pPr>
        <w:pStyle w:val="Quote1Bullet"/>
        <w:rPr>
          <w:i/>
          <w:szCs w:val="22"/>
          <w:lang w:eastAsia="en-AU"/>
        </w:rPr>
      </w:pPr>
      <w:r>
        <w:rPr>
          <w:i/>
          <w:szCs w:val="22"/>
          <w:lang w:eastAsia="en-AU"/>
        </w:rPr>
        <w:t xml:space="preserve">6.3 In support of clause 6.2, [the Company] hereby grants in favour of the Administrators a PPSA Security Interest in all present and after-acquired property owned by [the Company] (including but not limited to Intellectual Property, Plant and Equipment and Stock) and acknowledges that the Administrators are entitled to lodge a financing statement on the Personal Properties </w:t>
      </w:r>
      <w:r>
        <w:rPr>
          <w:szCs w:val="22"/>
          <w:lang w:eastAsia="en-AU"/>
        </w:rPr>
        <w:t>[sic]</w:t>
      </w:r>
      <w:r>
        <w:rPr>
          <w:i/>
          <w:szCs w:val="22"/>
          <w:lang w:eastAsia="en-AU"/>
        </w:rPr>
        <w:t xml:space="preserve"> Securities Register, and hereby authorises them to do so.</w:t>
      </w:r>
    </w:p>
    <w:p w:rsidR="00F95BDF" w:rsidRDefault="00F95BDF" w:rsidP="00FD24F6">
      <w:pPr>
        <w:pStyle w:val="Quote1Bullet"/>
        <w:rPr>
          <w:i/>
          <w:szCs w:val="22"/>
          <w:lang w:eastAsia="en-AU"/>
        </w:rPr>
      </w:pPr>
      <w:r>
        <w:rPr>
          <w:i/>
          <w:szCs w:val="22"/>
          <w:lang w:eastAsia="en-AU"/>
        </w:rPr>
        <w:t>6.4 Within seven (7) days of the date on which the Administrators make a written</w:t>
      </w:r>
      <w:r w:rsidR="0041486F">
        <w:rPr>
          <w:i/>
          <w:szCs w:val="22"/>
          <w:lang w:eastAsia="en-AU"/>
        </w:rPr>
        <w:t xml:space="preserve"> request for it to do so, or within such further time as the Administrators may agree to in writing, [the Company] will execute a PPSA Security Agreement in such a form as the Administrators may reasonably require to perfect their Security Interest referred to in clause 6.3, failing which [the Company] will be in default of its obligations pursuant to this Deed and the provisions of clause 16 shall apply.</w:t>
      </w:r>
    </w:p>
    <w:p w:rsidR="00B429A3" w:rsidRDefault="00B429A3" w:rsidP="00FD24F6">
      <w:pPr>
        <w:pStyle w:val="Quote1Bullet"/>
        <w:rPr>
          <w:i/>
          <w:szCs w:val="22"/>
          <w:lang w:eastAsia="en-AU"/>
        </w:rPr>
      </w:pPr>
      <w:r>
        <w:rPr>
          <w:i/>
          <w:szCs w:val="22"/>
          <w:lang w:eastAsia="en-AU"/>
        </w:rPr>
        <w:t>7.1 For the purpose of the administration of this Deed, the Administrators shall have each of the powers set forth in the Prescribed Provisions, the Act, the Regulations and otherwise at law.</w:t>
      </w:r>
    </w:p>
    <w:p w:rsidR="002E2B26" w:rsidRDefault="002E2B26" w:rsidP="00FD24F6">
      <w:pPr>
        <w:pStyle w:val="Quote1Bullet"/>
        <w:rPr>
          <w:i/>
          <w:szCs w:val="22"/>
          <w:lang w:eastAsia="en-AU"/>
        </w:rPr>
      </w:pPr>
      <w:r w:rsidRPr="002E2B26">
        <w:rPr>
          <w:i/>
          <w:szCs w:val="22"/>
          <w:lang w:eastAsia="en-AU"/>
        </w:rPr>
        <w:t xml:space="preserve">8.1 </w:t>
      </w:r>
      <w:r w:rsidR="009A3332" w:rsidRPr="002E2B26">
        <w:rPr>
          <w:i/>
          <w:szCs w:val="22"/>
          <w:lang w:eastAsia="en-AU"/>
        </w:rPr>
        <w:t>There shall be a Fund established</w:t>
      </w:r>
      <w:r w:rsidRPr="002E2B26">
        <w:rPr>
          <w:i/>
          <w:szCs w:val="22"/>
          <w:lang w:eastAsia="en-AU"/>
        </w:rPr>
        <w:t xml:space="preserve"> </w:t>
      </w:r>
      <w:r w:rsidR="009A3332" w:rsidRPr="002E2B26">
        <w:rPr>
          <w:i/>
          <w:szCs w:val="22"/>
          <w:lang w:eastAsia="en-AU"/>
        </w:rPr>
        <w:t>…</w:t>
      </w:r>
      <w:r w:rsidRPr="002E2B26">
        <w:rPr>
          <w:i/>
          <w:szCs w:val="22"/>
          <w:lang w:eastAsia="en-AU"/>
        </w:rPr>
        <w:t xml:space="preserve"> </w:t>
      </w:r>
      <w:r w:rsidR="009A3332" w:rsidRPr="002E2B26">
        <w:rPr>
          <w:i/>
          <w:szCs w:val="22"/>
          <w:lang w:eastAsia="en-AU"/>
        </w:rPr>
        <w:t>int</w:t>
      </w:r>
      <w:r w:rsidRPr="002E2B26">
        <w:rPr>
          <w:i/>
          <w:szCs w:val="22"/>
          <w:lang w:eastAsia="en-AU"/>
        </w:rPr>
        <w:t>o which the following monies wi</w:t>
      </w:r>
      <w:r w:rsidR="009A3332" w:rsidRPr="002E2B26">
        <w:rPr>
          <w:i/>
          <w:szCs w:val="22"/>
          <w:lang w:eastAsia="en-AU"/>
        </w:rPr>
        <w:t>ll</w:t>
      </w:r>
      <w:r w:rsidRPr="002E2B26">
        <w:rPr>
          <w:i/>
          <w:szCs w:val="22"/>
          <w:lang w:eastAsia="en-AU"/>
        </w:rPr>
        <w:t xml:space="preserve"> be paid:</w:t>
      </w:r>
    </w:p>
    <w:p w:rsidR="001B6F81" w:rsidRPr="002E2B26" w:rsidRDefault="001B6F81" w:rsidP="001B6F81">
      <w:pPr>
        <w:pStyle w:val="Quote1Bullet"/>
        <w:numPr>
          <w:ilvl w:val="0"/>
          <w:numId w:val="0"/>
        </w:numPr>
        <w:ind w:left="1560"/>
        <w:rPr>
          <w:i/>
          <w:szCs w:val="22"/>
          <w:lang w:eastAsia="en-AU"/>
        </w:rPr>
      </w:pPr>
      <w:r>
        <w:rPr>
          <w:i/>
          <w:szCs w:val="22"/>
          <w:lang w:eastAsia="en-AU"/>
        </w:rPr>
        <w:t>…</w:t>
      </w:r>
    </w:p>
    <w:p w:rsidR="009A3332" w:rsidRPr="00D77D28" w:rsidRDefault="00D77D28" w:rsidP="00D77D28">
      <w:pPr>
        <w:pStyle w:val="Quote2"/>
        <w:rPr>
          <w:i/>
          <w:lang w:eastAsia="en-AU"/>
        </w:rPr>
      </w:pPr>
      <w:r>
        <w:rPr>
          <w:i/>
          <w:lang w:eastAsia="en-AU"/>
        </w:rPr>
        <w:t>(d)</w:t>
      </w:r>
      <w:r>
        <w:rPr>
          <w:i/>
          <w:lang w:eastAsia="en-AU"/>
        </w:rPr>
        <w:tab/>
      </w:r>
      <w:r w:rsidR="009A3332" w:rsidRPr="00D77D28">
        <w:rPr>
          <w:i/>
          <w:lang w:eastAsia="en-AU"/>
        </w:rPr>
        <w:t>The sum of $120,000.00 by way of 36 equal monthly</w:t>
      </w:r>
      <w:r w:rsidR="002E2B26" w:rsidRPr="00D77D28">
        <w:rPr>
          <w:i/>
          <w:lang w:eastAsia="en-AU"/>
        </w:rPr>
        <w:t xml:space="preserve"> payments … .</w:t>
      </w:r>
    </w:p>
    <w:p w:rsidR="001707D5" w:rsidRDefault="001707D5" w:rsidP="00FD24F6">
      <w:pPr>
        <w:pStyle w:val="Quote1Bullet"/>
        <w:rPr>
          <w:i/>
          <w:lang w:eastAsia="en-AU"/>
        </w:rPr>
      </w:pPr>
      <w:r w:rsidRPr="001707D5">
        <w:rPr>
          <w:i/>
          <w:lang w:eastAsia="en-AU"/>
        </w:rPr>
        <w:t>13.1</w:t>
      </w:r>
      <w:r w:rsidR="009A3332" w:rsidRPr="001707D5">
        <w:rPr>
          <w:i/>
          <w:lang w:eastAsia="en-AU"/>
        </w:rPr>
        <w:t xml:space="preserve"> Between the Appointment date and t</w:t>
      </w:r>
      <w:r w:rsidRPr="001707D5">
        <w:rPr>
          <w:i/>
          <w:lang w:eastAsia="en-AU"/>
        </w:rPr>
        <w:t>he Date of Termination of this D</w:t>
      </w:r>
      <w:r w:rsidR="009A3332" w:rsidRPr="001707D5">
        <w:rPr>
          <w:i/>
          <w:lang w:eastAsia="en-AU"/>
        </w:rPr>
        <w:t>eed</w:t>
      </w:r>
      <w:r w:rsidRPr="001707D5">
        <w:rPr>
          <w:i/>
          <w:lang w:eastAsia="en-AU"/>
        </w:rPr>
        <w:t xml:space="preserve"> </w:t>
      </w:r>
      <w:r w:rsidR="009A3332" w:rsidRPr="001707D5">
        <w:rPr>
          <w:i/>
          <w:lang w:eastAsia="en-AU"/>
        </w:rPr>
        <w:t>…</w:t>
      </w:r>
      <w:r w:rsidRPr="001707D5">
        <w:rPr>
          <w:i/>
          <w:lang w:eastAsia="en-AU"/>
        </w:rPr>
        <w:t xml:space="preserve"> </w:t>
      </w:r>
      <w:r w:rsidR="009A3332" w:rsidRPr="001707D5">
        <w:rPr>
          <w:i/>
          <w:lang w:eastAsia="en-AU"/>
        </w:rPr>
        <w:t>there is a moratorium on Creditors enforcing their debts or claims as at the</w:t>
      </w:r>
      <w:r w:rsidRPr="001707D5">
        <w:rPr>
          <w:i/>
          <w:lang w:eastAsia="en-AU"/>
        </w:rPr>
        <w:t xml:space="preserve"> </w:t>
      </w:r>
      <w:r w:rsidR="009A3332" w:rsidRPr="001707D5">
        <w:rPr>
          <w:i/>
          <w:lang w:eastAsia="en-AU"/>
        </w:rPr>
        <w:t xml:space="preserve">Appointment Date against </w:t>
      </w:r>
      <w:r w:rsidRPr="001707D5">
        <w:rPr>
          <w:i/>
          <w:lang w:eastAsia="en-AU"/>
        </w:rPr>
        <w:t>[</w:t>
      </w:r>
      <w:r w:rsidR="009A3332" w:rsidRPr="001707D5">
        <w:rPr>
          <w:i/>
          <w:lang w:eastAsia="en-AU"/>
        </w:rPr>
        <w:t>t</w:t>
      </w:r>
      <w:r w:rsidR="006D733B">
        <w:rPr>
          <w:i/>
          <w:lang w:eastAsia="en-AU"/>
        </w:rPr>
        <w:t>he C</w:t>
      </w:r>
      <w:r w:rsidR="009A3332" w:rsidRPr="001707D5">
        <w:rPr>
          <w:i/>
          <w:lang w:eastAsia="en-AU"/>
        </w:rPr>
        <w:t>ompany</w:t>
      </w:r>
      <w:r w:rsidRPr="001707D5">
        <w:rPr>
          <w:i/>
          <w:lang w:eastAsia="en-AU"/>
        </w:rPr>
        <w:t>]</w:t>
      </w:r>
      <w:r w:rsidR="009A3332" w:rsidRPr="001707D5">
        <w:rPr>
          <w:i/>
          <w:lang w:eastAsia="en-AU"/>
        </w:rPr>
        <w:t xml:space="preserve">. </w:t>
      </w:r>
    </w:p>
    <w:p w:rsidR="001707D5" w:rsidRPr="001707D5" w:rsidRDefault="001707D5" w:rsidP="00FD24F6">
      <w:pPr>
        <w:pStyle w:val="Quote1Bullet"/>
        <w:rPr>
          <w:i/>
          <w:szCs w:val="22"/>
          <w:lang w:eastAsia="en-AU"/>
        </w:rPr>
      </w:pPr>
      <w:r>
        <w:rPr>
          <w:i/>
          <w:lang w:eastAsia="en-AU"/>
        </w:rPr>
        <w:t xml:space="preserve">14.1 </w:t>
      </w:r>
      <w:r w:rsidR="006D733B">
        <w:rPr>
          <w:i/>
          <w:lang w:eastAsia="en-AU"/>
        </w:rPr>
        <w:t>Upon the [Deed A</w:t>
      </w:r>
      <w:r w:rsidR="009A3332" w:rsidRPr="00E679F9">
        <w:rPr>
          <w:i/>
          <w:lang w:eastAsia="en-AU"/>
        </w:rPr>
        <w:t>dministrators] having paid to the Creditors their full</w:t>
      </w:r>
      <w:r>
        <w:rPr>
          <w:lang w:eastAsia="en-AU"/>
        </w:rPr>
        <w:t xml:space="preserve"> </w:t>
      </w:r>
      <w:r w:rsidRPr="001707D5">
        <w:rPr>
          <w:i/>
          <w:szCs w:val="22"/>
          <w:lang w:eastAsia="en-AU"/>
        </w:rPr>
        <w:t>entitlements under this D</w:t>
      </w:r>
      <w:r w:rsidR="009A3332" w:rsidRPr="001707D5">
        <w:rPr>
          <w:i/>
          <w:szCs w:val="22"/>
          <w:lang w:eastAsia="en-AU"/>
        </w:rPr>
        <w:t>eed, then</w:t>
      </w:r>
      <w:r w:rsidRPr="001707D5">
        <w:rPr>
          <w:i/>
          <w:szCs w:val="22"/>
          <w:lang w:eastAsia="en-AU"/>
        </w:rPr>
        <w:t>:</w:t>
      </w:r>
    </w:p>
    <w:p w:rsidR="001707D5" w:rsidRPr="00D77D28" w:rsidRDefault="00D77D28" w:rsidP="00D77D28">
      <w:pPr>
        <w:pStyle w:val="Quote2"/>
        <w:rPr>
          <w:i/>
          <w:lang w:eastAsia="en-AU"/>
        </w:rPr>
      </w:pPr>
      <w:r>
        <w:rPr>
          <w:i/>
          <w:lang w:eastAsia="en-AU"/>
        </w:rPr>
        <w:t>(a)</w:t>
      </w:r>
      <w:r>
        <w:rPr>
          <w:i/>
          <w:lang w:eastAsia="en-AU"/>
        </w:rPr>
        <w:tab/>
      </w:r>
      <w:r w:rsidR="009A3332" w:rsidRPr="00D77D28">
        <w:rPr>
          <w:i/>
          <w:lang w:eastAsia="en-AU"/>
        </w:rPr>
        <w:t>the balance remaining of all Debts</w:t>
      </w:r>
      <w:r w:rsidR="001707D5" w:rsidRPr="00D77D28">
        <w:rPr>
          <w:i/>
          <w:lang w:eastAsia="en-AU"/>
        </w:rPr>
        <w:t xml:space="preserve"> </w:t>
      </w:r>
      <w:r w:rsidR="009A3332" w:rsidRPr="00D77D28">
        <w:rPr>
          <w:i/>
          <w:lang w:eastAsia="en-AU"/>
        </w:rPr>
        <w:t>they had</w:t>
      </w:r>
      <w:r w:rsidR="001707D5" w:rsidRPr="00D77D28">
        <w:rPr>
          <w:i/>
          <w:lang w:eastAsia="en-AU"/>
        </w:rPr>
        <w:t xml:space="preserve"> … ; </w:t>
      </w:r>
      <w:r w:rsidR="009A3332" w:rsidRPr="00D77D28">
        <w:rPr>
          <w:i/>
          <w:lang w:eastAsia="en-AU"/>
        </w:rPr>
        <w:t xml:space="preserve">and </w:t>
      </w:r>
    </w:p>
    <w:p w:rsidR="001707D5" w:rsidRPr="00D77D28" w:rsidRDefault="00D77D28" w:rsidP="00D77D28">
      <w:pPr>
        <w:pStyle w:val="Quote2"/>
        <w:ind w:left="2160" w:hanging="720"/>
        <w:rPr>
          <w:i/>
          <w:lang w:eastAsia="en-AU"/>
        </w:rPr>
      </w:pPr>
      <w:r>
        <w:rPr>
          <w:i/>
          <w:lang w:eastAsia="en-AU"/>
        </w:rPr>
        <w:t>(b)</w:t>
      </w:r>
      <w:r>
        <w:rPr>
          <w:i/>
          <w:lang w:eastAsia="en-AU"/>
        </w:rPr>
        <w:tab/>
      </w:r>
      <w:r w:rsidR="009A3332" w:rsidRPr="00D77D28">
        <w:rPr>
          <w:i/>
          <w:lang w:eastAsia="en-AU"/>
        </w:rPr>
        <w:t>all debts or claims, present or future, actual or</w:t>
      </w:r>
      <w:r w:rsidR="001707D5" w:rsidRPr="00D77D28">
        <w:rPr>
          <w:i/>
          <w:lang w:eastAsia="en-AU"/>
        </w:rPr>
        <w:t xml:space="preserve"> </w:t>
      </w:r>
      <w:r w:rsidR="009A3332" w:rsidRPr="00D77D28">
        <w:rPr>
          <w:i/>
          <w:lang w:eastAsia="en-AU"/>
        </w:rPr>
        <w:t xml:space="preserve">contingent, due or which may become due by </w:t>
      </w:r>
      <w:r w:rsidR="001707D5" w:rsidRPr="00D77D28">
        <w:rPr>
          <w:i/>
          <w:lang w:eastAsia="en-AU"/>
        </w:rPr>
        <w:t>[</w:t>
      </w:r>
      <w:r w:rsidR="006D733B" w:rsidRPr="00D77D28">
        <w:rPr>
          <w:i/>
          <w:lang w:eastAsia="en-AU"/>
        </w:rPr>
        <w:t>the C</w:t>
      </w:r>
      <w:r w:rsidR="009A3332" w:rsidRPr="00D77D28">
        <w:rPr>
          <w:i/>
          <w:lang w:eastAsia="en-AU"/>
        </w:rPr>
        <w:t>ompany</w:t>
      </w:r>
      <w:r w:rsidR="001707D5" w:rsidRPr="00D77D28">
        <w:rPr>
          <w:i/>
          <w:lang w:eastAsia="en-AU"/>
        </w:rPr>
        <w:t xml:space="preserve">] </w:t>
      </w:r>
      <w:r w:rsidR="009A3332" w:rsidRPr="00D77D28">
        <w:rPr>
          <w:i/>
          <w:lang w:eastAsia="en-AU"/>
        </w:rPr>
        <w:t xml:space="preserve">…, </w:t>
      </w:r>
    </w:p>
    <w:p w:rsidR="001707D5" w:rsidRPr="00D77D28" w:rsidRDefault="009A3332" w:rsidP="00D77D28">
      <w:pPr>
        <w:pStyle w:val="Quote2"/>
        <w:rPr>
          <w:i/>
          <w:lang w:eastAsia="en-AU"/>
        </w:rPr>
      </w:pPr>
      <w:r w:rsidRPr="00D77D28">
        <w:rPr>
          <w:i/>
          <w:lang w:eastAsia="en-AU"/>
        </w:rPr>
        <w:t>shall be</w:t>
      </w:r>
      <w:r w:rsidR="001707D5" w:rsidRPr="00D77D28">
        <w:rPr>
          <w:i/>
          <w:lang w:eastAsia="en-AU"/>
        </w:rPr>
        <w:t xml:space="preserve"> </w:t>
      </w:r>
      <w:r w:rsidRPr="00D77D28">
        <w:rPr>
          <w:i/>
          <w:lang w:eastAsia="en-AU"/>
        </w:rPr>
        <w:t>extinguished</w:t>
      </w:r>
      <w:r w:rsidR="001707D5" w:rsidRPr="00D77D28">
        <w:rPr>
          <w:i/>
          <w:lang w:eastAsia="en-AU"/>
        </w:rPr>
        <w:t xml:space="preserve"> </w:t>
      </w:r>
      <w:r w:rsidRPr="00D77D28">
        <w:rPr>
          <w:i/>
          <w:lang w:eastAsia="en-AU"/>
        </w:rPr>
        <w:t>…</w:t>
      </w:r>
      <w:r w:rsidR="001707D5" w:rsidRPr="00D77D28">
        <w:rPr>
          <w:i/>
          <w:lang w:eastAsia="en-AU"/>
        </w:rPr>
        <w:t xml:space="preserve"> </w:t>
      </w:r>
      <w:r w:rsidRPr="00D77D28">
        <w:rPr>
          <w:i/>
          <w:lang w:eastAsia="en-AU"/>
        </w:rPr>
        <w:t>.</w:t>
      </w:r>
    </w:p>
    <w:p w:rsidR="00E679F9" w:rsidRPr="00193D1E" w:rsidRDefault="00E679F9" w:rsidP="00FD24F6">
      <w:pPr>
        <w:pStyle w:val="Quote1Bullet"/>
        <w:rPr>
          <w:i/>
          <w:szCs w:val="22"/>
          <w:lang w:eastAsia="en-AU"/>
        </w:rPr>
      </w:pPr>
      <w:r w:rsidRPr="00193D1E">
        <w:rPr>
          <w:i/>
          <w:lang w:eastAsia="en-AU"/>
        </w:rPr>
        <w:lastRenderedPageBreak/>
        <w:t>16.1</w:t>
      </w:r>
      <w:r w:rsidR="009A3332" w:rsidRPr="00193D1E">
        <w:rPr>
          <w:i/>
          <w:lang w:eastAsia="en-AU"/>
        </w:rPr>
        <w:t xml:space="preserve"> Subject</w:t>
      </w:r>
      <w:r w:rsidR="006D733B">
        <w:rPr>
          <w:i/>
          <w:lang w:eastAsia="en-AU"/>
        </w:rPr>
        <w:t xml:space="preserve"> to clause 16.2 below, if the [Deed A</w:t>
      </w:r>
      <w:r w:rsidR="009A3332" w:rsidRPr="00193D1E">
        <w:rPr>
          <w:i/>
          <w:lang w:eastAsia="en-AU"/>
        </w:rPr>
        <w:t>dministrators] determine that it</w:t>
      </w:r>
      <w:r w:rsidR="001707D5" w:rsidRPr="00193D1E">
        <w:rPr>
          <w:i/>
          <w:lang w:eastAsia="en-AU"/>
        </w:rPr>
        <w:t xml:space="preserve"> </w:t>
      </w:r>
      <w:r w:rsidR="009A3332" w:rsidRPr="00193D1E">
        <w:rPr>
          <w:i/>
          <w:lang w:eastAsia="en-AU"/>
        </w:rPr>
        <w:t xml:space="preserve">is no longer practicable </w:t>
      </w:r>
      <w:r w:rsidRPr="00193D1E">
        <w:rPr>
          <w:i/>
          <w:lang w:eastAsia="en-AU"/>
        </w:rPr>
        <w:t>or desirable to implement this D</w:t>
      </w:r>
      <w:r w:rsidR="009A3332" w:rsidRPr="00193D1E">
        <w:rPr>
          <w:i/>
          <w:lang w:eastAsia="en-AU"/>
        </w:rPr>
        <w:t xml:space="preserve">eed, or if </w:t>
      </w:r>
      <w:r w:rsidRPr="00193D1E">
        <w:rPr>
          <w:i/>
          <w:lang w:eastAsia="en-AU"/>
        </w:rPr>
        <w:t>[</w:t>
      </w:r>
      <w:r w:rsidR="009A3332" w:rsidRPr="00193D1E">
        <w:rPr>
          <w:i/>
          <w:lang w:eastAsia="en-AU"/>
        </w:rPr>
        <w:t>the</w:t>
      </w:r>
      <w:r w:rsidR="001707D5" w:rsidRPr="00193D1E">
        <w:rPr>
          <w:i/>
          <w:lang w:eastAsia="en-AU"/>
        </w:rPr>
        <w:t xml:space="preserve"> </w:t>
      </w:r>
      <w:r w:rsidR="006D733B">
        <w:rPr>
          <w:i/>
          <w:lang w:eastAsia="en-AU"/>
        </w:rPr>
        <w:t>C</w:t>
      </w:r>
      <w:r w:rsidR="009A3332" w:rsidRPr="00193D1E">
        <w:rPr>
          <w:i/>
          <w:lang w:eastAsia="en-AU"/>
        </w:rPr>
        <w:t>ompany</w:t>
      </w:r>
      <w:r w:rsidRPr="00193D1E">
        <w:rPr>
          <w:i/>
          <w:lang w:eastAsia="en-AU"/>
        </w:rPr>
        <w:t>]</w:t>
      </w:r>
      <w:r w:rsidR="009A3332" w:rsidRPr="00193D1E">
        <w:rPr>
          <w:i/>
          <w:lang w:eastAsia="en-AU"/>
        </w:rPr>
        <w:t xml:space="preserve"> or the </w:t>
      </w:r>
      <w:r w:rsidRPr="00193D1E">
        <w:rPr>
          <w:i/>
          <w:lang w:eastAsia="en-AU"/>
        </w:rPr>
        <w:t>D</w:t>
      </w:r>
      <w:r w:rsidR="009A3332" w:rsidRPr="00193D1E">
        <w:rPr>
          <w:i/>
          <w:lang w:eastAsia="en-AU"/>
        </w:rPr>
        <w:t xml:space="preserve">irector default in </w:t>
      </w:r>
      <w:r w:rsidRPr="00193D1E">
        <w:rPr>
          <w:i/>
          <w:lang w:eastAsia="en-AU"/>
        </w:rPr>
        <w:t xml:space="preserve">the </w:t>
      </w:r>
      <w:r w:rsidR="009A3332" w:rsidRPr="00193D1E">
        <w:rPr>
          <w:i/>
          <w:lang w:eastAsia="en-AU"/>
        </w:rPr>
        <w:t>performance of any of the covenants</w:t>
      </w:r>
      <w:r w:rsidR="001707D5" w:rsidRPr="00193D1E">
        <w:rPr>
          <w:i/>
          <w:lang w:eastAsia="en-AU"/>
        </w:rPr>
        <w:t xml:space="preserve"> </w:t>
      </w:r>
      <w:r w:rsidRPr="00193D1E">
        <w:rPr>
          <w:i/>
          <w:lang w:eastAsia="en-AU"/>
        </w:rPr>
        <w:t xml:space="preserve">contained </w:t>
      </w:r>
      <w:r w:rsidRPr="00193D1E">
        <w:rPr>
          <w:i/>
          <w:szCs w:val="22"/>
          <w:lang w:eastAsia="en-AU"/>
        </w:rPr>
        <w:t>in this D</w:t>
      </w:r>
      <w:r w:rsidR="006D733B">
        <w:rPr>
          <w:i/>
          <w:szCs w:val="22"/>
          <w:lang w:eastAsia="en-AU"/>
        </w:rPr>
        <w:t>eed, the [Deed A</w:t>
      </w:r>
      <w:r w:rsidR="009A3332" w:rsidRPr="00193D1E">
        <w:rPr>
          <w:i/>
          <w:szCs w:val="22"/>
          <w:lang w:eastAsia="en-AU"/>
        </w:rPr>
        <w:t>dministrators]</w:t>
      </w:r>
      <w:r w:rsidRPr="00193D1E">
        <w:rPr>
          <w:i/>
          <w:szCs w:val="22"/>
          <w:lang w:eastAsia="en-AU"/>
        </w:rPr>
        <w:t>:</w:t>
      </w:r>
      <w:r w:rsidR="009A3332" w:rsidRPr="00193D1E">
        <w:rPr>
          <w:i/>
          <w:szCs w:val="22"/>
          <w:lang w:eastAsia="en-AU"/>
        </w:rPr>
        <w:t xml:space="preserve"> </w:t>
      </w:r>
    </w:p>
    <w:p w:rsidR="001707D5" w:rsidRPr="00D77D28" w:rsidRDefault="00D77D28" w:rsidP="00D77D28">
      <w:pPr>
        <w:pStyle w:val="Quote2"/>
        <w:ind w:left="2160" w:hanging="720"/>
        <w:rPr>
          <w:i/>
          <w:lang w:eastAsia="en-AU"/>
        </w:rPr>
      </w:pPr>
      <w:r>
        <w:rPr>
          <w:i/>
          <w:lang w:eastAsia="en-AU"/>
        </w:rPr>
        <w:t>(a)</w:t>
      </w:r>
      <w:r>
        <w:rPr>
          <w:i/>
          <w:lang w:eastAsia="en-AU"/>
        </w:rPr>
        <w:tab/>
      </w:r>
      <w:r w:rsidR="009A3332" w:rsidRPr="00D77D28">
        <w:rPr>
          <w:i/>
          <w:lang w:eastAsia="en-AU"/>
        </w:rPr>
        <w:t>must summon a meeting</w:t>
      </w:r>
      <w:r w:rsidR="001707D5" w:rsidRPr="00D77D28">
        <w:rPr>
          <w:i/>
          <w:lang w:eastAsia="en-AU"/>
        </w:rPr>
        <w:t xml:space="preserve"> </w:t>
      </w:r>
      <w:r w:rsidR="009A3332" w:rsidRPr="00D77D28">
        <w:rPr>
          <w:i/>
          <w:lang w:eastAsia="en-AU"/>
        </w:rPr>
        <w:t>of Creditors for the purpose of considering a resolution u</w:t>
      </w:r>
      <w:r w:rsidR="00E679F9" w:rsidRPr="00D77D28">
        <w:rPr>
          <w:i/>
          <w:lang w:eastAsia="en-AU"/>
        </w:rPr>
        <w:t>nder section 445C(b) of the Act; …</w:t>
      </w:r>
      <w:r w:rsidR="001707D5" w:rsidRPr="00D77D28">
        <w:rPr>
          <w:i/>
          <w:lang w:eastAsia="en-AU"/>
        </w:rPr>
        <w:t xml:space="preserve"> </w:t>
      </w:r>
    </w:p>
    <w:p w:rsidR="00390B04" w:rsidRPr="00FD7F1F" w:rsidRDefault="00193D1E" w:rsidP="00FD24F6">
      <w:pPr>
        <w:pStyle w:val="Quote1Bullet"/>
        <w:rPr>
          <w:i/>
          <w:lang w:eastAsia="en-AU"/>
        </w:rPr>
      </w:pPr>
      <w:r>
        <w:rPr>
          <w:i/>
          <w:lang w:eastAsia="en-AU"/>
        </w:rPr>
        <w:t>16.2 Notwithstanding any other provision contained herein,</w:t>
      </w:r>
      <w:r w:rsidR="009A3332" w:rsidRPr="00FD7F1F">
        <w:rPr>
          <w:i/>
          <w:lang w:eastAsia="en-AU"/>
        </w:rPr>
        <w:t xml:space="preserve"> </w:t>
      </w:r>
      <w:r w:rsidR="00390B04" w:rsidRPr="00FD7F1F">
        <w:rPr>
          <w:i/>
          <w:lang w:eastAsia="en-AU"/>
        </w:rPr>
        <w:t>[</w:t>
      </w:r>
      <w:r w:rsidR="006D733B">
        <w:rPr>
          <w:i/>
          <w:lang w:eastAsia="en-AU"/>
        </w:rPr>
        <w:t>the C</w:t>
      </w:r>
      <w:r w:rsidR="009A3332" w:rsidRPr="00FD7F1F">
        <w:rPr>
          <w:i/>
          <w:lang w:eastAsia="en-AU"/>
        </w:rPr>
        <w:t>ompany</w:t>
      </w:r>
      <w:r w:rsidR="00390B04" w:rsidRPr="00FD7F1F">
        <w:rPr>
          <w:i/>
          <w:lang w:eastAsia="en-AU"/>
        </w:rPr>
        <w:t>] and/or the D</w:t>
      </w:r>
      <w:r w:rsidR="009A3332" w:rsidRPr="00FD7F1F">
        <w:rPr>
          <w:i/>
          <w:lang w:eastAsia="en-AU"/>
        </w:rPr>
        <w:t>irector shall be deemed to be in default of the</w:t>
      </w:r>
      <w:r w:rsidR="001707D5" w:rsidRPr="00FD7F1F">
        <w:rPr>
          <w:i/>
          <w:lang w:eastAsia="en-AU"/>
        </w:rPr>
        <w:t xml:space="preserve"> </w:t>
      </w:r>
      <w:r w:rsidR="00390B04" w:rsidRPr="00FD7F1F">
        <w:rPr>
          <w:i/>
          <w:lang w:eastAsia="en-AU"/>
        </w:rPr>
        <w:t>performance of this D</w:t>
      </w:r>
      <w:r w:rsidR="009A3332" w:rsidRPr="00FD7F1F">
        <w:rPr>
          <w:i/>
          <w:lang w:eastAsia="en-AU"/>
        </w:rPr>
        <w:t>eed for the purposes of clause 16.1 in the event</w:t>
      </w:r>
      <w:r w:rsidR="001707D5" w:rsidRPr="00FD7F1F">
        <w:rPr>
          <w:i/>
          <w:lang w:eastAsia="en-AU"/>
        </w:rPr>
        <w:t xml:space="preserve"> </w:t>
      </w:r>
      <w:r w:rsidR="009A3332" w:rsidRPr="00FD7F1F">
        <w:rPr>
          <w:i/>
          <w:lang w:eastAsia="en-AU"/>
        </w:rPr>
        <w:t>that</w:t>
      </w:r>
      <w:r w:rsidR="00390B04" w:rsidRPr="00FD7F1F">
        <w:rPr>
          <w:i/>
          <w:lang w:eastAsia="en-AU"/>
        </w:rPr>
        <w:t xml:space="preserve">: </w:t>
      </w:r>
    </w:p>
    <w:p w:rsidR="00390B04" w:rsidRPr="00D77D28" w:rsidRDefault="00D77D28" w:rsidP="00D77D28">
      <w:pPr>
        <w:pStyle w:val="Quote2"/>
        <w:ind w:left="2160" w:hanging="720"/>
        <w:rPr>
          <w:i/>
          <w:lang w:eastAsia="en-AU"/>
        </w:rPr>
      </w:pPr>
      <w:r>
        <w:rPr>
          <w:i/>
          <w:lang w:eastAsia="en-AU"/>
        </w:rPr>
        <w:t>(a)</w:t>
      </w:r>
      <w:r>
        <w:rPr>
          <w:i/>
          <w:lang w:eastAsia="en-AU"/>
        </w:rPr>
        <w:tab/>
      </w:r>
      <w:r w:rsidR="00193D1E" w:rsidRPr="00D77D28">
        <w:rPr>
          <w:i/>
          <w:lang w:eastAsia="en-AU"/>
        </w:rPr>
        <w:t>an</w:t>
      </w:r>
      <w:r w:rsidR="006D733B" w:rsidRPr="00D77D28">
        <w:rPr>
          <w:i/>
          <w:lang w:eastAsia="en-AU"/>
        </w:rPr>
        <w:t xml:space="preserve"> instalment to be paid by [the C</w:t>
      </w:r>
      <w:r w:rsidR="00193D1E" w:rsidRPr="00D77D28">
        <w:rPr>
          <w:i/>
          <w:lang w:eastAsia="en-AU"/>
        </w:rPr>
        <w:t>ompany] to the Deed Administrator pursuant to clause 8.1(d) is not paid by its due date, and remains unpaid seven (7) days after the date on which notice of the failure to pay is deemed to have been given to the Director in accordance with clause 20, in which event, the default shall occur at midnight on the 7</w:t>
      </w:r>
      <w:r w:rsidR="00193D1E" w:rsidRPr="00D77D28">
        <w:rPr>
          <w:i/>
          <w:vertAlign w:val="superscript"/>
          <w:lang w:eastAsia="en-AU"/>
        </w:rPr>
        <w:t>th</w:t>
      </w:r>
      <w:r w:rsidR="00193D1E" w:rsidRPr="00D77D28">
        <w:rPr>
          <w:i/>
          <w:lang w:eastAsia="en-AU"/>
        </w:rPr>
        <w:t xml:space="preserve"> day after notice is deemed to have been given; or</w:t>
      </w:r>
    </w:p>
    <w:p w:rsidR="00390B04" w:rsidRPr="00D77D28" w:rsidRDefault="00D77D28" w:rsidP="00D77D28">
      <w:pPr>
        <w:pStyle w:val="Quote2"/>
        <w:ind w:left="2160" w:hanging="720"/>
        <w:rPr>
          <w:i/>
          <w:lang w:eastAsia="en-AU"/>
        </w:rPr>
      </w:pPr>
      <w:r>
        <w:rPr>
          <w:i/>
          <w:lang w:eastAsia="en-AU"/>
        </w:rPr>
        <w:t>(b)</w:t>
      </w:r>
      <w:r>
        <w:rPr>
          <w:i/>
          <w:lang w:eastAsia="en-AU"/>
        </w:rPr>
        <w:tab/>
      </w:r>
      <w:r w:rsidR="00390B04" w:rsidRPr="00D77D28">
        <w:rPr>
          <w:i/>
          <w:lang w:eastAsia="en-AU"/>
        </w:rPr>
        <w:t>[</w:t>
      </w:r>
      <w:r w:rsidR="006D733B" w:rsidRPr="00D77D28">
        <w:rPr>
          <w:i/>
          <w:lang w:eastAsia="en-AU"/>
        </w:rPr>
        <w:t>the C</w:t>
      </w:r>
      <w:r w:rsidR="009A3332" w:rsidRPr="00D77D28">
        <w:rPr>
          <w:i/>
          <w:lang w:eastAsia="en-AU"/>
        </w:rPr>
        <w:t>ompany</w:t>
      </w:r>
      <w:r w:rsidR="00390B04" w:rsidRPr="00D77D28">
        <w:rPr>
          <w:i/>
          <w:lang w:eastAsia="en-AU"/>
        </w:rPr>
        <w:t>]</w:t>
      </w:r>
      <w:r w:rsidR="009A3332" w:rsidRPr="00D77D28">
        <w:rPr>
          <w:i/>
          <w:lang w:eastAsia="en-AU"/>
        </w:rPr>
        <w:t xml:space="preserve"> fails to lodge any document it is required by law to</w:t>
      </w:r>
      <w:r w:rsidR="001707D5" w:rsidRPr="00D77D28">
        <w:rPr>
          <w:i/>
          <w:lang w:eastAsia="en-AU"/>
        </w:rPr>
        <w:t xml:space="preserve"> </w:t>
      </w:r>
      <w:r w:rsidR="009A3332" w:rsidRPr="00D77D28">
        <w:rPr>
          <w:i/>
          <w:lang w:eastAsia="en-AU"/>
        </w:rPr>
        <w:t>lodge with the A</w:t>
      </w:r>
      <w:r w:rsidR="003A3944" w:rsidRPr="00D77D28">
        <w:rPr>
          <w:i/>
          <w:lang w:eastAsia="en-AU"/>
        </w:rPr>
        <w:t xml:space="preserve">ustralian </w:t>
      </w:r>
      <w:r w:rsidR="009A3332" w:rsidRPr="00D77D28">
        <w:rPr>
          <w:i/>
          <w:lang w:eastAsia="en-AU"/>
        </w:rPr>
        <w:t>T</w:t>
      </w:r>
      <w:r w:rsidR="003A3944" w:rsidRPr="00D77D28">
        <w:rPr>
          <w:i/>
          <w:lang w:eastAsia="en-AU"/>
        </w:rPr>
        <w:t xml:space="preserve">axation </w:t>
      </w:r>
      <w:r w:rsidR="009A3332" w:rsidRPr="00D77D28">
        <w:rPr>
          <w:i/>
          <w:lang w:eastAsia="en-AU"/>
        </w:rPr>
        <w:t>O</w:t>
      </w:r>
      <w:r w:rsidR="003A3944" w:rsidRPr="00D77D28">
        <w:rPr>
          <w:i/>
          <w:lang w:eastAsia="en-AU"/>
        </w:rPr>
        <w:t>ffice</w:t>
      </w:r>
      <w:r w:rsidR="009A3332" w:rsidRPr="00D77D28">
        <w:rPr>
          <w:i/>
          <w:lang w:eastAsia="en-AU"/>
        </w:rPr>
        <w:t xml:space="preserve"> within</w:t>
      </w:r>
      <w:r w:rsidR="005B35C6" w:rsidRPr="00D77D28">
        <w:rPr>
          <w:i/>
          <w:lang w:eastAsia="en-AU"/>
        </w:rPr>
        <w:t xml:space="preserve"> seven</w:t>
      </w:r>
      <w:r w:rsidR="009A3332" w:rsidRPr="00D77D28">
        <w:rPr>
          <w:i/>
          <w:lang w:eastAsia="en-AU"/>
        </w:rPr>
        <w:t xml:space="preserve"> </w:t>
      </w:r>
      <w:r w:rsidR="005B35C6" w:rsidRPr="00D77D28">
        <w:rPr>
          <w:i/>
          <w:lang w:eastAsia="en-AU"/>
        </w:rPr>
        <w:t>(</w:t>
      </w:r>
      <w:r w:rsidR="009A3332" w:rsidRPr="00D77D28">
        <w:rPr>
          <w:i/>
          <w:lang w:eastAsia="en-AU"/>
        </w:rPr>
        <w:t>7</w:t>
      </w:r>
      <w:r w:rsidR="005B35C6" w:rsidRPr="00D77D28">
        <w:rPr>
          <w:i/>
          <w:lang w:eastAsia="en-AU"/>
        </w:rPr>
        <w:t>)</w:t>
      </w:r>
      <w:r w:rsidR="00193D1E" w:rsidRPr="00D77D28">
        <w:rPr>
          <w:i/>
          <w:lang w:eastAsia="en-AU"/>
        </w:rPr>
        <w:t xml:space="preserve"> </w:t>
      </w:r>
      <w:r w:rsidR="006D733B" w:rsidRPr="00D77D28">
        <w:rPr>
          <w:i/>
          <w:lang w:eastAsia="en-AU"/>
        </w:rPr>
        <w:t>days of the date on which [the C</w:t>
      </w:r>
      <w:r w:rsidR="00193D1E" w:rsidRPr="00D77D28">
        <w:rPr>
          <w:i/>
          <w:lang w:eastAsia="en-AU"/>
        </w:rPr>
        <w:t>ompany] was to have lodged the document, in which event the default shall occur at midnight on the 7</w:t>
      </w:r>
      <w:r w:rsidR="00193D1E" w:rsidRPr="00D77D28">
        <w:rPr>
          <w:i/>
          <w:vertAlign w:val="superscript"/>
          <w:lang w:eastAsia="en-AU"/>
        </w:rPr>
        <w:t>th</w:t>
      </w:r>
      <w:r w:rsidR="00193D1E" w:rsidRPr="00D77D28">
        <w:rPr>
          <w:i/>
          <w:lang w:eastAsia="en-AU"/>
        </w:rPr>
        <w:t xml:space="preserve"> day after the date on which the lodgement was due</w:t>
      </w:r>
      <w:r w:rsidR="009A3332" w:rsidRPr="00D77D28">
        <w:rPr>
          <w:i/>
          <w:lang w:eastAsia="en-AU"/>
        </w:rPr>
        <w:t>;</w:t>
      </w:r>
      <w:r w:rsidR="005B35C6" w:rsidRPr="00D77D28">
        <w:rPr>
          <w:i/>
          <w:lang w:eastAsia="en-AU"/>
        </w:rPr>
        <w:t xml:space="preserve"> or </w:t>
      </w:r>
      <w:r w:rsidR="009A3332" w:rsidRPr="00D77D28">
        <w:rPr>
          <w:i/>
          <w:lang w:eastAsia="en-AU"/>
        </w:rPr>
        <w:t xml:space="preserve"> </w:t>
      </w:r>
    </w:p>
    <w:p w:rsidR="001707D5" w:rsidRPr="00D77D28" w:rsidRDefault="00D77D28" w:rsidP="00D77D28">
      <w:pPr>
        <w:pStyle w:val="Quote2"/>
        <w:ind w:left="2160" w:hanging="720"/>
        <w:rPr>
          <w:i/>
          <w:lang w:eastAsia="en-AU"/>
        </w:rPr>
      </w:pPr>
      <w:r>
        <w:rPr>
          <w:i/>
          <w:lang w:eastAsia="en-AU"/>
        </w:rPr>
        <w:t>(c)</w:t>
      </w:r>
      <w:r>
        <w:rPr>
          <w:i/>
          <w:lang w:eastAsia="en-AU"/>
        </w:rPr>
        <w:tab/>
      </w:r>
      <w:r w:rsidR="00390B04" w:rsidRPr="00D77D28">
        <w:rPr>
          <w:i/>
          <w:lang w:eastAsia="en-AU"/>
        </w:rPr>
        <w:t>[</w:t>
      </w:r>
      <w:r w:rsidR="006D733B" w:rsidRPr="00D77D28">
        <w:rPr>
          <w:i/>
          <w:lang w:eastAsia="en-AU"/>
        </w:rPr>
        <w:t>the C</w:t>
      </w:r>
      <w:r w:rsidR="009A3332" w:rsidRPr="00D77D28">
        <w:rPr>
          <w:i/>
          <w:lang w:eastAsia="en-AU"/>
        </w:rPr>
        <w:t>ompany</w:t>
      </w:r>
      <w:r w:rsidR="00390B04" w:rsidRPr="00D77D28">
        <w:rPr>
          <w:i/>
          <w:lang w:eastAsia="en-AU"/>
        </w:rPr>
        <w:t>]</w:t>
      </w:r>
      <w:r w:rsidR="009A3332" w:rsidRPr="00D77D28">
        <w:rPr>
          <w:i/>
          <w:lang w:eastAsia="en-AU"/>
        </w:rPr>
        <w:t xml:space="preserve"> fails to make a</w:t>
      </w:r>
      <w:r w:rsidR="001707D5" w:rsidRPr="00D77D28">
        <w:rPr>
          <w:i/>
          <w:lang w:eastAsia="en-AU"/>
        </w:rPr>
        <w:t xml:space="preserve"> </w:t>
      </w:r>
      <w:r w:rsidR="009A3332" w:rsidRPr="00D77D28">
        <w:rPr>
          <w:i/>
          <w:lang w:eastAsia="en-AU"/>
        </w:rPr>
        <w:t>payment it is required t</w:t>
      </w:r>
      <w:r w:rsidR="00390B04" w:rsidRPr="00D77D28">
        <w:rPr>
          <w:i/>
          <w:lang w:eastAsia="en-AU"/>
        </w:rPr>
        <w:t>o pay to the A</w:t>
      </w:r>
      <w:r w:rsidR="005B35C6" w:rsidRPr="00D77D28">
        <w:rPr>
          <w:i/>
          <w:lang w:eastAsia="en-AU"/>
        </w:rPr>
        <w:t xml:space="preserve">ustralian </w:t>
      </w:r>
      <w:r w:rsidR="00390B04" w:rsidRPr="00D77D28">
        <w:rPr>
          <w:i/>
          <w:lang w:eastAsia="en-AU"/>
        </w:rPr>
        <w:t>T</w:t>
      </w:r>
      <w:r w:rsidR="005B35C6" w:rsidRPr="00D77D28">
        <w:rPr>
          <w:i/>
          <w:lang w:eastAsia="en-AU"/>
        </w:rPr>
        <w:t xml:space="preserve">axation </w:t>
      </w:r>
      <w:r w:rsidR="00390B04" w:rsidRPr="00D77D28">
        <w:rPr>
          <w:i/>
          <w:lang w:eastAsia="en-AU"/>
        </w:rPr>
        <w:t>O</w:t>
      </w:r>
      <w:r w:rsidR="005B35C6" w:rsidRPr="00D77D28">
        <w:rPr>
          <w:i/>
          <w:lang w:eastAsia="en-AU"/>
        </w:rPr>
        <w:t>ffice</w:t>
      </w:r>
      <w:r w:rsidR="00390B04" w:rsidRPr="00D77D28">
        <w:rPr>
          <w:i/>
          <w:lang w:eastAsia="en-AU"/>
        </w:rPr>
        <w:t xml:space="preserve"> within</w:t>
      </w:r>
      <w:r w:rsidR="005B35C6" w:rsidRPr="00D77D28">
        <w:rPr>
          <w:i/>
          <w:lang w:eastAsia="en-AU"/>
        </w:rPr>
        <w:t xml:space="preserve"> seven</w:t>
      </w:r>
      <w:r w:rsidR="00390B04" w:rsidRPr="00D77D28">
        <w:rPr>
          <w:i/>
          <w:lang w:eastAsia="en-AU"/>
        </w:rPr>
        <w:t xml:space="preserve"> </w:t>
      </w:r>
      <w:r w:rsidR="005B35C6" w:rsidRPr="00D77D28">
        <w:rPr>
          <w:i/>
          <w:lang w:eastAsia="en-AU"/>
        </w:rPr>
        <w:t>(</w:t>
      </w:r>
      <w:r w:rsidR="00390B04" w:rsidRPr="00D77D28">
        <w:rPr>
          <w:i/>
          <w:lang w:eastAsia="en-AU"/>
        </w:rPr>
        <w:t>7</w:t>
      </w:r>
      <w:r w:rsidR="005B35C6" w:rsidRPr="00D77D28">
        <w:rPr>
          <w:i/>
          <w:lang w:eastAsia="en-AU"/>
        </w:rPr>
        <w:t>)</w:t>
      </w:r>
      <w:r w:rsidR="00390B04" w:rsidRPr="00D77D28">
        <w:rPr>
          <w:i/>
          <w:lang w:eastAsia="en-AU"/>
        </w:rPr>
        <w:t xml:space="preserve"> days</w:t>
      </w:r>
      <w:r w:rsidR="00193D1E" w:rsidRPr="00D77D28">
        <w:rPr>
          <w:i/>
          <w:lang w:eastAsia="en-AU"/>
        </w:rPr>
        <w:t xml:space="preserve"> </w:t>
      </w:r>
      <w:r w:rsidR="00262A77" w:rsidRPr="00D77D28">
        <w:rPr>
          <w:i/>
          <w:lang w:eastAsia="en-AU"/>
        </w:rPr>
        <w:t>of the date on which the payment was to have been made in which event the default shall occur at midnight on the 7</w:t>
      </w:r>
      <w:r w:rsidR="00262A77" w:rsidRPr="00D77D28">
        <w:rPr>
          <w:i/>
          <w:vertAlign w:val="superscript"/>
          <w:lang w:eastAsia="en-AU"/>
        </w:rPr>
        <w:t>th</w:t>
      </w:r>
      <w:r w:rsidR="00262A77" w:rsidRPr="00D77D28">
        <w:rPr>
          <w:i/>
          <w:lang w:eastAsia="en-AU"/>
        </w:rPr>
        <w:t xml:space="preserve"> day after the date on which the payment was due.</w:t>
      </w:r>
      <w:r w:rsidR="001707D5" w:rsidRPr="00D77D28">
        <w:rPr>
          <w:i/>
          <w:lang w:eastAsia="en-AU"/>
        </w:rPr>
        <w:t xml:space="preserve"> </w:t>
      </w:r>
    </w:p>
    <w:p w:rsidR="001707D5" w:rsidRPr="00597B1E" w:rsidRDefault="00597B1E" w:rsidP="00FD24F6">
      <w:pPr>
        <w:pStyle w:val="Quote1Bullet"/>
        <w:rPr>
          <w:i/>
          <w:lang w:eastAsia="en-AU"/>
        </w:rPr>
      </w:pPr>
      <w:r>
        <w:rPr>
          <w:i/>
          <w:lang w:eastAsia="en-AU"/>
        </w:rPr>
        <w:t xml:space="preserve">16.5 </w:t>
      </w:r>
      <w:r w:rsidR="009A3332" w:rsidRPr="00597B1E">
        <w:rPr>
          <w:i/>
          <w:lang w:eastAsia="en-AU"/>
        </w:rPr>
        <w:t>…</w:t>
      </w:r>
      <w:r w:rsidRPr="00597B1E">
        <w:rPr>
          <w:i/>
          <w:lang w:eastAsia="en-AU"/>
        </w:rPr>
        <w:t xml:space="preserve"> </w:t>
      </w:r>
      <w:r w:rsidR="009A3332" w:rsidRPr="00597B1E">
        <w:rPr>
          <w:i/>
          <w:lang w:eastAsia="en-AU"/>
        </w:rPr>
        <w:t>the claims of a Creditor shall, in the c</w:t>
      </w:r>
      <w:r>
        <w:rPr>
          <w:i/>
          <w:lang w:eastAsia="en-AU"/>
        </w:rPr>
        <w:t>ase of the termination of this D</w:t>
      </w:r>
      <w:r w:rsidR="009A3332" w:rsidRPr="00597B1E">
        <w:rPr>
          <w:i/>
          <w:lang w:eastAsia="en-AU"/>
        </w:rPr>
        <w:t>eed</w:t>
      </w:r>
      <w:r w:rsidR="001707D5" w:rsidRPr="00597B1E">
        <w:rPr>
          <w:i/>
          <w:lang w:eastAsia="en-AU"/>
        </w:rPr>
        <w:t xml:space="preserve"> </w:t>
      </w:r>
      <w:r w:rsidR="009A3332" w:rsidRPr="00597B1E">
        <w:rPr>
          <w:i/>
          <w:lang w:eastAsia="en-AU"/>
        </w:rPr>
        <w:t>prior to the payment to such Creditor of its full entitlement under this</w:t>
      </w:r>
      <w:r w:rsidR="001707D5" w:rsidRPr="00597B1E">
        <w:rPr>
          <w:i/>
          <w:lang w:eastAsia="en-AU"/>
        </w:rPr>
        <w:t xml:space="preserve"> </w:t>
      </w:r>
      <w:r>
        <w:rPr>
          <w:i/>
          <w:lang w:eastAsia="en-AU"/>
        </w:rPr>
        <w:t>D</w:t>
      </w:r>
      <w:r w:rsidR="009A3332" w:rsidRPr="00597B1E">
        <w:rPr>
          <w:i/>
          <w:lang w:eastAsia="en-AU"/>
        </w:rPr>
        <w:t>eed, be extinguished only to the extent of the payment actually made by</w:t>
      </w:r>
      <w:r w:rsidR="001707D5" w:rsidRPr="00597B1E">
        <w:rPr>
          <w:i/>
          <w:lang w:eastAsia="en-AU"/>
        </w:rPr>
        <w:t xml:space="preserve"> </w:t>
      </w:r>
      <w:r w:rsidR="006D733B">
        <w:rPr>
          <w:i/>
          <w:lang w:eastAsia="en-AU"/>
        </w:rPr>
        <w:t>the [Deed A</w:t>
      </w:r>
      <w:r w:rsidR="009A3332" w:rsidRPr="00597B1E">
        <w:rPr>
          <w:i/>
          <w:lang w:eastAsia="en-AU"/>
        </w:rPr>
        <w:t>dministrators] to such Creditor.</w:t>
      </w:r>
    </w:p>
    <w:p w:rsidR="00875803" w:rsidRPr="00875803" w:rsidRDefault="00F03E68" w:rsidP="00875803">
      <w:pPr>
        <w:pStyle w:val="Quote1Bullet"/>
        <w:rPr>
          <w:i/>
          <w:lang w:eastAsia="en-AU"/>
        </w:rPr>
      </w:pPr>
      <w:r>
        <w:rPr>
          <w:i/>
          <w:lang w:eastAsia="en-AU"/>
        </w:rPr>
        <w:t xml:space="preserve">21.1 </w:t>
      </w:r>
      <w:r w:rsidR="00597B1E">
        <w:rPr>
          <w:i/>
          <w:lang w:eastAsia="en-AU"/>
        </w:rPr>
        <w:t>[</w:t>
      </w:r>
      <w:r w:rsidR="006D733B">
        <w:rPr>
          <w:i/>
          <w:lang w:eastAsia="en-AU"/>
        </w:rPr>
        <w:t>The C</w:t>
      </w:r>
      <w:r w:rsidR="009A3332" w:rsidRPr="00597B1E">
        <w:rPr>
          <w:i/>
          <w:lang w:eastAsia="en-AU"/>
        </w:rPr>
        <w:t>ompany</w:t>
      </w:r>
      <w:r w:rsidR="00597B1E">
        <w:rPr>
          <w:i/>
          <w:lang w:eastAsia="en-AU"/>
        </w:rPr>
        <w:t>]</w:t>
      </w:r>
      <w:r>
        <w:rPr>
          <w:i/>
          <w:lang w:eastAsia="en-AU"/>
        </w:rPr>
        <w:t>, the D</w:t>
      </w:r>
      <w:r w:rsidR="006D733B">
        <w:rPr>
          <w:i/>
          <w:lang w:eastAsia="en-AU"/>
        </w:rPr>
        <w:t>irector and the [Deed A</w:t>
      </w:r>
      <w:r w:rsidR="009A3332" w:rsidRPr="00597B1E">
        <w:rPr>
          <w:i/>
          <w:lang w:eastAsia="en-AU"/>
        </w:rPr>
        <w:t>dministrators] shall execute</w:t>
      </w:r>
      <w:r w:rsidR="001707D5" w:rsidRPr="00597B1E">
        <w:rPr>
          <w:i/>
          <w:lang w:eastAsia="en-AU"/>
        </w:rPr>
        <w:t xml:space="preserve"> </w:t>
      </w:r>
      <w:r>
        <w:rPr>
          <w:i/>
          <w:lang w:eastAsia="en-AU"/>
        </w:rPr>
        <w:t>such D</w:t>
      </w:r>
      <w:r w:rsidR="009A3332" w:rsidRPr="00597B1E">
        <w:rPr>
          <w:i/>
          <w:lang w:eastAsia="en-AU"/>
        </w:rPr>
        <w:t>eeds and other documents and do such acts and things as may be</w:t>
      </w:r>
      <w:r w:rsidR="001707D5" w:rsidRPr="00597B1E">
        <w:rPr>
          <w:i/>
          <w:lang w:eastAsia="en-AU"/>
        </w:rPr>
        <w:t xml:space="preserve"> </w:t>
      </w:r>
      <w:r w:rsidR="009A3332" w:rsidRPr="00597B1E">
        <w:rPr>
          <w:i/>
          <w:lang w:eastAsia="en-AU"/>
        </w:rPr>
        <w:t>necessary or ex</w:t>
      </w:r>
      <w:r w:rsidR="00597B1E">
        <w:rPr>
          <w:i/>
          <w:lang w:eastAsia="en-AU"/>
        </w:rPr>
        <w:t>pedient to implement this D</w:t>
      </w:r>
      <w:r w:rsidR="009A3332" w:rsidRPr="00597B1E">
        <w:rPr>
          <w:i/>
          <w:lang w:eastAsia="en-AU"/>
        </w:rPr>
        <w:t>eed.</w:t>
      </w:r>
      <w:r w:rsidR="00597B1E" w:rsidRPr="00597B1E">
        <w:rPr>
          <w:i/>
          <w:sz w:val="16"/>
          <w:szCs w:val="16"/>
          <w:lang w:eastAsia="en-AU"/>
        </w:rPr>
        <w:t xml:space="preserve"> </w:t>
      </w:r>
    </w:p>
    <w:p w:rsidR="00A10778" w:rsidRDefault="00A10778" w:rsidP="00A10778">
      <w:pPr>
        <w:pStyle w:val="ParaNumbering"/>
        <w:rPr>
          <w:lang w:eastAsia="en-AU"/>
        </w:rPr>
      </w:pPr>
      <w:r>
        <w:rPr>
          <w:lang w:eastAsia="en-AU"/>
        </w:rPr>
        <w:t xml:space="preserve">There is some lack of clarity </w:t>
      </w:r>
      <w:r w:rsidR="007B2902">
        <w:rPr>
          <w:lang w:eastAsia="en-AU"/>
        </w:rPr>
        <w:t xml:space="preserve">in the DOCA </w:t>
      </w:r>
      <w:r>
        <w:rPr>
          <w:lang w:eastAsia="en-AU"/>
        </w:rPr>
        <w:t>as to the distinction between ‘powers’, ‘duties’ and ‘rights’ when addressing the position of the Deed Administrators, but this is of no moment for the purposes of these proceedings.  However, it is worth noting that in cl 6.1 the responsibility in relation to complying with taxation laws is upon the Company</w:t>
      </w:r>
      <w:r w:rsidR="00775D6E">
        <w:rPr>
          <w:lang w:eastAsia="en-AU"/>
        </w:rPr>
        <w:t xml:space="preserve"> and the</w:t>
      </w:r>
      <w:r>
        <w:rPr>
          <w:lang w:eastAsia="en-AU"/>
        </w:rPr>
        <w:t xml:space="preserve"> Director and not upon the Deed Administrators.  Whilst the </w:t>
      </w:r>
      <w:r w:rsidRPr="00F55033">
        <w:rPr>
          <w:lang w:eastAsia="en-AU"/>
        </w:rPr>
        <w:t>Company (by covenant) has the</w:t>
      </w:r>
      <w:r>
        <w:rPr>
          <w:lang w:eastAsia="en-AU"/>
        </w:rPr>
        <w:t xml:space="preserve"> obligation to actually comply with the taxation laws, no consent of or prior notice to the Deed Administrators needs to be given by the Director (see </w:t>
      </w:r>
      <w:proofErr w:type="spellStart"/>
      <w:r>
        <w:rPr>
          <w:lang w:eastAsia="en-AU"/>
        </w:rPr>
        <w:t>eg</w:t>
      </w:r>
      <w:proofErr w:type="spellEnd"/>
      <w:r>
        <w:rPr>
          <w:lang w:eastAsia="en-AU"/>
        </w:rPr>
        <w:t xml:space="preserve"> </w:t>
      </w:r>
      <w:r w:rsidRPr="00A10778">
        <w:rPr>
          <w:i/>
          <w:lang w:eastAsia="en-AU"/>
        </w:rPr>
        <w:t>contra</w:t>
      </w:r>
      <w:r>
        <w:rPr>
          <w:lang w:eastAsia="en-AU"/>
        </w:rPr>
        <w:t xml:space="preserve"> sub-</w:t>
      </w:r>
      <w:proofErr w:type="spellStart"/>
      <w:r>
        <w:rPr>
          <w:lang w:eastAsia="en-AU"/>
        </w:rPr>
        <w:t>cls</w:t>
      </w:r>
      <w:proofErr w:type="spellEnd"/>
      <w:r>
        <w:rPr>
          <w:lang w:eastAsia="en-AU"/>
        </w:rPr>
        <w:t xml:space="preserve"> 6.1(a), (h), (</w:t>
      </w:r>
      <w:proofErr w:type="spellStart"/>
      <w:r>
        <w:rPr>
          <w:lang w:eastAsia="en-AU"/>
        </w:rPr>
        <w:t>i</w:t>
      </w:r>
      <w:proofErr w:type="spellEnd"/>
      <w:r>
        <w:rPr>
          <w:lang w:eastAsia="en-AU"/>
        </w:rPr>
        <w:t>) and (j)).</w:t>
      </w:r>
    </w:p>
    <w:p w:rsidR="00F23FDC" w:rsidRDefault="00F23FDC">
      <w:pPr>
        <w:spacing w:line="240" w:lineRule="auto"/>
        <w:jc w:val="left"/>
        <w:rPr>
          <w:b/>
          <w:caps/>
          <w:kern w:val="28"/>
          <w:lang w:eastAsia="en-AU"/>
        </w:rPr>
      </w:pPr>
      <w:r>
        <w:rPr>
          <w:lang w:eastAsia="en-AU"/>
        </w:rPr>
        <w:br w:type="page"/>
      </w:r>
    </w:p>
    <w:p w:rsidR="007510E6" w:rsidRDefault="007510E6" w:rsidP="007510E6">
      <w:pPr>
        <w:pStyle w:val="Heading1"/>
        <w:rPr>
          <w:lang w:eastAsia="en-AU"/>
        </w:rPr>
      </w:pPr>
      <w:r>
        <w:rPr>
          <w:lang w:eastAsia="en-AU"/>
        </w:rPr>
        <w:lastRenderedPageBreak/>
        <w:t>Constitution</w:t>
      </w:r>
    </w:p>
    <w:p w:rsidR="007510E6" w:rsidRDefault="007510E6" w:rsidP="007510E6">
      <w:pPr>
        <w:pStyle w:val="ParaNumbering"/>
        <w:rPr>
          <w:lang w:eastAsia="en-AU"/>
        </w:rPr>
      </w:pPr>
      <w:r>
        <w:rPr>
          <w:lang w:eastAsia="en-AU"/>
        </w:rPr>
        <w:t xml:space="preserve">Item 61 of the Company’s </w:t>
      </w:r>
      <w:r w:rsidRPr="008B37BF">
        <w:rPr>
          <w:lang w:eastAsia="en-AU"/>
        </w:rPr>
        <w:t>constitution (‘</w:t>
      </w:r>
      <w:r>
        <w:rPr>
          <w:b/>
          <w:bCs/>
          <w:lang w:eastAsia="en-AU"/>
        </w:rPr>
        <w:t>C</w:t>
      </w:r>
      <w:r w:rsidRPr="008B37BF">
        <w:rPr>
          <w:b/>
          <w:bCs/>
          <w:lang w:eastAsia="en-AU"/>
        </w:rPr>
        <w:t>onstitution</w:t>
      </w:r>
      <w:r w:rsidRPr="008B37BF">
        <w:rPr>
          <w:bCs/>
          <w:lang w:eastAsia="en-AU"/>
        </w:rPr>
        <w:t>’</w:t>
      </w:r>
      <w:r w:rsidRPr="008B37BF">
        <w:rPr>
          <w:lang w:eastAsia="en-AU"/>
        </w:rPr>
        <w:t>) provides</w:t>
      </w:r>
      <w:r>
        <w:rPr>
          <w:lang w:eastAsia="en-AU"/>
        </w:rPr>
        <w:t>:</w:t>
      </w:r>
    </w:p>
    <w:p w:rsidR="007510E6" w:rsidRPr="00BE0AAA" w:rsidRDefault="007510E6" w:rsidP="007510E6">
      <w:pPr>
        <w:pStyle w:val="Quote1"/>
        <w:rPr>
          <w:b/>
          <w:i/>
          <w:lang w:eastAsia="en-AU"/>
        </w:rPr>
      </w:pPr>
      <w:r w:rsidRPr="00BE0AAA">
        <w:rPr>
          <w:b/>
          <w:i/>
          <w:lang w:eastAsia="en-AU"/>
        </w:rPr>
        <w:t>Management Vested in Directors</w:t>
      </w:r>
    </w:p>
    <w:p w:rsidR="007510E6" w:rsidRPr="001C74A9" w:rsidRDefault="007510E6" w:rsidP="001C74A9">
      <w:pPr>
        <w:pStyle w:val="Quote1"/>
        <w:rPr>
          <w:i/>
          <w:szCs w:val="24"/>
        </w:rPr>
      </w:pPr>
      <w:r w:rsidRPr="001C74A9">
        <w:rPr>
          <w:i/>
          <w:lang w:eastAsia="en-AU"/>
        </w:rPr>
        <w:t>The management of the Company’s business is vested in the directors who shall exercise all the powers of the Company as are not required to be exercised by the Company in general meeting PROVIDED that the directors may not dispose of the Company’s main undertaking or approve the transfer of a controlling share interest in the Company without the approval of a general meeting previously given. No such resolution of a general meeting shall be retrospective in its effect.</w:t>
      </w:r>
    </w:p>
    <w:p w:rsidR="007510E6" w:rsidRPr="007510E6" w:rsidRDefault="007510E6" w:rsidP="007510E6">
      <w:pPr>
        <w:pStyle w:val="Heading1"/>
      </w:pPr>
      <w:r>
        <w:t>CONSIDERATION</w:t>
      </w:r>
    </w:p>
    <w:p w:rsidR="00C31B6B" w:rsidRPr="00811677" w:rsidRDefault="006E36CA" w:rsidP="00C31B6B">
      <w:pPr>
        <w:pStyle w:val="ParaNumbering"/>
        <w:rPr>
          <w:szCs w:val="24"/>
        </w:rPr>
      </w:pPr>
      <w:r>
        <w:t>As I have mentioned, t</w:t>
      </w:r>
      <w:r w:rsidR="000C178E">
        <w:t>he P</w:t>
      </w:r>
      <w:r w:rsidR="00811677">
        <w:t>ayments were made by the C</w:t>
      </w:r>
      <w:r w:rsidR="00875803">
        <w:t xml:space="preserve">ompany between 27 September </w:t>
      </w:r>
      <w:r w:rsidR="00875803" w:rsidRPr="00811677">
        <w:rPr>
          <w:szCs w:val="24"/>
        </w:rPr>
        <w:t xml:space="preserve">2013 and 5 July 2017.  </w:t>
      </w:r>
      <w:r w:rsidR="000C178E">
        <w:rPr>
          <w:szCs w:val="24"/>
        </w:rPr>
        <w:t>That is, all the P</w:t>
      </w:r>
      <w:r w:rsidR="00875803" w:rsidRPr="00811677">
        <w:rPr>
          <w:szCs w:val="24"/>
        </w:rPr>
        <w:t>ayments took place during the period that the DOCA was in force.</w:t>
      </w:r>
    </w:p>
    <w:p w:rsidR="00C31B6B" w:rsidRPr="00811677" w:rsidRDefault="00B92767" w:rsidP="00A22733">
      <w:pPr>
        <w:pStyle w:val="ParaNumbering"/>
        <w:rPr>
          <w:szCs w:val="24"/>
        </w:rPr>
      </w:pPr>
      <w:r>
        <w:rPr>
          <w:szCs w:val="24"/>
        </w:rPr>
        <w:t>I should mention that a</w:t>
      </w:r>
      <w:r w:rsidR="00C31B6B" w:rsidRPr="00811677">
        <w:rPr>
          <w:szCs w:val="24"/>
        </w:rPr>
        <w:t xml:space="preserve">s a </w:t>
      </w:r>
      <w:r w:rsidR="0049615C">
        <w:rPr>
          <w:szCs w:val="24"/>
        </w:rPr>
        <w:t>consequence of defaults by the C</w:t>
      </w:r>
      <w:r w:rsidR="00C31B6B" w:rsidRPr="00811677">
        <w:rPr>
          <w:szCs w:val="24"/>
        </w:rPr>
        <w:t xml:space="preserve">ompany in complying with the obligations imposed by </w:t>
      </w:r>
      <w:proofErr w:type="spellStart"/>
      <w:r w:rsidR="00C31B6B" w:rsidRPr="00811677">
        <w:rPr>
          <w:szCs w:val="24"/>
        </w:rPr>
        <w:t>cls</w:t>
      </w:r>
      <w:proofErr w:type="spellEnd"/>
      <w:r w:rsidR="00C31B6B" w:rsidRPr="00811677">
        <w:rPr>
          <w:szCs w:val="24"/>
        </w:rPr>
        <w:t xml:space="preserve"> 6.1(d) and 16.2(c) of the DOCA, Mr Yeo and Mr </w:t>
      </w:r>
      <w:proofErr w:type="spellStart"/>
      <w:r w:rsidR="00C31B6B" w:rsidRPr="00811677">
        <w:rPr>
          <w:szCs w:val="24"/>
        </w:rPr>
        <w:t>Rambaldi</w:t>
      </w:r>
      <w:proofErr w:type="spellEnd"/>
      <w:r w:rsidR="00C31B6B" w:rsidRPr="00811677">
        <w:rPr>
          <w:szCs w:val="24"/>
        </w:rPr>
        <w:t xml:space="preserve"> convened a meeting of creditors for the purposes of proposing a resolution to terminate the DOCA.</w:t>
      </w:r>
    </w:p>
    <w:p w:rsidR="00656F97" w:rsidRPr="007510E6" w:rsidRDefault="00B92767" w:rsidP="007510E6">
      <w:pPr>
        <w:pStyle w:val="ParaNumbering"/>
        <w:rPr>
          <w:szCs w:val="23"/>
        </w:rPr>
      </w:pPr>
      <w:r>
        <w:rPr>
          <w:szCs w:val="23"/>
        </w:rPr>
        <w:t>Then, a</w:t>
      </w:r>
      <w:r w:rsidR="0049615C">
        <w:rPr>
          <w:szCs w:val="23"/>
        </w:rPr>
        <w:t>s I have already mentioned, o</w:t>
      </w:r>
      <w:r w:rsidR="00C31B6B" w:rsidRPr="00C31B6B">
        <w:rPr>
          <w:szCs w:val="23"/>
        </w:rPr>
        <w:t>n 5 July 2017, the creditors of the Company resolved</w:t>
      </w:r>
      <w:r w:rsidR="00C05969">
        <w:rPr>
          <w:szCs w:val="23"/>
        </w:rPr>
        <w:t xml:space="preserve"> to terminate the DOCA and wind </w:t>
      </w:r>
      <w:r w:rsidR="00C31B6B" w:rsidRPr="00C31B6B">
        <w:rPr>
          <w:szCs w:val="23"/>
        </w:rPr>
        <w:t xml:space="preserve">up the Company and Mr Yeo and Mr </w:t>
      </w:r>
      <w:proofErr w:type="spellStart"/>
      <w:r w:rsidR="0049615C">
        <w:rPr>
          <w:szCs w:val="23"/>
        </w:rPr>
        <w:t>Rambaldi</w:t>
      </w:r>
      <w:proofErr w:type="spellEnd"/>
      <w:r w:rsidR="0049615C">
        <w:rPr>
          <w:szCs w:val="23"/>
        </w:rPr>
        <w:t xml:space="preserve"> were appointed as the l</w:t>
      </w:r>
      <w:r w:rsidR="00C31B6B" w:rsidRPr="00C31B6B">
        <w:rPr>
          <w:szCs w:val="23"/>
        </w:rPr>
        <w:t>iquidators</w:t>
      </w:r>
      <w:r w:rsidR="00C31B6B">
        <w:rPr>
          <w:szCs w:val="23"/>
        </w:rPr>
        <w:t>.</w:t>
      </w:r>
    </w:p>
    <w:p w:rsidR="00F90EDA" w:rsidRPr="00F90EDA" w:rsidRDefault="00521701" w:rsidP="00FD24F6">
      <w:pPr>
        <w:pStyle w:val="ParaNumbering"/>
        <w:rPr>
          <w:lang w:eastAsia="en-AU"/>
        </w:rPr>
      </w:pPr>
      <w:r>
        <w:rPr>
          <w:lang w:eastAsia="en-AU"/>
        </w:rPr>
        <w:t>There wa</w:t>
      </w:r>
      <w:r w:rsidR="00F91837">
        <w:rPr>
          <w:lang w:eastAsia="en-AU"/>
        </w:rPr>
        <w:t>s no suggestion that the Deed A</w:t>
      </w:r>
      <w:r w:rsidR="00656F97">
        <w:rPr>
          <w:lang w:eastAsia="en-AU"/>
        </w:rPr>
        <w:t>dministrators made the payments.</w:t>
      </w:r>
      <w:r>
        <w:rPr>
          <w:lang w:eastAsia="en-AU"/>
        </w:rPr>
        <w:t xml:space="preserve"> </w:t>
      </w:r>
      <w:r w:rsidR="00656F97">
        <w:rPr>
          <w:lang w:eastAsia="en-AU"/>
        </w:rPr>
        <w:t xml:space="preserve"> Each of</w:t>
      </w:r>
      <w:r w:rsidR="00F90EDA">
        <w:rPr>
          <w:lang w:eastAsia="en-AU"/>
        </w:rPr>
        <w:t xml:space="preserve"> </w:t>
      </w:r>
      <w:r w:rsidR="00F91837">
        <w:rPr>
          <w:lang w:eastAsia="en-AU"/>
        </w:rPr>
        <w:t>the Deed Administrators</w:t>
      </w:r>
      <w:r>
        <w:rPr>
          <w:lang w:eastAsia="en-AU"/>
        </w:rPr>
        <w:t xml:space="preserve"> in their written evidence said that</w:t>
      </w:r>
      <w:r w:rsidR="00E067B8">
        <w:rPr>
          <w:lang w:eastAsia="en-AU"/>
        </w:rPr>
        <w:t xml:space="preserve"> he did not make the P</w:t>
      </w:r>
      <w:r w:rsidR="00656F97">
        <w:rPr>
          <w:lang w:eastAsia="en-AU"/>
        </w:rPr>
        <w:t>ayments and did not know</w:t>
      </w:r>
      <w:r w:rsidR="00F90EDA">
        <w:rPr>
          <w:lang w:eastAsia="en-AU"/>
        </w:rPr>
        <w:t xml:space="preserve"> </w:t>
      </w:r>
      <w:r w:rsidR="00E067B8">
        <w:rPr>
          <w:lang w:eastAsia="en-AU"/>
        </w:rPr>
        <w:t>about the P</w:t>
      </w:r>
      <w:r w:rsidR="00656F97">
        <w:rPr>
          <w:lang w:eastAsia="en-AU"/>
        </w:rPr>
        <w:t>ayments until after they were made</w:t>
      </w:r>
      <w:r>
        <w:rPr>
          <w:lang w:eastAsia="en-AU"/>
        </w:rPr>
        <w:t>.</w:t>
      </w:r>
    </w:p>
    <w:p w:rsidR="00656F97" w:rsidRPr="00F90EDA" w:rsidRDefault="000A1C94" w:rsidP="0011063A">
      <w:pPr>
        <w:pStyle w:val="ParaNumbering"/>
        <w:rPr>
          <w:lang w:eastAsia="en-AU"/>
        </w:rPr>
      </w:pPr>
      <w:r>
        <w:rPr>
          <w:lang w:eastAsia="en-AU"/>
        </w:rPr>
        <w:t xml:space="preserve">Accordingly, the question the Court must consider is </w:t>
      </w:r>
      <w:r w:rsidR="00E067B8">
        <w:rPr>
          <w:lang w:eastAsia="en-AU"/>
        </w:rPr>
        <w:t>whether the P</w:t>
      </w:r>
      <w:r w:rsidR="00656F97">
        <w:rPr>
          <w:lang w:eastAsia="en-AU"/>
        </w:rPr>
        <w:t>ayments</w:t>
      </w:r>
      <w:r w:rsidR="008C2D7F">
        <w:rPr>
          <w:lang w:eastAsia="en-AU"/>
        </w:rPr>
        <w:t xml:space="preserve"> </w:t>
      </w:r>
      <w:r w:rsidR="009E19AC">
        <w:rPr>
          <w:lang w:eastAsia="en-AU"/>
        </w:rPr>
        <w:t xml:space="preserve">were in fact </w:t>
      </w:r>
      <w:r w:rsidR="00615FB3">
        <w:rPr>
          <w:lang w:eastAsia="en-AU"/>
        </w:rPr>
        <w:t>made by the C</w:t>
      </w:r>
      <w:r w:rsidR="008C2D7F">
        <w:rPr>
          <w:lang w:eastAsia="en-AU"/>
        </w:rPr>
        <w:t>ompany to the DCT</w:t>
      </w:r>
      <w:r w:rsidR="00656F97">
        <w:rPr>
          <w:lang w:eastAsia="en-AU"/>
        </w:rPr>
        <w:t xml:space="preserve"> </w:t>
      </w:r>
      <w:r>
        <w:rPr>
          <w:lang w:eastAsia="en-AU"/>
        </w:rPr>
        <w:t>‘</w:t>
      </w:r>
      <w:r w:rsidR="00F90EDA" w:rsidRPr="000A1C94">
        <w:rPr>
          <w:iCs/>
          <w:lang w:eastAsia="en-AU"/>
        </w:rPr>
        <w:t>under the aut</w:t>
      </w:r>
      <w:r w:rsidR="00656F97" w:rsidRPr="000A1C94">
        <w:rPr>
          <w:iCs/>
          <w:lang w:eastAsia="en-AU"/>
        </w:rPr>
        <w:t>hority of</w:t>
      </w:r>
      <w:r>
        <w:rPr>
          <w:lang w:eastAsia="en-AU"/>
        </w:rPr>
        <w:t>’</w:t>
      </w:r>
      <w:r w:rsidR="001B6ECA">
        <w:rPr>
          <w:lang w:eastAsia="en-AU"/>
        </w:rPr>
        <w:t xml:space="preserve"> the Deed A</w:t>
      </w:r>
      <w:r w:rsidR="00656F97">
        <w:rPr>
          <w:lang w:eastAsia="en-AU"/>
        </w:rPr>
        <w:t>dministrators.</w:t>
      </w:r>
      <w:r w:rsidR="00B33CE7">
        <w:rPr>
          <w:lang w:eastAsia="en-AU"/>
        </w:rPr>
        <w:t xml:space="preserve">  The focus is not </w:t>
      </w:r>
      <w:r w:rsidR="0011063A">
        <w:rPr>
          <w:lang w:eastAsia="en-AU"/>
        </w:rPr>
        <w:t>‘</w:t>
      </w:r>
      <w:r w:rsidR="00B33CE7">
        <w:rPr>
          <w:lang w:eastAsia="en-AU"/>
        </w:rPr>
        <w:t>under</w:t>
      </w:r>
      <w:r w:rsidR="00D4327C">
        <w:rPr>
          <w:lang w:eastAsia="en-AU"/>
        </w:rPr>
        <w:t>’</w:t>
      </w:r>
      <w:r w:rsidR="00B33CE7">
        <w:rPr>
          <w:lang w:eastAsia="en-AU"/>
        </w:rPr>
        <w:t xml:space="preserve"> the DOCA, but </w:t>
      </w:r>
      <w:r w:rsidR="0011063A">
        <w:rPr>
          <w:lang w:eastAsia="en-AU"/>
        </w:rPr>
        <w:t>‘</w:t>
      </w:r>
      <w:r w:rsidR="00B33CE7">
        <w:rPr>
          <w:lang w:eastAsia="en-AU"/>
        </w:rPr>
        <w:t>under the</w:t>
      </w:r>
      <w:r w:rsidR="00B03574">
        <w:rPr>
          <w:lang w:eastAsia="en-AU"/>
        </w:rPr>
        <w:t xml:space="preserve"> authority of the Deed Administrators</w:t>
      </w:r>
      <w:r w:rsidR="0011063A">
        <w:rPr>
          <w:lang w:eastAsia="en-AU"/>
        </w:rPr>
        <w:t>’</w:t>
      </w:r>
      <w:r w:rsidR="00B03574">
        <w:rPr>
          <w:lang w:eastAsia="en-AU"/>
        </w:rPr>
        <w:t>.</w:t>
      </w:r>
    </w:p>
    <w:p w:rsidR="008A0B11" w:rsidRDefault="00B03574" w:rsidP="008A0B11">
      <w:pPr>
        <w:pStyle w:val="ParaNumbering"/>
      </w:pPr>
      <w:r>
        <w:t xml:space="preserve">I </w:t>
      </w:r>
      <w:r w:rsidR="00B067E9">
        <w:t>accept that</w:t>
      </w:r>
      <w:r w:rsidR="00506342">
        <w:t xml:space="preserve"> t</w:t>
      </w:r>
      <w:r w:rsidR="008A0B11">
        <w:t>he fact that</w:t>
      </w:r>
      <w:r w:rsidR="00B067E9">
        <w:t xml:space="preserve"> the Mr Yeo and Mr </w:t>
      </w:r>
      <w:proofErr w:type="spellStart"/>
      <w:r w:rsidR="00B067E9">
        <w:t>Rambaldi</w:t>
      </w:r>
      <w:proofErr w:type="spellEnd"/>
      <w:r w:rsidR="00B067E9">
        <w:t xml:space="preserve"> as Deed A</w:t>
      </w:r>
      <w:r w:rsidR="008A0B11">
        <w:t>dministrators did not</w:t>
      </w:r>
      <w:r w:rsidR="00506342">
        <w:t xml:space="preserve"> themselves make the P</w:t>
      </w:r>
      <w:r w:rsidR="008A0B11">
        <w:t>ayments</w:t>
      </w:r>
      <w:r w:rsidR="00506342">
        <w:t>,</w:t>
      </w:r>
      <w:r w:rsidR="008A0B11">
        <w:t xml:space="preserve"> or did n</w:t>
      </w:r>
      <w:r w:rsidR="00506342">
        <w:t xml:space="preserve">ot </w:t>
      </w:r>
      <w:r w:rsidR="00EA6F4A">
        <w:t xml:space="preserve">specifically </w:t>
      </w:r>
      <w:r w:rsidR="00506342">
        <w:t>instruct anyone to make the P</w:t>
      </w:r>
      <w:r w:rsidR="008A0B11">
        <w:t>ayments</w:t>
      </w:r>
      <w:r w:rsidR="008A0B11">
        <w:rPr>
          <w:sz w:val="16"/>
          <w:szCs w:val="16"/>
        </w:rPr>
        <w:t xml:space="preserve"> </w:t>
      </w:r>
      <w:r w:rsidR="008A0B11">
        <w:t xml:space="preserve">does not </w:t>
      </w:r>
      <w:r w:rsidR="00B067E9">
        <w:t>determine</w:t>
      </w:r>
      <w:r w:rsidR="00506342">
        <w:t xml:space="preserve"> </w:t>
      </w:r>
      <w:r w:rsidR="008A0B11">
        <w:t>the question of whether the relevant transactions were entered i</w:t>
      </w:r>
      <w:r w:rsidR="00E66467">
        <w:t>nto, or done, on behalf of the C</w:t>
      </w:r>
      <w:r w:rsidR="00765C5D">
        <w:t xml:space="preserve">ompany </w:t>
      </w:r>
      <w:r w:rsidR="008A0B11">
        <w:t>und</w:t>
      </w:r>
      <w:r w:rsidR="00E66467">
        <w:t>er the authority of the Deed A</w:t>
      </w:r>
      <w:r w:rsidR="008A0B11">
        <w:t>dministrators, within the meaning of s</w:t>
      </w:r>
      <w:r w:rsidR="00CE1DFB">
        <w:t>ub-s</w:t>
      </w:r>
      <w:r w:rsidR="008A0B11">
        <w:t xml:space="preserve"> 588FE(2B)(d)(</w:t>
      </w:r>
      <w:proofErr w:type="spellStart"/>
      <w:r w:rsidR="008A0B11">
        <w:t>i</w:t>
      </w:r>
      <w:proofErr w:type="spellEnd"/>
      <w:r w:rsidR="008A0B11">
        <w:t xml:space="preserve">).  </w:t>
      </w:r>
      <w:r w:rsidR="00B067E9">
        <w:t xml:space="preserve">However, if this is not the case, then the Court needs to find where </w:t>
      </w:r>
      <w:r w:rsidR="00B067E9">
        <w:lastRenderedPageBreak/>
        <w:t xml:space="preserve">the </w:t>
      </w:r>
      <w:r w:rsidR="00765C5D">
        <w:t xml:space="preserve">so called </w:t>
      </w:r>
      <w:r w:rsidR="00B067E9">
        <w:t>authority</w:t>
      </w:r>
      <w:r w:rsidR="00765C5D">
        <w:t xml:space="preserve"> of the Deed Administrators</w:t>
      </w:r>
      <w:r w:rsidR="00B067E9">
        <w:t xml:space="preserve"> to make the Payments comes from in</w:t>
      </w:r>
      <w:r w:rsidR="001E65A5">
        <w:t xml:space="preserve"> the Corporations Act,</w:t>
      </w:r>
      <w:r w:rsidR="00B067E9">
        <w:t xml:space="preserve"> the DOCA or the Constitution</w:t>
      </w:r>
      <w:r w:rsidR="008A0B11">
        <w:t xml:space="preserve">. </w:t>
      </w:r>
    </w:p>
    <w:p w:rsidR="008A0B11" w:rsidRPr="00B513AA" w:rsidRDefault="001E65A5" w:rsidP="008A0B11">
      <w:pPr>
        <w:pStyle w:val="ParaNumbering"/>
        <w:rPr>
          <w:szCs w:val="24"/>
        </w:rPr>
      </w:pPr>
      <w:r>
        <w:rPr>
          <w:iCs/>
        </w:rPr>
        <w:t>In the end, the principal submission of the DCT was</w:t>
      </w:r>
      <w:r w:rsidR="00C0345F">
        <w:rPr>
          <w:iCs/>
        </w:rPr>
        <w:t xml:space="preserve"> that</w:t>
      </w:r>
      <w:r w:rsidR="008A0B11">
        <w:t xml:space="preserve"> the making of th</w:t>
      </w:r>
      <w:r w:rsidR="00E66467">
        <w:t>e P</w:t>
      </w:r>
      <w:r w:rsidR="008A0B11">
        <w:t xml:space="preserve">ayments was specifically </w:t>
      </w:r>
      <w:r w:rsidR="008A0B11" w:rsidRPr="00C0345F">
        <w:rPr>
          <w:u w:val="single"/>
        </w:rPr>
        <w:t>contemplated</w:t>
      </w:r>
      <w:r>
        <w:t xml:space="preserve"> (and </w:t>
      </w:r>
      <w:r>
        <w:rPr>
          <w:u w:val="single"/>
        </w:rPr>
        <w:t>required</w:t>
      </w:r>
      <w:r>
        <w:t>)</w:t>
      </w:r>
      <w:r w:rsidR="008A0B11">
        <w:t xml:space="preserve"> under the terms of the DOCA</w:t>
      </w:r>
      <w:r w:rsidR="00E66467">
        <w:t xml:space="preserve"> and pursuant to cl 6.1(d) the C</w:t>
      </w:r>
      <w:r w:rsidR="008A0B11">
        <w:t xml:space="preserve">ompany (through Mr Yeo and Mr </w:t>
      </w:r>
      <w:proofErr w:type="spellStart"/>
      <w:r w:rsidR="008A0B11">
        <w:t>Rambaldi</w:t>
      </w:r>
      <w:proofErr w:type="spellEnd"/>
      <w:r w:rsidR="008A0B11">
        <w:t>) ex</w:t>
      </w:r>
      <w:r w:rsidR="00E66467">
        <w:t>pressly covenanted to make the P</w:t>
      </w:r>
      <w:r w:rsidR="008A0B11">
        <w:t xml:space="preserve">ayments. </w:t>
      </w:r>
      <w:r w:rsidR="00E66467">
        <w:t xml:space="preserve"> In so doing, </w:t>
      </w:r>
      <w:r w:rsidR="008A0B11">
        <w:t xml:space="preserve">Mr Yeo and Mr </w:t>
      </w:r>
      <w:proofErr w:type="spellStart"/>
      <w:r w:rsidR="008A0B11">
        <w:t>Rambaldi</w:t>
      </w:r>
      <w:proofErr w:type="spellEnd"/>
      <w:r w:rsidR="008A0B11">
        <w:t xml:space="preserve"> accep</w:t>
      </w:r>
      <w:r w:rsidR="00E66467">
        <w:t xml:space="preserve">ted that </w:t>
      </w:r>
      <w:r w:rsidR="00E91125">
        <w:t>(</w:t>
      </w:r>
      <w:proofErr w:type="spellStart"/>
      <w:r w:rsidR="00E91125">
        <w:t>i</w:t>
      </w:r>
      <w:proofErr w:type="spellEnd"/>
      <w:r w:rsidR="00E91125">
        <w:t xml:space="preserve">) </w:t>
      </w:r>
      <w:r w:rsidR="00E66467">
        <w:t>they were acting</w:t>
      </w:r>
      <w:r w:rsidR="00E91125">
        <w:t xml:space="preserve"> </w:t>
      </w:r>
      <w:r w:rsidR="00E66467">
        <w:t xml:space="preserve">as agents of </w:t>
      </w:r>
      <w:r w:rsidR="00E66467" w:rsidRPr="00B513AA">
        <w:rPr>
          <w:szCs w:val="24"/>
        </w:rPr>
        <w:t>the Company in carrying out their duties in accordance with the terms of the</w:t>
      </w:r>
      <w:r w:rsidR="00E91125" w:rsidRPr="00B513AA">
        <w:rPr>
          <w:szCs w:val="24"/>
        </w:rPr>
        <w:t xml:space="preserve"> DOCA (see cl 3.2)</w:t>
      </w:r>
      <w:r w:rsidR="008A0B11" w:rsidRPr="00B513AA">
        <w:rPr>
          <w:szCs w:val="24"/>
        </w:rPr>
        <w:t xml:space="preserve"> and</w:t>
      </w:r>
      <w:r w:rsidR="00E91125" w:rsidRPr="00B513AA">
        <w:rPr>
          <w:szCs w:val="24"/>
        </w:rPr>
        <w:t xml:space="preserve"> (ii)</w:t>
      </w:r>
      <w:r w:rsidR="008A0B11" w:rsidRPr="00B513AA">
        <w:rPr>
          <w:szCs w:val="24"/>
        </w:rPr>
        <w:t xml:space="preserve"> by the operation of s 444G of the</w:t>
      </w:r>
      <w:r w:rsidR="00E91125" w:rsidRPr="00B513AA">
        <w:rPr>
          <w:szCs w:val="24"/>
        </w:rPr>
        <w:t xml:space="preserve"> Corporations</w:t>
      </w:r>
      <w:r w:rsidR="008A0B11" w:rsidRPr="00B513AA">
        <w:rPr>
          <w:szCs w:val="24"/>
        </w:rPr>
        <w:t xml:space="preserve"> Act both Mr Yeo and Mr </w:t>
      </w:r>
      <w:proofErr w:type="spellStart"/>
      <w:r w:rsidR="008A0B11" w:rsidRPr="00B513AA">
        <w:rPr>
          <w:szCs w:val="24"/>
        </w:rPr>
        <w:t>Rambaldi</w:t>
      </w:r>
      <w:proofErr w:type="spellEnd"/>
      <w:r w:rsidR="008A0B11" w:rsidRPr="00B513AA">
        <w:rPr>
          <w:szCs w:val="24"/>
        </w:rPr>
        <w:t xml:space="preserve"> were bound by the DOCA.  Mr Yeo and Mr </w:t>
      </w:r>
      <w:proofErr w:type="spellStart"/>
      <w:r w:rsidR="008A0B11" w:rsidRPr="00B513AA">
        <w:rPr>
          <w:szCs w:val="24"/>
        </w:rPr>
        <w:t>Rambaldi</w:t>
      </w:r>
      <w:proofErr w:type="spellEnd"/>
      <w:r w:rsidR="008A0B11" w:rsidRPr="00B513AA">
        <w:rPr>
          <w:szCs w:val="24"/>
        </w:rPr>
        <w:t xml:space="preserve"> were aware of the amendments that were made to the then proposed deed of company arrangemen</w:t>
      </w:r>
      <w:r w:rsidR="00D413D9">
        <w:rPr>
          <w:szCs w:val="24"/>
        </w:rPr>
        <w:t>t at the second meeting of the C</w:t>
      </w:r>
      <w:r w:rsidR="008A0B11" w:rsidRPr="00B513AA">
        <w:rPr>
          <w:szCs w:val="24"/>
        </w:rPr>
        <w:t xml:space="preserve">ompany’s creditors on 22 November 2013 to take into account </w:t>
      </w:r>
      <w:r w:rsidR="00D413D9">
        <w:rPr>
          <w:szCs w:val="24"/>
        </w:rPr>
        <w:t>the need for the C</w:t>
      </w:r>
      <w:r w:rsidR="008A0B11" w:rsidRPr="00B513AA">
        <w:rPr>
          <w:szCs w:val="24"/>
        </w:rPr>
        <w:t xml:space="preserve">ompany to comply with its taxation obligations during the life of the DOCA, the various terms that were subsequently incorporated into the DOCA to address </w:t>
      </w:r>
      <w:r w:rsidR="00D413D9">
        <w:rPr>
          <w:szCs w:val="24"/>
        </w:rPr>
        <w:t>the obligations imposed on the C</w:t>
      </w:r>
      <w:r w:rsidR="008A0B11" w:rsidRPr="00B513AA">
        <w:rPr>
          <w:szCs w:val="24"/>
        </w:rPr>
        <w:t>ompany to make the payments, and the fact that if t</w:t>
      </w:r>
      <w:r w:rsidR="00D413D9">
        <w:rPr>
          <w:szCs w:val="24"/>
        </w:rPr>
        <w:t>he C</w:t>
      </w:r>
      <w:r w:rsidR="008A0B11" w:rsidRPr="00B513AA">
        <w:rPr>
          <w:szCs w:val="24"/>
        </w:rPr>
        <w:t>ompany was to continue trading under the terms of the DOCA it would necessarily accrue taxation liabilities as a result of its trading.  All of these matters demonstrate</w:t>
      </w:r>
      <w:r w:rsidR="00564EB9">
        <w:rPr>
          <w:szCs w:val="24"/>
        </w:rPr>
        <w:t>, it was</w:t>
      </w:r>
      <w:r w:rsidR="00D413D9">
        <w:rPr>
          <w:szCs w:val="24"/>
        </w:rPr>
        <w:t xml:space="preserve"> contended by the DCT,</w:t>
      </w:r>
      <w:r w:rsidR="008A0B11" w:rsidRPr="00B513AA">
        <w:rPr>
          <w:szCs w:val="24"/>
        </w:rPr>
        <w:t xml:space="preserve"> </w:t>
      </w:r>
      <w:r w:rsidR="00D413D9">
        <w:rPr>
          <w:szCs w:val="24"/>
        </w:rPr>
        <w:t>that as a matter of fact, the P</w:t>
      </w:r>
      <w:r w:rsidR="008A0B11" w:rsidRPr="00B513AA">
        <w:rPr>
          <w:szCs w:val="24"/>
        </w:rPr>
        <w:t xml:space="preserve">ayments were made under the authority of Mr Yeo and Mr </w:t>
      </w:r>
      <w:proofErr w:type="spellStart"/>
      <w:r w:rsidR="008A0B11" w:rsidRPr="00B513AA">
        <w:rPr>
          <w:szCs w:val="24"/>
        </w:rPr>
        <w:t>Rambaldi</w:t>
      </w:r>
      <w:proofErr w:type="spellEnd"/>
      <w:r w:rsidR="008A0B11" w:rsidRPr="00B513AA">
        <w:rPr>
          <w:szCs w:val="24"/>
        </w:rPr>
        <w:t xml:space="preserve">. </w:t>
      </w:r>
    </w:p>
    <w:p w:rsidR="00C0345F" w:rsidRDefault="00C0345F" w:rsidP="00E621CF">
      <w:pPr>
        <w:pStyle w:val="ParaNumbering"/>
        <w:rPr>
          <w:lang w:eastAsia="en-AU"/>
        </w:rPr>
      </w:pPr>
      <w:r>
        <w:rPr>
          <w:lang w:eastAsia="en-AU"/>
        </w:rPr>
        <w:t>It is important to go back to basic principles before looking at the DOCA</w:t>
      </w:r>
      <w:r w:rsidR="00564EB9">
        <w:rPr>
          <w:lang w:eastAsia="en-AU"/>
        </w:rPr>
        <w:t>, but the essential point is that the Payments were made by the Company (as it covenanted to do) pursuant to sub-cl 6.1(d), but not through</w:t>
      </w:r>
      <w:r w:rsidR="00E52118">
        <w:rPr>
          <w:lang w:eastAsia="en-AU"/>
        </w:rPr>
        <w:t xml:space="preserve"> or under the authority of</w:t>
      </w:r>
      <w:r w:rsidR="00564EB9">
        <w:rPr>
          <w:lang w:eastAsia="en-AU"/>
        </w:rPr>
        <w:t xml:space="preserve"> the Deed Administrators</w:t>
      </w:r>
      <w:r>
        <w:rPr>
          <w:lang w:eastAsia="en-AU"/>
        </w:rPr>
        <w:t>.</w:t>
      </w:r>
      <w:r w:rsidR="00564EB9">
        <w:rPr>
          <w:lang w:eastAsia="en-AU"/>
        </w:rPr>
        <w:t xml:space="preserve">  The responsibility to make the Payments was upon the Company and the Director as covenanted in sub-cl 6.1(d) with the consequence of default set out in sub-cl 16.2(c).</w:t>
      </w:r>
    </w:p>
    <w:p w:rsidR="00C0345F" w:rsidRPr="002D2D7E" w:rsidRDefault="00FF250C" w:rsidP="00C0345F">
      <w:pPr>
        <w:pStyle w:val="ParaNumbering"/>
        <w:rPr>
          <w:lang w:eastAsia="en-AU"/>
        </w:rPr>
      </w:pPr>
      <w:r>
        <w:rPr>
          <w:lang w:eastAsia="en-AU"/>
        </w:rPr>
        <w:t xml:space="preserve">The basic principles cannot be in contention.  </w:t>
      </w:r>
      <w:r w:rsidR="00C0345F">
        <w:rPr>
          <w:lang w:eastAsia="en-AU"/>
        </w:rPr>
        <w:t>A company cannot act other than through people who act as its agents (</w:t>
      </w:r>
      <w:proofErr w:type="spellStart"/>
      <w:r w:rsidR="00C0345F">
        <w:rPr>
          <w:lang w:eastAsia="en-AU"/>
        </w:rPr>
        <w:t>eg</w:t>
      </w:r>
      <w:proofErr w:type="spellEnd"/>
      <w:r w:rsidR="00C0345F">
        <w:rPr>
          <w:lang w:eastAsia="en-AU"/>
        </w:rPr>
        <w:t xml:space="preserve"> directors, liquidators, deed administrators</w:t>
      </w:r>
      <w:r w:rsidR="00C0345F" w:rsidRPr="002D2D7E">
        <w:rPr>
          <w:szCs w:val="24"/>
          <w:lang w:eastAsia="en-AU"/>
        </w:rPr>
        <w:t xml:space="preserve">): </w:t>
      </w:r>
      <w:r w:rsidR="00C0345F" w:rsidRPr="002D2D7E">
        <w:rPr>
          <w:i/>
          <w:iCs/>
          <w:szCs w:val="24"/>
          <w:lang w:eastAsia="en-AU"/>
        </w:rPr>
        <w:t xml:space="preserve">Sharp &amp; Anor v Blake &amp; Anor </w:t>
      </w:r>
      <w:r w:rsidR="00C0345F" w:rsidRPr="002D2D7E">
        <w:rPr>
          <w:szCs w:val="24"/>
          <w:lang w:eastAsia="en-AU"/>
        </w:rPr>
        <w:t>[2015] EWHC 3220 (</w:t>
      </w:r>
      <w:proofErr w:type="spellStart"/>
      <w:r w:rsidR="00C0345F" w:rsidRPr="002D2D7E">
        <w:rPr>
          <w:szCs w:val="24"/>
          <w:lang w:eastAsia="en-AU"/>
        </w:rPr>
        <w:t>Ch</w:t>
      </w:r>
      <w:proofErr w:type="spellEnd"/>
      <w:r w:rsidR="00C0345F" w:rsidRPr="002D2D7E">
        <w:rPr>
          <w:szCs w:val="24"/>
          <w:lang w:eastAsia="en-AU"/>
        </w:rPr>
        <w:t>) at [9].</w:t>
      </w:r>
    </w:p>
    <w:p w:rsidR="00C0345F" w:rsidRPr="00B22D5F" w:rsidRDefault="00C0345F" w:rsidP="00B22D5F">
      <w:pPr>
        <w:pStyle w:val="ParaNumbering"/>
        <w:rPr>
          <w:szCs w:val="24"/>
          <w:lang w:eastAsia="en-AU"/>
        </w:rPr>
      </w:pPr>
      <w:r>
        <w:rPr>
          <w:lang w:eastAsia="en-AU"/>
        </w:rPr>
        <w:t>The powers of directors of a company, which are suspended upon appointment of administrators, are revived upon the entering into of a deed of company arrangement:</w:t>
      </w:r>
      <w:r w:rsidRPr="00357909">
        <w:rPr>
          <w:szCs w:val="24"/>
          <w:lang w:eastAsia="en-AU"/>
        </w:rPr>
        <w:t xml:space="preserve"> </w:t>
      </w:r>
      <w:r w:rsidRPr="00357909">
        <w:rPr>
          <w:i/>
          <w:iCs/>
          <w:szCs w:val="24"/>
          <w:lang w:eastAsia="en-AU"/>
        </w:rPr>
        <w:t xml:space="preserve">Deputy Commissioner of Taxation v </w:t>
      </w:r>
      <w:proofErr w:type="spellStart"/>
      <w:r w:rsidRPr="00357909">
        <w:rPr>
          <w:i/>
          <w:iCs/>
          <w:szCs w:val="24"/>
          <w:lang w:eastAsia="en-AU"/>
        </w:rPr>
        <w:t>Foodcorp</w:t>
      </w:r>
      <w:proofErr w:type="spellEnd"/>
      <w:r w:rsidRPr="00357909">
        <w:rPr>
          <w:i/>
          <w:iCs/>
          <w:szCs w:val="24"/>
          <w:lang w:eastAsia="en-AU"/>
        </w:rPr>
        <w:t xml:space="preserve"> Pty Ltd </w:t>
      </w:r>
      <w:r w:rsidRPr="00357909">
        <w:rPr>
          <w:szCs w:val="24"/>
          <w:lang w:eastAsia="en-AU"/>
        </w:rPr>
        <w:t xml:space="preserve">(1994) 13 ASCR 796, </w:t>
      </w:r>
      <w:r>
        <w:rPr>
          <w:szCs w:val="24"/>
          <w:lang w:eastAsia="en-AU"/>
        </w:rPr>
        <w:t xml:space="preserve">at </w:t>
      </w:r>
      <w:r w:rsidRPr="00357909">
        <w:rPr>
          <w:szCs w:val="24"/>
          <w:lang w:eastAsia="en-AU"/>
        </w:rPr>
        <w:t xml:space="preserve">798; </w:t>
      </w:r>
      <w:r>
        <w:rPr>
          <w:szCs w:val="24"/>
          <w:lang w:eastAsia="en-AU"/>
        </w:rPr>
        <w:t xml:space="preserve">see also </w:t>
      </w:r>
      <w:r w:rsidRPr="00357909">
        <w:rPr>
          <w:i/>
          <w:iCs/>
          <w:szCs w:val="24"/>
          <w:lang w:eastAsia="en-AU"/>
        </w:rPr>
        <w:t xml:space="preserve">Cargill International s A. v Solid Energy New Zealand Limited (subject to deed of company arrangement) </w:t>
      </w:r>
      <w:r w:rsidRPr="00357909">
        <w:rPr>
          <w:szCs w:val="24"/>
          <w:lang w:eastAsia="en-AU"/>
        </w:rPr>
        <w:t>[1016] NZHC 1917 at [43]</w:t>
      </w:r>
      <w:r>
        <w:rPr>
          <w:szCs w:val="24"/>
          <w:lang w:eastAsia="en-AU"/>
        </w:rPr>
        <w:t xml:space="preserve"> (‘</w:t>
      </w:r>
      <w:r w:rsidRPr="00687196">
        <w:rPr>
          <w:b/>
          <w:i/>
          <w:szCs w:val="24"/>
          <w:lang w:eastAsia="en-AU"/>
        </w:rPr>
        <w:t>Cargill</w:t>
      </w:r>
      <w:r>
        <w:rPr>
          <w:szCs w:val="24"/>
          <w:lang w:eastAsia="en-AU"/>
        </w:rPr>
        <w:t>’)</w:t>
      </w:r>
      <w:r w:rsidRPr="00357909">
        <w:rPr>
          <w:szCs w:val="24"/>
          <w:lang w:eastAsia="en-AU"/>
        </w:rPr>
        <w:t>.</w:t>
      </w:r>
      <w:r w:rsidR="00B22D5F">
        <w:rPr>
          <w:szCs w:val="24"/>
          <w:lang w:eastAsia="en-AU"/>
        </w:rPr>
        <w:t xml:space="preserve">  </w:t>
      </w:r>
      <w:r>
        <w:rPr>
          <w:lang w:eastAsia="en-AU"/>
        </w:rPr>
        <w:t>By contrast, the powers and obligations of a deed administrator are provided solely from the terms of the deed of company arrangement:</w:t>
      </w:r>
      <w:r w:rsidRPr="00B22D5F">
        <w:rPr>
          <w:i/>
          <w:iCs/>
          <w:lang w:eastAsia="en-AU"/>
        </w:rPr>
        <w:t xml:space="preserve"> Cargill </w:t>
      </w:r>
      <w:r w:rsidRPr="00687196">
        <w:rPr>
          <w:lang w:eastAsia="en-AU"/>
        </w:rPr>
        <w:t>at [43].</w:t>
      </w:r>
      <w:r w:rsidRPr="00B22D5F">
        <w:rPr>
          <w:sz w:val="20"/>
          <w:szCs w:val="16"/>
          <w:lang w:eastAsia="en-AU"/>
        </w:rPr>
        <w:t xml:space="preserve">  </w:t>
      </w:r>
      <w:r>
        <w:rPr>
          <w:lang w:eastAsia="en-AU"/>
        </w:rPr>
        <w:t>A deed administrator is not an administrator under</w:t>
      </w:r>
      <w:r w:rsidR="00FC460C">
        <w:rPr>
          <w:lang w:eastAsia="en-AU"/>
        </w:rPr>
        <w:t xml:space="preserve"> P</w:t>
      </w:r>
      <w:r>
        <w:rPr>
          <w:lang w:eastAsia="en-AU"/>
        </w:rPr>
        <w:t xml:space="preserve">t 5.3A of the Corporations </w:t>
      </w:r>
      <w:r>
        <w:rPr>
          <w:lang w:eastAsia="en-AU"/>
        </w:rPr>
        <w:lastRenderedPageBreak/>
        <w:t>Act.</w:t>
      </w:r>
      <w:r w:rsidR="00B22D5F">
        <w:rPr>
          <w:szCs w:val="24"/>
          <w:lang w:eastAsia="en-AU"/>
        </w:rPr>
        <w:t xml:space="preserve">  </w:t>
      </w:r>
      <w:r>
        <w:rPr>
          <w:lang w:eastAsia="en-AU"/>
        </w:rPr>
        <w:t>While it is open to the creditors to provide in a deed of company arrangement for the deed administrator to have managerial powers or assume managerial obligations, or to limit or exclude the reinstatement of a director’s authority, they are not required to do so</w:t>
      </w:r>
      <w:r w:rsidRPr="00B22D5F">
        <w:rPr>
          <w:szCs w:val="24"/>
          <w:lang w:eastAsia="en-AU"/>
        </w:rPr>
        <w:t xml:space="preserve">: </w:t>
      </w:r>
      <w:r w:rsidRPr="00B22D5F">
        <w:rPr>
          <w:i/>
          <w:iCs/>
          <w:szCs w:val="24"/>
          <w:lang w:eastAsia="en-AU"/>
        </w:rPr>
        <w:t xml:space="preserve">Cargill </w:t>
      </w:r>
      <w:r w:rsidRPr="00B22D5F">
        <w:rPr>
          <w:szCs w:val="24"/>
          <w:lang w:eastAsia="en-AU"/>
        </w:rPr>
        <w:t>at [41]-[44].</w:t>
      </w:r>
    </w:p>
    <w:p w:rsidR="00964E6F" w:rsidRPr="00D736CC" w:rsidRDefault="00C0345F" w:rsidP="00964E6F">
      <w:pPr>
        <w:pStyle w:val="ParaNumbering"/>
        <w:rPr>
          <w:lang w:eastAsia="en-AU"/>
        </w:rPr>
      </w:pPr>
      <w:r>
        <w:rPr>
          <w:szCs w:val="24"/>
          <w:lang w:eastAsia="en-AU"/>
        </w:rPr>
        <w:t>Th</w:t>
      </w:r>
      <w:r w:rsidR="00D736CC">
        <w:rPr>
          <w:szCs w:val="24"/>
          <w:lang w:eastAsia="en-AU"/>
        </w:rPr>
        <w:t xml:space="preserve">en, </w:t>
      </w:r>
      <w:r w:rsidR="003E1ECE">
        <w:rPr>
          <w:szCs w:val="24"/>
          <w:lang w:eastAsia="en-AU"/>
        </w:rPr>
        <w:t xml:space="preserve">as </w:t>
      </w:r>
      <w:r w:rsidR="001077A8">
        <w:rPr>
          <w:szCs w:val="24"/>
          <w:lang w:eastAsia="en-AU"/>
        </w:rPr>
        <w:t>I have alluded to already,</w:t>
      </w:r>
      <w:r w:rsidR="00D736CC">
        <w:rPr>
          <w:szCs w:val="24"/>
          <w:lang w:eastAsia="en-AU"/>
        </w:rPr>
        <w:t xml:space="preserve"> the DOCA operates in the way </w:t>
      </w:r>
      <w:r w:rsidR="001077A8">
        <w:rPr>
          <w:szCs w:val="24"/>
          <w:lang w:eastAsia="en-AU"/>
        </w:rPr>
        <w:t>contended for</w:t>
      </w:r>
      <w:r w:rsidR="00D736CC">
        <w:rPr>
          <w:szCs w:val="24"/>
          <w:lang w:eastAsia="en-AU"/>
        </w:rPr>
        <w:t xml:space="preserve"> by the Applicants.</w:t>
      </w:r>
    </w:p>
    <w:p w:rsidR="00964E6F" w:rsidRDefault="00964E6F" w:rsidP="00964E6F">
      <w:pPr>
        <w:pStyle w:val="ParaNumbering"/>
        <w:rPr>
          <w:lang w:eastAsia="en-AU"/>
        </w:rPr>
      </w:pPr>
      <w:r>
        <w:rPr>
          <w:lang w:eastAsia="en-AU"/>
        </w:rPr>
        <w:t>The DOCA</w:t>
      </w:r>
      <w:r w:rsidR="00BD2895">
        <w:rPr>
          <w:lang w:eastAsia="en-AU"/>
        </w:rPr>
        <w:t xml:space="preserve"> does</w:t>
      </w:r>
      <w:r>
        <w:rPr>
          <w:lang w:eastAsia="en-AU"/>
        </w:rPr>
        <w:t xml:space="preserve"> not empower the Deed Administrators to conduct managerial affairs of the Company, such as making of the Payments.  </w:t>
      </w:r>
      <w:r w:rsidR="00BD2895">
        <w:rPr>
          <w:lang w:eastAsia="en-AU"/>
        </w:rPr>
        <w:t>A</w:t>
      </w:r>
      <w:r w:rsidRPr="009C1E99">
        <w:rPr>
          <w:szCs w:val="24"/>
          <w:lang w:eastAsia="en-AU"/>
        </w:rPr>
        <w:t xml:space="preserve">lthough </w:t>
      </w:r>
      <w:proofErr w:type="spellStart"/>
      <w:r w:rsidRPr="009C1E99">
        <w:rPr>
          <w:szCs w:val="24"/>
          <w:lang w:eastAsia="en-AU"/>
        </w:rPr>
        <w:t>Sch</w:t>
      </w:r>
      <w:proofErr w:type="spellEnd"/>
      <w:r w:rsidRPr="009C1E99">
        <w:rPr>
          <w:szCs w:val="24"/>
          <w:lang w:eastAsia="en-AU"/>
        </w:rPr>
        <w:t xml:space="preserve"> 8A of the </w:t>
      </w:r>
      <w:r w:rsidRPr="009C1E99">
        <w:rPr>
          <w:i/>
          <w:iCs/>
          <w:szCs w:val="24"/>
          <w:lang w:eastAsia="en-AU"/>
        </w:rPr>
        <w:t xml:space="preserve">Corporations Regulations 2001 </w:t>
      </w:r>
      <w:r w:rsidRPr="009C1E99">
        <w:rPr>
          <w:iCs/>
          <w:szCs w:val="24"/>
          <w:lang w:eastAsia="en-AU"/>
        </w:rPr>
        <w:t>(</w:t>
      </w:r>
      <w:proofErr w:type="spellStart"/>
      <w:r w:rsidRPr="009C1E99">
        <w:rPr>
          <w:iCs/>
          <w:szCs w:val="24"/>
          <w:lang w:eastAsia="en-AU"/>
        </w:rPr>
        <w:t>Cth</w:t>
      </w:r>
      <w:proofErr w:type="spellEnd"/>
      <w:r w:rsidRPr="009C1E99">
        <w:rPr>
          <w:iCs/>
          <w:szCs w:val="24"/>
          <w:lang w:eastAsia="en-AU"/>
        </w:rPr>
        <w:t>)</w:t>
      </w:r>
      <w:r w:rsidRPr="009C1E99">
        <w:rPr>
          <w:i/>
          <w:iCs/>
          <w:szCs w:val="24"/>
          <w:lang w:eastAsia="en-AU"/>
        </w:rPr>
        <w:t xml:space="preserve"> </w:t>
      </w:r>
      <w:r w:rsidRPr="009C1E99">
        <w:rPr>
          <w:szCs w:val="24"/>
          <w:lang w:eastAsia="en-AU"/>
        </w:rPr>
        <w:t xml:space="preserve">is incorporated into the </w:t>
      </w:r>
      <w:r>
        <w:rPr>
          <w:szCs w:val="24"/>
          <w:lang w:eastAsia="en-AU"/>
        </w:rPr>
        <w:t>DOCA</w:t>
      </w:r>
      <w:r w:rsidRPr="009C1E99">
        <w:rPr>
          <w:szCs w:val="24"/>
          <w:lang w:eastAsia="en-AU"/>
        </w:rPr>
        <w:t xml:space="preserve">, the subclauses that might otherwise be relevant were not enlivened because there was </w:t>
      </w:r>
      <w:r>
        <w:rPr>
          <w:szCs w:val="24"/>
          <w:lang w:eastAsia="en-AU"/>
        </w:rPr>
        <w:t>no obligation imposed on the Deed Administrators to manage the C</w:t>
      </w:r>
      <w:r w:rsidRPr="009C1E99">
        <w:rPr>
          <w:szCs w:val="24"/>
          <w:lang w:eastAsia="en-AU"/>
        </w:rPr>
        <w:t>ompany.</w:t>
      </w:r>
      <w:r>
        <w:rPr>
          <w:lang w:eastAsia="en-AU"/>
        </w:rPr>
        <w:t xml:space="preserve">  </w:t>
      </w:r>
    </w:p>
    <w:p w:rsidR="00964E6F" w:rsidRDefault="001077A8" w:rsidP="00964E6F">
      <w:pPr>
        <w:pStyle w:val="ParaNumbering"/>
        <w:rPr>
          <w:lang w:eastAsia="en-AU"/>
        </w:rPr>
      </w:pPr>
      <w:r>
        <w:rPr>
          <w:lang w:eastAsia="en-AU"/>
        </w:rPr>
        <w:t>As seen above, s</w:t>
      </w:r>
      <w:r w:rsidR="00CC0459">
        <w:rPr>
          <w:lang w:eastAsia="en-AU"/>
        </w:rPr>
        <w:t>ub-c</w:t>
      </w:r>
      <w:r w:rsidR="00BD2895">
        <w:rPr>
          <w:lang w:eastAsia="en-AU"/>
        </w:rPr>
        <w:t>lause</w:t>
      </w:r>
      <w:r w:rsidR="00964E6F">
        <w:rPr>
          <w:lang w:eastAsia="en-AU"/>
        </w:rPr>
        <w:t xml:space="preserve"> 4.1(a) of the DOCA expressly returns management of the day-to-day b</w:t>
      </w:r>
      <w:r w:rsidR="00584453">
        <w:rPr>
          <w:lang w:eastAsia="en-AU"/>
        </w:rPr>
        <w:t>usiness affairs to the Director</w:t>
      </w:r>
      <w:r>
        <w:rPr>
          <w:lang w:eastAsia="en-AU"/>
        </w:rPr>
        <w:t xml:space="preserve">. </w:t>
      </w:r>
      <w:r w:rsidR="00964E6F">
        <w:rPr>
          <w:lang w:eastAsia="en-AU"/>
        </w:rPr>
        <w:t xml:space="preserve"> </w:t>
      </w:r>
      <w:r>
        <w:rPr>
          <w:lang w:eastAsia="en-AU"/>
        </w:rPr>
        <w:t>T</w:t>
      </w:r>
      <w:r w:rsidR="00964E6F">
        <w:rPr>
          <w:lang w:eastAsia="en-AU"/>
        </w:rPr>
        <w:t>he Payments were made by the Director from his own authority</w:t>
      </w:r>
      <w:r>
        <w:rPr>
          <w:lang w:eastAsia="en-AU"/>
        </w:rPr>
        <w:t xml:space="preserve"> in managing the Company</w:t>
      </w:r>
      <w:r w:rsidR="00964E6F">
        <w:rPr>
          <w:lang w:eastAsia="en-AU"/>
        </w:rPr>
        <w:t xml:space="preserve">.  </w:t>
      </w:r>
    </w:p>
    <w:p w:rsidR="00BD2895" w:rsidRDefault="00BD2895" w:rsidP="00BD2895">
      <w:pPr>
        <w:pStyle w:val="ParaNumbering"/>
        <w:rPr>
          <w:lang w:eastAsia="en-AU"/>
        </w:rPr>
      </w:pPr>
      <w:r>
        <w:rPr>
          <w:lang w:eastAsia="en-AU"/>
        </w:rPr>
        <w:t>W</w:t>
      </w:r>
      <w:r w:rsidR="00964E6F">
        <w:rPr>
          <w:lang w:eastAsia="en-AU"/>
        </w:rPr>
        <w:t>hile sub-cl 4.1(a) of the DOCA provides that the Director’s own authority is ‘</w:t>
      </w:r>
      <w:r w:rsidR="00964E6F" w:rsidRPr="00F47AD9">
        <w:rPr>
          <w:iCs/>
          <w:lang w:eastAsia="en-AU"/>
        </w:rPr>
        <w:t xml:space="preserve">subject to the rights and powers of the </w:t>
      </w:r>
      <w:r w:rsidR="00964E6F">
        <w:rPr>
          <w:lang w:eastAsia="en-AU"/>
        </w:rPr>
        <w:t>[Deed A</w:t>
      </w:r>
      <w:r w:rsidR="00964E6F" w:rsidRPr="00F47AD9">
        <w:rPr>
          <w:lang w:eastAsia="en-AU"/>
        </w:rPr>
        <w:t xml:space="preserve">dministrators] </w:t>
      </w:r>
      <w:r w:rsidR="00964E6F" w:rsidRPr="00F47AD9">
        <w:rPr>
          <w:iCs/>
          <w:lang w:eastAsia="en-AU"/>
        </w:rPr>
        <w:t xml:space="preserve">under clause 6 of this </w:t>
      </w:r>
      <w:r w:rsidR="00964E6F">
        <w:rPr>
          <w:iCs/>
          <w:szCs w:val="24"/>
          <w:lang w:eastAsia="en-AU"/>
        </w:rPr>
        <w:t>D</w:t>
      </w:r>
      <w:r w:rsidR="00964E6F" w:rsidRPr="00F47AD9">
        <w:rPr>
          <w:iCs/>
          <w:szCs w:val="24"/>
          <w:lang w:eastAsia="en-AU"/>
        </w:rPr>
        <w:t>eed</w:t>
      </w:r>
      <w:r w:rsidR="00964E6F" w:rsidRPr="00F47AD9">
        <w:rPr>
          <w:szCs w:val="24"/>
          <w:lang w:eastAsia="en-AU"/>
        </w:rPr>
        <w:t>’,</w:t>
      </w:r>
      <w:r w:rsidR="00964E6F">
        <w:rPr>
          <w:lang w:eastAsia="en-AU"/>
        </w:rPr>
        <w:t xml:space="preserve"> there are in fact no rights or powers granted in cl 6 that might affect, override or supersede the Director’s own authority to make the payments; or to support the submission that the Director was acting under an authority or power granted to the Deed A</w:t>
      </w:r>
      <w:r>
        <w:rPr>
          <w:lang w:eastAsia="en-AU"/>
        </w:rPr>
        <w:t>dministrators.</w:t>
      </w:r>
      <w:r w:rsidR="00E66650">
        <w:rPr>
          <w:lang w:eastAsia="en-AU"/>
        </w:rPr>
        <w:t xml:space="preserve">  In fact, cl 6 indicates the responsibility for the Payments was</w:t>
      </w:r>
      <w:r w:rsidR="002F719D">
        <w:rPr>
          <w:lang w:eastAsia="en-AU"/>
        </w:rPr>
        <w:t xml:space="preserve"> effectively</w:t>
      </w:r>
      <w:r w:rsidR="00E66650">
        <w:rPr>
          <w:lang w:eastAsia="en-AU"/>
        </w:rPr>
        <w:t xml:space="preserve"> upon the Company and the Director.</w:t>
      </w:r>
    </w:p>
    <w:p w:rsidR="003F0D65" w:rsidRDefault="00C0345F" w:rsidP="003F0D65">
      <w:pPr>
        <w:pStyle w:val="ParaNumbering"/>
        <w:rPr>
          <w:lang w:eastAsia="en-AU"/>
        </w:rPr>
      </w:pPr>
      <w:r>
        <w:rPr>
          <w:iCs/>
        </w:rPr>
        <w:t>I am aware that</w:t>
      </w:r>
      <w:r w:rsidR="008A0B11">
        <w:t xml:space="preserve"> recommendation 51</w:t>
      </w:r>
      <w:r w:rsidR="00CD308D">
        <w:t xml:space="preserve"> in the</w:t>
      </w:r>
      <w:r w:rsidR="008A0B11">
        <w:t xml:space="preserve"> </w:t>
      </w:r>
      <w:r w:rsidR="00CD308D">
        <w:t>CAMAC June 1998</w:t>
      </w:r>
      <w:r w:rsidR="008A0B11">
        <w:t xml:space="preserve"> Report provides that transactions performed by or with the authority of an administrator or a deed administrator, </w:t>
      </w:r>
      <w:r w:rsidR="008A0B11" w:rsidRPr="006D1666">
        <w:rPr>
          <w:bCs/>
          <w:u w:val="single"/>
        </w:rPr>
        <w:t>even if in fact performed by the directors</w:t>
      </w:r>
      <w:r w:rsidR="008A0B11">
        <w:t>, were to be excluded from the voidable transaction regime.</w:t>
      </w:r>
      <w:r w:rsidR="00C0106A">
        <w:t xml:space="preserve"> </w:t>
      </w:r>
      <w:r w:rsidR="008A0B11">
        <w:t xml:space="preserve"> The policy reasons for this are outlined at </w:t>
      </w:r>
      <w:r w:rsidR="00C9740C">
        <w:t>[</w:t>
      </w:r>
      <w:r w:rsidR="008A0B11">
        <w:t>8.12</w:t>
      </w:r>
      <w:r w:rsidR="00C9740C">
        <w:t>]</w:t>
      </w:r>
      <w:r w:rsidR="008A0B11">
        <w:t xml:space="preserve"> and </w:t>
      </w:r>
      <w:r w:rsidR="00C9740C">
        <w:t>[</w:t>
      </w:r>
      <w:r w:rsidR="008A0B11">
        <w:t>8.13</w:t>
      </w:r>
      <w:r w:rsidR="00C9740C">
        <w:t>] of the CAMAC June 1998 Report, which I have already mentioned</w:t>
      </w:r>
      <w:r w:rsidR="008A0B11">
        <w:t xml:space="preserve">. </w:t>
      </w:r>
      <w:r w:rsidR="00C0106A">
        <w:t xml:space="preserve"> </w:t>
      </w:r>
      <w:r w:rsidR="00216B2D">
        <w:t>However, these comments must be seen in context, and must be read</w:t>
      </w:r>
      <w:r w:rsidR="00231325">
        <w:t xml:space="preserve"> in view of the DOCA itself.  It cannot be the position that </w:t>
      </w:r>
      <w:r w:rsidR="00231325">
        <w:rPr>
          <w:u w:val="single"/>
        </w:rPr>
        <w:t>all</w:t>
      </w:r>
      <w:r w:rsidR="00231325">
        <w:t xml:space="preserve"> transactions ca</w:t>
      </w:r>
      <w:r w:rsidR="00F1654E">
        <w:t>rried out (even by a director if</w:t>
      </w:r>
      <w:r w:rsidR="00231325">
        <w:t xml:space="preserve"> permitted) during the operation of the DOCA are carried out by or under the authority of the </w:t>
      </w:r>
      <w:r w:rsidR="00231325">
        <w:rPr>
          <w:u w:val="single"/>
        </w:rPr>
        <w:t>Deed Administrators</w:t>
      </w:r>
      <w:r w:rsidR="00231325">
        <w:t xml:space="preserve">.  </w:t>
      </w:r>
      <w:r w:rsidR="00F91C31">
        <w:t>In my view,</w:t>
      </w:r>
      <w:r w:rsidR="00F1654E">
        <w:t xml:space="preserve"> even transactions contemplated or required to be undertaken by the DOCA cannot be </w:t>
      </w:r>
      <w:r w:rsidR="00414E59">
        <w:t xml:space="preserve">necessarily </w:t>
      </w:r>
      <w:r w:rsidR="00F1654E">
        <w:t xml:space="preserve">said to be made on behalf of the Company </w:t>
      </w:r>
      <w:r w:rsidR="00F1654E" w:rsidRPr="009374CF">
        <w:t>under</w:t>
      </w:r>
      <w:r w:rsidR="00F1654E">
        <w:t xml:space="preserve"> the authority o</w:t>
      </w:r>
      <w:r w:rsidR="00C7104D">
        <w:t>f the Deed Administrators, when</w:t>
      </w:r>
      <w:r w:rsidR="00F1654E">
        <w:t xml:space="preserve"> the DOCA </w:t>
      </w:r>
      <w:r w:rsidR="00F1654E">
        <w:lastRenderedPageBreak/>
        <w:t xml:space="preserve">contemplates and requires itself the entry into of </w:t>
      </w:r>
      <w:r w:rsidR="00414E59">
        <w:t xml:space="preserve">some </w:t>
      </w:r>
      <w:r w:rsidR="00F1654E">
        <w:t>transactions on behalf of</w:t>
      </w:r>
      <w:r w:rsidR="005B39ED">
        <w:t xml:space="preserve"> the Company by the Director</w:t>
      </w:r>
      <w:r w:rsidR="00F1654E">
        <w:t xml:space="preserve"> with no involvement by the Deed Administrators</w:t>
      </w:r>
      <w:r w:rsidR="00231325">
        <w:t xml:space="preserve">.  </w:t>
      </w:r>
    </w:p>
    <w:p w:rsidR="00BD2895" w:rsidRDefault="001F2108" w:rsidP="00BD2895">
      <w:pPr>
        <w:pStyle w:val="ParaNumbering"/>
        <w:rPr>
          <w:lang w:eastAsia="en-AU"/>
        </w:rPr>
      </w:pPr>
      <w:r>
        <w:rPr>
          <w:lang w:eastAsia="en-AU"/>
        </w:rPr>
        <w:t>T</w:t>
      </w:r>
      <w:r w:rsidR="003F0D65">
        <w:rPr>
          <w:lang w:eastAsia="en-AU"/>
        </w:rPr>
        <w:t>he position before the Court in the</w:t>
      </w:r>
      <w:r>
        <w:rPr>
          <w:lang w:eastAsia="en-AU"/>
        </w:rPr>
        <w:t>se</w:t>
      </w:r>
      <w:r w:rsidR="003F0D65">
        <w:rPr>
          <w:lang w:eastAsia="en-AU"/>
        </w:rPr>
        <w:t xml:space="preserve"> proceedings is that </w:t>
      </w:r>
      <w:r w:rsidR="00BD2895">
        <w:rPr>
          <w:lang w:eastAsia="en-AU"/>
        </w:rPr>
        <w:t xml:space="preserve">the relevant terms of the DOCA make it clear that that Payments </w:t>
      </w:r>
      <w:r w:rsidR="003F4669">
        <w:rPr>
          <w:lang w:eastAsia="en-AU"/>
        </w:rPr>
        <w:t xml:space="preserve">were </w:t>
      </w:r>
      <w:r w:rsidR="00BD2895">
        <w:rPr>
          <w:lang w:eastAsia="en-AU"/>
        </w:rPr>
        <w:t xml:space="preserve">not </w:t>
      </w:r>
      <w:r w:rsidR="003F4669">
        <w:rPr>
          <w:lang w:eastAsia="en-AU"/>
        </w:rPr>
        <w:t>m</w:t>
      </w:r>
      <w:r w:rsidR="00BD2895">
        <w:rPr>
          <w:lang w:eastAsia="en-AU"/>
        </w:rPr>
        <w:t>ade by the Director ‘under the authority’ of the Deed Administrators.</w:t>
      </w:r>
    </w:p>
    <w:p w:rsidR="00BF0D64" w:rsidRDefault="001F2108" w:rsidP="00BF0D64">
      <w:pPr>
        <w:pStyle w:val="ParaNumbering"/>
        <w:rPr>
          <w:lang w:eastAsia="en-AU"/>
        </w:rPr>
      </w:pPr>
      <w:r>
        <w:rPr>
          <w:lang w:eastAsia="en-AU"/>
        </w:rPr>
        <w:t xml:space="preserve">I should mention cl 21.1 of the DOCA, which was relied upon by the DCT.  </w:t>
      </w:r>
      <w:r w:rsidR="00BF0D64">
        <w:rPr>
          <w:lang w:eastAsia="en-AU"/>
        </w:rPr>
        <w:t xml:space="preserve">Clause 21.1 of the DOCA is of no assistance to the DCT.  Under cl 21.1 of the DOCA there was no need for the Deed Administrators to do any act in order to give effect to, or expedite the Company’s obligations to comply with all taxation laws (as provided for in </w:t>
      </w:r>
      <w:r w:rsidR="0008587E">
        <w:rPr>
          <w:lang w:eastAsia="en-AU"/>
        </w:rPr>
        <w:t>sub-</w:t>
      </w:r>
      <w:r w:rsidR="00BF0D64">
        <w:rPr>
          <w:lang w:eastAsia="en-AU"/>
        </w:rPr>
        <w:t>cl 6.1(d) of the DOCA) and the power or authority of the D</w:t>
      </w:r>
      <w:r w:rsidR="009B6B2C">
        <w:rPr>
          <w:lang w:eastAsia="en-AU"/>
        </w:rPr>
        <w:t>irector to effect the P</w:t>
      </w:r>
      <w:r>
        <w:rPr>
          <w:lang w:eastAsia="en-AU"/>
        </w:rPr>
        <w:t>ayments</w:t>
      </w:r>
      <w:r w:rsidR="00BF0D64">
        <w:rPr>
          <w:lang w:eastAsia="en-AU"/>
        </w:rPr>
        <w:t>.</w:t>
      </w:r>
    </w:p>
    <w:p w:rsidR="00093F59" w:rsidRDefault="00BF0D64" w:rsidP="00BF0D64">
      <w:pPr>
        <w:pStyle w:val="ParaNumbering"/>
        <w:rPr>
          <w:lang w:eastAsia="en-AU"/>
        </w:rPr>
      </w:pPr>
      <w:r>
        <w:rPr>
          <w:lang w:eastAsia="en-AU"/>
        </w:rPr>
        <w:t xml:space="preserve">The fact is that the Company had an obligation to make </w:t>
      </w:r>
      <w:r w:rsidR="009B6B2C">
        <w:rPr>
          <w:lang w:eastAsia="en-AU"/>
        </w:rPr>
        <w:t>the P</w:t>
      </w:r>
      <w:r>
        <w:rPr>
          <w:lang w:eastAsia="en-AU"/>
        </w:rPr>
        <w:t>ayments</w:t>
      </w:r>
      <w:r w:rsidR="00AF1D9D">
        <w:rPr>
          <w:lang w:eastAsia="en-AU"/>
        </w:rPr>
        <w:t xml:space="preserve"> by operation of taxation laws</w:t>
      </w:r>
      <w:r>
        <w:rPr>
          <w:lang w:eastAsia="en-AU"/>
        </w:rPr>
        <w:t xml:space="preserve"> and the</w:t>
      </w:r>
      <w:r w:rsidR="00AF1D9D">
        <w:rPr>
          <w:lang w:eastAsia="en-AU"/>
        </w:rPr>
        <w:t xml:space="preserve"> Director did in fact make the P</w:t>
      </w:r>
      <w:r>
        <w:rPr>
          <w:lang w:eastAsia="en-AU"/>
        </w:rPr>
        <w:t>ay</w:t>
      </w:r>
      <w:r w:rsidR="004C2B2C">
        <w:rPr>
          <w:lang w:eastAsia="en-AU"/>
        </w:rPr>
        <w:t>ments on the Company’s</w:t>
      </w:r>
      <w:r>
        <w:rPr>
          <w:lang w:eastAsia="en-AU"/>
        </w:rPr>
        <w:t xml:space="preserve"> behalf</w:t>
      </w:r>
      <w:r w:rsidR="00AF1D9D">
        <w:rPr>
          <w:lang w:eastAsia="en-AU"/>
        </w:rPr>
        <w:t>.  This may have been done during the currency of, and as contemplated and required by,</w:t>
      </w:r>
      <w:r>
        <w:rPr>
          <w:lang w:eastAsia="en-AU"/>
        </w:rPr>
        <w:t xml:space="preserve"> the DOCA, but not </w:t>
      </w:r>
      <w:r w:rsidR="00AF1D9D">
        <w:rPr>
          <w:lang w:eastAsia="en-AU"/>
        </w:rPr>
        <w:t>under the authority</w:t>
      </w:r>
      <w:r>
        <w:rPr>
          <w:lang w:eastAsia="en-AU"/>
        </w:rPr>
        <w:t xml:space="preserve"> of the Deed Administrators. </w:t>
      </w:r>
    </w:p>
    <w:p w:rsidR="00240ECE" w:rsidRPr="00EF5BB0" w:rsidRDefault="00240ECE" w:rsidP="00EF5BB0">
      <w:pPr>
        <w:pStyle w:val="ParaNumbering"/>
      </w:pPr>
      <w:r>
        <w:t xml:space="preserve">For the reasons </w:t>
      </w:r>
      <w:r w:rsidR="0055363E">
        <w:t>above</w:t>
      </w:r>
      <w:r>
        <w:t>, I reject the submissions of the DCT</w:t>
      </w:r>
      <w:r w:rsidR="007862A8">
        <w:t xml:space="preserve"> and accept the submissions of the Applicant</w:t>
      </w:r>
      <w:r w:rsidR="0055363E">
        <w:t>s</w:t>
      </w:r>
      <w:r>
        <w:t xml:space="preserve">.  </w:t>
      </w:r>
    </w:p>
    <w:p w:rsidR="00E067B8" w:rsidRPr="00E067B8" w:rsidRDefault="009525CC" w:rsidP="00E067B8">
      <w:pPr>
        <w:pStyle w:val="ParaNumbering"/>
        <w:rPr>
          <w:lang w:eastAsia="en-AU"/>
        </w:rPr>
      </w:pPr>
      <w:r>
        <w:rPr>
          <w:lang w:eastAsia="en-AU"/>
        </w:rPr>
        <w:t>I make one final comment.  T</w:t>
      </w:r>
      <w:r w:rsidR="00CC7B9A">
        <w:rPr>
          <w:lang w:eastAsia="en-AU"/>
        </w:rPr>
        <w:t>his case turns on the</w:t>
      </w:r>
      <w:r w:rsidR="00E067B8">
        <w:rPr>
          <w:lang w:eastAsia="en-AU"/>
        </w:rPr>
        <w:t xml:space="preserve"> question </w:t>
      </w:r>
      <w:r w:rsidR="00CC7B9A">
        <w:rPr>
          <w:lang w:eastAsia="en-AU"/>
        </w:rPr>
        <w:t>of</w:t>
      </w:r>
      <w:r w:rsidR="00E067B8">
        <w:rPr>
          <w:lang w:eastAsia="en-AU"/>
        </w:rPr>
        <w:t xml:space="preserve"> whether the Payments were in fact made by the Company to the DCT ‘</w:t>
      </w:r>
      <w:r w:rsidR="00E067B8" w:rsidRPr="000A1C94">
        <w:rPr>
          <w:iCs/>
          <w:lang w:eastAsia="en-AU"/>
        </w:rPr>
        <w:t>under the authority of</w:t>
      </w:r>
      <w:r w:rsidR="00E067B8">
        <w:rPr>
          <w:lang w:eastAsia="en-AU"/>
        </w:rPr>
        <w:t>’ the Deed Administrators.</w:t>
      </w:r>
    </w:p>
    <w:p w:rsidR="00E067B8" w:rsidRDefault="001C573E" w:rsidP="00903B23">
      <w:pPr>
        <w:pStyle w:val="ParaNumbering"/>
        <w:rPr>
          <w:lang w:eastAsia="en-AU"/>
        </w:rPr>
      </w:pPr>
      <w:r>
        <w:rPr>
          <w:lang w:eastAsia="en-AU"/>
        </w:rPr>
        <w:t>T</w:t>
      </w:r>
      <w:r w:rsidR="00E067B8">
        <w:rPr>
          <w:lang w:eastAsia="en-AU"/>
        </w:rPr>
        <w:t xml:space="preserve">he relevant task of the Court is to construe the words employed by </w:t>
      </w:r>
      <w:r w:rsidR="00903B23">
        <w:rPr>
          <w:lang w:eastAsia="en-AU"/>
        </w:rPr>
        <w:t xml:space="preserve">Parliament </w:t>
      </w:r>
      <w:r w:rsidR="00E067B8">
        <w:rPr>
          <w:lang w:eastAsia="en-AU"/>
        </w:rPr>
        <w:t xml:space="preserve">in the context in which they have been </w:t>
      </w:r>
      <w:r>
        <w:rPr>
          <w:szCs w:val="24"/>
          <w:lang w:eastAsia="en-AU"/>
        </w:rPr>
        <w:t>used</w:t>
      </w:r>
      <w:r w:rsidR="00800FBA">
        <w:rPr>
          <w:szCs w:val="24"/>
          <w:lang w:eastAsia="en-AU"/>
        </w:rPr>
        <w:t xml:space="preserve">: </w:t>
      </w:r>
      <w:r w:rsidR="00800FBA" w:rsidRPr="0018193C">
        <w:rPr>
          <w:i/>
          <w:iCs/>
          <w:szCs w:val="24"/>
          <w:lang w:eastAsia="en-AU"/>
        </w:rPr>
        <w:t xml:space="preserve">Commissioner of Taxation v Eichmann </w:t>
      </w:r>
      <w:r w:rsidR="00800FBA">
        <w:rPr>
          <w:szCs w:val="24"/>
          <w:lang w:eastAsia="en-AU"/>
        </w:rPr>
        <w:t>[2019] FCA 2155 at [39]</w:t>
      </w:r>
      <w:r>
        <w:rPr>
          <w:szCs w:val="24"/>
          <w:lang w:eastAsia="en-AU"/>
        </w:rPr>
        <w:t>.  As we are reminded</w:t>
      </w:r>
      <w:r w:rsidR="00800FBA">
        <w:rPr>
          <w:szCs w:val="24"/>
          <w:lang w:eastAsia="en-AU"/>
        </w:rPr>
        <w:t xml:space="preserve"> in </w:t>
      </w:r>
      <w:r w:rsidR="00800FBA">
        <w:rPr>
          <w:i/>
          <w:szCs w:val="24"/>
          <w:lang w:eastAsia="en-AU"/>
        </w:rPr>
        <w:t xml:space="preserve">Saeed v Minister for Immigration and Citizenship </w:t>
      </w:r>
      <w:r w:rsidR="00800FBA">
        <w:rPr>
          <w:szCs w:val="24"/>
          <w:lang w:eastAsia="en-AU"/>
        </w:rPr>
        <w:t xml:space="preserve">(2010) 241 CLR 252 at 264-265 (per French CJ, </w:t>
      </w:r>
      <w:proofErr w:type="spellStart"/>
      <w:r w:rsidR="00800FBA">
        <w:rPr>
          <w:szCs w:val="24"/>
          <w:lang w:eastAsia="en-AU"/>
        </w:rPr>
        <w:t>Gummow</w:t>
      </w:r>
      <w:proofErr w:type="spellEnd"/>
      <w:r w:rsidR="00800FBA">
        <w:rPr>
          <w:szCs w:val="24"/>
          <w:lang w:eastAsia="en-AU"/>
        </w:rPr>
        <w:t xml:space="preserve">, Hayne, </w:t>
      </w:r>
      <w:proofErr w:type="spellStart"/>
      <w:r w:rsidR="00800FBA">
        <w:rPr>
          <w:szCs w:val="24"/>
          <w:lang w:eastAsia="en-AU"/>
        </w:rPr>
        <w:t>Crennan</w:t>
      </w:r>
      <w:proofErr w:type="spellEnd"/>
      <w:r w:rsidR="00800FBA">
        <w:rPr>
          <w:szCs w:val="24"/>
          <w:lang w:eastAsia="en-AU"/>
        </w:rPr>
        <w:t xml:space="preserve"> and </w:t>
      </w:r>
      <w:proofErr w:type="spellStart"/>
      <w:r w:rsidR="00800FBA">
        <w:rPr>
          <w:szCs w:val="24"/>
          <w:lang w:eastAsia="en-AU"/>
        </w:rPr>
        <w:t>Kiefel</w:t>
      </w:r>
      <w:proofErr w:type="spellEnd"/>
      <w:r w:rsidR="00800FBA">
        <w:rPr>
          <w:szCs w:val="24"/>
          <w:lang w:eastAsia="en-AU"/>
        </w:rPr>
        <w:t xml:space="preserve"> JJ)</w:t>
      </w:r>
      <w:r w:rsidR="00B200BF">
        <w:rPr>
          <w:szCs w:val="24"/>
          <w:lang w:eastAsia="en-AU"/>
        </w:rPr>
        <w:t xml:space="preserve"> (see also, </w:t>
      </w:r>
      <w:r w:rsidR="00B200BF">
        <w:rPr>
          <w:i/>
          <w:szCs w:val="24"/>
          <w:lang w:eastAsia="en-AU"/>
        </w:rPr>
        <w:t xml:space="preserve">Esso Australia Resources Pty Ltd v Commissioner of Taxation </w:t>
      </w:r>
      <w:r w:rsidR="00B200BF">
        <w:rPr>
          <w:szCs w:val="24"/>
          <w:lang w:eastAsia="en-AU"/>
        </w:rPr>
        <w:t>(2011) 194 FCR 32 at [126]-[129])</w:t>
      </w:r>
      <w:r>
        <w:rPr>
          <w:szCs w:val="24"/>
          <w:lang w:eastAsia="en-AU"/>
        </w:rPr>
        <w:t>, e</w:t>
      </w:r>
      <w:r w:rsidR="00891D8E">
        <w:rPr>
          <w:szCs w:val="24"/>
          <w:lang w:eastAsia="en-AU"/>
        </w:rPr>
        <w:t>xtrinsic material is secondary</w:t>
      </w:r>
      <w:r>
        <w:rPr>
          <w:szCs w:val="24"/>
          <w:lang w:eastAsia="en-AU"/>
        </w:rPr>
        <w:t xml:space="preserve"> </w:t>
      </w:r>
      <w:r w:rsidR="00E067B8">
        <w:rPr>
          <w:lang w:eastAsia="en-AU"/>
        </w:rPr>
        <w:t>(footnotes omitted):</w:t>
      </w:r>
    </w:p>
    <w:p w:rsidR="00E067B8" w:rsidRPr="00D53529" w:rsidRDefault="00800FBA" w:rsidP="00E067B8">
      <w:pPr>
        <w:pStyle w:val="Quote1"/>
        <w:rPr>
          <w:i/>
          <w:szCs w:val="22"/>
          <w:lang w:eastAsia="en-AU"/>
        </w:rPr>
      </w:pPr>
      <w:r>
        <w:rPr>
          <w:i/>
          <w:szCs w:val="22"/>
          <w:lang w:eastAsia="en-AU"/>
        </w:rPr>
        <w:t xml:space="preserve">As </w:t>
      </w:r>
      <w:proofErr w:type="spellStart"/>
      <w:r>
        <w:rPr>
          <w:i/>
          <w:szCs w:val="22"/>
          <w:lang w:eastAsia="en-AU"/>
        </w:rPr>
        <w:t>Gummow</w:t>
      </w:r>
      <w:proofErr w:type="spellEnd"/>
      <w:r>
        <w:rPr>
          <w:i/>
          <w:szCs w:val="22"/>
          <w:lang w:eastAsia="en-AU"/>
        </w:rPr>
        <w:t xml:space="preserve"> J observed in </w:t>
      </w:r>
      <w:proofErr w:type="spellStart"/>
      <w:r w:rsidRPr="000F6DFA">
        <w:rPr>
          <w:szCs w:val="22"/>
          <w:lang w:eastAsia="en-AU"/>
        </w:rPr>
        <w:t>Wik</w:t>
      </w:r>
      <w:proofErr w:type="spellEnd"/>
      <w:r w:rsidRPr="000F6DFA">
        <w:rPr>
          <w:szCs w:val="22"/>
          <w:lang w:eastAsia="en-AU"/>
        </w:rPr>
        <w:t xml:space="preserve"> Peoples v Queensland</w:t>
      </w:r>
      <w:r>
        <w:rPr>
          <w:i/>
          <w:szCs w:val="22"/>
          <w:lang w:eastAsia="en-AU"/>
        </w:rPr>
        <w:t>, i</w:t>
      </w:r>
      <w:r w:rsidR="00E067B8" w:rsidRPr="00D53529">
        <w:rPr>
          <w:i/>
          <w:szCs w:val="22"/>
          <w:lang w:eastAsia="en-AU"/>
        </w:rPr>
        <w:t xml:space="preserve">t is necessary to keep in mind that when it is said the legislative </w:t>
      </w:r>
      <w:r w:rsidR="00E067B8" w:rsidRPr="00D53529">
        <w:rPr>
          <w:i/>
          <w:iCs/>
          <w:szCs w:val="22"/>
          <w:lang w:eastAsia="en-AU"/>
        </w:rPr>
        <w:t xml:space="preserve">“intention” is to be ascertained, “what is involved is the ‘intention </w:t>
      </w:r>
      <w:r w:rsidR="00E067B8" w:rsidRPr="006461D7">
        <w:rPr>
          <w:iCs/>
          <w:szCs w:val="22"/>
          <w:lang w:eastAsia="en-AU"/>
        </w:rPr>
        <w:t>manifested</w:t>
      </w:r>
      <w:r w:rsidR="00E067B8" w:rsidRPr="00D53529">
        <w:rPr>
          <w:i/>
          <w:iCs/>
          <w:szCs w:val="22"/>
          <w:lang w:eastAsia="en-AU"/>
        </w:rPr>
        <w:t>’ by the legislation”. Statements as to the legislative intention made in explanatory memoranda or by Ministers, however clear or emphatic, cannot overcome the need to carefully consider the words of the statute to ascertain its meaning</w:t>
      </w:r>
      <w:r w:rsidR="00E767B5">
        <w:rPr>
          <w:i/>
          <w:iCs/>
          <w:szCs w:val="22"/>
          <w:lang w:eastAsia="en-AU"/>
        </w:rPr>
        <w:t>.</w:t>
      </w:r>
    </w:p>
    <w:p w:rsidR="00E067B8" w:rsidRDefault="001C573E" w:rsidP="00E067B8">
      <w:pPr>
        <w:pStyle w:val="ParaNumbering"/>
        <w:rPr>
          <w:lang w:eastAsia="en-AU"/>
        </w:rPr>
      </w:pPr>
      <w:r>
        <w:rPr>
          <w:lang w:eastAsia="en-AU"/>
        </w:rPr>
        <w:t>In my view</w:t>
      </w:r>
      <w:r w:rsidR="003928A6">
        <w:rPr>
          <w:lang w:eastAsia="en-AU"/>
        </w:rPr>
        <w:t>,</w:t>
      </w:r>
      <w:r>
        <w:rPr>
          <w:lang w:eastAsia="en-AU"/>
        </w:rPr>
        <w:t xml:space="preserve"> </w:t>
      </w:r>
      <w:r w:rsidR="00E067B8">
        <w:rPr>
          <w:lang w:eastAsia="en-AU"/>
        </w:rPr>
        <w:t>the mea</w:t>
      </w:r>
      <w:r w:rsidR="00B33268">
        <w:rPr>
          <w:lang w:eastAsia="en-AU"/>
        </w:rPr>
        <w:t>ning of s</w:t>
      </w:r>
      <w:r w:rsidR="003928A6">
        <w:rPr>
          <w:lang w:eastAsia="en-AU"/>
        </w:rPr>
        <w:t>ub-s</w:t>
      </w:r>
      <w:r w:rsidR="00B33268">
        <w:rPr>
          <w:lang w:eastAsia="en-AU"/>
        </w:rPr>
        <w:t xml:space="preserve"> 588FE(2B)(d) is clear</w:t>
      </w:r>
      <w:r>
        <w:rPr>
          <w:lang w:eastAsia="en-AU"/>
        </w:rPr>
        <w:t xml:space="preserve"> </w:t>
      </w:r>
      <w:r w:rsidR="00B33268">
        <w:rPr>
          <w:lang w:eastAsia="en-AU"/>
        </w:rPr>
        <w:t>i</w:t>
      </w:r>
      <w:r w:rsidR="003928A6">
        <w:rPr>
          <w:lang w:eastAsia="en-AU"/>
        </w:rPr>
        <w:t>n</w:t>
      </w:r>
      <w:r w:rsidR="00B33268">
        <w:rPr>
          <w:lang w:eastAsia="en-AU"/>
        </w:rPr>
        <w:t xml:space="preserve"> its application to these</w:t>
      </w:r>
      <w:r>
        <w:rPr>
          <w:lang w:eastAsia="en-AU"/>
        </w:rPr>
        <w:t xml:space="preserve"> proceeding</w:t>
      </w:r>
      <w:r w:rsidR="00B33268">
        <w:rPr>
          <w:lang w:eastAsia="en-AU"/>
        </w:rPr>
        <w:t xml:space="preserve">s.  There are always dangers in interpreting legislation by reference to reports that may </w:t>
      </w:r>
      <w:r w:rsidR="001C2FAB">
        <w:rPr>
          <w:lang w:eastAsia="en-AU"/>
        </w:rPr>
        <w:t xml:space="preserve">have given </w:t>
      </w:r>
      <w:r w:rsidR="001C2FAB">
        <w:rPr>
          <w:lang w:eastAsia="en-AU"/>
        </w:rPr>
        <w:lastRenderedPageBreak/>
        <w:t xml:space="preserve">rise to the implementation of </w:t>
      </w:r>
      <w:r w:rsidR="00BD5310">
        <w:rPr>
          <w:lang w:eastAsia="en-AU"/>
        </w:rPr>
        <w:t xml:space="preserve">such legislation, but which may </w:t>
      </w:r>
      <w:r w:rsidR="00B33268">
        <w:rPr>
          <w:lang w:eastAsia="en-AU"/>
        </w:rPr>
        <w:t>not</w:t>
      </w:r>
      <w:r w:rsidR="00BD5310">
        <w:rPr>
          <w:lang w:eastAsia="en-AU"/>
        </w:rPr>
        <w:t xml:space="preserve"> be</w:t>
      </w:r>
      <w:r w:rsidR="00B33268">
        <w:rPr>
          <w:lang w:eastAsia="en-AU"/>
        </w:rPr>
        <w:t xml:space="preserve"> wholly incorporated into such legislation.  </w:t>
      </w:r>
      <w:r w:rsidR="00765C4F">
        <w:rPr>
          <w:lang w:eastAsia="en-AU"/>
        </w:rPr>
        <w:t>R</w:t>
      </w:r>
      <w:r w:rsidR="00E067B8">
        <w:rPr>
          <w:lang w:eastAsia="en-AU"/>
        </w:rPr>
        <w:t xml:space="preserve">esort </w:t>
      </w:r>
      <w:r w:rsidR="004473F0">
        <w:rPr>
          <w:lang w:eastAsia="en-AU"/>
        </w:rPr>
        <w:t>to the CAMAC June 1998 Report and</w:t>
      </w:r>
      <w:r w:rsidR="00E067B8">
        <w:rPr>
          <w:lang w:eastAsia="en-AU"/>
        </w:rPr>
        <w:t xml:space="preserve"> the CAMAC November 2008 Report</w:t>
      </w:r>
      <w:r w:rsidR="00765C4F">
        <w:rPr>
          <w:lang w:eastAsia="en-AU"/>
        </w:rPr>
        <w:t xml:space="preserve"> I consider fall within this category, and the Explanatory Memorandum takes the matter no further</w:t>
      </w:r>
      <w:r w:rsidR="00E067B8">
        <w:rPr>
          <w:lang w:eastAsia="en-AU"/>
        </w:rPr>
        <w:t>.</w:t>
      </w:r>
    </w:p>
    <w:p w:rsidR="00E067B8" w:rsidRPr="00721C12" w:rsidRDefault="00E067B8" w:rsidP="00E067B8">
      <w:pPr>
        <w:pStyle w:val="ParaNumbering"/>
        <w:rPr>
          <w:szCs w:val="24"/>
          <w:lang w:eastAsia="en-AU"/>
        </w:rPr>
      </w:pPr>
      <w:r w:rsidRPr="0080287C">
        <w:rPr>
          <w:szCs w:val="24"/>
          <w:lang w:eastAsia="en-AU"/>
        </w:rPr>
        <w:t>If</w:t>
      </w:r>
      <w:r>
        <w:rPr>
          <w:szCs w:val="24"/>
          <w:lang w:eastAsia="en-AU"/>
        </w:rPr>
        <w:t xml:space="preserve"> the Court did</w:t>
      </w:r>
      <w:r w:rsidRPr="0080287C">
        <w:rPr>
          <w:szCs w:val="24"/>
          <w:lang w:eastAsia="en-AU"/>
        </w:rPr>
        <w:t xml:space="preserve"> look to the extrinsic materials</w:t>
      </w:r>
      <w:r w:rsidR="00B33268">
        <w:rPr>
          <w:szCs w:val="24"/>
          <w:lang w:eastAsia="en-AU"/>
        </w:rPr>
        <w:t xml:space="preserve"> (putting aside my reservations as to its utility in these proceedings)</w:t>
      </w:r>
      <w:r w:rsidRPr="00721C12">
        <w:rPr>
          <w:szCs w:val="24"/>
          <w:lang w:eastAsia="en-AU"/>
        </w:rPr>
        <w:t>, the following matters become apparent</w:t>
      </w:r>
      <w:r w:rsidR="0074562B">
        <w:rPr>
          <w:szCs w:val="24"/>
          <w:lang w:eastAsia="en-AU"/>
        </w:rPr>
        <w:t xml:space="preserve"> as submitted by the Applicants</w:t>
      </w:r>
      <w:r w:rsidRPr="00721C12">
        <w:rPr>
          <w:szCs w:val="24"/>
          <w:lang w:eastAsia="en-AU"/>
        </w:rPr>
        <w:t>:</w:t>
      </w:r>
    </w:p>
    <w:p w:rsidR="00263D99" w:rsidRPr="00263D99" w:rsidRDefault="0074562B" w:rsidP="00263D99">
      <w:pPr>
        <w:pStyle w:val="ListNo1"/>
        <w:numPr>
          <w:ilvl w:val="0"/>
          <w:numId w:val="37"/>
        </w:numPr>
        <w:rPr>
          <w:szCs w:val="24"/>
          <w:lang w:eastAsia="en-AU"/>
        </w:rPr>
      </w:pPr>
      <w:r>
        <w:rPr>
          <w:lang w:eastAsia="en-AU"/>
        </w:rPr>
        <w:t>P</w:t>
      </w:r>
      <w:r w:rsidR="00E067B8">
        <w:rPr>
          <w:lang w:eastAsia="en-AU"/>
        </w:rPr>
        <w:t xml:space="preserve">rior to </w:t>
      </w:r>
      <w:r>
        <w:rPr>
          <w:lang w:eastAsia="en-AU"/>
        </w:rPr>
        <w:t xml:space="preserve">the enactment of </w:t>
      </w:r>
      <w:r w:rsidR="00E067B8">
        <w:rPr>
          <w:lang w:eastAsia="en-AU"/>
        </w:rPr>
        <w:t>s</w:t>
      </w:r>
      <w:r w:rsidR="00CE1DFB">
        <w:rPr>
          <w:lang w:eastAsia="en-AU"/>
        </w:rPr>
        <w:t>ub-s</w:t>
      </w:r>
      <w:r w:rsidR="00E067B8">
        <w:rPr>
          <w:lang w:eastAsia="en-AU"/>
        </w:rPr>
        <w:t xml:space="preserve"> 588FE(2B) certain transactions which might otherwise be voidable were not voidable when made </w:t>
      </w:r>
      <w:r w:rsidR="00B7429F">
        <w:rPr>
          <w:lang w:eastAsia="en-AU"/>
        </w:rPr>
        <w:t>while a company was under a deed of company arrangement</w:t>
      </w:r>
      <w:r w:rsidR="00E067B8">
        <w:rPr>
          <w:lang w:eastAsia="en-AU"/>
        </w:rPr>
        <w:t xml:space="preserve"> and then subsequently wound up</w:t>
      </w:r>
      <w:r w:rsidR="00E067B8" w:rsidRPr="00263D99">
        <w:rPr>
          <w:szCs w:val="24"/>
          <w:lang w:eastAsia="en-AU"/>
        </w:rPr>
        <w:t>:</w:t>
      </w:r>
      <w:r w:rsidR="00B7429F" w:rsidRPr="00263D99">
        <w:rPr>
          <w:szCs w:val="24"/>
          <w:lang w:eastAsia="en-AU"/>
        </w:rPr>
        <w:t xml:space="preserve"> </w:t>
      </w:r>
      <w:r w:rsidR="00E067B8" w:rsidRPr="00263D99">
        <w:rPr>
          <w:szCs w:val="24"/>
          <w:lang w:eastAsia="en-AU"/>
        </w:rPr>
        <w:t>see Explanatory Memorandum</w:t>
      </w:r>
      <w:r w:rsidR="00E067B8" w:rsidRPr="00263D99">
        <w:rPr>
          <w:i/>
          <w:iCs/>
          <w:szCs w:val="24"/>
          <w:lang w:eastAsia="en-AU"/>
        </w:rPr>
        <w:t xml:space="preserve"> </w:t>
      </w:r>
      <w:r w:rsidR="00E067B8" w:rsidRPr="00263D99">
        <w:rPr>
          <w:szCs w:val="24"/>
          <w:lang w:eastAsia="en-AU"/>
        </w:rPr>
        <w:t>at [7.197]-[7.198]; CAMAC June 1998 Report at [8.2]</w:t>
      </w:r>
      <w:r w:rsidR="00B7429F" w:rsidRPr="00263D99">
        <w:rPr>
          <w:szCs w:val="24"/>
          <w:lang w:eastAsia="en-AU"/>
        </w:rPr>
        <w:t>.</w:t>
      </w:r>
    </w:p>
    <w:p w:rsidR="00263D99" w:rsidRPr="00E439BF" w:rsidRDefault="000C4D54" w:rsidP="00E439BF">
      <w:pPr>
        <w:pStyle w:val="ListNo1"/>
        <w:numPr>
          <w:ilvl w:val="0"/>
          <w:numId w:val="25"/>
        </w:numPr>
        <w:rPr>
          <w:szCs w:val="24"/>
          <w:lang w:eastAsia="en-AU"/>
        </w:rPr>
      </w:pPr>
      <w:r>
        <w:rPr>
          <w:lang w:eastAsia="en-AU"/>
        </w:rPr>
        <w:t>There was</w:t>
      </w:r>
      <w:r w:rsidR="00E067B8">
        <w:rPr>
          <w:lang w:eastAsia="en-AU"/>
        </w:rPr>
        <w:t xml:space="preserve"> an opportunity for abuse, including in respect of unfair preferences, ‘</w:t>
      </w:r>
      <w:r w:rsidR="00E067B8" w:rsidRPr="00CE40B3">
        <w:rPr>
          <w:lang w:eastAsia="en-AU"/>
        </w:rPr>
        <w:t xml:space="preserve">in particular, where directors who resume control of a company </w:t>
      </w:r>
      <w:r w:rsidR="00E067B8" w:rsidRPr="00E439BF">
        <w:rPr>
          <w:iCs/>
          <w:lang w:eastAsia="en-AU"/>
        </w:rPr>
        <w:t xml:space="preserve">under a deed of company arrangement pay creditors whose debts they have personally guaranteed in preference to other </w:t>
      </w:r>
      <w:r w:rsidR="00E067B8" w:rsidRPr="00E439BF">
        <w:rPr>
          <w:iCs/>
          <w:szCs w:val="24"/>
          <w:lang w:eastAsia="en-AU"/>
        </w:rPr>
        <w:t>creditors’</w:t>
      </w:r>
      <w:r w:rsidR="00E067B8" w:rsidRPr="00E439BF">
        <w:rPr>
          <w:szCs w:val="24"/>
          <w:lang w:eastAsia="en-AU"/>
        </w:rPr>
        <w:t xml:space="preserve">: CAMAC June 1998 Report </w:t>
      </w:r>
      <w:r w:rsidR="00B7429F" w:rsidRPr="00E439BF">
        <w:rPr>
          <w:szCs w:val="24"/>
          <w:lang w:eastAsia="en-AU"/>
        </w:rPr>
        <w:t>at [8.2].</w:t>
      </w:r>
    </w:p>
    <w:p w:rsidR="00E067B8" w:rsidRPr="00263D99" w:rsidRDefault="00B7429F" w:rsidP="006A2129">
      <w:pPr>
        <w:pStyle w:val="ListNo1"/>
        <w:numPr>
          <w:ilvl w:val="0"/>
          <w:numId w:val="25"/>
        </w:numPr>
        <w:rPr>
          <w:szCs w:val="24"/>
          <w:lang w:eastAsia="en-AU"/>
        </w:rPr>
      </w:pPr>
      <w:r>
        <w:rPr>
          <w:lang w:eastAsia="en-AU"/>
        </w:rPr>
        <w:t>T</w:t>
      </w:r>
      <w:r w:rsidR="00E067B8">
        <w:rPr>
          <w:lang w:eastAsia="en-AU"/>
        </w:rPr>
        <w:t>he CAMAC June 1998 Report adopted a modified ‘first policy option’ via the following analysis:</w:t>
      </w:r>
    </w:p>
    <w:p w:rsidR="00E067B8" w:rsidRDefault="00E067B8" w:rsidP="00263D99">
      <w:pPr>
        <w:pStyle w:val="ListNo2"/>
        <w:numPr>
          <w:ilvl w:val="1"/>
          <w:numId w:val="25"/>
        </w:numPr>
        <w:rPr>
          <w:szCs w:val="24"/>
          <w:lang w:eastAsia="en-AU"/>
        </w:rPr>
      </w:pPr>
      <w:r>
        <w:rPr>
          <w:lang w:eastAsia="en-AU"/>
        </w:rPr>
        <w:t>the first policy option was that all transactions that take place during the course of a voluntary administration (including a</w:t>
      </w:r>
      <w:r w:rsidR="00B7429F">
        <w:rPr>
          <w:lang w:eastAsia="en-AU"/>
        </w:rPr>
        <w:t xml:space="preserve"> deed of company arrangement</w:t>
      </w:r>
      <w:r>
        <w:rPr>
          <w:lang w:eastAsia="en-AU"/>
        </w:rPr>
        <w:t>) that precedes any form of court or voluntary winding up be subject to the voidable transaction provisions</w:t>
      </w:r>
      <w:r w:rsidRPr="0080287C">
        <w:rPr>
          <w:sz w:val="16"/>
          <w:szCs w:val="16"/>
          <w:lang w:eastAsia="en-AU"/>
        </w:rPr>
        <w:t xml:space="preserve"> </w:t>
      </w:r>
      <w:r w:rsidRPr="0080287C">
        <w:rPr>
          <w:szCs w:val="24"/>
          <w:lang w:eastAsia="en-AU"/>
        </w:rPr>
        <w:t>(</w:t>
      </w:r>
      <w:r>
        <w:rPr>
          <w:szCs w:val="24"/>
          <w:lang w:eastAsia="en-AU"/>
        </w:rPr>
        <w:t>at [8.11]</w:t>
      </w:r>
      <w:r w:rsidRPr="0080287C">
        <w:rPr>
          <w:szCs w:val="24"/>
          <w:lang w:eastAsia="en-AU"/>
        </w:rPr>
        <w:t>)</w:t>
      </w:r>
      <w:r>
        <w:rPr>
          <w:szCs w:val="24"/>
          <w:lang w:eastAsia="en-AU"/>
        </w:rPr>
        <w:t>;</w:t>
      </w:r>
    </w:p>
    <w:p w:rsidR="00E067B8" w:rsidRDefault="00E067B8" w:rsidP="00263D99">
      <w:pPr>
        <w:pStyle w:val="ListNo2"/>
        <w:numPr>
          <w:ilvl w:val="1"/>
          <w:numId w:val="25"/>
        </w:numPr>
        <w:rPr>
          <w:szCs w:val="24"/>
          <w:lang w:eastAsia="en-AU"/>
        </w:rPr>
      </w:pPr>
      <w:r>
        <w:rPr>
          <w:lang w:eastAsia="en-AU"/>
        </w:rPr>
        <w:t>it was considered that the first policy option would make it unnecessarily difficult for an administrator or deed administrator to carry on the business of the company (</w:t>
      </w:r>
      <w:r>
        <w:rPr>
          <w:szCs w:val="24"/>
          <w:lang w:eastAsia="en-AU"/>
        </w:rPr>
        <w:t>at [8.12]</w:t>
      </w:r>
      <w:r w:rsidRPr="0080287C">
        <w:rPr>
          <w:szCs w:val="24"/>
          <w:lang w:eastAsia="en-AU"/>
        </w:rPr>
        <w:t>)</w:t>
      </w:r>
      <w:r>
        <w:rPr>
          <w:szCs w:val="24"/>
          <w:lang w:eastAsia="en-AU"/>
        </w:rPr>
        <w:t>;</w:t>
      </w:r>
    </w:p>
    <w:p w:rsidR="00E067B8" w:rsidRPr="0080287C" w:rsidRDefault="00B7429F" w:rsidP="00263D99">
      <w:pPr>
        <w:pStyle w:val="ListNo2"/>
        <w:numPr>
          <w:ilvl w:val="1"/>
          <w:numId w:val="25"/>
        </w:numPr>
        <w:rPr>
          <w:szCs w:val="24"/>
          <w:lang w:eastAsia="en-AU"/>
        </w:rPr>
      </w:pPr>
      <w:r>
        <w:rPr>
          <w:lang w:eastAsia="en-AU"/>
        </w:rPr>
        <w:t>the C</w:t>
      </w:r>
      <w:r w:rsidR="00E067B8">
        <w:rPr>
          <w:lang w:eastAsia="en-AU"/>
        </w:rPr>
        <w:t xml:space="preserve">ommittee considered that the first policy option might be restricted to payments by a company that had </w:t>
      </w:r>
      <w:bookmarkStart w:id="22" w:name="_GoBack"/>
      <w:bookmarkEnd w:id="22"/>
      <w:r w:rsidR="00E067B8">
        <w:rPr>
          <w:lang w:eastAsia="en-AU"/>
        </w:rPr>
        <w:t xml:space="preserve">been returned to the control of its directors under a </w:t>
      </w:r>
      <w:r>
        <w:rPr>
          <w:lang w:eastAsia="en-AU"/>
        </w:rPr>
        <w:t>deed of company arrangement</w:t>
      </w:r>
      <w:r>
        <w:rPr>
          <w:szCs w:val="24"/>
          <w:lang w:eastAsia="en-AU"/>
        </w:rPr>
        <w:t xml:space="preserve"> (at [8.13]</w:t>
      </w:r>
      <w:r w:rsidR="00E067B8" w:rsidRPr="0080287C">
        <w:rPr>
          <w:szCs w:val="24"/>
          <w:lang w:eastAsia="en-AU"/>
        </w:rPr>
        <w:t>)</w:t>
      </w:r>
      <w:r w:rsidR="00E067B8">
        <w:rPr>
          <w:szCs w:val="24"/>
          <w:lang w:eastAsia="en-AU"/>
        </w:rPr>
        <w:t>.  T</w:t>
      </w:r>
      <w:r w:rsidR="00E067B8" w:rsidRPr="0080287C">
        <w:rPr>
          <w:szCs w:val="24"/>
          <w:lang w:eastAsia="en-AU"/>
        </w:rPr>
        <w:t xml:space="preserve">he </w:t>
      </w:r>
      <w:r>
        <w:rPr>
          <w:szCs w:val="24"/>
          <w:lang w:eastAsia="en-AU"/>
        </w:rPr>
        <w:t>Committee</w:t>
      </w:r>
      <w:r w:rsidR="00E067B8">
        <w:rPr>
          <w:lang w:eastAsia="en-AU"/>
        </w:rPr>
        <w:t xml:space="preserve"> then considered arguments for and against that </w:t>
      </w:r>
      <w:r>
        <w:rPr>
          <w:lang w:eastAsia="en-AU"/>
        </w:rPr>
        <w:t>modification.  I</w:t>
      </w:r>
      <w:r w:rsidR="00E067B8">
        <w:rPr>
          <w:lang w:eastAsia="en-AU"/>
        </w:rPr>
        <w:t xml:space="preserve">n summary, the argument against </w:t>
      </w:r>
      <w:r>
        <w:rPr>
          <w:lang w:eastAsia="en-AU"/>
        </w:rPr>
        <w:t xml:space="preserve">was </w:t>
      </w:r>
      <w:r w:rsidR="00E067B8">
        <w:rPr>
          <w:lang w:eastAsia="en-AU"/>
        </w:rPr>
        <w:t>that such modification would encourage companies to be left in the control of the more expensive insolvency practitioner; and the argument</w:t>
      </w:r>
      <w:r>
        <w:rPr>
          <w:lang w:eastAsia="en-AU"/>
        </w:rPr>
        <w:t xml:space="preserve"> for was</w:t>
      </w:r>
      <w:r w:rsidR="00E067B8">
        <w:rPr>
          <w:lang w:eastAsia="en-AU"/>
        </w:rPr>
        <w:t xml:space="preserve"> that where control of companies is returned to directors, the usual voidable transaction regime ought apply (at [8.13]); </w:t>
      </w:r>
    </w:p>
    <w:p w:rsidR="00E067B8" w:rsidRPr="00CE4E71" w:rsidRDefault="00B7429F" w:rsidP="00263D99">
      <w:pPr>
        <w:pStyle w:val="ListNo2"/>
        <w:numPr>
          <w:ilvl w:val="1"/>
          <w:numId w:val="25"/>
        </w:numPr>
        <w:rPr>
          <w:szCs w:val="24"/>
          <w:lang w:eastAsia="en-AU"/>
        </w:rPr>
      </w:pPr>
      <w:r>
        <w:rPr>
          <w:lang w:eastAsia="en-AU"/>
        </w:rPr>
        <w:lastRenderedPageBreak/>
        <w:t>the C</w:t>
      </w:r>
      <w:r w:rsidR="00E067B8">
        <w:rPr>
          <w:lang w:eastAsia="en-AU"/>
        </w:rPr>
        <w:t xml:space="preserve">ommittee ultimately recommended the modified first policy </w:t>
      </w:r>
      <w:r w:rsidR="00E067B8">
        <w:rPr>
          <w:szCs w:val="24"/>
          <w:lang w:eastAsia="en-AU"/>
        </w:rPr>
        <w:t>o</w:t>
      </w:r>
      <w:r w:rsidR="00E067B8" w:rsidRPr="0080287C">
        <w:rPr>
          <w:szCs w:val="24"/>
          <w:lang w:eastAsia="en-AU"/>
        </w:rPr>
        <w:t>ption (</w:t>
      </w:r>
      <w:r w:rsidR="00E067B8">
        <w:rPr>
          <w:szCs w:val="24"/>
          <w:lang w:eastAsia="en-AU"/>
        </w:rPr>
        <w:t>at [8.15]</w:t>
      </w:r>
      <w:r w:rsidR="00E067B8" w:rsidRPr="0080287C">
        <w:rPr>
          <w:szCs w:val="24"/>
          <w:lang w:eastAsia="en-AU"/>
        </w:rPr>
        <w:t>) a</w:t>
      </w:r>
      <w:r w:rsidR="00E067B8">
        <w:rPr>
          <w:lang w:eastAsia="en-AU"/>
        </w:rPr>
        <w:t>s outlined in [8.18], including that ‘</w:t>
      </w:r>
      <w:r w:rsidR="00E067B8" w:rsidRPr="00CE4E71">
        <w:rPr>
          <w:lang w:eastAsia="en-AU"/>
        </w:rPr>
        <w:t xml:space="preserve">transactions by company directors under a deed of </w:t>
      </w:r>
      <w:r w:rsidR="00E067B8" w:rsidRPr="00CE4E71">
        <w:rPr>
          <w:iCs/>
          <w:lang w:eastAsia="en-AU"/>
        </w:rPr>
        <w:t>company arrangement which are not authorised by the deed administrator would be subject to the voidable transaction provisions</w:t>
      </w:r>
      <w:r w:rsidR="00E067B8">
        <w:rPr>
          <w:iCs/>
          <w:lang w:eastAsia="en-AU"/>
        </w:rPr>
        <w:t>’;</w:t>
      </w:r>
    </w:p>
    <w:p w:rsidR="00E067B8" w:rsidRDefault="00E067B8" w:rsidP="00263D99">
      <w:pPr>
        <w:pStyle w:val="ListNo2"/>
        <w:numPr>
          <w:ilvl w:val="1"/>
          <w:numId w:val="25"/>
        </w:numPr>
        <w:rPr>
          <w:szCs w:val="24"/>
          <w:lang w:eastAsia="en-AU"/>
        </w:rPr>
      </w:pPr>
      <w:r>
        <w:rPr>
          <w:lang w:eastAsia="en-AU"/>
        </w:rPr>
        <w:t xml:space="preserve">the analysis and recommendations in the CAMAC November 2008 Report confirmed they distinguished ‘administrator initiated’ transactions from ‘officer initiated’ </w:t>
      </w:r>
      <w:r>
        <w:rPr>
          <w:szCs w:val="24"/>
          <w:lang w:eastAsia="en-AU"/>
        </w:rPr>
        <w:t>transactions:</w:t>
      </w:r>
      <w:r w:rsidRPr="0080287C">
        <w:rPr>
          <w:szCs w:val="24"/>
          <w:lang w:eastAsia="en-AU"/>
        </w:rPr>
        <w:t xml:space="preserve"> (at [4.2]</w:t>
      </w:r>
      <w:r>
        <w:rPr>
          <w:szCs w:val="24"/>
          <w:lang w:eastAsia="en-AU"/>
        </w:rPr>
        <w:t>; see also</w:t>
      </w:r>
      <w:r w:rsidRPr="0080287C">
        <w:rPr>
          <w:szCs w:val="24"/>
          <w:lang w:eastAsia="en-AU"/>
        </w:rPr>
        <w:t xml:space="preserve"> </w:t>
      </w:r>
      <w:r w:rsidRPr="0080287C">
        <w:rPr>
          <w:i/>
          <w:iCs/>
          <w:szCs w:val="24"/>
          <w:lang w:eastAsia="en-AU"/>
        </w:rPr>
        <w:t>Company Receivers and Administrators</w:t>
      </w:r>
      <w:r w:rsidR="009B6B2C">
        <w:rPr>
          <w:szCs w:val="24"/>
          <w:lang w:eastAsia="en-AU"/>
        </w:rPr>
        <w:t xml:space="preserve"> </w:t>
      </w:r>
      <w:r>
        <w:rPr>
          <w:szCs w:val="24"/>
          <w:lang w:eastAsia="en-AU"/>
        </w:rPr>
        <w:t>at [52.1400]</w:t>
      </w:r>
      <w:r w:rsidRPr="0080287C">
        <w:rPr>
          <w:szCs w:val="24"/>
          <w:lang w:eastAsia="en-AU"/>
        </w:rPr>
        <w:t>)</w:t>
      </w:r>
      <w:r>
        <w:rPr>
          <w:szCs w:val="24"/>
          <w:lang w:eastAsia="en-AU"/>
        </w:rPr>
        <w:t>;</w:t>
      </w:r>
      <w:r w:rsidR="00B7429F">
        <w:rPr>
          <w:szCs w:val="24"/>
          <w:lang w:eastAsia="en-AU"/>
        </w:rPr>
        <w:t xml:space="preserve"> and</w:t>
      </w:r>
    </w:p>
    <w:p w:rsidR="008B1E65" w:rsidRPr="00E067B8" w:rsidRDefault="00E067B8" w:rsidP="00263D99">
      <w:pPr>
        <w:pStyle w:val="ListNo2"/>
        <w:numPr>
          <w:ilvl w:val="1"/>
          <w:numId w:val="25"/>
        </w:numPr>
        <w:rPr>
          <w:szCs w:val="24"/>
          <w:lang w:eastAsia="en-AU"/>
        </w:rPr>
      </w:pPr>
      <w:r>
        <w:rPr>
          <w:lang w:eastAsia="en-AU"/>
        </w:rPr>
        <w:t>sub-s 588FE(2B) was intended</w:t>
      </w:r>
      <w:r w:rsidR="00B7429F">
        <w:rPr>
          <w:lang w:eastAsia="en-AU"/>
        </w:rPr>
        <w:t xml:space="preserve"> by Parliament</w:t>
      </w:r>
      <w:r>
        <w:rPr>
          <w:lang w:eastAsia="en-AU"/>
        </w:rPr>
        <w:t xml:space="preserve"> to remove potential for abuse by a director in the situation where control of the company is returned to the </w:t>
      </w:r>
      <w:r w:rsidR="00B7429F">
        <w:rPr>
          <w:lang w:eastAsia="en-AU"/>
        </w:rPr>
        <w:t>director under a deed of company arrangement</w:t>
      </w:r>
      <w:r>
        <w:rPr>
          <w:lang w:eastAsia="en-AU"/>
        </w:rPr>
        <w:t xml:space="preserve"> in circumstances where the voidable transaction provisions did not apply.</w:t>
      </w:r>
    </w:p>
    <w:p w:rsidR="00F829C3" w:rsidRDefault="00F829C3" w:rsidP="00F829C3">
      <w:pPr>
        <w:pStyle w:val="Heading1"/>
        <w:rPr>
          <w:lang w:eastAsia="en-AU"/>
        </w:rPr>
      </w:pPr>
      <w:r>
        <w:rPr>
          <w:lang w:eastAsia="en-AU"/>
        </w:rPr>
        <w:t>Conclusion</w:t>
      </w:r>
    </w:p>
    <w:p w:rsidR="00F829C3" w:rsidRDefault="002E2DDB" w:rsidP="00F829C3">
      <w:pPr>
        <w:pStyle w:val="ParaNumbering"/>
        <w:rPr>
          <w:lang w:eastAsia="en-AU"/>
        </w:rPr>
      </w:pPr>
      <w:r>
        <w:t>T</w:t>
      </w:r>
      <w:r w:rsidR="00C00A0C">
        <w:rPr>
          <w:lang w:eastAsia="en-AU"/>
        </w:rPr>
        <w:t xml:space="preserve">he Payments are recoverable from the DCT as unfair preferences under s 588FA of the </w:t>
      </w:r>
      <w:r w:rsidR="00C00A0C" w:rsidRPr="00C00A0C">
        <w:rPr>
          <w:lang w:eastAsia="en-AU"/>
        </w:rPr>
        <w:t>Corporations Act.</w:t>
      </w:r>
      <w:r w:rsidR="00C00A0C">
        <w:rPr>
          <w:lang w:eastAsia="en-AU"/>
        </w:rPr>
        <w:t xml:space="preserve">  </w:t>
      </w:r>
    </w:p>
    <w:p w:rsidR="007A39A4" w:rsidRDefault="007A39A4" w:rsidP="00F829C3">
      <w:pPr>
        <w:pStyle w:val="ParaNumbering"/>
        <w:rPr>
          <w:lang w:eastAsia="en-AU"/>
        </w:rPr>
      </w:pPr>
      <w:r>
        <w:rPr>
          <w:lang w:eastAsia="en-AU"/>
        </w:rPr>
        <w:t>I will order that within 14 days that the parties confer and file any agreed minutes of order reflecting these reasons (including as to costs) or in the event of disagreement a short written submission as to the orders sought.</w:t>
      </w:r>
    </w:p>
    <w:p w:rsidR="002C0154" w:rsidRPr="002C0154" w:rsidRDefault="002C0154" w:rsidP="002C0154">
      <w:pPr>
        <w:pStyle w:val="ParaNumbering"/>
        <w:numPr>
          <w:ilvl w:val="0"/>
          <w:numId w:val="0"/>
        </w:numPr>
        <w:rPr>
          <w:highlight w:val="yellow"/>
          <w:lang w:eastAsia="en-AU"/>
        </w:rPr>
      </w:pPr>
    </w:p>
    <w:p w:rsidR="002C0154" w:rsidRDefault="002C0154" w:rsidP="00815065">
      <w:pPr>
        <w:pStyle w:val="BodyText"/>
      </w:pPr>
      <w:bookmarkStart w:id="23" w:name="Certification"/>
    </w:p>
    <w:tbl>
      <w:tblPr>
        <w:tblW w:w="0" w:type="auto"/>
        <w:tblLook w:val="04A0" w:firstRow="1" w:lastRow="0" w:firstColumn="1" w:lastColumn="0" w:noHBand="0" w:noVBand="1"/>
      </w:tblPr>
      <w:tblGrid>
        <w:gridCol w:w="3794"/>
      </w:tblGrid>
      <w:tr w:rsidR="002C0154" w:rsidRPr="002C0154">
        <w:tc>
          <w:tcPr>
            <w:tcW w:w="3794" w:type="dxa"/>
            <w:shd w:val="clear" w:color="auto" w:fill="auto"/>
          </w:tcPr>
          <w:p w:rsidR="002C0154" w:rsidRPr="002C0154" w:rsidRDefault="002C0154" w:rsidP="002C0154">
            <w:pPr>
              <w:pStyle w:val="Normal1linespace"/>
            </w:pPr>
            <w:r w:rsidRPr="002C0154">
              <w:t xml:space="preserve">I certify that the preceding </w:t>
            </w:r>
            <w:bookmarkStart w:id="24" w:name="NumberWord"/>
            <w:r>
              <w:t>sixty-six</w:t>
            </w:r>
            <w:bookmarkEnd w:id="24"/>
            <w:r w:rsidRPr="002C0154">
              <w:t xml:space="preserve"> (</w:t>
            </w:r>
            <w:bookmarkStart w:id="25" w:name="NumberNumeral"/>
            <w:r>
              <w:t>66</w:t>
            </w:r>
            <w:bookmarkEnd w:id="25"/>
            <w:r w:rsidRPr="002C0154">
              <w:t xml:space="preserve">) numbered </w:t>
            </w:r>
            <w:bookmarkStart w:id="26" w:name="CertPara"/>
            <w:r>
              <w:t>paragraphs are</w:t>
            </w:r>
            <w:bookmarkEnd w:id="26"/>
            <w:r w:rsidRPr="002C0154">
              <w:t xml:space="preserve"> a true copy of the Reasons for Judgment herein of the Honourable </w:t>
            </w:r>
            <w:bookmarkStart w:id="27" w:name="Justice"/>
            <w:r>
              <w:t>Justice Middleton</w:t>
            </w:r>
            <w:bookmarkEnd w:id="27"/>
            <w:r w:rsidRPr="002C0154">
              <w:t>.</w:t>
            </w:r>
          </w:p>
        </w:tc>
      </w:tr>
    </w:tbl>
    <w:p w:rsidR="002C0154" w:rsidRDefault="002C0154" w:rsidP="00815065">
      <w:pPr>
        <w:pStyle w:val="BodyText"/>
      </w:pPr>
    </w:p>
    <w:p w:rsidR="002C0154" w:rsidRDefault="002C0154" w:rsidP="00815065">
      <w:pPr>
        <w:pStyle w:val="BodyText"/>
      </w:pPr>
      <w:r>
        <w:t>Associate:</w:t>
      </w:r>
      <w:r w:rsidR="00F23FDC">
        <w:t xml:space="preserve"> </w:t>
      </w:r>
    </w:p>
    <w:p w:rsidR="002C0154" w:rsidRDefault="002C0154" w:rsidP="00815065">
      <w:pPr>
        <w:pStyle w:val="BodyText"/>
      </w:pPr>
    </w:p>
    <w:p w:rsidR="002C0154" w:rsidRPr="00C00A0C" w:rsidRDefault="002C0154" w:rsidP="000E24E3">
      <w:pPr>
        <w:pStyle w:val="BodyText"/>
        <w:tabs>
          <w:tab w:val="left" w:pos="1134"/>
        </w:tabs>
      </w:pPr>
      <w:r>
        <w:t>Dated:</w:t>
      </w:r>
      <w:r>
        <w:tab/>
      </w:r>
      <w:bookmarkStart w:id="28" w:name="CertifyDated"/>
      <w:r>
        <w:t>15 May 2020</w:t>
      </w:r>
      <w:bookmarkEnd w:id="28"/>
      <w:bookmarkEnd w:id="23"/>
    </w:p>
    <w:sectPr w:rsidR="002C0154" w:rsidRPr="00C00A0C">
      <w:headerReference w:type="even" r:id="rId10"/>
      <w:headerReference w:type="default" r:id="rId11"/>
      <w:footerReference w:type="default" r:id="rId12"/>
      <w:headerReference w:type="first" r:id="rId13"/>
      <w:footerReference w:type="first" r:id="rId14"/>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4E40" w:rsidRDefault="00244E40">
      <w:pPr>
        <w:spacing w:line="20" w:lineRule="exact"/>
      </w:pPr>
    </w:p>
    <w:p w:rsidR="00244E40" w:rsidRDefault="00244E40"/>
    <w:p w:rsidR="00244E40" w:rsidRDefault="00244E40"/>
  </w:endnote>
  <w:endnote w:type="continuationSeparator" w:id="0">
    <w:p w:rsidR="00244E40" w:rsidRDefault="00244E40">
      <w:r>
        <w:t xml:space="preserve"> </w:t>
      </w:r>
    </w:p>
    <w:p w:rsidR="00244E40" w:rsidRDefault="00244E40"/>
    <w:p w:rsidR="00244E40" w:rsidRDefault="00244E40"/>
  </w:endnote>
  <w:endnote w:type="continuationNotice" w:id="1">
    <w:p w:rsidR="00244E40" w:rsidRDefault="00244E40">
      <w:r>
        <w:t xml:space="preserve"> </w:t>
      </w:r>
    </w:p>
    <w:p w:rsidR="00244E40" w:rsidRDefault="00244E40"/>
    <w:p w:rsidR="00244E40" w:rsidRDefault="00244E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¹ÙÅÁ"/>
    <w:panose1 w:val="02030600000101010101"/>
    <w:charset w:val="81"/>
    <w:family w:val="roman"/>
    <w:pitch w:val="variable"/>
    <w:sig w:usb0="00000287"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733" w:rsidRPr="002C0154" w:rsidRDefault="00A22733" w:rsidP="002C01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733" w:rsidRPr="002C0154" w:rsidRDefault="00A22733" w:rsidP="002C01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4E40" w:rsidRDefault="00244E40"/>
    <w:p w:rsidR="00244E40" w:rsidRDefault="00244E40"/>
    <w:p w:rsidR="00244E40" w:rsidRDefault="00244E40"/>
  </w:footnote>
  <w:footnote w:type="continuationSeparator" w:id="0">
    <w:p w:rsidR="00244E40" w:rsidRDefault="00244E40">
      <w:r>
        <w:continuationSeparator/>
      </w:r>
    </w:p>
    <w:p w:rsidR="00244E40" w:rsidRDefault="00244E40"/>
    <w:p w:rsidR="00244E40" w:rsidRDefault="00244E4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733" w:rsidRDefault="00A22733">
    <w:pPr>
      <w:tabs>
        <w:tab w:val="center" w:pos="4512"/>
      </w:tabs>
      <w:suppressAutoHyphens/>
    </w:pPr>
    <w:r>
      <w:tab/>
      <w:t xml:space="preserve">- </w:t>
    </w:r>
    <w:r>
      <w:fldChar w:fldCharType="begin"/>
    </w:r>
    <w:r>
      <w:instrText xml:space="preserve"> PAGE   \* MERGEFORMAT </w:instrText>
    </w:r>
    <w:r>
      <w:fldChar w:fldCharType="separate"/>
    </w:r>
    <w:r w:rsidR="00342626">
      <w:rPr>
        <w:noProof/>
      </w:rPr>
      <w:t>iii</w:t>
    </w:r>
    <w:r>
      <w:rPr>
        <w:noProof/>
      </w:rP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733" w:rsidRDefault="00A22733">
    <w:pPr>
      <w:pStyle w:val="Header"/>
      <w:tabs>
        <w:tab w:val="clear" w:pos="4320"/>
        <w:tab w:val="clear" w:pos="8640"/>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733" w:rsidRDefault="00A22733"/>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733" w:rsidRDefault="00A22733">
    <w:pPr>
      <w:tabs>
        <w:tab w:val="center" w:pos="4512"/>
      </w:tabs>
      <w:suppressAutoHyphens/>
    </w:pPr>
    <w:r>
      <w:tab/>
      <w:t xml:space="preserve">- </w:t>
    </w:r>
    <w:r>
      <w:fldChar w:fldCharType="begin"/>
    </w:r>
    <w:r>
      <w:instrText>page \* arabic</w:instrText>
    </w:r>
    <w:r>
      <w:fldChar w:fldCharType="separate"/>
    </w:r>
    <w:r w:rsidR="00E439BF">
      <w:rPr>
        <w:noProof/>
      </w:rPr>
      <w:t>23</w:t>
    </w:r>
    <w:r>
      <w:fldChar w:fldCharType="end"/>
    </w: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733" w:rsidRDefault="00A22733">
    <w:pPr>
      <w:pStyle w:val="Header"/>
      <w:tabs>
        <w:tab w:val="clear" w:pos="4320"/>
        <w:tab w:val="clear" w:pos="864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9E2A2F"/>
    <w:multiLevelType w:val="multilevel"/>
    <w:tmpl w:val="F61AF490"/>
    <w:styleLink w:val="FCListNoalt"/>
    <w:lvl w:ilvl="0">
      <w:start w:val="1"/>
      <w:numFmt w:val="lowerLetter"/>
      <w:lvlRestart w:val="0"/>
      <w:lvlText w:val="(%1)"/>
      <w:lvlJc w:val="left"/>
      <w:pPr>
        <w:tabs>
          <w:tab w:val="num" w:pos="720"/>
        </w:tabs>
        <w:ind w:left="720" w:hanging="720"/>
      </w:pPr>
      <w:rPr>
        <w:rFonts w:ascii="Times New Roman" w:hAnsi="Times New Roman" w:hint="default"/>
      </w:rPr>
    </w:lvl>
    <w:lvl w:ilvl="1">
      <w:start w:val="1"/>
      <w:numFmt w:val="lowerRoman"/>
      <w:lvlText w:val="(%2)"/>
      <w:lvlJc w:val="left"/>
      <w:pPr>
        <w:tabs>
          <w:tab w:val="num" w:pos="1440"/>
        </w:tabs>
        <w:ind w:left="1440" w:hanging="720"/>
      </w:pPr>
      <w:rPr>
        <w:rFonts w:hint="default"/>
      </w:rPr>
    </w:lvl>
    <w:lvl w:ilvl="2">
      <w:start w:val="1"/>
      <w:numFmt w:val="upperLetter"/>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1"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148F59FE"/>
    <w:multiLevelType w:val="hybridMultilevel"/>
    <w:tmpl w:val="39AE44D8"/>
    <w:lvl w:ilvl="0" w:tplc="C422EE1C">
      <w:start w:val="2"/>
      <w:numFmt w:val="decimal"/>
      <w:lvlText w:val="%1."/>
      <w:lvlJc w:val="left"/>
      <w:pPr>
        <w:ind w:left="1097"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4"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5" w15:restartNumberingAfterBreak="0">
    <w:nsid w:val="29113874"/>
    <w:multiLevelType w:val="hybridMultilevel"/>
    <w:tmpl w:val="BB5A0AB8"/>
    <w:lvl w:ilvl="0" w:tplc="18548EF4">
      <w:start w:val="1"/>
      <w:numFmt w:val="decimal"/>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16"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7" w15:restartNumberingAfterBreak="0">
    <w:nsid w:val="2AD4345C"/>
    <w:multiLevelType w:val="multilevel"/>
    <w:tmpl w:val="A1C8FFD0"/>
    <w:styleLink w:val="FCOrders"/>
    <w:lvl w:ilvl="0">
      <w:start w:val="1"/>
      <w:numFmt w:val="decimal"/>
      <w:pStyle w:val="Order1"/>
      <w:lvlText w:val="%1."/>
      <w:lvlJc w:val="left"/>
      <w:pPr>
        <w:tabs>
          <w:tab w:val="num" w:pos="720"/>
        </w:tabs>
        <w:ind w:left="720" w:hanging="720"/>
      </w:pPr>
      <w:rPr>
        <w:rFonts w:ascii="Times New Roman" w:hAnsi="Times New Roman" w:hint="default"/>
        <w:sz w:val="24"/>
      </w:rPr>
    </w:lvl>
    <w:lvl w:ilvl="1">
      <w:start w:val="1"/>
      <w:numFmt w:val="lowerLetter"/>
      <w:pStyle w:val="Order2"/>
      <w:lvlText w:val="(%2)"/>
      <w:lvlJc w:val="left"/>
      <w:pPr>
        <w:tabs>
          <w:tab w:val="num" w:pos="1440"/>
        </w:tabs>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start w:val="1"/>
      <w:numFmt w:val="upperLetter"/>
      <w:pStyle w:val="Order4"/>
      <w:lvlText w:val="%4."/>
      <w:lvlJc w:val="left"/>
      <w:pPr>
        <w:tabs>
          <w:tab w:val="num" w:pos="2160"/>
        </w:tabs>
        <w:ind w:left="2880" w:hanging="72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8" w15:restartNumberingAfterBreak="0">
    <w:nsid w:val="2AF11FCB"/>
    <w:multiLevelType w:val="hybridMultilevel"/>
    <w:tmpl w:val="94A6534E"/>
    <w:lvl w:ilvl="0" w:tplc="31029F3C">
      <w:start w:val="1"/>
      <w:numFmt w:val="bullet"/>
      <w:pStyle w:val="Quote4Bullet"/>
      <w:lvlText w:val=""/>
      <w:lvlJc w:val="left"/>
      <w:pPr>
        <w:ind w:left="3600" w:hanging="360"/>
      </w:pPr>
      <w:rPr>
        <w:rFonts w:ascii="Symbol" w:hAnsi="Symbol" w:hint="default"/>
        <w:sz w:val="16"/>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9" w15:restartNumberingAfterBreak="0">
    <w:nsid w:val="2DE72967"/>
    <w:multiLevelType w:val="hybridMultilevel"/>
    <w:tmpl w:val="F320B800"/>
    <w:lvl w:ilvl="0" w:tplc="6D2E17A8">
      <w:start w:val="1"/>
      <w:numFmt w:val="decimal"/>
      <w:lvlText w:val="(%1)"/>
      <w:lvlJc w:val="left"/>
      <w:pPr>
        <w:ind w:left="1097" w:hanging="360"/>
      </w:pPr>
      <w:rPr>
        <w:rFonts w:hint="default"/>
      </w:rPr>
    </w:lvl>
    <w:lvl w:ilvl="1" w:tplc="0C090019">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20" w15:restartNumberingAfterBreak="0">
    <w:nsid w:val="2F38250A"/>
    <w:multiLevelType w:val="hybridMultilevel"/>
    <w:tmpl w:val="81DC55C0"/>
    <w:lvl w:ilvl="0" w:tplc="A14ED874">
      <w:start w:val="1"/>
      <w:numFmt w:val="upperLetter"/>
      <w:lvlText w:val="%1."/>
      <w:lvlJc w:val="left"/>
      <w:pPr>
        <w:ind w:left="1457" w:hanging="360"/>
      </w:pPr>
      <w:rPr>
        <w:rFonts w:hint="default"/>
      </w:rPr>
    </w:lvl>
    <w:lvl w:ilvl="1" w:tplc="0C090019" w:tentative="1">
      <w:start w:val="1"/>
      <w:numFmt w:val="lowerLetter"/>
      <w:lvlText w:val="%2."/>
      <w:lvlJc w:val="left"/>
      <w:pPr>
        <w:ind w:left="2177" w:hanging="360"/>
      </w:pPr>
    </w:lvl>
    <w:lvl w:ilvl="2" w:tplc="0C09001B" w:tentative="1">
      <w:start w:val="1"/>
      <w:numFmt w:val="lowerRoman"/>
      <w:lvlText w:val="%3."/>
      <w:lvlJc w:val="right"/>
      <w:pPr>
        <w:ind w:left="2897" w:hanging="180"/>
      </w:pPr>
    </w:lvl>
    <w:lvl w:ilvl="3" w:tplc="0C09000F" w:tentative="1">
      <w:start w:val="1"/>
      <w:numFmt w:val="decimal"/>
      <w:lvlText w:val="%4."/>
      <w:lvlJc w:val="left"/>
      <w:pPr>
        <w:ind w:left="3617" w:hanging="360"/>
      </w:pPr>
    </w:lvl>
    <w:lvl w:ilvl="4" w:tplc="0C090019" w:tentative="1">
      <w:start w:val="1"/>
      <w:numFmt w:val="lowerLetter"/>
      <w:lvlText w:val="%5."/>
      <w:lvlJc w:val="left"/>
      <w:pPr>
        <w:ind w:left="4337" w:hanging="360"/>
      </w:pPr>
    </w:lvl>
    <w:lvl w:ilvl="5" w:tplc="0C09001B" w:tentative="1">
      <w:start w:val="1"/>
      <w:numFmt w:val="lowerRoman"/>
      <w:lvlText w:val="%6."/>
      <w:lvlJc w:val="right"/>
      <w:pPr>
        <w:ind w:left="5057" w:hanging="180"/>
      </w:pPr>
    </w:lvl>
    <w:lvl w:ilvl="6" w:tplc="0C09000F" w:tentative="1">
      <w:start w:val="1"/>
      <w:numFmt w:val="decimal"/>
      <w:lvlText w:val="%7."/>
      <w:lvlJc w:val="left"/>
      <w:pPr>
        <w:ind w:left="5777" w:hanging="360"/>
      </w:pPr>
    </w:lvl>
    <w:lvl w:ilvl="7" w:tplc="0C090019" w:tentative="1">
      <w:start w:val="1"/>
      <w:numFmt w:val="lowerLetter"/>
      <w:lvlText w:val="%8."/>
      <w:lvlJc w:val="left"/>
      <w:pPr>
        <w:ind w:left="6497" w:hanging="360"/>
      </w:pPr>
    </w:lvl>
    <w:lvl w:ilvl="8" w:tplc="0C09001B" w:tentative="1">
      <w:start w:val="1"/>
      <w:numFmt w:val="lowerRoman"/>
      <w:lvlText w:val="%9."/>
      <w:lvlJc w:val="right"/>
      <w:pPr>
        <w:ind w:left="7217" w:hanging="180"/>
      </w:pPr>
    </w:lvl>
  </w:abstractNum>
  <w:abstractNum w:abstractNumId="21" w15:restartNumberingAfterBreak="0">
    <w:nsid w:val="33561E2E"/>
    <w:multiLevelType w:val="hybridMultilevel"/>
    <w:tmpl w:val="433821BE"/>
    <w:lvl w:ilvl="0" w:tplc="DE3AD0E2">
      <w:start w:val="1"/>
      <w:numFmt w:val="bullet"/>
      <w:pStyle w:val="Quote3Bullet"/>
      <w:lvlText w:val=""/>
      <w:lvlJc w:val="left"/>
      <w:pPr>
        <w:ind w:left="2880" w:hanging="360"/>
      </w:pPr>
      <w:rPr>
        <w:rFonts w:ascii="Wingdings" w:hAnsi="Wingdings" w:hint="default"/>
      </w:rPr>
    </w:lvl>
    <w:lvl w:ilvl="1" w:tplc="0C090003">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2" w15:restartNumberingAfterBreak="0">
    <w:nsid w:val="494817A7"/>
    <w:multiLevelType w:val="multilevel"/>
    <w:tmpl w:val="0F0EC90E"/>
    <w:numStyleLink w:val="FCListNo"/>
  </w:abstractNum>
  <w:abstractNum w:abstractNumId="23"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6"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7" w15:restartNumberingAfterBreak="0">
    <w:nsid w:val="78F77D8A"/>
    <w:multiLevelType w:val="hybridMultilevel"/>
    <w:tmpl w:val="15165A1E"/>
    <w:lvl w:ilvl="0" w:tplc="C634445E">
      <w:start w:val="1"/>
      <w:numFmt w:val="upperLetter"/>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28"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6"/>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5"/>
  </w:num>
  <w:num w:numId="14">
    <w:abstractNumId w:val="23"/>
  </w:num>
  <w:num w:numId="15">
    <w:abstractNumId w:val="24"/>
  </w:num>
  <w:num w:numId="16">
    <w:abstractNumId w:val="28"/>
  </w:num>
  <w:num w:numId="17">
    <w:abstractNumId w:val="14"/>
  </w:num>
  <w:num w:numId="18">
    <w:abstractNumId w:val="26"/>
  </w:num>
  <w:num w:numId="19">
    <w:abstractNumId w:val="11"/>
  </w:num>
  <w:num w:numId="20">
    <w:abstractNumId w:val="21"/>
  </w:num>
  <w:num w:numId="21">
    <w:abstractNumId w:val="2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2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lvl w:ilvl="1">
        <w:start w:val="1"/>
        <w:numFmt w:val="lowerLetter"/>
        <w:pStyle w:val="ListNo2"/>
        <w:lvlText w:val="(%2)"/>
        <w:lvlJc w:val="left"/>
        <w:pPr>
          <w:tabs>
            <w:tab w:val="num" w:pos="1440"/>
          </w:tabs>
          <w:ind w:left="1440" w:hanging="720"/>
        </w:pPr>
        <w:rPr>
          <w:rFonts w:hint="default"/>
        </w:rPr>
      </w:lvl>
    </w:lvlOverride>
    <w:lvlOverride w:ilvl="2">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lvl w:ilvl="4">
        <w:start w:val="1"/>
        <w:numFmt w:val="none"/>
        <w:lvlRestart w:val="0"/>
        <w:suff w:val="nothing"/>
        <w:lvlText w:val=""/>
        <w:lvlJc w:val="left"/>
        <w:pPr>
          <w:ind w:left="-32767" w:firstLine="0"/>
        </w:pPr>
        <w:rPr>
          <w:rFonts w:hint="default"/>
        </w:rPr>
      </w:lvl>
    </w:lvlOverride>
    <w:lvlOverride w:ilvl="5">
      <w:lvl w:ilvl="5">
        <w:start w:val="1"/>
        <w:numFmt w:val="none"/>
        <w:lvlRestart w:val="0"/>
        <w:suff w:val="nothing"/>
        <w:lvlText w:val=""/>
        <w:lvlJc w:val="left"/>
        <w:pPr>
          <w:ind w:left="-32767" w:firstLine="0"/>
        </w:pPr>
        <w:rPr>
          <w:rFonts w:hint="default"/>
        </w:rPr>
      </w:lvl>
    </w:lvlOverride>
    <w:lvlOverride w:ilvl="6">
      <w:lvl w:ilvl="6">
        <w:start w:val="1"/>
        <w:numFmt w:val="none"/>
        <w:lvlRestart w:val="0"/>
        <w:suff w:val="nothing"/>
        <w:lvlText w:val=""/>
        <w:lvlJc w:val="left"/>
        <w:pPr>
          <w:ind w:left="-32767" w:firstLine="0"/>
        </w:pPr>
        <w:rPr>
          <w:rFonts w:hint="default"/>
        </w:rPr>
      </w:lvl>
    </w:lvlOverride>
    <w:lvlOverride w:ilvl="7">
      <w:lvl w:ilvl="7">
        <w:start w:val="1"/>
        <w:numFmt w:val="none"/>
        <w:lvlRestart w:val="0"/>
        <w:suff w:val="nothing"/>
        <w:lvlText w:val=""/>
        <w:lvlJc w:val="left"/>
        <w:pPr>
          <w:ind w:left="-32767" w:firstLine="0"/>
        </w:pPr>
        <w:rPr>
          <w:rFonts w:hint="default"/>
        </w:rPr>
      </w:lvl>
    </w:lvlOverride>
    <w:lvlOverride w:ilvl="8">
      <w:lvl w:ilvl="8">
        <w:start w:val="1"/>
        <w:numFmt w:val="none"/>
        <w:lvlRestart w:val="0"/>
        <w:suff w:val="nothing"/>
        <w:lvlText w:val=""/>
        <w:lvlJc w:val="left"/>
        <w:pPr>
          <w:ind w:left="-32767" w:firstLine="0"/>
        </w:pPr>
        <w:rPr>
          <w:rFonts w:hint="default"/>
        </w:rPr>
      </w:lvl>
    </w:lvlOverride>
  </w:num>
  <w:num w:numId="26">
    <w:abstractNumId w:val="22"/>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27">
    <w:abstractNumId w:val="22"/>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28">
    <w:abstractNumId w:val="15"/>
  </w:num>
  <w:num w:numId="29">
    <w:abstractNumId w:val="12"/>
  </w:num>
  <w:num w:numId="30">
    <w:abstractNumId w:val="20"/>
  </w:num>
  <w:num w:numId="31">
    <w:abstractNumId w:val="27"/>
  </w:num>
  <w:num w:numId="32">
    <w:abstractNumId w:val="18"/>
  </w:num>
  <w:num w:numId="33">
    <w:abstractNumId w:val="17"/>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10"/>
  </w:num>
  <w:num w:numId="36">
    <w:abstractNumId w:val="17"/>
  </w:num>
  <w:num w:numId="37">
    <w:abstractNumId w:val="22"/>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38">
    <w:abstractNumId w:val="22"/>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licant" w:val="ANDREW REGINALD YEO AS JOINT AND SEVERAL LIQUIDATOR OF READY KT CABINETS PTY LTD (ACN 131 173 567)|GESS MICHAEL RAMBALDI AS JOINT AND SEVERAL LIQUIDATOR OF READY KT CABINETS PTY LTD|READY KIT CABINETS PTY LTD"/>
    <w:docVar w:name="CounselParties" w:val="Respondent"/>
    <w:docVar w:name="CounselType" w:val="Solicitor for the "/>
    <w:docVar w:name="Cross1AndAnother" w:val="True"/>
    <w:docVar w:name="Cross1AndOthers" w:val="False"/>
    <w:docVar w:name="Cross2AndAnother" w:val="True"/>
    <w:docVar w:name="Cross2AndOthers" w:val="False"/>
    <w:docVar w:name="Defenders" w:val="(and another named in the Schedule)"/>
    <w:docVar w:name="Division" w:val="General Division"/>
    <w:docVar w:name="DocCreated" w:val="True"/>
    <w:docVar w:name="FileNumbers" w:val="VID 695 of 2018"/>
    <w:docVar w:name="HearingDate" w:val="31 March 2020"/>
    <w:docVar w:name="Initiators" w:val="(and another named in the Schedule)"/>
    <w:docVar w:name="InTheMatterOf" w:val="READY KT CABINETS PTY LTD (ACN 131 173 567) (IN LIQUIDATION)"/>
    <w:docVar w:name="Judgdate" w:val="15 May 2020"/>
    <w:docVar w:name="Judge" w:val="MIDDLETON"/>
    <w:docVar w:name="Justices" w:val="Justice"/>
    <w:docVar w:name="lstEntryList" w:val="-1"/>
    <w:docVar w:name="myEntryList" w:val="Counsel for the Applicants=Mr P Fary with Mr A Silver|Solicitor for the Applicants=SBA Law|Counsel for the Respondent=Mr S Rosewarne|Solicitor for the Respondent=Craddock Murray Neumann"/>
    <w:docVar w:name="NSD" w:val="NSD "/>
    <w:docVar w:name="NumApps" w:val="3"/>
    <w:docVar w:name="NumApps_" w:val="1"/>
    <w:docVar w:name="NumCrossResps" w:val="0"/>
    <w:docVar w:name="NumDefs" w:val="1"/>
    <w:docVar w:name="NumOthers" w:val="0"/>
    <w:docVar w:name="OtherNum" w:val="0"/>
    <w:docVar w:name="Parties1" w:val="Applicant"/>
    <w:docVar w:name="Parties2" w:val="Respondent"/>
    <w:docVar w:name="Parties3" w:val="Cross-Appellant"/>
    <w:docVar w:name="Parties4" w:val="Cross-Defendant"/>
    <w:docVar w:name="Parties5" w:val="Intervener"/>
    <w:docVar w:name="PracticeArea" w:val="Commercial and Corporations"/>
    <w:docVar w:name="RESAndAnother" w:val="True"/>
    <w:docVar w:name="RESAndOthers" w:val="False"/>
    <w:docVar w:name="Respondent" w:val="DEPUTY COMMISSIONER OF TAXATION"/>
    <w:docVar w:name="ResState" w:val="Victoria"/>
    <w:docVar w:name="SubArea" w:val="Corporations and Corporate Insolvency (C &amp; C)"/>
  </w:docVars>
  <w:rsids>
    <w:rsidRoot w:val="00784D8D"/>
    <w:rsid w:val="0001469E"/>
    <w:rsid w:val="00015993"/>
    <w:rsid w:val="00021AFE"/>
    <w:rsid w:val="00022289"/>
    <w:rsid w:val="000279C1"/>
    <w:rsid w:val="00032F9F"/>
    <w:rsid w:val="000379D4"/>
    <w:rsid w:val="00041C07"/>
    <w:rsid w:val="00041C6F"/>
    <w:rsid w:val="00045BB7"/>
    <w:rsid w:val="000516CF"/>
    <w:rsid w:val="0005367C"/>
    <w:rsid w:val="00055719"/>
    <w:rsid w:val="0005641B"/>
    <w:rsid w:val="00057466"/>
    <w:rsid w:val="00061075"/>
    <w:rsid w:val="00064917"/>
    <w:rsid w:val="00070106"/>
    <w:rsid w:val="000747FA"/>
    <w:rsid w:val="00081497"/>
    <w:rsid w:val="000822D2"/>
    <w:rsid w:val="0008587E"/>
    <w:rsid w:val="000863FD"/>
    <w:rsid w:val="00093F59"/>
    <w:rsid w:val="000A1C94"/>
    <w:rsid w:val="000A23B9"/>
    <w:rsid w:val="000A2E76"/>
    <w:rsid w:val="000A4807"/>
    <w:rsid w:val="000A4BE4"/>
    <w:rsid w:val="000A6021"/>
    <w:rsid w:val="000A615D"/>
    <w:rsid w:val="000A6D36"/>
    <w:rsid w:val="000B1383"/>
    <w:rsid w:val="000B77DE"/>
    <w:rsid w:val="000C023E"/>
    <w:rsid w:val="000C178E"/>
    <w:rsid w:val="000C4D54"/>
    <w:rsid w:val="000C5195"/>
    <w:rsid w:val="000C62EF"/>
    <w:rsid w:val="000D0255"/>
    <w:rsid w:val="000D2137"/>
    <w:rsid w:val="000D2CBB"/>
    <w:rsid w:val="000D2D15"/>
    <w:rsid w:val="000D3FD2"/>
    <w:rsid w:val="000E24E3"/>
    <w:rsid w:val="000E3FC8"/>
    <w:rsid w:val="000E4801"/>
    <w:rsid w:val="000E7BAE"/>
    <w:rsid w:val="000F133D"/>
    <w:rsid w:val="000F6DFA"/>
    <w:rsid w:val="00100643"/>
    <w:rsid w:val="0010536B"/>
    <w:rsid w:val="001077A8"/>
    <w:rsid w:val="00107C62"/>
    <w:rsid w:val="0011063A"/>
    <w:rsid w:val="0011145C"/>
    <w:rsid w:val="001128BD"/>
    <w:rsid w:val="0011419D"/>
    <w:rsid w:val="00116ECE"/>
    <w:rsid w:val="00121068"/>
    <w:rsid w:val="00132054"/>
    <w:rsid w:val="0015158D"/>
    <w:rsid w:val="00155436"/>
    <w:rsid w:val="001707D5"/>
    <w:rsid w:val="001727A4"/>
    <w:rsid w:val="00173426"/>
    <w:rsid w:val="0017376C"/>
    <w:rsid w:val="001738AB"/>
    <w:rsid w:val="001765E0"/>
    <w:rsid w:val="00177759"/>
    <w:rsid w:val="0018193C"/>
    <w:rsid w:val="001828F9"/>
    <w:rsid w:val="00185E6B"/>
    <w:rsid w:val="00187BBC"/>
    <w:rsid w:val="00187E1A"/>
    <w:rsid w:val="001932F3"/>
    <w:rsid w:val="00193D1E"/>
    <w:rsid w:val="001A367E"/>
    <w:rsid w:val="001A4309"/>
    <w:rsid w:val="001A44B4"/>
    <w:rsid w:val="001A58AB"/>
    <w:rsid w:val="001A73E0"/>
    <w:rsid w:val="001B1053"/>
    <w:rsid w:val="001B14AC"/>
    <w:rsid w:val="001B14AF"/>
    <w:rsid w:val="001B2FA0"/>
    <w:rsid w:val="001B376E"/>
    <w:rsid w:val="001B4149"/>
    <w:rsid w:val="001B49E1"/>
    <w:rsid w:val="001B6ECA"/>
    <w:rsid w:val="001B6F81"/>
    <w:rsid w:val="001B7940"/>
    <w:rsid w:val="001C2FAB"/>
    <w:rsid w:val="001C37CA"/>
    <w:rsid w:val="001C573E"/>
    <w:rsid w:val="001C74A9"/>
    <w:rsid w:val="001D4303"/>
    <w:rsid w:val="001D6746"/>
    <w:rsid w:val="001E3B49"/>
    <w:rsid w:val="001E50EC"/>
    <w:rsid w:val="001E628F"/>
    <w:rsid w:val="001E65A5"/>
    <w:rsid w:val="001E7388"/>
    <w:rsid w:val="001F13DD"/>
    <w:rsid w:val="001F2108"/>
    <w:rsid w:val="001F2DBC"/>
    <w:rsid w:val="001F62B9"/>
    <w:rsid w:val="001F73E8"/>
    <w:rsid w:val="002007AD"/>
    <w:rsid w:val="00200914"/>
    <w:rsid w:val="0020262C"/>
    <w:rsid w:val="00206AD0"/>
    <w:rsid w:val="00214817"/>
    <w:rsid w:val="00216B2D"/>
    <w:rsid w:val="00216CF2"/>
    <w:rsid w:val="0022018A"/>
    <w:rsid w:val="00224537"/>
    <w:rsid w:val="00231325"/>
    <w:rsid w:val="0023189C"/>
    <w:rsid w:val="00233839"/>
    <w:rsid w:val="00235956"/>
    <w:rsid w:val="00240ECE"/>
    <w:rsid w:val="00244E40"/>
    <w:rsid w:val="00247C9A"/>
    <w:rsid w:val="0025160C"/>
    <w:rsid w:val="002535D0"/>
    <w:rsid w:val="002539B3"/>
    <w:rsid w:val="00257C3E"/>
    <w:rsid w:val="002602C2"/>
    <w:rsid w:val="0026081C"/>
    <w:rsid w:val="00261927"/>
    <w:rsid w:val="00262A77"/>
    <w:rsid w:val="00263403"/>
    <w:rsid w:val="00263D99"/>
    <w:rsid w:val="00264A61"/>
    <w:rsid w:val="002666C9"/>
    <w:rsid w:val="00270136"/>
    <w:rsid w:val="00270C06"/>
    <w:rsid w:val="002716DD"/>
    <w:rsid w:val="00274F5B"/>
    <w:rsid w:val="002757E7"/>
    <w:rsid w:val="00280836"/>
    <w:rsid w:val="00282E1A"/>
    <w:rsid w:val="00282F32"/>
    <w:rsid w:val="00284926"/>
    <w:rsid w:val="002856F2"/>
    <w:rsid w:val="0029113B"/>
    <w:rsid w:val="002934C0"/>
    <w:rsid w:val="002976CA"/>
    <w:rsid w:val="002A1B50"/>
    <w:rsid w:val="002A67AF"/>
    <w:rsid w:val="002B0E91"/>
    <w:rsid w:val="002B3467"/>
    <w:rsid w:val="002B6779"/>
    <w:rsid w:val="002B71C0"/>
    <w:rsid w:val="002B7A34"/>
    <w:rsid w:val="002C0154"/>
    <w:rsid w:val="002C215E"/>
    <w:rsid w:val="002C26BB"/>
    <w:rsid w:val="002C31AD"/>
    <w:rsid w:val="002C7385"/>
    <w:rsid w:val="002D2D7E"/>
    <w:rsid w:val="002D2DBB"/>
    <w:rsid w:val="002D427F"/>
    <w:rsid w:val="002D54A6"/>
    <w:rsid w:val="002D7569"/>
    <w:rsid w:val="002E2B26"/>
    <w:rsid w:val="002E2DDB"/>
    <w:rsid w:val="002E53BB"/>
    <w:rsid w:val="002E6A7A"/>
    <w:rsid w:val="002F047A"/>
    <w:rsid w:val="002F1E49"/>
    <w:rsid w:val="002F4E9C"/>
    <w:rsid w:val="002F719D"/>
    <w:rsid w:val="002F7B5A"/>
    <w:rsid w:val="0030021D"/>
    <w:rsid w:val="0030148A"/>
    <w:rsid w:val="003026CA"/>
    <w:rsid w:val="00307CB2"/>
    <w:rsid w:val="00311490"/>
    <w:rsid w:val="0031256C"/>
    <w:rsid w:val="00314D6C"/>
    <w:rsid w:val="00314E2A"/>
    <w:rsid w:val="003164BE"/>
    <w:rsid w:val="00316D2A"/>
    <w:rsid w:val="00322A7C"/>
    <w:rsid w:val="003266C2"/>
    <w:rsid w:val="00327280"/>
    <w:rsid w:val="003315BF"/>
    <w:rsid w:val="00333DD8"/>
    <w:rsid w:val="0033418D"/>
    <w:rsid w:val="003402D3"/>
    <w:rsid w:val="00341AAC"/>
    <w:rsid w:val="00342626"/>
    <w:rsid w:val="00343ABC"/>
    <w:rsid w:val="003463FE"/>
    <w:rsid w:val="003554B3"/>
    <w:rsid w:val="00356632"/>
    <w:rsid w:val="00357909"/>
    <w:rsid w:val="00361CDF"/>
    <w:rsid w:val="00372AF2"/>
    <w:rsid w:val="00373BEF"/>
    <w:rsid w:val="00377094"/>
    <w:rsid w:val="003821E9"/>
    <w:rsid w:val="0038375B"/>
    <w:rsid w:val="003845A9"/>
    <w:rsid w:val="00385B23"/>
    <w:rsid w:val="003876D4"/>
    <w:rsid w:val="00387CD0"/>
    <w:rsid w:val="00390751"/>
    <w:rsid w:val="00390883"/>
    <w:rsid w:val="00390B04"/>
    <w:rsid w:val="003922F8"/>
    <w:rsid w:val="003928A6"/>
    <w:rsid w:val="00395B24"/>
    <w:rsid w:val="00396D24"/>
    <w:rsid w:val="003A172B"/>
    <w:rsid w:val="003A18C5"/>
    <w:rsid w:val="003A2D38"/>
    <w:rsid w:val="003A3944"/>
    <w:rsid w:val="003A4566"/>
    <w:rsid w:val="003A7B52"/>
    <w:rsid w:val="003A7ECC"/>
    <w:rsid w:val="003B2C72"/>
    <w:rsid w:val="003C1333"/>
    <w:rsid w:val="003C20FF"/>
    <w:rsid w:val="003C3A36"/>
    <w:rsid w:val="003C3B9C"/>
    <w:rsid w:val="003D2650"/>
    <w:rsid w:val="003D560C"/>
    <w:rsid w:val="003E0CA9"/>
    <w:rsid w:val="003E1ECE"/>
    <w:rsid w:val="003E5874"/>
    <w:rsid w:val="003E6CDB"/>
    <w:rsid w:val="003E6D55"/>
    <w:rsid w:val="003F0D65"/>
    <w:rsid w:val="003F193E"/>
    <w:rsid w:val="003F34F1"/>
    <w:rsid w:val="003F3B0F"/>
    <w:rsid w:val="003F4669"/>
    <w:rsid w:val="003F7C8F"/>
    <w:rsid w:val="00411AE8"/>
    <w:rsid w:val="00413B74"/>
    <w:rsid w:val="0041486F"/>
    <w:rsid w:val="00414E59"/>
    <w:rsid w:val="00431350"/>
    <w:rsid w:val="00433769"/>
    <w:rsid w:val="004348C5"/>
    <w:rsid w:val="00435C5F"/>
    <w:rsid w:val="00441E98"/>
    <w:rsid w:val="004473F0"/>
    <w:rsid w:val="0045124E"/>
    <w:rsid w:val="004532F7"/>
    <w:rsid w:val="00454936"/>
    <w:rsid w:val="00466E20"/>
    <w:rsid w:val="00471C1A"/>
    <w:rsid w:val="00472027"/>
    <w:rsid w:val="00474998"/>
    <w:rsid w:val="004804CF"/>
    <w:rsid w:val="0048094D"/>
    <w:rsid w:val="00484962"/>
    <w:rsid w:val="00484F6D"/>
    <w:rsid w:val="0049149B"/>
    <w:rsid w:val="00491F28"/>
    <w:rsid w:val="0049338A"/>
    <w:rsid w:val="0049417F"/>
    <w:rsid w:val="0049615C"/>
    <w:rsid w:val="004966CA"/>
    <w:rsid w:val="004A26BD"/>
    <w:rsid w:val="004B3EFA"/>
    <w:rsid w:val="004C1C6A"/>
    <w:rsid w:val="004C2A87"/>
    <w:rsid w:val="004C2B2C"/>
    <w:rsid w:val="004C2D90"/>
    <w:rsid w:val="004C4D7B"/>
    <w:rsid w:val="004C4ED3"/>
    <w:rsid w:val="004D2EA5"/>
    <w:rsid w:val="004D32A6"/>
    <w:rsid w:val="004D34AD"/>
    <w:rsid w:val="004D53E5"/>
    <w:rsid w:val="004E0128"/>
    <w:rsid w:val="004F32AC"/>
    <w:rsid w:val="0050083D"/>
    <w:rsid w:val="00501A12"/>
    <w:rsid w:val="005021A9"/>
    <w:rsid w:val="0050273C"/>
    <w:rsid w:val="00506342"/>
    <w:rsid w:val="00506350"/>
    <w:rsid w:val="00510E6F"/>
    <w:rsid w:val="00511EA5"/>
    <w:rsid w:val="0051346D"/>
    <w:rsid w:val="00513EAE"/>
    <w:rsid w:val="005141F8"/>
    <w:rsid w:val="00516806"/>
    <w:rsid w:val="00521701"/>
    <w:rsid w:val="00523920"/>
    <w:rsid w:val="00525A49"/>
    <w:rsid w:val="00535613"/>
    <w:rsid w:val="005359EB"/>
    <w:rsid w:val="005374B9"/>
    <w:rsid w:val="0054254A"/>
    <w:rsid w:val="00543A9C"/>
    <w:rsid w:val="005466B5"/>
    <w:rsid w:val="0055363E"/>
    <w:rsid w:val="00554314"/>
    <w:rsid w:val="005564A1"/>
    <w:rsid w:val="005607A2"/>
    <w:rsid w:val="00560FFC"/>
    <w:rsid w:val="00561367"/>
    <w:rsid w:val="00561AB0"/>
    <w:rsid w:val="005629B3"/>
    <w:rsid w:val="00562A99"/>
    <w:rsid w:val="00562CEB"/>
    <w:rsid w:val="00564EB9"/>
    <w:rsid w:val="005678D1"/>
    <w:rsid w:val="00573AC4"/>
    <w:rsid w:val="005801FC"/>
    <w:rsid w:val="00584453"/>
    <w:rsid w:val="00592C94"/>
    <w:rsid w:val="00595016"/>
    <w:rsid w:val="005969F1"/>
    <w:rsid w:val="00597AAE"/>
    <w:rsid w:val="00597B1E"/>
    <w:rsid w:val="005A1BDA"/>
    <w:rsid w:val="005A1F89"/>
    <w:rsid w:val="005A222C"/>
    <w:rsid w:val="005A33DA"/>
    <w:rsid w:val="005A3464"/>
    <w:rsid w:val="005A4DF8"/>
    <w:rsid w:val="005A5C7D"/>
    <w:rsid w:val="005B012A"/>
    <w:rsid w:val="005B1426"/>
    <w:rsid w:val="005B2401"/>
    <w:rsid w:val="005B35C6"/>
    <w:rsid w:val="005B39ED"/>
    <w:rsid w:val="005B3D24"/>
    <w:rsid w:val="005B4F49"/>
    <w:rsid w:val="005C0A8E"/>
    <w:rsid w:val="005C0CF1"/>
    <w:rsid w:val="005C1767"/>
    <w:rsid w:val="005C180E"/>
    <w:rsid w:val="005C42EF"/>
    <w:rsid w:val="005C43D9"/>
    <w:rsid w:val="005C48CB"/>
    <w:rsid w:val="005D75B4"/>
    <w:rsid w:val="005D7AB7"/>
    <w:rsid w:val="005D7BF5"/>
    <w:rsid w:val="005E02F5"/>
    <w:rsid w:val="005E0510"/>
    <w:rsid w:val="005E176E"/>
    <w:rsid w:val="005E218E"/>
    <w:rsid w:val="005E35A0"/>
    <w:rsid w:val="005E5665"/>
    <w:rsid w:val="005F0D1B"/>
    <w:rsid w:val="005F0D7F"/>
    <w:rsid w:val="005F1865"/>
    <w:rsid w:val="005F2793"/>
    <w:rsid w:val="005F4CAB"/>
    <w:rsid w:val="005F6A8E"/>
    <w:rsid w:val="006007BD"/>
    <w:rsid w:val="006013C8"/>
    <w:rsid w:val="0060270D"/>
    <w:rsid w:val="00604611"/>
    <w:rsid w:val="00611586"/>
    <w:rsid w:val="00613A25"/>
    <w:rsid w:val="006142F6"/>
    <w:rsid w:val="00615FB3"/>
    <w:rsid w:val="00621887"/>
    <w:rsid w:val="00624520"/>
    <w:rsid w:val="0062777D"/>
    <w:rsid w:val="00632300"/>
    <w:rsid w:val="00632BB7"/>
    <w:rsid w:val="00635B36"/>
    <w:rsid w:val="00635CCB"/>
    <w:rsid w:val="00636871"/>
    <w:rsid w:val="00640F4E"/>
    <w:rsid w:val="00643DE0"/>
    <w:rsid w:val="00644E85"/>
    <w:rsid w:val="006461D7"/>
    <w:rsid w:val="00653C94"/>
    <w:rsid w:val="00654665"/>
    <w:rsid w:val="00655706"/>
    <w:rsid w:val="00656F97"/>
    <w:rsid w:val="0066063F"/>
    <w:rsid w:val="0066083A"/>
    <w:rsid w:val="00662BB0"/>
    <w:rsid w:val="00663878"/>
    <w:rsid w:val="00664DD6"/>
    <w:rsid w:val="00667773"/>
    <w:rsid w:val="00670743"/>
    <w:rsid w:val="006749E7"/>
    <w:rsid w:val="00687196"/>
    <w:rsid w:val="00690EE2"/>
    <w:rsid w:val="00693EB9"/>
    <w:rsid w:val="006A05C5"/>
    <w:rsid w:val="006A0E20"/>
    <w:rsid w:val="006A367C"/>
    <w:rsid w:val="006A5695"/>
    <w:rsid w:val="006A679A"/>
    <w:rsid w:val="006B3904"/>
    <w:rsid w:val="006B5B7D"/>
    <w:rsid w:val="006D0ECF"/>
    <w:rsid w:val="006D1666"/>
    <w:rsid w:val="006D4C92"/>
    <w:rsid w:val="006D4EB6"/>
    <w:rsid w:val="006D72FC"/>
    <w:rsid w:val="006D733B"/>
    <w:rsid w:val="006E3115"/>
    <w:rsid w:val="006E35BF"/>
    <w:rsid w:val="006E36CA"/>
    <w:rsid w:val="006E7850"/>
    <w:rsid w:val="006F06CD"/>
    <w:rsid w:val="006F1984"/>
    <w:rsid w:val="007028D9"/>
    <w:rsid w:val="00704EB5"/>
    <w:rsid w:val="00706F4E"/>
    <w:rsid w:val="00707218"/>
    <w:rsid w:val="007074D8"/>
    <w:rsid w:val="00712B1D"/>
    <w:rsid w:val="00714886"/>
    <w:rsid w:val="00717A28"/>
    <w:rsid w:val="00721157"/>
    <w:rsid w:val="00721C12"/>
    <w:rsid w:val="007226E7"/>
    <w:rsid w:val="00722EBC"/>
    <w:rsid w:val="007325D9"/>
    <w:rsid w:val="00733FFC"/>
    <w:rsid w:val="007343B0"/>
    <w:rsid w:val="007360CA"/>
    <w:rsid w:val="0074404F"/>
    <w:rsid w:val="00744467"/>
    <w:rsid w:val="0074562B"/>
    <w:rsid w:val="007510E6"/>
    <w:rsid w:val="007609A9"/>
    <w:rsid w:val="00760EC0"/>
    <w:rsid w:val="00765C4F"/>
    <w:rsid w:val="00765C5D"/>
    <w:rsid w:val="007661EC"/>
    <w:rsid w:val="007741C9"/>
    <w:rsid w:val="00775C8F"/>
    <w:rsid w:val="00775D6E"/>
    <w:rsid w:val="0078003A"/>
    <w:rsid w:val="00780771"/>
    <w:rsid w:val="00784D8D"/>
    <w:rsid w:val="007862A8"/>
    <w:rsid w:val="00790714"/>
    <w:rsid w:val="00791D88"/>
    <w:rsid w:val="007929CF"/>
    <w:rsid w:val="00792F8B"/>
    <w:rsid w:val="007A07BA"/>
    <w:rsid w:val="007A39A4"/>
    <w:rsid w:val="007A67B2"/>
    <w:rsid w:val="007A6F28"/>
    <w:rsid w:val="007B03C6"/>
    <w:rsid w:val="007B0DB1"/>
    <w:rsid w:val="007B2902"/>
    <w:rsid w:val="007C001E"/>
    <w:rsid w:val="007C3BF6"/>
    <w:rsid w:val="007C3C38"/>
    <w:rsid w:val="007D0FD2"/>
    <w:rsid w:val="007D2EF8"/>
    <w:rsid w:val="007D561F"/>
    <w:rsid w:val="007D7FD2"/>
    <w:rsid w:val="007E13D9"/>
    <w:rsid w:val="007E41BE"/>
    <w:rsid w:val="007E4DB6"/>
    <w:rsid w:val="007E5169"/>
    <w:rsid w:val="007E7CD4"/>
    <w:rsid w:val="007F0C90"/>
    <w:rsid w:val="007F12AC"/>
    <w:rsid w:val="00800FBA"/>
    <w:rsid w:val="00801800"/>
    <w:rsid w:val="00801B5B"/>
    <w:rsid w:val="0080287C"/>
    <w:rsid w:val="00811677"/>
    <w:rsid w:val="008116EF"/>
    <w:rsid w:val="00815327"/>
    <w:rsid w:val="00817327"/>
    <w:rsid w:val="008178A2"/>
    <w:rsid w:val="008229A2"/>
    <w:rsid w:val="00822ABF"/>
    <w:rsid w:val="00825331"/>
    <w:rsid w:val="008276B4"/>
    <w:rsid w:val="00830B32"/>
    <w:rsid w:val="00830DF6"/>
    <w:rsid w:val="00831927"/>
    <w:rsid w:val="00834331"/>
    <w:rsid w:val="00841BD3"/>
    <w:rsid w:val="0084273D"/>
    <w:rsid w:val="00844E3F"/>
    <w:rsid w:val="00845A83"/>
    <w:rsid w:val="00853624"/>
    <w:rsid w:val="00857306"/>
    <w:rsid w:val="00861683"/>
    <w:rsid w:val="00864A8D"/>
    <w:rsid w:val="0087102D"/>
    <w:rsid w:val="008712BB"/>
    <w:rsid w:val="008737D8"/>
    <w:rsid w:val="0087543C"/>
    <w:rsid w:val="00875803"/>
    <w:rsid w:val="008849F9"/>
    <w:rsid w:val="008851B0"/>
    <w:rsid w:val="00890778"/>
    <w:rsid w:val="00891D8E"/>
    <w:rsid w:val="008A0B11"/>
    <w:rsid w:val="008A2484"/>
    <w:rsid w:val="008A2CF5"/>
    <w:rsid w:val="008B1E65"/>
    <w:rsid w:val="008B37BF"/>
    <w:rsid w:val="008B694C"/>
    <w:rsid w:val="008C26D9"/>
    <w:rsid w:val="008C2CDA"/>
    <w:rsid w:val="008C2D7F"/>
    <w:rsid w:val="008C556C"/>
    <w:rsid w:val="008C6D50"/>
    <w:rsid w:val="008C7167"/>
    <w:rsid w:val="008C7503"/>
    <w:rsid w:val="008D1617"/>
    <w:rsid w:val="008D607E"/>
    <w:rsid w:val="008E2EDA"/>
    <w:rsid w:val="008E6315"/>
    <w:rsid w:val="008F11E0"/>
    <w:rsid w:val="008F78BC"/>
    <w:rsid w:val="008F7B63"/>
    <w:rsid w:val="008F7D6A"/>
    <w:rsid w:val="00903B23"/>
    <w:rsid w:val="009054CB"/>
    <w:rsid w:val="00912F94"/>
    <w:rsid w:val="00914603"/>
    <w:rsid w:val="00914739"/>
    <w:rsid w:val="009158AF"/>
    <w:rsid w:val="0092057C"/>
    <w:rsid w:val="0092590B"/>
    <w:rsid w:val="00925E60"/>
    <w:rsid w:val="00926035"/>
    <w:rsid w:val="00926359"/>
    <w:rsid w:val="009264B3"/>
    <w:rsid w:val="009316A2"/>
    <w:rsid w:val="00931FF1"/>
    <w:rsid w:val="009365E0"/>
    <w:rsid w:val="00936A58"/>
    <w:rsid w:val="00936D55"/>
    <w:rsid w:val="009374CF"/>
    <w:rsid w:val="00937D89"/>
    <w:rsid w:val="00942BA2"/>
    <w:rsid w:val="00944C86"/>
    <w:rsid w:val="00947BA5"/>
    <w:rsid w:val="009503B8"/>
    <w:rsid w:val="009525CC"/>
    <w:rsid w:val="00956C80"/>
    <w:rsid w:val="00957DE8"/>
    <w:rsid w:val="00960ECB"/>
    <w:rsid w:val="009615D6"/>
    <w:rsid w:val="00964E6F"/>
    <w:rsid w:val="0096566E"/>
    <w:rsid w:val="00967855"/>
    <w:rsid w:val="00974592"/>
    <w:rsid w:val="009758E5"/>
    <w:rsid w:val="009761A8"/>
    <w:rsid w:val="00980736"/>
    <w:rsid w:val="00981A39"/>
    <w:rsid w:val="00983A92"/>
    <w:rsid w:val="00984DC2"/>
    <w:rsid w:val="00987097"/>
    <w:rsid w:val="009914B6"/>
    <w:rsid w:val="009A06BB"/>
    <w:rsid w:val="009A3332"/>
    <w:rsid w:val="009A3A9C"/>
    <w:rsid w:val="009A3E0A"/>
    <w:rsid w:val="009B046C"/>
    <w:rsid w:val="009B13FA"/>
    <w:rsid w:val="009B1E2D"/>
    <w:rsid w:val="009B6B2C"/>
    <w:rsid w:val="009B7116"/>
    <w:rsid w:val="009B729D"/>
    <w:rsid w:val="009C1E99"/>
    <w:rsid w:val="009C5050"/>
    <w:rsid w:val="009C59FB"/>
    <w:rsid w:val="009C6F3B"/>
    <w:rsid w:val="009D1467"/>
    <w:rsid w:val="009D5D9B"/>
    <w:rsid w:val="009D62B7"/>
    <w:rsid w:val="009E19AC"/>
    <w:rsid w:val="009E4F23"/>
    <w:rsid w:val="009E4FA6"/>
    <w:rsid w:val="009E7D93"/>
    <w:rsid w:val="009F30E1"/>
    <w:rsid w:val="009F5C33"/>
    <w:rsid w:val="00A01A5A"/>
    <w:rsid w:val="00A01A91"/>
    <w:rsid w:val="00A03EAC"/>
    <w:rsid w:val="00A105A9"/>
    <w:rsid w:val="00A10778"/>
    <w:rsid w:val="00A11CA6"/>
    <w:rsid w:val="00A1387B"/>
    <w:rsid w:val="00A20C49"/>
    <w:rsid w:val="00A22733"/>
    <w:rsid w:val="00A269CA"/>
    <w:rsid w:val="00A27DC7"/>
    <w:rsid w:val="00A3186F"/>
    <w:rsid w:val="00A336EE"/>
    <w:rsid w:val="00A359AC"/>
    <w:rsid w:val="00A41413"/>
    <w:rsid w:val="00A41E59"/>
    <w:rsid w:val="00A45FB1"/>
    <w:rsid w:val="00A46CCC"/>
    <w:rsid w:val="00A479F2"/>
    <w:rsid w:val="00A51CFE"/>
    <w:rsid w:val="00A56E07"/>
    <w:rsid w:val="00A656F1"/>
    <w:rsid w:val="00A70385"/>
    <w:rsid w:val="00A7271B"/>
    <w:rsid w:val="00A76C13"/>
    <w:rsid w:val="00A81A73"/>
    <w:rsid w:val="00A87CF2"/>
    <w:rsid w:val="00A92E79"/>
    <w:rsid w:val="00A950B6"/>
    <w:rsid w:val="00A965F4"/>
    <w:rsid w:val="00A966C4"/>
    <w:rsid w:val="00AA233C"/>
    <w:rsid w:val="00AA3EA9"/>
    <w:rsid w:val="00AB41C1"/>
    <w:rsid w:val="00AB7A81"/>
    <w:rsid w:val="00AC6991"/>
    <w:rsid w:val="00AC6F82"/>
    <w:rsid w:val="00AD12A8"/>
    <w:rsid w:val="00AD23C4"/>
    <w:rsid w:val="00AE023F"/>
    <w:rsid w:val="00AE580F"/>
    <w:rsid w:val="00AF1D9D"/>
    <w:rsid w:val="00AF3577"/>
    <w:rsid w:val="00AF35F9"/>
    <w:rsid w:val="00AF45FA"/>
    <w:rsid w:val="00B03574"/>
    <w:rsid w:val="00B059A7"/>
    <w:rsid w:val="00B05C7D"/>
    <w:rsid w:val="00B067E9"/>
    <w:rsid w:val="00B108CF"/>
    <w:rsid w:val="00B13A5A"/>
    <w:rsid w:val="00B14153"/>
    <w:rsid w:val="00B200BF"/>
    <w:rsid w:val="00B22D5F"/>
    <w:rsid w:val="00B271BF"/>
    <w:rsid w:val="00B33191"/>
    <w:rsid w:val="00B33268"/>
    <w:rsid w:val="00B33CE7"/>
    <w:rsid w:val="00B346C3"/>
    <w:rsid w:val="00B35C88"/>
    <w:rsid w:val="00B3671C"/>
    <w:rsid w:val="00B429A3"/>
    <w:rsid w:val="00B4471C"/>
    <w:rsid w:val="00B44817"/>
    <w:rsid w:val="00B451A6"/>
    <w:rsid w:val="00B5078A"/>
    <w:rsid w:val="00B513AA"/>
    <w:rsid w:val="00B52CFA"/>
    <w:rsid w:val="00B6257D"/>
    <w:rsid w:val="00B66223"/>
    <w:rsid w:val="00B664C0"/>
    <w:rsid w:val="00B722DE"/>
    <w:rsid w:val="00B7429F"/>
    <w:rsid w:val="00B76C44"/>
    <w:rsid w:val="00B825C6"/>
    <w:rsid w:val="00B83F87"/>
    <w:rsid w:val="00B84FC8"/>
    <w:rsid w:val="00B8615D"/>
    <w:rsid w:val="00B92767"/>
    <w:rsid w:val="00B9447A"/>
    <w:rsid w:val="00B95D9E"/>
    <w:rsid w:val="00BA2EFA"/>
    <w:rsid w:val="00BA3DBC"/>
    <w:rsid w:val="00BA4090"/>
    <w:rsid w:val="00BA6EF7"/>
    <w:rsid w:val="00BB1F09"/>
    <w:rsid w:val="00BB2DA2"/>
    <w:rsid w:val="00BB56DC"/>
    <w:rsid w:val="00BD2895"/>
    <w:rsid w:val="00BD42D5"/>
    <w:rsid w:val="00BD5310"/>
    <w:rsid w:val="00BD794A"/>
    <w:rsid w:val="00BE0AAA"/>
    <w:rsid w:val="00BE183D"/>
    <w:rsid w:val="00BE2C37"/>
    <w:rsid w:val="00BE4691"/>
    <w:rsid w:val="00BE64AC"/>
    <w:rsid w:val="00BF0D64"/>
    <w:rsid w:val="00BF5D7A"/>
    <w:rsid w:val="00BF6F7F"/>
    <w:rsid w:val="00BF7325"/>
    <w:rsid w:val="00BF7648"/>
    <w:rsid w:val="00C00A0C"/>
    <w:rsid w:val="00C0106A"/>
    <w:rsid w:val="00C01897"/>
    <w:rsid w:val="00C02D33"/>
    <w:rsid w:val="00C0345F"/>
    <w:rsid w:val="00C04D3D"/>
    <w:rsid w:val="00C05969"/>
    <w:rsid w:val="00C06400"/>
    <w:rsid w:val="00C06EE5"/>
    <w:rsid w:val="00C1232C"/>
    <w:rsid w:val="00C1552C"/>
    <w:rsid w:val="00C170C9"/>
    <w:rsid w:val="00C20375"/>
    <w:rsid w:val="00C25228"/>
    <w:rsid w:val="00C308CD"/>
    <w:rsid w:val="00C31B6B"/>
    <w:rsid w:val="00C36442"/>
    <w:rsid w:val="00C400CE"/>
    <w:rsid w:val="00C410BD"/>
    <w:rsid w:val="00C410FD"/>
    <w:rsid w:val="00C44920"/>
    <w:rsid w:val="00C539FB"/>
    <w:rsid w:val="00C56539"/>
    <w:rsid w:val="00C5713F"/>
    <w:rsid w:val="00C62E82"/>
    <w:rsid w:val="00C631C3"/>
    <w:rsid w:val="00C63A6D"/>
    <w:rsid w:val="00C7104D"/>
    <w:rsid w:val="00C81415"/>
    <w:rsid w:val="00C92DE1"/>
    <w:rsid w:val="00C9740C"/>
    <w:rsid w:val="00CA1B0D"/>
    <w:rsid w:val="00CA1F09"/>
    <w:rsid w:val="00CA246D"/>
    <w:rsid w:val="00CA50D9"/>
    <w:rsid w:val="00CB26EF"/>
    <w:rsid w:val="00CB5636"/>
    <w:rsid w:val="00CB7790"/>
    <w:rsid w:val="00CC0459"/>
    <w:rsid w:val="00CC7B9A"/>
    <w:rsid w:val="00CD225D"/>
    <w:rsid w:val="00CD308D"/>
    <w:rsid w:val="00CE1DFB"/>
    <w:rsid w:val="00CE260A"/>
    <w:rsid w:val="00CE40B3"/>
    <w:rsid w:val="00CE4E71"/>
    <w:rsid w:val="00CE5058"/>
    <w:rsid w:val="00CE76D1"/>
    <w:rsid w:val="00D039F7"/>
    <w:rsid w:val="00D10F21"/>
    <w:rsid w:val="00D24806"/>
    <w:rsid w:val="00D25F67"/>
    <w:rsid w:val="00D27448"/>
    <w:rsid w:val="00D34040"/>
    <w:rsid w:val="00D34E69"/>
    <w:rsid w:val="00D34EDA"/>
    <w:rsid w:val="00D375EE"/>
    <w:rsid w:val="00D405CD"/>
    <w:rsid w:val="00D413D9"/>
    <w:rsid w:val="00D4327C"/>
    <w:rsid w:val="00D43522"/>
    <w:rsid w:val="00D53529"/>
    <w:rsid w:val="00D56ADF"/>
    <w:rsid w:val="00D60FAA"/>
    <w:rsid w:val="00D62699"/>
    <w:rsid w:val="00D62D65"/>
    <w:rsid w:val="00D736CC"/>
    <w:rsid w:val="00D77D28"/>
    <w:rsid w:val="00D82620"/>
    <w:rsid w:val="00D94B72"/>
    <w:rsid w:val="00D9725F"/>
    <w:rsid w:val="00DA01B1"/>
    <w:rsid w:val="00DA11A2"/>
    <w:rsid w:val="00DA14ED"/>
    <w:rsid w:val="00DA6B19"/>
    <w:rsid w:val="00DB2EF1"/>
    <w:rsid w:val="00DB3DE1"/>
    <w:rsid w:val="00DB5DA0"/>
    <w:rsid w:val="00DB716C"/>
    <w:rsid w:val="00DC3CAA"/>
    <w:rsid w:val="00DC4F49"/>
    <w:rsid w:val="00DC5C85"/>
    <w:rsid w:val="00DC74B5"/>
    <w:rsid w:val="00DD0299"/>
    <w:rsid w:val="00DD146C"/>
    <w:rsid w:val="00DD4236"/>
    <w:rsid w:val="00DD44F1"/>
    <w:rsid w:val="00DE3067"/>
    <w:rsid w:val="00DF42C1"/>
    <w:rsid w:val="00DF6B5E"/>
    <w:rsid w:val="00E027BC"/>
    <w:rsid w:val="00E036EC"/>
    <w:rsid w:val="00E067B8"/>
    <w:rsid w:val="00E06903"/>
    <w:rsid w:val="00E07053"/>
    <w:rsid w:val="00E13BCD"/>
    <w:rsid w:val="00E14EA5"/>
    <w:rsid w:val="00E16317"/>
    <w:rsid w:val="00E1717C"/>
    <w:rsid w:val="00E21133"/>
    <w:rsid w:val="00E2327E"/>
    <w:rsid w:val="00E23317"/>
    <w:rsid w:val="00E266EF"/>
    <w:rsid w:val="00E26769"/>
    <w:rsid w:val="00E26B63"/>
    <w:rsid w:val="00E30C0E"/>
    <w:rsid w:val="00E31918"/>
    <w:rsid w:val="00E439BF"/>
    <w:rsid w:val="00E47428"/>
    <w:rsid w:val="00E52118"/>
    <w:rsid w:val="00E621CF"/>
    <w:rsid w:val="00E66467"/>
    <w:rsid w:val="00E66650"/>
    <w:rsid w:val="00E66B9F"/>
    <w:rsid w:val="00E679F9"/>
    <w:rsid w:val="00E710D6"/>
    <w:rsid w:val="00E71EFE"/>
    <w:rsid w:val="00E73D37"/>
    <w:rsid w:val="00E746E8"/>
    <w:rsid w:val="00E74858"/>
    <w:rsid w:val="00E74EBB"/>
    <w:rsid w:val="00E75B5A"/>
    <w:rsid w:val="00E767B5"/>
    <w:rsid w:val="00E76E45"/>
    <w:rsid w:val="00E777C9"/>
    <w:rsid w:val="00E81DA6"/>
    <w:rsid w:val="00E84212"/>
    <w:rsid w:val="00E9086C"/>
    <w:rsid w:val="00E91125"/>
    <w:rsid w:val="00E91A0F"/>
    <w:rsid w:val="00E94A71"/>
    <w:rsid w:val="00E95FEE"/>
    <w:rsid w:val="00EA03CE"/>
    <w:rsid w:val="00EA23E5"/>
    <w:rsid w:val="00EA4E2E"/>
    <w:rsid w:val="00EA50FB"/>
    <w:rsid w:val="00EA6F4A"/>
    <w:rsid w:val="00EB2CCB"/>
    <w:rsid w:val="00EB7344"/>
    <w:rsid w:val="00EC0FDE"/>
    <w:rsid w:val="00EC2713"/>
    <w:rsid w:val="00EC30DD"/>
    <w:rsid w:val="00EC410F"/>
    <w:rsid w:val="00EC57A7"/>
    <w:rsid w:val="00ED0817"/>
    <w:rsid w:val="00ED7DD9"/>
    <w:rsid w:val="00EF2297"/>
    <w:rsid w:val="00EF3113"/>
    <w:rsid w:val="00EF3F84"/>
    <w:rsid w:val="00EF5BB0"/>
    <w:rsid w:val="00F03E68"/>
    <w:rsid w:val="00F14E05"/>
    <w:rsid w:val="00F1654E"/>
    <w:rsid w:val="00F176AC"/>
    <w:rsid w:val="00F23FDC"/>
    <w:rsid w:val="00F27714"/>
    <w:rsid w:val="00F3276E"/>
    <w:rsid w:val="00F33D3C"/>
    <w:rsid w:val="00F35CA6"/>
    <w:rsid w:val="00F37A91"/>
    <w:rsid w:val="00F40AA9"/>
    <w:rsid w:val="00F45CF5"/>
    <w:rsid w:val="00F47AD9"/>
    <w:rsid w:val="00F47DB0"/>
    <w:rsid w:val="00F50202"/>
    <w:rsid w:val="00F50E34"/>
    <w:rsid w:val="00F53A25"/>
    <w:rsid w:val="00F53EF7"/>
    <w:rsid w:val="00F54BF2"/>
    <w:rsid w:val="00F55033"/>
    <w:rsid w:val="00F60545"/>
    <w:rsid w:val="00F65380"/>
    <w:rsid w:val="00F829C3"/>
    <w:rsid w:val="00F90EDA"/>
    <w:rsid w:val="00F91837"/>
    <w:rsid w:val="00F91C31"/>
    <w:rsid w:val="00F92355"/>
    <w:rsid w:val="00F93963"/>
    <w:rsid w:val="00F93F86"/>
    <w:rsid w:val="00F94291"/>
    <w:rsid w:val="00F950F6"/>
    <w:rsid w:val="00F95BDF"/>
    <w:rsid w:val="00F95CE9"/>
    <w:rsid w:val="00F972B0"/>
    <w:rsid w:val="00FA20CC"/>
    <w:rsid w:val="00FB2391"/>
    <w:rsid w:val="00FB4F60"/>
    <w:rsid w:val="00FB7982"/>
    <w:rsid w:val="00FC0734"/>
    <w:rsid w:val="00FC0FC5"/>
    <w:rsid w:val="00FC2A88"/>
    <w:rsid w:val="00FC460C"/>
    <w:rsid w:val="00FC588F"/>
    <w:rsid w:val="00FD24F6"/>
    <w:rsid w:val="00FD7F1F"/>
    <w:rsid w:val="00FE1B30"/>
    <w:rsid w:val="00FE26D9"/>
    <w:rsid w:val="00FE7B44"/>
    <w:rsid w:val="00FF25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B68F0F76-3B2D-4307-AA34-A54AE5AD3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D225D"/>
    <w:pPr>
      <w:spacing w:line="360" w:lineRule="auto"/>
      <w:jc w:val="both"/>
    </w:pPr>
    <w:rPr>
      <w:sz w:val="24"/>
      <w:lang w:eastAsia="en-US"/>
    </w:rPr>
  </w:style>
  <w:style w:type="paragraph" w:styleId="Heading1">
    <w:name w:val="heading 1"/>
    <w:basedOn w:val="Normal"/>
    <w:next w:val="ParaNumbering"/>
    <w:qFormat/>
    <w:rsid w:val="00CD225D"/>
    <w:pPr>
      <w:keepNext/>
      <w:spacing w:before="240" w:after="60" w:line="240" w:lineRule="auto"/>
      <w:outlineLvl w:val="0"/>
    </w:pPr>
    <w:rPr>
      <w:b/>
      <w:caps/>
      <w:kern w:val="28"/>
    </w:rPr>
  </w:style>
  <w:style w:type="paragraph" w:styleId="Heading2">
    <w:name w:val="heading 2"/>
    <w:basedOn w:val="Normal"/>
    <w:next w:val="ParaNumbering"/>
    <w:link w:val="Heading2Char"/>
    <w:qFormat/>
    <w:rsid w:val="00CD225D"/>
    <w:pPr>
      <w:keepNext/>
      <w:spacing w:before="240" w:after="60" w:line="240" w:lineRule="auto"/>
      <w:outlineLvl w:val="1"/>
    </w:pPr>
    <w:rPr>
      <w:b/>
      <w:szCs w:val="24"/>
    </w:rPr>
  </w:style>
  <w:style w:type="paragraph" w:styleId="Heading3">
    <w:name w:val="heading 3"/>
    <w:basedOn w:val="Normal"/>
    <w:next w:val="ParaNumbering"/>
    <w:qFormat/>
    <w:rsid w:val="00CD225D"/>
    <w:pPr>
      <w:keepNext/>
      <w:spacing w:before="240" w:after="60" w:line="240" w:lineRule="auto"/>
      <w:outlineLvl w:val="2"/>
    </w:pPr>
    <w:rPr>
      <w:b/>
      <w:i/>
    </w:rPr>
  </w:style>
  <w:style w:type="paragraph" w:styleId="Heading4">
    <w:name w:val="heading 4"/>
    <w:basedOn w:val="Normal"/>
    <w:next w:val="ParaNumbering"/>
    <w:qFormat/>
    <w:rsid w:val="00CD225D"/>
    <w:pPr>
      <w:keepNext/>
      <w:spacing w:before="240" w:after="60" w:line="240" w:lineRule="auto"/>
      <w:jc w:val="left"/>
      <w:outlineLvl w:val="3"/>
    </w:pPr>
    <w:rPr>
      <w:i/>
      <w:szCs w:val="24"/>
    </w:rPr>
  </w:style>
  <w:style w:type="paragraph" w:styleId="Heading5">
    <w:name w:val="heading 5"/>
    <w:basedOn w:val="fcHeading1"/>
    <w:next w:val="ParaNumbering"/>
    <w:qFormat/>
    <w:rsid w:val="00CD225D"/>
    <w:pPr>
      <w:outlineLvl w:val="4"/>
    </w:pPr>
    <w:rPr>
      <w:caps w:val="0"/>
    </w:rPr>
  </w:style>
  <w:style w:type="paragraph" w:styleId="Heading6">
    <w:name w:val="heading 6"/>
    <w:basedOn w:val="fcHeading2"/>
    <w:next w:val="ParaNumbering"/>
    <w:qFormat/>
    <w:rsid w:val="00CD225D"/>
    <w:pPr>
      <w:outlineLvl w:val="5"/>
    </w:pPr>
  </w:style>
  <w:style w:type="paragraph" w:styleId="Heading7">
    <w:name w:val="heading 7"/>
    <w:basedOn w:val="fcHeading3"/>
    <w:next w:val="ParaNumbering"/>
    <w:qFormat/>
    <w:rsid w:val="00CD225D"/>
    <w:pPr>
      <w:outlineLvl w:val="6"/>
    </w:pPr>
    <w:rPr>
      <w:i w:val="0"/>
    </w:rPr>
  </w:style>
  <w:style w:type="paragraph" w:styleId="Heading8">
    <w:name w:val="heading 8"/>
    <w:basedOn w:val="fcHeading4"/>
    <w:next w:val="ParaNumbering"/>
    <w:rsid w:val="00CD225D"/>
    <w:pPr>
      <w:outlineLvl w:val="7"/>
    </w:pPr>
    <w:rPr>
      <w:smallCaps w:val="0"/>
    </w:rPr>
  </w:style>
  <w:style w:type="paragraph" w:styleId="Heading9">
    <w:name w:val="heading 9"/>
    <w:basedOn w:val="fcHeading5"/>
    <w:next w:val="ParaNumbering"/>
    <w:rsid w:val="00CD225D"/>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rsid w:val="00CD225D"/>
    <w:pPr>
      <w:spacing w:line="240" w:lineRule="auto"/>
    </w:pPr>
  </w:style>
  <w:style w:type="paragraph" w:styleId="Header">
    <w:name w:val="header"/>
    <w:basedOn w:val="Normal"/>
    <w:semiHidden/>
    <w:rsid w:val="00CD225D"/>
    <w:pPr>
      <w:tabs>
        <w:tab w:val="center" w:pos="4320"/>
        <w:tab w:val="right" w:pos="8640"/>
      </w:tabs>
    </w:pPr>
  </w:style>
  <w:style w:type="paragraph" w:styleId="Footer">
    <w:name w:val="footer"/>
    <w:basedOn w:val="Normal"/>
    <w:semiHidden/>
    <w:rsid w:val="00CD225D"/>
    <w:pPr>
      <w:tabs>
        <w:tab w:val="center" w:pos="4320"/>
        <w:tab w:val="right" w:pos="8640"/>
      </w:tabs>
    </w:pPr>
  </w:style>
  <w:style w:type="paragraph" w:customStyle="1" w:styleId="ParaNumbering">
    <w:name w:val="ParaNumbering"/>
    <w:basedOn w:val="Normal"/>
    <w:rsid w:val="00CD225D"/>
    <w:pPr>
      <w:numPr>
        <w:numId w:val="1"/>
      </w:numPr>
      <w:tabs>
        <w:tab w:val="clear" w:pos="720"/>
      </w:tabs>
      <w:spacing w:before="180" w:after="180"/>
    </w:pPr>
  </w:style>
  <w:style w:type="paragraph" w:customStyle="1" w:styleId="Quote1">
    <w:name w:val="Quote1"/>
    <w:rsid w:val="00CD225D"/>
    <w:pPr>
      <w:widowControl w:val="0"/>
      <w:spacing w:after="180"/>
      <w:ind w:left="737" w:right="737"/>
      <w:jc w:val="both"/>
    </w:pPr>
    <w:rPr>
      <w:sz w:val="22"/>
      <w:lang w:eastAsia="en-US"/>
    </w:rPr>
  </w:style>
  <w:style w:type="paragraph" w:customStyle="1" w:styleId="NormalHeadings">
    <w:name w:val="Normal Headings"/>
    <w:link w:val="NormalHeadingsChar"/>
    <w:rsid w:val="00CD225D"/>
    <w:pPr>
      <w:widowControl w:val="0"/>
      <w:jc w:val="both"/>
    </w:pPr>
    <w:rPr>
      <w:b/>
      <w:sz w:val="24"/>
      <w:lang w:eastAsia="en-US"/>
    </w:rPr>
  </w:style>
  <w:style w:type="table" w:styleId="TableGrid">
    <w:name w:val="Table Grid"/>
    <w:basedOn w:val="TableNormal"/>
    <w:semiHidden/>
    <w:rsid w:val="00CD225D"/>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rsid w:val="00CD225D"/>
    <w:pPr>
      <w:spacing w:before="20" w:after="20"/>
      <w:jc w:val="center"/>
    </w:pPr>
    <w:rPr>
      <w:b/>
      <w:sz w:val="26"/>
    </w:rPr>
  </w:style>
  <w:style w:type="paragraph" w:customStyle="1" w:styleId="Normal1linespace">
    <w:name w:val="Normal1linespace"/>
    <w:basedOn w:val="Normal"/>
    <w:rsid w:val="00CD225D"/>
    <w:pPr>
      <w:spacing w:line="240" w:lineRule="auto"/>
    </w:pPr>
  </w:style>
  <w:style w:type="paragraph" w:styleId="BalloonText">
    <w:name w:val="Balloon Text"/>
    <w:basedOn w:val="Normal"/>
    <w:semiHidden/>
    <w:rsid w:val="00CD225D"/>
    <w:rPr>
      <w:rFonts w:ascii="Tahoma" w:hAnsi="Tahoma" w:cs="Tahoma"/>
      <w:sz w:val="16"/>
      <w:szCs w:val="16"/>
    </w:rPr>
  </w:style>
  <w:style w:type="paragraph" w:customStyle="1" w:styleId="StyleBold">
    <w:name w:val="Style Bold"/>
    <w:basedOn w:val="Normal"/>
    <w:next w:val="BodyText"/>
    <w:semiHidden/>
    <w:rsid w:val="00CD225D"/>
    <w:rPr>
      <w:szCs w:val="24"/>
    </w:rPr>
  </w:style>
  <w:style w:type="paragraph" w:customStyle="1" w:styleId="Bold">
    <w:name w:val="Bold"/>
    <w:basedOn w:val="Normal"/>
    <w:next w:val="Normal"/>
    <w:semiHidden/>
    <w:rsid w:val="00CD225D"/>
    <w:pPr>
      <w:suppressAutoHyphens/>
      <w:jc w:val="left"/>
    </w:pPr>
    <w:rPr>
      <w:b/>
      <w:szCs w:val="24"/>
    </w:rPr>
  </w:style>
  <w:style w:type="paragraph" w:customStyle="1" w:styleId="Certify">
    <w:name w:val="Certify"/>
    <w:basedOn w:val="Normal"/>
    <w:link w:val="CertifyChar"/>
    <w:semiHidden/>
    <w:rsid w:val="00CD225D"/>
    <w:pPr>
      <w:spacing w:line="240" w:lineRule="auto"/>
    </w:pPr>
    <w:rPr>
      <w:szCs w:val="24"/>
    </w:rPr>
  </w:style>
  <w:style w:type="character" w:styleId="CommentReference">
    <w:name w:val="annotation reference"/>
    <w:semiHidden/>
    <w:rsid w:val="00CD225D"/>
    <w:rPr>
      <w:sz w:val="16"/>
      <w:szCs w:val="16"/>
    </w:rPr>
  </w:style>
  <w:style w:type="paragraph" w:styleId="CommentText">
    <w:name w:val="annotation text"/>
    <w:basedOn w:val="Normal"/>
    <w:semiHidden/>
    <w:rsid w:val="00CD225D"/>
    <w:rPr>
      <w:sz w:val="20"/>
    </w:rPr>
  </w:style>
  <w:style w:type="paragraph" w:styleId="CommentSubject">
    <w:name w:val="annotation subject"/>
    <w:basedOn w:val="CommentText"/>
    <w:next w:val="CommentText"/>
    <w:semiHidden/>
    <w:rsid w:val="00CD225D"/>
    <w:rPr>
      <w:b/>
      <w:bCs/>
    </w:rPr>
  </w:style>
  <w:style w:type="paragraph" w:customStyle="1" w:styleId="FCBullets">
    <w:name w:val="FCBullets"/>
    <w:basedOn w:val="Normal"/>
    <w:rsid w:val="00CD225D"/>
    <w:pPr>
      <w:numPr>
        <w:numId w:val="2"/>
      </w:numPr>
      <w:spacing w:before="60" w:after="60"/>
    </w:pPr>
  </w:style>
  <w:style w:type="paragraph" w:customStyle="1" w:styleId="JudgeStyle">
    <w:name w:val="JudgeStyle"/>
    <w:basedOn w:val="Heading1"/>
    <w:next w:val="ParaNumbering"/>
    <w:semiHidden/>
    <w:rsid w:val="00CD225D"/>
  </w:style>
  <w:style w:type="paragraph" w:styleId="TOC1">
    <w:name w:val="toc 1"/>
    <w:basedOn w:val="Normal"/>
    <w:next w:val="Normal"/>
    <w:autoRedefine/>
    <w:semiHidden/>
    <w:rsid w:val="00CD225D"/>
    <w:pPr>
      <w:tabs>
        <w:tab w:val="right" w:leader="dot" w:pos="9071"/>
      </w:tabs>
    </w:pPr>
  </w:style>
  <w:style w:type="paragraph" w:styleId="TOC2">
    <w:name w:val="toc 2"/>
    <w:basedOn w:val="Normal"/>
    <w:next w:val="Normal"/>
    <w:autoRedefine/>
    <w:semiHidden/>
    <w:rsid w:val="00CD225D"/>
    <w:pPr>
      <w:tabs>
        <w:tab w:val="right" w:leader="dot" w:pos="9071"/>
      </w:tabs>
      <w:ind w:left="240"/>
    </w:pPr>
  </w:style>
  <w:style w:type="paragraph" w:styleId="TOC3">
    <w:name w:val="toc 3"/>
    <w:basedOn w:val="Normal"/>
    <w:next w:val="Normal"/>
    <w:autoRedefine/>
    <w:semiHidden/>
    <w:rsid w:val="00CD225D"/>
    <w:pPr>
      <w:tabs>
        <w:tab w:val="right" w:leader="dot" w:pos="9071"/>
      </w:tabs>
      <w:ind w:left="480"/>
    </w:pPr>
  </w:style>
  <w:style w:type="paragraph" w:styleId="TOC4">
    <w:name w:val="toc 4"/>
    <w:basedOn w:val="Normal"/>
    <w:next w:val="Normal"/>
    <w:autoRedefine/>
    <w:semiHidden/>
    <w:rsid w:val="00CD225D"/>
    <w:pPr>
      <w:tabs>
        <w:tab w:val="right" w:leader="dot" w:pos="9071"/>
      </w:tabs>
      <w:ind w:left="720"/>
    </w:pPr>
  </w:style>
  <w:style w:type="paragraph" w:customStyle="1" w:styleId="NoNum">
    <w:name w:val="No Num"/>
    <w:basedOn w:val="Normal1linespace"/>
    <w:rsid w:val="00CD225D"/>
    <w:pPr>
      <w:spacing w:before="120" w:after="180" w:line="360" w:lineRule="auto"/>
    </w:pPr>
  </w:style>
  <w:style w:type="paragraph" w:customStyle="1" w:styleId="AppealTable">
    <w:name w:val="AppealTable"/>
    <w:basedOn w:val="Normal"/>
    <w:unhideWhenUsed/>
    <w:rsid w:val="00CD225D"/>
    <w:pPr>
      <w:spacing w:line="240" w:lineRule="auto"/>
      <w:jc w:val="left"/>
    </w:pPr>
    <w:rPr>
      <w:b/>
      <w:caps/>
      <w:sz w:val="22"/>
      <w:szCs w:val="22"/>
    </w:rPr>
  </w:style>
  <w:style w:type="paragraph" w:customStyle="1" w:styleId="Quote3">
    <w:name w:val="Quote3"/>
    <w:basedOn w:val="Quote1"/>
    <w:rsid w:val="00CD225D"/>
    <w:pPr>
      <w:ind w:left="2160"/>
    </w:pPr>
  </w:style>
  <w:style w:type="paragraph" w:customStyle="1" w:styleId="Quote2">
    <w:name w:val="Quote2"/>
    <w:basedOn w:val="Quote1"/>
    <w:rsid w:val="00CD225D"/>
    <w:pPr>
      <w:ind w:left="1440"/>
    </w:pPr>
  </w:style>
  <w:style w:type="paragraph" w:customStyle="1" w:styleId="FTOC1">
    <w:name w:val="FTOC 1"/>
    <w:basedOn w:val="Normal"/>
    <w:semiHidden/>
    <w:rsid w:val="00CD225D"/>
    <w:pPr>
      <w:tabs>
        <w:tab w:val="right" w:leader="dot" w:pos="9072"/>
      </w:tabs>
      <w:spacing w:before="120" w:after="60" w:line="240" w:lineRule="auto"/>
      <w:jc w:val="left"/>
    </w:pPr>
    <w:rPr>
      <w:b/>
      <w:caps/>
      <w:kern w:val="28"/>
    </w:rPr>
  </w:style>
  <w:style w:type="paragraph" w:customStyle="1" w:styleId="ListNo1">
    <w:name w:val="List No 1"/>
    <w:basedOn w:val="Normal"/>
    <w:rsid w:val="00CD225D"/>
    <w:pPr>
      <w:numPr>
        <w:numId w:val="34"/>
      </w:numPr>
      <w:spacing w:before="60" w:after="60"/>
    </w:pPr>
  </w:style>
  <w:style w:type="paragraph" w:customStyle="1" w:styleId="FTOC2">
    <w:name w:val="FTOC 2"/>
    <w:basedOn w:val="Normal"/>
    <w:semiHidden/>
    <w:rsid w:val="00CD225D"/>
    <w:pPr>
      <w:tabs>
        <w:tab w:val="right" w:leader="dot" w:pos="9072"/>
      </w:tabs>
      <w:spacing w:before="120" w:after="60" w:line="240" w:lineRule="auto"/>
      <w:ind w:left="238"/>
      <w:jc w:val="left"/>
    </w:pPr>
    <w:rPr>
      <w:b/>
    </w:rPr>
  </w:style>
  <w:style w:type="paragraph" w:customStyle="1" w:styleId="FTOC3">
    <w:name w:val="FTOC 3"/>
    <w:basedOn w:val="Normal"/>
    <w:semiHidden/>
    <w:rsid w:val="00CD225D"/>
    <w:pPr>
      <w:tabs>
        <w:tab w:val="right" w:leader="dot" w:pos="9072"/>
      </w:tabs>
      <w:spacing w:before="120" w:after="60" w:line="240" w:lineRule="auto"/>
      <w:ind w:left="482"/>
      <w:jc w:val="left"/>
    </w:pPr>
    <w:rPr>
      <w:b/>
      <w:i/>
    </w:rPr>
  </w:style>
  <w:style w:type="paragraph" w:customStyle="1" w:styleId="FTOC4">
    <w:name w:val="FTOC 4"/>
    <w:basedOn w:val="Normal"/>
    <w:semiHidden/>
    <w:rsid w:val="00CD225D"/>
    <w:pPr>
      <w:tabs>
        <w:tab w:val="right" w:leader="dot" w:pos="9072"/>
      </w:tabs>
      <w:spacing w:before="120" w:after="60" w:line="240" w:lineRule="auto"/>
      <w:ind w:left="720"/>
      <w:jc w:val="left"/>
    </w:pPr>
    <w:rPr>
      <w:i/>
    </w:rPr>
  </w:style>
  <w:style w:type="paragraph" w:styleId="TOC5">
    <w:name w:val="toc 5"/>
    <w:basedOn w:val="Normal"/>
    <w:next w:val="Normal"/>
    <w:autoRedefine/>
    <w:semiHidden/>
    <w:rsid w:val="00CD225D"/>
    <w:pPr>
      <w:tabs>
        <w:tab w:val="right" w:leader="dot" w:pos="9072"/>
      </w:tabs>
      <w:ind w:left="960"/>
    </w:pPr>
  </w:style>
  <w:style w:type="numbering" w:styleId="111111">
    <w:name w:val="Outline List 2"/>
    <w:basedOn w:val="NoList"/>
    <w:semiHidden/>
    <w:rsid w:val="00CD225D"/>
    <w:pPr>
      <w:numPr>
        <w:numId w:val="13"/>
      </w:numPr>
    </w:pPr>
  </w:style>
  <w:style w:type="numbering" w:styleId="1ai">
    <w:name w:val="Outline List 1"/>
    <w:basedOn w:val="NoList"/>
    <w:semiHidden/>
    <w:rsid w:val="00CD225D"/>
    <w:pPr>
      <w:numPr>
        <w:numId w:val="14"/>
      </w:numPr>
    </w:pPr>
  </w:style>
  <w:style w:type="numbering" w:styleId="ArticleSection">
    <w:name w:val="Outline List 3"/>
    <w:basedOn w:val="NoList"/>
    <w:semiHidden/>
    <w:rsid w:val="00CD225D"/>
    <w:pPr>
      <w:numPr>
        <w:numId w:val="15"/>
      </w:numPr>
    </w:pPr>
  </w:style>
  <w:style w:type="paragraph" w:styleId="BodyText">
    <w:name w:val="Body Text"/>
    <w:basedOn w:val="Normal"/>
    <w:link w:val="BodyTextChar"/>
    <w:qFormat/>
    <w:rsid w:val="00CD225D"/>
  </w:style>
  <w:style w:type="paragraph" w:styleId="BodyText2">
    <w:name w:val="Body Text 2"/>
    <w:basedOn w:val="Normal"/>
    <w:semiHidden/>
    <w:rsid w:val="00CD225D"/>
    <w:pPr>
      <w:spacing w:after="120" w:line="480" w:lineRule="auto"/>
    </w:pPr>
  </w:style>
  <w:style w:type="paragraph" w:styleId="BodyText3">
    <w:name w:val="Body Text 3"/>
    <w:basedOn w:val="Normal"/>
    <w:semiHidden/>
    <w:rsid w:val="00CD225D"/>
    <w:pPr>
      <w:spacing w:after="120"/>
    </w:pPr>
    <w:rPr>
      <w:sz w:val="16"/>
      <w:szCs w:val="16"/>
    </w:rPr>
  </w:style>
  <w:style w:type="paragraph" w:styleId="BodyTextFirstIndent">
    <w:name w:val="Body Text First Indent"/>
    <w:basedOn w:val="BodyText"/>
    <w:semiHidden/>
    <w:rsid w:val="00CD225D"/>
    <w:pPr>
      <w:ind w:firstLine="210"/>
    </w:pPr>
  </w:style>
  <w:style w:type="paragraph" w:styleId="BodyTextIndent">
    <w:name w:val="Body Text Indent"/>
    <w:basedOn w:val="Normal"/>
    <w:semiHidden/>
    <w:rsid w:val="00CD225D"/>
    <w:pPr>
      <w:spacing w:after="120"/>
      <w:ind w:left="283"/>
    </w:pPr>
  </w:style>
  <w:style w:type="paragraph" w:styleId="BodyTextFirstIndent2">
    <w:name w:val="Body Text First Indent 2"/>
    <w:basedOn w:val="BodyTextIndent"/>
    <w:semiHidden/>
    <w:rsid w:val="00CD225D"/>
    <w:pPr>
      <w:ind w:firstLine="210"/>
    </w:pPr>
  </w:style>
  <w:style w:type="paragraph" w:styleId="BodyTextIndent2">
    <w:name w:val="Body Text Indent 2"/>
    <w:basedOn w:val="Normal"/>
    <w:semiHidden/>
    <w:rsid w:val="00CD225D"/>
    <w:pPr>
      <w:spacing w:after="120" w:line="480" w:lineRule="auto"/>
      <w:ind w:left="283"/>
    </w:pPr>
  </w:style>
  <w:style w:type="paragraph" w:styleId="BodyTextIndent3">
    <w:name w:val="Body Text Indent 3"/>
    <w:basedOn w:val="Normal"/>
    <w:semiHidden/>
    <w:rsid w:val="00CD225D"/>
    <w:pPr>
      <w:spacing w:after="120"/>
      <w:ind w:left="283"/>
    </w:pPr>
    <w:rPr>
      <w:sz w:val="16"/>
      <w:szCs w:val="16"/>
    </w:rPr>
  </w:style>
  <w:style w:type="paragraph" w:styleId="Closing">
    <w:name w:val="Closing"/>
    <w:basedOn w:val="Normal"/>
    <w:semiHidden/>
    <w:rsid w:val="00CD225D"/>
    <w:pPr>
      <w:ind w:left="4252"/>
    </w:pPr>
  </w:style>
  <w:style w:type="paragraph" w:styleId="Date">
    <w:name w:val="Date"/>
    <w:basedOn w:val="Normal"/>
    <w:next w:val="Normal"/>
    <w:semiHidden/>
    <w:rsid w:val="00CD225D"/>
  </w:style>
  <w:style w:type="paragraph" w:styleId="E-mailSignature">
    <w:name w:val="E-mail Signature"/>
    <w:basedOn w:val="Normal"/>
    <w:semiHidden/>
    <w:rsid w:val="00CD225D"/>
  </w:style>
  <w:style w:type="character" w:styleId="Emphasis">
    <w:name w:val="Emphasis"/>
    <w:semiHidden/>
    <w:rsid w:val="00CD225D"/>
    <w:rPr>
      <w:i/>
      <w:iCs/>
    </w:rPr>
  </w:style>
  <w:style w:type="paragraph" w:styleId="EnvelopeAddress">
    <w:name w:val="envelope address"/>
    <w:basedOn w:val="Normal"/>
    <w:semiHidden/>
    <w:rsid w:val="00CD225D"/>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sid w:val="00CD225D"/>
    <w:rPr>
      <w:rFonts w:ascii="Arial" w:hAnsi="Arial" w:cs="Arial"/>
      <w:sz w:val="20"/>
    </w:rPr>
  </w:style>
  <w:style w:type="character" w:styleId="FollowedHyperlink">
    <w:name w:val="FollowedHyperlink"/>
    <w:semiHidden/>
    <w:rsid w:val="00CD225D"/>
    <w:rPr>
      <w:color w:val="800080"/>
      <w:u w:val="single"/>
    </w:rPr>
  </w:style>
  <w:style w:type="character" w:styleId="HTMLAcronym">
    <w:name w:val="HTML Acronym"/>
    <w:basedOn w:val="DefaultParagraphFont"/>
    <w:semiHidden/>
    <w:rsid w:val="00CD225D"/>
  </w:style>
  <w:style w:type="paragraph" w:styleId="HTMLAddress">
    <w:name w:val="HTML Address"/>
    <w:basedOn w:val="Normal"/>
    <w:semiHidden/>
    <w:rsid w:val="00CD225D"/>
    <w:rPr>
      <w:i/>
      <w:iCs/>
    </w:rPr>
  </w:style>
  <w:style w:type="character" w:styleId="HTMLCite">
    <w:name w:val="HTML Cite"/>
    <w:semiHidden/>
    <w:rsid w:val="00CD225D"/>
    <w:rPr>
      <w:i/>
      <w:iCs/>
    </w:rPr>
  </w:style>
  <w:style w:type="character" w:styleId="HTMLCode">
    <w:name w:val="HTML Code"/>
    <w:semiHidden/>
    <w:rsid w:val="00CD225D"/>
    <w:rPr>
      <w:rFonts w:ascii="Courier New" w:hAnsi="Courier New" w:cs="Courier New"/>
      <w:sz w:val="20"/>
      <w:szCs w:val="20"/>
    </w:rPr>
  </w:style>
  <w:style w:type="character" w:styleId="HTMLDefinition">
    <w:name w:val="HTML Definition"/>
    <w:semiHidden/>
    <w:rsid w:val="00CD225D"/>
    <w:rPr>
      <w:i/>
      <w:iCs/>
    </w:rPr>
  </w:style>
  <w:style w:type="character" w:styleId="HTMLKeyboard">
    <w:name w:val="HTML Keyboard"/>
    <w:semiHidden/>
    <w:rsid w:val="00CD225D"/>
    <w:rPr>
      <w:rFonts w:ascii="Courier New" w:hAnsi="Courier New" w:cs="Courier New"/>
      <w:sz w:val="20"/>
      <w:szCs w:val="20"/>
    </w:rPr>
  </w:style>
  <w:style w:type="paragraph" w:styleId="HTMLPreformatted">
    <w:name w:val="HTML Preformatted"/>
    <w:basedOn w:val="Normal"/>
    <w:semiHidden/>
    <w:rsid w:val="00CD225D"/>
    <w:rPr>
      <w:rFonts w:ascii="Courier New" w:hAnsi="Courier New" w:cs="Courier New"/>
      <w:sz w:val="20"/>
    </w:rPr>
  </w:style>
  <w:style w:type="character" w:styleId="HTMLSample">
    <w:name w:val="HTML Sample"/>
    <w:semiHidden/>
    <w:rsid w:val="00CD225D"/>
    <w:rPr>
      <w:rFonts w:ascii="Courier New" w:hAnsi="Courier New" w:cs="Courier New"/>
    </w:rPr>
  </w:style>
  <w:style w:type="character" w:styleId="HTMLTypewriter">
    <w:name w:val="HTML Typewriter"/>
    <w:semiHidden/>
    <w:rsid w:val="00CD225D"/>
    <w:rPr>
      <w:rFonts w:ascii="Courier New" w:hAnsi="Courier New" w:cs="Courier New"/>
      <w:sz w:val="20"/>
      <w:szCs w:val="20"/>
    </w:rPr>
  </w:style>
  <w:style w:type="character" w:styleId="HTMLVariable">
    <w:name w:val="HTML Variable"/>
    <w:semiHidden/>
    <w:rsid w:val="00CD225D"/>
    <w:rPr>
      <w:i/>
      <w:iCs/>
    </w:rPr>
  </w:style>
  <w:style w:type="character" w:styleId="Hyperlink">
    <w:name w:val="Hyperlink"/>
    <w:semiHidden/>
    <w:rsid w:val="00CD225D"/>
    <w:rPr>
      <w:color w:val="0000FF"/>
      <w:u w:val="single"/>
    </w:rPr>
  </w:style>
  <w:style w:type="character" w:styleId="LineNumber">
    <w:name w:val="line number"/>
    <w:basedOn w:val="DefaultParagraphFont"/>
    <w:semiHidden/>
    <w:rsid w:val="00CD225D"/>
  </w:style>
  <w:style w:type="paragraph" w:styleId="List">
    <w:name w:val="List"/>
    <w:basedOn w:val="Normal"/>
    <w:semiHidden/>
    <w:rsid w:val="00CD225D"/>
    <w:pPr>
      <w:ind w:left="283" w:hanging="283"/>
    </w:pPr>
  </w:style>
  <w:style w:type="paragraph" w:styleId="List2">
    <w:name w:val="List 2"/>
    <w:basedOn w:val="Normal"/>
    <w:semiHidden/>
    <w:rsid w:val="00CD225D"/>
    <w:pPr>
      <w:ind w:left="566" w:hanging="283"/>
    </w:pPr>
  </w:style>
  <w:style w:type="paragraph" w:styleId="List3">
    <w:name w:val="List 3"/>
    <w:basedOn w:val="Normal"/>
    <w:semiHidden/>
    <w:rsid w:val="00CD225D"/>
    <w:pPr>
      <w:ind w:left="849" w:hanging="283"/>
    </w:pPr>
  </w:style>
  <w:style w:type="paragraph" w:styleId="List4">
    <w:name w:val="List 4"/>
    <w:basedOn w:val="Normal"/>
    <w:semiHidden/>
    <w:rsid w:val="00CD225D"/>
    <w:pPr>
      <w:ind w:left="1132" w:hanging="283"/>
    </w:pPr>
  </w:style>
  <w:style w:type="paragraph" w:styleId="List5">
    <w:name w:val="List 5"/>
    <w:basedOn w:val="Normal"/>
    <w:semiHidden/>
    <w:rsid w:val="00CD225D"/>
    <w:pPr>
      <w:ind w:left="1415" w:hanging="283"/>
    </w:pPr>
  </w:style>
  <w:style w:type="paragraph" w:styleId="ListBullet">
    <w:name w:val="List Bullet"/>
    <w:basedOn w:val="Normal"/>
    <w:semiHidden/>
    <w:rsid w:val="00CD225D"/>
    <w:pPr>
      <w:numPr>
        <w:numId w:val="3"/>
      </w:numPr>
    </w:pPr>
  </w:style>
  <w:style w:type="paragraph" w:styleId="ListBullet2">
    <w:name w:val="List Bullet 2"/>
    <w:basedOn w:val="Normal"/>
    <w:semiHidden/>
    <w:rsid w:val="00CD225D"/>
    <w:pPr>
      <w:numPr>
        <w:numId w:val="4"/>
      </w:numPr>
    </w:pPr>
  </w:style>
  <w:style w:type="paragraph" w:styleId="ListBullet3">
    <w:name w:val="List Bullet 3"/>
    <w:basedOn w:val="Normal"/>
    <w:semiHidden/>
    <w:rsid w:val="00CD225D"/>
    <w:pPr>
      <w:numPr>
        <w:numId w:val="5"/>
      </w:numPr>
    </w:pPr>
  </w:style>
  <w:style w:type="paragraph" w:styleId="ListBullet4">
    <w:name w:val="List Bullet 4"/>
    <w:basedOn w:val="Normal"/>
    <w:semiHidden/>
    <w:rsid w:val="00CD225D"/>
    <w:pPr>
      <w:numPr>
        <w:numId w:val="6"/>
      </w:numPr>
    </w:pPr>
  </w:style>
  <w:style w:type="paragraph" w:styleId="ListBullet5">
    <w:name w:val="List Bullet 5"/>
    <w:basedOn w:val="Normal"/>
    <w:semiHidden/>
    <w:rsid w:val="00CD225D"/>
    <w:pPr>
      <w:numPr>
        <w:numId w:val="7"/>
      </w:numPr>
    </w:pPr>
  </w:style>
  <w:style w:type="paragraph" w:styleId="ListContinue">
    <w:name w:val="List Continue"/>
    <w:basedOn w:val="Normal"/>
    <w:semiHidden/>
    <w:rsid w:val="00CD225D"/>
    <w:pPr>
      <w:spacing w:after="120"/>
      <w:ind w:left="283"/>
    </w:pPr>
  </w:style>
  <w:style w:type="paragraph" w:styleId="ListContinue2">
    <w:name w:val="List Continue 2"/>
    <w:basedOn w:val="Normal"/>
    <w:semiHidden/>
    <w:rsid w:val="00CD225D"/>
    <w:pPr>
      <w:spacing w:after="120"/>
      <w:ind w:left="566"/>
    </w:pPr>
  </w:style>
  <w:style w:type="paragraph" w:styleId="ListContinue3">
    <w:name w:val="List Continue 3"/>
    <w:basedOn w:val="Normal"/>
    <w:semiHidden/>
    <w:rsid w:val="00CD225D"/>
    <w:pPr>
      <w:spacing w:after="120"/>
      <w:ind w:left="849"/>
    </w:pPr>
  </w:style>
  <w:style w:type="paragraph" w:styleId="ListContinue4">
    <w:name w:val="List Continue 4"/>
    <w:basedOn w:val="Normal"/>
    <w:semiHidden/>
    <w:rsid w:val="00CD225D"/>
    <w:pPr>
      <w:spacing w:after="120"/>
      <w:ind w:left="1132"/>
    </w:pPr>
  </w:style>
  <w:style w:type="paragraph" w:styleId="ListContinue5">
    <w:name w:val="List Continue 5"/>
    <w:basedOn w:val="Normal"/>
    <w:semiHidden/>
    <w:rsid w:val="00CD225D"/>
    <w:pPr>
      <w:spacing w:after="120"/>
      <w:ind w:left="1415"/>
    </w:pPr>
  </w:style>
  <w:style w:type="paragraph" w:styleId="ListNumber">
    <w:name w:val="List Number"/>
    <w:basedOn w:val="Normal"/>
    <w:semiHidden/>
    <w:rsid w:val="00CD225D"/>
    <w:pPr>
      <w:numPr>
        <w:numId w:val="8"/>
      </w:numPr>
    </w:pPr>
  </w:style>
  <w:style w:type="paragraph" w:styleId="ListNumber2">
    <w:name w:val="List Number 2"/>
    <w:basedOn w:val="Normal"/>
    <w:semiHidden/>
    <w:rsid w:val="00CD225D"/>
    <w:pPr>
      <w:numPr>
        <w:numId w:val="9"/>
      </w:numPr>
    </w:pPr>
  </w:style>
  <w:style w:type="paragraph" w:styleId="ListNumber3">
    <w:name w:val="List Number 3"/>
    <w:basedOn w:val="Normal"/>
    <w:semiHidden/>
    <w:rsid w:val="00CD225D"/>
    <w:pPr>
      <w:numPr>
        <w:numId w:val="10"/>
      </w:numPr>
    </w:pPr>
  </w:style>
  <w:style w:type="paragraph" w:styleId="ListNumber4">
    <w:name w:val="List Number 4"/>
    <w:basedOn w:val="Normal"/>
    <w:semiHidden/>
    <w:rsid w:val="00CD225D"/>
    <w:pPr>
      <w:numPr>
        <w:numId w:val="11"/>
      </w:numPr>
    </w:pPr>
  </w:style>
  <w:style w:type="paragraph" w:styleId="ListNumber5">
    <w:name w:val="List Number 5"/>
    <w:basedOn w:val="Normal"/>
    <w:semiHidden/>
    <w:rsid w:val="00CD225D"/>
    <w:pPr>
      <w:numPr>
        <w:numId w:val="12"/>
      </w:numPr>
    </w:pPr>
  </w:style>
  <w:style w:type="paragraph" w:styleId="MessageHeader">
    <w:name w:val="Message Header"/>
    <w:basedOn w:val="Normal"/>
    <w:semiHidden/>
    <w:rsid w:val="00CD225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sid w:val="00CD225D"/>
    <w:rPr>
      <w:szCs w:val="24"/>
    </w:rPr>
  </w:style>
  <w:style w:type="paragraph" w:styleId="NormalIndent">
    <w:name w:val="Normal Indent"/>
    <w:basedOn w:val="Normal"/>
    <w:semiHidden/>
    <w:rsid w:val="00CD225D"/>
    <w:pPr>
      <w:ind w:left="720"/>
    </w:pPr>
  </w:style>
  <w:style w:type="paragraph" w:styleId="NoteHeading">
    <w:name w:val="Note Heading"/>
    <w:basedOn w:val="Normal"/>
    <w:next w:val="Normal"/>
    <w:semiHidden/>
    <w:rsid w:val="00CD225D"/>
  </w:style>
  <w:style w:type="character" w:styleId="PageNumber">
    <w:name w:val="page number"/>
    <w:basedOn w:val="DefaultParagraphFont"/>
    <w:semiHidden/>
    <w:rsid w:val="00CD225D"/>
  </w:style>
  <w:style w:type="paragraph" w:styleId="PlainText">
    <w:name w:val="Plain Text"/>
    <w:basedOn w:val="Normal"/>
    <w:semiHidden/>
    <w:rsid w:val="00CD225D"/>
    <w:rPr>
      <w:rFonts w:ascii="Courier New" w:hAnsi="Courier New" w:cs="Courier New"/>
      <w:sz w:val="20"/>
    </w:rPr>
  </w:style>
  <w:style w:type="paragraph" w:styleId="Salutation">
    <w:name w:val="Salutation"/>
    <w:basedOn w:val="Normal"/>
    <w:next w:val="Normal"/>
    <w:semiHidden/>
    <w:rsid w:val="00CD225D"/>
  </w:style>
  <w:style w:type="paragraph" w:styleId="Signature">
    <w:name w:val="Signature"/>
    <w:basedOn w:val="Normal"/>
    <w:semiHidden/>
    <w:rsid w:val="00CD225D"/>
    <w:pPr>
      <w:ind w:left="4252"/>
    </w:pPr>
  </w:style>
  <w:style w:type="character" w:styleId="Strong">
    <w:name w:val="Strong"/>
    <w:semiHidden/>
    <w:rsid w:val="00CD225D"/>
    <w:rPr>
      <w:b/>
      <w:bCs/>
    </w:rPr>
  </w:style>
  <w:style w:type="paragraph" w:styleId="Subtitle">
    <w:name w:val="Subtitle"/>
    <w:basedOn w:val="Normal"/>
    <w:semiHidden/>
    <w:rsid w:val="00CD225D"/>
    <w:pPr>
      <w:spacing w:after="60"/>
      <w:jc w:val="center"/>
      <w:outlineLvl w:val="1"/>
    </w:pPr>
    <w:rPr>
      <w:rFonts w:ascii="Arial" w:hAnsi="Arial" w:cs="Arial"/>
      <w:szCs w:val="24"/>
    </w:rPr>
  </w:style>
  <w:style w:type="table" w:styleId="Table3Deffects1">
    <w:name w:val="Table 3D effects 1"/>
    <w:basedOn w:val="TableNormal"/>
    <w:semiHidden/>
    <w:rsid w:val="00CD225D"/>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D225D"/>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D225D"/>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D225D"/>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D225D"/>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D225D"/>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D225D"/>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D225D"/>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D225D"/>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D225D"/>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D225D"/>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D225D"/>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D225D"/>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D225D"/>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D225D"/>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D225D"/>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D225D"/>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CD225D"/>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D225D"/>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D225D"/>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D225D"/>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D225D"/>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D225D"/>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D225D"/>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D225D"/>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D225D"/>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D225D"/>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D225D"/>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D225D"/>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D225D"/>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D225D"/>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D225D"/>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D225D"/>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D225D"/>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D225D"/>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D225D"/>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D225D"/>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D225D"/>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D225D"/>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D225D"/>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D225D"/>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D225D"/>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D225D"/>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rsid w:val="00CD225D"/>
    <w:pPr>
      <w:spacing w:before="120" w:after="60" w:line="240" w:lineRule="auto"/>
      <w:jc w:val="left"/>
    </w:pPr>
  </w:style>
  <w:style w:type="paragraph" w:customStyle="1" w:styleId="bTOC2">
    <w:name w:val="bTOC 2"/>
    <w:basedOn w:val="TOC2"/>
    <w:semiHidden/>
    <w:rsid w:val="00CD225D"/>
    <w:pPr>
      <w:spacing w:before="120" w:after="60" w:line="240" w:lineRule="auto"/>
      <w:ind w:left="238"/>
      <w:jc w:val="left"/>
    </w:pPr>
  </w:style>
  <w:style w:type="paragraph" w:customStyle="1" w:styleId="bTOC3">
    <w:name w:val="bTOC 3"/>
    <w:basedOn w:val="TOC3"/>
    <w:semiHidden/>
    <w:rsid w:val="00CD225D"/>
    <w:pPr>
      <w:spacing w:before="120" w:after="60" w:line="240" w:lineRule="auto"/>
      <w:ind w:left="482"/>
      <w:jc w:val="left"/>
    </w:pPr>
  </w:style>
  <w:style w:type="paragraph" w:customStyle="1" w:styleId="bTOC4">
    <w:name w:val="bTOC 4"/>
    <w:basedOn w:val="TOC4"/>
    <w:semiHidden/>
    <w:rsid w:val="00CD225D"/>
    <w:pPr>
      <w:spacing w:before="120" w:after="60" w:line="240" w:lineRule="auto"/>
      <w:jc w:val="left"/>
    </w:pPr>
  </w:style>
  <w:style w:type="paragraph" w:customStyle="1" w:styleId="Counsel">
    <w:name w:val="Counsel"/>
    <w:basedOn w:val="Normal"/>
    <w:unhideWhenUsed/>
    <w:rsid w:val="00CD225D"/>
    <w:pPr>
      <w:widowControl w:val="0"/>
      <w:suppressAutoHyphens/>
      <w:spacing w:line="240" w:lineRule="auto"/>
    </w:pPr>
  </w:style>
  <w:style w:type="character" w:customStyle="1" w:styleId="CertifyChar">
    <w:name w:val="Certify Char"/>
    <w:link w:val="Certify"/>
    <w:semiHidden/>
    <w:rsid w:val="00CD225D"/>
    <w:rPr>
      <w:sz w:val="24"/>
      <w:szCs w:val="24"/>
      <w:lang w:eastAsia="en-US"/>
    </w:rPr>
  </w:style>
  <w:style w:type="paragraph" w:customStyle="1" w:styleId="fcHeading1">
    <w:name w:val="fcHeading 1"/>
    <w:basedOn w:val="Normal"/>
    <w:next w:val="ParaNumbering"/>
    <w:semiHidden/>
    <w:rsid w:val="00CD225D"/>
    <w:pPr>
      <w:keepNext/>
      <w:numPr>
        <w:numId w:val="16"/>
      </w:numPr>
      <w:spacing w:before="240" w:after="60" w:line="240" w:lineRule="auto"/>
    </w:pPr>
    <w:rPr>
      <w:b/>
      <w:caps/>
      <w:kern w:val="28"/>
    </w:rPr>
  </w:style>
  <w:style w:type="paragraph" w:customStyle="1" w:styleId="fcHeading2">
    <w:name w:val="fcHeading 2"/>
    <w:basedOn w:val="Normal"/>
    <w:next w:val="ParaNumbering"/>
    <w:semiHidden/>
    <w:rsid w:val="00CD225D"/>
    <w:pPr>
      <w:keepNext/>
      <w:numPr>
        <w:ilvl w:val="1"/>
        <w:numId w:val="16"/>
      </w:numPr>
      <w:spacing w:before="240" w:after="60" w:line="240" w:lineRule="auto"/>
    </w:pPr>
    <w:rPr>
      <w:b/>
    </w:rPr>
  </w:style>
  <w:style w:type="paragraph" w:customStyle="1" w:styleId="fcHeading3">
    <w:name w:val="fcHeading 3"/>
    <w:basedOn w:val="Normal"/>
    <w:next w:val="ParaNumbering"/>
    <w:semiHidden/>
    <w:rsid w:val="00CD225D"/>
    <w:pPr>
      <w:keepNext/>
      <w:numPr>
        <w:ilvl w:val="2"/>
        <w:numId w:val="16"/>
      </w:numPr>
      <w:spacing w:before="240" w:after="60" w:line="240" w:lineRule="auto"/>
    </w:pPr>
    <w:rPr>
      <w:b/>
      <w:i/>
    </w:rPr>
  </w:style>
  <w:style w:type="paragraph" w:customStyle="1" w:styleId="fcHeading4">
    <w:name w:val="fcHeading 4"/>
    <w:basedOn w:val="Normal"/>
    <w:next w:val="ParaNumbering"/>
    <w:semiHidden/>
    <w:rsid w:val="00CD225D"/>
    <w:pPr>
      <w:keepNext/>
      <w:tabs>
        <w:tab w:val="num" w:pos="1134"/>
      </w:tabs>
      <w:spacing w:before="240" w:after="60" w:line="240" w:lineRule="auto"/>
      <w:ind w:left="1134" w:hanging="1134"/>
    </w:pPr>
    <w:rPr>
      <w:b/>
      <w:smallCaps/>
    </w:rPr>
  </w:style>
  <w:style w:type="paragraph" w:customStyle="1" w:styleId="fcHeading5">
    <w:name w:val="fcHeading 5"/>
    <w:basedOn w:val="Normal"/>
    <w:next w:val="ParaNumbering"/>
    <w:semiHidden/>
    <w:rsid w:val="00CD225D"/>
    <w:pPr>
      <w:keepNext/>
      <w:tabs>
        <w:tab w:val="num" w:pos="1134"/>
      </w:tabs>
      <w:spacing w:before="240" w:after="60" w:line="240" w:lineRule="auto"/>
      <w:ind w:left="1134" w:hanging="1134"/>
    </w:pPr>
    <w:rPr>
      <w:b/>
      <w:caps/>
    </w:rPr>
  </w:style>
  <w:style w:type="paragraph" w:customStyle="1" w:styleId="FTOC5">
    <w:name w:val="FTOC 5"/>
    <w:basedOn w:val="Normal"/>
    <w:semiHidden/>
    <w:rsid w:val="00CD225D"/>
    <w:pPr>
      <w:tabs>
        <w:tab w:val="right" w:leader="dot" w:pos="9072"/>
      </w:tabs>
      <w:spacing w:before="120" w:after="60" w:line="240" w:lineRule="auto"/>
      <w:ind w:left="709" w:hanging="709"/>
      <w:jc w:val="left"/>
    </w:pPr>
    <w:rPr>
      <w:b/>
      <w:kern w:val="28"/>
    </w:rPr>
  </w:style>
  <w:style w:type="paragraph" w:customStyle="1" w:styleId="FTOC6">
    <w:name w:val="FTOC 6"/>
    <w:basedOn w:val="Normal"/>
    <w:semiHidden/>
    <w:rsid w:val="00CD225D"/>
    <w:pPr>
      <w:tabs>
        <w:tab w:val="right" w:leader="dot" w:pos="9072"/>
      </w:tabs>
      <w:spacing w:before="120" w:after="60" w:line="240" w:lineRule="auto"/>
      <w:ind w:left="1418" w:hanging="709"/>
      <w:jc w:val="left"/>
    </w:pPr>
    <w:rPr>
      <w:b/>
    </w:rPr>
  </w:style>
  <w:style w:type="paragraph" w:customStyle="1" w:styleId="FTOC7">
    <w:name w:val="FTOC 7"/>
    <w:basedOn w:val="Normal"/>
    <w:semiHidden/>
    <w:rsid w:val="00CD225D"/>
    <w:pPr>
      <w:tabs>
        <w:tab w:val="right" w:leader="dot" w:pos="9072"/>
      </w:tabs>
      <w:spacing w:before="120" w:after="60" w:line="240" w:lineRule="auto"/>
      <w:ind w:left="2127" w:hanging="709"/>
      <w:jc w:val="left"/>
    </w:pPr>
    <w:rPr>
      <w:b/>
    </w:rPr>
  </w:style>
  <w:style w:type="paragraph" w:customStyle="1" w:styleId="FTOC8">
    <w:name w:val="FTOC 8"/>
    <w:basedOn w:val="Normal"/>
    <w:semiHidden/>
    <w:rsid w:val="00CD225D"/>
    <w:pPr>
      <w:tabs>
        <w:tab w:val="right" w:leader="dot" w:pos="9072"/>
      </w:tabs>
      <w:spacing w:before="120" w:after="60" w:line="240" w:lineRule="auto"/>
      <w:ind w:left="3260" w:hanging="1134"/>
      <w:jc w:val="left"/>
    </w:pPr>
    <w:rPr>
      <w:b/>
    </w:rPr>
  </w:style>
  <w:style w:type="paragraph" w:customStyle="1" w:styleId="FTOC9">
    <w:name w:val="FTOC 9"/>
    <w:basedOn w:val="Normal"/>
    <w:semiHidden/>
    <w:rsid w:val="00CD225D"/>
    <w:pPr>
      <w:tabs>
        <w:tab w:val="right" w:leader="dot" w:pos="9072"/>
      </w:tabs>
      <w:spacing w:before="120" w:after="60" w:line="240" w:lineRule="auto"/>
      <w:ind w:left="3969" w:hanging="1134"/>
      <w:jc w:val="left"/>
    </w:pPr>
    <w:rPr>
      <w:b/>
    </w:rPr>
  </w:style>
  <w:style w:type="paragraph" w:customStyle="1" w:styleId="bTOC5">
    <w:name w:val="bTOC 5"/>
    <w:basedOn w:val="Normal"/>
    <w:semiHidden/>
    <w:rsid w:val="00CD225D"/>
    <w:pPr>
      <w:tabs>
        <w:tab w:val="right" w:leader="dot" w:pos="9072"/>
      </w:tabs>
      <w:spacing w:before="120" w:after="60" w:line="240" w:lineRule="auto"/>
      <w:ind w:left="709" w:hanging="709"/>
      <w:jc w:val="left"/>
    </w:pPr>
  </w:style>
  <w:style w:type="paragraph" w:customStyle="1" w:styleId="bTOC6">
    <w:name w:val="bTOC 6"/>
    <w:basedOn w:val="Normal"/>
    <w:semiHidden/>
    <w:rsid w:val="00CD225D"/>
    <w:pPr>
      <w:tabs>
        <w:tab w:val="right" w:leader="dot" w:pos="9072"/>
      </w:tabs>
      <w:spacing w:before="120" w:after="60" w:line="240" w:lineRule="auto"/>
      <w:ind w:left="1418" w:hanging="709"/>
      <w:jc w:val="left"/>
    </w:pPr>
  </w:style>
  <w:style w:type="paragraph" w:customStyle="1" w:styleId="bTOC7">
    <w:name w:val="bTOC 7"/>
    <w:basedOn w:val="Normal"/>
    <w:semiHidden/>
    <w:rsid w:val="00CD225D"/>
    <w:pPr>
      <w:tabs>
        <w:tab w:val="right" w:leader="dot" w:pos="9072"/>
      </w:tabs>
      <w:spacing w:before="120" w:after="60" w:line="240" w:lineRule="auto"/>
      <w:ind w:left="2127" w:hanging="709"/>
      <w:jc w:val="left"/>
    </w:pPr>
  </w:style>
  <w:style w:type="paragraph" w:customStyle="1" w:styleId="bTOC8">
    <w:name w:val="bTOC 8"/>
    <w:basedOn w:val="Normal"/>
    <w:semiHidden/>
    <w:rsid w:val="00CD225D"/>
    <w:pPr>
      <w:keepNext/>
      <w:tabs>
        <w:tab w:val="right" w:leader="dot" w:pos="9072"/>
      </w:tabs>
      <w:spacing w:before="120" w:after="60" w:line="240" w:lineRule="auto"/>
      <w:ind w:left="3260" w:hanging="1134"/>
      <w:jc w:val="left"/>
    </w:pPr>
  </w:style>
  <w:style w:type="paragraph" w:customStyle="1" w:styleId="bTOC9">
    <w:name w:val="bTOC 9"/>
    <w:basedOn w:val="Normal"/>
    <w:semiHidden/>
    <w:rsid w:val="00CD225D"/>
    <w:pPr>
      <w:keepNext/>
      <w:tabs>
        <w:tab w:val="right" w:leader="dot" w:pos="9072"/>
      </w:tabs>
      <w:spacing w:before="120" w:after="60" w:line="240" w:lineRule="auto"/>
      <w:ind w:left="3969" w:hanging="1134"/>
      <w:jc w:val="left"/>
    </w:pPr>
  </w:style>
  <w:style w:type="paragraph" w:customStyle="1" w:styleId="ListNo2">
    <w:name w:val="List No 2"/>
    <w:basedOn w:val="ListNo1"/>
    <w:rsid w:val="00CD225D"/>
    <w:pPr>
      <w:numPr>
        <w:ilvl w:val="1"/>
      </w:numPr>
    </w:pPr>
  </w:style>
  <w:style w:type="paragraph" w:customStyle="1" w:styleId="ListNo3">
    <w:name w:val="List No 3"/>
    <w:basedOn w:val="ListNo2"/>
    <w:rsid w:val="00CD225D"/>
    <w:pPr>
      <w:numPr>
        <w:ilvl w:val="2"/>
      </w:numPr>
    </w:pPr>
  </w:style>
  <w:style w:type="numbering" w:customStyle="1" w:styleId="FCListNo">
    <w:name w:val="FCListNo"/>
    <w:uiPriority w:val="99"/>
    <w:rsid w:val="00CD225D"/>
    <w:pPr>
      <w:numPr>
        <w:numId w:val="17"/>
      </w:numPr>
    </w:pPr>
  </w:style>
  <w:style w:type="paragraph" w:customStyle="1" w:styleId="SingleSpace">
    <w:name w:val="SingleSpace"/>
    <w:basedOn w:val="Normal"/>
    <w:rsid w:val="00CD225D"/>
    <w:pPr>
      <w:spacing w:line="240" w:lineRule="auto"/>
    </w:pPr>
    <w:rPr>
      <w:szCs w:val="22"/>
    </w:rPr>
  </w:style>
  <w:style w:type="paragraph" w:customStyle="1" w:styleId="Quote1Bullet">
    <w:name w:val="Quote1 Bullet"/>
    <w:basedOn w:val="Quote1"/>
    <w:rsid w:val="00CD225D"/>
    <w:pPr>
      <w:numPr>
        <w:numId w:val="18"/>
      </w:numPr>
      <w:ind w:left="1440" w:hanging="720"/>
    </w:pPr>
  </w:style>
  <w:style w:type="paragraph" w:customStyle="1" w:styleId="Quote2Bullet">
    <w:name w:val="Quote2 Bullet"/>
    <w:basedOn w:val="Quote2"/>
    <w:rsid w:val="00CD225D"/>
    <w:pPr>
      <w:numPr>
        <w:numId w:val="19"/>
      </w:numPr>
      <w:ind w:hanging="720"/>
    </w:pPr>
  </w:style>
  <w:style w:type="paragraph" w:customStyle="1" w:styleId="Quote3Bullet">
    <w:name w:val="Quote3 Bullet"/>
    <w:basedOn w:val="Quote3"/>
    <w:rsid w:val="00CD225D"/>
    <w:pPr>
      <w:numPr>
        <w:numId w:val="20"/>
      </w:numPr>
      <w:ind w:hanging="720"/>
    </w:pPr>
  </w:style>
  <w:style w:type="paragraph" w:customStyle="1" w:styleId="Order1">
    <w:name w:val="Order 1"/>
    <w:basedOn w:val="Normal"/>
    <w:rsid w:val="00CD225D"/>
    <w:pPr>
      <w:numPr>
        <w:numId w:val="33"/>
      </w:numPr>
      <w:spacing w:before="60" w:after="60"/>
    </w:pPr>
  </w:style>
  <w:style w:type="paragraph" w:customStyle="1" w:styleId="Order2">
    <w:name w:val="Order 2"/>
    <w:basedOn w:val="Order1"/>
    <w:rsid w:val="00CD225D"/>
    <w:pPr>
      <w:numPr>
        <w:ilvl w:val="1"/>
      </w:numPr>
    </w:pPr>
  </w:style>
  <w:style w:type="paragraph" w:customStyle="1" w:styleId="Order3">
    <w:name w:val="Order 3"/>
    <w:basedOn w:val="Order2"/>
    <w:rsid w:val="00CD225D"/>
    <w:pPr>
      <w:numPr>
        <w:ilvl w:val="2"/>
      </w:numPr>
    </w:pPr>
  </w:style>
  <w:style w:type="numbering" w:customStyle="1" w:styleId="FCOrders">
    <w:name w:val="FCOrders"/>
    <w:uiPriority w:val="99"/>
    <w:rsid w:val="00CD225D"/>
    <w:pPr>
      <w:numPr>
        <w:numId w:val="36"/>
      </w:numPr>
    </w:pPr>
  </w:style>
  <w:style w:type="paragraph" w:customStyle="1" w:styleId="BodyTextBold">
    <w:name w:val="Body Text Bold"/>
    <w:basedOn w:val="BodyText"/>
    <w:rsid w:val="00CD225D"/>
    <w:rPr>
      <w:b/>
    </w:rPr>
  </w:style>
  <w:style w:type="paragraph" w:customStyle="1" w:styleId="GeneralHeading">
    <w:name w:val="General Heading"/>
    <w:basedOn w:val="BodyTextBold"/>
    <w:next w:val="BodyText"/>
    <w:rsid w:val="00CD225D"/>
    <w:pPr>
      <w:spacing w:line="480" w:lineRule="auto"/>
      <w:jc w:val="center"/>
    </w:pPr>
    <w:rPr>
      <w:sz w:val="28"/>
    </w:rPr>
  </w:style>
  <w:style w:type="paragraph" w:customStyle="1" w:styleId="ReasonJudge">
    <w:name w:val="Reason Judge"/>
    <w:basedOn w:val="BodyText"/>
    <w:next w:val="BodyText"/>
    <w:rsid w:val="00CD225D"/>
    <w:pPr>
      <w:jc w:val="left"/>
    </w:pPr>
    <w:rPr>
      <w:b/>
      <w:sz w:val="26"/>
    </w:rPr>
  </w:style>
  <w:style w:type="paragraph" w:customStyle="1" w:styleId="FileNo">
    <w:name w:val="FileNo"/>
    <w:basedOn w:val="NormalHeadings"/>
    <w:rsid w:val="00CD225D"/>
    <w:pPr>
      <w:tabs>
        <w:tab w:val="right" w:pos="3609"/>
      </w:tabs>
      <w:spacing w:line="276" w:lineRule="auto"/>
      <w:jc w:val="right"/>
    </w:pPr>
    <w:rPr>
      <w:szCs w:val="24"/>
    </w:rPr>
  </w:style>
  <w:style w:type="paragraph" w:customStyle="1" w:styleId="CasesLegislationAppealFrom">
    <w:name w:val="Cases Legislation Appeal From"/>
    <w:basedOn w:val="Normal1linespace"/>
    <w:rsid w:val="00CD225D"/>
    <w:pPr>
      <w:widowControl w:val="0"/>
      <w:spacing w:after="100"/>
      <w:jc w:val="left"/>
    </w:pPr>
  </w:style>
  <w:style w:type="paragraph" w:customStyle="1" w:styleId="PartyName">
    <w:name w:val="Party Name"/>
    <w:basedOn w:val="NormalHeadings"/>
    <w:rsid w:val="00CD225D"/>
    <w:pPr>
      <w:jc w:val="left"/>
    </w:pPr>
    <w:rPr>
      <w:szCs w:val="24"/>
    </w:rPr>
  </w:style>
  <w:style w:type="paragraph" w:customStyle="1" w:styleId="PartyType">
    <w:name w:val="Party Type"/>
    <w:basedOn w:val="PartyName"/>
    <w:rsid w:val="00CD225D"/>
    <w:rPr>
      <w:b w:val="0"/>
    </w:rPr>
  </w:style>
  <w:style w:type="paragraph" w:customStyle="1" w:styleId="Small-TableswithinQuotes">
    <w:name w:val="Small - Tables within Quotes"/>
    <w:basedOn w:val="BodyText"/>
    <w:rsid w:val="00CD225D"/>
    <w:pPr>
      <w:spacing w:line="240" w:lineRule="auto"/>
      <w:jc w:val="left"/>
    </w:pPr>
    <w:rPr>
      <w:sz w:val="22"/>
    </w:rPr>
  </w:style>
  <w:style w:type="character" w:customStyle="1" w:styleId="BodyTextChar">
    <w:name w:val="Body Text Char"/>
    <w:basedOn w:val="DefaultParagraphFont"/>
    <w:link w:val="BodyText"/>
    <w:rsid w:val="00CD225D"/>
    <w:rPr>
      <w:sz w:val="24"/>
      <w:lang w:eastAsia="en-US"/>
    </w:rPr>
  </w:style>
  <w:style w:type="character" w:customStyle="1" w:styleId="NormalHeadingsChar">
    <w:name w:val="Normal Headings Char"/>
    <w:basedOn w:val="DefaultParagraphFont"/>
    <w:link w:val="NormalHeadings"/>
    <w:rsid w:val="00CD225D"/>
    <w:rPr>
      <w:b/>
      <w:sz w:val="24"/>
      <w:lang w:eastAsia="en-US"/>
    </w:rPr>
  </w:style>
  <w:style w:type="paragraph" w:customStyle="1" w:styleId="Default">
    <w:name w:val="Default"/>
    <w:rsid w:val="00DC4F49"/>
    <w:pPr>
      <w:autoSpaceDE w:val="0"/>
      <w:autoSpaceDN w:val="0"/>
      <w:adjustRightInd w:val="0"/>
    </w:pPr>
    <w:rPr>
      <w:color w:val="000000"/>
      <w:sz w:val="24"/>
      <w:szCs w:val="24"/>
    </w:rPr>
  </w:style>
  <w:style w:type="character" w:customStyle="1" w:styleId="Heading2Char">
    <w:name w:val="Heading 2 Char"/>
    <w:basedOn w:val="DefaultParagraphFont"/>
    <w:link w:val="Heading2"/>
    <w:rsid w:val="003C3A36"/>
    <w:rPr>
      <w:b/>
      <w:sz w:val="24"/>
      <w:szCs w:val="24"/>
      <w:lang w:eastAsia="en-US"/>
    </w:rPr>
  </w:style>
  <w:style w:type="character" w:customStyle="1" w:styleId="Normal1">
    <w:name w:val="Normal1"/>
    <w:basedOn w:val="DefaultParagraphFont"/>
    <w:rsid w:val="005A1F89"/>
  </w:style>
  <w:style w:type="character" w:customStyle="1" w:styleId="mover">
    <w:name w:val="mover"/>
    <w:basedOn w:val="DefaultParagraphFont"/>
    <w:rsid w:val="005A1F89"/>
  </w:style>
  <w:style w:type="paragraph" w:styleId="FootnoteText">
    <w:name w:val="footnote text"/>
    <w:basedOn w:val="Normal"/>
    <w:link w:val="FootnoteTextChar"/>
    <w:uiPriority w:val="99"/>
    <w:rsid w:val="00947BA5"/>
    <w:pPr>
      <w:spacing w:line="240" w:lineRule="auto"/>
      <w:jc w:val="left"/>
    </w:pPr>
    <w:rPr>
      <w:rFonts w:eastAsia="Times New Roman"/>
      <w:sz w:val="20"/>
      <w:lang w:val="en-US"/>
    </w:rPr>
  </w:style>
  <w:style w:type="character" w:customStyle="1" w:styleId="FootnoteTextChar">
    <w:name w:val="Footnote Text Char"/>
    <w:basedOn w:val="DefaultParagraphFont"/>
    <w:link w:val="FootnoteText"/>
    <w:uiPriority w:val="99"/>
    <w:rsid w:val="00947BA5"/>
    <w:rPr>
      <w:rFonts w:eastAsia="Times New Roman"/>
      <w:lang w:val="en-US" w:eastAsia="en-US"/>
    </w:rPr>
  </w:style>
  <w:style w:type="paragraph" w:styleId="ListParagraph">
    <w:name w:val="List Paragraph"/>
    <w:basedOn w:val="Normal"/>
    <w:uiPriority w:val="34"/>
    <w:rsid w:val="0087543C"/>
    <w:pPr>
      <w:ind w:left="720"/>
      <w:contextualSpacing/>
    </w:pPr>
  </w:style>
  <w:style w:type="paragraph" w:customStyle="1" w:styleId="CourtTitle">
    <w:name w:val="CourtTitle"/>
    <w:basedOn w:val="NormalHeadings"/>
    <w:rsid w:val="00CD225D"/>
    <w:pPr>
      <w:jc w:val="center"/>
    </w:pPr>
    <w:rPr>
      <w:caps/>
      <w:sz w:val="32"/>
    </w:rPr>
  </w:style>
  <w:style w:type="paragraph" w:customStyle="1" w:styleId="MNC">
    <w:name w:val="MNC"/>
    <w:basedOn w:val="MediaNeutralStyle"/>
    <w:rsid w:val="00CD225D"/>
    <w:pPr>
      <w:spacing w:after="240"/>
    </w:pPr>
    <w:rPr>
      <w:sz w:val="28"/>
    </w:rPr>
  </w:style>
  <w:style w:type="paragraph" w:customStyle="1" w:styleId="Quote4">
    <w:name w:val="Quote4"/>
    <w:basedOn w:val="Quote1"/>
    <w:rsid w:val="00CD225D"/>
    <w:pPr>
      <w:ind w:left="2880"/>
    </w:pPr>
  </w:style>
  <w:style w:type="paragraph" w:customStyle="1" w:styleId="Quote4Bullet">
    <w:name w:val="Quote4 Bullet"/>
    <w:basedOn w:val="Quote4"/>
    <w:rsid w:val="00CD225D"/>
    <w:pPr>
      <w:numPr>
        <w:numId w:val="32"/>
      </w:numPr>
      <w:ind w:hanging="720"/>
    </w:pPr>
  </w:style>
  <w:style w:type="character" w:styleId="PlaceholderText">
    <w:name w:val="Placeholder Text"/>
    <w:basedOn w:val="DefaultParagraphFont"/>
    <w:uiPriority w:val="99"/>
    <w:semiHidden/>
    <w:rsid w:val="00CD225D"/>
    <w:rPr>
      <w:color w:val="808080"/>
    </w:rPr>
  </w:style>
  <w:style w:type="paragraph" w:customStyle="1" w:styleId="ListNo1alt">
    <w:name w:val="List No 1 (alt)"/>
    <w:basedOn w:val="Normal"/>
    <w:rsid w:val="00CD225D"/>
    <w:pPr>
      <w:tabs>
        <w:tab w:val="num" w:pos="720"/>
      </w:tabs>
      <w:spacing w:before="60" w:after="60"/>
      <w:ind w:left="720" w:hanging="720"/>
    </w:pPr>
  </w:style>
  <w:style w:type="paragraph" w:customStyle="1" w:styleId="ListNo2alt">
    <w:name w:val="List No 2 (alt)"/>
    <w:basedOn w:val="ListNo1alt"/>
    <w:rsid w:val="00CD225D"/>
    <w:pPr>
      <w:tabs>
        <w:tab w:val="clear" w:pos="720"/>
        <w:tab w:val="num" w:pos="1440"/>
      </w:tabs>
      <w:ind w:left="1440"/>
    </w:pPr>
  </w:style>
  <w:style w:type="paragraph" w:customStyle="1" w:styleId="ListNo3alt">
    <w:name w:val="List No 3 (alt)"/>
    <w:basedOn w:val="ListNo2alt"/>
    <w:rsid w:val="00CD225D"/>
    <w:pPr>
      <w:tabs>
        <w:tab w:val="clear" w:pos="1440"/>
        <w:tab w:val="num" w:pos="2160"/>
      </w:tabs>
      <w:ind w:left="2160"/>
    </w:pPr>
  </w:style>
  <w:style w:type="numbering" w:customStyle="1" w:styleId="FCListNoalt">
    <w:name w:val="FC List No (alt)"/>
    <w:uiPriority w:val="99"/>
    <w:rsid w:val="00CD225D"/>
    <w:pPr>
      <w:numPr>
        <w:numId w:val="35"/>
      </w:numPr>
    </w:pPr>
  </w:style>
  <w:style w:type="paragraph" w:customStyle="1" w:styleId="Order4">
    <w:name w:val="Order 4"/>
    <w:basedOn w:val="Order3"/>
    <w:rsid w:val="00CD225D"/>
    <w:pPr>
      <w:numPr>
        <w:ilvl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2161193">
      <w:bodyDiv w:val="1"/>
      <w:marLeft w:val="0"/>
      <w:marRight w:val="0"/>
      <w:marTop w:val="0"/>
      <w:marBottom w:val="0"/>
      <w:divBdr>
        <w:top w:val="none" w:sz="0" w:space="0" w:color="auto"/>
        <w:left w:val="none" w:sz="0" w:space="0" w:color="auto"/>
        <w:bottom w:val="none" w:sz="0" w:space="0" w:color="auto"/>
        <w:right w:val="none" w:sz="0" w:space="0" w:color="auto"/>
      </w:divBdr>
      <w:divsChild>
        <w:div w:id="13914173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DC48BE-3BB5-4350-9E07-A4068CE49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8</TotalTime>
  <Pages>26</Pages>
  <Words>10085</Words>
  <Characters>51081</Characters>
  <Application>Microsoft Office Word</Application>
  <DocSecurity>0</DocSecurity>
  <Lines>1021</Lines>
  <Paragraphs>405</Paragraphs>
  <ScaleCrop>false</ScaleCrop>
  <HeadingPairs>
    <vt:vector size="2" baseType="variant">
      <vt:variant>
        <vt:lpstr>Title</vt:lpstr>
      </vt:variant>
      <vt:variant>
        <vt:i4>1</vt:i4>
      </vt:variant>
    </vt:vector>
  </HeadingPairs>
  <TitlesOfParts>
    <vt:vector size="1" baseType="lpstr">
      <vt:lpstr>Yeo, in the matter of Ready Kit Cabinets Pty Ltd (in liq) v Deputy Commissioner of Taxation [2020] FCA 632 </vt:lpstr>
    </vt:vector>
  </TitlesOfParts>
  <Company>Federal Court of Australia</Company>
  <LinksUpToDate>false</LinksUpToDate>
  <CharactersWithSpaces>60761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Yeo, in the matter of Ready Kit Cabinets Pty Ltd (in liq) v Deputy Commissioner of Taxation [2020] FCA 632</dc:title>
  <dc:subject/>
  <dc:creator>Federal Court of Australia</dc:creator>
  <cp:keywords/>
  <dc:description/>
  <cp:lastModifiedBy>Federal Court of Australia</cp:lastModifiedBy>
  <cp:revision>5</cp:revision>
  <cp:lastPrinted>2020-09-16T02:52:00Z</cp:lastPrinted>
  <dcterms:created xsi:type="dcterms:W3CDTF">2020-09-16T03:51:00Z</dcterms:created>
  <dcterms:modified xsi:type="dcterms:W3CDTF">2020-09-16T04:10:00Z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MIDDLETON J</vt:lpwstr>
  </property>
  <property fmtid="{D5CDD505-2E9C-101B-9397-08002B2CF9AE}" pid="4" name="Judgment_dated" linkTarget="Judgment_dated">
    <vt:lpwstr>15 May 2020</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3</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16.0</vt:lpwstr>
  </property>
  <property fmtid="{D5CDD505-2E9C-101B-9397-08002B2CF9AE}" pid="15" name="Registry">
    <vt:lpwstr>Victoria</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Commercial and Corporations</vt:lpwstr>
  </property>
  <property fmtid="{D5CDD505-2E9C-101B-9397-08002B2CF9AE}" pid="19" name="Sub Area">
    <vt:lpwstr>Corporations and Corporate Insolvency</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