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540EF" w14:textId="77777777" w:rsidR="00395B24" w:rsidRDefault="002C7385">
      <w:pPr>
        <w:pStyle w:val="NormalHeadings"/>
        <w:jc w:val="center"/>
        <w:rPr>
          <w:sz w:val="32"/>
        </w:rPr>
      </w:pPr>
      <w:r>
        <w:rPr>
          <w:sz w:val="32"/>
        </w:rPr>
        <w:t>FEDERAL COURT OF AUSTRALIA</w:t>
      </w:r>
    </w:p>
    <w:p w14:paraId="6E28FE5E" w14:textId="77777777" w:rsidR="00395B24" w:rsidRDefault="00395B24">
      <w:pPr>
        <w:pStyle w:val="NormalHeadings"/>
        <w:jc w:val="center"/>
        <w:rPr>
          <w:sz w:val="32"/>
        </w:rPr>
      </w:pPr>
    </w:p>
    <w:p w14:paraId="35B34B91" w14:textId="28633AC1" w:rsidR="00395B24" w:rsidRDefault="00357B0D">
      <w:pPr>
        <w:pStyle w:val="MediaNeutralStyle"/>
      </w:pPr>
      <w:bookmarkStart w:id="0" w:name="MNC"/>
      <w:r>
        <w:t xml:space="preserve">Hungry Spirit Pty Ltd ATF The Hungry Spirit Trust v Fit n Fast Australia Pty Ltd [2019] FCA </w:t>
      </w:r>
      <w:bookmarkEnd w:id="0"/>
      <w:r w:rsidR="00804460">
        <w:t>1277</w:t>
      </w:r>
    </w:p>
    <w:p w14:paraId="3A66D769"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53"/>
        <w:gridCol w:w="36"/>
      </w:tblGrid>
      <w:tr w:rsidR="00395B24" w14:paraId="00BAC7BA" w14:textId="77777777" w:rsidTr="00A479DD">
        <w:trPr>
          <w:gridAfter w:val="1"/>
          <w:wAfter w:w="36" w:type="dxa"/>
        </w:trPr>
        <w:tc>
          <w:tcPr>
            <w:tcW w:w="3085" w:type="dxa"/>
            <w:shd w:val="clear" w:color="auto" w:fill="auto"/>
          </w:tcPr>
          <w:p w14:paraId="1662B9E7" w14:textId="77777777" w:rsidR="00395B24" w:rsidRDefault="002C7385" w:rsidP="00663878">
            <w:pPr>
              <w:pStyle w:val="Normal1linespace"/>
              <w:widowControl w:val="0"/>
              <w:jc w:val="left"/>
            </w:pPr>
            <w:r>
              <w:t>File number:</w:t>
            </w:r>
          </w:p>
        </w:tc>
        <w:tc>
          <w:tcPr>
            <w:tcW w:w="5953" w:type="dxa"/>
            <w:shd w:val="clear" w:color="auto" w:fill="auto"/>
          </w:tcPr>
          <w:p w14:paraId="648295D4" w14:textId="77777777" w:rsidR="00395B24" w:rsidRPr="00520C47" w:rsidRDefault="00B151B5" w:rsidP="00520C47">
            <w:pPr>
              <w:pStyle w:val="Normal1linespace"/>
              <w:jc w:val="left"/>
            </w:pPr>
            <w:fldSimple w:instr=" REF  FileNo  \* MERGEFORMAT " w:fldLock="1">
              <w:r w:rsidR="00520C47" w:rsidRPr="00520C47">
                <w:t>NSD 1064 of 2019</w:t>
              </w:r>
            </w:fldSimple>
          </w:p>
        </w:tc>
      </w:tr>
      <w:tr w:rsidR="00395B24" w14:paraId="7F8403AA" w14:textId="77777777" w:rsidTr="00A479DD">
        <w:trPr>
          <w:gridAfter w:val="1"/>
          <w:wAfter w:w="36" w:type="dxa"/>
        </w:trPr>
        <w:tc>
          <w:tcPr>
            <w:tcW w:w="3085" w:type="dxa"/>
            <w:shd w:val="clear" w:color="auto" w:fill="auto"/>
          </w:tcPr>
          <w:p w14:paraId="188CD8A7" w14:textId="77777777" w:rsidR="00395B24" w:rsidRDefault="00395B24" w:rsidP="00663878">
            <w:pPr>
              <w:pStyle w:val="Normal1linespace"/>
              <w:widowControl w:val="0"/>
              <w:jc w:val="left"/>
            </w:pPr>
          </w:p>
        </w:tc>
        <w:tc>
          <w:tcPr>
            <w:tcW w:w="5953" w:type="dxa"/>
            <w:shd w:val="clear" w:color="auto" w:fill="auto"/>
          </w:tcPr>
          <w:p w14:paraId="6E604D57" w14:textId="77777777" w:rsidR="00395B24" w:rsidRDefault="00395B24" w:rsidP="00663878">
            <w:pPr>
              <w:pStyle w:val="Normal1linespace"/>
              <w:widowControl w:val="0"/>
              <w:jc w:val="left"/>
            </w:pPr>
          </w:p>
        </w:tc>
      </w:tr>
      <w:tr w:rsidR="00395B24" w14:paraId="05EA1AAF" w14:textId="77777777" w:rsidTr="00A479DD">
        <w:trPr>
          <w:gridAfter w:val="1"/>
          <w:wAfter w:w="36" w:type="dxa"/>
        </w:trPr>
        <w:tc>
          <w:tcPr>
            <w:tcW w:w="3085" w:type="dxa"/>
            <w:shd w:val="clear" w:color="auto" w:fill="auto"/>
          </w:tcPr>
          <w:p w14:paraId="068D9F80" w14:textId="77777777" w:rsidR="00395B24" w:rsidRDefault="002C7385" w:rsidP="00663878">
            <w:pPr>
              <w:pStyle w:val="Normal1linespace"/>
              <w:widowControl w:val="0"/>
              <w:jc w:val="left"/>
            </w:pPr>
            <w:r>
              <w:t>Judge:</w:t>
            </w:r>
          </w:p>
        </w:tc>
        <w:tc>
          <w:tcPr>
            <w:tcW w:w="5953" w:type="dxa"/>
            <w:shd w:val="clear" w:color="auto" w:fill="auto"/>
          </w:tcPr>
          <w:p w14:paraId="022CA607" w14:textId="77777777" w:rsidR="00395B24" w:rsidRDefault="002C7385" w:rsidP="00663878">
            <w:pPr>
              <w:pStyle w:val="Normal1linespace"/>
              <w:widowControl w:val="0"/>
              <w:jc w:val="left"/>
              <w:rPr>
                <w:b/>
              </w:rPr>
            </w:pPr>
            <w:r w:rsidRPr="00520C47">
              <w:rPr>
                <w:b/>
              </w:rPr>
              <w:fldChar w:fldCharType="begin" w:fldLock="1"/>
            </w:r>
            <w:r w:rsidRPr="00520C47">
              <w:rPr>
                <w:b/>
              </w:rPr>
              <w:instrText xml:space="preserve"> REF  Judge  \* MERGEFORMAT </w:instrText>
            </w:r>
            <w:r w:rsidRPr="00520C47">
              <w:rPr>
                <w:b/>
              </w:rPr>
              <w:fldChar w:fldCharType="separate"/>
            </w:r>
            <w:r w:rsidR="00520C47" w:rsidRPr="00520C47">
              <w:rPr>
                <w:b/>
                <w:caps/>
                <w:szCs w:val="24"/>
              </w:rPr>
              <w:t>BURLEY  J</w:t>
            </w:r>
            <w:r w:rsidRPr="00520C47">
              <w:rPr>
                <w:b/>
              </w:rPr>
              <w:fldChar w:fldCharType="end"/>
            </w:r>
          </w:p>
        </w:tc>
      </w:tr>
      <w:tr w:rsidR="00395B24" w14:paraId="49A57848" w14:textId="77777777" w:rsidTr="00A479DD">
        <w:trPr>
          <w:gridAfter w:val="1"/>
          <w:wAfter w:w="36" w:type="dxa"/>
        </w:trPr>
        <w:tc>
          <w:tcPr>
            <w:tcW w:w="3085" w:type="dxa"/>
            <w:shd w:val="clear" w:color="auto" w:fill="auto"/>
          </w:tcPr>
          <w:p w14:paraId="010E71A4" w14:textId="77777777" w:rsidR="00395B24" w:rsidRDefault="00395B24" w:rsidP="00663878">
            <w:pPr>
              <w:pStyle w:val="Normal1linespace"/>
              <w:widowControl w:val="0"/>
              <w:jc w:val="left"/>
            </w:pPr>
          </w:p>
        </w:tc>
        <w:tc>
          <w:tcPr>
            <w:tcW w:w="5953" w:type="dxa"/>
            <w:shd w:val="clear" w:color="auto" w:fill="auto"/>
          </w:tcPr>
          <w:p w14:paraId="222A3E51" w14:textId="77777777" w:rsidR="00395B24" w:rsidRDefault="00395B24" w:rsidP="00663878">
            <w:pPr>
              <w:pStyle w:val="Normal1linespace"/>
              <w:widowControl w:val="0"/>
              <w:jc w:val="left"/>
            </w:pPr>
          </w:p>
        </w:tc>
      </w:tr>
      <w:tr w:rsidR="00395B24" w14:paraId="2F6C57B7" w14:textId="77777777" w:rsidTr="00A479DD">
        <w:trPr>
          <w:gridAfter w:val="1"/>
          <w:wAfter w:w="36" w:type="dxa"/>
        </w:trPr>
        <w:tc>
          <w:tcPr>
            <w:tcW w:w="3085" w:type="dxa"/>
            <w:shd w:val="clear" w:color="auto" w:fill="auto"/>
          </w:tcPr>
          <w:p w14:paraId="6C042BD9" w14:textId="77777777" w:rsidR="00395B24" w:rsidRDefault="002C7385" w:rsidP="00663878">
            <w:pPr>
              <w:pStyle w:val="Normal1linespace"/>
              <w:widowControl w:val="0"/>
              <w:jc w:val="left"/>
            </w:pPr>
            <w:r>
              <w:t>Date of judgment:</w:t>
            </w:r>
          </w:p>
        </w:tc>
        <w:tc>
          <w:tcPr>
            <w:tcW w:w="5953" w:type="dxa"/>
            <w:shd w:val="clear" w:color="auto" w:fill="auto"/>
          </w:tcPr>
          <w:p w14:paraId="77130323" w14:textId="16D81F48" w:rsidR="00395B24" w:rsidRDefault="002A097F" w:rsidP="00663878">
            <w:pPr>
              <w:pStyle w:val="Normal1linespace"/>
              <w:widowControl w:val="0"/>
              <w:jc w:val="left"/>
            </w:pPr>
            <w:bookmarkStart w:id="1" w:name="JudgmentDate"/>
            <w:bookmarkEnd w:id="1"/>
            <w:r>
              <w:t>9 August 2019</w:t>
            </w:r>
          </w:p>
        </w:tc>
      </w:tr>
      <w:tr w:rsidR="00395B24" w14:paraId="78896FF2" w14:textId="77777777" w:rsidTr="00A479DD">
        <w:trPr>
          <w:gridAfter w:val="1"/>
          <w:wAfter w:w="36" w:type="dxa"/>
        </w:trPr>
        <w:tc>
          <w:tcPr>
            <w:tcW w:w="3085" w:type="dxa"/>
            <w:shd w:val="clear" w:color="auto" w:fill="auto"/>
          </w:tcPr>
          <w:p w14:paraId="6A6DE703" w14:textId="77777777" w:rsidR="00395B24" w:rsidRDefault="00395B24" w:rsidP="00663878">
            <w:pPr>
              <w:pStyle w:val="Normal1linespace"/>
              <w:widowControl w:val="0"/>
              <w:jc w:val="left"/>
            </w:pPr>
          </w:p>
        </w:tc>
        <w:tc>
          <w:tcPr>
            <w:tcW w:w="5953" w:type="dxa"/>
            <w:shd w:val="clear" w:color="auto" w:fill="auto"/>
          </w:tcPr>
          <w:p w14:paraId="15444EA3" w14:textId="77777777" w:rsidR="00395B24" w:rsidRDefault="00395B24" w:rsidP="00663878">
            <w:pPr>
              <w:pStyle w:val="Normal1linespace"/>
              <w:widowControl w:val="0"/>
              <w:jc w:val="left"/>
            </w:pPr>
          </w:p>
        </w:tc>
      </w:tr>
      <w:tr w:rsidR="00395B24" w14:paraId="0CA5A2D0" w14:textId="77777777" w:rsidTr="00A479DD">
        <w:trPr>
          <w:gridAfter w:val="1"/>
          <w:wAfter w:w="36" w:type="dxa"/>
        </w:trPr>
        <w:tc>
          <w:tcPr>
            <w:tcW w:w="3085" w:type="dxa"/>
            <w:shd w:val="clear" w:color="auto" w:fill="auto"/>
          </w:tcPr>
          <w:p w14:paraId="4B98819D" w14:textId="77777777" w:rsidR="00395B24" w:rsidRDefault="002C7385" w:rsidP="00663878">
            <w:pPr>
              <w:pStyle w:val="Normal1linespace"/>
              <w:widowControl w:val="0"/>
              <w:jc w:val="left"/>
            </w:pPr>
            <w:r>
              <w:t>Catchwords:</w:t>
            </w:r>
          </w:p>
        </w:tc>
        <w:tc>
          <w:tcPr>
            <w:tcW w:w="5953" w:type="dxa"/>
            <w:shd w:val="clear" w:color="auto" w:fill="auto"/>
          </w:tcPr>
          <w:p w14:paraId="34B130B0" w14:textId="43EACB2B" w:rsidR="00395B24" w:rsidRDefault="001D6564" w:rsidP="00663878">
            <w:pPr>
              <w:pStyle w:val="Normal1linespace"/>
              <w:widowControl w:val="0"/>
              <w:jc w:val="left"/>
            </w:pPr>
            <w:bookmarkStart w:id="2" w:name="Catchwords"/>
            <w:r>
              <w:rPr>
                <w:b/>
              </w:rPr>
              <w:t xml:space="preserve">TRADE MARKS </w:t>
            </w:r>
            <w:r>
              <w:t xml:space="preserve">– appeal under s 56 of the </w:t>
            </w:r>
            <w:r>
              <w:rPr>
                <w:i/>
              </w:rPr>
              <w:t xml:space="preserve">Trade Marks Act 1995 </w:t>
            </w:r>
            <w:r>
              <w:t>(</w:t>
            </w:r>
            <w:proofErr w:type="spellStart"/>
            <w:r>
              <w:t>Cth</w:t>
            </w:r>
            <w:proofErr w:type="spellEnd"/>
            <w:r>
              <w:t xml:space="preserve">) – where opponent filed submitting notice </w:t>
            </w:r>
            <w:r w:rsidR="002A097F">
              <w:t>and the Registrar of Trade Marks not taking an active part in the proceedings – no evidence to support grounds of opposition – appeal allowed</w:t>
            </w:r>
            <w:bookmarkEnd w:id="2"/>
          </w:p>
        </w:tc>
      </w:tr>
      <w:tr w:rsidR="00395B24" w14:paraId="1258E1A2" w14:textId="77777777" w:rsidTr="00A479DD">
        <w:trPr>
          <w:gridAfter w:val="1"/>
          <w:wAfter w:w="36" w:type="dxa"/>
        </w:trPr>
        <w:tc>
          <w:tcPr>
            <w:tcW w:w="3085" w:type="dxa"/>
            <w:shd w:val="clear" w:color="auto" w:fill="auto"/>
          </w:tcPr>
          <w:p w14:paraId="4963B4FE" w14:textId="77777777" w:rsidR="00395B24" w:rsidRDefault="00395B24" w:rsidP="00663878">
            <w:pPr>
              <w:pStyle w:val="Normal1linespace"/>
              <w:widowControl w:val="0"/>
              <w:jc w:val="left"/>
            </w:pPr>
          </w:p>
        </w:tc>
        <w:tc>
          <w:tcPr>
            <w:tcW w:w="5953" w:type="dxa"/>
            <w:shd w:val="clear" w:color="auto" w:fill="auto"/>
          </w:tcPr>
          <w:p w14:paraId="11234D4B" w14:textId="77777777" w:rsidR="00395B24" w:rsidRDefault="00395B24" w:rsidP="00663878">
            <w:pPr>
              <w:pStyle w:val="Normal1linespace"/>
              <w:widowControl w:val="0"/>
              <w:jc w:val="left"/>
            </w:pPr>
          </w:p>
        </w:tc>
      </w:tr>
      <w:tr w:rsidR="00395B24" w14:paraId="00BC91C2" w14:textId="77777777" w:rsidTr="00A479DD">
        <w:trPr>
          <w:gridAfter w:val="1"/>
          <w:wAfter w:w="36" w:type="dxa"/>
        </w:trPr>
        <w:tc>
          <w:tcPr>
            <w:tcW w:w="3085" w:type="dxa"/>
            <w:shd w:val="clear" w:color="auto" w:fill="auto"/>
          </w:tcPr>
          <w:p w14:paraId="76D4BDD8" w14:textId="77777777" w:rsidR="00395B24" w:rsidRDefault="002C7385" w:rsidP="00663878">
            <w:pPr>
              <w:pStyle w:val="Normal1linespace"/>
              <w:widowControl w:val="0"/>
              <w:jc w:val="left"/>
            </w:pPr>
            <w:r>
              <w:t>Legislation:</w:t>
            </w:r>
          </w:p>
        </w:tc>
        <w:tc>
          <w:tcPr>
            <w:tcW w:w="5953" w:type="dxa"/>
            <w:shd w:val="clear" w:color="auto" w:fill="auto"/>
          </w:tcPr>
          <w:p w14:paraId="5A83F7EF" w14:textId="77777777" w:rsidR="002A097F" w:rsidRPr="002A097F" w:rsidRDefault="002A097F" w:rsidP="004959FE">
            <w:pPr>
              <w:pStyle w:val="Normal1linespace"/>
              <w:widowControl w:val="0"/>
              <w:spacing w:after="60"/>
            </w:pPr>
            <w:bookmarkStart w:id="3" w:name="Legislation"/>
            <w:r w:rsidRPr="002A097F">
              <w:rPr>
                <w:i/>
              </w:rPr>
              <w:t xml:space="preserve">Patents Act 1990 </w:t>
            </w:r>
            <w:r w:rsidRPr="002A097F">
              <w:t>(</w:t>
            </w:r>
            <w:proofErr w:type="spellStart"/>
            <w:r w:rsidRPr="002A097F">
              <w:t>Cth</w:t>
            </w:r>
            <w:proofErr w:type="spellEnd"/>
            <w:r w:rsidRPr="002A097F">
              <w:t>)</w:t>
            </w:r>
          </w:p>
          <w:p w14:paraId="13CB7E65" w14:textId="7487AFBC" w:rsidR="00395B24" w:rsidRDefault="002A097F" w:rsidP="004959FE">
            <w:pPr>
              <w:pStyle w:val="Normal1linespace"/>
              <w:widowControl w:val="0"/>
              <w:spacing w:after="60"/>
            </w:pPr>
            <w:r w:rsidRPr="002A097F">
              <w:rPr>
                <w:i/>
              </w:rPr>
              <w:t xml:space="preserve">Trade Marks Act 1995 </w:t>
            </w:r>
            <w:r w:rsidRPr="002A097F">
              <w:t>(</w:t>
            </w:r>
            <w:proofErr w:type="spellStart"/>
            <w:r w:rsidRPr="002A097F">
              <w:t>Cth</w:t>
            </w:r>
            <w:proofErr w:type="spellEnd"/>
            <w:r w:rsidRPr="002A097F">
              <w:t xml:space="preserve">) </w:t>
            </w:r>
            <w:proofErr w:type="spellStart"/>
            <w:r w:rsidRPr="002A097F">
              <w:t>ss</w:t>
            </w:r>
            <w:proofErr w:type="spellEnd"/>
            <w:r w:rsidRPr="002A097F">
              <w:t xml:space="preserve"> 56, 68</w:t>
            </w:r>
            <w:bookmarkEnd w:id="3"/>
          </w:p>
        </w:tc>
      </w:tr>
      <w:tr w:rsidR="00395B24" w14:paraId="24DF5FB9" w14:textId="77777777" w:rsidTr="00A479DD">
        <w:trPr>
          <w:gridAfter w:val="1"/>
          <w:wAfter w:w="36" w:type="dxa"/>
        </w:trPr>
        <w:tc>
          <w:tcPr>
            <w:tcW w:w="3085" w:type="dxa"/>
            <w:shd w:val="clear" w:color="auto" w:fill="auto"/>
          </w:tcPr>
          <w:p w14:paraId="5D306145" w14:textId="77777777" w:rsidR="00395B24" w:rsidRDefault="00395B24" w:rsidP="00663878">
            <w:pPr>
              <w:pStyle w:val="Normal1linespace"/>
              <w:widowControl w:val="0"/>
              <w:jc w:val="left"/>
            </w:pPr>
          </w:p>
        </w:tc>
        <w:tc>
          <w:tcPr>
            <w:tcW w:w="5953" w:type="dxa"/>
            <w:shd w:val="clear" w:color="auto" w:fill="auto"/>
          </w:tcPr>
          <w:p w14:paraId="24106AD6" w14:textId="77777777" w:rsidR="00395B24" w:rsidRDefault="00395B24" w:rsidP="00663878">
            <w:pPr>
              <w:pStyle w:val="Normal1linespace"/>
              <w:widowControl w:val="0"/>
              <w:jc w:val="left"/>
            </w:pPr>
          </w:p>
        </w:tc>
      </w:tr>
      <w:tr w:rsidR="00395B24" w14:paraId="2BAF5689" w14:textId="77777777" w:rsidTr="00A479DD">
        <w:trPr>
          <w:gridAfter w:val="1"/>
          <w:wAfter w:w="36" w:type="dxa"/>
        </w:trPr>
        <w:tc>
          <w:tcPr>
            <w:tcW w:w="3085" w:type="dxa"/>
            <w:shd w:val="clear" w:color="auto" w:fill="auto"/>
          </w:tcPr>
          <w:p w14:paraId="2867F6BA" w14:textId="77777777" w:rsidR="00395B24" w:rsidRDefault="002C7385" w:rsidP="00663878">
            <w:pPr>
              <w:pStyle w:val="Normal1linespace"/>
              <w:widowControl w:val="0"/>
              <w:jc w:val="left"/>
            </w:pPr>
            <w:r>
              <w:t>Cases cited:</w:t>
            </w:r>
          </w:p>
        </w:tc>
        <w:tc>
          <w:tcPr>
            <w:tcW w:w="5953" w:type="dxa"/>
            <w:shd w:val="clear" w:color="auto" w:fill="auto"/>
          </w:tcPr>
          <w:p w14:paraId="37711217" w14:textId="77777777" w:rsidR="002A097F" w:rsidRPr="002A097F" w:rsidRDefault="002A097F" w:rsidP="004959FE">
            <w:pPr>
              <w:pStyle w:val="Normal1linespace"/>
              <w:widowControl w:val="0"/>
              <w:spacing w:after="60"/>
            </w:pPr>
            <w:bookmarkStart w:id="4" w:name="Cases_Cited"/>
            <w:r w:rsidRPr="002A097F">
              <w:rPr>
                <w:i/>
              </w:rPr>
              <w:t xml:space="preserve">Cadbury Schweppes Plc v </w:t>
            </w:r>
            <w:proofErr w:type="spellStart"/>
            <w:r w:rsidRPr="002A097F">
              <w:rPr>
                <w:i/>
              </w:rPr>
              <w:t>Effem</w:t>
            </w:r>
            <w:proofErr w:type="spellEnd"/>
            <w:r w:rsidRPr="002A097F">
              <w:rPr>
                <w:i/>
              </w:rPr>
              <w:t xml:space="preserve"> Foods Pty Ltd </w:t>
            </w:r>
            <w:r w:rsidRPr="002A097F">
              <w:t>[2006] FCA 1267; 69 IPR 584</w:t>
            </w:r>
          </w:p>
          <w:p w14:paraId="07CFD201" w14:textId="77777777" w:rsidR="002A097F" w:rsidRPr="002A097F" w:rsidRDefault="002A097F" w:rsidP="004959FE">
            <w:pPr>
              <w:pStyle w:val="Normal1linespace"/>
              <w:widowControl w:val="0"/>
              <w:spacing w:after="60"/>
            </w:pPr>
            <w:r w:rsidRPr="002A097F">
              <w:rPr>
                <w:i/>
              </w:rPr>
              <w:t xml:space="preserve">Food Channel Network Pty Ltd v Television Food Network GP </w:t>
            </w:r>
            <w:r w:rsidRPr="002A097F">
              <w:t>[2010] FCAFC 58; 185 FCR 1</w:t>
            </w:r>
          </w:p>
          <w:p w14:paraId="4AB81514" w14:textId="77777777" w:rsidR="002A097F" w:rsidRPr="002A097F" w:rsidRDefault="002A097F" w:rsidP="004959FE">
            <w:pPr>
              <w:pStyle w:val="Normal1linespace"/>
              <w:widowControl w:val="0"/>
              <w:spacing w:after="60"/>
            </w:pPr>
            <w:r w:rsidRPr="002A097F">
              <w:rPr>
                <w:i/>
              </w:rPr>
              <w:t>Raytheon Company v Lockheed Martin Corporation</w:t>
            </w:r>
            <w:r w:rsidRPr="002A097F">
              <w:t xml:space="preserve"> [2014] FCA 1063</w:t>
            </w:r>
          </w:p>
          <w:p w14:paraId="130D7A42" w14:textId="77777777" w:rsidR="002A097F" w:rsidRPr="002A097F" w:rsidRDefault="002A097F" w:rsidP="004959FE">
            <w:pPr>
              <w:pStyle w:val="Normal1linespace"/>
              <w:widowControl w:val="0"/>
              <w:spacing w:after="60"/>
            </w:pPr>
            <w:r w:rsidRPr="002A097F">
              <w:rPr>
                <w:i/>
              </w:rPr>
              <w:t xml:space="preserve">Sankyo Company, Limited v </w:t>
            </w:r>
            <w:proofErr w:type="spellStart"/>
            <w:r w:rsidRPr="002A097F">
              <w:rPr>
                <w:i/>
              </w:rPr>
              <w:t>Alethia</w:t>
            </w:r>
            <w:proofErr w:type="spellEnd"/>
            <w:r w:rsidRPr="002A097F">
              <w:rPr>
                <w:i/>
              </w:rPr>
              <w:t xml:space="preserve"> </w:t>
            </w:r>
            <w:proofErr w:type="spellStart"/>
            <w:r w:rsidRPr="002A097F">
              <w:rPr>
                <w:i/>
              </w:rPr>
              <w:t>Biotherapuetics</w:t>
            </w:r>
            <w:proofErr w:type="spellEnd"/>
            <w:r w:rsidRPr="002A097F">
              <w:rPr>
                <w:i/>
              </w:rPr>
              <w:t xml:space="preserve"> Inc.</w:t>
            </w:r>
            <w:r w:rsidRPr="002A097F">
              <w:t xml:space="preserve"> [2016] FCA 1540</w:t>
            </w:r>
          </w:p>
          <w:p w14:paraId="0717EF3A" w14:textId="77777777" w:rsidR="002A097F" w:rsidRPr="002A097F" w:rsidRDefault="002A097F" w:rsidP="004959FE">
            <w:pPr>
              <w:pStyle w:val="Normal1linespace"/>
              <w:widowControl w:val="0"/>
              <w:spacing w:after="60"/>
            </w:pPr>
            <w:proofErr w:type="spellStart"/>
            <w:r w:rsidRPr="002A097F">
              <w:rPr>
                <w:i/>
              </w:rPr>
              <w:t>Societe</w:t>
            </w:r>
            <w:proofErr w:type="spellEnd"/>
            <w:r w:rsidRPr="002A097F">
              <w:rPr>
                <w:i/>
              </w:rPr>
              <w:t xml:space="preserve"> Des </w:t>
            </w:r>
            <w:proofErr w:type="spellStart"/>
            <w:r w:rsidRPr="002A097F">
              <w:rPr>
                <w:i/>
              </w:rPr>
              <w:t>Produits</w:t>
            </w:r>
            <w:proofErr w:type="spellEnd"/>
            <w:r w:rsidRPr="002A097F">
              <w:rPr>
                <w:i/>
              </w:rPr>
              <w:t xml:space="preserve"> Nestle S.A. v Aldi Stores (A Limited Partnership) </w:t>
            </w:r>
            <w:r w:rsidRPr="002A097F">
              <w:t>[2010] FCA 218</w:t>
            </w:r>
          </w:p>
          <w:p w14:paraId="3C412EDB" w14:textId="3CA3D841" w:rsidR="00395B24" w:rsidRDefault="002A097F" w:rsidP="004959FE">
            <w:pPr>
              <w:pStyle w:val="Normal1linespace"/>
              <w:widowControl w:val="0"/>
              <w:spacing w:after="60"/>
            </w:pPr>
            <w:proofErr w:type="spellStart"/>
            <w:r w:rsidRPr="002A097F">
              <w:rPr>
                <w:i/>
              </w:rPr>
              <w:t>Suyen</w:t>
            </w:r>
            <w:proofErr w:type="spellEnd"/>
            <w:r w:rsidRPr="002A097F">
              <w:rPr>
                <w:i/>
              </w:rPr>
              <w:t xml:space="preserve"> Corporation </w:t>
            </w:r>
            <w:r w:rsidRPr="002A097F">
              <w:t xml:space="preserve">v </w:t>
            </w:r>
            <w:r w:rsidRPr="002A097F">
              <w:rPr>
                <w:i/>
              </w:rPr>
              <w:t xml:space="preserve">Americana International Limited </w:t>
            </w:r>
            <w:r w:rsidRPr="002A097F">
              <w:t>[2011] FCA 300</w:t>
            </w:r>
            <w:bookmarkEnd w:id="4"/>
            <w:r w:rsidR="00357B0D">
              <w:tab/>
            </w:r>
          </w:p>
        </w:tc>
      </w:tr>
      <w:tr w:rsidR="00357B0D" w:rsidRPr="00AB0E86" w14:paraId="658A6531" w14:textId="77777777" w:rsidTr="00357B0D">
        <w:tc>
          <w:tcPr>
            <w:tcW w:w="3085" w:type="dxa"/>
            <w:shd w:val="clear" w:color="auto" w:fill="auto"/>
          </w:tcPr>
          <w:p w14:paraId="00978A7C" w14:textId="77777777" w:rsidR="00357B0D" w:rsidRPr="00AB0E86" w:rsidRDefault="00357B0D" w:rsidP="00FB07FF">
            <w:pPr>
              <w:pStyle w:val="Normal1linespace"/>
              <w:jc w:val="left"/>
            </w:pPr>
            <w:bookmarkStart w:id="5" w:name="CounselTable"/>
          </w:p>
        </w:tc>
        <w:tc>
          <w:tcPr>
            <w:tcW w:w="5989" w:type="dxa"/>
            <w:gridSpan w:val="2"/>
            <w:shd w:val="clear" w:color="auto" w:fill="auto"/>
          </w:tcPr>
          <w:p w14:paraId="50A859D0" w14:textId="77777777" w:rsidR="00357B0D" w:rsidRPr="00AB0E86" w:rsidRDefault="00357B0D" w:rsidP="00FB07FF">
            <w:pPr>
              <w:pStyle w:val="Normal1linespace"/>
              <w:jc w:val="left"/>
            </w:pPr>
          </w:p>
        </w:tc>
      </w:tr>
      <w:tr w:rsidR="00357B0D" w:rsidRPr="00AB0E86" w14:paraId="0268DE16" w14:textId="77777777" w:rsidTr="00357B0D">
        <w:tc>
          <w:tcPr>
            <w:tcW w:w="3085" w:type="dxa"/>
            <w:shd w:val="clear" w:color="auto" w:fill="auto"/>
          </w:tcPr>
          <w:p w14:paraId="0958EBEF" w14:textId="77777777" w:rsidR="00357B0D" w:rsidRPr="00AB0E86" w:rsidRDefault="00357B0D" w:rsidP="00FB07FF">
            <w:pPr>
              <w:pStyle w:val="Normal1linespace"/>
              <w:jc w:val="left"/>
            </w:pPr>
            <w:r w:rsidRPr="00AB0E86">
              <w:t>Date of hearing:</w:t>
            </w:r>
          </w:p>
        </w:tc>
        <w:tc>
          <w:tcPr>
            <w:tcW w:w="5989" w:type="dxa"/>
            <w:gridSpan w:val="2"/>
            <w:shd w:val="clear" w:color="auto" w:fill="auto"/>
          </w:tcPr>
          <w:p w14:paraId="335FEF37" w14:textId="77777777" w:rsidR="00357B0D" w:rsidRPr="00AB0E86" w:rsidRDefault="00357B0D" w:rsidP="00FB07FF">
            <w:pPr>
              <w:pStyle w:val="Normal1linespace"/>
              <w:jc w:val="left"/>
            </w:pPr>
            <w:r>
              <w:t>9 August 2019</w:t>
            </w:r>
          </w:p>
        </w:tc>
      </w:tr>
      <w:tr w:rsidR="00357B0D" w:rsidRPr="00AB0E86" w14:paraId="0C16B63B" w14:textId="77777777" w:rsidTr="00357B0D">
        <w:tc>
          <w:tcPr>
            <w:tcW w:w="3085" w:type="dxa"/>
            <w:shd w:val="clear" w:color="auto" w:fill="auto"/>
          </w:tcPr>
          <w:p w14:paraId="0C1CA1F3" w14:textId="77777777" w:rsidR="00357B0D" w:rsidRPr="00AB0E86" w:rsidRDefault="00357B0D" w:rsidP="00FB07FF">
            <w:pPr>
              <w:pStyle w:val="Normal1linespace"/>
              <w:jc w:val="left"/>
            </w:pPr>
          </w:p>
        </w:tc>
        <w:tc>
          <w:tcPr>
            <w:tcW w:w="5989" w:type="dxa"/>
            <w:gridSpan w:val="2"/>
            <w:shd w:val="clear" w:color="auto" w:fill="auto"/>
          </w:tcPr>
          <w:p w14:paraId="417DA459" w14:textId="77777777" w:rsidR="00357B0D" w:rsidRPr="00AB0E86" w:rsidRDefault="00357B0D" w:rsidP="00FB07FF">
            <w:pPr>
              <w:pStyle w:val="Normal1linespace"/>
              <w:jc w:val="left"/>
            </w:pPr>
          </w:p>
        </w:tc>
      </w:tr>
      <w:tr w:rsidR="00357B0D" w:rsidRPr="00F17599" w14:paraId="3CEF3903" w14:textId="77777777" w:rsidTr="00357B0D">
        <w:tc>
          <w:tcPr>
            <w:tcW w:w="3085" w:type="dxa"/>
            <w:shd w:val="clear" w:color="auto" w:fill="auto"/>
          </w:tcPr>
          <w:p w14:paraId="5E5999B3" w14:textId="77777777" w:rsidR="00357B0D" w:rsidRDefault="00357B0D" w:rsidP="00FB07FF">
            <w:pPr>
              <w:pStyle w:val="Normal1linespace"/>
              <w:widowControl w:val="0"/>
              <w:jc w:val="left"/>
            </w:pPr>
            <w:r>
              <w:t>Registry:</w:t>
            </w:r>
          </w:p>
        </w:tc>
        <w:tc>
          <w:tcPr>
            <w:tcW w:w="5989" w:type="dxa"/>
            <w:gridSpan w:val="2"/>
            <w:shd w:val="clear" w:color="auto" w:fill="auto"/>
          </w:tcPr>
          <w:p w14:paraId="2E6A3E92" w14:textId="77777777" w:rsidR="00357B0D" w:rsidRPr="00F17599" w:rsidRDefault="00357B0D" w:rsidP="00FB07FF">
            <w:pPr>
              <w:pStyle w:val="Normal1linespace"/>
              <w:widowControl w:val="0"/>
              <w:jc w:val="left"/>
            </w:pPr>
            <w:r>
              <w:t xml:space="preserve">New South Wales </w:t>
            </w:r>
            <w:r>
              <w:fldChar w:fldCharType="begin" w:fldLock="1"/>
            </w:r>
            <w:r>
              <w:instrText xml:space="preserve"> DOCPROPERTY  Registry </w:instrText>
            </w:r>
            <w:r>
              <w:fldChar w:fldCharType="end"/>
            </w:r>
          </w:p>
        </w:tc>
      </w:tr>
      <w:tr w:rsidR="00357B0D" w14:paraId="1CAF62B5" w14:textId="77777777" w:rsidTr="00357B0D">
        <w:tc>
          <w:tcPr>
            <w:tcW w:w="3085" w:type="dxa"/>
            <w:shd w:val="clear" w:color="auto" w:fill="auto"/>
          </w:tcPr>
          <w:p w14:paraId="406AF6FD" w14:textId="77777777" w:rsidR="00357B0D" w:rsidRDefault="00357B0D" w:rsidP="00FB07FF">
            <w:pPr>
              <w:pStyle w:val="Normal1linespace"/>
              <w:widowControl w:val="0"/>
              <w:jc w:val="left"/>
            </w:pPr>
          </w:p>
        </w:tc>
        <w:tc>
          <w:tcPr>
            <w:tcW w:w="5989" w:type="dxa"/>
            <w:gridSpan w:val="2"/>
            <w:shd w:val="clear" w:color="auto" w:fill="auto"/>
          </w:tcPr>
          <w:p w14:paraId="62922C03" w14:textId="77777777" w:rsidR="00357B0D" w:rsidRDefault="00357B0D" w:rsidP="00FB07FF">
            <w:pPr>
              <w:pStyle w:val="Normal1linespace"/>
              <w:widowControl w:val="0"/>
              <w:jc w:val="left"/>
            </w:pPr>
          </w:p>
        </w:tc>
      </w:tr>
      <w:tr w:rsidR="00357B0D" w:rsidRPr="00F17599" w14:paraId="09495E01" w14:textId="77777777" w:rsidTr="00357B0D">
        <w:tc>
          <w:tcPr>
            <w:tcW w:w="3085" w:type="dxa"/>
            <w:shd w:val="clear" w:color="auto" w:fill="auto"/>
          </w:tcPr>
          <w:p w14:paraId="0F6A77A6" w14:textId="77777777" w:rsidR="00357B0D" w:rsidRDefault="00357B0D" w:rsidP="00FB07FF">
            <w:pPr>
              <w:pStyle w:val="Normal1linespace"/>
              <w:widowControl w:val="0"/>
              <w:jc w:val="left"/>
            </w:pPr>
            <w:r>
              <w:t>Division:</w:t>
            </w:r>
          </w:p>
        </w:tc>
        <w:tc>
          <w:tcPr>
            <w:tcW w:w="5989" w:type="dxa"/>
            <w:gridSpan w:val="2"/>
            <w:shd w:val="clear" w:color="auto" w:fill="auto"/>
          </w:tcPr>
          <w:p w14:paraId="027CD022" w14:textId="77777777" w:rsidR="00357B0D" w:rsidRPr="00F17599" w:rsidRDefault="00B151B5" w:rsidP="00FB07FF">
            <w:pPr>
              <w:pStyle w:val="Normal1linespace"/>
              <w:widowControl w:val="0"/>
              <w:jc w:val="left"/>
            </w:pPr>
            <w:fldSimple w:instr=" DOCPROPERTY  Division " w:fldLock="1">
              <w:r w:rsidR="00357B0D">
                <w:t>General Division</w:t>
              </w:r>
            </w:fldSimple>
          </w:p>
        </w:tc>
      </w:tr>
      <w:tr w:rsidR="00357B0D" w:rsidRPr="00F17599" w14:paraId="572CD8E8" w14:textId="77777777" w:rsidTr="00357B0D">
        <w:tc>
          <w:tcPr>
            <w:tcW w:w="3085" w:type="dxa"/>
            <w:shd w:val="clear" w:color="auto" w:fill="auto"/>
          </w:tcPr>
          <w:p w14:paraId="5EA801F0" w14:textId="77777777" w:rsidR="00357B0D" w:rsidRDefault="00357B0D" w:rsidP="00FB07FF">
            <w:pPr>
              <w:pStyle w:val="Normal1linespace"/>
              <w:widowControl w:val="0"/>
              <w:jc w:val="left"/>
            </w:pPr>
          </w:p>
        </w:tc>
        <w:tc>
          <w:tcPr>
            <w:tcW w:w="5989" w:type="dxa"/>
            <w:gridSpan w:val="2"/>
            <w:shd w:val="clear" w:color="auto" w:fill="auto"/>
          </w:tcPr>
          <w:p w14:paraId="6E5F4026" w14:textId="77777777" w:rsidR="00357B0D" w:rsidRPr="00F17599" w:rsidRDefault="00357B0D" w:rsidP="00FB07FF">
            <w:pPr>
              <w:pStyle w:val="Normal1linespace"/>
              <w:widowControl w:val="0"/>
              <w:jc w:val="left"/>
              <w:rPr>
                <w:b/>
              </w:rPr>
            </w:pPr>
          </w:p>
        </w:tc>
      </w:tr>
      <w:tr w:rsidR="00357B0D" w:rsidRPr="00F17599" w14:paraId="65E891DC" w14:textId="77777777" w:rsidTr="00357B0D">
        <w:tc>
          <w:tcPr>
            <w:tcW w:w="3085" w:type="dxa"/>
            <w:shd w:val="clear" w:color="auto" w:fill="auto"/>
          </w:tcPr>
          <w:p w14:paraId="6E8A13B8" w14:textId="77777777" w:rsidR="00357B0D" w:rsidRDefault="00357B0D" w:rsidP="00FB07FF">
            <w:pPr>
              <w:pStyle w:val="Normal1linespace"/>
              <w:widowControl w:val="0"/>
              <w:jc w:val="left"/>
            </w:pPr>
            <w:r>
              <w:t>National Practice Area:</w:t>
            </w:r>
          </w:p>
        </w:tc>
        <w:tc>
          <w:tcPr>
            <w:tcW w:w="5989" w:type="dxa"/>
            <w:gridSpan w:val="2"/>
            <w:shd w:val="clear" w:color="auto" w:fill="auto"/>
          </w:tcPr>
          <w:p w14:paraId="42237912" w14:textId="77777777" w:rsidR="00357B0D" w:rsidRPr="00F17599" w:rsidRDefault="00B151B5" w:rsidP="00FB07FF">
            <w:pPr>
              <w:pStyle w:val="Normal1linespace"/>
              <w:widowControl w:val="0"/>
              <w:jc w:val="left"/>
              <w:rPr>
                <w:b/>
              </w:rPr>
            </w:pPr>
            <w:fldSimple w:instr=" DOCPROPERTY  &quot;Practice Area&quot;  \* MERGEFORMAT " w:fldLock="1">
              <w:r w:rsidR="00357B0D">
                <w:t>Intellectual Property</w:t>
              </w:r>
            </w:fldSimple>
          </w:p>
        </w:tc>
      </w:tr>
      <w:tr w:rsidR="00357B0D" w14:paraId="7D53771A" w14:textId="77777777" w:rsidTr="00357B0D">
        <w:tc>
          <w:tcPr>
            <w:tcW w:w="3085" w:type="dxa"/>
            <w:shd w:val="clear" w:color="auto" w:fill="auto"/>
          </w:tcPr>
          <w:p w14:paraId="26309B76" w14:textId="77777777" w:rsidR="00357B0D" w:rsidRDefault="00357B0D" w:rsidP="00FB07FF">
            <w:pPr>
              <w:pStyle w:val="Normal1linespace"/>
              <w:widowControl w:val="0"/>
              <w:jc w:val="left"/>
            </w:pPr>
          </w:p>
        </w:tc>
        <w:tc>
          <w:tcPr>
            <w:tcW w:w="5989" w:type="dxa"/>
            <w:gridSpan w:val="2"/>
            <w:shd w:val="clear" w:color="auto" w:fill="auto"/>
          </w:tcPr>
          <w:p w14:paraId="31C8BEFB" w14:textId="77777777" w:rsidR="00357B0D" w:rsidRDefault="00357B0D" w:rsidP="00FB07FF">
            <w:pPr>
              <w:pStyle w:val="Normal1linespace"/>
              <w:widowControl w:val="0"/>
              <w:jc w:val="left"/>
            </w:pPr>
          </w:p>
        </w:tc>
      </w:tr>
      <w:tr w:rsidR="00357B0D" w:rsidRPr="00435936" w14:paraId="51E37C92" w14:textId="77777777" w:rsidTr="00357B0D">
        <w:tc>
          <w:tcPr>
            <w:tcW w:w="3085" w:type="dxa"/>
            <w:shd w:val="clear" w:color="auto" w:fill="auto"/>
          </w:tcPr>
          <w:p w14:paraId="060D0B12" w14:textId="77777777" w:rsidR="00357B0D" w:rsidRDefault="00357B0D" w:rsidP="00FB07FF">
            <w:pPr>
              <w:pStyle w:val="Normal1linespace"/>
              <w:widowControl w:val="0"/>
              <w:jc w:val="left"/>
            </w:pPr>
            <w:r>
              <w:t>Sub-area:</w:t>
            </w:r>
          </w:p>
        </w:tc>
        <w:tc>
          <w:tcPr>
            <w:tcW w:w="5989" w:type="dxa"/>
            <w:gridSpan w:val="2"/>
            <w:shd w:val="clear" w:color="auto" w:fill="auto"/>
          </w:tcPr>
          <w:p w14:paraId="3D6E774C" w14:textId="77777777" w:rsidR="00357B0D" w:rsidRPr="00435936" w:rsidRDefault="00B151B5" w:rsidP="00FB07FF">
            <w:pPr>
              <w:pStyle w:val="Normal1linespace"/>
              <w:widowControl w:val="0"/>
              <w:jc w:val="left"/>
            </w:pPr>
            <w:fldSimple w:instr=" DOCPROPERTY  &quot;Sub Area&quot;  \* MERGEFORMAT " w:fldLock="1">
              <w:r w:rsidR="00357B0D" w:rsidRPr="00AB0E86">
                <w:rPr>
                  <w:bCs/>
                  <w:lang w:val="en-US"/>
                </w:rPr>
                <w:t>Trade Marks</w:t>
              </w:r>
            </w:fldSimple>
          </w:p>
        </w:tc>
      </w:tr>
      <w:tr w:rsidR="00357B0D" w14:paraId="05E6A901" w14:textId="77777777" w:rsidTr="00357B0D">
        <w:tc>
          <w:tcPr>
            <w:tcW w:w="3085" w:type="dxa"/>
            <w:shd w:val="clear" w:color="auto" w:fill="auto"/>
          </w:tcPr>
          <w:p w14:paraId="1F2EBE57" w14:textId="77777777" w:rsidR="00357B0D" w:rsidRDefault="00357B0D" w:rsidP="00FB07FF">
            <w:pPr>
              <w:pStyle w:val="Normal1linespace"/>
              <w:widowControl w:val="0"/>
              <w:jc w:val="left"/>
            </w:pPr>
          </w:p>
        </w:tc>
        <w:tc>
          <w:tcPr>
            <w:tcW w:w="5989" w:type="dxa"/>
            <w:gridSpan w:val="2"/>
            <w:shd w:val="clear" w:color="auto" w:fill="auto"/>
          </w:tcPr>
          <w:p w14:paraId="5F48C627" w14:textId="77777777" w:rsidR="00357B0D" w:rsidRDefault="00357B0D" w:rsidP="00FB07FF">
            <w:pPr>
              <w:pStyle w:val="Normal1linespace"/>
              <w:widowControl w:val="0"/>
              <w:jc w:val="left"/>
              <w:rPr>
                <w:b/>
              </w:rPr>
            </w:pPr>
          </w:p>
        </w:tc>
      </w:tr>
      <w:tr w:rsidR="00357B0D" w14:paraId="261B840C" w14:textId="77777777" w:rsidTr="00357B0D">
        <w:tc>
          <w:tcPr>
            <w:tcW w:w="3085" w:type="dxa"/>
            <w:shd w:val="clear" w:color="auto" w:fill="auto"/>
          </w:tcPr>
          <w:p w14:paraId="7CEE2EE0" w14:textId="77777777" w:rsidR="00357B0D" w:rsidRDefault="00357B0D" w:rsidP="00FB07FF">
            <w:pPr>
              <w:pStyle w:val="Normal1linespace"/>
              <w:widowControl w:val="0"/>
              <w:jc w:val="left"/>
            </w:pPr>
            <w:r>
              <w:t>Category:</w:t>
            </w:r>
          </w:p>
        </w:tc>
        <w:tc>
          <w:tcPr>
            <w:tcW w:w="5989" w:type="dxa"/>
            <w:gridSpan w:val="2"/>
            <w:shd w:val="clear" w:color="auto" w:fill="auto"/>
          </w:tcPr>
          <w:p w14:paraId="58894B53" w14:textId="77777777" w:rsidR="00357B0D" w:rsidRDefault="00357B0D" w:rsidP="00FB07FF">
            <w:pPr>
              <w:pStyle w:val="Normal1linespace"/>
              <w:widowControl w:val="0"/>
              <w:jc w:val="left"/>
            </w:pPr>
            <w:r>
              <w:t>Catchwords</w:t>
            </w:r>
          </w:p>
        </w:tc>
      </w:tr>
      <w:tr w:rsidR="00357B0D" w14:paraId="0F6AAB2F" w14:textId="77777777" w:rsidTr="00357B0D">
        <w:tc>
          <w:tcPr>
            <w:tcW w:w="3085" w:type="dxa"/>
            <w:shd w:val="clear" w:color="auto" w:fill="auto"/>
          </w:tcPr>
          <w:p w14:paraId="08A5927C" w14:textId="77777777" w:rsidR="00357B0D" w:rsidRDefault="00357B0D" w:rsidP="00FB07FF">
            <w:pPr>
              <w:pStyle w:val="Normal1linespace"/>
              <w:widowControl w:val="0"/>
              <w:jc w:val="left"/>
            </w:pPr>
          </w:p>
        </w:tc>
        <w:tc>
          <w:tcPr>
            <w:tcW w:w="5989" w:type="dxa"/>
            <w:gridSpan w:val="2"/>
            <w:shd w:val="clear" w:color="auto" w:fill="auto"/>
          </w:tcPr>
          <w:p w14:paraId="52F15585" w14:textId="77777777" w:rsidR="00357B0D" w:rsidRDefault="00357B0D" w:rsidP="00FB07FF">
            <w:pPr>
              <w:pStyle w:val="Normal1linespace"/>
              <w:widowControl w:val="0"/>
              <w:jc w:val="left"/>
            </w:pPr>
          </w:p>
        </w:tc>
      </w:tr>
      <w:tr w:rsidR="00357B0D" w14:paraId="1C6E3EDC" w14:textId="77777777" w:rsidTr="00357B0D">
        <w:tc>
          <w:tcPr>
            <w:tcW w:w="3085" w:type="dxa"/>
            <w:shd w:val="clear" w:color="auto" w:fill="auto"/>
          </w:tcPr>
          <w:p w14:paraId="0A35D1B7" w14:textId="77777777" w:rsidR="00357B0D" w:rsidRDefault="00357B0D" w:rsidP="00FB07FF">
            <w:pPr>
              <w:pStyle w:val="Normal1linespace"/>
              <w:widowControl w:val="0"/>
              <w:jc w:val="left"/>
            </w:pPr>
            <w:r>
              <w:t>Number of paragraphs:</w:t>
            </w:r>
          </w:p>
        </w:tc>
        <w:tc>
          <w:tcPr>
            <w:tcW w:w="5989" w:type="dxa"/>
            <w:gridSpan w:val="2"/>
            <w:shd w:val="clear" w:color="auto" w:fill="auto"/>
          </w:tcPr>
          <w:p w14:paraId="4DBB1054" w14:textId="18675A20" w:rsidR="00357B0D" w:rsidRDefault="00357B0D" w:rsidP="00464407">
            <w:pPr>
              <w:pStyle w:val="Normal1linespace"/>
              <w:widowControl w:val="0"/>
              <w:tabs>
                <w:tab w:val="right" w:pos="5773"/>
              </w:tabs>
              <w:jc w:val="left"/>
            </w:pPr>
            <w:r w:rsidRPr="00527731">
              <w:t>8</w:t>
            </w:r>
            <w:r w:rsidR="00464407">
              <w:tab/>
            </w:r>
          </w:p>
        </w:tc>
      </w:tr>
      <w:tr w:rsidR="00357B0D" w14:paraId="13A65153" w14:textId="77777777" w:rsidTr="00357B0D">
        <w:tc>
          <w:tcPr>
            <w:tcW w:w="3085" w:type="dxa"/>
            <w:shd w:val="clear" w:color="auto" w:fill="auto"/>
          </w:tcPr>
          <w:p w14:paraId="4C6E3751" w14:textId="77777777" w:rsidR="00357B0D" w:rsidRDefault="00357B0D" w:rsidP="00FB07FF">
            <w:pPr>
              <w:pStyle w:val="Normal1linespace"/>
              <w:widowControl w:val="0"/>
              <w:jc w:val="left"/>
            </w:pPr>
          </w:p>
        </w:tc>
        <w:tc>
          <w:tcPr>
            <w:tcW w:w="5989" w:type="dxa"/>
            <w:gridSpan w:val="2"/>
            <w:shd w:val="clear" w:color="auto" w:fill="auto"/>
          </w:tcPr>
          <w:p w14:paraId="3B4CFD83" w14:textId="77777777" w:rsidR="00357B0D" w:rsidRDefault="00357B0D" w:rsidP="00FB07FF">
            <w:pPr>
              <w:pStyle w:val="Normal1linespace"/>
              <w:widowControl w:val="0"/>
              <w:jc w:val="left"/>
            </w:pPr>
          </w:p>
        </w:tc>
      </w:tr>
      <w:tr w:rsidR="00357B0D" w14:paraId="5C893E31" w14:textId="77777777" w:rsidTr="00357B0D">
        <w:tc>
          <w:tcPr>
            <w:tcW w:w="3085" w:type="dxa"/>
            <w:shd w:val="clear" w:color="auto" w:fill="auto"/>
          </w:tcPr>
          <w:p w14:paraId="6E8AA29C" w14:textId="77777777" w:rsidR="00357B0D" w:rsidRDefault="00A479DD" w:rsidP="00FB07FF">
            <w:pPr>
              <w:pStyle w:val="Normal1linespace"/>
              <w:widowControl w:val="0"/>
              <w:jc w:val="left"/>
            </w:pPr>
            <w:r>
              <w:t>Counsel for the Appellant</w:t>
            </w:r>
            <w:r w:rsidR="00357B0D">
              <w:t>:</w:t>
            </w:r>
          </w:p>
        </w:tc>
        <w:tc>
          <w:tcPr>
            <w:tcW w:w="5989" w:type="dxa"/>
            <w:gridSpan w:val="2"/>
            <w:shd w:val="clear" w:color="auto" w:fill="auto"/>
          </w:tcPr>
          <w:p w14:paraId="578D231F" w14:textId="77777777" w:rsidR="00357B0D" w:rsidRDefault="00357B0D" w:rsidP="00A479DD">
            <w:pPr>
              <w:pStyle w:val="Normal1linespace"/>
              <w:widowControl w:val="0"/>
              <w:jc w:val="left"/>
            </w:pPr>
            <w:bookmarkStart w:id="6" w:name="AppCounsel"/>
            <w:bookmarkEnd w:id="6"/>
            <w:r>
              <w:t xml:space="preserve">Mr </w:t>
            </w:r>
            <w:r w:rsidR="00A479DD">
              <w:t>D. Larish</w:t>
            </w:r>
          </w:p>
        </w:tc>
      </w:tr>
      <w:tr w:rsidR="00357B0D" w14:paraId="0ABF7003" w14:textId="77777777" w:rsidTr="00357B0D">
        <w:tc>
          <w:tcPr>
            <w:tcW w:w="3085" w:type="dxa"/>
            <w:shd w:val="clear" w:color="auto" w:fill="auto"/>
          </w:tcPr>
          <w:p w14:paraId="1823C727" w14:textId="77777777" w:rsidR="00357B0D" w:rsidRDefault="00357B0D" w:rsidP="00FB07FF">
            <w:pPr>
              <w:pStyle w:val="Normal1linespace"/>
              <w:widowControl w:val="0"/>
              <w:jc w:val="left"/>
            </w:pPr>
          </w:p>
        </w:tc>
        <w:tc>
          <w:tcPr>
            <w:tcW w:w="5989" w:type="dxa"/>
            <w:gridSpan w:val="2"/>
            <w:shd w:val="clear" w:color="auto" w:fill="auto"/>
          </w:tcPr>
          <w:p w14:paraId="2F9BE57B" w14:textId="77777777" w:rsidR="00357B0D" w:rsidRDefault="00357B0D" w:rsidP="00FB07FF">
            <w:pPr>
              <w:pStyle w:val="Normal1linespace"/>
              <w:widowControl w:val="0"/>
              <w:jc w:val="left"/>
            </w:pPr>
          </w:p>
        </w:tc>
      </w:tr>
      <w:tr w:rsidR="00357B0D" w14:paraId="7171819D" w14:textId="77777777" w:rsidTr="00357B0D">
        <w:tc>
          <w:tcPr>
            <w:tcW w:w="3085" w:type="dxa"/>
            <w:shd w:val="clear" w:color="auto" w:fill="auto"/>
          </w:tcPr>
          <w:p w14:paraId="6D38CBC6" w14:textId="77777777" w:rsidR="00357B0D" w:rsidRDefault="00A479DD" w:rsidP="00FB07FF">
            <w:pPr>
              <w:pStyle w:val="Normal1linespace"/>
              <w:widowControl w:val="0"/>
              <w:jc w:val="left"/>
            </w:pPr>
            <w:r>
              <w:t>Solicitor for the Appellant</w:t>
            </w:r>
            <w:r w:rsidR="00357B0D">
              <w:t xml:space="preserve">: </w:t>
            </w:r>
          </w:p>
        </w:tc>
        <w:tc>
          <w:tcPr>
            <w:tcW w:w="5989" w:type="dxa"/>
            <w:gridSpan w:val="2"/>
            <w:shd w:val="clear" w:color="auto" w:fill="auto"/>
          </w:tcPr>
          <w:p w14:paraId="36EE5CF9" w14:textId="77777777" w:rsidR="00357B0D" w:rsidRDefault="00A479DD" w:rsidP="00FB07FF">
            <w:pPr>
              <w:pStyle w:val="Normal1linespace"/>
              <w:widowControl w:val="0"/>
              <w:jc w:val="left"/>
            </w:pPr>
            <w:r>
              <w:t>Norton Rose Fulbright Australia</w:t>
            </w:r>
          </w:p>
        </w:tc>
      </w:tr>
      <w:tr w:rsidR="00357B0D" w14:paraId="2D33D2DD" w14:textId="77777777" w:rsidTr="00357B0D">
        <w:tc>
          <w:tcPr>
            <w:tcW w:w="3085" w:type="dxa"/>
            <w:shd w:val="clear" w:color="auto" w:fill="auto"/>
          </w:tcPr>
          <w:p w14:paraId="2A8656FA" w14:textId="77777777" w:rsidR="00357B0D" w:rsidRDefault="00357B0D" w:rsidP="00FB07FF">
            <w:pPr>
              <w:pStyle w:val="Normal1linespace"/>
              <w:widowControl w:val="0"/>
              <w:jc w:val="left"/>
            </w:pPr>
          </w:p>
        </w:tc>
        <w:tc>
          <w:tcPr>
            <w:tcW w:w="5989" w:type="dxa"/>
            <w:gridSpan w:val="2"/>
            <w:shd w:val="clear" w:color="auto" w:fill="auto"/>
          </w:tcPr>
          <w:p w14:paraId="7EC380DE" w14:textId="77777777" w:rsidR="00357B0D" w:rsidRDefault="00357B0D" w:rsidP="00FB07FF">
            <w:pPr>
              <w:pStyle w:val="Normal1linespace"/>
              <w:widowControl w:val="0"/>
              <w:jc w:val="left"/>
            </w:pPr>
          </w:p>
        </w:tc>
      </w:tr>
      <w:tr w:rsidR="00357B0D" w14:paraId="66F3CD8E" w14:textId="77777777" w:rsidTr="00357B0D">
        <w:tc>
          <w:tcPr>
            <w:tcW w:w="3085" w:type="dxa"/>
            <w:shd w:val="clear" w:color="auto" w:fill="auto"/>
          </w:tcPr>
          <w:p w14:paraId="382D38D5" w14:textId="77777777" w:rsidR="00357B0D" w:rsidRDefault="00357B0D" w:rsidP="00FB07FF">
            <w:pPr>
              <w:pStyle w:val="Normal1linespace"/>
              <w:widowControl w:val="0"/>
              <w:jc w:val="left"/>
            </w:pPr>
            <w:r>
              <w:t>Solicitor for the Respondent:</w:t>
            </w:r>
          </w:p>
        </w:tc>
        <w:tc>
          <w:tcPr>
            <w:tcW w:w="5989" w:type="dxa"/>
            <w:gridSpan w:val="2"/>
            <w:shd w:val="clear" w:color="auto" w:fill="auto"/>
          </w:tcPr>
          <w:p w14:paraId="39EA2755" w14:textId="6A83BD14" w:rsidR="00357B0D" w:rsidRDefault="00A479DD" w:rsidP="00FB07FF">
            <w:pPr>
              <w:pStyle w:val="Normal1linespace"/>
              <w:widowControl w:val="0"/>
              <w:jc w:val="left"/>
            </w:pPr>
            <w:r>
              <w:t xml:space="preserve">The </w:t>
            </w:r>
            <w:r w:rsidRPr="00A479DD">
              <w:t>Respondent filed a submitting notice, save as to costs</w:t>
            </w:r>
            <w:r w:rsidR="00D46F31">
              <w:t>.</w:t>
            </w:r>
          </w:p>
        </w:tc>
      </w:tr>
    </w:tbl>
    <w:p w14:paraId="3221AD15" w14:textId="77777777" w:rsidR="00395B24" w:rsidRDefault="002C7385">
      <w:pPr>
        <w:pStyle w:val="Normal1linespace"/>
      </w:pPr>
      <w:r>
        <w:t xml:space="preserve"> </w:t>
      </w:r>
      <w:bookmarkEnd w:id="5"/>
    </w:p>
    <w:p w14:paraId="50F9D911" w14:textId="77777777" w:rsidR="0092590B" w:rsidRDefault="0092590B">
      <w:pPr>
        <w:pStyle w:val="Normal1linespace"/>
      </w:pPr>
    </w:p>
    <w:p w14:paraId="1C09443C"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2A8B6A3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C63935A" w14:textId="77777777" w:rsidTr="00E81DA6">
        <w:tc>
          <w:tcPr>
            <w:tcW w:w="6912" w:type="dxa"/>
            <w:gridSpan w:val="2"/>
          </w:tcPr>
          <w:p w14:paraId="4176B791" w14:textId="77777777" w:rsidR="00A46CCC" w:rsidRPr="001765E0" w:rsidRDefault="00A46CCC" w:rsidP="00525A49">
            <w:pPr>
              <w:pStyle w:val="NormalHeadings"/>
            </w:pPr>
          </w:p>
        </w:tc>
        <w:tc>
          <w:tcPr>
            <w:tcW w:w="2330" w:type="dxa"/>
          </w:tcPr>
          <w:p w14:paraId="026D0B9F" w14:textId="77777777" w:rsidR="00A46CCC" w:rsidRDefault="00520C47" w:rsidP="00F92355">
            <w:pPr>
              <w:pStyle w:val="NormalHeadings"/>
              <w:jc w:val="right"/>
            </w:pPr>
            <w:bookmarkStart w:id="7" w:name="FileNo"/>
            <w:r>
              <w:t>NSD 1064 of 2019</w:t>
            </w:r>
            <w:bookmarkEnd w:id="7"/>
          </w:p>
        </w:tc>
      </w:tr>
      <w:tr w:rsidR="00A76C13" w14:paraId="64B975A3" w14:textId="77777777" w:rsidTr="00F461A4">
        <w:tc>
          <w:tcPr>
            <w:tcW w:w="9242" w:type="dxa"/>
            <w:gridSpan w:val="3"/>
          </w:tcPr>
          <w:p w14:paraId="0318AD35" w14:textId="77777777" w:rsidR="00A76C13" w:rsidRPr="00A76C13" w:rsidRDefault="00520C47" w:rsidP="00520C47">
            <w:pPr>
              <w:pStyle w:val="NormalHeadings"/>
              <w:jc w:val="left"/>
            </w:pPr>
            <w:bookmarkStart w:id="8" w:name="InTheMatterOf"/>
            <w:r>
              <w:t xml:space="preserve"> </w:t>
            </w:r>
            <w:bookmarkEnd w:id="8"/>
          </w:p>
        </w:tc>
      </w:tr>
      <w:tr w:rsidR="00A46CCC" w14:paraId="2EE4A37B" w14:textId="77777777" w:rsidTr="005041F0">
        <w:trPr>
          <w:trHeight w:val="386"/>
        </w:trPr>
        <w:tc>
          <w:tcPr>
            <w:tcW w:w="2376" w:type="dxa"/>
          </w:tcPr>
          <w:p w14:paraId="39E2CE93" w14:textId="77777777" w:rsidR="00A46CCC" w:rsidRDefault="00A46CCC" w:rsidP="005041F0">
            <w:pPr>
              <w:pStyle w:val="NormalHeadings"/>
              <w:jc w:val="left"/>
              <w:rPr>
                <w:caps/>
                <w:szCs w:val="24"/>
              </w:rPr>
            </w:pPr>
            <w:bookmarkStart w:id="9" w:name="Parties"/>
            <w:r>
              <w:rPr>
                <w:caps/>
                <w:szCs w:val="24"/>
              </w:rPr>
              <w:t>BETWEEN:</w:t>
            </w:r>
          </w:p>
        </w:tc>
        <w:tc>
          <w:tcPr>
            <w:tcW w:w="6866" w:type="dxa"/>
            <w:gridSpan w:val="2"/>
          </w:tcPr>
          <w:p w14:paraId="4D1BBE82" w14:textId="77777777" w:rsidR="00520C47" w:rsidRDefault="00520C47" w:rsidP="00520C47">
            <w:pPr>
              <w:pStyle w:val="NormalHeadings"/>
              <w:jc w:val="left"/>
            </w:pPr>
            <w:bookmarkStart w:id="10" w:name="Applicant"/>
            <w:r>
              <w:t xml:space="preserve">HUNGRY SPIRIT PTY LTD ATF THE HUNGRY SPIRIT TRUST </w:t>
            </w:r>
          </w:p>
          <w:p w14:paraId="3C686AA7" w14:textId="77777777" w:rsidR="00520C47" w:rsidRDefault="00520C47" w:rsidP="00520C47">
            <w:pPr>
              <w:pStyle w:val="PartyType"/>
            </w:pPr>
            <w:r>
              <w:t>Appellant</w:t>
            </w:r>
          </w:p>
          <w:bookmarkEnd w:id="10"/>
          <w:p w14:paraId="0CD051F4" w14:textId="77777777" w:rsidR="00A46CCC" w:rsidRPr="006555B4" w:rsidRDefault="00A46CCC" w:rsidP="005041F0">
            <w:pPr>
              <w:pStyle w:val="NormalHeadings"/>
              <w:jc w:val="left"/>
            </w:pPr>
          </w:p>
        </w:tc>
      </w:tr>
      <w:tr w:rsidR="00A46CCC" w14:paraId="40D664E2" w14:textId="77777777" w:rsidTr="005041F0">
        <w:trPr>
          <w:trHeight w:val="386"/>
        </w:trPr>
        <w:tc>
          <w:tcPr>
            <w:tcW w:w="2376" w:type="dxa"/>
          </w:tcPr>
          <w:p w14:paraId="1460751C" w14:textId="77777777" w:rsidR="00A46CCC" w:rsidRDefault="00A46CCC" w:rsidP="005041F0">
            <w:pPr>
              <w:pStyle w:val="NormalHeadings"/>
              <w:jc w:val="left"/>
              <w:rPr>
                <w:caps/>
                <w:szCs w:val="24"/>
              </w:rPr>
            </w:pPr>
            <w:r>
              <w:rPr>
                <w:caps/>
                <w:szCs w:val="24"/>
              </w:rPr>
              <w:t>AND:</w:t>
            </w:r>
          </w:p>
        </w:tc>
        <w:tc>
          <w:tcPr>
            <w:tcW w:w="6866" w:type="dxa"/>
            <w:gridSpan w:val="2"/>
          </w:tcPr>
          <w:p w14:paraId="53797B54" w14:textId="77777777" w:rsidR="00520C47" w:rsidRDefault="00520C47" w:rsidP="00520C47">
            <w:pPr>
              <w:pStyle w:val="NormalHeadings"/>
              <w:jc w:val="left"/>
            </w:pPr>
            <w:bookmarkStart w:id="11" w:name="Respondent"/>
            <w:r>
              <w:t>FIT N FAST AUSTRALIA PTY LTD</w:t>
            </w:r>
          </w:p>
          <w:p w14:paraId="767D1C48" w14:textId="77777777" w:rsidR="00520C47" w:rsidRDefault="00520C47" w:rsidP="00520C47">
            <w:pPr>
              <w:pStyle w:val="PartyType"/>
            </w:pPr>
            <w:r>
              <w:t>Respondent</w:t>
            </w:r>
          </w:p>
          <w:bookmarkEnd w:id="11"/>
          <w:p w14:paraId="38B2DD09" w14:textId="77777777" w:rsidR="00A46CCC" w:rsidRPr="006555B4" w:rsidRDefault="00A46CCC" w:rsidP="005041F0">
            <w:pPr>
              <w:pStyle w:val="NormalHeadings"/>
              <w:jc w:val="left"/>
            </w:pPr>
          </w:p>
        </w:tc>
      </w:tr>
    </w:tbl>
    <w:p w14:paraId="7BE8F7EE" w14:textId="77777777"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14:paraId="061CF90B" w14:textId="77777777">
        <w:tc>
          <w:tcPr>
            <w:tcW w:w="2376" w:type="dxa"/>
          </w:tcPr>
          <w:p w14:paraId="337C70C1" w14:textId="77777777" w:rsidR="00395B24" w:rsidRDefault="00520C47">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14:paraId="47FE695D" w14:textId="77777777" w:rsidR="00395B24" w:rsidRDefault="00520C47">
            <w:pPr>
              <w:pStyle w:val="NormalHeadings"/>
              <w:jc w:val="left"/>
              <w:rPr>
                <w:caps/>
                <w:szCs w:val="24"/>
              </w:rPr>
            </w:pPr>
            <w:bookmarkStart w:id="14" w:name="Judge"/>
            <w:r>
              <w:rPr>
                <w:caps/>
                <w:szCs w:val="24"/>
              </w:rPr>
              <w:t>BURLEY  J</w:t>
            </w:r>
            <w:bookmarkEnd w:id="14"/>
          </w:p>
        </w:tc>
      </w:tr>
      <w:tr w:rsidR="00395B24" w14:paraId="077A70EA" w14:textId="77777777">
        <w:tc>
          <w:tcPr>
            <w:tcW w:w="2376" w:type="dxa"/>
          </w:tcPr>
          <w:p w14:paraId="208ACFD3" w14:textId="77777777" w:rsidR="00395B24" w:rsidRDefault="002C7385">
            <w:pPr>
              <w:pStyle w:val="NormalHeadings"/>
              <w:spacing w:after="120"/>
              <w:jc w:val="left"/>
              <w:rPr>
                <w:caps/>
                <w:szCs w:val="24"/>
              </w:rPr>
            </w:pPr>
            <w:r>
              <w:rPr>
                <w:caps/>
                <w:szCs w:val="24"/>
              </w:rPr>
              <w:t>DATE OF ORDER:</w:t>
            </w:r>
          </w:p>
        </w:tc>
        <w:tc>
          <w:tcPr>
            <w:tcW w:w="6866" w:type="dxa"/>
          </w:tcPr>
          <w:p w14:paraId="0853874E" w14:textId="77777777" w:rsidR="00395B24" w:rsidRDefault="002A097F">
            <w:pPr>
              <w:pStyle w:val="NormalHeadings"/>
              <w:jc w:val="left"/>
              <w:rPr>
                <w:caps/>
                <w:szCs w:val="24"/>
              </w:rPr>
            </w:pPr>
            <w:bookmarkStart w:id="15" w:name="Judgment_Dated"/>
            <w:bookmarkEnd w:id="15"/>
            <w:r>
              <w:rPr>
                <w:caps/>
                <w:szCs w:val="24"/>
              </w:rPr>
              <w:t>9 August 2019</w:t>
            </w:r>
          </w:p>
        </w:tc>
      </w:tr>
    </w:tbl>
    <w:p w14:paraId="7F4A6F9C" w14:textId="77777777" w:rsidR="00395B24" w:rsidRDefault="00395B24">
      <w:pPr>
        <w:pStyle w:val="NormalHeadings"/>
        <w:rPr>
          <w:b w:val="0"/>
        </w:rPr>
      </w:pPr>
    </w:p>
    <w:p w14:paraId="65A8B31F" w14:textId="77777777" w:rsidR="008D1617" w:rsidRDefault="008D1617">
      <w:pPr>
        <w:pStyle w:val="NormalHeadings"/>
        <w:rPr>
          <w:b w:val="0"/>
        </w:rPr>
      </w:pPr>
    </w:p>
    <w:p w14:paraId="13ECAB6B" w14:textId="77777777" w:rsidR="00395B24" w:rsidRDefault="002C7385">
      <w:pPr>
        <w:pStyle w:val="NormalHeadings"/>
      </w:pPr>
      <w:r>
        <w:t>THE COURT ORDERS THAT:</w:t>
      </w:r>
    </w:p>
    <w:p w14:paraId="7978E4B6" w14:textId="77777777" w:rsidR="00395B24" w:rsidRDefault="00395B24">
      <w:pPr>
        <w:pStyle w:val="NormalHeadings"/>
      </w:pPr>
    </w:p>
    <w:p w14:paraId="2DEB06D7" w14:textId="77777777" w:rsidR="00A479DD" w:rsidRDefault="00A479DD" w:rsidP="00A479DD">
      <w:pPr>
        <w:pStyle w:val="Order1"/>
      </w:pPr>
      <w:bookmarkStart w:id="16" w:name="Order_Start_Text"/>
      <w:bookmarkEnd w:id="16"/>
      <w:r>
        <w:t>The appeal from the decision of the delegate of the Registrar of Trade Marks given on 13 June 2019 be allowed.</w:t>
      </w:r>
    </w:p>
    <w:p w14:paraId="2C722F29" w14:textId="77777777" w:rsidR="00A479DD" w:rsidRDefault="00A479DD" w:rsidP="00A479DD">
      <w:pPr>
        <w:pStyle w:val="Order1"/>
      </w:pPr>
      <w:r>
        <w:t>The decision of the delegate be set aside.</w:t>
      </w:r>
    </w:p>
    <w:p w14:paraId="3388158E" w14:textId="77777777" w:rsidR="00A479DD" w:rsidRDefault="00A479DD" w:rsidP="00A479DD">
      <w:pPr>
        <w:pStyle w:val="Order1"/>
      </w:pPr>
      <w:r>
        <w:t>The Registrar allow Australian Trade Mark Application numbers 1813479 and 1813480 to proceed to registration.</w:t>
      </w:r>
    </w:p>
    <w:p w14:paraId="06AFC460" w14:textId="17972A9A" w:rsidR="00A479DD" w:rsidRDefault="00A479DD" w:rsidP="00A479DD">
      <w:pPr>
        <w:pStyle w:val="Order1"/>
      </w:pPr>
      <w:r>
        <w:t>The Registrar have leave to apply to the Court to set aside or vary Orders 1 to 3 within 14 days.</w:t>
      </w:r>
    </w:p>
    <w:p w14:paraId="200D5DE9" w14:textId="77777777" w:rsidR="00A479DD" w:rsidRDefault="00A479DD" w:rsidP="00A479DD">
      <w:pPr>
        <w:pStyle w:val="Order1"/>
      </w:pPr>
      <w:r>
        <w:t>There be no order as to costs.</w:t>
      </w:r>
    </w:p>
    <w:p w14:paraId="3BD86E9D" w14:textId="77777777" w:rsidR="00395B24" w:rsidRDefault="00A479DD" w:rsidP="00A479DD">
      <w:pPr>
        <w:pStyle w:val="Order1"/>
      </w:pPr>
      <w:r>
        <w:t>The appellant is directed to provide these Orders to the Registrar of Trade Marks forthwith.</w:t>
      </w:r>
    </w:p>
    <w:p w14:paraId="3581C448" w14:textId="77777777" w:rsidR="00395B24" w:rsidRDefault="00395B24" w:rsidP="002B0E91">
      <w:pPr>
        <w:pStyle w:val="BodyText"/>
      </w:pPr>
    </w:p>
    <w:p w14:paraId="4E53CB8E" w14:textId="77777777" w:rsidR="00395B24" w:rsidRDefault="002C7385" w:rsidP="004D53E5">
      <w:pPr>
        <w:pStyle w:val="SingleSpace"/>
      </w:pPr>
      <w:r>
        <w:t>Note:</w:t>
      </w:r>
      <w:r>
        <w:tab/>
        <w:t xml:space="preserve">Entry of orders is dealt with in Rule 39.32 of the </w:t>
      </w:r>
      <w:r>
        <w:rPr>
          <w:i/>
        </w:rPr>
        <w:t>Federal Court Rules 2011</w:t>
      </w:r>
      <w:r>
        <w:t>.</w:t>
      </w:r>
    </w:p>
    <w:p w14:paraId="7FB4F8C6" w14:textId="77777777" w:rsidR="00395B24" w:rsidRDefault="00395B24" w:rsidP="002B0E91">
      <w:pPr>
        <w:pStyle w:val="BodyText"/>
      </w:pPr>
    </w:p>
    <w:p w14:paraId="5CB8BD3D" w14:textId="77777777" w:rsidR="00395B24" w:rsidRDefault="00395B24" w:rsidP="001F2DBC">
      <w:pPr>
        <w:pStyle w:val="BodyText"/>
      </w:pPr>
    </w:p>
    <w:p w14:paraId="3640A9FF" w14:textId="77777777" w:rsidR="0092590B" w:rsidRDefault="0092590B" w:rsidP="002B0E91">
      <w:pPr>
        <w:pStyle w:val="BodyText"/>
      </w:pPr>
    </w:p>
    <w:p w14:paraId="69C6777F"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7DE3377F" w14:textId="77777777" w:rsidR="00484F6D" w:rsidRPr="00045BB7" w:rsidRDefault="00762513" w:rsidP="00045BB7">
      <w:pPr>
        <w:pStyle w:val="NormalHeadings"/>
        <w:spacing w:line="480" w:lineRule="auto"/>
        <w:jc w:val="center"/>
        <w:rPr>
          <w:sz w:val="28"/>
          <w:szCs w:val="28"/>
        </w:rPr>
      </w:pPr>
      <w:bookmarkStart w:id="17" w:name="ReasonsPage"/>
      <w:bookmarkEnd w:id="17"/>
      <w:r>
        <w:rPr>
          <w:sz w:val="28"/>
          <w:szCs w:val="28"/>
        </w:rPr>
        <w:lastRenderedPageBreak/>
        <w:t>REVISED FROM TRANSCRIPT</w:t>
      </w:r>
    </w:p>
    <w:p w14:paraId="10D506B7" w14:textId="77777777" w:rsidR="00395B24" w:rsidRPr="00EA03CE" w:rsidRDefault="00762513" w:rsidP="005E0510">
      <w:pPr>
        <w:pStyle w:val="NormalHeadings"/>
        <w:spacing w:line="360" w:lineRule="auto"/>
        <w:jc w:val="left"/>
        <w:rPr>
          <w:sz w:val="26"/>
          <w:szCs w:val="26"/>
        </w:rPr>
      </w:pPr>
      <w:r>
        <w:rPr>
          <w:sz w:val="26"/>
          <w:szCs w:val="26"/>
        </w:rPr>
        <w:t>BURLEY J</w:t>
      </w:r>
      <w:r w:rsidR="00484F6D" w:rsidRPr="00EA03CE">
        <w:rPr>
          <w:sz w:val="26"/>
          <w:szCs w:val="26"/>
        </w:rPr>
        <w:t>:</w:t>
      </w:r>
    </w:p>
    <w:p w14:paraId="576F4C75" w14:textId="55954FFF" w:rsidR="00C07BF4" w:rsidRPr="00C07BF4" w:rsidRDefault="00C07BF4" w:rsidP="00C07BF4">
      <w:pPr>
        <w:pStyle w:val="ParaNumbering"/>
      </w:pPr>
      <w:r w:rsidRPr="00C07BF4">
        <w:t xml:space="preserve">This is an appeal brought pursuant to s 56 of the </w:t>
      </w:r>
      <w:r w:rsidRPr="00F643F4">
        <w:rPr>
          <w:i/>
        </w:rPr>
        <w:t xml:space="preserve">Trade Marks </w:t>
      </w:r>
      <w:r w:rsidRPr="00F643F4">
        <w:rPr>
          <w:b/>
          <w:i/>
        </w:rPr>
        <w:t>Act</w:t>
      </w:r>
      <w:r w:rsidRPr="00C07BF4">
        <w:t xml:space="preserve"> </w:t>
      </w:r>
      <w:r w:rsidRPr="00F643F4">
        <w:rPr>
          <w:i/>
        </w:rPr>
        <w:t>1995</w:t>
      </w:r>
      <w:r>
        <w:t xml:space="preserve"> (</w:t>
      </w:r>
      <w:proofErr w:type="spellStart"/>
      <w:r>
        <w:t>Cth</w:t>
      </w:r>
      <w:proofErr w:type="spellEnd"/>
      <w:r>
        <w:t>)</w:t>
      </w:r>
      <w:r w:rsidRPr="00C07BF4">
        <w:t xml:space="preserve"> from a decision of the </w:t>
      </w:r>
      <w:r w:rsidRPr="00F643F4">
        <w:rPr>
          <w:b/>
        </w:rPr>
        <w:t>delegate</w:t>
      </w:r>
      <w:r w:rsidRPr="00C07BF4">
        <w:t xml:space="preserve"> of the </w:t>
      </w:r>
      <w:r w:rsidRPr="00F643F4">
        <w:rPr>
          <w:b/>
        </w:rPr>
        <w:t>Registrar</w:t>
      </w:r>
      <w:r w:rsidRPr="00C07BF4">
        <w:t xml:space="preserve"> of Trade Marks made on 13 June 2019.  The appellant, Hungry Spirit P</w:t>
      </w:r>
      <w:r>
        <w:t>ty</w:t>
      </w:r>
      <w:r w:rsidRPr="00C07BF4">
        <w:t xml:space="preserve"> Limited, is the applicant for </w:t>
      </w:r>
      <w:r w:rsidR="004959FE">
        <w:t xml:space="preserve">two </w:t>
      </w:r>
      <w:proofErr w:type="spellStart"/>
      <w:r w:rsidRPr="00C07BF4">
        <w:t>trade</w:t>
      </w:r>
      <w:r>
        <w:t xml:space="preserve"> </w:t>
      </w:r>
      <w:r w:rsidRPr="00C07BF4">
        <w:t>marks</w:t>
      </w:r>
      <w:proofErr w:type="spellEnd"/>
      <w:r w:rsidR="004959FE">
        <w:t>,</w:t>
      </w:r>
      <w:r w:rsidRPr="00C07BF4">
        <w:t xml:space="preserve"> numbe</w:t>
      </w:r>
      <w:r w:rsidR="004959FE">
        <w:t>red</w:t>
      </w:r>
      <w:r w:rsidRPr="00C07BF4">
        <w:t xml:space="preserve"> 1813479 and 1813480, for </w:t>
      </w:r>
      <w:r w:rsidR="004959FE">
        <w:t>“</w:t>
      </w:r>
      <w:r w:rsidRPr="00C07BF4">
        <w:t>MOVE Training</w:t>
      </w:r>
      <w:r w:rsidR="004959FE">
        <w:t>”</w:t>
      </w:r>
      <w:r w:rsidRPr="00C07BF4">
        <w:t xml:space="preserve"> and </w:t>
      </w:r>
      <w:r w:rsidR="004959FE">
        <w:t>“</w:t>
      </w:r>
      <w:r w:rsidRPr="00C07BF4">
        <w:t>MOVE Coaching</w:t>
      </w:r>
      <w:r w:rsidR="004959FE">
        <w:t>”</w:t>
      </w:r>
      <w:r w:rsidRPr="00C07BF4">
        <w:t xml:space="preserve"> respectively, in classes 9, 16 and 41 of the Trade Mark Register.  The applications were accepted by the Registrar and advertised in the Australian Official Journal of Trade Marks</w:t>
      </w:r>
      <w:r w:rsidR="00CC20A0">
        <w:t>,</w:t>
      </w:r>
      <w:r w:rsidRPr="00C07BF4">
        <w:t xml:space="preserve"> and subsequently opposed by </w:t>
      </w:r>
      <w:r w:rsidRPr="00F643F4">
        <w:rPr>
          <w:b/>
        </w:rPr>
        <w:t>Fit n Fast</w:t>
      </w:r>
      <w:r w:rsidRPr="00C07BF4">
        <w:t xml:space="preserve"> Australia P</w:t>
      </w:r>
      <w:r w:rsidR="00CC20A0">
        <w:t>ty</w:t>
      </w:r>
      <w:r w:rsidRPr="00C07BF4">
        <w:t xml:space="preserve"> L</w:t>
      </w:r>
      <w:r w:rsidR="00CC20A0">
        <w:t>td</w:t>
      </w:r>
      <w:r w:rsidRPr="00C07BF4">
        <w:t>, the respondent to the present proceedings. After evidence was filed, the delegate conducted a hearing and subsequently determined that the opposition should succeed, and the trade</w:t>
      </w:r>
      <w:r w:rsidR="00CC20A0">
        <w:t xml:space="preserve"> </w:t>
      </w:r>
      <w:r w:rsidRPr="00C07BF4">
        <w:t>mark applications were refused.</w:t>
      </w:r>
    </w:p>
    <w:p w14:paraId="7E115D6C" w14:textId="5BDCD01A" w:rsidR="00C07BF4" w:rsidRPr="00C07BF4" w:rsidRDefault="00C07BF4" w:rsidP="00A479DD">
      <w:pPr>
        <w:pStyle w:val="ParaNumbering"/>
      </w:pPr>
      <w:r w:rsidRPr="00C07BF4">
        <w:t xml:space="preserve">Hungry Spirit then filed a </w:t>
      </w:r>
      <w:r w:rsidR="004959FE">
        <w:t>N</w:t>
      </w:r>
      <w:r w:rsidRPr="00C07BF4">
        <w:t xml:space="preserve">otice of </w:t>
      </w:r>
      <w:r w:rsidR="004959FE">
        <w:t>A</w:t>
      </w:r>
      <w:r w:rsidRPr="00C07BF4">
        <w:t xml:space="preserve">ppeal from the decision pursuant to s 56 of the Act. Fit n Fast filed a submitting appearance, thereby signifying that it would submit to any order that the </w:t>
      </w:r>
      <w:r w:rsidR="00CC20A0">
        <w:t>C</w:t>
      </w:r>
      <w:r w:rsidRPr="00C07BF4">
        <w:t>ourt may make and otherwise not participate in the conduct of the appeal, other than in relation to the question of costs. The consequence is that the opponent will not be filing any evidence in support of its opposition to the registration of the trade</w:t>
      </w:r>
      <w:r w:rsidR="00CC20A0">
        <w:t xml:space="preserve"> </w:t>
      </w:r>
      <w:r w:rsidRPr="00C07BF4">
        <w:t xml:space="preserve">mark.  Furthermore, the Registrar, having been informed that Fit n Fast does not intend to participate in the proceedings, has indicated that she </w:t>
      </w:r>
      <w:r w:rsidR="004959FE">
        <w:t xml:space="preserve">also </w:t>
      </w:r>
      <w:r w:rsidRPr="00C07BF4">
        <w:t>does not wish or intend to participate in the conduct of the proceedings either.</w:t>
      </w:r>
      <w:r w:rsidR="00CC20A0">
        <w:t xml:space="preserve"> </w:t>
      </w:r>
      <w:r w:rsidRPr="00C07BF4">
        <w:t>To that should be added one caveat</w:t>
      </w:r>
      <w:r w:rsidR="004959FE">
        <w:t>. In correspondence, Hungry Spirit has indicated to the Registrar that it will seek orders that the appeal be allowed at the first return date of the proceedings. The Registrar responded</w:t>
      </w:r>
      <w:r w:rsidRPr="00C07BF4">
        <w:t xml:space="preserve"> that should draft consent orders be arrived at, particularly if they go to allowing the appeal, she requests to be made aware of the orders before they are made official. Hungry Spirit has at the first case management hearing of the proceedings submitted that the appeal should be allowed, the opposition dismissed</w:t>
      </w:r>
      <w:r w:rsidR="001C0A51">
        <w:t>,</w:t>
      </w:r>
      <w:r w:rsidRPr="00C07BF4">
        <w:t xml:space="preserve"> and the decision of the delegate set aside. For the reasons set out below, subject to slight variation, I consider that these are the appropriate orders to be made.</w:t>
      </w:r>
    </w:p>
    <w:p w14:paraId="771FB356" w14:textId="3D01DE47" w:rsidR="006B09BD" w:rsidRDefault="00C07BF4" w:rsidP="00A479DD">
      <w:pPr>
        <w:pStyle w:val="ParaNumbering"/>
      </w:pPr>
      <w:r w:rsidRPr="00C07BF4">
        <w:t>The relevant approach</w:t>
      </w:r>
      <w:r w:rsidR="004959FE">
        <w:t xml:space="preserve"> in circumstances such as the present</w:t>
      </w:r>
      <w:r w:rsidRPr="00C07BF4">
        <w:t xml:space="preserve"> has been </w:t>
      </w:r>
      <w:r w:rsidR="004959FE">
        <w:t>considered</w:t>
      </w:r>
      <w:r w:rsidR="004959FE" w:rsidRPr="00C07BF4">
        <w:t xml:space="preserve"> </w:t>
      </w:r>
      <w:r w:rsidRPr="00C07BF4">
        <w:t xml:space="preserve">in a number of decisions in this Court, including </w:t>
      </w:r>
      <w:r w:rsidRPr="00F643F4">
        <w:rPr>
          <w:i/>
        </w:rPr>
        <w:t>Cadbury Schweppes</w:t>
      </w:r>
      <w:r w:rsidR="001C0A51">
        <w:rPr>
          <w:i/>
        </w:rPr>
        <w:t xml:space="preserve"> Plc</w:t>
      </w:r>
      <w:r w:rsidRPr="00F643F4">
        <w:rPr>
          <w:i/>
        </w:rPr>
        <w:t xml:space="preserve"> v </w:t>
      </w:r>
      <w:proofErr w:type="spellStart"/>
      <w:r w:rsidRPr="00F643F4">
        <w:rPr>
          <w:i/>
        </w:rPr>
        <w:t>Effem</w:t>
      </w:r>
      <w:proofErr w:type="spellEnd"/>
      <w:r w:rsidRPr="00F643F4">
        <w:rPr>
          <w:i/>
        </w:rPr>
        <w:t xml:space="preserve"> Foods</w:t>
      </w:r>
      <w:r w:rsidR="001C0A51">
        <w:rPr>
          <w:i/>
        </w:rPr>
        <w:t xml:space="preserve"> Pty Ltd </w:t>
      </w:r>
      <w:r w:rsidR="001C0A51">
        <w:t>[2006] FCA 1267; 69 IPR 584 (Lindgren J)</w:t>
      </w:r>
      <w:r w:rsidRPr="00C07BF4">
        <w:t xml:space="preserve">, </w:t>
      </w:r>
      <w:proofErr w:type="spellStart"/>
      <w:r w:rsidRPr="00F643F4">
        <w:rPr>
          <w:i/>
        </w:rPr>
        <w:t>Suyen</w:t>
      </w:r>
      <w:proofErr w:type="spellEnd"/>
      <w:r w:rsidRPr="00F643F4">
        <w:rPr>
          <w:i/>
        </w:rPr>
        <w:t xml:space="preserve"> Corporation </w:t>
      </w:r>
      <w:r w:rsidRPr="00C07BF4">
        <w:t xml:space="preserve">v </w:t>
      </w:r>
      <w:r w:rsidRPr="00F643F4">
        <w:rPr>
          <w:i/>
        </w:rPr>
        <w:t>Americana International</w:t>
      </w:r>
      <w:r w:rsidR="001C0A51">
        <w:rPr>
          <w:i/>
        </w:rPr>
        <w:t xml:space="preserve"> Limited </w:t>
      </w:r>
      <w:r w:rsidR="00252D62">
        <w:t>[2011</w:t>
      </w:r>
      <w:r w:rsidR="001C0A51">
        <w:t xml:space="preserve">] FCA </w:t>
      </w:r>
      <w:r w:rsidR="00252D62">
        <w:t>300</w:t>
      </w:r>
      <w:r w:rsidR="001C0A51">
        <w:t xml:space="preserve"> (</w:t>
      </w:r>
      <w:proofErr w:type="spellStart"/>
      <w:r w:rsidR="001C0A51">
        <w:t>Dodds-Streeton</w:t>
      </w:r>
      <w:proofErr w:type="spellEnd"/>
      <w:r w:rsidR="001C0A51">
        <w:t xml:space="preserve"> J)</w:t>
      </w:r>
      <w:r w:rsidRPr="00C07BF4">
        <w:t xml:space="preserve">, </w:t>
      </w:r>
      <w:r w:rsidRPr="00F643F4">
        <w:rPr>
          <w:i/>
        </w:rPr>
        <w:t>Raytheon Co</w:t>
      </w:r>
      <w:r w:rsidR="00252D62" w:rsidRPr="00F643F4">
        <w:rPr>
          <w:i/>
        </w:rPr>
        <w:t>mpany</w:t>
      </w:r>
      <w:r w:rsidRPr="00F643F4">
        <w:rPr>
          <w:i/>
        </w:rPr>
        <w:t xml:space="preserve"> v Lockheed Martin Corporation</w:t>
      </w:r>
      <w:r w:rsidR="00252D62">
        <w:t xml:space="preserve"> [2014] FCA 1063 (Perram J)</w:t>
      </w:r>
      <w:r w:rsidRPr="00C07BF4">
        <w:t xml:space="preserve"> and </w:t>
      </w:r>
      <w:r w:rsidR="00252D62" w:rsidRPr="00F643F4">
        <w:rPr>
          <w:i/>
        </w:rPr>
        <w:t xml:space="preserve">Daiichi Sankyo Company, Limited v </w:t>
      </w:r>
      <w:proofErr w:type="spellStart"/>
      <w:r w:rsidR="00252D62" w:rsidRPr="00F643F4">
        <w:rPr>
          <w:i/>
        </w:rPr>
        <w:t>Alethia</w:t>
      </w:r>
      <w:proofErr w:type="spellEnd"/>
      <w:r w:rsidR="00252D62" w:rsidRPr="00F643F4">
        <w:rPr>
          <w:i/>
        </w:rPr>
        <w:t xml:space="preserve"> </w:t>
      </w:r>
      <w:proofErr w:type="spellStart"/>
      <w:r w:rsidR="00252D62" w:rsidRPr="00F643F4">
        <w:rPr>
          <w:i/>
        </w:rPr>
        <w:t>Biotherapuetics</w:t>
      </w:r>
      <w:proofErr w:type="spellEnd"/>
      <w:r w:rsidR="00252D62" w:rsidRPr="00F643F4">
        <w:rPr>
          <w:i/>
        </w:rPr>
        <w:t xml:space="preserve"> Inc.</w:t>
      </w:r>
      <w:r w:rsidR="00252D62" w:rsidRPr="00252D62">
        <w:t xml:space="preserve"> [2016] FCA 1540</w:t>
      </w:r>
      <w:r w:rsidR="00252D62">
        <w:t xml:space="preserve"> (Burley J)</w:t>
      </w:r>
      <w:r w:rsidRPr="00C07BF4">
        <w:t xml:space="preserve">. In this regard, the position in relation to oppositions brought </w:t>
      </w:r>
      <w:r w:rsidRPr="00C07BF4">
        <w:lastRenderedPageBreak/>
        <w:t xml:space="preserve">pursuant to the </w:t>
      </w:r>
      <w:r w:rsidRPr="00F643F4">
        <w:rPr>
          <w:i/>
        </w:rPr>
        <w:t>Patents Act</w:t>
      </w:r>
      <w:r w:rsidR="00252D62">
        <w:t xml:space="preserve"> </w:t>
      </w:r>
      <w:r w:rsidR="00252D62">
        <w:rPr>
          <w:i/>
        </w:rPr>
        <w:t xml:space="preserve">1990 </w:t>
      </w:r>
      <w:r w:rsidR="00252D62">
        <w:t>(</w:t>
      </w:r>
      <w:proofErr w:type="spellStart"/>
      <w:r w:rsidR="00252D62">
        <w:t>Cth</w:t>
      </w:r>
      <w:proofErr w:type="spellEnd"/>
      <w:r w:rsidR="00252D62">
        <w:t>)</w:t>
      </w:r>
      <w:r w:rsidRPr="00C07BF4">
        <w:t xml:space="preserve"> is analogous to th</w:t>
      </w:r>
      <w:r w:rsidR="00252D62">
        <w:t>e position</w:t>
      </w:r>
      <w:r w:rsidRPr="00C07BF4">
        <w:t xml:space="preserve"> under the present Act.  An appeal brought pursuant to s 56 of the Act is considered </w:t>
      </w:r>
      <w:r w:rsidRPr="00F643F4">
        <w:rPr>
          <w:i/>
        </w:rPr>
        <w:t>de novo</w:t>
      </w:r>
      <w:r w:rsidRPr="00C07BF4">
        <w:t xml:space="preserve"> by this </w:t>
      </w:r>
      <w:r w:rsidR="00252D62">
        <w:t>C</w:t>
      </w:r>
      <w:r w:rsidRPr="00C07BF4">
        <w:t>ourt as the first judicial determination of the controversy. The opponent, as the party propounding the ineligibility of the trade</w:t>
      </w:r>
      <w:r w:rsidR="00252D62">
        <w:t xml:space="preserve"> </w:t>
      </w:r>
      <w:r w:rsidRPr="00C07BF4">
        <w:t>mark for registration</w:t>
      </w:r>
      <w:r w:rsidR="00252D62">
        <w:t>,</w:t>
      </w:r>
      <w:r w:rsidRPr="00C07BF4">
        <w:t xml:space="preserve"> is the effective moving party in the proceedings.</w:t>
      </w:r>
      <w:r w:rsidR="00252D62">
        <w:t xml:space="preserve"> </w:t>
      </w:r>
      <w:r w:rsidRPr="00C07BF4">
        <w:t xml:space="preserve">It bears the onus of establishing any nominated grounds of opposition advanced, both before the delegate and on appeal: </w:t>
      </w:r>
      <w:r w:rsidRPr="00F643F4">
        <w:rPr>
          <w:i/>
        </w:rPr>
        <w:t>Food Channel Network</w:t>
      </w:r>
      <w:r w:rsidR="006B09BD">
        <w:rPr>
          <w:i/>
        </w:rPr>
        <w:t xml:space="preserve"> Pty Ltd</w:t>
      </w:r>
      <w:r w:rsidRPr="00F643F4">
        <w:rPr>
          <w:i/>
        </w:rPr>
        <w:t xml:space="preserve"> v Television Food Network</w:t>
      </w:r>
      <w:r w:rsidR="006B09BD">
        <w:rPr>
          <w:i/>
        </w:rPr>
        <w:t xml:space="preserve"> GP </w:t>
      </w:r>
      <w:r w:rsidR="006B09BD">
        <w:t>[2010] FCAFC 58</w:t>
      </w:r>
      <w:r w:rsidR="00574398">
        <w:t>; 185 FCR 1</w:t>
      </w:r>
      <w:r w:rsidR="006B09BD">
        <w:t xml:space="preserve"> at [32] (Keane, Stone and Jagot JJ)</w:t>
      </w:r>
      <w:r w:rsidRPr="00C07BF4">
        <w:t xml:space="preserve">. </w:t>
      </w:r>
    </w:p>
    <w:p w14:paraId="162FD2C5" w14:textId="5F9ACB6C" w:rsidR="006B09BD" w:rsidRDefault="00C07BF4" w:rsidP="00813CF1">
      <w:pPr>
        <w:pStyle w:val="ParaNumbering"/>
      </w:pPr>
      <w:r w:rsidRPr="00C07BF4">
        <w:t>Section 68 of the Act provides</w:t>
      </w:r>
      <w:r w:rsidR="006B09BD">
        <w:t>:</w:t>
      </w:r>
    </w:p>
    <w:p w14:paraId="43B59207" w14:textId="77777777" w:rsidR="006B09BD" w:rsidRDefault="00574398" w:rsidP="00F643F4">
      <w:pPr>
        <w:pStyle w:val="Quote1"/>
        <w:ind w:left="1440" w:hanging="703"/>
        <w:rPr>
          <w:lang w:val="en-US" w:eastAsia="en-AU"/>
        </w:rPr>
      </w:pPr>
      <w:r>
        <w:t>(1)</w:t>
      </w:r>
      <w:r>
        <w:tab/>
      </w:r>
      <w:r w:rsidR="006B09BD">
        <w:t>The Registrar must, within the period provided under the regulations, register a trade mark that has been accepted for registration:</w:t>
      </w:r>
    </w:p>
    <w:p w14:paraId="27AFF4CE" w14:textId="77777777" w:rsidR="00574398" w:rsidRDefault="006B09BD" w:rsidP="00F643F4">
      <w:pPr>
        <w:pStyle w:val="Quote2"/>
      </w:pPr>
      <w:r>
        <w:t>(a)</w:t>
      </w:r>
      <w:r>
        <w:tab/>
        <w:t>if there has been no opposition to the registration; or</w:t>
      </w:r>
    </w:p>
    <w:p w14:paraId="244F49A5" w14:textId="77777777" w:rsidR="006B09BD" w:rsidRPr="00A479DD" w:rsidRDefault="00574398" w:rsidP="00F643F4">
      <w:pPr>
        <w:pStyle w:val="Quote2"/>
      </w:pPr>
      <w:r>
        <w:t>(b)</w:t>
      </w:r>
      <w:r>
        <w:tab/>
      </w:r>
      <w:r w:rsidR="006B09BD">
        <w:t>in a case where there has been an opposition</w:t>
      </w:r>
      <w:r>
        <w:t>:</w:t>
      </w:r>
    </w:p>
    <w:p w14:paraId="10C90B5F" w14:textId="77777777" w:rsidR="00574398" w:rsidRDefault="00574398" w:rsidP="00F643F4">
      <w:pPr>
        <w:pStyle w:val="Quote3"/>
        <w:ind w:left="2880" w:hanging="720"/>
      </w:pPr>
      <w:r>
        <w:t>(</w:t>
      </w:r>
      <w:proofErr w:type="spellStart"/>
      <w:r>
        <w:t>i</w:t>
      </w:r>
      <w:proofErr w:type="spellEnd"/>
      <w:r>
        <w:t>)</w:t>
      </w:r>
      <w:r>
        <w:tab/>
      </w:r>
      <w:r w:rsidR="006B09BD">
        <w:t>if the Registrar’s decision, or (in the case of an appeal against the Registrar’s decision) the decision on appeal, is that the trade mark should be registered; or</w:t>
      </w:r>
    </w:p>
    <w:p w14:paraId="0BC5F97B" w14:textId="77777777" w:rsidR="00574398" w:rsidRDefault="00574398" w:rsidP="00F643F4">
      <w:pPr>
        <w:pStyle w:val="Quote3"/>
        <w:ind w:left="2880" w:hanging="720"/>
      </w:pPr>
      <w:r>
        <w:t>(ii)</w:t>
      </w:r>
      <w:r>
        <w:tab/>
      </w:r>
      <w:r w:rsidR="006B09BD">
        <w:t>if the opposition has been withdrawn; or</w:t>
      </w:r>
    </w:p>
    <w:p w14:paraId="45009F7A" w14:textId="77777777" w:rsidR="00574398" w:rsidRDefault="00574398" w:rsidP="00F643F4">
      <w:pPr>
        <w:pStyle w:val="Quote3"/>
        <w:ind w:left="2880" w:hanging="720"/>
      </w:pPr>
      <w:r>
        <w:t>(iii)</w:t>
      </w:r>
      <w:r>
        <w:tab/>
      </w:r>
      <w:r w:rsidR="006B09BD">
        <w:t>if the opposition has been dismissed under section 222 or the regulations (if any) made for the purposes of subsection 54(2).</w:t>
      </w:r>
    </w:p>
    <w:p w14:paraId="43F2E336" w14:textId="77777777" w:rsidR="006B09BD" w:rsidRDefault="00574398" w:rsidP="00F643F4">
      <w:pPr>
        <w:pStyle w:val="Quote1"/>
      </w:pPr>
      <w:r>
        <w:tab/>
      </w:r>
      <w:r w:rsidR="006B09BD">
        <w:t>Otherwise, the application for the registration of the trade mark lapses.</w:t>
      </w:r>
    </w:p>
    <w:p w14:paraId="58036AED" w14:textId="77777777" w:rsidR="006B09BD" w:rsidRDefault="00574398" w:rsidP="00F643F4">
      <w:pPr>
        <w:pStyle w:val="Quote1"/>
        <w:ind w:left="2160" w:hanging="720"/>
        <w:rPr>
          <w:sz w:val="20"/>
        </w:rPr>
      </w:pPr>
      <w:r w:rsidRPr="00F643F4">
        <w:rPr>
          <w:sz w:val="20"/>
        </w:rPr>
        <w:t>Note:</w:t>
      </w:r>
      <w:r w:rsidRPr="00F643F4">
        <w:rPr>
          <w:sz w:val="20"/>
        </w:rPr>
        <w:tab/>
      </w:r>
      <w:r w:rsidR="006B09BD" w:rsidRPr="00F643F4">
        <w:rPr>
          <w:sz w:val="20"/>
        </w:rPr>
        <w:t>Applications may also lapse if an application for registration is opposed and a notice to defend the application is not filed: see section 54A.</w:t>
      </w:r>
    </w:p>
    <w:p w14:paraId="1629FDE9" w14:textId="124607F9" w:rsidR="006B09BD" w:rsidRPr="00A479DD" w:rsidRDefault="00574398" w:rsidP="00F643F4">
      <w:pPr>
        <w:pStyle w:val="Quote1"/>
        <w:ind w:left="1440" w:hanging="703"/>
        <w:rPr>
          <w:szCs w:val="22"/>
        </w:rPr>
      </w:pPr>
      <w:r w:rsidRPr="00F643F4">
        <w:rPr>
          <w:szCs w:val="22"/>
        </w:rPr>
        <w:t>(2)</w:t>
      </w:r>
      <w:r w:rsidRPr="00F643F4">
        <w:rPr>
          <w:szCs w:val="22"/>
        </w:rPr>
        <w:tab/>
      </w:r>
      <w:r w:rsidR="006B09BD">
        <w:t>On registering the trade mark, the Registrar must give it a number by which it may be identified.</w:t>
      </w:r>
    </w:p>
    <w:p w14:paraId="63FE9821" w14:textId="0AA090ED" w:rsidR="00C07BF4" w:rsidRPr="00C07BF4" w:rsidRDefault="00C07BF4" w:rsidP="00A479DD">
      <w:pPr>
        <w:pStyle w:val="ParaNumbering"/>
      </w:pPr>
      <w:r w:rsidRPr="00C07BF4">
        <w:t>The trade</w:t>
      </w:r>
      <w:r w:rsidR="00574398">
        <w:t xml:space="preserve"> </w:t>
      </w:r>
      <w:r w:rsidRPr="00C07BF4">
        <w:t>mark</w:t>
      </w:r>
      <w:r w:rsidR="004959FE">
        <w:t xml:space="preserve"> applications</w:t>
      </w:r>
      <w:r w:rsidRPr="00C07BF4">
        <w:t xml:space="preserve"> the subject of the present appeal were accepted for registration. They would have </w:t>
      </w:r>
      <w:r w:rsidR="004959FE">
        <w:t>proceeded to registration</w:t>
      </w:r>
      <w:r w:rsidRPr="00C07BF4">
        <w:t xml:space="preserve"> were it not for the opposition lodged by the respondent. In circumstances where the opponent plays no role in the appeal, absent the indication that the Registrar wishes t</w:t>
      </w:r>
      <w:r>
        <w:t xml:space="preserve">o intervene to oppose the grant </w:t>
      </w:r>
      <w:r w:rsidRPr="00C07BF4">
        <w:t>of the trade</w:t>
      </w:r>
      <w:r w:rsidR="00574398">
        <w:t xml:space="preserve"> </w:t>
      </w:r>
      <w:r w:rsidRPr="00C07BF4">
        <w:t>mark, the likely outcome will be the appeal should be allowed.</w:t>
      </w:r>
    </w:p>
    <w:p w14:paraId="391F0494" w14:textId="1ABF14A2" w:rsidR="00C07BF4" w:rsidRPr="00C07BF4" w:rsidRDefault="00C07BF4" w:rsidP="00574398">
      <w:pPr>
        <w:pStyle w:val="ParaNumbering"/>
      </w:pPr>
      <w:r w:rsidRPr="00C07BF4">
        <w:t xml:space="preserve">In this regard, adopting the approach taken by Nicholas J in </w:t>
      </w:r>
      <w:proofErr w:type="spellStart"/>
      <w:r w:rsidR="00574398" w:rsidRPr="00F643F4">
        <w:rPr>
          <w:i/>
        </w:rPr>
        <w:t>Societe</w:t>
      </w:r>
      <w:proofErr w:type="spellEnd"/>
      <w:r w:rsidR="00574398" w:rsidRPr="00F643F4">
        <w:rPr>
          <w:i/>
        </w:rPr>
        <w:t xml:space="preserve"> Des </w:t>
      </w:r>
      <w:proofErr w:type="spellStart"/>
      <w:r w:rsidR="00574398" w:rsidRPr="00F643F4">
        <w:rPr>
          <w:i/>
        </w:rPr>
        <w:t>Produits</w:t>
      </w:r>
      <w:proofErr w:type="spellEnd"/>
      <w:r w:rsidR="00574398" w:rsidRPr="00F643F4">
        <w:rPr>
          <w:i/>
        </w:rPr>
        <w:t xml:space="preserve"> Nestle S.A. v Aldi Stores (A Limited Partnership) </w:t>
      </w:r>
      <w:r w:rsidR="00574398">
        <w:t>[</w:t>
      </w:r>
      <w:r w:rsidRPr="00C07BF4">
        <w:t>2010</w:t>
      </w:r>
      <w:r w:rsidR="00574398">
        <w:t>]</w:t>
      </w:r>
      <w:r w:rsidRPr="00C07BF4">
        <w:t xml:space="preserve"> FCA 218 at </w:t>
      </w:r>
      <w:r w:rsidR="00574398">
        <w:t>[</w:t>
      </w:r>
      <w:r w:rsidRPr="00C07BF4">
        <w:t>9</w:t>
      </w:r>
      <w:r w:rsidR="00574398">
        <w:t>]</w:t>
      </w:r>
      <w:r w:rsidRPr="00C07BF4">
        <w:t>, I consider that it is not self-evident that the mark the subject of the appeal should not be registered. In this regard, I have been taken carefully through the decision of the delegate by Mr David Larish, counsel appearing for the applicant. Nor is there any evidence before the court which would lead me to the conclusion that it should not be registered.</w:t>
      </w:r>
    </w:p>
    <w:p w14:paraId="75FF6C64" w14:textId="77777777" w:rsidR="00C07BF4" w:rsidRPr="00C07BF4" w:rsidRDefault="00C07BF4" w:rsidP="00C07BF4">
      <w:pPr>
        <w:pStyle w:val="ParaNumbering"/>
      </w:pPr>
      <w:r w:rsidRPr="00C07BF4">
        <w:lastRenderedPageBreak/>
        <w:t>In the result, the orders that I will make are as follows:</w:t>
      </w:r>
    </w:p>
    <w:p w14:paraId="62EE353B" w14:textId="70D31107" w:rsidR="00C07BF4" w:rsidRPr="00C07BF4" w:rsidRDefault="00F65555" w:rsidP="00F643F4">
      <w:pPr>
        <w:pStyle w:val="ListNo1"/>
      </w:pPr>
      <w:r>
        <w:t>T</w:t>
      </w:r>
      <w:r w:rsidR="00C07BF4" w:rsidRPr="00C07BF4">
        <w:t xml:space="preserve">he appeal from the decision of the delegate of the Registrar of Trade Marks given on 13 June 2019 be allowed; </w:t>
      </w:r>
    </w:p>
    <w:p w14:paraId="677D10D7" w14:textId="1907178A" w:rsidR="00C07BF4" w:rsidRPr="00C07BF4" w:rsidRDefault="00F65555" w:rsidP="00F643F4">
      <w:pPr>
        <w:pStyle w:val="ListNo1"/>
      </w:pPr>
      <w:r>
        <w:t>T</w:t>
      </w:r>
      <w:r w:rsidR="00C07BF4" w:rsidRPr="00C07BF4">
        <w:t>he decision of the delegate be set aside;</w:t>
      </w:r>
    </w:p>
    <w:p w14:paraId="43FC0456" w14:textId="16A8BB24" w:rsidR="00C07BF4" w:rsidRDefault="00F65555" w:rsidP="00F643F4">
      <w:pPr>
        <w:pStyle w:val="ListNo1"/>
      </w:pPr>
      <w:r>
        <w:t>T</w:t>
      </w:r>
      <w:r w:rsidR="00C07BF4" w:rsidRPr="00C07BF4">
        <w:t xml:space="preserve">he </w:t>
      </w:r>
      <w:r>
        <w:t>R</w:t>
      </w:r>
      <w:r w:rsidR="00C07BF4" w:rsidRPr="00C07BF4">
        <w:t xml:space="preserve">egistrar allow Australian </w:t>
      </w:r>
      <w:r>
        <w:t>T</w:t>
      </w:r>
      <w:r w:rsidR="00C07BF4" w:rsidRPr="00C07BF4">
        <w:t xml:space="preserve">rade </w:t>
      </w:r>
      <w:r>
        <w:t>M</w:t>
      </w:r>
      <w:r w:rsidR="00C07BF4" w:rsidRPr="00C07BF4">
        <w:t xml:space="preserve">ark </w:t>
      </w:r>
      <w:r>
        <w:t>A</w:t>
      </w:r>
      <w:r w:rsidR="00C07BF4" w:rsidRPr="00C07BF4">
        <w:t>pplication numbers 1813479 and 181</w:t>
      </w:r>
      <w:r w:rsidR="00432FBC">
        <w:t>3480 to proceed to registration;</w:t>
      </w:r>
    </w:p>
    <w:p w14:paraId="3C556C67" w14:textId="70F30971" w:rsidR="00F643F4" w:rsidRPr="00C07BF4" w:rsidRDefault="00F643F4" w:rsidP="00F643F4">
      <w:pPr>
        <w:pStyle w:val="ListNo1"/>
      </w:pPr>
      <w:r>
        <w:t>There be no order as to costs.</w:t>
      </w:r>
    </w:p>
    <w:p w14:paraId="363F373A" w14:textId="569646AC" w:rsidR="00484F6D" w:rsidRDefault="004959FE" w:rsidP="00C07BF4">
      <w:pPr>
        <w:pStyle w:val="ParaNumbering"/>
      </w:pPr>
      <w:r>
        <w:t xml:space="preserve">However, </w:t>
      </w:r>
      <w:r w:rsidR="00C07BF4" w:rsidRPr="00C07BF4">
        <w:t>I consider it appropriate</w:t>
      </w:r>
      <w:r w:rsidR="00870BEF">
        <w:t>,</w:t>
      </w:r>
      <w:r w:rsidR="00F65555">
        <w:t xml:space="preserve"> </w:t>
      </w:r>
      <w:r>
        <w:t>having regard to the Registrar’s letter</w:t>
      </w:r>
      <w:r w:rsidR="00870BEF">
        <w:t>,</w:t>
      </w:r>
      <w:r w:rsidR="00C07BF4" w:rsidRPr="00C07BF4">
        <w:t xml:space="preserve"> to allow </w:t>
      </w:r>
      <w:r>
        <w:t>her</w:t>
      </w:r>
      <w:r w:rsidRPr="00C07BF4">
        <w:t xml:space="preserve"> </w:t>
      </w:r>
      <w:r w:rsidR="00C07BF4" w:rsidRPr="00C07BF4">
        <w:t xml:space="preserve">a short period in which to contact the </w:t>
      </w:r>
      <w:r w:rsidR="00F65555">
        <w:t>C</w:t>
      </w:r>
      <w:r w:rsidR="00C07BF4" w:rsidRPr="00C07BF4">
        <w:t xml:space="preserve">ourt and indicate, if she thinks it fit to do so, that she wish to make submissions as to the form of the orders. Accordingly, </w:t>
      </w:r>
      <w:r w:rsidR="00F643F4">
        <w:t>I will also grant leave to the Registrar to apply to vary or set aside these orders</w:t>
      </w:r>
      <w:r w:rsidR="00870BEF">
        <w:t xml:space="preserve"> within 14 days</w:t>
      </w:r>
      <w:r w:rsidR="00F643F4">
        <w:t xml:space="preserve">. </w:t>
      </w:r>
    </w:p>
    <w:p w14:paraId="323679B2" w14:textId="77777777" w:rsidR="00357B0D" w:rsidRDefault="00357B0D" w:rsidP="00F643F4">
      <w:pPr>
        <w:pStyle w:val="ParaNumbering"/>
        <w:numPr>
          <w:ilvl w:val="0"/>
          <w:numId w:val="0"/>
        </w:numPr>
      </w:pPr>
    </w:p>
    <w:tbl>
      <w:tblPr>
        <w:tblW w:w="0" w:type="auto"/>
        <w:tblLook w:val="04A0" w:firstRow="1" w:lastRow="0" w:firstColumn="1" w:lastColumn="0" w:noHBand="0" w:noVBand="1"/>
      </w:tblPr>
      <w:tblGrid>
        <w:gridCol w:w="3794"/>
      </w:tblGrid>
      <w:tr w:rsidR="00357B0D" w:rsidRPr="00AB0E86" w14:paraId="428249A3" w14:textId="77777777" w:rsidTr="00FB07FF">
        <w:tc>
          <w:tcPr>
            <w:tcW w:w="3794" w:type="dxa"/>
            <w:shd w:val="clear" w:color="auto" w:fill="auto"/>
          </w:tcPr>
          <w:p w14:paraId="6EE78265" w14:textId="77777777" w:rsidR="00357B0D" w:rsidRPr="00AB0E86" w:rsidRDefault="00357B0D" w:rsidP="00FB07FF">
            <w:pPr>
              <w:pStyle w:val="Normal1linespace"/>
            </w:pPr>
            <w:r w:rsidRPr="00AB0E86">
              <w:t xml:space="preserve">I certify that the preceding </w:t>
            </w:r>
            <w:r w:rsidRPr="00527731">
              <w:t>eight (8)</w:t>
            </w:r>
            <w:r w:rsidRPr="00AB0E86">
              <w:t xml:space="preserve"> numbered </w:t>
            </w:r>
            <w:bookmarkStart w:id="18" w:name="CertPara"/>
            <w:r>
              <w:t>paragraphs are</w:t>
            </w:r>
            <w:bookmarkEnd w:id="18"/>
            <w:r w:rsidRPr="00AB0E86">
              <w:t xml:space="preserve"> a true copy of the Reasons for Judgment herein of the Honourable </w:t>
            </w:r>
            <w:bookmarkStart w:id="19" w:name="Justice"/>
            <w:r>
              <w:t>Justice Burley</w:t>
            </w:r>
            <w:bookmarkEnd w:id="19"/>
            <w:r w:rsidRPr="00AB0E86">
              <w:t>.</w:t>
            </w:r>
          </w:p>
        </w:tc>
      </w:tr>
    </w:tbl>
    <w:p w14:paraId="1B4FD041" w14:textId="77777777" w:rsidR="00357B0D" w:rsidRDefault="00357B0D" w:rsidP="00357B0D">
      <w:pPr>
        <w:pStyle w:val="BodyText"/>
      </w:pPr>
    </w:p>
    <w:p w14:paraId="5FF4FF84" w14:textId="40191364" w:rsidR="00357B0D" w:rsidRDefault="00357B0D" w:rsidP="00357B0D">
      <w:pPr>
        <w:pStyle w:val="BodyText"/>
      </w:pPr>
    </w:p>
    <w:p w14:paraId="54FB43BE" w14:textId="77777777" w:rsidR="00357B0D" w:rsidRDefault="00357B0D" w:rsidP="00357B0D">
      <w:pPr>
        <w:pStyle w:val="BodyText"/>
      </w:pPr>
      <w:r>
        <w:t xml:space="preserve">Associate: </w:t>
      </w:r>
      <w:bookmarkStart w:id="20" w:name="_GoBack"/>
      <w:bookmarkEnd w:id="20"/>
    </w:p>
    <w:p w14:paraId="4662B33A" w14:textId="77777777" w:rsidR="00357B0D" w:rsidRDefault="00357B0D" w:rsidP="00357B0D">
      <w:pPr>
        <w:pStyle w:val="BodyText"/>
      </w:pPr>
    </w:p>
    <w:p w14:paraId="5382A4CA" w14:textId="1F152B91" w:rsidR="00357B0D" w:rsidRDefault="00870BEF" w:rsidP="00357B0D">
      <w:pPr>
        <w:pStyle w:val="BodyText"/>
        <w:tabs>
          <w:tab w:val="left" w:pos="1134"/>
        </w:tabs>
      </w:pPr>
      <w:r>
        <w:t>Dated:</w:t>
      </w:r>
      <w:r>
        <w:tab/>
        <w:t>14 August</w:t>
      </w:r>
      <w:r w:rsidR="00357B0D">
        <w:t xml:space="preserve"> 2019</w:t>
      </w:r>
    </w:p>
    <w:p w14:paraId="55F8C8BA" w14:textId="77777777" w:rsidR="00357B0D" w:rsidRDefault="00357B0D" w:rsidP="00F643F4">
      <w:pPr>
        <w:pStyle w:val="ParaNumbering"/>
        <w:numPr>
          <w:ilvl w:val="0"/>
          <w:numId w:val="0"/>
        </w:numPr>
      </w:pPr>
    </w:p>
    <w:sectPr w:rsidR="00357B0D">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39D8" w14:textId="77777777" w:rsidR="00351DBF" w:rsidRDefault="00351DBF">
      <w:pPr>
        <w:spacing w:line="20" w:lineRule="exact"/>
      </w:pPr>
    </w:p>
    <w:p w14:paraId="23FCF09B" w14:textId="77777777" w:rsidR="00351DBF" w:rsidRDefault="00351DBF"/>
    <w:p w14:paraId="39A73BAE" w14:textId="77777777" w:rsidR="00351DBF" w:rsidRDefault="00351DBF"/>
  </w:endnote>
  <w:endnote w:type="continuationSeparator" w:id="0">
    <w:p w14:paraId="00BE5F12" w14:textId="77777777" w:rsidR="00351DBF" w:rsidRDefault="00351DBF">
      <w:r>
        <w:t xml:space="preserve"> </w:t>
      </w:r>
    </w:p>
    <w:p w14:paraId="2251D96F" w14:textId="77777777" w:rsidR="00351DBF" w:rsidRDefault="00351DBF"/>
    <w:p w14:paraId="390F2B07" w14:textId="77777777" w:rsidR="00351DBF" w:rsidRDefault="00351DBF"/>
  </w:endnote>
  <w:endnote w:type="continuationNotice" w:id="1">
    <w:p w14:paraId="11D5FAB1" w14:textId="77777777" w:rsidR="00351DBF" w:rsidRDefault="00351DBF">
      <w:r>
        <w:t xml:space="preserve"> </w:t>
      </w:r>
    </w:p>
    <w:p w14:paraId="58FF185D" w14:textId="77777777" w:rsidR="00351DBF" w:rsidRDefault="00351DBF"/>
    <w:p w14:paraId="4D568D3D" w14:textId="77777777" w:rsidR="00351DBF" w:rsidRDefault="00351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1484" w14:textId="6CFF672A"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24EF" w14:textId="0B5F7906"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4958" w14:textId="225AB568"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DD3D" w14:textId="77777777" w:rsidR="00351DBF" w:rsidRDefault="00351DBF"/>
    <w:p w14:paraId="0E48546A" w14:textId="77777777" w:rsidR="00351DBF" w:rsidRDefault="00351DBF"/>
    <w:p w14:paraId="07DB2587" w14:textId="77777777" w:rsidR="00351DBF" w:rsidRDefault="00351DBF"/>
  </w:footnote>
  <w:footnote w:type="continuationSeparator" w:id="0">
    <w:p w14:paraId="686AB2E5" w14:textId="77777777" w:rsidR="00351DBF" w:rsidRDefault="00351DBF">
      <w:r>
        <w:continuationSeparator/>
      </w:r>
    </w:p>
    <w:p w14:paraId="605DDCD2" w14:textId="77777777" w:rsidR="00351DBF" w:rsidRDefault="00351DBF"/>
    <w:p w14:paraId="0BED5822" w14:textId="77777777" w:rsidR="00351DBF" w:rsidRDefault="00351D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2509"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ADC7"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E3F3"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C746" w14:textId="3FE557AA" w:rsidR="00395B24" w:rsidRDefault="002C7385">
    <w:pPr>
      <w:tabs>
        <w:tab w:val="center" w:pos="4512"/>
      </w:tabs>
      <w:suppressAutoHyphens/>
    </w:pPr>
    <w:r>
      <w:tab/>
      <w:t xml:space="preserve">- </w:t>
    </w:r>
    <w:r>
      <w:fldChar w:fldCharType="begin"/>
    </w:r>
    <w:r>
      <w:instrText>page \* arabic</w:instrText>
    </w:r>
    <w:r>
      <w:fldChar w:fldCharType="separate"/>
    </w:r>
    <w:r w:rsidR="00C12CA0">
      <w:rPr>
        <w:noProof/>
      </w:rPr>
      <w:t>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FB80"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4344A7F"/>
    <w:multiLevelType w:val="hybridMultilevel"/>
    <w:tmpl w:val="A8704C78"/>
    <w:lvl w:ilvl="0" w:tplc="083E8158">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794FC4"/>
    <w:multiLevelType w:val="hybridMultilevel"/>
    <w:tmpl w:val="D3F04BB8"/>
    <w:lvl w:ilvl="0" w:tplc="5944221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30"/>
  </w:num>
  <w:num w:numId="17">
    <w:abstractNumId w:val="21"/>
  </w:num>
  <w:num w:numId="18">
    <w:abstractNumId w:val="21"/>
  </w:num>
  <w:num w:numId="19">
    <w:abstractNumId w:val="27"/>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 w:numId="5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Hungry Spirit Pty LTD ATF The Hungry Spirit Trust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064 of 2019"/>
    <w:docVar w:name="Initiators" w:val="(and another named in the Schedule)"/>
    <w:docVar w:name="Judge" w:val="Burley "/>
    <w:docVar w:name="NSD" w:val="NSD "/>
    <w:docVar w:name="NumApps"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Fit n Fast Australia Pty Ltd"/>
    <w:docVar w:name="ResState" w:val="New South Wales"/>
    <w:docVar w:name="SubArea" w:val="Trade Marks (IP)"/>
  </w:docVars>
  <w:rsids>
    <w:rsidRoot w:val="00520C47"/>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0A51"/>
    <w:rsid w:val="001C37CA"/>
    <w:rsid w:val="001D4303"/>
    <w:rsid w:val="001D6564"/>
    <w:rsid w:val="001D6746"/>
    <w:rsid w:val="001E3B49"/>
    <w:rsid w:val="001E7388"/>
    <w:rsid w:val="001F13DD"/>
    <w:rsid w:val="001F2DBC"/>
    <w:rsid w:val="001F73E8"/>
    <w:rsid w:val="0020262C"/>
    <w:rsid w:val="00224537"/>
    <w:rsid w:val="00235956"/>
    <w:rsid w:val="00247C9A"/>
    <w:rsid w:val="0025160C"/>
    <w:rsid w:val="00252D62"/>
    <w:rsid w:val="002535D0"/>
    <w:rsid w:val="002539B3"/>
    <w:rsid w:val="00257C3E"/>
    <w:rsid w:val="002602C2"/>
    <w:rsid w:val="002666C9"/>
    <w:rsid w:val="00270136"/>
    <w:rsid w:val="00274F5B"/>
    <w:rsid w:val="00280836"/>
    <w:rsid w:val="00282E1A"/>
    <w:rsid w:val="0029113B"/>
    <w:rsid w:val="002934C0"/>
    <w:rsid w:val="002A097F"/>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1DBF"/>
    <w:rsid w:val="003554B3"/>
    <w:rsid w:val="00356632"/>
    <w:rsid w:val="00357B0D"/>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2FBC"/>
    <w:rsid w:val="00435C5F"/>
    <w:rsid w:val="00441E98"/>
    <w:rsid w:val="004532F7"/>
    <w:rsid w:val="00464407"/>
    <w:rsid w:val="00472027"/>
    <w:rsid w:val="004804CF"/>
    <w:rsid w:val="00484962"/>
    <w:rsid w:val="00484F6D"/>
    <w:rsid w:val="0049338A"/>
    <w:rsid w:val="0049417F"/>
    <w:rsid w:val="004959FE"/>
    <w:rsid w:val="004B3EFA"/>
    <w:rsid w:val="004C2A87"/>
    <w:rsid w:val="004C4D7B"/>
    <w:rsid w:val="004C4ED3"/>
    <w:rsid w:val="004D2EA5"/>
    <w:rsid w:val="004D32A6"/>
    <w:rsid w:val="004D53E5"/>
    <w:rsid w:val="00501A12"/>
    <w:rsid w:val="0051346D"/>
    <w:rsid w:val="00513EAE"/>
    <w:rsid w:val="00516806"/>
    <w:rsid w:val="00520C47"/>
    <w:rsid w:val="00525A49"/>
    <w:rsid w:val="00535613"/>
    <w:rsid w:val="005359EB"/>
    <w:rsid w:val="0054254A"/>
    <w:rsid w:val="00545B4D"/>
    <w:rsid w:val="005466B5"/>
    <w:rsid w:val="00554314"/>
    <w:rsid w:val="005629B3"/>
    <w:rsid w:val="00573AC4"/>
    <w:rsid w:val="00574398"/>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09BD"/>
    <w:rsid w:val="006B3904"/>
    <w:rsid w:val="006B5B7D"/>
    <w:rsid w:val="006D0ECF"/>
    <w:rsid w:val="006D4C92"/>
    <w:rsid w:val="006D4EB6"/>
    <w:rsid w:val="006E35BF"/>
    <w:rsid w:val="006E7850"/>
    <w:rsid w:val="007028D9"/>
    <w:rsid w:val="00707218"/>
    <w:rsid w:val="00712B1D"/>
    <w:rsid w:val="007325D9"/>
    <w:rsid w:val="0073476E"/>
    <w:rsid w:val="007360CA"/>
    <w:rsid w:val="00760EC0"/>
    <w:rsid w:val="00762513"/>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04460"/>
    <w:rsid w:val="00805368"/>
    <w:rsid w:val="00813CF1"/>
    <w:rsid w:val="008276B4"/>
    <w:rsid w:val="00831927"/>
    <w:rsid w:val="00841BD3"/>
    <w:rsid w:val="0084273D"/>
    <w:rsid w:val="00844E3F"/>
    <w:rsid w:val="00845A83"/>
    <w:rsid w:val="00870BEF"/>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95970"/>
    <w:rsid w:val="009A3A9C"/>
    <w:rsid w:val="009A7A14"/>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479DD"/>
    <w:rsid w:val="00A51CFE"/>
    <w:rsid w:val="00A76C13"/>
    <w:rsid w:val="00A92E79"/>
    <w:rsid w:val="00A950B6"/>
    <w:rsid w:val="00AB41C1"/>
    <w:rsid w:val="00AD12A8"/>
    <w:rsid w:val="00AE023F"/>
    <w:rsid w:val="00AF3577"/>
    <w:rsid w:val="00AF35F9"/>
    <w:rsid w:val="00B05C7D"/>
    <w:rsid w:val="00B151B5"/>
    <w:rsid w:val="00B346C3"/>
    <w:rsid w:val="00B4471C"/>
    <w:rsid w:val="00B451A6"/>
    <w:rsid w:val="00B722DE"/>
    <w:rsid w:val="00B76C44"/>
    <w:rsid w:val="00B83F87"/>
    <w:rsid w:val="00BA2EFA"/>
    <w:rsid w:val="00BA3DBC"/>
    <w:rsid w:val="00BB2DA2"/>
    <w:rsid w:val="00BB56DC"/>
    <w:rsid w:val="00BE183D"/>
    <w:rsid w:val="00BF5D7A"/>
    <w:rsid w:val="00C02D33"/>
    <w:rsid w:val="00C07BF4"/>
    <w:rsid w:val="00C1232C"/>
    <w:rsid w:val="00C12CA0"/>
    <w:rsid w:val="00C36442"/>
    <w:rsid w:val="00C400CE"/>
    <w:rsid w:val="00C410FD"/>
    <w:rsid w:val="00C539FB"/>
    <w:rsid w:val="00CA246D"/>
    <w:rsid w:val="00CA50D9"/>
    <w:rsid w:val="00CB5636"/>
    <w:rsid w:val="00CC20A0"/>
    <w:rsid w:val="00D10F21"/>
    <w:rsid w:val="00D222CB"/>
    <w:rsid w:val="00D24806"/>
    <w:rsid w:val="00D34040"/>
    <w:rsid w:val="00D34E69"/>
    <w:rsid w:val="00D375EE"/>
    <w:rsid w:val="00D46F31"/>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012D"/>
    <w:rsid w:val="00EF3113"/>
    <w:rsid w:val="00EF3F84"/>
    <w:rsid w:val="00F176AC"/>
    <w:rsid w:val="00F27714"/>
    <w:rsid w:val="00F3276E"/>
    <w:rsid w:val="00F33D3C"/>
    <w:rsid w:val="00F37A91"/>
    <w:rsid w:val="00F45CF5"/>
    <w:rsid w:val="00F47DB0"/>
    <w:rsid w:val="00F50E34"/>
    <w:rsid w:val="00F53EF7"/>
    <w:rsid w:val="00F54BF2"/>
    <w:rsid w:val="00F643F4"/>
    <w:rsid w:val="00F65555"/>
    <w:rsid w:val="00F92355"/>
    <w:rsid w:val="00F93963"/>
    <w:rsid w:val="00F94291"/>
    <w:rsid w:val="00FB4984"/>
    <w:rsid w:val="00FB7982"/>
    <w:rsid w:val="00FC0734"/>
    <w:rsid w:val="00FC0FC5"/>
    <w:rsid w:val="00FC588F"/>
    <w:rsid w:val="00FD36E5"/>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BD3731"/>
  <w15:docId w15:val="{00BC0565-C3CA-415D-8A63-5CF7DA38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6B09BD"/>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6B09BD"/>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6B09BD"/>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6B09BD"/>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6B09BD"/>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9443">
      <w:bodyDiv w:val="1"/>
      <w:marLeft w:val="0"/>
      <w:marRight w:val="0"/>
      <w:marTop w:val="0"/>
      <w:marBottom w:val="0"/>
      <w:divBdr>
        <w:top w:val="none" w:sz="0" w:space="0" w:color="auto"/>
        <w:left w:val="none" w:sz="0" w:space="0" w:color="auto"/>
        <w:bottom w:val="none" w:sz="0" w:space="0" w:color="auto"/>
        <w:right w:val="none" w:sz="0" w:space="0" w:color="auto"/>
      </w:divBdr>
      <w:divsChild>
        <w:div w:id="986519173">
          <w:marLeft w:val="0"/>
          <w:marRight w:val="0"/>
          <w:marTop w:val="0"/>
          <w:marBottom w:val="0"/>
          <w:divBdr>
            <w:top w:val="none" w:sz="0" w:space="0" w:color="auto"/>
            <w:left w:val="none" w:sz="0" w:space="0" w:color="auto"/>
            <w:bottom w:val="none" w:sz="0" w:space="0" w:color="auto"/>
            <w:right w:val="none" w:sz="0" w:space="0" w:color="auto"/>
          </w:divBdr>
          <w:divsChild>
            <w:div w:id="2073698618">
              <w:marLeft w:val="0"/>
              <w:marRight w:val="0"/>
              <w:marTop w:val="0"/>
              <w:marBottom w:val="0"/>
              <w:divBdr>
                <w:top w:val="none" w:sz="0" w:space="0" w:color="auto"/>
                <w:left w:val="none" w:sz="0" w:space="0" w:color="auto"/>
                <w:bottom w:val="none" w:sz="0" w:space="0" w:color="auto"/>
                <w:right w:val="none" w:sz="0" w:space="0" w:color="auto"/>
              </w:divBdr>
              <w:divsChild>
                <w:div w:id="764686559">
                  <w:marLeft w:val="0"/>
                  <w:marRight w:val="0"/>
                  <w:marTop w:val="0"/>
                  <w:marBottom w:val="0"/>
                  <w:divBdr>
                    <w:top w:val="none" w:sz="0" w:space="0" w:color="auto"/>
                    <w:left w:val="none" w:sz="0" w:space="0" w:color="auto"/>
                    <w:bottom w:val="none" w:sz="0" w:space="0" w:color="auto"/>
                    <w:right w:val="none" w:sz="0" w:space="0" w:color="auto"/>
                  </w:divBdr>
                  <w:divsChild>
                    <w:div w:id="120727319">
                      <w:marLeft w:val="0"/>
                      <w:marRight w:val="0"/>
                      <w:marTop w:val="0"/>
                      <w:marBottom w:val="0"/>
                      <w:divBdr>
                        <w:top w:val="none" w:sz="0" w:space="0" w:color="auto"/>
                        <w:left w:val="none" w:sz="0" w:space="0" w:color="auto"/>
                        <w:bottom w:val="none" w:sz="0" w:space="0" w:color="auto"/>
                        <w:right w:val="none" w:sz="0" w:space="0" w:color="auto"/>
                      </w:divBdr>
                      <w:divsChild>
                        <w:div w:id="2002851395">
                          <w:marLeft w:val="0"/>
                          <w:marRight w:val="0"/>
                          <w:marTop w:val="0"/>
                          <w:marBottom w:val="0"/>
                          <w:divBdr>
                            <w:top w:val="none" w:sz="0" w:space="0" w:color="auto"/>
                            <w:left w:val="none" w:sz="0" w:space="0" w:color="auto"/>
                            <w:bottom w:val="none" w:sz="0" w:space="0" w:color="auto"/>
                            <w:right w:val="none" w:sz="0" w:space="0" w:color="auto"/>
                          </w:divBdr>
                          <w:divsChild>
                            <w:div w:id="1809855908">
                              <w:marLeft w:val="0"/>
                              <w:marRight w:val="0"/>
                              <w:marTop w:val="0"/>
                              <w:marBottom w:val="0"/>
                              <w:divBdr>
                                <w:top w:val="none" w:sz="0" w:space="0" w:color="auto"/>
                                <w:left w:val="none" w:sz="0" w:space="0" w:color="auto"/>
                                <w:bottom w:val="none" w:sz="0" w:space="0" w:color="auto"/>
                                <w:right w:val="none" w:sz="0" w:space="0" w:color="auto"/>
                              </w:divBdr>
                              <w:divsChild>
                                <w:div w:id="1670139008">
                                  <w:marLeft w:val="0"/>
                                  <w:marRight w:val="0"/>
                                  <w:marTop w:val="0"/>
                                  <w:marBottom w:val="0"/>
                                  <w:divBdr>
                                    <w:top w:val="none" w:sz="0" w:space="0" w:color="auto"/>
                                    <w:left w:val="none" w:sz="0" w:space="0" w:color="auto"/>
                                    <w:bottom w:val="none" w:sz="0" w:space="0" w:color="auto"/>
                                    <w:right w:val="none" w:sz="0" w:space="0" w:color="auto"/>
                                  </w:divBdr>
                                  <w:divsChild>
                                    <w:div w:id="118302769">
                                      <w:marLeft w:val="0"/>
                                      <w:marRight w:val="0"/>
                                      <w:marTop w:val="0"/>
                                      <w:marBottom w:val="0"/>
                                      <w:divBdr>
                                        <w:top w:val="none" w:sz="0" w:space="0" w:color="auto"/>
                                        <w:left w:val="none" w:sz="0" w:space="0" w:color="auto"/>
                                        <w:bottom w:val="none" w:sz="0" w:space="0" w:color="auto"/>
                                        <w:right w:val="none" w:sz="0" w:space="0" w:color="auto"/>
                                      </w:divBdr>
                                      <w:divsChild>
                                        <w:div w:id="1237861845">
                                          <w:marLeft w:val="0"/>
                                          <w:marRight w:val="0"/>
                                          <w:marTop w:val="0"/>
                                          <w:marBottom w:val="0"/>
                                          <w:divBdr>
                                            <w:top w:val="none" w:sz="0" w:space="0" w:color="auto"/>
                                            <w:left w:val="none" w:sz="0" w:space="0" w:color="auto"/>
                                            <w:bottom w:val="none" w:sz="0" w:space="0" w:color="auto"/>
                                            <w:right w:val="none" w:sz="0" w:space="0" w:color="auto"/>
                                          </w:divBdr>
                                          <w:divsChild>
                                            <w:div w:id="502013839">
                                              <w:marLeft w:val="0"/>
                                              <w:marRight w:val="0"/>
                                              <w:marTop w:val="0"/>
                                              <w:marBottom w:val="0"/>
                                              <w:divBdr>
                                                <w:top w:val="none" w:sz="0" w:space="0" w:color="auto"/>
                                                <w:left w:val="none" w:sz="0" w:space="0" w:color="auto"/>
                                                <w:bottom w:val="none" w:sz="0" w:space="0" w:color="auto"/>
                                                <w:right w:val="none" w:sz="0" w:space="0" w:color="auto"/>
                                              </w:divBdr>
                                              <w:divsChild>
                                                <w:div w:id="1218931690">
                                                  <w:marLeft w:val="0"/>
                                                  <w:marRight w:val="0"/>
                                                  <w:marTop w:val="0"/>
                                                  <w:marBottom w:val="0"/>
                                                  <w:divBdr>
                                                    <w:top w:val="none" w:sz="0" w:space="0" w:color="auto"/>
                                                    <w:left w:val="none" w:sz="0" w:space="0" w:color="auto"/>
                                                    <w:bottom w:val="none" w:sz="0" w:space="0" w:color="auto"/>
                                                    <w:right w:val="none" w:sz="0" w:space="0" w:color="auto"/>
                                                  </w:divBdr>
                                                  <w:divsChild>
                                                    <w:div w:id="2027828026">
                                                      <w:marLeft w:val="0"/>
                                                      <w:marRight w:val="0"/>
                                                      <w:marTop w:val="0"/>
                                                      <w:marBottom w:val="0"/>
                                                      <w:divBdr>
                                                        <w:top w:val="none" w:sz="0" w:space="0" w:color="auto"/>
                                                        <w:left w:val="none" w:sz="0" w:space="0" w:color="auto"/>
                                                        <w:bottom w:val="none" w:sz="0" w:space="0" w:color="auto"/>
                                                        <w:right w:val="none" w:sz="0" w:space="0" w:color="auto"/>
                                                      </w:divBdr>
                                                      <w:divsChild>
                                                        <w:div w:id="3587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6</Pages>
  <Words>1415</Words>
  <Characters>7153</Characters>
  <Application>Microsoft Office Word</Application>
  <DocSecurity>0</DocSecurity>
  <Lines>223</Lines>
  <Paragraphs>105</Paragraphs>
  <ScaleCrop>false</ScaleCrop>
  <HeadingPairs>
    <vt:vector size="2" baseType="variant">
      <vt:variant>
        <vt:lpstr>Title</vt:lpstr>
      </vt:variant>
      <vt:variant>
        <vt:i4>1</vt:i4>
      </vt:variant>
    </vt:vector>
  </HeadingPairs>
  <TitlesOfParts>
    <vt:vector size="1" baseType="lpstr">
      <vt:lpstr>Hungry Spirit Pty Ltd ATF The Hungry Spirit Trust v Fit n Fast Australia Pty Ltd [2019] FCA 1277</vt:lpstr>
    </vt:vector>
  </TitlesOfParts>
  <Company>Federal Court of Australia</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Hungry Spirit Pty Ltd ATF The Hungry Spirit Trust v Fit n Fast Australia Pty Ltd [2019] FCA 1277</dc:title>
  <dc:creator>Joseph Petry</dc:creator>
  <cp:lastModifiedBy>Sona Muradyan</cp:lastModifiedBy>
  <cp:revision>4</cp:revision>
  <cp:lastPrinted>2019-08-13T00:50:00Z</cp:lastPrinted>
  <dcterms:created xsi:type="dcterms:W3CDTF">2019-08-14T03:05:00Z</dcterms:created>
  <dcterms:modified xsi:type="dcterms:W3CDTF">2019-08-14T03:06:00Z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BURLEY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Trade Marks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