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33C91">
      <w:pPr>
        <w:pStyle w:val="MediaNeutralStyle"/>
      </w:pPr>
      <w:bookmarkStart w:id="0" w:name="MNC"/>
      <w:r>
        <w:t>Hua Wang Bank Berhad v Commissioner of Taxation (No</w:t>
      </w:r>
      <w:r w:rsidR="0071730A">
        <w:t xml:space="preserve"> 19</w:t>
      </w:r>
      <w:r>
        <w:t xml:space="preserve">) [2015] </w:t>
      </w:r>
      <w:proofErr w:type="spellStart"/>
      <w:r>
        <w:t>FCA</w:t>
      </w:r>
      <w:proofErr w:type="spellEnd"/>
      <w:r>
        <w:t xml:space="preserve"> </w:t>
      </w:r>
      <w:r w:rsidR="0071730A">
        <w:t>454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A643F0">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133C91" w:rsidP="0071730A">
            <w:pPr>
              <w:pStyle w:val="Normal1linespace"/>
              <w:widowControl w:val="0"/>
              <w:jc w:val="left"/>
            </w:pPr>
            <w:r>
              <w:t>Hua Wang Bank Berhad</w:t>
            </w:r>
            <w:r w:rsidR="0071730A">
              <w:t xml:space="preserve"> v Commissioner of Taxation (No 19</w:t>
            </w:r>
            <w:r>
              <w:t xml:space="preserve">) [2015] </w:t>
            </w:r>
            <w:proofErr w:type="spellStart"/>
            <w:r>
              <w:t>FCA</w:t>
            </w:r>
            <w:proofErr w:type="spellEnd"/>
            <w:r>
              <w:t xml:space="preserve"> </w:t>
            </w:r>
            <w:r w:rsidR="0071730A">
              <w:t>454</w:t>
            </w:r>
          </w:p>
        </w:tc>
      </w:tr>
      <w:tr w:rsidR="00395B24" w:rsidTr="00A643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643F0">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DC4F3E">
            <w:pPr>
              <w:pStyle w:val="Normal1linespace"/>
              <w:widowControl w:val="0"/>
              <w:jc w:val="left"/>
              <w:rPr>
                <w:b/>
              </w:rPr>
            </w:pPr>
            <w:bookmarkStart w:id="1" w:name="JudgmentFP"/>
            <w:r>
              <w:rPr>
                <w:b/>
              </w:rPr>
              <w:t xml:space="preserve">HUA WANG BANK </w:t>
            </w:r>
            <w:proofErr w:type="spellStart"/>
            <w:r>
              <w:rPr>
                <w:b/>
              </w:rPr>
              <w:t>BERHAD</w:t>
            </w:r>
            <w:proofErr w:type="spellEnd"/>
            <w:r w:rsidR="00133C91">
              <w:rPr>
                <w:b/>
              </w:rPr>
              <w:t xml:space="preserve"> v COMMISSIONER OF TAXATION</w:t>
            </w:r>
            <w:bookmarkEnd w:id="1"/>
          </w:p>
          <w:p w:rsidR="00133C91" w:rsidRDefault="00133C91">
            <w:pPr>
              <w:pStyle w:val="Normal1linespace"/>
              <w:widowControl w:val="0"/>
              <w:jc w:val="left"/>
              <w:rPr>
                <w:b/>
              </w:rPr>
            </w:pPr>
          </w:p>
          <w:p w:rsidR="00133C91" w:rsidRDefault="00133C91">
            <w:pPr>
              <w:pStyle w:val="Normal1linespace"/>
              <w:widowControl w:val="0"/>
              <w:jc w:val="left"/>
              <w:rPr>
                <w:b/>
              </w:rPr>
            </w:pPr>
            <w:r>
              <w:rPr>
                <w:b/>
              </w:rPr>
              <w:t>BYWATER INVESTMENTS LIMITED v COMMISSIONER OF TAXATION</w:t>
            </w:r>
          </w:p>
          <w:p w:rsidR="00133C91" w:rsidRDefault="00133C91">
            <w:pPr>
              <w:pStyle w:val="Normal1linespace"/>
              <w:widowControl w:val="0"/>
              <w:jc w:val="left"/>
              <w:rPr>
                <w:b/>
              </w:rPr>
            </w:pPr>
          </w:p>
          <w:p w:rsidR="00133C91" w:rsidRDefault="00133C91" w:rsidP="00133C91">
            <w:pPr>
              <w:pStyle w:val="Normal1linespace"/>
              <w:widowControl w:val="0"/>
              <w:jc w:val="left"/>
              <w:rPr>
                <w:b/>
              </w:rPr>
            </w:pPr>
            <w:r>
              <w:rPr>
                <w:b/>
              </w:rPr>
              <w:t>CHEMICAL TRUSTEE LIMITED v COMMISSIONER OF TAXATION</w:t>
            </w:r>
          </w:p>
          <w:p w:rsidR="00133C91" w:rsidRDefault="00133C91" w:rsidP="00133C91">
            <w:pPr>
              <w:pStyle w:val="Normal1linespace"/>
              <w:widowControl w:val="0"/>
              <w:jc w:val="left"/>
              <w:rPr>
                <w:b/>
              </w:rPr>
            </w:pPr>
          </w:p>
          <w:p w:rsidR="00133C91" w:rsidRDefault="00133C91" w:rsidP="00133C91">
            <w:pPr>
              <w:pStyle w:val="Normal1linespace"/>
              <w:widowControl w:val="0"/>
              <w:jc w:val="left"/>
              <w:rPr>
                <w:b/>
              </w:rPr>
            </w:pPr>
            <w:r>
              <w:rPr>
                <w:b/>
              </w:rPr>
              <w:t>SOUTHGATE INVESTMENT FUNDS LIMITED v COMMISSIONER OF TAXATION</w:t>
            </w:r>
          </w:p>
          <w:p w:rsidR="00133C91" w:rsidRDefault="00133C91" w:rsidP="00133C91">
            <w:pPr>
              <w:pStyle w:val="Normal1linespace"/>
              <w:widowControl w:val="0"/>
              <w:jc w:val="left"/>
              <w:rPr>
                <w:b/>
              </w:rPr>
            </w:pPr>
          </w:p>
          <w:p w:rsidR="00133C91" w:rsidRDefault="00133C91" w:rsidP="00133C91">
            <w:pPr>
              <w:pStyle w:val="Normal1linespace"/>
              <w:widowControl w:val="0"/>
              <w:jc w:val="left"/>
              <w:rPr>
                <w:b/>
              </w:rPr>
            </w:pPr>
            <w:r>
              <w:rPr>
                <w:b/>
              </w:rPr>
              <w:t>DERRIN BROTHERS PROPERTIES LIMITED v COMMISSIONER OF TAXATION</w:t>
            </w:r>
          </w:p>
          <w:p w:rsidR="00133C91" w:rsidRDefault="00133C91" w:rsidP="00133C91">
            <w:pPr>
              <w:pStyle w:val="Normal1linespace"/>
              <w:widowControl w:val="0"/>
              <w:jc w:val="left"/>
              <w:rPr>
                <w:b/>
              </w:rPr>
            </w:pPr>
          </w:p>
          <w:p w:rsidR="00133C91" w:rsidRDefault="00133C91" w:rsidP="00133C91">
            <w:pPr>
              <w:pStyle w:val="Normal1linespace"/>
              <w:widowControl w:val="0"/>
              <w:jc w:val="left"/>
              <w:rPr>
                <w:b/>
              </w:rPr>
            </w:pPr>
            <w:r>
              <w:rPr>
                <w:b/>
              </w:rPr>
              <w:t xml:space="preserve">DEPUTY COMMISSIONER OF TAXATION v HUA WANG BANK BERHAD </w:t>
            </w:r>
          </w:p>
          <w:p w:rsidR="00133C91" w:rsidRDefault="00133C91" w:rsidP="00133C91">
            <w:pPr>
              <w:pStyle w:val="Normal1linespace"/>
              <w:widowControl w:val="0"/>
              <w:jc w:val="left"/>
              <w:rPr>
                <w:b/>
              </w:rPr>
            </w:pPr>
          </w:p>
          <w:p w:rsidR="00133C91" w:rsidRDefault="00133C91">
            <w:pPr>
              <w:pStyle w:val="Normal1linespace"/>
              <w:widowControl w:val="0"/>
              <w:jc w:val="left"/>
              <w:rPr>
                <w:b/>
              </w:rPr>
            </w:pPr>
            <w:r>
              <w:rPr>
                <w:b/>
              </w:rPr>
              <w:t>DEPUTY COMMISSIONER OF TAXATION v CHEMICAL TRUSTEE LIMITED, DERRIN BROTHERS PROPERTIES LIMITED and BYWATER INVESTMENTS LIMITED</w:t>
            </w:r>
          </w:p>
        </w:tc>
      </w:tr>
      <w:tr w:rsidR="00395B24" w:rsidTr="00A643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643F0">
        <w:tc>
          <w:tcPr>
            <w:tcW w:w="3085" w:type="dxa"/>
            <w:shd w:val="clear" w:color="auto" w:fill="auto"/>
          </w:tcPr>
          <w:p w:rsidR="00395B24" w:rsidRDefault="002C7385" w:rsidP="00DC4F3E">
            <w:pPr>
              <w:pStyle w:val="Normal1linespace"/>
              <w:widowControl w:val="0"/>
            </w:pPr>
            <w:r>
              <w:t>File</w:t>
            </w:r>
            <w:r w:rsidR="00DC4F3E">
              <w:t xml:space="preserve"> number</w:t>
            </w:r>
            <w:r>
              <w:t>s:</w:t>
            </w:r>
          </w:p>
        </w:tc>
        <w:tc>
          <w:tcPr>
            <w:tcW w:w="5989" w:type="dxa"/>
            <w:shd w:val="clear" w:color="auto" w:fill="auto"/>
          </w:tcPr>
          <w:p w:rsidR="00395B24" w:rsidRDefault="002C7385">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proofErr w:type="spellStart"/>
            <w:r w:rsidR="00133C91">
              <w:rPr>
                <w:szCs w:val="24"/>
              </w:rPr>
              <w:t>NSD</w:t>
            </w:r>
            <w:proofErr w:type="spellEnd"/>
            <w:r w:rsidR="00133C91">
              <w:rPr>
                <w:szCs w:val="24"/>
              </w:rPr>
              <w:t xml:space="preserve"> 653 of 2011</w:t>
            </w:r>
            <w:r>
              <w:rPr>
                <w:szCs w:val="24"/>
              </w:rPr>
              <w:fldChar w:fldCharType="end"/>
            </w:r>
          </w:p>
          <w:p w:rsidR="00133C91" w:rsidRDefault="00DC4F3E">
            <w:pPr>
              <w:pStyle w:val="Normal1linespace"/>
              <w:widowControl w:val="0"/>
              <w:jc w:val="left"/>
              <w:rPr>
                <w:szCs w:val="24"/>
              </w:rPr>
            </w:pPr>
            <w:proofErr w:type="spellStart"/>
            <w:r>
              <w:rPr>
                <w:szCs w:val="24"/>
              </w:rPr>
              <w:t>NSD</w:t>
            </w:r>
            <w:proofErr w:type="spellEnd"/>
            <w:r>
              <w:rPr>
                <w:szCs w:val="24"/>
              </w:rPr>
              <w:t xml:space="preserve"> 652 of</w:t>
            </w:r>
            <w:r w:rsidR="00133C91">
              <w:rPr>
                <w:szCs w:val="24"/>
              </w:rPr>
              <w:t xml:space="preserve"> 2011</w:t>
            </w:r>
          </w:p>
          <w:p w:rsidR="00133C91" w:rsidRDefault="00DC4F3E">
            <w:pPr>
              <w:pStyle w:val="Normal1linespace"/>
              <w:widowControl w:val="0"/>
              <w:jc w:val="left"/>
              <w:rPr>
                <w:szCs w:val="24"/>
              </w:rPr>
            </w:pPr>
            <w:proofErr w:type="spellStart"/>
            <w:r>
              <w:rPr>
                <w:szCs w:val="24"/>
              </w:rPr>
              <w:t>NSD</w:t>
            </w:r>
            <w:proofErr w:type="spellEnd"/>
            <w:r>
              <w:rPr>
                <w:szCs w:val="24"/>
              </w:rPr>
              <w:t xml:space="preserve"> 654 of</w:t>
            </w:r>
            <w:r w:rsidR="00133C91">
              <w:rPr>
                <w:szCs w:val="24"/>
              </w:rPr>
              <w:t xml:space="preserve"> 2011</w:t>
            </w:r>
          </w:p>
          <w:p w:rsidR="00133C91" w:rsidRDefault="00DC4F3E">
            <w:pPr>
              <w:pStyle w:val="Normal1linespace"/>
              <w:widowControl w:val="0"/>
              <w:jc w:val="left"/>
              <w:rPr>
                <w:szCs w:val="24"/>
              </w:rPr>
            </w:pPr>
            <w:proofErr w:type="spellStart"/>
            <w:r>
              <w:rPr>
                <w:szCs w:val="24"/>
              </w:rPr>
              <w:t>NSD</w:t>
            </w:r>
            <w:proofErr w:type="spellEnd"/>
            <w:r>
              <w:rPr>
                <w:szCs w:val="24"/>
              </w:rPr>
              <w:t xml:space="preserve"> 655 of</w:t>
            </w:r>
            <w:r w:rsidR="00133C91">
              <w:rPr>
                <w:szCs w:val="24"/>
              </w:rPr>
              <w:t xml:space="preserve"> 2011</w:t>
            </w:r>
          </w:p>
          <w:p w:rsidR="00133C91" w:rsidRDefault="00DC4F3E" w:rsidP="00133C91">
            <w:pPr>
              <w:pStyle w:val="Normal1linespace"/>
              <w:widowControl w:val="0"/>
              <w:jc w:val="left"/>
              <w:rPr>
                <w:szCs w:val="24"/>
              </w:rPr>
            </w:pPr>
            <w:proofErr w:type="spellStart"/>
            <w:r>
              <w:rPr>
                <w:szCs w:val="24"/>
              </w:rPr>
              <w:t>NSD</w:t>
            </w:r>
            <w:proofErr w:type="spellEnd"/>
            <w:r>
              <w:rPr>
                <w:szCs w:val="24"/>
              </w:rPr>
              <w:t xml:space="preserve"> 656 of</w:t>
            </w:r>
            <w:r w:rsidR="00133C91">
              <w:rPr>
                <w:szCs w:val="24"/>
              </w:rPr>
              <w:t xml:space="preserve"> 2011</w:t>
            </w:r>
          </w:p>
          <w:p w:rsidR="00133C91" w:rsidRDefault="00DC4F3E" w:rsidP="00133C91">
            <w:pPr>
              <w:pStyle w:val="Normal1linespace"/>
              <w:widowControl w:val="0"/>
              <w:jc w:val="left"/>
              <w:rPr>
                <w:szCs w:val="24"/>
              </w:rPr>
            </w:pPr>
            <w:r>
              <w:rPr>
                <w:szCs w:val="24"/>
              </w:rPr>
              <w:t>VID 672 of</w:t>
            </w:r>
            <w:r w:rsidR="00133C91">
              <w:rPr>
                <w:szCs w:val="24"/>
              </w:rPr>
              <w:t xml:space="preserve"> 2010</w:t>
            </w:r>
          </w:p>
          <w:p w:rsidR="00133C91" w:rsidRDefault="00DC4F3E" w:rsidP="00DC4F3E">
            <w:pPr>
              <w:pStyle w:val="Normal1linespace"/>
              <w:widowControl w:val="0"/>
              <w:jc w:val="left"/>
            </w:pPr>
            <w:r>
              <w:rPr>
                <w:szCs w:val="24"/>
              </w:rPr>
              <w:t>VID 887 of</w:t>
            </w:r>
            <w:r w:rsidR="00133C91">
              <w:rPr>
                <w:szCs w:val="24"/>
              </w:rPr>
              <w:t xml:space="preserve"> 2010</w:t>
            </w:r>
          </w:p>
        </w:tc>
      </w:tr>
      <w:tr w:rsidR="00395B24" w:rsidTr="00A643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643F0">
        <w:tc>
          <w:tcPr>
            <w:tcW w:w="3085" w:type="dxa"/>
            <w:shd w:val="clear" w:color="auto" w:fill="auto"/>
          </w:tcPr>
          <w:p w:rsidR="00395B24" w:rsidRDefault="00DC4F3E">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133C91">
              <w:rPr>
                <w:b/>
              </w:rPr>
              <w:fldChar w:fldCharType="begin" w:fldLock="1"/>
            </w:r>
            <w:r w:rsidRPr="00133C91">
              <w:rPr>
                <w:b/>
              </w:rPr>
              <w:instrText xml:space="preserve"> REF  Judge  \* MERGEFORMAT </w:instrText>
            </w:r>
            <w:r w:rsidRPr="00133C91">
              <w:rPr>
                <w:b/>
              </w:rPr>
              <w:fldChar w:fldCharType="separate"/>
            </w:r>
            <w:r w:rsidR="00133C91" w:rsidRPr="00133C91">
              <w:rPr>
                <w:b/>
                <w:caps/>
                <w:szCs w:val="24"/>
              </w:rPr>
              <w:t>PERRAM J</w:t>
            </w:r>
            <w:r w:rsidRPr="00133C91">
              <w:rPr>
                <w:b/>
              </w:rPr>
              <w:fldChar w:fldCharType="end"/>
            </w:r>
          </w:p>
        </w:tc>
      </w:tr>
      <w:tr w:rsidR="00395B24" w:rsidTr="00A643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643F0">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DC4F3E" w:rsidP="00CA6F21">
            <w:pPr>
              <w:pStyle w:val="Normal1linespace"/>
              <w:widowControl w:val="0"/>
              <w:jc w:val="left"/>
            </w:pPr>
            <w:bookmarkStart w:id="2" w:name="JudgmentDate"/>
            <w:r>
              <w:t>15</w:t>
            </w:r>
            <w:r w:rsidR="00133C91">
              <w:t xml:space="preserve"> </w:t>
            </w:r>
            <w:r w:rsidR="00CA6F21">
              <w:t>May</w:t>
            </w:r>
            <w:r w:rsidR="00133C91">
              <w:t xml:space="preserve"> 2015</w:t>
            </w:r>
            <w:bookmarkEnd w:id="2"/>
          </w:p>
        </w:tc>
      </w:tr>
      <w:tr w:rsidR="00395B24" w:rsidTr="00A643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643F0">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DC4F3E" w:rsidP="00C03AB0">
            <w:pPr>
              <w:pStyle w:val="Normal1linespace"/>
              <w:widowControl w:val="0"/>
              <w:jc w:val="left"/>
            </w:pPr>
            <w:bookmarkStart w:id="3" w:name="Catchwords"/>
            <w:r w:rsidRPr="00C03AB0">
              <w:rPr>
                <w:b/>
              </w:rPr>
              <w:t>TAXATION</w:t>
            </w:r>
            <w:r>
              <w:t xml:space="preserve"> – </w:t>
            </w:r>
            <w:proofErr w:type="spellStart"/>
            <w:r w:rsidR="00C03AB0">
              <w:t>Div</w:t>
            </w:r>
            <w:proofErr w:type="spellEnd"/>
            <w:r w:rsidR="00C03AB0">
              <w:t xml:space="preserve"> 70 of the </w:t>
            </w:r>
            <w:r w:rsidR="00C03AB0" w:rsidRPr="00C03AB0">
              <w:rPr>
                <w:i/>
              </w:rPr>
              <w:t>Income Tax Assessment Act 1997</w:t>
            </w:r>
            <w:r w:rsidR="00C03AB0">
              <w:t xml:space="preserve"> (</w:t>
            </w:r>
            <w:proofErr w:type="spellStart"/>
            <w:r w:rsidR="00C03AB0">
              <w:t>Cth</w:t>
            </w:r>
            <w:proofErr w:type="spellEnd"/>
            <w:r w:rsidR="00C03AB0">
              <w:t xml:space="preserve">) – </w:t>
            </w:r>
            <w:r>
              <w:t xml:space="preserve">trading stock </w:t>
            </w:r>
            <w:r w:rsidR="00C03AB0">
              <w:t>–</w:t>
            </w:r>
            <w:r>
              <w:t xml:space="preserve"> </w:t>
            </w:r>
            <w:r w:rsidR="00C03AB0">
              <w:t>what does it mean to take value into account in s 70-40</w:t>
            </w:r>
            <w:bookmarkEnd w:id="3"/>
          </w:p>
        </w:tc>
      </w:tr>
      <w:tr w:rsidR="00395B24" w:rsidTr="00A643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643F0">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EA6F30" w:rsidP="00C03AB0">
            <w:pPr>
              <w:pStyle w:val="Normal1linespace"/>
              <w:widowControl w:val="0"/>
              <w:jc w:val="left"/>
            </w:pPr>
            <w:bookmarkStart w:id="4" w:name="Legislation"/>
            <w:r>
              <w:rPr>
                <w:i/>
              </w:rPr>
              <w:t xml:space="preserve">Income Tax Assessment Act 1997 </w:t>
            </w:r>
            <w:r w:rsidR="00C03AB0">
              <w:t>(</w:t>
            </w:r>
            <w:proofErr w:type="spellStart"/>
            <w:r w:rsidR="00C03AB0">
              <w:t>Cth</w:t>
            </w:r>
            <w:proofErr w:type="spellEnd"/>
            <w:r w:rsidR="00C03AB0">
              <w:t>)</w:t>
            </w:r>
            <w:r>
              <w:t xml:space="preserve"> </w:t>
            </w:r>
            <w:proofErr w:type="spellStart"/>
            <w:r w:rsidR="00C03AB0">
              <w:t>ss</w:t>
            </w:r>
            <w:proofErr w:type="spellEnd"/>
            <w:r w:rsidR="00C03AB0">
              <w:t xml:space="preserve"> 70-35, 70-40,</w:t>
            </w:r>
            <w:r>
              <w:t xml:space="preserve"> </w:t>
            </w:r>
            <w:r w:rsidR="00C03AB0">
              <w:t>70-45</w:t>
            </w:r>
            <w:r>
              <w:t xml:space="preserve">  </w:t>
            </w:r>
            <w:bookmarkEnd w:id="4"/>
            <w:r w:rsidR="00C03AB0">
              <w:t xml:space="preserve"> </w:t>
            </w:r>
          </w:p>
        </w:tc>
      </w:tr>
      <w:tr w:rsidR="00395B24" w:rsidTr="00A643F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A643F0">
        <w:tc>
          <w:tcPr>
            <w:tcW w:w="3085" w:type="dxa"/>
            <w:shd w:val="clear" w:color="auto" w:fill="auto"/>
          </w:tcPr>
          <w:p w:rsidR="00395B24" w:rsidRDefault="002C7385">
            <w:pPr>
              <w:pStyle w:val="Normal1linespace"/>
              <w:widowControl w:val="0"/>
            </w:pPr>
            <w:r>
              <w:lastRenderedPageBreak/>
              <w:t>Cases cited:</w:t>
            </w:r>
          </w:p>
        </w:tc>
        <w:tc>
          <w:tcPr>
            <w:tcW w:w="5989" w:type="dxa"/>
            <w:shd w:val="clear" w:color="auto" w:fill="auto"/>
          </w:tcPr>
          <w:p w:rsidR="001A758B" w:rsidRDefault="00EA6F30" w:rsidP="001D2BA7">
            <w:pPr>
              <w:pStyle w:val="Normal1linespace"/>
              <w:widowControl w:val="0"/>
              <w:jc w:val="left"/>
            </w:pPr>
            <w:r>
              <w:rPr>
                <w:i/>
              </w:rPr>
              <w:t>Commissioner of Taxation v Energy Resources of Australia</w:t>
            </w:r>
            <w:r w:rsidR="00C03AB0">
              <w:rPr>
                <w:i/>
              </w:rPr>
              <w:t xml:space="preserve"> Ltd</w:t>
            </w:r>
            <w:r>
              <w:rPr>
                <w:i/>
              </w:rPr>
              <w:t xml:space="preserve"> </w:t>
            </w:r>
            <w:r>
              <w:t xml:space="preserve">(2003) 135 </w:t>
            </w:r>
            <w:proofErr w:type="spellStart"/>
            <w:r>
              <w:t>FCR</w:t>
            </w:r>
            <w:proofErr w:type="spellEnd"/>
            <w:r>
              <w:t xml:space="preserve"> 346 </w:t>
            </w:r>
          </w:p>
          <w:p w:rsidR="00395B24" w:rsidRDefault="001A758B" w:rsidP="001D2BA7">
            <w:pPr>
              <w:pStyle w:val="Normal1linespace"/>
              <w:widowControl w:val="0"/>
              <w:jc w:val="left"/>
            </w:pPr>
            <w:r>
              <w:rPr>
                <w:i/>
              </w:rPr>
              <w:t xml:space="preserve">Hua Wang Bank </w:t>
            </w:r>
            <w:proofErr w:type="spellStart"/>
            <w:r>
              <w:rPr>
                <w:i/>
              </w:rPr>
              <w:t>Berhad</w:t>
            </w:r>
            <w:proofErr w:type="spellEnd"/>
            <w:r>
              <w:rPr>
                <w:i/>
              </w:rPr>
              <w:t xml:space="preserve"> v Commissioner of Taxation </w:t>
            </w:r>
            <w:r>
              <w:t xml:space="preserve">[2014] </w:t>
            </w:r>
            <w:proofErr w:type="spellStart"/>
            <w:r>
              <w:t>FCA</w:t>
            </w:r>
            <w:proofErr w:type="spellEnd"/>
            <w:r>
              <w:t xml:space="preserve"> 1392</w:t>
            </w:r>
            <w:r w:rsidR="001D2BA7">
              <w:t xml:space="preserve"> </w:t>
            </w:r>
          </w:p>
        </w:tc>
      </w:tr>
      <w:tr w:rsidR="00A643F0" w:rsidRPr="00A643F0" w:rsidTr="00A643F0">
        <w:tc>
          <w:tcPr>
            <w:tcW w:w="3085" w:type="dxa"/>
            <w:shd w:val="clear" w:color="auto" w:fill="auto"/>
          </w:tcPr>
          <w:p w:rsidR="00A643F0" w:rsidRPr="00A643F0" w:rsidRDefault="00A643F0" w:rsidP="00A643F0">
            <w:pPr>
              <w:pStyle w:val="Normal1linespace"/>
              <w:jc w:val="left"/>
            </w:pPr>
          </w:p>
        </w:tc>
        <w:tc>
          <w:tcPr>
            <w:tcW w:w="5989" w:type="dxa"/>
            <w:shd w:val="clear" w:color="auto" w:fill="auto"/>
          </w:tcPr>
          <w:p w:rsidR="00A643F0" w:rsidRPr="00A643F0" w:rsidRDefault="00A643F0" w:rsidP="00A643F0">
            <w:pPr>
              <w:pStyle w:val="Normal1linespace"/>
              <w:jc w:val="left"/>
            </w:pPr>
          </w:p>
        </w:tc>
      </w:tr>
      <w:tr w:rsidR="00A643F0" w:rsidRPr="00A643F0" w:rsidTr="00A643F0">
        <w:tc>
          <w:tcPr>
            <w:tcW w:w="3085" w:type="dxa"/>
            <w:shd w:val="clear" w:color="auto" w:fill="auto"/>
          </w:tcPr>
          <w:p w:rsidR="00A643F0" w:rsidRPr="00A643F0" w:rsidRDefault="00A643F0" w:rsidP="00A643F0">
            <w:pPr>
              <w:pStyle w:val="Normal1linespace"/>
              <w:jc w:val="left"/>
            </w:pPr>
            <w:bookmarkStart w:id="5" w:name="CounselDate" w:colFirst="0" w:colLast="2"/>
            <w:r w:rsidRPr="00A643F0">
              <w:t>Date of hearing:</w:t>
            </w:r>
          </w:p>
        </w:tc>
        <w:tc>
          <w:tcPr>
            <w:tcW w:w="5989" w:type="dxa"/>
            <w:shd w:val="clear" w:color="auto" w:fill="auto"/>
          </w:tcPr>
          <w:p w:rsidR="00A643F0" w:rsidRPr="00A643F0" w:rsidRDefault="00606B30" w:rsidP="00A643F0">
            <w:pPr>
              <w:pStyle w:val="Normal1linespace"/>
              <w:jc w:val="left"/>
            </w:pPr>
            <w:bookmarkStart w:id="6" w:name="HearingDate"/>
            <w:bookmarkEnd w:id="6"/>
            <w:r>
              <w:t>4 May 2015</w:t>
            </w:r>
          </w:p>
        </w:tc>
      </w:tr>
      <w:tr w:rsidR="00A643F0" w:rsidRPr="00A643F0" w:rsidTr="00A643F0">
        <w:tc>
          <w:tcPr>
            <w:tcW w:w="3085" w:type="dxa"/>
            <w:shd w:val="clear" w:color="auto" w:fill="auto"/>
          </w:tcPr>
          <w:p w:rsidR="00A643F0" w:rsidRPr="00A643F0" w:rsidRDefault="00A643F0" w:rsidP="00A643F0">
            <w:pPr>
              <w:pStyle w:val="Normal1linespace"/>
              <w:jc w:val="left"/>
            </w:pPr>
          </w:p>
        </w:tc>
        <w:tc>
          <w:tcPr>
            <w:tcW w:w="5989" w:type="dxa"/>
            <w:shd w:val="clear" w:color="auto" w:fill="auto"/>
          </w:tcPr>
          <w:p w:rsidR="00A643F0" w:rsidRPr="00A643F0" w:rsidRDefault="00A643F0" w:rsidP="00A643F0">
            <w:pPr>
              <w:pStyle w:val="Normal1linespace"/>
              <w:jc w:val="left"/>
            </w:pPr>
          </w:p>
        </w:tc>
      </w:tr>
      <w:bookmarkEnd w:id="5"/>
      <w:tr w:rsidR="00A643F0" w:rsidTr="00A643F0">
        <w:tc>
          <w:tcPr>
            <w:tcW w:w="3085" w:type="dxa"/>
            <w:shd w:val="clear" w:color="auto" w:fill="auto"/>
          </w:tcPr>
          <w:p w:rsidR="00A643F0" w:rsidRDefault="00A643F0" w:rsidP="00A643F0">
            <w:pPr>
              <w:pStyle w:val="Normal1linespace"/>
              <w:widowControl w:val="0"/>
              <w:jc w:val="left"/>
            </w:pPr>
            <w:r>
              <w:t>Place:</w:t>
            </w:r>
          </w:p>
        </w:tc>
        <w:tc>
          <w:tcPr>
            <w:tcW w:w="5989" w:type="dxa"/>
            <w:shd w:val="clear" w:color="auto" w:fill="auto"/>
          </w:tcPr>
          <w:p w:rsidR="00A643F0" w:rsidRDefault="008E2779" w:rsidP="00A643F0">
            <w:pPr>
              <w:pStyle w:val="Normal1linespace"/>
              <w:widowControl w:val="0"/>
              <w:jc w:val="left"/>
            </w:pPr>
            <w:fldSimple w:instr=" DOCVARIABLE  Place_SentenceCase  \* MERGEFORMAT ">
              <w:r w:rsidR="00A643F0">
                <w:t>Sydney</w:t>
              </w:r>
            </w:fldSimple>
          </w:p>
        </w:tc>
      </w:tr>
      <w:tr w:rsidR="00A643F0" w:rsidTr="00A643F0">
        <w:tc>
          <w:tcPr>
            <w:tcW w:w="3085" w:type="dxa"/>
            <w:shd w:val="clear" w:color="auto" w:fill="auto"/>
          </w:tcPr>
          <w:p w:rsidR="00A643F0" w:rsidRDefault="00A643F0" w:rsidP="00A643F0">
            <w:pPr>
              <w:pStyle w:val="Normal1linespace"/>
              <w:widowControl w:val="0"/>
              <w:jc w:val="left"/>
            </w:pPr>
          </w:p>
        </w:tc>
        <w:tc>
          <w:tcPr>
            <w:tcW w:w="5989" w:type="dxa"/>
            <w:shd w:val="clear" w:color="auto" w:fill="auto"/>
          </w:tcPr>
          <w:p w:rsidR="00A643F0" w:rsidRDefault="00A643F0" w:rsidP="00A643F0">
            <w:pPr>
              <w:pStyle w:val="Normal1linespace"/>
              <w:widowControl w:val="0"/>
              <w:jc w:val="left"/>
            </w:pPr>
          </w:p>
        </w:tc>
      </w:tr>
      <w:tr w:rsidR="00A643F0" w:rsidTr="00A643F0">
        <w:tc>
          <w:tcPr>
            <w:tcW w:w="3085" w:type="dxa"/>
            <w:shd w:val="clear" w:color="auto" w:fill="auto"/>
          </w:tcPr>
          <w:p w:rsidR="00A643F0" w:rsidRDefault="00A643F0" w:rsidP="00A643F0">
            <w:pPr>
              <w:pStyle w:val="Normal1linespace"/>
              <w:widowControl w:val="0"/>
              <w:jc w:val="left"/>
            </w:pPr>
            <w:r>
              <w:t>Division:</w:t>
            </w:r>
          </w:p>
        </w:tc>
        <w:tc>
          <w:tcPr>
            <w:tcW w:w="5989" w:type="dxa"/>
            <w:shd w:val="clear" w:color="auto" w:fill="auto"/>
          </w:tcPr>
          <w:p w:rsidR="00A643F0" w:rsidRPr="00C67B37" w:rsidRDefault="00A643F0" w:rsidP="00A643F0">
            <w:pPr>
              <w:pStyle w:val="Normal1linespace"/>
              <w:widowControl w:val="0"/>
              <w:jc w:val="left"/>
              <w:rPr>
                <w:caps/>
              </w:rPr>
            </w:pPr>
            <w:r>
              <w:rPr>
                <w:caps/>
              </w:rPr>
              <w:fldChar w:fldCharType="begin"/>
            </w:r>
            <w:r>
              <w:rPr>
                <w:caps/>
              </w:rPr>
              <w:instrText xml:space="preserve"> REF  Division </w:instrText>
            </w:r>
            <w:r>
              <w:rPr>
                <w:caps/>
              </w:rPr>
              <w:fldChar w:fldCharType="separate"/>
            </w:r>
            <w:r w:rsidR="002D3BB7">
              <w:rPr>
                <w:caps/>
                <w:szCs w:val="24"/>
              </w:rPr>
              <w:t>GENERAL DIVISION</w:t>
            </w:r>
            <w:r>
              <w:rPr>
                <w:caps/>
              </w:rPr>
              <w:fldChar w:fldCharType="end"/>
            </w:r>
          </w:p>
        </w:tc>
      </w:tr>
      <w:tr w:rsidR="00A643F0" w:rsidTr="00A643F0">
        <w:tc>
          <w:tcPr>
            <w:tcW w:w="3085" w:type="dxa"/>
            <w:shd w:val="clear" w:color="auto" w:fill="auto"/>
          </w:tcPr>
          <w:p w:rsidR="00A643F0" w:rsidRDefault="00A643F0" w:rsidP="00A643F0">
            <w:pPr>
              <w:pStyle w:val="Normal1linespace"/>
              <w:widowControl w:val="0"/>
              <w:jc w:val="left"/>
            </w:pPr>
          </w:p>
        </w:tc>
        <w:tc>
          <w:tcPr>
            <w:tcW w:w="5989" w:type="dxa"/>
            <w:shd w:val="clear" w:color="auto" w:fill="auto"/>
          </w:tcPr>
          <w:p w:rsidR="00A643F0" w:rsidRDefault="00A643F0" w:rsidP="00A643F0">
            <w:pPr>
              <w:pStyle w:val="Normal1linespace"/>
              <w:widowControl w:val="0"/>
              <w:jc w:val="left"/>
              <w:rPr>
                <w:b/>
              </w:rPr>
            </w:pPr>
          </w:p>
        </w:tc>
      </w:tr>
      <w:tr w:rsidR="00A643F0" w:rsidTr="00A643F0">
        <w:tc>
          <w:tcPr>
            <w:tcW w:w="3085" w:type="dxa"/>
            <w:shd w:val="clear" w:color="auto" w:fill="auto"/>
          </w:tcPr>
          <w:p w:rsidR="00A643F0" w:rsidRDefault="00A643F0" w:rsidP="00A643F0">
            <w:pPr>
              <w:pStyle w:val="Normal1linespace"/>
              <w:widowControl w:val="0"/>
              <w:jc w:val="left"/>
            </w:pPr>
            <w:r>
              <w:t>Category:</w:t>
            </w:r>
          </w:p>
        </w:tc>
        <w:tc>
          <w:tcPr>
            <w:tcW w:w="5989" w:type="dxa"/>
            <w:shd w:val="clear" w:color="auto" w:fill="auto"/>
          </w:tcPr>
          <w:p w:rsidR="00A643F0" w:rsidRDefault="00A643F0" w:rsidP="00606B30">
            <w:pPr>
              <w:pStyle w:val="Normal1linespace"/>
              <w:widowControl w:val="0"/>
              <w:jc w:val="left"/>
            </w:pPr>
            <w:r w:rsidRPr="00606B30">
              <w:t>C</w:t>
            </w:r>
            <w:r w:rsidR="00606B30" w:rsidRPr="00606B30">
              <w:t>atchwords</w:t>
            </w:r>
          </w:p>
        </w:tc>
      </w:tr>
      <w:tr w:rsidR="00A643F0" w:rsidTr="00A643F0">
        <w:tc>
          <w:tcPr>
            <w:tcW w:w="3085" w:type="dxa"/>
            <w:shd w:val="clear" w:color="auto" w:fill="auto"/>
          </w:tcPr>
          <w:p w:rsidR="00A643F0" w:rsidRDefault="00A643F0" w:rsidP="00A643F0">
            <w:pPr>
              <w:pStyle w:val="Normal1linespace"/>
              <w:widowControl w:val="0"/>
              <w:jc w:val="left"/>
            </w:pPr>
          </w:p>
        </w:tc>
        <w:tc>
          <w:tcPr>
            <w:tcW w:w="5989" w:type="dxa"/>
            <w:shd w:val="clear" w:color="auto" w:fill="auto"/>
          </w:tcPr>
          <w:p w:rsidR="00A643F0" w:rsidRDefault="00A643F0" w:rsidP="00A643F0">
            <w:pPr>
              <w:pStyle w:val="Normal1linespace"/>
              <w:widowControl w:val="0"/>
              <w:jc w:val="left"/>
            </w:pPr>
          </w:p>
        </w:tc>
      </w:tr>
      <w:tr w:rsidR="00A643F0" w:rsidTr="00A643F0">
        <w:tc>
          <w:tcPr>
            <w:tcW w:w="3085" w:type="dxa"/>
            <w:shd w:val="clear" w:color="auto" w:fill="auto"/>
          </w:tcPr>
          <w:p w:rsidR="00A643F0" w:rsidRDefault="00A643F0" w:rsidP="00A643F0">
            <w:pPr>
              <w:pStyle w:val="Normal1linespace"/>
              <w:widowControl w:val="0"/>
              <w:jc w:val="left"/>
            </w:pPr>
            <w:r>
              <w:t>Number of paragraphs:</w:t>
            </w:r>
          </w:p>
        </w:tc>
        <w:tc>
          <w:tcPr>
            <w:tcW w:w="5989" w:type="dxa"/>
            <w:shd w:val="clear" w:color="auto" w:fill="auto"/>
          </w:tcPr>
          <w:p w:rsidR="00A643F0" w:rsidRDefault="00976480" w:rsidP="00A643F0">
            <w:pPr>
              <w:pStyle w:val="Normal1linespace"/>
              <w:widowControl w:val="0"/>
              <w:jc w:val="left"/>
            </w:pPr>
            <w:bookmarkStart w:id="7" w:name="PlaceCategoryParagraphs"/>
            <w:r>
              <w:t>19</w:t>
            </w:r>
            <w:bookmarkEnd w:id="7"/>
          </w:p>
        </w:tc>
      </w:tr>
      <w:tr w:rsidR="00A643F0" w:rsidTr="00A643F0">
        <w:tc>
          <w:tcPr>
            <w:tcW w:w="3085" w:type="dxa"/>
            <w:shd w:val="clear" w:color="auto" w:fill="auto"/>
          </w:tcPr>
          <w:p w:rsidR="00A643F0" w:rsidRDefault="00A643F0" w:rsidP="00A643F0">
            <w:pPr>
              <w:pStyle w:val="Normal1linespace"/>
              <w:widowControl w:val="0"/>
              <w:jc w:val="left"/>
            </w:pPr>
          </w:p>
        </w:tc>
        <w:tc>
          <w:tcPr>
            <w:tcW w:w="5989" w:type="dxa"/>
            <w:shd w:val="clear" w:color="auto" w:fill="auto"/>
          </w:tcPr>
          <w:p w:rsidR="00A643F0" w:rsidRDefault="00A643F0" w:rsidP="00A643F0">
            <w:pPr>
              <w:pStyle w:val="Normal1linespace"/>
              <w:widowControl w:val="0"/>
              <w:jc w:val="left"/>
            </w:pPr>
          </w:p>
        </w:tc>
      </w:tr>
      <w:tr w:rsidR="00A643F0" w:rsidTr="00A643F0">
        <w:tc>
          <w:tcPr>
            <w:tcW w:w="3085" w:type="dxa"/>
            <w:shd w:val="clear" w:color="auto" w:fill="auto"/>
          </w:tcPr>
          <w:p w:rsidR="00A643F0" w:rsidRDefault="00A643F0" w:rsidP="00A643F0">
            <w:pPr>
              <w:pStyle w:val="Normal1linespace"/>
              <w:widowControl w:val="0"/>
              <w:jc w:val="left"/>
            </w:pPr>
            <w:bookmarkStart w:id="8" w:name="Counsel" w:colFirst="0" w:colLast="2"/>
            <w:r>
              <w:t xml:space="preserve">Counsel for the </w:t>
            </w:r>
            <w:r w:rsidR="00884EC9" w:rsidRPr="00884EC9">
              <w:t xml:space="preserve">Applicants in </w:t>
            </w:r>
            <w:proofErr w:type="spellStart"/>
            <w:r w:rsidR="00884EC9" w:rsidRPr="00884EC9">
              <w:t>NSD</w:t>
            </w:r>
            <w:proofErr w:type="spellEnd"/>
            <w:r w:rsidR="00884EC9" w:rsidRPr="00884EC9">
              <w:t xml:space="preserve"> 652-656 of 2011 and the Respondents in VID 672 of 2010 and VID 887 of 2010</w:t>
            </w:r>
            <w:r>
              <w:t>:</w:t>
            </w:r>
          </w:p>
        </w:tc>
        <w:tc>
          <w:tcPr>
            <w:tcW w:w="5989" w:type="dxa"/>
            <w:shd w:val="clear" w:color="auto" w:fill="auto"/>
          </w:tcPr>
          <w:p w:rsidR="00A643F0" w:rsidRDefault="00885A27" w:rsidP="00A643F0">
            <w:pPr>
              <w:pStyle w:val="Normal1linespace"/>
              <w:widowControl w:val="0"/>
              <w:jc w:val="left"/>
            </w:pPr>
            <w:bookmarkStart w:id="9" w:name="AppCounsel"/>
            <w:bookmarkEnd w:id="9"/>
            <w:r>
              <w:t>Mr J Hyde Page</w:t>
            </w:r>
          </w:p>
        </w:tc>
      </w:tr>
      <w:tr w:rsidR="00A643F0" w:rsidTr="00A643F0">
        <w:tc>
          <w:tcPr>
            <w:tcW w:w="3085" w:type="dxa"/>
            <w:shd w:val="clear" w:color="auto" w:fill="auto"/>
          </w:tcPr>
          <w:p w:rsidR="00A643F0" w:rsidRDefault="00A643F0" w:rsidP="00A643F0">
            <w:pPr>
              <w:pStyle w:val="Normal1linespace"/>
              <w:widowControl w:val="0"/>
              <w:jc w:val="left"/>
            </w:pPr>
          </w:p>
        </w:tc>
        <w:tc>
          <w:tcPr>
            <w:tcW w:w="5989" w:type="dxa"/>
            <w:shd w:val="clear" w:color="auto" w:fill="auto"/>
          </w:tcPr>
          <w:p w:rsidR="00A643F0" w:rsidRDefault="00A643F0" w:rsidP="00A643F0">
            <w:pPr>
              <w:pStyle w:val="Normal1linespace"/>
              <w:widowControl w:val="0"/>
              <w:jc w:val="left"/>
            </w:pPr>
          </w:p>
        </w:tc>
      </w:tr>
      <w:tr w:rsidR="00A643F0" w:rsidTr="00A643F0">
        <w:tc>
          <w:tcPr>
            <w:tcW w:w="3085" w:type="dxa"/>
            <w:shd w:val="clear" w:color="auto" w:fill="auto"/>
          </w:tcPr>
          <w:p w:rsidR="00A643F0" w:rsidRDefault="00A643F0" w:rsidP="00A643F0">
            <w:pPr>
              <w:pStyle w:val="Normal1linespace"/>
              <w:widowControl w:val="0"/>
              <w:jc w:val="left"/>
            </w:pPr>
            <w:r>
              <w:t xml:space="preserve">Solicitor for the </w:t>
            </w:r>
            <w:r w:rsidR="00884EC9" w:rsidRPr="00884EC9">
              <w:t xml:space="preserve">Applicants in </w:t>
            </w:r>
            <w:proofErr w:type="spellStart"/>
            <w:r w:rsidR="00884EC9" w:rsidRPr="00884EC9">
              <w:t>NSD</w:t>
            </w:r>
            <w:proofErr w:type="spellEnd"/>
            <w:r w:rsidR="00884EC9" w:rsidRPr="00884EC9">
              <w:t xml:space="preserve"> 652-656 of 2011 and the Respondents in VID 672 of 2010 and VID 887 of 2010</w:t>
            </w:r>
            <w:r>
              <w:t>:</w:t>
            </w:r>
          </w:p>
        </w:tc>
        <w:tc>
          <w:tcPr>
            <w:tcW w:w="5989" w:type="dxa"/>
            <w:shd w:val="clear" w:color="auto" w:fill="auto"/>
          </w:tcPr>
          <w:p w:rsidR="00A643F0" w:rsidRDefault="00885A27" w:rsidP="00A643F0">
            <w:pPr>
              <w:pStyle w:val="Normal1linespace"/>
              <w:widowControl w:val="0"/>
              <w:jc w:val="left"/>
            </w:pPr>
            <w:r>
              <w:t>Henry Davis York Lawyers</w:t>
            </w:r>
          </w:p>
        </w:tc>
      </w:tr>
      <w:tr w:rsidR="00A643F0" w:rsidTr="00A643F0">
        <w:tc>
          <w:tcPr>
            <w:tcW w:w="3085" w:type="dxa"/>
            <w:shd w:val="clear" w:color="auto" w:fill="auto"/>
          </w:tcPr>
          <w:p w:rsidR="00A643F0" w:rsidRDefault="00A643F0" w:rsidP="00A643F0">
            <w:pPr>
              <w:pStyle w:val="Normal1linespace"/>
              <w:widowControl w:val="0"/>
              <w:jc w:val="left"/>
            </w:pPr>
          </w:p>
        </w:tc>
        <w:tc>
          <w:tcPr>
            <w:tcW w:w="5989" w:type="dxa"/>
            <w:shd w:val="clear" w:color="auto" w:fill="auto"/>
          </w:tcPr>
          <w:p w:rsidR="00A643F0" w:rsidRDefault="00A643F0" w:rsidP="00A643F0">
            <w:pPr>
              <w:pStyle w:val="Normal1linespace"/>
              <w:widowControl w:val="0"/>
              <w:jc w:val="left"/>
            </w:pPr>
          </w:p>
        </w:tc>
      </w:tr>
      <w:tr w:rsidR="00A643F0" w:rsidTr="00A643F0">
        <w:tc>
          <w:tcPr>
            <w:tcW w:w="3085" w:type="dxa"/>
            <w:shd w:val="clear" w:color="auto" w:fill="auto"/>
          </w:tcPr>
          <w:p w:rsidR="00A643F0" w:rsidRDefault="00A643F0" w:rsidP="00A643F0">
            <w:pPr>
              <w:pStyle w:val="Normal1linespace"/>
              <w:widowControl w:val="0"/>
              <w:jc w:val="left"/>
            </w:pPr>
            <w:r>
              <w:t>Counsel for the Respondent</w:t>
            </w:r>
            <w:r w:rsidR="00884EC9">
              <w:t xml:space="preserve"> in </w:t>
            </w:r>
            <w:proofErr w:type="spellStart"/>
            <w:r w:rsidR="00884EC9">
              <w:t>NSD</w:t>
            </w:r>
            <w:proofErr w:type="spellEnd"/>
            <w:r w:rsidR="00884EC9">
              <w:t xml:space="preserve"> 652-656 of 2011 and the Applicant in VID 672 of 2010 and VID 887 of 2010</w:t>
            </w:r>
            <w:r>
              <w:t>:</w:t>
            </w:r>
          </w:p>
        </w:tc>
        <w:tc>
          <w:tcPr>
            <w:tcW w:w="5989" w:type="dxa"/>
            <w:shd w:val="clear" w:color="auto" w:fill="auto"/>
          </w:tcPr>
          <w:p w:rsidR="00A643F0" w:rsidRDefault="00885A27" w:rsidP="00A643F0">
            <w:pPr>
              <w:pStyle w:val="Normal1linespace"/>
              <w:widowControl w:val="0"/>
              <w:jc w:val="left"/>
            </w:pPr>
            <w:r>
              <w:t xml:space="preserve">Dr J </w:t>
            </w:r>
            <w:proofErr w:type="spellStart"/>
            <w:r>
              <w:t>Jaques</w:t>
            </w:r>
            <w:proofErr w:type="spellEnd"/>
          </w:p>
        </w:tc>
      </w:tr>
      <w:tr w:rsidR="00A643F0" w:rsidTr="00A643F0">
        <w:tc>
          <w:tcPr>
            <w:tcW w:w="3085" w:type="dxa"/>
            <w:shd w:val="clear" w:color="auto" w:fill="auto"/>
          </w:tcPr>
          <w:p w:rsidR="00A643F0" w:rsidRDefault="00A643F0" w:rsidP="00A643F0">
            <w:pPr>
              <w:pStyle w:val="Normal1linespace"/>
              <w:widowControl w:val="0"/>
              <w:jc w:val="left"/>
            </w:pPr>
          </w:p>
        </w:tc>
        <w:tc>
          <w:tcPr>
            <w:tcW w:w="5989" w:type="dxa"/>
            <w:shd w:val="clear" w:color="auto" w:fill="auto"/>
          </w:tcPr>
          <w:p w:rsidR="00A643F0" w:rsidRDefault="00A643F0" w:rsidP="00A643F0">
            <w:pPr>
              <w:pStyle w:val="Normal1linespace"/>
              <w:widowControl w:val="0"/>
              <w:jc w:val="left"/>
            </w:pPr>
          </w:p>
        </w:tc>
      </w:tr>
      <w:tr w:rsidR="00A643F0" w:rsidTr="00A643F0">
        <w:tc>
          <w:tcPr>
            <w:tcW w:w="3085" w:type="dxa"/>
            <w:shd w:val="clear" w:color="auto" w:fill="auto"/>
          </w:tcPr>
          <w:p w:rsidR="00A643F0" w:rsidRDefault="00A643F0" w:rsidP="00884EC9">
            <w:pPr>
              <w:pStyle w:val="Normal1linespace"/>
              <w:widowControl w:val="0"/>
              <w:jc w:val="left"/>
            </w:pPr>
            <w:r>
              <w:t xml:space="preserve">Solicitor for the </w:t>
            </w:r>
            <w:r w:rsidR="00884EC9">
              <w:t xml:space="preserve">Respondent in </w:t>
            </w:r>
            <w:proofErr w:type="spellStart"/>
            <w:r w:rsidR="00884EC9">
              <w:t>NSD</w:t>
            </w:r>
            <w:proofErr w:type="spellEnd"/>
            <w:r w:rsidR="00884EC9">
              <w:t xml:space="preserve"> 652-656 of 2011 and the Applicant in VID 672 of 2010 and VID 887 of 2010</w:t>
            </w:r>
            <w:r>
              <w:t>:</w:t>
            </w:r>
          </w:p>
        </w:tc>
        <w:tc>
          <w:tcPr>
            <w:tcW w:w="5989" w:type="dxa"/>
            <w:shd w:val="clear" w:color="auto" w:fill="auto"/>
          </w:tcPr>
          <w:p w:rsidR="00A643F0" w:rsidRDefault="00885A27" w:rsidP="00A643F0">
            <w:pPr>
              <w:pStyle w:val="Normal1linespace"/>
              <w:widowControl w:val="0"/>
              <w:jc w:val="left"/>
            </w:pPr>
            <w:r>
              <w:t>Australian Government Solicitor</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133C91">
            <w:pPr>
              <w:pStyle w:val="NormalHeadings"/>
              <w:spacing w:after="120"/>
              <w:jc w:val="left"/>
              <w:rPr>
                <w:caps/>
                <w:szCs w:val="24"/>
              </w:rPr>
            </w:pPr>
            <w:bookmarkStart w:id="10" w:name="State"/>
            <w:r>
              <w:rPr>
                <w:caps/>
                <w:szCs w:val="24"/>
              </w:rPr>
              <w:t>NEW SOUTH WALES</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133C91">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133C91">
            <w:pPr>
              <w:pStyle w:val="NormalHeadings"/>
              <w:tabs>
                <w:tab w:val="right" w:pos="3609"/>
              </w:tabs>
              <w:jc w:val="right"/>
              <w:rPr>
                <w:szCs w:val="24"/>
              </w:rPr>
            </w:pPr>
            <w:bookmarkStart w:id="12" w:name="Num"/>
            <w:r>
              <w:rPr>
                <w:szCs w:val="24"/>
              </w:rPr>
              <w:t>NSD</w:t>
            </w:r>
            <w:r w:rsidR="00A154E5">
              <w:rPr>
                <w:szCs w:val="24"/>
              </w:rPr>
              <w:t xml:space="preserve"> </w:t>
            </w:r>
            <w:r>
              <w:rPr>
                <w:szCs w:val="24"/>
              </w:rPr>
              <w:t>653 of 2011</w:t>
            </w:r>
            <w:bookmarkEnd w:id="12"/>
          </w:p>
        </w:tc>
      </w:tr>
    </w:tbl>
    <w:p w:rsidR="00395B24" w:rsidRPr="00133C91" w:rsidRDefault="002C7385">
      <w:pPr>
        <w:pStyle w:val="AppealTable"/>
        <w:rPr>
          <w:sz w:val="24"/>
        </w:rPr>
      </w:pPr>
      <w:bookmarkStart w:id="13" w:name="AppealTable"/>
      <w:r w:rsidRPr="00133C91">
        <w:rPr>
          <w:sz w:val="24"/>
        </w:rPr>
        <w:t xml:space="preserve"> </w:t>
      </w:r>
      <w:bookmarkEnd w:id="13"/>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133C91" w:rsidRDefault="00133C91">
            <w:pPr>
              <w:pStyle w:val="NormalHeadings"/>
              <w:jc w:val="left"/>
              <w:rPr>
                <w:szCs w:val="24"/>
              </w:rPr>
            </w:pPr>
            <w:bookmarkStart w:id="15" w:name="Applicant"/>
            <w:r>
              <w:rPr>
                <w:szCs w:val="24"/>
              </w:rPr>
              <w:t xml:space="preserve">HUA WANG BANK BERHAD </w:t>
            </w:r>
          </w:p>
          <w:p w:rsidR="00133C91" w:rsidRDefault="00133C91">
            <w:pPr>
              <w:pStyle w:val="NormalHeadings"/>
              <w:jc w:val="left"/>
              <w:rPr>
                <w:szCs w:val="24"/>
              </w:rPr>
            </w:pPr>
            <w:r>
              <w:rPr>
                <w:szCs w:val="24"/>
              </w:rPr>
              <w:t>Applicant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133C91" w:rsidRDefault="00133C91">
            <w:pPr>
              <w:pStyle w:val="NormalHeadings"/>
              <w:jc w:val="left"/>
              <w:rPr>
                <w:szCs w:val="24"/>
              </w:rPr>
            </w:pPr>
            <w:bookmarkStart w:id="16" w:name="Respondent"/>
            <w:r>
              <w:rPr>
                <w:szCs w:val="24"/>
              </w:rPr>
              <w:t>COMMISSIONER OF TAXATION</w:t>
            </w:r>
          </w:p>
          <w:p w:rsidR="00133C91" w:rsidRDefault="00133C91">
            <w:pPr>
              <w:pStyle w:val="NormalHeadings"/>
              <w:jc w:val="left"/>
              <w:rPr>
                <w:szCs w:val="24"/>
              </w:rPr>
            </w:pPr>
            <w:r>
              <w:rPr>
                <w:szCs w:val="24"/>
              </w:rPr>
              <w:t>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133C91">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976480">
            <w:pPr>
              <w:pStyle w:val="NormalHeadings"/>
              <w:jc w:val="left"/>
              <w:rPr>
                <w:caps/>
                <w:szCs w:val="24"/>
              </w:rPr>
            </w:pPr>
            <w:bookmarkStart w:id="18" w:name="Judge"/>
            <w:r>
              <w:rPr>
                <w:caps/>
                <w:szCs w:val="24"/>
              </w:rPr>
              <w:t>PERRAM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942AE" w:rsidP="002942AE">
            <w:pPr>
              <w:pStyle w:val="NormalHeadings"/>
              <w:jc w:val="left"/>
              <w:rPr>
                <w:caps/>
                <w:szCs w:val="24"/>
              </w:rPr>
            </w:pPr>
            <w:bookmarkStart w:id="19" w:name="Judgment_Dated"/>
            <w:r>
              <w:rPr>
                <w:caps/>
                <w:szCs w:val="24"/>
              </w:rPr>
              <w:t>15</w:t>
            </w:r>
            <w:r w:rsidR="00133C91">
              <w:rPr>
                <w:caps/>
                <w:szCs w:val="24"/>
              </w:rPr>
              <w:t xml:space="preserve"> </w:t>
            </w:r>
            <w:r>
              <w:rPr>
                <w:caps/>
                <w:szCs w:val="24"/>
              </w:rPr>
              <w:t>May</w:t>
            </w:r>
            <w:r w:rsidR="00133C91">
              <w:rPr>
                <w:caps/>
                <w:szCs w:val="24"/>
              </w:rPr>
              <w:t xml:space="preserve"> 2015</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133C91">
            <w:pPr>
              <w:pStyle w:val="NormalHeadings"/>
              <w:jc w:val="left"/>
              <w:rPr>
                <w:caps/>
                <w:szCs w:val="24"/>
              </w:rPr>
            </w:pPr>
            <w:bookmarkStart w:id="20" w:name="Place"/>
            <w:r>
              <w:rPr>
                <w:caps/>
                <w:szCs w:val="24"/>
              </w:rPr>
              <w:t>SYDNEY</w:t>
            </w:r>
            <w:bookmarkEnd w:id="20"/>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BF732B" w:rsidRDefault="00BF732B" w:rsidP="00BF732B">
      <w:pPr>
        <w:pStyle w:val="Order1"/>
      </w:pPr>
      <w:bookmarkStart w:id="21" w:name="Order_Start_Text"/>
      <w:bookmarkEnd w:id="21"/>
      <w:r>
        <w:t>Declare that s 70-4</w:t>
      </w:r>
      <w:r w:rsidR="009A2C3E">
        <w:t>0</w:t>
      </w:r>
      <w:r>
        <w:t xml:space="preserve">(2) of the </w:t>
      </w:r>
      <w:r w:rsidRPr="00BF732B">
        <w:rPr>
          <w:i/>
        </w:rPr>
        <w:t>Income Tax Assessment Act 1997</w:t>
      </w:r>
      <w:r>
        <w:t xml:space="preserve"> (</w:t>
      </w:r>
      <w:proofErr w:type="spellStart"/>
      <w:r>
        <w:t>Cth</w:t>
      </w:r>
      <w:proofErr w:type="spellEnd"/>
      <w:r>
        <w:t>) requires the value of the taxpayers’ shares in each year in dispute to be valued at nil if no assessment has been issued for the preceding income year.</w:t>
      </w:r>
    </w:p>
    <w:p w:rsidR="00BF732B" w:rsidRDefault="00BF732B" w:rsidP="00BF732B">
      <w:pPr>
        <w:pStyle w:val="Order1"/>
      </w:pPr>
      <w:r>
        <w:t>Direct the taxpayers to make elections under s 70-45 in respect of each item of trading stock on hand at the end of each financial year in dispute within 21 days hereof.</w:t>
      </w:r>
    </w:p>
    <w:p w:rsidR="00BF732B" w:rsidRDefault="00BF732B" w:rsidP="00BF732B">
      <w:pPr>
        <w:pStyle w:val="Order1"/>
      </w:pPr>
      <w:r>
        <w:t>Remit to the Commissioner the objection decisions insofar as they relate to the trading stock issue</w:t>
      </w:r>
      <w:r w:rsidR="009A2C3E">
        <w:t>,</w:t>
      </w:r>
      <w:r>
        <w:t xml:space="preserve"> in conformity with this Court’s reasons.</w:t>
      </w:r>
    </w:p>
    <w:p w:rsidR="00BF732B" w:rsidRPr="00E659C5" w:rsidRDefault="009A2C3E" w:rsidP="00BF732B">
      <w:pPr>
        <w:pStyle w:val="Order1"/>
      </w:pPr>
      <w:r>
        <w:t>The Applicant</w:t>
      </w:r>
      <w:r w:rsidR="00BF732B">
        <w:t xml:space="preserve">s </w:t>
      </w:r>
      <w:r>
        <w:t>are to</w:t>
      </w:r>
      <w:r w:rsidR="00BF732B">
        <w:t xml:space="preserve"> </w:t>
      </w:r>
      <w:r>
        <w:t xml:space="preserve">pay the </w:t>
      </w:r>
      <w:r w:rsidR="00BF732B">
        <w:t>Commissioner’s costs of the trading stock debate on 4</w:t>
      </w:r>
      <w:r>
        <w:t> </w:t>
      </w:r>
      <w:r w:rsidR="00BF732B">
        <w:t>May 2015.</w:t>
      </w:r>
    </w:p>
    <w:p w:rsidR="00395B24" w:rsidRDefault="00395B24" w:rsidP="00BF732B">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133C91" w:rsidRDefault="00133C91" w:rsidP="002B0E91">
      <w:pPr>
        <w:pStyle w:val="BodyText"/>
        <w:sectPr w:rsidR="00133C91">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133C91" w:rsidTr="00A154E5">
        <w:tc>
          <w:tcPr>
            <w:tcW w:w="6771" w:type="dxa"/>
          </w:tcPr>
          <w:p w:rsidR="00133C91" w:rsidRDefault="00133C91" w:rsidP="00A154E5">
            <w:pPr>
              <w:pStyle w:val="NormalHeadings"/>
              <w:spacing w:after="120"/>
              <w:jc w:val="left"/>
              <w:rPr>
                <w:caps/>
                <w:szCs w:val="24"/>
              </w:rPr>
            </w:pPr>
            <w:r>
              <w:rPr>
                <w:caps/>
                <w:szCs w:val="24"/>
              </w:rPr>
              <w:lastRenderedPageBreak/>
              <w:t>IN THE FEDERAL COURT OF AUSTRALIA</w:t>
            </w:r>
          </w:p>
        </w:tc>
        <w:tc>
          <w:tcPr>
            <w:tcW w:w="2471" w:type="dxa"/>
          </w:tcPr>
          <w:p w:rsidR="00133C91" w:rsidRDefault="00133C91" w:rsidP="00A154E5">
            <w:pPr>
              <w:pStyle w:val="NormalHeadings"/>
              <w:jc w:val="left"/>
              <w:rPr>
                <w:caps/>
                <w:szCs w:val="24"/>
              </w:rPr>
            </w:pPr>
          </w:p>
        </w:tc>
      </w:tr>
      <w:tr w:rsidR="00133C91" w:rsidTr="00A154E5">
        <w:tc>
          <w:tcPr>
            <w:tcW w:w="6771" w:type="dxa"/>
          </w:tcPr>
          <w:p w:rsidR="00133C91" w:rsidRDefault="00133C91" w:rsidP="00A154E5">
            <w:pPr>
              <w:pStyle w:val="NormalHeadings"/>
              <w:spacing w:after="120"/>
              <w:jc w:val="left"/>
              <w:rPr>
                <w:caps/>
                <w:szCs w:val="24"/>
              </w:rPr>
            </w:pPr>
            <w:r>
              <w:rPr>
                <w:caps/>
                <w:szCs w:val="24"/>
              </w:rPr>
              <w:t>NEW SOUTH WALES DISTRICT REGISTRY</w:t>
            </w:r>
          </w:p>
        </w:tc>
        <w:tc>
          <w:tcPr>
            <w:tcW w:w="2471" w:type="dxa"/>
          </w:tcPr>
          <w:p w:rsidR="00133C91" w:rsidRDefault="00133C91" w:rsidP="00A154E5">
            <w:pPr>
              <w:pStyle w:val="NormalHeadings"/>
              <w:tabs>
                <w:tab w:val="right" w:pos="3609"/>
              </w:tabs>
              <w:jc w:val="right"/>
              <w:rPr>
                <w:szCs w:val="24"/>
              </w:rPr>
            </w:pPr>
          </w:p>
        </w:tc>
      </w:tr>
      <w:tr w:rsidR="00133C91" w:rsidTr="00A154E5">
        <w:tc>
          <w:tcPr>
            <w:tcW w:w="6771" w:type="dxa"/>
          </w:tcPr>
          <w:p w:rsidR="00133C91" w:rsidRDefault="00133C91" w:rsidP="00A154E5">
            <w:pPr>
              <w:pStyle w:val="NormalHeadings"/>
              <w:spacing w:after="120"/>
              <w:jc w:val="left"/>
              <w:rPr>
                <w:caps/>
                <w:szCs w:val="24"/>
              </w:rPr>
            </w:pPr>
            <w:r>
              <w:rPr>
                <w:caps/>
                <w:szCs w:val="24"/>
              </w:rPr>
              <w:t>GENERAL DIVISION</w:t>
            </w:r>
          </w:p>
        </w:tc>
        <w:tc>
          <w:tcPr>
            <w:tcW w:w="2471" w:type="dxa"/>
          </w:tcPr>
          <w:p w:rsidR="00133C91" w:rsidRDefault="00133C91" w:rsidP="00133C91">
            <w:pPr>
              <w:pStyle w:val="NormalHeadings"/>
              <w:tabs>
                <w:tab w:val="right" w:pos="3609"/>
              </w:tabs>
              <w:jc w:val="right"/>
              <w:rPr>
                <w:szCs w:val="24"/>
              </w:rPr>
            </w:pPr>
            <w:r>
              <w:rPr>
                <w:szCs w:val="24"/>
              </w:rPr>
              <w:t>NSD</w:t>
            </w:r>
            <w:r w:rsidR="00A154E5">
              <w:rPr>
                <w:szCs w:val="24"/>
              </w:rPr>
              <w:t xml:space="preserve"> </w:t>
            </w:r>
            <w:r>
              <w:rPr>
                <w:szCs w:val="24"/>
              </w:rPr>
              <w:t>652 of 2011</w:t>
            </w:r>
          </w:p>
        </w:tc>
      </w:tr>
    </w:tbl>
    <w:p w:rsidR="00133C91" w:rsidRPr="00133C91" w:rsidRDefault="00133C91" w:rsidP="00133C91">
      <w:pPr>
        <w:pStyle w:val="AppealTable"/>
        <w:rPr>
          <w:sz w:val="24"/>
        </w:rPr>
      </w:pPr>
      <w:r w:rsidRPr="00133C91">
        <w:rPr>
          <w:sz w:val="24"/>
        </w:rPr>
        <w:t xml:space="preserve"> </w:t>
      </w:r>
    </w:p>
    <w:tbl>
      <w:tblPr>
        <w:tblW w:w="0" w:type="auto"/>
        <w:tblLayout w:type="fixed"/>
        <w:tblLook w:val="0000" w:firstRow="0" w:lastRow="0" w:firstColumn="0" w:lastColumn="0" w:noHBand="0" w:noVBand="0"/>
      </w:tblPr>
      <w:tblGrid>
        <w:gridCol w:w="2376"/>
        <w:gridCol w:w="6866"/>
      </w:tblGrid>
      <w:tr w:rsidR="00133C91" w:rsidTr="00A154E5">
        <w:trPr>
          <w:trHeight w:val="386"/>
        </w:trPr>
        <w:tc>
          <w:tcPr>
            <w:tcW w:w="2376" w:type="dxa"/>
          </w:tcPr>
          <w:p w:rsidR="00133C91" w:rsidRDefault="00133C91" w:rsidP="00A154E5">
            <w:pPr>
              <w:pStyle w:val="NormalHeadings"/>
              <w:jc w:val="left"/>
              <w:rPr>
                <w:caps/>
                <w:szCs w:val="24"/>
              </w:rPr>
            </w:pPr>
            <w:r>
              <w:rPr>
                <w:caps/>
                <w:szCs w:val="24"/>
              </w:rPr>
              <w:t>BETWEEN:</w:t>
            </w:r>
          </w:p>
        </w:tc>
        <w:tc>
          <w:tcPr>
            <w:tcW w:w="6866" w:type="dxa"/>
          </w:tcPr>
          <w:p w:rsidR="00133C91" w:rsidRDefault="00133C91" w:rsidP="00A154E5">
            <w:pPr>
              <w:pStyle w:val="NormalHeadings"/>
              <w:jc w:val="left"/>
              <w:rPr>
                <w:szCs w:val="24"/>
              </w:rPr>
            </w:pPr>
            <w:r>
              <w:rPr>
                <w:szCs w:val="24"/>
              </w:rPr>
              <w:t>BYWATER INVESTMENTS LIMITED</w:t>
            </w:r>
          </w:p>
          <w:p w:rsidR="00133C91" w:rsidRDefault="00133C91" w:rsidP="00A154E5">
            <w:pPr>
              <w:pStyle w:val="NormalHeadings"/>
              <w:jc w:val="left"/>
              <w:rPr>
                <w:szCs w:val="24"/>
              </w:rPr>
            </w:pPr>
            <w:r>
              <w:rPr>
                <w:szCs w:val="24"/>
              </w:rPr>
              <w:t>Applicant</w:t>
            </w:r>
          </w:p>
          <w:p w:rsidR="00133C91" w:rsidRDefault="00133C91" w:rsidP="00A154E5">
            <w:pPr>
              <w:pStyle w:val="NormalHeadings"/>
              <w:jc w:val="left"/>
              <w:rPr>
                <w:szCs w:val="24"/>
              </w:rPr>
            </w:pPr>
          </w:p>
        </w:tc>
      </w:tr>
      <w:tr w:rsidR="00133C91" w:rsidTr="00A154E5">
        <w:trPr>
          <w:trHeight w:val="386"/>
        </w:trPr>
        <w:tc>
          <w:tcPr>
            <w:tcW w:w="2376" w:type="dxa"/>
          </w:tcPr>
          <w:p w:rsidR="00133C91" w:rsidRDefault="00133C91" w:rsidP="00A154E5">
            <w:pPr>
              <w:pStyle w:val="NormalHeadings"/>
              <w:jc w:val="left"/>
              <w:rPr>
                <w:caps/>
                <w:szCs w:val="24"/>
              </w:rPr>
            </w:pPr>
            <w:r>
              <w:rPr>
                <w:caps/>
                <w:szCs w:val="24"/>
              </w:rPr>
              <w:t>AND:</w:t>
            </w:r>
          </w:p>
        </w:tc>
        <w:tc>
          <w:tcPr>
            <w:tcW w:w="6866" w:type="dxa"/>
          </w:tcPr>
          <w:p w:rsidR="00133C91" w:rsidRDefault="00133C91" w:rsidP="00A154E5">
            <w:pPr>
              <w:pStyle w:val="NormalHeadings"/>
              <w:jc w:val="left"/>
              <w:rPr>
                <w:szCs w:val="24"/>
              </w:rPr>
            </w:pPr>
            <w:r>
              <w:rPr>
                <w:szCs w:val="24"/>
              </w:rPr>
              <w:t>COMMISSIONER OF TAXATION</w:t>
            </w:r>
          </w:p>
          <w:p w:rsidR="00133C91" w:rsidRDefault="00133C91" w:rsidP="00A154E5">
            <w:pPr>
              <w:pStyle w:val="NormalHeadings"/>
              <w:jc w:val="left"/>
              <w:rPr>
                <w:szCs w:val="24"/>
              </w:rPr>
            </w:pPr>
            <w:r>
              <w:rPr>
                <w:szCs w:val="24"/>
              </w:rPr>
              <w:t>Respondent</w:t>
            </w:r>
          </w:p>
          <w:p w:rsidR="00133C91" w:rsidRDefault="00133C91" w:rsidP="00A154E5">
            <w:pPr>
              <w:pStyle w:val="NormalHeadings"/>
              <w:jc w:val="left"/>
              <w:rPr>
                <w:szCs w:val="24"/>
              </w:rPr>
            </w:pPr>
          </w:p>
        </w:tc>
      </w:tr>
    </w:tbl>
    <w:p w:rsidR="00133C91" w:rsidRDefault="00133C91" w:rsidP="00133C91">
      <w:pPr>
        <w:pStyle w:val="NormalHeadings"/>
      </w:pPr>
    </w:p>
    <w:tbl>
      <w:tblPr>
        <w:tblW w:w="0" w:type="auto"/>
        <w:tblLayout w:type="fixed"/>
        <w:tblLook w:val="0000" w:firstRow="0" w:lastRow="0" w:firstColumn="0" w:lastColumn="0" w:noHBand="0" w:noVBand="0"/>
      </w:tblPr>
      <w:tblGrid>
        <w:gridCol w:w="2376"/>
        <w:gridCol w:w="6866"/>
      </w:tblGrid>
      <w:tr w:rsidR="00133C91" w:rsidTr="00A154E5">
        <w:tc>
          <w:tcPr>
            <w:tcW w:w="2376" w:type="dxa"/>
          </w:tcPr>
          <w:p w:rsidR="00133C91" w:rsidRDefault="00133C91" w:rsidP="00A154E5">
            <w:pPr>
              <w:pStyle w:val="NormalHeadings"/>
              <w:spacing w:after="120"/>
              <w:jc w:val="left"/>
              <w:rPr>
                <w:caps/>
                <w:szCs w:val="24"/>
              </w:rPr>
            </w:pPr>
            <w:r>
              <w:rPr>
                <w:caps/>
                <w:szCs w:val="24"/>
              </w:rPr>
              <w:t>JUDGE:</w:t>
            </w:r>
          </w:p>
        </w:tc>
        <w:tc>
          <w:tcPr>
            <w:tcW w:w="6866" w:type="dxa"/>
          </w:tcPr>
          <w:p w:rsidR="00133C91" w:rsidRDefault="00133C91" w:rsidP="00A154E5">
            <w:pPr>
              <w:pStyle w:val="NormalHeadings"/>
              <w:jc w:val="left"/>
              <w:rPr>
                <w:caps/>
                <w:szCs w:val="24"/>
              </w:rPr>
            </w:pPr>
            <w:r>
              <w:rPr>
                <w:caps/>
                <w:szCs w:val="24"/>
              </w:rPr>
              <w:t>PERRAM J</w:t>
            </w:r>
          </w:p>
        </w:tc>
      </w:tr>
      <w:tr w:rsidR="00133C91" w:rsidTr="00A154E5">
        <w:tc>
          <w:tcPr>
            <w:tcW w:w="2376" w:type="dxa"/>
          </w:tcPr>
          <w:p w:rsidR="00133C91" w:rsidRDefault="00133C91" w:rsidP="00A154E5">
            <w:pPr>
              <w:pStyle w:val="NormalHeadings"/>
              <w:spacing w:after="120"/>
              <w:jc w:val="left"/>
              <w:rPr>
                <w:caps/>
                <w:szCs w:val="24"/>
              </w:rPr>
            </w:pPr>
            <w:r>
              <w:rPr>
                <w:caps/>
                <w:szCs w:val="24"/>
              </w:rPr>
              <w:t>DATE OF ORDER:</w:t>
            </w:r>
          </w:p>
        </w:tc>
        <w:tc>
          <w:tcPr>
            <w:tcW w:w="6866" w:type="dxa"/>
          </w:tcPr>
          <w:p w:rsidR="00133C91" w:rsidRDefault="00271C60" w:rsidP="00A154E5">
            <w:pPr>
              <w:pStyle w:val="NormalHeadings"/>
              <w:jc w:val="left"/>
              <w:rPr>
                <w:caps/>
                <w:szCs w:val="24"/>
              </w:rPr>
            </w:pPr>
            <w:r>
              <w:rPr>
                <w:caps/>
                <w:szCs w:val="24"/>
              </w:rPr>
              <w:t xml:space="preserve">15 May </w:t>
            </w:r>
            <w:r w:rsidR="00133C91">
              <w:rPr>
                <w:caps/>
                <w:szCs w:val="24"/>
              </w:rPr>
              <w:t>2015</w:t>
            </w:r>
          </w:p>
        </w:tc>
      </w:tr>
      <w:tr w:rsidR="00133C91" w:rsidTr="00A154E5">
        <w:tc>
          <w:tcPr>
            <w:tcW w:w="2376" w:type="dxa"/>
          </w:tcPr>
          <w:p w:rsidR="00133C91" w:rsidRDefault="00133C91" w:rsidP="00A154E5">
            <w:pPr>
              <w:pStyle w:val="NormalHeadings"/>
              <w:spacing w:after="120"/>
              <w:jc w:val="left"/>
              <w:rPr>
                <w:caps/>
                <w:szCs w:val="24"/>
              </w:rPr>
            </w:pPr>
            <w:r>
              <w:rPr>
                <w:caps/>
                <w:szCs w:val="24"/>
              </w:rPr>
              <w:t>WHERE MADE:</w:t>
            </w:r>
          </w:p>
        </w:tc>
        <w:tc>
          <w:tcPr>
            <w:tcW w:w="6866" w:type="dxa"/>
          </w:tcPr>
          <w:p w:rsidR="00133C91" w:rsidRDefault="00133C91" w:rsidP="00A154E5">
            <w:pPr>
              <w:pStyle w:val="NormalHeadings"/>
              <w:jc w:val="left"/>
              <w:rPr>
                <w:caps/>
                <w:szCs w:val="24"/>
              </w:rPr>
            </w:pPr>
            <w:r>
              <w:rPr>
                <w:caps/>
                <w:szCs w:val="24"/>
              </w:rPr>
              <w:t>SYDNEY</w:t>
            </w:r>
          </w:p>
        </w:tc>
      </w:tr>
    </w:tbl>
    <w:p w:rsidR="00133C91" w:rsidRDefault="00133C91" w:rsidP="00133C91">
      <w:pPr>
        <w:pStyle w:val="NormalHeadings"/>
        <w:rPr>
          <w:b w:val="0"/>
        </w:rPr>
      </w:pPr>
    </w:p>
    <w:p w:rsidR="00133C91" w:rsidRDefault="00133C91" w:rsidP="00133C91">
      <w:pPr>
        <w:pStyle w:val="NormalHeadings"/>
      </w:pPr>
      <w:r>
        <w:t>THE COURT ORDERS THAT:</w:t>
      </w:r>
    </w:p>
    <w:p w:rsidR="00133C91" w:rsidRDefault="00133C91" w:rsidP="00133C91">
      <w:pPr>
        <w:pStyle w:val="NormalHeadings"/>
      </w:pPr>
    </w:p>
    <w:p w:rsidR="00271C60" w:rsidRDefault="00271C60" w:rsidP="00271C60">
      <w:pPr>
        <w:pStyle w:val="Order1"/>
        <w:numPr>
          <w:ilvl w:val="0"/>
          <w:numId w:val="34"/>
        </w:numPr>
      </w:pPr>
      <w:r>
        <w:t xml:space="preserve">Declare that s 70-40(2) of the </w:t>
      </w:r>
      <w:r w:rsidRPr="00271C60">
        <w:rPr>
          <w:i/>
        </w:rPr>
        <w:t>Income Tax Assessment Act 1997</w:t>
      </w:r>
      <w:r>
        <w:t xml:space="preserve"> (</w:t>
      </w:r>
      <w:proofErr w:type="spellStart"/>
      <w:r>
        <w:t>Cth</w:t>
      </w:r>
      <w:proofErr w:type="spellEnd"/>
      <w:r>
        <w:t>) requires the value of the taxpayers’ shares in each year in dispute to be valued at nil if no assessment has been issued for the preceding income year.</w:t>
      </w:r>
    </w:p>
    <w:p w:rsidR="00271C60" w:rsidRDefault="00271C60" w:rsidP="00271C60">
      <w:pPr>
        <w:pStyle w:val="Order1"/>
        <w:numPr>
          <w:ilvl w:val="0"/>
          <w:numId w:val="34"/>
        </w:numPr>
      </w:pPr>
      <w:r>
        <w:t>Direct the taxpayers to make elections under s 70-45 in respect of each item of trading stock on hand at the end of each financial year in dispute within 21 days hereof.</w:t>
      </w:r>
    </w:p>
    <w:p w:rsidR="00271C60" w:rsidRDefault="00271C60" w:rsidP="00271C60">
      <w:pPr>
        <w:pStyle w:val="Order1"/>
        <w:numPr>
          <w:ilvl w:val="0"/>
          <w:numId w:val="34"/>
        </w:numPr>
      </w:pPr>
      <w:r>
        <w:t>Remit to the Commissioner the objection decisions insofar as they relate to the trading stock issue, in conformity with this Court’s reasons.</w:t>
      </w:r>
    </w:p>
    <w:p w:rsidR="00271C60" w:rsidRPr="00E659C5" w:rsidRDefault="00271C60" w:rsidP="00271C60">
      <w:pPr>
        <w:pStyle w:val="Order1"/>
        <w:numPr>
          <w:ilvl w:val="0"/>
          <w:numId w:val="34"/>
        </w:numPr>
      </w:pPr>
      <w:r>
        <w:t>The Applicants are to pay the Commissioner’s costs of the trading stock debate on 4 May 2015.</w:t>
      </w:r>
    </w:p>
    <w:p w:rsidR="00133C91" w:rsidRDefault="00133C91" w:rsidP="00271C60">
      <w:pPr>
        <w:pStyle w:val="Order1"/>
        <w:numPr>
          <w:ilvl w:val="0"/>
          <w:numId w:val="0"/>
        </w:numPr>
      </w:pPr>
    </w:p>
    <w:p w:rsidR="00133C91" w:rsidRDefault="00133C91" w:rsidP="00133C91">
      <w:pPr>
        <w:pStyle w:val="BodyText"/>
      </w:pPr>
    </w:p>
    <w:p w:rsidR="00133C91" w:rsidRDefault="00133C91" w:rsidP="00133C91">
      <w:pPr>
        <w:pStyle w:val="BodyText"/>
        <w:jc w:val="left"/>
        <w:sectPr w:rsidR="00133C91">
          <w:endnotePr>
            <w:numFmt w:val="decimal"/>
          </w:endnotePr>
          <w:pgSz w:w="11907" w:h="16840" w:code="9"/>
          <w:pgMar w:top="1440" w:right="1440" w:bottom="1440" w:left="1440" w:header="851" w:footer="851" w:gutter="0"/>
          <w:pgNumType w:start="1"/>
          <w:cols w:space="720"/>
          <w:noEndnote/>
          <w:titlePg/>
        </w:sectPr>
      </w:pPr>
      <w:r>
        <w:t>Note:</w:t>
      </w:r>
      <w:r>
        <w:tab/>
        <w:t xml:space="preserve">Entry of orders is dealt with in Rule 39.32 of the </w:t>
      </w:r>
      <w:r>
        <w:rPr>
          <w:i/>
        </w:rPr>
        <w:t>Federal Court Rules 2011</w:t>
      </w:r>
      <w:r>
        <w:t>.</w:t>
      </w:r>
    </w:p>
    <w:tbl>
      <w:tblPr>
        <w:tblW w:w="0" w:type="auto"/>
        <w:tblLayout w:type="fixed"/>
        <w:tblLook w:val="0000" w:firstRow="0" w:lastRow="0" w:firstColumn="0" w:lastColumn="0" w:noHBand="0" w:noVBand="0"/>
      </w:tblPr>
      <w:tblGrid>
        <w:gridCol w:w="6771"/>
        <w:gridCol w:w="2471"/>
      </w:tblGrid>
      <w:tr w:rsidR="00133C91" w:rsidTr="00A154E5">
        <w:tc>
          <w:tcPr>
            <w:tcW w:w="6771" w:type="dxa"/>
          </w:tcPr>
          <w:p w:rsidR="00133C91" w:rsidRDefault="00133C91" w:rsidP="00A154E5">
            <w:pPr>
              <w:pStyle w:val="NormalHeadings"/>
              <w:spacing w:after="120"/>
              <w:jc w:val="left"/>
              <w:rPr>
                <w:caps/>
                <w:szCs w:val="24"/>
              </w:rPr>
            </w:pPr>
            <w:r>
              <w:rPr>
                <w:caps/>
                <w:szCs w:val="24"/>
              </w:rPr>
              <w:lastRenderedPageBreak/>
              <w:t>IN THE FEDERAL COURT OF AUSTRALIA</w:t>
            </w:r>
          </w:p>
        </w:tc>
        <w:tc>
          <w:tcPr>
            <w:tcW w:w="2471" w:type="dxa"/>
          </w:tcPr>
          <w:p w:rsidR="00133C91" w:rsidRDefault="00133C91" w:rsidP="00A154E5">
            <w:pPr>
              <w:pStyle w:val="NormalHeadings"/>
              <w:jc w:val="left"/>
              <w:rPr>
                <w:caps/>
                <w:szCs w:val="24"/>
              </w:rPr>
            </w:pPr>
          </w:p>
        </w:tc>
      </w:tr>
      <w:tr w:rsidR="00133C91" w:rsidTr="00A154E5">
        <w:tc>
          <w:tcPr>
            <w:tcW w:w="6771" w:type="dxa"/>
          </w:tcPr>
          <w:p w:rsidR="00133C91" w:rsidRDefault="00133C91" w:rsidP="00A154E5">
            <w:pPr>
              <w:pStyle w:val="NormalHeadings"/>
              <w:spacing w:after="120"/>
              <w:jc w:val="left"/>
              <w:rPr>
                <w:caps/>
                <w:szCs w:val="24"/>
              </w:rPr>
            </w:pPr>
            <w:r>
              <w:rPr>
                <w:caps/>
                <w:szCs w:val="24"/>
              </w:rPr>
              <w:t>NEW SOUTH WALES DISTRICT REGISTRY</w:t>
            </w:r>
          </w:p>
        </w:tc>
        <w:tc>
          <w:tcPr>
            <w:tcW w:w="2471" w:type="dxa"/>
          </w:tcPr>
          <w:p w:rsidR="00133C91" w:rsidRDefault="00133C91" w:rsidP="00A154E5">
            <w:pPr>
              <w:pStyle w:val="NormalHeadings"/>
              <w:tabs>
                <w:tab w:val="right" w:pos="3609"/>
              </w:tabs>
              <w:jc w:val="right"/>
              <w:rPr>
                <w:szCs w:val="24"/>
              </w:rPr>
            </w:pPr>
          </w:p>
        </w:tc>
      </w:tr>
      <w:tr w:rsidR="00133C91" w:rsidTr="00A154E5">
        <w:tc>
          <w:tcPr>
            <w:tcW w:w="6771" w:type="dxa"/>
          </w:tcPr>
          <w:p w:rsidR="00133C91" w:rsidRDefault="00133C91" w:rsidP="00A154E5">
            <w:pPr>
              <w:pStyle w:val="NormalHeadings"/>
              <w:spacing w:after="120"/>
              <w:jc w:val="left"/>
              <w:rPr>
                <w:caps/>
                <w:szCs w:val="24"/>
              </w:rPr>
            </w:pPr>
            <w:r>
              <w:rPr>
                <w:caps/>
                <w:szCs w:val="24"/>
              </w:rPr>
              <w:t>GENERAL DIVISION</w:t>
            </w:r>
          </w:p>
        </w:tc>
        <w:tc>
          <w:tcPr>
            <w:tcW w:w="2471" w:type="dxa"/>
          </w:tcPr>
          <w:p w:rsidR="00133C91" w:rsidRDefault="00133C91" w:rsidP="00133C91">
            <w:pPr>
              <w:pStyle w:val="NormalHeadings"/>
              <w:tabs>
                <w:tab w:val="right" w:pos="3609"/>
              </w:tabs>
              <w:jc w:val="right"/>
              <w:rPr>
                <w:szCs w:val="24"/>
              </w:rPr>
            </w:pPr>
            <w:r>
              <w:rPr>
                <w:szCs w:val="24"/>
              </w:rPr>
              <w:t>NSD</w:t>
            </w:r>
            <w:r w:rsidR="00A154E5">
              <w:rPr>
                <w:szCs w:val="24"/>
              </w:rPr>
              <w:t xml:space="preserve"> </w:t>
            </w:r>
            <w:r>
              <w:rPr>
                <w:szCs w:val="24"/>
              </w:rPr>
              <w:t>654 of 2011</w:t>
            </w:r>
          </w:p>
        </w:tc>
      </w:tr>
    </w:tbl>
    <w:p w:rsidR="00133C91" w:rsidRPr="00133C91" w:rsidRDefault="00133C91" w:rsidP="00133C91">
      <w:pPr>
        <w:pStyle w:val="AppealTable"/>
        <w:rPr>
          <w:sz w:val="24"/>
        </w:rPr>
      </w:pPr>
      <w:r w:rsidRPr="00133C91">
        <w:rPr>
          <w:sz w:val="24"/>
        </w:rPr>
        <w:t xml:space="preserve"> </w:t>
      </w:r>
    </w:p>
    <w:tbl>
      <w:tblPr>
        <w:tblW w:w="0" w:type="auto"/>
        <w:tblLayout w:type="fixed"/>
        <w:tblLook w:val="0000" w:firstRow="0" w:lastRow="0" w:firstColumn="0" w:lastColumn="0" w:noHBand="0" w:noVBand="0"/>
      </w:tblPr>
      <w:tblGrid>
        <w:gridCol w:w="2376"/>
        <w:gridCol w:w="6866"/>
      </w:tblGrid>
      <w:tr w:rsidR="00133C91" w:rsidTr="00A154E5">
        <w:trPr>
          <w:trHeight w:val="386"/>
        </w:trPr>
        <w:tc>
          <w:tcPr>
            <w:tcW w:w="2376" w:type="dxa"/>
          </w:tcPr>
          <w:p w:rsidR="00133C91" w:rsidRDefault="00133C91" w:rsidP="00A154E5">
            <w:pPr>
              <w:pStyle w:val="NormalHeadings"/>
              <w:jc w:val="left"/>
              <w:rPr>
                <w:caps/>
                <w:szCs w:val="24"/>
              </w:rPr>
            </w:pPr>
            <w:r>
              <w:rPr>
                <w:caps/>
                <w:szCs w:val="24"/>
              </w:rPr>
              <w:t>BETWEEN:</w:t>
            </w:r>
          </w:p>
        </w:tc>
        <w:tc>
          <w:tcPr>
            <w:tcW w:w="6866" w:type="dxa"/>
          </w:tcPr>
          <w:p w:rsidR="00133C91" w:rsidRDefault="00A154E5" w:rsidP="00A154E5">
            <w:pPr>
              <w:pStyle w:val="NormalHeadings"/>
              <w:jc w:val="left"/>
              <w:rPr>
                <w:szCs w:val="24"/>
              </w:rPr>
            </w:pPr>
            <w:r>
              <w:rPr>
                <w:szCs w:val="24"/>
              </w:rPr>
              <w:t>CHEMICAL TRUSTEE LIMITED</w:t>
            </w:r>
          </w:p>
          <w:p w:rsidR="00133C91" w:rsidRDefault="00133C91" w:rsidP="00A154E5">
            <w:pPr>
              <w:pStyle w:val="NormalHeadings"/>
              <w:jc w:val="left"/>
              <w:rPr>
                <w:szCs w:val="24"/>
              </w:rPr>
            </w:pPr>
            <w:r>
              <w:rPr>
                <w:szCs w:val="24"/>
              </w:rPr>
              <w:t>Applicant</w:t>
            </w:r>
          </w:p>
          <w:p w:rsidR="00133C91" w:rsidRDefault="00133C91" w:rsidP="00A154E5">
            <w:pPr>
              <w:pStyle w:val="NormalHeadings"/>
              <w:jc w:val="left"/>
              <w:rPr>
                <w:szCs w:val="24"/>
              </w:rPr>
            </w:pPr>
          </w:p>
        </w:tc>
      </w:tr>
      <w:tr w:rsidR="00133C91" w:rsidTr="00A154E5">
        <w:trPr>
          <w:trHeight w:val="386"/>
        </w:trPr>
        <w:tc>
          <w:tcPr>
            <w:tcW w:w="2376" w:type="dxa"/>
          </w:tcPr>
          <w:p w:rsidR="00133C91" w:rsidRDefault="00133C91" w:rsidP="00A154E5">
            <w:pPr>
              <w:pStyle w:val="NormalHeadings"/>
              <w:jc w:val="left"/>
              <w:rPr>
                <w:caps/>
                <w:szCs w:val="24"/>
              </w:rPr>
            </w:pPr>
            <w:r>
              <w:rPr>
                <w:caps/>
                <w:szCs w:val="24"/>
              </w:rPr>
              <w:t>AND:</w:t>
            </w:r>
          </w:p>
        </w:tc>
        <w:tc>
          <w:tcPr>
            <w:tcW w:w="6866" w:type="dxa"/>
          </w:tcPr>
          <w:p w:rsidR="00133C91" w:rsidRDefault="00133C91" w:rsidP="00A154E5">
            <w:pPr>
              <w:pStyle w:val="NormalHeadings"/>
              <w:jc w:val="left"/>
              <w:rPr>
                <w:szCs w:val="24"/>
              </w:rPr>
            </w:pPr>
            <w:r>
              <w:rPr>
                <w:szCs w:val="24"/>
              </w:rPr>
              <w:t>COMMISSIONER OF TAXATION</w:t>
            </w:r>
          </w:p>
          <w:p w:rsidR="00133C91" w:rsidRDefault="00133C91" w:rsidP="00A154E5">
            <w:pPr>
              <w:pStyle w:val="NormalHeadings"/>
              <w:jc w:val="left"/>
              <w:rPr>
                <w:szCs w:val="24"/>
              </w:rPr>
            </w:pPr>
            <w:r>
              <w:rPr>
                <w:szCs w:val="24"/>
              </w:rPr>
              <w:t>Respondent</w:t>
            </w:r>
          </w:p>
          <w:p w:rsidR="00133C91" w:rsidRDefault="00133C91" w:rsidP="00A154E5">
            <w:pPr>
              <w:pStyle w:val="NormalHeadings"/>
              <w:jc w:val="left"/>
              <w:rPr>
                <w:szCs w:val="24"/>
              </w:rPr>
            </w:pPr>
          </w:p>
        </w:tc>
      </w:tr>
    </w:tbl>
    <w:p w:rsidR="00133C91" w:rsidRDefault="00133C91" w:rsidP="00133C91">
      <w:pPr>
        <w:pStyle w:val="NormalHeadings"/>
      </w:pPr>
    </w:p>
    <w:tbl>
      <w:tblPr>
        <w:tblW w:w="0" w:type="auto"/>
        <w:tblLayout w:type="fixed"/>
        <w:tblLook w:val="0000" w:firstRow="0" w:lastRow="0" w:firstColumn="0" w:lastColumn="0" w:noHBand="0" w:noVBand="0"/>
      </w:tblPr>
      <w:tblGrid>
        <w:gridCol w:w="2376"/>
        <w:gridCol w:w="6866"/>
      </w:tblGrid>
      <w:tr w:rsidR="00133C91" w:rsidTr="00A154E5">
        <w:tc>
          <w:tcPr>
            <w:tcW w:w="2376" w:type="dxa"/>
          </w:tcPr>
          <w:p w:rsidR="00133C91" w:rsidRDefault="00133C91" w:rsidP="00A154E5">
            <w:pPr>
              <w:pStyle w:val="NormalHeadings"/>
              <w:spacing w:after="120"/>
              <w:jc w:val="left"/>
              <w:rPr>
                <w:caps/>
                <w:szCs w:val="24"/>
              </w:rPr>
            </w:pPr>
            <w:r>
              <w:rPr>
                <w:caps/>
                <w:szCs w:val="24"/>
              </w:rPr>
              <w:t>JUDGE:</w:t>
            </w:r>
          </w:p>
        </w:tc>
        <w:tc>
          <w:tcPr>
            <w:tcW w:w="6866" w:type="dxa"/>
          </w:tcPr>
          <w:p w:rsidR="00133C91" w:rsidRDefault="00133C91" w:rsidP="00A154E5">
            <w:pPr>
              <w:pStyle w:val="NormalHeadings"/>
              <w:jc w:val="left"/>
              <w:rPr>
                <w:caps/>
                <w:szCs w:val="24"/>
              </w:rPr>
            </w:pPr>
            <w:r>
              <w:rPr>
                <w:caps/>
                <w:szCs w:val="24"/>
              </w:rPr>
              <w:t>PERRAM J</w:t>
            </w:r>
          </w:p>
        </w:tc>
      </w:tr>
      <w:tr w:rsidR="00133C91" w:rsidTr="00A154E5">
        <w:tc>
          <w:tcPr>
            <w:tcW w:w="2376" w:type="dxa"/>
          </w:tcPr>
          <w:p w:rsidR="00133C91" w:rsidRDefault="00133C91" w:rsidP="00A154E5">
            <w:pPr>
              <w:pStyle w:val="NormalHeadings"/>
              <w:spacing w:after="120"/>
              <w:jc w:val="left"/>
              <w:rPr>
                <w:caps/>
                <w:szCs w:val="24"/>
              </w:rPr>
            </w:pPr>
            <w:r>
              <w:rPr>
                <w:caps/>
                <w:szCs w:val="24"/>
              </w:rPr>
              <w:t>DATE OF ORDER:</w:t>
            </w:r>
          </w:p>
        </w:tc>
        <w:tc>
          <w:tcPr>
            <w:tcW w:w="6866" w:type="dxa"/>
          </w:tcPr>
          <w:p w:rsidR="00133C91" w:rsidRDefault="00271C60" w:rsidP="00A154E5">
            <w:pPr>
              <w:pStyle w:val="NormalHeadings"/>
              <w:jc w:val="left"/>
              <w:rPr>
                <w:caps/>
                <w:szCs w:val="24"/>
              </w:rPr>
            </w:pPr>
            <w:r>
              <w:rPr>
                <w:caps/>
                <w:szCs w:val="24"/>
              </w:rPr>
              <w:t xml:space="preserve">15 MAY </w:t>
            </w:r>
            <w:r w:rsidR="00133C91">
              <w:rPr>
                <w:caps/>
                <w:szCs w:val="24"/>
              </w:rPr>
              <w:t>2015</w:t>
            </w:r>
          </w:p>
        </w:tc>
      </w:tr>
      <w:tr w:rsidR="00133C91" w:rsidTr="00A154E5">
        <w:tc>
          <w:tcPr>
            <w:tcW w:w="2376" w:type="dxa"/>
          </w:tcPr>
          <w:p w:rsidR="00133C91" w:rsidRDefault="00133C91" w:rsidP="00A154E5">
            <w:pPr>
              <w:pStyle w:val="NormalHeadings"/>
              <w:spacing w:after="120"/>
              <w:jc w:val="left"/>
              <w:rPr>
                <w:caps/>
                <w:szCs w:val="24"/>
              </w:rPr>
            </w:pPr>
            <w:r>
              <w:rPr>
                <w:caps/>
                <w:szCs w:val="24"/>
              </w:rPr>
              <w:t>WHERE MADE:</w:t>
            </w:r>
          </w:p>
        </w:tc>
        <w:tc>
          <w:tcPr>
            <w:tcW w:w="6866" w:type="dxa"/>
          </w:tcPr>
          <w:p w:rsidR="00133C91" w:rsidRDefault="00133C91" w:rsidP="00A154E5">
            <w:pPr>
              <w:pStyle w:val="NormalHeadings"/>
              <w:jc w:val="left"/>
              <w:rPr>
                <w:caps/>
                <w:szCs w:val="24"/>
              </w:rPr>
            </w:pPr>
            <w:r>
              <w:rPr>
                <w:caps/>
                <w:szCs w:val="24"/>
              </w:rPr>
              <w:t>SYDNEY</w:t>
            </w:r>
          </w:p>
        </w:tc>
      </w:tr>
    </w:tbl>
    <w:p w:rsidR="00133C91" w:rsidRDefault="00133C91" w:rsidP="00133C91">
      <w:pPr>
        <w:pStyle w:val="NormalHeadings"/>
        <w:rPr>
          <w:b w:val="0"/>
        </w:rPr>
      </w:pPr>
    </w:p>
    <w:p w:rsidR="00133C91" w:rsidRDefault="00133C91" w:rsidP="00133C91">
      <w:pPr>
        <w:pStyle w:val="NormalHeadings"/>
      </w:pPr>
      <w:r>
        <w:t>THE COURT ORDERS THAT:</w:t>
      </w:r>
    </w:p>
    <w:p w:rsidR="00133C91" w:rsidRDefault="00133C91" w:rsidP="00133C91">
      <w:pPr>
        <w:pStyle w:val="NormalHeadings"/>
      </w:pPr>
    </w:p>
    <w:p w:rsidR="00271C60" w:rsidRDefault="00271C60" w:rsidP="00271C60">
      <w:pPr>
        <w:pStyle w:val="Order1"/>
        <w:numPr>
          <w:ilvl w:val="0"/>
          <w:numId w:val="35"/>
        </w:numPr>
      </w:pPr>
      <w:r>
        <w:t xml:space="preserve">Declare that s 70-40(2) of the </w:t>
      </w:r>
      <w:r w:rsidRPr="00271C60">
        <w:rPr>
          <w:i/>
        </w:rPr>
        <w:t>Income Tax Assessment Act 1997</w:t>
      </w:r>
      <w:r>
        <w:t xml:space="preserve"> (</w:t>
      </w:r>
      <w:proofErr w:type="spellStart"/>
      <w:r>
        <w:t>Cth</w:t>
      </w:r>
      <w:proofErr w:type="spellEnd"/>
      <w:r>
        <w:t>) requires the value of the taxpayers’ shares in each year in dispute to be valued at nil if no assessment has been issued for the preceding income year.</w:t>
      </w:r>
    </w:p>
    <w:p w:rsidR="00271C60" w:rsidRDefault="00271C60" w:rsidP="00271C60">
      <w:pPr>
        <w:pStyle w:val="Order1"/>
        <w:numPr>
          <w:ilvl w:val="0"/>
          <w:numId w:val="35"/>
        </w:numPr>
      </w:pPr>
      <w:r>
        <w:t>Direct the taxpayers to make elections under s 70-45 in respect of each item of trading stock on hand at the end of each financial year in dispute within 21 days hereof.</w:t>
      </w:r>
    </w:p>
    <w:p w:rsidR="00271C60" w:rsidRDefault="00271C60" w:rsidP="00271C60">
      <w:pPr>
        <w:pStyle w:val="Order1"/>
        <w:numPr>
          <w:ilvl w:val="0"/>
          <w:numId w:val="35"/>
        </w:numPr>
      </w:pPr>
      <w:r>
        <w:t>Remit to the Commissioner the objection decisions insofar as they relate to the trading stock issue, in conformity with this Court’s reasons.</w:t>
      </w:r>
    </w:p>
    <w:p w:rsidR="00271C60" w:rsidRPr="00E659C5" w:rsidRDefault="00271C60" w:rsidP="00271C60">
      <w:pPr>
        <w:pStyle w:val="Order1"/>
        <w:numPr>
          <w:ilvl w:val="0"/>
          <w:numId w:val="35"/>
        </w:numPr>
      </w:pPr>
      <w:r>
        <w:t>The Applicants are to pay the Commissioner’s costs of the trading stock debate on 4 May 2015.</w:t>
      </w:r>
    </w:p>
    <w:p w:rsidR="00133C91" w:rsidRDefault="00133C91" w:rsidP="00BF732B">
      <w:pPr>
        <w:pStyle w:val="Order1"/>
        <w:numPr>
          <w:ilvl w:val="0"/>
          <w:numId w:val="0"/>
        </w:numPr>
        <w:ind w:left="720"/>
      </w:pPr>
    </w:p>
    <w:p w:rsidR="00133C91" w:rsidRDefault="00133C91" w:rsidP="00133C91">
      <w:pPr>
        <w:pStyle w:val="BodyText"/>
      </w:pPr>
    </w:p>
    <w:p w:rsidR="00133C91" w:rsidRDefault="00133C91" w:rsidP="00133C91">
      <w:pPr>
        <w:pStyle w:val="BodyText"/>
      </w:pPr>
    </w:p>
    <w:p w:rsidR="00133C91" w:rsidRDefault="00133C91" w:rsidP="00A154E5">
      <w:pPr>
        <w:pStyle w:val="BodyText"/>
        <w:jc w:val="left"/>
        <w:sectPr w:rsidR="00133C91">
          <w:endnotePr>
            <w:numFmt w:val="decimal"/>
          </w:endnotePr>
          <w:pgSz w:w="11907" w:h="16840" w:code="9"/>
          <w:pgMar w:top="1440" w:right="1440" w:bottom="1440" w:left="1440" w:header="851" w:footer="851" w:gutter="0"/>
          <w:pgNumType w:start="1"/>
          <w:cols w:space="720"/>
          <w:noEndnote/>
          <w:titlePg/>
        </w:sectPr>
      </w:pPr>
      <w:r>
        <w:t>Note:</w:t>
      </w:r>
      <w:r>
        <w:tab/>
        <w:t xml:space="preserve">Entry of orders is dealt with in Rule 39.32 of the </w:t>
      </w:r>
      <w:r>
        <w:rPr>
          <w:i/>
        </w:rPr>
        <w:t>Federal Court Rules 2011</w:t>
      </w:r>
      <w:r>
        <w:t>.</w:t>
      </w:r>
    </w:p>
    <w:tbl>
      <w:tblPr>
        <w:tblW w:w="0" w:type="auto"/>
        <w:tblLayout w:type="fixed"/>
        <w:tblLook w:val="0000" w:firstRow="0" w:lastRow="0" w:firstColumn="0" w:lastColumn="0" w:noHBand="0" w:noVBand="0"/>
      </w:tblPr>
      <w:tblGrid>
        <w:gridCol w:w="6771"/>
        <w:gridCol w:w="2471"/>
      </w:tblGrid>
      <w:tr w:rsidR="00A154E5" w:rsidTr="00A154E5">
        <w:tc>
          <w:tcPr>
            <w:tcW w:w="6771" w:type="dxa"/>
          </w:tcPr>
          <w:p w:rsidR="00A154E5" w:rsidRDefault="00A154E5" w:rsidP="00A154E5">
            <w:pPr>
              <w:pStyle w:val="NormalHeadings"/>
              <w:spacing w:after="120"/>
              <w:jc w:val="left"/>
              <w:rPr>
                <w:caps/>
                <w:szCs w:val="24"/>
              </w:rPr>
            </w:pPr>
            <w:r>
              <w:rPr>
                <w:caps/>
                <w:szCs w:val="24"/>
              </w:rPr>
              <w:lastRenderedPageBreak/>
              <w:t>IN THE FEDERAL COURT OF AUSTRALIA</w:t>
            </w:r>
          </w:p>
        </w:tc>
        <w:tc>
          <w:tcPr>
            <w:tcW w:w="2471" w:type="dxa"/>
          </w:tcPr>
          <w:p w:rsidR="00A154E5" w:rsidRDefault="00A154E5" w:rsidP="00A154E5">
            <w:pPr>
              <w:pStyle w:val="NormalHeadings"/>
              <w:jc w:val="left"/>
              <w:rPr>
                <w:caps/>
                <w:szCs w:val="24"/>
              </w:rPr>
            </w:pPr>
          </w:p>
        </w:tc>
      </w:tr>
      <w:tr w:rsidR="00A154E5" w:rsidTr="00A154E5">
        <w:tc>
          <w:tcPr>
            <w:tcW w:w="6771" w:type="dxa"/>
          </w:tcPr>
          <w:p w:rsidR="00A154E5" w:rsidRDefault="00A154E5" w:rsidP="00A154E5">
            <w:pPr>
              <w:pStyle w:val="NormalHeadings"/>
              <w:spacing w:after="120"/>
              <w:jc w:val="left"/>
              <w:rPr>
                <w:caps/>
                <w:szCs w:val="24"/>
              </w:rPr>
            </w:pPr>
            <w:r>
              <w:rPr>
                <w:caps/>
                <w:szCs w:val="24"/>
              </w:rPr>
              <w:t>NEW SOUTH WALES DISTRICT REGISTRY</w:t>
            </w:r>
          </w:p>
        </w:tc>
        <w:tc>
          <w:tcPr>
            <w:tcW w:w="2471" w:type="dxa"/>
          </w:tcPr>
          <w:p w:rsidR="00A154E5" w:rsidRDefault="00A154E5" w:rsidP="00A154E5">
            <w:pPr>
              <w:pStyle w:val="NormalHeadings"/>
              <w:tabs>
                <w:tab w:val="right" w:pos="3609"/>
              </w:tabs>
              <w:jc w:val="right"/>
              <w:rPr>
                <w:szCs w:val="24"/>
              </w:rPr>
            </w:pPr>
          </w:p>
        </w:tc>
      </w:tr>
      <w:tr w:rsidR="00A154E5" w:rsidTr="00A154E5">
        <w:tc>
          <w:tcPr>
            <w:tcW w:w="6771" w:type="dxa"/>
          </w:tcPr>
          <w:p w:rsidR="00A154E5" w:rsidRDefault="00A154E5" w:rsidP="00A154E5">
            <w:pPr>
              <w:pStyle w:val="NormalHeadings"/>
              <w:spacing w:after="120"/>
              <w:jc w:val="left"/>
              <w:rPr>
                <w:caps/>
                <w:szCs w:val="24"/>
              </w:rPr>
            </w:pPr>
            <w:r>
              <w:rPr>
                <w:caps/>
                <w:szCs w:val="24"/>
              </w:rPr>
              <w:t>GENERAL DIVISION</w:t>
            </w:r>
          </w:p>
        </w:tc>
        <w:tc>
          <w:tcPr>
            <w:tcW w:w="2471" w:type="dxa"/>
          </w:tcPr>
          <w:p w:rsidR="00A154E5" w:rsidRDefault="00A154E5" w:rsidP="00A154E5">
            <w:pPr>
              <w:pStyle w:val="NormalHeadings"/>
              <w:tabs>
                <w:tab w:val="right" w:pos="3609"/>
              </w:tabs>
              <w:jc w:val="right"/>
              <w:rPr>
                <w:szCs w:val="24"/>
              </w:rPr>
            </w:pPr>
            <w:r>
              <w:rPr>
                <w:szCs w:val="24"/>
              </w:rPr>
              <w:t>NSD 655 of 2011</w:t>
            </w:r>
          </w:p>
        </w:tc>
      </w:tr>
    </w:tbl>
    <w:p w:rsidR="00A154E5" w:rsidRPr="00133C91" w:rsidRDefault="00A154E5" w:rsidP="00A154E5">
      <w:pPr>
        <w:pStyle w:val="AppealTable"/>
        <w:rPr>
          <w:sz w:val="24"/>
        </w:rPr>
      </w:pPr>
      <w:r w:rsidRPr="00133C91">
        <w:rPr>
          <w:sz w:val="24"/>
        </w:rPr>
        <w:t xml:space="preserve"> </w:t>
      </w:r>
    </w:p>
    <w:tbl>
      <w:tblPr>
        <w:tblW w:w="0" w:type="auto"/>
        <w:tblLayout w:type="fixed"/>
        <w:tblLook w:val="0000" w:firstRow="0" w:lastRow="0" w:firstColumn="0" w:lastColumn="0" w:noHBand="0" w:noVBand="0"/>
      </w:tblPr>
      <w:tblGrid>
        <w:gridCol w:w="2376"/>
        <w:gridCol w:w="6866"/>
      </w:tblGrid>
      <w:tr w:rsidR="00A154E5" w:rsidTr="00A154E5">
        <w:trPr>
          <w:trHeight w:val="386"/>
        </w:trPr>
        <w:tc>
          <w:tcPr>
            <w:tcW w:w="2376" w:type="dxa"/>
          </w:tcPr>
          <w:p w:rsidR="00A154E5" w:rsidRDefault="00A154E5" w:rsidP="00A154E5">
            <w:pPr>
              <w:pStyle w:val="NormalHeadings"/>
              <w:jc w:val="left"/>
              <w:rPr>
                <w:caps/>
                <w:szCs w:val="24"/>
              </w:rPr>
            </w:pPr>
            <w:r>
              <w:rPr>
                <w:caps/>
                <w:szCs w:val="24"/>
              </w:rPr>
              <w:t>BETWEEN:</w:t>
            </w:r>
          </w:p>
        </w:tc>
        <w:tc>
          <w:tcPr>
            <w:tcW w:w="6866" w:type="dxa"/>
          </w:tcPr>
          <w:p w:rsidR="00A154E5" w:rsidRDefault="00A154E5" w:rsidP="00A154E5">
            <w:pPr>
              <w:pStyle w:val="NormalHeadings"/>
              <w:jc w:val="left"/>
              <w:rPr>
                <w:szCs w:val="24"/>
              </w:rPr>
            </w:pPr>
            <w:r>
              <w:rPr>
                <w:szCs w:val="24"/>
              </w:rPr>
              <w:t xml:space="preserve">SOUTHGATE INVESTMENT FUNDS LIMITED </w:t>
            </w:r>
          </w:p>
          <w:p w:rsidR="00A154E5" w:rsidRDefault="00A154E5" w:rsidP="00A154E5">
            <w:pPr>
              <w:pStyle w:val="NormalHeadings"/>
              <w:jc w:val="left"/>
              <w:rPr>
                <w:szCs w:val="24"/>
              </w:rPr>
            </w:pPr>
            <w:r>
              <w:rPr>
                <w:szCs w:val="24"/>
              </w:rPr>
              <w:t>Applicant</w:t>
            </w:r>
          </w:p>
          <w:p w:rsidR="00A154E5" w:rsidRDefault="00A154E5" w:rsidP="00A154E5">
            <w:pPr>
              <w:pStyle w:val="NormalHeadings"/>
              <w:jc w:val="left"/>
              <w:rPr>
                <w:szCs w:val="24"/>
              </w:rPr>
            </w:pPr>
          </w:p>
        </w:tc>
      </w:tr>
      <w:tr w:rsidR="00A154E5" w:rsidTr="00A154E5">
        <w:trPr>
          <w:trHeight w:val="386"/>
        </w:trPr>
        <w:tc>
          <w:tcPr>
            <w:tcW w:w="2376" w:type="dxa"/>
          </w:tcPr>
          <w:p w:rsidR="00A154E5" w:rsidRDefault="00A154E5" w:rsidP="00A154E5">
            <w:pPr>
              <w:pStyle w:val="NormalHeadings"/>
              <w:jc w:val="left"/>
              <w:rPr>
                <w:caps/>
                <w:szCs w:val="24"/>
              </w:rPr>
            </w:pPr>
            <w:r>
              <w:rPr>
                <w:caps/>
                <w:szCs w:val="24"/>
              </w:rPr>
              <w:t>AND:</w:t>
            </w:r>
          </w:p>
        </w:tc>
        <w:tc>
          <w:tcPr>
            <w:tcW w:w="6866" w:type="dxa"/>
          </w:tcPr>
          <w:p w:rsidR="00A154E5" w:rsidRDefault="00A154E5" w:rsidP="00A154E5">
            <w:pPr>
              <w:pStyle w:val="NormalHeadings"/>
              <w:jc w:val="left"/>
              <w:rPr>
                <w:szCs w:val="24"/>
              </w:rPr>
            </w:pPr>
            <w:r>
              <w:rPr>
                <w:szCs w:val="24"/>
              </w:rPr>
              <w:t>COMMISSIONER OF TAXATION</w:t>
            </w:r>
          </w:p>
          <w:p w:rsidR="00A154E5" w:rsidRDefault="00A154E5" w:rsidP="00A154E5">
            <w:pPr>
              <w:pStyle w:val="NormalHeadings"/>
              <w:jc w:val="left"/>
              <w:rPr>
                <w:szCs w:val="24"/>
              </w:rPr>
            </w:pPr>
            <w:r>
              <w:rPr>
                <w:szCs w:val="24"/>
              </w:rPr>
              <w:t>Respondent</w:t>
            </w:r>
          </w:p>
          <w:p w:rsidR="00A154E5" w:rsidRDefault="00A154E5" w:rsidP="00A154E5">
            <w:pPr>
              <w:pStyle w:val="NormalHeadings"/>
              <w:jc w:val="left"/>
              <w:rPr>
                <w:szCs w:val="24"/>
              </w:rPr>
            </w:pPr>
          </w:p>
        </w:tc>
      </w:tr>
    </w:tbl>
    <w:p w:rsidR="00A154E5" w:rsidRDefault="00A154E5" w:rsidP="00A154E5">
      <w:pPr>
        <w:pStyle w:val="NormalHeadings"/>
      </w:pPr>
    </w:p>
    <w:tbl>
      <w:tblPr>
        <w:tblW w:w="0" w:type="auto"/>
        <w:tblLayout w:type="fixed"/>
        <w:tblLook w:val="0000" w:firstRow="0" w:lastRow="0" w:firstColumn="0" w:lastColumn="0" w:noHBand="0" w:noVBand="0"/>
      </w:tblPr>
      <w:tblGrid>
        <w:gridCol w:w="2376"/>
        <w:gridCol w:w="6866"/>
      </w:tblGrid>
      <w:tr w:rsidR="00A154E5" w:rsidTr="00A154E5">
        <w:tc>
          <w:tcPr>
            <w:tcW w:w="2376" w:type="dxa"/>
          </w:tcPr>
          <w:p w:rsidR="00A154E5" w:rsidRDefault="00A154E5" w:rsidP="00A154E5">
            <w:pPr>
              <w:pStyle w:val="NormalHeadings"/>
              <w:spacing w:after="120"/>
              <w:jc w:val="left"/>
              <w:rPr>
                <w:caps/>
                <w:szCs w:val="24"/>
              </w:rPr>
            </w:pPr>
            <w:r>
              <w:rPr>
                <w:caps/>
                <w:szCs w:val="24"/>
              </w:rPr>
              <w:t>JUDGE:</w:t>
            </w:r>
          </w:p>
        </w:tc>
        <w:tc>
          <w:tcPr>
            <w:tcW w:w="6866" w:type="dxa"/>
          </w:tcPr>
          <w:p w:rsidR="00A154E5" w:rsidRDefault="00A154E5" w:rsidP="00A154E5">
            <w:pPr>
              <w:pStyle w:val="NormalHeadings"/>
              <w:jc w:val="left"/>
              <w:rPr>
                <w:caps/>
                <w:szCs w:val="24"/>
              </w:rPr>
            </w:pPr>
            <w:r>
              <w:rPr>
                <w:caps/>
                <w:szCs w:val="24"/>
              </w:rPr>
              <w:t>PERRAM J</w:t>
            </w:r>
          </w:p>
        </w:tc>
      </w:tr>
      <w:tr w:rsidR="00A154E5" w:rsidTr="00A154E5">
        <w:tc>
          <w:tcPr>
            <w:tcW w:w="2376" w:type="dxa"/>
          </w:tcPr>
          <w:p w:rsidR="00A154E5" w:rsidRDefault="00A154E5" w:rsidP="00A154E5">
            <w:pPr>
              <w:pStyle w:val="NormalHeadings"/>
              <w:spacing w:after="120"/>
              <w:jc w:val="left"/>
              <w:rPr>
                <w:caps/>
                <w:szCs w:val="24"/>
              </w:rPr>
            </w:pPr>
            <w:r>
              <w:rPr>
                <w:caps/>
                <w:szCs w:val="24"/>
              </w:rPr>
              <w:t>DATE OF ORDER:</w:t>
            </w:r>
          </w:p>
        </w:tc>
        <w:tc>
          <w:tcPr>
            <w:tcW w:w="6866" w:type="dxa"/>
          </w:tcPr>
          <w:p w:rsidR="00A154E5" w:rsidRDefault="00271C60" w:rsidP="00A154E5">
            <w:pPr>
              <w:pStyle w:val="NormalHeadings"/>
              <w:jc w:val="left"/>
              <w:rPr>
                <w:caps/>
                <w:szCs w:val="24"/>
              </w:rPr>
            </w:pPr>
            <w:r>
              <w:rPr>
                <w:caps/>
                <w:szCs w:val="24"/>
              </w:rPr>
              <w:t xml:space="preserve">15 MAY </w:t>
            </w:r>
            <w:r w:rsidR="00A154E5">
              <w:rPr>
                <w:caps/>
                <w:szCs w:val="24"/>
              </w:rPr>
              <w:t>2015</w:t>
            </w:r>
          </w:p>
        </w:tc>
      </w:tr>
      <w:tr w:rsidR="00A154E5" w:rsidTr="00A154E5">
        <w:tc>
          <w:tcPr>
            <w:tcW w:w="2376" w:type="dxa"/>
          </w:tcPr>
          <w:p w:rsidR="00A154E5" w:rsidRDefault="00A154E5" w:rsidP="00A154E5">
            <w:pPr>
              <w:pStyle w:val="NormalHeadings"/>
              <w:spacing w:after="120"/>
              <w:jc w:val="left"/>
              <w:rPr>
                <w:caps/>
                <w:szCs w:val="24"/>
              </w:rPr>
            </w:pPr>
            <w:r>
              <w:rPr>
                <w:caps/>
                <w:szCs w:val="24"/>
              </w:rPr>
              <w:t>WHERE MADE:</w:t>
            </w:r>
          </w:p>
        </w:tc>
        <w:tc>
          <w:tcPr>
            <w:tcW w:w="6866" w:type="dxa"/>
          </w:tcPr>
          <w:p w:rsidR="00A154E5" w:rsidRDefault="00A154E5" w:rsidP="00A154E5">
            <w:pPr>
              <w:pStyle w:val="NormalHeadings"/>
              <w:jc w:val="left"/>
              <w:rPr>
                <w:caps/>
                <w:szCs w:val="24"/>
              </w:rPr>
            </w:pPr>
            <w:r>
              <w:rPr>
                <w:caps/>
                <w:szCs w:val="24"/>
              </w:rPr>
              <w:t>SYDNEY</w:t>
            </w:r>
          </w:p>
        </w:tc>
      </w:tr>
    </w:tbl>
    <w:p w:rsidR="00A154E5" w:rsidRDefault="00A154E5" w:rsidP="00A154E5">
      <w:pPr>
        <w:pStyle w:val="NormalHeadings"/>
        <w:rPr>
          <w:b w:val="0"/>
        </w:rPr>
      </w:pPr>
    </w:p>
    <w:p w:rsidR="00A154E5" w:rsidRDefault="00A154E5" w:rsidP="00A154E5">
      <w:pPr>
        <w:pStyle w:val="NormalHeadings"/>
      </w:pPr>
      <w:r>
        <w:t>THE COURT ORDERS THAT:</w:t>
      </w:r>
    </w:p>
    <w:p w:rsidR="00A154E5" w:rsidRDefault="00A154E5" w:rsidP="00A154E5">
      <w:pPr>
        <w:pStyle w:val="NormalHeadings"/>
      </w:pPr>
    </w:p>
    <w:p w:rsidR="00271C60" w:rsidRDefault="00271C60" w:rsidP="00271C60">
      <w:pPr>
        <w:pStyle w:val="Order1"/>
        <w:numPr>
          <w:ilvl w:val="0"/>
          <w:numId w:val="36"/>
        </w:numPr>
      </w:pPr>
      <w:r>
        <w:t xml:space="preserve">Declare that s 70-40(2) of the </w:t>
      </w:r>
      <w:r w:rsidRPr="00271C60">
        <w:rPr>
          <w:i/>
        </w:rPr>
        <w:t>Income Tax Assessment Act 1997</w:t>
      </w:r>
      <w:r>
        <w:t xml:space="preserve"> (</w:t>
      </w:r>
      <w:proofErr w:type="spellStart"/>
      <w:r>
        <w:t>Cth</w:t>
      </w:r>
      <w:proofErr w:type="spellEnd"/>
      <w:r>
        <w:t>) requires the value of the taxpayers’ shares in each year in dispute to be valued at nil if no assessment has been issued for the preceding income year.</w:t>
      </w:r>
    </w:p>
    <w:p w:rsidR="00271C60" w:rsidRDefault="00271C60" w:rsidP="00271C60">
      <w:pPr>
        <w:pStyle w:val="Order1"/>
        <w:numPr>
          <w:ilvl w:val="0"/>
          <w:numId w:val="36"/>
        </w:numPr>
      </w:pPr>
      <w:r>
        <w:t>Direct the taxpayers to make elections under s 70-45 in respect of each item of trading stock on hand at the end of each financial year in dispute within 21 days hereof.</w:t>
      </w:r>
    </w:p>
    <w:p w:rsidR="00271C60" w:rsidRDefault="00271C60" w:rsidP="00271C60">
      <w:pPr>
        <w:pStyle w:val="Order1"/>
        <w:numPr>
          <w:ilvl w:val="0"/>
          <w:numId w:val="36"/>
        </w:numPr>
      </w:pPr>
      <w:r>
        <w:t>Remit to the Commissioner the objection decisions insofar as they relate to the trading stock issue, in conformity with this Court’s reasons.</w:t>
      </w:r>
    </w:p>
    <w:p w:rsidR="00271C60" w:rsidRPr="00E659C5" w:rsidRDefault="00271C60" w:rsidP="00271C60">
      <w:pPr>
        <w:pStyle w:val="Order1"/>
        <w:numPr>
          <w:ilvl w:val="0"/>
          <w:numId w:val="36"/>
        </w:numPr>
      </w:pPr>
      <w:r>
        <w:t>The Applicants are to pay the Commissioner’s costs of the trading stock debate on 4 May 2015.</w:t>
      </w:r>
    </w:p>
    <w:p w:rsidR="00A154E5" w:rsidRDefault="00A154E5" w:rsidP="00BF732B">
      <w:pPr>
        <w:pStyle w:val="Order1"/>
        <w:numPr>
          <w:ilvl w:val="0"/>
          <w:numId w:val="0"/>
        </w:numPr>
        <w:ind w:left="720"/>
      </w:pPr>
    </w:p>
    <w:p w:rsidR="00A154E5" w:rsidRDefault="00A154E5" w:rsidP="00A154E5">
      <w:pPr>
        <w:pStyle w:val="BodyText"/>
      </w:pPr>
    </w:p>
    <w:p w:rsidR="00A154E5" w:rsidRDefault="00A154E5" w:rsidP="00A154E5">
      <w:pPr>
        <w:pStyle w:val="BodyText"/>
      </w:pPr>
    </w:p>
    <w:p w:rsidR="00A154E5" w:rsidRDefault="00A154E5" w:rsidP="00A154E5">
      <w:pPr>
        <w:pStyle w:val="BodyText"/>
        <w:jc w:val="left"/>
        <w:sectPr w:rsidR="00A154E5">
          <w:endnotePr>
            <w:numFmt w:val="decimal"/>
          </w:endnotePr>
          <w:pgSz w:w="11907" w:h="16840" w:code="9"/>
          <w:pgMar w:top="1440" w:right="1440" w:bottom="1440" w:left="1440" w:header="851" w:footer="851" w:gutter="0"/>
          <w:pgNumType w:start="1"/>
          <w:cols w:space="720"/>
          <w:noEndnote/>
          <w:titlePg/>
        </w:sectPr>
      </w:pPr>
      <w:r>
        <w:t>Note:</w:t>
      </w:r>
      <w:r>
        <w:tab/>
        <w:t xml:space="preserve">Entry of orders is dealt with in Rule 39.32 of the </w:t>
      </w:r>
      <w:r>
        <w:rPr>
          <w:i/>
        </w:rPr>
        <w:t>Federal Court Rules 2011</w:t>
      </w:r>
      <w:r>
        <w:t>.</w:t>
      </w:r>
    </w:p>
    <w:tbl>
      <w:tblPr>
        <w:tblW w:w="0" w:type="auto"/>
        <w:tblLayout w:type="fixed"/>
        <w:tblLook w:val="0000" w:firstRow="0" w:lastRow="0" w:firstColumn="0" w:lastColumn="0" w:noHBand="0" w:noVBand="0"/>
      </w:tblPr>
      <w:tblGrid>
        <w:gridCol w:w="6771"/>
        <w:gridCol w:w="2471"/>
      </w:tblGrid>
      <w:tr w:rsidR="00A154E5" w:rsidTr="00A154E5">
        <w:tc>
          <w:tcPr>
            <w:tcW w:w="6771" w:type="dxa"/>
          </w:tcPr>
          <w:p w:rsidR="00A154E5" w:rsidRDefault="00A154E5" w:rsidP="00A154E5">
            <w:pPr>
              <w:pStyle w:val="NormalHeadings"/>
              <w:spacing w:after="120"/>
              <w:jc w:val="left"/>
              <w:rPr>
                <w:caps/>
                <w:szCs w:val="24"/>
              </w:rPr>
            </w:pPr>
            <w:r>
              <w:rPr>
                <w:caps/>
                <w:szCs w:val="24"/>
              </w:rPr>
              <w:lastRenderedPageBreak/>
              <w:t>IN THE FEDERAL COURT OF AUSTRALIA</w:t>
            </w:r>
          </w:p>
        </w:tc>
        <w:tc>
          <w:tcPr>
            <w:tcW w:w="2471" w:type="dxa"/>
          </w:tcPr>
          <w:p w:rsidR="00A154E5" w:rsidRDefault="00A154E5" w:rsidP="00A154E5">
            <w:pPr>
              <w:pStyle w:val="NormalHeadings"/>
              <w:jc w:val="left"/>
              <w:rPr>
                <w:caps/>
                <w:szCs w:val="24"/>
              </w:rPr>
            </w:pPr>
          </w:p>
        </w:tc>
      </w:tr>
      <w:tr w:rsidR="00A154E5" w:rsidTr="00A154E5">
        <w:tc>
          <w:tcPr>
            <w:tcW w:w="6771" w:type="dxa"/>
          </w:tcPr>
          <w:p w:rsidR="00A154E5" w:rsidRDefault="00A154E5" w:rsidP="00A154E5">
            <w:pPr>
              <w:pStyle w:val="NormalHeadings"/>
              <w:spacing w:after="120"/>
              <w:jc w:val="left"/>
              <w:rPr>
                <w:caps/>
                <w:szCs w:val="24"/>
              </w:rPr>
            </w:pPr>
            <w:r>
              <w:rPr>
                <w:caps/>
                <w:szCs w:val="24"/>
              </w:rPr>
              <w:t>NEW SOUTH WALES DISTRICT REGISTRY</w:t>
            </w:r>
          </w:p>
        </w:tc>
        <w:tc>
          <w:tcPr>
            <w:tcW w:w="2471" w:type="dxa"/>
          </w:tcPr>
          <w:p w:rsidR="00A154E5" w:rsidRDefault="00A154E5" w:rsidP="00A154E5">
            <w:pPr>
              <w:pStyle w:val="NormalHeadings"/>
              <w:tabs>
                <w:tab w:val="right" w:pos="3609"/>
              </w:tabs>
              <w:jc w:val="right"/>
              <w:rPr>
                <w:szCs w:val="24"/>
              </w:rPr>
            </w:pPr>
          </w:p>
        </w:tc>
      </w:tr>
      <w:tr w:rsidR="00A154E5" w:rsidTr="00A154E5">
        <w:tc>
          <w:tcPr>
            <w:tcW w:w="6771" w:type="dxa"/>
          </w:tcPr>
          <w:p w:rsidR="00A154E5" w:rsidRDefault="00A154E5" w:rsidP="00A154E5">
            <w:pPr>
              <w:pStyle w:val="NormalHeadings"/>
              <w:spacing w:after="120"/>
              <w:jc w:val="left"/>
              <w:rPr>
                <w:caps/>
                <w:szCs w:val="24"/>
              </w:rPr>
            </w:pPr>
            <w:r>
              <w:rPr>
                <w:caps/>
                <w:szCs w:val="24"/>
              </w:rPr>
              <w:t>GENERAL DIVISION</w:t>
            </w:r>
          </w:p>
        </w:tc>
        <w:tc>
          <w:tcPr>
            <w:tcW w:w="2471" w:type="dxa"/>
          </w:tcPr>
          <w:p w:rsidR="00A154E5" w:rsidRDefault="00A154E5" w:rsidP="00A154E5">
            <w:pPr>
              <w:pStyle w:val="NormalHeadings"/>
              <w:tabs>
                <w:tab w:val="right" w:pos="3609"/>
              </w:tabs>
              <w:jc w:val="right"/>
              <w:rPr>
                <w:szCs w:val="24"/>
              </w:rPr>
            </w:pPr>
            <w:r>
              <w:rPr>
                <w:szCs w:val="24"/>
              </w:rPr>
              <w:t>NSD 656 of 2011</w:t>
            </w:r>
          </w:p>
        </w:tc>
      </w:tr>
    </w:tbl>
    <w:p w:rsidR="00A154E5" w:rsidRPr="00133C91" w:rsidRDefault="00A154E5" w:rsidP="00A154E5">
      <w:pPr>
        <w:pStyle w:val="AppealTable"/>
        <w:rPr>
          <w:sz w:val="24"/>
        </w:rPr>
      </w:pPr>
      <w:r w:rsidRPr="00133C91">
        <w:rPr>
          <w:sz w:val="24"/>
        </w:rPr>
        <w:t xml:space="preserve"> </w:t>
      </w:r>
    </w:p>
    <w:tbl>
      <w:tblPr>
        <w:tblW w:w="0" w:type="auto"/>
        <w:tblLayout w:type="fixed"/>
        <w:tblLook w:val="0000" w:firstRow="0" w:lastRow="0" w:firstColumn="0" w:lastColumn="0" w:noHBand="0" w:noVBand="0"/>
      </w:tblPr>
      <w:tblGrid>
        <w:gridCol w:w="2376"/>
        <w:gridCol w:w="6866"/>
      </w:tblGrid>
      <w:tr w:rsidR="00A154E5" w:rsidTr="00A154E5">
        <w:trPr>
          <w:trHeight w:val="386"/>
        </w:trPr>
        <w:tc>
          <w:tcPr>
            <w:tcW w:w="2376" w:type="dxa"/>
          </w:tcPr>
          <w:p w:rsidR="00A154E5" w:rsidRDefault="00A154E5" w:rsidP="00A154E5">
            <w:pPr>
              <w:pStyle w:val="NormalHeadings"/>
              <w:jc w:val="left"/>
              <w:rPr>
                <w:caps/>
                <w:szCs w:val="24"/>
              </w:rPr>
            </w:pPr>
            <w:r>
              <w:rPr>
                <w:caps/>
                <w:szCs w:val="24"/>
              </w:rPr>
              <w:t>BETWEEN:</w:t>
            </w:r>
          </w:p>
        </w:tc>
        <w:tc>
          <w:tcPr>
            <w:tcW w:w="6866" w:type="dxa"/>
          </w:tcPr>
          <w:p w:rsidR="00A154E5" w:rsidRDefault="00A154E5" w:rsidP="00A154E5">
            <w:pPr>
              <w:pStyle w:val="NormalHeadings"/>
              <w:jc w:val="left"/>
              <w:rPr>
                <w:szCs w:val="24"/>
              </w:rPr>
            </w:pPr>
            <w:r>
              <w:rPr>
                <w:szCs w:val="24"/>
              </w:rPr>
              <w:t>DERRIN BROTHERS PROPERTIES LIMITED</w:t>
            </w:r>
          </w:p>
          <w:p w:rsidR="00A154E5" w:rsidRDefault="00A154E5" w:rsidP="00A154E5">
            <w:pPr>
              <w:pStyle w:val="NormalHeadings"/>
              <w:jc w:val="left"/>
              <w:rPr>
                <w:szCs w:val="24"/>
              </w:rPr>
            </w:pPr>
            <w:r>
              <w:rPr>
                <w:szCs w:val="24"/>
              </w:rPr>
              <w:t>Applicant</w:t>
            </w:r>
          </w:p>
          <w:p w:rsidR="00A154E5" w:rsidRDefault="00A154E5" w:rsidP="00A154E5">
            <w:pPr>
              <w:pStyle w:val="NormalHeadings"/>
              <w:jc w:val="left"/>
              <w:rPr>
                <w:szCs w:val="24"/>
              </w:rPr>
            </w:pPr>
          </w:p>
        </w:tc>
      </w:tr>
      <w:tr w:rsidR="00A154E5" w:rsidTr="00A154E5">
        <w:trPr>
          <w:trHeight w:val="386"/>
        </w:trPr>
        <w:tc>
          <w:tcPr>
            <w:tcW w:w="2376" w:type="dxa"/>
          </w:tcPr>
          <w:p w:rsidR="00A154E5" w:rsidRDefault="00A154E5" w:rsidP="00A154E5">
            <w:pPr>
              <w:pStyle w:val="NormalHeadings"/>
              <w:jc w:val="left"/>
              <w:rPr>
                <w:caps/>
                <w:szCs w:val="24"/>
              </w:rPr>
            </w:pPr>
            <w:r>
              <w:rPr>
                <w:caps/>
                <w:szCs w:val="24"/>
              </w:rPr>
              <w:t>AND:</w:t>
            </w:r>
          </w:p>
        </w:tc>
        <w:tc>
          <w:tcPr>
            <w:tcW w:w="6866" w:type="dxa"/>
          </w:tcPr>
          <w:p w:rsidR="00A154E5" w:rsidRDefault="00A154E5" w:rsidP="00A154E5">
            <w:pPr>
              <w:pStyle w:val="NormalHeadings"/>
              <w:jc w:val="left"/>
              <w:rPr>
                <w:szCs w:val="24"/>
              </w:rPr>
            </w:pPr>
            <w:r>
              <w:rPr>
                <w:szCs w:val="24"/>
              </w:rPr>
              <w:t>COMMISSIONER OF TAXATION</w:t>
            </w:r>
          </w:p>
          <w:p w:rsidR="00A154E5" w:rsidRDefault="00A154E5" w:rsidP="00A154E5">
            <w:pPr>
              <w:pStyle w:val="NormalHeadings"/>
              <w:jc w:val="left"/>
              <w:rPr>
                <w:szCs w:val="24"/>
              </w:rPr>
            </w:pPr>
            <w:r>
              <w:rPr>
                <w:szCs w:val="24"/>
              </w:rPr>
              <w:t>Respondent</w:t>
            </w:r>
          </w:p>
          <w:p w:rsidR="00A154E5" w:rsidRDefault="00A154E5" w:rsidP="00A154E5">
            <w:pPr>
              <w:pStyle w:val="NormalHeadings"/>
              <w:jc w:val="left"/>
              <w:rPr>
                <w:szCs w:val="24"/>
              </w:rPr>
            </w:pPr>
          </w:p>
        </w:tc>
      </w:tr>
    </w:tbl>
    <w:p w:rsidR="00A154E5" w:rsidRDefault="00A154E5" w:rsidP="00A154E5">
      <w:pPr>
        <w:pStyle w:val="NormalHeadings"/>
      </w:pPr>
    </w:p>
    <w:tbl>
      <w:tblPr>
        <w:tblW w:w="0" w:type="auto"/>
        <w:tblLayout w:type="fixed"/>
        <w:tblLook w:val="0000" w:firstRow="0" w:lastRow="0" w:firstColumn="0" w:lastColumn="0" w:noHBand="0" w:noVBand="0"/>
      </w:tblPr>
      <w:tblGrid>
        <w:gridCol w:w="2376"/>
        <w:gridCol w:w="6866"/>
      </w:tblGrid>
      <w:tr w:rsidR="00A154E5" w:rsidTr="00A154E5">
        <w:tc>
          <w:tcPr>
            <w:tcW w:w="2376" w:type="dxa"/>
          </w:tcPr>
          <w:p w:rsidR="00A154E5" w:rsidRDefault="00A154E5" w:rsidP="00A154E5">
            <w:pPr>
              <w:pStyle w:val="NormalHeadings"/>
              <w:spacing w:after="120"/>
              <w:jc w:val="left"/>
              <w:rPr>
                <w:caps/>
                <w:szCs w:val="24"/>
              </w:rPr>
            </w:pPr>
            <w:r>
              <w:rPr>
                <w:caps/>
                <w:szCs w:val="24"/>
              </w:rPr>
              <w:t>JUDGE:</w:t>
            </w:r>
          </w:p>
        </w:tc>
        <w:tc>
          <w:tcPr>
            <w:tcW w:w="6866" w:type="dxa"/>
          </w:tcPr>
          <w:p w:rsidR="00A154E5" w:rsidRDefault="00A154E5" w:rsidP="00A154E5">
            <w:pPr>
              <w:pStyle w:val="NormalHeadings"/>
              <w:jc w:val="left"/>
              <w:rPr>
                <w:caps/>
                <w:szCs w:val="24"/>
              </w:rPr>
            </w:pPr>
            <w:r>
              <w:rPr>
                <w:caps/>
                <w:szCs w:val="24"/>
              </w:rPr>
              <w:t>PERRAM J</w:t>
            </w:r>
          </w:p>
        </w:tc>
      </w:tr>
      <w:tr w:rsidR="00A154E5" w:rsidTr="00A154E5">
        <w:tc>
          <w:tcPr>
            <w:tcW w:w="2376" w:type="dxa"/>
          </w:tcPr>
          <w:p w:rsidR="00A154E5" w:rsidRDefault="00A154E5" w:rsidP="00A154E5">
            <w:pPr>
              <w:pStyle w:val="NormalHeadings"/>
              <w:spacing w:after="120"/>
              <w:jc w:val="left"/>
              <w:rPr>
                <w:caps/>
                <w:szCs w:val="24"/>
              </w:rPr>
            </w:pPr>
            <w:r>
              <w:rPr>
                <w:caps/>
                <w:szCs w:val="24"/>
              </w:rPr>
              <w:t>DATE OF ORDER:</w:t>
            </w:r>
          </w:p>
        </w:tc>
        <w:tc>
          <w:tcPr>
            <w:tcW w:w="6866" w:type="dxa"/>
          </w:tcPr>
          <w:p w:rsidR="00A154E5" w:rsidRDefault="00271C60" w:rsidP="00A154E5">
            <w:pPr>
              <w:pStyle w:val="NormalHeadings"/>
              <w:jc w:val="left"/>
              <w:rPr>
                <w:caps/>
                <w:szCs w:val="24"/>
              </w:rPr>
            </w:pPr>
            <w:r>
              <w:rPr>
                <w:caps/>
                <w:szCs w:val="24"/>
              </w:rPr>
              <w:t>15 MAY</w:t>
            </w:r>
            <w:r w:rsidR="00A154E5">
              <w:rPr>
                <w:caps/>
                <w:szCs w:val="24"/>
              </w:rPr>
              <w:t xml:space="preserve"> 2015</w:t>
            </w:r>
          </w:p>
        </w:tc>
      </w:tr>
      <w:tr w:rsidR="00A154E5" w:rsidTr="00A154E5">
        <w:tc>
          <w:tcPr>
            <w:tcW w:w="2376" w:type="dxa"/>
          </w:tcPr>
          <w:p w:rsidR="00A154E5" w:rsidRDefault="00A154E5" w:rsidP="00A154E5">
            <w:pPr>
              <w:pStyle w:val="NormalHeadings"/>
              <w:spacing w:after="120"/>
              <w:jc w:val="left"/>
              <w:rPr>
                <w:caps/>
                <w:szCs w:val="24"/>
              </w:rPr>
            </w:pPr>
            <w:r>
              <w:rPr>
                <w:caps/>
                <w:szCs w:val="24"/>
              </w:rPr>
              <w:t>WHERE MADE:</w:t>
            </w:r>
          </w:p>
        </w:tc>
        <w:tc>
          <w:tcPr>
            <w:tcW w:w="6866" w:type="dxa"/>
          </w:tcPr>
          <w:p w:rsidR="00A154E5" w:rsidRDefault="00A154E5" w:rsidP="00A154E5">
            <w:pPr>
              <w:pStyle w:val="NormalHeadings"/>
              <w:jc w:val="left"/>
              <w:rPr>
                <w:caps/>
                <w:szCs w:val="24"/>
              </w:rPr>
            </w:pPr>
            <w:r>
              <w:rPr>
                <w:caps/>
                <w:szCs w:val="24"/>
              </w:rPr>
              <w:t>SYDNEY</w:t>
            </w:r>
          </w:p>
        </w:tc>
      </w:tr>
    </w:tbl>
    <w:p w:rsidR="00A154E5" w:rsidRDefault="00A154E5" w:rsidP="00A154E5">
      <w:pPr>
        <w:pStyle w:val="NormalHeadings"/>
        <w:rPr>
          <w:b w:val="0"/>
        </w:rPr>
      </w:pPr>
    </w:p>
    <w:p w:rsidR="00A154E5" w:rsidRDefault="00A154E5" w:rsidP="00A154E5">
      <w:pPr>
        <w:pStyle w:val="NormalHeadings"/>
      </w:pPr>
      <w:r>
        <w:t>THE COURT ORDERS THAT:</w:t>
      </w:r>
    </w:p>
    <w:p w:rsidR="00A154E5" w:rsidRDefault="00A154E5" w:rsidP="00A154E5">
      <w:pPr>
        <w:pStyle w:val="NormalHeadings"/>
      </w:pPr>
    </w:p>
    <w:p w:rsidR="00271C60" w:rsidRDefault="00271C60" w:rsidP="00271C60">
      <w:pPr>
        <w:pStyle w:val="Order1"/>
        <w:numPr>
          <w:ilvl w:val="0"/>
          <w:numId w:val="37"/>
        </w:numPr>
      </w:pPr>
      <w:r>
        <w:t xml:space="preserve">Declare that s 70-40(2) of the </w:t>
      </w:r>
      <w:r w:rsidRPr="00271C60">
        <w:rPr>
          <w:i/>
        </w:rPr>
        <w:t>Income Tax Assessment Act 1997</w:t>
      </w:r>
      <w:r>
        <w:t xml:space="preserve"> (</w:t>
      </w:r>
      <w:proofErr w:type="spellStart"/>
      <w:r>
        <w:t>Cth</w:t>
      </w:r>
      <w:proofErr w:type="spellEnd"/>
      <w:r>
        <w:t>) requires the value of the taxpayers’ shares in each year in dispute to be valued at nil if no assessment has been issued for the preceding income year.</w:t>
      </w:r>
    </w:p>
    <w:p w:rsidR="00271C60" w:rsidRDefault="00271C60" w:rsidP="00271C60">
      <w:pPr>
        <w:pStyle w:val="Order1"/>
        <w:numPr>
          <w:ilvl w:val="0"/>
          <w:numId w:val="37"/>
        </w:numPr>
      </w:pPr>
      <w:r>
        <w:t>Direct the taxpayers to make elections under s 70-45 in respect of each item of trading stock on hand at the end of each financial year in dispute within 21 days hereof.</w:t>
      </w:r>
    </w:p>
    <w:p w:rsidR="00271C60" w:rsidRDefault="00271C60" w:rsidP="00271C60">
      <w:pPr>
        <w:pStyle w:val="Order1"/>
        <w:numPr>
          <w:ilvl w:val="0"/>
          <w:numId w:val="37"/>
        </w:numPr>
      </w:pPr>
      <w:r>
        <w:t>Remit to the Commissioner the objection decisions insofar as they relate to the trading stock issue, in conformity with this Court’s reasons.</w:t>
      </w:r>
    </w:p>
    <w:p w:rsidR="00271C60" w:rsidRPr="00E659C5" w:rsidRDefault="00271C60" w:rsidP="00271C60">
      <w:pPr>
        <w:pStyle w:val="Order1"/>
        <w:numPr>
          <w:ilvl w:val="0"/>
          <w:numId w:val="37"/>
        </w:numPr>
      </w:pPr>
      <w:r>
        <w:t>The Applicants are to pay the Commissioner’s costs of the trading stock debate on 4 May 2015.</w:t>
      </w:r>
    </w:p>
    <w:p w:rsidR="00A154E5" w:rsidRDefault="00A154E5" w:rsidP="00BF732B">
      <w:pPr>
        <w:pStyle w:val="Order1"/>
        <w:numPr>
          <w:ilvl w:val="0"/>
          <w:numId w:val="0"/>
        </w:numPr>
        <w:ind w:left="720"/>
      </w:pPr>
    </w:p>
    <w:p w:rsidR="00A154E5" w:rsidRDefault="00A154E5" w:rsidP="00A154E5">
      <w:pPr>
        <w:pStyle w:val="BodyText"/>
      </w:pPr>
    </w:p>
    <w:p w:rsidR="00A154E5" w:rsidRDefault="00A154E5" w:rsidP="00A154E5">
      <w:pPr>
        <w:pStyle w:val="BodyText"/>
      </w:pPr>
    </w:p>
    <w:p w:rsidR="00A154E5" w:rsidRDefault="00A154E5" w:rsidP="00A154E5">
      <w:pPr>
        <w:pStyle w:val="BodyText"/>
        <w:jc w:val="left"/>
        <w:sectPr w:rsidR="00A154E5">
          <w:endnotePr>
            <w:numFmt w:val="decimal"/>
          </w:endnotePr>
          <w:pgSz w:w="11907" w:h="16840" w:code="9"/>
          <w:pgMar w:top="1440" w:right="1440" w:bottom="1440" w:left="1440" w:header="851" w:footer="851" w:gutter="0"/>
          <w:pgNumType w:start="1"/>
          <w:cols w:space="720"/>
          <w:noEndnote/>
          <w:titlePg/>
        </w:sectPr>
      </w:pPr>
      <w:r>
        <w:t>Note:</w:t>
      </w:r>
      <w:r>
        <w:tab/>
        <w:t xml:space="preserve">Entry of orders is dealt with in Rule 39.32 of the </w:t>
      </w:r>
      <w:r>
        <w:rPr>
          <w:i/>
        </w:rPr>
        <w:t>Federal Court Rules 2011</w:t>
      </w:r>
      <w:r>
        <w:t>.</w:t>
      </w: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133C91">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133C91">
              <w:rPr>
                <w:caps/>
                <w:szCs w:val="24"/>
              </w:rPr>
              <w:t>GENERAL DIVISION</w:t>
            </w:r>
            <w:r>
              <w:rPr>
                <w:caps/>
                <w:szCs w:val="24"/>
              </w:rPr>
              <w:fldChar w:fldCharType="end"/>
            </w:r>
          </w:p>
        </w:tc>
        <w:tc>
          <w:tcPr>
            <w:tcW w:w="2471" w:type="dxa"/>
          </w:tcPr>
          <w:p w:rsidR="00395B24" w:rsidRDefault="00A154E5" w:rsidP="002071DF">
            <w:pPr>
              <w:pStyle w:val="NormalHeadings"/>
              <w:tabs>
                <w:tab w:val="right" w:pos="3609"/>
              </w:tabs>
              <w:jc w:val="right"/>
              <w:rPr>
                <w:caps/>
                <w:szCs w:val="24"/>
              </w:rPr>
            </w:pPr>
            <w:proofErr w:type="spellStart"/>
            <w:r>
              <w:rPr>
                <w:caps/>
                <w:szCs w:val="24"/>
              </w:rPr>
              <w:t>NSD</w:t>
            </w:r>
            <w:proofErr w:type="spellEnd"/>
            <w:r>
              <w:rPr>
                <w:caps/>
                <w:szCs w:val="24"/>
              </w:rPr>
              <w:t xml:space="preserve"> 653 </w:t>
            </w:r>
            <w:r w:rsidR="002071DF">
              <w:rPr>
                <w:szCs w:val="24"/>
              </w:rPr>
              <w:t>of</w:t>
            </w:r>
            <w:r>
              <w:rPr>
                <w:caps/>
                <w:szCs w:val="24"/>
              </w:rPr>
              <w:t xml:space="preserve"> 2011</w:t>
            </w:r>
          </w:p>
        </w:tc>
      </w:tr>
    </w:tbl>
    <w:p w:rsidR="00395B24" w:rsidRDefault="008E2779">
      <w:pPr>
        <w:pStyle w:val="AppealTable"/>
      </w:pPr>
      <w:fldSimple w:instr=" Ref AppealTable  \* MERGEFORMAT " w:fldLock="1">
        <w:r w:rsidR="00133C91" w:rsidRPr="00133C91">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133C91"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133C91" w:rsidRPr="00133C91">
              <w:rPr>
                <w:caps/>
                <w:szCs w:val="24"/>
              </w:rPr>
              <w:t>HUA</w:t>
            </w:r>
            <w:r w:rsidR="00133C91">
              <w:rPr>
                <w:szCs w:val="24"/>
              </w:rPr>
              <w:t xml:space="preserve"> WANG BANK </w:t>
            </w:r>
            <w:proofErr w:type="spellStart"/>
            <w:r w:rsidR="00133C91">
              <w:rPr>
                <w:szCs w:val="24"/>
              </w:rPr>
              <w:t>BERHAD</w:t>
            </w:r>
            <w:proofErr w:type="spellEnd"/>
            <w:r w:rsidR="00133C91">
              <w:rPr>
                <w:szCs w:val="24"/>
              </w:rPr>
              <w:t xml:space="preserve"> </w:t>
            </w:r>
          </w:p>
          <w:p w:rsidR="00133C91" w:rsidRDefault="00133C91">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133C91"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133C91" w:rsidRPr="00133C91">
              <w:rPr>
                <w:caps/>
                <w:szCs w:val="24"/>
              </w:rPr>
              <w:t>COMMISSIONER</w:t>
            </w:r>
            <w:r w:rsidR="00133C91">
              <w:rPr>
                <w:szCs w:val="24"/>
              </w:rPr>
              <w:t xml:space="preserve"> OF TAXATION</w:t>
            </w:r>
          </w:p>
          <w:p w:rsidR="00133C91" w:rsidRDefault="00133C91">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6771"/>
        <w:gridCol w:w="2471"/>
      </w:tblGrid>
      <w:tr w:rsidR="00A154E5" w:rsidTr="00A154E5">
        <w:tc>
          <w:tcPr>
            <w:tcW w:w="6771" w:type="dxa"/>
          </w:tcPr>
          <w:p w:rsidR="00A154E5" w:rsidRDefault="00A154E5" w:rsidP="00A154E5">
            <w:pPr>
              <w:pStyle w:val="NormalHeadings"/>
              <w:spacing w:after="120"/>
              <w:jc w:val="left"/>
              <w:rPr>
                <w:caps/>
                <w:szCs w:val="24"/>
              </w:rPr>
            </w:pPr>
            <w:r>
              <w:rPr>
                <w:caps/>
                <w:szCs w:val="24"/>
              </w:rPr>
              <w:t>IN THE FEDERAL COURT OF AUSTRALIA</w:t>
            </w:r>
          </w:p>
        </w:tc>
        <w:tc>
          <w:tcPr>
            <w:tcW w:w="2471" w:type="dxa"/>
          </w:tcPr>
          <w:p w:rsidR="00A154E5" w:rsidRDefault="00A154E5" w:rsidP="00A154E5">
            <w:pPr>
              <w:pStyle w:val="NormalHeadings"/>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A154E5" w:rsidRDefault="00A154E5" w:rsidP="00A154E5">
            <w:pPr>
              <w:pStyle w:val="NormalHeadings"/>
              <w:tabs>
                <w:tab w:val="right" w:pos="3609"/>
              </w:tabs>
              <w:jc w:val="right"/>
              <w:rPr>
                <w:caps/>
                <w:szCs w:val="24"/>
              </w:rPr>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A154E5" w:rsidRDefault="00A154E5" w:rsidP="00A154E5">
            <w:pPr>
              <w:pStyle w:val="NormalHeadings"/>
              <w:tabs>
                <w:tab w:val="right" w:pos="3609"/>
              </w:tabs>
              <w:jc w:val="right"/>
              <w:rPr>
                <w:caps/>
                <w:szCs w:val="24"/>
              </w:rPr>
            </w:pPr>
            <w:proofErr w:type="spellStart"/>
            <w:r>
              <w:rPr>
                <w:caps/>
                <w:szCs w:val="24"/>
              </w:rPr>
              <w:t>NSD</w:t>
            </w:r>
            <w:proofErr w:type="spellEnd"/>
            <w:r>
              <w:rPr>
                <w:caps/>
                <w:szCs w:val="24"/>
              </w:rPr>
              <w:t xml:space="preserve"> 652 </w:t>
            </w:r>
            <w:r w:rsidR="002071DF">
              <w:rPr>
                <w:szCs w:val="24"/>
              </w:rPr>
              <w:t>of</w:t>
            </w:r>
            <w:r>
              <w:rPr>
                <w:caps/>
                <w:szCs w:val="24"/>
              </w:rPr>
              <w:t xml:space="preserve"> 2011</w:t>
            </w:r>
          </w:p>
        </w:tc>
      </w:tr>
    </w:tbl>
    <w:p w:rsidR="00A154E5" w:rsidRDefault="008E2779" w:rsidP="00A154E5">
      <w:pPr>
        <w:pStyle w:val="AppealTable"/>
      </w:pPr>
      <w:fldSimple w:instr=" Ref AppealTable  \* MERGEFORMAT " w:fldLock="1">
        <w:r w:rsidR="00A154E5" w:rsidRPr="00133C91">
          <w:rPr>
            <w:sz w:val="24"/>
          </w:rPr>
          <w:t xml:space="preserve"> </w:t>
        </w:r>
      </w:fldSimple>
    </w:p>
    <w:tbl>
      <w:tblPr>
        <w:tblW w:w="0" w:type="auto"/>
        <w:tblLayout w:type="fixed"/>
        <w:tblLook w:val="0000" w:firstRow="0" w:lastRow="0" w:firstColumn="0" w:lastColumn="0" w:noHBand="0" w:noVBand="0"/>
      </w:tblPr>
      <w:tblGrid>
        <w:gridCol w:w="2376"/>
        <w:gridCol w:w="6866"/>
      </w:tblGrid>
      <w:tr w:rsidR="00A154E5" w:rsidTr="00A154E5">
        <w:trPr>
          <w:trHeight w:val="386"/>
        </w:trPr>
        <w:tc>
          <w:tcPr>
            <w:tcW w:w="2376" w:type="dxa"/>
          </w:tcPr>
          <w:p w:rsidR="00A154E5" w:rsidRDefault="00A154E5" w:rsidP="00A154E5">
            <w:pPr>
              <w:pStyle w:val="NormalHeadings"/>
              <w:jc w:val="left"/>
              <w:rPr>
                <w:caps/>
                <w:szCs w:val="24"/>
              </w:rPr>
            </w:pPr>
            <w:r>
              <w:rPr>
                <w:caps/>
                <w:szCs w:val="24"/>
              </w:rPr>
              <w:t>BETWEEN:</w:t>
            </w:r>
          </w:p>
        </w:tc>
        <w:tc>
          <w:tcPr>
            <w:tcW w:w="6866" w:type="dxa"/>
          </w:tcPr>
          <w:p w:rsidR="00A154E5" w:rsidRDefault="00A154E5" w:rsidP="00A154E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caps/>
                <w:szCs w:val="24"/>
              </w:rPr>
              <w:t>BYWATER INVESTMENTS LIMITED</w:t>
            </w:r>
            <w:r>
              <w:rPr>
                <w:szCs w:val="24"/>
              </w:rPr>
              <w:t xml:space="preserve"> </w:t>
            </w:r>
          </w:p>
          <w:p w:rsidR="00A154E5" w:rsidRDefault="00A154E5" w:rsidP="00A154E5">
            <w:pPr>
              <w:pStyle w:val="NormalHeadings"/>
              <w:jc w:val="left"/>
              <w:rPr>
                <w:szCs w:val="24"/>
              </w:rPr>
            </w:pPr>
            <w:r>
              <w:rPr>
                <w:szCs w:val="24"/>
              </w:rPr>
              <w:t>Applicant</w:t>
            </w:r>
          </w:p>
          <w:p w:rsidR="00A154E5" w:rsidRDefault="00A154E5" w:rsidP="00A154E5">
            <w:pPr>
              <w:pStyle w:val="NormalHeadings"/>
              <w:jc w:val="left"/>
              <w:rPr>
                <w:caps/>
                <w:szCs w:val="24"/>
              </w:rPr>
            </w:pPr>
            <w:r>
              <w:rPr>
                <w:caps/>
                <w:szCs w:val="24"/>
              </w:rPr>
              <w:fldChar w:fldCharType="end"/>
            </w:r>
          </w:p>
        </w:tc>
      </w:tr>
      <w:tr w:rsidR="00A154E5" w:rsidTr="00A154E5">
        <w:trPr>
          <w:trHeight w:val="386"/>
        </w:trPr>
        <w:tc>
          <w:tcPr>
            <w:tcW w:w="2376" w:type="dxa"/>
          </w:tcPr>
          <w:p w:rsidR="00A154E5" w:rsidRDefault="00A154E5" w:rsidP="00A154E5">
            <w:pPr>
              <w:pStyle w:val="NormalHeadings"/>
              <w:jc w:val="left"/>
              <w:rPr>
                <w:caps/>
                <w:szCs w:val="24"/>
              </w:rPr>
            </w:pPr>
            <w:r>
              <w:rPr>
                <w:caps/>
                <w:szCs w:val="24"/>
              </w:rPr>
              <w:t>AND:</w:t>
            </w:r>
          </w:p>
        </w:tc>
        <w:tc>
          <w:tcPr>
            <w:tcW w:w="6866" w:type="dxa"/>
          </w:tcPr>
          <w:p w:rsidR="00A154E5" w:rsidRDefault="00A154E5" w:rsidP="00A154E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133C91">
              <w:rPr>
                <w:caps/>
                <w:szCs w:val="24"/>
              </w:rPr>
              <w:t>COMMISSIONER</w:t>
            </w:r>
            <w:r>
              <w:rPr>
                <w:szCs w:val="24"/>
              </w:rPr>
              <w:t xml:space="preserve"> OF TAXATION</w:t>
            </w:r>
          </w:p>
          <w:p w:rsidR="00A154E5" w:rsidRDefault="00A154E5" w:rsidP="00A154E5">
            <w:pPr>
              <w:pStyle w:val="NormalHeadings"/>
              <w:jc w:val="left"/>
              <w:rPr>
                <w:szCs w:val="24"/>
              </w:rPr>
            </w:pPr>
            <w:r>
              <w:rPr>
                <w:szCs w:val="24"/>
              </w:rPr>
              <w:t>Respondent</w:t>
            </w:r>
          </w:p>
          <w:p w:rsidR="00A154E5" w:rsidRDefault="00A154E5" w:rsidP="00A154E5">
            <w:pPr>
              <w:pStyle w:val="NormalHeadings"/>
              <w:jc w:val="left"/>
              <w:rPr>
                <w:caps/>
                <w:szCs w:val="24"/>
              </w:rPr>
            </w:pPr>
            <w:r>
              <w:rPr>
                <w:caps/>
                <w:szCs w:val="24"/>
              </w:rPr>
              <w:fldChar w:fldCharType="end"/>
            </w:r>
          </w:p>
        </w:tc>
      </w:tr>
    </w:tbl>
    <w:p w:rsidR="00A154E5" w:rsidRDefault="00A154E5">
      <w:pPr>
        <w:pStyle w:val="NormalHeadings"/>
      </w:pPr>
    </w:p>
    <w:tbl>
      <w:tblPr>
        <w:tblW w:w="0" w:type="auto"/>
        <w:tblLayout w:type="fixed"/>
        <w:tblLook w:val="0000" w:firstRow="0" w:lastRow="0" w:firstColumn="0" w:lastColumn="0" w:noHBand="0" w:noVBand="0"/>
      </w:tblPr>
      <w:tblGrid>
        <w:gridCol w:w="6771"/>
        <w:gridCol w:w="2471"/>
      </w:tblGrid>
      <w:tr w:rsidR="00A154E5" w:rsidTr="00A154E5">
        <w:tc>
          <w:tcPr>
            <w:tcW w:w="6771" w:type="dxa"/>
          </w:tcPr>
          <w:p w:rsidR="00A154E5" w:rsidRDefault="00A154E5" w:rsidP="00A154E5">
            <w:pPr>
              <w:pStyle w:val="NormalHeadings"/>
              <w:spacing w:after="120"/>
              <w:jc w:val="left"/>
              <w:rPr>
                <w:caps/>
                <w:szCs w:val="24"/>
              </w:rPr>
            </w:pPr>
            <w:r>
              <w:rPr>
                <w:caps/>
                <w:szCs w:val="24"/>
              </w:rPr>
              <w:t>IN THE FEDERAL COURT OF AUSTRALIA</w:t>
            </w:r>
          </w:p>
        </w:tc>
        <w:tc>
          <w:tcPr>
            <w:tcW w:w="2471" w:type="dxa"/>
          </w:tcPr>
          <w:p w:rsidR="00A154E5" w:rsidRDefault="00A154E5" w:rsidP="00A154E5">
            <w:pPr>
              <w:pStyle w:val="NormalHeadings"/>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A154E5" w:rsidRDefault="00A154E5" w:rsidP="00A154E5">
            <w:pPr>
              <w:pStyle w:val="NormalHeadings"/>
              <w:tabs>
                <w:tab w:val="right" w:pos="3609"/>
              </w:tabs>
              <w:jc w:val="right"/>
              <w:rPr>
                <w:caps/>
                <w:szCs w:val="24"/>
              </w:rPr>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A154E5" w:rsidRDefault="00A154E5" w:rsidP="00A154E5">
            <w:pPr>
              <w:pStyle w:val="NormalHeadings"/>
              <w:tabs>
                <w:tab w:val="right" w:pos="3609"/>
              </w:tabs>
              <w:jc w:val="right"/>
              <w:rPr>
                <w:caps/>
                <w:szCs w:val="24"/>
              </w:rPr>
            </w:pPr>
            <w:proofErr w:type="spellStart"/>
            <w:r>
              <w:rPr>
                <w:caps/>
                <w:szCs w:val="24"/>
              </w:rPr>
              <w:t>NSD</w:t>
            </w:r>
            <w:proofErr w:type="spellEnd"/>
            <w:r>
              <w:rPr>
                <w:caps/>
                <w:szCs w:val="24"/>
              </w:rPr>
              <w:t xml:space="preserve"> 654 </w:t>
            </w:r>
            <w:r w:rsidR="002071DF">
              <w:rPr>
                <w:szCs w:val="24"/>
              </w:rPr>
              <w:t>of</w:t>
            </w:r>
            <w:r>
              <w:rPr>
                <w:caps/>
                <w:szCs w:val="24"/>
              </w:rPr>
              <w:t xml:space="preserve"> 2011</w:t>
            </w:r>
          </w:p>
        </w:tc>
      </w:tr>
    </w:tbl>
    <w:p w:rsidR="00A154E5" w:rsidRDefault="008E2779" w:rsidP="00A154E5">
      <w:pPr>
        <w:pStyle w:val="AppealTable"/>
      </w:pPr>
      <w:fldSimple w:instr=" Ref AppealTable  \* MERGEFORMAT " w:fldLock="1">
        <w:r w:rsidR="00A154E5" w:rsidRPr="00133C91">
          <w:rPr>
            <w:sz w:val="24"/>
          </w:rPr>
          <w:t xml:space="preserve"> </w:t>
        </w:r>
      </w:fldSimple>
    </w:p>
    <w:tbl>
      <w:tblPr>
        <w:tblW w:w="0" w:type="auto"/>
        <w:tblLayout w:type="fixed"/>
        <w:tblLook w:val="0000" w:firstRow="0" w:lastRow="0" w:firstColumn="0" w:lastColumn="0" w:noHBand="0" w:noVBand="0"/>
      </w:tblPr>
      <w:tblGrid>
        <w:gridCol w:w="2376"/>
        <w:gridCol w:w="6866"/>
      </w:tblGrid>
      <w:tr w:rsidR="00A154E5" w:rsidTr="00A154E5">
        <w:trPr>
          <w:trHeight w:val="386"/>
        </w:trPr>
        <w:tc>
          <w:tcPr>
            <w:tcW w:w="2376" w:type="dxa"/>
          </w:tcPr>
          <w:p w:rsidR="00A154E5" w:rsidRDefault="00A154E5" w:rsidP="00A154E5">
            <w:pPr>
              <w:pStyle w:val="NormalHeadings"/>
              <w:jc w:val="left"/>
              <w:rPr>
                <w:caps/>
                <w:szCs w:val="24"/>
              </w:rPr>
            </w:pPr>
            <w:r>
              <w:rPr>
                <w:caps/>
                <w:szCs w:val="24"/>
              </w:rPr>
              <w:t>BETWEEN:</w:t>
            </w:r>
          </w:p>
        </w:tc>
        <w:tc>
          <w:tcPr>
            <w:tcW w:w="6866" w:type="dxa"/>
          </w:tcPr>
          <w:p w:rsidR="00A154E5" w:rsidRDefault="00A154E5" w:rsidP="00A154E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caps/>
                <w:szCs w:val="24"/>
              </w:rPr>
              <w:t>CHEMICAL TRUSTEE LIMITED</w:t>
            </w:r>
            <w:r>
              <w:rPr>
                <w:szCs w:val="24"/>
              </w:rPr>
              <w:t xml:space="preserve"> </w:t>
            </w:r>
          </w:p>
          <w:p w:rsidR="00A154E5" w:rsidRDefault="00A154E5" w:rsidP="00A154E5">
            <w:pPr>
              <w:pStyle w:val="NormalHeadings"/>
              <w:jc w:val="left"/>
              <w:rPr>
                <w:szCs w:val="24"/>
              </w:rPr>
            </w:pPr>
            <w:r>
              <w:rPr>
                <w:szCs w:val="24"/>
              </w:rPr>
              <w:t>Applicant</w:t>
            </w:r>
          </w:p>
          <w:p w:rsidR="00A154E5" w:rsidRDefault="00A154E5" w:rsidP="00A154E5">
            <w:pPr>
              <w:pStyle w:val="NormalHeadings"/>
              <w:jc w:val="left"/>
              <w:rPr>
                <w:caps/>
                <w:szCs w:val="24"/>
              </w:rPr>
            </w:pPr>
            <w:r>
              <w:rPr>
                <w:caps/>
                <w:szCs w:val="24"/>
              </w:rPr>
              <w:fldChar w:fldCharType="end"/>
            </w:r>
          </w:p>
        </w:tc>
      </w:tr>
      <w:tr w:rsidR="00A154E5" w:rsidTr="00A154E5">
        <w:trPr>
          <w:trHeight w:val="386"/>
        </w:trPr>
        <w:tc>
          <w:tcPr>
            <w:tcW w:w="2376" w:type="dxa"/>
          </w:tcPr>
          <w:p w:rsidR="00A154E5" w:rsidRDefault="00A154E5" w:rsidP="00A154E5">
            <w:pPr>
              <w:pStyle w:val="NormalHeadings"/>
              <w:jc w:val="left"/>
              <w:rPr>
                <w:caps/>
                <w:szCs w:val="24"/>
              </w:rPr>
            </w:pPr>
            <w:r>
              <w:rPr>
                <w:caps/>
                <w:szCs w:val="24"/>
              </w:rPr>
              <w:t>AND:</w:t>
            </w:r>
          </w:p>
        </w:tc>
        <w:tc>
          <w:tcPr>
            <w:tcW w:w="6866" w:type="dxa"/>
          </w:tcPr>
          <w:p w:rsidR="00A154E5" w:rsidRDefault="00A154E5" w:rsidP="00A154E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133C91">
              <w:rPr>
                <w:caps/>
                <w:szCs w:val="24"/>
              </w:rPr>
              <w:t>COMMISSIONER</w:t>
            </w:r>
            <w:r>
              <w:rPr>
                <w:szCs w:val="24"/>
              </w:rPr>
              <w:t xml:space="preserve"> OF TAXATION</w:t>
            </w:r>
          </w:p>
          <w:p w:rsidR="00A154E5" w:rsidRDefault="00A154E5" w:rsidP="00A154E5">
            <w:pPr>
              <w:pStyle w:val="NormalHeadings"/>
              <w:jc w:val="left"/>
              <w:rPr>
                <w:szCs w:val="24"/>
              </w:rPr>
            </w:pPr>
            <w:r>
              <w:rPr>
                <w:szCs w:val="24"/>
              </w:rPr>
              <w:t>Respondent</w:t>
            </w:r>
          </w:p>
          <w:p w:rsidR="00A154E5" w:rsidRDefault="00A154E5" w:rsidP="00A154E5">
            <w:pPr>
              <w:pStyle w:val="NormalHeadings"/>
              <w:jc w:val="left"/>
              <w:rPr>
                <w:caps/>
                <w:szCs w:val="24"/>
              </w:rPr>
            </w:pPr>
            <w:r>
              <w:rPr>
                <w:caps/>
                <w:szCs w:val="24"/>
              </w:rPr>
              <w:fldChar w:fldCharType="end"/>
            </w:r>
          </w:p>
        </w:tc>
      </w:tr>
    </w:tbl>
    <w:p w:rsidR="00A154E5" w:rsidRDefault="00A154E5">
      <w:pPr>
        <w:pStyle w:val="NormalHeadings"/>
      </w:pPr>
    </w:p>
    <w:tbl>
      <w:tblPr>
        <w:tblW w:w="0" w:type="auto"/>
        <w:tblLayout w:type="fixed"/>
        <w:tblLook w:val="0000" w:firstRow="0" w:lastRow="0" w:firstColumn="0" w:lastColumn="0" w:noHBand="0" w:noVBand="0"/>
      </w:tblPr>
      <w:tblGrid>
        <w:gridCol w:w="6771"/>
        <w:gridCol w:w="2471"/>
      </w:tblGrid>
      <w:tr w:rsidR="00A154E5" w:rsidTr="00A154E5">
        <w:tc>
          <w:tcPr>
            <w:tcW w:w="6771" w:type="dxa"/>
          </w:tcPr>
          <w:p w:rsidR="00A154E5" w:rsidRDefault="00A154E5" w:rsidP="00A154E5">
            <w:pPr>
              <w:pStyle w:val="NormalHeadings"/>
              <w:spacing w:after="120"/>
              <w:jc w:val="left"/>
              <w:rPr>
                <w:caps/>
                <w:szCs w:val="24"/>
              </w:rPr>
            </w:pPr>
            <w:r>
              <w:rPr>
                <w:caps/>
                <w:szCs w:val="24"/>
              </w:rPr>
              <w:t>IN THE FEDERAL COURT OF AUSTRALIA</w:t>
            </w:r>
          </w:p>
        </w:tc>
        <w:tc>
          <w:tcPr>
            <w:tcW w:w="2471" w:type="dxa"/>
          </w:tcPr>
          <w:p w:rsidR="00A154E5" w:rsidRDefault="00A154E5" w:rsidP="00A154E5">
            <w:pPr>
              <w:pStyle w:val="NormalHeadings"/>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A154E5" w:rsidRDefault="00A154E5" w:rsidP="00A154E5">
            <w:pPr>
              <w:pStyle w:val="NormalHeadings"/>
              <w:tabs>
                <w:tab w:val="right" w:pos="3609"/>
              </w:tabs>
              <w:jc w:val="right"/>
              <w:rPr>
                <w:caps/>
                <w:szCs w:val="24"/>
              </w:rPr>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A154E5" w:rsidRDefault="00A154E5" w:rsidP="00A154E5">
            <w:pPr>
              <w:pStyle w:val="NormalHeadings"/>
              <w:tabs>
                <w:tab w:val="right" w:pos="3609"/>
              </w:tabs>
              <w:jc w:val="right"/>
              <w:rPr>
                <w:caps/>
                <w:szCs w:val="24"/>
              </w:rPr>
            </w:pPr>
            <w:proofErr w:type="spellStart"/>
            <w:r>
              <w:rPr>
                <w:caps/>
                <w:szCs w:val="24"/>
              </w:rPr>
              <w:t>NSD</w:t>
            </w:r>
            <w:proofErr w:type="spellEnd"/>
            <w:r>
              <w:rPr>
                <w:caps/>
                <w:szCs w:val="24"/>
              </w:rPr>
              <w:t xml:space="preserve"> 655 </w:t>
            </w:r>
            <w:r w:rsidR="002071DF">
              <w:rPr>
                <w:szCs w:val="24"/>
              </w:rPr>
              <w:t>of</w:t>
            </w:r>
            <w:r>
              <w:rPr>
                <w:caps/>
                <w:szCs w:val="24"/>
              </w:rPr>
              <w:t xml:space="preserve"> 2011</w:t>
            </w:r>
          </w:p>
        </w:tc>
      </w:tr>
    </w:tbl>
    <w:p w:rsidR="00A154E5" w:rsidRDefault="008E2779" w:rsidP="00A154E5">
      <w:pPr>
        <w:pStyle w:val="AppealTable"/>
      </w:pPr>
      <w:fldSimple w:instr=" Ref AppealTable  \* MERGEFORMAT " w:fldLock="1">
        <w:r w:rsidR="00A154E5" w:rsidRPr="00133C91">
          <w:rPr>
            <w:sz w:val="24"/>
          </w:rPr>
          <w:t xml:space="preserve"> </w:t>
        </w:r>
      </w:fldSimple>
    </w:p>
    <w:tbl>
      <w:tblPr>
        <w:tblW w:w="0" w:type="auto"/>
        <w:tblLayout w:type="fixed"/>
        <w:tblLook w:val="0000" w:firstRow="0" w:lastRow="0" w:firstColumn="0" w:lastColumn="0" w:noHBand="0" w:noVBand="0"/>
      </w:tblPr>
      <w:tblGrid>
        <w:gridCol w:w="2376"/>
        <w:gridCol w:w="6866"/>
      </w:tblGrid>
      <w:tr w:rsidR="00A154E5" w:rsidTr="00A154E5">
        <w:trPr>
          <w:trHeight w:val="386"/>
        </w:trPr>
        <w:tc>
          <w:tcPr>
            <w:tcW w:w="2376" w:type="dxa"/>
          </w:tcPr>
          <w:p w:rsidR="00A154E5" w:rsidRDefault="00A154E5" w:rsidP="00A154E5">
            <w:pPr>
              <w:pStyle w:val="NormalHeadings"/>
              <w:jc w:val="left"/>
              <w:rPr>
                <w:caps/>
                <w:szCs w:val="24"/>
              </w:rPr>
            </w:pPr>
            <w:r>
              <w:rPr>
                <w:caps/>
                <w:szCs w:val="24"/>
              </w:rPr>
              <w:t>BETWEEN:</w:t>
            </w:r>
          </w:p>
        </w:tc>
        <w:tc>
          <w:tcPr>
            <w:tcW w:w="6866" w:type="dxa"/>
          </w:tcPr>
          <w:p w:rsidR="00A154E5" w:rsidRDefault="00A154E5" w:rsidP="00A154E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caps/>
                <w:szCs w:val="24"/>
              </w:rPr>
              <w:t xml:space="preserve">SOUTHGATE INVESTMENT FUNDS LIMITED </w:t>
            </w:r>
            <w:r>
              <w:rPr>
                <w:szCs w:val="24"/>
              </w:rPr>
              <w:t xml:space="preserve"> </w:t>
            </w:r>
          </w:p>
          <w:p w:rsidR="00A154E5" w:rsidRDefault="00A154E5" w:rsidP="00A154E5">
            <w:pPr>
              <w:pStyle w:val="NormalHeadings"/>
              <w:jc w:val="left"/>
              <w:rPr>
                <w:szCs w:val="24"/>
              </w:rPr>
            </w:pPr>
            <w:r>
              <w:rPr>
                <w:szCs w:val="24"/>
              </w:rPr>
              <w:t>Applicant</w:t>
            </w:r>
          </w:p>
          <w:p w:rsidR="00A154E5" w:rsidRDefault="00A154E5" w:rsidP="00A154E5">
            <w:pPr>
              <w:pStyle w:val="NormalHeadings"/>
              <w:jc w:val="left"/>
              <w:rPr>
                <w:caps/>
                <w:szCs w:val="24"/>
              </w:rPr>
            </w:pPr>
            <w:r>
              <w:rPr>
                <w:caps/>
                <w:szCs w:val="24"/>
              </w:rPr>
              <w:fldChar w:fldCharType="end"/>
            </w:r>
          </w:p>
        </w:tc>
      </w:tr>
      <w:tr w:rsidR="00A154E5" w:rsidTr="00A154E5">
        <w:trPr>
          <w:trHeight w:val="386"/>
        </w:trPr>
        <w:tc>
          <w:tcPr>
            <w:tcW w:w="2376" w:type="dxa"/>
          </w:tcPr>
          <w:p w:rsidR="00A154E5" w:rsidRDefault="00A154E5" w:rsidP="00A154E5">
            <w:pPr>
              <w:pStyle w:val="NormalHeadings"/>
              <w:jc w:val="left"/>
              <w:rPr>
                <w:caps/>
                <w:szCs w:val="24"/>
              </w:rPr>
            </w:pPr>
            <w:r>
              <w:rPr>
                <w:caps/>
                <w:szCs w:val="24"/>
              </w:rPr>
              <w:t>AND:</w:t>
            </w:r>
          </w:p>
        </w:tc>
        <w:tc>
          <w:tcPr>
            <w:tcW w:w="6866" w:type="dxa"/>
          </w:tcPr>
          <w:p w:rsidR="00A154E5" w:rsidRDefault="00A154E5" w:rsidP="00A154E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133C91">
              <w:rPr>
                <w:caps/>
                <w:szCs w:val="24"/>
              </w:rPr>
              <w:t>COMMISSIONER</w:t>
            </w:r>
            <w:r>
              <w:rPr>
                <w:szCs w:val="24"/>
              </w:rPr>
              <w:t xml:space="preserve"> OF TAXATION</w:t>
            </w:r>
          </w:p>
          <w:p w:rsidR="00A154E5" w:rsidRDefault="00A154E5" w:rsidP="00A154E5">
            <w:pPr>
              <w:pStyle w:val="NormalHeadings"/>
              <w:jc w:val="left"/>
              <w:rPr>
                <w:szCs w:val="24"/>
              </w:rPr>
            </w:pPr>
            <w:r>
              <w:rPr>
                <w:szCs w:val="24"/>
              </w:rPr>
              <w:t>Respondent</w:t>
            </w:r>
          </w:p>
          <w:p w:rsidR="00A154E5" w:rsidRDefault="00A154E5" w:rsidP="00A154E5">
            <w:pPr>
              <w:pStyle w:val="NormalHeadings"/>
              <w:jc w:val="left"/>
              <w:rPr>
                <w:caps/>
                <w:szCs w:val="24"/>
              </w:rPr>
            </w:pPr>
            <w:r>
              <w:rPr>
                <w:caps/>
                <w:szCs w:val="24"/>
              </w:rPr>
              <w:fldChar w:fldCharType="end"/>
            </w:r>
          </w:p>
        </w:tc>
      </w:tr>
    </w:tbl>
    <w:p w:rsidR="00A154E5" w:rsidRDefault="00A154E5">
      <w:pPr>
        <w:pStyle w:val="NormalHeadings"/>
      </w:pPr>
    </w:p>
    <w:p w:rsidR="002071DF" w:rsidRDefault="002071DF">
      <w:pPr>
        <w:pStyle w:val="NormalHeadings"/>
      </w:pPr>
    </w:p>
    <w:tbl>
      <w:tblPr>
        <w:tblW w:w="0" w:type="auto"/>
        <w:tblLayout w:type="fixed"/>
        <w:tblLook w:val="0000" w:firstRow="0" w:lastRow="0" w:firstColumn="0" w:lastColumn="0" w:noHBand="0" w:noVBand="0"/>
      </w:tblPr>
      <w:tblGrid>
        <w:gridCol w:w="6771"/>
        <w:gridCol w:w="2471"/>
      </w:tblGrid>
      <w:tr w:rsidR="00A154E5" w:rsidTr="00A154E5">
        <w:tc>
          <w:tcPr>
            <w:tcW w:w="6771" w:type="dxa"/>
          </w:tcPr>
          <w:p w:rsidR="00A154E5" w:rsidRDefault="00A154E5" w:rsidP="00A154E5">
            <w:pPr>
              <w:pStyle w:val="NormalHeadings"/>
              <w:spacing w:after="120"/>
              <w:jc w:val="left"/>
              <w:rPr>
                <w:caps/>
                <w:szCs w:val="24"/>
              </w:rPr>
            </w:pPr>
            <w:r>
              <w:rPr>
                <w:caps/>
                <w:szCs w:val="24"/>
              </w:rPr>
              <w:lastRenderedPageBreak/>
              <w:t>IN THE FEDERAL COURT OF AUSTRALIA</w:t>
            </w:r>
          </w:p>
        </w:tc>
        <w:tc>
          <w:tcPr>
            <w:tcW w:w="2471" w:type="dxa"/>
          </w:tcPr>
          <w:p w:rsidR="00A154E5" w:rsidRDefault="00A154E5" w:rsidP="00A154E5">
            <w:pPr>
              <w:pStyle w:val="NormalHeadings"/>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A154E5" w:rsidRDefault="00A154E5" w:rsidP="00A154E5">
            <w:pPr>
              <w:pStyle w:val="NormalHeadings"/>
              <w:tabs>
                <w:tab w:val="right" w:pos="3609"/>
              </w:tabs>
              <w:jc w:val="right"/>
              <w:rPr>
                <w:caps/>
                <w:szCs w:val="24"/>
              </w:rPr>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A154E5" w:rsidRDefault="00A154E5" w:rsidP="00A154E5">
            <w:pPr>
              <w:pStyle w:val="NormalHeadings"/>
              <w:tabs>
                <w:tab w:val="right" w:pos="3609"/>
              </w:tabs>
              <w:jc w:val="right"/>
              <w:rPr>
                <w:caps/>
                <w:szCs w:val="24"/>
              </w:rPr>
            </w:pPr>
            <w:proofErr w:type="spellStart"/>
            <w:r>
              <w:rPr>
                <w:caps/>
                <w:szCs w:val="24"/>
              </w:rPr>
              <w:t>NSD</w:t>
            </w:r>
            <w:proofErr w:type="spellEnd"/>
            <w:r>
              <w:rPr>
                <w:caps/>
                <w:szCs w:val="24"/>
              </w:rPr>
              <w:t xml:space="preserve"> 656 </w:t>
            </w:r>
            <w:r w:rsidR="002071DF">
              <w:rPr>
                <w:szCs w:val="24"/>
              </w:rPr>
              <w:t>of</w:t>
            </w:r>
            <w:r>
              <w:rPr>
                <w:caps/>
                <w:szCs w:val="24"/>
              </w:rPr>
              <w:t xml:space="preserve"> 2011</w:t>
            </w:r>
          </w:p>
        </w:tc>
      </w:tr>
    </w:tbl>
    <w:p w:rsidR="00A154E5" w:rsidRDefault="008E2779" w:rsidP="00A154E5">
      <w:pPr>
        <w:pStyle w:val="AppealTable"/>
      </w:pPr>
      <w:fldSimple w:instr=" Ref AppealTable  \* MERGEFORMAT " w:fldLock="1">
        <w:r w:rsidR="00A154E5" w:rsidRPr="00133C91">
          <w:rPr>
            <w:sz w:val="24"/>
          </w:rPr>
          <w:t xml:space="preserve"> </w:t>
        </w:r>
      </w:fldSimple>
    </w:p>
    <w:tbl>
      <w:tblPr>
        <w:tblW w:w="0" w:type="auto"/>
        <w:tblLayout w:type="fixed"/>
        <w:tblLook w:val="0000" w:firstRow="0" w:lastRow="0" w:firstColumn="0" w:lastColumn="0" w:noHBand="0" w:noVBand="0"/>
      </w:tblPr>
      <w:tblGrid>
        <w:gridCol w:w="2376"/>
        <w:gridCol w:w="6866"/>
      </w:tblGrid>
      <w:tr w:rsidR="00A154E5" w:rsidTr="00A154E5">
        <w:trPr>
          <w:trHeight w:val="386"/>
        </w:trPr>
        <w:tc>
          <w:tcPr>
            <w:tcW w:w="2376" w:type="dxa"/>
          </w:tcPr>
          <w:p w:rsidR="00A154E5" w:rsidRDefault="00A154E5" w:rsidP="00A154E5">
            <w:pPr>
              <w:pStyle w:val="NormalHeadings"/>
              <w:jc w:val="left"/>
              <w:rPr>
                <w:caps/>
                <w:szCs w:val="24"/>
              </w:rPr>
            </w:pPr>
            <w:r>
              <w:rPr>
                <w:caps/>
                <w:szCs w:val="24"/>
              </w:rPr>
              <w:t>BETWEEN:</w:t>
            </w:r>
          </w:p>
        </w:tc>
        <w:tc>
          <w:tcPr>
            <w:tcW w:w="6866" w:type="dxa"/>
          </w:tcPr>
          <w:p w:rsidR="00A154E5" w:rsidRDefault="00A154E5" w:rsidP="00A154E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Pr>
                <w:caps/>
                <w:szCs w:val="24"/>
              </w:rPr>
              <w:t>DERRIN</w:t>
            </w:r>
            <w:proofErr w:type="spellEnd"/>
            <w:r>
              <w:rPr>
                <w:caps/>
                <w:szCs w:val="24"/>
              </w:rPr>
              <w:t xml:space="preserve"> BROTHERS PROPERTIES LIMITED</w:t>
            </w:r>
            <w:r>
              <w:rPr>
                <w:szCs w:val="24"/>
              </w:rPr>
              <w:t xml:space="preserve"> </w:t>
            </w:r>
          </w:p>
          <w:p w:rsidR="00A154E5" w:rsidRDefault="00A154E5" w:rsidP="00A154E5">
            <w:pPr>
              <w:pStyle w:val="NormalHeadings"/>
              <w:jc w:val="left"/>
              <w:rPr>
                <w:szCs w:val="24"/>
              </w:rPr>
            </w:pPr>
            <w:r>
              <w:rPr>
                <w:szCs w:val="24"/>
              </w:rPr>
              <w:t>Applicant</w:t>
            </w:r>
          </w:p>
          <w:p w:rsidR="00A154E5" w:rsidRDefault="00A154E5" w:rsidP="00A154E5">
            <w:pPr>
              <w:pStyle w:val="NormalHeadings"/>
              <w:jc w:val="left"/>
              <w:rPr>
                <w:caps/>
                <w:szCs w:val="24"/>
              </w:rPr>
            </w:pPr>
            <w:r>
              <w:rPr>
                <w:caps/>
                <w:szCs w:val="24"/>
              </w:rPr>
              <w:fldChar w:fldCharType="end"/>
            </w:r>
          </w:p>
        </w:tc>
      </w:tr>
      <w:tr w:rsidR="00A154E5" w:rsidTr="00A154E5">
        <w:trPr>
          <w:trHeight w:val="386"/>
        </w:trPr>
        <w:tc>
          <w:tcPr>
            <w:tcW w:w="2376" w:type="dxa"/>
          </w:tcPr>
          <w:p w:rsidR="00A154E5" w:rsidRDefault="00A154E5" w:rsidP="00A154E5">
            <w:pPr>
              <w:pStyle w:val="NormalHeadings"/>
              <w:jc w:val="left"/>
              <w:rPr>
                <w:caps/>
                <w:szCs w:val="24"/>
              </w:rPr>
            </w:pPr>
            <w:r>
              <w:rPr>
                <w:caps/>
                <w:szCs w:val="24"/>
              </w:rPr>
              <w:t>AND:</w:t>
            </w:r>
          </w:p>
        </w:tc>
        <w:tc>
          <w:tcPr>
            <w:tcW w:w="6866" w:type="dxa"/>
          </w:tcPr>
          <w:p w:rsidR="00A154E5" w:rsidRDefault="00A154E5" w:rsidP="00A154E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133C91">
              <w:rPr>
                <w:caps/>
                <w:szCs w:val="24"/>
              </w:rPr>
              <w:t>COMMISSIONER</w:t>
            </w:r>
            <w:r>
              <w:rPr>
                <w:szCs w:val="24"/>
              </w:rPr>
              <w:t xml:space="preserve"> OF TAXATION</w:t>
            </w:r>
          </w:p>
          <w:p w:rsidR="00A154E5" w:rsidRDefault="00A154E5" w:rsidP="00A154E5">
            <w:pPr>
              <w:pStyle w:val="NormalHeadings"/>
              <w:jc w:val="left"/>
              <w:rPr>
                <w:szCs w:val="24"/>
              </w:rPr>
            </w:pPr>
            <w:r>
              <w:rPr>
                <w:szCs w:val="24"/>
              </w:rPr>
              <w:t>Respondent</w:t>
            </w:r>
          </w:p>
          <w:p w:rsidR="00A154E5" w:rsidRDefault="00A154E5" w:rsidP="00A154E5">
            <w:pPr>
              <w:pStyle w:val="NormalHeadings"/>
              <w:jc w:val="left"/>
              <w:rPr>
                <w:caps/>
                <w:szCs w:val="24"/>
              </w:rPr>
            </w:pPr>
            <w:r>
              <w:rPr>
                <w:caps/>
                <w:szCs w:val="24"/>
              </w:rPr>
              <w:fldChar w:fldCharType="end"/>
            </w:r>
          </w:p>
        </w:tc>
      </w:tr>
    </w:tbl>
    <w:p w:rsidR="00A154E5" w:rsidRDefault="00A154E5">
      <w:pPr>
        <w:pStyle w:val="NormalHeadings"/>
      </w:pPr>
    </w:p>
    <w:tbl>
      <w:tblPr>
        <w:tblW w:w="0" w:type="auto"/>
        <w:tblLayout w:type="fixed"/>
        <w:tblLook w:val="0000" w:firstRow="0" w:lastRow="0" w:firstColumn="0" w:lastColumn="0" w:noHBand="0" w:noVBand="0"/>
      </w:tblPr>
      <w:tblGrid>
        <w:gridCol w:w="6771"/>
        <w:gridCol w:w="2471"/>
      </w:tblGrid>
      <w:tr w:rsidR="00A154E5" w:rsidTr="00A154E5">
        <w:tc>
          <w:tcPr>
            <w:tcW w:w="6771" w:type="dxa"/>
          </w:tcPr>
          <w:p w:rsidR="00A154E5" w:rsidRDefault="00A154E5" w:rsidP="00A154E5">
            <w:pPr>
              <w:pStyle w:val="NormalHeadings"/>
              <w:spacing w:after="120"/>
              <w:jc w:val="left"/>
              <w:rPr>
                <w:caps/>
                <w:szCs w:val="24"/>
              </w:rPr>
            </w:pPr>
            <w:r>
              <w:rPr>
                <w:caps/>
                <w:szCs w:val="24"/>
              </w:rPr>
              <w:t>IN THE FEDERAL COURT OF AUSTRALIA</w:t>
            </w:r>
          </w:p>
        </w:tc>
        <w:tc>
          <w:tcPr>
            <w:tcW w:w="2471" w:type="dxa"/>
          </w:tcPr>
          <w:p w:rsidR="00A154E5" w:rsidRDefault="00A154E5" w:rsidP="00A154E5">
            <w:pPr>
              <w:pStyle w:val="NormalHeadings"/>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A154E5" w:rsidRDefault="00A154E5" w:rsidP="00A154E5">
            <w:pPr>
              <w:pStyle w:val="NormalHeadings"/>
              <w:tabs>
                <w:tab w:val="right" w:pos="3609"/>
              </w:tabs>
              <w:jc w:val="right"/>
              <w:rPr>
                <w:caps/>
                <w:szCs w:val="24"/>
              </w:rPr>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A154E5" w:rsidRDefault="002F2DB9" w:rsidP="00A154E5">
            <w:pPr>
              <w:pStyle w:val="NormalHeadings"/>
              <w:tabs>
                <w:tab w:val="right" w:pos="3609"/>
              </w:tabs>
              <w:jc w:val="right"/>
              <w:rPr>
                <w:caps/>
                <w:szCs w:val="24"/>
              </w:rPr>
            </w:pPr>
            <w:r>
              <w:rPr>
                <w:caps/>
                <w:szCs w:val="24"/>
              </w:rPr>
              <w:t>VID 672</w:t>
            </w:r>
            <w:r w:rsidR="00A154E5">
              <w:rPr>
                <w:caps/>
                <w:szCs w:val="24"/>
              </w:rPr>
              <w:t xml:space="preserve"> </w:t>
            </w:r>
            <w:r w:rsidR="002071DF">
              <w:rPr>
                <w:szCs w:val="24"/>
              </w:rPr>
              <w:t>of</w:t>
            </w:r>
            <w:r w:rsidR="00A154E5">
              <w:rPr>
                <w:caps/>
                <w:szCs w:val="24"/>
              </w:rPr>
              <w:t xml:space="preserve"> 2010</w:t>
            </w:r>
          </w:p>
        </w:tc>
      </w:tr>
    </w:tbl>
    <w:p w:rsidR="00A154E5" w:rsidRDefault="008E2779" w:rsidP="00A154E5">
      <w:pPr>
        <w:pStyle w:val="AppealTable"/>
      </w:pPr>
      <w:fldSimple w:instr=" Ref AppealTable  \* MERGEFORMAT " w:fldLock="1">
        <w:r w:rsidR="00A154E5" w:rsidRPr="00133C91">
          <w:rPr>
            <w:sz w:val="24"/>
          </w:rPr>
          <w:t xml:space="preserve"> </w:t>
        </w:r>
      </w:fldSimple>
    </w:p>
    <w:tbl>
      <w:tblPr>
        <w:tblW w:w="0" w:type="auto"/>
        <w:tblLayout w:type="fixed"/>
        <w:tblLook w:val="0000" w:firstRow="0" w:lastRow="0" w:firstColumn="0" w:lastColumn="0" w:noHBand="0" w:noVBand="0"/>
      </w:tblPr>
      <w:tblGrid>
        <w:gridCol w:w="2376"/>
        <w:gridCol w:w="6866"/>
      </w:tblGrid>
      <w:tr w:rsidR="00A154E5" w:rsidTr="00A154E5">
        <w:trPr>
          <w:trHeight w:val="386"/>
        </w:trPr>
        <w:tc>
          <w:tcPr>
            <w:tcW w:w="2376" w:type="dxa"/>
          </w:tcPr>
          <w:p w:rsidR="00A154E5" w:rsidRDefault="00A154E5" w:rsidP="00A154E5">
            <w:pPr>
              <w:pStyle w:val="NormalHeadings"/>
              <w:jc w:val="left"/>
              <w:rPr>
                <w:caps/>
                <w:szCs w:val="24"/>
              </w:rPr>
            </w:pPr>
            <w:r>
              <w:rPr>
                <w:caps/>
                <w:szCs w:val="24"/>
              </w:rPr>
              <w:t>BETWEEN:</w:t>
            </w:r>
          </w:p>
        </w:tc>
        <w:tc>
          <w:tcPr>
            <w:tcW w:w="6866" w:type="dxa"/>
          </w:tcPr>
          <w:p w:rsidR="00A154E5" w:rsidRDefault="00A154E5" w:rsidP="00A154E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szCs w:val="24"/>
              </w:rPr>
              <w:t>DEPUTY COMMISSIONER OF TAXATION</w:t>
            </w:r>
          </w:p>
          <w:p w:rsidR="00A154E5" w:rsidRDefault="00A154E5" w:rsidP="00A154E5">
            <w:pPr>
              <w:pStyle w:val="NormalHeadings"/>
              <w:jc w:val="left"/>
              <w:rPr>
                <w:szCs w:val="24"/>
              </w:rPr>
            </w:pPr>
            <w:r>
              <w:rPr>
                <w:szCs w:val="24"/>
              </w:rPr>
              <w:t>Applicant</w:t>
            </w:r>
          </w:p>
          <w:p w:rsidR="00A154E5" w:rsidRDefault="00A154E5" w:rsidP="00A154E5">
            <w:pPr>
              <w:pStyle w:val="NormalHeadings"/>
              <w:jc w:val="left"/>
              <w:rPr>
                <w:caps/>
                <w:szCs w:val="24"/>
              </w:rPr>
            </w:pPr>
            <w:r>
              <w:rPr>
                <w:caps/>
                <w:szCs w:val="24"/>
              </w:rPr>
              <w:fldChar w:fldCharType="end"/>
            </w:r>
          </w:p>
        </w:tc>
      </w:tr>
      <w:tr w:rsidR="00A154E5" w:rsidTr="00A154E5">
        <w:trPr>
          <w:trHeight w:val="386"/>
        </w:trPr>
        <w:tc>
          <w:tcPr>
            <w:tcW w:w="2376" w:type="dxa"/>
          </w:tcPr>
          <w:p w:rsidR="00A154E5" w:rsidRDefault="00A154E5" w:rsidP="00A154E5">
            <w:pPr>
              <w:pStyle w:val="NormalHeadings"/>
              <w:jc w:val="left"/>
              <w:rPr>
                <w:caps/>
                <w:szCs w:val="24"/>
              </w:rPr>
            </w:pPr>
            <w:r>
              <w:rPr>
                <w:caps/>
                <w:szCs w:val="24"/>
              </w:rPr>
              <w:t>AND:</w:t>
            </w:r>
          </w:p>
        </w:tc>
        <w:tc>
          <w:tcPr>
            <w:tcW w:w="6866" w:type="dxa"/>
          </w:tcPr>
          <w:p w:rsidR="00A154E5" w:rsidRDefault="00A154E5" w:rsidP="00A154E5">
            <w:pPr>
              <w:pStyle w:val="NormalHeadings"/>
              <w:jc w:val="left"/>
              <w:rPr>
                <w:szCs w:val="24"/>
              </w:rPr>
            </w:pPr>
            <w:r w:rsidRPr="00133C91">
              <w:rPr>
                <w:caps/>
                <w:szCs w:val="24"/>
              </w:rPr>
              <w:t>HUA</w:t>
            </w:r>
            <w:r>
              <w:rPr>
                <w:szCs w:val="24"/>
              </w:rPr>
              <w:t xml:space="preserve"> WANG BANK BERHAD</w:t>
            </w:r>
            <w:r>
              <w:rPr>
                <w:caps/>
                <w:szCs w:val="24"/>
              </w:rPr>
              <w:t xml:space="preserve"> </w:t>
            </w:r>
            <w:r>
              <w:rPr>
                <w:caps/>
                <w:szCs w:val="24"/>
              </w:rPr>
              <w:fldChar w:fldCharType="begin" w:fldLock="1"/>
            </w:r>
            <w:r>
              <w:rPr>
                <w:caps/>
                <w:szCs w:val="24"/>
              </w:rPr>
              <w:instrText xml:space="preserve"> REF Respondent  \* MERGEFORMAT </w:instrText>
            </w:r>
            <w:r>
              <w:rPr>
                <w:caps/>
                <w:szCs w:val="24"/>
              </w:rPr>
              <w:fldChar w:fldCharType="separate"/>
            </w:r>
          </w:p>
          <w:p w:rsidR="00A154E5" w:rsidRDefault="00A154E5" w:rsidP="00A154E5">
            <w:pPr>
              <w:pStyle w:val="NormalHeadings"/>
              <w:jc w:val="left"/>
              <w:rPr>
                <w:szCs w:val="24"/>
              </w:rPr>
            </w:pPr>
            <w:r>
              <w:rPr>
                <w:szCs w:val="24"/>
              </w:rPr>
              <w:t>Respondent</w:t>
            </w:r>
          </w:p>
          <w:p w:rsidR="00A154E5" w:rsidRDefault="00A154E5" w:rsidP="00A154E5">
            <w:pPr>
              <w:pStyle w:val="NormalHeadings"/>
              <w:jc w:val="left"/>
              <w:rPr>
                <w:caps/>
                <w:szCs w:val="24"/>
              </w:rPr>
            </w:pPr>
            <w:r>
              <w:rPr>
                <w:caps/>
                <w:szCs w:val="24"/>
              </w:rPr>
              <w:fldChar w:fldCharType="end"/>
            </w:r>
          </w:p>
        </w:tc>
      </w:tr>
    </w:tbl>
    <w:p w:rsidR="00A154E5" w:rsidRDefault="00A154E5">
      <w:pPr>
        <w:pStyle w:val="NormalHeadings"/>
      </w:pPr>
    </w:p>
    <w:p w:rsidR="00A154E5" w:rsidRDefault="00A154E5" w:rsidP="00A154E5">
      <w:pPr>
        <w:pStyle w:val="NormalHeadings"/>
      </w:pPr>
    </w:p>
    <w:tbl>
      <w:tblPr>
        <w:tblW w:w="0" w:type="auto"/>
        <w:tblLayout w:type="fixed"/>
        <w:tblLook w:val="0000" w:firstRow="0" w:lastRow="0" w:firstColumn="0" w:lastColumn="0" w:noHBand="0" w:noVBand="0"/>
      </w:tblPr>
      <w:tblGrid>
        <w:gridCol w:w="6771"/>
        <w:gridCol w:w="2471"/>
      </w:tblGrid>
      <w:tr w:rsidR="00A154E5" w:rsidTr="00A154E5">
        <w:tc>
          <w:tcPr>
            <w:tcW w:w="6771" w:type="dxa"/>
          </w:tcPr>
          <w:p w:rsidR="00A154E5" w:rsidRDefault="00A154E5" w:rsidP="00A154E5">
            <w:pPr>
              <w:pStyle w:val="NormalHeadings"/>
              <w:spacing w:after="120"/>
              <w:jc w:val="left"/>
              <w:rPr>
                <w:caps/>
                <w:szCs w:val="24"/>
              </w:rPr>
            </w:pPr>
            <w:r>
              <w:rPr>
                <w:caps/>
                <w:szCs w:val="24"/>
              </w:rPr>
              <w:t>IN THE FEDERAL COURT OF AUSTRALIA</w:t>
            </w:r>
          </w:p>
        </w:tc>
        <w:tc>
          <w:tcPr>
            <w:tcW w:w="2471" w:type="dxa"/>
          </w:tcPr>
          <w:p w:rsidR="00A154E5" w:rsidRDefault="00A154E5" w:rsidP="00A154E5">
            <w:pPr>
              <w:pStyle w:val="NormalHeadings"/>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A154E5" w:rsidRDefault="00A154E5" w:rsidP="00A154E5">
            <w:pPr>
              <w:pStyle w:val="NormalHeadings"/>
              <w:tabs>
                <w:tab w:val="right" w:pos="3609"/>
              </w:tabs>
              <w:jc w:val="right"/>
              <w:rPr>
                <w:caps/>
                <w:szCs w:val="24"/>
              </w:rPr>
            </w:pPr>
          </w:p>
        </w:tc>
      </w:tr>
      <w:tr w:rsidR="00A154E5" w:rsidTr="00A154E5">
        <w:tc>
          <w:tcPr>
            <w:tcW w:w="6771" w:type="dxa"/>
          </w:tcPr>
          <w:p w:rsidR="00A154E5" w:rsidRDefault="00A154E5" w:rsidP="00A154E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A154E5" w:rsidRDefault="00A154E5" w:rsidP="00A154E5">
            <w:pPr>
              <w:pStyle w:val="NormalHeadings"/>
              <w:tabs>
                <w:tab w:val="right" w:pos="3609"/>
              </w:tabs>
              <w:jc w:val="right"/>
              <w:rPr>
                <w:caps/>
                <w:szCs w:val="24"/>
              </w:rPr>
            </w:pPr>
            <w:r>
              <w:rPr>
                <w:caps/>
                <w:szCs w:val="24"/>
              </w:rPr>
              <w:t xml:space="preserve">VID 887 </w:t>
            </w:r>
            <w:r w:rsidR="002071DF">
              <w:rPr>
                <w:szCs w:val="24"/>
              </w:rPr>
              <w:t>of</w:t>
            </w:r>
            <w:r>
              <w:rPr>
                <w:caps/>
                <w:szCs w:val="24"/>
              </w:rPr>
              <w:t xml:space="preserve"> 2010</w:t>
            </w:r>
          </w:p>
        </w:tc>
      </w:tr>
    </w:tbl>
    <w:p w:rsidR="00A154E5" w:rsidRDefault="008E2779" w:rsidP="00A154E5">
      <w:pPr>
        <w:pStyle w:val="AppealTable"/>
      </w:pPr>
      <w:fldSimple w:instr=" Ref AppealTable  \* MERGEFORMAT " w:fldLock="1">
        <w:r w:rsidR="00A154E5" w:rsidRPr="00133C91">
          <w:rPr>
            <w:sz w:val="24"/>
          </w:rPr>
          <w:t xml:space="preserve"> </w:t>
        </w:r>
      </w:fldSimple>
    </w:p>
    <w:tbl>
      <w:tblPr>
        <w:tblW w:w="0" w:type="auto"/>
        <w:tblLayout w:type="fixed"/>
        <w:tblLook w:val="0000" w:firstRow="0" w:lastRow="0" w:firstColumn="0" w:lastColumn="0" w:noHBand="0" w:noVBand="0"/>
      </w:tblPr>
      <w:tblGrid>
        <w:gridCol w:w="2376"/>
        <w:gridCol w:w="6866"/>
      </w:tblGrid>
      <w:tr w:rsidR="00A154E5" w:rsidTr="00A154E5">
        <w:trPr>
          <w:trHeight w:val="386"/>
        </w:trPr>
        <w:tc>
          <w:tcPr>
            <w:tcW w:w="2376" w:type="dxa"/>
          </w:tcPr>
          <w:p w:rsidR="00A154E5" w:rsidRDefault="00A154E5" w:rsidP="00A154E5">
            <w:pPr>
              <w:pStyle w:val="NormalHeadings"/>
              <w:jc w:val="left"/>
              <w:rPr>
                <w:caps/>
                <w:szCs w:val="24"/>
              </w:rPr>
            </w:pPr>
            <w:r>
              <w:rPr>
                <w:caps/>
                <w:szCs w:val="24"/>
              </w:rPr>
              <w:t>BETWEEN:</w:t>
            </w:r>
          </w:p>
        </w:tc>
        <w:tc>
          <w:tcPr>
            <w:tcW w:w="6866" w:type="dxa"/>
          </w:tcPr>
          <w:p w:rsidR="00A154E5" w:rsidRDefault="00A154E5" w:rsidP="00A154E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szCs w:val="24"/>
              </w:rPr>
              <w:t>DEPUTY COMMISSIONER OF TAXATION</w:t>
            </w:r>
          </w:p>
          <w:p w:rsidR="00A154E5" w:rsidRDefault="00A154E5" w:rsidP="00A154E5">
            <w:pPr>
              <w:pStyle w:val="NormalHeadings"/>
              <w:jc w:val="left"/>
              <w:rPr>
                <w:szCs w:val="24"/>
              </w:rPr>
            </w:pPr>
            <w:r>
              <w:rPr>
                <w:szCs w:val="24"/>
              </w:rPr>
              <w:t>Applicant</w:t>
            </w:r>
          </w:p>
          <w:p w:rsidR="00A154E5" w:rsidRDefault="00A154E5" w:rsidP="00A154E5">
            <w:pPr>
              <w:pStyle w:val="NormalHeadings"/>
              <w:jc w:val="left"/>
              <w:rPr>
                <w:caps/>
                <w:szCs w:val="24"/>
              </w:rPr>
            </w:pPr>
            <w:r>
              <w:rPr>
                <w:caps/>
                <w:szCs w:val="24"/>
              </w:rPr>
              <w:fldChar w:fldCharType="end"/>
            </w:r>
          </w:p>
        </w:tc>
      </w:tr>
      <w:tr w:rsidR="00A154E5" w:rsidTr="00A154E5">
        <w:trPr>
          <w:trHeight w:val="386"/>
        </w:trPr>
        <w:tc>
          <w:tcPr>
            <w:tcW w:w="2376" w:type="dxa"/>
          </w:tcPr>
          <w:p w:rsidR="00A154E5" w:rsidRDefault="00A154E5" w:rsidP="00A154E5">
            <w:pPr>
              <w:pStyle w:val="NormalHeadings"/>
              <w:jc w:val="left"/>
              <w:rPr>
                <w:caps/>
                <w:szCs w:val="24"/>
              </w:rPr>
            </w:pPr>
            <w:r>
              <w:rPr>
                <w:caps/>
                <w:szCs w:val="24"/>
              </w:rPr>
              <w:t>AND:</w:t>
            </w:r>
          </w:p>
        </w:tc>
        <w:tc>
          <w:tcPr>
            <w:tcW w:w="6866" w:type="dxa"/>
          </w:tcPr>
          <w:p w:rsidR="00A154E5" w:rsidRDefault="00A154E5" w:rsidP="00A154E5">
            <w:pPr>
              <w:pStyle w:val="NormalHeadings"/>
              <w:jc w:val="left"/>
              <w:rPr>
                <w:szCs w:val="24"/>
              </w:rPr>
            </w:pPr>
            <w:r>
              <w:rPr>
                <w:caps/>
                <w:szCs w:val="24"/>
              </w:rPr>
              <w:t>CHEMICAL TRUSTEE LIMITED</w:t>
            </w:r>
            <w:r>
              <w:rPr>
                <w:caps/>
                <w:szCs w:val="24"/>
              </w:rPr>
              <w:fldChar w:fldCharType="begin" w:fldLock="1"/>
            </w:r>
            <w:r>
              <w:rPr>
                <w:caps/>
                <w:szCs w:val="24"/>
              </w:rPr>
              <w:instrText xml:space="preserve"> REF Respondent  \* MERGEFORMAT </w:instrText>
            </w:r>
            <w:r>
              <w:rPr>
                <w:caps/>
                <w:szCs w:val="24"/>
              </w:rPr>
              <w:fldChar w:fldCharType="separate"/>
            </w:r>
          </w:p>
          <w:p w:rsidR="00A154E5" w:rsidRDefault="00A154E5" w:rsidP="00A154E5">
            <w:pPr>
              <w:pStyle w:val="NormalHeadings"/>
              <w:jc w:val="left"/>
              <w:rPr>
                <w:szCs w:val="24"/>
              </w:rPr>
            </w:pPr>
            <w:r>
              <w:rPr>
                <w:szCs w:val="24"/>
              </w:rPr>
              <w:t>First Respondent</w:t>
            </w:r>
          </w:p>
          <w:p w:rsidR="001B49A3" w:rsidRDefault="001B49A3" w:rsidP="00A154E5">
            <w:pPr>
              <w:pStyle w:val="NormalHeadings"/>
              <w:jc w:val="left"/>
              <w:rPr>
                <w:szCs w:val="24"/>
              </w:rPr>
            </w:pPr>
          </w:p>
          <w:p w:rsidR="00A154E5" w:rsidRDefault="001B49A3" w:rsidP="00A154E5">
            <w:pPr>
              <w:pStyle w:val="NormalHeadings"/>
              <w:jc w:val="left"/>
              <w:rPr>
                <w:szCs w:val="24"/>
              </w:rPr>
            </w:pPr>
            <w:proofErr w:type="spellStart"/>
            <w:r>
              <w:rPr>
                <w:szCs w:val="24"/>
              </w:rPr>
              <w:t>DERRIN</w:t>
            </w:r>
            <w:proofErr w:type="spellEnd"/>
            <w:r>
              <w:rPr>
                <w:szCs w:val="24"/>
              </w:rPr>
              <w:t xml:space="preserve"> BROTHERS PROPERTIES </w:t>
            </w:r>
            <w:r w:rsidR="00A154E5">
              <w:rPr>
                <w:caps/>
                <w:szCs w:val="24"/>
              </w:rPr>
              <w:t>LIMITED</w:t>
            </w:r>
            <w:r w:rsidR="00A154E5">
              <w:rPr>
                <w:caps/>
                <w:szCs w:val="24"/>
              </w:rPr>
              <w:fldChar w:fldCharType="begin" w:fldLock="1"/>
            </w:r>
            <w:r w:rsidR="00A154E5">
              <w:rPr>
                <w:caps/>
                <w:szCs w:val="24"/>
              </w:rPr>
              <w:instrText xml:space="preserve"> REF Respondent  \* MERGEFORMAT </w:instrText>
            </w:r>
            <w:r w:rsidR="00A154E5">
              <w:rPr>
                <w:caps/>
                <w:szCs w:val="24"/>
              </w:rPr>
              <w:fldChar w:fldCharType="separate"/>
            </w:r>
          </w:p>
          <w:p w:rsidR="00A154E5" w:rsidRDefault="001B49A3" w:rsidP="00A154E5">
            <w:pPr>
              <w:pStyle w:val="NormalHeadings"/>
              <w:jc w:val="left"/>
              <w:rPr>
                <w:szCs w:val="24"/>
              </w:rPr>
            </w:pPr>
            <w:r>
              <w:rPr>
                <w:szCs w:val="24"/>
              </w:rPr>
              <w:t>Second</w:t>
            </w:r>
            <w:r w:rsidR="00A154E5">
              <w:rPr>
                <w:szCs w:val="24"/>
              </w:rPr>
              <w:t xml:space="preserve"> Respondent</w:t>
            </w:r>
          </w:p>
          <w:p w:rsidR="00A154E5" w:rsidRDefault="00A154E5" w:rsidP="00A154E5">
            <w:pPr>
              <w:pStyle w:val="NormalHeadings"/>
              <w:jc w:val="left"/>
              <w:rPr>
                <w:caps/>
                <w:szCs w:val="24"/>
              </w:rPr>
            </w:pPr>
            <w:r>
              <w:rPr>
                <w:caps/>
                <w:szCs w:val="24"/>
              </w:rPr>
              <w:fldChar w:fldCharType="end"/>
            </w:r>
          </w:p>
          <w:p w:rsidR="001B49A3" w:rsidRDefault="001B49A3" w:rsidP="001B49A3">
            <w:pPr>
              <w:pStyle w:val="NormalHeadings"/>
              <w:jc w:val="left"/>
              <w:rPr>
                <w:szCs w:val="24"/>
              </w:rPr>
            </w:pPr>
            <w:r>
              <w:rPr>
                <w:caps/>
                <w:szCs w:val="24"/>
              </w:rPr>
              <w:t>BYWATER INVESTMENTS LIMITED</w:t>
            </w:r>
            <w:r>
              <w:rPr>
                <w:caps/>
                <w:szCs w:val="24"/>
              </w:rPr>
              <w:fldChar w:fldCharType="begin" w:fldLock="1"/>
            </w:r>
            <w:r>
              <w:rPr>
                <w:caps/>
                <w:szCs w:val="24"/>
              </w:rPr>
              <w:instrText xml:space="preserve"> REF Respondent  \* MERGEFORMAT </w:instrText>
            </w:r>
            <w:r>
              <w:rPr>
                <w:caps/>
                <w:szCs w:val="24"/>
              </w:rPr>
              <w:fldChar w:fldCharType="separate"/>
            </w:r>
          </w:p>
          <w:p w:rsidR="001B49A3" w:rsidRDefault="001B49A3" w:rsidP="001B49A3">
            <w:pPr>
              <w:pStyle w:val="NormalHeadings"/>
              <w:jc w:val="left"/>
              <w:rPr>
                <w:szCs w:val="24"/>
              </w:rPr>
            </w:pPr>
            <w:r>
              <w:rPr>
                <w:szCs w:val="24"/>
              </w:rPr>
              <w:t>Third Respondent</w:t>
            </w:r>
          </w:p>
          <w:p w:rsidR="001B49A3" w:rsidRDefault="001B49A3" w:rsidP="001B49A3">
            <w:pPr>
              <w:pStyle w:val="NormalHeadings"/>
              <w:jc w:val="left"/>
              <w:rPr>
                <w:caps/>
                <w:szCs w:val="24"/>
              </w:rPr>
            </w:pPr>
            <w:r>
              <w:rPr>
                <w:caps/>
                <w:szCs w:val="24"/>
              </w:rPr>
              <w:fldChar w:fldCharType="end"/>
            </w:r>
          </w:p>
          <w:p w:rsidR="00A154E5" w:rsidRDefault="00A154E5" w:rsidP="00A154E5">
            <w:pPr>
              <w:pStyle w:val="NormalHeadings"/>
              <w:jc w:val="left"/>
              <w:rPr>
                <w:caps/>
                <w:szCs w:val="24"/>
              </w:rPr>
            </w:pP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133C91">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133C91">
              <w:rPr>
                <w:caps/>
                <w:szCs w:val="24"/>
              </w:rPr>
              <w:t>PERRAM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271C60">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271C60">
              <w:rPr>
                <w:caps/>
                <w:szCs w:val="24"/>
              </w:rPr>
              <w:t>15 MAY</w:t>
            </w:r>
            <w:r w:rsidR="00133C91">
              <w:rPr>
                <w:caps/>
                <w:szCs w:val="24"/>
              </w:rPr>
              <w:t xml:space="preserv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133C91">
              <w:rPr>
                <w:caps/>
                <w:szCs w:val="24"/>
              </w:rPr>
              <w:t>SYDNEY</w:t>
            </w:r>
            <w:r>
              <w:rPr>
                <w:caps/>
                <w:szCs w:val="24"/>
              </w:rPr>
              <w:fldChar w:fldCharType="end"/>
            </w:r>
          </w:p>
        </w:tc>
      </w:tr>
    </w:tbl>
    <w:p w:rsidR="001B49A3" w:rsidRDefault="001B49A3" w:rsidP="001B49A3">
      <w:pPr>
        <w:pStyle w:val="BodyText"/>
      </w:pPr>
    </w:p>
    <w:p w:rsidR="001B49A3" w:rsidRDefault="001B49A3" w:rsidP="001B49A3">
      <w:pPr>
        <w:pStyle w:val="BodyText"/>
      </w:pPr>
    </w:p>
    <w:p w:rsidR="00395B24" w:rsidRDefault="002C7385" w:rsidP="00EB2CCB">
      <w:pPr>
        <w:pStyle w:val="StyleBold"/>
        <w:keepNext/>
        <w:jc w:val="center"/>
        <w:rPr>
          <w:b/>
        </w:rPr>
      </w:pPr>
      <w:r>
        <w:rPr>
          <w:b/>
        </w:rPr>
        <w:lastRenderedPageBreak/>
        <w:t>REASONS FOR JUDGMENT</w:t>
      </w:r>
    </w:p>
    <w:p w:rsidR="00624520" w:rsidRDefault="00624520" w:rsidP="00624520">
      <w:pPr>
        <w:pStyle w:val="BodyText"/>
      </w:pPr>
    </w:p>
    <w:p w:rsidR="00CA6F21" w:rsidRDefault="00CA6F21" w:rsidP="00CA6F21">
      <w:pPr>
        <w:pStyle w:val="ParaNumbering"/>
      </w:pPr>
      <w:r>
        <w:t xml:space="preserve">On 19 December 2014 I delivered reasons for judgment in </w:t>
      </w:r>
      <w:r>
        <w:rPr>
          <w:i/>
        </w:rPr>
        <w:t xml:space="preserve">Hua Wang Bank Berhad v Commissioner of Taxation </w:t>
      </w:r>
      <w:r>
        <w:t>[2014] FCA 1392.  I concluded that the taxpayers’ appeals should be dismissed</w:t>
      </w:r>
      <w:r w:rsidR="00A33ABE">
        <w:t>,</w:t>
      </w:r>
      <w:r>
        <w:t xml:space="preserve"> save in relation to the issue of trading stock.  In the case of each taxpayer I concluded </w:t>
      </w:r>
      <w:r w:rsidR="00D56BB3">
        <w:t>that</w:t>
      </w:r>
      <w:r>
        <w:t xml:space="preserve"> the shares</w:t>
      </w:r>
      <w:r w:rsidR="002071DF">
        <w:t xml:space="preserve"> they</w:t>
      </w:r>
      <w:r>
        <w:t xml:space="preserve"> held were trading stock in respect of which they were entitled to make </w:t>
      </w:r>
      <w:r w:rsidR="001A7452">
        <w:t>elections</w:t>
      </w:r>
      <w:r>
        <w:t xml:space="preserve"> under Division 70 of the </w:t>
      </w:r>
      <w:r>
        <w:rPr>
          <w:i/>
        </w:rPr>
        <w:t xml:space="preserve">Income Tax Assessment Act 1997 </w:t>
      </w:r>
      <w:r>
        <w:t>(</w:t>
      </w:r>
      <w:proofErr w:type="spellStart"/>
      <w:r>
        <w:t>Cth</w:t>
      </w:r>
      <w:proofErr w:type="spellEnd"/>
      <w:r>
        <w:t>) (‘the Act’).</w:t>
      </w:r>
      <w:r w:rsidR="005968F7">
        <w:t xml:space="preserve">  On 12 January 2015, I ordered that the taxpayers’ appeals should be allowed in relation to trading stock but otherwise dismissed.</w:t>
      </w:r>
    </w:p>
    <w:p w:rsidR="00CA6F21" w:rsidRDefault="001A7452" w:rsidP="00CA6F21">
      <w:pPr>
        <w:pStyle w:val="ParaNumbering"/>
      </w:pPr>
      <w:r>
        <w:t xml:space="preserve">Despite </w:t>
      </w:r>
      <w:r w:rsidR="00A33ABE">
        <w:t>those findings</w:t>
      </w:r>
      <w:r>
        <w:t>, t</w:t>
      </w:r>
      <w:r w:rsidR="00CA6F21">
        <w:t xml:space="preserve">he parties remain divided by an issue of statutory interpretation.  It relates to the operation of </w:t>
      </w:r>
      <w:proofErr w:type="spellStart"/>
      <w:r w:rsidR="00CA6F21">
        <w:t>ss</w:t>
      </w:r>
      <w:proofErr w:type="spellEnd"/>
      <w:r w:rsidR="00CA6F21">
        <w:t xml:space="preserve"> 7</w:t>
      </w:r>
      <w:r w:rsidR="00037EFE">
        <w:t>0</w:t>
      </w:r>
      <w:r w:rsidR="00CA6F21">
        <w:t xml:space="preserve">-35 and </w:t>
      </w:r>
      <w:r w:rsidR="005968F7">
        <w:t>70-40</w:t>
      </w:r>
      <w:r w:rsidR="00A33ABE">
        <w:t xml:space="preserve"> of the Act</w:t>
      </w:r>
      <w:r w:rsidR="00CA6F21">
        <w:t>.  Th</w:t>
      </w:r>
      <w:r w:rsidR="006046C0">
        <w:t>o</w:t>
      </w:r>
      <w:r w:rsidR="00CA6F21">
        <w:t>se section</w:t>
      </w:r>
      <w:r w:rsidR="006046C0">
        <w:t>s</w:t>
      </w:r>
      <w:r w:rsidR="00CA6F21">
        <w:t xml:space="preserve"> provide:</w:t>
      </w:r>
    </w:p>
    <w:p w:rsidR="00CA6F21" w:rsidRPr="00037EFE" w:rsidRDefault="005968F7" w:rsidP="00CA6F21">
      <w:pPr>
        <w:pStyle w:val="Quote1"/>
        <w:rPr>
          <w:b/>
        </w:rPr>
      </w:pPr>
      <w:r w:rsidRPr="005968F7">
        <w:t>‘</w:t>
      </w:r>
      <w:r w:rsidR="00CA6F21" w:rsidRPr="00037EFE">
        <w:rPr>
          <w:b/>
        </w:rPr>
        <w:t>70</w:t>
      </w:r>
      <w:r w:rsidR="00CA6F21" w:rsidRPr="00037EFE">
        <w:rPr>
          <w:rFonts w:ascii="MS Mincho" w:eastAsia="MS Mincho" w:hAnsi="MS Mincho" w:cs="MS Mincho" w:hint="eastAsia"/>
          <w:b/>
        </w:rPr>
        <w:t>‑</w:t>
      </w:r>
      <w:r w:rsidR="00CA6F21" w:rsidRPr="00037EFE">
        <w:rPr>
          <w:b/>
        </w:rPr>
        <w:t>35  You include the value of your trading stock in working out your assessable income and deductions</w:t>
      </w:r>
    </w:p>
    <w:p w:rsidR="00CA6F21" w:rsidRDefault="00CA6F21" w:rsidP="00CA6F21">
      <w:pPr>
        <w:pStyle w:val="Quote1"/>
      </w:pPr>
    </w:p>
    <w:p w:rsidR="00CA6F21" w:rsidRDefault="00CA6F21" w:rsidP="00CA6F21">
      <w:pPr>
        <w:pStyle w:val="Quote1"/>
      </w:pPr>
      <w:r>
        <w:t>(1)</w:t>
      </w:r>
      <w:r>
        <w:tab/>
        <w:t>If you carry on a *business, you compare:</w:t>
      </w:r>
    </w:p>
    <w:p w:rsidR="00CA6F21" w:rsidRDefault="00CA6F21" w:rsidP="00037EFE">
      <w:pPr>
        <w:pStyle w:val="Quote2"/>
        <w:spacing w:before="120"/>
        <w:ind w:left="2160" w:hanging="720"/>
      </w:pPr>
      <w:r>
        <w:t>(a)</w:t>
      </w:r>
      <w:r>
        <w:tab/>
        <w:t>the *value of all your *trading stock on hand at the start of the income year; and</w:t>
      </w:r>
    </w:p>
    <w:p w:rsidR="00CA6F21" w:rsidRDefault="00CA6F21" w:rsidP="00037EFE">
      <w:pPr>
        <w:pStyle w:val="Quote2"/>
        <w:spacing w:before="120"/>
        <w:ind w:left="2160" w:hanging="720"/>
      </w:pPr>
      <w:r>
        <w:t>(b)</w:t>
      </w:r>
      <w:r>
        <w:tab/>
        <w:t>the *value of all your trading stock on hand at the end of the income year.</w:t>
      </w:r>
    </w:p>
    <w:p w:rsidR="00CA6F21" w:rsidRDefault="00CA6F21" w:rsidP="00037EFE">
      <w:pPr>
        <w:pStyle w:val="Quote2"/>
        <w:ind w:left="2160" w:hanging="720"/>
      </w:pPr>
    </w:p>
    <w:p w:rsidR="00CA6F21" w:rsidRDefault="00CA6F21" w:rsidP="00CA6F21">
      <w:pPr>
        <w:pStyle w:val="Quote1"/>
      </w:pPr>
      <w:r>
        <w:t>Note:</w:t>
      </w:r>
      <w:r w:rsidR="00037EFE">
        <w:t xml:space="preserve">    </w:t>
      </w:r>
      <w:r>
        <w:t>You may not need to do this stocktaking if you are a small business entity: see Division 328.</w:t>
      </w:r>
    </w:p>
    <w:p w:rsidR="00CA6F21" w:rsidRDefault="00CA6F21" w:rsidP="00CA6F21">
      <w:pPr>
        <w:pStyle w:val="Quote1"/>
      </w:pPr>
    </w:p>
    <w:p w:rsidR="00CA6F21" w:rsidRDefault="00CA6F21" w:rsidP="00037EFE">
      <w:pPr>
        <w:pStyle w:val="Quote1"/>
        <w:ind w:left="1440" w:hanging="703"/>
      </w:pPr>
      <w:r>
        <w:t>(2)</w:t>
      </w:r>
      <w:r>
        <w:tab/>
        <w:t xml:space="preserve">Your assessable income includes any excess of the *value at the </w:t>
      </w:r>
      <w:r w:rsidRPr="00A33ABE">
        <w:rPr>
          <w:i/>
        </w:rPr>
        <w:t>end</w:t>
      </w:r>
      <w:r>
        <w:t xml:space="preserve"> of the income year over the value at the </w:t>
      </w:r>
      <w:r w:rsidRPr="00A33ABE">
        <w:rPr>
          <w:i/>
        </w:rPr>
        <w:t>start</w:t>
      </w:r>
      <w:r>
        <w:t xml:space="preserve"> of the income year.</w:t>
      </w:r>
    </w:p>
    <w:p w:rsidR="00037EFE" w:rsidRDefault="00037EFE" w:rsidP="00037EFE">
      <w:pPr>
        <w:pStyle w:val="Quote1"/>
        <w:ind w:left="1440" w:hanging="703"/>
      </w:pPr>
    </w:p>
    <w:p w:rsidR="00CA6F21" w:rsidRDefault="00CA6F21" w:rsidP="00037EFE">
      <w:pPr>
        <w:pStyle w:val="Quote1"/>
        <w:ind w:left="1440" w:hanging="703"/>
      </w:pPr>
      <w:r>
        <w:t>(3)</w:t>
      </w:r>
      <w:r>
        <w:tab/>
        <w:t xml:space="preserve">On the other hand, you can deduct any excess of the *value at the </w:t>
      </w:r>
      <w:r w:rsidRPr="00A33ABE">
        <w:rPr>
          <w:i/>
        </w:rPr>
        <w:t>start</w:t>
      </w:r>
      <w:r>
        <w:t xml:space="preserve"> of the income year over the value at the </w:t>
      </w:r>
      <w:r w:rsidRPr="00A33ABE">
        <w:rPr>
          <w:i/>
        </w:rPr>
        <w:t>end</w:t>
      </w:r>
      <w:r>
        <w:t xml:space="preserve"> of the income year.</w:t>
      </w:r>
    </w:p>
    <w:p w:rsidR="00CA6F21" w:rsidRDefault="00CA6F21" w:rsidP="00CA6F21">
      <w:pPr>
        <w:pStyle w:val="Quote1"/>
      </w:pPr>
    </w:p>
    <w:p w:rsidR="006046C0" w:rsidRPr="006046C0" w:rsidRDefault="006046C0" w:rsidP="006046C0">
      <w:pPr>
        <w:pStyle w:val="Quote1"/>
        <w:rPr>
          <w:b/>
        </w:rPr>
      </w:pPr>
      <w:r w:rsidRPr="006046C0">
        <w:rPr>
          <w:b/>
        </w:rPr>
        <w:t>70</w:t>
      </w:r>
      <w:r w:rsidRPr="006046C0">
        <w:rPr>
          <w:rFonts w:ascii="MS Mincho" w:eastAsia="MS Mincho" w:hAnsi="MS Mincho" w:cs="MS Mincho" w:hint="eastAsia"/>
          <w:b/>
        </w:rPr>
        <w:t>‑</w:t>
      </w:r>
      <w:r w:rsidRPr="006046C0">
        <w:rPr>
          <w:b/>
        </w:rPr>
        <w:t>40  Value of trading stock at start of income year</w:t>
      </w:r>
    </w:p>
    <w:p w:rsidR="006046C0" w:rsidRPr="006046C0" w:rsidRDefault="006046C0" w:rsidP="006046C0">
      <w:pPr>
        <w:pStyle w:val="Quote1"/>
        <w:rPr>
          <w:b/>
        </w:rPr>
      </w:pPr>
    </w:p>
    <w:p w:rsidR="006046C0" w:rsidRDefault="006046C0" w:rsidP="006046C0">
      <w:pPr>
        <w:pStyle w:val="Quote1"/>
        <w:ind w:left="1440" w:hanging="703"/>
      </w:pPr>
      <w:r>
        <w:t>(1)</w:t>
      </w:r>
      <w:r>
        <w:tab/>
        <w:t xml:space="preserve">The </w:t>
      </w:r>
      <w:r w:rsidRPr="00A33ABE">
        <w:rPr>
          <w:b/>
          <w:i/>
        </w:rPr>
        <w:t>value</w:t>
      </w:r>
      <w:r>
        <w:t xml:space="preserve"> of an item of *trading stock on hand at the start of an income year is the same amount at which it was taken into account under this Division or Subdivision 328</w:t>
      </w:r>
      <w:r w:rsidRPr="006046C0">
        <w:rPr>
          <w:rFonts w:hint="eastAsia"/>
        </w:rPr>
        <w:t>‑</w:t>
      </w:r>
      <w:r>
        <w:t>E (about trading stock for small business entities) at the end of the last income year.</w:t>
      </w:r>
    </w:p>
    <w:p w:rsidR="006046C0" w:rsidRDefault="006046C0" w:rsidP="006046C0">
      <w:pPr>
        <w:pStyle w:val="Quote1"/>
        <w:ind w:left="1440" w:hanging="703"/>
      </w:pPr>
    </w:p>
    <w:p w:rsidR="00CA6F21" w:rsidRDefault="006046C0" w:rsidP="006046C0">
      <w:pPr>
        <w:pStyle w:val="Quote1"/>
        <w:ind w:left="1440" w:hanging="703"/>
      </w:pPr>
      <w:r>
        <w:t>(2)</w:t>
      </w:r>
      <w:r>
        <w:tab/>
        <w:t xml:space="preserve">The </w:t>
      </w:r>
      <w:r w:rsidRPr="00A33ABE">
        <w:rPr>
          <w:b/>
          <w:i/>
        </w:rPr>
        <w:t>value</w:t>
      </w:r>
      <w:r>
        <w:t xml:space="preserve"> of the item is a nil amount if the item was not taken into account under this Division or Subdivision 328</w:t>
      </w:r>
      <w:r w:rsidRPr="006046C0">
        <w:rPr>
          <w:rFonts w:hint="eastAsia"/>
        </w:rPr>
        <w:t>‑</w:t>
      </w:r>
      <w:r>
        <w:t>E (about trading stock for small business entities) at the end of the last income year.</w:t>
      </w:r>
      <w:r w:rsidR="005968F7">
        <w:t>’</w:t>
      </w:r>
    </w:p>
    <w:p w:rsidR="006046C0" w:rsidRDefault="006046C0" w:rsidP="006046C0">
      <w:pPr>
        <w:pStyle w:val="Quote1"/>
        <w:ind w:left="1440" w:hanging="703"/>
      </w:pPr>
    </w:p>
    <w:p w:rsidR="00A33ABE" w:rsidRDefault="00A33ABE" w:rsidP="006046C0">
      <w:pPr>
        <w:pStyle w:val="Quote1"/>
        <w:ind w:left="1440" w:hanging="703"/>
      </w:pPr>
      <w:r>
        <w:t>(emphasis in original)</w:t>
      </w:r>
    </w:p>
    <w:p w:rsidR="00A33ABE" w:rsidRDefault="00A33ABE" w:rsidP="006046C0">
      <w:pPr>
        <w:pStyle w:val="Quote1"/>
        <w:ind w:left="1440" w:hanging="703"/>
      </w:pPr>
    </w:p>
    <w:p w:rsidR="005968F7" w:rsidRDefault="00037EFE" w:rsidP="00037EFE">
      <w:pPr>
        <w:pStyle w:val="ParaNumbering"/>
      </w:pPr>
      <w:r>
        <w:lastRenderedPageBreak/>
        <w:t>Shortly</w:t>
      </w:r>
      <w:r w:rsidR="00A33ABE">
        <w:t>,</w:t>
      </w:r>
      <w:r>
        <w:t xml:space="preserve"> the issue </w:t>
      </w:r>
      <w:r w:rsidR="00A33ABE">
        <w:t xml:space="preserve">between the parties concerns </w:t>
      </w:r>
      <w:r>
        <w:t xml:space="preserve">the meaning of the words </w:t>
      </w:r>
      <w:r w:rsidR="006046C0">
        <w:t>in</w:t>
      </w:r>
      <w:r w:rsidR="005968F7">
        <w:t xml:space="preserve"> s</w:t>
      </w:r>
      <w:r w:rsidR="006046C0">
        <w:t xml:space="preserve"> 70-40(2)</w:t>
      </w:r>
      <w:r w:rsidR="00A33ABE">
        <w:t>,</w:t>
      </w:r>
      <w:r w:rsidR="006046C0">
        <w:t xml:space="preserve"> </w:t>
      </w:r>
      <w:r>
        <w:t>‘was not taken i</w:t>
      </w:r>
      <w:r w:rsidR="00A33ABE">
        <w:t>nto account under this Division</w:t>
      </w:r>
      <w:r>
        <w:t xml:space="preserve"> … at the end of the last income year’.  </w:t>
      </w:r>
    </w:p>
    <w:p w:rsidR="00037EFE" w:rsidRDefault="00037EFE" w:rsidP="00037EFE">
      <w:pPr>
        <w:pStyle w:val="ParaNumbering"/>
      </w:pPr>
      <w:r>
        <w:t xml:space="preserve">The position of the taxpayer </w:t>
      </w:r>
      <w:proofErr w:type="spellStart"/>
      <w:r>
        <w:t>Derrin</w:t>
      </w:r>
      <w:proofErr w:type="spellEnd"/>
      <w:r>
        <w:t xml:space="preserve"> Brothers</w:t>
      </w:r>
      <w:r w:rsidR="002071DF">
        <w:t xml:space="preserve"> Properties Limited</w:t>
      </w:r>
      <w:r>
        <w:t xml:space="preserve"> (‘</w:t>
      </w:r>
      <w:proofErr w:type="spellStart"/>
      <w:r>
        <w:t>Derrin</w:t>
      </w:r>
      <w:proofErr w:type="spellEnd"/>
      <w:r>
        <w:t xml:space="preserve">’) </w:t>
      </w:r>
      <w:r w:rsidR="006046C0">
        <w:t xml:space="preserve">will illustrate the problem which arises.  </w:t>
      </w:r>
      <w:proofErr w:type="spellStart"/>
      <w:r w:rsidR="006046C0">
        <w:t>Derrin</w:t>
      </w:r>
      <w:proofErr w:type="spellEnd"/>
      <w:r w:rsidR="006046C0">
        <w:t xml:space="preserve"> acquired its shares in the financial year ending </w:t>
      </w:r>
      <w:r w:rsidR="005968F7">
        <w:t>3</w:t>
      </w:r>
      <w:r w:rsidR="006046C0">
        <w:t xml:space="preserve">0 June </w:t>
      </w:r>
      <w:r w:rsidR="00A33ABE">
        <w:t>1999</w:t>
      </w:r>
      <w:r w:rsidR="006046C0">
        <w:t>.</w:t>
      </w:r>
      <w:r w:rsidR="005968F7">
        <w:t xml:space="preserve">  </w:t>
      </w:r>
      <w:r>
        <w:t xml:space="preserve">Assessments were issued to it for the years </w:t>
      </w:r>
      <w:r w:rsidR="006046C0">
        <w:t xml:space="preserve">ending 30 June </w:t>
      </w:r>
      <w:r>
        <w:t>2002-2005</w:t>
      </w:r>
      <w:r w:rsidR="002071DF">
        <w:t>,</w:t>
      </w:r>
      <w:r>
        <w:t xml:space="preserve"> but </w:t>
      </w:r>
      <w:r w:rsidRPr="005968F7">
        <w:rPr>
          <w:i/>
        </w:rPr>
        <w:t>not</w:t>
      </w:r>
      <w:r>
        <w:t xml:space="preserve"> </w:t>
      </w:r>
      <w:r w:rsidR="006046C0">
        <w:t>for the ye</w:t>
      </w:r>
      <w:r>
        <w:t xml:space="preserve">ars </w:t>
      </w:r>
      <w:r w:rsidR="006046C0">
        <w:t xml:space="preserve">ending 30 June </w:t>
      </w:r>
      <w:r>
        <w:t>1999-2001 or</w:t>
      </w:r>
      <w:r w:rsidR="006046C0">
        <w:t xml:space="preserve"> those income years </w:t>
      </w:r>
      <w:r>
        <w:t xml:space="preserve">from </w:t>
      </w:r>
      <w:r w:rsidR="006046C0">
        <w:t xml:space="preserve">30 June </w:t>
      </w:r>
      <w:r>
        <w:t>2006 onwards.</w:t>
      </w:r>
    </w:p>
    <w:p w:rsidR="00037EFE" w:rsidRDefault="00037EFE" w:rsidP="00037EFE">
      <w:pPr>
        <w:pStyle w:val="ParaNumbering"/>
      </w:pPr>
      <w:r>
        <w:t>The Commissioner contends that</w:t>
      </w:r>
      <w:r w:rsidR="002071DF">
        <w:t>,</w:t>
      </w:r>
      <w:r>
        <w:t xml:space="preserve"> as there were no assessments issued to Derrin for the 2001 income year</w:t>
      </w:r>
      <w:r w:rsidR="00A33ABE">
        <w:t>, the value of Derrin’s shares</w:t>
      </w:r>
      <w:r>
        <w:t xml:space="preserve"> at the start of the 2002 income year is taken</w:t>
      </w:r>
      <w:r w:rsidR="006046C0">
        <w:t xml:space="preserve"> to be nil because</w:t>
      </w:r>
      <w:r w:rsidR="000D22DC">
        <w:t xml:space="preserve"> the shares were ‘not taken in</w:t>
      </w:r>
      <w:r w:rsidR="006046C0">
        <w:t>to account under this Division</w:t>
      </w:r>
      <w:r w:rsidR="00A33ABE">
        <w:t xml:space="preserve"> … </w:t>
      </w:r>
      <w:r w:rsidR="000D22DC">
        <w:t xml:space="preserve">at the end of the last income year’ </w:t>
      </w:r>
      <w:r w:rsidR="002071DF">
        <w:t>within the meaning</w:t>
      </w:r>
      <w:r w:rsidR="000D22DC">
        <w:t xml:space="preserve"> of s 70-40(2).</w:t>
      </w:r>
    </w:p>
    <w:p w:rsidR="004268FB" w:rsidRDefault="000D22DC" w:rsidP="00037EFE">
      <w:pPr>
        <w:pStyle w:val="ParaNumbering"/>
      </w:pPr>
      <w:r>
        <w:t xml:space="preserve">If this contention </w:t>
      </w:r>
      <w:r w:rsidR="00A33ABE">
        <w:t>is</w:t>
      </w:r>
      <w:r>
        <w:t xml:space="preserve"> correct it </w:t>
      </w:r>
      <w:r w:rsidR="00A33ABE">
        <w:t>will have</w:t>
      </w:r>
      <w:r w:rsidR="00976480">
        <w:t xml:space="preserve"> </w:t>
      </w:r>
      <w:r>
        <w:t xml:space="preserve">a </w:t>
      </w:r>
      <w:r w:rsidR="006046C0">
        <w:t>significant</w:t>
      </w:r>
      <w:r>
        <w:t xml:space="preserve"> impact on the taxpayers’ </w:t>
      </w:r>
      <w:r w:rsidR="006046C0">
        <w:t>liabilities to income tax</w:t>
      </w:r>
      <w:r>
        <w:t xml:space="preserve"> because the comparison required by s 70-35(1) will</w:t>
      </w:r>
      <w:r w:rsidR="00976480" w:rsidRPr="00976480">
        <w:t xml:space="preserve"> </w:t>
      </w:r>
      <w:r w:rsidR="00976480">
        <w:t>result</w:t>
      </w:r>
      <w:r>
        <w:t xml:space="preserve">, if the beginning of year figure </w:t>
      </w:r>
      <w:r w:rsidR="004268FB">
        <w:t>be</w:t>
      </w:r>
      <w:r>
        <w:t xml:space="preserve"> nil</w:t>
      </w:r>
      <w:r w:rsidR="004268FB">
        <w:t>, in</w:t>
      </w:r>
      <w:r>
        <w:t xml:space="preserve"> the whole of the value of </w:t>
      </w:r>
      <w:r w:rsidR="004268FB">
        <w:t>the</w:t>
      </w:r>
      <w:r>
        <w:t xml:space="preserve"> trading stock on hand at year’s end </w:t>
      </w:r>
      <w:r w:rsidR="004268FB">
        <w:t>being brought to tax.</w:t>
      </w:r>
    </w:p>
    <w:p w:rsidR="000D22DC" w:rsidRDefault="000D22DC" w:rsidP="00037EFE">
      <w:pPr>
        <w:pStyle w:val="ParaNumbering"/>
      </w:pPr>
      <w:r>
        <w:t>The position of the taxpayers is that</w:t>
      </w:r>
      <w:r w:rsidR="00A33ABE">
        <w:t>,</w:t>
      </w:r>
      <w:r>
        <w:t xml:space="preserve"> so long as they elect </w:t>
      </w:r>
      <w:r w:rsidR="004268FB">
        <w:t>a valuation</w:t>
      </w:r>
      <w:r>
        <w:t xml:space="preserve"> method </w:t>
      </w:r>
      <w:r w:rsidR="004268FB">
        <w:t xml:space="preserve">as </w:t>
      </w:r>
      <w:r>
        <w:t>required by</w:t>
      </w:r>
      <w:r w:rsidR="00A33ABE">
        <w:t xml:space="preserve"> s </w:t>
      </w:r>
      <w:r>
        <w:t xml:space="preserve">70-45 </w:t>
      </w:r>
      <w:r>
        <w:rPr>
          <w:i/>
        </w:rPr>
        <w:t xml:space="preserve">and </w:t>
      </w:r>
      <w:r>
        <w:t>work out the value of their trading stock</w:t>
      </w:r>
      <w:r w:rsidR="00A33ABE">
        <w:t>,</w:t>
      </w:r>
      <w:r>
        <w:t xml:space="preserve"> it is not necessary for</w:t>
      </w:r>
      <w:r w:rsidR="004268FB">
        <w:t xml:space="preserve"> there to be an </w:t>
      </w:r>
      <w:r>
        <w:t xml:space="preserve">assessment </w:t>
      </w:r>
      <w:r w:rsidR="004268FB">
        <w:t xml:space="preserve">by the Commissioner </w:t>
      </w:r>
      <w:r w:rsidR="005B08CF">
        <w:t xml:space="preserve">in order </w:t>
      </w:r>
      <w:r w:rsidR="004268FB">
        <w:t xml:space="preserve">for the value of the shares to be </w:t>
      </w:r>
      <w:r w:rsidR="005B08CF">
        <w:t>taken into account for the purposes of s 70-40(2).</w:t>
      </w:r>
    </w:p>
    <w:p w:rsidR="005B08CF" w:rsidRDefault="00A33ABE" w:rsidP="00037EFE">
      <w:pPr>
        <w:pStyle w:val="ParaNumbering"/>
      </w:pPr>
      <w:r>
        <w:t>The question then is</w:t>
      </w:r>
      <w:r w:rsidR="005B08CF">
        <w:t xml:space="preserve"> simply </w:t>
      </w:r>
      <w:r>
        <w:t xml:space="preserve">what </w:t>
      </w:r>
      <w:r w:rsidR="004268FB">
        <w:t xml:space="preserve">meaning </w:t>
      </w:r>
      <w:r>
        <w:t>is to be ascribed to</w:t>
      </w:r>
      <w:r w:rsidR="004268FB">
        <w:t xml:space="preserve"> the </w:t>
      </w:r>
      <w:r>
        <w:t>expression</w:t>
      </w:r>
      <w:r w:rsidR="005B08CF">
        <w:t xml:space="preserve"> ‘not taken into account under this Division</w:t>
      </w:r>
      <w:r>
        <w:t xml:space="preserve"> </w:t>
      </w:r>
      <w:r w:rsidR="005B08CF">
        <w:t>… at the end of the last income year’.  Do</w:t>
      </w:r>
      <w:r>
        <w:t>es it</w:t>
      </w:r>
      <w:r w:rsidR="005B08CF">
        <w:t xml:space="preserve"> refer to a taking into account by the Commissioner of the trading stock in the previous year as part of the process of assessment or do</w:t>
      </w:r>
      <w:r>
        <w:t>es</w:t>
      </w:r>
      <w:r w:rsidR="005B08CF">
        <w:t xml:space="preserve"> </w:t>
      </w:r>
      <w:r>
        <w:t>it</w:t>
      </w:r>
      <w:r w:rsidR="005B08CF">
        <w:t xml:space="preserve"> mean the calculation by the taxpayers of the value of the trading stock in the preceding year</w:t>
      </w:r>
      <w:r w:rsidR="002071DF">
        <w:t>,</w:t>
      </w:r>
      <w:r w:rsidR="005B08CF">
        <w:t xml:space="preserve"> not necessarily attached to any process of</w:t>
      </w:r>
      <w:r w:rsidR="005968F7">
        <w:t xml:space="preserve"> return or</w:t>
      </w:r>
      <w:r w:rsidR="005B08CF">
        <w:t xml:space="preserve"> assessment</w:t>
      </w:r>
      <w:r w:rsidR="00976480">
        <w:t>?</w:t>
      </w:r>
    </w:p>
    <w:p w:rsidR="00E77025" w:rsidRDefault="005B08CF" w:rsidP="00037EFE">
      <w:pPr>
        <w:pStyle w:val="ParaNumbering"/>
      </w:pPr>
      <w:r>
        <w:t>The Commissioner’s construction is to be preferred.  Section</w:t>
      </w:r>
      <w:r w:rsidR="00A33ABE">
        <w:t>s</w:t>
      </w:r>
      <w:r>
        <w:t xml:space="preserve"> 70-35 </w:t>
      </w:r>
      <w:r w:rsidR="005968F7">
        <w:t>an</w:t>
      </w:r>
      <w:r w:rsidR="00A33ABE">
        <w:t>d</w:t>
      </w:r>
      <w:r>
        <w:t xml:space="preserve"> 70-4</w:t>
      </w:r>
      <w:r w:rsidR="005968F7">
        <w:t>0</w:t>
      </w:r>
      <w:r>
        <w:t xml:space="preserve"> </w:t>
      </w:r>
      <w:r w:rsidR="002071DF">
        <w:t xml:space="preserve">appear in the Act underneath the heading </w:t>
      </w:r>
      <w:r>
        <w:t xml:space="preserve">‘General </w:t>
      </w:r>
      <w:r w:rsidR="002071DF">
        <w:t>r</w:t>
      </w:r>
      <w:r>
        <w:t xml:space="preserve">ules’.  </w:t>
      </w:r>
      <w:r w:rsidR="004268FB">
        <w:t>T</w:t>
      </w:r>
      <w:r>
        <w:t xml:space="preserve">he provisions are </w:t>
      </w:r>
      <w:r w:rsidR="005968F7">
        <w:t xml:space="preserve">clearly </w:t>
      </w:r>
      <w:r>
        <w:t xml:space="preserve">directed at the calculation of assessable income and deductible expenses.  Section 70-35(1) requires a </w:t>
      </w:r>
      <w:r w:rsidR="00BF732B">
        <w:t>comparison</w:t>
      </w:r>
      <w:r>
        <w:t xml:space="preserve"> between two quantities</w:t>
      </w:r>
      <w:r w:rsidR="00A33ABE">
        <w:t>,</w:t>
      </w:r>
      <w:r>
        <w:t xml:space="preserve"> </w:t>
      </w:r>
      <w:r w:rsidRPr="00A33ABE">
        <w:t>viz</w:t>
      </w:r>
      <w:r w:rsidR="00A33ABE">
        <w:t>.</w:t>
      </w:r>
      <w:r>
        <w:t xml:space="preserve"> the value of trading stock on hand at the start of an income year and the value of trading stock on hand at the end of the income year.  If the value at </w:t>
      </w:r>
      <w:r w:rsidR="00A33ABE">
        <w:t>the</w:t>
      </w:r>
      <w:r>
        <w:t xml:space="preserve"> end</w:t>
      </w:r>
      <w:r w:rsidR="00A33ABE">
        <w:t xml:space="preserve"> of a given year</w:t>
      </w:r>
      <w:r>
        <w:t xml:space="preserve"> exceeds the value at the beginning</w:t>
      </w:r>
      <w:r w:rsidR="00A33ABE">
        <w:t>, then</w:t>
      </w:r>
      <w:r>
        <w:t xml:space="preserve"> the difference is to be accounted </w:t>
      </w:r>
      <w:r w:rsidR="00BF732B">
        <w:t xml:space="preserve">for by </w:t>
      </w:r>
      <w:r>
        <w:t>inclu</w:t>
      </w:r>
      <w:r w:rsidR="005968F7">
        <w:t>sion</w:t>
      </w:r>
      <w:r>
        <w:t xml:space="preserve"> in </w:t>
      </w:r>
      <w:r w:rsidR="00BF732B">
        <w:t xml:space="preserve">the taxpayer’s </w:t>
      </w:r>
      <w:r>
        <w:t>assessable</w:t>
      </w:r>
      <w:r w:rsidR="00E77025">
        <w:t xml:space="preserve"> income: s 70-35(2).  If the value at </w:t>
      </w:r>
      <w:r w:rsidR="00E77025">
        <w:lastRenderedPageBreak/>
        <w:t xml:space="preserve">the beginning </w:t>
      </w:r>
      <w:r w:rsidR="00BF732B">
        <w:t>exceed</w:t>
      </w:r>
      <w:r w:rsidR="00E77025">
        <w:t>s the value at the end</w:t>
      </w:r>
      <w:r w:rsidR="00A33ABE">
        <w:t>, t</w:t>
      </w:r>
      <w:r w:rsidR="00E77025">
        <w:t xml:space="preserve">hen the taxpayer is entitled to </w:t>
      </w:r>
      <w:r w:rsidR="00BF732B">
        <w:t xml:space="preserve">claim </w:t>
      </w:r>
      <w:r w:rsidR="00E77025">
        <w:t>a deduction</w:t>
      </w:r>
      <w:r w:rsidR="00BF732B">
        <w:t xml:space="preserve"> against its assessable income</w:t>
      </w:r>
      <w:r w:rsidR="00E77025">
        <w:t>:  s 70-35(3).  Th</w:t>
      </w:r>
      <w:r w:rsidR="00BF732B">
        <w:t xml:space="preserve">e </w:t>
      </w:r>
      <w:r w:rsidR="00A33ABE">
        <w:t>purpose of these provisions is to facilitate the calculation of assessable income</w:t>
      </w:r>
      <w:r w:rsidR="00E77025">
        <w:t xml:space="preserve">.  Section 70-40 </w:t>
      </w:r>
      <w:r w:rsidR="005968F7">
        <w:t xml:space="preserve">is an </w:t>
      </w:r>
      <w:r w:rsidR="00E77025">
        <w:t xml:space="preserve">input into the calculus required by s 70-35.  </w:t>
      </w:r>
      <w:r w:rsidR="005968F7">
        <w:t xml:space="preserve">It has </w:t>
      </w:r>
      <w:r w:rsidR="00BF732B">
        <w:t xml:space="preserve">no </w:t>
      </w:r>
      <w:r w:rsidR="00E77025">
        <w:t xml:space="preserve">role apart from </w:t>
      </w:r>
      <w:r w:rsidR="00A33ABE">
        <w:t>supplying an integer to s 70-35, a</w:t>
      </w:r>
      <w:r w:rsidR="00E77025">
        <w:t>nd the only point of s 70-35 is to calculate what must either be added to o</w:t>
      </w:r>
      <w:r w:rsidR="00BF732B">
        <w:t xml:space="preserve">r </w:t>
      </w:r>
      <w:r w:rsidR="00E77025">
        <w:t xml:space="preserve">taken away from assessable income. </w:t>
      </w:r>
      <w:r w:rsidR="005968F7">
        <w:t xml:space="preserve"> Section 70-40 is, therefore, a provision concerned with the assessment of tax liabilities.  When it refers to a value being taken into account ‘under this division’ it means taken into account as part of a process of assessment carried out by the Commissioner.</w:t>
      </w:r>
    </w:p>
    <w:p w:rsidR="005B08CF" w:rsidRDefault="00E77025" w:rsidP="00037EFE">
      <w:pPr>
        <w:pStyle w:val="ParaNumbering"/>
      </w:pPr>
      <w:r>
        <w:t xml:space="preserve">The taxpayers advanced six reasons why this conclusion should </w:t>
      </w:r>
      <w:r w:rsidR="005968F7">
        <w:t xml:space="preserve">nevertheless </w:t>
      </w:r>
      <w:r>
        <w:t xml:space="preserve">not be reached.  </w:t>
      </w:r>
    </w:p>
    <w:p w:rsidR="00E77025" w:rsidRDefault="00E77025" w:rsidP="00037EFE">
      <w:pPr>
        <w:pStyle w:val="ParaNumbering"/>
      </w:pPr>
      <w:r>
        <w:t xml:space="preserve">First, it was said that in referring to taking into account the value at the end of the </w:t>
      </w:r>
      <w:r w:rsidR="00976480">
        <w:t xml:space="preserve">income </w:t>
      </w:r>
      <w:r w:rsidR="00D56BB3">
        <w:t>year</w:t>
      </w:r>
      <w:r w:rsidR="005968F7">
        <w:t>,</w:t>
      </w:r>
      <w:r>
        <w:t xml:space="preserve"> </w:t>
      </w:r>
      <w:r w:rsidR="00976480">
        <w:t xml:space="preserve">s </w:t>
      </w:r>
      <w:r>
        <w:t>70-40(1) must be referring to the making of trading stock elections under s 70-45.  I accept</w:t>
      </w:r>
      <w:r w:rsidR="00A33ABE">
        <w:t xml:space="preserve"> that</w:t>
      </w:r>
      <w:r>
        <w:t xml:space="preserve"> this is so.  But the taxpayers submitted that s 70-40(1) was ‘not referring to a larger computation of the type postulated by the Respondent’.  The Commissioner did not, however, contend for </w:t>
      </w:r>
      <w:r w:rsidR="005968F7">
        <w:t xml:space="preserve">such </w:t>
      </w:r>
      <w:r>
        <w:t>a larger computation.  His point was</w:t>
      </w:r>
      <w:r w:rsidR="00A33ABE">
        <w:t>, simply,</w:t>
      </w:r>
      <w:r>
        <w:t xml:space="preserve"> that if no assessment had been made under Division 70 in respect of the prior year then</w:t>
      </w:r>
      <w:r w:rsidR="002071DF">
        <w:t xml:space="preserve"> the effect of</w:t>
      </w:r>
      <w:r>
        <w:t xml:space="preserve"> s 70-40(</w:t>
      </w:r>
      <w:r w:rsidR="00A33ABE">
        <w:t>2</w:t>
      </w:r>
      <w:r>
        <w:t xml:space="preserve">) </w:t>
      </w:r>
      <w:r w:rsidR="002071DF">
        <w:t>was to produce</w:t>
      </w:r>
      <w:r>
        <w:t xml:space="preserve"> a nil figure</w:t>
      </w:r>
      <w:r w:rsidR="002071DF">
        <w:t xml:space="preserve"> to be fed into s 70-35</w:t>
      </w:r>
      <w:r>
        <w:t>.</w:t>
      </w:r>
    </w:p>
    <w:p w:rsidR="0029699A" w:rsidRDefault="0029699A" w:rsidP="00037EFE">
      <w:pPr>
        <w:pStyle w:val="ParaNumbering"/>
      </w:pPr>
      <w:r>
        <w:t xml:space="preserve">Secondly, it was submitted that the test of s 70-40 was about the calculation of ‘amounts’ and this evidently could not be read as requiring a taxpayer to undertake the onerous process of working out its assessable income in </w:t>
      </w:r>
      <w:r w:rsidR="005968F7">
        <w:t>a</w:t>
      </w:r>
      <w:r>
        <w:t xml:space="preserve"> prior year.  This might be plausible if one were to read s 70-40 in isolation.  However, s 70-40 exists only to provide </w:t>
      </w:r>
      <w:r w:rsidR="00BF732B">
        <w:t xml:space="preserve">the information </w:t>
      </w:r>
      <w:r>
        <w:t xml:space="preserve">which is </w:t>
      </w:r>
      <w:r w:rsidR="00BF732B">
        <w:t xml:space="preserve">then </w:t>
      </w:r>
      <w:r>
        <w:t>input into s 70-35 and it is clear that that provision is precisely</w:t>
      </w:r>
      <w:r w:rsidR="00BF732B">
        <w:t xml:space="preserve">, and only, </w:t>
      </w:r>
      <w:r>
        <w:t>concerned with the calculation of assessable income.</w:t>
      </w:r>
      <w:r w:rsidR="005968F7">
        <w:t xml:space="preserve">  In any event, the taxpayer is not obliged to lodge a re</w:t>
      </w:r>
      <w:r w:rsidR="00C56ED4">
        <w:t xml:space="preserve">turn.  It is just that the </w:t>
      </w:r>
      <w:proofErr w:type="spellStart"/>
      <w:r w:rsidR="00C56ED4">
        <w:t xml:space="preserve">year </w:t>
      </w:r>
      <w:r w:rsidR="005968F7">
        <w:t>end</w:t>
      </w:r>
      <w:proofErr w:type="spellEnd"/>
      <w:r w:rsidR="005968F7">
        <w:t xml:space="preserve"> figure is taken to be nil if this course is not taken.  There is no legal compulsion arising from s 70-40.</w:t>
      </w:r>
    </w:p>
    <w:p w:rsidR="00BF732B" w:rsidRDefault="0029699A" w:rsidP="00CA6F21">
      <w:pPr>
        <w:pStyle w:val="ParaNumbering"/>
      </w:pPr>
      <w:r>
        <w:t>Thirdly, it was submitted that it would be to strain the language of s 70-40 to say that trading stock was not taken into account when elections ha</w:t>
      </w:r>
      <w:r w:rsidR="00BF732B">
        <w:t xml:space="preserve">d, in fact, </w:t>
      </w:r>
      <w:r>
        <w:t xml:space="preserve">been made as at the end of that year. But the election contemplated by </w:t>
      </w:r>
      <w:proofErr w:type="spellStart"/>
      <w:r>
        <w:t>s</w:t>
      </w:r>
      <w:r w:rsidR="00C56ED4">
        <w:t>s</w:t>
      </w:r>
      <w:proofErr w:type="spellEnd"/>
      <w:r>
        <w:t xml:space="preserve"> 70-4</w:t>
      </w:r>
      <w:r w:rsidR="005968F7">
        <w:t>0</w:t>
      </w:r>
      <w:r w:rsidR="00C56ED4">
        <w:t xml:space="preserve"> and 70-45</w:t>
      </w:r>
      <w:r>
        <w:t xml:space="preserve"> is not some abstract process conducted in a manner detached from the balance of the </w:t>
      </w:r>
      <w:r w:rsidR="00BF732B">
        <w:t>statute</w:t>
      </w:r>
      <w:r>
        <w:t>.  Section 70-4</w:t>
      </w:r>
      <w:r w:rsidR="005968F7">
        <w:t>0</w:t>
      </w:r>
      <w:r>
        <w:t xml:space="preserve"> calls for a valuation, it is true, but only for the purpose of providing an input into s 70-35(1)</w:t>
      </w:r>
      <w:r w:rsidR="00C56ED4">
        <w:t>,</w:t>
      </w:r>
      <w:r>
        <w:t xml:space="preserve"> which in turn has only the purpose of adjusting assessable income under </w:t>
      </w:r>
      <w:proofErr w:type="spellStart"/>
      <w:r>
        <w:t>s</w:t>
      </w:r>
      <w:r w:rsidR="00C56ED4">
        <w:t>s</w:t>
      </w:r>
      <w:proofErr w:type="spellEnd"/>
      <w:r>
        <w:t xml:space="preserve"> 70-</w:t>
      </w:r>
      <w:r w:rsidR="00D56BB3">
        <w:t>35</w:t>
      </w:r>
      <w:r>
        <w:t>(2) and (3).  To conduct a valuation which does not go down that path and</w:t>
      </w:r>
      <w:r w:rsidR="00C56ED4">
        <w:t>,</w:t>
      </w:r>
      <w:r>
        <w:t xml:space="preserve"> in th</w:t>
      </w:r>
      <w:r w:rsidR="00BF732B">
        <w:t>at</w:t>
      </w:r>
      <w:r w:rsidR="00976480">
        <w:t xml:space="preserve"> eccentric </w:t>
      </w:r>
      <w:r w:rsidR="00BF732B">
        <w:t xml:space="preserve">non-statutory </w:t>
      </w:r>
      <w:r>
        <w:t>process</w:t>
      </w:r>
      <w:r w:rsidR="00C56ED4">
        <w:t>,</w:t>
      </w:r>
      <w:r>
        <w:t xml:space="preserve"> to choose a method of valuation is not the making of an election under s 70-4</w:t>
      </w:r>
      <w:r w:rsidR="005968F7">
        <w:t>0</w:t>
      </w:r>
      <w:r>
        <w:t xml:space="preserve">(1).  </w:t>
      </w:r>
      <w:r>
        <w:lastRenderedPageBreak/>
        <w:t xml:space="preserve">Such an election can only occur as part of the </w:t>
      </w:r>
      <w:r w:rsidR="00A77653">
        <w:t xml:space="preserve">process under </w:t>
      </w:r>
      <w:proofErr w:type="spellStart"/>
      <w:r w:rsidR="00A77653">
        <w:t>s</w:t>
      </w:r>
      <w:r w:rsidR="00C56ED4">
        <w:t>s</w:t>
      </w:r>
      <w:proofErr w:type="spellEnd"/>
      <w:r w:rsidR="00A77653">
        <w:t xml:space="preserve"> 70-35(2) and (3)</w:t>
      </w:r>
      <w:r w:rsidR="00C56ED4">
        <w:t>,</w:t>
      </w:r>
      <w:r w:rsidR="00A77653">
        <w:t xml:space="preserve"> </w:t>
      </w:r>
      <w:r w:rsidR="005968F7">
        <w:t>and these are strictly</w:t>
      </w:r>
      <w:r w:rsidR="00A77653">
        <w:t xml:space="preserve"> about the calculation of assessable income.  </w:t>
      </w:r>
      <w:r w:rsidR="00C56ED4">
        <w:t>As such, taking trading stock into account necessarily entails assessment by the Commissioner.</w:t>
      </w:r>
    </w:p>
    <w:p w:rsidR="00CA6F21" w:rsidRDefault="00A77653" w:rsidP="00CA6F21">
      <w:pPr>
        <w:pStyle w:val="ParaNumbering"/>
      </w:pPr>
      <w:r>
        <w:t xml:space="preserve">Fourthly, it was </w:t>
      </w:r>
      <w:r w:rsidR="00C56ED4">
        <w:t>submitted</w:t>
      </w:r>
      <w:r>
        <w:t xml:space="preserve"> that the purpose </w:t>
      </w:r>
      <w:r w:rsidR="00C56ED4">
        <w:t>for</w:t>
      </w:r>
      <w:r>
        <w:t xml:space="preserve"> which s 70-40 had </w:t>
      </w:r>
      <w:r w:rsidR="00BF732B">
        <w:t xml:space="preserve">been </w:t>
      </w:r>
      <w:r>
        <w:t>inserted into the legislation was to prevent trading stock arbitrage</w:t>
      </w:r>
      <w:r w:rsidR="00C56ED4">
        <w:t>,</w:t>
      </w:r>
      <w:r>
        <w:t xml:space="preserve"> which </w:t>
      </w:r>
      <w:proofErr w:type="spellStart"/>
      <w:r w:rsidR="00C56ED4">
        <w:t>s</w:t>
      </w:r>
      <w:proofErr w:type="spellEnd"/>
      <w:r w:rsidR="00C56ED4">
        <w:t xml:space="preserve"> 70-40</w:t>
      </w:r>
      <w:r>
        <w:t xml:space="preserve">(1) </w:t>
      </w:r>
      <w:r w:rsidR="00BF732B">
        <w:t xml:space="preserve">was said to </w:t>
      </w:r>
      <w:r w:rsidR="00976480">
        <w:t xml:space="preserve">achieve </w:t>
      </w:r>
      <w:r>
        <w:t xml:space="preserve">by ensuring </w:t>
      </w:r>
      <w:r w:rsidR="00976480">
        <w:t xml:space="preserve">that </w:t>
      </w:r>
      <w:r>
        <w:t xml:space="preserve">the closing figure in one year </w:t>
      </w:r>
      <w:r w:rsidR="005968F7">
        <w:t>wa</w:t>
      </w:r>
      <w:r>
        <w:t xml:space="preserve">s the same as the opening </w:t>
      </w:r>
      <w:r w:rsidR="00BF732B">
        <w:t xml:space="preserve">figure </w:t>
      </w:r>
      <w:r>
        <w:t xml:space="preserve">in the next. It was then </w:t>
      </w:r>
      <w:r w:rsidR="00C56ED4">
        <w:t>argued</w:t>
      </w:r>
      <w:r>
        <w:t xml:space="preserve"> that this purpose was not facilitated by reading s 70-40(2) as requiring a nil assessment of the value of trading stock on hand at the start of the income year</w:t>
      </w:r>
      <w:r w:rsidR="00C56ED4">
        <w:t xml:space="preserve"> if there was no extant assessment for the prior year</w:t>
      </w:r>
      <w:r>
        <w:t>.</w:t>
      </w:r>
    </w:p>
    <w:p w:rsidR="00A77653" w:rsidRDefault="00A77653" w:rsidP="00CA6F21">
      <w:pPr>
        <w:pStyle w:val="ParaNumbering"/>
      </w:pPr>
      <w:r>
        <w:t>The explanatory memorandum accompanying the insertion of s 70-45 says this about the provision:</w:t>
      </w:r>
    </w:p>
    <w:p w:rsidR="00A77653" w:rsidRDefault="00A77653" w:rsidP="00A77653">
      <w:pPr>
        <w:pStyle w:val="Quote1"/>
      </w:pPr>
      <w:r>
        <w:t>‘</w:t>
      </w:r>
      <w:r w:rsidRPr="00C56ED4">
        <w:rPr>
          <w:b/>
        </w:rPr>
        <w:t>Section 70-40    Value of Opening stock</w:t>
      </w:r>
    </w:p>
    <w:p w:rsidR="00A77653" w:rsidRDefault="00A77653" w:rsidP="00A77653">
      <w:pPr>
        <w:pStyle w:val="Quote1"/>
      </w:pPr>
    </w:p>
    <w:p w:rsidR="00A77653" w:rsidRDefault="00A77653" w:rsidP="00A77653">
      <w:pPr>
        <w:pStyle w:val="Quote1"/>
      </w:pPr>
      <w:r>
        <w:t>This section specifies that the value of stock on hand at the start of a year (the opening stock) is the same amount that was taken into account as the previous year’s closing stock.</w:t>
      </w:r>
    </w:p>
    <w:p w:rsidR="00A77653" w:rsidRDefault="00A77653" w:rsidP="00A77653">
      <w:pPr>
        <w:pStyle w:val="Quote1"/>
      </w:pPr>
    </w:p>
    <w:p w:rsidR="00A77653" w:rsidRDefault="00A77653" w:rsidP="00A77653">
      <w:pPr>
        <w:pStyle w:val="Quote1"/>
        <w:rPr>
          <w:b/>
        </w:rPr>
      </w:pPr>
      <w:r>
        <w:rPr>
          <w:b/>
        </w:rPr>
        <w:t>Change</w:t>
      </w:r>
    </w:p>
    <w:p w:rsidR="00A77653" w:rsidRDefault="00A77653" w:rsidP="00E659C5">
      <w:pPr>
        <w:pStyle w:val="Quote1"/>
        <w:ind w:left="1134" w:hanging="397"/>
      </w:pPr>
      <w:r>
        <w:rPr>
          <w:b/>
        </w:rPr>
        <w:tab/>
      </w:r>
      <w:r>
        <w:t>This ensures that the opening value of each item of stock is always the same as the closing value it had in the p</w:t>
      </w:r>
      <w:r w:rsidR="00E659C5">
        <w:t>revious year.  If not taken into account at the end of a year, its opening value at the start of the next year will be nil</w:t>
      </w:r>
      <w:r w:rsidR="00C56ED4">
        <w:t>.</w:t>
      </w:r>
    </w:p>
    <w:p w:rsidR="00E659C5" w:rsidRDefault="00E659C5" w:rsidP="00A77653">
      <w:pPr>
        <w:pStyle w:val="Quote1"/>
      </w:pPr>
    </w:p>
    <w:p w:rsidR="00E659C5" w:rsidRPr="00C56ED4" w:rsidRDefault="00E659C5" w:rsidP="00A77653">
      <w:pPr>
        <w:pStyle w:val="Quote1"/>
        <w:rPr>
          <w:b/>
        </w:rPr>
      </w:pPr>
      <w:r w:rsidRPr="00C56ED4">
        <w:rPr>
          <w:b/>
        </w:rPr>
        <w:t>Explanation</w:t>
      </w:r>
    </w:p>
    <w:p w:rsidR="00E659C5" w:rsidRDefault="00E659C5" w:rsidP="00E659C5">
      <w:pPr>
        <w:pStyle w:val="Quote1"/>
        <w:ind w:left="1134" w:hanging="397"/>
      </w:pPr>
      <w:r>
        <w:tab/>
        <w:t xml:space="preserve">Section 29 of the </w:t>
      </w:r>
      <w:r w:rsidR="00C56ED4">
        <w:t xml:space="preserve">1936 </w:t>
      </w:r>
      <w:r>
        <w:t xml:space="preserve">Act says that an item’s opening value is </w:t>
      </w:r>
      <w:r>
        <w:rPr>
          <w:i/>
        </w:rPr>
        <w:t>the value ascertained under the Act</w:t>
      </w:r>
      <w:r w:rsidR="00C56ED4">
        <w:t xml:space="preserve"> at the </w:t>
      </w:r>
      <w:r>
        <w:t>e</w:t>
      </w:r>
      <w:r w:rsidR="00C56ED4">
        <w:t>n</w:t>
      </w:r>
      <w:r>
        <w:t xml:space="preserve">d of the previous year.  There are some Board of Review decisions concluding that those words mean that the opening value must be what the previous year’s closing value </w:t>
      </w:r>
      <w:r w:rsidRPr="00C56ED4">
        <w:rPr>
          <w:i/>
        </w:rPr>
        <w:t>should have been</w:t>
      </w:r>
      <w:r>
        <w:t>.  If the previous year’s assessment cannot be amended because of time limits, its closing value will be different from the next year’s opening value.  This will produce either a windfall gain or an unexpected loss for the taxpayer.</w:t>
      </w:r>
    </w:p>
    <w:p w:rsidR="00E659C5" w:rsidRDefault="00E659C5" w:rsidP="00A77653">
      <w:pPr>
        <w:pStyle w:val="Quote1"/>
      </w:pPr>
    </w:p>
    <w:p w:rsidR="00E659C5" w:rsidRDefault="00E659C5" w:rsidP="00E659C5">
      <w:pPr>
        <w:pStyle w:val="Quote1"/>
        <w:ind w:left="1134"/>
      </w:pPr>
      <w:r>
        <w:t>The rewrite avoids the possible problem.  If one year’s closing value is amended, then the next year’s opening value will change to reflect that amendment.  If the closing value cannot be amended, the next year’s opening value will still be what was recorded as the closing value.  Subsection 70-40(2) supports this by ensuring that an item’s opening value is nil if the item’s closing value in the previous year was not taken into account at all.’</w:t>
      </w:r>
    </w:p>
    <w:p w:rsidR="00E659C5" w:rsidRDefault="00E659C5" w:rsidP="00A77653">
      <w:pPr>
        <w:pStyle w:val="Quote1"/>
      </w:pPr>
    </w:p>
    <w:p w:rsidR="00C56ED4" w:rsidRDefault="00C56ED4" w:rsidP="00A77653">
      <w:pPr>
        <w:pStyle w:val="Quote1"/>
      </w:pPr>
      <w:r>
        <w:t>(emphasis in original)</w:t>
      </w:r>
    </w:p>
    <w:p w:rsidR="00C56ED4" w:rsidRDefault="00C56ED4" w:rsidP="00A77653">
      <w:pPr>
        <w:pStyle w:val="Quote1"/>
      </w:pPr>
    </w:p>
    <w:p w:rsidR="00E659C5" w:rsidRDefault="00E659C5" w:rsidP="00E659C5">
      <w:pPr>
        <w:pStyle w:val="ParaNumbering"/>
      </w:pPr>
      <w:r>
        <w:t xml:space="preserve">A thorough explanation of the problem appears </w:t>
      </w:r>
      <w:r w:rsidR="005968F7">
        <w:t>i</w:t>
      </w:r>
      <w:r>
        <w:t xml:space="preserve">n </w:t>
      </w:r>
      <w:r>
        <w:rPr>
          <w:i/>
        </w:rPr>
        <w:t>Commissioner of Taxation v Energy Resources of Australia</w:t>
      </w:r>
      <w:r w:rsidR="00C56ED4">
        <w:rPr>
          <w:i/>
        </w:rPr>
        <w:t xml:space="preserve"> Ltd</w:t>
      </w:r>
      <w:r>
        <w:rPr>
          <w:i/>
        </w:rPr>
        <w:t xml:space="preserve"> </w:t>
      </w:r>
      <w:r>
        <w:t xml:space="preserve">(2003) 135 </w:t>
      </w:r>
      <w:proofErr w:type="spellStart"/>
      <w:r>
        <w:t>FCR</w:t>
      </w:r>
      <w:proofErr w:type="spellEnd"/>
      <w:r>
        <w:t xml:space="preserve"> 346 at</w:t>
      </w:r>
      <w:r w:rsidR="00C56ED4">
        <w:t xml:space="preserve"> 348-351</w:t>
      </w:r>
      <w:r>
        <w:t xml:space="preserve"> [2</w:t>
      </w:r>
      <w:r w:rsidR="002071DF">
        <w:t>]-[11] per Ryan and Finkelstein </w:t>
      </w:r>
      <w:proofErr w:type="spellStart"/>
      <w:r>
        <w:t>JJ</w:t>
      </w:r>
      <w:proofErr w:type="spellEnd"/>
      <w:r>
        <w:t xml:space="preserve">.  The taxpayers are </w:t>
      </w:r>
      <w:r w:rsidR="001323F4">
        <w:t xml:space="preserve">probably </w:t>
      </w:r>
      <w:r>
        <w:t xml:space="preserve">correct in their identification of the </w:t>
      </w:r>
      <w:r w:rsidR="001323F4">
        <w:t>legislati</w:t>
      </w:r>
      <w:r w:rsidR="00976480">
        <w:t>ve</w:t>
      </w:r>
      <w:r w:rsidR="001323F4">
        <w:t xml:space="preserve"> </w:t>
      </w:r>
      <w:r>
        <w:lastRenderedPageBreak/>
        <w:t xml:space="preserve">purpose </w:t>
      </w:r>
      <w:r w:rsidR="001323F4">
        <w:t>in enacting</w:t>
      </w:r>
      <w:r>
        <w:t xml:space="preserve"> </w:t>
      </w:r>
      <w:r w:rsidR="001323F4">
        <w:t>s </w:t>
      </w:r>
      <w:r w:rsidR="00C56ED4">
        <w:t>70-40(1).  However</w:t>
      </w:r>
      <w:r>
        <w:t xml:space="preserve"> whilst it is true that the Commissioner’s construction does not further that end</w:t>
      </w:r>
      <w:r w:rsidR="00C56ED4">
        <w:t>,</w:t>
      </w:r>
      <w:r>
        <w:t xml:space="preserve"> neither does it hinder it.  In any event, </w:t>
      </w:r>
      <w:r w:rsidR="00BF732B">
        <w:t>this case is about</w:t>
      </w:r>
      <w:r w:rsidR="00C56ED4">
        <w:t xml:space="preserve"> the operation of</w:t>
      </w:r>
      <w:r w:rsidR="00BF732B">
        <w:t xml:space="preserve"> </w:t>
      </w:r>
      <w:r w:rsidR="00C56ED4">
        <w:t>s 70-</w:t>
      </w:r>
      <w:r>
        <w:t>4</w:t>
      </w:r>
      <w:r w:rsidR="00C56ED4">
        <w:t>0</w:t>
      </w:r>
      <w:r>
        <w:t>(2)</w:t>
      </w:r>
      <w:r w:rsidR="00C56ED4">
        <w:t>,</w:t>
      </w:r>
      <w:r>
        <w:t xml:space="preserve"> </w:t>
      </w:r>
      <w:r w:rsidR="00BF732B">
        <w:t>not</w:t>
      </w:r>
      <w:r>
        <w:t xml:space="preserve"> s 70-40(1).</w:t>
      </w:r>
    </w:p>
    <w:p w:rsidR="00E659C5" w:rsidRDefault="00E659C5" w:rsidP="00E659C5">
      <w:pPr>
        <w:pStyle w:val="ParaNumbering"/>
      </w:pPr>
      <w:r>
        <w:t>Fifthly, it was submitted that the Commissioner’s construction of s 70-40(2) had the perverse effect that the applicants would be taxed upon the full value of trading stock at the end of the income year rather than merely</w:t>
      </w:r>
      <w:r w:rsidR="00BF732B">
        <w:t xml:space="preserve"> on</w:t>
      </w:r>
      <w:r>
        <w:t xml:space="preserve"> its increase. However, that is only how the Division operates when </w:t>
      </w:r>
      <w:r w:rsidR="001323F4">
        <w:t>a</w:t>
      </w:r>
      <w:r>
        <w:t xml:space="preserve"> taxpayer elects not to </w:t>
      </w:r>
      <w:r w:rsidR="002071DF">
        <w:t>lodge</w:t>
      </w:r>
      <w:r>
        <w:t xml:space="preserve"> a return in the </w:t>
      </w:r>
      <w:r w:rsidR="00BF732B">
        <w:t>preceding</w:t>
      </w:r>
      <w:r>
        <w:t xml:space="preserve"> year.  The source of </w:t>
      </w:r>
      <w:r w:rsidR="00BF732B">
        <w:t>any</w:t>
      </w:r>
      <w:r>
        <w:t xml:space="preserve"> </w:t>
      </w:r>
      <w:r w:rsidR="00BF732B">
        <w:t>p</w:t>
      </w:r>
      <w:r>
        <w:t>er</w:t>
      </w:r>
      <w:r w:rsidR="00B51584">
        <w:t>verse operation of the Division is the taxpayers</w:t>
      </w:r>
      <w:r w:rsidR="00BF732B">
        <w:t>’</w:t>
      </w:r>
      <w:r w:rsidR="00B51584">
        <w:t xml:space="preserve"> actions in </w:t>
      </w:r>
      <w:r w:rsidR="00CA3DAE">
        <w:t xml:space="preserve">failing to lodge </w:t>
      </w:r>
      <w:r w:rsidR="00B51584">
        <w:t>return</w:t>
      </w:r>
      <w:r w:rsidR="00CA3DAE">
        <w:t>s</w:t>
      </w:r>
      <w:r w:rsidR="00B51584">
        <w:t>.</w:t>
      </w:r>
    </w:p>
    <w:p w:rsidR="00B51584" w:rsidRDefault="00B51584" w:rsidP="00E659C5">
      <w:pPr>
        <w:pStyle w:val="ParaNumbering"/>
      </w:pPr>
      <w:r>
        <w:t>Finally, the taxpayers submitted that the Commissioner’s</w:t>
      </w:r>
      <w:r w:rsidR="00BF732B">
        <w:t xml:space="preserve"> construction</w:t>
      </w:r>
      <w:r>
        <w:t xml:space="preserve"> created the </w:t>
      </w:r>
      <w:r w:rsidR="00D56BB3">
        <w:t>absurd situation that</w:t>
      </w:r>
      <w:r w:rsidR="002071DF">
        <w:t>,</w:t>
      </w:r>
      <w:r w:rsidR="00D56BB3">
        <w:t xml:space="preserve"> in order to enliven the election provisions in s 70-45</w:t>
      </w:r>
      <w:r w:rsidR="00976480">
        <w:t>,</w:t>
      </w:r>
      <w:r w:rsidR="00D56BB3">
        <w:t xml:space="preserve"> a taxpayer would need to file returns in all the years in which the trading stock had been held.  Of course, a taxpayer is not bound to do th</w:t>
      </w:r>
      <w:r w:rsidR="00BF732B">
        <w:t>at</w:t>
      </w:r>
      <w:r w:rsidR="00D56BB3">
        <w:t>, it is just that if</w:t>
      </w:r>
      <w:r w:rsidR="00BF732B">
        <w:t xml:space="preserve"> that</w:t>
      </w:r>
      <w:r w:rsidR="00D56BB3">
        <w:t xml:space="preserve"> is not done</w:t>
      </w:r>
      <w:r w:rsidR="009103CC">
        <w:t xml:space="preserve"> then</w:t>
      </w:r>
      <w:r w:rsidR="00D56BB3">
        <w:t xml:space="preserve"> the value at the start of the year </w:t>
      </w:r>
      <w:r w:rsidR="00BF732B">
        <w:t>will be</w:t>
      </w:r>
      <w:r w:rsidR="00D56BB3">
        <w:t xml:space="preserve"> </w:t>
      </w:r>
      <w:r w:rsidR="009103CC">
        <w:t>taken to be</w:t>
      </w:r>
      <w:r w:rsidR="00D56BB3">
        <w:t xml:space="preserve"> nil. In any event, I do not accept the result is absurd.</w:t>
      </w:r>
    </w:p>
    <w:p w:rsidR="00D56BB3" w:rsidRDefault="00D56BB3" w:rsidP="00E659C5">
      <w:pPr>
        <w:pStyle w:val="ParaNumbering"/>
      </w:pPr>
      <w:r>
        <w:t xml:space="preserve">The orders I will make </w:t>
      </w:r>
      <w:r w:rsidR="009103CC">
        <w:t xml:space="preserve">in matters </w:t>
      </w:r>
      <w:proofErr w:type="spellStart"/>
      <w:r w:rsidR="009103CC">
        <w:t>NSD</w:t>
      </w:r>
      <w:proofErr w:type="spellEnd"/>
      <w:r w:rsidR="009103CC">
        <w:t xml:space="preserve"> 652-656 of 2011 </w:t>
      </w:r>
      <w:r>
        <w:t>are:</w:t>
      </w:r>
    </w:p>
    <w:p w:rsidR="00D56BB3" w:rsidRDefault="009103CC" w:rsidP="00D56BB3">
      <w:pPr>
        <w:pStyle w:val="ListNo1"/>
        <w:numPr>
          <w:ilvl w:val="0"/>
          <w:numId w:val="32"/>
        </w:numPr>
      </w:pPr>
      <w:r>
        <w:t>Declare that s 70-40</w:t>
      </w:r>
      <w:r w:rsidR="00D56BB3">
        <w:t xml:space="preserve">(2) of the </w:t>
      </w:r>
      <w:r w:rsidR="00D56BB3" w:rsidRPr="00BF732B">
        <w:rPr>
          <w:i/>
        </w:rPr>
        <w:t>Income Tax Assessment Act 1997</w:t>
      </w:r>
      <w:r w:rsidR="00D56BB3">
        <w:t xml:space="preserve"> (Cth) requires the value of the taxpayers’ shares in each year in dispute to be valued a</w:t>
      </w:r>
      <w:r w:rsidR="00BF732B">
        <w:t>t</w:t>
      </w:r>
      <w:r w:rsidR="00D56BB3">
        <w:t xml:space="preserve"> nil if no assessment has been </w:t>
      </w:r>
      <w:r w:rsidR="00BF732B">
        <w:t>issued for</w:t>
      </w:r>
      <w:r w:rsidR="00D56BB3">
        <w:t xml:space="preserve"> the preceding </w:t>
      </w:r>
      <w:r w:rsidR="00BF732B">
        <w:t xml:space="preserve">income </w:t>
      </w:r>
      <w:r w:rsidR="00D56BB3">
        <w:t>year.</w:t>
      </w:r>
    </w:p>
    <w:p w:rsidR="00D56BB3" w:rsidRDefault="00D56BB3" w:rsidP="00D56BB3">
      <w:pPr>
        <w:pStyle w:val="ListNo1"/>
        <w:numPr>
          <w:ilvl w:val="0"/>
          <w:numId w:val="32"/>
        </w:numPr>
      </w:pPr>
      <w:r>
        <w:t>Direct the taxpayers to make elections under s 70-45 in respect of each item of trading stock on hand at the end of each financial year in dispute within 21 days hereof.</w:t>
      </w:r>
    </w:p>
    <w:p w:rsidR="00D56BB3" w:rsidRDefault="00D56BB3" w:rsidP="00D56BB3">
      <w:pPr>
        <w:pStyle w:val="ListNo1"/>
        <w:numPr>
          <w:ilvl w:val="0"/>
          <w:numId w:val="32"/>
        </w:numPr>
      </w:pPr>
      <w:r>
        <w:t>Remit to the Commissioner the objection decisions insofar as they relate to the trading stock issue</w:t>
      </w:r>
      <w:r w:rsidR="009103CC">
        <w:t>,</w:t>
      </w:r>
      <w:r>
        <w:t xml:space="preserve"> in conformity with this Court’s reasons.</w:t>
      </w:r>
    </w:p>
    <w:p w:rsidR="00D56BB3" w:rsidRPr="00E659C5" w:rsidRDefault="009103CC" w:rsidP="00D56BB3">
      <w:pPr>
        <w:pStyle w:val="ListNo1"/>
        <w:numPr>
          <w:ilvl w:val="0"/>
          <w:numId w:val="32"/>
        </w:numPr>
      </w:pPr>
      <w:r>
        <w:t>The Applicant</w:t>
      </w:r>
      <w:r w:rsidR="00D56BB3">
        <w:t>s</w:t>
      </w:r>
      <w:r>
        <w:t xml:space="preserve"> are to</w:t>
      </w:r>
      <w:r w:rsidR="00D56BB3">
        <w:t xml:space="preserve"> pay the </w:t>
      </w:r>
      <w:r w:rsidR="00BF732B">
        <w:t>Commissioner’s</w:t>
      </w:r>
      <w:r w:rsidR="00D56BB3">
        <w:t xml:space="preserve"> costs of the trading stock debate on 4 May 2015.</w:t>
      </w:r>
    </w:p>
    <w:tbl>
      <w:tblPr>
        <w:tblW w:w="0" w:type="auto"/>
        <w:tblLook w:val="04A0" w:firstRow="1" w:lastRow="0" w:firstColumn="1" w:lastColumn="0" w:noHBand="0" w:noVBand="1"/>
      </w:tblPr>
      <w:tblGrid>
        <w:gridCol w:w="3794"/>
      </w:tblGrid>
      <w:tr w:rsidR="00D56BB3" w:rsidRPr="00D56BB3">
        <w:tc>
          <w:tcPr>
            <w:tcW w:w="3794" w:type="dxa"/>
            <w:shd w:val="clear" w:color="auto" w:fill="auto"/>
          </w:tcPr>
          <w:p w:rsidR="00C52F06" w:rsidRDefault="00C52F06" w:rsidP="00D56BB3">
            <w:pPr>
              <w:pStyle w:val="Normal1linespace"/>
            </w:pPr>
            <w:bookmarkStart w:id="23" w:name="Certification"/>
          </w:p>
          <w:p w:rsidR="00C52F06" w:rsidRDefault="00C52F06" w:rsidP="00D56BB3">
            <w:pPr>
              <w:pStyle w:val="Normal1linespace"/>
            </w:pPr>
          </w:p>
          <w:p w:rsidR="00D56BB3" w:rsidRPr="00D56BB3" w:rsidRDefault="009A036E" w:rsidP="00D56BB3">
            <w:pPr>
              <w:pStyle w:val="Normal1linespace"/>
            </w:pPr>
            <w:bookmarkStart w:id="24" w:name="_GoBack"/>
            <w:bookmarkEnd w:id="24"/>
            <w:r>
              <w:br w:type="page"/>
            </w:r>
            <w:r w:rsidR="00D56BB3" w:rsidRPr="00D56BB3">
              <w:t xml:space="preserve">I certify that the preceding </w:t>
            </w:r>
            <w:bookmarkStart w:id="25" w:name="NumberWord"/>
            <w:r w:rsidR="00976480">
              <w:t>nineteen</w:t>
            </w:r>
            <w:bookmarkEnd w:id="25"/>
            <w:r w:rsidR="00D56BB3" w:rsidRPr="00D56BB3">
              <w:t xml:space="preserve"> (</w:t>
            </w:r>
            <w:bookmarkStart w:id="26" w:name="NumberNumeral"/>
            <w:r w:rsidR="00976480">
              <w:t>19</w:t>
            </w:r>
            <w:bookmarkEnd w:id="26"/>
            <w:r w:rsidR="00D56BB3" w:rsidRPr="00D56BB3">
              <w:t xml:space="preserve">) numbered </w:t>
            </w:r>
            <w:bookmarkStart w:id="27" w:name="CertPara"/>
            <w:r w:rsidR="00976480">
              <w:t>paragraphs are</w:t>
            </w:r>
            <w:bookmarkEnd w:id="27"/>
            <w:r w:rsidR="00D56BB3" w:rsidRPr="00D56BB3">
              <w:t xml:space="preserve"> a true copy of the Reasons for Judgment herein of the Honourable </w:t>
            </w:r>
            <w:bookmarkStart w:id="28" w:name="Justice"/>
            <w:r w:rsidR="00976480">
              <w:t>Justice Perram</w:t>
            </w:r>
            <w:bookmarkEnd w:id="28"/>
            <w:r w:rsidR="00D56BB3" w:rsidRPr="00D56BB3">
              <w:t>.</w:t>
            </w:r>
          </w:p>
        </w:tc>
      </w:tr>
    </w:tbl>
    <w:p w:rsidR="00C52F06" w:rsidRDefault="00C52F06" w:rsidP="001A7452">
      <w:pPr>
        <w:pStyle w:val="BodyText"/>
      </w:pPr>
    </w:p>
    <w:p w:rsidR="00D56BB3" w:rsidRDefault="00D56BB3" w:rsidP="001A7452">
      <w:pPr>
        <w:pStyle w:val="BodyText"/>
      </w:pPr>
      <w:r>
        <w:t>Associate:</w:t>
      </w:r>
    </w:p>
    <w:p w:rsidR="00D56BB3" w:rsidRDefault="00D56BB3" w:rsidP="001A7452">
      <w:pPr>
        <w:pStyle w:val="BodyText"/>
      </w:pPr>
    </w:p>
    <w:p w:rsidR="00A77653" w:rsidRPr="00624520" w:rsidRDefault="00D56BB3" w:rsidP="00D56BB3">
      <w:pPr>
        <w:pStyle w:val="BodyText"/>
        <w:tabs>
          <w:tab w:val="left" w:pos="1134"/>
        </w:tabs>
      </w:pPr>
      <w:r>
        <w:t>Dated:</w:t>
      </w:r>
      <w:r>
        <w:tab/>
      </w:r>
      <w:bookmarkStart w:id="29" w:name="CertifyDated"/>
      <w:bookmarkEnd w:id="23"/>
      <w:r w:rsidR="00CE1EED">
        <w:t>15</w:t>
      </w:r>
      <w:r w:rsidR="00976480">
        <w:t xml:space="preserve"> May 2015</w:t>
      </w:r>
      <w:bookmarkEnd w:id="29"/>
    </w:p>
    <w:sectPr w:rsidR="00A77653" w:rsidRPr="0062452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3E" w:rsidRDefault="00DC4F3E">
      <w:pPr>
        <w:spacing w:line="20" w:lineRule="exact"/>
      </w:pPr>
    </w:p>
    <w:p w:rsidR="00DC4F3E" w:rsidRDefault="00DC4F3E"/>
    <w:p w:rsidR="00DC4F3E" w:rsidRDefault="00DC4F3E"/>
  </w:endnote>
  <w:endnote w:type="continuationSeparator" w:id="0">
    <w:p w:rsidR="00DC4F3E" w:rsidRDefault="00DC4F3E">
      <w:r>
        <w:t xml:space="preserve"> </w:t>
      </w:r>
    </w:p>
    <w:p w:rsidR="00DC4F3E" w:rsidRDefault="00DC4F3E"/>
    <w:p w:rsidR="00DC4F3E" w:rsidRDefault="00DC4F3E"/>
  </w:endnote>
  <w:endnote w:type="continuationNotice" w:id="1">
    <w:p w:rsidR="00DC4F3E" w:rsidRDefault="00DC4F3E">
      <w:r>
        <w:t xml:space="preserve"> </w:t>
      </w:r>
    </w:p>
    <w:p w:rsidR="00DC4F3E" w:rsidRDefault="00DC4F3E"/>
    <w:p w:rsidR="00DC4F3E" w:rsidRDefault="00DC4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Ë¢çE¢®Ec¢®E¡Ëc¢®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3E" w:rsidRPr="00D64156" w:rsidRDefault="00DC4F3E" w:rsidP="00D64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3E" w:rsidRPr="00D64156" w:rsidRDefault="00DC4F3E" w:rsidP="00D64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3E" w:rsidRDefault="00DC4F3E"/>
    <w:p w:rsidR="00DC4F3E" w:rsidRDefault="00DC4F3E"/>
    <w:p w:rsidR="00DC4F3E" w:rsidRDefault="00DC4F3E"/>
  </w:footnote>
  <w:footnote w:type="continuationSeparator" w:id="0">
    <w:p w:rsidR="00DC4F3E" w:rsidRDefault="00DC4F3E">
      <w:r>
        <w:continuationSeparator/>
      </w:r>
    </w:p>
    <w:p w:rsidR="00DC4F3E" w:rsidRDefault="00DC4F3E"/>
    <w:p w:rsidR="00DC4F3E" w:rsidRDefault="00DC4F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3E" w:rsidRDefault="00DC4F3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C52F06">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3E" w:rsidRDefault="00DC4F3E">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3E" w:rsidRDefault="00DC4F3E">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3E" w:rsidRDefault="00DC4F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3E" w:rsidRDefault="00DC4F3E">
    <w:pPr>
      <w:tabs>
        <w:tab w:val="center" w:pos="4512"/>
      </w:tabs>
      <w:suppressAutoHyphens/>
    </w:pPr>
    <w:r>
      <w:tab/>
      <w:t xml:space="preserve">- </w:t>
    </w:r>
    <w:r>
      <w:fldChar w:fldCharType="begin"/>
    </w:r>
    <w:r>
      <w:instrText>page \* arabic</w:instrText>
    </w:r>
    <w:r>
      <w:fldChar w:fldCharType="separate"/>
    </w:r>
    <w:r w:rsidR="00C52F06">
      <w:rPr>
        <w:noProof/>
      </w:rPr>
      <w:t>7</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3E" w:rsidRDefault="00DC4F3E">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A26DFE"/>
    <w:multiLevelType w:val="singleLevel"/>
    <w:tmpl w:val="8B9C77E4"/>
    <w:lvl w:ilvl="0">
      <w:start w:val="1"/>
      <w:numFmt w:val="lowerLetter"/>
      <w:lvlText w:val="(%1)"/>
      <w:lvlJc w:val="left"/>
      <w:pPr>
        <w:tabs>
          <w:tab w:val="num" w:pos="720"/>
        </w:tabs>
        <w:ind w:left="720" w:hanging="720"/>
      </w:pPr>
      <w:rPr>
        <w:rFonts w:hint="default"/>
      </w:rPr>
    </w:lvl>
  </w:abstractNum>
  <w:abstractNum w:abstractNumId="11">
    <w:nsid w:val="0A242980"/>
    <w:multiLevelType w:val="singleLevel"/>
    <w:tmpl w:val="9C80717C"/>
    <w:lvl w:ilvl="0">
      <w:start w:val="1"/>
      <w:numFmt w:val="decimal"/>
      <w:lvlText w:val="%1."/>
      <w:lvlJc w:val="left"/>
      <w:pPr>
        <w:tabs>
          <w:tab w:val="num" w:pos="720"/>
        </w:tabs>
        <w:ind w:left="720" w:hanging="720"/>
      </w:pPr>
      <w:rPr>
        <w:rFonts w:hint="default"/>
      </w:r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12715C1"/>
    <w:multiLevelType w:val="singleLevel"/>
    <w:tmpl w:val="29F4DC2C"/>
    <w:lvl w:ilvl="0">
      <w:start w:val="1"/>
      <w:numFmt w:val="lowerRoman"/>
      <w:pStyle w:val="ListNo3"/>
      <w:lvlText w:val="(%1)"/>
      <w:lvlJc w:val="left"/>
      <w:pPr>
        <w:tabs>
          <w:tab w:val="num" w:pos="720"/>
        </w:tabs>
        <w:ind w:left="720" w:hanging="720"/>
      </w:pPr>
      <w:rPr>
        <w:rFonts w:hint="default"/>
      </w:r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9D768F4"/>
    <w:multiLevelType w:val="singleLevel"/>
    <w:tmpl w:val="C2B29E74"/>
    <w:lvl w:ilvl="0">
      <w:start w:val="1"/>
      <w:numFmt w:val="lowerLetter"/>
      <w:lvlText w:val="%1."/>
      <w:lvlJc w:val="left"/>
      <w:pPr>
        <w:tabs>
          <w:tab w:val="num" w:pos="720"/>
        </w:tabs>
        <w:ind w:left="720" w:hanging="720"/>
      </w:pPr>
      <w:rPr>
        <w:rFonts w:hint="default"/>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8864A7B"/>
    <w:multiLevelType w:val="hybridMultilevel"/>
    <w:tmpl w:val="E91468D8"/>
    <w:lvl w:ilvl="0" w:tplc="28780E0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F9B6398"/>
    <w:multiLevelType w:val="hybridMultilevel"/>
    <w:tmpl w:val="0E4CBD92"/>
    <w:lvl w:ilvl="0" w:tplc="A11885E0">
      <w:start w:val="1"/>
      <w:numFmt w:val="bullet"/>
      <w:pStyle w:val="Quote1Bullet"/>
      <w:lvlText w:val=""/>
      <w:lvlJc w:val="left"/>
      <w:pPr>
        <w:ind w:left="1457" w:hanging="360"/>
      </w:pPr>
      <w:rPr>
        <w:rFonts w:ascii="Wingdings" w:hAnsi="Wingdings" w:hint="default"/>
      </w:rPr>
    </w:lvl>
    <w:lvl w:ilvl="1" w:tplc="704A2E2E" w:tentative="1">
      <w:start w:val="1"/>
      <w:numFmt w:val="bullet"/>
      <w:lvlText w:val="o"/>
      <w:lvlJc w:val="left"/>
      <w:pPr>
        <w:ind w:left="2177" w:hanging="360"/>
      </w:pPr>
      <w:rPr>
        <w:rFonts w:ascii="Courier New" w:hAnsi="Courier New" w:cs="Courier New" w:hint="default"/>
      </w:rPr>
    </w:lvl>
    <w:lvl w:ilvl="2" w:tplc="E9445FD2" w:tentative="1">
      <w:start w:val="1"/>
      <w:numFmt w:val="bullet"/>
      <w:lvlText w:val=""/>
      <w:lvlJc w:val="left"/>
      <w:pPr>
        <w:ind w:left="2897" w:hanging="360"/>
      </w:pPr>
      <w:rPr>
        <w:rFonts w:ascii="Wingdings" w:hAnsi="Wingdings" w:hint="default"/>
      </w:rPr>
    </w:lvl>
    <w:lvl w:ilvl="3" w:tplc="865A9842" w:tentative="1">
      <w:start w:val="1"/>
      <w:numFmt w:val="bullet"/>
      <w:lvlText w:val=""/>
      <w:lvlJc w:val="left"/>
      <w:pPr>
        <w:ind w:left="3617" w:hanging="360"/>
      </w:pPr>
      <w:rPr>
        <w:rFonts w:ascii="Symbol" w:hAnsi="Symbol" w:hint="default"/>
      </w:rPr>
    </w:lvl>
    <w:lvl w:ilvl="4" w:tplc="852EA528" w:tentative="1">
      <w:start w:val="1"/>
      <w:numFmt w:val="bullet"/>
      <w:lvlText w:val="o"/>
      <w:lvlJc w:val="left"/>
      <w:pPr>
        <w:ind w:left="4337" w:hanging="360"/>
      </w:pPr>
      <w:rPr>
        <w:rFonts w:ascii="Courier New" w:hAnsi="Courier New" w:cs="Courier New" w:hint="default"/>
      </w:rPr>
    </w:lvl>
    <w:lvl w:ilvl="5" w:tplc="65E0D75E" w:tentative="1">
      <w:start w:val="1"/>
      <w:numFmt w:val="bullet"/>
      <w:lvlText w:val=""/>
      <w:lvlJc w:val="left"/>
      <w:pPr>
        <w:ind w:left="5057" w:hanging="360"/>
      </w:pPr>
      <w:rPr>
        <w:rFonts w:ascii="Wingdings" w:hAnsi="Wingdings" w:hint="default"/>
      </w:rPr>
    </w:lvl>
    <w:lvl w:ilvl="6" w:tplc="E36C4FD2" w:tentative="1">
      <w:start w:val="1"/>
      <w:numFmt w:val="bullet"/>
      <w:lvlText w:val=""/>
      <w:lvlJc w:val="left"/>
      <w:pPr>
        <w:ind w:left="5777" w:hanging="360"/>
      </w:pPr>
      <w:rPr>
        <w:rFonts w:ascii="Symbol" w:hAnsi="Symbol" w:hint="default"/>
      </w:rPr>
    </w:lvl>
    <w:lvl w:ilvl="7" w:tplc="9E6E5786" w:tentative="1">
      <w:start w:val="1"/>
      <w:numFmt w:val="bullet"/>
      <w:lvlText w:val="o"/>
      <w:lvlJc w:val="left"/>
      <w:pPr>
        <w:ind w:left="6497" w:hanging="360"/>
      </w:pPr>
      <w:rPr>
        <w:rFonts w:ascii="Courier New" w:hAnsi="Courier New" w:cs="Courier New" w:hint="default"/>
      </w:rPr>
    </w:lvl>
    <w:lvl w:ilvl="8" w:tplc="1E143EC4" w:tentative="1">
      <w:start w:val="1"/>
      <w:numFmt w:val="bullet"/>
      <w:lvlText w:val=""/>
      <w:lvlJc w:val="left"/>
      <w:pPr>
        <w:ind w:left="7217"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5"/>
  </w:num>
  <w:num w:numId="17">
    <w:abstractNumId w:val="14"/>
  </w:num>
  <w:num w:numId="18">
    <w:abstractNumId w:val="24"/>
  </w:num>
  <w:num w:numId="19">
    <w:abstractNumId w:val="12"/>
  </w:num>
  <w:num w:numId="20">
    <w:abstractNumId w:val="19"/>
  </w:num>
  <w:num w:numId="21">
    <w:abstractNumId w:val="10"/>
  </w:num>
  <w:num w:numId="22">
    <w:abstractNumId w:val="18"/>
  </w:num>
  <w:num w:numId="23">
    <w:abstractNumId w:val="18"/>
  </w:num>
  <w:num w:numId="24">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7"/>
  </w:num>
  <w:num w:numId="32">
    <w:abstractNumId w:val="11"/>
  </w:num>
  <w:num w:numId="33">
    <w:abstractNumId w:val="22"/>
  </w:num>
  <w:num w:numId="34">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Hua Wang Bank Berhad "/>
    <w:docVar w:name="CounselParties" w:val="Applicant"/>
    <w:docVar w:name="CounselType" w:val="Solicitor for the "/>
    <w:docVar w:name="Division" w:val="GENERAL DIVISION"/>
    <w:docVar w:name="DocCreated" w:val="True"/>
    <w:docVar w:name="FileNumbers" w:val="NSD653 of 2011"/>
    <w:docVar w:name="FullCourt" w:val="False"/>
    <w:docVar w:name="Judgdate" w:val="xx May 2015"/>
    <w:docVar w:name="Judge" w:val="Perram"/>
    <w:docVar w:name="JudgePlace" w:val="SYDNEY"/>
    <w:docVar w:name="lstEntryList" w:val="-1"/>
    <w:docVar w:name="myEntryList" w:val="Counsel for the Applicant=|Solicitor for the Applicant=|Counsel for the Respondent=|Solicitor for the Respondent="/>
    <w:docVar w:name="NSD" w:val="NSD NSD653 of 2011"/>
    <w:docVar w:name="NumApps" w:val="1"/>
    <w:docVar w:name="NumApps_" w:val="1"/>
    <w:docVar w:name="NumJudges" w:val="Single Judge"/>
    <w:docVar w:name="Parties" w:val="Respondent"/>
    <w:docVar w:name="Place_SentenceCase" w:val="Sydney"/>
    <w:docVar w:name="Respondent" w:val="Commissioner of Taxation"/>
    <w:docVar w:name="ResState" w:val="NEW SOUTH WALES"/>
    <w:docVar w:name="Single" w:val="True"/>
  </w:docVars>
  <w:rsids>
    <w:rsidRoot w:val="00133C91"/>
    <w:rsid w:val="0001088A"/>
    <w:rsid w:val="00037EFE"/>
    <w:rsid w:val="000C30A1"/>
    <w:rsid w:val="000D2137"/>
    <w:rsid w:val="000D22DC"/>
    <w:rsid w:val="001128BD"/>
    <w:rsid w:val="001323F4"/>
    <w:rsid w:val="00133C91"/>
    <w:rsid w:val="001727A4"/>
    <w:rsid w:val="001738AB"/>
    <w:rsid w:val="00187BBC"/>
    <w:rsid w:val="00193E9B"/>
    <w:rsid w:val="001A6563"/>
    <w:rsid w:val="001A7452"/>
    <w:rsid w:val="001A758B"/>
    <w:rsid w:val="001B14AC"/>
    <w:rsid w:val="001B49A3"/>
    <w:rsid w:val="001B7940"/>
    <w:rsid w:val="001D0538"/>
    <w:rsid w:val="001D2BA7"/>
    <w:rsid w:val="001E3B49"/>
    <w:rsid w:val="001E7388"/>
    <w:rsid w:val="002071DF"/>
    <w:rsid w:val="002535D0"/>
    <w:rsid w:val="002602C2"/>
    <w:rsid w:val="00271C60"/>
    <w:rsid w:val="00274F5B"/>
    <w:rsid w:val="00280836"/>
    <w:rsid w:val="0028677F"/>
    <w:rsid w:val="002942AE"/>
    <w:rsid w:val="0029699A"/>
    <w:rsid w:val="002A1B50"/>
    <w:rsid w:val="002B0E91"/>
    <w:rsid w:val="002C31AD"/>
    <w:rsid w:val="002C7385"/>
    <w:rsid w:val="002D0393"/>
    <w:rsid w:val="002D3BB7"/>
    <w:rsid w:val="002F1E49"/>
    <w:rsid w:val="002F2DB9"/>
    <w:rsid w:val="002F4E9C"/>
    <w:rsid w:val="00312A9B"/>
    <w:rsid w:val="00335D88"/>
    <w:rsid w:val="003463FE"/>
    <w:rsid w:val="00356632"/>
    <w:rsid w:val="0035710E"/>
    <w:rsid w:val="003845A9"/>
    <w:rsid w:val="00390883"/>
    <w:rsid w:val="00395B24"/>
    <w:rsid w:val="003A2D38"/>
    <w:rsid w:val="003B2C72"/>
    <w:rsid w:val="003C20FF"/>
    <w:rsid w:val="003C658B"/>
    <w:rsid w:val="003F193E"/>
    <w:rsid w:val="003F3328"/>
    <w:rsid w:val="003F4153"/>
    <w:rsid w:val="004268FB"/>
    <w:rsid w:val="00472027"/>
    <w:rsid w:val="004928B1"/>
    <w:rsid w:val="0049417F"/>
    <w:rsid w:val="004C752C"/>
    <w:rsid w:val="004D53E5"/>
    <w:rsid w:val="00502E4C"/>
    <w:rsid w:val="0051346D"/>
    <w:rsid w:val="00513EAE"/>
    <w:rsid w:val="005359EB"/>
    <w:rsid w:val="00541E83"/>
    <w:rsid w:val="0054254A"/>
    <w:rsid w:val="0054665E"/>
    <w:rsid w:val="005466B5"/>
    <w:rsid w:val="00576742"/>
    <w:rsid w:val="005968F7"/>
    <w:rsid w:val="005A4DF8"/>
    <w:rsid w:val="005B08CF"/>
    <w:rsid w:val="005C1767"/>
    <w:rsid w:val="005C42EF"/>
    <w:rsid w:val="005E02F5"/>
    <w:rsid w:val="005E176E"/>
    <w:rsid w:val="005E35A0"/>
    <w:rsid w:val="005E6C79"/>
    <w:rsid w:val="005F3FBB"/>
    <w:rsid w:val="006046C0"/>
    <w:rsid w:val="00606B30"/>
    <w:rsid w:val="00624520"/>
    <w:rsid w:val="00636871"/>
    <w:rsid w:val="00643DE0"/>
    <w:rsid w:val="00644E85"/>
    <w:rsid w:val="00662BB0"/>
    <w:rsid w:val="006766D3"/>
    <w:rsid w:val="006A5695"/>
    <w:rsid w:val="006B3904"/>
    <w:rsid w:val="006B5B7D"/>
    <w:rsid w:val="006D0ECF"/>
    <w:rsid w:val="006D2B82"/>
    <w:rsid w:val="00707218"/>
    <w:rsid w:val="00712B1D"/>
    <w:rsid w:val="0071730A"/>
    <w:rsid w:val="007325D9"/>
    <w:rsid w:val="007929CF"/>
    <w:rsid w:val="007D561F"/>
    <w:rsid w:val="00803572"/>
    <w:rsid w:val="00831927"/>
    <w:rsid w:val="0084273D"/>
    <w:rsid w:val="00845A83"/>
    <w:rsid w:val="00884EC9"/>
    <w:rsid w:val="00885A27"/>
    <w:rsid w:val="008B6C23"/>
    <w:rsid w:val="008C6D50"/>
    <w:rsid w:val="008E2779"/>
    <w:rsid w:val="008E6315"/>
    <w:rsid w:val="009054CB"/>
    <w:rsid w:val="009103CC"/>
    <w:rsid w:val="00934FE3"/>
    <w:rsid w:val="00967855"/>
    <w:rsid w:val="00976480"/>
    <w:rsid w:val="00980736"/>
    <w:rsid w:val="009A036E"/>
    <w:rsid w:val="009A2C3E"/>
    <w:rsid w:val="009A558A"/>
    <w:rsid w:val="009B13FA"/>
    <w:rsid w:val="009B1E2D"/>
    <w:rsid w:val="009E4FA6"/>
    <w:rsid w:val="009E7D93"/>
    <w:rsid w:val="00A03EAC"/>
    <w:rsid w:val="00A11CA6"/>
    <w:rsid w:val="00A154E5"/>
    <w:rsid w:val="00A20C49"/>
    <w:rsid w:val="00A33ABE"/>
    <w:rsid w:val="00A359AC"/>
    <w:rsid w:val="00A643F0"/>
    <w:rsid w:val="00A77653"/>
    <w:rsid w:val="00A950B6"/>
    <w:rsid w:val="00AB41C1"/>
    <w:rsid w:val="00B256D4"/>
    <w:rsid w:val="00B26438"/>
    <w:rsid w:val="00B31A81"/>
    <w:rsid w:val="00B51584"/>
    <w:rsid w:val="00B86BC3"/>
    <w:rsid w:val="00BA3DBC"/>
    <w:rsid w:val="00BB2DA2"/>
    <w:rsid w:val="00BB56DC"/>
    <w:rsid w:val="00BF732B"/>
    <w:rsid w:val="00C03A1E"/>
    <w:rsid w:val="00C03AB0"/>
    <w:rsid w:val="00C36442"/>
    <w:rsid w:val="00C52F06"/>
    <w:rsid w:val="00C56ED4"/>
    <w:rsid w:val="00CA3DAE"/>
    <w:rsid w:val="00CA6F21"/>
    <w:rsid w:val="00CC0B0B"/>
    <w:rsid w:val="00CD4A10"/>
    <w:rsid w:val="00CE1EED"/>
    <w:rsid w:val="00D10F21"/>
    <w:rsid w:val="00D13595"/>
    <w:rsid w:val="00D221CC"/>
    <w:rsid w:val="00D375EE"/>
    <w:rsid w:val="00D4577B"/>
    <w:rsid w:val="00D5584F"/>
    <w:rsid w:val="00D55DB1"/>
    <w:rsid w:val="00D56BB3"/>
    <w:rsid w:val="00D64156"/>
    <w:rsid w:val="00D7400D"/>
    <w:rsid w:val="00D9725F"/>
    <w:rsid w:val="00DA14ED"/>
    <w:rsid w:val="00DB3DE1"/>
    <w:rsid w:val="00DB716C"/>
    <w:rsid w:val="00DC4F3E"/>
    <w:rsid w:val="00DD4236"/>
    <w:rsid w:val="00E027BC"/>
    <w:rsid w:val="00E04F2F"/>
    <w:rsid w:val="00E14EA5"/>
    <w:rsid w:val="00E34503"/>
    <w:rsid w:val="00E60D18"/>
    <w:rsid w:val="00E61678"/>
    <w:rsid w:val="00E659C5"/>
    <w:rsid w:val="00E76E45"/>
    <w:rsid w:val="00E77025"/>
    <w:rsid w:val="00EA4E2E"/>
    <w:rsid w:val="00EA6F30"/>
    <w:rsid w:val="00EB2CCB"/>
    <w:rsid w:val="00ED7DD9"/>
    <w:rsid w:val="00EF3113"/>
    <w:rsid w:val="00EF3F84"/>
    <w:rsid w:val="00F108CF"/>
    <w:rsid w:val="00F176AC"/>
    <w:rsid w:val="00F27714"/>
    <w:rsid w:val="00F50E34"/>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30"/>
      </w:numPr>
      <w:tabs>
        <w:tab w:val="clear" w:pos="720"/>
        <w:tab w:val="num" w:pos="1440"/>
      </w:tabs>
      <w:ind w:left="1440"/>
    </w:pPr>
  </w:style>
  <w:style w:type="paragraph" w:customStyle="1" w:styleId="ListNo3">
    <w:name w:val="List No 3"/>
    <w:basedOn w:val="ListNo2"/>
    <w:rsid w:val="00E14EA5"/>
    <w:pPr>
      <w:numPr>
        <w:ilvl w:val="2"/>
      </w:numPr>
      <w:tabs>
        <w:tab w:val="clear" w:pos="720"/>
        <w:tab w:val="num" w:pos="2160"/>
      </w:tabs>
      <w:ind w:left="2160"/>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A154E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30"/>
      </w:numPr>
      <w:tabs>
        <w:tab w:val="clear" w:pos="720"/>
        <w:tab w:val="num" w:pos="1440"/>
      </w:tabs>
      <w:ind w:left="1440"/>
    </w:pPr>
  </w:style>
  <w:style w:type="paragraph" w:customStyle="1" w:styleId="ListNo3">
    <w:name w:val="List No 3"/>
    <w:basedOn w:val="ListNo2"/>
    <w:rsid w:val="00E14EA5"/>
    <w:pPr>
      <w:numPr>
        <w:ilvl w:val="2"/>
      </w:numPr>
      <w:tabs>
        <w:tab w:val="clear" w:pos="720"/>
        <w:tab w:val="num" w:pos="2160"/>
      </w:tabs>
      <w:ind w:left="2160"/>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A154E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3969">
      <w:bodyDiv w:val="1"/>
      <w:marLeft w:val="0"/>
      <w:marRight w:val="0"/>
      <w:marTop w:val="0"/>
      <w:marBottom w:val="0"/>
      <w:divBdr>
        <w:top w:val="none" w:sz="0" w:space="0" w:color="auto"/>
        <w:left w:val="none" w:sz="0" w:space="0" w:color="auto"/>
        <w:bottom w:val="none" w:sz="0" w:space="0" w:color="auto"/>
        <w:right w:val="none" w:sz="0" w:space="0" w:color="auto"/>
      </w:divBdr>
      <w:divsChild>
        <w:div w:id="64426035">
          <w:marLeft w:val="0"/>
          <w:marRight w:val="0"/>
          <w:marTop w:val="0"/>
          <w:marBottom w:val="0"/>
          <w:divBdr>
            <w:top w:val="none" w:sz="0" w:space="0" w:color="auto"/>
            <w:left w:val="none" w:sz="0" w:space="0" w:color="auto"/>
            <w:bottom w:val="none" w:sz="0" w:space="0" w:color="auto"/>
            <w:right w:val="none" w:sz="0" w:space="0" w:color="auto"/>
          </w:divBdr>
          <w:divsChild>
            <w:div w:id="2141603131">
              <w:marLeft w:val="0"/>
              <w:marRight w:val="0"/>
              <w:marTop w:val="0"/>
              <w:marBottom w:val="0"/>
              <w:divBdr>
                <w:top w:val="none" w:sz="0" w:space="0" w:color="auto"/>
                <w:left w:val="none" w:sz="0" w:space="0" w:color="auto"/>
                <w:bottom w:val="none" w:sz="0" w:space="0" w:color="auto"/>
                <w:right w:val="none" w:sz="0" w:space="0" w:color="auto"/>
              </w:divBdr>
              <w:divsChild>
                <w:div w:id="843205727">
                  <w:marLeft w:val="0"/>
                  <w:marRight w:val="0"/>
                  <w:marTop w:val="0"/>
                  <w:marBottom w:val="0"/>
                  <w:divBdr>
                    <w:top w:val="none" w:sz="0" w:space="0" w:color="auto"/>
                    <w:left w:val="none" w:sz="0" w:space="0" w:color="auto"/>
                    <w:bottom w:val="none" w:sz="0" w:space="0" w:color="auto"/>
                    <w:right w:val="none" w:sz="0" w:space="0" w:color="auto"/>
                  </w:divBdr>
                  <w:divsChild>
                    <w:div w:id="1396856409">
                      <w:marLeft w:val="0"/>
                      <w:marRight w:val="0"/>
                      <w:marTop w:val="0"/>
                      <w:marBottom w:val="0"/>
                      <w:divBdr>
                        <w:top w:val="none" w:sz="0" w:space="0" w:color="auto"/>
                        <w:left w:val="none" w:sz="0" w:space="0" w:color="auto"/>
                        <w:bottom w:val="none" w:sz="0" w:space="0" w:color="auto"/>
                        <w:right w:val="none" w:sz="0" w:space="0" w:color="auto"/>
                      </w:divBdr>
                      <w:divsChild>
                        <w:div w:id="1704286773">
                          <w:marLeft w:val="0"/>
                          <w:marRight w:val="0"/>
                          <w:marTop w:val="0"/>
                          <w:marBottom w:val="0"/>
                          <w:divBdr>
                            <w:top w:val="single" w:sz="6" w:space="0" w:color="828282"/>
                            <w:left w:val="single" w:sz="6" w:space="0" w:color="828282"/>
                            <w:bottom w:val="single" w:sz="6" w:space="0" w:color="828282"/>
                            <w:right w:val="single" w:sz="6" w:space="0" w:color="828282"/>
                          </w:divBdr>
                          <w:divsChild>
                            <w:div w:id="923883649">
                              <w:marLeft w:val="0"/>
                              <w:marRight w:val="0"/>
                              <w:marTop w:val="0"/>
                              <w:marBottom w:val="0"/>
                              <w:divBdr>
                                <w:top w:val="none" w:sz="0" w:space="0" w:color="auto"/>
                                <w:left w:val="none" w:sz="0" w:space="0" w:color="auto"/>
                                <w:bottom w:val="none" w:sz="0" w:space="0" w:color="auto"/>
                                <w:right w:val="none" w:sz="0" w:space="0" w:color="auto"/>
                              </w:divBdr>
                              <w:divsChild>
                                <w:div w:id="260648431">
                                  <w:marLeft w:val="0"/>
                                  <w:marRight w:val="0"/>
                                  <w:marTop w:val="0"/>
                                  <w:marBottom w:val="0"/>
                                  <w:divBdr>
                                    <w:top w:val="none" w:sz="0" w:space="0" w:color="auto"/>
                                    <w:left w:val="none" w:sz="0" w:space="0" w:color="auto"/>
                                    <w:bottom w:val="none" w:sz="0" w:space="0" w:color="auto"/>
                                    <w:right w:val="none" w:sz="0" w:space="0" w:color="auto"/>
                                  </w:divBdr>
                                  <w:divsChild>
                                    <w:div w:id="1017733641">
                                      <w:marLeft w:val="0"/>
                                      <w:marRight w:val="0"/>
                                      <w:marTop w:val="0"/>
                                      <w:marBottom w:val="0"/>
                                      <w:divBdr>
                                        <w:top w:val="none" w:sz="0" w:space="0" w:color="auto"/>
                                        <w:left w:val="none" w:sz="0" w:space="0" w:color="auto"/>
                                        <w:bottom w:val="none" w:sz="0" w:space="0" w:color="auto"/>
                                        <w:right w:val="none" w:sz="0" w:space="0" w:color="auto"/>
                                      </w:divBdr>
                                      <w:divsChild>
                                        <w:div w:id="1928029443">
                                          <w:marLeft w:val="0"/>
                                          <w:marRight w:val="0"/>
                                          <w:marTop w:val="0"/>
                                          <w:marBottom w:val="0"/>
                                          <w:divBdr>
                                            <w:top w:val="none" w:sz="0" w:space="0" w:color="auto"/>
                                            <w:left w:val="none" w:sz="0" w:space="0" w:color="auto"/>
                                            <w:bottom w:val="none" w:sz="0" w:space="0" w:color="auto"/>
                                            <w:right w:val="none" w:sz="0" w:space="0" w:color="auto"/>
                                          </w:divBdr>
                                          <w:divsChild>
                                            <w:div w:id="400367748">
                                              <w:marLeft w:val="0"/>
                                              <w:marRight w:val="0"/>
                                              <w:marTop w:val="0"/>
                                              <w:marBottom w:val="0"/>
                                              <w:divBdr>
                                                <w:top w:val="none" w:sz="0" w:space="0" w:color="auto"/>
                                                <w:left w:val="none" w:sz="0" w:space="0" w:color="auto"/>
                                                <w:bottom w:val="none" w:sz="0" w:space="0" w:color="auto"/>
                                                <w:right w:val="none" w:sz="0" w:space="0" w:color="auto"/>
                                              </w:divBdr>
                                              <w:divsChild>
                                                <w:div w:id="12900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7450-7C37-46A5-84F3-7098D26B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14</Pages>
  <Words>3584</Words>
  <Characters>18557</Characters>
  <Application>Microsoft Office Word</Application>
  <DocSecurity>0</DocSecurity>
  <Lines>713</Lines>
  <Paragraphs>375</Paragraphs>
  <ScaleCrop>false</ScaleCrop>
  <HeadingPairs>
    <vt:vector size="2" baseType="variant">
      <vt:variant>
        <vt:lpstr>Title</vt:lpstr>
      </vt:variant>
      <vt:variant>
        <vt:i4>1</vt:i4>
      </vt:variant>
    </vt:vector>
  </HeadingPairs>
  <TitlesOfParts>
    <vt:vector size="1" baseType="lpstr">
      <vt:lpstr>Hua Wang Bank Berhad v Commissioner of Taxation (No 19) [2015] FCA 454</vt:lpstr>
    </vt:vector>
  </TitlesOfParts>
  <Company>Federal Court of Australia</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exec assis</dc:creator>
  <cp:lastModifiedBy>Anna Masters</cp:lastModifiedBy>
  <cp:revision>4</cp:revision>
  <cp:lastPrinted>2015-05-11T05:14:00Z</cp:lastPrinted>
  <dcterms:created xsi:type="dcterms:W3CDTF">2015-05-15T06:29:00Z</dcterms:created>
  <dcterms:modified xsi:type="dcterms:W3CDTF">2015-05-15T06:30:00Z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15 May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653 of 2011</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