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9B27BC" w:rsidP="00A22932">
      <w:pPr>
        <w:pStyle w:val="CourtTitle"/>
      </w:pPr>
      <w:r>
        <w:fldChar w:fldCharType="begin"/>
      </w:r>
      <w:r>
        <w:instrText xml:space="preserve"> DOCPROPERTY  Court  \* MERGEFORMAT </w:instrText>
      </w:r>
      <w:r>
        <w:fldChar w:fldCharType="separate"/>
      </w:r>
      <w:r w:rsidR="00A049FA">
        <w:t>Federal Court of Australia</w:t>
      </w:r>
      <w:r>
        <w:fldChar w:fldCharType="end"/>
      </w:r>
    </w:p>
    <w:p w:rsidR="004D7950" w:rsidRDefault="004D7950">
      <w:pPr>
        <w:pStyle w:val="NormalHeadings"/>
        <w:jc w:val="center"/>
        <w:rPr>
          <w:sz w:val="32"/>
        </w:rPr>
      </w:pPr>
    </w:p>
    <w:bookmarkStart w:id="0" w:name="MNC"/>
    <w:p w:rsidR="00374CC4" w:rsidRPr="00816AE1" w:rsidRDefault="009B27BC" w:rsidP="005B5FF8">
      <w:pPr>
        <w:pStyle w:val="MNC"/>
      </w:pPr>
      <w:sdt>
        <w:sdtPr>
          <w:alias w:val="MNC"/>
          <w:tag w:val="MNC"/>
          <w:id w:val="343289786"/>
          <w:lock w:val="sdtLocked"/>
          <w:placeholder>
            <w:docPart w:val="96548C69C5C54CC7A0E1BF62DACF094E"/>
          </w:placeholder>
          <w:dataBinding w:prefixMappings="xmlns:ns0='http://schemas.globalmacros.com/FCA'" w:xpath="/ns0:root[1]/ns0:Name[1]" w:storeItemID="{687E7CCB-4AA5-44E7-B148-17BA2B6F57C0}"/>
          <w:text w:multiLine="1"/>
        </w:sdtPr>
        <w:sdtEndPr/>
        <w:sdtContent>
          <w:proofErr w:type="spellStart"/>
          <w:r w:rsidR="006357E6" w:rsidRPr="00816AE1">
            <w:t>Sydfran</w:t>
          </w:r>
          <w:proofErr w:type="spellEnd"/>
          <w:r w:rsidR="006357E6" w:rsidRPr="00816AE1">
            <w:t xml:space="preserve"> Pty Limited v </w:t>
          </w:r>
          <w:proofErr w:type="spellStart"/>
          <w:r w:rsidR="006357E6" w:rsidRPr="00816AE1">
            <w:t>Mansito</w:t>
          </w:r>
          <w:proofErr w:type="spellEnd"/>
          <w:r w:rsidR="006357E6" w:rsidRPr="00816AE1">
            <w:t xml:space="preserve"> Helena Nominees Pty Ltd</w:t>
          </w:r>
          <w:r w:rsidR="00A049FA" w:rsidRPr="00816AE1">
            <w:t xml:space="preserve">, in the matter of </w:t>
          </w:r>
          <w:proofErr w:type="spellStart"/>
          <w:r w:rsidR="009B6EBC">
            <w:t>Treelens</w:t>
          </w:r>
          <w:proofErr w:type="spellEnd"/>
          <w:r w:rsidR="009B6EBC">
            <w:t xml:space="preserve"> Pty Ltd</w:t>
          </w:r>
          <w:r w:rsidR="00A049FA" w:rsidRPr="00816AE1">
            <w:t xml:space="preserve"> [2022] FCA </w:t>
          </w:r>
          <w:r w:rsidR="000966AB">
            <w:t>752</w:t>
          </w:r>
        </w:sdtContent>
      </w:sdt>
      <w:bookmarkEnd w:id="0"/>
    </w:p>
    <w:tbl>
      <w:tblPr>
        <w:tblW w:w="9072" w:type="dxa"/>
        <w:tblLayout w:type="fixed"/>
        <w:tblLook w:val="01E0" w:firstRow="1" w:lastRow="1" w:firstColumn="1" w:lastColumn="1" w:noHBand="0" w:noVBand="0"/>
        <w:tblCaption w:val="Cover Table"/>
        <w:tblDescription w:val="Cover Table"/>
      </w:tblPr>
      <w:tblGrid>
        <w:gridCol w:w="3083"/>
        <w:gridCol w:w="5989"/>
      </w:tblGrid>
      <w:tr w:rsidR="00395B24" w:rsidTr="00007CFC">
        <w:tc>
          <w:tcPr>
            <w:tcW w:w="3083"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A049FA" w:rsidRDefault="009B27BC" w:rsidP="00A049FA">
            <w:pPr>
              <w:pStyle w:val="Normal1linespace"/>
              <w:jc w:val="left"/>
            </w:pPr>
            <w:r>
              <w:fldChar w:fldCharType="begin" w:fldLock="1"/>
            </w:r>
            <w:r>
              <w:instrText xml:space="preserve"> REF  FileNo  \* MERGEFORMAT </w:instrText>
            </w:r>
            <w:r>
              <w:fldChar w:fldCharType="separate"/>
            </w:r>
            <w:r w:rsidR="00A049FA" w:rsidRPr="00A049FA">
              <w:t>NSD 845 of 2021</w:t>
            </w:r>
            <w:r>
              <w:fldChar w:fldCharType="end"/>
            </w:r>
          </w:p>
        </w:tc>
      </w:tr>
      <w:tr w:rsidR="00395B24" w:rsidTr="00007CFC">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07CFC">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A049FA">
              <w:rPr>
                <w:b/>
              </w:rPr>
              <w:fldChar w:fldCharType="begin" w:fldLock="1"/>
            </w:r>
            <w:r w:rsidRPr="00A049FA">
              <w:rPr>
                <w:b/>
              </w:rPr>
              <w:instrText xml:space="preserve"> REF  Judge  \* MERGEFORMAT </w:instrText>
            </w:r>
            <w:r w:rsidRPr="00A049FA">
              <w:rPr>
                <w:b/>
              </w:rPr>
              <w:fldChar w:fldCharType="separate"/>
            </w:r>
            <w:r w:rsidR="00A049FA" w:rsidRPr="00A049FA">
              <w:rPr>
                <w:b/>
                <w:caps/>
                <w:szCs w:val="24"/>
              </w:rPr>
              <w:t>GOODMAN J</w:t>
            </w:r>
            <w:r w:rsidRPr="00A049FA">
              <w:rPr>
                <w:b/>
              </w:rPr>
              <w:fldChar w:fldCharType="end"/>
            </w:r>
          </w:p>
        </w:tc>
      </w:tr>
      <w:tr w:rsidR="00395B24" w:rsidTr="00007CFC">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07CFC">
        <w:tc>
          <w:tcPr>
            <w:tcW w:w="3083"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0966AB" w:rsidP="00663878">
            <w:pPr>
              <w:pStyle w:val="Normal1linespace"/>
              <w:widowControl w:val="0"/>
              <w:jc w:val="left"/>
            </w:pPr>
            <w:r>
              <w:t>29 June 2022</w:t>
            </w:r>
          </w:p>
        </w:tc>
      </w:tr>
      <w:tr w:rsidR="00395B24" w:rsidTr="00007CFC">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07CFC">
        <w:tc>
          <w:tcPr>
            <w:tcW w:w="3083"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Pr="00EA79EC" w:rsidRDefault="00EA79EC" w:rsidP="00EA79EC">
            <w:pPr>
              <w:pStyle w:val="Normal1linespace"/>
              <w:widowControl w:val="0"/>
              <w:jc w:val="left"/>
            </w:pPr>
            <w:r>
              <w:rPr>
                <w:b/>
              </w:rPr>
              <w:t xml:space="preserve">PRACTICE AND PROCEDURE </w:t>
            </w:r>
            <w:r>
              <w:t>– application for non</w:t>
            </w:r>
            <w:r>
              <w:noBreakHyphen/>
              <w:t>standard discovery – whether the making of an order is consistent with the overarching purpose – application dismissed</w:t>
            </w:r>
          </w:p>
        </w:tc>
      </w:tr>
      <w:tr w:rsidR="00395B24" w:rsidTr="00007CFC">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07CFC">
        <w:tc>
          <w:tcPr>
            <w:tcW w:w="3083"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B016C2" w:rsidRPr="00B016C2" w:rsidRDefault="00B016C2" w:rsidP="00B016C2">
            <w:pPr>
              <w:pStyle w:val="CasesLegislationAppealFrom"/>
              <w:spacing w:after="60"/>
            </w:pPr>
            <w:bookmarkStart w:id="1" w:name="Legislation"/>
            <w:r w:rsidRPr="00B016C2">
              <w:rPr>
                <w:i/>
              </w:rPr>
              <w:t>Australian Consumer Law</w:t>
            </w:r>
            <w:r>
              <w:t xml:space="preserve">, </w:t>
            </w:r>
            <w:proofErr w:type="spellStart"/>
            <w:r>
              <w:t>Sch</w:t>
            </w:r>
            <w:proofErr w:type="spellEnd"/>
            <w:r>
              <w:t xml:space="preserve"> 2 of the </w:t>
            </w:r>
            <w:r>
              <w:rPr>
                <w:i/>
              </w:rPr>
              <w:t xml:space="preserve">Competition and Consumer Act 2010 </w:t>
            </w:r>
            <w:r>
              <w:t>(</w:t>
            </w:r>
            <w:proofErr w:type="spellStart"/>
            <w:r>
              <w:t>Cth</w:t>
            </w:r>
            <w:proofErr w:type="spellEnd"/>
            <w:r>
              <w:t>)</w:t>
            </w:r>
          </w:p>
          <w:p w:rsidR="00B016C2" w:rsidRPr="00B016C2" w:rsidRDefault="00B016C2" w:rsidP="00B016C2">
            <w:pPr>
              <w:pStyle w:val="CasesLegislationAppealFrom"/>
              <w:spacing w:after="60"/>
            </w:pPr>
            <w:r w:rsidRPr="00B016C2">
              <w:rPr>
                <w:i/>
              </w:rPr>
              <w:t xml:space="preserve">Federal Court of Australia Act 1976 </w:t>
            </w:r>
            <w:r w:rsidRPr="00B016C2">
              <w:t>(</w:t>
            </w:r>
            <w:proofErr w:type="spellStart"/>
            <w:r w:rsidRPr="00B016C2">
              <w:t>Cth</w:t>
            </w:r>
            <w:proofErr w:type="spellEnd"/>
            <w:r w:rsidRPr="00B016C2">
              <w:t>)</w:t>
            </w:r>
          </w:p>
          <w:p w:rsidR="00B016C2" w:rsidRPr="00B016C2" w:rsidRDefault="00B016C2" w:rsidP="00B016C2">
            <w:pPr>
              <w:pStyle w:val="CasesLegislationAppealFrom"/>
              <w:spacing w:after="60"/>
            </w:pPr>
            <w:r w:rsidRPr="00B016C2">
              <w:rPr>
                <w:i/>
              </w:rPr>
              <w:t xml:space="preserve">Federal Court Rules 2011 </w:t>
            </w:r>
            <w:r w:rsidRPr="00B016C2">
              <w:t>(</w:t>
            </w:r>
            <w:proofErr w:type="spellStart"/>
            <w:r w:rsidRPr="00B016C2">
              <w:t>Cth</w:t>
            </w:r>
            <w:proofErr w:type="spellEnd"/>
            <w:r w:rsidRPr="00B016C2">
              <w:t>)</w:t>
            </w:r>
            <w:bookmarkEnd w:id="1"/>
          </w:p>
        </w:tc>
      </w:tr>
      <w:tr w:rsidR="00395B24" w:rsidTr="00007CFC">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A049FA" w:rsidTr="00007CFC">
        <w:tc>
          <w:tcPr>
            <w:tcW w:w="3083" w:type="dxa"/>
            <w:shd w:val="clear" w:color="auto" w:fill="auto"/>
          </w:tcPr>
          <w:p w:rsidR="00A049FA" w:rsidRDefault="00A049FA" w:rsidP="00501A12">
            <w:pPr>
              <w:pStyle w:val="Normal1linespace"/>
              <w:widowControl w:val="0"/>
            </w:pPr>
            <w:r>
              <w:t>Division:</w:t>
            </w:r>
          </w:p>
        </w:tc>
        <w:tc>
          <w:tcPr>
            <w:tcW w:w="5989" w:type="dxa"/>
            <w:shd w:val="clear" w:color="auto" w:fill="auto"/>
          </w:tcPr>
          <w:p w:rsidR="00A049FA" w:rsidRPr="00F17599" w:rsidRDefault="009B27BC" w:rsidP="00501A12">
            <w:pPr>
              <w:pStyle w:val="Normal1linespace"/>
              <w:widowControl w:val="0"/>
              <w:jc w:val="left"/>
            </w:pPr>
            <w:r>
              <w:fldChar w:fldCharType="begin"/>
            </w:r>
            <w:r>
              <w:instrText xml:space="preserve"> DOCPROPERTY  Division </w:instrText>
            </w:r>
            <w:r>
              <w:fldChar w:fldCharType="separate"/>
            </w:r>
            <w:r w:rsidR="00A049FA">
              <w:t>General Division</w:t>
            </w:r>
            <w:r>
              <w:fldChar w:fldCharType="end"/>
            </w:r>
          </w:p>
        </w:tc>
      </w:tr>
      <w:tr w:rsidR="00A049FA" w:rsidTr="00007CFC">
        <w:tc>
          <w:tcPr>
            <w:tcW w:w="3083" w:type="dxa"/>
            <w:shd w:val="clear" w:color="auto" w:fill="auto"/>
          </w:tcPr>
          <w:p w:rsidR="00A049FA" w:rsidRDefault="00A049FA" w:rsidP="00501A12">
            <w:pPr>
              <w:pStyle w:val="Normal1linespace"/>
              <w:widowControl w:val="0"/>
            </w:pPr>
            <w:bookmarkStart w:id="2" w:name="Registry_rows" w:colFirst="0" w:colLast="1"/>
          </w:p>
        </w:tc>
        <w:tc>
          <w:tcPr>
            <w:tcW w:w="5989" w:type="dxa"/>
            <w:shd w:val="clear" w:color="auto" w:fill="auto"/>
          </w:tcPr>
          <w:p w:rsidR="00A049FA" w:rsidRDefault="00A049FA" w:rsidP="00501A12">
            <w:pPr>
              <w:pStyle w:val="Normal1linespace"/>
              <w:widowControl w:val="0"/>
              <w:jc w:val="left"/>
            </w:pPr>
          </w:p>
        </w:tc>
      </w:tr>
      <w:tr w:rsidR="00A049FA" w:rsidTr="00007CFC">
        <w:tc>
          <w:tcPr>
            <w:tcW w:w="3083" w:type="dxa"/>
            <w:shd w:val="clear" w:color="auto" w:fill="auto"/>
          </w:tcPr>
          <w:p w:rsidR="00A049FA" w:rsidRDefault="00A049FA" w:rsidP="00501A12">
            <w:pPr>
              <w:pStyle w:val="Normal1linespace"/>
              <w:widowControl w:val="0"/>
            </w:pPr>
            <w:r>
              <w:t>Registry:</w:t>
            </w:r>
          </w:p>
        </w:tc>
        <w:tc>
          <w:tcPr>
            <w:tcW w:w="5989" w:type="dxa"/>
            <w:shd w:val="clear" w:color="auto" w:fill="auto"/>
          </w:tcPr>
          <w:p w:rsidR="00A049FA" w:rsidRPr="00F17599" w:rsidRDefault="009B27BC" w:rsidP="00501A12">
            <w:pPr>
              <w:pStyle w:val="Normal1linespace"/>
              <w:widowControl w:val="0"/>
              <w:jc w:val="left"/>
            </w:pPr>
            <w:r>
              <w:fldChar w:fldCharType="begin"/>
            </w:r>
            <w:r>
              <w:instrText xml:space="preserve"> DOCPROPERTY  Registry </w:instrText>
            </w:r>
            <w:r>
              <w:fldChar w:fldCharType="separate"/>
            </w:r>
            <w:r w:rsidR="00A049FA">
              <w:t>New South Wales</w:t>
            </w:r>
            <w:r>
              <w:fldChar w:fldCharType="end"/>
            </w:r>
          </w:p>
        </w:tc>
      </w:tr>
      <w:tr w:rsidR="00A049FA" w:rsidTr="00007CFC">
        <w:tc>
          <w:tcPr>
            <w:tcW w:w="3083" w:type="dxa"/>
            <w:shd w:val="clear" w:color="auto" w:fill="auto"/>
          </w:tcPr>
          <w:p w:rsidR="00A049FA" w:rsidRDefault="00A049FA" w:rsidP="00501A12">
            <w:pPr>
              <w:pStyle w:val="Normal1linespace"/>
              <w:widowControl w:val="0"/>
            </w:pPr>
            <w:bookmarkStart w:id="3" w:name="NPARow" w:colFirst="0" w:colLast="1"/>
            <w:bookmarkEnd w:id="2"/>
          </w:p>
        </w:tc>
        <w:tc>
          <w:tcPr>
            <w:tcW w:w="5989" w:type="dxa"/>
            <w:shd w:val="clear" w:color="auto" w:fill="auto"/>
          </w:tcPr>
          <w:p w:rsidR="00A049FA" w:rsidRPr="00F17599" w:rsidRDefault="00A049FA" w:rsidP="00501A12">
            <w:pPr>
              <w:pStyle w:val="Normal1linespace"/>
              <w:widowControl w:val="0"/>
              <w:jc w:val="left"/>
              <w:rPr>
                <w:b/>
              </w:rPr>
            </w:pPr>
          </w:p>
        </w:tc>
      </w:tr>
      <w:tr w:rsidR="00A049FA" w:rsidTr="00007CFC">
        <w:tc>
          <w:tcPr>
            <w:tcW w:w="3083" w:type="dxa"/>
            <w:shd w:val="clear" w:color="auto" w:fill="auto"/>
          </w:tcPr>
          <w:p w:rsidR="00A049FA" w:rsidRDefault="00A049FA" w:rsidP="00501A12">
            <w:pPr>
              <w:pStyle w:val="Normal1linespace"/>
              <w:widowControl w:val="0"/>
            </w:pPr>
            <w:r>
              <w:t>National Practice Area:</w:t>
            </w:r>
          </w:p>
        </w:tc>
        <w:tc>
          <w:tcPr>
            <w:tcW w:w="5989" w:type="dxa"/>
            <w:shd w:val="clear" w:color="auto" w:fill="auto"/>
          </w:tcPr>
          <w:p w:rsidR="00A049FA" w:rsidRPr="00F17599" w:rsidRDefault="009B27BC" w:rsidP="00234E15">
            <w:pPr>
              <w:pStyle w:val="Normal1linespace"/>
              <w:widowControl w:val="0"/>
              <w:jc w:val="left"/>
              <w:rPr>
                <w:b/>
              </w:rPr>
            </w:pPr>
            <w:r>
              <w:fldChar w:fldCharType="begin"/>
            </w:r>
            <w:r>
              <w:instrText xml:space="preserve"> DOCPROPERTY  "Practice Area"  \* MERGEFORMAT </w:instrText>
            </w:r>
            <w:r>
              <w:fldChar w:fldCharType="separate"/>
            </w:r>
            <w:r w:rsidR="00A049FA">
              <w:t>Commercial and Corporations</w:t>
            </w:r>
            <w:r>
              <w:fldChar w:fldCharType="end"/>
            </w:r>
          </w:p>
        </w:tc>
      </w:tr>
      <w:tr w:rsidR="00A049FA" w:rsidTr="00007CFC">
        <w:tc>
          <w:tcPr>
            <w:tcW w:w="3083" w:type="dxa"/>
            <w:shd w:val="clear" w:color="auto" w:fill="auto"/>
          </w:tcPr>
          <w:p w:rsidR="00A049FA" w:rsidRDefault="00A049FA" w:rsidP="00501A12">
            <w:pPr>
              <w:pStyle w:val="Normal1linespace"/>
              <w:widowControl w:val="0"/>
            </w:pPr>
            <w:bookmarkStart w:id="4" w:name="SubAreaRow" w:colFirst="0" w:colLast="1"/>
            <w:bookmarkEnd w:id="3"/>
          </w:p>
        </w:tc>
        <w:tc>
          <w:tcPr>
            <w:tcW w:w="5989" w:type="dxa"/>
            <w:shd w:val="clear" w:color="auto" w:fill="auto"/>
          </w:tcPr>
          <w:p w:rsidR="00A049FA" w:rsidRDefault="00A049FA" w:rsidP="00234E15">
            <w:pPr>
              <w:pStyle w:val="Normal1linespace"/>
              <w:widowControl w:val="0"/>
              <w:jc w:val="left"/>
            </w:pPr>
          </w:p>
        </w:tc>
      </w:tr>
      <w:tr w:rsidR="00A049FA" w:rsidTr="00007CFC">
        <w:tc>
          <w:tcPr>
            <w:tcW w:w="3083" w:type="dxa"/>
            <w:shd w:val="clear" w:color="auto" w:fill="auto"/>
          </w:tcPr>
          <w:p w:rsidR="00A049FA" w:rsidRDefault="00A049FA" w:rsidP="00501A12">
            <w:pPr>
              <w:pStyle w:val="Normal1linespace"/>
              <w:widowControl w:val="0"/>
            </w:pPr>
            <w:r>
              <w:t>Sub-area:</w:t>
            </w:r>
          </w:p>
        </w:tc>
        <w:tc>
          <w:tcPr>
            <w:tcW w:w="5989" w:type="dxa"/>
            <w:shd w:val="clear" w:color="auto" w:fill="auto"/>
          </w:tcPr>
          <w:p w:rsidR="00A049FA" w:rsidRPr="00837288" w:rsidRDefault="009B27BC" w:rsidP="00234E15">
            <w:pPr>
              <w:pStyle w:val="Normal1linespace"/>
              <w:widowControl w:val="0"/>
              <w:jc w:val="left"/>
            </w:pPr>
            <w:r>
              <w:fldChar w:fldCharType="begin"/>
            </w:r>
            <w:r>
              <w:instrText xml:space="preserve"> DOCPROPERTY  "Sub Area"  \* MERGEFORMAT </w:instrText>
            </w:r>
            <w:r>
              <w:fldChar w:fldCharType="separate"/>
            </w:r>
            <w:r w:rsidR="00A049FA" w:rsidRPr="00A049FA">
              <w:rPr>
                <w:lang w:val="en-US"/>
              </w:rPr>
              <w:t xml:space="preserve">Commercial Contracts, </w:t>
            </w:r>
            <w:r w:rsidR="00A049FA">
              <w:t>Banking, Finance and Insurance</w:t>
            </w:r>
            <w:r>
              <w:fldChar w:fldCharType="end"/>
            </w:r>
          </w:p>
        </w:tc>
      </w:tr>
      <w:bookmarkEnd w:id="4"/>
      <w:tr w:rsidR="006357E6" w:rsidTr="00007CFC">
        <w:tc>
          <w:tcPr>
            <w:tcW w:w="3083" w:type="dxa"/>
            <w:shd w:val="clear" w:color="auto" w:fill="auto"/>
          </w:tcPr>
          <w:p w:rsidR="006357E6" w:rsidRDefault="006357E6" w:rsidP="00234E15">
            <w:pPr>
              <w:pStyle w:val="Normal1linespace"/>
              <w:widowControl w:val="0"/>
            </w:pPr>
          </w:p>
        </w:tc>
        <w:tc>
          <w:tcPr>
            <w:tcW w:w="5989" w:type="dxa"/>
            <w:shd w:val="clear" w:color="auto" w:fill="auto"/>
          </w:tcPr>
          <w:p w:rsidR="006357E6" w:rsidRDefault="006357E6" w:rsidP="00234E15">
            <w:pPr>
              <w:pStyle w:val="Normal1linespace"/>
              <w:widowControl w:val="0"/>
              <w:jc w:val="left"/>
            </w:pPr>
          </w:p>
        </w:tc>
      </w:tr>
      <w:tr w:rsidR="006357E6" w:rsidTr="00007CFC">
        <w:tc>
          <w:tcPr>
            <w:tcW w:w="3083" w:type="dxa"/>
            <w:shd w:val="clear" w:color="auto" w:fill="auto"/>
          </w:tcPr>
          <w:p w:rsidR="006357E6" w:rsidRDefault="006357E6" w:rsidP="00501A12">
            <w:pPr>
              <w:pStyle w:val="Normal1linespace"/>
              <w:widowControl w:val="0"/>
            </w:pPr>
            <w:r>
              <w:t>Number of paragraphs:</w:t>
            </w:r>
          </w:p>
        </w:tc>
        <w:tc>
          <w:tcPr>
            <w:tcW w:w="5989" w:type="dxa"/>
            <w:shd w:val="clear" w:color="auto" w:fill="auto"/>
          </w:tcPr>
          <w:p w:rsidR="006357E6" w:rsidRDefault="00983967" w:rsidP="00501A12">
            <w:pPr>
              <w:pStyle w:val="Normal1linespace"/>
              <w:widowControl w:val="0"/>
              <w:jc w:val="left"/>
            </w:pPr>
            <w:bookmarkStart w:id="5" w:name="PlaceCategoryParagraphs"/>
            <w:r>
              <w:t>18</w:t>
            </w:r>
            <w:bookmarkEnd w:id="5"/>
          </w:p>
        </w:tc>
      </w:tr>
      <w:tr w:rsidR="006357E6" w:rsidTr="00007CFC">
        <w:tc>
          <w:tcPr>
            <w:tcW w:w="3083" w:type="dxa"/>
            <w:shd w:val="clear" w:color="auto" w:fill="auto"/>
          </w:tcPr>
          <w:p w:rsidR="006357E6" w:rsidRDefault="006357E6" w:rsidP="006357E6">
            <w:pPr>
              <w:pStyle w:val="Normal1linespace"/>
              <w:widowControl w:val="0"/>
              <w:jc w:val="left"/>
            </w:pPr>
          </w:p>
        </w:tc>
        <w:tc>
          <w:tcPr>
            <w:tcW w:w="5989" w:type="dxa"/>
            <w:shd w:val="clear" w:color="auto" w:fill="auto"/>
          </w:tcPr>
          <w:p w:rsidR="006357E6" w:rsidRDefault="006357E6" w:rsidP="006357E6">
            <w:pPr>
              <w:pStyle w:val="Normal1linespace"/>
              <w:widowControl w:val="0"/>
              <w:jc w:val="left"/>
            </w:pPr>
          </w:p>
        </w:tc>
      </w:tr>
      <w:tr w:rsidR="00A049FA" w:rsidTr="00007CFC">
        <w:tc>
          <w:tcPr>
            <w:tcW w:w="3083" w:type="dxa"/>
            <w:shd w:val="clear" w:color="auto" w:fill="auto"/>
          </w:tcPr>
          <w:p w:rsidR="00A049FA" w:rsidRDefault="00A049FA" w:rsidP="006357E6">
            <w:pPr>
              <w:pStyle w:val="Normal1linespace"/>
              <w:widowControl w:val="0"/>
              <w:jc w:val="left"/>
            </w:pPr>
            <w:r>
              <w:t>Date of last submissions:</w:t>
            </w:r>
          </w:p>
        </w:tc>
        <w:tc>
          <w:tcPr>
            <w:tcW w:w="5989" w:type="dxa"/>
            <w:shd w:val="clear" w:color="auto" w:fill="auto"/>
          </w:tcPr>
          <w:p w:rsidR="00A049FA" w:rsidRDefault="00A049FA" w:rsidP="006357E6">
            <w:pPr>
              <w:pStyle w:val="Normal1linespace"/>
              <w:widowControl w:val="0"/>
              <w:jc w:val="left"/>
            </w:pPr>
            <w:r>
              <w:t>21 June 2022</w:t>
            </w:r>
          </w:p>
        </w:tc>
      </w:tr>
      <w:tr w:rsidR="00A049FA" w:rsidTr="00007CFC">
        <w:tc>
          <w:tcPr>
            <w:tcW w:w="3083" w:type="dxa"/>
            <w:shd w:val="clear" w:color="auto" w:fill="auto"/>
          </w:tcPr>
          <w:p w:rsidR="00A049FA" w:rsidRDefault="00A049FA" w:rsidP="006357E6">
            <w:pPr>
              <w:pStyle w:val="Normal1linespace"/>
              <w:widowControl w:val="0"/>
              <w:jc w:val="left"/>
            </w:pPr>
          </w:p>
        </w:tc>
        <w:tc>
          <w:tcPr>
            <w:tcW w:w="5989" w:type="dxa"/>
            <w:shd w:val="clear" w:color="auto" w:fill="auto"/>
          </w:tcPr>
          <w:p w:rsidR="00A049FA" w:rsidRDefault="00A049FA" w:rsidP="006357E6">
            <w:pPr>
              <w:pStyle w:val="Normal1linespace"/>
              <w:widowControl w:val="0"/>
              <w:jc w:val="left"/>
            </w:pPr>
          </w:p>
        </w:tc>
      </w:tr>
      <w:tr w:rsidR="006357E6" w:rsidTr="00007CFC">
        <w:tc>
          <w:tcPr>
            <w:tcW w:w="3083" w:type="dxa"/>
            <w:shd w:val="clear" w:color="auto" w:fill="auto"/>
          </w:tcPr>
          <w:p w:rsidR="006357E6" w:rsidRDefault="006357E6" w:rsidP="006357E6">
            <w:pPr>
              <w:pStyle w:val="Normal1linespace"/>
              <w:widowControl w:val="0"/>
              <w:jc w:val="left"/>
            </w:pPr>
            <w:bookmarkStart w:id="6" w:name="CounselDate" w:colFirst="0" w:colLast="2"/>
            <w:r w:rsidRPr="006A24E3">
              <w:t>Date of hearing:</w:t>
            </w:r>
          </w:p>
        </w:tc>
        <w:tc>
          <w:tcPr>
            <w:tcW w:w="5989" w:type="dxa"/>
            <w:shd w:val="clear" w:color="auto" w:fill="auto"/>
          </w:tcPr>
          <w:p w:rsidR="006357E6" w:rsidRDefault="006357E6" w:rsidP="006357E6">
            <w:pPr>
              <w:pStyle w:val="Normal1linespace"/>
              <w:widowControl w:val="0"/>
              <w:jc w:val="left"/>
            </w:pPr>
            <w:bookmarkStart w:id="7" w:name="HearingDate"/>
            <w:r>
              <w:t xml:space="preserve">20 June 2022 </w:t>
            </w:r>
            <w:bookmarkEnd w:id="7"/>
          </w:p>
        </w:tc>
      </w:tr>
      <w:tr w:rsidR="006357E6" w:rsidTr="00007CFC">
        <w:tc>
          <w:tcPr>
            <w:tcW w:w="3083" w:type="dxa"/>
            <w:shd w:val="clear" w:color="auto" w:fill="auto"/>
          </w:tcPr>
          <w:p w:rsidR="006357E6" w:rsidRDefault="006357E6" w:rsidP="006357E6">
            <w:pPr>
              <w:pStyle w:val="Normal1linespace"/>
              <w:widowControl w:val="0"/>
              <w:jc w:val="left"/>
            </w:pPr>
          </w:p>
        </w:tc>
        <w:tc>
          <w:tcPr>
            <w:tcW w:w="5989" w:type="dxa"/>
            <w:shd w:val="clear" w:color="auto" w:fill="auto"/>
          </w:tcPr>
          <w:p w:rsidR="006357E6" w:rsidRDefault="006357E6" w:rsidP="006357E6">
            <w:pPr>
              <w:pStyle w:val="Normal1linespace"/>
              <w:widowControl w:val="0"/>
              <w:jc w:val="left"/>
            </w:pPr>
          </w:p>
        </w:tc>
      </w:tr>
      <w:tr w:rsidR="009C2ACB" w:rsidTr="00007CFC">
        <w:tc>
          <w:tcPr>
            <w:tcW w:w="3083" w:type="dxa"/>
            <w:shd w:val="clear" w:color="auto" w:fill="auto"/>
          </w:tcPr>
          <w:p w:rsidR="009C2ACB" w:rsidRDefault="009C2ACB" w:rsidP="009C2ACB">
            <w:pPr>
              <w:pStyle w:val="Normal1linespace"/>
              <w:widowControl w:val="0"/>
              <w:jc w:val="left"/>
            </w:pPr>
            <w:bookmarkStart w:id="8" w:name="Counsel" w:colFirst="0" w:colLast="2"/>
            <w:bookmarkEnd w:id="6"/>
            <w:r>
              <w:t>Counsel for the Applicants:</w:t>
            </w:r>
          </w:p>
        </w:tc>
        <w:tc>
          <w:tcPr>
            <w:tcW w:w="5989" w:type="dxa"/>
            <w:shd w:val="clear" w:color="auto" w:fill="auto"/>
          </w:tcPr>
          <w:p w:rsidR="009C2ACB" w:rsidRDefault="009C2ACB" w:rsidP="009C2ACB">
            <w:pPr>
              <w:pStyle w:val="Normal1linespace"/>
              <w:widowControl w:val="0"/>
              <w:jc w:val="left"/>
            </w:pPr>
            <w:bookmarkStart w:id="9" w:name="AppCounsel"/>
            <w:bookmarkEnd w:id="9"/>
            <w:r>
              <w:t xml:space="preserve">Mr </w:t>
            </w:r>
            <w:r w:rsidR="002629BC">
              <w:t xml:space="preserve">C </w:t>
            </w:r>
            <w:r>
              <w:t>Freeman</w:t>
            </w:r>
          </w:p>
        </w:tc>
      </w:tr>
      <w:tr w:rsidR="009C2ACB" w:rsidTr="00007CFC">
        <w:tc>
          <w:tcPr>
            <w:tcW w:w="3083" w:type="dxa"/>
            <w:shd w:val="clear" w:color="auto" w:fill="auto"/>
          </w:tcPr>
          <w:p w:rsidR="009C2ACB" w:rsidRDefault="009C2ACB" w:rsidP="009C2ACB">
            <w:pPr>
              <w:pStyle w:val="Normal1linespace"/>
              <w:widowControl w:val="0"/>
              <w:jc w:val="left"/>
            </w:pPr>
          </w:p>
        </w:tc>
        <w:tc>
          <w:tcPr>
            <w:tcW w:w="5989" w:type="dxa"/>
            <w:shd w:val="clear" w:color="auto" w:fill="auto"/>
          </w:tcPr>
          <w:p w:rsidR="009C2ACB" w:rsidRDefault="009C2ACB" w:rsidP="009C2ACB">
            <w:pPr>
              <w:pStyle w:val="Normal1linespace"/>
              <w:widowControl w:val="0"/>
              <w:jc w:val="left"/>
            </w:pPr>
          </w:p>
        </w:tc>
      </w:tr>
      <w:tr w:rsidR="009C2ACB" w:rsidTr="00007CFC">
        <w:tc>
          <w:tcPr>
            <w:tcW w:w="3083" w:type="dxa"/>
            <w:shd w:val="clear" w:color="auto" w:fill="auto"/>
          </w:tcPr>
          <w:p w:rsidR="009C2ACB" w:rsidRDefault="009C2ACB" w:rsidP="009C2ACB">
            <w:pPr>
              <w:pStyle w:val="Normal1linespace"/>
              <w:widowControl w:val="0"/>
              <w:jc w:val="left"/>
            </w:pPr>
            <w:r>
              <w:t>Solicitor for the Applicants:</w:t>
            </w:r>
          </w:p>
        </w:tc>
        <w:tc>
          <w:tcPr>
            <w:tcW w:w="5989" w:type="dxa"/>
            <w:shd w:val="clear" w:color="auto" w:fill="auto"/>
          </w:tcPr>
          <w:p w:rsidR="009C2ACB" w:rsidRDefault="009C2ACB" w:rsidP="009C2ACB">
            <w:pPr>
              <w:pStyle w:val="Normal1linespace"/>
              <w:widowControl w:val="0"/>
              <w:jc w:val="left"/>
            </w:pPr>
            <w:r>
              <w:t>Braddon Marx Lawyers</w:t>
            </w:r>
          </w:p>
        </w:tc>
      </w:tr>
      <w:tr w:rsidR="009C2ACB" w:rsidTr="00007CFC">
        <w:tc>
          <w:tcPr>
            <w:tcW w:w="3083" w:type="dxa"/>
            <w:shd w:val="clear" w:color="auto" w:fill="auto"/>
          </w:tcPr>
          <w:p w:rsidR="009C2ACB" w:rsidRDefault="009C2ACB" w:rsidP="009C2ACB">
            <w:pPr>
              <w:pStyle w:val="Normal1linespace"/>
              <w:widowControl w:val="0"/>
              <w:jc w:val="left"/>
            </w:pPr>
          </w:p>
        </w:tc>
        <w:tc>
          <w:tcPr>
            <w:tcW w:w="5989" w:type="dxa"/>
            <w:shd w:val="clear" w:color="auto" w:fill="auto"/>
          </w:tcPr>
          <w:p w:rsidR="009C2ACB" w:rsidRDefault="009C2ACB" w:rsidP="009C2ACB">
            <w:pPr>
              <w:pStyle w:val="Normal1linespace"/>
              <w:widowControl w:val="0"/>
              <w:jc w:val="left"/>
            </w:pPr>
          </w:p>
        </w:tc>
      </w:tr>
      <w:tr w:rsidR="009C2ACB" w:rsidTr="00007CFC">
        <w:tc>
          <w:tcPr>
            <w:tcW w:w="3083" w:type="dxa"/>
            <w:shd w:val="clear" w:color="auto" w:fill="auto"/>
          </w:tcPr>
          <w:p w:rsidR="009C2ACB" w:rsidRDefault="009C2ACB" w:rsidP="009C2ACB">
            <w:pPr>
              <w:pStyle w:val="Normal1linespace"/>
              <w:widowControl w:val="0"/>
              <w:jc w:val="left"/>
            </w:pPr>
            <w:r>
              <w:t>Counsel for the First Respondent:</w:t>
            </w:r>
          </w:p>
        </w:tc>
        <w:tc>
          <w:tcPr>
            <w:tcW w:w="5989" w:type="dxa"/>
            <w:shd w:val="clear" w:color="auto" w:fill="auto"/>
          </w:tcPr>
          <w:p w:rsidR="009C2ACB" w:rsidRPr="002629BC" w:rsidRDefault="009C2ACB" w:rsidP="00A8248C">
            <w:pPr>
              <w:pStyle w:val="Normal1linespace"/>
              <w:widowControl w:val="0"/>
              <w:jc w:val="left"/>
              <w:rPr>
                <w:b/>
              </w:rPr>
            </w:pPr>
            <w:r>
              <w:t xml:space="preserve">Mr </w:t>
            </w:r>
            <w:r w:rsidR="002629BC" w:rsidRPr="00A8248C">
              <w:t>E</w:t>
            </w:r>
            <w:r w:rsidR="002629BC">
              <w:t xml:space="preserve"> </w:t>
            </w:r>
            <w:r>
              <w:t>Moon</w:t>
            </w:r>
            <w:r w:rsidR="002629BC">
              <w:t xml:space="preserve"> </w:t>
            </w:r>
          </w:p>
        </w:tc>
      </w:tr>
      <w:tr w:rsidR="009C2ACB" w:rsidTr="00007CFC">
        <w:tc>
          <w:tcPr>
            <w:tcW w:w="3083" w:type="dxa"/>
            <w:shd w:val="clear" w:color="auto" w:fill="auto"/>
          </w:tcPr>
          <w:p w:rsidR="009C2ACB" w:rsidRDefault="009C2ACB" w:rsidP="009C2ACB">
            <w:pPr>
              <w:pStyle w:val="Normal1linespace"/>
              <w:widowControl w:val="0"/>
              <w:jc w:val="left"/>
            </w:pPr>
          </w:p>
        </w:tc>
        <w:tc>
          <w:tcPr>
            <w:tcW w:w="5989" w:type="dxa"/>
            <w:shd w:val="clear" w:color="auto" w:fill="auto"/>
          </w:tcPr>
          <w:p w:rsidR="009C2ACB" w:rsidRDefault="009C2ACB" w:rsidP="009C2ACB">
            <w:pPr>
              <w:pStyle w:val="Normal1linespace"/>
              <w:widowControl w:val="0"/>
              <w:jc w:val="left"/>
            </w:pPr>
          </w:p>
        </w:tc>
      </w:tr>
      <w:tr w:rsidR="009C2ACB" w:rsidTr="00007CFC">
        <w:tc>
          <w:tcPr>
            <w:tcW w:w="3083" w:type="dxa"/>
            <w:shd w:val="clear" w:color="auto" w:fill="auto"/>
          </w:tcPr>
          <w:p w:rsidR="009C2ACB" w:rsidRDefault="009C2ACB" w:rsidP="009C2ACB">
            <w:pPr>
              <w:pStyle w:val="Normal1linespace"/>
              <w:widowControl w:val="0"/>
              <w:jc w:val="left"/>
            </w:pPr>
            <w:r>
              <w:t>Solicitor for the First Respondent:</w:t>
            </w:r>
          </w:p>
        </w:tc>
        <w:tc>
          <w:tcPr>
            <w:tcW w:w="5989" w:type="dxa"/>
            <w:shd w:val="clear" w:color="auto" w:fill="auto"/>
          </w:tcPr>
          <w:p w:rsidR="009C2ACB" w:rsidRPr="000966AB" w:rsidRDefault="009C2ACB" w:rsidP="00C66CC0">
            <w:pPr>
              <w:pStyle w:val="Normal1linespace"/>
              <w:widowControl w:val="0"/>
              <w:jc w:val="left"/>
            </w:pPr>
            <w:proofErr w:type="spellStart"/>
            <w:r>
              <w:t>Darrer</w:t>
            </w:r>
            <w:proofErr w:type="spellEnd"/>
            <w:r>
              <w:t xml:space="preserve"> Muir </w:t>
            </w:r>
            <w:proofErr w:type="spellStart"/>
            <w:r>
              <w:t>Fleiter</w:t>
            </w:r>
            <w:proofErr w:type="spellEnd"/>
            <w:r>
              <w:t xml:space="preserve"> Lawyers</w:t>
            </w:r>
          </w:p>
        </w:tc>
      </w:tr>
      <w:tr w:rsidR="009C2ACB" w:rsidTr="00007CFC">
        <w:tc>
          <w:tcPr>
            <w:tcW w:w="3083" w:type="dxa"/>
            <w:shd w:val="clear" w:color="auto" w:fill="auto"/>
          </w:tcPr>
          <w:p w:rsidR="009C2ACB" w:rsidRDefault="009C2ACB" w:rsidP="009C2ACB">
            <w:pPr>
              <w:pStyle w:val="Normal1linespace"/>
              <w:widowControl w:val="0"/>
              <w:jc w:val="left"/>
            </w:pPr>
          </w:p>
        </w:tc>
        <w:tc>
          <w:tcPr>
            <w:tcW w:w="5989" w:type="dxa"/>
            <w:shd w:val="clear" w:color="auto" w:fill="auto"/>
          </w:tcPr>
          <w:p w:rsidR="009C2ACB" w:rsidRDefault="009C2ACB" w:rsidP="009C2ACB">
            <w:pPr>
              <w:pStyle w:val="Normal1linespace"/>
              <w:widowControl w:val="0"/>
              <w:jc w:val="left"/>
            </w:pPr>
          </w:p>
        </w:tc>
      </w:tr>
      <w:tr w:rsidR="009C2ACB" w:rsidTr="00007CFC">
        <w:tc>
          <w:tcPr>
            <w:tcW w:w="3083" w:type="dxa"/>
            <w:shd w:val="clear" w:color="auto" w:fill="auto"/>
          </w:tcPr>
          <w:p w:rsidR="009C2ACB" w:rsidRDefault="009C2ACB" w:rsidP="009C2ACB">
            <w:pPr>
              <w:pStyle w:val="Normal1linespace"/>
              <w:widowControl w:val="0"/>
              <w:jc w:val="left"/>
            </w:pPr>
            <w:r>
              <w:t>Counsel for the Second and Third Respondents:</w:t>
            </w:r>
          </w:p>
        </w:tc>
        <w:tc>
          <w:tcPr>
            <w:tcW w:w="5989" w:type="dxa"/>
            <w:shd w:val="clear" w:color="auto" w:fill="auto"/>
          </w:tcPr>
          <w:p w:rsidR="009C2ACB" w:rsidRDefault="009C2ACB" w:rsidP="009C2ACB">
            <w:pPr>
              <w:pStyle w:val="Normal1linespace"/>
              <w:widowControl w:val="0"/>
              <w:jc w:val="left"/>
            </w:pPr>
            <w:r>
              <w:t xml:space="preserve">Mr </w:t>
            </w:r>
            <w:r w:rsidR="002629BC">
              <w:t xml:space="preserve">R A </w:t>
            </w:r>
            <w:r>
              <w:t>Parsons</w:t>
            </w:r>
          </w:p>
        </w:tc>
      </w:tr>
      <w:tr w:rsidR="009C2ACB" w:rsidTr="00007CFC">
        <w:tc>
          <w:tcPr>
            <w:tcW w:w="3083" w:type="dxa"/>
            <w:shd w:val="clear" w:color="auto" w:fill="auto"/>
          </w:tcPr>
          <w:p w:rsidR="009C2ACB" w:rsidRDefault="009C2ACB" w:rsidP="009C2ACB">
            <w:pPr>
              <w:pStyle w:val="Normal1linespace"/>
              <w:widowControl w:val="0"/>
              <w:jc w:val="left"/>
            </w:pPr>
          </w:p>
        </w:tc>
        <w:tc>
          <w:tcPr>
            <w:tcW w:w="5989" w:type="dxa"/>
            <w:shd w:val="clear" w:color="auto" w:fill="auto"/>
          </w:tcPr>
          <w:p w:rsidR="009C2ACB" w:rsidRDefault="009C2ACB" w:rsidP="009C2ACB">
            <w:pPr>
              <w:pStyle w:val="Normal1linespace"/>
              <w:widowControl w:val="0"/>
              <w:jc w:val="left"/>
            </w:pPr>
          </w:p>
        </w:tc>
      </w:tr>
      <w:tr w:rsidR="009C2ACB" w:rsidTr="00007CFC">
        <w:tc>
          <w:tcPr>
            <w:tcW w:w="3083" w:type="dxa"/>
            <w:shd w:val="clear" w:color="auto" w:fill="auto"/>
          </w:tcPr>
          <w:p w:rsidR="009C2ACB" w:rsidRDefault="009C2ACB" w:rsidP="009C2ACB">
            <w:pPr>
              <w:pStyle w:val="Normal1linespace"/>
              <w:widowControl w:val="0"/>
              <w:jc w:val="left"/>
            </w:pPr>
            <w:r>
              <w:t>Solicitor for the Second and Third Respondents:</w:t>
            </w:r>
          </w:p>
        </w:tc>
        <w:tc>
          <w:tcPr>
            <w:tcW w:w="5989" w:type="dxa"/>
            <w:shd w:val="clear" w:color="auto" w:fill="auto"/>
          </w:tcPr>
          <w:p w:rsidR="009C2ACB" w:rsidRDefault="009C2ACB" w:rsidP="009C2ACB">
            <w:pPr>
              <w:pStyle w:val="Normal1linespace"/>
              <w:widowControl w:val="0"/>
              <w:jc w:val="left"/>
            </w:pPr>
            <w:r>
              <w:t xml:space="preserve">Hicks Oakley </w:t>
            </w:r>
            <w:proofErr w:type="spellStart"/>
            <w:r>
              <w:t>Chessell</w:t>
            </w:r>
            <w:proofErr w:type="spellEnd"/>
            <w:r>
              <w:t xml:space="preserve"> Williams</w:t>
            </w:r>
          </w:p>
        </w:tc>
      </w:tr>
      <w:bookmarkEnd w:id="8"/>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9B6EBC" w:rsidP="00F92355">
            <w:pPr>
              <w:pStyle w:val="NormalHeadings"/>
              <w:jc w:val="right"/>
            </w:pPr>
            <w:bookmarkStart w:id="10" w:name="FileNo"/>
            <w:r>
              <w:t>NSD 845 of 2021</w:t>
            </w:r>
            <w:bookmarkEnd w:id="10"/>
          </w:p>
        </w:tc>
      </w:tr>
      <w:tr w:rsidR="00A76C13" w:rsidTr="00234E15">
        <w:tc>
          <w:tcPr>
            <w:tcW w:w="9242" w:type="dxa"/>
            <w:gridSpan w:val="3"/>
          </w:tcPr>
          <w:p w:rsidR="00A76C13" w:rsidRPr="00A76C13" w:rsidRDefault="00A049FA" w:rsidP="009067A5">
            <w:pPr>
              <w:pStyle w:val="NormalHeadings"/>
              <w:spacing w:before="240" w:after="240"/>
              <w:jc w:val="left"/>
            </w:pPr>
            <w:bookmarkStart w:id="11" w:name="InTheMatterOf"/>
            <w:r>
              <w:t xml:space="preserve">IN THE MATTER OF </w:t>
            </w:r>
            <w:r w:rsidR="009B6EBC">
              <w:t>TREELENS</w:t>
            </w:r>
            <w:r>
              <w:t xml:space="preserve"> PTY </w:t>
            </w:r>
            <w:bookmarkEnd w:id="11"/>
            <w:r w:rsidR="009067A5">
              <w:t>LTD ACN 083 135 219</w:t>
            </w:r>
          </w:p>
        </w:tc>
      </w:tr>
      <w:tr w:rsidR="00A46CCC" w:rsidTr="00234E15">
        <w:trPr>
          <w:trHeight w:val="386"/>
        </w:trPr>
        <w:tc>
          <w:tcPr>
            <w:tcW w:w="2376" w:type="dxa"/>
          </w:tcPr>
          <w:p w:rsidR="00A46CCC" w:rsidRDefault="00A46CCC" w:rsidP="00234E15">
            <w:pPr>
              <w:pStyle w:val="NormalHeadings"/>
              <w:jc w:val="left"/>
              <w:rPr>
                <w:caps/>
                <w:szCs w:val="24"/>
              </w:rPr>
            </w:pPr>
            <w:bookmarkStart w:id="12" w:name="Parties"/>
            <w:r>
              <w:rPr>
                <w:caps/>
                <w:szCs w:val="24"/>
              </w:rPr>
              <w:t>BETWEEN:</w:t>
            </w:r>
          </w:p>
        </w:tc>
        <w:tc>
          <w:tcPr>
            <w:tcW w:w="6866" w:type="dxa"/>
            <w:gridSpan w:val="2"/>
          </w:tcPr>
          <w:p w:rsidR="00A049FA" w:rsidRDefault="00A049FA" w:rsidP="00A049FA">
            <w:pPr>
              <w:pStyle w:val="NormalHeadings"/>
              <w:jc w:val="left"/>
            </w:pPr>
            <w:bookmarkStart w:id="13" w:name="Applicant"/>
            <w:r>
              <w:t>SYDFRAN PTY LIMITED ACN 084 281 943</w:t>
            </w:r>
          </w:p>
          <w:p w:rsidR="00A049FA" w:rsidRDefault="00A049FA" w:rsidP="00A049FA">
            <w:pPr>
              <w:pStyle w:val="PartyType"/>
            </w:pPr>
            <w:r>
              <w:t>First Applicant</w:t>
            </w:r>
          </w:p>
          <w:p w:rsidR="00A049FA" w:rsidRDefault="00A049FA" w:rsidP="00234E15">
            <w:pPr>
              <w:pStyle w:val="NormalHeadings"/>
              <w:jc w:val="left"/>
            </w:pPr>
          </w:p>
          <w:p w:rsidR="00A049FA" w:rsidRDefault="00A049FA" w:rsidP="00A049FA">
            <w:pPr>
              <w:pStyle w:val="NormalHeadings"/>
              <w:jc w:val="left"/>
            </w:pPr>
            <w:r>
              <w:t>BRISPLANTS PTY LIMITED ACN 624 174 796</w:t>
            </w:r>
          </w:p>
          <w:p w:rsidR="00A049FA" w:rsidRDefault="00A049FA" w:rsidP="00A049FA">
            <w:pPr>
              <w:pStyle w:val="PartyType"/>
            </w:pPr>
            <w:r>
              <w:t>Second Applicant</w:t>
            </w:r>
          </w:p>
          <w:bookmarkEnd w:id="13"/>
          <w:p w:rsidR="00A46CCC" w:rsidRPr="006555B4" w:rsidRDefault="00A46CCC" w:rsidP="00234E15">
            <w:pPr>
              <w:pStyle w:val="NormalHeadings"/>
              <w:jc w:val="left"/>
            </w:pPr>
          </w:p>
        </w:tc>
      </w:tr>
      <w:tr w:rsidR="00A46CCC" w:rsidTr="00234E15">
        <w:trPr>
          <w:trHeight w:val="386"/>
        </w:trPr>
        <w:tc>
          <w:tcPr>
            <w:tcW w:w="2376" w:type="dxa"/>
          </w:tcPr>
          <w:p w:rsidR="00A46CCC" w:rsidRDefault="00A46CCC" w:rsidP="00234E15">
            <w:pPr>
              <w:pStyle w:val="NormalHeadings"/>
              <w:jc w:val="left"/>
              <w:rPr>
                <w:caps/>
                <w:szCs w:val="24"/>
              </w:rPr>
            </w:pPr>
            <w:r>
              <w:rPr>
                <w:caps/>
                <w:szCs w:val="24"/>
              </w:rPr>
              <w:t>AND:</w:t>
            </w:r>
          </w:p>
        </w:tc>
        <w:tc>
          <w:tcPr>
            <w:tcW w:w="6866" w:type="dxa"/>
            <w:gridSpan w:val="2"/>
          </w:tcPr>
          <w:p w:rsidR="00A049FA" w:rsidRDefault="00A049FA" w:rsidP="00A049FA">
            <w:pPr>
              <w:pStyle w:val="NormalHeadings"/>
              <w:jc w:val="left"/>
            </w:pPr>
            <w:bookmarkStart w:id="14" w:name="Respondent"/>
            <w:r>
              <w:t>MANSITO HELENA NOMINEES PTY LTD ACN 005 210 015</w:t>
            </w:r>
          </w:p>
          <w:p w:rsidR="00A049FA" w:rsidRDefault="00A049FA" w:rsidP="00A049FA">
            <w:pPr>
              <w:pStyle w:val="PartyType"/>
            </w:pPr>
            <w:r>
              <w:t>First Respondent</w:t>
            </w:r>
          </w:p>
          <w:p w:rsidR="00A049FA" w:rsidRDefault="00A049FA" w:rsidP="00234E15">
            <w:pPr>
              <w:pStyle w:val="NormalHeadings"/>
              <w:jc w:val="left"/>
            </w:pPr>
          </w:p>
          <w:p w:rsidR="00A049FA" w:rsidRDefault="00A049FA" w:rsidP="00A049FA">
            <w:pPr>
              <w:pStyle w:val="NormalHeadings"/>
              <w:jc w:val="left"/>
            </w:pPr>
            <w:r>
              <w:t>TREELENS PTY LTD ACN 083 135 219</w:t>
            </w:r>
          </w:p>
          <w:p w:rsidR="00A049FA" w:rsidRDefault="00A049FA" w:rsidP="00A049FA">
            <w:pPr>
              <w:pStyle w:val="PartyType"/>
            </w:pPr>
            <w:r>
              <w:t>Second Respondent</w:t>
            </w:r>
          </w:p>
          <w:p w:rsidR="00A049FA" w:rsidRDefault="00A049FA" w:rsidP="00234E15">
            <w:pPr>
              <w:pStyle w:val="NormalHeadings"/>
              <w:jc w:val="left"/>
            </w:pPr>
          </w:p>
          <w:p w:rsidR="00A049FA" w:rsidRDefault="00A049FA" w:rsidP="00A049FA">
            <w:pPr>
              <w:pStyle w:val="NormalHeadings"/>
              <w:jc w:val="left"/>
            </w:pPr>
            <w:r>
              <w:t>MICHAEL VERGE</w:t>
            </w:r>
          </w:p>
          <w:p w:rsidR="00A049FA" w:rsidRDefault="00A049FA" w:rsidP="00A049FA">
            <w:pPr>
              <w:pStyle w:val="PartyType"/>
            </w:pPr>
            <w:r>
              <w:t>Third Respondent</w:t>
            </w:r>
          </w:p>
          <w:bookmarkEnd w:id="14"/>
          <w:p w:rsidR="00A46CCC" w:rsidRPr="006555B4" w:rsidRDefault="00A46CCC" w:rsidP="00234E15">
            <w:pPr>
              <w:pStyle w:val="NormalHeadings"/>
              <w:jc w:val="left"/>
            </w:pPr>
          </w:p>
        </w:tc>
      </w:tr>
      <w:tr w:rsidR="006357E6" w:rsidTr="006357E6">
        <w:trPr>
          <w:trHeight w:val="300"/>
        </w:trPr>
        <w:tc>
          <w:tcPr>
            <w:tcW w:w="2376" w:type="dxa"/>
          </w:tcPr>
          <w:p w:rsidR="006357E6" w:rsidRDefault="006357E6">
            <w:pPr>
              <w:pStyle w:val="NormalHeadings"/>
              <w:jc w:val="left"/>
              <w:rPr>
                <w:caps/>
                <w:szCs w:val="24"/>
              </w:rPr>
            </w:pPr>
            <w:bookmarkStart w:id="15" w:name="CrossClaimPosition"/>
            <w:bookmarkEnd w:id="12"/>
            <w:bookmarkEnd w:id="15"/>
          </w:p>
        </w:tc>
        <w:tc>
          <w:tcPr>
            <w:tcW w:w="6866" w:type="dxa"/>
            <w:gridSpan w:val="2"/>
          </w:tcPr>
          <w:p w:rsidR="006357E6" w:rsidRDefault="006357E6">
            <w:pPr>
              <w:pStyle w:val="NormalHeadings"/>
              <w:jc w:val="left"/>
              <w:rPr>
                <w:szCs w:val="24"/>
              </w:rPr>
            </w:pPr>
          </w:p>
        </w:tc>
      </w:tr>
      <w:tr w:rsidR="006357E6">
        <w:trPr>
          <w:trHeight w:val="386"/>
        </w:trPr>
        <w:tc>
          <w:tcPr>
            <w:tcW w:w="2376" w:type="dxa"/>
          </w:tcPr>
          <w:p w:rsidR="006357E6" w:rsidRDefault="006357E6">
            <w:pPr>
              <w:pStyle w:val="NormalHeadings"/>
              <w:jc w:val="left"/>
              <w:rPr>
                <w:caps/>
                <w:szCs w:val="24"/>
              </w:rPr>
            </w:pPr>
            <w:r>
              <w:rPr>
                <w:caps/>
                <w:szCs w:val="24"/>
              </w:rPr>
              <w:t>AND BETWEEN:</w:t>
            </w:r>
          </w:p>
        </w:tc>
        <w:tc>
          <w:tcPr>
            <w:tcW w:w="6866" w:type="dxa"/>
            <w:gridSpan w:val="2"/>
          </w:tcPr>
          <w:p w:rsidR="00A049FA" w:rsidRDefault="00A049FA" w:rsidP="00A049FA">
            <w:pPr>
              <w:pStyle w:val="NormalHeadings"/>
              <w:jc w:val="left"/>
            </w:pPr>
            <w:bookmarkStart w:id="16" w:name="Cross_Applicant"/>
            <w:r>
              <w:t>TREELENS PTY LTD ACN 083 135 219</w:t>
            </w:r>
          </w:p>
          <w:p w:rsidR="00A049FA" w:rsidRDefault="00A049FA" w:rsidP="00A049FA">
            <w:pPr>
              <w:pStyle w:val="PartyType"/>
            </w:pPr>
            <w:r>
              <w:t>Cross-Claimant</w:t>
            </w:r>
          </w:p>
          <w:bookmarkEnd w:id="16"/>
          <w:p w:rsidR="006357E6" w:rsidRDefault="006357E6">
            <w:pPr>
              <w:pStyle w:val="NormalHeadings"/>
              <w:jc w:val="left"/>
              <w:rPr>
                <w:szCs w:val="24"/>
              </w:rPr>
            </w:pPr>
          </w:p>
        </w:tc>
      </w:tr>
      <w:tr w:rsidR="006357E6">
        <w:trPr>
          <w:trHeight w:val="386"/>
        </w:trPr>
        <w:tc>
          <w:tcPr>
            <w:tcW w:w="2376" w:type="dxa"/>
          </w:tcPr>
          <w:p w:rsidR="006357E6" w:rsidRDefault="006357E6">
            <w:pPr>
              <w:pStyle w:val="NormalHeadings"/>
              <w:jc w:val="left"/>
              <w:rPr>
                <w:caps/>
                <w:szCs w:val="24"/>
              </w:rPr>
            </w:pPr>
            <w:r>
              <w:rPr>
                <w:caps/>
                <w:szCs w:val="24"/>
              </w:rPr>
              <w:t>AND:</w:t>
            </w:r>
          </w:p>
        </w:tc>
        <w:tc>
          <w:tcPr>
            <w:tcW w:w="6866" w:type="dxa"/>
            <w:gridSpan w:val="2"/>
          </w:tcPr>
          <w:p w:rsidR="00A049FA" w:rsidRDefault="00A049FA" w:rsidP="00A049FA">
            <w:pPr>
              <w:pStyle w:val="NormalHeadings"/>
              <w:jc w:val="left"/>
            </w:pPr>
            <w:bookmarkStart w:id="17" w:name="Cross_Respondent"/>
            <w:r>
              <w:t xml:space="preserve">SYDFRAN PTY LIMITED ACN 084 281 943 </w:t>
            </w:r>
            <w:r w:rsidRPr="00A049FA">
              <w:rPr>
                <w:b w:val="0"/>
              </w:rPr>
              <w:t>(and others named in the Schedule)</w:t>
            </w:r>
          </w:p>
          <w:p w:rsidR="00A049FA" w:rsidRDefault="00A049FA" w:rsidP="00A049FA">
            <w:pPr>
              <w:pStyle w:val="PartyType"/>
            </w:pPr>
            <w:r>
              <w:t>First Cross-Respondent</w:t>
            </w:r>
          </w:p>
          <w:bookmarkEnd w:id="17"/>
          <w:p w:rsidR="006357E6" w:rsidRDefault="006357E6">
            <w:pPr>
              <w:pStyle w:val="NormalHeadings"/>
              <w:jc w:val="left"/>
              <w:rPr>
                <w:szCs w:val="24"/>
              </w:rPr>
            </w:pPr>
          </w:p>
        </w:tc>
      </w:tr>
    </w:tbl>
    <w:p w:rsidR="00395B24" w:rsidRDefault="00395B24">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9B6EBC">
            <w:pPr>
              <w:pStyle w:val="NormalHeadings"/>
              <w:jc w:val="left"/>
              <w:rPr>
                <w:caps/>
                <w:szCs w:val="24"/>
              </w:rPr>
            </w:pPr>
            <w:r>
              <w:rPr>
                <w:caps/>
                <w:szCs w:val="24"/>
              </w:rPr>
              <w:t>GOODMAN J</w:t>
            </w:r>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0966AB">
            <w:pPr>
              <w:pStyle w:val="NormalHeadings"/>
              <w:jc w:val="left"/>
              <w:rPr>
                <w:caps/>
                <w:szCs w:val="24"/>
              </w:rPr>
            </w:pPr>
            <w:r>
              <w:rPr>
                <w:caps/>
                <w:szCs w:val="24"/>
              </w:rPr>
              <w:t>29 JUNE 2022</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A8248C" w:rsidP="001A6C52">
      <w:pPr>
        <w:pStyle w:val="Order1"/>
      </w:pPr>
      <w:r>
        <w:t>The applicants’ application for an order that the second and third respondents provide discovery is dismissed.</w:t>
      </w:r>
    </w:p>
    <w:p w:rsidR="00A8248C" w:rsidRDefault="00A8248C" w:rsidP="001A6C52">
      <w:pPr>
        <w:pStyle w:val="Order1"/>
      </w:pPr>
      <w:r>
        <w:t>The applicants are to pay the second and third respondents’ costs of and incidental to that application.</w:t>
      </w:r>
    </w:p>
    <w:p w:rsidR="001A6C52" w:rsidRDefault="001A6C52" w:rsidP="001A6C52">
      <w:pPr>
        <w:pStyle w:val="BodyText"/>
      </w:pPr>
    </w:p>
    <w:p w:rsidR="00A431E6" w:rsidRDefault="00A431E6" w:rsidP="001A6C52">
      <w:pPr>
        <w:pStyle w:val="BodyText"/>
      </w:pPr>
    </w:p>
    <w:p w:rsidR="0050309C" w:rsidRDefault="00A049FA" w:rsidP="004D53E5">
      <w:pPr>
        <w:pStyle w:val="SingleSpace"/>
      </w:pPr>
      <w:bookmarkStart w:id="19" w:name="OrdersStatement"/>
      <w:r>
        <w:t>Note:</w:t>
      </w:r>
      <w:r>
        <w:tab/>
        <w:t xml:space="preserve">Entry of orders is dealt with in Rule 39.32 of the </w:t>
      </w:r>
      <w:r>
        <w:rPr>
          <w:i/>
        </w:rPr>
        <w:t>Federal Court Rules 2011</w:t>
      </w:r>
      <w:r>
        <w:t>.</w:t>
      </w:r>
      <w:bookmarkEnd w:id="19"/>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694BEB" w:rsidRDefault="006357E6" w:rsidP="005E0510">
      <w:pPr>
        <w:pStyle w:val="NormalHeadings"/>
        <w:spacing w:line="360" w:lineRule="auto"/>
        <w:jc w:val="left"/>
        <w:rPr>
          <w:sz w:val="26"/>
          <w:szCs w:val="26"/>
        </w:rPr>
      </w:pPr>
      <w:r>
        <w:rPr>
          <w:sz w:val="26"/>
          <w:szCs w:val="26"/>
        </w:rPr>
        <w:t>GOODMAN J</w:t>
      </w:r>
    </w:p>
    <w:p w:rsidR="006357E6" w:rsidRDefault="00D77B2A" w:rsidP="001A3B08">
      <w:pPr>
        <w:pStyle w:val="Heading1"/>
      </w:pPr>
      <w:r>
        <w:t>INTRODUCTION</w:t>
      </w:r>
    </w:p>
    <w:p w:rsidR="00B67155" w:rsidRDefault="001A3B08" w:rsidP="001A3B08">
      <w:pPr>
        <w:pStyle w:val="ParaNumbering"/>
      </w:pPr>
      <w:r>
        <w:t>The first respondent</w:t>
      </w:r>
      <w:r w:rsidR="00A049FA">
        <w:t>,</w:t>
      </w:r>
      <w:r>
        <w:t xml:space="preserve"> </w:t>
      </w:r>
      <w:proofErr w:type="spellStart"/>
      <w:r w:rsidRPr="00983967">
        <w:t>Mansito</w:t>
      </w:r>
      <w:proofErr w:type="spellEnd"/>
      <w:r>
        <w:t xml:space="preserve"> Helena Nominees Pty Ltd</w:t>
      </w:r>
      <w:r w:rsidR="00A049FA">
        <w:t>,</w:t>
      </w:r>
      <w:r>
        <w:t xml:space="preserve"> is a franchisor.</w:t>
      </w:r>
      <w:r w:rsidR="00E33678">
        <w:t xml:space="preserve"> The franchised product is the </w:t>
      </w:r>
      <w:proofErr w:type="spellStart"/>
      <w:r w:rsidR="00E33678">
        <w:t>Frenchams</w:t>
      </w:r>
      <w:proofErr w:type="spellEnd"/>
      <w:r w:rsidR="00E33678">
        <w:t xml:space="preserve"> </w:t>
      </w:r>
      <w:r w:rsidR="00D41B15">
        <w:t xml:space="preserve">System, which </w:t>
      </w:r>
      <w:r w:rsidR="00D77B2A">
        <w:t>concerns</w:t>
      </w:r>
      <w:r w:rsidR="006E28FD">
        <w:t>, broadly speaking,</w:t>
      </w:r>
      <w:r w:rsidR="00D41B15">
        <w:t xml:space="preserve"> the installation and maintenance of indoor plants in commercial premises</w:t>
      </w:r>
      <w:r w:rsidR="00E33678">
        <w:t>.</w:t>
      </w:r>
      <w:r>
        <w:t xml:space="preserve"> The first applicant, </w:t>
      </w:r>
      <w:proofErr w:type="spellStart"/>
      <w:r>
        <w:rPr>
          <w:b/>
        </w:rPr>
        <w:t>Sydfran</w:t>
      </w:r>
      <w:proofErr w:type="spellEnd"/>
      <w:r>
        <w:t xml:space="preserve"> Pty Limited and</w:t>
      </w:r>
      <w:r w:rsidR="00A049FA">
        <w:t xml:space="preserve"> the second applicant,</w:t>
      </w:r>
      <w:r>
        <w:t xml:space="preserve"> </w:t>
      </w:r>
      <w:proofErr w:type="spellStart"/>
      <w:r>
        <w:rPr>
          <w:b/>
        </w:rPr>
        <w:t>Brisplants</w:t>
      </w:r>
      <w:proofErr w:type="spellEnd"/>
      <w:r>
        <w:t xml:space="preserve"> Pty Limited</w:t>
      </w:r>
      <w:r w:rsidR="00A049FA">
        <w:t>,</w:t>
      </w:r>
      <w:r>
        <w:t xml:space="preserve"> are master franchisees in New South Wales and Queensland respectively</w:t>
      </w:r>
      <w:r w:rsidR="00A049FA">
        <w:t xml:space="preserve"> and are companies under the control of Mr Gerard Verge</w:t>
      </w:r>
      <w:r w:rsidR="00B67155">
        <w:t xml:space="preserve"> (who is their sole director and member)</w:t>
      </w:r>
      <w:r>
        <w:t xml:space="preserve">. </w:t>
      </w:r>
    </w:p>
    <w:p w:rsidR="001A3B08" w:rsidRDefault="001A3B08" w:rsidP="001A3B08">
      <w:pPr>
        <w:pStyle w:val="ParaNumbering"/>
      </w:pPr>
      <w:r>
        <w:t xml:space="preserve">The second respondent, </w:t>
      </w:r>
      <w:proofErr w:type="spellStart"/>
      <w:r w:rsidRPr="001A3B08">
        <w:rPr>
          <w:b/>
        </w:rPr>
        <w:t>Treelens</w:t>
      </w:r>
      <w:proofErr w:type="spellEnd"/>
      <w:r>
        <w:t xml:space="preserve"> Pty Limited is a franchisee in Victoria</w:t>
      </w:r>
      <w:r w:rsidR="00A049FA">
        <w:t xml:space="preserve"> </w:t>
      </w:r>
      <w:r>
        <w:t xml:space="preserve">and the third respondent, Mr Michael Verge, is the </w:t>
      </w:r>
      <w:r w:rsidR="00A049FA">
        <w:t xml:space="preserve">brother of Mr Gerard Verge and the </w:t>
      </w:r>
      <w:r>
        <w:t xml:space="preserve">sole director and member of </w:t>
      </w:r>
      <w:proofErr w:type="spellStart"/>
      <w:r>
        <w:t>Treelens</w:t>
      </w:r>
      <w:proofErr w:type="spellEnd"/>
      <w:r>
        <w:t>.</w:t>
      </w:r>
      <w:r w:rsidR="00D41B15">
        <w:t xml:space="preserve"> I will refer to </w:t>
      </w:r>
      <w:proofErr w:type="spellStart"/>
      <w:r w:rsidR="00D41B15">
        <w:t>Treelens</w:t>
      </w:r>
      <w:proofErr w:type="spellEnd"/>
      <w:r w:rsidR="00D41B15">
        <w:t xml:space="preserve"> and Michael Verge together as the </w:t>
      </w:r>
      <w:proofErr w:type="spellStart"/>
      <w:r w:rsidR="00D41B15">
        <w:rPr>
          <w:b/>
        </w:rPr>
        <w:t>Treelens</w:t>
      </w:r>
      <w:proofErr w:type="spellEnd"/>
      <w:r w:rsidR="00D41B15">
        <w:rPr>
          <w:b/>
        </w:rPr>
        <w:t xml:space="preserve"> Parties</w:t>
      </w:r>
      <w:r w:rsidR="00D41B15">
        <w:t>.</w:t>
      </w:r>
    </w:p>
    <w:p w:rsidR="00C66CC0" w:rsidRDefault="00C66CC0" w:rsidP="001A3B08">
      <w:pPr>
        <w:pStyle w:val="ParaNumbering"/>
      </w:pPr>
      <w:r>
        <w:t xml:space="preserve">The brothers Verge and their respective companies are at issue on various fronts and in particular with respect to operations in Victoria. The pleadings include allegations and counter allegations of breaches of the statutory prohibition against unconscionable conduct in s 21 of the </w:t>
      </w:r>
      <w:r w:rsidRPr="00B016C2">
        <w:rPr>
          <w:i/>
        </w:rPr>
        <w:t>Australian Consumer Law</w:t>
      </w:r>
      <w:r>
        <w:t>.</w:t>
      </w:r>
    </w:p>
    <w:p w:rsidR="00FC780F" w:rsidRDefault="00FC780F" w:rsidP="001A3B08">
      <w:pPr>
        <w:pStyle w:val="ParaNumbering"/>
      </w:pPr>
      <w:r>
        <w:t>Outlines of evidence have been filed and the proceeding is set down for hearing commencing on 18 July 2022.</w:t>
      </w:r>
    </w:p>
    <w:p w:rsidR="00424A89" w:rsidRDefault="007C5F50" w:rsidP="00DC0C26">
      <w:pPr>
        <w:pStyle w:val="ParaNumbering"/>
      </w:pPr>
      <w:proofErr w:type="spellStart"/>
      <w:r>
        <w:t>Sydfran</w:t>
      </w:r>
      <w:proofErr w:type="spellEnd"/>
      <w:r>
        <w:t xml:space="preserve"> and </w:t>
      </w:r>
      <w:proofErr w:type="spellStart"/>
      <w:r>
        <w:t>Brisplants</w:t>
      </w:r>
      <w:proofErr w:type="spellEnd"/>
      <w:r>
        <w:t xml:space="preserve"> apply for an order that the </w:t>
      </w:r>
      <w:proofErr w:type="spellStart"/>
      <w:r>
        <w:t>Treelens</w:t>
      </w:r>
      <w:proofErr w:type="spellEnd"/>
      <w:r>
        <w:t xml:space="preserve"> Parties provide disco</w:t>
      </w:r>
      <w:r w:rsidR="00D77B2A">
        <w:t>very of categories of documents.</w:t>
      </w:r>
      <w:r w:rsidR="00C66CC0">
        <w:t xml:space="preserve"> </w:t>
      </w:r>
      <w:r w:rsidR="00424A89">
        <w:t xml:space="preserve">In support of the application, </w:t>
      </w:r>
      <w:proofErr w:type="spellStart"/>
      <w:r w:rsidR="00424A89">
        <w:t>Sydfran</w:t>
      </w:r>
      <w:proofErr w:type="spellEnd"/>
      <w:r w:rsidR="00424A89">
        <w:t xml:space="preserve"> and </w:t>
      </w:r>
      <w:proofErr w:type="spellStart"/>
      <w:r w:rsidR="00424A89">
        <w:t>Brisplants</w:t>
      </w:r>
      <w:proofErr w:type="spellEnd"/>
      <w:r w:rsidR="00424A89">
        <w:t xml:space="preserve"> rely upon an affidavit of their solicitor. The </w:t>
      </w:r>
      <w:proofErr w:type="spellStart"/>
      <w:r w:rsidR="00424A89">
        <w:t>Treelens</w:t>
      </w:r>
      <w:proofErr w:type="spellEnd"/>
      <w:r w:rsidR="00424A89">
        <w:t xml:space="preserve"> Parties rely upon a bundle of correspondence.</w:t>
      </w:r>
    </w:p>
    <w:p w:rsidR="0073358C" w:rsidRDefault="0073358C" w:rsidP="0073358C">
      <w:pPr>
        <w:pStyle w:val="Heading1"/>
      </w:pPr>
      <w:r>
        <w:t xml:space="preserve">LEGAL FRAMEWORK </w:t>
      </w:r>
    </w:p>
    <w:p w:rsidR="00B908B7" w:rsidRDefault="00C66CC0" w:rsidP="00FD1433">
      <w:pPr>
        <w:pStyle w:val="ParaNumbering"/>
      </w:pPr>
      <w:r>
        <w:t xml:space="preserve">Part 20 of the </w:t>
      </w:r>
      <w:r w:rsidRPr="00FC780F">
        <w:rPr>
          <w:i/>
        </w:rPr>
        <w:t xml:space="preserve">Federal Court </w:t>
      </w:r>
      <w:r w:rsidRPr="00FC780F">
        <w:rPr>
          <w:b/>
          <w:i/>
        </w:rPr>
        <w:t>Rules</w:t>
      </w:r>
      <w:r w:rsidRPr="00FC780F">
        <w:rPr>
          <w:i/>
        </w:rPr>
        <w:t xml:space="preserve"> 2011 </w:t>
      </w:r>
      <w:r>
        <w:t>(</w:t>
      </w:r>
      <w:proofErr w:type="spellStart"/>
      <w:r>
        <w:t>Cth</w:t>
      </w:r>
      <w:proofErr w:type="spellEnd"/>
      <w:r>
        <w:t>) concerns discovery and inspection of documents.</w:t>
      </w:r>
      <w:r w:rsidR="00FC780F">
        <w:t xml:space="preserve"> </w:t>
      </w:r>
      <w:r w:rsidR="00B908B7">
        <w:t>Rule 20.11 provides:</w:t>
      </w:r>
    </w:p>
    <w:p w:rsidR="00B908B7" w:rsidRDefault="00B908B7" w:rsidP="00B908B7">
      <w:pPr>
        <w:pStyle w:val="Quote1"/>
      </w:pPr>
      <w:r>
        <w:rPr>
          <w:shd w:val="clear" w:color="auto" w:fill="FFFFFF"/>
        </w:rPr>
        <w:t>A party must not apply for an order for discovery unless the making of the order sought will facilitate the just resolution of the proceeding as quickly, inexpensively and efficiently as possible.</w:t>
      </w:r>
    </w:p>
    <w:p w:rsidR="00B908B7" w:rsidRDefault="00B908B7" w:rsidP="002E533A">
      <w:pPr>
        <w:pStyle w:val="ParaNumbering"/>
      </w:pPr>
      <w:r>
        <w:lastRenderedPageBreak/>
        <w:t>Rule 20.14 concerns standard discovery and r 20.15 deals with non-standard and more extensive discovery. The discovery sought by the applicants is discovery by categories, so r 20.15 applies. Rule 20.15</w:t>
      </w:r>
      <w:r w:rsidR="00FC780F">
        <w:t>(3)</w:t>
      </w:r>
      <w:r>
        <w:t xml:space="preserve"> provides:</w:t>
      </w:r>
    </w:p>
    <w:p w:rsidR="00B908B7" w:rsidRDefault="00B908B7" w:rsidP="00B908B7">
      <w:pPr>
        <w:pStyle w:val="Quote2"/>
        <w:ind w:left="2160" w:hanging="720"/>
      </w:pPr>
      <w:r>
        <w:t xml:space="preserve">(3)  </w:t>
      </w:r>
      <w:r>
        <w:tab/>
        <w:t>An application by a party seeking more extensive discovery than is required under rule 20.14</w:t>
      </w:r>
      <w:r>
        <w:rPr>
          <w:b/>
          <w:bCs/>
        </w:rPr>
        <w:t> </w:t>
      </w:r>
      <w:r>
        <w:t>must be accompanied by an affidavit stating why the order should be made.</w:t>
      </w:r>
    </w:p>
    <w:p w:rsidR="00347ED6" w:rsidRDefault="00347ED6" w:rsidP="00347ED6">
      <w:pPr>
        <w:pStyle w:val="ParaNumbering"/>
      </w:pPr>
      <w:r>
        <w:t>Paragraph 10.6 of Central Practice Note 1 (</w:t>
      </w:r>
      <w:r>
        <w:rPr>
          <w:b/>
        </w:rPr>
        <w:t>CPN1</w:t>
      </w:r>
      <w:r>
        <w:t>) provides:</w:t>
      </w:r>
    </w:p>
    <w:p w:rsidR="00347ED6" w:rsidRPr="008716E0" w:rsidRDefault="00347ED6" w:rsidP="00347ED6">
      <w:pPr>
        <w:pStyle w:val="Quote1"/>
        <w:ind w:left="1457" w:hanging="720"/>
        <w:rPr>
          <w:lang w:eastAsia="en-AU"/>
        </w:rPr>
      </w:pPr>
      <w:r w:rsidRPr="008716E0">
        <w:rPr>
          <w:bdr w:val="none" w:sz="0" w:space="0" w:color="auto" w:frame="1"/>
          <w:lang w:eastAsia="en-AU"/>
        </w:rPr>
        <w:t>10.6</w:t>
      </w:r>
      <w:r w:rsidRPr="008716E0">
        <w:rPr>
          <w:lang w:eastAsia="en-AU"/>
        </w:rPr>
        <w:t> </w:t>
      </w:r>
      <w:r>
        <w:rPr>
          <w:lang w:eastAsia="en-AU"/>
        </w:rPr>
        <w:tab/>
      </w:r>
      <w:r w:rsidRPr="008716E0">
        <w:rPr>
          <w:lang w:eastAsia="en-AU"/>
        </w:rPr>
        <w:t>The Court will not approve expansive or unjustified Requests and will generally only consider approving a Request in one or more of the following circumstances – where:</w:t>
      </w:r>
    </w:p>
    <w:p w:rsidR="00347ED6" w:rsidRPr="008716E0" w:rsidRDefault="00347ED6" w:rsidP="00074AD4">
      <w:pPr>
        <w:pStyle w:val="Quote2"/>
        <w:ind w:left="2160" w:hanging="720"/>
        <w:rPr>
          <w:lang w:eastAsia="en-AU"/>
        </w:rPr>
      </w:pPr>
      <w:r w:rsidRPr="008716E0">
        <w:rPr>
          <w:lang w:eastAsia="en-AU"/>
        </w:rPr>
        <w:t xml:space="preserve">(a) </w:t>
      </w:r>
      <w:r>
        <w:rPr>
          <w:lang w:eastAsia="en-AU"/>
        </w:rPr>
        <w:tab/>
      </w:r>
      <w:proofErr w:type="gramStart"/>
      <w:r w:rsidRPr="008716E0">
        <w:rPr>
          <w:lang w:eastAsia="en-AU"/>
        </w:rPr>
        <w:t>the</w:t>
      </w:r>
      <w:proofErr w:type="gramEnd"/>
      <w:r w:rsidRPr="008716E0">
        <w:rPr>
          <w:lang w:eastAsia="en-AU"/>
        </w:rPr>
        <w:t xml:space="preserve"> Request facilitates the just resolution of the proceeding as quickly, inexpensively and efficiently as possible;</w:t>
      </w:r>
    </w:p>
    <w:p w:rsidR="00347ED6" w:rsidRPr="008716E0" w:rsidRDefault="00347ED6" w:rsidP="00074AD4">
      <w:pPr>
        <w:pStyle w:val="Quote2"/>
        <w:ind w:left="2160" w:hanging="720"/>
        <w:rPr>
          <w:lang w:eastAsia="en-AU"/>
        </w:rPr>
      </w:pPr>
      <w:r w:rsidRPr="008716E0">
        <w:rPr>
          <w:lang w:eastAsia="en-AU"/>
        </w:rPr>
        <w:t xml:space="preserve">(b) </w:t>
      </w:r>
      <w:r>
        <w:rPr>
          <w:lang w:eastAsia="en-AU"/>
        </w:rPr>
        <w:tab/>
      </w:r>
      <w:proofErr w:type="gramStart"/>
      <w:r w:rsidRPr="008716E0">
        <w:rPr>
          <w:lang w:eastAsia="en-AU"/>
        </w:rPr>
        <w:t>to</w:t>
      </w:r>
      <w:proofErr w:type="gramEnd"/>
      <w:r w:rsidRPr="008716E0">
        <w:rPr>
          <w:lang w:eastAsia="en-AU"/>
        </w:rPr>
        <w:t xml:space="preserve"> do so will effectively facilitate a forthcoming mediation (or other ADR process);</w:t>
      </w:r>
    </w:p>
    <w:p w:rsidR="00347ED6" w:rsidRPr="008716E0" w:rsidRDefault="00347ED6" w:rsidP="00074AD4">
      <w:pPr>
        <w:pStyle w:val="Quote2"/>
        <w:ind w:left="2160" w:hanging="720"/>
        <w:rPr>
          <w:lang w:eastAsia="en-AU"/>
        </w:rPr>
      </w:pPr>
      <w:r w:rsidRPr="008716E0">
        <w:rPr>
          <w:lang w:eastAsia="en-AU"/>
        </w:rPr>
        <w:t xml:space="preserve">(c) </w:t>
      </w:r>
      <w:r>
        <w:rPr>
          <w:lang w:eastAsia="en-AU"/>
        </w:rPr>
        <w:tab/>
      </w:r>
      <w:proofErr w:type="gramStart"/>
      <w:r w:rsidRPr="008716E0">
        <w:rPr>
          <w:lang w:eastAsia="en-AU"/>
        </w:rPr>
        <w:t>the</w:t>
      </w:r>
      <w:proofErr w:type="gramEnd"/>
      <w:r w:rsidRPr="008716E0">
        <w:rPr>
          <w:lang w:eastAsia="en-AU"/>
        </w:rPr>
        <w:t xml:space="preserve"> Court and the parties are sufficiently informed of the nature of the case and issues in dispute so that the appropriateness of the Request can be properly considered (</w:t>
      </w:r>
      <w:proofErr w:type="spellStart"/>
      <w:r w:rsidRPr="008716E0">
        <w:rPr>
          <w:lang w:eastAsia="en-AU"/>
        </w:rPr>
        <w:t>eg</w:t>
      </w:r>
      <w:proofErr w:type="spellEnd"/>
      <w:r w:rsidRPr="008716E0">
        <w:rPr>
          <w:lang w:eastAsia="en-AU"/>
        </w:rPr>
        <w:t>. possibly only after key evidence has been filed);</w:t>
      </w:r>
    </w:p>
    <w:p w:rsidR="00347ED6" w:rsidRPr="008716E0" w:rsidRDefault="00347ED6" w:rsidP="00074AD4">
      <w:pPr>
        <w:pStyle w:val="Quote2"/>
        <w:ind w:left="2160" w:hanging="720"/>
        <w:rPr>
          <w:lang w:eastAsia="en-AU"/>
        </w:rPr>
      </w:pPr>
      <w:r w:rsidRPr="008716E0">
        <w:rPr>
          <w:lang w:eastAsia="en-AU"/>
        </w:rPr>
        <w:t xml:space="preserve">(d) </w:t>
      </w:r>
      <w:r>
        <w:rPr>
          <w:lang w:eastAsia="en-AU"/>
        </w:rPr>
        <w:tab/>
      </w:r>
      <w:proofErr w:type="gramStart"/>
      <w:r w:rsidRPr="008716E0">
        <w:rPr>
          <w:lang w:eastAsia="en-AU"/>
        </w:rPr>
        <w:t>the</w:t>
      </w:r>
      <w:proofErr w:type="gramEnd"/>
      <w:r w:rsidRPr="008716E0">
        <w:rPr>
          <w:lang w:eastAsia="en-AU"/>
        </w:rPr>
        <w:t xml:space="preserve"> Discovery Applicant has adequately justified the need for the Request, including demonstrating:</w:t>
      </w:r>
    </w:p>
    <w:p w:rsidR="00347ED6" w:rsidRPr="008716E0" w:rsidRDefault="00347ED6" w:rsidP="00074AD4">
      <w:pPr>
        <w:pStyle w:val="Quote3"/>
        <w:ind w:left="2880" w:hanging="720"/>
        <w:rPr>
          <w:lang w:eastAsia="en-AU"/>
        </w:rPr>
      </w:pPr>
      <w:r w:rsidRPr="008716E0">
        <w:rPr>
          <w:lang w:eastAsia="en-AU"/>
        </w:rPr>
        <w:t>(</w:t>
      </w:r>
      <w:proofErr w:type="spellStart"/>
      <w:r w:rsidRPr="008716E0">
        <w:rPr>
          <w:lang w:eastAsia="en-AU"/>
        </w:rPr>
        <w:t>i</w:t>
      </w:r>
      <w:proofErr w:type="spellEnd"/>
      <w:r w:rsidRPr="008716E0">
        <w:rPr>
          <w:lang w:eastAsia="en-AU"/>
        </w:rPr>
        <w:t xml:space="preserve">) </w:t>
      </w:r>
      <w:r>
        <w:rPr>
          <w:lang w:eastAsia="en-AU"/>
        </w:rPr>
        <w:tab/>
      </w:r>
      <w:proofErr w:type="gramStart"/>
      <w:r w:rsidRPr="008716E0">
        <w:rPr>
          <w:lang w:eastAsia="en-AU"/>
        </w:rPr>
        <w:t>the</w:t>
      </w:r>
      <w:proofErr w:type="gramEnd"/>
      <w:r w:rsidRPr="008716E0">
        <w:rPr>
          <w:lang w:eastAsia="en-AU"/>
        </w:rPr>
        <w:t xml:space="preserve"> utility of the Request and the appropriateness of discovery occurring at that time;</w:t>
      </w:r>
    </w:p>
    <w:p w:rsidR="00347ED6" w:rsidRPr="008716E0" w:rsidRDefault="00347ED6" w:rsidP="00074AD4">
      <w:pPr>
        <w:pStyle w:val="Quote3"/>
        <w:ind w:left="2880" w:hanging="720"/>
        <w:rPr>
          <w:lang w:eastAsia="en-AU"/>
        </w:rPr>
      </w:pPr>
      <w:r w:rsidRPr="008716E0">
        <w:rPr>
          <w:lang w:eastAsia="en-AU"/>
        </w:rPr>
        <w:t xml:space="preserve">(ii) </w:t>
      </w:r>
      <w:r>
        <w:rPr>
          <w:lang w:eastAsia="en-AU"/>
        </w:rPr>
        <w:tab/>
      </w:r>
      <w:proofErr w:type="gramStart"/>
      <w:r w:rsidRPr="008716E0">
        <w:rPr>
          <w:lang w:eastAsia="en-AU"/>
        </w:rPr>
        <w:t>the</w:t>
      </w:r>
      <w:proofErr w:type="gramEnd"/>
      <w:r w:rsidRPr="008716E0">
        <w:rPr>
          <w:lang w:eastAsia="en-AU"/>
        </w:rPr>
        <w:t xml:space="preserve"> relevance and importance of the documentation or information sought;</w:t>
      </w:r>
    </w:p>
    <w:p w:rsidR="00347ED6" w:rsidRPr="008716E0" w:rsidRDefault="00347ED6" w:rsidP="00074AD4">
      <w:pPr>
        <w:pStyle w:val="Quote3"/>
        <w:ind w:left="2880" w:hanging="720"/>
        <w:rPr>
          <w:lang w:eastAsia="en-AU"/>
        </w:rPr>
      </w:pPr>
      <w:r w:rsidRPr="008716E0">
        <w:rPr>
          <w:lang w:eastAsia="en-AU"/>
        </w:rPr>
        <w:t xml:space="preserve">(iii) </w:t>
      </w:r>
      <w:r>
        <w:rPr>
          <w:lang w:eastAsia="en-AU"/>
        </w:rPr>
        <w:tab/>
      </w:r>
      <w:proofErr w:type="gramStart"/>
      <w:r w:rsidRPr="008716E0">
        <w:rPr>
          <w:lang w:eastAsia="en-AU"/>
        </w:rPr>
        <w:t>the</w:t>
      </w:r>
      <w:proofErr w:type="gramEnd"/>
      <w:r w:rsidRPr="008716E0">
        <w:rPr>
          <w:lang w:eastAsia="en-AU"/>
        </w:rPr>
        <w:t xml:space="preserve"> limited and targeted nature of the Request; and</w:t>
      </w:r>
    </w:p>
    <w:p w:rsidR="00347ED6" w:rsidRPr="008716E0" w:rsidRDefault="00347ED6" w:rsidP="00074AD4">
      <w:pPr>
        <w:pStyle w:val="Quote3"/>
        <w:ind w:left="2880" w:hanging="720"/>
        <w:rPr>
          <w:lang w:eastAsia="en-AU"/>
        </w:rPr>
      </w:pPr>
      <w:r w:rsidRPr="008716E0">
        <w:rPr>
          <w:lang w:eastAsia="en-AU"/>
        </w:rPr>
        <w:t xml:space="preserve">(iv) </w:t>
      </w:r>
      <w:r>
        <w:rPr>
          <w:lang w:eastAsia="en-AU"/>
        </w:rPr>
        <w:tab/>
      </w:r>
      <w:proofErr w:type="gramStart"/>
      <w:r w:rsidRPr="008716E0">
        <w:rPr>
          <w:lang w:eastAsia="en-AU"/>
        </w:rPr>
        <w:t>that</w:t>
      </w:r>
      <w:proofErr w:type="gramEnd"/>
      <w:r w:rsidRPr="008716E0">
        <w:rPr>
          <w:lang w:eastAsia="en-AU"/>
        </w:rPr>
        <w:t xml:space="preserve"> the documents sought are, or are very likely to be, significantly probative in nature, or the documents materially support, or are materially adverse to, any party's case in the proceeding.</w:t>
      </w:r>
    </w:p>
    <w:p w:rsidR="00007CFC" w:rsidRDefault="00007CFC" w:rsidP="00007CFC">
      <w:pPr>
        <w:pStyle w:val="ParaNumbering"/>
        <w:tabs>
          <w:tab w:val="num" w:pos="720"/>
        </w:tabs>
      </w:pPr>
      <w:r>
        <w:t>The applicants, as the parties seeking discovery</w:t>
      </w:r>
      <w:r w:rsidR="00FC780F">
        <w:t>,</w:t>
      </w:r>
      <w:r>
        <w:t xml:space="preserve"> bear</w:t>
      </w:r>
      <w:r w:rsidRPr="00AB58D7">
        <w:t xml:space="preserve"> the o</w:t>
      </w:r>
      <w:r>
        <w:t xml:space="preserve">nus of satisfying the Court that the </w:t>
      </w:r>
      <w:r w:rsidR="006E28FD">
        <w:t>order for discovery should be made</w:t>
      </w:r>
      <w:r w:rsidR="00983967">
        <w:t>.</w:t>
      </w:r>
    </w:p>
    <w:p w:rsidR="00D77B2A" w:rsidRDefault="00D77B2A" w:rsidP="00D77B2A">
      <w:pPr>
        <w:pStyle w:val="Heading1"/>
      </w:pPr>
      <w:r>
        <w:t>CONSIDERATION</w:t>
      </w:r>
    </w:p>
    <w:p w:rsidR="00E41E9E" w:rsidRDefault="00D77B2A" w:rsidP="00E41E9E">
      <w:pPr>
        <w:pStyle w:val="ParaNumbering"/>
      </w:pPr>
      <w:r>
        <w:t>The categories in respect of which discovery is sought are as follows:</w:t>
      </w:r>
    </w:p>
    <w:p w:rsidR="00D77B2A" w:rsidRDefault="00D77B2A" w:rsidP="00D77B2A">
      <w:pPr>
        <w:pStyle w:val="Quote1"/>
        <w:numPr>
          <w:ilvl w:val="0"/>
          <w:numId w:val="47"/>
        </w:numPr>
        <w:ind w:left="1457" w:hanging="720"/>
      </w:pPr>
      <w:r>
        <w:t xml:space="preserve">any document containing, recording, evidencing or referring to any objection or approval by or of a Relevant Party to the applicants or either of them entering into the National Contracts (or any one or more of them) [as defined in the ASOC] </w:t>
      </w:r>
    </w:p>
    <w:p w:rsidR="00D77B2A" w:rsidRDefault="00D77B2A" w:rsidP="00D77B2A">
      <w:pPr>
        <w:pStyle w:val="Quote1"/>
        <w:ind w:left="1457" w:hanging="720"/>
      </w:pPr>
      <w:r>
        <w:t>2.</w:t>
      </w:r>
      <w:r>
        <w:tab/>
      </w:r>
      <w:r w:rsidRPr="00E41E9E">
        <w:t xml:space="preserve">any document containing, recording, evidencing or referring to any objection or approval by or of a Relevant Party to the applicants holding themselves out </w:t>
      </w:r>
      <w:r w:rsidRPr="00E41E9E">
        <w:lastRenderedPageBreak/>
        <w:t xml:space="preserve">as able to provide </w:t>
      </w:r>
      <w:proofErr w:type="spellStart"/>
      <w:r w:rsidRPr="00E41E9E">
        <w:t>plantscaping</w:t>
      </w:r>
      <w:proofErr w:type="spellEnd"/>
      <w:r w:rsidRPr="00E41E9E">
        <w:t xml:space="preserve"> services under the </w:t>
      </w:r>
      <w:proofErr w:type="spellStart"/>
      <w:r w:rsidRPr="00E41E9E">
        <w:t>Frenchams</w:t>
      </w:r>
      <w:proofErr w:type="spellEnd"/>
      <w:r w:rsidRPr="00E41E9E">
        <w:t xml:space="preserve"> Brand to any National Customer (as defined in the ASOC) in a state or territory other than New South Wales and/or Queensland;</w:t>
      </w:r>
    </w:p>
    <w:p w:rsidR="00D77B2A" w:rsidRDefault="00D77B2A" w:rsidP="00D77B2A">
      <w:pPr>
        <w:pStyle w:val="Quote1"/>
        <w:ind w:left="1418" w:hanging="720"/>
      </w:pPr>
      <w:r>
        <w:t>4.</w:t>
      </w:r>
      <w:r>
        <w:tab/>
      </w:r>
      <w:proofErr w:type="gramStart"/>
      <w:r w:rsidRPr="00F77907">
        <w:t>any</w:t>
      </w:r>
      <w:proofErr w:type="gramEnd"/>
      <w:r w:rsidRPr="00F77907">
        <w:t xml:space="preserve"> document containing, recording, evidencing or referring to any communications between a Relevant Party or either of them, in relation to:</w:t>
      </w:r>
    </w:p>
    <w:p w:rsidR="00D77B2A" w:rsidRDefault="00D77B2A" w:rsidP="00074AD4">
      <w:pPr>
        <w:pStyle w:val="Quote2"/>
        <w:ind w:left="2160" w:hanging="720"/>
      </w:pPr>
      <w:r>
        <w:t>(a)</w:t>
      </w:r>
      <w:r>
        <w:tab/>
      </w:r>
      <w:proofErr w:type="gramStart"/>
      <w:r>
        <w:t>the</w:t>
      </w:r>
      <w:proofErr w:type="gramEnd"/>
      <w:r>
        <w:t xml:space="preserve"> servicing of the Victorian Sites (as defined in ASOC) by </w:t>
      </w:r>
      <w:proofErr w:type="spellStart"/>
      <w:r>
        <w:t>Treelens</w:t>
      </w:r>
      <w:proofErr w:type="spellEnd"/>
      <w:r>
        <w:t xml:space="preserve"> using equipment branded with ‘Melbourne Indoor Plants’ during the Relevant Period;</w:t>
      </w:r>
    </w:p>
    <w:p w:rsidR="00D77B2A" w:rsidRDefault="00D77B2A" w:rsidP="00074AD4">
      <w:pPr>
        <w:pStyle w:val="Quote2"/>
        <w:ind w:left="2160" w:hanging="720"/>
      </w:pPr>
      <w:r>
        <w:t>(b)</w:t>
      </w:r>
      <w:r>
        <w:tab/>
      </w:r>
      <w:proofErr w:type="spellStart"/>
      <w:r>
        <w:t>Treelens</w:t>
      </w:r>
      <w:proofErr w:type="spellEnd"/>
      <w:r>
        <w:t xml:space="preserve">’ provision of, or the refusal of </w:t>
      </w:r>
      <w:proofErr w:type="spellStart"/>
      <w:r>
        <w:t>Treelens</w:t>
      </w:r>
      <w:proofErr w:type="spellEnd"/>
      <w:r>
        <w:t xml:space="preserve"> to provide, Service Reports (as defined in the ASOC) in connection with the servicing of the Victorian Sites by </w:t>
      </w:r>
      <w:proofErr w:type="spellStart"/>
      <w:r>
        <w:t>Treelens</w:t>
      </w:r>
      <w:proofErr w:type="spellEnd"/>
      <w:r>
        <w:t xml:space="preserve"> during the Relevant Period;</w:t>
      </w:r>
    </w:p>
    <w:p w:rsidR="00D77B2A" w:rsidRDefault="00D77B2A" w:rsidP="00074AD4">
      <w:pPr>
        <w:pStyle w:val="Quote2"/>
        <w:ind w:left="2160" w:hanging="720"/>
      </w:pPr>
      <w:r>
        <w:t>(c)</w:t>
      </w:r>
      <w:r>
        <w:tab/>
      </w:r>
      <w:proofErr w:type="gramStart"/>
      <w:r>
        <w:t>the</w:t>
      </w:r>
      <w:proofErr w:type="gramEnd"/>
      <w:r>
        <w:t xml:space="preserve"> email between Matt Willis and Oliver Madden dated 10 May 2021 pleaded at paragraph 61 of the ASOC;</w:t>
      </w:r>
    </w:p>
    <w:p w:rsidR="00D77B2A" w:rsidRDefault="00D77B2A" w:rsidP="00074AD4">
      <w:pPr>
        <w:pStyle w:val="Quote2"/>
        <w:ind w:left="2160" w:hanging="720"/>
      </w:pPr>
      <w:r>
        <w:t>(d)</w:t>
      </w:r>
      <w:r>
        <w:tab/>
      </w:r>
      <w:proofErr w:type="gramStart"/>
      <w:r>
        <w:t>the</w:t>
      </w:r>
      <w:proofErr w:type="gramEnd"/>
      <w:r>
        <w:t xml:space="preserve"> email between Micah Jacobs and Alan Harrison dated 10 May 2021 pleaded at </w:t>
      </w:r>
      <w:r w:rsidRPr="00F77907">
        <w:t xml:space="preserve">paragraph 63 of the ASOC, including but not limited to the purchase order referred to </w:t>
      </w:r>
      <w:proofErr w:type="spellStart"/>
      <w:r w:rsidRPr="00F77907">
        <w:t>at</w:t>
      </w:r>
      <w:proofErr w:type="spellEnd"/>
      <w:r w:rsidRPr="00F77907">
        <w:t xml:space="preserve"> paragraph 61(</w:t>
      </w:r>
      <w:proofErr w:type="spellStart"/>
      <w:r w:rsidRPr="00F77907">
        <w:t>i</w:t>
      </w:r>
      <w:proofErr w:type="spellEnd"/>
      <w:r w:rsidRPr="00F77907">
        <w:t>) of the Defence;</w:t>
      </w:r>
    </w:p>
    <w:p w:rsidR="00D77B2A" w:rsidRDefault="00D77B2A" w:rsidP="00074AD4">
      <w:pPr>
        <w:pStyle w:val="Quote2"/>
        <w:ind w:left="2160" w:hanging="720"/>
      </w:pPr>
      <w:r>
        <w:t>(e)</w:t>
      </w:r>
      <w:r>
        <w:tab/>
      </w:r>
      <w:proofErr w:type="gramStart"/>
      <w:r>
        <w:t>any</w:t>
      </w:r>
      <w:proofErr w:type="gramEnd"/>
      <w:r>
        <w:t xml:space="preserve"> Safe Work Method Statement in connection with the Southland Site (as defined in the ASOC);</w:t>
      </w:r>
    </w:p>
    <w:p w:rsidR="00D77B2A" w:rsidRDefault="00D77B2A" w:rsidP="00074AD4">
      <w:pPr>
        <w:pStyle w:val="Quote2"/>
        <w:ind w:left="2160" w:hanging="720"/>
      </w:pPr>
      <w:r>
        <w:t>(f)</w:t>
      </w:r>
      <w:r>
        <w:tab/>
      </w:r>
      <w:proofErr w:type="gramStart"/>
      <w:r>
        <w:t>in</w:t>
      </w:r>
      <w:proofErr w:type="gramEnd"/>
      <w:r>
        <w:t xml:space="preserve"> so far as paragraph 70 of the ASOC is concerned:</w:t>
      </w:r>
    </w:p>
    <w:p w:rsidR="00D77B2A" w:rsidRDefault="00D77B2A" w:rsidP="00074AD4">
      <w:pPr>
        <w:pStyle w:val="Quote3"/>
        <w:ind w:left="2880" w:hanging="720"/>
      </w:pPr>
      <w:r>
        <w:t>(A)</w:t>
      </w:r>
      <w:r>
        <w:tab/>
      </w:r>
      <w:proofErr w:type="gramStart"/>
      <w:r>
        <w:t>the</w:t>
      </w:r>
      <w:proofErr w:type="gramEnd"/>
      <w:r>
        <w:t xml:space="preserve"> purchase of a new harness by any Relevant Party;</w:t>
      </w:r>
    </w:p>
    <w:p w:rsidR="00D77B2A" w:rsidRDefault="00D77B2A" w:rsidP="00074AD4">
      <w:pPr>
        <w:pStyle w:val="Quote3"/>
        <w:ind w:left="2880" w:hanging="720"/>
      </w:pPr>
      <w:r>
        <w:t>(B)</w:t>
      </w:r>
      <w:r>
        <w:tab/>
      </w:r>
      <w:proofErr w:type="gramStart"/>
      <w:r>
        <w:t>the</w:t>
      </w:r>
      <w:proofErr w:type="gramEnd"/>
      <w:r>
        <w:t xml:space="preserve"> inability to locate any Safe Work Method Statement for the Southland Site; and</w:t>
      </w:r>
    </w:p>
    <w:p w:rsidR="00D77B2A" w:rsidRDefault="00D77B2A" w:rsidP="00074AD4">
      <w:pPr>
        <w:pStyle w:val="Quote3"/>
        <w:ind w:left="2880" w:hanging="720"/>
      </w:pPr>
      <w:r>
        <w:t>(C)</w:t>
      </w:r>
      <w:r>
        <w:tab/>
      </w:r>
      <w:proofErr w:type="gramStart"/>
      <w:r>
        <w:t>ceasing</w:t>
      </w:r>
      <w:proofErr w:type="gramEnd"/>
      <w:r>
        <w:t xml:space="preserve"> all services to the Southland Site, whether temporary or permanent;</w:t>
      </w:r>
    </w:p>
    <w:p w:rsidR="00D77B2A" w:rsidRDefault="00D77B2A" w:rsidP="00074AD4">
      <w:pPr>
        <w:pStyle w:val="Quote2"/>
        <w:ind w:left="2160" w:hanging="720"/>
      </w:pPr>
      <w:r>
        <w:t>(g)</w:t>
      </w:r>
      <w:r>
        <w:tab/>
      </w:r>
      <w:proofErr w:type="gramStart"/>
      <w:r>
        <w:t>the</w:t>
      </w:r>
      <w:proofErr w:type="gramEnd"/>
      <w:r>
        <w:t xml:space="preserve"> use by </w:t>
      </w:r>
      <w:proofErr w:type="spellStart"/>
      <w:r>
        <w:t>Treelens</w:t>
      </w:r>
      <w:proofErr w:type="spellEnd"/>
      <w:r>
        <w:t xml:space="preserve"> of the </w:t>
      </w:r>
      <w:proofErr w:type="spellStart"/>
      <w:r>
        <w:t>Frenchams</w:t>
      </w:r>
      <w:proofErr w:type="spellEnd"/>
      <w:r>
        <w:t xml:space="preserve"> Array Pot in the Melbourne Indoor Plants business;</w:t>
      </w:r>
    </w:p>
    <w:p w:rsidR="00D77B2A" w:rsidRDefault="00D77B2A" w:rsidP="00074AD4">
      <w:pPr>
        <w:pStyle w:val="Quote2"/>
        <w:ind w:left="2160" w:hanging="720"/>
      </w:pPr>
      <w:r>
        <w:t>(h)</w:t>
      </w:r>
      <w:r>
        <w:tab/>
      </w:r>
      <w:proofErr w:type="gramStart"/>
      <w:r>
        <w:t>the</w:t>
      </w:r>
      <w:proofErr w:type="gramEnd"/>
      <w:r>
        <w:t xml:space="preserve"> June 2021 Report (as defined in the ASOC) during the Relevant Period;</w:t>
      </w:r>
    </w:p>
    <w:p w:rsidR="00D77B2A" w:rsidRDefault="00D77B2A" w:rsidP="00074AD4">
      <w:pPr>
        <w:pStyle w:val="Quote2"/>
        <w:ind w:left="2160" w:hanging="720"/>
      </w:pPr>
      <w:r>
        <w:t>(</w:t>
      </w:r>
      <w:proofErr w:type="spellStart"/>
      <w:r w:rsidRPr="00F77907">
        <w:t>i</w:t>
      </w:r>
      <w:proofErr w:type="spellEnd"/>
      <w:r w:rsidRPr="00F77907">
        <w:t xml:space="preserve">) </w:t>
      </w:r>
      <w:r>
        <w:tab/>
      </w:r>
      <w:r w:rsidRPr="00F77907">
        <w:t xml:space="preserve">any </w:t>
      </w:r>
      <w:proofErr w:type="spellStart"/>
      <w:r w:rsidRPr="00F77907">
        <w:t>Treelens</w:t>
      </w:r>
      <w:proofErr w:type="spellEnd"/>
      <w:r w:rsidRPr="00F77907">
        <w:t xml:space="preserve"> employee or representative working</w:t>
      </w:r>
      <w:r>
        <w:t xml:space="preserve"> </w:t>
      </w:r>
      <w:r w:rsidRPr="00F77907">
        <w:t>at heights above 2 metres without a harness or</w:t>
      </w:r>
      <w:r>
        <w:t xml:space="preserve"> </w:t>
      </w:r>
      <w:r w:rsidRPr="00F77907">
        <w:t>otherwise in breach of the Occupational Health and Safety Regulations 2017 (VIC) at the Westfield Shopping Centre, Southland Site in Victoria during the Relevant Period; and</w:t>
      </w:r>
    </w:p>
    <w:p w:rsidR="00D77B2A" w:rsidRDefault="00D77B2A" w:rsidP="00074AD4">
      <w:pPr>
        <w:pStyle w:val="Quote2"/>
        <w:ind w:left="2160" w:hanging="720"/>
      </w:pPr>
      <w:r w:rsidRPr="00F77907">
        <w:t xml:space="preserve">(j) </w:t>
      </w:r>
      <w:r>
        <w:tab/>
      </w:r>
      <w:r w:rsidRPr="00F77907">
        <w:t>the incident that occurred between 6.00am and</w:t>
      </w:r>
      <w:r>
        <w:t xml:space="preserve"> </w:t>
      </w:r>
      <w:r w:rsidRPr="00F77907">
        <w:t>7.00am on 21 January 2022 between Michael Verge, Jason Muscat and Mark Thompson at Westfield Doncaster;</w:t>
      </w:r>
    </w:p>
    <w:p w:rsidR="00D77B2A" w:rsidRDefault="00D77B2A" w:rsidP="00D77B2A">
      <w:pPr>
        <w:pStyle w:val="Quote1"/>
        <w:ind w:left="1304" w:hanging="567"/>
      </w:pPr>
      <w:r>
        <w:t>7.</w:t>
      </w:r>
      <w:r>
        <w:tab/>
      </w:r>
      <w:r w:rsidRPr="00CB5F15">
        <w:t xml:space="preserve">any document containing, recording, evidencing or referring to any complaint, service difficulty, error, omission, neglect, oversight, received by or communicated to </w:t>
      </w:r>
      <w:proofErr w:type="spellStart"/>
      <w:r w:rsidRPr="00CB5F15">
        <w:t>Treelens</w:t>
      </w:r>
      <w:proofErr w:type="spellEnd"/>
      <w:r w:rsidRPr="00CB5F15">
        <w:t xml:space="preserve"> from a National Customer in connection with services provided (or not provided, but should have been) by </w:t>
      </w:r>
      <w:proofErr w:type="spellStart"/>
      <w:r w:rsidRPr="00CB5F15">
        <w:t>Treelens</w:t>
      </w:r>
      <w:proofErr w:type="spellEnd"/>
      <w:r w:rsidRPr="00CB5F15">
        <w:t xml:space="preserve"> during the period 1 July 2017 and the date of this letter;</w:t>
      </w:r>
      <w:r>
        <w:t xml:space="preserve"> </w:t>
      </w:r>
    </w:p>
    <w:p w:rsidR="00D77B2A" w:rsidRDefault="00D77B2A" w:rsidP="00D77B2A">
      <w:pPr>
        <w:pStyle w:val="Quote1"/>
        <w:ind w:left="1304" w:hanging="567"/>
      </w:pPr>
      <w:r>
        <w:t>8.</w:t>
      </w:r>
      <w:r>
        <w:tab/>
      </w:r>
      <w:r w:rsidRPr="00CB5F15">
        <w:t>any document containing, recording, evidencing or referring to any receipt, acknowledgement, agreement, objection or refusal of or to the “National Goodwill Policy” by you or anybody on your behalf during the Relevant Period;</w:t>
      </w:r>
    </w:p>
    <w:p w:rsidR="00D77B2A" w:rsidRDefault="00D77B2A" w:rsidP="00D77B2A">
      <w:pPr>
        <w:pStyle w:val="ParaNumbering"/>
      </w:pPr>
      <w:r w:rsidRPr="00D77B2A">
        <w:rPr>
          <w:i/>
        </w:rPr>
        <w:lastRenderedPageBreak/>
        <w:t>“Relevant Party”</w:t>
      </w:r>
      <w:r>
        <w:t xml:space="preserve"> is defined as: </w:t>
      </w:r>
      <w:r w:rsidRPr="00D77B2A">
        <w:rPr>
          <w:i/>
        </w:rPr>
        <w:t xml:space="preserve">“any employee or representative of </w:t>
      </w:r>
      <w:proofErr w:type="spellStart"/>
      <w:r w:rsidRPr="00D77B2A">
        <w:rPr>
          <w:i/>
        </w:rPr>
        <w:t>Mansito</w:t>
      </w:r>
      <w:proofErr w:type="spellEnd"/>
      <w:r w:rsidRPr="00D77B2A">
        <w:rPr>
          <w:i/>
        </w:rPr>
        <w:t xml:space="preserve"> Helena Nominees Pty Limited, Tony </w:t>
      </w:r>
      <w:proofErr w:type="spellStart"/>
      <w:r w:rsidRPr="00D77B2A">
        <w:rPr>
          <w:i/>
        </w:rPr>
        <w:t>Gerraty</w:t>
      </w:r>
      <w:proofErr w:type="spellEnd"/>
      <w:r w:rsidRPr="00D77B2A">
        <w:rPr>
          <w:i/>
        </w:rPr>
        <w:t xml:space="preserve">, Matthew </w:t>
      </w:r>
      <w:proofErr w:type="spellStart"/>
      <w:r w:rsidRPr="00D77B2A">
        <w:rPr>
          <w:i/>
        </w:rPr>
        <w:t>Gerraty</w:t>
      </w:r>
      <w:proofErr w:type="spellEnd"/>
      <w:r w:rsidRPr="00D77B2A">
        <w:rPr>
          <w:i/>
        </w:rPr>
        <w:t xml:space="preserve">, Peter </w:t>
      </w:r>
      <w:proofErr w:type="spellStart"/>
      <w:r w:rsidRPr="00D77B2A">
        <w:rPr>
          <w:i/>
        </w:rPr>
        <w:t>Gerraty</w:t>
      </w:r>
      <w:proofErr w:type="spellEnd"/>
      <w:r w:rsidRPr="00D77B2A">
        <w:rPr>
          <w:i/>
        </w:rPr>
        <w:t xml:space="preserve">, any employee or representative of </w:t>
      </w:r>
      <w:proofErr w:type="spellStart"/>
      <w:r w:rsidRPr="00D77B2A">
        <w:rPr>
          <w:i/>
        </w:rPr>
        <w:t>Treelens</w:t>
      </w:r>
      <w:proofErr w:type="spellEnd"/>
      <w:r w:rsidRPr="00D77B2A">
        <w:rPr>
          <w:i/>
        </w:rPr>
        <w:t xml:space="preserve"> Pty Limited, Michael Verge or Matthew Willis or any or either of them, separately or collectively”</w:t>
      </w:r>
      <w:r>
        <w:t>.</w:t>
      </w:r>
    </w:p>
    <w:p w:rsidR="0088454F" w:rsidRDefault="00FC780F" w:rsidP="00E41E9E">
      <w:pPr>
        <w:pStyle w:val="ParaNumbering"/>
      </w:pPr>
      <w:r>
        <w:t>Prior to making an order for discovery, t</w:t>
      </w:r>
      <w:r w:rsidR="00347ED6">
        <w:t xml:space="preserve">he Court must be satisfied that the making of the order would facilitate the just resolution of the proceeding, as quickly, inexpensively and efficiently as possible. This is implicit in r 20.11 and is consistent with the overarching purpose set out in s 37M of the </w:t>
      </w:r>
      <w:r w:rsidR="00347ED6" w:rsidRPr="00B016C2">
        <w:rPr>
          <w:i/>
        </w:rPr>
        <w:t xml:space="preserve">Federal Court of Australia Act 1976 </w:t>
      </w:r>
      <w:r w:rsidR="00347ED6" w:rsidRPr="00B016C2">
        <w:t>(</w:t>
      </w:r>
      <w:proofErr w:type="spellStart"/>
      <w:r w:rsidR="00347ED6" w:rsidRPr="00B016C2">
        <w:t>Cth</w:t>
      </w:r>
      <w:proofErr w:type="spellEnd"/>
      <w:r w:rsidR="00347ED6" w:rsidRPr="00B016C2">
        <w:t>)</w:t>
      </w:r>
      <w:r w:rsidR="00347ED6">
        <w:t xml:space="preserve">. </w:t>
      </w:r>
      <w:r w:rsidR="00983967">
        <w:t xml:space="preserve">Rule 20.15(3) requires an affidavit stating why the order should be made. </w:t>
      </w:r>
    </w:p>
    <w:p w:rsidR="00347ED6" w:rsidRDefault="00347ED6" w:rsidP="00E41E9E">
      <w:pPr>
        <w:pStyle w:val="ParaNumbering"/>
      </w:pPr>
      <w:r>
        <w:t>I am not persuaded that the making of the order would facilitate the just resolution of th</w:t>
      </w:r>
      <w:r w:rsidR="00983967">
        <w:t>is</w:t>
      </w:r>
      <w:r>
        <w:t xml:space="preserve"> proceeding as quickly, inexpensively and efficiently as possible, for the following reasons.</w:t>
      </w:r>
    </w:p>
    <w:p w:rsidR="0088627B" w:rsidRDefault="0088627B" w:rsidP="0030653A">
      <w:pPr>
        <w:pStyle w:val="ParaNumbering"/>
      </w:pPr>
      <w:r w:rsidRPr="00FC780F">
        <w:rPr>
          <w:i/>
        </w:rPr>
        <w:t>First</w:t>
      </w:r>
      <w:r w:rsidR="0088454F">
        <w:t xml:space="preserve">, the </w:t>
      </w:r>
      <w:r w:rsidR="00FC780F">
        <w:t>applicants</w:t>
      </w:r>
      <w:r w:rsidR="00C938E1">
        <w:t>’</w:t>
      </w:r>
      <w:r w:rsidR="00FC780F">
        <w:t xml:space="preserve"> evidence </w:t>
      </w:r>
      <w:r w:rsidR="00F308AC">
        <w:t xml:space="preserve">on this application </w:t>
      </w:r>
      <w:r w:rsidR="00FC780F">
        <w:t>did not address the critical question as to why the order should be made (i.e. why it would facilitate the just resolution of the proceeding, as quickly, inexpensively and efficiently as possible), beyond addressing the question of relevance. W</w:t>
      </w:r>
      <w:r>
        <w:t>hilst establishing relevance is necessary, it is not sufficient.</w:t>
      </w:r>
      <w:r w:rsidR="00030D16">
        <w:t xml:space="preserve"> As counsel for the </w:t>
      </w:r>
      <w:proofErr w:type="spellStart"/>
      <w:r w:rsidR="00030D16">
        <w:t>Treelens</w:t>
      </w:r>
      <w:proofErr w:type="spellEnd"/>
      <w:r w:rsidR="00030D16">
        <w:t xml:space="preserve"> Parties submitted, joinder of issue is an insufficient basis for an order for discovery in this Court.</w:t>
      </w:r>
    </w:p>
    <w:p w:rsidR="00FC780F" w:rsidRDefault="0088627B" w:rsidP="00D17295">
      <w:pPr>
        <w:pStyle w:val="ParaNumbering"/>
      </w:pPr>
      <w:r>
        <w:t>F</w:t>
      </w:r>
      <w:r w:rsidR="0088454F">
        <w:t>or example, there is no evidence before the Court which addresses the importance of the documentation sought (CPN1, [10.6(d</w:t>
      </w:r>
      <w:proofErr w:type="gramStart"/>
      <w:r w:rsidR="0088454F">
        <w:t>)(</w:t>
      </w:r>
      <w:proofErr w:type="gramEnd"/>
      <w:r w:rsidR="0088454F">
        <w:t>ii)]</w:t>
      </w:r>
      <w:r w:rsidR="00FA5D18">
        <w:t>)</w:t>
      </w:r>
      <w:r>
        <w:t>;</w:t>
      </w:r>
      <w:r w:rsidR="0088454F">
        <w:t xml:space="preserve"> or how the documents sought are or are very likely to be significantly probative; or materially supportive of</w:t>
      </w:r>
      <w:r w:rsidR="00FA5D18">
        <w:t>,</w:t>
      </w:r>
      <w:r w:rsidR="0088454F">
        <w:t xml:space="preserve"> or materially adverse to any party’s case in the proceeding (CPN1, [10.6(d)(iv)]</w:t>
      </w:r>
      <w:r w:rsidR="00FA5D18">
        <w:t>)</w:t>
      </w:r>
      <w:r w:rsidR="0088454F">
        <w:t>.</w:t>
      </w:r>
      <w:r w:rsidR="00030D16">
        <w:t xml:space="preserve"> </w:t>
      </w:r>
      <w:r w:rsidR="00FC780F">
        <w:t xml:space="preserve">In this regard, I note that outlines of evidence have been exchanged and the proceeding is set down for hearing commencing on 18 June 2022. In this framework, it was open to the applicants to seek to demonstrate that the documents sought might be used, for example, to contradict evidence of the respondents’ witnesses or to bolster the evidence of a witness for the applicant where it was expected that the respondents would seek to impugn that evidence. Other examples </w:t>
      </w:r>
      <w:r w:rsidR="00030D16">
        <w:t xml:space="preserve">as to how consistency with the overarching purpose might have been shown </w:t>
      </w:r>
      <w:r w:rsidR="00FC780F">
        <w:t xml:space="preserve">are available. The point is that the applicants’ evidence and submissions did not seek to do more </w:t>
      </w:r>
      <w:r w:rsidR="00030D16">
        <w:t>than demonstrate the relevance of</w:t>
      </w:r>
      <w:r w:rsidR="00FC780F">
        <w:t xml:space="preserve"> the categories, in a general way, to the pleadings</w:t>
      </w:r>
      <w:r w:rsidR="006E28FD">
        <w:t xml:space="preserve"> and to one paragraph of one outline of evidence</w:t>
      </w:r>
      <w:r w:rsidR="00FC780F">
        <w:t>.</w:t>
      </w:r>
    </w:p>
    <w:p w:rsidR="0088454F" w:rsidRDefault="00FC780F" w:rsidP="00E41E9E">
      <w:pPr>
        <w:pStyle w:val="ParaNumbering"/>
      </w:pPr>
      <w:r>
        <w:rPr>
          <w:i/>
        </w:rPr>
        <w:lastRenderedPageBreak/>
        <w:t>Secondly</w:t>
      </w:r>
      <w:r w:rsidR="0088454F">
        <w:t>, the categories are not limited or targeted (CPN1, [10.6(d</w:t>
      </w:r>
      <w:proofErr w:type="gramStart"/>
      <w:r w:rsidR="0088454F">
        <w:t>)(</w:t>
      </w:r>
      <w:proofErr w:type="gramEnd"/>
      <w:r w:rsidR="0088454F">
        <w:t>iii)]</w:t>
      </w:r>
      <w:r w:rsidR="00FA5D18">
        <w:t>)</w:t>
      </w:r>
      <w:r w:rsidR="0088454F">
        <w:t xml:space="preserve"> and instead call for </w:t>
      </w:r>
      <w:r w:rsidR="0088454F">
        <w:rPr>
          <w:i/>
        </w:rPr>
        <w:t>“any document containing, recording, evidencing or referring to”</w:t>
      </w:r>
      <w:r w:rsidR="0088454F">
        <w:t xml:space="preserve"> particular things. The width of categories commencing w</w:t>
      </w:r>
      <w:r w:rsidR="00FA5D18">
        <w:t>ith these words is self-evident</w:t>
      </w:r>
      <w:r w:rsidR="0088454F">
        <w:t>.</w:t>
      </w:r>
    </w:p>
    <w:p w:rsidR="00983C72" w:rsidRDefault="0088627B" w:rsidP="00C73543">
      <w:pPr>
        <w:pStyle w:val="ParaNumbering"/>
      </w:pPr>
      <w:r>
        <w:t xml:space="preserve">None of the above should be taken as an acceptance that the documents sought are relevant. I have doubts as to the relevance of </w:t>
      </w:r>
      <w:r w:rsidR="00F308AC">
        <w:t>some</w:t>
      </w:r>
      <w:r>
        <w:t xml:space="preserve"> of the documents </w:t>
      </w:r>
      <w:r w:rsidR="00F308AC">
        <w:t>caught by the proposed categories</w:t>
      </w:r>
      <w:r>
        <w:t xml:space="preserve">, however it is unnecessary to address the question of relevance </w:t>
      </w:r>
      <w:r w:rsidR="00FC780F">
        <w:t xml:space="preserve">further </w:t>
      </w:r>
      <w:r>
        <w:t>when, for the reasons set out above</w:t>
      </w:r>
      <w:r w:rsidR="00983967">
        <w:t>,</w:t>
      </w:r>
      <w:r>
        <w:t xml:space="preserve"> the </w:t>
      </w:r>
      <w:r w:rsidR="00F308AC">
        <w:t xml:space="preserve">mere </w:t>
      </w:r>
      <w:r>
        <w:t xml:space="preserve">establishment of relevance would be an insufficient basis </w:t>
      </w:r>
      <w:r w:rsidR="000E4D9A">
        <w:t>upon which to make the order sought</w:t>
      </w:r>
      <w:r>
        <w:t>.</w:t>
      </w:r>
    </w:p>
    <w:p w:rsidR="00983967" w:rsidRDefault="00983967" w:rsidP="00983967">
      <w:pPr>
        <w:pStyle w:val="Heading1"/>
      </w:pPr>
      <w:r>
        <w:t xml:space="preserve">CONCLUSION </w:t>
      </w:r>
    </w:p>
    <w:p w:rsidR="00983967" w:rsidRPr="00983C72" w:rsidRDefault="00983967" w:rsidP="00C73543">
      <w:pPr>
        <w:pStyle w:val="ParaNumbering"/>
      </w:pPr>
      <w:r>
        <w:t>For the reasons set out above, the application should be dismissed, with costs.</w:t>
      </w:r>
    </w:p>
    <w:p w:rsidR="00007CFC" w:rsidRDefault="00007CFC" w:rsidP="00815065">
      <w:pPr>
        <w:pStyle w:val="BodyText"/>
      </w:pPr>
      <w:bookmarkStart w:id="21" w:name="Certification"/>
    </w:p>
    <w:tbl>
      <w:tblPr>
        <w:tblW w:w="0" w:type="auto"/>
        <w:tblLook w:val="04A0" w:firstRow="1" w:lastRow="0" w:firstColumn="1" w:lastColumn="0" w:noHBand="0" w:noVBand="1"/>
      </w:tblPr>
      <w:tblGrid>
        <w:gridCol w:w="3794"/>
      </w:tblGrid>
      <w:tr w:rsidR="00007CFC" w:rsidRPr="00007CFC">
        <w:tc>
          <w:tcPr>
            <w:tcW w:w="3794" w:type="dxa"/>
            <w:shd w:val="clear" w:color="auto" w:fill="auto"/>
          </w:tcPr>
          <w:p w:rsidR="00007CFC" w:rsidRPr="00007CFC" w:rsidRDefault="00007CFC" w:rsidP="00007CFC">
            <w:pPr>
              <w:pStyle w:val="Normal1linespace"/>
            </w:pPr>
            <w:r w:rsidRPr="00007CFC">
              <w:t xml:space="preserve">I certify that the preceding </w:t>
            </w:r>
            <w:bookmarkStart w:id="22" w:name="NumberWord"/>
            <w:r w:rsidR="00983967">
              <w:t>eighteen</w:t>
            </w:r>
            <w:bookmarkEnd w:id="22"/>
            <w:r w:rsidRPr="00007CFC">
              <w:t xml:space="preserve"> (</w:t>
            </w:r>
            <w:bookmarkStart w:id="23" w:name="NumberNumeral"/>
            <w:r w:rsidR="00983967">
              <w:t>18</w:t>
            </w:r>
            <w:bookmarkEnd w:id="23"/>
            <w:r w:rsidRPr="00007CFC">
              <w:t xml:space="preserve">) numbered </w:t>
            </w:r>
            <w:bookmarkStart w:id="24" w:name="CertPara"/>
            <w:r w:rsidR="00983967">
              <w:t>paragraphs are</w:t>
            </w:r>
            <w:bookmarkEnd w:id="24"/>
            <w:r w:rsidRPr="00007CFC">
              <w:t xml:space="preserve"> a true copy of the Reasons for Judgment of </w:t>
            </w:r>
            <w:bookmarkStart w:id="25" w:name="bkHonourable"/>
            <w:r w:rsidRPr="00007CFC">
              <w:t xml:space="preserve">the Honourable </w:t>
            </w:r>
            <w:bookmarkStart w:id="26" w:name="Justice"/>
            <w:bookmarkEnd w:id="25"/>
            <w:r w:rsidR="00983967">
              <w:t>Justice Goodman</w:t>
            </w:r>
            <w:bookmarkEnd w:id="26"/>
            <w:r w:rsidRPr="00007CFC">
              <w:t>.</w:t>
            </w:r>
          </w:p>
        </w:tc>
      </w:tr>
    </w:tbl>
    <w:p w:rsidR="00007CFC" w:rsidRDefault="00007CFC" w:rsidP="00815065">
      <w:pPr>
        <w:pStyle w:val="BodyText"/>
      </w:pPr>
    </w:p>
    <w:p w:rsidR="00007CFC" w:rsidRDefault="00007CFC" w:rsidP="00815065">
      <w:pPr>
        <w:pStyle w:val="BodyText"/>
      </w:pPr>
      <w:bookmarkStart w:id="27" w:name="_GoBack"/>
      <w:bookmarkEnd w:id="27"/>
    </w:p>
    <w:p w:rsidR="00007CFC" w:rsidRDefault="00007CFC" w:rsidP="00815065">
      <w:pPr>
        <w:pStyle w:val="BodyText"/>
      </w:pPr>
      <w:r>
        <w:t>Associate:</w:t>
      </w:r>
      <w:r w:rsidR="00C66CC0">
        <w:tab/>
      </w:r>
    </w:p>
    <w:p w:rsidR="00007CFC" w:rsidRDefault="00007CFC" w:rsidP="00815065">
      <w:pPr>
        <w:pStyle w:val="BodyText"/>
      </w:pPr>
    </w:p>
    <w:p w:rsidR="00007CFC" w:rsidRDefault="00007CFC" w:rsidP="00815065">
      <w:pPr>
        <w:pStyle w:val="BodyText"/>
        <w:tabs>
          <w:tab w:val="left" w:pos="1134"/>
        </w:tabs>
      </w:pPr>
      <w:r>
        <w:t>Dated:</w:t>
      </w:r>
      <w:r>
        <w:tab/>
      </w:r>
      <w:r w:rsidR="00C66CC0">
        <w:t>29 June 2022</w:t>
      </w:r>
    </w:p>
    <w:p w:rsidR="00007CFC" w:rsidRDefault="00007CFC" w:rsidP="00815065">
      <w:pPr>
        <w:pStyle w:val="BodyText"/>
      </w:pPr>
    </w:p>
    <w:bookmarkEnd w:id="21"/>
    <w:p w:rsidR="006357E6" w:rsidRDefault="006357E6" w:rsidP="00007CFC">
      <w:pPr>
        <w:pStyle w:val="BodyText"/>
      </w:pPr>
      <w:r>
        <w:br w:type="page"/>
      </w:r>
    </w:p>
    <w:p w:rsidR="00A049FA" w:rsidRPr="00CD498A" w:rsidRDefault="00A049FA" w:rsidP="00E91A0F">
      <w:pPr>
        <w:pStyle w:val="NormalHeadings"/>
        <w:spacing w:before="180" w:line="480" w:lineRule="auto"/>
        <w:jc w:val="center"/>
        <w:rPr>
          <w:sz w:val="28"/>
          <w:szCs w:val="28"/>
        </w:rPr>
      </w:pPr>
      <w:bookmarkStart w:id="28" w:name="SOP_Section"/>
      <w:r w:rsidRPr="00CD498A">
        <w:rPr>
          <w:sz w:val="28"/>
          <w:szCs w:val="28"/>
        </w:rPr>
        <w:lastRenderedPageBreak/>
        <w:t>SCHEDULE OF PARTIES</w:t>
      </w:r>
    </w:p>
    <w:p w:rsidR="00A049FA" w:rsidRPr="00663089" w:rsidRDefault="00A049FA" w:rsidP="00234E15">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A049FA" w:rsidTr="00A049FA">
        <w:tc>
          <w:tcPr>
            <w:tcW w:w="3368" w:type="dxa"/>
          </w:tcPr>
          <w:p w:rsidR="00A049FA" w:rsidRDefault="00A049FA" w:rsidP="00234E15">
            <w:pPr>
              <w:pStyle w:val="NormalHeadings"/>
              <w:jc w:val="left"/>
              <w:rPr>
                <w:caps/>
                <w:szCs w:val="24"/>
              </w:rPr>
            </w:pPr>
          </w:p>
        </w:tc>
        <w:tc>
          <w:tcPr>
            <w:tcW w:w="5874" w:type="dxa"/>
          </w:tcPr>
          <w:p w:rsidR="00A049FA" w:rsidRDefault="009B27BC" w:rsidP="00234E15">
            <w:pPr>
              <w:pStyle w:val="NormalHeadings"/>
              <w:jc w:val="right"/>
            </w:pPr>
            <w:r>
              <w:fldChar w:fldCharType="begin" w:fldLock="1"/>
            </w:r>
            <w:r>
              <w:instrText xml:space="preserve"> REF  FileNo </w:instrText>
            </w:r>
            <w:r>
              <w:fldChar w:fldCharType="separate"/>
            </w:r>
            <w:r w:rsidR="00A049FA">
              <w:t>NSD 845 of 2021</w:t>
            </w:r>
            <w:r>
              <w:fldChar w:fldCharType="end"/>
            </w:r>
          </w:p>
        </w:tc>
      </w:tr>
      <w:tr w:rsidR="00A049FA" w:rsidTr="00A049FA">
        <w:trPr>
          <w:trHeight w:val="386"/>
        </w:trPr>
        <w:tc>
          <w:tcPr>
            <w:tcW w:w="3368" w:type="dxa"/>
          </w:tcPr>
          <w:p w:rsidR="00A049FA" w:rsidRDefault="00A049FA" w:rsidP="00234E15">
            <w:pPr>
              <w:pStyle w:val="BodyTextBold"/>
              <w:spacing w:before="180"/>
              <w:jc w:val="left"/>
            </w:pPr>
            <w:bookmarkStart w:id="29" w:name="SOP_CrossRespondentRows" w:colFirst="0" w:colLast="1"/>
            <w:r>
              <w:t>Cross-Respondents</w:t>
            </w:r>
          </w:p>
        </w:tc>
        <w:tc>
          <w:tcPr>
            <w:tcW w:w="5874" w:type="dxa"/>
            <w:tcMar>
              <w:left w:w="28" w:type="dxa"/>
            </w:tcMar>
          </w:tcPr>
          <w:p w:rsidR="00A049FA" w:rsidRDefault="00A049FA" w:rsidP="00234E15">
            <w:pPr>
              <w:pStyle w:val="BodyText"/>
              <w:jc w:val="left"/>
            </w:pPr>
          </w:p>
        </w:tc>
      </w:tr>
      <w:tr w:rsidR="00A049FA" w:rsidTr="00A049FA">
        <w:trPr>
          <w:trHeight w:val="386"/>
        </w:trPr>
        <w:tc>
          <w:tcPr>
            <w:tcW w:w="3368" w:type="dxa"/>
          </w:tcPr>
          <w:p w:rsidR="00A049FA" w:rsidRPr="007B4DC5" w:rsidRDefault="00A049FA" w:rsidP="00234E15">
            <w:pPr>
              <w:pStyle w:val="BodyText"/>
              <w:spacing w:after="240" w:line="240" w:lineRule="auto"/>
              <w:jc w:val="left"/>
            </w:pPr>
            <w:bookmarkStart w:id="30" w:name="SOP_FirstCrossRespondent"/>
            <w:bookmarkEnd w:id="30"/>
            <w:r>
              <w:t>Second Cross-Respondent</w:t>
            </w:r>
          </w:p>
        </w:tc>
        <w:tc>
          <w:tcPr>
            <w:tcW w:w="5874" w:type="dxa"/>
            <w:tcMar>
              <w:left w:w="28" w:type="dxa"/>
            </w:tcMar>
          </w:tcPr>
          <w:p w:rsidR="00A049FA" w:rsidRDefault="00A049FA" w:rsidP="00234E15">
            <w:pPr>
              <w:pStyle w:val="BodyText"/>
              <w:spacing w:after="240" w:line="240" w:lineRule="auto"/>
              <w:jc w:val="left"/>
            </w:pPr>
            <w:r>
              <w:t>BRISPLANTS PTY LIMITED ACN 624 174 796</w:t>
            </w:r>
          </w:p>
        </w:tc>
      </w:tr>
      <w:tr w:rsidR="00A049FA" w:rsidTr="00A049FA">
        <w:trPr>
          <w:trHeight w:val="386"/>
        </w:trPr>
        <w:tc>
          <w:tcPr>
            <w:tcW w:w="3368" w:type="dxa"/>
          </w:tcPr>
          <w:p w:rsidR="00A049FA" w:rsidRDefault="00A049FA" w:rsidP="00234E15">
            <w:pPr>
              <w:pStyle w:val="BodyText"/>
              <w:spacing w:after="240" w:line="240" w:lineRule="auto"/>
              <w:jc w:val="left"/>
            </w:pPr>
            <w:r>
              <w:t>Third Cross-Respondent</w:t>
            </w:r>
          </w:p>
        </w:tc>
        <w:tc>
          <w:tcPr>
            <w:tcW w:w="5874" w:type="dxa"/>
            <w:tcMar>
              <w:left w:w="28" w:type="dxa"/>
            </w:tcMar>
          </w:tcPr>
          <w:p w:rsidR="00A049FA" w:rsidRDefault="00A049FA" w:rsidP="00234E15">
            <w:pPr>
              <w:pStyle w:val="BodyText"/>
              <w:spacing w:after="240" w:line="240" w:lineRule="auto"/>
              <w:jc w:val="left"/>
            </w:pPr>
            <w:r>
              <w:t>GERARD PATRICK VERGE</w:t>
            </w:r>
          </w:p>
        </w:tc>
      </w:tr>
      <w:bookmarkEnd w:id="29"/>
    </w:tbl>
    <w:p w:rsidR="00A049FA" w:rsidRDefault="00A049FA" w:rsidP="002B0E91">
      <w:pPr>
        <w:pStyle w:val="BodyText"/>
      </w:pPr>
    </w:p>
    <w:bookmarkEnd w:id="28"/>
    <w:p w:rsidR="006357E6" w:rsidRDefault="006357E6" w:rsidP="006357E6">
      <w:pPr>
        <w:pStyle w:val="BodyText"/>
      </w:pPr>
    </w:p>
    <w:sectPr w:rsidR="006357E6"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B95" w:rsidRDefault="00931B95">
      <w:pPr>
        <w:spacing w:line="20" w:lineRule="exact"/>
      </w:pPr>
    </w:p>
    <w:p w:rsidR="00931B95" w:rsidRDefault="00931B95"/>
    <w:p w:rsidR="00931B95" w:rsidRDefault="00931B95"/>
  </w:endnote>
  <w:endnote w:type="continuationSeparator" w:id="0">
    <w:p w:rsidR="00931B95" w:rsidRDefault="00931B95">
      <w:r>
        <w:t xml:space="preserve"> </w:t>
      </w:r>
    </w:p>
    <w:p w:rsidR="00931B95" w:rsidRDefault="00931B95"/>
    <w:p w:rsidR="00931B95" w:rsidRDefault="00931B95"/>
  </w:endnote>
  <w:endnote w:type="continuationNotice" w:id="1">
    <w:p w:rsidR="00931B95" w:rsidRDefault="00931B95">
      <w:r>
        <w:t xml:space="preserve"> </w:t>
      </w:r>
    </w:p>
    <w:p w:rsidR="00931B95" w:rsidRDefault="00931B95"/>
    <w:p w:rsidR="00931B95" w:rsidRDefault="00931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C72" w:rsidRPr="00C47B9D" w:rsidRDefault="00983C72"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31036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proofErr w:type="spellStart"/>
        <w:r w:rsidR="009B6EBC">
          <w:rPr>
            <w:bCs/>
            <w:sz w:val="18"/>
            <w:szCs w:val="18"/>
          </w:rPr>
          <w:t>Sydfran</w:t>
        </w:r>
        <w:proofErr w:type="spellEnd"/>
        <w:r w:rsidR="009B6EBC">
          <w:rPr>
            <w:bCs/>
            <w:sz w:val="18"/>
            <w:szCs w:val="18"/>
          </w:rPr>
          <w:t xml:space="preserve"> Pty Limited v </w:t>
        </w:r>
        <w:proofErr w:type="spellStart"/>
        <w:r w:rsidR="009B6EBC">
          <w:rPr>
            <w:bCs/>
            <w:sz w:val="18"/>
            <w:szCs w:val="18"/>
          </w:rPr>
          <w:t>Mansito</w:t>
        </w:r>
        <w:proofErr w:type="spellEnd"/>
        <w:r w:rsidR="009B6EBC">
          <w:rPr>
            <w:bCs/>
            <w:sz w:val="18"/>
            <w:szCs w:val="18"/>
          </w:rPr>
          <w:t xml:space="preserve"> Helena Nominees Pty Ltd, in the matter of </w:t>
        </w:r>
        <w:proofErr w:type="spellStart"/>
        <w:r w:rsidR="009B6EBC">
          <w:rPr>
            <w:bCs/>
            <w:sz w:val="18"/>
            <w:szCs w:val="18"/>
          </w:rPr>
          <w:t>Treelens</w:t>
        </w:r>
        <w:proofErr w:type="spellEnd"/>
        <w:r w:rsidR="009B6EBC">
          <w:rPr>
            <w:bCs/>
            <w:sz w:val="18"/>
            <w:szCs w:val="18"/>
          </w:rPr>
          <w:t xml:space="preserve"> Pty Ltd [2022] FCA 752</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C72" w:rsidRPr="00C47B9D" w:rsidRDefault="00983C72"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EAC740"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190FAF0ED1B8464789BDDC2412B0F61C"/>
        </w:placeholder>
        <w:dataBinding w:prefixMappings="xmlns:ns0='http://schemas.globalmacros.com/FCA'" w:xpath="/ns0:root[1]/ns0:Name[1]" w:storeItemID="{687E7CCB-4AA5-44E7-B148-17BA2B6F57C0}"/>
        <w:text w:multiLine="1"/>
      </w:sdtPr>
      <w:sdtEndPr/>
      <w:sdtContent>
        <w:proofErr w:type="spellStart"/>
        <w:r w:rsidR="009B6EBC">
          <w:rPr>
            <w:bCs/>
            <w:sz w:val="18"/>
            <w:szCs w:val="18"/>
          </w:rPr>
          <w:t>Sydfran</w:t>
        </w:r>
        <w:proofErr w:type="spellEnd"/>
        <w:r w:rsidR="009B6EBC">
          <w:rPr>
            <w:bCs/>
            <w:sz w:val="18"/>
            <w:szCs w:val="18"/>
          </w:rPr>
          <w:t xml:space="preserve"> Pty Limited v </w:t>
        </w:r>
        <w:proofErr w:type="spellStart"/>
        <w:r w:rsidR="009B6EBC">
          <w:rPr>
            <w:bCs/>
            <w:sz w:val="18"/>
            <w:szCs w:val="18"/>
          </w:rPr>
          <w:t>Mansito</w:t>
        </w:r>
        <w:proofErr w:type="spellEnd"/>
        <w:r w:rsidR="009B6EBC">
          <w:rPr>
            <w:bCs/>
            <w:sz w:val="18"/>
            <w:szCs w:val="18"/>
          </w:rPr>
          <w:t xml:space="preserve"> Helena Nominees Pty Ltd, in the matter of </w:t>
        </w:r>
        <w:proofErr w:type="spellStart"/>
        <w:r w:rsidR="009B6EBC">
          <w:rPr>
            <w:bCs/>
            <w:sz w:val="18"/>
            <w:szCs w:val="18"/>
          </w:rPr>
          <w:t>Treelens</w:t>
        </w:r>
        <w:proofErr w:type="spellEnd"/>
        <w:r w:rsidR="009B6EBC">
          <w:rPr>
            <w:bCs/>
            <w:sz w:val="18"/>
            <w:szCs w:val="18"/>
          </w:rPr>
          <w:t xml:space="preserve"> Pty Ltd [2022] FCA 752</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B6EBC">
      <w:rPr>
        <w:bCs/>
        <w:noProof/>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C72" w:rsidRPr="00C47B9D" w:rsidRDefault="00983C72"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D420B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2C0620D117E64F94B2D571E1D5F08487"/>
        </w:placeholder>
        <w:dataBinding w:prefixMappings="xmlns:ns0='http://schemas.globalmacros.com/FCA'" w:xpath="/ns0:root[1]/ns0:Name[1]" w:storeItemID="{687E7CCB-4AA5-44E7-B148-17BA2B6F57C0}"/>
        <w:text w:multiLine="1"/>
      </w:sdtPr>
      <w:sdtEndPr/>
      <w:sdtContent>
        <w:proofErr w:type="spellStart"/>
        <w:r w:rsidR="009B6EBC">
          <w:rPr>
            <w:bCs/>
            <w:sz w:val="18"/>
            <w:szCs w:val="18"/>
          </w:rPr>
          <w:t>Sydfran</w:t>
        </w:r>
        <w:proofErr w:type="spellEnd"/>
        <w:r w:rsidR="009B6EBC">
          <w:rPr>
            <w:bCs/>
            <w:sz w:val="18"/>
            <w:szCs w:val="18"/>
          </w:rPr>
          <w:t xml:space="preserve"> Pty Limited v </w:t>
        </w:r>
        <w:proofErr w:type="spellStart"/>
        <w:r w:rsidR="009B6EBC">
          <w:rPr>
            <w:bCs/>
            <w:sz w:val="18"/>
            <w:szCs w:val="18"/>
          </w:rPr>
          <w:t>Mansito</w:t>
        </w:r>
        <w:proofErr w:type="spellEnd"/>
        <w:r w:rsidR="009B6EBC">
          <w:rPr>
            <w:bCs/>
            <w:sz w:val="18"/>
            <w:szCs w:val="18"/>
          </w:rPr>
          <w:t xml:space="preserve"> Helena Nominees Pty Ltd, in the matter of </w:t>
        </w:r>
        <w:proofErr w:type="spellStart"/>
        <w:r w:rsidR="009B6EBC">
          <w:rPr>
            <w:bCs/>
            <w:sz w:val="18"/>
            <w:szCs w:val="18"/>
          </w:rPr>
          <w:t>Treelens</w:t>
        </w:r>
        <w:proofErr w:type="spellEnd"/>
        <w:r w:rsidR="009B6EBC">
          <w:rPr>
            <w:bCs/>
            <w:sz w:val="18"/>
            <w:szCs w:val="18"/>
          </w:rPr>
          <w:t xml:space="preserve"> Pty Ltd [2022] FCA 752</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B27BC">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C72" w:rsidRPr="00C47B9D" w:rsidRDefault="00983C72"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8F3A4"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DD7C42B19E1C4162BD37C04EF59EF326"/>
        </w:placeholder>
        <w:dataBinding w:prefixMappings="xmlns:ns0='http://schemas.globalmacros.com/FCA'" w:xpath="/ns0:root[1]/ns0:Name[1]" w:storeItemID="{687E7CCB-4AA5-44E7-B148-17BA2B6F57C0}"/>
        <w:text w:multiLine="1"/>
      </w:sdtPr>
      <w:sdtEndPr/>
      <w:sdtContent>
        <w:proofErr w:type="spellStart"/>
        <w:r w:rsidR="009B6EBC">
          <w:rPr>
            <w:bCs/>
            <w:sz w:val="18"/>
            <w:szCs w:val="18"/>
          </w:rPr>
          <w:t>Sydfran</w:t>
        </w:r>
        <w:proofErr w:type="spellEnd"/>
        <w:r w:rsidR="009B6EBC">
          <w:rPr>
            <w:bCs/>
            <w:sz w:val="18"/>
            <w:szCs w:val="18"/>
          </w:rPr>
          <w:t xml:space="preserve"> Pty Limited v </w:t>
        </w:r>
        <w:proofErr w:type="spellStart"/>
        <w:r w:rsidR="009B6EBC">
          <w:rPr>
            <w:bCs/>
            <w:sz w:val="18"/>
            <w:szCs w:val="18"/>
          </w:rPr>
          <w:t>Mansito</w:t>
        </w:r>
        <w:proofErr w:type="spellEnd"/>
        <w:r w:rsidR="009B6EBC">
          <w:rPr>
            <w:bCs/>
            <w:sz w:val="18"/>
            <w:szCs w:val="18"/>
          </w:rPr>
          <w:t xml:space="preserve"> Helena Nominees Pty Ltd, in the matter of </w:t>
        </w:r>
        <w:proofErr w:type="spellStart"/>
        <w:r w:rsidR="009B6EBC">
          <w:rPr>
            <w:bCs/>
            <w:sz w:val="18"/>
            <w:szCs w:val="18"/>
          </w:rPr>
          <w:t>Treelens</w:t>
        </w:r>
        <w:proofErr w:type="spellEnd"/>
        <w:r w:rsidR="009B6EBC">
          <w:rPr>
            <w:bCs/>
            <w:sz w:val="18"/>
            <w:szCs w:val="18"/>
          </w:rPr>
          <w:t xml:space="preserve"> Pty Ltd [2022] FCA 752</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B27BC">
      <w:rPr>
        <w:bCs/>
        <w:noProof/>
        <w:sz w:val="20"/>
      </w:rPr>
      <w:t>6</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C72" w:rsidRPr="00C47B9D" w:rsidRDefault="00983C72"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C915AF"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74A7218CD1B94C8DA8926F870E340F2D"/>
        </w:placeholder>
        <w:dataBinding w:prefixMappings="xmlns:ns0='http://schemas.globalmacros.com/FCA'" w:xpath="/ns0:root[1]/ns0:Name[1]" w:storeItemID="{687E7CCB-4AA5-44E7-B148-17BA2B6F57C0}"/>
        <w:text w:multiLine="1"/>
      </w:sdtPr>
      <w:sdtEndPr/>
      <w:sdtContent>
        <w:proofErr w:type="spellStart"/>
        <w:r w:rsidR="009B6EBC">
          <w:rPr>
            <w:bCs/>
            <w:sz w:val="18"/>
            <w:szCs w:val="18"/>
          </w:rPr>
          <w:t>Sydfran</w:t>
        </w:r>
        <w:proofErr w:type="spellEnd"/>
        <w:r w:rsidR="009B6EBC">
          <w:rPr>
            <w:bCs/>
            <w:sz w:val="18"/>
            <w:szCs w:val="18"/>
          </w:rPr>
          <w:t xml:space="preserve"> Pty Limited v </w:t>
        </w:r>
        <w:proofErr w:type="spellStart"/>
        <w:r w:rsidR="009B6EBC">
          <w:rPr>
            <w:bCs/>
            <w:sz w:val="18"/>
            <w:szCs w:val="18"/>
          </w:rPr>
          <w:t>Mansito</w:t>
        </w:r>
        <w:proofErr w:type="spellEnd"/>
        <w:r w:rsidR="009B6EBC">
          <w:rPr>
            <w:bCs/>
            <w:sz w:val="18"/>
            <w:szCs w:val="18"/>
          </w:rPr>
          <w:t xml:space="preserve"> Helena Nominees Pty Ltd, in the matter of </w:t>
        </w:r>
        <w:proofErr w:type="spellStart"/>
        <w:r w:rsidR="009B6EBC">
          <w:rPr>
            <w:bCs/>
            <w:sz w:val="18"/>
            <w:szCs w:val="18"/>
          </w:rPr>
          <w:t>Treelens</w:t>
        </w:r>
        <w:proofErr w:type="spellEnd"/>
        <w:r w:rsidR="009B6EBC">
          <w:rPr>
            <w:bCs/>
            <w:sz w:val="18"/>
            <w:szCs w:val="18"/>
          </w:rPr>
          <w:t xml:space="preserve"> Pty Ltd [2022] FCA 752</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B27BC">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B95" w:rsidRDefault="00931B95"/>
  </w:footnote>
  <w:footnote w:type="continuationSeparator" w:id="0">
    <w:p w:rsidR="00931B95" w:rsidRDefault="00931B95">
      <w:r>
        <w:continuationSeparator/>
      </w:r>
    </w:p>
    <w:p w:rsidR="00931B95" w:rsidRDefault="00931B95"/>
    <w:p w:rsidR="00931B95" w:rsidRDefault="00931B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C72" w:rsidRDefault="00983C72">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C72" w:rsidRDefault="00983C72">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C72" w:rsidRDefault="00983C7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C72" w:rsidRDefault="00983C72">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C72" w:rsidRDefault="00983C72"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80EED3D2"/>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3D31E9B"/>
    <w:multiLevelType w:val="hybridMultilevel"/>
    <w:tmpl w:val="6A3AA4B4"/>
    <w:lvl w:ilvl="0" w:tplc="0DB412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FF0548F"/>
    <w:multiLevelType w:val="hybridMultilevel"/>
    <w:tmpl w:val="250A5754"/>
    <w:lvl w:ilvl="0" w:tplc="5470C46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D691E29"/>
    <w:multiLevelType w:val="hybridMultilevel"/>
    <w:tmpl w:val="138EB5BC"/>
    <w:lvl w:ilvl="0" w:tplc="6012F8C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6"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7" w15:restartNumberingAfterBreak="0">
    <w:nsid w:val="759517B7"/>
    <w:multiLevelType w:val="hybridMultilevel"/>
    <w:tmpl w:val="1DF4903E"/>
    <w:lvl w:ilvl="0" w:tplc="8914675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8"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1"/>
  </w:num>
  <w:num w:numId="14">
    <w:abstractNumId w:val="22"/>
  </w:num>
  <w:num w:numId="15">
    <w:abstractNumId w:val="28"/>
  </w:num>
  <w:num w:numId="16">
    <w:abstractNumId w:val="13"/>
  </w:num>
  <w:num w:numId="17">
    <w:abstractNumId w:val="26"/>
  </w:num>
  <w:num w:numId="18">
    <w:abstractNumId w:val="11"/>
  </w:num>
  <w:num w:numId="19">
    <w:abstractNumId w:val="19"/>
  </w:num>
  <w:num w:numId="20">
    <w:abstractNumId w:val="16"/>
  </w:num>
  <w:num w:numId="21">
    <w:abstractNumId w:val="17"/>
  </w:num>
  <w:num w:numId="22">
    <w:abstractNumId w:val="20"/>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3">
    <w:abstractNumId w:val="10"/>
  </w:num>
  <w:num w:numId="24">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5">
    <w:abstractNumId w:val="12"/>
  </w:num>
  <w:num w:numId="26">
    <w:abstractNumId w:val="18"/>
  </w:num>
  <w:num w:numId="27">
    <w:abstractNumId w:val="18"/>
  </w:num>
  <w:num w:numId="28">
    <w:abstractNumId w:val="25"/>
  </w:num>
  <w:num w:numId="29">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0">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1">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2">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3">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4">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5">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6">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7">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8">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9">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0">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1">
    <w:abstractNumId w:val="14"/>
  </w:num>
  <w:num w:numId="42">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3">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4">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5">
    <w:abstractNumId w:val="27"/>
  </w:num>
  <w:num w:numId="46">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7">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Sydfran Pty Limited ACN 084 281 943|Brisplants Pty Limited ACN 624 174 796"/>
    <w:docVar w:name="CounselParties" w:val="Applicant"/>
    <w:docVar w:name="CounselType" w:val="Solicitor for the "/>
    <w:docVar w:name="Court" w:val="Federal Court of Australia (FCA)"/>
    <w:docVar w:name="Cross1AndAnother" w:val="True"/>
    <w:docVar w:name="Cross1AndOthers" w:val="False"/>
    <w:docVar w:name="Cross2AndAnother" w:val="False"/>
    <w:docVar w:name="Cross2AndOthers" w:val="True"/>
    <w:docVar w:name="Cross-Claimant" w:val="Treelens Pty Ltd ACN 083 135 219"/>
    <w:docVar w:name="Cross-Respondent" w:val="Sydfran Pty Limited ACN 084 281 943|Brisplants Pty Limited ACN 624 174 796|Gerard Patrick Verge"/>
    <w:docVar w:name="Defenders" w:val="(and others named in the Schedule)"/>
    <w:docVar w:name="Division" w:val="FCA General Division"/>
    <w:docVar w:name="DocCreated" w:val="True"/>
    <w:docVar w:name="FileNumbers" w:val="NSD 845 of 2021"/>
    <w:docVar w:name="Initiators" w:val="(and another named in the Schedule)"/>
    <w:docVar w:name="InTheMatterOf" w:val="TREELENS PTY LIMITED"/>
    <w:docVar w:name="Judgdate" w:val="##"/>
    <w:docVar w:name="Judge" w:val="Goodman"/>
    <w:docVar w:name="JudgeType" w:val="Justice"/>
    <w:docVar w:name="lstEntryList" w:val="-1"/>
    <w:docVar w:name="myEntryList" w:val="Counsel for the Applicants=Mr Freeman|Solicitor for the Applicants=Mr M Secivanovic of Braddon Marx Lawyers|Counsel for the First Respondent=Mr Moon|Solicitor for the First Respondent=Mr M Darrer of Darrer Muir Fleiter Lawyers|Counsel for the Second and Third Respondents=Mr Parsons|Solicitor for the Second and Third Respondents=Mr M Hicks of Hicks Oakley Chessell Williams"/>
    <w:docVar w:name="NSD" w:val="NSD "/>
    <w:docVar w:name="NumApps" w:val="2"/>
    <w:docVar w:name="NumApps_" w:val="2"/>
    <w:docVar w:name="NumCrossResps" w:val="3"/>
    <w:docVar w:name="NumDefs" w:val="3"/>
    <w:docVar w:name="NumOthers" w:val="1"/>
    <w:docVar w:name="OtherNum" w:val="0"/>
    <w:docVar w:name="Parties1" w:val="Applicant"/>
    <w:docVar w:name="Parties2" w:val="Respondent"/>
    <w:docVar w:name="Parties3" w:val="Cross-Claimant"/>
    <w:docVar w:name="Parties4" w:val="Cross-Respondent"/>
    <w:docVar w:name="Parties5" w:val="Intervener"/>
    <w:docVar w:name="Place" w:val="N/A FCA"/>
    <w:docVar w:name="PracticeArea" w:val="Commercial and Corporations"/>
    <w:docVar w:name="RESAndAnother" w:val="True"/>
    <w:docVar w:name="RESAndOthers" w:val="False"/>
    <w:docVar w:name="Respondent" w:val="Mansito Helena Nominees Pty Ltd ACN 005 210 015|Treelens Pty Ltd ACN 083 135 219|Michael Verge"/>
    <w:docVar w:name="ResState" w:val="New South Wales"/>
    <w:docVar w:name="SubArea" w:val="Commercial Contracts, Banking, Finance and Insurance (C &amp; C)"/>
  </w:docVars>
  <w:rsids>
    <w:rsidRoot w:val="006357E6"/>
    <w:rsid w:val="00000747"/>
    <w:rsid w:val="000063FF"/>
    <w:rsid w:val="00007CFC"/>
    <w:rsid w:val="000115C5"/>
    <w:rsid w:val="0001469E"/>
    <w:rsid w:val="00015993"/>
    <w:rsid w:val="00021CCB"/>
    <w:rsid w:val="00022289"/>
    <w:rsid w:val="000237E9"/>
    <w:rsid w:val="0002460F"/>
    <w:rsid w:val="00027398"/>
    <w:rsid w:val="00030D16"/>
    <w:rsid w:val="0003201A"/>
    <w:rsid w:val="0003207A"/>
    <w:rsid w:val="00032F9F"/>
    <w:rsid w:val="00041C07"/>
    <w:rsid w:val="00045BB7"/>
    <w:rsid w:val="0005003B"/>
    <w:rsid w:val="00055719"/>
    <w:rsid w:val="0005641B"/>
    <w:rsid w:val="0006196A"/>
    <w:rsid w:val="000650F0"/>
    <w:rsid w:val="00071FB3"/>
    <w:rsid w:val="00072D48"/>
    <w:rsid w:val="00074AD4"/>
    <w:rsid w:val="00077768"/>
    <w:rsid w:val="00081497"/>
    <w:rsid w:val="000831EC"/>
    <w:rsid w:val="00084126"/>
    <w:rsid w:val="00085255"/>
    <w:rsid w:val="000966AB"/>
    <w:rsid w:val="000A2E76"/>
    <w:rsid w:val="000A4807"/>
    <w:rsid w:val="000A4BE4"/>
    <w:rsid w:val="000C023E"/>
    <w:rsid w:val="000C405D"/>
    <w:rsid w:val="000C5195"/>
    <w:rsid w:val="000C62EF"/>
    <w:rsid w:val="000D2137"/>
    <w:rsid w:val="000D3FD2"/>
    <w:rsid w:val="000D4B2E"/>
    <w:rsid w:val="000E1B16"/>
    <w:rsid w:val="000E3FC8"/>
    <w:rsid w:val="000E4D9A"/>
    <w:rsid w:val="000E7BAE"/>
    <w:rsid w:val="000F133D"/>
    <w:rsid w:val="0010536B"/>
    <w:rsid w:val="001066F5"/>
    <w:rsid w:val="0011145C"/>
    <w:rsid w:val="001128BD"/>
    <w:rsid w:val="0011419D"/>
    <w:rsid w:val="00114B02"/>
    <w:rsid w:val="00117CF3"/>
    <w:rsid w:val="001226C0"/>
    <w:rsid w:val="00123697"/>
    <w:rsid w:val="00126EC8"/>
    <w:rsid w:val="0012731C"/>
    <w:rsid w:val="0013115D"/>
    <w:rsid w:val="00132054"/>
    <w:rsid w:val="00134964"/>
    <w:rsid w:val="001351B9"/>
    <w:rsid w:val="00153713"/>
    <w:rsid w:val="00155CD2"/>
    <w:rsid w:val="001727A4"/>
    <w:rsid w:val="0017376C"/>
    <w:rsid w:val="001738AB"/>
    <w:rsid w:val="001750B0"/>
    <w:rsid w:val="001765E0"/>
    <w:rsid w:val="00177759"/>
    <w:rsid w:val="00180BB3"/>
    <w:rsid w:val="00185DD6"/>
    <w:rsid w:val="00185E6B"/>
    <w:rsid w:val="00187BBC"/>
    <w:rsid w:val="001932F3"/>
    <w:rsid w:val="001A2B40"/>
    <w:rsid w:val="001A3B08"/>
    <w:rsid w:val="001A4309"/>
    <w:rsid w:val="001A46AE"/>
    <w:rsid w:val="001A6C52"/>
    <w:rsid w:val="001B1053"/>
    <w:rsid w:val="001B14AC"/>
    <w:rsid w:val="001B748E"/>
    <w:rsid w:val="001B7940"/>
    <w:rsid w:val="001C171A"/>
    <w:rsid w:val="001C2FE0"/>
    <w:rsid w:val="001C37CA"/>
    <w:rsid w:val="001C4085"/>
    <w:rsid w:val="001D0230"/>
    <w:rsid w:val="001D4303"/>
    <w:rsid w:val="001D6746"/>
    <w:rsid w:val="001E0C61"/>
    <w:rsid w:val="001E3B49"/>
    <w:rsid w:val="001E4A05"/>
    <w:rsid w:val="001E6A19"/>
    <w:rsid w:val="001E7388"/>
    <w:rsid w:val="001F13DD"/>
    <w:rsid w:val="001F2473"/>
    <w:rsid w:val="001F2DBC"/>
    <w:rsid w:val="001F73E8"/>
    <w:rsid w:val="0020162B"/>
    <w:rsid w:val="0020262C"/>
    <w:rsid w:val="00202723"/>
    <w:rsid w:val="00211A3E"/>
    <w:rsid w:val="00212432"/>
    <w:rsid w:val="00213F20"/>
    <w:rsid w:val="00214055"/>
    <w:rsid w:val="00215BCA"/>
    <w:rsid w:val="002160F5"/>
    <w:rsid w:val="00217AC4"/>
    <w:rsid w:val="0022085B"/>
    <w:rsid w:val="00221461"/>
    <w:rsid w:val="00224537"/>
    <w:rsid w:val="002256FF"/>
    <w:rsid w:val="0022779F"/>
    <w:rsid w:val="00234E15"/>
    <w:rsid w:val="00235956"/>
    <w:rsid w:val="00243E5E"/>
    <w:rsid w:val="002467A6"/>
    <w:rsid w:val="00247C9A"/>
    <w:rsid w:val="0025160C"/>
    <w:rsid w:val="002535D0"/>
    <w:rsid w:val="002539B3"/>
    <w:rsid w:val="0025502A"/>
    <w:rsid w:val="00256336"/>
    <w:rsid w:val="00257C3E"/>
    <w:rsid w:val="002602C2"/>
    <w:rsid w:val="002629BC"/>
    <w:rsid w:val="002666C9"/>
    <w:rsid w:val="00270136"/>
    <w:rsid w:val="00270FD7"/>
    <w:rsid w:val="00274F5B"/>
    <w:rsid w:val="00280836"/>
    <w:rsid w:val="00282E1A"/>
    <w:rsid w:val="002840F1"/>
    <w:rsid w:val="00285922"/>
    <w:rsid w:val="0029113B"/>
    <w:rsid w:val="0029157F"/>
    <w:rsid w:val="002934C0"/>
    <w:rsid w:val="00293E1F"/>
    <w:rsid w:val="0029764C"/>
    <w:rsid w:val="002A1B50"/>
    <w:rsid w:val="002B0E91"/>
    <w:rsid w:val="002B132C"/>
    <w:rsid w:val="002B3F23"/>
    <w:rsid w:val="002B4EB5"/>
    <w:rsid w:val="002B5AF5"/>
    <w:rsid w:val="002B6779"/>
    <w:rsid w:val="002B71C0"/>
    <w:rsid w:val="002B7A34"/>
    <w:rsid w:val="002C31AD"/>
    <w:rsid w:val="002C34F3"/>
    <w:rsid w:val="002C7235"/>
    <w:rsid w:val="002C7385"/>
    <w:rsid w:val="002D2DBB"/>
    <w:rsid w:val="002D328B"/>
    <w:rsid w:val="002D37D8"/>
    <w:rsid w:val="002D54A6"/>
    <w:rsid w:val="002E3779"/>
    <w:rsid w:val="002E5BF9"/>
    <w:rsid w:val="002E6A7A"/>
    <w:rsid w:val="002F1E49"/>
    <w:rsid w:val="002F4E9C"/>
    <w:rsid w:val="002F6E15"/>
    <w:rsid w:val="00302F4E"/>
    <w:rsid w:val="0031256C"/>
    <w:rsid w:val="00314D6C"/>
    <w:rsid w:val="00316D2A"/>
    <w:rsid w:val="00322A7C"/>
    <w:rsid w:val="00322EEC"/>
    <w:rsid w:val="00323061"/>
    <w:rsid w:val="00323E66"/>
    <w:rsid w:val="003402D3"/>
    <w:rsid w:val="0034068E"/>
    <w:rsid w:val="00343ABC"/>
    <w:rsid w:val="003463FE"/>
    <w:rsid w:val="003472FC"/>
    <w:rsid w:val="00347D41"/>
    <w:rsid w:val="00347ED6"/>
    <w:rsid w:val="003554B3"/>
    <w:rsid w:val="00356632"/>
    <w:rsid w:val="00357C7E"/>
    <w:rsid w:val="003653B6"/>
    <w:rsid w:val="00370327"/>
    <w:rsid w:val="00374CC4"/>
    <w:rsid w:val="003774B2"/>
    <w:rsid w:val="00380F2D"/>
    <w:rsid w:val="003845A9"/>
    <w:rsid w:val="003850C9"/>
    <w:rsid w:val="00390883"/>
    <w:rsid w:val="003922F8"/>
    <w:rsid w:val="00395B24"/>
    <w:rsid w:val="003A2D38"/>
    <w:rsid w:val="003A7ECC"/>
    <w:rsid w:val="003B1926"/>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180"/>
    <w:rsid w:val="003F34F1"/>
    <w:rsid w:val="004031D8"/>
    <w:rsid w:val="00404966"/>
    <w:rsid w:val="004104B6"/>
    <w:rsid w:val="00411AE8"/>
    <w:rsid w:val="00413B74"/>
    <w:rsid w:val="00424A89"/>
    <w:rsid w:val="004342F3"/>
    <w:rsid w:val="00435C5F"/>
    <w:rsid w:val="00436155"/>
    <w:rsid w:val="00436460"/>
    <w:rsid w:val="00440EC6"/>
    <w:rsid w:val="00441E98"/>
    <w:rsid w:val="00450F3A"/>
    <w:rsid w:val="004532F7"/>
    <w:rsid w:val="00453884"/>
    <w:rsid w:val="00464D51"/>
    <w:rsid w:val="00472027"/>
    <w:rsid w:val="004760EE"/>
    <w:rsid w:val="004804CF"/>
    <w:rsid w:val="0048202E"/>
    <w:rsid w:val="00483314"/>
    <w:rsid w:val="00484962"/>
    <w:rsid w:val="00484F6D"/>
    <w:rsid w:val="00484FB7"/>
    <w:rsid w:val="0048554D"/>
    <w:rsid w:val="0049338A"/>
    <w:rsid w:val="0049417F"/>
    <w:rsid w:val="00496D41"/>
    <w:rsid w:val="004A6602"/>
    <w:rsid w:val="004B3EFA"/>
    <w:rsid w:val="004C2A87"/>
    <w:rsid w:val="004C464A"/>
    <w:rsid w:val="004C4D7B"/>
    <w:rsid w:val="004C4ED3"/>
    <w:rsid w:val="004C667B"/>
    <w:rsid w:val="004C7ECD"/>
    <w:rsid w:val="004D2EA5"/>
    <w:rsid w:val="004D32A6"/>
    <w:rsid w:val="004D53E5"/>
    <w:rsid w:val="004D7950"/>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08F2"/>
    <w:rsid w:val="0054254A"/>
    <w:rsid w:val="0054500B"/>
    <w:rsid w:val="005466B5"/>
    <w:rsid w:val="00554314"/>
    <w:rsid w:val="00562829"/>
    <w:rsid w:val="005629B3"/>
    <w:rsid w:val="00567A3F"/>
    <w:rsid w:val="0057128A"/>
    <w:rsid w:val="005724F6"/>
    <w:rsid w:val="00573AC4"/>
    <w:rsid w:val="005801FC"/>
    <w:rsid w:val="00585BA9"/>
    <w:rsid w:val="00587359"/>
    <w:rsid w:val="00595016"/>
    <w:rsid w:val="00597AAE"/>
    <w:rsid w:val="005A222C"/>
    <w:rsid w:val="005A4B66"/>
    <w:rsid w:val="005A4DF8"/>
    <w:rsid w:val="005A78C8"/>
    <w:rsid w:val="005B0769"/>
    <w:rsid w:val="005B1426"/>
    <w:rsid w:val="005B5FF8"/>
    <w:rsid w:val="005C0A8E"/>
    <w:rsid w:val="005C1767"/>
    <w:rsid w:val="005C185C"/>
    <w:rsid w:val="005C42EF"/>
    <w:rsid w:val="005D4983"/>
    <w:rsid w:val="005D7E82"/>
    <w:rsid w:val="005E02F5"/>
    <w:rsid w:val="005E0510"/>
    <w:rsid w:val="005E176E"/>
    <w:rsid w:val="005E218E"/>
    <w:rsid w:val="005E35A0"/>
    <w:rsid w:val="005E52D8"/>
    <w:rsid w:val="005F0D1B"/>
    <w:rsid w:val="005F1865"/>
    <w:rsid w:val="005F4429"/>
    <w:rsid w:val="005F4960"/>
    <w:rsid w:val="006007BD"/>
    <w:rsid w:val="006013C8"/>
    <w:rsid w:val="0060270D"/>
    <w:rsid w:val="00604342"/>
    <w:rsid w:val="00604611"/>
    <w:rsid w:val="00611586"/>
    <w:rsid w:val="00612D26"/>
    <w:rsid w:val="00615855"/>
    <w:rsid w:val="00620DA8"/>
    <w:rsid w:val="00621887"/>
    <w:rsid w:val="00624520"/>
    <w:rsid w:val="006271F5"/>
    <w:rsid w:val="00632300"/>
    <w:rsid w:val="00632BB7"/>
    <w:rsid w:val="006357E6"/>
    <w:rsid w:val="00635B36"/>
    <w:rsid w:val="00636871"/>
    <w:rsid w:val="00637569"/>
    <w:rsid w:val="00640EE1"/>
    <w:rsid w:val="00640F4E"/>
    <w:rsid w:val="00643DE0"/>
    <w:rsid w:val="0064437D"/>
    <w:rsid w:val="00644E85"/>
    <w:rsid w:val="006516D8"/>
    <w:rsid w:val="00652C52"/>
    <w:rsid w:val="0066063F"/>
    <w:rsid w:val="00662BB0"/>
    <w:rsid w:val="00663878"/>
    <w:rsid w:val="006655E5"/>
    <w:rsid w:val="00667773"/>
    <w:rsid w:val="00670743"/>
    <w:rsid w:val="00674281"/>
    <w:rsid w:val="00680A85"/>
    <w:rsid w:val="00681207"/>
    <w:rsid w:val="00681ADF"/>
    <w:rsid w:val="00690EE2"/>
    <w:rsid w:val="00692B93"/>
    <w:rsid w:val="00693854"/>
    <w:rsid w:val="00694BEB"/>
    <w:rsid w:val="006A0E20"/>
    <w:rsid w:val="006A24E3"/>
    <w:rsid w:val="006A5695"/>
    <w:rsid w:val="006B0439"/>
    <w:rsid w:val="006B3904"/>
    <w:rsid w:val="006B5B7D"/>
    <w:rsid w:val="006C5B46"/>
    <w:rsid w:val="006C6E39"/>
    <w:rsid w:val="006D0ECF"/>
    <w:rsid w:val="006D1F00"/>
    <w:rsid w:val="006D26B8"/>
    <w:rsid w:val="006D3D5B"/>
    <w:rsid w:val="006D4C92"/>
    <w:rsid w:val="006D4EB6"/>
    <w:rsid w:val="006D7FBC"/>
    <w:rsid w:val="006E28FD"/>
    <w:rsid w:val="006E35BF"/>
    <w:rsid w:val="006E46A2"/>
    <w:rsid w:val="006E7850"/>
    <w:rsid w:val="006F19D8"/>
    <w:rsid w:val="006F46D6"/>
    <w:rsid w:val="006F4B04"/>
    <w:rsid w:val="006F4BBB"/>
    <w:rsid w:val="007028D9"/>
    <w:rsid w:val="00707218"/>
    <w:rsid w:val="00710D04"/>
    <w:rsid w:val="00712B1D"/>
    <w:rsid w:val="00715751"/>
    <w:rsid w:val="007171BA"/>
    <w:rsid w:val="00717616"/>
    <w:rsid w:val="007325D9"/>
    <w:rsid w:val="00732C64"/>
    <w:rsid w:val="0073358C"/>
    <w:rsid w:val="0073413F"/>
    <w:rsid w:val="0073583B"/>
    <w:rsid w:val="007360CA"/>
    <w:rsid w:val="0074667B"/>
    <w:rsid w:val="007470BD"/>
    <w:rsid w:val="00760EC0"/>
    <w:rsid w:val="007711BD"/>
    <w:rsid w:val="0077685F"/>
    <w:rsid w:val="0078003A"/>
    <w:rsid w:val="00780771"/>
    <w:rsid w:val="007929CF"/>
    <w:rsid w:val="00795A07"/>
    <w:rsid w:val="00797BA8"/>
    <w:rsid w:val="00797CDD"/>
    <w:rsid w:val="007A081D"/>
    <w:rsid w:val="007A49E7"/>
    <w:rsid w:val="007A6F28"/>
    <w:rsid w:val="007B03C6"/>
    <w:rsid w:val="007B0DB1"/>
    <w:rsid w:val="007B530D"/>
    <w:rsid w:val="007B5673"/>
    <w:rsid w:val="007B7238"/>
    <w:rsid w:val="007B76FF"/>
    <w:rsid w:val="007C3BF6"/>
    <w:rsid w:val="007C484D"/>
    <w:rsid w:val="007C49A6"/>
    <w:rsid w:val="007C5F50"/>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662"/>
    <w:rsid w:val="00801800"/>
    <w:rsid w:val="00801861"/>
    <w:rsid w:val="00801B5B"/>
    <w:rsid w:val="00805A30"/>
    <w:rsid w:val="00816137"/>
    <w:rsid w:val="00816AE1"/>
    <w:rsid w:val="008216E7"/>
    <w:rsid w:val="00825BE6"/>
    <w:rsid w:val="008276B4"/>
    <w:rsid w:val="00831927"/>
    <w:rsid w:val="00837288"/>
    <w:rsid w:val="00841BD3"/>
    <w:rsid w:val="0084273D"/>
    <w:rsid w:val="00844E3F"/>
    <w:rsid w:val="00845A83"/>
    <w:rsid w:val="00846BB9"/>
    <w:rsid w:val="00847F58"/>
    <w:rsid w:val="00856B16"/>
    <w:rsid w:val="008649D5"/>
    <w:rsid w:val="008712BB"/>
    <w:rsid w:val="008716E0"/>
    <w:rsid w:val="0087729D"/>
    <w:rsid w:val="008830E7"/>
    <w:rsid w:val="0088454F"/>
    <w:rsid w:val="0088627B"/>
    <w:rsid w:val="00890EDE"/>
    <w:rsid w:val="00892B38"/>
    <w:rsid w:val="00893C7A"/>
    <w:rsid w:val="008A1741"/>
    <w:rsid w:val="008A2484"/>
    <w:rsid w:val="008A52F3"/>
    <w:rsid w:val="008B1C8F"/>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38F3"/>
    <w:rsid w:val="009054CB"/>
    <w:rsid w:val="009067A5"/>
    <w:rsid w:val="00911F8D"/>
    <w:rsid w:val="00912F94"/>
    <w:rsid w:val="009171BC"/>
    <w:rsid w:val="0092349B"/>
    <w:rsid w:val="0092497E"/>
    <w:rsid w:val="0092590B"/>
    <w:rsid w:val="00925BF3"/>
    <w:rsid w:val="00925E60"/>
    <w:rsid w:val="009264B3"/>
    <w:rsid w:val="00931B95"/>
    <w:rsid w:val="00931E4C"/>
    <w:rsid w:val="009365E0"/>
    <w:rsid w:val="00942BA2"/>
    <w:rsid w:val="009432B7"/>
    <w:rsid w:val="00944C86"/>
    <w:rsid w:val="00947C02"/>
    <w:rsid w:val="00950BE6"/>
    <w:rsid w:val="00957DE8"/>
    <w:rsid w:val="009602A1"/>
    <w:rsid w:val="00960ECB"/>
    <w:rsid w:val="009615D6"/>
    <w:rsid w:val="00965A87"/>
    <w:rsid w:val="00967855"/>
    <w:rsid w:val="00971CD1"/>
    <w:rsid w:val="00974709"/>
    <w:rsid w:val="009801AE"/>
    <w:rsid w:val="00980736"/>
    <w:rsid w:val="00981A39"/>
    <w:rsid w:val="00982D56"/>
    <w:rsid w:val="00983967"/>
    <w:rsid w:val="00983C72"/>
    <w:rsid w:val="00983DBF"/>
    <w:rsid w:val="00987097"/>
    <w:rsid w:val="00991123"/>
    <w:rsid w:val="00991CAB"/>
    <w:rsid w:val="009A202A"/>
    <w:rsid w:val="009A3A9C"/>
    <w:rsid w:val="009B046C"/>
    <w:rsid w:val="009B13FA"/>
    <w:rsid w:val="009B1E2D"/>
    <w:rsid w:val="009B27BC"/>
    <w:rsid w:val="009B6EBC"/>
    <w:rsid w:val="009C2ACB"/>
    <w:rsid w:val="009C59FB"/>
    <w:rsid w:val="009C6F3B"/>
    <w:rsid w:val="009D1467"/>
    <w:rsid w:val="009D328D"/>
    <w:rsid w:val="009E4FA6"/>
    <w:rsid w:val="009E7D93"/>
    <w:rsid w:val="009F3C34"/>
    <w:rsid w:val="009F462C"/>
    <w:rsid w:val="009F5C33"/>
    <w:rsid w:val="00A026F0"/>
    <w:rsid w:val="00A03EAC"/>
    <w:rsid w:val="00A049FA"/>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3B04"/>
    <w:rsid w:val="00A76C13"/>
    <w:rsid w:val="00A8248C"/>
    <w:rsid w:val="00A84FD0"/>
    <w:rsid w:val="00A92E79"/>
    <w:rsid w:val="00A9352E"/>
    <w:rsid w:val="00A950B6"/>
    <w:rsid w:val="00A95D45"/>
    <w:rsid w:val="00AA3EA8"/>
    <w:rsid w:val="00AA5ABD"/>
    <w:rsid w:val="00AB41C1"/>
    <w:rsid w:val="00AB4CF2"/>
    <w:rsid w:val="00AB6CCA"/>
    <w:rsid w:val="00AC223F"/>
    <w:rsid w:val="00AC33B1"/>
    <w:rsid w:val="00AD12A8"/>
    <w:rsid w:val="00AD58C3"/>
    <w:rsid w:val="00AE023F"/>
    <w:rsid w:val="00AE3292"/>
    <w:rsid w:val="00AE3A49"/>
    <w:rsid w:val="00AE7E15"/>
    <w:rsid w:val="00AF3577"/>
    <w:rsid w:val="00AF35F9"/>
    <w:rsid w:val="00AF62D0"/>
    <w:rsid w:val="00B016C2"/>
    <w:rsid w:val="00B0424C"/>
    <w:rsid w:val="00B05C7D"/>
    <w:rsid w:val="00B15D57"/>
    <w:rsid w:val="00B16347"/>
    <w:rsid w:val="00B17D6E"/>
    <w:rsid w:val="00B2435E"/>
    <w:rsid w:val="00B346C3"/>
    <w:rsid w:val="00B4005C"/>
    <w:rsid w:val="00B4227E"/>
    <w:rsid w:val="00B4471C"/>
    <w:rsid w:val="00B451A6"/>
    <w:rsid w:val="00B56D6E"/>
    <w:rsid w:val="00B64347"/>
    <w:rsid w:val="00B65DC6"/>
    <w:rsid w:val="00B67155"/>
    <w:rsid w:val="00B67AC2"/>
    <w:rsid w:val="00B722DE"/>
    <w:rsid w:val="00B751E3"/>
    <w:rsid w:val="00B75BA6"/>
    <w:rsid w:val="00B76C44"/>
    <w:rsid w:val="00B8184A"/>
    <w:rsid w:val="00B82283"/>
    <w:rsid w:val="00B828D8"/>
    <w:rsid w:val="00B83F87"/>
    <w:rsid w:val="00B841A1"/>
    <w:rsid w:val="00B87CDC"/>
    <w:rsid w:val="00B908B7"/>
    <w:rsid w:val="00B910C1"/>
    <w:rsid w:val="00BA2CA4"/>
    <w:rsid w:val="00BA2EFA"/>
    <w:rsid w:val="00BA3DBC"/>
    <w:rsid w:val="00BA707A"/>
    <w:rsid w:val="00BB1AFB"/>
    <w:rsid w:val="00BB27AE"/>
    <w:rsid w:val="00BB2DA2"/>
    <w:rsid w:val="00BB56DC"/>
    <w:rsid w:val="00BE183D"/>
    <w:rsid w:val="00BF24C2"/>
    <w:rsid w:val="00BF2922"/>
    <w:rsid w:val="00BF5D7A"/>
    <w:rsid w:val="00C01C2E"/>
    <w:rsid w:val="00C02D33"/>
    <w:rsid w:val="00C04B53"/>
    <w:rsid w:val="00C1232C"/>
    <w:rsid w:val="00C27C6B"/>
    <w:rsid w:val="00C34137"/>
    <w:rsid w:val="00C3594D"/>
    <w:rsid w:val="00C36442"/>
    <w:rsid w:val="00C36D35"/>
    <w:rsid w:val="00C37B03"/>
    <w:rsid w:val="00C400CE"/>
    <w:rsid w:val="00C410FD"/>
    <w:rsid w:val="00C457DE"/>
    <w:rsid w:val="00C47DD3"/>
    <w:rsid w:val="00C5316F"/>
    <w:rsid w:val="00C53562"/>
    <w:rsid w:val="00C539FB"/>
    <w:rsid w:val="00C552FA"/>
    <w:rsid w:val="00C66AA3"/>
    <w:rsid w:val="00C66CC0"/>
    <w:rsid w:val="00C66E57"/>
    <w:rsid w:val="00C724D7"/>
    <w:rsid w:val="00C74150"/>
    <w:rsid w:val="00C75594"/>
    <w:rsid w:val="00C85982"/>
    <w:rsid w:val="00C938E1"/>
    <w:rsid w:val="00CA007A"/>
    <w:rsid w:val="00CA0466"/>
    <w:rsid w:val="00CA246D"/>
    <w:rsid w:val="00CA50D9"/>
    <w:rsid w:val="00CB3054"/>
    <w:rsid w:val="00CB5636"/>
    <w:rsid w:val="00CB5F15"/>
    <w:rsid w:val="00CB5F30"/>
    <w:rsid w:val="00CC3EE5"/>
    <w:rsid w:val="00CC6E47"/>
    <w:rsid w:val="00CD1346"/>
    <w:rsid w:val="00CE2356"/>
    <w:rsid w:val="00CE425C"/>
    <w:rsid w:val="00CE58AC"/>
    <w:rsid w:val="00CF5A80"/>
    <w:rsid w:val="00D00C99"/>
    <w:rsid w:val="00D045EE"/>
    <w:rsid w:val="00D05091"/>
    <w:rsid w:val="00D10CA6"/>
    <w:rsid w:val="00D10F21"/>
    <w:rsid w:val="00D134CF"/>
    <w:rsid w:val="00D1573B"/>
    <w:rsid w:val="00D24806"/>
    <w:rsid w:val="00D34040"/>
    <w:rsid w:val="00D34E69"/>
    <w:rsid w:val="00D36C78"/>
    <w:rsid w:val="00D375EE"/>
    <w:rsid w:val="00D41B15"/>
    <w:rsid w:val="00D55AE8"/>
    <w:rsid w:val="00D56056"/>
    <w:rsid w:val="00D6085F"/>
    <w:rsid w:val="00D62699"/>
    <w:rsid w:val="00D778E9"/>
    <w:rsid w:val="00D77B2A"/>
    <w:rsid w:val="00D812BF"/>
    <w:rsid w:val="00D82620"/>
    <w:rsid w:val="00D85707"/>
    <w:rsid w:val="00D9725F"/>
    <w:rsid w:val="00DA01B1"/>
    <w:rsid w:val="00DA11A2"/>
    <w:rsid w:val="00DA14ED"/>
    <w:rsid w:val="00DA1A8E"/>
    <w:rsid w:val="00DA26D6"/>
    <w:rsid w:val="00DB2EF1"/>
    <w:rsid w:val="00DB3DE1"/>
    <w:rsid w:val="00DB5DA0"/>
    <w:rsid w:val="00DB716C"/>
    <w:rsid w:val="00DC5C85"/>
    <w:rsid w:val="00DC7C5D"/>
    <w:rsid w:val="00DD4236"/>
    <w:rsid w:val="00DD44F1"/>
    <w:rsid w:val="00DD6957"/>
    <w:rsid w:val="00DD6E7A"/>
    <w:rsid w:val="00DE3067"/>
    <w:rsid w:val="00DE61CE"/>
    <w:rsid w:val="00DF3EEE"/>
    <w:rsid w:val="00DF75E1"/>
    <w:rsid w:val="00E027BC"/>
    <w:rsid w:val="00E045BE"/>
    <w:rsid w:val="00E10F0D"/>
    <w:rsid w:val="00E14EA5"/>
    <w:rsid w:val="00E2070E"/>
    <w:rsid w:val="00E20719"/>
    <w:rsid w:val="00E21133"/>
    <w:rsid w:val="00E2327E"/>
    <w:rsid w:val="00E23577"/>
    <w:rsid w:val="00E266EF"/>
    <w:rsid w:val="00E326A8"/>
    <w:rsid w:val="00E33678"/>
    <w:rsid w:val="00E41E9E"/>
    <w:rsid w:val="00E47428"/>
    <w:rsid w:val="00E56C8E"/>
    <w:rsid w:val="00E5716B"/>
    <w:rsid w:val="00E57F1F"/>
    <w:rsid w:val="00E66B9F"/>
    <w:rsid w:val="00E70A6A"/>
    <w:rsid w:val="00E710D6"/>
    <w:rsid w:val="00E73DA4"/>
    <w:rsid w:val="00E76E45"/>
    <w:rsid w:val="00E777C9"/>
    <w:rsid w:val="00E81DA6"/>
    <w:rsid w:val="00E826F5"/>
    <w:rsid w:val="00E84212"/>
    <w:rsid w:val="00E9086C"/>
    <w:rsid w:val="00E90AAA"/>
    <w:rsid w:val="00E91A0F"/>
    <w:rsid w:val="00E94A71"/>
    <w:rsid w:val="00E94CBF"/>
    <w:rsid w:val="00E94D91"/>
    <w:rsid w:val="00EA03CE"/>
    <w:rsid w:val="00EA23E5"/>
    <w:rsid w:val="00EA4E2E"/>
    <w:rsid w:val="00EA79EC"/>
    <w:rsid w:val="00EB2417"/>
    <w:rsid w:val="00EB2CCB"/>
    <w:rsid w:val="00EB7A25"/>
    <w:rsid w:val="00EC0F3E"/>
    <w:rsid w:val="00EC57A7"/>
    <w:rsid w:val="00ED0817"/>
    <w:rsid w:val="00ED7DD9"/>
    <w:rsid w:val="00EE3940"/>
    <w:rsid w:val="00EE445B"/>
    <w:rsid w:val="00EF3113"/>
    <w:rsid w:val="00EF3F84"/>
    <w:rsid w:val="00F176AC"/>
    <w:rsid w:val="00F26F28"/>
    <w:rsid w:val="00F27714"/>
    <w:rsid w:val="00F308AC"/>
    <w:rsid w:val="00F3276E"/>
    <w:rsid w:val="00F33D3C"/>
    <w:rsid w:val="00F35E70"/>
    <w:rsid w:val="00F37A91"/>
    <w:rsid w:val="00F37C0B"/>
    <w:rsid w:val="00F408A0"/>
    <w:rsid w:val="00F45CF5"/>
    <w:rsid w:val="00F47DB0"/>
    <w:rsid w:val="00F50C3F"/>
    <w:rsid w:val="00F50E34"/>
    <w:rsid w:val="00F51AFB"/>
    <w:rsid w:val="00F53EF7"/>
    <w:rsid w:val="00F54BF2"/>
    <w:rsid w:val="00F573B3"/>
    <w:rsid w:val="00F62F5A"/>
    <w:rsid w:val="00F71F10"/>
    <w:rsid w:val="00F72FCC"/>
    <w:rsid w:val="00F775AC"/>
    <w:rsid w:val="00F77907"/>
    <w:rsid w:val="00F8792F"/>
    <w:rsid w:val="00F9214D"/>
    <w:rsid w:val="00F921F1"/>
    <w:rsid w:val="00F92355"/>
    <w:rsid w:val="00F93963"/>
    <w:rsid w:val="00F94291"/>
    <w:rsid w:val="00FA298A"/>
    <w:rsid w:val="00FA5B66"/>
    <w:rsid w:val="00FA5D18"/>
    <w:rsid w:val="00FB0B9C"/>
    <w:rsid w:val="00FB30EB"/>
    <w:rsid w:val="00FB6C17"/>
    <w:rsid w:val="00FB7982"/>
    <w:rsid w:val="00FC0734"/>
    <w:rsid w:val="00FC0FC5"/>
    <w:rsid w:val="00FC588F"/>
    <w:rsid w:val="00FC6879"/>
    <w:rsid w:val="00FC780F"/>
    <w:rsid w:val="00FD43C2"/>
    <w:rsid w:val="00FD57CC"/>
    <w:rsid w:val="00FE1B30"/>
    <w:rsid w:val="00FE7B44"/>
    <w:rsid w:val="00FF5B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EA0F1F2-03C8-4B31-A2B8-D12A3BB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7"/>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styleId="ListParagraph">
    <w:name w:val="List Paragraph"/>
    <w:basedOn w:val="Normal"/>
    <w:uiPriority w:val="1"/>
    <w:qFormat/>
    <w:rsid w:val="00234E15"/>
    <w:pPr>
      <w:widowControl w:val="0"/>
      <w:autoSpaceDE w:val="0"/>
      <w:autoSpaceDN w:val="0"/>
      <w:spacing w:line="240" w:lineRule="auto"/>
      <w:ind w:left="1107" w:right="111" w:hanging="632"/>
      <w:jc w:val="left"/>
    </w:pPr>
    <w:rPr>
      <w:rFonts w:ascii="Arial" w:eastAsia="Arial" w:hAnsi="Arial" w:cs="Arial"/>
      <w:sz w:val="22"/>
      <w:szCs w:val="22"/>
      <w:lang w:val="en-US"/>
    </w:rPr>
  </w:style>
  <w:style w:type="paragraph" w:styleId="Revision">
    <w:name w:val="Revision"/>
    <w:hidden/>
    <w:uiPriority w:val="99"/>
    <w:semiHidden/>
    <w:rsid w:val="0048202E"/>
    <w:rPr>
      <w:sz w:val="24"/>
      <w:lang w:eastAsia="en-US"/>
    </w:rPr>
  </w:style>
  <w:style w:type="paragraph" w:customStyle="1" w:styleId="acthead5">
    <w:name w:val="acthead5"/>
    <w:basedOn w:val="Normal"/>
    <w:rsid w:val="00C34137"/>
    <w:pPr>
      <w:spacing w:before="100" w:beforeAutospacing="1" w:after="100" w:afterAutospacing="1" w:line="240" w:lineRule="auto"/>
      <w:jc w:val="left"/>
    </w:pPr>
    <w:rPr>
      <w:rFonts w:eastAsia="Times New Roman"/>
      <w:szCs w:val="24"/>
      <w:lang w:eastAsia="en-AU"/>
    </w:rPr>
  </w:style>
  <w:style w:type="character" w:customStyle="1" w:styleId="charsectno">
    <w:name w:val="charsectno"/>
    <w:basedOn w:val="DefaultParagraphFont"/>
    <w:rsid w:val="00C34137"/>
  </w:style>
  <w:style w:type="paragraph" w:customStyle="1" w:styleId="subsection">
    <w:name w:val="subsection"/>
    <w:basedOn w:val="Normal"/>
    <w:rsid w:val="00C34137"/>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C34137"/>
    <w:pPr>
      <w:spacing w:before="100" w:beforeAutospacing="1" w:after="100" w:afterAutospacing="1" w:line="240" w:lineRule="auto"/>
      <w:jc w:val="left"/>
    </w:pPr>
    <w:rPr>
      <w:rFonts w:eastAsia="Times New Roman"/>
      <w:szCs w:val="24"/>
      <w:lang w:eastAsia="en-AU"/>
    </w:rPr>
  </w:style>
  <w:style w:type="character" w:customStyle="1" w:styleId="Heading2Char">
    <w:name w:val="Heading 2 Char"/>
    <w:basedOn w:val="DefaultParagraphFont"/>
    <w:link w:val="Heading2"/>
    <w:rsid w:val="0025502A"/>
    <w:rPr>
      <w:b/>
      <w:sz w:val="24"/>
      <w:szCs w:val="24"/>
      <w:lang w:eastAsia="en-US"/>
    </w:rPr>
  </w:style>
  <w:style w:type="character" w:customStyle="1" w:styleId="numberrightspace">
    <w:name w:val="numberrightspace"/>
    <w:basedOn w:val="DefaultParagraphFont"/>
    <w:rsid w:val="008716E0"/>
  </w:style>
  <w:style w:type="paragraph" w:customStyle="1" w:styleId="definition">
    <w:name w:val="definition"/>
    <w:basedOn w:val="Normal"/>
    <w:rsid w:val="00B908B7"/>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34143">
      <w:bodyDiv w:val="1"/>
      <w:marLeft w:val="0"/>
      <w:marRight w:val="0"/>
      <w:marTop w:val="0"/>
      <w:marBottom w:val="0"/>
      <w:divBdr>
        <w:top w:val="none" w:sz="0" w:space="0" w:color="auto"/>
        <w:left w:val="none" w:sz="0" w:space="0" w:color="auto"/>
        <w:bottom w:val="none" w:sz="0" w:space="0" w:color="auto"/>
        <w:right w:val="none" w:sz="0" w:space="0" w:color="auto"/>
      </w:divBdr>
    </w:div>
    <w:div w:id="1700200636">
      <w:bodyDiv w:val="1"/>
      <w:marLeft w:val="0"/>
      <w:marRight w:val="0"/>
      <w:marTop w:val="0"/>
      <w:marBottom w:val="0"/>
      <w:divBdr>
        <w:top w:val="none" w:sz="0" w:space="0" w:color="auto"/>
        <w:left w:val="none" w:sz="0" w:space="0" w:color="auto"/>
        <w:bottom w:val="none" w:sz="0" w:space="0" w:color="auto"/>
        <w:right w:val="none" w:sz="0" w:space="0" w:color="auto"/>
      </w:divBdr>
    </w:div>
    <w:div w:id="1804345908">
      <w:bodyDiv w:val="1"/>
      <w:marLeft w:val="0"/>
      <w:marRight w:val="0"/>
      <w:marTop w:val="0"/>
      <w:marBottom w:val="0"/>
      <w:divBdr>
        <w:top w:val="none" w:sz="0" w:space="0" w:color="auto"/>
        <w:left w:val="none" w:sz="0" w:space="0" w:color="auto"/>
        <w:bottom w:val="none" w:sz="0" w:space="0" w:color="auto"/>
        <w:right w:val="none" w:sz="0" w:space="0" w:color="auto"/>
      </w:divBdr>
      <w:divsChild>
        <w:div w:id="1080176886">
          <w:blockQuote w:val="1"/>
          <w:marLeft w:val="0"/>
          <w:marRight w:val="0"/>
          <w:marTop w:val="0"/>
          <w:marBottom w:val="0"/>
          <w:divBdr>
            <w:top w:val="none" w:sz="0" w:space="0" w:color="auto"/>
            <w:left w:val="none" w:sz="0" w:space="0" w:color="auto"/>
            <w:bottom w:val="none" w:sz="0" w:space="0" w:color="auto"/>
            <w:right w:val="none" w:sz="0" w:space="0" w:color="auto"/>
          </w:divBdr>
          <w:divsChild>
            <w:div w:id="782500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548C69C5C54CC7A0E1BF62DACF094E"/>
        <w:category>
          <w:name w:val="General"/>
          <w:gallery w:val="placeholder"/>
        </w:category>
        <w:types>
          <w:type w:val="bbPlcHdr"/>
        </w:types>
        <w:behaviors>
          <w:behavior w:val="content"/>
        </w:behaviors>
        <w:guid w:val="{B96F9CEB-4A44-4FAB-8293-4B1A4BEAD179}"/>
      </w:docPartPr>
      <w:docPartBody>
        <w:p w:rsidR="00D826BE" w:rsidRDefault="00C245BF">
          <w:pPr>
            <w:pStyle w:val="96548C69C5C54CC7A0E1BF62DACF094E"/>
          </w:pPr>
          <w:r>
            <w:rPr>
              <w:rStyle w:val="PlaceholderText"/>
            </w:rPr>
            <w:t>MNC Text</w:t>
          </w:r>
        </w:p>
      </w:docPartBody>
    </w:docPart>
    <w:docPart>
      <w:docPartPr>
        <w:name w:val="190FAF0ED1B8464789BDDC2412B0F61C"/>
        <w:category>
          <w:name w:val="General"/>
          <w:gallery w:val="placeholder"/>
        </w:category>
        <w:types>
          <w:type w:val="bbPlcHdr"/>
        </w:types>
        <w:behaviors>
          <w:behavior w:val="content"/>
        </w:behaviors>
        <w:guid w:val="{0A06D4E1-1543-4F85-AF68-276AEE934B39}"/>
      </w:docPartPr>
      <w:docPartBody>
        <w:p w:rsidR="00D826BE" w:rsidRDefault="00C245BF">
          <w:pPr>
            <w:pStyle w:val="190FAF0ED1B8464789BDDC2412B0F61C"/>
          </w:pPr>
          <w:r w:rsidRPr="005C44BE">
            <w:rPr>
              <w:rStyle w:val="PlaceholderText"/>
            </w:rPr>
            <w:t>Click or tap here to enter text.</w:t>
          </w:r>
        </w:p>
      </w:docPartBody>
    </w:docPart>
    <w:docPart>
      <w:docPartPr>
        <w:name w:val="2C0620D117E64F94B2D571E1D5F08487"/>
        <w:category>
          <w:name w:val="General"/>
          <w:gallery w:val="placeholder"/>
        </w:category>
        <w:types>
          <w:type w:val="bbPlcHdr"/>
        </w:types>
        <w:behaviors>
          <w:behavior w:val="content"/>
        </w:behaviors>
        <w:guid w:val="{17C3DE28-5A2E-4FA4-BBB8-E41B25AB3A5C}"/>
      </w:docPartPr>
      <w:docPartBody>
        <w:p w:rsidR="00D826BE" w:rsidRDefault="00C245BF">
          <w:pPr>
            <w:pStyle w:val="2C0620D117E64F94B2D571E1D5F08487"/>
          </w:pPr>
          <w:r w:rsidRPr="005C44BE">
            <w:rPr>
              <w:rStyle w:val="PlaceholderText"/>
            </w:rPr>
            <w:t>Click or tap here to enter text.</w:t>
          </w:r>
        </w:p>
      </w:docPartBody>
    </w:docPart>
    <w:docPart>
      <w:docPartPr>
        <w:name w:val="DD7C42B19E1C4162BD37C04EF59EF326"/>
        <w:category>
          <w:name w:val="General"/>
          <w:gallery w:val="placeholder"/>
        </w:category>
        <w:types>
          <w:type w:val="bbPlcHdr"/>
        </w:types>
        <w:behaviors>
          <w:behavior w:val="content"/>
        </w:behaviors>
        <w:guid w:val="{F56CF672-6AD5-4A1A-AD78-A5DB3FFE6A1D}"/>
      </w:docPartPr>
      <w:docPartBody>
        <w:p w:rsidR="00D826BE" w:rsidRDefault="00C245BF">
          <w:pPr>
            <w:pStyle w:val="DD7C42B19E1C4162BD37C04EF59EF326"/>
          </w:pPr>
          <w:r w:rsidRPr="005C44BE">
            <w:rPr>
              <w:rStyle w:val="PlaceholderText"/>
            </w:rPr>
            <w:t>Click or tap here to enter text.</w:t>
          </w:r>
        </w:p>
      </w:docPartBody>
    </w:docPart>
    <w:docPart>
      <w:docPartPr>
        <w:name w:val="74A7218CD1B94C8DA8926F870E340F2D"/>
        <w:category>
          <w:name w:val="General"/>
          <w:gallery w:val="placeholder"/>
        </w:category>
        <w:types>
          <w:type w:val="bbPlcHdr"/>
        </w:types>
        <w:behaviors>
          <w:behavior w:val="content"/>
        </w:behaviors>
        <w:guid w:val="{5B4220B9-049D-4A37-A069-05381AAEB2D5}"/>
      </w:docPartPr>
      <w:docPartBody>
        <w:p w:rsidR="00D826BE" w:rsidRDefault="00C245BF">
          <w:pPr>
            <w:pStyle w:val="74A7218CD1B94C8DA8926F870E340F2D"/>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BF"/>
    <w:rsid w:val="000C193D"/>
    <w:rsid w:val="000F3F21"/>
    <w:rsid w:val="00140955"/>
    <w:rsid w:val="00152B3F"/>
    <w:rsid w:val="00182035"/>
    <w:rsid w:val="00356634"/>
    <w:rsid w:val="00520CF7"/>
    <w:rsid w:val="005D2B04"/>
    <w:rsid w:val="00706B50"/>
    <w:rsid w:val="00A20EA7"/>
    <w:rsid w:val="00C245BF"/>
    <w:rsid w:val="00C76D45"/>
    <w:rsid w:val="00D07E38"/>
    <w:rsid w:val="00D11FBA"/>
    <w:rsid w:val="00D826BE"/>
    <w:rsid w:val="00EC05B6"/>
    <w:rsid w:val="00F039C3"/>
    <w:rsid w:val="00F14BA4"/>
    <w:rsid w:val="00F55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548C69C5C54CC7A0E1BF62DACF094E">
    <w:name w:val="96548C69C5C54CC7A0E1BF62DACF094E"/>
  </w:style>
  <w:style w:type="paragraph" w:customStyle="1" w:styleId="190FAF0ED1B8464789BDDC2412B0F61C">
    <w:name w:val="190FAF0ED1B8464789BDDC2412B0F61C"/>
  </w:style>
  <w:style w:type="paragraph" w:customStyle="1" w:styleId="2C0620D117E64F94B2D571E1D5F08487">
    <w:name w:val="2C0620D117E64F94B2D571E1D5F08487"/>
  </w:style>
  <w:style w:type="paragraph" w:customStyle="1" w:styleId="DD7C42B19E1C4162BD37C04EF59EF326">
    <w:name w:val="DD7C42B19E1C4162BD37C04EF59EF326"/>
  </w:style>
  <w:style w:type="paragraph" w:customStyle="1" w:styleId="74A7218CD1B94C8DA8926F870E340F2D">
    <w:name w:val="74A7218CD1B94C8DA8926F870E340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Sydfran Pty Limited v Mansito Helena Nominees Pty Ltd, in the matter of Treelens Pty Ltd [2022] FCA 752</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FF5C14B7-BD99-4AEA-B343-ED2163C9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9</Pages>
  <Words>1964</Words>
  <Characters>10632</Characters>
  <Application>Microsoft Office Word</Application>
  <DocSecurity>0</DocSecurity>
  <Lines>322</Lines>
  <Paragraphs>161</Paragraphs>
  <ScaleCrop>false</ScaleCrop>
  <HeadingPairs>
    <vt:vector size="2" baseType="variant">
      <vt:variant>
        <vt:lpstr>Title</vt:lpstr>
      </vt:variant>
      <vt:variant>
        <vt:i4>1</vt:i4>
      </vt:variant>
    </vt:vector>
  </HeadingPairs>
  <TitlesOfParts>
    <vt:vector size="1" baseType="lpstr">
      <vt:lpstr>Sydfran Pty Limited v Mansito Helena Nominees Pty Ltd, in the matter of Treelens Pty Ltd [2022] FCA 752</vt:lpstr>
    </vt:vector>
  </TitlesOfParts>
  <Company>Federal Court of Australia</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Sydfran Pty Limited v Mansito Helena Nominees Pty Ltd, in the matter of Treelens Pty Ltd [2022] FCA 752</dc:title>
  <dc:creator>Federal Court of Australia</dc:creator>
  <dc:description>v1.3</dc:description>
  <cp:lastModifiedBy>Federal Court of Australia</cp:lastModifiedBy>
  <cp:revision>4</cp:revision>
  <cp:lastPrinted>2022-06-28T04:11:00Z</cp:lastPrinted>
  <dcterms:created xsi:type="dcterms:W3CDTF">2022-06-29T04:52:00Z</dcterms:created>
  <dcterms:modified xsi:type="dcterms:W3CDTF">2022-06-29T04:54:00Z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9</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Commercial Contracts, Banking, Finance and Insurance</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