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B24" w:rsidRDefault="00165028" w:rsidP="00A22932">
      <w:pPr>
        <w:pStyle w:val="CourtTitle"/>
      </w:pPr>
      <w:r>
        <w:fldChar w:fldCharType="begin" w:fldLock="1"/>
      </w:r>
      <w:r>
        <w:instrText xml:space="preserve"> DOCPROPERTY  Court  \* MERGEFORMAT </w:instrText>
      </w:r>
      <w:r>
        <w:fldChar w:fldCharType="separate"/>
      </w:r>
      <w:r w:rsidR="00013E9F">
        <w:t>Federal Court of Australia</w:t>
      </w:r>
      <w:r>
        <w:fldChar w:fldCharType="end"/>
      </w:r>
    </w:p>
    <w:p w:rsidR="00395B24" w:rsidRDefault="00395B24">
      <w:pPr>
        <w:pStyle w:val="NormalHeadings"/>
        <w:jc w:val="center"/>
        <w:rPr>
          <w:sz w:val="32"/>
        </w:rPr>
      </w:pPr>
    </w:p>
    <w:bookmarkStart w:id="0" w:name="MNC"/>
    <w:p w:rsidR="00374CC4" w:rsidRDefault="008255DB" w:rsidP="001A2B40">
      <w:pPr>
        <w:pStyle w:val="MNC"/>
      </w:pPr>
      <w:sdt>
        <w:sdtPr>
          <w:alias w:val="MNC"/>
          <w:tag w:val="MNC"/>
          <w:id w:val="343289786"/>
          <w:lock w:val="sdtLocked"/>
          <w:placeholder>
            <w:docPart w:val="FAB228D1C7C64BD4AD96CA4D0B291B41"/>
          </w:placeholder>
          <w:dataBinding w:prefixMappings="xmlns:ns0='http://schemas.globalmacros.com/FCA'" w:xpath="/ns0:root[1]/ns0:Name[1]" w:storeItemID="{687E7CCB-4AA5-44E7-B148-17BA2B6F57C0}"/>
          <w:text w:multiLine="1"/>
        </w:sdtPr>
        <w:sdtEndPr/>
        <w:sdtContent>
          <w:r w:rsidR="00C971CA">
            <w:t xml:space="preserve">Markey (Liquidator), in the matter of </w:t>
          </w:r>
          <w:proofErr w:type="spellStart"/>
          <w:r w:rsidR="00C971CA">
            <w:t>Bestjet</w:t>
          </w:r>
          <w:proofErr w:type="spellEnd"/>
          <w:r w:rsidR="00C971CA">
            <w:t xml:space="preserve"> Travel Pty Ltd (in </w:t>
          </w:r>
          <w:proofErr w:type="spellStart"/>
          <w:r w:rsidR="00C971CA">
            <w:t>liq</w:t>
          </w:r>
          <w:proofErr w:type="spellEnd"/>
          <w:r w:rsidR="00C971CA">
            <w:t xml:space="preserve">) v </w:t>
          </w:r>
          <w:proofErr w:type="spellStart"/>
          <w:r w:rsidR="00C971CA">
            <w:t>Bestjet</w:t>
          </w:r>
          <w:proofErr w:type="spellEnd"/>
          <w:r w:rsidR="00C971CA">
            <w:t xml:space="preserve"> Travel P</w:t>
          </w:r>
          <w:r w:rsidR="00834FC6">
            <w:t xml:space="preserve">ty Ltd (in </w:t>
          </w:r>
          <w:proofErr w:type="spellStart"/>
          <w:r w:rsidR="00834FC6">
            <w:t>liq</w:t>
          </w:r>
          <w:proofErr w:type="spellEnd"/>
          <w:r w:rsidR="00834FC6">
            <w:t>) [2020] FCA 1881</w:t>
          </w:r>
          <w:r w:rsidR="00C971CA">
            <w:t xml:space="preserve"> </w:t>
          </w:r>
        </w:sdtContent>
      </w:sdt>
      <w:bookmarkEnd w:id="0"/>
      <w:r w:rsidR="005C185C">
        <w:t xml:space="preserve"> </w:t>
      </w:r>
    </w:p>
    <w:tbl>
      <w:tblPr>
        <w:tblW w:w="9073" w:type="dxa"/>
        <w:tblLayout w:type="fixed"/>
        <w:tblLook w:val="01E0" w:firstRow="1" w:lastRow="1" w:firstColumn="1" w:lastColumn="1" w:noHBand="0" w:noVBand="0"/>
        <w:tblCaption w:val="Cover Table"/>
        <w:tblDescription w:val="Cover Table"/>
      </w:tblPr>
      <w:tblGrid>
        <w:gridCol w:w="3084"/>
        <w:gridCol w:w="5989"/>
      </w:tblGrid>
      <w:tr w:rsidR="00395B24" w:rsidTr="00C971CA">
        <w:tc>
          <w:tcPr>
            <w:tcW w:w="3084" w:type="dxa"/>
            <w:shd w:val="clear" w:color="auto" w:fill="auto"/>
          </w:tcPr>
          <w:p w:rsidR="00395B24" w:rsidRDefault="008B1D14" w:rsidP="00663878">
            <w:pPr>
              <w:pStyle w:val="Normal1linespace"/>
              <w:widowControl w:val="0"/>
              <w:jc w:val="left"/>
            </w:pPr>
            <w:r>
              <w:t>File number</w:t>
            </w:r>
            <w:r w:rsidR="002C7385">
              <w:t>:</w:t>
            </w:r>
          </w:p>
        </w:tc>
        <w:tc>
          <w:tcPr>
            <w:tcW w:w="5989" w:type="dxa"/>
            <w:shd w:val="clear" w:color="auto" w:fill="auto"/>
          </w:tcPr>
          <w:p w:rsidR="00395B24" w:rsidRPr="00013E9F" w:rsidRDefault="00353078" w:rsidP="00013E9F">
            <w:pPr>
              <w:pStyle w:val="Normal1linespace"/>
              <w:jc w:val="left"/>
            </w:pPr>
            <w:fldSimple w:instr=" REF  FileNo  \* MERGEFORMAT " w:fldLock="1">
              <w:r w:rsidR="00013E9F" w:rsidRPr="00013E9F">
                <w:t>QUD 170 of 2020</w:t>
              </w:r>
            </w:fldSimple>
          </w:p>
        </w:tc>
      </w:tr>
      <w:tr w:rsidR="00395B24" w:rsidTr="00C971C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71CA">
        <w:tc>
          <w:tcPr>
            <w:tcW w:w="3084" w:type="dxa"/>
            <w:shd w:val="clear" w:color="auto" w:fill="auto"/>
          </w:tcPr>
          <w:p w:rsidR="00395B24" w:rsidRDefault="002C7385" w:rsidP="00663878">
            <w:pPr>
              <w:pStyle w:val="Normal1linespace"/>
              <w:widowControl w:val="0"/>
              <w:jc w:val="left"/>
            </w:pPr>
            <w:r>
              <w:t>Judg</w:t>
            </w:r>
            <w:r w:rsidR="005724F6">
              <w:t>ment of</w:t>
            </w:r>
            <w:r>
              <w:t>:</w:t>
            </w:r>
          </w:p>
        </w:tc>
        <w:tc>
          <w:tcPr>
            <w:tcW w:w="5989" w:type="dxa"/>
            <w:shd w:val="clear" w:color="auto" w:fill="auto"/>
          </w:tcPr>
          <w:p w:rsidR="00395B24" w:rsidRDefault="002C7385" w:rsidP="00663878">
            <w:pPr>
              <w:pStyle w:val="Normal1linespace"/>
              <w:widowControl w:val="0"/>
              <w:jc w:val="left"/>
              <w:rPr>
                <w:b/>
              </w:rPr>
            </w:pPr>
            <w:r w:rsidRPr="00013E9F">
              <w:rPr>
                <w:b/>
              </w:rPr>
              <w:fldChar w:fldCharType="begin" w:fldLock="1"/>
            </w:r>
            <w:r w:rsidRPr="00013E9F">
              <w:rPr>
                <w:b/>
              </w:rPr>
              <w:instrText xml:space="preserve"> REF  Judge  \* MERGEFORMAT </w:instrText>
            </w:r>
            <w:r w:rsidRPr="00013E9F">
              <w:rPr>
                <w:b/>
              </w:rPr>
              <w:fldChar w:fldCharType="separate"/>
            </w:r>
            <w:r w:rsidR="00013E9F" w:rsidRPr="00013E9F">
              <w:rPr>
                <w:b/>
                <w:caps/>
                <w:szCs w:val="24"/>
              </w:rPr>
              <w:t>REEVES J</w:t>
            </w:r>
            <w:r w:rsidRPr="00013E9F">
              <w:rPr>
                <w:b/>
              </w:rPr>
              <w:fldChar w:fldCharType="end"/>
            </w:r>
          </w:p>
        </w:tc>
      </w:tr>
      <w:tr w:rsidR="00395B24" w:rsidTr="00C971C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71CA">
        <w:tc>
          <w:tcPr>
            <w:tcW w:w="3084" w:type="dxa"/>
            <w:shd w:val="clear" w:color="auto" w:fill="auto"/>
          </w:tcPr>
          <w:p w:rsidR="00395B24" w:rsidRDefault="002C7385" w:rsidP="00663878">
            <w:pPr>
              <w:pStyle w:val="Normal1linespace"/>
              <w:widowControl w:val="0"/>
              <w:jc w:val="left"/>
            </w:pPr>
            <w:r>
              <w:t>Date of judgment:</w:t>
            </w:r>
          </w:p>
        </w:tc>
        <w:tc>
          <w:tcPr>
            <w:tcW w:w="5989" w:type="dxa"/>
            <w:shd w:val="clear" w:color="auto" w:fill="auto"/>
          </w:tcPr>
          <w:p w:rsidR="00395B24" w:rsidRDefault="00AD169E" w:rsidP="00AD169E">
            <w:pPr>
              <w:pStyle w:val="Normal1linespace"/>
              <w:widowControl w:val="0"/>
              <w:jc w:val="left"/>
            </w:pPr>
            <w:bookmarkStart w:id="1" w:name="JudgmentDate"/>
            <w:r>
              <w:t>23</w:t>
            </w:r>
            <w:r w:rsidR="00207359">
              <w:t xml:space="preserve"> </w:t>
            </w:r>
            <w:r>
              <w:t>July</w:t>
            </w:r>
            <w:r w:rsidR="00207359">
              <w:t xml:space="preserve"> 2020</w:t>
            </w:r>
            <w:bookmarkEnd w:id="1"/>
          </w:p>
        </w:tc>
      </w:tr>
      <w:tr w:rsidR="00207359" w:rsidTr="00C971CA">
        <w:tc>
          <w:tcPr>
            <w:tcW w:w="3084" w:type="dxa"/>
            <w:shd w:val="clear" w:color="auto" w:fill="auto"/>
          </w:tcPr>
          <w:p w:rsidR="00207359" w:rsidRDefault="00207359" w:rsidP="00663878">
            <w:pPr>
              <w:pStyle w:val="Normal1linespace"/>
              <w:widowControl w:val="0"/>
              <w:jc w:val="left"/>
            </w:pPr>
          </w:p>
        </w:tc>
        <w:tc>
          <w:tcPr>
            <w:tcW w:w="5989" w:type="dxa"/>
            <w:shd w:val="clear" w:color="auto" w:fill="auto"/>
          </w:tcPr>
          <w:p w:rsidR="00207359" w:rsidRDefault="00207359" w:rsidP="00663878">
            <w:pPr>
              <w:pStyle w:val="Normal1linespace"/>
              <w:widowControl w:val="0"/>
              <w:jc w:val="left"/>
            </w:pPr>
          </w:p>
        </w:tc>
      </w:tr>
      <w:tr w:rsidR="00207359" w:rsidTr="00C971CA">
        <w:tc>
          <w:tcPr>
            <w:tcW w:w="3084" w:type="dxa"/>
            <w:shd w:val="clear" w:color="auto" w:fill="auto"/>
          </w:tcPr>
          <w:p w:rsidR="00207359" w:rsidRDefault="00207359" w:rsidP="00AD169E">
            <w:pPr>
              <w:pStyle w:val="Normal1linespace"/>
              <w:widowControl w:val="0"/>
              <w:jc w:val="left"/>
            </w:pPr>
            <w:r>
              <w:t xml:space="preserve">Date of </w:t>
            </w:r>
            <w:r w:rsidR="00AD169E">
              <w:t>publication of reasons</w:t>
            </w:r>
            <w:r>
              <w:t>:</w:t>
            </w:r>
          </w:p>
        </w:tc>
        <w:tc>
          <w:tcPr>
            <w:tcW w:w="5989" w:type="dxa"/>
            <w:shd w:val="clear" w:color="auto" w:fill="auto"/>
          </w:tcPr>
          <w:p w:rsidR="00207359" w:rsidRDefault="00207359" w:rsidP="00AD169E">
            <w:pPr>
              <w:pStyle w:val="Normal1linespace"/>
              <w:widowControl w:val="0"/>
              <w:jc w:val="left"/>
            </w:pPr>
            <w:r>
              <w:t>2</w:t>
            </w:r>
            <w:r w:rsidR="00AD169E">
              <w:t>4</w:t>
            </w:r>
            <w:r>
              <w:t xml:space="preserve"> </w:t>
            </w:r>
            <w:r w:rsidR="00AD169E">
              <w:t xml:space="preserve">December </w:t>
            </w:r>
            <w:r>
              <w:t>2020</w:t>
            </w:r>
          </w:p>
        </w:tc>
      </w:tr>
      <w:tr w:rsidR="00395B24" w:rsidTr="00C971C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71CA">
        <w:tc>
          <w:tcPr>
            <w:tcW w:w="3084" w:type="dxa"/>
            <w:shd w:val="clear" w:color="auto" w:fill="auto"/>
          </w:tcPr>
          <w:p w:rsidR="00395B24" w:rsidRDefault="002C7385" w:rsidP="00663878">
            <w:pPr>
              <w:pStyle w:val="Normal1linespace"/>
              <w:widowControl w:val="0"/>
              <w:jc w:val="left"/>
            </w:pPr>
            <w:r>
              <w:t>Catchwords:</w:t>
            </w:r>
          </w:p>
        </w:tc>
        <w:tc>
          <w:tcPr>
            <w:tcW w:w="5989" w:type="dxa"/>
            <w:shd w:val="clear" w:color="auto" w:fill="auto"/>
          </w:tcPr>
          <w:p w:rsidR="00395B24" w:rsidRDefault="00336DC5" w:rsidP="00B0070D">
            <w:pPr>
              <w:pStyle w:val="Normal1linespace"/>
              <w:widowControl w:val="0"/>
              <w:jc w:val="left"/>
            </w:pPr>
            <w:bookmarkStart w:id="2" w:name="Catchwords"/>
            <w:r>
              <w:rPr>
                <w:b/>
              </w:rPr>
              <w:t xml:space="preserve">CORPORATIONS – </w:t>
            </w:r>
            <w:r>
              <w:t xml:space="preserve">application for the appointment of a special purpose liquidator under s 90-10 of the </w:t>
            </w:r>
            <w:r w:rsidRPr="00336DC5">
              <w:rPr>
                <w:i/>
              </w:rPr>
              <w:t xml:space="preserve">Insolvency Practice Schedule </w:t>
            </w:r>
            <w:r w:rsidRPr="00B64C4D">
              <w:t>(</w:t>
            </w:r>
            <w:r w:rsidRPr="00336DC5">
              <w:t xml:space="preserve">Schedule 2 to the </w:t>
            </w:r>
            <w:r w:rsidRPr="00336DC5">
              <w:rPr>
                <w:i/>
              </w:rPr>
              <w:t>Corporations Act 2001</w:t>
            </w:r>
            <w:r w:rsidRPr="00336DC5">
              <w:t xml:space="preserve"> (</w:t>
            </w:r>
            <w:proofErr w:type="spellStart"/>
            <w:r w:rsidRPr="00336DC5">
              <w:t>Cth</w:t>
            </w:r>
            <w:proofErr w:type="spellEnd"/>
            <w:r w:rsidRPr="00336DC5">
              <w:t>))</w:t>
            </w:r>
            <w:r w:rsidR="00B64C4D">
              <w:t xml:space="preserve"> </w:t>
            </w:r>
            <w:r>
              <w:t>– where the plaintiffs are the liquidators of two related companies – where one company lodged a proof of debt in the other giving rise to a conflict of interest and duty –</w:t>
            </w:r>
            <w:r w:rsidR="00B64C4D">
              <w:t xml:space="preserve"> whether the special purpose is substantial and serious – whether that purpose has been sufficiently defined</w:t>
            </w:r>
            <w:r>
              <w:t xml:space="preserve"> – application granted</w:t>
            </w:r>
            <w:r w:rsidR="00715751">
              <w:t xml:space="preserve"> </w:t>
            </w:r>
            <w:r w:rsidR="002C7385">
              <w:t xml:space="preserve"> </w:t>
            </w:r>
            <w:bookmarkEnd w:id="2"/>
          </w:p>
        </w:tc>
      </w:tr>
      <w:tr w:rsidR="00395B24" w:rsidTr="00C971C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71CA">
        <w:tc>
          <w:tcPr>
            <w:tcW w:w="3084" w:type="dxa"/>
            <w:shd w:val="clear" w:color="auto" w:fill="auto"/>
          </w:tcPr>
          <w:p w:rsidR="00395B24" w:rsidRDefault="002C7385" w:rsidP="00663878">
            <w:pPr>
              <w:pStyle w:val="Normal1linespace"/>
              <w:widowControl w:val="0"/>
              <w:jc w:val="left"/>
            </w:pPr>
            <w:r>
              <w:t>Legislation:</w:t>
            </w:r>
          </w:p>
        </w:tc>
        <w:tc>
          <w:tcPr>
            <w:tcW w:w="5989" w:type="dxa"/>
            <w:shd w:val="clear" w:color="auto" w:fill="auto"/>
          </w:tcPr>
          <w:p w:rsidR="00C971CA" w:rsidRDefault="00C971CA" w:rsidP="00C971CA">
            <w:pPr>
              <w:pStyle w:val="CasesLegislationAppealFrom"/>
              <w:spacing w:after="60"/>
            </w:pPr>
            <w:bookmarkStart w:id="3" w:name="Legislation"/>
            <w:r w:rsidRPr="00013AB2">
              <w:rPr>
                <w:i/>
              </w:rPr>
              <w:t>Corporations Act 2001</w:t>
            </w:r>
            <w:r>
              <w:t xml:space="preserve"> (</w:t>
            </w:r>
            <w:proofErr w:type="spellStart"/>
            <w:r>
              <w:t>Cth</w:t>
            </w:r>
            <w:proofErr w:type="spellEnd"/>
            <w:r>
              <w:t>)</w:t>
            </w:r>
          </w:p>
          <w:p w:rsidR="00395B24" w:rsidRPr="00C971CA" w:rsidRDefault="00C971CA" w:rsidP="00C971CA">
            <w:pPr>
              <w:pStyle w:val="CasesLegislationAppealFrom"/>
              <w:spacing w:after="60"/>
            </w:pPr>
            <w:r w:rsidRPr="00C971CA">
              <w:rPr>
                <w:i/>
              </w:rPr>
              <w:t xml:space="preserve">Insolvency Practice Schedule </w:t>
            </w:r>
            <w:r w:rsidRPr="00C971CA">
              <w:t xml:space="preserve">(Schedule 2 to the </w:t>
            </w:r>
            <w:r w:rsidRPr="00C971CA">
              <w:rPr>
                <w:i/>
              </w:rPr>
              <w:t>Corporations Act 2001</w:t>
            </w:r>
            <w:r w:rsidRPr="00C971CA">
              <w:t xml:space="preserve"> (</w:t>
            </w:r>
            <w:proofErr w:type="spellStart"/>
            <w:r w:rsidRPr="00C971CA">
              <w:t>Cth</w:t>
            </w:r>
            <w:proofErr w:type="spellEnd"/>
            <w:r w:rsidRPr="00C971CA">
              <w:t>))</w:t>
            </w:r>
            <w:bookmarkEnd w:id="3"/>
          </w:p>
        </w:tc>
      </w:tr>
      <w:tr w:rsidR="00395B24" w:rsidTr="00C971CA">
        <w:tc>
          <w:tcPr>
            <w:tcW w:w="3084" w:type="dxa"/>
            <w:shd w:val="clear" w:color="auto" w:fill="auto"/>
          </w:tcPr>
          <w:p w:rsidR="00395B24" w:rsidRDefault="00395B24" w:rsidP="00663878">
            <w:pPr>
              <w:pStyle w:val="Normal1linespace"/>
              <w:widowControl w:val="0"/>
              <w:jc w:val="left"/>
            </w:pPr>
          </w:p>
        </w:tc>
        <w:tc>
          <w:tcPr>
            <w:tcW w:w="5989" w:type="dxa"/>
            <w:shd w:val="clear" w:color="auto" w:fill="auto"/>
          </w:tcPr>
          <w:p w:rsidR="00395B24" w:rsidRDefault="00395B24" w:rsidP="00663878">
            <w:pPr>
              <w:pStyle w:val="Normal1linespace"/>
              <w:widowControl w:val="0"/>
              <w:jc w:val="left"/>
            </w:pPr>
          </w:p>
        </w:tc>
      </w:tr>
      <w:tr w:rsidR="00395B24" w:rsidTr="00C971CA">
        <w:tc>
          <w:tcPr>
            <w:tcW w:w="3084" w:type="dxa"/>
            <w:shd w:val="clear" w:color="auto" w:fill="auto"/>
          </w:tcPr>
          <w:p w:rsidR="00395B24" w:rsidRDefault="002C7385" w:rsidP="00663878">
            <w:pPr>
              <w:pStyle w:val="Normal1linespace"/>
              <w:widowControl w:val="0"/>
              <w:jc w:val="left"/>
            </w:pPr>
            <w:r>
              <w:t>Cases cited:</w:t>
            </w:r>
          </w:p>
        </w:tc>
        <w:tc>
          <w:tcPr>
            <w:tcW w:w="5989" w:type="dxa"/>
            <w:shd w:val="clear" w:color="auto" w:fill="auto"/>
          </w:tcPr>
          <w:p w:rsidR="00C971CA" w:rsidRPr="00C971CA" w:rsidRDefault="00C971CA" w:rsidP="00C971CA">
            <w:pPr>
              <w:pStyle w:val="CasesLegislationAppealFrom"/>
              <w:spacing w:after="60"/>
            </w:pPr>
            <w:bookmarkStart w:id="4" w:name="Cases_Cited"/>
            <w:r w:rsidRPr="00C971CA">
              <w:rPr>
                <w:i/>
              </w:rPr>
              <w:t xml:space="preserve">Deputy Commissioner of Taxation, in the matter of Italian Prestige Jewellery Pty Ltd (In </w:t>
            </w:r>
            <w:proofErr w:type="spellStart"/>
            <w:r w:rsidRPr="00C971CA">
              <w:rPr>
                <w:i/>
              </w:rPr>
              <w:t>Liq</w:t>
            </w:r>
            <w:proofErr w:type="spellEnd"/>
            <w:r w:rsidRPr="00C971CA">
              <w:rPr>
                <w:i/>
              </w:rPr>
              <w:t>) ACN 116 031 022 v Italian Prestige Jewellery Pty Limited</w:t>
            </w:r>
            <w:r w:rsidRPr="00C971CA">
              <w:t xml:space="preserve"> (2018) 129 ACSR 115; [2018] FCA 983</w:t>
            </w:r>
          </w:p>
          <w:p w:rsidR="00C971CA" w:rsidRPr="00C971CA" w:rsidRDefault="00C971CA" w:rsidP="00C971CA">
            <w:pPr>
              <w:pStyle w:val="CasesLegislationAppealFrom"/>
              <w:spacing w:after="60"/>
            </w:pPr>
            <w:r w:rsidRPr="00C971CA">
              <w:rPr>
                <w:i/>
              </w:rPr>
              <w:t xml:space="preserve">GDK Projects Pty Ltd, Re Umberto Pty Ltd (in </w:t>
            </w:r>
            <w:proofErr w:type="spellStart"/>
            <w:r w:rsidRPr="00C971CA">
              <w:rPr>
                <w:i/>
              </w:rPr>
              <w:t>liq</w:t>
            </w:r>
            <w:proofErr w:type="spellEnd"/>
            <w:r w:rsidRPr="00C971CA">
              <w:rPr>
                <w:i/>
              </w:rPr>
              <w:t xml:space="preserve">) v Umberto Pty Ltd (in </w:t>
            </w:r>
            <w:proofErr w:type="spellStart"/>
            <w:r w:rsidRPr="00C971CA">
              <w:rPr>
                <w:i/>
              </w:rPr>
              <w:t>liq</w:t>
            </w:r>
            <w:proofErr w:type="spellEnd"/>
            <w:r w:rsidRPr="00C971CA">
              <w:rPr>
                <w:i/>
              </w:rPr>
              <w:t>)</w:t>
            </w:r>
            <w:r w:rsidRPr="00C971CA">
              <w:t xml:space="preserve"> [2018] FCA 541</w:t>
            </w:r>
          </w:p>
          <w:p w:rsidR="00C971CA" w:rsidRPr="00C971CA" w:rsidRDefault="00C971CA" w:rsidP="00C971CA">
            <w:pPr>
              <w:pStyle w:val="CasesLegislationAppealFrom"/>
              <w:spacing w:after="60"/>
            </w:pPr>
            <w:proofErr w:type="spellStart"/>
            <w:r w:rsidRPr="00C971CA">
              <w:rPr>
                <w:i/>
              </w:rPr>
              <w:t>Handberg</w:t>
            </w:r>
            <w:proofErr w:type="spellEnd"/>
            <w:r w:rsidRPr="00C971CA">
              <w:rPr>
                <w:i/>
              </w:rPr>
              <w:t xml:space="preserve">, in the matter of </w:t>
            </w:r>
            <w:proofErr w:type="spellStart"/>
            <w:r w:rsidRPr="00C971CA">
              <w:rPr>
                <w:i/>
              </w:rPr>
              <w:t>Greight</w:t>
            </w:r>
            <w:proofErr w:type="spellEnd"/>
            <w:r w:rsidRPr="00C971CA">
              <w:rPr>
                <w:i/>
              </w:rPr>
              <w:t xml:space="preserve"> Pty Ltd (in </w:t>
            </w:r>
            <w:proofErr w:type="spellStart"/>
            <w:r w:rsidRPr="00C971CA">
              <w:rPr>
                <w:i/>
              </w:rPr>
              <w:t>liq</w:t>
            </w:r>
            <w:proofErr w:type="spellEnd"/>
            <w:r w:rsidRPr="00C971CA">
              <w:rPr>
                <w:i/>
              </w:rPr>
              <w:t>)</w:t>
            </w:r>
            <w:r w:rsidRPr="00C971CA">
              <w:t xml:space="preserve"> (2006) 56 ACSR 334; [2006] FCA 17</w:t>
            </w:r>
          </w:p>
          <w:p w:rsidR="00C971CA" w:rsidRPr="00C971CA" w:rsidRDefault="00C971CA" w:rsidP="00C971CA">
            <w:pPr>
              <w:pStyle w:val="CasesLegislationAppealFrom"/>
              <w:spacing w:after="60"/>
            </w:pPr>
            <w:r w:rsidRPr="00C971CA">
              <w:rPr>
                <w:i/>
              </w:rPr>
              <w:t xml:space="preserve">In the matter of </w:t>
            </w:r>
            <w:proofErr w:type="spellStart"/>
            <w:r w:rsidRPr="00C971CA">
              <w:rPr>
                <w:i/>
              </w:rPr>
              <w:t>Aus</w:t>
            </w:r>
            <w:proofErr w:type="spellEnd"/>
            <w:r w:rsidRPr="00C971CA">
              <w:rPr>
                <w:i/>
              </w:rPr>
              <w:t xml:space="preserve"> Streaming (In </w:t>
            </w:r>
            <w:proofErr w:type="spellStart"/>
            <w:r w:rsidRPr="00C971CA">
              <w:rPr>
                <w:i/>
              </w:rPr>
              <w:t>Liq</w:t>
            </w:r>
            <w:proofErr w:type="spellEnd"/>
            <w:r w:rsidRPr="00C971CA">
              <w:rPr>
                <w:i/>
              </w:rPr>
              <w:t>)</w:t>
            </w:r>
            <w:r w:rsidRPr="00C971CA">
              <w:t xml:space="preserve"> [2020] VSC 313</w:t>
            </w:r>
          </w:p>
          <w:p w:rsidR="00C971CA" w:rsidRPr="00C971CA" w:rsidRDefault="00C971CA" w:rsidP="00C971CA">
            <w:pPr>
              <w:pStyle w:val="CasesLegislationAppealFrom"/>
              <w:spacing w:after="60"/>
            </w:pPr>
            <w:r w:rsidRPr="00C971CA">
              <w:rPr>
                <w:i/>
              </w:rPr>
              <w:t xml:space="preserve">McGrath &amp; Anor re HIH Insurance Ltd &amp; </w:t>
            </w:r>
            <w:proofErr w:type="spellStart"/>
            <w:r w:rsidRPr="00C971CA">
              <w:rPr>
                <w:i/>
              </w:rPr>
              <w:t>Ors</w:t>
            </w:r>
            <w:proofErr w:type="spellEnd"/>
            <w:r w:rsidRPr="00C971CA">
              <w:t xml:space="preserve"> [2006] NSWSC 385</w:t>
            </w:r>
          </w:p>
          <w:p w:rsidR="00C971CA" w:rsidRPr="00C971CA" w:rsidRDefault="00C971CA" w:rsidP="00C971CA">
            <w:pPr>
              <w:pStyle w:val="CasesLegislationAppealFrom"/>
              <w:spacing w:after="60"/>
            </w:pPr>
            <w:proofErr w:type="spellStart"/>
            <w:r w:rsidRPr="00C971CA">
              <w:rPr>
                <w:i/>
              </w:rPr>
              <w:t>Melhelm</w:t>
            </w:r>
            <w:proofErr w:type="spellEnd"/>
            <w:r w:rsidRPr="00C971CA">
              <w:rPr>
                <w:i/>
              </w:rPr>
              <w:t xml:space="preserve"> Pty Ltd, in the matter of </w:t>
            </w:r>
            <w:proofErr w:type="spellStart"/>
            <w:r w:rsidRPr="00C971CA">
              <w:rPr>
                <w:i/>
              </w:rPr>
              <w:t>Boka</w:t>
            </w:r>
            <w:proofErr w:type="spellEnd"/>
            <w:r w:rsidRPr="00C971CA">
              <w:rPr>
                <w:i/>
              </w:rPr>
              <w:t xml:space="preserve"> Beverages Pty Ltd (in </w:t>
            </w:r>
            <w:proofErr w:type="spellStart"/>
            <w:r w:rsidRPr="00C971CA">
              <w:rPr>
                <w:i/>
              </w:rPr>
              <w:t>liq</w:t>
            </w:r>
            <w:proofErr w:type="spellEnd"/>
            <w:r w:rsidRPr="00C971CA">
              <w:rPr>
                <w:i/>
              </w:rPr>
              <w:t xml:space="preserve">) v </w:t>
            </w:r>
            <w:proofErr w:type="spellStart"/>
            <w:r w:rsidRPr="00C971CA">
              <w:rPr>
                <w:i/>
              </w:rPr>
              <w:t>Boka</w:t>
            </w:r>
            <w:proofErr w:type="spellEnd"/>
            <w:r w:rsidRPr="00C971CA">
              <w:rPr>
                <w:i/>
              </w:rPr>
              <w:t xml:space="preserve"> Beverages Pty Ltd (in </w:t>
            </w:r>
            <w:proofErr w:type="spellStart"/>
            <w:r w:rsidRPr="00C971CA">
              <w:rPr>
                <w:i/>
              </w:rPr>
              <w:t>liq</w:t>
            </w:r>
            <w:proofErr w:type="spellEnd"/>
            <w:r w:rsidRPr="00C971CA">
              <w:rPr>
                <w:i/>
              </w:rPr>
              <w:t>)</w:t>
            </w:r>
            <w:r w:rsidRPr="00C971CA">
              <w:t xml:space="preserve"> (2019) 138 ACSR 95; [2019] FCA 1184</w:t>
            </w:r>
          </w:p>
          <w:p w:rsidR="00C971CA" w:rsidRPr="00C971CA" w:rsidRDefault="00C971CA" w:rsidP="00C971CA">
            <w:pPr>
              <w:pStyle w:val="CasesLegislationAppealFrom"/>
              <w:spacing w:after="60"/>
            </w:pPr>
            <w:r w:rsidRPr="00C971CA">
              <w:rPr>
                <w:i/>
              </w:rPr>
              <w:t xml:space="preserve">Tanning Research Laboratories </w:t>
            </w:r>
            <w:proofErr w:type="spellStart"/>
            <w:r w:rsidRPr="00C971CA">
              <w:rPr>
                <w:i/>
              </w:rPr>
              <w:t>Inc</w:t>
            </w:r>
            <w:proofErr w:type="spellEnd"/>
            <w:r w:rsidRPr="00C971CA">
              <w:rPr>
                <w:i/>
              </w:rPr>
              <w:t xml:space="preserve"> v O’Brien</w:t>
            </w:r>
            <w:r w:rsidRPr="00C971CA">
              <w:t xml:space="preserve"> (1990) 169 CLR 332</w:t>
            </w:r>
          </w:p>
          <w:p w:rsidR="00C971CA" w:rsidRPr="00C971CA" w:rsidRDefault="00C971CA" w:rsidP="00C971CA">
            <w:pPr>
              <w:pStyle w:val="CasesLegislationAppealFrom"/>
              <w:spacing w:after="60"/>
            </w:pPr>
            <w:r w:rsidRPr="00C971CA">
              <w:rPr>
                <w:i/>
              </w:rPr>
              <w:t xml:space="preserve">Warner (liquidator), in the matter of </w:t>
            </w:r>
            <w:proofErr w:type="spellStart"/>
            <w:r w:rsidRPr="00C971CA">
              <w:rPr>
                <w:i/>
              </w:rPr>
              <w:t>Sakr</w:t>
            </w:r>
            <w:proofErr w:type="spellEnd"/>
            <w:r w:rsidRPr="00C971CA">
              <w:rPr>
                <w:i/>
              </w:rPr>
              <w:t xml:space="preserve"> Bros Pty Ltd (in </w:t>
            </w:r>
            <w:proofErr w:type="spellStart"/>
            <w:r w:rsidRPr="00C971CA">
              <w:rPr>
                <w:i/>
              </w:rPr>
              <w:t>liq</w:t>
            </w:r>
            <w:proofErr w:type="spellEnd"/>
            <w:r w:rsidRPr="00C971CA">
              <w:rPr>
                <w:i/>
              </w:rPr>
              <w:t>)</w:t>
            </w:r>
            <w:r w:rsidRPr="00C971CA">
              <w:t xml:space="preserve"> [2019] FCA 547</w:t>
            </w:r>
          </w:p>
          <w:p w:rsidR="00C971CA" w:rsidRPr="00C971CA" w:rsidRDefault="00C971CA" w:rsidP="00C971CA">
            <w:pPr>
              <w:pStyle w:val="CasesLegislationAppealFrom"/>
              <w:spacing w:after="60"/>
            </w:pPr>
            <w:r w:rsidRPr="00C971CA">
              <w:rPr>
                <w:i/>
              </w:rPr>
              <w:lastRenderedPageBreak/>
              <w:t xml:space="preserve">Williams &amp; </w:t>
            </w:r>
            <w:proofErr w:type="spellStart"/>
            <w:r w:rsidRPr="00C971CA">
              <w:rPr>
                <w:i/>
              </w:rPr>
              <w:t>Kersten</w:t>
            </w:r>
            <w:proofErr w:type="spellEnd"/>
            <w:r w:rsidRPr="00C971CA">
              <w:rPr>
                <w:i/>
              </w:rPr>
              <w:t xml:space="preserve"> Pty Ltd v Walton Construction (Qld) Pty Ltd (in </w:t>
            </w:r>
            <w:proofErr w:type="spellStart"/>
            <w:r w:rsidRPr="00C971CA">
              <w:rPr>
                <w:i/>
              </w:rPr>
              <w:t>liq</w:t>
            </w:r>
            <w:proofErr w:type="spellEnd"/>
            <w:r w:rsidRPr="00C971CA">
              <w:rPr>
                <w:i/>
              </w:rPr>
              <w:t xml:space="preserve">), in the matter of Walton Construction (Qld) Pty Ltd (in </w:t>
            </w:r>
            <w:proofErr w:type="spellStart"/>
            <w:r w:rsidRPr="00C971CA">
              <w:rPr>
                <w:i/>
              </w:rPr>
              <w:t>liq</w:t>
            </w:r>
            <w:proofErr w:type="spellEnd"/>
            <w:r w:rsidRPr="00C971CA">
              <w:rPr>
                <w:i/>
              </w:rPr>
              <w:t>)</w:t>
            </w:r>
            <w:r w:rsidRPr="00C971CA">
              <w:t xml:space="preserve"> [2019] FCA 1201</w:t>
            </w:r>
            <w:bookmarkEnd w:id="4"/>
          </w:p>
        </w:tc>
      </w:tr>
      <w:tr w:rsidR="00013E9F" w:rsidTr="00C971CA">
        <w:tc>
          <w:tcPr>
            <w:tcW w:w="3084" w:type="dxa"/>
            <w:shd w:val="clear" w:color="auto" w:fill="auto"/>
          </w:tcPr>
          <w:p w:rsidR="00013E9F" w:rsidRDefault="00013E9F" w:rsidP="00CF2727">
            <w:pPr>
              <w:pStyle w:val="Normal1linespace"/>
              <w:widowControl w:val="0"/>
            </w:pPr>
          </w:p>
        </w:tc>
        <w:tc>
          <w:tcPr>
            <w:tcW w:w="5989" w:type="dxa"/>
            <w:shd w:val="clear" w:color="auto" w:fill="auto"/>
          </w:tcPr>
          <w:p w:rsidR="00013E9F" w:rsidRDefault="00013E9F" w:rsidP="00CF2727">
            <w:pPr>
              <w:pStyle w:val="Normal1linespace"/>
              <w:widowControl w:val="0"/>
              <w:jc w:val="left"/>
            </w:pPr>
          </w:p>
        </w:tc>
      </w:tr>
      <w:tr w:rsidR="00013E9F" w:rsidTr="00C971CA">
        <w:tc>
          <w:tcPr>
            <w:tcW w:w="3084" w:type="dxa"/>
            <w:shd w:val="clear" w:color="auto" w:fill="auto"/>
          </w:tcPr>
          <w:p w:rsidR="00013E9F" w:rsidRDefault="00013E9F" w:rsidP="00501A12">
            <w:pPr>
              <w:pStyle w:val="Normal1linespace"/>
              <w:widowControl w:val="0"/>
            </w:pPr>
            <w:r>
              <w:t>Division:</w:t>
            </w:r>
          </w:p>
        </w:tc>
        <w:tc>
          <w:tcPr>
            <w:tcW w:w="5989" w:type="dxa"/>
            <w:shd w:val="clear" w:color="auto" w:fill="auto"/>
          </w:tcPr>
          <w:p w:rsidR="00013E9F" w:rsidRPr="00F17599" w:rsidRDefault="008255DB" w:rsidP="00501A12">
            <w:pPr>
              <w:pStyle w:val="Normal1linespace"/>
              <w:widowControl w:val="0"/>
              <w:jc w:val="left"/>
            </w:pPr>
            <w:r>
              <w:fldChar w:fldCharType="begin" w:fldLock="1"/>
            </w:r>
            <w:r>
              <w:instrText xml:space="preserve"> DOCPROPERTY  Division </w:instrText>
            </w:r>
            <w:r>
              <w:fldChar w:fldCharType="separate"/>
            </w:r>
            <w:r w:rsidR="00013E9F">
              <w:t>General Division</w:t>
            </w:r>
            <w:r>
              <w:fldChar w:fldCharType="end"/>
            </w:r>
          </w:p>
        </w:tc>
      </w:tr>
      <w:tr w:rsidR="00013E9F" w:rsidTr="00C971CA">
        <w:tc>
          <w:tcPr>
            <w:tcW w:w="3084" w:type="dxa"/>
            <w:shd w:val="clear" w:color="auto" w:fill="auto"/>
          </w:tcPr>
          <w:p w:rsidR="00013E9F" w:rsidRDefault="00013E9F" w:rsidP="00501A12">
            <w:pPr>
              <w:pStyle w:val="Normal1linespace"/>
              <w:widowControl w:val="0"/>
            </w:pPr>
            <w:bookmarkStart w:id="5" w:name="Registry_rows" w:colFirst="0" w:colLast="1"/>
          </w:p>
        </w:tc>
        <w:tc>
          <w:tcPr>
            <w:tcW w:w="5989" w:type="dxa"/>
            <w:shd w:val="clear" w:color="auto" w:fill="auto"/>
          </w:tcPr>
          <w:p w:rsidR="00013E9F" w:rsidRDefault="00013E9F" w:rsidP="00501A12">
            <w:pPr>
              <w:pStyle w:val="Normal1linespace"/>
              <w:widowControl w:val="0"/>
              <w:jc w:val="left"/>
            </w:pPr>
          </w:p>
        </w:tc>
      </w:tr>
      <w:tr w:rsidR="00013E9F" w:rsidTr="00C971CA">
        <w:tc>
          <w:tcPr>
            <w:tcW w:w="3084" w:type="dxa"/>
            <w:shd w:val="clear" w:color="auto" w:fill="auto"/>
          </w:tcPr>
          <w:p w:rsidR="00013E9F" w:rsidRDefault="00013E9F" w:rsidP="00501A12">
            <w:pPr>
              <w:pStyle w:val="Normal1linespace"/>
              <w:widowControl w:val="0"/>
            </w:pPr>
            <w:r>
              <w:t>Registry:</w:t>
            </w:r>
          </w:p>
        </w:tc>
        <w:tc>
          <w:tcPr>
            <w:tcW w:w="5989" w:type="dxa"/>
            <w:shd w:val="clear" w:color="auto" w:fill="auto"/>
          </w:tcPr>
          <w:p w:rsidR="00013E9F" w:rsidRPr="00F17599" w:rsidRDefault="008255DB" w:rsidP="00501A12">
            <w:pPr>
              <w:pStyle w:val="Normal1linespace"/>
              <w:widowControl w:val="0"/>
              <w:jc w:val="left"/>
            </w:pPr>
            <w:r>
              <w:fldChar w:fldCharType="begin" w:fldLock="1"/>
            </w:r>
            <w:r>
              <w:instrText xml:space="preserve"> DOCPROPERTY  Registry </w:instrText>
            </w:r>
            <w:r>
              <w:fldChar w:fldCharType="separate"/>
            </w:r>
            <w:r w:rsidR="00013E9F">
              <w:t>Queensland</w:t>
            </w:r>
            <w:r>
              <w:fldChar w:fldCharType="end"/>
            </w:r>
          </w:p>
        </w:tc>
      </w:tr>
      <w:tr w:rsidR="00013E9F" w:rsidTr="00C971CA">
        <w:tc>
          <w:tcPr>
            <w:tcW w:w="3084" w:type="dxa"/>
            <w:shd w:val="clear" w:color="auto" w:fill="auto"/>
          </w:tcPr>
          <w:p w:rsidR="00013E9F" w:rsidRDefault="00013E9F" w:rsidP="00501A12">
            <w:pPr>
              <w:pStyle w:val="Normal1linespace"/>
              <w:widowControl w:val="0"/>
            </w:pPr>
            <w:bookmarkStart w:id="6" w:name="NPARow" w:colFirst="0" w:colLast="1"/>
            <w:bookmarkEnd w:id="5"/>
          </w:p>
        </w:tc>
        <w:tc>
          <w:tcPr>
            <w:tcW w:w="5989" w:type="dxa"/>
            <w:shd w:val="clear" w:color="auto" w:fill="auto"/>
          </w:tcPr>
          <w:p w:rsidR="00013E9F" w:rsidRPr="00F17599" w:rsidRDefault="00013E9F" w:rsidP="00501A12">
            <w:pPr>
              <w:pStyle w:val="Normal1linespace"/>
              <w:widowControl w:val="0"/>
              <w:jc w:val="left"/>
              <w:rPr>
                <w:b/>
              </w:rPr>
            </w:pPr>
          </w:p>
        </w:tc>
      </w:tr>
      <w:tr w:rsidR="00013E9F" w:rsidTr="00C971CA">
        <w:tc>
          <w:tcPr>
            <w:tcW w:w="3084" w:type="dxa"/>
            <w:shd w:val="clear" w:color="auto" w:fill="auto"/>
          </w:tcPr>
          <w:p w:rsidR="00013E9F" w:rsidRDefault="00013E9F" w:rsidP="00501A12">
            <w:pPr>
              <w:pStyle w:val="Normal1linespace"/>
              <w:widowControl w:val="0"/>
            </w:pPr>
            <w:r>
              <w:t>National Practice Area:</w:t>
            </w:r>
          </w:p>
        </w:tc>
        <w:tc>
          <w:tcPr>
            <w:tcW w:w="5989" w:type="dxa"/>
            <w:shd w:val="clear" w:color="auto" w:fill="auto"/>
          </w:tcPr>
          <w:p w:rsidR="00013E9F" w:rsidRPr="00F17599" w:rsidRDefault="00353078" w:rsidP="00CF2727">
            <w:pPr>
              <w:pStyle w:val="Normal1linespace"/>
              <w:widowControl w:val="0"/>
              <w:jc w:val="left"/>
              <w:rPr>
                <w:b/>
              </w:rPr>
            </w:pPr>
            <w:fldSimple w:instr=" DOCPROPERTY  &quot;Practice Area&quot;  \* MERGEFORMAT " w:fldLock="1">
              <w:r w:rsidR="00013E9F">
                <w:t>Commercial and Corporations</w:t>
              </w:r>
            </w:fldSimple>
          </w:p>
        </w:tc>
      </w:tr>
      <w:tr w:rsidR="00013E9F" w:rsidTr="00C971CA">
        <w:tc>
          <w:tcPr>
            <w:tcW w:w="3084" w:type="dxa"/>
            <w:shd w:val="clear" w:color="auto" w:fill="auto"/>
          </w:tcPr>
          <w:p w:rsidR="00013E9F" w:rsidRDefault="00013E9F" w:rsidP="00501A12">
            <w:pPr>
              <w:pStyle w:val="Normal1linespace"/>
              <w:widowControl w:val="0"/>
            </w:pPr>
            <w:bookmarkStart w:id="7" w:name="SubAreaRow" w:colFirst="0" w:colLast="1"/>
            <w:bookmarkEnd w:id="6"/>
          </w:p>
        </w:tc>
        <w:tc>
          <w:tcPr>
            <w:tcW w:w="5989" w:type="dxa"/>
            <w:shd w:val="clear" w:color="auto" w:fill="auto"/>
          </w:tcPr>
          <w:p w:rsidR="00013E9F" w:rsidRDefault="00013E9F" w:rsidP="00CF2727">
            <w:pPr>
              <w:pStyle w:val="Normal1linespace"/>
              <w:widowControl w:val="0"/>
              <w:jc w:val="left"/>
            </w:pPr>
          </w:p>
        </w:tc>
      </w:tr>
      <w:tr w:rsidR="00013E9F" w:rsidTr="00C971CA">
        <w:tc>
          <w:tcPr>
            <w:tcW w:w="3084" w:type="dxa"/>
            <w:shd w:val="clear" w:color="auto" w:fill="auto"/>
          </w:tcPr>
          <w:p w:rsidR="00013E9F" w:rsidRDefault="00013E9F" w:rsidP="00501A12">
            <w:pPr>
              <w:pStyle w:val="Normal1linespace"/>
              <w:widowControl w:val="0"/>
            </w:pPr>
            <w:r>
              <w:t>Sub-area:</w:t>
            </w:r>
          </w:p>
        </w:tc>
        <w:tc>
          <w:tcPr>
            <w:tcW w:w="5989" w:type="dxa"/>
            <w:shd w:val="clear" w:color="auto" w:fill="auto"/>
          </w:tcPr>
          <w:p w:rsidR="00013E9F" w:rsidRPr="00837288" w:rsidRDefault="00353078" w:rsidP="00CF2727">
            <w:pPr>
              <w:pStyle w:val="Normal1linespace"/>
              <w:widowControl w:val="0"/>
              <w:jc w:val="left"/>
            </w:pPr>
            <w:fldSimple w:instr=" DOCPROPERTY  &quot;Sub Area&quot;  \* MERGEFORMAT " w:fldLock="1">
              <w:r w:rsidR="00013E9F" w:rsidRPr="00013E9F">
                <w:rPr>
                  <w:lang w:val="en-US"/>
                </w:rPr>
                <w:t>Corporations and Corporate</w:t>
              </w:r>
              <w:r w:rsidR="00013E9F">
                <w:t xml:space="preserve"> Insolvency</w:t>
              </w:r>
            </w:fldSimple>
          </w:p>
        </w:tc>
      </w:tr>
      <w:bookmarkEnd w:id="7"/>
      <w:tr w:rsidR="00013E9F" w:rsidTr="00C971CA">
        <w:tc>
          <w:tcPr>
            <w:tcW w:w="3084" w:type="dxa"/>
            <w:shd w:val="clear" w:color="auto" w:fill="auto"/>
          </w:tcPr>
          <w:p w:rsidR="00013E9F" w:rsidRDefault="00013E9F" w:rsidP="00501A12">
            <w:pPr>
              <w:pStyle w:val="Normal1linespace"/>
              <w:widowControl w:val="0"/>
            </w:pPr>
          </w:p>
        </w:tc>
        <w:tc>
          <w:tcPr>
            <w:tcW w:w="5989" w:type="dxa"/>
            <w:shd w:val="clear" w:color="auto" w:fill="auto"/>
          </w:tcPr>
          <w:p w:rsidR="00013E9F" w:rsidRDefault="00013E9F" w:rsidP="00501A12">
            <w:pPr>
              <w:pStyle w:val="Normal1linespace"/>
              <w:widowControl w:val="0"/>
              <w:jc w:val="left"/>
            </w:pPr>
          </w:p>
        </w:tc>
      </w:tr>
      <w:tr w:rsidR="00013E9F" w:rsidTr="00C971CA">
        <w:tc>
          <w:tcPr>
            <w:tcW w:w="3084" w:type="dxa"/>
            <w:shd w:val="clear" w:color="auto" w:fill="auto"/>
          </w:tcPr>
          <w:p w:rsidR="00013E9F" w:rsidRDefault="00013E9F" w:rsidP="00501A12">
            <w:pPr>
              <w:pStyle w:val="Normal1linespace"/>
              <w:widowControl w:val="0"/>
            </w:pPr>
            <w:r>
              <w:t>Number of paragraphs:</w:t>
            </w:r>
          </w:p>
        </w:tc>
        <w:tc>
          <w:tcPr>
            <w:tcW w:w="5989" w:type="dxa"/>
            <w:shd w:val="clear" w:color="auto" w:fill="auto"/>
          </w:tcPr>
          <w:p w:rsidR="00013E9F" w:rsidRDefault="00C971CA" w:rsidP="00501A12">
            <w:pPr>
              <w:pStyle w:val="Normal1linespace"/>
              <w:widowControl w:val="0"/>
              <w:jc w:val="left"/>
            </w:pPr>
            <w:bookmarkStart w:id="8" w:name="PlaceCategoryParagraphs"/>
            <w:r>
              <w:t>32</w:t>
            </w:r>
            <w:bookmarkEnd w:id="8"/>
          </w:p>
        </w:tc>
      </w:tr>
      <w:tr w:rsidR="00013E9F" w:rsidTr="00C971CA">
        <w:tc>
          <w:tcPr>
            <w:tcW w:w="3084" w:type="dxa"/>
            <w:shd w:val="clear" w:color="auto" w:fill="auto"/>
          </w:tcPr>
          <w:p w:rsidR="00013E9F" w:rsidRDefault="00013E9F" w:rsidP="00013E9F">
            <w:pPr>
              <w:pStyle w:val="Normal1linespace"/>
              <w:widowControl w:val="0"/>
              <w:jc w:val="left"/>
            </w:pPr>
          </w:p>
        </w:tc>
        <w:tc>
          <w:tcPr>
            <w:tcW w:w="5989" w:type="dxa"/>
            <w:shd w:val="clear" w:color="auto" w:fill="auto"/>
          </w:tcPr>
          <w:p w:rsidR="00013E9F" w:rsidRDefault="00013E9F" w:rsidP="00013E9F">
            <w:pPr>
              <w:pStyle w:val="Normal1linespace"/>
              <w:widowControl w:val="0"/>
              <w:jc w:val="left"/>
            </w:pPr>
          </w:p>
        </w:tc>
      </w:tr>
      <w:tr w:rsidR="00013E9F" w:rsidTr="00C971CA">
        <w:tc>
          <w:tcPr>
            <w:tcW w:w="3084" w:type="dxa"/>
            <w:shd w:val="clear" w:color="auto" w:fill="auto"/>
          </w:tcPr>
          <w:p w:rsidR="00013E9F" w:rsidRDefault="00013E9F" w:rsidP="00013E9F">
            <w:pPr>
              <w:pStyle w:val="Normal1linespace"/>
              <w:widowControl w:val="0"/>
              <w:jc w:val="left"/>
            </w:pPr>
            <w:bookmarkStart w:id="9" w:name="CounselDate" w:colFirst="0" w:colLast="2"/>
            <w:r w:rsidRPr="006A24E3">
              <w:t>Date of hearing:</w:t>
            </w:r>
          </w:p>
        </w:tc>
        <w:tc>
          <w:tcPr>
            <w:tcW w:w="5989" w:type="dxa"/>
            <w:shd w:val="clear" w:color="auto" w:fill="auto"/>
          </w:tcPr>
          <w:p w:rsidR="00013E9F" w:rsidRDefault="00C971CA" w:rsidP="00013E9F">
            <w:pPr>
              <w:pStyle w:val="Normal1linespace"/>
              <w:widowControl w:val="0"/>
              <w:jc w:val="left"/>
            </w:pPr>
            <w:bookmarkStart w:id="10" w:name="HearingDate"/>
            <w:r>
              <w:t>23 July 2020</w:t>
            </w:r>
            <w:r w:rsidR="00013E9F">
              <w:t xml:space="preserve"> </w:t>
            </w:r>
            <w:bookmarkEnd w:id="10"/>
          </w:p>
        </w:tc>
      </w:tr>
      <w:tr w:rsidR="00013E9F" w:rsidTr="00C971CA">
        <w:tc>
          <w:tcPr>
            <w:tcW w:w="3084" w:type="dxa"/>
            <w:shd w:val="clear" w:color="auto" w:fill="auto"/>
          </w:tcPr>
          <w:p w:rsidR="00013E9F" w:rsidRDefault="00013E9F" w:rsidP="00013E9F">
            <w:pPr>
              <w:pStyle w:val="Normal1linespace"/>
              <w:widowControl w:val="0"/>
              <w:jc w:val="left"/>
            </w:pPr>
          </w:p>
        </w:tc>
        <w:tc>
          <w:tcPr>
            <w:tcW w:w="5989" w:type="dxa"/>
            <w:shd w:val="clear" w:color="auto" w:fill="auto"/>
          </w:tcPr>
          <w:p w:rsidR="00013E9F" w:rsidRDefault="00013E9F" w:rsidP="00013E9F">
            <w:pPr>
              <w:pStyle w:val="Normal1linespace"/>
              <w:widowControl w:val="0"/>
              <w:jc w:val="left"/>
            </w:pPr>
          </w:p>
        </w:tc>
      </w:tr>
      <w:tr w:rsidR="00C971CA" w:rsidTr="00C971CA">
        <w:tc>
          <w:tcPr>
            <w:tcW w:w="3084" w:type="dxa"/>
            <w:shd w:val="clear" w:color="auto" w:fill="auto"/>
          </w:tcPr>
          <w:p w:rsidR="00C971CA" w:rsidRDefault="00C971CA" w:rsidP="00C971CA">
            <w:pPr>
              <w:pStyle w:val="Normal1linespace"/>
              <w:widowControl w:val="0"/>
              <w:jc w:val="left"/>
            </w:pPr>
            <w:bookmarkStart w:id="11" w:name="Counsel" w:colFirst="0" w:colLast="2"/>
            <w:bookmarkEnd w:id="9"/>
            <w:r>
              <w:t>Solicitor for the Plaintiff:</w:t>
            </w:r>
          </w:p>
        </w:tc>
        <w:tc>
          <w:tcPr>
            <w:tcW w:w="5989" w:type="dxa"/>
            <w:shd w:val="clear" w:color="auto" w:fill="auto"/>
          </w:tcPr>
          <w:p w:rsidR="00C971CA" w:rsidRDefault="00C971CA" w:rsidP="00C971CA">
            <w:pPr>
              <w:pStyle w:val="Normal1linespace"/>
              <w:widowControl w:val="0"/>
              <w:jc w:val="left"/>
            </w:pPr>
            <w:bookmarkStart w:id="12" w:name="AppCounsel"/>
            <w:bookmarkEnd w:id="12"/>
            <w:r>
              <w:t xml:space="preserve">Mr P </w:t>
            </w:r>
            <w:proofErr w:type="spellStart"/>
            <w:r>
              <w:t>Betros</w:t>
            </w:r>
            <w:proofErr w:type="spellEnd"/>
            <w:r>
              <w:t xml:space="preserve"> of </w:t>
            </w:r>
            <w:proofErr w:type="spellStart"/>
            <w:r>
              <w:t>HopgoodGanim</w:t>
            </w:r>
            <w:proofErr w:type="spellEnd"/>
          </w:p>
        </w:tc>
      </w:tr>
      <w:bookmarkEnd w:id="11"/>
    </w:tbl>
    <w:p w:rsidR="007470BD" w:rsidRDefault="007470BD">
      <w:pPr>
        <w:pStyle w:val="Normal1linespace"/>
      </w:pPr>
    </w:p>
    <w:p w:rsidR="00E94CBF" w:rsidRDefault="00E94CBF">
      <w:pPr>
        <w:pStyle w:val="Normal1linespace"/>
      </w:pPr>
    </w:p>
    <w:p w:rsidR="00395B24" w:rsidRPr="0068623B" w:rsidRDefault="0068623B" w:rsidP="0068623B">
      <w:pPr>
        <w:tabs>
          <w:tab w:val="left" w:pos="1600"/>
        </w:tabs>
        <w:sectPr w:rsidR="00395B24" w:rsidRPr="0068623B" w:rsidSect="001F2473">
          <w:footerReference w:type="default" r:id="rId9"/>
          <w:endnotePr>
            <w:numFmt w:val="decimal"/>
          </w:endnotePr>
          <w:type w:val="continuous"/>
          <w:pgSz w:w="11907" w:h="16840" w:code="9"/>
          <w:pgMar w:top="1440" w:right="1440" w:bottom="1440" w:left="1440" w:header="851" w:footer="768" w:gutter="0"/>
          <w:pgNumType w:start="1"/>
          <w:cols w:space="720"/>
          <w:noEndnote/>
          <w:titlePg/>
        </w:sectPr>
      </w:pPr>
      <w:r>
        <w:tab/>
      </w: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13E9F" w:rsidP="00F92355">
            <w:pPr>
              <w:pStyle w:val="NormalHeadings"/>
              <w:jc w:val="right"/>
            </w:pPr>
            <w:bookmarkStart w:id="13" w:name="FileNo"/>
            <w:r>
              <w:t>QUD 170 of 2020</w:t>
            </w:r>
            <w:bookmarkEnd w:id="13"/>
          </w:p>
        </w:tc>
      </w:tr>
      <w:tr w:rsidR="00A76C13" w:rsidTr="00CF2727">
        <w:tc>
          <w:tcPr>
            <w:tcW w:w="9242" w:type="dxa"/>
            <w:gridSpan w:val="3"/>
          </w:tcPr>
          <w:p w:rsidR="00A76C13" w:rsidRPr="00A76C13" w:rsidRDefault="00013E9F" w:rsidP="0068623B">
            <w:pPr>
              <w:pStyle w:val="NormalHeadings"/>
              <w:spacing w:before="240" w:after="240"/>
              <w:jc w:val="left"/>
            </w:pPr>
            <w:bookmarkStart w:id="14" w:name="InTheMatterOf"/>
            <w:r>
              <w:t xml:space="preserve">IN THE MATTER OF BESTJET </w:t>
            </w:r>
            <w:r w:rsidR="00635089">
              <w:t>TRAVEL PTY LTD (IN LIQUIDATION)</w:t>
            </w:r>
            <w:r w:rsidR="0068623B">
              <w:t xml:space="preserve"> </w:t>
            </w:r>
            <w:r>
              <w:t>ACN 155 965 60</w:t>
            </w:r>
            <w:r w:rsidR="0068623B">
              <w:t>1 &amp; WYNYARD TRAVEL PTY LIMITED (IN LIQUIDATION) ACN 107 305 224</w:t>
            </w:r>
            <w:bookmarkEnd w:id="14"/>
          </w:p>
        </w:tc>
      </w:tr>
      <w:tr w:rsidR="00A46CCC" w:rsidTr="00CF2727">
        <w:trPr>
          <w:trHeight w:val="386"/>
        </w:trPr>
        <w:tc>
          <w:tcPr>
            <w:tcW w:w="2376" w:type="dxa"/>
          </w:tcPr>
          <w:p w:rsidR="00A46CCC" w:rsidRDefault="00A46CCC" w:rsidP="00CF2727">
            <w:pPr>
              <w:pStyle w:val="NormalHeadings"/>
              <w:jc w:val="left"/>
              <w:rPr>
                <w:caps/>
                <w:szCs w:val="24"/>
              </w:rPr>
            </w:pPr>
            <w:bookmarkStart w:id="15" w:name="Parties"/>
            <w:r>
              <w:rPr>
                <w:caps/>
                <w:szCs w:val="24"/>
              </w:rPr>
              <w:t>BETWEEN:</w:t>
            </w:r>
          </w:p>
        </w:tc>
        <w:tc>
          <w:tcPr>
            <w:tcW w:w="6866" w:type="dxa"/>
            <w:gridSpan w:val="2"/>
          </w:tcPr>
          <w:p w:rsidR="00013E9F" w:rsidRDefault="0068623B" w:rsidP="00013E9F">
            <w:pPr>
              <w:pStyle w:val="NormalHeadings"/>
              <w:jc w:val="left"/>
            </w:pPr>
            <w:bookmarkStart w:id="16" w:name="Applicant"/>
            <w:r>
              <w:t>N</w:t>
            </w:r>
            <w:r w:rsidR="00013E9F">
              <w:t>I</w:t>
            </w:r>
            <w:r>
              <w:t>GE</w:t>
            </w:r>
            <w:r w:rsidR="00013E9F">
              <w:t>L ROBERT MARKEY AND BRADLEY VINCENT HELLEN IN THEIR CAPACITY AS JOINT AND SEVERAL LIQUIDATORS OF BESTJET TRAVEL PTY LTD (IN LIQUIDATION) ACN 155 965 601 &amp; WYNYARD TRAVEL PTY LIMITED (IN LIQUIDATION) ACN 107 305 224</w:t>
            </w:r>
          </w:p>
          <w:p w:rsidR="00013E9F" w:rsidRDefault="00013E9F" w:rsidP="00013E9F">
            <w:pPr>
              <w:pStyle w:val="PartyType"/>
            </w:pPr>
            <w:r>
              <w:t>Plaintiff</w:t>
            </w:r>
          </w:p>
          <w:bookmarkEnd w:id="16"/>
          <w:p w:rsidR="00A46CCC" w:rsidRPr="006555B4" w:rsidRDefault="00A46CCC" w:rsidP="00CF2727">
            <w:pPr>
              <w:pStyle w:val="NormalHeadings"/>
              <w:jc w:val="left"/>
            </w:pPr>
          </w:p>
        </w:tc>
      </w:tr>
      <w:tr w:rsidR="00A46CCC" w:rsidTr="00CF2727">
        <w:trPr>
          <w:trHeight w:val="386"/>
        </w:trPr>
        <w:tc>
          <w:tcPr>
            <w:tcW w:w="2376" w:type="dxa"/>
          </w:tcPr>
          <w:p w:rsidR="00A46CCC" w:rsidRDefault="00A46CCC" w:rsidP="00CF2727">
            <w:pPr>
              <w:pStyle w:val="NormalHeadings"/>
              <w:jc w:val="left"/>
              <w:rPr>
                <w:caps/>
                <w:szCs w:val="24"/>
              </w:rPr>
            </w:pPr>
            <w:r>
              <w:rPr>
                <w:caps/>
                <w:szCs w:val="24"/>
              </w:rPr>
              <w:t>AND:</w:t>
            </w:r>
          </w:p>
        </w:tc>
        <w:tc>
          <w:tcPr>
            <w:tcW w:w="6866" w:type="dxa"/>
            <w:gridSpan w:val="2"/>
          </w:tcPr>
          <w:p w:rsidR="00013E9F" w:rsidRDefault="00013E9F" w:rsidP="00013E9F">
            <w:pPr>
              <w:pStyle w:val="NormalHeadings"/>
              <w:jc w:val="left"/>
            </w:pPr>
            <w:bookmarkStart w:id="17" w:name="Respondent"/>
            <w:r>
              <w:t>BESTJET TRAVEL PTY LT</w:t>
            </w:r>
            <w:r w:rsidR="0068623B">
              <w:t>D (IN LIQUIDATION) ACN 155 9</w:t>
            </w:r>
            <w:r>
              <w:t>65 601</w:t>
            </w:r>
          </w:p>
          <w:p w:rsidR="00013E9F" w:rsidRDefault="00013E9F" w:rsidP="00013E9F">
            <w:pPr>
              <w:pStyle w:val="PartyType"/>
            </w:pPr>
            <w:r>
              <w:t>First Defendant</w:t>
            </w:r>
          </w:p>
          <w:p w:rsidR="00013E9F" w:rsidRDefault="00013E9F" w:rsidP="00CF2727">
            <w:pPr>
              <w:pStyle w:val="NormalHeadings"/>
              <w:jc w:val="left"/>
              <w:rPr>
                <w:szCs w:val="24"/>
              </w:rPr>
            </w:pPr>
          </w:p>
          <w:p w:rsidR="00013E9F" w:rsidRDefault="00013E9F" w:rsidP="00013E9F">
            <w:pPr>
              <w:pStyle w:val="NormalHeadings"/>
              <w:jc w:val="left"/>
            </w:pPr>
            <w:r>
              <w:t>WYNYARD TRAVEL PTY LIMITED (IN LIQUIDATION) ACN 107 305 224</w:t>
            </w:r>
          </w:p>
          <w:p w:rsidR="00013E9F" w:rsidRDefault="00013E9F" w:rsidP="00013E9F">
            <w:pPr>
              <w:pStyle w:val="PartyType"/>
            </w:pPr>
            <w:r>
              <w:t>Second Defendant</w:t>
            </w:r>
          </w:p>
          <w:bookmarkEnd w:id="17"/>
          <w:p w:rsidR="00A46CCC" w:rsidRPr="006555B4" w:rsidRDefault="00A46CCC" w:rsidP="00CF2727">
            <w:pPr>
              <w:pStyle w:val="NormalHeadings"/>
              <w:jc w:val="left"/>
            </w:pPr>
          </w:p>
        </w:tc>
      </w:tr>
    </w:tbl>
    <w:p w:rsidR="00395B24" w:rsidRDefault="00395B24">
      <w:pPr>
        <w:pStyle w:val="NormalHeadings"/>
      </w:pPr>
      <w:bookmarkStart w:id="18" w:name="CrossClaimPosition"/>
      <w:bookmarkEnd w:id="15"/>
      <w:bookmarkEnd w:id="18"/>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974709">
            <w:pPr>
              <w:pStyle w:val="NormalHeadings"/>
              <w:spacing w:after="120"/>
              <w:jc w:val="left"/>
              <w:rPr>
                <w:caps/>
                <w:szCs w:val="24"/>
              </w:rPr>
            </w:pPr>
            <w:bookmarkStart w:id="19" w:name="JudgeText"/>
            <w:r>
              <w:rPr>
                <w:caps/>
                <w:szCs w:val="24"/>
              </w:rPr>
              <w:t>order made by</w:t>
            </w:r>
            <w:bookmarkEnd w:id="19"/>
            <w:r w:rsidR="002C7385">
              <w:rPr>
                <w:caps/>
                <w:szCs w:val="24"/>
              </w:rPr>
              <w:t>:</w:t>
            </w:r>
          </w:p>
        </w:tc>
        <w:tc>
          <w:tcPr>
            <w:tcW w:w="6866" w:type="dxa"/>
          </w:tcPr>
          <w:p w:rsidR="00395B24" w:rsidRDefault="00013E9F">
            <w:pPr>
              <w:pStyle w:val="NormalHeadings"/>
              <w:jc w:val="left"/>
              <w:rPr>
                <w:caps/>
                <w:szCs w:val="24"/>
              </w:rPr>
            </w:pPr>
            <w:bookmarkStart w:id="20" w:name="Judge"/>
            <w:r>
              <w:rPr>
                <w:caps/>
                <w:szCs w:val="24"/>
              </w:rPr>
              <w:t>REEVES J</w:t>
            </w:r>
            <w:bookmarkEnd w:id="20"/>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B1D14" w:rsidP="008B1D14">
            <w:pPr>
              <w:pStyle w:val="NormalHeadings"/>
              <w:jc w:val="left"/>
              <w:rPr>
                <w:caps/>
                <w:szCs w:val="24"/>
              </w:rPr>
            </w:pPr>
            <w:bookmarkStart w:id="21" w:name="Judgment_Dated"/>
            <w:r>
              <w:rPr>
                <w:caps/>
                <w:szCs w:val="24"/>
              </w:rPr>
              <w:t xml:space="preserve">23 July 2020 </w:t>
            </w:r>
            <w:bookmarkEnd w:id="21"/>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7F60DF" w:rsidRDefault="007F60DF" w:rsidP="00243E5E">
      <w:pPr>
        <w:pStyle w:val="NormalHeadings"/>
      </w:pPr>
    </w:p>
    <w:p w:rsidR="00E6122B" w:rsidRPr="001040A2" w:rsidRDefault="00E6122B" w:rsidP="001040A2">
      <w:pPr>
        <w:pStyle w:val="NoNum"/>
        <w:rPr>
          <w:rStyle w:val="Emphasis"/>
          <w:b/>
          <w:bCs/>
          <w:i w:val="0"/>
          <w:iCs w:val="0"/>
          <w:szCs w:val="24"/>
        </w:rPr>
      </w:pPr>
      <w:bookmarkStart w:id="22" w:name="OrdersStatement"/>
      <w:r w:rsidRPr="001040A2">
        <w:rPr>
          <w:rStyle w:val="Emphasis"/>
          <w:b/>
          <w:bCs/>
          <w:i w:val="0"/>
          <w:szCs w:val="24"/>
        </w:rPr>
        <w:t xml:space="preserve">Appointment of Special </w:t>
      </w:r>
      <w:r w:rsidRPr="001040A2">
        <w:rPr>
          <w:b/>
        </w:rPr>
        <w:t>Purpose</w:t>
      </w:r>
      <w:r w:rsidRPr="001040A2">
        <w:rPr>
          <w:rStyle w:val="Emphasis"/>
          <w:b/>
          <w:bCs/>
          <w:i w:val="0"/>
          <w:szCs w:val="24"/>
        </w:rPr>
        <w:t xml:space="preserve"> Liquidator</w:t>
      </w:r>
    </w:p>
    <w:p w:rsidR="00635089" w:rsidRDefault="00635089" w:rsidP="008255DB">
      <w:pPr>
        <w:pStyle w:val="Order1"/>
      </w:pPr>
      <w:r>
        <w:t xml:space="preserve">Pursuant to </w:t>
      </w:r>
      <w:proofErr w:type="spellStart"/>
      <w:r>
        <w:t>s</w:t>
      </w:r>
      <w:proofErr w:type="spellEnd"/>
      <w:r>
        <w:t xml:space="preserve"> 90-15(1) of the </w:t>
      </w:r>
      <w:r w:rsidRPr="00E93479">
        <w:rPr>
          <w:i/>
        </w:rPr>
        <w:t>Insolvency Practice Schedule</w:t>
      </w:r>
      <w:r>
        <w:t xml:space="preserve"> (</w:t>
      </w:r>
      <w:r w:rsidRPr="0068623B">
        <w:rPr>
          <w:b/>
        </w:rPr>
        <w:t>IPS</w:t>
      </w:r>
      <w:r>
        <w:t>), David Lewis Clout be appointed as the additional joint and several liquidator (</w:t>
      </w:r>
      <w:r w:rsidRPr="0068623B">
        <w:rPr>
          <w:b/>
        </w:rPr>
        <w:t>Special Purpose Liquidator</w:t>
      </w:r>
      <w:r>
        <w:t xml:space="preserve">) of the first defendant, </w:t>
      </w:r>
      <w:proofErr w:type="spellStart"/>
      <w:r>
        <w:t>Bestjet</w:t>
      </w:r>
      <w:proofErr w:type="spellEnd"/>
      <w:r>
        <w:t xml:space="preserve"> Travel Pty Ltd (in liquidation) ACN 155 965 601 (</w:t>
      </w:r>
      <w:proofErr w:type="spellStart"/>
      <w:r>
        <w:t>Bestjet</w:t>
      </w:r>
      <w:proofErr w:type="spellEnd"/>
      <w:r>
        <w:t>), for the purpose of exercising the following powers and performing the following functions and duties:</w:t>
      </w:r>
    </w:p>
    <w:p w:rsidR="00635089" w:rsidRDefault="00A82346" w:rsidP="00A82346">
      <w:pPr>
        <w:pStyle w:val="Order2"/>
        <w:numPr>
          <w:ilvl w:val="0"/>
          <w:numId w:val="0"/>
        </w:numPr>
        <w:ind w:left="1440" w:hanging="720"/>
      </w:pPr>
      <w:r>
        <w:t>(a)</w:t>
      </w:r>
      <w:r>
        <w:tab/>
      </w:r>
      <w:r w:rsidR="00635089">
        <w:t xml:space="preserve">adjudicating on any proof of debt which has been, or may be, submitted by the second defendant, Wynyard Travel Pty Ltd (in liquidation) ACN 107 305 224 (Wynyard) in the winding up of </w:t>
      </w:r>
      <w:proofErr w:type="spellStart"/>
      <w:r w:rsidR="00635089">
        <w:t>Bestjet</w:t>
      </w:r>
      <w:proofErr w:type="spellEnd"/>
      <w:r w:rsidR="00635089">
        <w:t xml:space="preserve"> (</w:t>
      </w:r>
      <w:r w:rsidR="00DB3866">
        <w:rPr>
          <w:b/>
        </w:rPr>
        <w:t>Wynyard Proof of Debt</w:t>
      </w:r>
      <w:r w:rsidR="00635089">
        <w:t xml:space="preserve">), in accordance with Part 5.6 of the </w:t>
      </w:r>
      <w:r w:rsidR="00635089" w:rsidRPr="00E93479">
        <w:rPr>
          <w:i/>
        </w:rPr>
        <w:t>Corporations Regulations 2001</w:t>
      </w:r>
      <w:r w:rsidR="00635089">
        <w:t xml:space="preserve"> (</w:t>
      </w:r>
      <w:proofErr w:type="spellStart"/>
      <w:r w:rsidR="00635089">
        <w:t>Cth</w:t>
      </w:r>
      <w:proofErr w:type="spellEnd"/>
      <w:r w:rsidR="00635089">
        <w:t>) (</w:t>
      </w:r>
      <w:r w:rsidR="00635089" w:rsidRPr="007E18FA">
        <w:rPr>
          <w:b/>
        </w:rPr>
        <w:t>Regulations</w:t>
      </w:r>
      <w:r w:rsidR="00635089">
        <w:t>);</w:t>
      </w:r>
    </w:p>
    <w:p w:rsidR="00635089" w:rsidRDefault="00A82346" w:rsidP="00A82346">
      <w:pPr>
        <w:pStyle w:val="Order2"/>
        <w:numPr>
          <w:ilvl w:val="0"/>
          <w:numId w:val="0"/>
        </w:numPr>
        <w:ind w:left="1440" w:hanging="720"/>
      </w:pPr>
      <w:r>
        <w:lastRenderedPageBreak/>
        <w:t>(b)</w:t>
      </w:r>
      <w:r>
        <w:tab/>
      </w:r>
      <w:r w:rsidR="00635089">
        <w:t>performing all of the functions and exercising all of the powers which are necessary for the purpose of that adjudication, including:</w:t>
      </w:r>
    </w:p>
    <w:p w:rsidR="00635089" w:rsidRDefault="00635089" w:rsidP="00A82346">
      <w:pPr>
        <w:pStyle w:val="Order3"/>
      </w:pPr>
      <w:r>
        <w:t xml:space="preserve">exercising any powers and complying with any obligations conferred on liquidators by </w:t>
      </w:r>
      <w:proofErr w:type="spellStart"/>
      <w:r>
        <w:t>r</w:t>
      </w:r>
      <w:r w:rsidR="00F05D41">
        <w:t>r</w:t>
      </w:r>
      <w:proofErr w:type="spellEnd"/>
      <w:r>
        <w:t xml:space="preserve"> 5.6.52 to 5.6.57 of the Regulations in relation to the </w:t>
      </w:r>
      <w:r w:rsidR="00DB3866">
        <w:t>Wynyard Proof of Debt</w:t>
      </w:r>
      <w:r>
        <w:t>;</w:t>
      </w:r>
    </w:p>
    <w:p w:rsidR="00635089" w:rsidRDefault="00635089" w:rsidP="00A82346">
      <w:pPr>
        <w:pStyle w:val="Order3"/>
      </w:pPr>
      <w:r>
        <w:t xml:space="preserve">conducting investigations into any of the matters which are necessary to adjudicate on the </w:t>
      </w:r>
      <w:r w:rsidR="00DB3866">
        <w:t>Wynyard Proof of Debt</w:t>
      </w:r>
      <w:r>
        <w:t>, including, if thought appropriate:</w:t>
      </w:r>
    </w:p>
    <w:p w:rsidR="00635089" w:rsidRDefault="00635089" w:rsidP="00A82346">
      <w:pPr>
        <w:pStyle w:val="Order4"/>
      </w:pPr>
      <w:r>
        <w:t xml:space="preserve">inspecting the books and records of </w:t>
      </w:r>
      <w:proofErr w:type="spellStart"/>
      <w:r>
        <w:t>Bestjet</w:t>
      </w:r>
      <w:proofErr w:type="spellEnd"/>
      <w:r>
        <w:t>;</w:t>
      </w:r>
    </w:p>
    <w:p w:rsidR="00635089" w:rsidRDefault="00635089" w:rsidP="00A82346">
      <w:pPr>
        <w:pStyle w:val="Order4"/>
      </w:pPr>
      <w:r>
        <w:t xml:space="preserve">conducting examinations pursuant to </w:t>
      </w:r>
      <w:proofErr w:type="spellStart"/>
      <w:r w:rsidR="00F05D41">
        <w:t>ss</w:t>
      </w:r>
      <w:proofErr w:type="spellEnd"/>
      <w:r>
        <w:t xml:space="preserve"> 596A and 596B of the </w:t>
      </w:r>
      <w:r w:rsidRPr="00E93479">
        <w:rPr>
          <w:i/>
        </w:rPr>
        <w:t>Corporations Act 2001</w:t>
      </w:r>
      <w:r w:rsidR="007E18FA">
        <w:t xml:space="preserve"> (</w:t>
      </w:r>
      <w:proofErr w:type="spellStart"/>
      <w:r w:rsidR="007E18FA">
        <w:t>Cth</w:t>
      </w:r>
      <w:proofErr w:type="spellEnd"/>
      <w:r w:rsidR="007E18FA">
        <w:t>) (</w:t>
      </w:r>
      <w:r w:rsidRPr="00B34BDD">
        <w:rPr>
          <w:b/>
        </w:rPr>
        <w:t>Act</w:t>
      </w:r>
      <w:r>
        <w:t xml:space="preserve">) and obtaining orders for production pursuant to </w:t>
      </w:r>
      <w:r w:rsidR="00F05D41">
        <w:t>s</w:t>
      </w:r>
      <w:r>
        <w:t xml:space="preserve"> 579(9) of the Act; and</w:t>
      </w:r>
    </w:p>
    <w:p w:rsidR="00635089" w:rsidRDefault="00635089" w:rsidP="00A82346">
      <w:pPr>
        <w:pStyle w:val="Order4"/>
      </w:pPr>
      <w:r>
        <w:t xml:space="preserve">requiring statements to be provided pursuant to </w:t>
      </w:r>
      <w:r w:rsidR="00F05D41">
        <w:t>s</w:t>
      </w:r>
      <w:r>
        <w:t xml:space="preserve"> 475(2) of the Act; </w:t>
      </w:r>
    </w:p>
    <w:p w:rsidR="00635089" w:rsidRDefault="00A82346" w:rsidP="00A82346">
      <w:pPr>
        <w:pStyle w:val="Order2"/>
        <w:numPr>
          <w:ilvl w:val="0"/>
          <w:numId w:val="0"/>
        </w:numPr>
        <w:ind w:left="1440" w:hanging="720"/>
      </w:pPr>
      <w:r>
        <w:t>(c)</w:t>
      </w:r>
      <w:r>
        <w:tab/>
      </w:r>
      <w:r w:rsidR="00635089">
        <w:t xml:space="preserve">exercising any powers and complying with any obligations conferred on liquidators by </w:t>
      </w:r>
      <w:proofErr w:type="spellStart"/>
      <w:r w:rsidR="00F05D41">
        <w:t>ss</w:t>
      </w:r>
      <w:proofErr w:type="spellEnd"/>
      <w:r w:rsidR="00635089">
        <w:t xml:space="preserve"> 477 and 506(1)(b) of the Act in relation to the adjudication of the </w:t>
      </w:r>
      <w:r w:rsidR="00DB3866">
        <w:t>Wynyard Proof of Debt</w:t>
      </w:r>
      <w:r w:rsidR="00635089">
        <w:t xml:space="preserve">, including the power to seek relief under </w:t>
      </w:r>
      <w:proofErr w:type="spellStart"/>
      <w:r w:rsidR="00F05D41">
        <w:t>ss</w:t>
      </w:r>
      <w:proofErr w:type="spellEnd"/>
      <w:r w:rsidR="00635089">
        <w:t xml:space="preserve"> 588FF and 1317K of the Act, except for the powers contained in </w:t>
      </w:r>
      <w:proofErr w:type="spellStart"/>
      <w:r w:rsidR="00F05D41">
        <w:t>ss</w:t>
      </w:r>
      <w:proofErr w:type="spellEnd"/>
      <w:r w:rsidR="00635089">
        <w:t xml:space="preserve"> 477(1)(a) and (2)(c), (ca), (f), (g) and (m) of the Act; and</w:t>
      </w:r>
    </w:p>
    <w:p w:rsidR="00635089" w:rsidRDefault="00A82346" w:rsidP="00A82346">
      <w:pPr>
        <w:pStyle w:val="Order2"/>
        <w:numPr>
          <w:ilvl w:val="0"/>
          <w:numId w:val="0"/>
        </w:numPr>
        <w:ind w:left="1440" w:hanging="720"/>
      </w:pPr>
      <w:r>
        <w:t>(d)</w:t>
      </w:r>
      <w:r>
        <w:tab/>
      </w:r>
      <w:r w:rsidR="00635089">
        <w:t xml:space="preserve">conducting any negotiations and defending any proceedings which arise in connection with the outcome of that adjudication, including as a result of the </w:t>
      </w:r>
      <w:r w:rsidR="00DB3866">
        <w:t>Wynyard Proof of Debt</w:t>
      </w:r>
      <w:r w:rsidR="00635089">
        <w:t xml:space="preserve"> being accepted or rejected.</w:t>
      </w:r>
    </w:p>
    <w:p w:rsidR="00635089" w:rsidRDefault="00635089" w:rsidP="00F05D41">
      <w:pPr>
        <w:pStyle w:val="Order3"/>
        <w:numPr>
          <w:ilvl w:val="0"/>
          <w:numId w:val="0"/>
        </w:numPr>
        <w:ind w:left="1440" w:hanging="720"/>
      </w:pPr>
      <w:r>
        <w:t>(</w:t>
      </w:r>
      <w:r w:rsidRPr="007E18FA">
        <w:rPr>
          <w:b/>
        </w:rPr>
        <w:t>Adjudication Functions</w:t>
      </w:r>
      <w:r>
        <w:t>)</w:t>
      </w:r>
    </w:p>
    <w:p w:rsidR="00635089" w:rsidRDefault="00635089" w:rsidP="002621E9">
      <w:pPr>
        <w:pStyle w:val="Order1"/>
      </w:pPr>
      <w:r>
        <w:t>Pursu</w:t>
      </w:r>
      <w:bookmarkStart w:id="23" w:name="_GoBack"/>
      <w:bookmarkEnd w:id="23"/>
      <w:r>
        <w:t xml:space="preserve">ant to </w:t>
      </w:r>
      <w:proofErr w:type="spellStart"/>
      <w:r w:rsidR="00F05D41">
        <w:t>s</w:t>
      </w:r>
      <w:proofErr w:type="spellEnd"/>
      <w:r>
        <w:t xml:space="preserve"> 90-15 of the IPS, the plaintiffs (in their capacity as primary liquidators of </w:t>
      </w:r>
      <w:proofErr w:type="spellStart"/>
      <w:r>
        <w:t>Bestjet</w:t>
      </w:r>
      <w:proofErr w:type="spellEnd"/>
      <w:r>
        <w:t>):</w:t>
      </w:r>
    </w:p>
    <w:p w:rsidR="00635089" w:rsidRDefault="00635089" w:rsidP="00A82346">
      <w:pPr>
        <w:pStyle w:val="Order2"/>
        <w:numPr>
          <w:ilvl w:val="0"/>
          <w:numId w:val="0"/>
        </w:numPr>
        <w:ind w:left="1440" w:hanging="720"/>
      </w:pPr>
      <w:r>
        <w:t>(a)</w:t>
      </w:r>
      <w:r>
        <w:tab/>
        <w:t xml:space="preserve">must refrain from exercising any of the Adjudication Functions specified in </w:t>
      </w:r>
      <w:r w:rsidR="00F05D41">
        <w:t>Order</w:t>
      </w:r>
      <w:r>
        <w:t xml:space="preserve"> 1 above, except with the prior written consent of the Special Purpose Liquidator or by leave of this Court; and</w:t>
      </w:r>
    </w:p>
    <w:p w:rsidR="00635089" w:rsidRDefault="00635089" w:rsidP="00A82346">
      <w:pPr>
        <w:pStyle w:val="Order2"/>
        <w:numPr>
          <w:ilvl w:val="0"/>
          <w:numId w:val="0"/>
        </w:numPr>
        <w:ind w:left="1440" w:hanging="720"/>
      </w:pPr>
      <w:r>
        <w:t>(b)</w:t>
      </w:r>
      <w:r>
        <w:tab/>
        <w:t>must use their reasonable endeavours to assist the Special Purpose Liquidator to exercise the Adjudication Functions, including by providing any documents or information previously prepared or obtained by them in investigating or pursuing any claim in relation to any of the matters.</w:t>
      </w:r>
    </w:p>
    <w:p w:rsidR="00635089" w:rsidRDefault="00635089" w:rsidP="002621E9">
      <w:pPr>
        <w:pStyle w:val="Order1"/>
      </w:pPr>
      <w:r>
        <w:lastRenderedPageBreak/>
        <w:t xml:space="preserve">Pursuant to </w:t>
      </w:r>
      <w:proofErr w:type="spellStart"/>
      <w:r w:rsidR="00F05D41">
        <w:t>s</w:t>
      </w:r>
      <w:proofErr w:type="spellEnd"/>
      <w:r>
        <w:t xml:space="preserve"> 90-15 of the IPS, the Special Purpose Liquidator:</w:t>
      </w:r>
    </w:p>
    <w:p w:rsidR="00635089" w:rsidRDefault="00635089" w:rsidP="00A82346">
      <w:pPr>
        <w:pStyle w:val="Order2"/>
        <w:numPr>
          <w:ilvl w:val="0"/>
          <w:numId w:val="0"/>
        </w:numPr>
        <w:ind w:left="1440" w:hanging="720"/>
      </w:pPr>
      <w:r>
        <w:t>(a)</w:t>
      </w:r>
      <w:r>
        <w:tab/>
        <w:t xml:space="preserve">shall, in accordance with the requirements of the Act, report to creditors of </w:t>
      </w:r>
      <w:proofErr w:type="spellStart"/>
      <w:r>
        <w:t>Bestjet</w:t>
      </w:r>
      <w:proofErr w:type="spellEnd"/>
      <w:r>
        <w:t xml:space="preserve">, and any liquidators of </w:t>
      </w:r>
      <w:proofErr w:type="spellStart"/>
      <w:r>
        <w:t>Bestjet</w:t>
      </w:r>
      <w:proofErr w:type="spellEnd"/>
      <w:r>
        <w:t xml:space="preserve"> then in office, on the terms of the Special Purpose Liquidator’s appointment and, subsequently, once every 6 months during the course of the Special Purpose Liquidator’s appointment; and</w:t>
      </w:r>
    </w:p>
    <w:p w:rsidR="00635089" w:rsidRDefault="00635089" w:rsidP="00A82346">
      <w:pPr>
        <w:pStyle w:val="Order2"/>
        <w:numPr>
          <w:ilvl w:val="0"/>
          <w:numId w:val="0"/>
        </w:numPr>
        <w:ind w:left="1440" w:hanging="720"/>
      </w:pPr>
      <w:r>
        <w:t>(b)</w:t>
      </w:r>
      <w:r>
        <w:tab/>
        <w:t xml:space="preserve">must refrain from exercising any powers or performing any functions which are not Adjudication Functions specified in </w:t>
      </w:r>
      <w:r w:rsidR="00F05D41">
        <w:t>Order</w:t>
      </w:r>
      <w:r>
        <w:t xml:space="preserve"> 1 above, except with the prior written consent of the plaintiffs or by leave of this Court; and</w:t>
      </w:r>
    </w:p>
    <w:p w:rsidR="00635089" w:rsidRDefault="00635089" w:rsidP="00A82346">
      <w:pPr>
        <w:pStyle w:val="Order2"/>
        <w:numPr>
          <w:ilvl w:val="0"/>
          <w:numId w:val="0"/>
        </w:numPr>
        <w:ind w:left="1440" w:hanging="720"/>
      </w:pPr>
      <w:r>
        <w:t>(c)</w:t>
      </w:r>
      <w:r>
        <w:tab/>
        <w:t xml:space="preserve">must use his reasonable endeavours to assist the plaintiffs to exercise their powers and functions as the primary liquidators of </w:t>
      </w:r>
      <w:proofErr w:type="spellStart"/>
      <w:r>
        <w:t>Bestjet</w:t>
      </w:r>
      <w:proofErr w:type="spellEnd"/>
      <w:r>
        <w:t>.</w:t>
      </w:r>
    </w:p>
    <w:p w:rsidR="00635089" w:rsidRDefault="00635089" w:rsidP="002621E9">
      <w:pPr>
        <w:pStyle w:val="Order1"/>
      </w:pPr>
      <w:r>
        <w:t xml:space="preserve">The plaintiffs and the Special Purpose Liquidator each have leave to apply in this proceeding with three days’ notice, including for the purposes of extending or restricting the scope of their functions pursuant to </w:t>
      </w:r>
      <w:r w:rsidR="00F05D41">
        <w:t>s</w:t>
      </w:r>
      <w:r>
        <w:t xml:space="preserve"> 472(6) of the Act.</w:t>
      </w:r>
    </w:p>
    <w:p w:rsidR="00635089" w:rsidRPr="001040A2" w:rsidRDefault="00635089" w:rsidP="001040A2">
      <w:pPr>
        <w:pStyle w:val="NoNum"/>
        <w:rPr>
          <w:b/>
        </w:rPr>
      </w:pPr>
      <w:r w:rsidRPr="001040A2">
        <w:rPr>
          <w:b/>
        </w:rPr>
        <w:t>Remuneration of the Special Purpose Liquidator</w:t>
      </w:r>
    </w:p>
    <w:p w:rsidR="00635089" w:rsidRDefault="00635089" w:rsidP="002621E9">
      <w:pPr>
        <w:pStyle w:val="Order1"/>
      </w:pPr>
      <w:r>
        <w:t xml:space="preserve">Pursuant to </w:t>
      </w:r>
      <w:proofErr w:type="spellStart"/>
      <w:r w:rsidR="00F05D41">
        <w:t>s</w:t>
      </w:r>
      <w:proofErr w:type="spellEnd"/>
      <w:r w:rsidR="00F05D41">
        <w:t xml:space="preserve"> </w:t>
      </w:r>
      <w:r>
        <w:t>60-10(2) of the IPS, the remuneration of the Special Purpose Liquidator be approved in the Schedule of Hourly Rates attached to the Form 8 Consent of the Special Purpose Liquidator filed on 3 June 2020.</w:t>
      </w:r>
    </w:p>
    <w:p w:rsidR="00635089" w:rsidRPr="001040A2" w:rsidRDefault="00635089" w:rsidP="001040A2">
      <w:pPr>
        <w:pStyle w:val="NoNum"/>
        <w:rPr>
          <w:b/>
        </w:rPr>
      </w:pPr>
      <w:r w:rsidRPr="001040A2">
        <w:rPr>
          <w:b/>
        </w:rPr>
        <w:t>Costs</w:t>
      </w:r>
    </w:p>
    <w:p w:rsidR="00635089" w:rsidRDefault="00635089" w:rsidP="002621E9">
      <w:pPr>
        <w:pStyle w:val="Order1"/>
      </w:pPr>
      <w:r>
        <w:t xml:space="preserve">The plaintiffs’ costs of this application are to be costs shared equally in the liquidations of </w:t>
      </w:r>
      <w:proofErr w:type="spellStart"/>
      <w:r>
        <w:t>Bestjet</w:t>
      </w:r>
      <w:proofErr w:type="spellEnd"/>
      <w:r>
        <w:t xml:space="preserve"> and Wynyard.</w:t>
      </w:r>
    </w:p>
    <w:p w:rsidR="00635089" w:rsidRPr="001040A2" w:rsidRDefault="00635089" w:rsidP="001040A2">
      <w:pPr>
        <w:pStyle w:val="NoNum"/>
        <w:rPr>
          <w:b/>
        </w:rPr>
      </w:pPr>
      <w:r w:rsidRPr="001040A2">
        <w:rPr>
          <w:b/>
        </w:rPr>
        <w:t>Notice to Creditors and Leave to Apply</w:t>
      </w:r>
    </w:p>
    <w:p w:rsidR="00635089" w:rsidRDefault="00635089" w:rsidP="002621E9">
      <w:pPr>
        <w:pStyle w:val="Order1"/>
      </w:pPr>
      <w:r>
        <w:t>The plaintiffs provide a copy of these Orders as soon as practicable to:</w:t>
      </w:r>
    </w:p>
    <w:p w:rsidR="00635089" w:rsidRDefault="00635089" w:rsidP="00A82346">
      <w:pPr>
        <w:pStyle w:val="Order2"/>
        <w:numPr>
          <w:ilvl w:val="0"/>
          <w:numId w:val="0"/>
        </w:numPr>
        <w:ind w:left="1440" w:hanging="720"/>
      </w:pPr>
      <w:r>
        <w:t>(a)</w:t>
      </w:r>
      <w:r>
        <w:tab/>
        <w:t xml:space="preserve">all known creditors of </w:t>
      </w:r>
      <w:proofErr w:type="spellStart"/>
      <w:r>
        <w:t>Bestjet</w:t>
      </w:r>
      <w:proofErr w:type="spellEnd"/>
      <w:r>
        <w:t xml:space="preserve"> and Wynyard by sending it to their last known postal or email addresses; and</w:t>
      </w:r>
    </w:p>
    <w:p w:rsidR="00635089" w:rsidRDefault="00635089" w:rsidP="00A82346">
      <w:pPr>
        <w:pStyle w:val="Order2"/>
        <w:numPr>
          <w:ilvl w:val="0"/>
          <w:numId w:val="0"/>
        </w:numPr>
        <w:ind w:left="1440" w:hanging="720"/>
      </w:pPr>
      <w:r w:rsidRPr="00F05D41">
        <w:t>(b)</w:t>
      </w:r>
      <w:r w:rsidRPr="00F05D41">
        <w:tab/>
      </w:r>
      <w:r w:rsidR="00F05D41">
        <w:t xml:space="preserve">the </w:t>
      </w:r>
      <w:r w:rsidRPr="00F05D41">
        <w:t>Australian Securities and Investments Commission (</w:t>
      </w:r>
      <w:r w:rsidRPr="00F05D41">
        <w:rPr>
          <w:b/>
        </w:rPr>
        <w:t>ASIC</w:t>
      </w:r>
      <w:r w:rsidRPr="00F05D41">
        <w:t>).</w:t>
      </w:r>
    </w:p>
    <w:p w:rsidR="00B7164E" w:rsidRDefault="007E18FA" w:rsidP="002621E9">
      <w:pPr>
        <w:pStyle w:val="Order1"/>
      </w:pPr>
      <w:r w:rsidRPr="002621E9">
        <w:t xml:space="preserve">The </w:t>
      </w:r>
      <w:r w:rsidR="00635089" w:rsidRPr="002621E9">
        <w:t xml:space="preserve">ASIC, and any creditor of </w:t>
      </w:r>
      <w:proofErr w:type="spellStart"/>
      <w:r w:rsidR="00635089" w:rsidRPr="002621E9">
        <w:t>Bestjet</w:t>
      </w:r>
      <w:proofErr w:type="spellEnd"/>
      <w:r w:rsidR="00635089" w:rsidRPr="002621E9">
        <w:t xml:space="preserve"> or Wynyard who may wish to be heard in relation to the matters which are the subject of these Orders, have leave to apply in this proceeding with three days’ notice.</w:t>
      </w:r>
    </w:p>
    <w:p w:rsidR="00B7164E" w:rsidRDefault="00B7164E" w:rsidP="00C971CA">
      <w:pPr>
        <w:pStyle w:val="SingleSpace"/>
      </w:pPr>
    </w:p>
    <w:p w:rsidR="00C971CA" w:rsidRDefault="00C971CA" w:rsidP="00C971CA">
      <w:pPr>
        <w:pStyle w:val="SingleSpace"/>
      </w:pPr>
    </w:p>
    <w:p w:rsidR="00C971CA" w:rsidRDefault="00C971CA" w:rsidP="00C971CA">
      <w:pPr>
        <w:pStyle w:val="SingleSpace"/>
      </w:pPr>
    </w:p>
    <w:p w:rsidR="00C971CA" w:rsidRDefault="00C971CA" w:rsidP="00C971CA">
      <w:pPr>
        <w:pStyle w:val="SingleSpace"/>
      </w:pPr>
    </w:p>
    <w:p w:rsidR="0092590B" w:rsidRDefault="00013E9F" w:rsidP="00C971CA">
      <w:pPr>
        <w:pStyle w:val="SingleSpace"/>
      </w:pPr>
      <w:r>
        <w:t>Note:</w:t>
      </w:r>
      <w:r>
        <w:tab/>
        <w:t xml:space="preserve">Entry of orders is dealt with in Rule 39.32 of the </w:t>
      </w:r>
      <w:r>
        <w:rPr>
          <w:i/>
        </w:rPr>
        <w:t>Federal Court Rules 2011</w:t>
      </w:r>
      <w:r>
        <w:t>.</w:t>
      </w:r>
      <w:bookmarkEnd w:id="22"/>
    </w:p>
    <w:p w:rsidR="00395B24" w:rsidRDefault="00395B24" w:rsidP="00C971CA">
      <w:pPr>
        <w:pStyle w:val="NormalHeadings"/>
        <w:spacing w:before="240" w:after="120"/>
        <w:rPr>
          <w:b w:val="0"/>
        </w:rPr>
        <w:sectPr w:rsidR="00395B24" w:rsidSect="0092590B">
          <w:headerReference w:type="default" r:id="rId10"/>
          <w:footerReference w:type="default" r:id="rId11"/>
          <w:headerReference w:type="first" r:id="rId12"/>
          <w:footerReference w:type="first" r:id="rId13"/>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24" w:name="ReasonsPage"/>
      <w:bookmarkEnd w:id="24"/>
      <w:r w:rsidRPr="00045BB7">
        <w:rPr>
          <w:sz w:val="28"/>
          <w:szCs w:val="28"/>
        </w:rPr>
        <w:lastRenderedPageBreak/>
        <w:t>REASONS FOR JUDGMENT</w:t>
      </w:r>
    </w:p>
    <w:p w:rsidR="00694BEB" w:rsidRDefault="0009193C" w:rsidP="005E0510">
      <w:pPr>
        <w:pStyle w:val="NormalHeadings"/>
        <w:spacing w:line="360" w:lineRule="auto"/>
        <w:jc w:val="left"/>
        <w:rPr>
          <w:sz w:val="26"/>
          <w:szCs w:val="26"/>
        </w:rPr>
      </w:pPr>
      <w:r>
        <w:rPr>
          <w:sz w:val="26"/>
          <w:szCs w:val="26"/>
        </w:rPr>
        <w:t>REEVES J:</w:t>
      </w:r>
    </w:p>
    <w:p w:rsidR="0009193C" w:rsidRDefault="0009193C" w:rsidP="0009193C">
      <w:pPr>
        <w:pStyle w:val="ParaNumbering"/>
      </w:pPr>
      <w:r>
        <w:t xml:space="preserve">Mr Nigel Markey and Mr Bradley Hellen, the plaintiffs in this proceeding, are the joint and several liquidators of two related companies: </w:t>
      </w:r>
      <w:proofErr w:type="spellStart"/>
      <w:r>
        <w:t>Bestjet</w:t>
      </w:r>
      <w:proofErr w:type="spellEnd"/>
      <w:r>
        <w:t xml:space="preserve"> Travel Pty Ltd and Wynyard Travel Pty Limited, the two defendants.</w:t>
      </w:r>
    </w:p>
    <w:p w:rsidR="0009193C" w:rsidRDefault="0009193C" w:rsidP="0009193C">
      <w:pPr>
        <w:pStyle w:val="ParaNumbering"/>
      </w:pPr>
      <w:r>
        <w:t>A</w:t>
      </w:r>
      <w:r w:rsidR="00FC6C22">
        <w:t>ri</w:t>
      </w:r>
      <w:r>
        <w:t>s</w:t>
      </w:r>
      <w:r w:rsidR="00FC6C22">
        <w:t>ing from</w:t>
      </w:r>
      <w:r>
        <w:t xml:space="preserve"> their investigations </w:t>
      </w:r>
      <w:r w:rsidR="00FC6C22">
        <w:t>of</w:t>
      </w:r>
      <w:r>
        <w:t xml:space="preserve"> the affairs of the two defendant companies, the Liquidators formed the view that </w:t>
      </w:r>
      <w:proofErr w:type="spellStart"/>
      <w:r>
        <w:t>Bestjet</w:t>
      </w:r>
      <w:proofErr w:type="spellEnd"/>
      <w:r>
        <w:t xml:space="preserve"> is liable to Wynyard in the amount of $8,389,957.59 for, among other things, breach of contract. Accordingly, they caused Wynyard to lodge a proof of debt for that amount in the winding up of </w:t>
      </w:r>
      <w:proofErr w:type="spellStart"/>
      <w:r>
        <w:t>Bestjet</w:t>
      </w:r>
      <w:proofErr w:type="spellEnd"/>
      <w:r>
        <w:t xml:space="preserve"> (the </w:t>
      </w:r>
      <w:r w:rsidR="00DB3866">
        <w:t>Wynyard Proof of Debt</w:t>
      </w:r>
      <w:r>
        <w:t>).  That occurred on 30 April 2020.</w:t>
      </w:r>
    </w:p>
    <w:p w:rsidR="0009193C" w:rsidRDefault="0009193C" w:rsidP="0009193C">
      <w:pPr>
        <w:pStyle w:val="ParaNumbering"/>
      </w:pPr>
      <w:r>
        <w:t>This situation presented an obvious conflict of interest, or more precisely duty, for the Liquidators in their roles as liquidators of both companies. It was in an attempt to resolve that conflict that they brought this proceeding.</w:t>
      </w:r>
    </w:p>
    <w:p w:rsidR="0009193C" w:rsidRDefault="0009193C" w:rsidP="0009193C">
      <w:pPr>
        <w:pStyle w:val="ParaNumbering"/>
      </w:pPr>
      <w:bookmarkStart w:id="25" w:name="_Ref59443442"/>
      <w:r>
        <w:t>It may not be surprising to find that similar situations have come before the courts on many occasions in the past. The resulting authorities have identified the following three options for dealing with it:</w:t>
      </w:r>
      <w:bookmarkEnd w:id="25"/>
    </w:p>
    <w:p w:rsidR="0009193C" w:rsidRDefault="0009193C" w:rsidP="0009193C">
      <w:pPr>
        <w:pStyle w:val="ListNo1alt"/>
      </w:pPr>
      <w:r>
        <w:t>first</w:t>
      </w:r>
      <w:r w:rsidR="00165028">
        <w:t>ly</w:t>
      </w:r>
      <w:r>
        <w:t>, by an order for the appointment of a special purpose liquidator to determine the particular issue which has cr</w:t>
      </w:r>
      <w:r w:rsidR="00FC6C22">
        <w:t xml:space="preserve">eated the conflict of interest </w:t>
      </w:r>
      <w:r>
        <w:t>and only th</w:t>
      </w:r>
      <w:r w:rsidR="00FC6C22">
        <w:t xml:space="preserve">at issue </w:t>
      </w:r>
      <w:r w:rsidR="0013134D">
        <w:t>(see, for example, the cases cited at [</w:t>
      </w:r>
      <w:r w:rsidR="0013134D">
        <w:fldChar w:fldCharType="begin" w:fldLock="1"/>
      </w:r>
      <w:r w:rsidR="0013134D">
        <w:instrText xml:space="preserve"> REF _Ref59008542 \r \h </w:instrText>
      </w:r>
      <w:r w:rsidR="0013134D">
        <w:fldChar w:fldCharType="separate"/>
      </w:r>
      <w:r w:rsidR="00CD5A7C">
        <w:t>19</w:t>
      </w:r>
      <w:r w:rsidR="0013134D">
        <w:fldChar w:fldCharType="end"/>
      </w:r>
      <w:r w:rsidR="0013134D">
        <w:t>] below)</w:t>
      </w:r>
      <w:r>
        <w:t>;</w:t>
      </w:r>
    </w:p>
    <w:p w:rsidR="0009193C" w:rsidRDefault="0009193C" w:rsidP="00645495">
      <w:pPr>
        <w:pStyle w:val="ListNo1alt"/>
      </w:pPr>
      <w:r>
        <w:t>secondly, by a direction to the conflicted liquidator that he or she would be justified in performing an act which woul</w:t>
      </w:r>
      <w:r w:rsidR="006E73AA">
        <w:t xml:space="preserve">d otherwise involve a conflict, </w:t>
      </w:r>
      <w:r>
        <w:t>for example</w:t>
      </w:r>
      <w:r w:rsidR="006E73AA">
        <w:t>,</w:t>
      </w:r>
      <w:r>
        <w:t xml:space="preserve"> by admitting or rejecting the contentious proof of debt</w:t>
      </w:r>
      <w:r w:rsidR="006E73AA">
        <w:t xml:space="preserve"> (</w:t>
      </w:r>
      <w:r w:rsidR="00645495">
        <w:t xml:space="preserve">see, for example, </w:t>
      </w:r>
      <w:r w:rsidR="00645495" w:rsidRPr="00C971CA">
        <w:rPr>
          <w:i/>
        </w:rPr>
        <w:t xml:space="preserve">Warner (liquidator), in the matter of </w:t>
      </w:r>
      <w:proofErr w:type="spellStart"/>
      <w:r w:rsidR="00645495" w:rsidRPr="00C971CA">
        <w:rPr>
          <w:i/>
        </w:rPr>
        <w:t>Sakr</w:t>
      </w:r>
      <w:proofErr w:type="spellEnd"/>
      <w:r w:rsidR="00645495" w:rsidRPr="00C971CA">
        <w:rPr>
          <w:i/>
        </w:rPr>
        <w:t xml:space="preserve"> Bros Pty Ltd (in </w:t>
      </w:r>
      <w:proofErr w:type="spellStart"/>
      <w:r w:rsidR="00645495" w:rsidRPr="00C971CA">
        <w:rPr>
          <w:i/>
        </w:rPr>
        <w:t>liq</w:t>
      </w:r>
      <w:proofErr w:type="spellEnd"/>
      <w:r w:rsidR="00645495" w:rsidRPr="00C971CA">
        <w:rPr>
          <w:i/>
        </w:rPr>
        <w:t>)</w:t>
      </w:r>
      <w:r w:rsidR="00645495" w:rsidRPr="00C971CA">
        <w:t xml:space="preserve"> [2019] FCA 547</w:t>
      </w:r>
      <w:r w:rsidR="00645495" w:rsidRPr="00645495">
        <w:t xml:space="preserve"> (</w:t>
      </w:r>
      <w:proofErr w:type="spellStart"/>
      <w:r w:rsidR="00645495" w:rsidRPr="00645495">
        <w:rPr>
          <w:i/>
        </w:rPr>
        <w:t>Sakr</w:t>
      </w:r>
      <w:proofErr w:type="spellEnd"/>
      <w:r w:rsidR="00645495" w:rsidRPr="00645495">
        <w:t>)</w:t>
      </w:r>
      <w:r w:rsidR="00645495">
        <w:t xml:space="preserve"> at [21])</w:t>
      </w:r>
      <w:r>
        <w:t>; and</w:t>
      </w:r>
    </w:p>
    <w:p w:rsidR="0009193C" w:rsidRDefault="0009193C" w:rsidP="002A7673">
      <w:pPr>
        <w:pStyle w:val="ListNo1alt"/>
      </w:pPr>
      <w:r>
        <w:t>thirdly, by an order removing the conflicted liquidator from one or more of the companies and appointing a new liquidator in his or her place</w:t>
      </w:r>
      <w:r w:rsidR="002A7673">
        <w:t xml:space="preserve"> (see, for example, </w:t>
      </w:r>
      <w:proofErr w:type="spellStart"/>
      <w:r w:rsidR="002A7673" w:rsidRPr="00C971CA">
        <w:rPr>
          <w:i/>
        </w:rPr>
        <w:t>Handberg</w:t>
      </w:r>
      <w:proofErr w:type="spellEnd"/>
      <w:r w:rsidR="002A7673" w:rsidRPr="00C971CA">
        <w:rPr>
          <w:i/>
        </w:rPr>
        <w:t xml:space="preserve">, in the matter of </w:t>
      </w:r>
      <w:proofErr w:type="spellStart"/>
      <w:r w:rsidR="002A7673" w:rsidRPr="00C971CA">
        <w:rPr>
          <w:i/>
        </w:rPr>
        <w:t>Greight</w:t>
      </w:r>
      <w:proofErr w:type="spellEnd"/>
      <w:r w:rsidR="002A7673" w:rsidRPr="00C971CA">
        <w:rPr>
          <w:i/>
        </w:rPr>
        <w:t xml:space="preserve"> Pty Ltd (in </w:t>
      </w:r>
      <w:proofErr w:type="spellStart"/>
      <w:r w:rsidR="002A7673" w:rsidRPr="00C971CA">
        <w:rPr>
          <w:i/>
        </w:rPr>
        <w:t>liq</w:t>
      </w:r>
      <w:proofErr w:type="spellEnd"/>
      <w:r w:rsidR="002A7673" w:rsidRPr="00C971CA">
        <w:rPr>
          <w:i/>
        </w:rPr>
        <w:t>)</w:t>
      </w:r>
      <w:r w:rsidR="002A7673" w:rsidRPr="00C971CA">
        <w:t xml:space="preserve"> (2006) 56 ACSR 334; [2006] FCA 17</w:t>
      </w:r>
      <w:r w:rsidR="002A7673">
        <w:t>)</w:t>
      </w:r>
      <w:r w:rsidR="00FC6C22">
        <w:t>.</w:t>
      </w:r>
    </w:p>
    <w:p w:rsidR="0009193C" w:rsidRDefault="0009193C" w:rsidP="0009193C">
      <w:pPr>
        <w:pStyle w:val="ParaNumbering"/>
      </w:pPr>
      <w:r>
        <w:t>In this application</w:t>
      </w:r>
      <w:r w:rsidR="00FC6C22">
        <w:t>,</w:t>
      </w:r>
      <w:r>
        <w:t xml:space="preserve"> the Liquidators urged the adoption of the first option. Specifically, they proposed that Mr David Clout, an experienced Chartered Accountant and registered liquidator, be appointed as the special purpose liquidator of </w:t>
      </w:r>
      <w:proofErr w:type="spellStart"/>
      <w:r>
        <w:t>Bestjet</w:t>
      </w:r>
      <w:proofErr w:type="spellEnd"/>
      <w:r>
        <w:t xml:space="preserve"> for the specific and limited purpose of </w:t>
      </w:r>
      <w:r>
        <w:lastRenderedPageBreak/>
        <w:t xml:space="preserve">determining whether the </w:t>
      </w:r>
      <w:r w:rsidR="00DB3866">
        <w:t>Wynyard Proof of Debt</w:t>
      </w:r>
      <w:r w:rsidR="005F0DC6">
        <w:t xml:space="preserve"> </w:t>
      </w:r>
      <w:r>
        <w:t>should be admitted. They also appli</w:t>
      </w:r>
      <w:r w:rsidR="00A15D92">
        <w:t>ed for an order fixing Mr Clout</w:t>
      </w:r>
      <w:r w:rsidR="007F56FB">
        <w:t>’</w:t>
      </w:r>
      <w:r>
        <w:t>s remuneration and that the costs be shared equally between the two liquidations.</w:t>
      </w:r>
    </w:p>
    <w:p w:rsidR="0009193C" w:rsidRDefault="0009193C" w:rsidP="00CF2727">
      <w:pPr>
        <w:pStyle w:val="ParaNumbering"/>
      </w:pPr>
      <w:r>
        <w:t>Because</w:t>
      </w:r>
      <w:r w:rsidR="007F56FB">
        <w:t xml:space="preserve"> of</w:t>
      </w:r>
      <w:r>
        <w:t xml:space="preserve"> the </w:t>
      </w:r>
      <w:r w:rsidR="007F56FB">
        <w:t xml:space="preserve">need to resolve this </w:t>
      </w:r>
      <w:r>
        <w:t xml:space="preserve">issue </w:t>
      </w:r>
      <w:r w:rsidR="007F56FB">
        <w:t>promptly</w:t>
      </w:r>
      <w:r>
        <w:t xml:space="preserve">, I made orders </w:t>
      </w:r>
      <w:r w:rsidR="007F56FB">
        <w:t xml:space="preserve">on 23 July 2020 along the lines of those </w:t>
      </w:r>
      <w:r>
        <w:t xml:space="preserve">sought </w:t>
      </w:r>
      <w:r w:rsidR="007F56FB">
        <w:t xml:space="preserve">by the Liquidators </w:t>
      </w:r>
      <w:r>
        <w:t xml:space="preserve">and indicated </w:t>
      </w:r>
      <w:r w:rsidR="007F56FB">
        <w:t xml:space="preserve">that </w:t>
      </w:r>
      <w:r>
        <w:t xml:space="preserve">I would publish my reasons in due course. </w:t>
      </w:r>
      <w:r w:rsidR="006E73AA">
        <w:t>T</w:t>
      </w:r>
      <w:r>
        <w:t xml:space="preserve">he following </w:t>
      </w:r>
      <w:r w:rsidR="006E73AA">
        <w:t xml:space="preserve">are my </w:t>
      </w:r>
      <w:r>
        <w:t>reasons</w:t>
      </w:r>
      <w:r w:rsidR="006E73AA">
        <w:t>.</w:t>
      </w:r>
    </w:p>
    <w:p w:rsidR="0009193C" w:rsidRDefault="0009193C" w:rsidP="006F46B4">
      <w:pPr>
        <w:pStyle w:val="Heading1"/>
      </w:pPr>
      <w:r>
        <w:t>FACTUAL BACKGROUND</w:t>
      </w:r>
    </w:p>
    <w:p w:rsidR="0009193C" w:rsidRDefault="006F46B4" w:rsidP="0009193C">
      <w:pPr>
        <w:pStyle w:val="ParaNumbering"/>
      </w:pPr>
      <w:r>
        <w:t>Prior to the Liquidators</w:t>
      </w:r>
      <w:r w:rsidR="007F56FB">
        <w:t>’</w:t>
      </w:r>
      <w:r w:rsidR="0009193C">
        <w:t xml:space="preserve"> appointment, </w:t>
      </w:r>
      <w:proofErr w:type="spellStart"/>
      <w:r w:rsidR="0009193C">
        <w:t>Bestjet</w:t>
      </w:r>
      <w:proofErr w:type="spellEnd"/>
      <w:r w:rsidR="0009193C">
        <w:t xml:space="preserve"> and Wynyard were companies within a group of related entities which owned and operated a substantial travel agency business </w:t>
      </w:r>
      <w:r w:rsidR="006E73AA">
        <w:t>with headquarters</w:t>
      </w:r>
      <w:r w:rsidR="0009193C">
        <w:t xml:space="preserve"> in Brisbane. There were two distinct components to that business: an online component and a store front component. </w:t>
      </w:r>
      <w:proofErr w:type="spellStart"/>
      <w:r w:rsidR="0009193C">
        <w:t>Bestjet</w:t>
      </w:r>
      <w:proofErr w:type="spellEnd"/>
      <w:r w:rsidR="0009193C">
        <w:t xml:space="preserve"> operated the online component through the website </w:t>
      </w:r>
      <w:r w:rsidR="007F56FB">
        <w:t>“</w:t>
      </w:r>
      <w:r w:rsidR="0009193C">
        <w:t>bestjet.com</w:t>
      </w:r>
      <w:r w:rsidR="007F56FB">
        <w:t>”</w:t>
      </w:r>
      <w:r w:rsidR="0009193C">
        <w:t xml:space="preserve"> whereby customers would purchase, primarily, airline tickets. At the time of the Liquidators</w:t>
      </w:r>
      <w:r w:rsidR="007F56FB">
        <w:t>’</w:t>
      </w:r>
      <w:r w:rsidR="0009193C">
        <w:t xml:space="preserve"> appointment, online sales were in the order of $70 million per month. The storefront component consisted of a traditional </w:t>
      </w:r>
      <w:r w:rsidR="007F56FB">
        <w:t>“</w:t>
      </w:r>
      <w:r w:rsidR="0009193C">
        <w:t>bricks and mortar</w:t>
      </w:r>
      <w:r w:rsidR="007F56FB">
        <w:t>”</w:t>
      </w:r>
      <w:r w:rsidR="0009193C">
        <w:t xml:space="preserve"> retail </w:t>
      </w:r>
      <w:r w:rsidR="006E73AA">
        <w:t>outlet</w:t>
      </w:r>
      <w:r w:rsidR="0009193C">
        <w:t xml:space="preserve"> in Sydney. That store was operated by Wynyard and specialised in the sale of corporate travel products on a comparatively small scale.</w:t>
      </w:r>
    </w:p>
    <w:p w:rsidR="0009193C" w:rsidRDefault="0009193C" w:rsidP="0009193C">
      <w:pPr>
        <w:pStyle w:val="ParaNumbering"/>
      </w:pPr>
      <w:r>
        <w:t xml:space="preserve">Both </w:t>
      </w:r>
      <w:proofErr w:type="spellStart"/>
      <w:r>
        <w:t>Bestjet</w:t>
      </w:r>
      <w:proofErr w:type="spellEnd"/>
      <w:r>
        <w:t xml:space="preserve"> and Wynyard are members of the International Air Transport Association (IATA), an international trade association which allows retail travel agents to purchase wholesale airline tickets </w:t>
      </w:r>
      <w:r w:rsidR="006F46B4">
        <w:t>from</w:t>
      </w:r>
      <w:r>
        <w:t xml:space="preserve"> its member air carriers.</w:t>
      </w:r>
    </w:p>
    <w:p w:rsidR="0009193C" w:rsidRDefault="0009193C" w:rsidP="0009193C">
      <w:pPr>
        <w:pStyle w:val="ParaNumbering"/>
      </w:pPr>
      <w:bookmarkStart w:id="26" w:name="_Ref59443931"/>
      <w:r>
        <w:t xml:space="preserve">During two periods between 1 July 2017 and 23 December 2018, Wynyard purchased airline tickets from IATA which were then supplied to </w:t>
      </w:r>
      <w:proofErr w:type="spellStart"/>
      <w:r>
        <w:t>Bestjet</w:t>
      </w:r>
      <w:proofErr w:type="spellEnd"/>
      <w:r>
        <w:t>. Those tickets did not relate to Wynyard</w:t>
      </w:r>
      <w:r w:rsidR="007F56FB">
        <w:t>’</w:t>
      </w:r>
      <w:r>
        <w:t xml:space="preserve">s customers and were solely for the benefit of </w:t>
      </w:r>
      <w:proofErr w:type="spellStart"/>
      <w:r>
        <w:t>Bestjet</w:t>
      </w:r>
      <w:r w:rsidR="007F56FB">
        <w:t>’</w:t>
      </w:r>
      <w:r>
        <w:t>s</w:t>
      </w:r>
      <w:proofErr w:type="spellEnd"/>
      <w:r>
        <w:t xml:space="preserve"> customers who had ordered the tickets online through </w:t>
      </w:r>
      <w:proofErr w:type="spellStart"/>
      <w:r>
        <w:t>Bestjet</w:t>
      </w:r>
      <w:proofErr w:type="spellEnd"/>
      <w:r>
        <w:t xml:space="preserve">. </w:t>
      </w:r>
      <w:proofErr w:type="spellStart"/>
      <w:r>
        <w:t>Bestjet</w:t>
      </w:r>
      <w:proofErr w:type="spellEnd"/>
      <w:r>
        <w:t xml:space="preserve"> and Wynyard adopted a practice whereby </w:t>
      </w:r>
      <w:proofErr w:type="spellStart"/>
      <w:r>
        <w:t>Bestjet</w:t>
      </w:r>
      <w:proofErr w:type="spellEnd"/>
      <w:r>
        <w:t xml:space="preserve"> would reimburse the costs of the tickets purchased in this manner and pay a handling fee to Wynyard.</w:t>
      </w:r>
      <w:bookmarkEnd w:id="26"/>
      <w:r>
        <w:t xml:space="preserve"> </w:t>
      </w:r>
    </w:p>
    <w:p w:rsidR="0009193C" w:rsidRDefault="0009193C" w:rsidP="0009193C">
      <w:pPr>
        <w:pStyle w:val="ParaNumbering"/>
      </w:pPr>
      <w:r>
        <w:t>From a review of the relevant books and records</w:t>
      </w:r>
      <w:r w:rsidR="006F46B4">
        <w:t xml:space="preserve"> of </w:t>
      </w:r>
      <w:proofErr w:type="spellStart"/>
      <w:r w:rsidR="00542EE0">
        <w:t>Bestjet</w:t>
      </w:r>
      <w:proofErr w:type="spellEnd"/>
      <w:r w:rsidR="00542EE0">
        <w:t xml:space="preserve"> and Wyn</w:t>
      </w:r>
      <w:r w:rsidR="00DB3866">
        <w:t>y</w:t>
      </w:r>
      <w:r w:rsidR="00542EE0">
        <w:t xml:space="preserve">ard, </w:t>
      </w:r>
      <w:r>
        <w:t xml:space="preserve">the Liquidators </w:t>
      </w:r>
      <w:r w:rsidR="00FC6C22">
        <w:t xml:space="preserve">have </w:t>
      </w:r>
      <w:r>
        <w:t>ascertained the following:</w:t>
      </w:r>
    </w:p>
    <w:p w:rsidR="0009193C" w:rsidRDefault="0009193C" w:rsidP="005B6AD9">
      <w:pPr>
        <w:pStyle w:val="ListNo1alt"/>
        <w:numPr>
          <w:ilvl w:val="0"/>
          <w:numId w:val="26"/>
        </w:numPr>
      </w:pPr>
      <w:proofErr w:type="spellStart"/>
      <w:r>
        <w:t>Bestjet</w:t>
      </w:r>
      <w:proofErr w:type="spellEnd"/>
      <w:r>
        <w:t xml:space="preserve"> did in fact reimburse Wynyard for the tickets purchased on </w:t>
      </w:r>
      <w:proofErr w:type="spellStart"/>
      <w:r>
        <w:t>Bestjet</w:t>
      </w:r>
      <w:r w:rsidR="007F56FB">
        <w:t>’</w:t>
      </w:r>
      <w:r>
        <w:t>s</w:t>
      </w:r>
      <w:proofErr w:type="spellEnd"/>
      <w:r>
        <w:t xml:space="preserve"> behalf up to 2 December 2018;</w:t>
      </w:r>
    </w:p>
    <w:p w:rsidR="0009193C" w:rsidRDefault="0009193C" w:rsidP="00834FC6">
      <w:pPr>
        <w:pStyle w:val="ListNo1alt"/>
        <w:numPr>
          <w:ilvl w:val="0"/>
          <w:numId w:val="26"/>
        </w:numPr>
      </w:pPr>
      <w:r>
        <w:lastRenderedPageBreak/>
        <w:t xml:space="preserve">Of the $10,746,626.41 incurred by Wynyard in purchasing tickets on behalf of </w:t>
      </w:r>
      <w:proofErr w:type="spellStart"/>
      <w:r>
        <w:t>Bestjet</w:t>
      </w:r>
      <w:proofErr w:type="spellEnd"/>
      <w:r>
        <w:t xml:space="preserve"> between 3 December 2018 and 23 December 2018, </w:t>
      </w:r>
      <w:proofErr w:type="spellStart"/>
      <w:r>
        <w:t>Bestjet</w:t>
      </w:r>
      <w:proofErr w:type="spellEnd"/>
      <w:r>
        <w:t xml:space="preserve"> paid only $4,000,000 for those tickets; and</w:t>
      </w:r>
    </w:p>
    <w:p w:rsidR="0009193C" w:rsidRDefault="0009193C" w:rsidP="00834FC6">
      <w:pPr>
        <w:pStyle w:val="ListNo1alt"/>
        <w:numPr>
          <w:ilvl w:val="0"/>
          <w:numId w:val="26"/>
        </w:numPr>
      </w:pPr>
      <w:proofErr w:type="spellStart"/>
      <w:r>
        <w:t>Bestjet</w:t>
      </w:r>
      <w:proofErr w:type="spellEnd"/>
      <w:r>
        <w:t xml:space="preserve"> did not pay Wynyard </w:t>
      </w:r>
      <w:r w:rsidR="00A66813">
        <w:t>the abovementioned</w:t>
      </w:r>
      <w:r>
        <w:t xml:space="preserve"> handling fee </w:t>
      </w:r>
      <w:r w:rsidR="00A66813">
        <w:t>(see at [</w:t>
      </w:r>
      <w:r w:rsidR="006E73AA">
        <w:fldChar w:fldCharType="begin" w:fldLock="1"/>
      </w:r>
      <w:r w:rsidR="006E73AA">
        <w:instrText xml:space="preserve"> REF _Ref59443931 \r \h </w:instrText>
      </w:r>
      <w:r w:rsidR="006E73AA">
        <w:fldChar w:fldCharType="separate"/>
      </w:r>
      <w:r w:rsidR="00CD5A7C">
        <w:t>9</w:t>
      </w:r>
      <w:r w:rsidR="006E73AA">
        <w:fldChar w:fldCharType="end"/>
      </w:r>
      <w:r w:rsidR="00A66813">
        <w:t xml:space="preserve">]) </w:t>
      </w:r>
      <w:r>
        <w:t>for any of the</w:t>
      </w:r>
      <w:r w:rsidR="00FC6C22">
        <w:t>se</w:t>
      </w:r>
      <w:r>
        <w:t xml:space="preserve"> transactions.</w:t>
      </w:r>
    </w:p>
    <w:p w:rsidR="0009193C" w:rsidRDefault="0009193C" w:rsidP="0009193C">
      <w:pPr>
        <w:pStyle w:val="ParaNumbering"/>
      </w:pPr>
      <w:r>
        <w:t xml:space="preserve">Consequently, the Liquidators formed the view that </w:t>
      </w:r>
      <w:proofErr w:type="spellStart"/>
      <w:r>
        <w:t>Bestjet</w:t>
      </w:r>
      <w:proofErr w:type="spellEnd"/>
      <w:r>
        <w:t xml:space="preserve"> is liable to Wynyard in the amount of $8,389,957.59 and caused </w:t>
      </w:r>
      <w:r w:rsidR="00542EE0">
        <w:t xml:space="preserve">Wynyard to lodge the </w:t>
      </w:r>
      <w:r w:rsidR="00DB3866">
        <w:t>Wynyard Proof of Debt</w:t>
      </w:r>
      <w:r w:rsidR="00542EE0">
        <w:t>.</w:t>
      </w:r>
    </w:p>
    <w:p w:rsidR="0009193C" w:rsidRDefault="0009193C" w:rsidP="006F46B4">
      <w:pPr>
        <w:pStyle w:val="Heading1"/>
      </w:pPr>
      <w:r>
        <w:t>THE RELEVANT STATUTORY PROVISIONS AND PRINCIPLES</w:t>
      </w:r>
    </w:p>
    <w:p w:rsidR="0009193C" w:rsidRDefault="0009193C" w:rsidP="0009193C">
      <w:pPr>
        <w:pStyle w:val="ParaNumbering"/>
      </w:pPr>
      <w:r>
        <w:t xml:space="preserve">The Liquidators sought orders under </w:t>
      </w:r>
      <w:proofErr w:type="spellStart"/>
      <w:r>
        <w:t>ss</w:t>
      </w:r>
      <w:proofErr w:type="spellEnd"/>
      <w:r>
        <w:t xml:space="preserve"> 90-15 and 60-10 of the </w:t>
      </w:r>
      <w:r w:rsidRPr="00C971CA">
        <w:rPr>
          <w:i/>
        </w:rPr>
        <w:t xml:space="preserve">Insolvency Practice Schedule </w:t>
      </w:r>
      <w:r w:rsidRPr="00C971CA">
        <w:t xml:space="preserve">(Schedule 2 to the </w:t>
      </w:r>
      <w:r w:rsidRPr="00C971CA">
        <w:rPr>
          <w:i/>
        </w:rPr>
        <w:t>Corporations Act 2001</w:t>
      </w:r>
      <w:r w:rsidRPr="00C971CA">
        <w:t xml:space="preserve"> (</w:t>
      </w:r>
      <w:proofErr w:type="spellStart"/>
      <w:r w:rsidRPr="00C971CA">
        <w:t>Cth</w:t>
      </w:r>
      <w:proofErr w:type="spellEnd"/>
      <w:r w:rsidRPr="00C971CA">
        <w:t>))</w:t>
      </w:r>
      <w:r>
        <w:t xml:space="preserve"> (the IPS) appointing Mr Clout as a special purpose liquidator and approving his remuneration.</w:t>
      </w:r>
    </w:p>
    <w:p w:rsidR="0009193C" w:rsidRDefault="0009193C" w:rsidP="0009193C">
      <w:pPr>
        <w:pStyle w:val="ParaNumbering"/>
      </w:pPr>
      <w:r>
        <w:t xml:space="preserve">Section 90-15 of the IPS confers power on the Court to </w:t>
      </w:r>
      <w:r w:rsidR="007F56FB">
        <w:t>“</w:t>
      </w:r>
      <w:r>
        <w:t>make such orders as it thinks fit in relation to the external administration of a company</w:t>
      </w:r>
      <w:r w:rsidR="007F56FB">
        <w:t>”</w:t>
      </w:r>
      <w:r>
        <w:t>. It relevantly provides:</w:t>
      </w:r>
    </w:p>
    <w:p w:rsidR="0009193C" w:rsidRPr="006F46B4" w:rsidRDefault="0009193C" w:rsidP="006F46B4">
      <w:pPr>
        <w:pStyle w:val="Quote1"/>
        <w:ind w:left="1440" w:hanging="703"/>
        <w:rPr>
          <w:i/>
        </w:rPr>
      </w:pPr>
      <w:r w:rsidRPr="006F46B4">
        <w:rPr>
          <w:i/>
        </w:rPr>
        <w:t>Court may make orders</w:t>
      </w:r>
    </w:p>
    <w:p w:rsidR="0009193C" w:rsidRDefault="0009193C" w:rsidP="006F46B4">
      <w:pPr>
        <w:pStyle w:val="Quote1"/>
        <w:ind w:left="1440" w:hanging="703"/>
      </w:pPr>
      <w:r>
        <w:t>(1)</w:t>
      </w:r>
      <w:r>
        <w:tab/>
        <w:t>The Court may make such orders as it thinks fit in relation to the external administration of a company.</w:t>
      </w:r>
    </w:p>
    <w:p w:rsidR="0009193C" w:rsidRPr="006F46B4" w:rsidRDefault="0009193C" w:rsidP="006F46B4">
      <w:pPr>
        <w:pStyle w:val="Quote1"/>
        <w:ind w:left="1440" w:hanging="703"/>
        <w:rPr>
          <w:i/>
        </w:rPr>
      </w:pPr>
      <w:r w:rsidRPr="006F46B4">
        <w:rPr>
          <w:i/>
        </w:rPr>
        <w:t>Orders on own initiative or on application</w:t>
      </w:r>
    </w:p>
    <w:p w:rsidR="0009193C" w:rsidRDefault="0009193C" w:rsidP="006F46B4">
      <w:pPr>
        <w:pStyle w:val="Quote1"/>
        <w:ind w:left="1440" w:hanging="703"/>
      </w:pPr>
      <w:r>
        <w:t>(2)</w:t>
      </w:r>
      <w:r>
        <w:tab/>
        <w:t>The Court may exercise the power under subsection (1):</w:t>
      </w:r>
    </w:p>
    <w:p w:rsidR="0009193C" w:rsidRDefault="0009193C" w:rsidP="006F46B4">
      <w:pPr>
        <w:pStyle w:val="Quote2"/>
        <w:ind w:left="2160" w:hanging="720"/>
      </w:pPr>
      <w:r>
        <w:t>(a)</w:t>
      </w:r>
      <w:r>
        <w:tab/>
        <w:t>on its own initiative, during proceedings before the Court; or</w:t>
      </w:r>
    </w:p>
    <w:p w:rsidR="0009193C" w:rsidRDefault="0009193C" w:rsidP="006F46B4">
      <w:pPr>
        <w:pStyle w:val="Quote2"/>
        <w:ind w:left="2160" w:hanging="720"/>
      </w:pPr>
      <w:r>
        <w:t>(b)</w:t>
      </w:r>
      <w:r>
        <w:tab/>
        <w:t>on application under section 90-20.</w:t>
      </w:r>
    </w:p>
    <w:p w:rsidR="0009193C" w:rsidRPr="006F46B4" w:rsidRDefault="0009193C" w:rsidP="006F46B4">
      <w:pPr>
        <w:pStyle w:val="Quote1"/>
        <w:ind w:left="1440" w:hanging="703"/>
        <w:rPr>
          <w:i/>
        </w:rPr>
      </w:pPr>
      <w:r w:rsidRPr="006F46B4">
        <w:rPr>
          <w:i/>
        </w:rPr>
        <w:t>Examples of orders that may be made</w:t>
      </w:r>
    </w:p>
    <w:p w:rsidR="0009193C" w:rsidRDefault="0009193C" w:rsidP="006F46B4">
      <w:pPr>
        <w:pStyle w:val="Quote1"/>
        <w:ind w:left="1440" w:hanging="703"/>
      </w:pPr>
      <w:r>
        <w:t>(3)</w:t>
      </w:r>
      <w:r>
        <w:tab/>
        <w:t>Without limiting subsection (1), those orders may include any one or more of the following:</w:t>
      </w:r>
    </w:p>
    <w:p w:rsidR="0009193C" w:rsidRDefault="0009193C" w:rsidP="006F46B4">
      <w:pPr>
        <w:pStyle w:val="Quote2"/>
        <w:ind w:left="2160" w:hanging="720"/>
      </w:pPr>
      <w:r>
        <w:t>(a)</w:t>
      </w:r>
      <w:r>
        <w:tab/>
        <w:t>an order determining any question arising in the external administration of the company;</w:t>
      </w:r>
    </w:p>
    <w:p w:rsidR="0009193C" w:rsidRDefault="0009193C" w:rsidP="006F46B4">
      <w:pPr>
        <w:pStyle w:val="Quote2"/>
        <w:ind w:left="2160" w:hanging="720"/>
      </w:pPr>
      <w:r>
        <w:t>(b)</w:t>
      </w:r>
      <w:r>
        <w:tab/>
        <w:t>an order that a person cease to be the external administrator of the company;</w:t>
      </w:r>
    </w:p>
    <w:p w:rsidR="0009193C" w:rsidRDefault="0009193C" w:rsidP="006F46B4">
      <w:pPr>
        <w:pStyle w:val="Quote2"/>
        <w:ind w:left="2160" w:hanging="720"/>
      </w:pPr>
      <w:r>
        <w:t>(c)</w:t>
      </w:r>
      <w:r>
        <w:tab/>
        <w:t>an order that another registered liquidator be appointed as the external administrator of the company;</w:t>
      </w:r>
    </w:p>
    <w:p w:rsidR="0009193C" w:rsidRDefault="0009193C" w:rsidP="006F46B4">
      <w:pPr>
        <w:pStyle w:val="Quote2"/>
        <w:ind w:left="2160" w:hanging="720"/>
      </w:pPr>
      <w:r>
        <w:t>(d)</w:t>
      </w:r>
      <w:r>
        <w:tab/>
        <w:t>an order in relation to the costs of an action (including court action) taken by the external administrator of the company or another person in relation to the external administration of the company;</w:t>
      </w:r>
    </w:p>
    <w:p w:rsidR="0009193C" w:rsidRDefault="0009193C" w:rsidP="006F46B4">
      <w:pPr>
        <w:pStyle w:val="Quote2"/>
        <w:ind w:left="2160" w:hanging="720"/>
      </w:pPr>
      <w:r>
        <w:t>(e)</w:t>
      </w:r>
      <w:r>
        <w:tab/>
        <w:t>an order in relation to any loss that the company has sustained because of a breach of duty by the external administrator;</w:t>
      </w:r>
    </w:p>
    <w:p w:rsidR="0009193C" w:rsidRDefault="0009193C" w:rsidP="006F46B4">
      <w:pPr>
        <w:pStyle w:val="Quote2"/>
        <w:ind w:left="2160" w:hanging="720"/>
      </w:pPr>
      <w:r>
        <w:lastRenderedPageBreak/>
        <w:t>(f)</w:t>
      </w:r>
      <w:r>
        <w:tab/>
        <w:t>an order in relation to remuneration, including an order requiring a person to repay to a company, or the creditors of a company, remuneration paid to the person as external administrator of the company.</w:t>
      </w:r>
    </w:p>
    <w:p w:rsidR="0009193C" w:rsidRDefault="0009193C" w:rsidP="0009193C">
      <w:pPr>
        <w:pStyle w:val="ParaNumbering"/>
      </w:pPr>
      <w:r>
        <w:t xml:space="preserve">A company is taken to be under </w:t>
      </w:r>
      <w:r w:rsidR="007F56FB">
        <w:t>“</w:t>
      </w:r>
      <w:r>
        <w:t>external administration</w:t>
      </w:r>
      <w:r w:rsidR="007F56FB">
        <w:t>”</w:t>
      </w:r>
      <w:r>
        <w:t xml:space="preserve"> if a liquidator has been appointed to it (s 5-15(c)). Under s 9 of the </w:t>
      </w:r>
      <w:r w:rsidRPr="00C971CA">
        <w:rPr>
          <w:i/>
        </w:rPr>
        <w:t>Corporations Act 2001</w:t>
      </w:r>
      <w:r w:rsidRPr="00C971CA">
        <w:t xml:space="preserve"> (</w:t>
      </w:r>
      <w:proofErr w:type="spellStart"/>
      <w:r w:rsidRPr="00C971CA">
        <w:t>Cth</w:t>
      </w:r>
      <w:proofErr w:type="spellEnd"/>
      <w:r w:rsidRPr="00C971CA">
        <w:t>)</w:t>
      </w:r>
      <w:r>
        <w:t xml:space="preserve">, an </w:t>
      </w:r>
      <w:r w:rsidR="007F56FB">
        <w:t>“</w:t>
      </w:r>
      <w:r>
        <w:t>officer of the company</w:t>
      </w:r>
      <w:r w:rsidR="007F56FB">
        <w:t>”</w:t>
      </w:r>
      <w:r>
        <w:t xml:space="preserve"> includes a liquidator. The Liquidators therefore </w:t>
      </w:r>
      <w:r w:rsidR="004E1CD4">
        <w:t xml:space="preserve">had </w:t>
      </w:r>
      <w:r>
        <w:t>standing to apply under s 90-20(1)(d) of the IPS.</w:t>
      </w:r>
    </w:p>
    <w:p w:rsidR="0009193C" w:rsidRDefault="0009193C" w:rsidP="0009193C">
      <w:pPr>
        <w:pStyle w:val="ParaNumbering"/>
      </w:pPr>
      <w:r>
        <w:t xml:space="preserve">The </w:t>
      </w:r>
      <w:r w:rsidR="006E73AA">
        <w:t>breadth of the power in</w:t>
      </w:r>
      <w:r>
        <w:t xml:space="preserve"> s 90-15 </w:t>
      </w:r>
      <w:r w:rsidR="006E73AA">
        <w:t xml:space="preserve">and some of its constraints </w:t>
      </w:r>
      <w:r>
        <w:t xml:space="preserve">were explained by Farrell J in </w:t>
      </w:r>
      <w:r w:rsidR="004E1CD4" w:rsidRPr="00C971CA">
        <w:rPr>
          <w:i/>
        </w:rPr>
        <w:t xml:space="preserve">GDK Projects Pty Ltd, Re Umberto Pty Ltd (in </w:t>
      </w:r>
      <w:proofErr w:type="spellStart"/>
      <w:r w:rsidR="004E1CD4" w:rsidRPr="00C971CA">
        <w:rPr>
          <w:i/>
        </w:rPr>
        <w:t>liq</w:t>
      </w:r>
      <w:proofErr w:type="spellEnd"/>
      <w:r w:rsidR="004E1CD4" w:rsidRPr="00C971CA">
        <w:rPr>
          <w:i/>
        </w:rPr>
        <w:t xml:space="preserve">) v Umberto Pty Ltd (in </w:t>
      </w:r>
      <w:proofErr w:type="spellStart"/>
      <w:r w:rsidR="004E1CD4" w:rsidRPr="00C971CA">
        <w:rPr>
          <w:i/>
        </w:rPr>
        <w:t>liq</w:t>
      </w:r>
      <w:proofErr w:type="spellEnd"/>
      <w:r w:rsidR="004E1CD4" w:rsidRPr="00C971CA">
        <w:rPr>
          <w:i/>
        </w:rPr>
        <w:t>)</w:t>
      </w:r>
      <w:r w:rsidR="004E1CD4" w:rsidRPr="00C971CA">
        <w:t xml:space="preserve"> [2018] FCA 541</w:t>
      </w:r>
      <w:r w:rsidR="004E1CD4">
        <w:t xml:space="preserve"> (</w:t>
      </w:r>
      <w:r w:rsidRPr="007F56FB">
        <w:rPr>
          <w:i/>
        </w:rPr>
        <w:t>GDK</w:t>
      </w:r>
      <w:r w:rsidR="004E1CD4" w:rsidRPr="004E1CD4">
        <w:t>)</w:t>
      </w:r>
      <w:r>
        <w:t xml:space="preserve"> as follows (at [33]):</w:t>
      </w:r>
    </w:p>
    <w:p w:rsidR="0009193C" w:rsidRDefault="0009193C" w:rsidP="007F56FB">
      <w:pPr>
        <w:pStyle w:val="Quote1"/>
      </w:pPr>
      <w:r>
        <w:t>Despite the breadth of the power conferred by s 90-15(1), it is difficult to envisage circumstances where the power would be exercised if the Court could not be satisfied that it would be just and unless the applicant had demonstrated sufficient utility to the external administration.</w:t>
      </w:r>
    </w:p>
    <w:p w:rsidR="0009193C" w:rsidRDefault="0009193C" w:rsidP="00CF2727">
      <w:pPr>
        <w:pStyle w:val="ParaNumbering"/>
      </w:pPr>
      <w:r>
        <w:t>Special purpose liquidators are most commonly appointed where a liquidator is prevented from undertaking investigations due to an actual</w:t>
      </w:r>
      <w:r w:rsidR="006E73AA">
        <w:t>,</w:t>
      </w:r>
      <w:r>
        <w:t xml:space="preserve"> or perceived</w:t>
      </w:r>
      <w:r w:rsidR="006E73AA">
        <w:t>, conflict</w:t>
      </w:r>
      <w:r>
        <w:t xml:space="preserve"> and where it is </w:t>
      </w:r>
      <w:r w:rsidR="00FC6C22">
        <w:t>useful</w:t>
      </w:r>
      <w:r>
        <w:t xml:space="preserve"> and just </w:t>
      </w:r>
      <w:r w:rsidR="00FC6C22">
        <w:t>that</w:t>
      </w:r>
      <w:r>
        <w:t xml:space="preserve"> certain matters be investigated by a different liquidator (see </w:t>
      </w:r>
      <w:r w:rsidR="007F56FB" w:rsidRPr="00C971CA">
        <w:rPr>
          <w:i/>
        </w:rPr>
        <w:t>In the matter of</w:t>
      </w:r>
      <w:r w:rsidRPr="00C971CA">
        <w:rPr>
          <w:i/>
        </w:rPr>
        <w:t xml:space="preserve"> </w:t>
      </w:r>
      <w:proofErr w:type="spellStart"/>
      <w:r w:rsidRPr="00C971CA">
        <w:rPr>
          <w:i/>
        </w:rPr>
        <w:t>Aus</w:t>
      </w:r>
      <w:proofErr w:type="spellEnd"/>
      <w:r w:rsidRPr="00C971CA">
        <w:rPr>
          <w:i/>
        </w:rPr>
        <w:t xml:space="preserve"> Streaming (</w:t>
      </w:r>
      <w:r w:rsidR="007F56FB" w:rsidRPr="00C971CA">
        <w:rPr>
          <w:i/>
        </w:rPr>
        <w:t xml:space="preserve">In </w:t>
      </w:r>
      <w:proofErr w:type="spellStart"/>
      <w:r w:rsidR="007F56FB" w:rsidRPr="00C971CA">
        <w:rPr>
          <w:i/>
        </w:rPr>
        <w:t>Liq</w:t>
      </w:r>
      <w:proofErr w:type="spellEnd"/>
      <w:r w:rsidRPr="00C971CA">
        <w:rPr>
          <w:i/>
        </w:rPr>
        <w:t>)</w:t>
      </w:r>
      <w:r w:rsidRPr="00C971CA">
        <w:t xml:space="preserve"> [2020] VSC 313</w:t>
      </w:r>
      <w:r>
        <w:t xml:space="preserve"> at [44]).</w:t>
      </w:r>
      <w:r w:rsidR="00FC6C22">
        <w:t xml:space="preserve"> </w:t>
      </w:r>
      <w:r>
        <w:t>This application falls into the former category.</w:t>
      </w:r>
    </w:p>
    <w:p w:rsidR="0009193C" w:rsidRDefault="0009193C" w:rsidP="00DF7436">
      <w:pPr>
        <w:pStyle w:val="ParaNumbering"/>
      </w:pPr>
      <w:r>
        <w:t xml:space="preserve">As liquidators of both companies, the Liquidators would be required to submit the </w:t>
      </w:r>
      <w:r w:rsidR="00DB3866">
        <w:t>Wynyard Proof of Debt</w:t>
      </w:r>
      <w:r w:rsidR="005F0DC6">
        <w:t xml:space="preserve"> </w:t>
      </w:r>
      <w:r>
        <w:t xml:space="preserve">and adjudicate on its merits and priority in determining whether it ought to be admitted. </w:t>
      </w:r>
      <w:r w:rsidR="00340173">
        <w:t>In adjudicating on a proof of debt, liquidators act in a quasi-judicial capacity</w:t>
      </w:r>
      <w:r w:rsidR="00DF7436">
        <w:t xml:space="preserve"> according to standards no less than that of a court (see </w:t>
      </w:r>
      <w:r w:rsidR="00DF7436" w:rsidRPr="00C971CA">
        <w:rPr>
          <w:i/>
        </w:rPr>
        <w:t xml:space="preserve">Tanning Research Laboratories </w:t>
      </w:r>
      <w:proofErr w:type="spellStart"/>
      <w:r w:rsidR="00DF7436" w:rsidRPr="00C971CA">
        <w:rPr>
          <w:i/>
        </w:rPr>
        <w:t>Inc</w:t>
      </w:r>
      <w:proofErr w:type="spellEnd"/>
      <w:r w:rsidR="00DF7436" w:rsidRPr="00C971CA">
        <w:rPr>
          <w:i/>
        </w:rPr>
        <w:t xml:space="preserve"> v O’Brien</w:t>
      </w:r>
      <w:r w:rsidR="00DF7436" w:rsidRPr="00C971CA">
        <w:t xml:space="preserve"> (1990) 169 CLR 332</w:t>
      </w:r>
      <w:r w:rsidR="00DF7436">
        <w:t xml:space="preserve"> at 338-339 per Brennan and Dawson JJ). Adjudicating the </w:t>
      </w:r>
      <w:r w:rsidR="00DB3866">
        <w:t>Wynyard Proof of Debt</w:t>
      </w:r>
      <w:r w:rsidR="00DF7436">
        <w:t xml:space="preserve"> would</w:t>
      </w:r>
      <w:r w:rsidR="004157D6">
        <w:t xml:space="preserve"> therefore</w:t>
      </w:r>
      <w:r w:rsidR="00DF7436">
        <w:t xml:space="preserve"> be inconsistent with the Liquidators’ obligations to act in that capacity</w:t>
      </w:r>
      <w:r>
        <w:t xml:space="preserve">, as well as their fiduciary duties to each </w:t>
      </w:r>
      <w:r w:rsidR="004157D6">
        <w:t xml:space="preserve">defendant </w:t>
      </w:r>
      <w:r>
        <w:t>company.</w:t>
      </w:r>
      <w:r w:rsidR="006E73AA">
        <w:t xml:space="preserve"> </w:t>
      </w:r>
    </w:p>
    <w:p w:rsidR="0009193C" w:rsidRDefault="0009193C" w:rsidP="0009193C">
      <w:pPr>
        <w:pStyle w:val="ParaNumbering"/>
      </w:pPr>
      <w:r>
        <w:t xml:space="preserve">The three options available to the Court to </w:t>
      </w:r>
      <w:r w:rsidR="00FC6C22">
        <w:t>resolve</w:t>
      </w:r>
      <w:r>
        <w:t xml:space="preserve"> that conflict are summarised at [</w:t>
      </w:r>
      <w:r w:rsidR="006E73AA">
        <w:fldChar w:fldCharType="begin" w:fldLock="1"/>
      </w:r>
      <w:r w:rsidR="006E73AA">
        <w:instrText xml:space="preserve"> REF _Ref59443442 \r \h </w:instrText>
      </w:r>
      <w:r w:rsidR="006E73AA">
        <w:fldChar w:fldCharType="separate"/>
      </w:r>
      <w:r w:rsidR="00CD5A7C">
        <w:t>4</w:t>
      </w:r>
      <w:r w:rsidR="006E73AA">
        <w:fldChar w:fldCharType="end"/>
      </w:r>
      <w:r>
        <w:t xml:space="preserve">] above. </w:t>
      </w:r>
    </w:p>
    <w:p w:rsidR="0009193C" w:rsidRDefault="0009193C" w:rsidP="0009193C">
      <w:pPr>
        <w:pStyle w:val="ParaNumbering"/>
      </w:pPr>
      <w:bookmarkStart w:id="27" w:name="_Ref59008542"/>
      <w:r>
        <w:t xml:space="preserve">The first option is for the Court to appoint a special purpose liquidator for the sole purpose of determining the issue which has given rise to the conflict. In doing so, the Court ought to have regard to the utility of that course. Where the appointment is sought by a creditor for the purpose of pursuing a claim </w:t>
      </w:r>
      <w:r w:rsidR="00FC6C22">
        <w:t xml:space="preserve">that </w:t>
      </w:r>
      <w:r>
        <w:t>the existing liquidat</w:t>
      </w:r>
      <w:r w:rsidR="007F56FB">
        <w:t>or is unwilling to pursue, the c</w:t>
      </w:r>
      <w:r>
        <w:t xml:space="preserve">ourts have identified </w:t>
      </w:r>
      <w:r w:rsidR="00FC6C22">
        <w:t>several</w:t>
      </w:r>
      <w:r>
        <w:t xml:space="preserve"> factors to be considered</w:t>
      </w:r>
      <w:bookmarkEnd w:id="27"/>
      <w:r w:rsidR="00FC6C22">
        <w:t>. While this proceeding has not been brought by a creditor, I consider the factors ide</w:t>
      </w:r>
      <w:r w:rsidR="00770ADD">
        <w:t>ntified provide useful guidance in this instance. T</w:t>
      </w:r>
      <w:r w:rsidR="00FC6C22">
        <w:t>h</w:t>
      </w:r>
      <w:r w:rsidR="00770ADD">
        <w:t>os</w:t>
      </w:r>
      <w:r w:rsidR="00FC6C22">
        <w:t>e factors are:</w:t>
      </w:r>
    </w:p>
    <w:p w:rsidR="0009193C" w:rsidRDefault="0009193C" w:rsidP="005B6AD9">
      <w:pPr>
        <w:pStyle w:val="ListNo1alt"/>
        <w:numPr>
          <w:ilvl w:val="0"/>
          <w:numId w:val="27"/>
        </w:numPr>
      </w:pPr>
      <w:r>
        <w:lastRenderedPageBreak/>
        <w:t xml:space="preserve">whether the plaintiff has identified with specificity the </w:t>
      </w:r>
      <w:r w:rsidR="007F56FB">
        <w:t>“</w:t>
      </w:r>
      <w:r>
        <w:t>special purpose</w:t>
      </w:r>
      <w:r w:rsidR="007F56FB">
        <w:t>”</w:t>
      </w:r>
      <w:r>
        <w:t xml:space="preserve"> for which the appointment is sought;</w:t>
      </w:r>
    </w:p>
    <w:p w:rsidR="0009193C" w:rsidRDefault="0009193C" w:rsidP="00834FC6">
      <w:pPr>
        <w:pStyle w:val="ListNo1alt"/>
        <w:numPr>
          <w:ilvl w:val="0"/>
          <w:numId w:val="27"/>
        </w:numPr>
      </w:pPr>
      <w:r>
        <w:t xml:space="preserve">whether the appointment of a special purpose liquidator would ensure that </w:t>
      </w:r>
      <w:r w:rsidR="007F56FB">
        <w:t>“</w:t>
      </w:r>
      <w:r>
        <w:t>confidence in the integrity, objectivity and impartiality of the administration is maintained</w:t>
      </w:r>
      <w:r w:rsidR="007F56FB">
        <w:t>”</w:t>
      </w:r>
      <w:r>
        <w:t>;</w:t>
      </w:r>
    </w:p>
    <w:p w:rsidR="0009193C" w:rsidRDefault="0009193C" w:rsidP="00834FC6">
      <w:pPr>
        <w:pStyle w:val="ListNo1alt"/>
        <w:numPr>
          <w:ilvl w:val="0"/>
          <w:numId w:val="27"/>
        </w:numPr>
      </w:pPr>
      <w:r>
        <w:t xml:space="preserve">whether the special purpose is </w:t>
      </w:r>
      <w:r w:rsidR="007F56FB">
        <w:t>“</w:t>
      </w:r>
      <w:r>
        <w:t>substantial and serious</w:t>
      </w:r>
      <w:r w:rsidR="007F56FB">
        <w:t>”</w:t>
      </w:r>
      <w:r>
        <w:t>; and</w:t>
      </w:r>
    </w:p>
    <w:p w:rsidR="0009193C" w:rsidRDefault="0009193C" w:rsidP="00834FC6">
      <w:pPr>
        <w:pStyle w:val="ListNo1alt"/>
        <w:numPr>
          <w:ilvl w:val="0"/>
          <w:numId w:val="27"/>
        </w:numPr>
      </w:pPr>
      <w:r>
        <w:t>the public interest.</w:t>
      </w:r>
    </w:p>
    <w:p w:rsidR="00B545CB" w:rsidRDefault="00B545CB" w:rsidP="00B545CB">
      <w:pPr>
        <w:pStyle w:val="ListNo1alt"/>
        <w:numPr>
          <w:ilvl w:val="0"/>
          <w:numId w:val="0"/>
        </w:numPr>
      </w:pPr>
      <w:r>
        <w:t xml:space="preserve">See variously </w:t>
      </w:r>
      <w:proofErr w:type="spellStart"/>
      <w:r w:rsidRPr="00C971CA">
        <w:rPr>
          <w:i/>
        </w:rPr>
        <w:t>Melhelm</w:t>
      </w:r>
      <w:proofErr w:type="spellEnd"/>
      <w:r w:rsidRPr="00C971CA">
        <w:rPr>
          <w:i/>
        </w:rPr>
        <w:t xml:space="preserve"> Pty Ltd, in the matter of </w:t>
      </w:r>
      <w:proofErr w:type="spellStart"/>
      <w:r w:rsidRPr="00C971CA">
        <w:rPr>
          <w:i/>
        </w:rPr>
        <w:t>Boka</w:t>
      </w:r>
      <w:proofErr w:type="spellEnd"/>
      <w:r w:rsidRPr="00C971CA">
        <w:rPr>
          <w:i/>
        </w:rPr>
        <w:t xml:space="preserve"> Beverages Pty Ltd (in </w:t>
      </w:r>
      <w:proofErr w:type="spellStart"/>
      <w:r w:rsidRPr="00C971CA">
        <w:rPr>
          <w:i/>
        </w:rPr>
        <w:t>liq</w:t>
      </w:r>
      <w:proofErr w:type="spellEnd"/>
      <w:r w:rsidRPr="00C971CA">
        <w:rPr>
          <w:i/>
        </w:rPr>
        <w:t xml:space="preserve">) v </w:t>
      </w:r>
      <w:proofErr w:type="spellStart"/>
      <w:r w:rsidRPr="00C971CA">
        <w:rPr>
          <w:i/>
        </w:rPr>
        <w:t>Boka</w:t>
      </w:r>
      <w:proofErr w:type="spellEnd"/>
      <w:r w:rsidRPr="00C971CA">
        <w:rPr>
          <w:i/>
        </w:rPr>
        <w:t xml:space="preserve"> Beverages Pty Ltd (in </w:t>
      </w:r>
      <w:proofErr w:type="spellStart"/>
      <w:r w:rsidRPr="00C971CA">
        <w:rPr>
          <w:i/>
        </w:rPr>
        <w:t>liq</w:t>
      </w:r>
      <w:proofErr w:type="spellEnd"/>
      <w:r w:rsidRPr="00C971CA">
        <w:rPr>
          <w:i/>
        </w:rPr>
        <w:t>)</w:t>
      </w:r>
      <w:r w:rsidRPr="00C971CA">
        <w:t xml:space="preserve"> (2019) 138 ACSR 95</w:t>
      </w:r>
      <w:r w:rsidR="00B0070D" w:rsidRPr="00C971CA">
        <w:t>;</w:t>
      </w:r>
      <w:r w:rsidRPr="00C971CA">
        <w:t xml:space="preserve"> [2019] FCA 1184</w:t>
      </w:r>
      <w:r>
        <w:t xml:space="preserve"> at [58]; </w:t>
      </w:r>
      <w:r w:rsidRPr="00C971CA">
        <w:rPr>
          <w:i/>
        </w:rPr>
        <w:t xml:space="preserve">Deputy Commissioner of Taxation, in the matter of Italian Prestige Jewellery Pty Ltd (In </w:t>
      </w:r>
      <w:proofErr w:type="spellStart"/>
      <w:r w:rsidRPr="00C971CA">
        <w:rPr>
          <w:i/>
        </w:rPr>
        <w:t>Liq</w:t>
      </w:r>
      <w:proofErr w:type="spellEnd"/>
      <w:r w:rsidRPr="00C971CA">
        <w:rPr>
          <w:i/>
        </w:rPr>
        <w:t>) ACN 116 031 022 v Italian Prestige Jewellery Pty Limited</w:t>
      </w:r>
      <w:r w:rsidRPr="00C971CA">
        <w:t xml:space="preserve"> (2018) 129 ACSR 115</w:t>
      </w:r>
      <w:r w:rsidR="00B0070D" w:rsidRPr="00C971CA">
        <w:t>;</w:t>
      </w:r>
      <w:r w:rsidRPr="00C971CA">
        <w:t xml:space="preserve"> [2018] FCA 983</w:t>
      </w:r>
      <w:r>
        <w:t xml:space="preserve"> (</w:t>
      </w:r>
      <w:r w:rsidRPr="0009193C">
        <w:rPr>
          <w:i/>
        </w:rPr>
        <w:t>Italian Prestige</w:t>
      </w:r>
      <w:r>
        <w:t xml:space="preserve">) at [39]; </w:t>
      </w:r>
      <w:r w:rsidRPr="00C971CA">
        <w:rPr>
          <w:i/>
        </w:rPr>
        <w:t xml:space="preserve">Williams &amp; </w:t>
      </w:r>
      <w:proofErr w:type="spellStart"/>
      <w:r w:rsidRPr="00C971CA">
        <w:rPr>
          <w:i/>
        </w:rPr>
        <w:t>Kersten</w:t>
      </w:r>
      <w:proofErr w:type="spellEnd"/>
      <w:r w:rsidRPr="00C971CA">
        <w:rPr>
          <w:i/>
        </w:rPr>
        <w:t xml:space="preserve"> Pty Ltd v Walton Construction (Qld) Pty Ltd (in </w:t>
      </w:r>
      <w:proofErr w:type="spellStart"/>
      <w:r w:rsidRPr="00C971CA">
        <w:rPr>
          <w:i/>
        </w:rPr>
        <w:t>liq</w:t>
      </w:r>
      <w:proofErr w:type="spellEnd"/>
      <w:r w:rsidRPr="00C971CA">
        <w:rPr>
          <w:i/>
        </w:rPr>
        <w:t xml:space="preserve">), in the matter of Walton Construction (Qld) Pty Ltd (in </w:t>
      </w:r>
      <w:proofErr w:type="spellStart"/>
      <w:r w:rsidRPr="00C971CA">
        <w:rPr>
          <w:i/>
        </w:rPr>
        <w:t>liq</w:t>
      </w:r>
      <w:proofErr w:type="spellEnd"/>
      <w:r w:rsidRPr="00C971CA">
        <w:rPr>
          <w:i/>
        </w:rPr>
        <w:t>)</w:t>
      </w:r>
      <w:r w:rsidRPr="00C971CA">
        <w:t xml:space="preserve"> [2019] FCA 1201</w:t>
      </w:r>
      <w:r>
        <w:t xml:space="preserve"> at [22] and [27]; and </w:t>
      </w:r>
      <w:r w:rsidRPr="00D412ED">
        <w:rPr>
          <w:i/>
        </w:rPr>
        <w:t>GDK</w:t>
      </w:r>
      <w:r>
        <w:t>.</w:t>
      </w:r>
    </w:p>
    <w:p w:rsidR="0009193C" w:rsidRDefault="0009193C" w:rsidP="0009193C">
      <w:pPr>
        <w:pStyle w:val="ParaNumbering"/>
      </w:pPr>
      <w:r>
        <w:t>The second option require</w:t>
      </w:r>
      <w:r w:rsidR="006E73AA">
        <w:t>s</w:t>
      </w:r>
      <w:r>
        <w:t xml:space="preserve"> the Court to make a declaration that it is proper for the </w:t>
      </w:r>
      <w:r w:rsidR="005F0DC6">
        <w:t xml:space="preserve">liquidator </w:t>
      </w:r>
      <w:r w:rsidR="00F0503A">
        <w:t xml:space="preserve">to </w:t>
      </w:r>
      <w:r>
        <w:t>determine the issue notwithstanding any conflict. In</w:t>
      </w:r>
      <w:r w:rsidR="00645495">
        <w:rPr>
          <w:i/>
        </w:rPr>
        <w:t xml:space="preserve"> </w:t>
      </w:r>
      <w:proofErr w:type="spellStart"/>
      <w:r w:rsidR="00645495">
        <w:rPr>
          <w:i/>
        </w:rPr>
        <w:t>Sakr</w:t>
      </w:r>
      <w:proofErr w:type="spellEnd"/>
      <w:r>
        <w:t xml:space="preserve">, Griffiths J made orders declaring the existing liquidator would be acting properly in admitting a contentious proof of debt, </w:t>
      </w:r>
      <w:r w:rsidR="00F0503A">
        <w:t>observ</w:t>
      </w:r>
      <w:r>
        <w:t>ing (at [19]):</w:t>
      </w:r>
    </w:p>
    <w:p w:rsidR="0009193C" w:rsidRDefault="0009193C" w:rsidP="00F0503A">
      <w:pPr>
        <w:pStyle w:val="Quote1"/>
      </w:pPr>
      <w:r>
        <w:t>I accept the plaintiff</w:t>
      </w:r>
      <w:r w:rsidR="007F56FB">
        <w:t>’</w:t>
      </w:r>
      <w:r>
        <w:t xml:space="preserve">s submission that the relief he seeks does not concern a merely business or commercial decision, and it is plainly to the advantage to the liquidation of </w:t>
      </w:r>
      <w:proofErr w:type="spellStart"/>
      <w:r>
        <w:t>Sakr</w:t>
      </w:r>
      <w:proofErr w:type="spellEnd"/>
      <w:r>
        <w:t xml:space="preserve"> Family. There is no suggestion in the material available to Mr Warner that the </w:t>
      </w:r>
      <w:proofErr w:type="spellStart"/>
      <w:r>
        <w:t>Sakr</w:t>
      </w:r>
      <w:proofErr w:type="spellEnd"/>
      <w:r>
        <w:t xml:space="preserve"> Family Debt is anything other than a legitimate transaction nor has any creditor of </w:t>
      </w:r>
      <w:proofErr w:type="spellStart"/>
      <w:r>
        <w:t>Sakr</w:t>
      </w:r>
      <w:proofErr w:type="spellEnd"/>
      <w:r>
        <w:t xml:space="preserve"> Family objected to the proposed orders. The Court is satisfied that the appointment of a special purpose liquidator would generate an unwarranted additional burden on creditors. For this reason, the Court accepts the plaintiff</w:t>
      </w:r>
      <w:r w:rsidR="007F56FB">
        <w:t>’</w:t>
      </w:r>
      <w:r>
        <w:t>s submission that that alternative option of appointing a special purpose liquidator is not to be preferred.</w:t>
      </w:r>
    </w:p>
    <w:p w:rsidR="0009193C" w:rsidRPr="00DF7436" w:rsidRDefault="0009193C" w:rsidP="0009193C">
      <w:pPr>
        <w:pStyle w:val="ParaNumbering"/>
      </w:pPr>
      <w:bookmarkStart w:id="28" w:name="_Ref59443162"/>
      <w:r w:rsidRPr="00DF7436">
        <w:t xml:space="preserve">The third option is for the Court to replace the </w:t>
      </w:r>
      <w:r w:rsidR="005F0DC6" w:rsidRPr="00DF7436">
        <w:t xml:space="preserve">conflicted liquidator </w:t>
      </w:r>
      <w:r w:rsidRPr="00DF7436">
        <w:t xml:space="preserve">with another liquidator who would not be subject to the same conflict. However, this option is not without difficulties. In </w:t>
      </w:r>
      <w:r w:rsidR="00F0503A" w:rsidRPr="00C971CA">
        <w:rPr>
          <w:i/>
        </w:rPr>
        <w:t>McGrath &amp; Anor re</w:t>
      </w:r>
      <w:r w:rsidRPr="00C971CA">
        <w:rPr>
          <w:i/>
        </w:rPr>
        <w:t xml:space="preserve"> HIH Insurance Ltd</w:t>
      </w:r>
      <w:r w:rsidR="00F0503A" w:rsidRPr="00C971CA">
        <w:rPr>
          <w:i/>
        </w:rPr>
        <w:t xml:space="preserve"> &amp; </w:t>
      </w:r>
      <w:proofErr w:type="spellStart"/>
      <w:r w:rsidR="00F0503A" w:rsidRPr="00C971CA">
        <w:rPr>
          <w:i/>
        </w:rPr>
        <w:t>Ors</w:t>
      </w:r>
      <w:proofErr w:type="spellEnd"/>
      <w:r w:rsidRPr="00C971CA">
        <w:t xml:space="preserve"> [2006] NSWSC 385</w:t>
      </w:r>
      <w:r w:rsidRPr="00DF7436">
        <w:t>, Barrett J decided it would be impractical and cost-ineffective to remove the existing liquidators</w:t>
      </w:r>
      <w:r w:rsidR="00F0503A" w:rsidRPr="00DF7436">
        <w:t xml:space="preserve"> </w:t>
      </w:r>
      <w:r w:rsidR="004157D6" w:rsidRPr="00DF7436">
        <w:t>in those circumstances</w:t>
      </w:r>
      <w:r w:rsidRPr="00DF7436">
        <w:t xml:space="preserve">. Relevantly, his Honour </w:t>
      </w:r>
      <w:r w:rsidR="00F0503A" w:rsidRPr="00DF7436">
        <w:t>observed</w:t>
      </w:r>
      <w:r w:rsidRPr="00DF7436">
        <w:t xml:space="preserve"> (at [11]):</w:t>
      </w:r>
      <w:bookmarkEnd w:id="28"/>
    </w:p>
    <w:p w:rsidR="0009193C" w:rsidRDefault="0009193C" w:rsidP="00F0503A">
      <w:pPr>
        <w:pStyle w:val="Quote1"/>
      </w:pPr>
      <w:r>
        <w:t xml:space="preserve">… One possibility, of course, is that the existing liquidators, upon encountering such a situation of conflict, should vacate the field. But that would be highly counterproductive in a case such as the present where application and experience over a period of more than five years has put the existing liquidators in a position of special knowledge that it would be very expensive indeed to replicate in the mind of some new liquidator, assuming that replication were possible at all. The much preferable course is that there be an additional liquidator who can take charge of and administer the </w:t>
      </w:r>
      <w:r>
        <w:lastRenderedPageBreak/>
        <w:t>separate aspect of the winding up giving rise to the conflict difficulty.</w:t>
      </w:r>
    </w:p>
    <w:p w:rsidR="0009193C" w:rsidRDefault="0009193C" w:rsidP="00F0503A">
      <w:pPr>
        <w:pStyle w:val="Heading1"/>
      </w:pPr>
      <w:r>
        <w:t>CONTENTIONS</w:t>
      </w:r>
    </w:p>
    <w:p w:rsidR="0009193C" w:rsidRDefault="0009193C" w:rsidP="0009193C">
      <w:pPr>
        <w:pStyle w:val="ParaNumbering"/>
      </w:pPr>
      <w:r>
        <w:t>The Liquidators contended that option (a) was appropriate i</w:t>
      </w:r>
      <w:r w:rsidR="00F0503A">
        <w:t>n the circumstances as they had</w:t>
      </w:r>
      <w:r>
        <w:t xml:space="preserve"> a con</w:t>
      </w:r>
      <w:r w:rsidR="00F0503A">
        <w:t>flict of interest</w:t>
      </w:r>
      <w:r w:rsidR="00B7164E">
        <w:t xml:space="preserve"> with respect to a relatively confined aspect of the </w:t>
      </w:r>
      <w:proofErr w:type="spellStart"/>
      <w:r w:rsidR="00B7164E">
        <w:t>Bestjet</w:t>
      </w:r>
      <w:proofErr w:type="spellEnd"/>
      <w:r w:rsidR="00B7164E">
        <w:t xml:space="preserve"> winding up</w:t>
      </w:r>
      <w:r w:rsidR="00F0503A">
        <w:t xml:space="preserve"> which required</w:t>
      </w:r>
      <w:r w:rsidR="00B7164E">
        <w:t xml:space="preserve"> that the </w:t>
      </w:r>
      <w:r w:rsidR="00DB3866">
        <w:t>Wynyard Proof of Debt</w:t>
      </w:r>
      <w:r w:rsidR="005F0DC6">
        <w:t xml:space="preserve"> </w:t>
      </w:r>
      <w:r w:rsidR="00B7164E">
        <w:t xml:space="preserve">be </w:t>
      </w:r>
      <w:r w:rsidR="00FC6C22">
        <w:t xml:space="preserve">assessed </w:t>
      </w:r>
      <w:r>
        <w:t>separate</w:t>
      </w:r>
      <w:r w:rsidR="00FC6C22">
        <w:t>ly</w:t>
      </w:r>
      <w:r>
        <w:t xml:space="preserve"> and independent</w:t>
      </w:r>
      <w:r w:rsidR="00FC6C22">
        <w:t>ly</w:t>
      </w:r>
      <w:r>
        <w:t xml:space="preserve">. </w:t>
      </w:r>
      <w:r w:rsidR="00F0503A">
        <w:t xml:space="preserve">Referring to the </w:t>
      </w:r>
      <w:r>
        <w:t>factors identified at [</w:t>
      </w:r>
      <w:r w:rsidR="005B6AD9">
        <w:fldChar w:fldCharType="begin" w:fldLock="1"/>
      </w:r>
      <w:r w:rsidR="005B6AD9">
        <w:instrText xml:space="preserve"> REF _Ref59008542 \r \h </w:instrText>
      </w:r>
      <w:r w:rsidR="005B6AD9">
        <w:fldChar w:fldCharType="separate"/>
      </w:r>
      <w:r w:rsidR="00CD5A7C">
        <w:t>19</w:t>
      </w:r>
      <w:r w:rsidR="005B6AD9">
        <w:fldChar w:fldCharType="end"/>
      </w:r>
      <w:r>
        <w:t xml:space="preserve">] above, they </w:t>
      </w:r>
      <w:r w:rsidR="00F0503A">
        <w:t xml:space="preserve">also </w:t>
      </w:r>
      <w:r>
        <w:t>contended</w:t>
      </w:r>
      <w:r w:rsidR="00F0503A">
        <w:t xml:space="preserve"> that the appointment of a special purpose liquidator was appropriate in the circumstances because</w:t>
      </w:r>
      <w:r>
        <w:t>:</w:t>
      </w:r>
    </w:p>
    <w:p w:rsidR="0009193C" w:rsidRDefault="00F0503A" w:rsidP="005B6AD9">
      <w:pPr>
        <w:pStyle w:val="ListNo1alt"/>
        <w:numPr>
          <w:ilvl w:val="0"/>
          <w:numId w:val="28"/>
        </w:numPr>
      </w:pPr>
      <w:r>
        <w:t xml:space="preserve">his </w:t>
      </w:r>
      <w:r w:rsidR="0009193C">
        <w:t xml:space="preserve">role in the </w:t>
      </w:r>
      <w:proofErr w:type="spellStart"/>
      <w:r w:rsidR="0009193C">
        <w:t>Bestjet</w:t>
      </w:r>
      <w:proofErr w:type="spellEnd"/>
      <w:r w:rsidR="0009193C">
        <w:t xml:space="preserve"> winding up ha</w:t>
      </w:r>
      <w:r w:rsidR="00861EA9">
        <w:t>d</w:t>
      </w:r>
      <w:r w:rsidR="0009193C">
        <w:t xml:space="preserve"> been clearly and precisely defined;</w:t>
      </w:r>
    </w:p>
    <w:p w:rsidR="0009193C" w:rsidRDefault="00F0503A" w:rsidP="00834FC6">
      <w:pPr>
        <w:pStyle w:val="ListNo1alt"/>
        <w:numPr>
          <w:ilvl w:val="0"/>
          <w:numId w:val="28"/>
        </w:numPr>
      </w:pPr>
      <w:r>
        <w:t xml:space="preserve">his </w:t>
      </w:r>
      <w:r w:rsidR="0009193C">
        <w:t xml:space="preserve">appointment </w:t>
      </w:r>
      <w:r w:rsidR="00861EA9">
        <w:t xml:space="preserve">would </w:t>
      </w:r>
      <w:r w:rsidR="0009193C">
        <w:t xml:space="preserve">ensure confidence in the integrity, objectivity and impartiality of the </w:t>
      </w:r>
      <w:proofErr w:type="spellStart"/>
      <w:r w:rsidR="0009193C">
        <w:t>Bestjet</w:t>
      </w:r>
      <w:proofErr w:type="spellEnd"/>
      <w:r w:rsidR="0009193C">
        <w:t xml:space="preserve"> winding up;</w:t>
      </w:r>
    </w:p>
    <w:p w:rsidR="0009193C" w:rsidRDefault="00F0503A" w:rsidP="00834FC6">
      <w:pPr>
        <w:pStyle w:val="ListNo1alt"/>
        <w:numPr>
          <w:ilvl w:val="0"/>
          <w:numId w:val="28"/>
        </w:numPr>
      </w:pPr>
      <w:r>
        <w:t xml:space="preserve">the </w:t>
      </w:r>
      <w:r w:rsidR="00DB3866">
        <w:t>Wynyard Proof of Debt</w:t>
      </w:r>
      <w:r w:rsidR="0009193C">
        <w:t xml:space="preserve">, and the conflict it </w:t>
      </w:r>
      <w:r w:rsidR="00861EA9">
        <w:t xml:space="preserve">gave </w:t>
      </w:r>
      <w:r w:rsidR="0009193C">
        <w:t>rise to, are substantial and serious; and</w:t>
      </w:r>
    </w:p>
    <w:p w:rsidR="0009193C" w:rsidRDefault="00F0503A" w:rsidP="00834FC6">
      <w:pPr>
        <w:pStyle w:val="ListNo1alt"/>
        <w:numPr>
          <w:ilvl w:val="0"/>
          <w:numId w:val="28"/>
        </w:numPr>
      </w:pPr>
      <w:r>
        <w:t xml:space="preserve">the </w:t>
      </w:r>
      <w:r w:rsidR="0009193C">
        <w:t>public interest justifie</w:t>
      </w:r>
      <w:r w:rsidR="00861EA9">
        <w:t>d</w:t>
      </w:r>
      <w:r w:rsidR="0009193C">
        <w:t xml:space="preserve"> the appointment as the </w:t>
      </w:r>
      <w:proofErr w:type="spellStart"/>
      <w:r w:rsidR="0009193C">
        <w:t>Bestjet</w:t>
      </w:r>
      <w:proofErr w:type="spellEnd"/>
      <w:r w:rsidR="0009193C">
        <w:t xml:space="preserve"> winding up is </w:t>
      </w:r>
      <w:r w:rsidR="007F56FB">
        <w:t>“</w:t>
      </w:r>
      <w:r w:rsidR="0009193C">
        <w:t>a high profile winding up involving the loss of significant sums of money by ordinary members of the public</w:t>
      </w:r>
      <w:r w:rsidR="007F56FB">
        <w:t>”</w:t>
      </w:r>
      <w:r w:rsidR="0009193C">
        <w:t>.</w:t>
      </w:r>
    </w:p>
    <w:p w:rsidR="0009193C" w:rsidRDefault="0009193C" w:rsidP="0009193C">
      <w:pPr>
        <w:pStyle w:val="ParaNumbering"/>
      </w:pPr>
      <w:r>
        <w:t xml:space="preserve">The Liquidators argued </w:t>
      </w:r>
      <w:r w:rsidR="00F0503A">
        <w:t xml:space="preserve">that </w:t>
      </w:r>
      <w:r>
        <w:t>option (a) was favourable to option (b) because, although the</w:t>
      </w:r>
      <w:r w:rsidR="00F0503A">
        <w:t>y</w:t>
      </w:r>
      <w:r>
        <w:t xml:space="preserve"> are aware of transactions indicating </w:t>
      </w:r>
      <w:proofErr w:type="spellStart"/>
      <w:r>
        <w:t>Bestjet</w:t>
      </w:r>
      <w:proofErr w:type="spellEnd"/>
      <w:r>
        <w:t xml:space="preserve"> is indebted to Wynyard, the books and records of the companies do not</w:t>
      </w:r>
      <w:r w:rsidR="00FC6C22">
        <w:t xml:space="preserve"> clearly</w:t>
      </w:r>
      <w:r>
        <w:t xml:space="preserve"> disclose that debt. </w:t>
      </w:r>
      <w:r w:rsidR="005E3E45">
        <w:t>Further, t</w:t>
      </w:r>
      <w:r>
        <w:t xml:space="preserve">he circumstances in which those transactions were made are unclear and may give rise to future </w:t>
      </w:r>
      <w:r w:rsidR="00FC6C22">
        <w:t>proceedings</w:t>
      </w:r>
      <w:r>
        <w:t xml:space="preserve">. </w:t>
      </w:r>
      <w:r w:rsidR="005E3E45">
        <w:t>As well</w:t>
      </w:r>
      <w:r>
        <w:t xml:space="preserve">, the creditors of each company had not consented to the Liquidators adjudicating the </w:t>
      </w:r>
      <w:r w:rsidR="00DB3866">
        <w:t>Wynyard Proof of Debt</w:t>
      </w:r>
      <w:r w:rsidR="005F0DC6">
        <w:t xml:space="preserve"> </w:t>
      </w:r>
      <w:r>
        <w:t xml:space="preserve">and the Liquidators had not engaged an independent expert to advise </w:t>
      </w:r>
      <w:r w:rsidR="005E3E45">
        <w:t xml:space="preserve">on </w:t>
      </w:r>
      <w:r>
        <w:t xml:space="preserve">how the debt ought to be adjudicated. </w:t>
      </w:r>
      <w:r w:rsidR="005E3E45">
        <w:t>In this</w:t>
      </w:r>
      <w:r>
        <w:t xml:space="preserve"> respect, the Liquidators </w:t>
      </w:r>
      <w:r w:rsidR="005E3E45">
        <w:t xml:space="preserve">contended that </w:t>
      </w:r>
      <w:r>
        <w:t xml:space="preserve">engaging </w:t>
      </w:r>
      <w:r w:rsidR="00FC6C22">
        <w:t xml:space="preserve">such </w:t>
      </w:r>
      <w:r>
        <w:t xml:space="preserve">an expert may </w:t>
      </w:r>
      <w:r w:rsidR="005F0DC6">
        <w:t xml:space="preserve">have </w:t>
      </w:r>
      <w:r>
        <w:t>result</w:t>
      </w:r>
      <w:r w:rsidR="005F0DC6">
        <w:t>ed</w:t>
      </w:r>
      <w:r>
        <w:t xml:space="preserve"> in the</w:t>
      </w:r>
      <w:r w:rsidR="005E3E45">
        <w:t>m</w:t>
      </w:r>
      <w:r>
        <w:t xml:space="preserve"> being required to seek orders for the appointment of a special purpose liquidator in any event.</w:t>
      </w:r>
    </w:p>
    <w:p w:rsidR="0009193C" w:rsidRDefault="0009193C" w:rsidP="0009193C">
      <w:pPr>
        <w:pStyle w:val="ParaNumbering"/>
      </w:pPr>
      <w:r>
        <w:t xml:space="preserve">Finally, the Liquidators contended </w:t>
      </w:r>
      <w:r w:rsidR="005E3E45">
        <w:t xml:space="preserve">that </w:t>
      </w:r>
      <w:r>
        <w:t xml:space="preserve">option (c) would be </w:t>
      </w:r>
      <w:r w:rsidR="007F56FB">
        <w:t>“</w:t>
      </w:r>
      <w:r>
        <w:t>highly counterproductive</w:t>
      </w:r>
      <w:r w:rsidR="007F56FB">
        <w:t>”</w:t>
      </w:r>
      <w:r>
        <w:t xml:space="preserve"> as the</w:t>
      </w:r>
      <w:r w:rsidR="005E3E45">
        <w:t>y</w:t>
      </w:r>
      <w:r>
        <w:t xml:space="preserve"> </w:t>
      </w:r>
      <w:r w:rsidR="005E3E45">
        <w:t>had</w:t>
      </w:r>
      <w:r>
        <w:t xml:space="preserve"> acted continuously in each winding up </w:t>
      </w:r>
      <w:r w:rsidR="00FC6C22">
        <w:t xml:space="preserve">thus </w:t>
      </w:r>
      <w:r>
        <w:t>giving them special knowledge</w:t>
      </w:r>
      <w:r w:rsidR="005F0DC6">
        <w:t>,</w:t>
      </w:r>
      <w:r>
        <w:t xml:space="preserve"> </w:t>
      </w:r>
      <w:r w:rsidR="005E3E45">
        <w:t xml:space="preserve">the replication of </w:t>
      </w:r>
      <w:r>
        <w:t>which would require significant expense.</w:t>
      </w:r>
    </w:p>
    <w:p w:rsidR="0009193C" w:rsidRDefault="0009193C" w:rsidP="005E3E45">
      <w:pPr>
        <w:pStyle w:val="Heading1"/>
      </w:pPr>
      <w:r>
        <w:t>CONSIDERATION</w:t>
      </w:r>
    </w:p>
    <w:p w:rsidR="0009193C" w:rsidRDefault="006E73AA" w:rsidP="0009193C">
      <w:pPr>
        <w:pStyle w:val="ParaNumbering"/>
      </w:pPr>
      <w:bookmarkStart w:id="29" w:name="_Ref59008658"/>
      <w:r>
        <w:t>I accept</w:t>
      </w:r>
      <w:r w:rsidR="005E3E45">
        <w:t xml:space="preserve"> that</w:t>
      </w:r>
      <w:r w:rsidR="0009193C">
        <w:t xml:space="preserve"> Mr Clout</w:t>
      </w:r>
      <w:r w:rsidR="007F56FB">
        <w:t>’</w:t>
      </w:r>
      <w:r w:rsidR="0009193C">
        <w:t>s e</w:t>
      </w:r>
      <w:r>
        <w:t>xperience and qualifications mak</w:t>
      </w:r>
      <w:r w:rsidR="0009193C">
        <w:t>e him a suitable person to be appointed as the spec</w:t>
      </w:r>
      <w:r w:rsidR="005E3E45">
        <w:t xml:space="preserve">ial purpose liquidator in the </w:t>
      </w:r>
      <w:r w:rsidR="0009193C">
        <w:t>circumstances</w:t>
      </w:r>
      <w:r w:rsidR="005E3E45">
        <w:t xml:space="preserve"> outlined above. He</w:t>
      </w:r>
      <w:r>
        <w:t xml:space="preserve"> has</w:t>
      </w:r>
      <w:r w:rsidR="0009193C">
        <w:t xml:space="preserve"> been a Chartered Accountant since 1980 and a registered liquidator sin</w:t>
      </w:r>
      <w:r>
        <w:t xml:space="preserve">ce 1982. During that time he </w:t>
      </w:r>
      <w:r>
        <w:lastRenderedPageBreak/>
        <w:t>has</w:t>
      </w:r>
      <w:r w:rsidR="0009193C">
        <w:t xml:space="preserve"> </w:t>
      </w:r>
      <w:r w:rsidR="005E3E45">
        <w:t xml:space="preserve">acted </w:t>
      </w:r>
      <w:r w:rsidR="0009193C">
        <w:t>in all facets of corporate insolvency acro</w:t>
      </w:r>
      <w:r>
        <w:t>ss a range of industries. He has</w:t>
      </w:r>
      <w:r w:rsidR="0009193C">
        <w:t xml:space="preserve"> no prior dealings with either company and </w:t>
      </w:r>
      <w:r w:rsidR="005E3E45">
        <w:t xml:space="preserve">he </w:t>
      </w:r>
      <w:r w:rsidR="0009193C">
        <w:t xml:space="preserve">was not aware of any reason that would result in a conflict of duty or interest </w:t>
      </w:r>
      <w:r w:rsidR="005E3E45">
        <w:t xml:space="preserve">arising </w:t>
      </w:r>
      <w:r w:rsidR="0009193C">
        <w:t>if he were appointed.</w:t>
      </w:r>
      <w:bookmarkEnd w:id="29"/>
      <w:r w:rsidR="0009193C">
        <w:t xml:space="preserve"> </w:t>
      </w:r>
    </w:p>
    <w:p w:rsidR="0009193C" w:rsidRDefault="0009193C" w:rsidP="0009193C">
      <w:pPr>
        <w:pStyle w:val="ParaNumbering"/>
      </w:pPr>
      <w:r>
        <w:t xml:space="preserve">Unlike </w:t>
      </w:r>
      <w:r w:rsidR="005E3E45">
        <w:t xml:space="preserve">cases such </w:t>
      </w:r>
      <w:proofErr w:type="spellStart"/>
      <w:r w:rsidRPr="005E3E45">
        <w:rPr>
          <w:i/>
        </w:rPr>
        <w:t>Sakr</w:t>
      </w:r>
      <w:proofErr w:type="spellEnd"/>
      <w:r w:rsidR="005E3E45">
        <w:t>,</w:t>
      </w:r>
      <w:r>
        <w:t xml:space="preserve"> where </w:t>
      </w:r>
      <w:r w:rsidR="005E3E45">
        <w:t xml:space="preserve">the available </w:t>
      </w:r>
      <w:r>
        <w:t xml:space="preserve">evidence clearly indicated </w:t>
      </w:r>
      <w:r w:rsidR="005E3E45">
        <w:t xml:space="preserve">that </w:t>
      </w:r>
      <w:r>
        <w:t xml:space="preserve">the relevant debt was payable, </w:t>
      </w:r>
      <w:r w:rsidR="005E3E45">
        <w:t>in this matter further investigations</w:t>
      </w:r>
      <w:r>
        <w:t xml:space="preserve"> into the terms of any agreeme</w:t>
      </w:r>
      <w:r w:rsidR="005E3E45">
        <w:t>n</w:t>
      </w:r>
      <w:r w:rsidR="006E73AA">
        <w:t xml:space="preserve">t between Wynyard and </w:t>
      </w:r>
      <w:proofErr w:type="spellStart"/>
      <w:r w:rsidR="006E73AA">
        <w:t>Bestjet</w:t>
      </w:r>
      <w:proofErr w:type="spellEnd"/>
      <w:r w:rsidR="006E73AA">
        <w:t xml:space="preserve"> a</w:t>
      </w:r>
      <w:r>
        <w:t xml:space="preserve">re necessary to determine </w:t>
      </w:r>
      <w:r w:rsidR="005E3E45">
        <w:t xml:space="preserve">the validity and quantum of </w:t>
      </w:r>
      <w:r>
        <w:t xml:space="preserve">the </w:t>
      </w:r>
      <w:r w:rsidR="00DB3866">
        <w:t>Wynyard Proof of Debt</w:t>
      </w:r>
      <w:r>
        <w:t>. I</w:t>
      </w:r>
      <w:r w:rsidR="005E3E45">
        <w:t xml:space="preserve">n </w:t>
      </w:r>
      <w:r>
        <w:t>t</w:t>
      </w:r>
      <w:r w:rsidR="005E3E45">
        <w:t xml:space="preserve">he circumstances of this matter, I </w:t>
      </w:r>
      <w:r w:rsidR="005B6AD9">
        <w:t xml:space="preserve">therefore </w:t>
      </w:r>
      <w:r w:rsidR="006E73AA">
        <w:t>consider</w:t>
      </w:r>
      <w:r w:rsidR="005E3E45">
        <w:t xml:space="preserve"> it</w:t>
      </w:r>
      <w:r>
        <w:t xml:space="preserve"> would be inappropriate for the Liquidators to adjudicate those matters. </w:t>
      </w:r>
      <w:r w:rsidR="006E73AA">
        <w:t>I also consider</w:t>
      </w:r>
      <w:r>
        <w:t xml:space="preserve"> that to replace the Liquidators in either administration would </w:t>
      </w:r>
      <w:r w:rsidR="005E3E45">
        <w:t xml:space="preserve">cause </w:t>
      </w:r>
      <w:r>
        <w:t xml:space="preserve">significant additional costs </w:t>
      </w:r>
      <w:r w:rsidR="005B6AD9">
        <w:t xml:space="preserve">for the winding up process </w:t>
      </w:r>
      <w:r>
        <w:t xml:space="preserve">that </w:t>
      </w:r>
      <w:r w:rsidR="005B6AD9">
        <w:t xml:space="preserve">should </w:t>
      </w:r>
      <w:r>
        <w:t>be avoided.</w:t>
      </w:r>
    </w:p>
    <w:p w:rsidR="0009193C" w:rsidRDefault="006E73AA" w:rsidP="0009193C">
      <w:pPr>
        <w:pStyle w:val="ParaNumbering"/>
      </w:pPr>
      <w:r>
        <w:t>I therefore accept</w:t>
      </w:r>
      <w:r w:rsidR="0009193C">
        <w:t xml:space="preserve"> the Liquidators</w:t>
      </w:r>
      <w:r w:rsidR="007F56FB">
        <w:t>’</w:t>
      </w:r>
      <w:r w:rsidR="0009193C">
        <w:t xml:space="preserve"> contentions that the appointment of a special purpo</w:t>
      </w:r>
      <w:r>
        <w:t>se liquidator i</w:t>
      </w:r>
      <w:r w:rsidR="0009193C">
        <w:t xml:space="preserve">s the most appropriate </w:t>
      </w:r>
      <w:r w:rsidR="005B6AD9">
        <w:t>option</w:t>
      </w:r>
      <w:r w:rsidR="0009193C">
        <w:t xml:space="preserve"> in the circumstances. I </w:t>
      </w:r>
      <w:r>
        <w:t>am</w:t>
      </w:r>
      <w:r w:rsidR="0009193C">
        <w:t xml:space="preserve"> satisfied that the scope of work to be undertaken by th</w:t>
      </w:r>
      <w:r>
        <w:t>e special purpose liquidator has</w:t>
      </w:r>
      <w:r w:rsidR="0009193C">
        <w:t xml:space="preserve"> been sufficiently defined and that this course of action would maintain the integrity of both adminis</w:t>
      </w:r>
      <w:r>
        <w:t>trations. I therefore consider</w:t>
      </w:r>
      <w:r w:rsidR="0009193C">
        <w:t xml:space="preserve"> </w:t>
      </w:r>
      <w:r w:rsidR="005B6AD9">
        <w:t xml:space="preserve">that </w:t>
      </w:r>
      <w:r w:rsidR="0009193C">
        <w:t>Mr Clout ought to be appointed.</w:t>
      </w:r>
    </w:p>
    <w:p w:rsidR="0009193C" w:rsidRDefault="0009193C" w:rsidP="0009193C">
      <w:pPr>
        <w:pStyle w:val="ParaNumbering"/>
      </w:pPr>
      <w:r>
        <w:t>Section 60-10(2) of the IPS provides:</w:t>
      </w:r>
    </w:p>
    <w:p w:rsidR="0009193C" w:rsidRDefault="0009193C" w:rsidP="00E4492E">
      <w:pPr>
        <w:pStyle w:val="Quote1"/>
      </w:pPr>
      <w:r>
        <w:t>A determination, specifying remuneration that an external administrator of a company in a members</w:t>
      </w:r>
      <w:r w:rsidR="007F56FB">
        <w:t>’</w:t>
      </w:r>
      <w:r>
        <w:t xml:space="preserve"> voluntary winding up is entitled to receive for necessary work properly performed by the external administrator in relation to the external administration, may be made:</w:t>
      </w:r>
    </w:p>
    <w:p w:rsidR="0009193C" w:rsidRDefault="0009193C" w:rsidP="00E4492E">
      <w:pPr>
        <w:pStyle w:val="Quote1"/>
      </w:pPr>
      <w:r>
        <w:t>(a)</w:t>
      </w:r>
      <w:r>
        <w:tab/>
        <w:t>by resolution of the company at a general meeting; or</w:t>
      </w:r>
    </w:p>
    <w:p w:rsidR="0009193C" w:rsidRDefault="0009193C" w:rsidP="00E4492E">
      <w:pPr>
        <w:pStyle w:val="Quote1"/>
      </w:pPr>
      <w:r>
        <w:t>(b)</w:t>
      </w:r>
      <w:r>
        <w:tab/>
        <w:t xml:space="preserve">if a determination </w:t>
      </w:r>
      <w:r w:rsidR="005B6AD9">
        <w:t>is not made under paragraph (a)––</w:t>
      </w:r>
      <w:r>
        <w:t>by the Court.</w:t>
      </w:r>
    </w:p>
    <w:p w:rsidR="0009193C" w:rsidRPr="00E4492E" w:rsidRDefault="00E4492E" w:rsidP="00E4492E">
      <w:pPr>
        <w:pStyle w:val="Quote1"/>
        <w:ind w:left="1440" w:hanging="703"/>
        <w:rPr>
          <w:sz w:val="20"/>
        </w:rPr>
      </w:pPr>
      <w:r w:rsidRPr="00E4492E">
        <w:rPr>
          <w:sz w:val="20"/>
        </w:rPr>
        <w:t>Note:</w:t>
      </w:r>
      <w:r w:rsidRPr="00E4492E">
        <w:rPr>
          <w:sz w:val="20"/>
        </w:rPr>
        <w:tab/>
      </w:r>
      <w:r w:rsidR="0009193C" w:rsidRPr="00E4492E">
        <w:rPr>
          <w:sz w:val="20"/>
        </w:rPr>
        <w:t xml:space="preserve">For determinations made by </w:t>
      </w:r>
      <w:r>
        <w:rPr>
          <w:sz w:val="20"/>
        </w:rPr>
        <w:t>the Court, see also section 60-</w:t>
      </w:r>
      <w:r w:rsidR="0009193C" w:rsidRPr="00E4492E">
        <w:rPr>
          <w:sz w:val="20"/>
        </w:rPr>
        <w:t>12 (matters to which the Court must have regard).</w:t>
      </w:r>
    </w:p>
    <w:p w:rsidR="0009193C" w:rsidRDefault="005B6AD9" w:rsidP="0009193C">
      <w:pPr>
        <w:pStyle w:val="ParaNumbering"/>
      </w:pPr>
      <w:r>
        <w:t>This provision also</w:t>
      </w:r>
      <w:r w:rsidR="0009193C">
        <w:t xml:space="preserve"> applies to the appointment of a special purpose liquidator (see </w:t>
      </w:r>
      <w:r w:rsidR="0009193C" w:rsidRPr="005B6AD9">
        <w:rPr>
          <w:i/>
        </w:rPr>
        <w:t>Italian Prestige</w:t>
      </w:r>
      <w:r w:rsidR="0009193C">
        <w:t xml:space="preserve"> at [55]-[56]).</w:t>
      </w:r>
    </w:p>
    <w:p w:rsidR="0009193C" w:rsidRDefault="005B6AD9" w:rsidP="0009193C">
      <w:pPr>
        <w:pStyle w:val="ParaNumbering"/>
      </w:pPr>
      <w:r>
        <w:t>Having regard to</w:t>
      </w:r>
      <w:r w:rsidR="0009193C">
        <w:t xml:space="preserve"> Mr Clout</w:t>
      </w:r>
      <w:r w:rsidR="007F56FB">
        <w:t>’</w:t>
      </w:r>
      <w:r w:rsidR="0009193C">
        <w:t>s experience and qualifications detailed above (see</w:t>
      </w:r>
      <w:r w:rsidR="00165028">
        <w:t xml:space="preserve"> at</w:t>
      </w:r>
      <w:r w:rsidR="0009193C">
        <w:t xml:space="preserve"> [</w:t>
      </w:r>
      <w:r>
        <w:fldChar w:fldCharType="begin" w:fldLock="1"/>
      </w:r>
      <w:r>
        <w:instrText xml:space="preserve"> REF _Ref59008658 \r \h </w:instrText>
      </w:r>
      <w:r>
        <w:fldChar w:fldCharType="separate"/>
      </w:r>
      <w:r w:rsidR="00CD5A7C">
        <w:t>25</w:t>
      </w:r>
      <w:r>
        <w:fldChar w:fldCharType="end"/>
      </w:r>
      <w:r w:rsidR="0009193C">
        <w:t xml:space="preserve">]), that his proposed hourly rates </w:t>
      </w:r>
      <w:r w:rsidR="00F33FF5">
        <w:t xml:space="preserve">are </w:t>
      </w:r>
      <w:r w:rsidR="0009193C">
        <w:t>his firm</w:t>
      </w:r>
      <w:r w:rsidR="007F56FB">
        <w:t>’</w:t>
      </w:r>
      <w:r w:rsidR="0009193C">
        <w:t xml:space="preserve">s usual rates and that those rates </w:t>
      </w:r>
      <w:r w:rsidR="00F33FF5">
        <w:t xml:space="preserve">are </w:t>
      </w:r>
      <w:r w:rsidR="0009193C">
        <w:t xml:space="preserve">commensurate with similar </w:t>
      </w:r>
      <w:r>
        <w:t xml:space="preserve">accounting </w:t>
      </w:r>
      <w:r w:rsidR="0009193C">
        <w:t xml:space="preserve">firms </w:t>
      </w:r>
      <w:r>
        <w:t xml:space="preserve">operating </w:t>
      </w:r>
      <w:r w:rsidR="0009193C">
        <w:t>in the market, I accept that Mr Clout</w:t>
      </w:r>
      <w:r w:rsidR="007F56FB">
        <w:t>’</w:t>
      </w:r>
      <w:r w:rsidR="006E73AA">
        <w:t>s fees a</w:t>
      </w:r>
      <w:r w:rsidR="0009193C">
        <w:t>re fair and re</w:t>
      </w:r>
      <w:r w:rsidR="006E73AA">
        <w:t>asonable. I therefore consider</w:t>
      </w:r>
      <w:r w:rsidR="0009193C">
        <w:t xml:space="preserve"> his hourly rates should be approved.</w:t>
      </w:r>
    </w:p>
    <w:p w:rsidR="0009193C" w:rsidRDefault="006E73AA" w:rsidP="0009193C">
      <w:pPr>
        <w:pStyle w:val="ParaNumbering"/>
      </w:pPr>
      <w:r>
        <w:lastRenderedPageBreak/>
        <w:t>Finally, I accept</w:t>
      </w:r>
      <w:r w:rsidR="0009193C">
        <w:t xml:space="preserve"> that granting the relief sough</w:t>
      </w:r>
      <w:r>
        <w:t>t i</w:t>
      </w:r>
      <w:r w:rsidR="0009193C">
        <w:t xml:space="preserve">s equally beneficial to both </w:t>
      </w:r>
      <w:proofErr w:type="spellStart"/>
      <w:r w:rsidR="0009193C">
        <w:t>Be</w:t>
      </w:r>
      <w:r>
        <w:t>stjet</w:t>
      </w:r>
      <w:proofErr w:type="spellEnd"/>
      <w:r>
        <w:t xml:space="preserve"> and Wynyard and that it i</w:t>
      </w:r>
      <w:r w:rsidR="0009193C">
        <w:t>s therefore appropriate for both companies to share the costs of this application.</w:t>
      </w:r>
    </w:p>
    <w:p w:rsidR="0009193C" w:rsidRDefault="0009193C" w:rsidP="0009193C">
      <w:pPr>
        <w:pStyle w:val="ParaNumbering"/>
      </w:pPr>
      <w:r>
        <w:t>For these reasons</w:t>
      </w:r>
      <w:r w:rsidR="006E73AA">
        <w:t>,</w:t>
      </w:r>
      <w:r>
        <w:t xml:space="preserve"> I made the orders sought by the Liquidators.</w:t>
      </w:r>
    </w:p>
    <w:p w:rsidR="00C971CA" w:rsidRDefault="00C971CA" w:rsidP="00815065">
      <w:pPr>
        <w:pStyle w:val="BodyText"/>
      </w:pPr>
      <w:bookmarkStart w:id="30" w:name="Certification"/>
    </w:p>
    <w:tbl>
      <w:tblPr>
        <w:tblW w:w="0" w:type="auto"/>
        <w:tblLook w:val="04A0" w:firstRow="1" w:lastRow="0" w:firstColumn="1" w:lastColumn="0" w:noHBand="0" w:noVBand="1"/>
      </w:tblPr>
      <w:tblGrid>
        <w:gridCol w:w="3794"/>
      </w:tblGrid>
      <w:tr w:rsidR="00C971CA" w:rsidRPr="00C971CA">
        <w:tc>
          <w:tcPr>
            <w:tcW w:w="3794" w:type="dxa"/>
            <w:shd w:val="clear" w:color="auto" w:fill="auto"/>
          </w:tcPr>
          <w:p w:rsidR="00C971CA" w:rsidRPr="00C971CA" w:rsidRDefault="00C971CA" w:rsidP="00C971CA">
            <w:pPr>
              <w:pStyle w:val="Normal1linespace"/>
            </w:pPr>
            <w:r w:rsidRPr="00C971CA">
              <w:t xml:space="preserve">I certify that the preceding </w:t>
            </w:r>
            <w:bookmarkStart w:id="31" w:name="NumberWord"/>
            <w:r>
              <w:t>thirty-two</w:t>
            </w:r>
            <w:bookmarkEnd w:id="31"/>
            <w:r w:rsidRPr="00C971CA">
              <w:t xml:space="preserve"> (</w:t>
            </w:r>
            <w:bookmarkStart w:id="32" w:name="NumberNumeral"/>
            <w:r>
              <w:t>32</w:t>
            </w:r>
            <w:bookmarkEnd w:id="32"/>
            <w:r w:rsidRPr="00C971CA">
              <w:t xml:space="preserve">) numbered </w:t>
            </w:r>
            <w:bookmarkStart w:id="33" w:name="CertPara"/>
            <w:r>
              <w:t>paragraphs are</w:t>
            </w:r>
            <w:bookmarkEnd w:id="33"/>
            <w:r w:rsidRPr="00C971CA">
              <w:t xml:space="preserve"> a true copy of the Reasons for Judgment of </w:t>
            </w:r>
            <w:bookmarkStart w:id="34" w:name="bkHonourable"/>
            <w:r w:rsidRPr="00C971CA">
              <w:t xml:space="preserve">the Honourable </w:t>
            </w:r>
            <w:bookmarkStart w:id="35" w:name="Justice"/>
            <w:bookmarkEnd w:id="34"/>
            <w:r>
              <w:t>Justice Reeves</w:t>
            </w:r>
            <w:bookmarkEnd w:id="35"/>
            <w:r w:rsidRPr="00C971CA">
              <w:t>.</w:t>
            </w:r>
          </w:p>
        </w:tc>
      </w:tr>
    </w:tbl>
    <w:p w:rsidR="00C971CA" w:rsidRDefault="00C971CA" w:rsidP="00815065">
      <w:pPr>
        <w:pStyle w:val="BodyText"/>
      </w:pPr>
    </w:p>
    <w:p w:rsidR="00C971CA" w:rsidRDefault="00C971CA" w:rsidP="00815065">
      <w:pPr>
        <w:pStyle w:val="BodyText"/>
      </w:pPr>
    </w:p>
    <w:p w:rsidR="00C971CA" w:rsidRDefault="00C971CA" w:rsidP="00815065">
      <w:pPr>
        <w:pStyle w:val="BodyText"/>
      </w:pPr>
      <w:r>
        <w:t>Associate:</w:t>
      </w:r>
      <w:r>
        <w:tab/>
      </w:r>
    </w:p>
    <w:p w:rsidR="00C971CA" w:rsidRDefault="00C971CA" w:rsidP="00815065">
      <w:pPr>
        <w:pStyle w:val="BodyText"/>
      </w:pPr>
    </w:p>
    <w:p w:rsidR="00C971CA" w:rsidRDefault="00C971CA" w:rsidP="00815065">
      <w:pPr>
        <w:pStyle w:val="BodyText"/>
        <w:tabs>
          <w:tab w:val="left" w:pos="1134"/>
        </w:tabs>
      </w:pPr>
      <w:r>
        <w:t>Dated:</w:t>
      </w:r>
      <w:r>
        <w:tab/>
      </w:r>
      <w:bookmarkStart w:id="36" w:name="CertifyDated"/>
      <w:r>
        <w:t>24 December 2020</w:t>
      </w:r>
      <w:bookmarkEnd w:id="36"/>
    </w:p>
    <w:p w:rsidR="00C971CA" w:rsidRDefault="00C971CA" w:rsidP="00815065">
      <w:pPr>
        <w:pStyle w:val="BodyText"/>
      </w:pPr>
    </w:p>
    <w:bookmarkEnd w:id="30"/>
    <w:p w:rsidR="0051434F" w:rsidRDefault="0051434F" w:rsidP="00C971CA">
      <w:pPr>
        <w:pStyle w:val="BodyText"/>
      </w:pPr>
    </w:p>
    <w:sectPr w:rsidR="0051434F" w:rsidSect="00A84FD0">
      <w:headerReference w:type="even" r:id="rId14"/>
      <w:headerReference w:type="default" r:id="rId15"/>
      <w:footerReference w:type="default" r:id="rId16"/>
      <w:headerReference w:type="first" r:id="rId17"/>
      <w:footerReference w:type="first" r:id="rId18"/>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727" w:rsidRDefault="00CF2727">
      <w:pPr>
        <w:spacing w:line="20" w:lineRule="exact"/>
      </w:pPr>
    </w:p>
    <w:p w:rsidR="00CF2727" w:rsidRDefault="00CF2727"/>
    <w:p w:rsidR="00CF2727" w:rsidRDefault="00CF2727"/>
  </w:endnote>
  <w:endnote w:type="continuationSeparator" w:id="0">
    <w:p w:rsidR="00CF2727" w:rsidRDefault="00CF2727">
      <w:r>
        <w:t xml:space="preserve"> </w:t>
      </w:r>
    </w:p>
    <w:p w:rsidR="00CF2727" w:rsidRDefault="00CF2727"/>
    <w:p w:rsidR="00CF2727" w:rsidRDefault="00CF2727"/>
  </w:endnote>
  <w:endnote w:type="continuationNotice" w:id="1">
    <w:p w:rsidR="00CF2727" w:rsidRDefault="00CF2727">
      <w:r>
        <w:t xml:space="preserve"> </w:t>
      </w:r>
    </w:p>
    <w:p w:rsidR="00CF2727" w:rsidRDefault="00CF2727"/>
    <w:p w:rsidR="00CF2727" w:rsidRDefault="00CF272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59264" behindDoc="0" locked="0" layoutInCell="1" allowOverlap="1" wp14:anchorId="1080BC8D" wp14:editId="08434136">
              <wp:simplePos x="0" y="0"/>
              <wp:positionH relativeFrom="column">
                <wp:posOffset>-28575</wp:posOffset>
              </wp:positionH>
              <wp:positionV relativeFrom="paragraph">
                <wp:posOffset>-635</wp:posOffset>
              </wp:positionV>
              <wp:extent cx="29432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6384EA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25pt,-.05pt" to="229.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" strokecolor="black [3213]"/>
          </w:pict>
        </mc:Fallback>
      </mc:AlternateContent>
    </w:r>
    <w:sdt>
      <w:sdtPr>
        <w:rPr>
          <w:bCs/>
          <w:sz w:val="18"/>
          <w:szCs w:val="18"/>
        </w:rPr>
        <w:tag w:val="MNC"/>
        <w:id w:val="1707292070"/>
        <w:dataBinding w:prefixMappings="xmlns:ns0='http://schemas.globalmacros.com/FCA'" w:xpath="/ns0:root[1]/ns0:Name[1]" w:storeItemID="{687E7CCB-4AA5-44E7-B148-17BA2B6F57C0}"/>
        <w:text w:multiLine="1"/>
      </w:sdtPr>
      <w:sdtEndPr/>
      <w:sdtContent>
        <w:r w:rsidR="00834FC6">
          <w:rPr>
            <w:bCs/>
            <w:sz w:val="18"/>
            <w:szCs w:val="18"/>
          </w:rPr>
          <w:t xml:space="preserve">Markey (Liquidator), in the matter of </w:t>
        </w:r>
        <w:proofErr w:type="spellStart"/>
        <w:r w:rsidR="00834FC6">
          <w:rPr>
            <w:bCs/>
            <w:sz w:val="18"/>
            <w:szCs w:val="18"/>
          </w:rPr>
          <w:t>Bestjet</w:t>
        </w:r>
        <w:proofErr w:type="spellEnd"/>
        <w:r w:rsidR="00834FC6">
          <w:rPr>
            <w:bCs/>
            <w:sz w:val="18"/>
            <w:szCs w:val="18"/>
          </w:rPr>
          <w:t xml:space="preserve"> Travel Pty Ltd (in </w:t>
        </w:r>
        <w:proofErr w:type="spellStart"/>
        <w:r w:rsidR="00834FC6">
          <w:rPr>
            <w:bCs/>
            <w:sz w:val="18"/>
            <w:szCs w:val="18"/>
          </w:rPr>
          <w:t>liq</w:t>
        </w:r>
        <w:proofErr w:type="spellEnd"/>
        <w:r w:rsidR="00834FC6">
          <w:rPr>
            <w:bCs/>
            <w:sz w:val="18"/>
            <w:szCs w:val="18"/>
          </w:rPr>
          <w:t xml:space="preserve">) v </w:t>
        </w:r>
        <w:proofErr w:type="spellStart"/>
        <w:r w:rsidR="00834FC6">
          <w:rPr>
            <w:bCs/>
            <w:sz w:val="18"/>
            <w:szCs w:val="18"/>
          </w:rPr>
          <w:t>Bestjet</w:t>
        </w:r>
        <w:proofErr w:type="spellEnd"/>
        <w:r w:rsidR="00834FC6">
          <w:rPr>
            <w:bCs/>
            <w:sz w:val="18"/>
            <w:szCs w:val="18"/>
          </w:rPr>
          <w:t xml:space="preserve"> Travel Pty Ltd (in </w:t>
        </w:r>
        <w:proofErr w:type="spellStart"/>
        <w:r w:rsidR="00834FC6">
          <w:rPr>
            <w:bCs/>
            <w:sz w:val="18"/>
            <w:szCs w:val="18"/>
          </w:rPr>
          <w:t>liq</w:t>
        </w:r>
        <w:proofErr w:type="spellEnd"/>
        <w:r w:rsidR="00834FC6">
          <w:rPr>
            <w:bCs/>
            <w:sz w:val="18"/>
            <w:szCs w:val="18"/>
          </w:rPr>
          <w:t xml:space="preserve">) [2020] FCA 1881 </w:t>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E94CBF">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3360" behindDoc="0" locked="0" layoutInCell="1" allowOverlap="1" wp14:anchorId="20D95861" wp14:editId="79F10AAA">
              <wp:simplePos x="0" y="0"/>
              <wp:positionH relativeFrom="column">
                <wp:posOffset>-28575</wp:posOffset>
              </wp:positionH>
              <wp:positionV relativeFrom="paragraph">
                <wp:posOffset>21590</wp:posOffset>
              </wp:positionV>
              <wp:extent cx="29432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E3C84FC" id="Straight Connector 6"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Av3wnR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831216538"/>
        <w:placeholder>
          <w:docPart w:val="41B7485F54C34999A958D0944AF6AF4D"/>
        </w:placeholder>
        <w:dataBinding w:prefixMappings="xmlns:ns0='http://schemas.globalmacros.com/FCA'" w:xpath="/ns0:root[1]/ns0:Name[1]" w:storeItemID="{687E7CCB-4AA5-44E7-B148-17BA2B6F57C0}"/>
        <w:text w:multiLine="1"/>
      </w:sdtPr>
      <w:sdtEndPr/>
      <w:sdtContent>
        <w:r w:rsidR="00834FC6">
          <w:rPr>
            <w:bCs/>
            <w:sz w:val="18"/>
            <w:szCs w:val="18"/>
          </w:rPr>
          <w:t xml:space="preserve">Markey (Liquidator), in the matter of </w:t>
        </w:r>
        <w:proofErr w:type="spellStart"/>
        <w:r w:rsidR="00834FC6">
          <w:rPr>
            <w:bCs/>
            <w:sz w:val="18"/>
            <w:szCs w:val="18"/>
          </w:rPr>
          <w:t>Bestjet</w:t>
        </w:r>
        <w:proofErr w:type="spellEnd"/>
        <w:r w:rsidR="00834FC6">
          <w:rPr>
            <w:bCs/>
            <w:sz w:val="18"/>
            <w:szCs w:val="18"/>
          </w:rPr>
          <w:t xml:space="preserve"> Travel Pty Ltd (in </w:t>
        </w:r>
        <w:proofErr w:type="spellStart"/>
        <w:r w:rsidR="00834FC6">
          <w:rPr>
            <w:bCs/>
            <w:sz w:val="18"/>
            <w:szCs w:val="18"/>
          </w:rPr>
          <w:t>liq</w:t>
        </w:r>
        <w:proofErr w:type="spellEnd"/>
        <w:r w:rsidR="00834FC6">
          <w:rPr>
            <w:bCs/>
            <w:sz w:val="18"/>
            <w:szCs w:val="18"/>
          </w:rPr>
          <w:t xml:space="preserve">) v </w:t>
        </w:r>
        <w:proofErr w:type="spellStart"/>
        <w:r w:rsidR="00834FC6">
          <w:rPr>
            <w:bCs/>
            <w:sz w:val="18"/>
            <w:szCs w:val="18"/>
          </w:rPr>
          <w:t>Bestjet</w:t>
        </w:r>
        <w:proofErr w:type="spellEnd"/>
        <w:r w:rsidR="00834FC6">
          <w:rPr>
            <w:bCs/>
            <w:sz w:val="18"/>
            <w:szCs w:val="18"/>
          </w:rPr>
          <w:t xml:space="preserve"> Travel Pty Ltd (in </w:t>
        </w:r>
        <w:proofErr w:type="spellStart"/>
        <w:r w:rsidR="00834FC6">
          <w:rPr>
            <w:bCs/>
            <w:sz w:val="18"/>
            <w:szCs w:val="18"/>
          </w:rPr>
          <w:t>liq</w:t>
        </w:r>
        <w:proofErr w:type="spellEnd"/>
        <w:r w:rsidR="00834FC6">
          <w:rPr>
            <w:bCs/>
            <w:sz w:val="18"/>
            <w:szCs w:val="18"/>
          </w:rPr>
          <w:t xml:space="preserve">) [2020] FCA 1881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255DB">
      <w:rPr>
        <w:bCs/>
        <w:noProof/>
        <w:sz w:val="20"/>
      </w:rPr>
      <w:t>iv</w:t>
    </w:r>
    <w:r w:rsidRPr="00EA7F6D">
      <w:rPr>
        <w:bCs/>
        <w:noProof/>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6E8" w:rsidRPr="00C47B9D" w:rsidRDefault="00A436E8"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1312" behindDoc="0" locked="0" layoutInCell="1" allowOverlap="1" wp14:anchorId="35CDE1B0" wp14:editId="3F5D2F62">
              <wp:simplePos x="0" y="0"/>
              <wp:positionH relativeFrom="column">
                <wp:posOffset>-28575</wp:posOffset>
              </wp:positionH>
              <wp:positionV relativeFrom="paragraph">
                <wp:posOffset>21590</wp:posOffset>
              </wp:positionV>
              <wp:extent cx="2943225"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D268FC" id="Straight Connector 2"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" strokecolor="black [3213]"/>
          </w:pict>
        </mc:Fallback>
      </mc:AlternateContent>
    </w:r>
    <w:sdt>
      <w:sdtPr>
        <w:rPr>
          <w:bCs/>
          <w:sz w:val="18"/>
          <w:szCs w:val="18"/>
        </w:rPr>
        <w:tag w:val="MNC"/>
        <w:id w:val="510263260"/>
        <w:placeholder>
          <w:docPart w:val="5170BE6AB1D149509E8615A23A087AA7"/>
        </w:placeholder>
        <w:dataBinding w:prefixMappings="xmlns:ns0='http://schemas.globalmacros.com/FCA'" w:xpath="/ns0:root[1]/ns0:Name[1]" w:storeItemID="{687E7CCB-4AA5-44E7-B148-17BA2B6F57C0}"/>
        <w:text w:multiLine="1"/>
      </w:sdtPr>
      <w:sdtEndPr/>
      <w:sdtContent>
        <w:r w:rsidR="00834FC6">
          <w:rPr>
            <w:bCs/>
            <w:sz w:val="18"/>
            <w:szCs w:val="18"/>
          </w:rPr>
          <w:t xml:space="preserve">Markey (Liquidator), in the matter of </w:t>
        </w:r>
        <w:proofErr w:type="spellStart"/>
        <w:r w:rsidR="00834FC6">
          <w:rPr>
            <w:bCs/>
            <w:sz w:val="18"/>
            <w:szCs w:val="18"/>
          </w:rPr>
          <w:t>Bestjet</w:t>
        </w:r>
        <w:proofErr w:type="spellEnd"/>
        <w:r w:rsidR="00834FC6">
          <w:rPr>
            <w:bCs/>
            <w:sz w:val="18"/>
            <w:szCs w:val="18"/>
          </w:rPr>
          <w:t xml:space="preserve"> Travel Pty Ltd (in </w:t>
        </w:r>
        <w:proofErr w:type="spellStart"/>
        <w:r w:rsidR="00834FC6">
          <w:rPr>
            <w:bCs/>
            <w:sz w:val="18"/>
            <w:szCs w:val="18"/>
          </w:rPr>
          <w:t>liq</w:t>
        </w:r>
        <w:proofErr w:type="spellEnd"/>
        <w:r w:rsidR="00834FC6">
          <w:rPr>
            <w:bCs/>
            <w:sz w:val="18"/>
            <w:szCs w:val="18"/>
          </w:rPr>
          <w:t xml:space="preserve">) v </w:t>
        </w:r>
        <w:proofErr w:type="spellStart"/>
        <w:r w:rsidR="00834FC6">
          <w:rPr>
            <w:bCs/>
            <w:sz w:val="18"/>
            <w:szCs w:val="18"/>
          </w:rPr>
          <w:t>Bestjet</w:t>
        </w:r>
        <w:proofErr w:type="spellEnd"/>
        <w:r w:rsidR="00834FC6">
          <w:rPr>
            <w:bCs/>
            <w:sz w:val="18"/>
            <w:szCs w:val="18"/>
          </w:rPr>
          <w:t xml:space="preserve"> Travel Pty Ltd (in </w:t>
        </w:r>
        <w:proofErr w:type="spellStart"/>
        <w:r w:rsidR="00834FC6">
          <w:rPr>
            <w:bCs/>
            <w:sz w:val="18"/>
            <w:szCs w:val="18"/>
          </w:rPr>
          <w:t>liq</w:t>
        </w:r>
        <w:proofErr w:type="spellEnd"/>
        <w:r w:rsidR="00834FC6">
          <w:rPr>
            <w:bCs/>
            <w:sz w:val="18"/>
            <w:szCs w:val="18"/>
          </w:rPr>
          <w:t xml:space="preserve">) [2020] FCA 1881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255DB">
      <w:rPr>
        <w:bCs/>
        <w:noProof/>
        <w:sz w:val="20"/>
      </w:rPr>
      <w:t>i</w:t>
    </w:r>
    <w:r w:rsidRPr="00EA7F6D">
      <w:rPr>
        <w:bCs/>
        <w:noProof/>
        <w:sz w:val="20"/>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7456" behindDoc="0" locked="0" layoutInCell="1" allowOverlap="1" wp14:anchorId="7E83757A" wp14:editId="506693F7">
              <wp:simplePos x="0" y="0"/>
              <wp:positionH relativeFrom="column">
                <wp:posOffset>-28575</wp:posOffset>
              </wp:positionH>
              <wp:positionV relativeFrom="paragraph">
                <wp:posOffset>21590</wp:posOffset>
              </wp:positionV>
              <wp:extent cx="2943225"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0DEA19" id="Straight Connector 7"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" strokecolor="black [3213]"/>
          </w:pict>
        </mc:Fallback>
      </mc:AlternateContent>
    </w:r>
    <w:sdt>
      <w:sdtPr>
        <w:rPr>
          <w:bCs/>
          <w:sz w:val="18"/>
          <w:szCs w:val="18"/>
        </w:rPr>
        <w:tag w:val="MNC"/>
        <w:id w:val="1095746746"/>
        <w:placeholder>
          <w:docPart w:val="5AFF86D4832C4ECB8E543415A1002BA5"/>
        </w:placeholder>
        <w:dataBinding w:prefixMappings="xmlns:ns0='http://schemas.globalmacros.com/FCA'" w:xpath="/ns0:root[1]/ns0:Name[1]" w:storeItemID="{687E7CCB-4AA5-44E7-B148-17BA2B6F57C0}"/>
        <w:text w:multiLine="1"/>
      </w:sdtPr>
      <w:sdtEndPr/>
      <w:sdtContent>
        <w:r w:rsidR="00834FC6">
          <w:rPr>
            <w:bCs/>
            <w:sz w:val="18"/>
            <w:szCs w:val="18"/>
          </w:rPr>
          <w:t xml:space="preserve">Markey (Liquidator), in the matter of </w:t>
        </w:r>
        <w:proofErr w:type="spellStart"/>
        <w:r w:rsidR="00834FC6">
          <w:rPr>
            <w:bCs/>
            <w:sz w:val="18"/>
            <w:szCs w:val="18"/>
          </w:rPr>
          <w:t>Bestjet</w:t>
        </w:r>
        <w:proofErr w:type="spellEnd"/>
        <w:r w:rsidR="00834FC6">
          <w:rPr>
            <w:bCs/>
            <w:sz w:val="18"/>
            <w:szCs w:val="18"/>
          </w:rPr>
          <w:t xml:space="preserve"> Travel Pty Ltd (in </w:t>
        </w:r>
        <w:proofErr w:type="spellStart"/>
        <w:r w:rsidR="00834FC6">
          <w:rPr>
            <w:bCs/>
            <w:sz w:val="18"/>
            <w:szCs w:val="18"/>
          </w:rPr>
          <w:t>liq</w:t>
        </w:r>
        <w:proofErr w:type="spellEnd"/>
        <w:r w:rsidR="00834FC6">
          <w:rPr>
            <w:bCs/>
            <w:sz w:val="18"/>
            <w:szCs w:val="18"/>
          </w:rPr>
          <w:t xml:space="preserve">) v </w:t>
        </w:r>
        <w:proofErr w:type="spellStart"/>
        <w:r w:rsidR="00834FC6">
          <w:rPr>
            <w:bCs/>
            <w:sz w:val="18"/>
            <w:szCs w:val="18"/>
          </w:rPr>
          <w:t>Bestjet</w:t>
        </w:r>
        <w:proofErr w:type="spellEnd"/>
        <w:r w:rsidR="00834FC6">
          <w:rPr>
            <w:bCs/>
            <w:sz w:val="18"/>
            <w:szCs w:val="18"/>
          </w:rPr>
          <w:t xml:space="preserve"> Travel Pty Ltd (in </w:t>
        </w:r>
        <w:proofErr w:type="spellStart"/>
        <w:r w:rsidR="00834FC6">
          <w:rPr>
            <w:bCs/>
            <w:sz w:val="18"/>
            <w:szCs w:val="18"/>
          </w:rPr>
          <w:t>liq</w:t>
        </w:r>
        <w:proofErr w:type="spellEnd"/>
        <w:r w:rsidR="00834FC6">
          <w:rPr>
            <w:bCs/>
            <w:sz w:val="18"/>
            <w:szCs w:val="18"/>
          </w:rPr>
          <w:t xml:space="preserve">) [2020] FCA 1881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8255DB">
      <w:rPr>
        <w:bCs/>
        <w:noProof/>
        <w:sz w:val="20"/>
      </w:rPr>
      <w:t>8</w:t>
    </w:r>
    <w:r w:rsidRPr="00EA7F6D">
      <w:rPr>
        <w:bCs/>
        <w:noProof/>
        <w:sz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4FD0" w:rsidRPr="00C47B9D" w:rsidRDefault="00A84FD0" w:rsidP="00B2435E">
    <w:pPr>
      <w:pStyle w:val="Footer"/>
      <w:tabs>
        <w:tab w:val="clear" w:pos="4320"/>
        <w:tab w:val="clear" w:pos="8640"/>
        <w:tab w:val="right" w:pos="8931"/>
      </w:tabs>
      <w:spacing w:before="180" w:line="240" w:lineRule="auto"/>
      <w:jc w:val="left"/>
      <w:rPr>
        <w:bCs/>
        <w:sz w:val="18"/>
        <w:szCs w:val="18"/>
      </w:rPr>
    </w:pPr>
    <w:r w:rsidRPr="00F76A9B">
      <w:rPr>
        <w:bCs/>
        <w:noProof/>
        <w:sz w:val="18"/>
        <w:szCs w:val="18"/>
        <w:lang w:eastAsia="en-AU"/>
      </w:rPr>
      <mc:AlternateContent>
        <mc:Choice Requires="wps">
          <w:drawing>
            <wp:anchor distT="0" distB="0" distL="114300" distR="114300" simplePos="0" relativeHeight="251665408" behindDoc="0" locked="0" layoutInCell="1" allowOverlap="1" wp14:anchorId="57C57200" wp14:editId="26FB309B">
              <wp:simplePos x="0" y="0"/>
              <wp:positionH relativeFrom="column">
                <wp:posOffset>-28575</wp:posOffset>
              </wp:positionH>
              <wp:positionV relativeFrom="paragraph">
                <wp:posOffset>21590</wp:posOffset>
              </wp:positionV>
              <wp:extent cx="29432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29432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56124A0" id="Straight Connector 3"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25pt,1.7pt" to="229.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" strokecolor="black [3213]"/>
          </w:pict>
        </mc:Fallback>
      </mc:AlternateContent>
    </w:r>
    <w:sdt>
      <w:sdtPr>
        <w:rPr>
          <w:bCs/>
          <w:sz w:val="18"/>
          <w:szCs w:val="18"/>
        </w:rPr>
        <w:tag w:val="MNC"/>
        <w:id w:val="-1532949365"/>
        <w:placeholder>
          <w:docPart w:val="C1362B7039E04901BA77421A1DEADD36"/>
        </w:placeholder>
        <w:dataBinding w:prefixMappings="xmlns:ns0='http://schemas.globalmacros.com/FCA'" w:xpath="/ns0:root[1]/ns0:Name[1]" w:storeItemID="{687E7CCB-4AA5-44E7-B148-17BA2B6F57C0}"/>
        <w:text w:multiLine="1"/>
      </w:sdtPr>
      <w:sdtEndPr/>
      <w:sdtContent>
        <w:r w:rsidR="00834FC6">
          <w:rPr>
            <w:bCs/>
            <w:sz w:val="18"/>
            <w:szCs w:val="18"/>
          </w:rPr>
          <w:t xml:space="preserve">Markey (Liquidator), in the matter of </w:t>
        </w:r>
        <w:proofErr w:type="spellStart"/>
        <w:r w:rsidR="00834FC6">
          <w:rPr>
            <w:bCs/>
            <w:sz w:val="18"/>
            <w:szCs w:val="18"/>
          </w:rPr>
          <w:t>Bestjet</w:t>
        </w:r>
        <w:proofErr w:type="spellEnd"/>
        <w:r w:rsidR="00834FC6">
          <w:rPr>
            <w:bCs/>
            <w:sz w:val="18"/>
            <w:szCs w:val="18"/>
          </w:rPr>
          <w:t xml:space="preserve"> Travel Pty Ltd (in </w:t>
        </w:r>
        <w:proofErr w:type="spellStart"/>
        <w:r w:rsidR="00834FC6">
          <w:rPr>
            <w:bCs/>
            <w:sz w:val="18"/>
            <w:szCs w:val="18"/>
          </w:rPr>
          <w:t>liq</w:t>
        </w:r>
        <w:proofErr w:type="spellEnd"/>
        <w:r w:rsidR="00834FC6">
          <w:rPr>
            <w:bCs/>
            <w:sz w:val="18"/>
            <w:szCs w:val="18"/>
          </w:rPr>
          <w:t xml:space="preserve">) v </w:t>
        </w:r>
        <w:proofErr w:type="spellStart"/>
        <w:r w:rsidR="00834FC6">
          <w:rPr>
            <w:bCs/>
            <w:sz w:val="18"/>
            <w:szCs w:val="18"/>
          </w:rPr>
          <w:t>Bestjet</w:t>
        </w:r>
        <w:proofErr w:type="spellEnd"/>
        <w:r w:rsidR="00834FC6">
          <w:rPr>
            <w:bCs/>
            <w:sz w:val="18"/>
            <w:szCs w:val="18"/>
          </w:rPr>
          <w:t xml:space="preserve"> Travel Pty Ltd (in </w:t>
        </w:r>
        <w:proofErr w:type="spellStart"/>
        <w:r w:rsidR="00834FC6">
          <w:rPr>
            <w:bCs/>
            <w:sz w:val="18"/>
            <w:szCs w:val="18"/>
          </w:rPr>
          <w:t>liq</w:t>
        </w:r>
        <w:proofErr w:type="spellEnd"/>
        <w:r w:rsidR="00834FC6">
          <w:rPr>
            <w:bCs/>
            <w:sz w:val="18"/>
            <w:szCs w:val="18"/>
          </w:rPr>
          <w:t xml:space="preserve">) [2020] FCA 1881 </w:t>
        </w:r>
      </w:sdtContent>
    </w:sdt>
    <w:r>
      <w:rPr>
        <w:bCs/>
        <w:sz w:val="18"/>
        <w:szCs w:val="18"/>
      </w:rPr>
      <w:tab/>
    </w:r>
    <w:r w:rsidRPr="00EA7F6D">
      <w:rPr>
        <w:bCs/>
        <w:sz w:val="20"/>
      </w:rPr>
      <w:fldChar w:fldCharType="begin"/>
    </w:r>
    <w:r w:rsidRPr="00EA7F6D">
      <w:rPr>
        <w:bCs/>
        <w:sz w:val="20"/>
      </w:rPr>
      <w:instrText xml:space="preserve"> PAGE   \* MERGEFORMAT </w:instrText>
    </w:r>
    <w:r w:rsidRPr="00EA7F6D">
      <w:rPr>
        <w:bCs/>
        <w:sz w:val="20"/>
      </w:rPr>
      <w:fldChar w:fldCharType="separate"/>
    </w:r>
    <w:r w:rsidR="001040A2">
      <w:rPr>
        <w:bCs/>
        <w:noProof/>
        <w:sz w:val="20"/>
      </w:rPr>
      <w:t>1</w:t>
    </w:r>
    <w:r w:rsidRPr="00EA7F6D">
      <w:rPr>
        <w:bCs/>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727" w:rsidRDefault="00CF2727"/>
    <w:p w:rsidR="00CF2727" w:rsidRDefault="00CF2727"/>
    <w:p w:rsidR="00CF2727" w:rsidRDefault="00CF2727"/>
  </w:footnote>
  <w:footnote w:type="continuationSeparator" w:id="0">
    <w:p w:rsidR="00CF2727" w:rsidRDefault="00CF2727">
      <w:r>
        <w:continuationSeparator/>
      </w:r>
    </w:p>
    <w:p w:rsidR="00CF2727" w:rsidRDefault="00CF2727"/>
    <w:p w:rsidR="00CF2727" w:rsidRDefault="00CF2727"/>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pStyle w:val="Header"/>
      <w:tabs>
        <w:tab w:val="clear" w:pos="4320"/>
        <w:tab w:val="clear" w:pos="8640"/>
      </w:tabs>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pPr>
      <w:tabs>
        <w:tab w:val="center" w:pos="4512"/>
      </w:tabs>
      <w:suppressAutoHyphens/>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95B24" w:rsidRDefault="00395B24" w:rsidP="00A436E8">
    <w:pPr>
      <w:pStyle w:val="Header"/>
      <w:tabs>
        <w:tab w:val="clear" w:pos="4320"/>
        <w:tab w:val="clear"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9E2A2F"/>
    <w:multiLevelType w:val="multilevel"/>
    <w:tmpl w:val="F61AF490"/>
    <w:styleLink w:val="FCListNoalt"/>
    <w:lvl w:ilvl="0">
      <w:start w:val="1"/>
      <w:numFmt w:val="lowerLetter"/>
      <w:lvlRestart w:val="0"/>
      <w:pStyle w:val="ListNo1alt"/>
      <w:lvlText w:val="(%1)"/>
      <w:lvlJc w:val="left"/>
      <w:pPr>
        <w:tabs>
          <w:tab w:val="num" w:pos="720"/>
        </w:tabs>
        <w:ind w:left="720" w:hanging="720"/>
      </w:pPr>
      <w:rPr>
        <w:rFonts w:ascii="Times New Roman" w:hAnsi="Times New Roman" w:hint="default"/>
      </w:rPr>
    </w:lvl>
    <w:lvl w:ilvl="1">
      <w:start w:val="1"/>
      <w:numFmt w:val="lowerRoman"/>
      <w:pStyle w:val="ListNo2alt"/>
      <w:lvlText w:val="(%2)"/>
      <w:lvlJc w:val="left"/>
      <w:pPr>
        <w:tabs>
          <w:tab w:val="num" w:pos="1440"/>
        </w:tabs>
        <w:ind w:left="1440" w:hanging="720"/>
      </w:pPr>
      <w:rPr>
        <w:rFonts w:hint="default"/>
      </w:rPr>
    </w:lvl>
    <w:lvl w:ilvl="2">
      <w:start w:val="1"/>
      <w:numFmt w:val="upperLetter"/>
      <w:pStyle w:val="ListNo3alt"/>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1" w15:restartNumberingAfterBreak="0">
    <w:nsid w:val="07A62A17"/>
    <w:multiLevelType w:val="multilevel"/>
    <w:tmpl w:val="0A0A77D2"/>
    <w:numStyleLink w:val="FCOrders"/>
  </w:abstractNum>
  <w:abstractNum w:abstractNumId="12" w15:restartNumberingAfterBreak="0">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15:restartNumberingAfterBreak="0">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15:restartNumberingAfterBreak="0">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5" w15:restartNumberingAfterBreak="0">
    <w:nsid w:val="1D021059"/>
    <w:multiLevelType w:val="hybridMultilevel"/>
    <w:tmpl w:val="D952CE5C"/>
    <w:lvl w:ilvl="0" w:tplc="679AF9D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7" w15:restartNumberingAfterBreak="0">
    <w:nsid w:val="2AD4345C"/>
    <w:multiLevelType w:val="multilevel"/>
    <w:tmpl w:val="0A0A77D2"/>
    <w:styleLink w:val="FCOrders"/>
    <w:lvl w:ilvl="0">
      <w:start w:val="1"/>
      <w:numFmt w:val="decimal"/>
      <w:pStyle w:val="Order1"/>
      <w:lvlText w:val="%1."/>
      <w:lvlJc w:val="left"/>
      <w:pPr>
        <w:tabs>
          <w:tab w:val="num" w:pos="720"/>
        </w:tabs>
        <w:ind w:left="720" w:hanging="720"/>
      </w:pPr>
      <w:rPr>
        <w:rFonts w:ascii="Times New Roman" w:hAnsi="Times New Roman" w:hint="default"/>
        <w:sz w:val="24"/>
      </w:rPr>
    </w:lvl>
    <w:lvl w:ilvl="1">
      <w:start w:val="1"/>
      <w:numFmt w:val="lowerLetter"/>
      <w:pStyle w:val="Order2"/>
      <w:lvlText w:val="(%2)"/>
      <w:lvlJc w:val="left"/>
      <w:pPr>
        <w:tabs>
          <w:tab w:val="num" w:pos="1440"/>
        </w:tabs>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start w:val="1"/>
      <w:numFmt w:val="upperLetter"/>
      <w:pStyle w:val="Order4"/>
      <w:lvlText w:val="(%4)"/>
      <w:lvlJc w:val="left"/>
      <w:pPr>
        <w:tabs>
          <w:tab w:val="num" w:pos="2160"/>
        </w:tabs>
        <w:ind w:left="2880" w:hanging="720"/>
      </w:pPr>
      <w:rPr>
        <w:rFonts w:ascii="Times New Roman" w:eastAsia="Batang" w:hAnsi="Times New Roman" w:cs="Times New Roman"/>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8" w15:restartNumberingAfterBreak="0">
    <w:nsid w:val="2AF11FCB"/>
    <w:multiLevelType w:val="hybridMultilevel"/>
    <w:tmpl w:val="94A6534E"/>
    <w:lvl w:ilvl="0" w:tplc="31029F3C">
      <w:start w:val="1"/>
      <w:numFmt w:val="bullet"/>
      <w:pStyle w:val="Quote4Bullet"/>
      <w:lvlText w:val=""/>
      <w:lvlJc w:val="left"/>
      <w:pPr>
        <w:ind w:left="3600" w:hanging="360"/>
      </w:pPr>
      <w:rPr>
        <w:rFonts w:ascii="Symbol" w:hAnsi="Symbol" w:hint="default"/>
        <w:sz w:val="16"/>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abstractNum w:abstractNumId="19" w15:restartNumberingAfterBreak="0">
    <w:nsid w:val="33561E2E"/>
    <w:multiLevelType w:val="hybridMultilevel"/>
    <w:tmpl w:val="433821BE"/>
    <w:lvl w:ilvl="0" w:tplc="DE3AD0E2">
      <w:start w:val="1"/>
      <w:numFmt w:val="bullet"/>
      <w:pStyle w:val="Quote3Bullet"/>
      <w:lvlText w:val=""/>
      <w:lvlJc w:val="left"/>
      <w:pPr>
        <w:ind w:left="2880" w:hanging="360"/>
      </w:pPr>
      <w:rPr>
        <w:rFonts w:ascii="Wingdings" w:hAnsi="Wingdings" w:hint="default"/>
      </w:rPr>
    </w:lvl>
    <w:lvl w:ilvl="1" w:tplc="0C090003">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0" w15:restartNumberingAfterBreak="0">
    <w:nsid w:val="3E906514"/>
    <w:multiLevelType w:val="multilevel"/>
    <w:tmpl w:val="0A0A77D2"/>
    <w:numStyleLink w:val="FCOrders"/>
  </w:abstractNum>
  <w:abstractNum w:abstractNumId="21" w15:restartNumberingAfterBreak="0">
    <w:nsid w:val="418B2EFA"/>
    <w:multiLevelType w:val="hybridMultilevel"/>
    <w:tmpl w:val="E6BC5896"/>
    <w:lvl w:ilvl="0" w:tplc="C554C1DC">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482750E2"/>
    <w:multiLevelType w:val="multilevel"/>
    <w:tmpl w:val="9FFAE214"/>
    <w:styleLink w:val="HGCourtNumbering"/>
    <w:lvl w:ilvl="0">
      <w:start w:val="1"/>
      <w:numFmt w:val="decimal"/>
      <w:lvlText w:val="%1."/>
      <w:lvlJc w:val="left"/>
      <w:pPr>
        <w:tabs>
          <w:tab w:val="num" w:pos="680"/>
        </w:tabs>
        <w:ind w:left="2120" w:hanging="680"/>
      </w:pPr>
      <w:rPr>
        <w:rFonts w:ascii="Arial" w:hAnsi="Arial" w:hint="default"/>
        <w:dstrike w:val="0"/>
        <w:color w:val="auto"/>
        <w:sz w:val="20"/>
        <w:vertAlign w:val="baseline"/>
      </w:rPr>
    </w:lvl>
    <w:lvl w:ilvl="1">
      <w:start w:val="1"/>
      <w:numFmt w:val="lowerLetter"/>
      <w:pStyle w:val="HGCourt2"/>
      <w:lvlText w:val="(%2)"/>
      <w:lvlJc w:val="left"/>
      <w:pPr>
        <w:tabs>
          <w:tab w:val="num" w:pos="1361"/>
        </w:tabs>
        <w:ind w:left="1361" w:hanging="681"/>
      </w:pPr>
      <w:rPr>
        <w:rFonts w:hint="default"/>
      </w:rPr>
    </w:lvl>
    <w:lvl w:ilvl="2">
      <w:start w:val="1"/>
      <w:numFmt w:val="decimal"/>
      <w:pStyle w:val="HGCourt3"/>
      <w:lvlText w:val="(%3)"/>
      <w:lvlJc w:val="left"/>
      <w:pPr>
        <w:tabs>
          <w:tab w:val="num" w:pos="2041"/>
        </w:tabs>
        <w:ind w:left="2041" w:hanging="680"/>
      </w:pPr>
      <w:rPr>
        <w:rFonts w:hint="default"/>
      </w:rPr>
    </w:lvl>
    <w:lvl w:ilvl="3">
      <w:start w:val="1"/>
      <w:numFmt w:val="upperLetter"/>
      <w:pStyle w:val="HGCourt4"/>
      <w:lvlText w:val="(%4)"/>
      <w:lvlJc w:val="left"/>
      <w:pPr>
        <w:tabs>
          <w:tab w:val="num" w:pos="2722"/>
        </w:tabs>
        <w:ind w:left="2722" w:hanging="681"/>
      </w:pPr>
      <w:rPr>
        <w:rFonts w:hint="default"/>
      </w:rPr>
    </w:lvl>
    <w:lvl w:ilvl="4">
      <w:start w:val="1"/>
      <w:numFmt w:val="lowerRoman"/>
      <w:pStyle w:val="HGCourt5"/>
      <w:lvlText w:val="(%5)"/>
      <w:lvlJc w:val="left"/>
      <w:pPr>
        <w:tabs>
          <w:tab w:val="num" w:pos="3402"/>
        </w:tabs>
        <w:ind w:left="3402" w:hanging="68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hanging="32767"/>
      </w:pPr>
      <w:rPr>
        <w:rFonts w:hint="default"/>
      </w:rPr>
    </w:lvl>
  </w:abstractNum>
  <w:abstractNum w:abstractNumId="23" w15:restartNumberingAfterBreak="0">
    <w:nsid w:val="494817A7"/>
    <w:multiLevelType w:val="multilevel"/>
    <w:tmpl w:val="0F0EC90E"/>
    <w:numStyleLink w:val="FCListNo"/>
  </w:abstractNum>
  <w:abstractNum w:abstractNumId="24" w15:restartNumberingAfterBreak="0">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7" w15:restartNumberingAfterBreak="0">
    <w:nsid w:val="6B1E2B55"/>
    <w:multiLevelType w:val="hybridMultilevel"/>
    <w:tmpl w:val="48E25D08"/>
    <w:lvl w:ilvl="0" w:tplc="0588A19E">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15:restartNumberingAfterBreak="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6"/>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4"/>
  </w:num>
  <w:num w:numId="15">
    <w:abstractNumId w:val="25"/>
  </w:num>
  <w:num w:numId="16">
    <w:abstractNumId w:val="29"/>
  </w:num>
  <w:num w:numId="17">
    <w:abstractNumId w:val="14"/>
  </w:num>
  <w:num w:numId="18">
    <w:abstractNumId w:val="28"/>
  </w:num>
  <w:num w:numId="19">
    <w:abstractNumId w:val="12"/>
  </w:num>
  <w:num w:numId="20">
    <w:abstractNumId w:val="19"/>
  </w:num>
  <w:num w:numId="21">
    <w:abstractNumId w:val="17"/>
  </w:num>
  <w:num w:numId="22">
    <w:abstractNumId w:val="18"/>
  </w:num>
  <w:num w:numId="23">
    <w:abstractNumId w:val="23"/>
  </w:num>
  <w:num w:numId="24">
    <w:abstractNumId w:val="10"/>
  </w:num>
  <w:num w:numId="25">
    <w:abstractNumId w:val="10"/>
  </w:num>
  <w:num w:numId="26">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22"/>
    <w:lvlOverride w:ilvl="0">
      <w:lvl w:ilvl="0">
        <w:start w:val="1"/>
        <w:numFmt w:val="decimal"/>
        <w:lvlText w:val="%1."/>
        <w:lvlJc w:val="left"/>
        <w:pPr>
          <w:tabs>
            <w:tab w:val="num" w:pos="680"/>
          </w:tabs>
          <w:ind w:left="2120" w:hanging="680"/>
        </w:pPr>
        <w:rPr>
          <w:rFonts w:ascii="Times New Roman" w:hAnsi="Times New Roman" w:cs="Times New Roman" w:hint="default"/>
          <w:dstrike w:val="0"/>
          <w:color w:val="auto"/>
          <w:sz w:val="24"/>
          <w:vertAlign w:val="baseline"/>
        </w:rPr>
      </w:lvl>
    </w:lvlOverride>
    <w:lvlOverride w:ilvl="1">
      <w:lvl w:ilvl="1">
        <w:start w:val="1"/>
        <w:numFmt w:val="lowerLetter"/>
        <w:pStyle w:val="HGCourt2"/>
        <w:lvlText w:val="(%2)"/>
        <w:lvlJc w:val="left"/>
        <w:pPr>
          <w:tabs>
            <w:tab w:val="num" w:pos="1361"/>
          </w:tabs>
          <w:ind w:left="1361" w:hanging="681"/>
        </w:pPr>
        <w:rPr>
          <w:rFonts w:hint="default"/>
        </w:rPr>
      </w:lvl>
    </w:lvlOverride>
    <w:lvlOverride w:ilvl="2">
      <w:lvl w:ilvl="2">
        <w:start w:val="1"/>
        <w:numFmt w:val="decimal"/>
        <w:pStyle w:val="HGCourt3"/>
        <w:lvlText w:val="(%3)"/>
        <w:lvlJc w:val="left"/>
        <w:pPr>
          <w:tabs>
            <w:tab w:val="num" w:pos="2041"/>
          </w:tabs>
          <w:ind w:left="2041" w:hanging="680"/>
        </w:pPr>
        <w:rPr>
          <w:rFonts w:hint="default"/>
        </w:rPr>
      </w:lvl>
    </w:lvlOverride>
    <w:lvlOverride w:ilvl="3">
      <w:lvl w:ilvl="3">
        <w:start w:val="1"/>
        <w:numFmt w:val="upperLetter"/>
        <w:pStyle w:val="HGCourt4"/>
        <w:lvlText w:val="(%4)"/>
        <w:lvlJc w:val="left"/>
        <w:pPr>
          <w:tabs>
            <w:tab w:val="num" w:pos="2722"/>
          </w:tabs>
          <w:ind w:left="2722" w:hanging="681"/>
        </w:pPr>
        <w:rPr>
          <w:rFonts w:hint="default"/>
        </w:rPr>
      </w:lvl>
    </w:lvlOverride>
    <w:lvlOverride w:ilvl="4">
      <w:lvl w:ilvl="4">
        <w:start w:val="1"/>
        <w:numFmt w:val="lowerRoman"/>
        <w:pStyle w:val="HGCourt5"/>
        <w:lvlText w:val="(%5)"/>
        <w:lvlJc w:val="left"/>
        <w:pPr>
          <w:tabs>
            <w:tab w:val="num" w:pos="3402"/>
          </w:tabs>
          <w:ind w:left="3402" w:hanging="680"/>
        </w:pPr>
        <w:rPr>
          <w:rFonts w:hint="default"/>
        </w:rPr>
      </w:lvl>
    </w:lvlOverride>
    <w:lvlOverride w:ilvl="5">
      <w:lvl w:ilvl="5">
        <w:start w:val="1"/>
        <w:numFmt w:val="none"/>
        <w:lvlText w:val=""/>
        <w:lvlJc w:val="left"/>
        <w:pPr>
          <w:ind w:left="0" w:firstLine="0"/>
        </w:pPr>
        <w:rPr>
          <w:rFonts w:hint="default"/>
        </w:rPr>
      </w:lvl>
    </w:lvlOverride>
    <w:lvlOverride w:ilvl="6">
      <w:lvl w:ilvl="6">
        <w:start w:val="1"/>
        <w:numFmt w:val="none"/>
        <w:lvlText w:val=""/>
        <w:lvlJc w:val="left"/>
        <w:pPr>
          <w:ind w:left="0" w:firstLine="0"/>
        </w:pPr>
        <w:rPr>
          <w:rFonts w:hint="default"/>
        </w:rPr>
      </w:lvl>
    </w:lvlOverride>
    <w:lvlOverride w:ilvl="7">
      <w:lvl w:ilvl="7">
        <w:start w:val="1"/>
        <w:numFmt w:val="none"/>
        <w:lvlText w:val=""/>
        <w:lvlJc w:val="left"/>
        <w:pPr>
          <w:ind w:left="0" w:firstLine="0"/>
        </w:pPr>
        <w:rPr>
          <w:rFonts w:hint="default"/>
        </w:rPr>
      </w:lvl>
    </w:lvlOverride>
    <w:lvlOverride w:ilvl="8">
      <w:lvl w:ilvl="8">
        <w:start w:val="1"/>
        <w:numFmt w:val="none"/>
        <w:lvlText w:val=""/>
        <w:lvlJc w:val="left"/>
        <w:pPr>
          <w:ind w:left="0" w:hanging="32767"/>
        </w:pPr>
        <w:rPr>
          <w:rFonts w:hint="default"/>
        </w:rPr>
      </w:lvl>
    </w:lvlOverride>
  </w:num>
  <w:num w:numId="31">
    <w:abstractNumId w:val="21"/>
  </w:num>
  <w:num w:numId="32">
    <w:abstractNumId w:val="27"/>
  </w:num>
  <w:num w:numId="33">
    <w:abstractNumId w:val="15"/>
  </w:num>
  <w:num w:numId="34">
    <w:abstractNumId w:val="20"/>
  </w:num>
  <w:num w:numId="35">
    <w:abstractNumId w:val="1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64" w:dllVersion="4096" w:nlCheck="1" w:checkStyle="0"/>
  <w:activeWritingStyle w:appName="MSWord" w:lang="en-US" w:vendorID="64" w:dllVersion="4096" w:nlCheck="1" w:checkStyle="0"/>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11265"/>
  </w:hdrShapeDefaults>
  <w:footnotePr>
    <w:footnote w:id="-1"/>
    <w:footnote w:id="0"/>
  </w:footnotePr>
  <w:endnotePr>
    <w:numFmt w:val="decimal"/>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PPAndAnother" w:val="True"/>
    <w:docVar w:name="APPAndOthers" w:val="False"/>
    <w:docVar w:name="CounselParties" w:val="Respondent"/>
    <w:docVar w:name="CounselType" w:val="Solicitor for the "/>
    <w:docVar w:name="Court" w:val="Federal Court of Australia"/>
    <w:docVar w:name="Cross1AndAnother" w:val="True"/>
    <w:docVar w:name="Cross1AndOthers" w:val="False"/>
    <w:docVar w:name="Cross2AndAnother" w:val="True"/>
    <w:docVar w:name="Cross2AndOthers" w:val="False"/>
    <w:docVar w:name="Defendant" w:val="Bestjet Travel Pty Ltd (in liquidation) ACN 155 065 601|Wynyard Travel Pty Limited (in liquidation) ACN 107 305 224"/>
    <w:docVar w:name="Defenders" w:val="(and another named in the Schedule)"/>
    <w:docVar w:name="Division" w:val="General Division of the FCA"/>
    <w:docVar w:name="DocCreated" w:val="True"/>
    <w:docVar w:name="EntryList" w:val="Solicitor for the Plaintiff"/>
    <w:docVar w:name="FileNumbers" w:val="QUD 170 of 2020"/>
    <w:docVar w:name="grpRadioJudges" w:val="Justice"/>
    <w:docVar w:name="Initiators" w:val="(and another named in the Schedule)"/>
    <w:docVar w:name="InTheMatterOf" w:val="Bestjet Travel Pty Ltd (in liquidation) ACN 155 965 601"/>
    <w:docVar w:name="Judgdate" w:val="24 December 2020"/>
    <w:docVar w:name="Judge" w:val="Reeves"/>
    <w:docVar w:name="lstEntryList" w:val="0"/>
    <w:docVar w:name="myEntryList" w:val="Solicitor for the Plaintiff=Mr P Betros of HopgoodGanim"/>
    <w:docVar w:name="NSD" w:val="NSD "/>
    <w:docVar w:name="NumApps" w:val="1"/>
    <w:docVar w:name="NumApps_" w:val="0"/>
    <w:docVar w:name="NumCrossResps" w:val="0"/>
    <w:docVar w:name="NumDefs" w:val="2"/>
    <w:docVar w:name="NumOthers" w:val="0"/>
    <w:docVar w:name="OtherNum" w:val="0"/>
    <w:docVar w:name="Parties1" w:val="Plaintiff"/>
    <w:docVar w:name="Parties2" w:val="Defendant"/>
    <w:docVar w:name="Parties3" w:val="Cross-Appellant"/>
    <w:docVar w:name="Parties4" w:val="Cross-Defendant"/>
    <w:docVar w:name="Parties5" w:val="Intervener"/>
    <w:docVar w:name="Place" w:val="N/A FCA"/>
    <w:docVar w:name="Plaintiff" w:val="Neil Robert Markey and Bradley Vincent Hellen in their capacity as joint and several liquidators of Bestjet Travel Pty Ltd (in liquidation) ACN 155 965 601 &amp; Wynyard Travel Pty Limited (in liquidation) ACN 107 305 224"/>
    <w:docVar w:name="PracticeArea" w:val="Commercial and Corporations"/>
    <w:docVar w:name="RadioJudge" w:val="False"/>
    <w:docVar w:name="RadioJustice" w:val="True"/>
    <w:docVar w:name="RadioJustices" w:val="False"/>
    <w:docVar w:name="RESAndAnother" w:val="True"/>
    <w:docVar w:name="RESAndOthers" w:val="False"/>
    <w:docVar w:name="ResState" w:val="Queensland"/>
    <w:docVar w:name="SubArea" w:val="Corporations and Corporate Insolvency (C &amp; C)"/>
  </w:docVars>
  <w:rsids>
    <w:rsidRoot w:val="00013E9F"/>
    <w:rsid w:val="00000747"/>
    <w:rsid w:val="000115C5"/>
    <w:rsid w:val="00013E9F"/>
    <w:rsid w:val="0001469E"/>
    <w:rsid w:val="00015993"/>
    <w:rsid w:val="00021CCB"/>
    <w:rsid w:val="00022289"/>
    <w:rsid w:val="00027398"/>
    <w:rsid w:val="0003201A"/>
    <w:rsid w:val="0003207A"/>
    <w:rsid w:val="00032F9F"/>
    <w:rsid w:val="00041C07"/>
    <w:rsid w:val="00045BB7"/>
    <w:rsid w:val="00055719"/>
    <w:rsid w:val="0005641B"/>
    <w:rsid w:val="0006196A"/>
    <w:rsid w:val="00081497"/>
    <w:rsid w:val="00085255"/>
    <w:rsid w:val="0009193C"/>
    <w:rsid w:val="000A2E76"/>
    <w:rsid w:val="000A4807"/>
    <w:rsid w:val="000A4BE4"/>
    <w:rsid w:val="000B71FF"/>
    <w:rsid w:val="000C023E"/>
    <w:rsid w:val="000C5195"/>
    <w:rsid w:val="000C62EF"/>
    <w:rsid w:val="000D2137"/>
    <w:rsid w:val="000D3FD2"/>
    <w:rsid w:val="000D4B2E"/>
    <w:rsid w:val="000E3FC8"/>
    <w:rsid w:val="000E7BAE"/>
    <w:rsid w:val="000F133D"/>
    <w:rsid w:val="00101CAC"/>
    <w:rsid w:val="001040A2"/>
    <w:rsid w:val="0010536B"/>
    <w:rsid w:val="0011145C"/>
    <w:rsid w:val="001128BD"/>
    <w:rsid w:val="0011419D"/>
    <w:rsid w:val="00114B02"/>
    <w:rsid w:val="001226C0"/>
    <w:rsid w:val="00126EC8"/>
    <w:rsid w:val="0012731C"/>
    <w:rsid w:val="0013134D"/>
    <w:rsid w:val="00132054"/>
    <w:rsid w:val="00134964"/>
    <w:rsid w:val="001351B9"/>
    <w:rsid w:val="00155CD2"/>
    <w:rsid w:val="00165028"/>
    <w:rsid w:val="001727A4"/>
    <w:rsid w:val="0017376C"/>
    <w:rsid w:val="001738AB"/>
    <w:rsid w:val="001765E0"/>
    <w:rsid w:val="00177759"/>
    <w:rsid w:val="00180BB3"/>
    <w:rsid w:val="00182A54"/>
    <w:rsid w:val="00185E6B"/>
    <w:rsid w:val="00187BBC"/>
    <w:rsid w:val="001932F3"/>
    <w:rsid w:val="001A2B40"/>
    <w:rsid w:val="001A4309"/>
    <w:rsid w:val="001A46AE"/>
    <w:rsid w:val="001A6C52"/>
    <w:rsid w:val="001B1053"/>
    <w:rsid w:val="001B14AC"/>
    <w:rsid w:val="001B7940"/>
    <w:rsid w:val="001C171A"/>
    <w:rsid w:val="001C37CA"/>
    <w:rsid w:val="001C4085"/>
    <w:rsid w:val="001D4303"/>
    <w:rsid w:val="001D6746"/>
    <w:rsid w:val="001E3B49"/>
    <w:rsid w:val="001E4A05"/>
    <w:rsid w:val="001E7388"/>
    <w:rsid w:val="001F13DD"/>
    <w:rsid w:val="001F2473"/>
    <w:rsid w:val="001F2DBC"/>
    <w:rsid w:val="001F73E8"/>
    <w:rsid w:val="0020262C"/>
    <w:rsid w:val="00204F7C"/>
    <w:rsid w:val="00207359"/>
    <w:rsid w:val="00211A3E"/>
    <w:rsid w:val="00215BCA"/>
    <w:rsid w:val="00217AC4"/>
    <w:rsid w:val="00221461"/>
    <w:rsid w:val="00224537"/>
    <w:rsid w:val="00235956"/>
    <w:rsid w:val="00243E5E"/>
    <w:rsid w:val="00247C9A"/>
    <w:rsid w:val="0025160C"/>
    <w:rsid w:val="002535D0"/>
    <w:rsid w:val="002539B3"/>
    <w:rsid w:val="00256336"/>
    <w:rsid w:val="00257C3E"/>
    <w:rsid w:val="002602C2"/>
    <w:rsid w:val="002621E9"/>
    <w:rsid w:val="002666C9"/>
    <w:rsid w:val="00270136"/>
    <w:rsid w:val="00270FD7"/>
    <w:rsid w:val="00274F5B"/>
    <w:rsid w:val="00280836"/>
    <w:rsid w:val="00282E1A"/>
    <w:rsid w:val="002840F1"/>
    <w:rsid w:val="0029113B"/>
    <w:rsid w:val="002934C0"/>
    <w:rsid w:val="0029764C"/>
    <w:rsid w:val="002A1B50"/>
    <w:rsid w:val="002A7673"/>
    <w:rsid w:val="002B0E91"/>
    <w:rsid w:val="002B132C"/>
    <w:rsid w:val="002B3F23"/>
    <w:rsid w:val="002B4EB5"/>
    <w:rsid w:val="002B6779"/>
    <w:rsid w:val="002B71C0"/>
    <w:rsid w:val="002B7A34"/>
    <w:rsid w:val="002C31AD"/>
    <w:rsid w:val="002C7385"/>
    <w:rsid w:val="002D2DBB"/>
    <w:rsid w:val="002D37D8"/>
    <w:rsid w:val="002D54A6"/>
    <w:rsid w:val="002E5BF9"/>
    <w:rsid w:val="002E6A7A"/>
    <w:rsid w:val="002F1E49"/>
    <w:rsid w:val="002F4E9C"/>
    <w:rsid w:val="00302F4E"/>
    <w:rsid w:val="0031256C"/>
    <w:rsid w:val="00314D6C"/>
    <w:rsid w:val="00316D2A"/>
    <w:rsid w:val="00322A7C"/>
    <w:rsid w:val="00322EEC"/>
    <w:rsid w:val="00323061"/>
    <w:rsid w:val="00336DC5"/>
    <w:rsid w:val="00340173"/>
    <w:rsid w:val="003402D3"/>
    <w:rsid w:val="00343ABC"/>
    <w:rsid w:val="003463FE"/>
    <w:rsid w:val="00347D41"/>
    <w:rsid w:val="00353078"/>
    <w:rsid w:val="003554B3"/>
    <w:rsid w:val="00356632"/>
    <w:rsid w:val="00357C7E"/>
    <w:rsid w:val="003653B6"/>
    <w:rsid w:val="00374CC4"/>
    <w:rsid w:val="003774B2"/>
    <w:rsid w:val="00380F2D"/>
    <w:rsid w:val="003845A9"/>
    <w:rsid w:val="003850C9"/>
    <w:rsid w:val="00390883"/>
    <w:rsid w:val="003922F8"/>
    <w:rsid w:val="00395B24"/>
    <w:rsid w:val="003A2D38"/>
    <w:rsid w:val="003A37ED"/>
    <w:rsid w:val="003A7ECC"/>
    <w:rsid w:val="003B2C72"/>
    <w:rsid w:val="003B58B4"/>
    <w:rsid w:val="003C1333"/>
    <w:rsid w:val="003C20FF"/>
    <w:rsid w:val="003C4EEE"/>
    <w:rsid w:val="003C550A"/>
    <w:rsid w:val="003C6055"/>
    <w:rsid w:val="003D2650"/>
    <w:rsid w:val="003D560C"/>
    <w:rsid w:val="003D5C00"/>
    <w:rsid w:val="003E3154"/>
    <w:rsid w:val="003E5874"/>
    <w:rsid w:val="003E72D3"/>
    <w:rsid w:val="003F193E"/>
    <w:rsid w:val="003F242C"/>
    <w:rsid w:val="003F34F1"/>
    <w:rsid w:val="004104B6"/>
    <w:rsid w:val="00411AE8"/>
    <w:rsid w:val="00413B74"/>
    <w:rsid w:val="004157D6"/>
    <w:rsid w:val="004342F3"/>
    <w:rsid w:val="00435C5F"/>
    <w:rsid w:val="00436155"/>
    <w:rsid w:val="00441E98"/>
    <w:rsid w:val="00450F3A"/>
    <w:rsid w:val="004532F7"/>
    <w:rsid w:val="00464D51"/>
    <w:rsid w:val="00472027"/>
    <w:rsid w:val="004804CF"/>
    <w:rsid w:val="00484962"/>
    <w:rsid w:val="00484F6D"/>
    <w:rsid w:val="00484FB7"/>
    <w:rsid w:val="0048554D"/>
    <w:rsid w:val="0049338A"/>
    <w:rsid w:val="0049417F"/>
    <w:rsid w:val="00496D41"/>
    <w:rsid w:val="004A6602"/>
    <w:rsid w:val="004B3EFA"/>
    <w:rsid w:val="004C2A87"/>
    <w:rsid w:val="004C4D7B"/>
    <w:rsid w:val="004C4ED3"/>
    <w:rsid w:val="004C667B"/>
    <w:rsid w:val="004C7ECD"/>
    <w:rsid w:val="004D2EA5"/>
    <w:rsid w:val="004D32A6"/>
    <w:rsid w:val="004D53E5"/>
    <w:rsid w:val="004E0721"/>
    <w:rsid w:val="004E1CD4"/>
    <w:rsid w:val="004E6DC4"/>
    <w:rsid w:val="004F21C1"/>
    <w:rsid w:val="00501A12"/>
    <w:rsid w:val="0050309C"/>
    <w:rsid w:val="0051327C"/>
    <w:rsid w:val="0051346D"/>
    <w:rsid w:val="00513EAE"/>
    <w:rsid w:val="0051434F"/>
    <w:rsid w:val="00516806"/>
    <w:rsid w:val="0052098C"/>
    <w:rsid w:val="00525A49"/>
    <w:rsid w:val="005262D1"/>
    <w:rsid w:val="00530876"/>
    <w:rsid w:val="00535613"/>
    <w:rsid w:val="005359EB"/>
    <w:rsid w:val="0054254A"/>
    <w:rsid w:val="00542EE0"/>
    <w:rsid w:val="0054500B"/>
    <w:rsid w:val="005466B5"/>
    <w:rsid w:val="00554314"/>
    <w:rsid w:val="00562829"/>
    <w:rsid w:val="005629B3"/>
    <w:rsid w:val="005724F6"/>
    <w:rsid w:val="00573AC4"/>
    <w:rsid w:val="005801FC"/>
    <w:rsid w:val="00585BA9"/>
    <w:rsid w:val="00587359"/>
    <w:rsid w:val="00595016"/>
    <w:rsid w:val="00597AAE"/>
    <w:rsid w:val="005A222C"/>
    <w:rsid w:val="005A4DF8"/>
    <w:rsid w:val="005A78C8"/>
    <w:rsid w:val="005B1426"/>
    <w:rsid w:val="005B6AD9"/>
    <w:rsid w:val="005C0A8E"/>
    <w:rsid w:val="005C1767"/>
    <w:rsid w:val="005C185C"/>
    <w:rsid w:val="005C42EF"/>
    <w:rsid w:val="005E02F5"/>
    <w:rsid w:val="005E03C6"/>
    <w:rsid w:val="005E0510"/>
    <w:rsid w:val="005E176E"/>
    <w:rsid w:val="005E218E"/>
    <w:rsid w:val="005E35A0"/>
    <w:rsid w:val="005E3E45"/>
    <w:rsid w:val="005E6B25"/>
    <w:rsid w:val="005F0D1B"/>
    <w:rsid w:val="005F0DC6"/>
    <w:rsid w:val="005F1865"/>
    <w:rsid w:val="006007BD"/>
    <w:rsid w:val="006013C8"/>
    <w:rsid w:val="0060270D"/>
    <w:rsid w:val="00604611"/>
    <w:rsid w:val="00611586"/>
    <w:rsid w:val="00612D26"/>
    <w:rsid w:val="00615855"/>
    <w:rsid w:val="00620DA8"/>
    <w:rsid w:val="00621887"/>
    <w:rsid w:val="00624520"/>
    <w:rsid w:val="006271F5"/>
    <w:rsid w:val="00632300"/>
    <w:rsid w:val="00632BB7"/>
    <w:rsid w:val="00635089"/>
    <w:rsid w:val="00635B36"/>
    <w:rsid w:val="00636871"/>
    <w:rsid w:val="00640EE1"/>
    <w:rsid w:val="00640F4E"/>
    <w:rsid w:val="00643DE0"/>
    <w:rsid w:val="0064437D"/>
    <w:rsid w:val="00644E85"/>
    <w:rsid w:val="00645495"/>
    <w:rsid w:val="00652C52"/>
    <w:rsid w:val="0066063F"/>
    <w:rsid w:val="00662BB0"/>
    <w:rsid w:val="00663878"/>
    <w:rsid w:val="00667773"/>
    <w:rsid w:val="00670743"/>
    <w:rsid w:val="00680A85"/>
    <w:rsid w:val="00681ADF"/>
    <w:rsid w:val="0068623B"/>
    <w:rsid w:val="00690EE2"/>
    <w:rsid w:val="00693854"/>
    <w:rsid w:val="00694BEB"/>
    <w:rsid w:val="006A0E20"/>
    <w:rsid w:val="006A24E3"/>
    <w:rsid w:val="006A5695"/>
    <w:rsid w:val="006B0439"/>
    <w:rsid w:val="006B3904"/>
    <w:rsid w:val="006B5B7D"/>
    <w:rsid w:val="006C5B46"/>
    <w:rsid w:val="006C6E39"/>
    <w:rsid w:val="006D0ECF"/>
    <w:rsid w:val="006D3D5B"/>
    <w:rsid w:val="006D4C92"/>
    <w:rsid w:val="006D4EB6"/>
    <w:rsid w:val="006E35BF"/>
    <w:rsid w:val="006E73AA"/>
    <w:rsid w:val="006E7850"/>
    <w:rsid w:val="006F46B4"/>
    <w:rsid w:val="006F46D6"/>
    <w:rsid w:val="007028D9"/>
    <w:rsid w:val="00707218"/>
    <w:rsid w:val="00710D04"/>
    <w:rsid w:val="00712B1D"/>
    <w:rsid w:val="00715751"/>
    <w:rsid w:val="007171BA"/>
    <w:rsid w:val="00717616"/>
    <w:rsid w:val="007325D9"/>
    <w:rsid w:val="0073583B"/>
    <w:rsid w:val="007360CA"/>
    <w:rsid w:val="0074667B"/>
    <w:rsid w:val="007470BD"/>
    <w:rsid w:val="00760EC0"/>
    <w:rsid w:val="00770ADD"/>
    <w:rsid w:val="007711BD"/>
    <w:rsid w:val="0078003A"/>
    <w:rsid w:val="00780771"/>
    <w:rsid w:val="007929CF"/>
    <w:rsid w:val="007A49E7"/>
    <w:rsid w:val="007A6F28"/>
    <w:rsid w:val="007B03C6"/>
    <w:rsid w:val="007B0DB1"/>
    <w:rsid w:val="007B5673"/>
    <w:rsid w:val="007B7238"/>
    <w:rsid w:val="007B76FF"/>
    <w:rsid w:val="007C3BF6"/>
    <w:rsid w:val="007C67B3"/>
    <w:rsid w:val="007D0FD2"/>
    <w:rsid w:val="007D2EF8"/>
    <w:rsid w:val="007D561F"/>
    <w:rsid w:val="007D7FD2"/>
    <w:rsid w:val="007E13D9"/>
    <w:rsid w:val="007E18FA"/>
    <w:rsid w:val="007E2AEC"/>
    <w:rsid w:val="007E41BE"/>
    <w:rsid w:val="007E4DB6"/>
    <w:rsid w:val="007E6733"/>
    <w:rsid w:val="007E7CD4"/>
    <w:rsid w:val="007F12AC"/>
    <w:rsid w:val="007F4501"/>
    <w:rsid w:val="007F56FB"/>
    <w:rsid w:val="007F60DF"/>
    <w:rsid w:val="00801800"/>
    <w:rsid w:val="00801861"/>
    <w:rsid w:val="00801B5B"/>
    <w:rsid w:val="008216E7"/>
    <w:rsid w:val="008255DB"/>
    <w:rsid w:val="00825BE6"/>
    <w:rsid w:val="008276B4"/>
    <w:rsid w:val="00831927"/>
    <w:rsid w:val="00834FC6"/>
    <w:rsid w:val="00837288"/>
    <w:rsid w:val="00841BD3"/>
    <w:rsid w:val="0084273D"/>
    <w:rsid w:val="00844E3F"/>
    <w:rsid w:val="00845A83"/>
    <w:rsid w:val="00846BB9"/>
    <w:rsid w:val="00861EA9"/>
    <w:rsid w:val="008649D5"/>
    <w:rsid w:val="008712BB"/>
    <w:rsid w:val="008830E7"/>
    <w:rsid w:val="00890EDE"/>
    <w:rsid w:val="00892B38"/>
    <w:rsid w:val="008A1741"/>
    <w:rsid w:val="008A2484"/>
    <w:rsid w:val="008A52F3"/>
    <w:rsid w:val="008B1D14"/>
    <w:rsid w:val="008C26D9"/>
    <w:rsid w:val="008C6D50"/>
    <w:rsid w:val="008C7167"/>
    <w:rsid w:val="008C7503"/>
    <w:rsid w:val="008D1617"/>
    <w:rsid w:val="008D330F"/>
    <w:rsid w:val="008D48C1"/>
    <w:rsid w:val="008E6315"/>
    <w:rsid w:val="008F07FC"/>
    <w:rsid w:val="008F11E0"/>
    <w:rsid w:val="008F3EA7"/>
    <w:rsid w:val="008F78BC"/>
    <w:rsid w:val="008F7B63"/>
    <w:rsid w:val="008F7D6A"/>
    <w:rsid w:val="00901C86"/>
    <w:rsid w:val="00903603"/>
    <w:rsid w:val="009054CB"/>
    <w:rsid w:val="00911F8D"/>
    <w:rsid w:val="00912F94"/>
    <w:rsid w:val="009171BC"/>
    <w:rsid w:val="0092497E"/>
    <w:rsid w:val="0092590B"/>
    <w:rsid w:val="00925BF3"/>
    <w:rsid w:val="00925E60"/>
    <w:rsid w:val="009264B3"/>
    <w:rsid w:val="009365E0"/>
    <w:rsid w:val="00942BA2"/>
    <w:rsid w:val="009432B7"/>
    <w:rsid w:val="00944C86"/>
    <w:rsid w:val="00947C02"/>
    <w:rsid w:val="00950BE6"/>
    <w:rsid w:val="00957DE8"/>
    <w:rsid w:val="00960ECB"/>
    <w:rsid w:val="009615D6"/>
    <w:rsid w:val="00967855"/>
    <w:rsid w:val="00974709"/>
    <w:rsid w:val="00980736"/>
    <w:rsid w:val="00981A39"/>
    <w:rsid w:val="00982D56"/>
    <w:rsid w:val="00983DBF"/>
    <w:rsid w:val="00987097"/>
    <w:rsid w:val="00991123"/>
    <w:rsid w:val="00991CAB"/>
    <w:rsid w:val="009A3A9C"/>
    <w:rsid w:val="009B046C"/>
    <w:rsid w:val="009B13FA"/>
    <w:rsid w:val="009B1E2D"/>
    <w:rsid w:val="009C59FB"/>
    <w:rsid w:val="009C6F3B"/>
    <w:rsid w:val="009D1467"/>
    <w:rsid w:val="009E4FA6"/>
    <w:rsid w:val="009E7D93"/>
    <w:rsid w:val="009F3C34"/>
    <w:rsid w:val="009F462C"/>
    <w:rsid w:val="009F5C33"/>
    <w:rsid w:val="00A026F0"/>
    <w:rsid w:val="00A03EAC"/>
    <w:rsid w:val="00A04DBB"/>
    <w:rsid w:val="00A07EA0"/>
    <w:rsid w:val="00A11CA6"/>
    <w:rsid w:val="00A15D92"/>
    <w:rsid w:val="00A20C49"/>
    <w:rsid w:val="00A22932"/>
    <w:rsid w:val="00A269CA"/>
    <w:rsid w:val="00A336EE"/>
    <w:rsid w:val="00A33F46"/>
    <w:rsid w:val="00A3427E"/>
    <w:rsid w:val="00A359AC"/>
    <w:rsid w:val="00A40F83"/>
    <w:rsid w:val="00A410FB"/>
    <w:rsid w:val="00A41413"/>
    <w:rsid w:val="00A431E6"/>
    <w:rsid w:val="00A436E8"/>
    <w:rsid w:val="00A45FB1"/>
    <w:rsid w:val="00A46CCC"/>
    <w:rsid w:val="00A47996"/>
    <w:rsid w:val="00A51CFE"/>
    <w:rsid w:val="00A5204D"/>
    <w:rsid w:val="00A61605"/>
    <w:rsid w:val="00A65F97"/>
    <w:rsid w:val="00A66813"/>
    <w:rsid w:val="00A76C13"/>
    <w:rsid w:val="00A82346"/>
    <w:rsid w:val="00A84FD0"/>
    <w:rsid w:val="00A92E79"/>
    <w:rsid w:val="00A950B6"/>
    <w:rsid w:val="00A95D45"/>
    <w:rsid w:val="00AB41C1"/>
    <w:rsid w:val="00AB4CF2"/>
    <w:rsid w:val="00AB6CCA"/>
    <w:rsid w:val="00AC223F"/>
    <w:rsid w:val="00AC33B1"/>
    <w:rsid w:val="00AD12A8"/>
    <w:rsid w:val="00AD169E"/>
    <w:rsid w:val="00AE023F"/>
    <w:rsid w:val="00AF3577"/>
    <w:rsid w:val="00AF35F9"/>
    <w:rsid w:val="00B0070D"/>
    <w:rsid w:val="00B0424C"/>
    <w:rsid w:val="00B05C7D"/>
    <w:rsid w:val="00B15D57"/>
    <w:rsid w:val="00B16347"/>
    <w:rsid w:val="00B17D6E"/>
    <w:rsid w:val="00B2435E"/>
    <w:rsid w:val="00B346C3"/>
    <w:rsid w:val="00B34BDD"/>
    <w:rsid w:val="00B4005C"/>
    <w:rsid w:val="00B4227E"/>
    <w:rsid w:val="00B4471C"/>
    <w:rsid w:val="00B451A6"/>
    <w:rsid w:val="00B545CB"/>
    <w:rsid w:val="00B56D6E"/>
    <w:rsid w:val="00B64347"/>
    <w:rsid w:val="00B64C4D"/>
    <w:rsid w:val="00B65DC6"/>
    <w:rsid w:val="00B67AC2"/>
    <w:rsid w:val="00B7164E"/>
    <w:rsid w:val="00B722DE"/>
    <w:rsid w:val="00B751E3"/>
    <w:rsid w:val="00B75BA6"/>
    <w:rsid w:val="00B76C44"/>
    <w:rsid w:val="00B8184A"/>
    <w:rsid w:val="00B82283"/>
    <w:rsid w:val="00B828D8"/>
    <w:rsid w:val="00B83F87"/>
    <w:rsid w:val="00B87CDC"/>
    <w:rsid w:val="00B910C1"/>
    <w:rsid w:val="00BA1A52"/>
    <w:rsid w:val="00BA2CA4"/>
    <w:rsid w:val="00BA2EFA"/>
    <w:rsid w:val="00BA3DBC"/>
    <w:rsid w:val="00BA707A"/>
    <w:rsid w:val="00BB1AFB"/>
    <w:rsid w:val="00BB27AE"/>
    <w:rsid w:val="00BB2DA2"/>
    <w:rsid w:val="00BB56DC"/>
    <w:rsid w:val="00BE183D"/>
    <w:rsid w:val="00BE75B3"/>
    <w:rsid w:val="00BF5D7A"/>
    <w:rsid w:val="00C01C2E"/>
    <w:rsid w:val="00C02D33"/>
    <w:rsid w:val="00C04B53"/>
    <w:rsid w:val="00C1232C"/>
    <w:rsid w:val="00C27C6B"/>
    <w:rsid w:val="00C3594D"/>
    <w:rsid w:val="00C36442"/>
    <w:rsid w:val="00C400CE"/>
    <w:rsid w:val="00C410FD"/>
    <w:rsid w:val="00C457DE"/>
    <w:rsid w:val="00C47DD3"/>
    <w:rsid w:val="00C53562"/>
    <w:rsid w:val="00C539FB"/>
    <w:rsid w:val="00C66E57"/>
    <w:rsid w:val="00C74150"/>
    <w:rsid w:val="00C75594"/>
    <w:rsid w:val="00C7575A"/>
    <w:rsid w:val="00C761D2"/>
    <w:rsid w:val="00C85982"/>
    <w:rsid w:val="00C971CA"/>
    <w:rsid w:val="00CA0466"/>
    <w:rsid w:val="00CA246D"/>
    <w:rsid w:val="00CA50D9"/>
    <w:rsid w:val="00CB3054"/>
    <w:rsid w:val="00CB5636"/>
    <w:rsid w:val="00CC3EE5"/>
    <w:rsid w:val="00CD5A7C"/>
    <w:rsid w:val="00CE425C"/>
    <w:rsid w:val="00CE58AC"/>
    <w:rsid w:val="00CF2727"/>
    <w:rsid w:val="00CF5A80"/>
    <w:rsid w:val="00D045EE"/>
    <w:rsid w:val="00D05091"/>
    <w:rsid w:val="00D10CA6"/>
    <w:rsid w:val="00D10F21"/>
    <w:rsid w:val="00D134CF"/>
    <w:rsid w:val="00D1573B"/>
    <w:rsid w:val="00D24806"/>
    <w:rsid w:val="00D34040"/>
    <w:rsid w:val="00D34E69"/>
    <w:rsid w:val="00D36C78"/>
    <w:rsid w:val="00D375EE"/>
    <w:rsid w:val="00D412ED"/>
    <w:rsid w:val="00D55AE8"/>
    <w:rsid w:val="00D56056"/>
    <w:rsid w:val="00D6085F"/>
    <w:rsid w:val="00D62699"/>
    <w:rsid w:val="00D778E9"/>
    <w:rsid w:val="00D812BF"/>
    <w:rsid w:val="00D82620"/>
    <w:rsid w:val="00D85707"/>
    <w:rsid w:val="00D9725F"/>
    <w:rsid w:val="00DA01B1"/>
    <w:rsid w:val="00DA11A2"/>
    <w:rsid w:val="00DA14ED"/>
    <w:rsid w:val="00DA26D6"/>
    <w:rsid w:val="00DB26E5"/>
    <w:rsid w:val="00DB2EF1"/>
    <w:rsid w:val="00DB3866"/>
    <w:rsid w:val="00DB3DE1"/>
    <w:rsid w:val="00DB5DA0"/>
    <w:rsid w:val="00DB716C"/>
    <w:rsid w:val="00DC5C85"/>
    <w:rsid w:val="00DC7C5D"/>
    <w:rsid w:val="00DD4236"/>
    <w:rsid w:val="00DD44F1"/>
    <w:rsid w:val="00DD6957"/>
    <w:rsid w:val="00DD6E7A"/>
    <w:rsid w:val="00DE3067"/>
    <w:rsid w:val="00DF3EEE"/>
    <w:rsid w:val="00DF7436"/>
    <w:rsid w:val="00DF75E1"/>
    <w:rsid w:val="00E027BC"/>
    <w:rsid w:val="00E10F0D"/>
    <w:rsid w:val="00E14EA5"/>
    <w:rsid w:val="00E2070E"/>
    <w:rsid w:val="00E21133"/>
    <w:rsid w:val="00E2327E"/>
    <w:rsid w:val="00E266EF"/>
    <w:rsid w:val="00E4492E"/>
    <w:rsid w:val="00E47428"/>
    <w:rsid w:val="00E56C8E"/>
    <w:rsid w:val="00E5716B"/>
    <w:rsid w:val="00E57F1F"/>
    <w:rsid w:val="00E6122B"/>
    <w:rsid w:val="00E66B9F"/>
    <w:rsid w:val="00E70A6A"/>
    <w:rsid w:val="00E710D6"/>
    <w:rsid w:val="00E73DA4"/>
    <w:rsid w:val="00E76E45"/>
    <w:rsid w:val="00E777C9"/>
    <w:rsid w:val="00E81DA6"/>
    <w:rsid w:val="00E84212"/>
    <w:rsid w:val="00E9086C"/>
    <w:rsid w:val="00E90AAA"/>
    <w:rsid w:val="00E91A0F"/>
    <w:rsid w:val="00E93479"/>
    <w:rsid w:val="00E94A71"/>
    <w:rsid w:val="00E94CBF"/>
    <w:rsid w:val="00EA03CE"/>
    <w:rsid w:val="00EA23E5"/>
    <w:rsid w:val="00EA4E2E"/>
    <w:rsid w:val="00EB2417"/>
    <w:rsid w:val="00EB2CCB"/>
    <w:rsid w:val="00EB7A25"/>
    <w:rsid w:val="00EC0F3E"/>
    <w:rsid w:val="00EC57A7"/>
    <w:rsid w:val="00ED0817"/>
    <w:rsid w:val="00ED7DD9"/>
    <w:rsid w:val="00EE445B"/>
    <w:rsid w:val="00EF3113"/>
    <w:rsid w:val="00EF3F84"/>
    <w:rsid w:val="00F0503A"/>
    <w:rsid w:val="00F05D41"/>
    <w:rsid w:val="00F176AC"/>
    <w:rsid w:val="00F26F28"/>
    <w:rsid w:val="00F27714"/>
    <w:rsid w:val="00F3276E"/>
    <w:rsid w:val="00F33D3C"/>
    <w:rsid w:val="00F33FF5"/>
    <w:rsid w:val="00F37A91"/>
    <w:rsid w:val="00F408A0"/>
    <w:rsid w:val="00F45CF5"/>
    <w:rsid w:val="00F47DB0"/>
    <w:rsid w:val="00F50C3F"/>
    <w:rsid w:val="00F50E34"/>
    <w:rsid w:val="00F53EF7"/>
    <w:rsid w:val="00F54BF2"/>
    <w:rsid w:val="00F775AC"/>
    <w:rsid w:val="00F806A1"/>
    <w:rsid w:val="00F92355"/>
    <w:rsid w:val="00F93963"/>
    <w:rsid w:val="00F94291"/>
    <w:rsid w:val="00FA298A"/>
    <w:rsid w:val="00FA5B66"/>
    <w:rsid w:val="00FB30EB"/>
    <w:rsid w:val="00FB7982"/>
    <w:rsid w:val="00FC0734"/>
    <w:rsid w:val="00FC0FC5"/>
    <w:rsid w:val="00FC588F"/>
    <w:rsid w:val="00FC6879"/>
    <w:rsid w:val="00FC6C22"/>
    <w:rsid w:val="00FE1B30"/>
    <w:rsid w:val="00FE7B44"/>
    <w:rsid w:val="00FF061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12DC5A54"/>
  <w15:docId w15:val="{DA25266B-A0E7-4BB5-96E9-1DDDD67F2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681ADF"/>
    <w:pPr>
      <w:tabs>
        <w:tab w:val="right" w:leader="dot" w:pos="9072"/>
      </w:tabs>
      <w:spacing w:before="120" w:after="60" w:line="240" w:lineRule="auto"/>
      <w:jc w:val="left"/>
    </w:pPr>
    <w:rPr>
      <w:b/>
      <w:caps/>
      <w:kern w:val="28"/>
    </w:rPr>
  </w:style>
  <w:style w:type="paragraph" w:customStyle="1" w:styleId="ListNo1">
    <w:name w:val="List No 1"/>
    <w:basedOn w:val="Normal"/>
    <w:rsid w:val="0052098C"/>
    <w:pPr>
      <w:numPr>
        <w:numId w:val="23"/>
      </w:numPr>
      <w:spacing w:before="60" w:after="60"/>
    </w:pPr>
  </w:style>
  <w:style w:type="paragraph" w:customStyle="1" w:styleId="FTOC2">
    <w:name w:val="FTOC 2"/>
    <w:basedOn w:val="Normal"/>
    <w:semiHidden/>
    <w:rsid w:val="00681ADF"/>
    <w:pPr>
      <w:tabs>
        <w:tab w:val="right" w:leader="dot" w:pos="9072"/>
      </w:tabs>
      <w:spacing w:before="120" w:after="60" w:line="240" w:lineRule="auto"/>
      <w:ind w:left="238"/>
      <w:jc w:val="left"/>
    </w:pPr>
    <w:rPr>
      <w:b/>
    </w:rPr>
  </w:style>
  <w:style w:type="paragraph" w:customStyle="1" w:styleId="FTOC3">
    <w:name w:val="FTOC 3"/>
    <w:basedOn w:val="Normal"/>
    <w:semiHidden/>
    <w:rsid w:val="00681ADF"/>
    <w:pPr>
      <w:tabs>
        <w:tab w:val="right" w:leader="dot" w:pos="9072"/>
      </w:tabs>
      <w:spacing w:before="120" w:after="60" w:line="240" w:lineRule="auto"/>
      <w:ind w:left="482"/>
      <w:jc w:val="left"/>
    </w:pPr>
    <w:rPr>
      <w:b/>
      <w:i/>
    </w:rPr>
  </w:style>
  <w:style w:type="paragraph" w:customStyle="1" w:styleId="FTOC4">
    <w:name w:val="FTOC 4"/>
    <w:basedOn w:val="Normal"/>
    <w:semiHidden/>
    <w:rsid w:val="00681ADF"/>
    <w:pPr>
      <w:tabs>
        <w:tab w:val="right" w:leader="dot" w:pos="9072"/>
      </w:tabs>
      <w:spacing w:before="120" w:after="60" w:line="240" w:lineRule="auto"/>
      <w:ind w:left="720"/>
      <w:jc w:val="left"/>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qFormat/>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semiHidden/>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rsid w:val="00323061"/>
    <w:pPr>
      <w:spacing w:before="120" w:after="60" w:line="240" w:lineRule="auto"/>
      <w:jc w:val="left"/>
    </w:pPr>
  </w:style>
  <w:style w:type="paragraph" w:customStyle="1" w:styleId="bTOC2">
    <w:name w:val="bTOC 2"/>
    <w:basedOn w:val="TOC2"/>
    <w:semiHidden/>
    <w:rsid w:val="00323061"/>
    <w:pPr>
      <w:spacing w:before="120" w:after="60" w:line="240" w:lineRule="auto"/>
      <w:ind w:left="238"/>
      <w:jc w:val="left"/>
    </w:pPr>
  </w:style>
  <w:style w:type="paragraph" w:customStyle="1" w:styleId="bTOC3">
    <w:name w:val="bTOC 3"/>
    <w:basedOn w:val="TOC3"/>
    <w:semiHidden/>
    <w:rsid w:val="00323061"/>
    <w:pPr>
      <w:spacing w:before="120" w:after="60" w:line="240" w:lineRule="auto"/>
      <w:ind w:left="482"/>
      <w:jc w:val="left"/>
    </w:pPr>
  </w:style>
  <w:style w:type="paragraph" w:customStyle="1" w:styleId="bTOC4">
    <w:name w:val="bTOC 4"/>
    <w:basedOn w:val="TOC4"/>
    <w:semiHidden/>
    <w:rsid w:val="00323061"/>
    <w:pPr>
      <w:spacing w:before="120" w:after="60" w:line="240" w:lineRule="auto"/>
      <w:jc w:val="left"/>
    </w:pPr>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3774B2"/>
    <w:pPr>
      <w:tabs>
        <w:tab w:val="right" w:leader="dot" w:pos="9072"/>
      </w:tabs>
      <w:spacing w:before="120" w:after="60" w:line="240" w:lineRule="auto"/>
      <w:ind w:left="709" w:hanging="709"/>
      <w:jc w:val="left"/>
    </w:pPr>
    <w:rPr>
      <w:b/>
      <w:kern w:val="28"/>
    </w:rPr>
  </w:style>
  <w:style w:type="paragraph" w:customStyle="1" w:styleId="FTOC6">
    <w:name w:val="FTOC 6"/>
    <w:basedOn w:val="Normal"/>
    <w:semiHidden/>
    <w:rsid w:val="003774B2"/>
    <w:pPr>
      <w:tabs>
        <w:tab w:val="right" w:leader="dot" w:pos="9072"/>
      </w:tabs>
      <w:spacing w:before="120" w:after="60" w:line="240" w:lineRule="auto"/>
      <w:ind w:left="1418" w:hanging="709"/>
      <w:jc w:val="left"/>
    </w:pPr>
    <w:rPr>
      <w:b/>
    </w:rPr>
  </w:style>
  <w:style w:type="paragraph" w:customStyle="1" w:styleId="FTOC7">
    <w:name w:val="FTOC 7"/>
    <w:basedOn w:val="Normal"/>
    <w:semiHidden/>
    <w:rsid w:val="003774B2"/>
    <w:pPr>
      <w:tabs>
        <w:tab w:val="right" w:leader="dot" w:pos="9072"/>
      </w:tabs>
      <w:spacing w:before="120" w:after="60" w:line="240" w:lineRule="auto"/>
      <w:ind w:left="2127" w:hanging="709"/>
      <w:jc w:val="left"/>
    </w:pPr>
    <w:rPr>
      <w:b/>
    </w:rPr>
  </w:style>
  <w:style w:type="paragraph" w:customStyle="1" w:styleId="FTOC8">
    <w:name w:val="FTOC 8"/>
    <w:basedOn w:val="Normal"/>
    <w:semiHidden/>
    <w:rsid w:val="003774B2"/>
    <w:pPr>
      <w:tabs>
        <w:tab w:val="right" w:leader="dot" w:pos="9072"/>
      </w:tabs>
      <w:spacing w:before="120" w:after="60" w:line="240" w:lineRule="auto"/>
      <w:ind w:left="3260" w:hanging="1134"/>
      <w:jc w:val="left"/>
    </w:pPr>
    <w:rPr>
      <w:b/>
    </w:rPr>
  </w:style>
  <w:style w:type="paragraph" w:customStyle="1" w:styleId="FTOC9">
    <w:name w:val="FTOC 9"/>
    <w:basedOn w:val="Normal"/>
    <w:semiHidden/>
    <w:rsid w:val="003774B2"/>
    <w:pPr>
      <w:tabs>
        <w:tab w:val="right" w:leader="dot" w:pos="9072"/>
      </w:tabs>
      <w:spacing w:before="120" w:after="60" w:line="240" w:lineRule="auto"/>
      <w:ind w:left="3969" w:hanging="1134"/>
      <w:jc w:val="left"/>
    </w:pPr>
    <w:rPr>
      <w:b/>
    </w:rPr>
  </w:style>
  <w:style w:type="paragraph" w:customStyle="1" w:styleId="bTOC5">
    <w:name w:val="bTOC 5"/>
    <w:basedOn w:val="Normal"/>
    <w:semiHidden/>
    <w:rsid w:val="00323061"/>
    <w:pPr>
      <w:tabs>
        <w:tab w:val="right" w:leader="dot" w:pos="9072"/>
      </w:tabs>
      <w:spacing w:before="120" w:after="60" w:line="240" w:lineRule="auto"/>
      <w:ind w:left="709" w:hanging="709"/>
      <w:jc w:val="left"/>
    </w:pPr>
  </w:style>
  <w:style w:type="paragraph" w:customStyle="1" w:styleId="bTOC6">
    <w:name w:val="bTOC 6"/>
    <w:basedOn w:val="Normal"/>
    <w:semiHidden/>
    <w:rsid w:val="00323061"/>
    <w:pPr>
      <w:tabs>
        <w:tab w:val="right" w:leader="dot" w:pos="9072"/>
      </w:tabs>
      <w:spacing w:before="120" w:after="60" w:line="240" w:lineRule="auto"/>
      <w:ind w:left="1418" w:hanging="709"/>
      <w:jc w:val="left"/>
    </w:pPr>
  </w:style>
  <w:style w:type="paragraph" w:customStyle="1" w:styleId="bTOC7">
    <w:name w:val="bTOC 7"/>
    <w:basedOn w:val="Normal"/>
    <w:semiHidden/>
    <w:rsid w:val="00323061"/>
    <w:pPr>
      <w:tabs>
        <w:tab w:val="right" w:leader="dot" w:pos="9072"/>
      </w:tabs>
      <w:spacing w:before="120" w:after="60" w:line="240" w:lineRule="auto"/>
      <w:ind w:left="2127" w:hanging="709"/>
      <w:jc w:val="left"/>
    </w:pPr>
  </w:style>
  <w:style w:type="paragraph" w:customStyle="1" w:styleId="bTOC8">
    <w:name w:val="bTOC 8"/>
    <w:basedOn w:val="Normal"/>
    <w:semiHidden/>
    <w:rsid w:val="00323061"/>
    <w:pPr>
      <w:keepNext/>
      <w:tabs>
        <w:tab w:val="right" w:leader="dot" w:pos="9072"/>
      </w:tabs>
      <w:spacing w:before="120" w:after="60" w:line="240" w:lineRule="auto"/>
      <w:ind w:left="3260" w:hanging="1134"/>
      <w:jc w:val="left"/>
    </w:pPr>
  </w:style>
  <w:style w:type="paragraph" w:customStyle="1" w:styleId="bTOC9">
    <w:name w:val="bTOC 9"/>
    <w:basedOn w:val="Normal"/>
    <w:semiHidden/>
    <w:rsid w:val="00323061"/>
    <w:pPr>
      <w:keepNext/>
      <w:tabs>
        <w:tab w:val="right" w:leader="dot" w:pos="9072"/>
      </w:tabs>
      <w:spacing w:before="120" w:after="60" w:line="240" w:lineRule="auto"/>
      <w:ind w:left="3969" w:hanging="1134"/>
      <w:jc w:val="left"/>
    </w:pPr>
  </w:style>
  <w:style w:type="paragraph" w:customStyle="1" w:styleId="ListNo2">
    <w:name w:val="List No 2"/>
    <w:basedOn w:val="ListNo1"/>
    <w:rsid w:val="0052098C"/>
    <w:pPr>
      <w:numPr>
        <w:ilvl w:val="1"/>
      </w:numPr>
    </w:pPr>
  </w:style>
  <w:style w:type="paragraph" w:customStyle="1" w:styleId="ListNo3">
    <w:name w:val="List No 3"/>
    <w:basedOn w:val="ListNo2"/>
    <w:rsid w:val="0052098C"/>
    <w:pPr>
      <w:numPr>
        <w:ilvl w:val="2"/>
      </w:numPr>
    </w:pPr>
  </w:style>
  <w:style w:type="numbering" w:customStyle="1" w:styleId="FCListNo">
    <w:name w:val="FCListNo"/>
    <w:uiPriority w:val="99"/>
    <w:rsid w:val="0052098C"/>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E445B"/>
    <w:pPr>
      <w:numPr>
        <w:numId w:val="20"/>
      </w:numPr>
      <w:ind w:hanging="720"/>
    </w:pPr>
  </w:style>
  <w:style w:type="paragraph" w:customStyle="1" w:styleId="Order1">
    <w:name w:val="Order 1"/>
    <w:basedOn w:val="Normal"/>
    <w:rsid w:val="004104B6"/>
    <w:pPr>
      <w:numPr>
        <w:numId w:val="35"/>
      </w:numPr>
      <w:spacing w:before="60" w:after="60"/>
    </w:pPr>
  </w:style>
  <w:style w:type="numbering" w:customStyle="1" w:styleId="FCOrders">
    <w:name w:val="FCOrders"/>
    <w:uiPriority w:val="99"/>
    <w:rsid w:val="004104B6"/>
    <w:pPr>
      <w:numPr>
        <w:numId w:val="21"/>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customStyle="1" w:styleId="CourtTitle">
    <w:name w:val="CourtTitle"/>
    <w:basedOn w:val="NormalHeadings"/>
    <w:rsid w:val="00A22932"/>
    <w:pPr>
      <w:jc w:val="center"/>
    </w:pPr>
    <w:rPr>
      <w:caps/>
      <w:sz w:val="32"/>
    </w:rPr>
  </w:style>
  <w:style w:type="paragraph" w:customStyle="1" w:styleId="MNC">
    <w:name w:val="MNC"/>
    <w:basedOn w:val="MediaNeutralStyle"/>
    <w:rsid w:val="00085255"/>
    <w:pPr>
      <w:spacing w:after="240"/>
    </w:pPr>
    <w:rPr>
      <w:sz w:val="28"/>
    </w:rPr>
  </w:style>
  <w:style w:type="paragraph" w:customStyle="1" w:styleId="Quote4">
    <w:name w:val="Quote4"/>
    <w:basedOn w:val="Quote1"/>
    <w:rsid w:val="00DF75E1"/>
    <w:pPr>
      <w:ind w:left="2880"/>
    </w:pPr>
  </w:style>
  <w:style w:type="paragraph" w:customStyle="1" w:styleId="Quote4Bullet">
    <w:name w:val="Quote4 Bullet"/>
    <w:basedOn w:val="Quote4"/>
    <w:rsid w:val="00EE445B"/>
    <w:pPr>
      <w:numPr>
        <w:numId w:val="22"/>
      </w:numPr>
      <w:ind w:hanging="720"/>
    </w:pPr>
  </w:style>
  <w:style w:type="character" w:styleId="PlaceholderText">
    <w:name w:val="Placeholder Text"/>
    <w:basedOn w:val="DefaultParagraphFont"/>
    <w:uiPriority w:val="99"/>
    <w:semiHidden/>
    <w:rsid w:val="00CF5A80"/>
    <w:rPr>
      <w:color w:val="808080"/>
    </w:rPr>
  </w:style>
  <w:style w:type="paragraph" w:customStyle="1" w:styleId="Order2">
    <w:name w:val="Order 2"/>
    <w:basedOn w:val="Order1"/>
    <w:rsid w:val="001351B9"/>
    <w:pPr>
      <w:numPr>
        <w:ilvl w:val="1"/>
      </w:numPr>
      <w:tabs>
        <w:tab w:val="clear" w:pos="1440"/>
      </w:tabs>
    </w:pPr>
  </w:style>
  <w:style w:type="paragraph" w:customStyle="1" w:styleId="Order3">
    <w:name w:val="Order 3"/>
    <w:basedOn w:val="Order2"/>
    <w:rsid w:val="00DD6957"/>
    <w:pPr>
      <w:numPr>
        <w:ilvl w:val="2"/>
      </w:numPr>
    </w:pPr>
  </w:style>
  <w:style w:type="paragraph" w:customStyle="1" w:styleId="ListNo1alt">
    <w:name w:val="List No 1 (alt)"/>
    <w:basedOn w:val="Normal"/>
    <w:rsid w:val="008A1741"/>
    <w:pPr>
      <w:numPr>
        <w:numId w:val="25"/>
      </w:numPr>
      <w:spacing w:before="60" w:after="60"/>
    </w:pPr>
  </w:style>
  <w:style w:type="paragraph" w:customStyle="1" w:styleId="ListNo2alt">
    <w:name w:val="List No 2 (alt)"/>
    <w:basedOn w:val="ListNo1alt"/>
    <w:rsid w:val="008A1741"/>
    <w:pPr>
      <w:numPr>
        <w:ilvl w:val="1"/>
      </w:numPr>
    </w:pPr>
  </w:style>
  <w:style w:type="paragraph" w:customStyle="1" w:styleId="ListNo3alt">
    <w:name w:val="List No 3 (alt)"/>
    <w:basedOn w:val="ListNo2alt"/>
    <w:rsid w:val="008A1741"/>
    <w:pPr>
      <w:numPr>
        <w:ilvl w:val="2"/>
      </w:numPr>
    </w:pPr>
  </w:style>
  <w:style w:type="numbering" w:customStyle="1" w:styleId="FCListNoalt">
    <w:name w:val="FC List No (alt)"/>
    <w:uiPriority w:val="99"/>
    <w:rsid w:val="008A1741"/>
    <w:pPr>
      <w:numPr>
        <w:numId w:val="24"/>
      </w:numPr>
    </w:pPr>
  </w:style>
  <w:style w:type="paragraph" w:customStyle="1" w:styleId="Order4">
    <w:name w:val="Order 4"/>
    <w:basedOn w:val="Order3"/>
    <w:rsid w:val="004104B6"/>
    <w:pPr>
      <w:numPr>
        <w:ilvl w:val="3"/>
      </w:numPr>
    </w:pPr>
  </w:style>
  <w:style w:type="paragraph" w:customStyle="1" w:styleId="HGCourt1">
    <w:name w:val="HG Court 1"/>
    <w:basedOn w:val="Normal"/>
    <w:rsid w:val="00B7164E"/>
    <w:pPr>
      <w:tabs>
        <w:tab w:val="num" w:pos="680"/>
      </w:tabs>
      <w:spacing w:after="240" w:line="240" w:lineRule="auto"/>
      <w:ind w:left="680" w:hanging="680"/>
      <w:jc w:val="left"/>
    </w:pPr>
    <w:rPr>
      <w:rFonts w:ascii="Arial" w:eastAsia="Times New Roman" w:hAnsi="Arial"/>
      <w:sz w:val="20"/>
      <w:szCs w:val="16"/>
      <w:lang w:eastAsia="en-AU"/>
    </w:rPr>
  </w:style>
  <w:style w:type="paragraph" w:customStyle="1" w:styleId="HGCourt2">
    <w:name w:val="HG Court 2"/>
    <w:basedOn w:val="Normal"/>
    <w:rsid w:val="00B7164E"/>
    <w:pPr>
      <w:numPr>
        <w:ilvl w:val="1"/>
        <w:numId w:val="29"/>
      </w:numPr>
      <w:spacing w:after="240" w:line="240" w:lineRule="auto"/>
      <w:jc w:val="left"/>
    </w:pPr>
    <w:rPr>
      <w:rFonts w:ascii="Arial" w:eastAsia="Times New Roman" w:hAnsi="Arial"/>
      <w:sz w:val="20"/>
      <w:szCs w:val="16"/>
      <w:lang w:eastAsia="en-AU"/>
    </w:rPr>
  </w:style>
  <w:style w:type="paragraph" w:customStyle="1" w:styleId="HGCourt3">
    <w:name w:val="HG Court 3"/>
    <w:basedOn w:val="Normal"/>
    <w:rsid w:val="00B7164E"/>
    <w:pPr>
      <w:numPr>
        <w:ilvl w:val="2"/>
        <w:numId w:val="29"/>
      </w:numPr>
      <w:spacing w:after="240" w:line="240" w:lineRule="auto"/>
      <w:jc w:val="left"/>
    </w:pPr>
    <w:rPr>
      <w:rFonts w:ascii="Arial" w:eastAsia="Times New Roman" w:hAnsi="Arial"/>
      <w:sz w:val="20"/>
      <w:szCs w:val="16"/>
      <w:lang w:eastAsia="en-AU"/>
    </w:rPr>
  </w:style>
  <w:style w:type="paragraph" w:customStyle="1" w:styleId="HGCourt4">
    <w:name w:val="HG Court 4"/>
    <w:basedOn w:val="Normal"/>
    <w:rsid w:val="00B7164E"/>
    <w:pPr>
      <w:numPr>
        <w:ilvl w:val="3"/>
        <w:numId w:val="29"/>
      </w:numPr>
      <w:spacing w:after="240" w:line="240" w:lineRule="auto"/>
      <w:jc w:val="left"/>
    </w:pPr>
    <w:rPr>
      <w:rFonts w:ascii="Arial" w:eastAsia="Times New Roman" w:hAnsi="Arial"/>
      <w:sz w:val="20"/>
      <w:szCs w:val="16"/>
      <w:lang w:eastAsia="en-AU"/>
    </w:rPr>
  </w:style>
  <w:style w:type="paragraph" w:customStyle="1" w:styleId="HGCourt5">
    <w:name w:val="HG Court 5"/>
    <w:basedOn w:val="Normal"/>
    <w:rsid w:val="00B7164E"/>
    <w:pPr>
      <w:numPr>
        <w:ilvl w:val="4"/>
        <w:numId w:val="29"/>
      </w:numPr>
      <w:spacing w:after="240" w:line="240" w:lineRule="auto"/>
      <w:jc w:val="left"/>
    </w:pPr>
    <w:rPr>
      <w:rFonts w:ascii="Arial" w:eastAsia="Times New Roman" w:hAnsi="Arial"/>
      <w:sz w:val="20"/>
      <w:szCs w:val="16"/>
      <w:lang w:eastAsia="en-AU"/>
    </w:rPr>
  </w:style>
  <w:style w:type="numbering" w:customStyle="1" w:styleId="HGCourtNumbering">
    <w:name w:val="HG Court Numbering"/>
    <w:basedOn w:val="NoList"/>
    <w:rsid w:val="00B7164E"/>
    <w:pPr>
      <w:numPr>
        <w:numId w:val="29"/>
      </w:numPr>
    </w:pPr>
  </w:style>
  <w:style w:type="paragraph" w:customStyle="1" w:styleId="HGCorro1">
    <w:name w:val="HG Corro 1"/>
    <w:basedOn w:val="Normal"/>
    <w:link w:val="HGCorro1Char"/>
    <w:qFormat/>
    <w:rsid w:val="00B7164E"/>
    <w:pPr>
      <w:spacing w:after="240" w:line="240" w:lineRule="auto"/>
      <w:jc w:val="left"/>
    </w:pPr>
    <w:rPr>
      <w:rFonts w:ascii="Arial" w:eastAsia="Times New Roman" w:hAnsi="Arial"/>
      <w:sz w:val="20"/>
      <w:szCs w:val="16"/>
      <w:lang w:eastAsia="en-AU"/>
    </w:rPr>
  </w:style>
  <w:style w:type="character" w:customStyle="1" w:styleId="HGCorro1Char">
    <w:name w:val="HG Corro 1 Char"/>
    <w:link w:val="HGCorro1"/>
    <w:rsid w:val="00B7164E"/>
    <w:rPr>
      <w:rFonts w:ascii="Arial" w:eastAsia="Times New Roman" w:hAnsi="Arial"/>
      <w:szCs w:val="16"/>
    </w:rPr>
  </w:style>
  <w:style w:type="paragraph" w:customStyle="1" w:styleId="HGBodyText">
    <w:name w:val="HG Body Text"/>
    <w:basedOn w:val="Normal"/>
    <w:link w:val="HGBodyTextChar"/>
    <w:qFormat/>
    <w:rsid w:val="00B7164E"/>
    <w:pPr>
      <w:spacing w:after="240" w:line="240" w:lineRule="auto"/>
      <w:jc w:val="left"/>
    </w:pPr>
    <w:rPr>
      <w:rFonts w:ascii="Arial" w:eastAsia="Times New Roman" w:hAnsi="Arial"/>
      <w:sz w:val="20"/>
      <w:szCs w:val="16"/>
      <w:lang w:eastAsia="en-AU"/>
    </w:rPr>
  </w:style>
  <w:style w:type="character" w:customStyle="1" w:styleId="HGBodyTextChar">
    <w:name w:val="HG Body Text Char"/>
    <w:link w:val="HGBodyText"/>
    <w:rsid w:val="00B7164E"/>
    <w:rPr>
      <w:rFonts w:ascii="Arial" w:eastAsia="Times New Roman" w:hAnsi="Arial"/>
      <w:szCs w:val="16"/>
    </w:rPr>
  </w:style>
  <w:style w:type="paragraph" w:styleId="Revision">
    <w:name w:val="Revision"/>
    <w:hidden/>
    <w:uiPriority w:val="99"/>
    <w:semiHidden/>
    <w:rsid w:val="00FC6C22"/>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3170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Judg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AB228D1C7C64BD4AD96CA4D0B291B41"/>
        <w:category>
          <w:name w:val="General"/>
          <w:gallery w:val="placeholder"/>
        </w:category>
        <w:types>
          <w:type w:val="bbPlcHdr"/>
        </w:types>
        <w:behaviors>
          <w:behavior w:val="content"/>
        </w:behaviors>
        <w:guid w:val="{2B8551F0-95C5-47A4-AAE3-B17695D56F70}"/>
      </w:docPartPr>
      <w:docPartBody>
        <w:p w:rsidR="000B75F5" w:rsidRDefault="000B75F5">
          <w:pPr>
            <w:pStyle w:val="FAB228D1C7C64BD4AD96CA4D0B291B41"/>
          </w:pPr>
          <w:r>
            <w:rPr>
              <w:rStyle w:val="PlaceholderText"/>
            </w:rPr>
            <w:t>MNC Text</w:t>
          </w:r>
        </w:p>
      </w:docPartBody>
    </w:docPart>
    <w:docPart>
      <w:docPartPr>
        <w:name w:val="41B7485F54C34999A958D0944AF6AF4D"/>
        <w:category>
          <w:name w:val="General"/>
          <w:gallery w:val="placeholder"/>
        </w:category>
        <w:types>
          <w:type w:val="bbPlcHdr"/>
        </w:types>
        <w:behaviors>
          <w:behavior w:val="content"/>
        </w:behaviors>
        <w:guid w:val="{C3B3EFA8-A30A-4EB2-8A36-B8BEF92C1882}"/>
      </w:docPartPr>
      <w:docPartBody>
        <w:p w:rsidR="000B75F5" w:rsidRDefault="000B75F5">
          <w:pPr>
            <w:pStyle w:val="41B7485F54C34999A958D0944AF6AF4D"/>
          </w:pPr>
          <w:r w:rsidRPr="005C44BE">
            <w:rPr>
              <w:rStyle w:val="PlaceholderText"/>
            </w:rPr>
            <w:t>Click or tap here to enter text.</w:t>
          </w:r>
        </w:p>
      </w:docPartBody>
    </w:docPart>
    <w:docPart>
      <w:docPartPr>
        <w:name w:val="5170BE6AB1D149509E8615A23A087AA7"/>
        <w:category>
          <w:name w:val="General"/>
          <w:gallery w:val="placeholder"/>
        </w:category>
        <w:types>
          <w:type w:val="bbPlcHdr"/>
        </w:types>
        <w:behaviors>
          <w:behavior w:val="content"/>
        </w:behaviors>
        <w:guid w:val="{AF4D2207-2057-4803-8CF5-3B764AD9B1BE}"/>
      </w:docPartPr>
      <w:docPartBody>
        <w:p w:rsidR="000B75F5" w:rsidRDefault="000B75F5">
          <w:pPr>
            <w:pStyle w:val="5170BE6AB1D149509E8615A23A087AA7"/>
          </w:pPr>
          <w:r w:rsidRPr="005C44BE">
            <w:rPr>
              <w:rStyle w:val="PlaceholderText"/>
            </w:rPr>
            <w:t>Click or tap here to enter text.</w:t>
          </w:r>
        </w:p>
      </w:docPartBody>
    </w:docPart>
    <w:docPart>
      <w:docPartPr>
        <w:name w:val="5AFF86D4832C4ECB8E543415A1002BA5"/>
        <w:category>
          <w:name w:val="General"/>
          <w:gallery w:val="placeholder"/>
        </w:category>
        <w:types>
          <w:type w:val="bbPlcHdr"/>
        </w:types>
        <w:behaviors>
          <w:behavior w:val="content"/>
        </w:behaviors>
        <w:guid w:val="{24A88B4C-72CD-470E-9385-B851C260F3FD}"/>
      </w:docPartPr>
      <w:docPartBody>
        <w:p w:rsidR="000B75F5" w:rsidRDefault="000B75F5">
          <w:pPr>
            <w:pStyle w:val="5AFF86D4832C4ECB8E543415A1002BA5"/>
          </w:pPr>
          <w:r w:rsidRPr="005C44BE">
            <w:rPr>
              <w:rStyle w:val="PlaceholderText"/>
            </w:rPr>
            <w:t>Click or tap here to enter text.</w:t>
          </w:r>
        </w:p>
      </w:docPartBody>
    </w:docPart>
    <w:docPart>
      <w:docPartPr>
        <w:name w:val="C1362B7039E04901BA77421A1DEADD36"/>
        <w:category>
          <w:name w:val="General"/>
          <w:gallery w:val="placeholder"/>
        </w:category>
        <w:types>
          <w:type w:val="bbPlcHdr"/>
        </w:types>
        <w:behaviors>
          <w:behavior w:val="content"/>
        </w:behaviors>
        <w:guid w:val="{5825C094-5520-43E8-BA5E-78927BAA0CE0}"/>
      </w:docPartPr>
      <w:docPartBody>
        <w:p w:rsidR="000B75F5" w:rsidRDefault="000B75F5">
          <w:pPr>
            <w:pStyle w:val="C1362B7039E04901BA77421A1DEADD36"/>
          </w:pPr>
          <w:r w:rsidRPr="005C44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atang">
    <w:altName w:val="바탕"/>
    <w:panose1 w:val="02030600000101010101"/>
    <w:charset w:val="81"/>
    <w:family w:val="roman"/>
    <w:pitch w:val="variable"/>
    <w:sig w:usb0="00000287" w:usb1="09060000" w:usb2="00000010" w:usb3="00000000" w:csb0="0008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5F5"/>
    <w:rsid w:val="000B75F5"/>
    <w:rsid w:val="009E32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FAB228D1C7C64BD4AD96CA4D0B291B41">
    <w:name w:val="FAB228D1C7C64BD4AD96CA4D0B291B41"/>
  </w:style>
  <w:style w:type="paragraph" w:customStyle="1" w:styleId="41B7485F54C34999A958D0944AF6AF4D">
    <w:name w:val="41B7485F54C34999A958D0944AF6AF4D"/>
  </w:style>
  <w:style w:type="paragraph" w:customStyle="1" w:styleId="5170BE6AB1D149509E8615A23A087AA7">
    <w:name w:val="5170BE6AB1D149509E8615A23A087AA7"/>
  </w:style>
  <w:style w:type="paragraph" w:customStyle="1" w:styleId="5AFF86D4832C4ECB8E543415A1002BA5">
    <w:name w:val="5AFF86D4832C4ECB8E543415A1002BA5"/>
  </w:style>
  <w:style w:type="paragraph" w:customStyle="1" w:styleId="C1362B7039E04901BA77421A1DEADD36">
    <w:name w:val="C1362B7039E04901BA77421A1DEADD3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root xmlns="http://schemas.globalmacros.com/FCA">
  <Name>Markey (Liquidator), in the matter of Bestjet Travel Pty Ltd (in liq) v Bestjet Travel Pty Ltd (in liq) [2020] FCA 1881 </Name>
</root>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E7CCB-4AA5-44E7-B148-17BA2B6F57C0}">
  <ds:schemaRefs>
    <ds:schemaRef ds:uri="http://schemas.globalmacros.com/FCA"/>
  </ds:schemaRefs>
</ds:datastoreItem>
</file>

<file path=customXml/itemProps2.xml><?xml version="1.0" encoding="utf-8"?>
<ds:datastoreItem xmlns:ds="http://schemas.openxmlformats.org/officeDocument/2006/customXml" ds:itemID="{D7CE5878-416A-4584-ADE7-091CC3B0F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32</TotalTime>
  <Pages>14</Pages>
  <Words>3990</Words>
  <Characters>20606</Characters>
  <Application>Microsoft Office Word</Application>
  <DocSecurity>0</DocSecurity>
  <Lines>457</Lines>
  <Paragraphs>195</Paragraphs>
  <ScaleCrop>false</ScaleCrop>
  <HeadingPairs>
    <vt:vector size="2" baseType="variant">
      <vt:variant>
        <vt:lpstr>Title</vt:lpstr>
      </vt:variant>
      <vt:variant>
        <vt:i4>1</vt:i4>
      </vt:variant>
    </vt:vector>
  </HeadingPairs>
  <TitlesOfParts>
    <vt:vector size="1" baseType="lpstr">
      <vt:lpstr>Markey (Liquidator), in the matter of Bestjet Travel Pty Ltd (in liq) v Bestjet Travel Pty Ltd (in liq) [2020] FCA 1881 </vt:lpstr>
    </vt:vector>
  </TitlesOfParts>
  <Company>Federal Court of Australia</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Markey (Liquidator), in the matter of Bestjet Travel Pty Ltd (in liq) v Bestjet Travel Pty Ltd (in liq) [2020] FCA 1881</dc:title>
  <dc:subject/>
  <dc:creator>Federal Court of Australia</dc:creator>
  <cp:keywords/>
  <dc:description/>
  <cp:lastModifiedBy>Federal Court of Australia</cp:lastModifiedBy>
  <cp:revision>7</cp:revision>
  <cp:lastPrinted>2020-12-24T04:05:00Z</cp:lastPrinted>
  <dcterms:created xsi:type="dcterms:W3CDTF">2021-01-11T05:11:00Z</dcterms:created>
  <dcterms:modified xsi:type="dcterms:W3CDTF">2021-01-11T05:51:00Z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Distribution">
    <vt:lpwstr>GENERAL DISTRIBUTION</vt:lpwstr>
  </property>
  <property fmtid="{D5CDD505-2E9C-101B-9397-08002B2CF9AE}" pid="4" name="MNC">
    <vt:lpwstr> </vt:lpwstr>
  </property>
  <property fmtid="{D5CDD505-2E9C-101B-9397-08002B2CF9AE}" pid="5" name="Pages">
    <vt:lpwstr>3</vt:lpwstr>
  </property>
  <property fmtid="{D5CDD505-2E9C-101B-9397-08002B2CF9AE}" pid="6" name="Parties">
    <vt:lpwstr> </vt:lpwstr>
  </property>
  <property fmtid="{D5CDD505-2E9C-101B-9397-08002B2CF9AE}" pid="7" name="Place">
    <vt:lpwstr>N/A FCA</vt:lpwstr>
  </property>
  <property fmtid="{D5CDD505-2E9C-101B-9397-08002B2CF9AE}" pid="8" name="Respondent">
    <vt:lpwstr> </vt:lpwstr>
  </property>
  <property fmtid="{D5CDD505-2E9C-101B-9397-08002B2CF9AE}" pid="9" name="Year">
    <vt:lpwstr>2020</vt:lpwstr>
  </property>
  <property fmtid="{D5CDD505-2E9C-101B-9397-08002B2CF9AE}" pid="10" name="Judgment Template">
    <vt:lpwstr>True</vt:lpwstr>
  </property>
  <property fmtid="{D5CDD505-2E9C-101B-9397-08002B2CF9AE}" pid="11" name="VERSION">
    <vt:lpwstr>1.0</vt:lpwstr>
  </property>
  <property fmtid="{D5CDD505-2E9C-101B-9397-08002B2CF9AE}" pid="12" name="Registry">
    <vt:lpwstr>Queensland</vt:lpwstr>
  </property>
  <property fmtid="{D5CDD505-2E9C-101B-9397-08002B2CF9AE}" pid="13" name="Division">
    <vt:lpwstr>General Division</vt:lpwstr>
  </property>
  <property fmtid="{D5CDD505-2E9C-101B-9397-08002B2CF9AE}" pid="14" name="FileNo">
    <vt:lpwstr>&lt;FILE NO&gt;</vt:lpwstr>
  </property>
  <property fmtid="{D5CDD505-2E9C-101B-9397-08002B2CF9AE}" pid="15" name="Practice Area">
    <vt:lpwstr>Commercial and Corporations</vt:lpwstr>
  </property>
  <property fmtid="{D5CDD505-2E9C-101B-9397-08002B2CF9AE}" pid="16" name="Court">
    <vt:lpwstr>Federal Court of Australia</vt:lpwstr>
  </property>
  <property fmtid="{D5CDD505-2E9C-101B-9397-08002B2CF9AE}" pid="17" name="Sub Area">
    <vt:lpwstr>Corporations and Corporate Insolvency</vt:lpwstr>
  </property>
  <property fmtid="{D5CDD505-2E9C-101B-9397-08002B2CF9AE}" pid="18" name="AppealFrom">
    <vt:lpwstr>&lt;AppealFrom&gt;</vt:lpwstr>
  </property>
  <property fmtid="{D5CDD505-2E9C-101B-9397-08002B2CF9AE}" pid="19" name="Judge">
    <vt:lpwstr>Judge</vt:lpwstr>
  </property>
  <property fmtid="{D5CDD505-2E9C-101B-9397-08002B2CF9AE}" pid="20" name="Judgment_dated">
    <vt:lpwstr>Judgment_dated</vt:lpwstr>
  </property>
  <property fmtid="{D5CDD505-2E9C-101B-9397-08002B2CF9AE}" pid="21" name="Legislation">
    <vt:lpwstr>Legislation</vt:lpwstr>
  </property>
  <property fmtid="{D5CDD505-2E9C-101B-9397-08002B2CF9AE}" pid="22" name="Catchwords">
    <vt:lpwstr>Catchwords</vt:lpwstr>
  </property>
  <property fmtid="{D5CDD505-2E9C-101B-9397-08002B2CF9AE}" pid="23" name="Words_Phrases">
    <vt:lpwstr>WordsPhrases</vt:lpwstr>
  </property>
  <property fmtid="{D5CDD505-2E9C-101B-9397-08002B2CF9AE}" pid="24" name="Cases_Cited">
    <vt:lpwstr>CasesCited</vt:lpwstr>
  </property>
  <property fmtid="{D5CDD505-2E9C-101B-9397-08002B2CF9AE}" pid="25" name="File_Number">
    <vt:lpwstr>Num</vt:lpwstr>
  </property>
  <property fmtid="{D5CDD505-2E9C-101B-9397-08002B2CF9AE}" pid="26" name="State">
    <vt:lpwstr>State</vt:lpwstr>
  </property>
</Properties>
</file>