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F611" w14:textId="77777777" w:rsidR="00395B24" w:rsidRDefault="002C7385">
      <w:pPr>
        <w:pStyle w:val="NormalHeadings"/>
        <w:jc w:val="center"/>
        <w:rPr>
          <w:sz w:val="32"/>
        </w:rPr>
      </w:pPr>
      <w:r>
        <w:rPr>
          <w:sz w:val="32"/>
        </w:rPr>
        <w:t>FEDERAL COURT OF AUSTRALIA</w:t>
      </w:r>
    </w:p>
    <w:p w14:paraId="06B0CC43" w14:textId="77777777" w:rsidR="00395B24" w:rsidRDefault="00395B24">
      <w:pPr>
        <w:pStyle w:val="NormalHeadings"/>
        <w:jc w:val="center"/>
        <w:rPr>
          <w:sz w:val="32"/>
        </w:rPr>
      </w:pPr>
    </w:p>
    <w:p w14:paraId="4798D0F9" w14:textId="36CAA84E" w:rsidR="00395B24" w:rsidRDefault="001B4AF3">
      <w:pPr>
        <w:pStyle w:val="MediaNeutralStyle"/>
      </w:pPr>
      <w:bookmarkStart w:id="0" w:name="MNC"/>
      <w:r>
        <w:t xml:space="preserve">Australian Information Commissioner v Facebook </w:t>
      </w:r>
      <w:proofErr w:type="spellStart"/>
      <w:r>
        <w:t>Inc</w:t>
      </w:r>
      <w:proofErr w:type="spellEnd"/>
      <w:r>
        <w:t xml:space="preserve"> (No 2) [2020] FCA</w:t>
      </w:r>
      <w:r w:rsidR="00900BFE">
        <w:t xml:space="preserve"> </w:t>
      </w:r>
      <w:r w:rsidR="00BD6583" w:rsidRPr="003D4EA5">
        <w:t>1307</w:t>
      </w:r>
      <w:r w:rsidR="002C7385">
        <w:t xml:space="preserve"> </w:t>
      </w:r>
      <w:bookmarkEnd w:id="0"/>
    </w:p>
    <w:p w14:paraId="4C95C7DC"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42E940BE" w14:textId="77777777" w:rsidTr="00117587">
        <w:tc>
          <w:tcPr>
            <w:tcW w:w="3085" w:type="dxa"/>
            <w:shd w:val="clear" w:color="auto" w:fill="auto"/>
          </w:tcPr>
          <w:p w14:paraId="3E177CED" w14:textId="2A76E9F0" w:rsidR="00395B24" w:rsidRDefault="002C7385" w:rsidP="00663878">
            <w:pPr>
              <w:pStyle w:val="Normal1linespace"/>
              <w:widowControl w:val="0"/>
              <w:jc w:val="left"/>
            </w:pPr>
            <w:r>
              <w:t>File number:</w:t>
            </w:r>
          </w:p>
        </w:tc>
        <w:tc>
          <w:tcPr>
            <w:tcW w:w="5989" w:type="dxa"/>
            <w:shd w:val="clear" w:color="auto" w:fill="auto"/>
          </w:tcPr>
          <w:p w14:paraId="26205F00" w14:textId="77777777" w:rsidR="00395B24" w:rsidRPr="00117587" w:rsidRDefault="001E0087" w:rsidP="00117587">
            <w:pPr>
              <w:pStyle w:val="Normal1linespace"/>
              <w:jc w:val="left"/>
            </w:pPr>
            <w:fldSimple w:instr=" REF  FileNo  \* MERGEFORMAT " w:fldLock="1">
              <w:r w:rsidR="00117587" w:rsidRPr="00117587">
                <w:t>NSD 246 of 2020</w:t>
              </w:r>
            </w:fldSimple>
          </w:p>
        </w:tc>
      </w:tr>
      <w:tr w:rsidR="00395B24" w14:paraId="39AF87C3" w14:textId="77777777" w:rsidTr="00117587">
        <w:tc>
          <w:tcPr>
            <w:tcW w:w="3085" w:type="dxa"/>
            <w:shd w:val="clear" w:color="auto" w:fill="auto"/>
          </w:tcPr>
          <w:p w14:paraId="09658647" w14:textId="77777777" w:rsidR="00395B24" w:rsidRDefault="00395B24" w:rsidP="00663878">
            <w:pPr>
              <w:pStyle w:val="Normal1linespace"/>
              <w:widowControl w:val="0"/>
              <w:jc w:val="left"/>
            </w:pPr>
          </w:p>
        </w:tc>
        <w:tc>
          <w:tcPr>
            <w:tcW w:w="5989" w:type="dxa"/>
            <w:shd w:val="clear" w:color="auto" w:fill="auto"/>
          </w:tcPr>
          <w:p w14:paraId="16DD0FB0" w14:textId="77777777" w:rsidR="00395B24" w:rsidRDefault="00395B24" w:rsidP="00663878">
            <w:pPr>
              <w:pStyle w:val="Normal1linespace"/>
              <w:widowControl w:val="0"/>
              <w:jc w:val="left"/>
            </w:pPr>
          </w:p>
        </w:tc>
      </w:tr>
      <w:tr w:rsidR="00395B24" w14:paraId="14594F53" w14:textId="77777777" w:rsidTr="00117587">
        <w:tc>
          <w:tcPr>
            <w:tcW w:w="3085" w:type="dxa"/>
            <w:shd w:val="clear" w:color="auto" w:fill="auto"/>
          </w:tcPr>
          <w:p w14:paraId="1DF81FDB" w14:textId="36FD6F56" w:rsidR="00395B24" w:rsidRDefault="002C7385" w:rsidP="00663878">
            <w:pPr>
              <w:pStyle w:val="Normal1linespace"/>
              <w:widowControl w:val="0"/>
              <w:jc w:val="left"/>
            </w:pPr>
            <w:r>
              <w:t>Judg</w:t>
            </w:r>
            <w:r w:rsidR="002E774E">
              <w:t>m</w:t>
            </w:r>
            <w:r>
              <w:t>e</w:t>
            </w:r>
            <w:r w:rsidR="002E774E">
              <w:t>nt of</w:t>
            </w:r>
            <w:r>
              <w:t>:</w:t>
            </w:r>
          </w:p>
        </w:tc>
        <w:tc>
          <w:tcPr>
            <w:tcW w:w="5989" w:type="dxa"/>
            <w:shd w:val="clear" w:color="auto" w:fill="auto"/>
          </w:tcPr>
          <w:p w14:paraId="52EACA22" w14:textId="77777777" w:rsidR="00395B24" w:rsidRDefault="002C7385" w:rsidP="00663878">
            <w:pPr>
              <w:pStyle w:val="Normal1linespace"/>
              <w:widowControl w:val="0"/>
              <w:jc w:val="left"/>
              <w:rPr>
                <w:b/>
              </w:rPr>
            </w:pPr>
            <w:r w:rsidRPr="00117587">
              <w:rPr>
                <w:b/>
              </w:rPr>
              <w:fldChar w:fldCharType="begin" w:fldLock="1"/>
            </w:r>
            <w:r w:rsidRPr="00117587">
              <w:rPr>
                <w:b/>
              </w:rPr>
              <w:instrText xml:space="preserve"> REF  Judge  \* MERGEFORMAT </w:instrText>
            </w:r>
            <w:r w:rsidRPr="00117587">
              <w:rPr>
                <w:b/>
              </w:rPr>
              <w:fldChar w:fldCharType="separate"/>
            </w:r>
            <w:r w:rsidR="00117587" w:rsidRPr="00117587">
              <w:rPr>
                <w:b/>
                <w:caps/>
                <w:szCs w:val="24"/>
              </w:rPr>
              <w:t>THAWLEY J</w:t>
            </w:r>
            <w:r w:rsidRPr="00117587">
              <w:rPr>
                <w:b/>
              </w:rPr>
              <w:fldChar w:fldCharType="end"/>
            </w:r>
          </w:p>
        </w:tc>
      </w:tr>
      <w:tr w:rsidR="00395B24" w14:paraId="5FB4CB60" w14:textId="77777777" w:rsidTr="00117587">
        <w:tc>
          <w:tcPr>
            <w:tcW w:w="3085" w:type="dxa"/>
            <w:shd w:val="clear" w:color="auto" w:fill="auto"/>
          </w:tcPr>
          <w:p w14:paraId="4144D5E1" w14:textId="77777777" w:rsidR="00395B24" w:rsidRDefault="00395B24" w:rsidP="00663878">
            <w:pPr>
              <w:pStyle w:val="Normal1linespace"/>
              <w:widowControl w:val="0"/>
              <w:jc w:val="left"/>
            </w:pPr>
          </w:p>
        </w:tc>
        <w:tc>
          <w:tcPr>
            <w:tcW w:w="5989" w:type="dxa"/>
            <w:shd w:val="clear" w:color="auto" w:fill="auto"/>
          </w:tcPr>
          <w:p w14:paraId="08CDF175" w14:textId="77777777" w:rsidR="00395B24" w:rsidRDefault="00395B24" w:rsidP="00663878">
            <w:pPr>
              <w:pStyle w:val="Normal1linespace"/>
              <w:widowControl w:val="0"/>
              <w:jc w:val="left"/>
            </w:pPr>
          </w:p>
        </w:tc>
      </w:tr>
      <w:tr w:rsidR="00395B24" w14:paraId="462446FE" w14:textId="77777777" w:rsidTr="00117587">
        <w:tc>
          <w:tcPr>
            <w:tcW w:w="3085" w:type="dxa"/>
            <w:shd w:val="clear" w:color="auto" w:fill="auto"/>
          </w:tcPr>
          <w:p w14:paraId="35EB12B8" w14:textId="77777777" w:rsidR="00395B24" w:rsidRDefault="002C7385" w:rsidP="00663878">
            <w:pPr>
              <w:pStyle w:val="Normal1linespace"/>
              <w:widowControl w:val="0"/>
              <w:jc w:val="left"/>
            </w:pPr>
            <w:r>
              <w:t>Date of judgment:</w:t>
            </w:r>
          </w:p>
        </w:tc>
        <w:tc>
          <w:tcPr>
            <w:tcW w:w="5989" w:type="dxa"/>
            <w:shd w:val="clear" w:color="auto" w:fill="auto"/>
          </w:tcPr>
          <w:p w14:paraId="1639E574" w14:textId="5DEDD01D" w:rsidR="00395B24" w:rsidRDefault="00BD6583" w:rsidP="00663878">
            <w:pPr>
              <w:pStyle w:val="Normal1linespace"/>
              <w:widowControl w:val="0"/>
              <w:jc w:val="left"/>
            </w:pPr>
            <w:bookmarkStart w:id="1" w:name="JudgmentDate"/>
            <w:r w:rsidRPr="003D4EA5">
              <w:t>14 September 2020</w:t>
            </w:r>
            <w:bookmarkEnd w:id="1"/>
          </w:p>
        </w:tc>
      </w:tr>
      <w:tr w:rsidR="00395B24" w14:paraId="38C59DDA" w14:textId="77777777" w:rsidTr="00117587">
        <w:tc>
          <w:tcPr>
            <w:tcW w:w="3085" w:type="dxa"/>
            <w:shd w:val="clear" w:color="auto" w:fill="auto"/>
          </w:tcPr>
          <w:p w14:paraId="78C44C6C" w14:textId="77777777" w:rsidR="00395B24" w:rsidRDefault="00395B24" w:rsidP="00663878">
            <w:pPr>
              <w:pStyle w:val="Normal1linespace"/>
              <w:widowControl w:val="0"/>
              <w:jc w:val="left"/>
            </w:pPr>
          </w:p>
        </w:tc>
        <w:tc>
          <w:tcPr>
            <w:tcW w:w="5989" w:type="dxa"/>
            <w:shd w:val="clear" w:color="auto" w:fill="auto"/>
          </w:tcPr>
          <w:p w14:paraId="1DB4B662" w14:textId="77777777" w:rsidR="00395B24" w:rsidRDefault="00395B24" w:rsidP="00663878">
            <w:pPr>
              <w:pStyle w:val="Normal1linespace"/>
              <w:widowControl w:val="0"/>
              <w:jc w:val="left"/>
            </w:pPr>
          </w:p>
        </w:tc>
      </w:tr>
      <w:tr w:rsidR="00395B24" w14:paraId="04D4AEDB" w14:textId="77777777" w:rsidTr="00117587">
        <w:tc>
          <w:tcPr>
            <w:tcW w:w="3085" w:type="dxa"/>
            <w:shd w:val="clear" w:color="auto" w:fill="auto"/>
          </w:tcPr>
          <w:p w14:paraId="10457C48" w14:textId="77777777" w:rsidR="00395B24" w:rsidRDefault="002C7385" w:rsidP="00663878">
            <w:pPr>
              <w:pStyle w:val="Normal1linespace"/>
              <w:widowControl w:val="0"/>
              <w:jc w:val="left"/>
            </w:pPr>
            <w:r>
              <w:t>Catchwords:</w:t>
            </w:r>
          </w:p>
        </w:tc>
        <w:tc>
          <w:tcPr>
            <w:tcW w:w="5989" w:type="dxa"/>
            <w:shd w:val="clear" w:color="auto" w:fill="auto"/>
          </w:tcPr>
          <w:p w14:paraId="54BD7F97" w14:textId="229F3899" w:rsidR="00395B24" w:rsidRDefault="001B4AF3" w:rsidP="000C5B6B">
            <w:pPr>
              <w:pStyle w:val="Normal1linespace"/>
              <w:widowControl w:val="0"/>
              <w:jc w:val="left"/>
            </w:pPr>
            <w:bookmarkStart w:id="2" w:name="Catchwords"/>
            <w:r>
              <w:rPr>
                <w:b/>
              </w:rPr>
              <w:t xml:space="preserve">PRACTICE AND PROCEDURE – </w:t>
            </w:r>
            <w:r>
              <w:t xml:space="preserve">application to set aside service and discharge leave to serve first respondent in the United States under r 13.01 of </w:t>
            </w:r>
            <w:r>
              <w:rPr>
                <w:i/>
              </w:rPr>
              <w:t xml:space="preserve">Federal Court Rules 2011 </w:t>
            </w:r>
            <w:r>
              <w:t>(</w:t>
            </w:r>
            <w:proofErr w:type="spellStart"/>
            <w:r>
              <w:t>Cth</w:t>
            </w:r>
            <w:proofErr w:type="spellEnd"/>
            <w:r>
              <w:t xml:space="preserve">) – whether prima facie case </w:t>
            </w:r>
            <w:r w:rsidR="000C5B6B">
              <w:t xml:space="preserve">that first respondent had an “Australian link” pursuant to s 5B(3) of the </w:t>
            </w:r>
            <w:r w:rsidR="000C5B6B">
              <w:rPr>
                <w:i/>
              </w:rPr>
              <w:t>Privacy Act 1988</w:t>
            </w:r>
            <w:r w:rsidR="000C5B6B">
              <w:t xml:space="preserve"> (</w:t>
            </w:r>
            <w:proofErr w:type="spellStart"/>
            <w:r w:rsidR="000C5B6B">
              <w:t>Cth</w:t>
            </w:r>
            <w:proofErr w:type="spellEnd"/>
            <w:r w:rsidR="000C5B6B">
              <w:t>) – application dismissed</w:t>
            </w:r>
            <w:r>
              <w:t xml:space="preserve"> </w:t>
            </w:r>
            <w:r w:rsidR="002C7385">
              <w:t xml:space="preserve"> </w:t>
            </w:r>
            <w:bookmarkEnd w:id="2"/>
          </w:p>
        </w:tc>
      </w:tr>
      <w:tr w:rsidR="00395B24" w14:paraId="4E811EA9" w14:textId="77777777" w:rsidTr="00117587">
        <w:tc>
          <w:tcPr>
            <w:tcW w:w="3085" w:type="dxa"/>
            <w:shd w:val="clear" w:color="auto" w:fill="auto"/>
          </w:tcPr>
          <w:p w14:paraId="6E44C9B8" w14:textId="77777777" w:rsidR="00395B24" w:rsidRDefault="00395B24" w:rsidP="00663878">
            <w:pPr>
              <w:pStyle w:val="Normal1linespace"/>
              <w:widowControl w:val="0"/>
              <w:jc w:val="left"/>
            </w:pPr>
          </w:p>
        </w:tc>
        <w:tc>
          <w:tcPr>
            <w:tcW w:w="5989" w:type="dxa"/>
            <w:shd w:val="clear" w:color="auto" w:fill="auto"/>
          </w:tcPr>
          <w:p w14:paraId="5FFB8098" w14:textId="77777777" w:rsidR="00395B24" w:rsidRDefault="00395B24" w:rsidP="00663878">
            <w:pPr>
              <w:pStyle w:val="Normal1linespace"/>
              <w:widowControl w:val="0"/>
              <w:jc w:val="left"/>
            </w:pPr>
          </w:p>
        </w:tc>
      </w:tr>
      <w:tr w:rsidR="00395B24" w14:paraId="4A599267" w14:textId="77777777" w:rsidTr="00117587">
        <w:tc>
          <w:tcPr>
            <w:tcW w:w="3085" w:type="dxa"/>
            <w:shd w:val="clear" w:color="auto" w:fill="auto"/>
          </w:tcPr>
          <w:p w14:paraId="4A821242" w14:textId="77777777" w:rsidR="00395B24" w:rsidRDefault="002C7385" w:rsidP="00663878">
            <w:pPr>
              <w:pStyle w:val="Normal1linespace"/>
              <w:widowControl w:val="0"/>
              <w:jc w:val="left"/>
            </w:pPr>
            <w:r>
              <w:t>Legislation:</w:t>
            </w:r>
          </w:p>
        </w:tc>
        <w:tc>
          <w:tcPr>
            <w:tcW w:w="5989" w:type="dxa"/>
            <w:shd w:val="clear" w:color="auto" w:fill="auto"/>
          </w:tcPr>
          <w:p w14:paraId="1A5338D9" w14:textId="60B24D86" w:rsidR="00AF22B0" w:rsidRDefault="00AF22B0" w:rsidP="00D82620">
            <w:pPr>
              <w:pStyle w:val="CasesLegislationAppealFrom"/>
              <w:spacing w:after="60"/>
              <w:rPr>
                <w:i/>
              </w:rPr>
            </w:pPr>
            <w:bookmarkStart w:id="3" w:name="Legislation"/>
            <w:r w:rsidRPr="00565A9A">
              <w:rPr>
                <w:i/>
              </w:rPr>
              <w:t xml:space="preserve">Corporations Act 2001 </w:t>
            </w:r>
            <w:r>
              <w:t>(</w:t>
            </w:r>
            <w:proofErr w:type="spellStart"/>
            <w:r>
              <w:t>Cth</w:t>
            </w:r>
            <w:proofErr w:type="spellEnd"/>
            <w:r>
              <w:t>) s 9</w:t>
            </w:r>
          </w:p>
          <w:p w14:paraId="00A02177" w14:textId="77777777" w:rsidR="00F3591D" w:rsidRDefault="00F3591D" w:rsidP="00F3591D">
            <w:pPr>
              <w:pStyle w:val="CasesLegislationAppealFrom"/>
              <w:spacing w:after="60"/>
            </w:pPr>
            <w:r w:rsidRPr="00F71D8F">
              <w:rPr>
                <w:i/>
              </w:rPr>
              <w:t xml:space="preserve">Federal Court </w:t>
            </w:r>
            <w:r w:rsidRPr="00DB339B">
              <w:rPr>
                <w:i/>
              </w:rPr>
              <w:t>Rules</w:t>
            </w:r>
            <w:r w:rsidRPr="00F71D8F">
              <w:rPr>
                <w:i/>
              </w:rPr>
              <w:t xml:space="preserve"> 2011</w:t>
            </w:r>
            <w:r>
              <w:t xml:space="preserve"> (</w:t>
            </w:r>
            <w:proofErr w:type="spellStart"/>
            <w:r>
              <w:t>Cth</w:t>
            </w:r>
            <w:proofErr w:type="spellEnd"/>
            <w:r>
              <w:t xml:space="preserve">) </w:t>
            </w:r>
            <w:proofErr w:type="spellStart"/>
            <w:r>
              <w:t>rr</w:t>
            </w:r>
            <w:proofErr w:type="spellEnd"/>
            <w:r>
              <w:t xml:space="preserve"> 10.43, 13.01</w:t>
            </w:r>
          </w:p>
          <w:p w14:paraId="5DC7D7DC" w14:textId="2EBAB7CC" w:rsidR="00AF22B0" w:rsidRDefault="00AF22B0" w:rsidP="00D82620">
            <w:pPr>
              <w:pStyle w:val="CasesLegislationAppealFrom"/>
              <w:spacing w:after="60"/>
            </w:pPr>
            <w:r w:rsidRPr="00DB339B">
              <w:rPr>
                <w:i/>
              </w:rPr>
              <w:t>Privacy Act</w:t>
            </w:r>
            <w:r w:rsidRPr="0088559B">
              <w:rPr>
                <w:i/>
              </w:rPr>
              <w:t xml:space="preserve"> </w:t>
            </w:r>
            <w:r w:rsidRPr="007B5574">
              <w:rPr>
                <w:i/>
              </w:rPr>
              <w:t>1988</w:t>
            </w:r>
            <w:r>
              <w:t xml:space="preserve"> (</w:t>
            </w:r>
            <w:proofErr w:type="spellStart"/>
            <w:r>
              <w:t>Cth</w:t>
            </w:r>
            <w:proofErr w:type="spellEnd"/>
            <w:r>
              <w:t xml:space="preserve">) </w:t>
            </w:r>
            <w:proofErr w:type="spellStart"/>
            <w:r>
              <w:t>ss</w:t>
            </w:r>
            <w:proofErr w:type="spellEnd"/>
            <w:r>
              <w:t xml:space="preserve"> 2A, 5B, 6, 13G</w:t>
            </w:r>
            <w:r w:rsidR="002D69CE">
              <w:t>, 44</w:t>
            </w:r>
          </w:p>
          <w:p w14:paraId="7B035826" w14:textId="54E9372F" w:rsidR="00395B24" w:rsidRDefault="00AF22B0" w:rsidP="00D82620">
            <w:pPr>
              <w:pStyle w:val="CasesLegislationAppealFrom"/>
              <w:spacing w:after="60"/>
            </w:pPr>
            <w:r>
              <w:t xml:space="preserve">Explanatory Memorandum, </w:t>
            </w:r>
            <w:r w:rsidRPr="00565A9A">
              <w:rPr>
                <w:i/>
              </w:rPr>
              <w:t>Privacy Amendment (Enhancing Privacy Protection) Bill 2012</w:t>
            </w:r>
            <w:r>
              <w:t xml:space="preserve"> (</w:t>
            </w:r>
            <w:proofErr w:type="spellStart"/>
            <w:r>
              <w:t>Cth</w:t>
            </w:r>
            <w:proofErr w:type="spellEnd"/>
            <w:r>
              <w:t>)</w:t>
            </w:r>
            <w:r w:rsidR="002C7385">
              <w:t xml:space="preserve"> </w:t>
            </w:r>
            <w:bookmarkEnd w:id="3"/>
          </w:p>
        </w:tc>
      </w:tr>
      <w:tr w:rsidR="00395B24" w14:paraId="7F7E6DC4" w14:textId="77777777" w:rsidTr="00117587">
        <w:tc>
          <w:tcPr>
            <w:tcW w:w="3085" w:type="dxa"/>
            <w:shd w:val="clear" w:color="auto" w:fill="auto"/>
          </w:tcPr>
          <w:p w14:paraId="69526922" w14:textId="77777777" w:rsidR="00395B24" w:rsidRDefault="00395B24" w:rsidP="00663878">
            <w:pPr>
              <w:pStyle w:val="Normal1linespace"/>
              <w:widowControl w:val="0"/>
              <w:jc w:val="left"/>
            </w:pPr>
          </w:p>
        </w:tc>
        <w:tc>
          <w:tcPr>
            <w:tcW w:w="5989" w:type="dxa"/>
            <w:shd w:val="clear" w:color="auto" w:fill="auto"/>
          </w:tcPr>
          <w:p w14:paraId="199836E3" w14:textId="77777777" w:rsidR="00395B24" w:rsidRDefault="00395B24" w:rsidP="00663878">
            <w:pPr>
              <w:pStyle w:val="Normal1linespace"/>
              <w:widowControl w:val="0"/>
              <w:jc w:val="left"/>
            </w:pPr>
          </w:p>
        </w:tc>
      </w:tr>
      <w:tr w:rsidR="00395B24" w14:paraId="4137D1CA" w14:textId="77777777" w:rsidTr="00117587">
        <w:tc>
          <w:tcPr>
            <w:tcW w:w="3085" w:type="dxa"/>
            <w:shd w:val="clear" w:color="auto" w:fill="auto"/>
          </w:tcPr>
          <w:p w14:paraId="3045E719" w14:textId="77777777" w:rsidR="00395B24" w:rsidRDefault="002C7385" w:rsidP="00663878">
            <w:pPr>
              <w:pStyle w:val="Normal1linespace"/>
              <w:widowControl w:val="0"/>
              <w:jc w:val="left"/>
            </w:pPr>
            <w:r>
              <w:t>Cases cited:</w:t>
            </w:r>
          </w:p>
        </w:tc>
        <w:tc>
          <w:tcPr>
            <w:tcW w:w="5989" w:type="dxa"/>
            <w:shd w:val="clear" w:color="auto" w:fill="auto"/>
          </w:tcPr>
          <w:p w14:paraId="19E2C10D" w14:textId="5EEEB247" w:rsidR="002D69CE" w:rsidRDefault="002D69CE" w:rsidP="00D82620">
            <w:pPr>
              <w:pStyle w:val="CasesLegislationAppealFrom"/>
              <w:spacing w:after="60"/>
              <w:rPr>
                <w:i/>
                <w:iCs/>
              </w:rPr>
            </w:pPr>
            <w:bookmarkStart w:id="4" w:name="Cases_Cited"/>
            <w:r w:rsidRPr="00DB339B">
              <w:rPr>
                <w:i/>
              </w:rPr>
              <w:t>Adams</w:t>
            </w:r>
            <w:r>
              <w:rPr>
                <w:i/>
              </w:rPr>
              <w:t xml:space="preserve"> v Cape Industries </w:t>
            </w:r>
            <w:r w:rsidRPr="00F47FD1">
              <w:t xml:space="preserve">[1990] 1 </w:t>
            </w:r>
            <w:proofErr w:type="spellStart"/>
            <w:r w:rsidRPr="00F47FD1">
              <w:t>Ch</w:t>
            </w:r>
            <w:proofErr w:type="spellEnd"/>
            <w:r w:rsidRPr="00F47FD1">
              <w:t xml:space="preserve"> 433</w:t>
            </w:r>
          </w:p>
          <w:p w14:paraId="7E0DCAE1" w14:textId="1444CCAF" w:rsidR="00AF22B0" w:rsidRDefault="00AF22B0" w:rsidP="00D82620">
            <w:pPr>
              <w:pStyle w:val="CasesLegislationAppealFrom"/>
              <w:spacing w:after="60"/>
            </w:pPr>
            <w:r w:rsidRPr="00615E78">
              <w:rPr>
                <w:i/>
                <w:iCs/>
              </w:rPr>
              <w:t xml:space="preserve">Akai Pty Limited (in </w:t>
            </w:r>
            <w:proofErr w:type="spellStart"/>
            <w:r w:rsidRPr="00615E78">
              <w:rPr>
                <w:i/>
                <w:iCs/>
              </w:rPr>
              <w:t>liq</w:t>
            </w:r>
            <w:proofErr w:type="spellEnd"/>
            <w:r w:rsidRPr="00615E78">
              <w:rPr>
                <w:i/>
                <w:iCs/>
              </w:rPr>
              <w:t xml:space="preserve">) v </w:t>
            </w:r>
            <w:proofErr w:type="spellStart"/>
            <w:r w:rsidRPr="00493934">
              <w:rPr>
                <w:i/>
                <w:iCs/>
              </w:rPr>
              <w:t>Ho</w:t>
            </w:r>
            <w:proofErr w:type="spellEnd"/>
            <w:r w:rsidRPr="00615E78">
              <w:rPr>
                <w:i/>
                <w:iCs/>
              </w:rPr>
              <w:t xml:space="preserve"> </w:t>
            </w:r>
            <w:r w:rsidRPr="00615E78">
              <w:t xml:space="preserve">(2006) </w:t>
            </w:r>
            <w:r>
              <w:t>230 ALR 107</w:t>
            </w:r>
          </w:p>
          <w:p w14:paraId="2E6D1CAF" w14:textId="77715B86" w:rsidR="002D69CE" w:rsidRDefault="002D69CE" w:rsidP="00D82620">
            <w:pPr>
              <w:pStyle w:val="CasesLegislationAppealFrom"/>
              <w:spacing w:after="60"/>
            </w:pPr>
            <w:r w:rsidRPr="00DB339B">
              <w:rPr>
                <w:i/>
              </w:rPr>
              <w:t>Amalgamated Wireless</w:t>
            </w:r>
            <w:r>
              <w:rPr>
                <w:i/>
              </w:rPr>
              <w:t xml:space="preserve"> (Australia) Ltd</w:t>
            </w:r>
            <w:r w:rsidRPr="00620634">
              <w:rPr>
                <w:i/>
              </w:rPr>
              <w:t xml:space="preserve"> v McDonnell Douglas</w:t>
            </w:r>
            <w:r>
              <w:rPr>
                <w:i/>
              </w:rPr>
              <w:t xml:space="preserve"> Corp</w:t>
            </w:r>
            <w:r>
              <w:t xml:space="preserve"> (1987) 16 FCR 238</w:t>
            </w:r>
          </w:p>
          <w:p w14:paraId="123F45B1" w14:textId="51FA494D" w:rsidR="00AF22B0" w:rsidRDefault="00AF22B0" w:rsidP="00D82620">
            <w:pPr>
              <w:pStyle w:val="CasesLegislationAppealFrom"/>
              <w:spacing w:after="60"/>
              <w:rPr>
                <w:i/>
                <w:iCs/>
              </w:rPr>
            </w:pPr>
            <w:proofErr w:type="spellStart"/>
            <w:r w:rsidRPr="00DB339B">
              <w:rPr>
                <w:i/>
              </w:rPr>
              <w:t>Apotex</w:t>
            </w:r>
            <w:proofErr w:type="spellEnd"/>
            <w:r w:rsidRPr="00D714B1">
              <w:rPr>
                <w:i/>
              </w:rPr>
              <w:t xml:space="preserve"> Pty Ltd v Les </w:t>
            </w:r>
            <w:proofErr w:type="spellStart"/>
            <w:r w:rsidRPr="00D714B1">
              <w:rPr>
                <w:i/>
              </w:rPr>
              <w:t>Laboratoires</w:t>
            </w:r>
            <w:proofErr w:type="spellEnd"/>
            <w:r w:rsidRPr="00D714B1">
              <w:rPr>
                <w:i/>
              </w:rPr>
              <w:t xml:space="preserve"> </w:t>
            </w:r>
            <w:proofErr w:type="spellStart"/>
            <w:r w:rsidRPr="00D714B1">
              <w:rPr>
                <w:i/>
              </w:rPr>
              <w:t>Servier</w:t>
            </w:r>
            <w:proofErr w:type="spellEnd"/>
            <w:r w:rsidRPr="00D714B1">
              <w:rPr>
                <w:i/>
              </w:rPr>
              <w:t xml:space="preserve"> (No 2)</w:t>
            </w:r>
            <w:r w:rsidRPr="00D714B1">
              <w:t xml:space="preserve"> </w:t>
            </w:r>
            <w:r>
              <w:t>(2012) 293 ALR 272</w:t>
            </w:r>
          </w:p>
          <w:p w14:paraId="69974584" w14:textId="4F7CC9DD" w:rsidR="00AF22B0" w:rsidRDefault="00AF22B0" w:rsidP="00D82620">
            <w:pPr>
              <w:pStyle w:val="CasesLegislationAppealFrom"/>
              <w:spacing w:after="60"/>
            </w:pPr>
            <w:proofErr w:type="spellStart"/>
            <w:r w:rsidRPr="007B5574">
              <w:rPr>
                <w:i/>
                <w:iCs/>
              </w:rPr>
              <w:t>Armacel</w:t>
            </w:r>
            <w:proofErr w:type="spellEnd"/>
            <w:r>
              <w:rPr>
                <w:i/>
                <w:iCs/>
                <w:spacing w:val="18"/>
              </w:rPr>
              <w:t xml:space="preserve"> </w:t>
            </w:r>
            <w:r>
              <w:rPr>
                <w:i/>
                <w:iCs/>
              </w:rPr>
              <w:t>Pty</w:t>
            </w:r>
            <w:r>
              <w:rPr>
                <w:i/>
                <w:iCs/>
                <w:spacing w:val="18"/>
              </w:rPr>
              <w:t xml:space="preserve"> </w:t>
            </w:r>
            <w:r>
              <w:rPr>
                <w:i/>
                <w:iCs/>
              </w:rPr>
              <w:t>Ltd</w:t>
            </w:r>
            <w:r>
              <w:rPr>
                <w:i/>
                <w:iCs/>
                <w:spacing w:val="17"/>
              </w:rPr>
              <w:t xml:space="preserve"> </w:t>
            </w:r>
            <w:r>
              <w:rPr>
                <w:i/>
                <w:iCs/>
              </w:rPr>
              <w:t>v</w:t>
            </w:r>
            <w:r>
              <w:rPr>
                <w:i/>
                <w:iCs/>
                <w:spacing w:val="18"/>
              </w:rPr>
              <w:t xml:space="preserve"> </w:t>
            </w:r>
            <w:r>
              <w:rPr>
                <w:i/>
                <w:iCs/>
              </w:rPr>
              <w:t>Smurfit Stone</w:t>
            </w:r>
            <w:r>
              <w:rPr>
                <w:i/>
                <w:iCs/>
                <w:spacing w:val="-12"/>
              </w:rPr>
              <w:t xml:space="preserve"> </w:t>
            </w:r>
            <w:r>
              <w:rPr>
                <w:i/>
                <w:iCs/>
              </w:rPr>
              <w:t>Container</w:t>
            </w:r>
            <w:r>
              <w:rPr>
                <w:i/>
                <w:iCs/>
                <w:spacing w:val="-13"/>
              </w:rPr>
              <w:t xml:space="preserve"> </w:t>
            </w:r>
            <w:r>
              <w:rPr>
                <w:i/>
                <w:iCs/>
              </w:rPr>
              <w:t>Corp</w:t>
            </w:r>
            <w:r>
              <w:rPr>
                <w:i/>
                <w:iCs/>
                <w:spacing w:val="-13"/>
              </w:rPr>
              <w:t xml:space="preserve"> </w:t>
            </w:r>
            <w:r>
              <w:t>(2008)</w:t>
            </w:r>
            <w:r>
              <w:rPr>
                <w:spacing w:val="-12"/>
              </w:rPr>
              <w:t xml:space="preserve"> </w:t>
            </w:r>
            <w:r>
              <w:t>248</w:t>
            </w:r>
            <w:r>
              <w:rPr>
                <w:spacing w:val="-12"/>
              </w:rPr>
              <w:t xml:space="preserve"> </w:t>
            </w:r>
            <w:r>
              <w:t>ALR</w:t>
            </w:r>
            <w:r>
              <w:rPr>
                <w:spacing w:val="-13"/>
              </w:rPr>
              <w:t xml:space="preserve"> </w:t>
            </w:r>
            <w:r>
              <w:t>573</w:t>
            </w:r>
          </w:p>
          <w:p w14:paraId="015906A5" w14:textId="77E61B53" w:rsidR="00AF22B0" w:rsidRDefault="00AF22B0" w:rsidP="00D82620">
            <w:pPr>
              <w:pStyle w:val="CasesLegislationAppealFrom"/>
              <w:spacing w:after="60"/>
            </w:pPr>
            <w:r w:rsidRPr="0009364A">
              <w:rPr>
                <w:i/>
              </w:rPr>
              <w:t>Australian Competition and Consumer Commission v Valve Corp (No 3)</w:t>
            </w:r>
            <w:r w:rsidRPr="00625234">
              <w:t xml:space="preserve"> (2016) 337 ALR 647</w:t>
            </w:r>
          </w:p>
          <w:p w14:paraId="51B326A1" w14:textId="1630F30D" w:rsidR="00AF22B0" w:rsidRDefault="00AF22B0" w:rsidP="00D82620">
            <w:pPr>
              <w:pStyle w:val="CasesLegislationAppealFrom"/>
              <w:spacing w:after="60"/>
            </w:pPr>
            <w:r w:rsidRPr="00F47FD1">
              <w:rPr>
                <w:i/>
                <w:iCs/>
              </w:rPr>
              <w:t xml:space="preserve">Australian Competition and Consumer Commission v </w:t>
            </w:r>
            <w:proofErr w:type="spellStart"/>
            <w:r w:rsidRPr="00F47FD1">
              <w:rPr>
                <w:i/>
                <w:iCs/>
              </w:rPr>
              <w:t>Yazaki</w:t>
            </w:r>
            <w:proofErr w:type="spellEnd"/>
            <w:r w:rsidRPr="00F47FD1">
              <w:rPr>
                <w:i/>
                <w:iCs/>
              </w:rPr>
              <w:t xml:space="preserve"> Corporation (No 2) </w:t>
            </w:r>
            <w:r>
              <w:t>(2015) 332 ALR 396</w:t>
            </w:r>
          </w:p>
          <w:p w14:paraId="6EE8F0F1" w14:textId="11241E82" w:rsidR="00AF22B0" w:rsidRDefault="00AF22B0" w:rsidP="00D82620">
            <w:pPr>
              <w:pStyle w:val="CasesLegislationAppealFrom"/>
              <w:spacing w:after="60"/>
            </w:pPr>
            <w:r w:rsidRPr="00F47FD1">
              <w:rPr>
                <w:i/>
                <w:iCs/>
              </w:rPr>
              <w:t xml:space="preserve">Australian Competition and Consumer Commission v </w:t>
            </w:r>
            <w:proofErr w:type="spellStart"/>
            <w:r w:rsidRPr="00F47FD1">
              <w:rPr>
                <w:i/>
                <w:iCs/>
              </w:rPr>
              <w:t>Yazaki</w:t>
            </w:r>
            <w:proofErr w:type="spellEnd"/>
            <w:r w:rsidRPr="00F47FD1">
              <w:rPr>
                <w:i/>
                <w:iCs/>
              </w:rPr>
              <w:t xml:space="preserve"> Corporation </w:t>
            </w:r>
            <w:r w:rsidRPr="001A3CF9">
              <w:rPr>
                <w:lang w:val="en-US"/>
              </w:rPr>
              <w:t>(2018) 262 FCR 243</w:t>
            </w:r>
          </w:p>
          <w:p w14:paraId="0FDC0D34" w14:textId="57D812E3" w:rsidR="00AF22B0" w:rsidRDefault="00AF22B0" w:rsidP="00D82620">
            <w:pPr>
              <w:pStyle w:val="CasesLegislationAppealFrom"/>
              <w:spacing w:after="60"/>
              <w:rPr>
                <w:i/>
              </w:rPr>
            </w:pPr>
            <w:r>
              <w:rPr>
                <w:i/>
              </w:rPr>
              <w:t xml:space="preserve">Australian Competition and Consumer Commission v </w:t>
            </w:r>
            <w:r w:rsidRPr="0029117B">
              <w:rPr>
                <w:i/>
              </w:rPr>
              <w:t>Yellow Page Marketing</w:t>
            </w:r>
            <w:r>
              <w:rPr>
                <w:i/>
              </w:rPr>
              <w:t xml:space="preserve"> BV </w:t>
            </w:r>
            <w:r>
              <w:t>[2010] FCA 1218</w:t>
            </w:r>
          </w:p>
          <w:p w14:paraId="504711BD" w14:textId="13E6C685" w:rsidR="00AF22B0" w:rsidRDefault="00AF22B0" w:rsidP="00D82620">
            <w:pPr>
              <w:pStyle w:val="CasesLegislationAppealFrom"/>
              <w:spacing w:after="60"/>
            </w:pPr>
            <w:r w:rsidRPr="00F71D8F">
              <w:rPr>
                <w:i/>
              </w:rPr>
              <w:t xml:space="preserve">Australian Information Commission v Facebook </w:t>
            </w:r>
            <w:proofErr w:type="spellStart"/>
            <w:r w:rsidRPr="00F71D8F">
              <w:rPr>
                <w:i/>
              </w:rPr>
              <w:t>Inc</w:t>
            </w:r>
            <w:proofErr w:type="spellEnd"/>
            <w:r w:rsidRPr="00D8527F">
              <w:t xml:space="preserve"> </w:t>
            </w:r>
            <w:r>
              <w:t>[2020] FCA 531</w:t>
            </w:r>
          </w:p>
          <w:p w14:paraId="175A9DCE" w14:textId="27790798" w:rsidR="00AF22B0" w:rsidRDefault="00AF22B0" w:rsidP="00D82620">
            <w:pPr>
              <w:pStyle w:val="CasesLegislationAppealFrom"/>
              <w:spacing w:after="60"/>
            </w:pPr>
            <w:proofErr w:type="spellStart"/>
            <w:r w:rsidRPr="00FD03EA">
              <w:rPr>
                <w:i/>
              </w:rPr>
              <w:t>Blatch</w:t>
            </w:r>
            <w:proofErr w:type="spellEnd"/>
            <w:r w:rsidRPr="00FD03EA">
              <w:rPr>
                <w:i/>
              </w:rPr>
              <w:t xml:space="preserve"> v Archer</w:t>
            </w:r>
            <w:r w:rsidRPr="00E20237">
              <w:t xml:space="preserve"> (1774) 1 </w:t>
            </w:r>
            <w:proofErr w:type="spellStart"/>
            <w:r w:rsidRPr="00E20237">
              <w:t>Cowp</w:t>
            </w:r>
            <w:proofErr w:type="spellEnd"/>
            <w:r w:rsidRPr="00E20237">
              <w:t xml:space="preserve"> 63</w:t>
            </w:r>
          </w:p>
          <w:p w14:paraId="65685B91" w14:textId="75181D9D" w:rsidR="002D69CE" w:rsidRDefault="002D69CE" w:rsidP="00D82620">
            <w:pPr>
              <w:pStyle w:val="CasesLegislationAppealFrom"/>
              <w:spacing w:after="60"/>
              <w:rPr>
                <w:i/>
              </w:rPr>
            </w:pPr>
            <w:r w:rsidRPr="00D263CD">
              <w:rPr>
                <w:i/>
                <w:iCs/>
                <w:lang w:val="en-US"/>
              </w:rPr>
              <w:t>Board of Trade v Hammond Elevator Co</w:t>
            </w:r>
            <w:r w:rsidRPr="00D263CD">
              <w:rPr>
                <w:lang w:val="en-US"/>
              </w:rPr>
              <w:t xml:space="preserve"> 198 US 424 </w:t>
            </w:r>
            <w:r>
              <w:rPr>
                <w:lang w:val="en-US"/>
              </w:rPr>
              <w:t>(1905)</w:t>
            </w:r>
          </w:p>
          <w:p w14:paraId="13E90BCE" w14:textId="169B7872" w:rsidR="00AF22B0" w:rsidRDefault="00AF22B0" w:rsidP="00D82620">
            <w:pPr>
              <w:pStyle w:val="CasesLegislationAppealFrom"/>
              <w:spacing w:after="60"/>
              <w:rPr>
                <w:i/>
                <w:iCs/>
              </w:rPr>
            </w:pPr>
            <w:r w:rsidRPr="00FB7B79">
              <w:rPr>
                <w:i/>
              </w:rPr>
              <w:t>Bray v F Hoffman-La Roche Ltd</w:t>
            </w:r>
            <w:r w:rsidRPr="00625234">
              <w:t xml:space="preserve"> </w:t>
            </w:r>
            <w:r>
              <w:t>(2002) 118 FCR 1</w:t>
            </w:r>
          </w:p>
          <w:p w14:paraId="63ADA426" w14:textId="7C4F868B" w:rsidR="00AF22B0" w:rsidRPr="001138EF" w:rsidRDefault="00AF22B0" w:rsidP="00D82620">
            <w:pPr>
              <w:pStyle w:val="CasesLegislationAppealFrom"/>
              <w:spacing w:after="60"/>
              <w:rPr>
                <w:szCs w:val="24"/>
              </w:rPr>
            </w:pPr>
            <w:r w:rsidRPr="001138EF">
              <w:rPr>
                <w:i/>
                <w:iCs/>
                <w:szCs w:val="24"/>
              </w:rPr>
              <w:lastRenderedPageBreak/>
              <w:t xml:space="preserve">Bray v F Hoffman-La Roche Ltd </w:t>
            </w:r>
            <w:r w:rsidRPr="001138EF">
              <w:rPr>
                <w:szCs w:val="24"/>
              </w:rPr>
              <w:t>(2003) 130 FCR 317</w:t>
            </w:r>
          </w:p>
          <w:p w14:paraId="11E979DC" w14:textId="29609A88" w:rsidR="002D69CE" w:rsidRPr="001138EF" w:rsidRDefault="002D69CE" w:rsidP="00D82620">
            <w:pPr>
              <w:pStyle w:val="CasesLegislationAppealFrom"/>
              <w:spacing w:after="60"/>
              <w:rPr>
                <w:szCs w:val="24"/>
              </w:rPr>
            </w:pPr>
            <w:r w:rsidRPr="001138EF">
              <w:rPr>
                <w:i/>
                <w:szCs w:val="24"/>
              </w:rPr>
              <w:t xml:space="preserve">Campbell v </w:t>
            </w:r>
            <w:proofErr w:type="spellStart"/>
            <w:r w:rsidRPr="001138EF">
              <w:rPr>
                <w:i/>
                <w:szCs w:val="24"/>
              </w:rPr>
              <w:t>Gebo</w:t>
            </w:r>
            <w:proofErr w:type="spellEnd"/>
            <w:r w:rsidRPr="001138EF">
              <w:rPr>
                <w:i/>
                <w:szCs w:val="24"/>
              </w:rPr>
              <w:t xml:space="preserve"> Investments (Labuan) Ltd </w:t>
            </w:r>
            <w:r w:rsidRPr="001138EF">
              <w:rPr>
                <w:szCs w:val="24"/>
              </w:rPr>
              <w:t>(2005) 190 FLR 209</w:t>
            </w:r>
          </w:p>
          <w:p w14:paraId="3298CB9B" w14:textId="7E818C11" w:rsidR="00AF22B0" w:rsidRPr="001138EF" w:rsidRDefault="00AF22B0" w:rsidP="00D82620">
            <w:pPr>
              <w:pStyle w:val="CasesLegislationAppealFrom"/>
              <w:spacing w:after="60"/>
              <w:rPr>
                <w:szCs w:val="24"/>
              </w:rPr>
            </w:pPr>
            <w:proofErr w:type="spellStart"/>
            <w:r w:rsidRPr="001138EF">
              <w:rPr>
                <w:i/>
                <w:szCs w:val="24"/>
              </w:rPr>
              <w:t>Carr</w:t>
            </w:r>
            <w:proofErr w:type="spellEnd"/>
            <w:r w:rsidRPr="001138EF">
              <w:rPr>
                <w:i/>
                <w:szCs w:val="24"/>
              </w:rPr>
              <w:t xml:space="preserve"> v Baker</w:t>
            </w:r>
            <w:r w:rsidRPr="001138EF">
              <w:rPr>
                <w:szCs w:val="24"/>
              </w:rPr>
              <w:t> (1936) 36 SR (NSW) 301</w:t>
            </w:r>
          </w:p>
          <w:p w14:paraId="4AE75F29" w14:textId="7C600A87" w:rsidR="00AF22B0" w:rsidRPr="001138EF" w:rsidRDefault="00AF22B0" w:rsidP="00D82620">
            <w:pPr>
              <w:pStyle w:val="CasesLegislationAppealFrom"/>
              <w:spacing w:after="60"/>
              <w:rPr>
                <w:szCs w:val="24"/>
              </w:rPr>
            </w:pPr>
            <w:r w:rsidRPr="001138EF">
              <w:rPr>
                <w:i/>
                <w:szCs w:val="24"/>
              </w:rPr>
              <w:t xml:space="preserve">Caswell v Powell </w:t>
            </w:r>
            <w:proofErr w:type="spellStart"/>
            <w:r w:rsidRPr="001138EF">
              <w:rPr>
                <w:i/>
                <w:szCs w:val="24"/>
              </w:rPr>
              <w:t>Duffryn</w:t>
            </w:r>
            <w:proofErr w:type="spellEnd"/>
            <w:r w:rsidRPr="001138EF">
              <w:rPr>
                <w:i/>
                <w:szCs w:val="24"/>
              </w:rPr>
              <w:t xml:space="preserve"> Associated Collieries, Limited </w:t>
            </w:r>
            <w:r w:rsidRPr="001138EF">
              <w:rPr>
                <w:szCs w:val="24"/>
              </w:rPr>
              <w:t>[1940] AC 152</w:t>
            </w:r>
          </w:p>
          <w:p w14:paraId="0B80D648" w14:textId="46106CC5" w:rsidR="002D69CE" w:rsidRPr="001138EF" w:rsidRDefault="002D69CE" w:rsidP="00D82620">
            <w:pPr>
              <w:pStyle w:val="CasesLegislationAppealFrom"/>
              <w:spacing w:after="60"/>
              <w:rPr>
                <w:szCs w:val="24"/>
              </w:rPr>
            </w:pPr>
            <w:r w:rsidRPr="001138EF">
              <w:rPr>
                <w:i/>
                <w:szCs w:val="24"/>
              </w:rPr>
              <w:t xml:space="preserve">Dow Jones v </w:t>
            </w:r>
            <w:proofErr w:type="spellStart"/>
            <w:r w:rsidRPr="001138EF">
              <w:rPr>
                <w:i/>
                <w:szCs w:val="24"/>
              </w:rPr>
              <w:t>Gutnick</w:t>
            </w:r>
            <w:proofErr w:type="spellEnd"/>
            <w:r w:rsidRPr="001138EF">
              <w:rPr>
                <w:i/>
                <w:szCs w:val="24"/>
              </w:rPr>
              <w:t xml:space="preserve"> </w:t>
            </w:r>
            <w:r w:rsidRPr="001138EF">
              <w:rPr>
                <w:szCs w:val="24"/>
              </w:rPr>
              <w:t>(2002) 210 CLR 575</w:t>
            </w:r>
          </w:p>
          <w:p w14:paraId="1A9514D5" w14:textId="2A5CB4D3" w:rsidR="00AF22B0" w:rsidRPr="001138EF" w:rsidRDefault="00AF22B0" w:rsidP="00D82620">
            <w:pPr>
              <w:pStyle w:val="CasesLegislationAppealFrom"/>
              <w:spacing w:after="60"/>
              <w:rPr>
                <w:szCs w:val="24"/>
              </w:rPr>
            </w:pPr>
            <w:proofErr w:type="spellStart"/>
            <w:r w:rsidRPr="001138EF">
              <w:rPr>
                <w:i/>
                <w:szCs w:val="24"/>
              </w:rPr>
              <w:t>Ho</w:t>
            </w:r>
            <w:proofErr w:type="spellEnd"/>
            <w:r w:rsidRPr="001138EF">
              <w:rPr>
                <w:i/>
                <w:szCs w:val="24"/>
              </w:rPr>
              <w:t xml:space="preserve"> v Akai Pty Ltd (in </w:t>
            </w:r>
            <w:proofErr w:type="spellStart"/>
            <w:r w:rsidRPr="001138EF">
              <w:rPr>
                <w:i/>
                <w:szCs w:val="24"/>
              </w:rPr>
              <w:t>liq</w:t>
            </w:r>
            <w:proofErr w:type="spellEnd"/>
            <w:r w:rsidRPr="001138EF">
              <w:rPr>
                <w:i/>
                <w:szCs w:val="24"/>
              </w:rPr>
              <w:t xml:space="preserve">) </w:t>
            </w:r>
            <w:r w:rsidRPr="001138EF">
              <w:rPr>
                <w:szCs w:val="24"/>
              </w:rPr>
              <w:t>(2006) 247 FCR 205</w:t>
            </w:r>
          </w:p>
          <w:p w14:paraId="4191D9CB" w14:textId="28430D16" w:rsidR="00AF22B0" w:rsidRPr="001138EF" w:rsidRDefault="00AF22B0" w:rsidP="00D82620">
            <w:pPr>
              <w:pStyle w:val="CasesLegislationAppealFrom"/>
              <w:spacing w:after="60"/>
              <w:rPr>
                <w:szCs w:val="24"/>
              </w:rPr>
            </w:pPr>
            <w:r w:rsidRPr="001138EF">
              <w:rPr>
                <w:i/>
                <w:szCs w:val="24"/>
              </w:rPr>
              <w:t>Hope v Bathurst City Council</w:t>
            </w:r>
            <w:r w:rsidRPr="001138EF">
              <w:rPr>
                <w:szCs w:val="24"/>
              </w:rPr>
              <w:t xml:space="preserve"> (1980) 144 CLR 1</w:t>
            </w:r>
          </w:p>
          <w:p w14:paraId="26CCAF7B" w14:textId="0E14503D" w:rsidR="00AF22B0" w:rsidRPr="001138EF" w:rsidRDefault="00AF22B0" w:rsidP="00D82620">
            <w:pPr>
              <w:pStyle w:val="CasesLegislationAppealFrom"/>
              <w:spacing w:after="60"/>
              <w:rPr>
                <w:szCs w:val="24"/>
              </w:rPr>
            </w:pPr>
            <w:r w:rsidRPr="001138EF">
              <w:rPr>
                <w:i/>
                <w:iCs/>
                <w:szCs w:val="24"/>
              </w:rPr>
              <w:t>Israel</w:t>
            </w:r>
            <w:r w:rsidRPr="001138EF">
              <w:rPr>
                <w:i/>
                <w:iCs/>
                <w:spacing w:val="5"/>
                <w:szCs w:val="24"/>
              </w:rPr>
              <w:t xml:space="preserve"> </w:t>
            </w:r>
            <w:r w:rsidRPr="001138EF">
              <w:rPr>
                <w:i/>
                <w:iCs/>
                <w:szCs w:val="24"/>
              </w:rPr>
              <w:t>Discount</w:t>
            </w:r>
            <w:r w:rsidRPr="001138EF">
              <w:rPr>
                <w:i/>
                <w:iCs/>
                <w:spacing w:val="6"/>
                <w:szCs w:val="24"/>
              </w:rPr>
              <w:t xml:space="preserve"> </w:t>
            </w:r>
            <w:r w:rsidRPr="001138EF">
              <w:rPr>
                <w:i/>
                <w:iCs/>
                <w:szCs w:val="24"/>
              </w:rPr>
              <w:t>Bank</w:t>
            </w:r>
            <w:r w:rsidRPr="001138EF">
              <w:rPr>
                <w:i/>
                <w:iCs/>
                <w:spacing w:val="5"/>
                <w:szCs w:val="24"/>
              </w:rPr>
              <w:t xml:space="preserve"> </w:t>
            </w:r>
            <w:r w:rsidRPr="001138EF">
              <w:rPr>
                <w:i/>
                <w:iCs/>
                <w:szCs w:val="24"/>
              </w:rPr>
              <w:t>Ltd</w:t>
            </w:r>
            <w:r w:rsidRPr="001138EF">
              <w:rPr>
                <w:i/>
                <w:iCs/>
                <w:spacing w:val="6"/>
                <w:szCs w:val="24"/>
              </w:rPr>
              <w:t xml:space="preserve"> </w:t>
            </w:r>
            <w:r w:rsidRPr="001138EF">
              <w:rPr>
                <w:i/>
                <w:iCs/>
                <w:szCs w:val="24"/>
              </w:rPr>
              <w:t>v</w:t>
            </w:r>
            <w:r w:rsidRPr="001138EF">
              <w:rPr>
                <w:i/>
                <w:iCs/>
                <w:spacing w:val="6"/>
                <w:szCs w:val="24"/>
              </w:rPr>
              <w:t xml:space="preserve"> </w:t>
            </w:r>
            <w:r w:rsidRPr="001138EF">
              <w:rPr>
                <w:i/>
                <w:iCs/>
                <w:szCs w:val="24"/>
              </w:rPr>
              <w:t>ACN</w:t>
            </w:r>
            <w:r w:rsidRPr="001138EF">
              <w:rPr>
                <w:i/>
                <w:iCs/>
                <w:spacing w:val="6"/>
                <w:szCs w:val="24"/>
              </w:rPr>
              <w:t xml:space="preserve"> </w:t>
            </w:r>
            <w:r w:rsidRPr="001138EF">
              <w:rPr>
                <w:i/>
                <w:iCs/>
                <w:szCs w:val="24"/>
              </w:rPr>
              <w:t>078</w:t>
            </w:r>
            <w:r w:rsidRPr="001138EF">
              <w:rPr>
                <w:i/>
                <w:iCs/>
                <w:spacing w:val="5"/>
                <w:szCs w:val="24"/>
              </w:rPr>
              <w:t xml:space="preserve"> </w:t>
            </w:r>
            <w:r w:rsidRPr="001138EF">
              <w:rPr>
                <w:i/>
                <w:iCs/>
                <w:szCs w:val="24"/>
              </w:rPr>
              <w:t>272</w:t>
            </w:r>
            <w:r w:rsidRPr="001138EF">
              <w:rPr>
                <w:i/>
                <w:iCs/>
                <w:spacing w:val="5"/>
                <w:szCs w:val="24"/>
              </w:rPr>
              <w:t xml:space="preserve"> </w:t>
            </w:r>
            <w:r w:rsidRPr="001138EF">
              <w:rPr>
                <w:i/>
                <w:iCs/>
                <w:szCs w:val="24"/>
              </w:rPr>
              <w:t>867</w:t>
            </w:r>
            <w:r w:rsidRPr="001138EF">
              <w:rPr>
                <w:i/>
                <w:iCs/>
                <w:spacing w:val="5"/>
                <w:szCs w:val="24"/>
              </w:rPr>
              <w:t xml:space="preserve"> </w:t>
            </w:r>
            <w:r w:rsidRPr="001138EF">
              <w:rPr>
                <w:i/>
                <w:iCs/>
                <w:szCs w:val="24"/>
              </w:rPr>
              <w:t>Pty</w:t>
            </w:r>
            <w:r w:rsidRPr="001138EF">
              <w:rPr>
                <w:i/>
                <w:iCs/>
                <w:spacing w:val="6"/>
                <w:szCs w:val="24"/>
              </w:rPr>
              <w:t xml:space="preserve"> </w:t>
            </w:r>
            <w:r w:rsidRPr="001138EF">
              <w:rPr>
                <w:i/>
                <w:iCs/>
                <w:szCs w:val="24"/>
              </w:rPr>
              <w:t>Ltd</w:t>
            </w:r>
            <w:r w:rsidRPr="001138EF">
              <w:rPr>
                <w:i/>
                <w:iCs/>
                <w:spacing w:val="6"/>
                <w:szCs w:val="24"/>
              </w:rPr>
              <w:t xml:space="preserve"> </w:t>
            </w:r>
            <w:r w:rsidRPr="001138EF">
              <w:rPr>
                <w:i/>
                <w:iCs/>
                <w:szCs w:val="24"/>
              </w:rPr>
              <w:t>(in</w:t>
            </w:r>
            <w:r w:rsidRPr="001138EF">
              <w:rPr>
                <w:i/>
                <w:iCs/>
                <w:spacing w:val="5"/>
                <w:szCs w:val="24"/>
              </w:rPr>
              <w:t xml:space="preserve"> </w:t>
            </w:r>
            <w:proofErr w:type="spellStart"/>
            <w:r w:rsidRPr="001138EF">
              <w:rPr>
                <w:i/>
                <w:iCs/>
                <w:szCs w:val="24"/>
              </w:rPr>
              <w:t>liq</w:t>
            </w:r>
            <w:proofErr w:type="spellEnd"/>
            <w:r w:rsidRPr="001138EF">
              <w:rPr>
                <w:i/>
                <w:iCs/>
                <w:szCs w:val="24"/>
              </w:rPr>
              <w:t>) (formerly</w:t>
            </w:r>
            <w:r w:rsidRPr="001138EF">
              <w:rPr>
                <w:i/>
                <w:iCs/>
                <w:spacing w:val="31"/>
                <w:szCs w:val="24"/>
              </w:rPr>
              <w:t xml:space="preserve"> </w:t>
            </w:r>
            <w:r w:rsidRPr="001138EF">
              <w:rPr>
                <w:i/>
                <w:iCs/>
                <w:szCs w:val="24"/>
              </w:rPr>
              <w:t>Advance</w:t>
            </w:r>
            <w:r w:rsidRPr="001138EF">
              <w:rPr>
                <w:i/>
                <w:iCs/>
                <w:spacing w:val="30"/>
                <w:szCs w:val="24"/>
              </w:rPr>
              <w:t xml:space="preserve"> </w:t>
            </w:r>
            <w:r w:rsidRPr="001138EF">
              <w:rPr>
                <w:i/>
                <w:iCs/>
                <w:szCs w:val="24"/>
              </w:rPr>
              <w:t>Finances</w:t>
            </w:r>
            <w:r w:rsidRPr="001138EF">
              <w:rPr>
                <w:i/>
                <w:iCs/>
                <w:spacing w:val="31"/>
                <w:szCs w:val="24"/>
              </w:rPr>
              <w:t xml:space="preserve"> </w:t>
            </w:r>
            <w:r w:rsidRPr="001138EF">
              <w:rPr>
                <w:i/>
                <w:iCs/>
                <w:szCs w:val="24"/>
              </w:rPr>
              <w:t>Pty</w:t>
            </w:r>
            <w:r w:rsidRPr="001138EF">
              <w:rPr>
                <w:i/>
                <w:iCs/>
                <w:spacing w:val="31"/>
                <w:szCs w:val="24"/>
              </w:rPr>
              <w:t xml:space="preserve"> </w:t>
            </w:r>
            <w:r w:rsidRPr="001138EF">
              <w:rPr>
                <w:i/>
                <w:iCs/>
                <w:szCs w:val="24"/>
              </w:rPr>
              <w:t>Ltd)</w:t>
            </w:r>
            <w:r w:rsidRPr="001138EF">
              <w:rPr>
                <w:i/>
                <w:iCs/>
                <w:spacing w:val="34"/>
                <w:szCs w:val="24"/>
              </w:rPr>
              <w:t xml:space="preserve"> </w:t>
            </w:r>
            <w:r w:rsidRPr="001138EF">
              <w:rPr>
                <w:szCs w:val="24"/>
              </w:rPr>
              <w:t>(2019)</w:t>
            </w:r>
            <w:r w:rsidRPr="001138EF">
              <w:rPr>
                <w:spacing w:val="29"/>
                <w:szCs w:val="24"/>
              </w:rPr>
              <w:t xml:space="preserve"> </w:t>
            </w:r>
            <w:r w:rsidRPr="001138EF">
              <w:rPr>
                <w:szCs w:val="24"/>
              </w:rPr>
              <w:t>367</w:t>
            </w:r>
            <w:r w:rsidRPr="001138EF">
              <w:rPr>
                <w:spacing w:val="31"/>
                <w:szCs w:val="24"/>
              </w:rPr>
              <w:t xml:space="preserve"> </w:t>
            </w:r>
            <w:r w:rsidRPr="001138EF">
              <w:rPr>
                <w:szCs w:val="24"/>
              </w:rPr>
              <w:t>ALR</w:t>
            </w:r>
            <w:r w:rsidRPr="001138EF">
              <w:rPr>
                <w:spacing w:val="30"/>
                <w:szCs w:val="24"/>
              </w:rPr>
              <w:t xml:space="preserve"> </w:t>
            </w:r>
            <w:r w:rsidRPr="001138EF">
              <w:rPr>
                <w:szCs w:val="24"/>
              </w:rPr>
              <w:t>71</w:t>
            </w:r>
          </w:p>
          <w:p w14:paraId="3C56DF2B" w14:textId="6A92927A" w:rsidR="00AF22B0" w:rsidRPr="001138EF" w:rsidRDefault="00AF22B0" w:rsidP="00D82620">
            <w:pPr>
              <w:pStyle w:val="CasesLegislationAppealFrom"/>
              <w:spacing w:after="60"/>
              <w:rPr>
                <w:szCs w:val="24"/>
              </w:rPr>
            </w:pPr>
            <w:r w:rsidRPr="001138EF">
              <w:rPr>
                <w:i/>
                <w:szCs w:val="24"/>
              </w:rPr>
              <w:t>Jones v Great Western Railway Co</w:t>
            </w:r>
            <w:r w:rsidRPr="001138EF">
              <w:rPr>
                <w:szCs w:val="24"/>
              </w:rPr>
              <w:t> (1930) 47 TLR 39</w:t>
            </w:r>
          </w:p>
          <w:p w14:paraId="208AD5E3" w14:textId="79300A5A" w:rsidR="00AF22B0" w:rsidRPr="001138EF" w:rsidRDefault="00AF22B0" w:rsidP="00D82620">
            <w:pPr>
              <w:pStyle w:val="CasesLegislationAppealFrom"/>
              <w:spacing w:after="60"/>
              <w:rPr>
                <w:szCs w:val="24"/>
              </w:rPr>
            </w:pPr>
            <w:r w:rsidRPr="001138EF">
              <w:rPr>
                <w:i/>
                <w:szCs w:val="24"/>
              </w:rPr>
              <w:t xml:space="preserve">May v O’Sullivan </w:t>
            </w:r>
            <w:r w:rsidRPr="001138EF">
              <w:rPr>
                <w:szCs w:val="24"/>
              </w:rPr>
              <w:t>(1955) 92 CLR 654</w:t>
            </w:r>
          </w:p>
          <w:p w14:paraId="6527EF47" w14:textId="6DD9EF28" w:rsidR="00AF22B0" w:rsidRPr="001138EF" w:rsidRDefault="00AF22B0" w:rsidP="00D82620">
            <w:pPr>
              <w:pStyle w:val="CasesLegislationAppealFrom"/>
              <w:spacing w:after="60"/>
              <w:rPr>
                <w:szCs w:val="24"/>
              </w:rPr>
            </w:pPr>
            <w:proofErr w:type="spellStart"/>
            <w:r w:rsidRPr="001138EF">
              <w:rPr>
                <w:i/>
                <w:iCs/>
                <w:szCs w:val="24"/>
              </w:rPr>
              <w:t>Merpro</w:t>
            </w:r>
            <w:proofErr w:type="spellEnd"/>
            <w:r w:rsidRPr="001138EF">
              <w:rPr>
                <w:i/>
                <w:iCs/>
                <w:szCs w:val="24"/>
              </w:rPr>
              <w:t xml:space="preserve"> </w:t>
            </w:r>
            <w:proofErr w:type="spellStart"/>
            <w:r w:rsidRPr="001138EF">
              <w:rPr>
                <w:i/>
                <w:iCs/>
                <w:szCs w:val="24"/>
              </w:rPr>
              <w:t>Montassa</w:t>
            </w:r>
            <w:proofErr w:type="spellEnd"/>
            <w:r w:rsidRPr="001138EF">
              <w:rPr>
                <w:i/>
                <w:iCs/>
                <w:szCs w:val="24"/>
              </w:rPr>
              <w:t xml:space="preserve"> Limited v Conoco Specialty Products </w:t>
            </w:r>
            <w:proofErr w:type="spellStart"/>
            <w:r w:rsidRPr="001138EF">
              <w:rPr>
                <w:i/>
                <w:iCs/>
                <w:szCs w:val="24"/>
              </w:rPr>
              <w:t>Inc</w:t>
            </w:r>
            <w:proofErr w:type="spellEnd"/>
            <w:r w:rsidRPr="001138EF">
              <w:rPr>
                <w:i/>
                <w:iCs/>
                <w:szCs w:val="24"/>
              </w:rPr>
              <w:t xml:space="preserve"> </w:t>
            </w:r>
            <w:r w:rsidRPr="001138EF">
              <w:rPr>
                <w:szCs w:val="24"/>
              </w:rPr>
              <w:t>(1991) 28 FCR 387</w:t>
            </w:r>
          </w:p>
          <w:p w14:paraId="5CB8C418" w14:textId="7258B110" w:rsidR="002D69CE" w:rsidRPr="001138EF" w:rsidRDefault="002D69CE" w:rsidP="00D82620">
            <w:pPr>
              <w:pStyle w:val="CasesLegislationAppealFrom"/>
              <w:spacing w:after="60"/>
              <w:rPr>
                <w:szCs w:val="24"/>
              </w:rPr>
            </w:pPr>
            <w:proofErr w:type="spellStart"/>
            <w:r w:rsidRPr="001138EF">
              <w:rPr>
                <w:i/>
                <w:iCs/>
                <w:szCs w:val="24"/>
                <w:lang w:val="en-US"/>
              </w:rPr>
              <w:t>Radaich</w:t>
            </w:r>
            <w:proofErr w:type="spellEnd"/>
            <w:r w:rsidRPr="001138EF">
              <w:rPr>
                <w:i/>
                <w:iCs/>
                <w:szCs w:val="24"/>
                <w:lang w:val="en-US"/>
              </w:rPr>
              <w:t xml:space="preserve"> v Smith</w:t>
            </w:r>
            <w:r w:rsidRPr="001138EF">
              <w:rPr>
                <w:szCs w:val="24"/>
                <w:lang w:val="en-US"/>
              </w:rPr>
              <w:t xml:space="preserve"> (1959) 101 CLR 209</w:t>
            </w:r>
          </w:p>
          <w:p w14:paraId="228E3E08" w14:textId="05418575" w:rsidR="00AF22B0" w:rsidRPr="001138EF" w:rsidRDefault="00AF22B0" w:rsidP="00D82620">
            <w:pPr>
              <w:pStyle w:val="CasesLegislationAppealFrom"/>
              <w:spacing w:after="60"/>
              <w:rPr>
                <w:szCs w:val="24"/>
              </w:rPr>
            </w:pPr>
            <w:r w:rsidRPr="001138EF">
              <w:rPr>
                <w:i/>
                <w:szCs w:val="24"/>
              </w:rPr>
              <w:t>Rawson Finances Pty Ltd v Commissioner of Taxation</w:t>
            </w:r>
            <w:r w:rsidRPr="001138EF">
              <w:rPr>
                <w:szCs w:val="24"/>
              </w:rPr>
              <w:t xml:space="preserve"> (2013) 296 ALR 307</w:t>
            </w:r>
          </w:p>
          <w:p w14:paraId="0D8D1D5F" w14:textId="71B2FD5B" w:rsidR="00AF22B0" w:rsidRPr="001138EF" w:rsidRDefault="00AF22B0" w:rsidP="00D82620">
            <w:pPr>
              <w:pStyle w:val="CasesLegislationAppealFrom"/>
              <w:spacing w:after="60"/>
              <w:rPr>
                <w:szCs w:val="24"/>
              </w:rPr>
            </w:pPr>
            <w:proofErr w:type="spellStart"/>
            <w:r w:rsidRPr="001138EF">
              <w:rPr>
                <w:i/>
                <w:szCs w:val="24"/>
              </w:rPr>
              <w:t>Seltsam</w:t>
            </w:r>
            <w:proofErr w:type="spellEnd"/>
            <w:r w:rsidRPr="001138EF">
              <w:rPr>
                <w:i/>
                <w:szCs w:val="24"/>
              </w:rPr>
              <w:t xml:space="preserve"> Pty Ltd v McGuiness</w:t>
            </w:r>
            <w:r w:rsidRPr="001138EF">
              <w:rPr>
                <w:szCs w:val="24"/>
              </w:rPr>
              <w:t xml:space="preserve"> (2000) 49 NSWLR 262</w:t>
            </w:r>
          </w:p>
          <w:p w14:paraId="6F8767BE" w14:textId="7D2954D8" w:rsidR="00AF22B0" w:rsidRPr="001138EF" w:rsidRDefault="00AF22B0" w:rsidP="00D82620">
            <w:pPr>
              <w:pStyle w:val="CasesLegislationAppealFrom"/>
              <w:spacing w:after="60"/>
              <w:rPr>
                <w:szCs w:val="24"/>
              </w:rPr>
            </w:pPr>
            <w:proofErr w:type="spellStart"/>
            <w:r w:rsidRPr="001138EF">
              <w:rPr>
                <w:i/>
                <w:iCs/>
                <w:szCs w:val="24"/>
              </w:rPr>
              <w:t>Sydbank</w:t>
            </w:r>
            <w:proofErr w:type="spellEnd"/>
            <w:r w:rsidRPr="001138EF">
              <w:rPr>
                <w:i/>
                <w:iCs/>
                <w:szCs w:val="24"/>
              </w:rPr>
              <w:t xml:space="preserve"> </w:t>
            </w:r>
            <w:proofErr w:type="spellStart"/>
            <w:r w:rsidRPr="001138EF">
              <w:rPr>
                <w:i/>
                <w:iCs/>
                <w:szCs w:val="24"/>
              </w:rPr>
              <w:t>Soenderjylland</w:t>
            </w:r>
            <w:proofErr w:type="spellEnd"/>
            <w:r w:rsidRPr="001138EF">
              <w:rPr>
                <w:i/>
                <w:iCs/>
                <w:szCs w:val="24"/>
              </w:rPr>
              <w:t xml:space="preserve"> A/S v Bannerton Holdings Pty Ltd </w:t>
            </w:r>
            <w:r w:rsidRPr="001138EF">
              <w:rPr>
                <w:szCs w:val="24"/>
              </w:rPr>
              <w:t>(1996) 68 FCR 539</w:t>
            </w:r>
          </w:p>
          <w:p w14:paraId="6E9A22E2" w14:textId="3030BAD5" w:rsidR="00AF22B0" w:rsidRPr="001138EF" w:rsidRDefault="00AF22B0" w:rsidP="00D82620">
            <w:pPr>
              <w:pStyle w:val="CasesLegislationAppealFrom"/>
              <w:spacing w:after="60"/>
              <w:rPr>
                <w:szCs w:val="24"/>
                <w:lang w:bidi="en-AU"/>
              </w:rPr>
            </w:pPr>
            <w:r w:rsidRPr="001138EF">
              <w:rPr>
                <w:i/>
                <w:szCs w:val="24"/>
                <w:lang w:bidi="en-AU"/>
              </w:rPr>
              <w:t xml:space="preserve">Tiger Yacht Management Ltd v Morris </w:t>
            </w:r>
            <w:r w:rsidRPr="001138EF">
              <w:rPr>
                <w:szCs w:val="24"/>
                <w:lang w:bidi="en-AU"/>
              </w:rPr>
              <w:t>(2019) 268 FCR 548</w:t>
            </w:r>
          </w:p>
          <w:p w14:paraId="587C4B14" w14:textId="47E53CBF" w:rsidR="002D69CE" w:rsidRPr="001138EF" w:rsidRDefault="002D69CE" w:rsidP="00D82620">
            <w:pPr>
              <w:pStyle w:val="CasesLegislationAppealFrom"/>
              <w:spacing w:after="60"/>
              <w:rPr>
                <w:szCs w:val="24"/>
                <w:lang w:bidi="en-AU"/>
              </w:rPr>
            </w:pPr>
            <w:r w:rsidRPr="001138EF">
              <w:rPr>
                <w:i/>
                <w:szCs w:val="24"/>
              </w:rPr>
              <w:t>Valve Corporation v Australian Competition and Consumer Commission</w:t>
            </w:r>
            <w:r w:rsidRPr="001138EF">
              <w:rPr>
                <w:szCs w:val="24"/>
              </w:rPr>
              <w:t xml:space="preserve"> (2017) 258 FCR 190</w:t>
            </w:r>
          </w:p>
          <w:p w14:paraId="17AC5047" w14:textId="24260023" w:rsidR="002D69CE" w:rsidRPr="001138EF" w:rsidRDefault="002D69CE" w:rsidP="00D82620">
            <w:pPr>
              <w:pStyle w:val="CasesLegislationAppealFrom"/>
              <w:spacing w:after="60"/>
              <w:rPr>
                <w:i/>
                <w:iCs/>
                <w:szCs w:val="24"/>
              </w:rPr>
            </w:pPr>
            <w:proofErr w:type="spellStart"/>
            <w:r w:rsidRPr="001138EF">
              <w:rPr>
                <w:i/>
                <w:iCs/>
                <w:szCs w:val="24"/>
                <w:lang w:val="en-US"/>
              </w:rPr>
              <w:t>Voli</w:t>
            </w:r>
            <w:proofErr w:type="spellEnd"/>
            <w:r w:rsidRPr="001138EF">
              <w:rPr>
                <w:i/>
                <w:iCs/>
                <w:szCs w:val="24"/>
                <w:lang w:val="en-US"/>
              </w:rPr>
              <w:t xml:space="preserve"> v Inglewood Shire Council</w:t>
            </w:r>
            <w:r w:rsidRPr="001138EF">
              <w:rPr>
                <w:szCs w:val="24"/>
                <w:lang w:val="en-US"/>
              </w:rPr>
              <w:t xml:space="preserve"> (1963) 110 CLR 74</w:t>
            </w:r>
          </w:p>
          <w:p w14:paraId="2DC7EE8A" w14:textId="3280F10D" w:rsidR="00AF22B0" w:rsidRPr="001138EF" w:rsidRDefault="00AF22B0" w:rsidP="00D82620">
            <w:pPr>
              <w:pStyle w:val="CasesLegislationAppealFrom"/>
              <w:spacing w:after="60"/>
              <w:rPr>
                <w:szCs w:val="24"/>
              </w:rPr>
            </w:pPr>
            <w:proofErr w:type="spellStart"/>
            <w:r w:rsidRPr="001138EF">
              <w:rPr>
                <w:i/>
                <w:iCs/>
                <w:szCs w:val="24"/>
              </w:rPr>
              <w:t>Voth</w:t>
            </w:r>
            <w:proofErr w:type="spellEnd"/>
            <w:r w:rsidRPr="001138EF">
              <w:rPr>
                <w:i/>
                <w:iCs/>
                <w:szCs w:val="24"/>
              </w:rPr>
              <w:t xml:space="preserve"> v</w:t>
            </w:r>
            <w:r w:rsidRPr="001138EF">
              <w:rPr>
                <w:i/>
                <w:iCs/>
                <w:spacing w:val="-1"/>
                <w:szCs w:val="24"/>
              </w:rPr>
              <w:t xml:space="preserve"> </w:t>
            </w:r>
            <w:r w:rsidRPr="001138EF">
              <w:rPr>
                <w:i/>
                <w:iCs/>
                <w:szCs w:val="24"/>
              </w:rPr>
              <w:t>Manildra</w:t>
            </w:r>
            <w:r w:rsidRPr="001138EF">
              <w:rPr>
                <w:i/>
                <w:iCs/>
                <w:spacing w:val="-1"/>
                <w:szCs w:val="24"/>
              </w:rPr>
              <w:t xml:space="preserve"> </w:t>
            </w:r>
            <w:r w:rsidRPr="001138EF">
              <w:rPr>
                <w:i/>
                <w:iCs/>
                <w:szCs w:val="24"/>
              </w:rPr>
              <w:t>Flour Mills</w:t>
            </w:r>
            <w:r w:rsidRPr="001138EF">
              <w:rPr>
                <w:i/>
                <w:iCs/>
                <w:spacing w:val="-1"/>
                <w:szCs w:val="24"/>
              </w:rPr>
              <w:t xml:space="preserve"> </w:t>
            </w:r>
            <w:r w:rsidRPr="001138EF">
              <w:rPr>
                <w:i/>
                <w:iCs/>
                <w:szCs w:val="24"/>
              </w:rPr>
              <w:t>Pty</w:t>
            </w:r>
            <w:r w:rsidRPr="001138EF">
              <w:rPr>
                <w:i/>
                <w:iCs/>
                <w:spacing w:val="-1"/>
                <w:szCs w:val="24"/>
              </w:rPr>
              <w:t xml:space="preserve"> </w:t>
            </w:r>
            <w:r w:rsidRPr="001138EF">
              <w:rPr>
                <w:i/>
                <w:iCs/>
                <w:szCs w:val="24"/>
              </w:rPr>
              <w:t>Ltd</w:t>
            </w:r>
            <w:r w:rsidRPr="001138EF">
              <w:rPr>
                <w:i/>
                <w:iCs/>
                <w:spacing w:val="-1"/>
                <w:szCs w:val="24"/>
              </w:rPr>
              <w:t xml:space="preserve"> </w:t>
            </w:r>
            <w:r w:rsidRPr="001138EF">
              <w:rPr>
                <w:szCs w:val="24"/>
              </w:rPr>
              <w:t>(1990) 171</w:t>
            </w:r>
            <w:r w:rsidRPr="001138EF">
              <w:rPr>
                <w:spacing w:val="-1"/>
                <w:szCs w:val="24"/>
              </w:rPr>
              <w:t xml:space="preserve"> </w:t>
            </w:r>
            <w:r w:rsidRPr="001138EF">
              <w:rPr>
                <w:szCs w:val="24"/>
              </w:rPr>
              <w:t>CLR</w:t>
            </w:r>
            <w:r w:rsidRPr="001138EF">
              <w:rPr>
                <w:spacing w:val="-1"/>
                <w:szCs w:val="24"/>
              </w:rPr>
              <w:t xml:space="preserve"> </w:t>
            </w:r>
            <w:r w:rsidRPr="001138EF">
              <w:rPr>
                <w:szCs w:val="24"/>
              </w:rPr>
              <w:t>538</w:t>
            </w:r>
          </w:p>
          <w:p w14:paraId="04BF7D55" w14:textId="6E93B09D" w:rsidR="00395B24" w:rsidRDefault="00AF22B0" w:rsidP="00D82620">
            <w:pPr>
              <w:pStyle w:val="CasesLegislationAppealFrom"/>
              <w:spacing w:after="60"/>
            </w:pPr>
            <w:r w:rsidRPr="001138EF">
              <w:rPr>
                <w:i/>
                <w:iCs/>
                <w:szCs w:val="24"/>
              </w:rPr>
              <w:t xml:space="preserve">WSGAL Pty Limited v Trade Practices Commission </w:t>
            </w:r>
            <w:r w:rsidRPr="001138EF">
              <w:rPr>
                <w:szCs w:val="24"/>
              </w:rPr>
              <w:t>(1992) 39 FCR 472</w:t>
            </w:r>
            <w:r w:rsidRPr="00615E78">
              <w:t xml:space="preserve"> </w:t>
            </w:r>
            <w:r>
              <w:t xml:space="preserve"> </w:t>
            </w:r>
            <w:r>
              <w:rPr>
                <w:lang w:bidi="en-AU"/>
              </w:rPr>
              <w:t xml:space="preserve"> </w:t>
            </w:r>
            <w:r w:rsidR="002C7385">
              <w:t xml:space="preserve"> </w:t>
            </w:r>
            <w:bookmarkEnd w:id="4"/>
          </w:p>
        </w:tc>
      </w:tr>
      <w:tr w:rsidR="00117587" w:rsidRPr="00117587" w14:paraId="5AF8EDE6" w14:textId="77777777" w:rsidTr="00117587">
        <w:tc>
          <w:tcPr>
            <w:tcW w:w="3085" w:type="dxa"/>
            <w:shd w:val="clear" w:color="auto" w:fill="auto"/>
          </w:tcPr>
          <w:p w14:paraId="1577F6CC" w14:textId="77777777" w:rsidR="00117587" w:rsidRPr="00117587" w:rsidRDefault="00117587" w:rsidP="00117587">
            <w:pPr>
              <w:pStyle w:val="Normal1linespace"/>
              <w:jc w:val="left"/>
            </w:pPr>
          </w:p>
        </w:tc>
        <w:tc>
          <w:tcPr>
            <w:tcW w:w="5989" w:type="dxa"/>
            <w:shd w:val="clear" w:color="auto" w:fill="auto"/>
          </w:tcPr>
          <w:p w14:paraId="36439D5E" w14:textId="77777777" w:rsidR="00117587" w:rsidRPr="00117587" w:rsidRDefault="00117587" w:rsidP="00117587">
            <w:pPr>
              <w:pStyle w:val="Normal1linespace"/>
              <w:jc w:val="left"/>
            </w:pPr>
          </w:p>
        </w:tc>
      </w:tr>
      <w:tr w:rsidR="00117587" w:rsidRPr="00117587" w14:paraId="4BF86288" w14:textId="77777777" w:rsidTr="00117587">
        <w:tc>
          <w:tcPr>
            <w:tcW w:w="3085" w:type="dxa"/>
            <w:shd w:val="clear" w:color="auto" w:fill="auto"/>
          </w:tcPr>
          <w:p w14:paraId="1ACB66BA" w14:textId="77777777" w:rsidR="00117587" w:rsidRPr="00117587" w:rsidRDefault="00117587" w:rsidP="00117587">
            <w:pPr>
              <w:pStyle w:val="Normal1linespace"/>
              <w:jc w:val="left"/>
            </w:pPr>
            <w:bookmarkStart w:id="5" w:name="CounselDate" w:colFirst="0" w:colLast="2"/>
            <w:r w:rsidRPr="00117587">
              <w:t>Date of hearing:</w:t>
            </w:r>
          </w:p>
        </w:tc>
        <w:tc>
          <w:tcPr>
            <w:tcW w:w="5989" w:type="dxa"/>
            <w:shd w:val="clear" w:color="auto" w:fill="auto"/>
          </w:tcPr>
          <w:p w14:paraId="08309CB4" w14:textId="77777777" w:rsidR="00117587" w:rsidRPr="00117587" w:rsidRDefault="00117587" w:rsidP="00117587">
            <w:pPr>
              <w:pStyle w:val="Normal1linespace"/>
              <w:jc w:val="left"/>
            </w:pPr>
            <w:bookmarkStart w:id="6" w:name="HearingDate"/>
            <w:r>
              <w:t>26 June 2020</w:t>
            </w:r>
            <w:bookmarkEnd w:id="6"/>
          </w:p>
        </w:tc>
      </w:tr>
      <w:tr w:rsidR="00117587" w:rsidRPr="00117587" w14:paraId="27E2D218" w14:textId="77777777" w:rsidTr="00117587">
        <w:tc>
          <w:tcPr>
            <w:tcW w:w="3085" w:type="dxa"/>
            <w:shd w:val="clear" w:color="auto" w:fill="auto"/>
          </w:tcPr>
          <w:p w14:paraId="12E8DDA4" w14:textId="77777777" w:rsidR="00117587" w:rsidRPr="00117587" w:rsidRDefault="00117587" w:rsidP="00117587">
            <w:pPr>
              <w:pStyle w:val="Normal1linespace"/>
              <w:jc w:val="left"/>
            </w:pPr>
          </w:p>
        </w:tc>
        <w:tc>
          <w:tcPr>
            <w:tcW w:w="5989" w:type="dxa"/>
            <w:shd w:val="clear" w:color="auto" w:fill="auto"/>
          </w:tcPr>
          <w:p w14:paraId="0A8B9514" w14:textId="77777777" w:rsidR="00117587" w:rsidRPr="00117587" w:rsidRDefault="00117587" w:rsidP="00117587">
            <w:pPr>
              <w:pStyle w:val="Normal1linespace"/>
              <w:jc w:val="left"/>
            </w:pPr>
          </w:p>
        </w:tc>
      </w:tr>
      <w:bookmarkEnd w:id="5"/>
      <w:tr w:rsidR="00117587" w14:paraId="7CFFCD5B" w14:textId="77777777" w:rsidTr="00117587">
        <w:tc>
          <w:tcPr>
            <w:tcW w:w="3085" w:type="dxa"/>
            <w:shd w:val="clear" w:color="auto" w:fill="auto"/>
          </w:tcPr>
          <w:p w14:paraId="66D0BB92" w14:textId="77777777" w:rsidR="00117587" w:rsidRDefault="00117587" w:rsidP="00117587">
            <w:pPr>
              <w:pStyle w:val="Normal1linespace"/>
              <w:widowControl w:val="0"/>
              <w:jc w:val="left"/>
            </w:pPr>
            <w:r>
              <w:t>Registry:</w:t>
            </w:r>
          </w:p>
        </w:tc>
        <w:tc>
          <w:tcPr>
            <w:tcW w:w="5989" w:type="dxa"/>
            <w:shd w:val="clear" w:color="auto" w:fill="auto"/>
          </w:tcPr>
          <w:p w14:paraId="70B8CF90" w14:textId="77777777" w:rsidR="00117587" w:rsidRPr="00F17599" w:rsidRDefault="001E0087" w:rsidP="00117587">
            <w:pPr>
              <w:pStyle w:val="Normal1linespace"/>
              <w:widowControl w:val="0"/>
              <w:jc w:val="left"/>
            </w:pPr>
            <w:fldSimple w:instr=" DOCPROPERTY  Registry ">
              <w:r w:rsidR="00117587">
                <w:t>New South Wales</w:t>
              </w:r>
            </w:fldSimple>
          </w:p>
        </w:tc>
      </w:tr>
      <w:tr w:rsidR="00117587" w14:paraId="2C60FAD5" w14:textId="77777777" w:rsidTr="00117587">
        <w:tc>
          <w:tcPr>
            <w:tcW w:w="3085" w:type="dxa"/>
            <w:shd w:val="clear" w:color="auto" w:fill="auto"/>
          </w:tcPr>
          <w:p w14:paraId="7C761A9C" w14:textId="77777777" w:rsidR="00117587" w:rsidRDefault="00117587" w:rsidP="00117587">
            <w:pPr>
              <w:pStyle w:val="Normal1linespace"/>
              <w:widowControl w:val="0"/>
              <w:jc w:val="left"/>
            </w:pPr>
          </w:p>
        </w:tc>
        <w:tc>
          <w:tcPr>
            <w:tcW w:w="5989" w:type="dxa"/>
            <w:shd w:val="clear" w:color="auto" w:fill="auto"/>
          </w:tcPr>
          <w:p w14:paraId="59E7CAEE" w14:textId="77777777" w:rsidR="00117587" w:rsidRDefault="00117587" w:rsidP="00117587">
            <w:pPr>
              <w:pStyle w:val="Normal1linespace"/>
              <w:widowControl w:val="0"/>
              <w:jc w:val="left"/>
            </w:pPr>
          </w:p>
        </w:tc>
      </w:tr>
      <w:tr w:rsidR="00117587" w14:paraId="5D22BAA9" w14:textId="77777777" w:rsidTr="00117587">
        <w:tc>
          <w:tcPr>
            <w:tcW w:w="3085" w:type="dxa"/>
            <w:shd w:val="clear" w:color="auto" w:fill="auto"/>
          </w:tcPr>
          <w:p w14:paraId="1F838636" w14:textId="77777777" w:rsidR="00117587" w:rsidRDefault="00117587" w:rsidP="00117587">
            <w:pPr>
              <w:pStyle w:val="Normal1linespace"/>
              <w:widowControl w:val="0"/>
              <w:jc w:val="left"/>
            </w:pPr>
            <w:r>
              <w:t>Division:</w:t>
            </w:r>
          </w:p>
        </w:tc>
        <w:tc>
          <w:tcPr>
            <w:tcW w:w="5989" w:type="dxa"/>
            <w:shd w:val="clear" w:color="auto" w:fill="auto"/>
          </w:tcPr>
          <w:p w14:paraId="13C08E60" w14:textId="77777777" w:rsidR="00117587" w:rsidRPr="00F17599" w:rsidRDefault="001E0087" w:rsidP="00117587">
            <w:pPr>
              <w:pStyle w:val="Normal1linespace"/>
              <w:widowControl w:val="0"/>
              <w:jc w:val="left"/>
            </w:pPr>
            <w:fldSimple w:instr=" DOCPROPERTY  Division ">
              <w:r w:rsidR="00117587">
                <w:t>General Division</w:t>
              </w:r>
            </w:fldSimple>
          </w:p>
        </w:tc>
      </w:tr>
      <w:tr w:rsidR="00117587" w14:paraId="7A9EC015" w14:textId="77777777" w:rsidTr="00117587">
        <w:tc>
          <w:tcPr>
            <w:tcW w:w="3085" w:type="dxa"/>
            <w:shd w:val="clear" w:color="auto" w:fill="auto"/>
          </w:tcPr>
          <w:p w14:paraId="185FD1AB" w14:textId="77777777" w:rsidR="00117587" w:rsidRDefault="00117587" w:rsidP="00117587">
            <w:pPr>
              <w:pStyle w:val="Normal1linespace"/>
              <w:widowControl w:val="0"/>
              <w:jc w:val="left"/>
            </w:pPr>
          </w:p>
        </w:tc>
        <w:tc>
          <w:tcPr>
            <w:tcW w:w="5989" w:type="dxa"/>
            <w:shd w:val="clear" w:color="auto" w:fill="auto"/>
          </w:tcPr>
          <w:p w14:paraId="2EFB52A8" w14:textId="77777777" w:rsidR="00117587" w:rsidRPr="00F17599" w:rsidRDefault="00117587" w:rsidP="00117587">
            <w:pPr>
              <w:pStyle w:val="Normal1linespace"/>
              <w:widowControl w:val="0"/>
              <w:jc w:val="left"/>
              <w:rPr>
                <w:b/>
              </w:rPr>
            </w:pPr>
          </w:p>
        </w:tc>
      </w:tr>
      <w:tr w:rsidR="00117587" w14:paraId="07821A48" w14:textId="77777777" w:rsidTr="00117587">
        <w:tc>
          <w:tcPr>
            <w:tcW w:w="3085" w:type="dxa"/>
            <w:shd w:val="clear" w:color="auto" w:fill="auto"/>
          </w:tcPr>
          <w:p w14:paraId="373BE9A7" w14:textId="77777777" w:rsidR="00117587" w:rsidRDefault="00117587" w:rsidP="00117587">
            <w:pPr>
              <w:pStyle w:val="Normal1linespace"/>
              <w:widowControl w:val="0"/>
              <w:jc w:val="left"/>
            </w:pPr>
            <w:r>
              <w:t>National Practice Area:</w:t>
            </w:r>
          </w:p>
        </w:tc>
        <w:tc>
          <w:tcPr>
            <w:tcW w:w="5989" w:type="dxa"/>
            <w:shd w:val="clear" w:color="auto" w:fill="auto"/>
          </w:tcPr>
          <w:p w14:paraId="107F879C" w14:textId="77777777" w:rsidR="00117587" w:rsidRPr="00F17599" w:rsidRDefault="001E0087" w:rsidP="00117587">
            <w:pPr>
              <w:pStyle w:val="Normal1linespace"/>
              <w:widowControl w:val="0"/>
              <w:jc w:val="left"/>
              <w:rPr>
                <w:b/>
              </w:rPr>
            </w:pPr>
            <w:fldSimple w:instr=" DOCPROPERTY  &quot;Practice Area&quot;  \* MERGEFORMAT ">
              <w:r w:rsidR="00117587">
                <w:t>Commercial and Corporations</w:t>
              </w:r>
            </w:fldSimple>
          </w:p>
        </w:tc>
      </w:tr>
      <w:tr w:rsidR="00117587" w14:paraId="41FF2A2A" w14:textId="77777777" w:rsidTr="00117587">
        <w:tc>
          <w:tcPr>
            <w:tcW w:w="3085" w:type="dxa"/>
            <w:shd w:val="clear" w:color="auto" w:fill="auto"/>
          </w:tcPr>
          <w:p w14:paraId="2536EEE2" w14:textId="77777777" w:rsidR="00117587" w:rsidRDefault="00117587" w:rsidP="00117587">
            <w:pPr>
              <w:pStyle w:val="Normal1linespace"/>
              <w:widowControl w:val="0"/>
              <w:jc w:val="left"/>
            </w:pPr>
          </w:p>
        </w:tc>
        <w:tc>
          <w:tcPr>
            <w:tcW w:w="5989" w:type="dxa"/>
            <w:shd w:val="clear" w:color="auto" w:fill="auto"/>
          </w:tcPr>
          <w:p w14:paraId="47772CD1" w14:textId="77777777" w:rsidR="00117587" w:rsidRDefault="00117587" w:rsidP="00117587">
            <w:pPr>
              <w:pStyle w:val="Normal1linespace"/>
              <w:widowControl w:val="0"/>
              <w:jc w:val="left"/>
            </w:pPr>
          </w:p>
        </w:tc>
      </w:tr>
      <w:tr w:rsidR="00117587" w14:paraId="575028FE" w14:textId="77777777" w:rsidTr="00117587">
        <w:tc>
          <w:tcPr>
            <w:tcW w:w="3085" w:type="dxa"/>
            <w:shd w:val="clear" w:color="auto" w:fill="auto"/>
          </w:tcPr>
          <w:p w14:paraId="750157BC" w14:textId="77777777" w:rsidR="00117587" w:rsidRDefault="00117587" w:rsidP="00117587">
            <w:pPr>
              <w:pStyle w:val="Normal1linespace"/>
              <w:widowControl w:val="0"/>
              <w:jc w:val="left"/>
            </w:pPr>
            <w:r>
              <w:t>Sub-area:</w:t>
            </w:r>
          </w:p>
        </w:tc>
        <w:tc>
          <w:tcPr>
            <w:tcW w:w="5989" w:type="dxa"/>
            <w:shd w:val="clear" w:color="auto" w:fill="auto"/>
          </w:tcPr>
          <w:p w14:paraId="4F8FB644" w14:textId="77777777" w:rsidR="00117587" w:rsidRPr="00435936" w:rsidRDefault="001E0087" w:rsidP="00117587">
            <w:pPr>
              <w:pStyle w:val="Normal1linespace"/>
              <w:widowControl w:val="0"/>
              <w:jc w:val="left"/>
            </w:pPr>
            <w:fldSimple w:instr=" DOCPROPERTY  &quot;Sub Area&quot;  \* MERGEFORMAT ">
              <w:r w:rsidR="00117587" w:rsidRPr="00117587">
                <w:rPr>
                  <w:bCs/>
                  <w:lang w:val="en-US"/>
                </w:rPr>
                <w:t>Regulator and Consumer</w:t>
              </w:r>
              <w:r w:rsidR="00117587">
                <w:t xml:space="preserve"> Protection</w:t>
              </w:r>
            </w:fldSimple>
          </w:p>
        </w:tc>
      </w:tr>
      <w:tr w:rsidR="00117587" w14:paraId="2CC57F88" w14:textId="77777777" w:rsidTr="00117587">
        <w:tc>
          <w:tcPr>
            <w:tcW w:w="3085" w:type="dxa"/>
            <w:shd w:val="clear" w:color="auto" w:fill="auto"/>
          </w:tcPr>
          <w:p w14:paraId="39416D65" w14:textId="77777777" w:rsidR="00117587" w:rsidRDefault="00117587" w:rsidP="00117587">
            <w:pPr>
              <w:pStyle w:val="Normal1linespace"/>
              <w:widowControl w:val="0"/>
              <w:jc w:val="left"/>
            </w:pPr>
          </w:p>
        </w:tc>
        <w:tc>
          <w:tcPr>
            <w:tcW w:w="5989" w:type="dxa"/>
            <w:shd w:val="clear" w:color="auto" w:fill="auto"/>
          </w:tcPr>
          <w:p w14:paraId="1E0E7C5B" w14:textId="77777777" w:rsidR="00117587" w:rsidRDefault="00117587" w:rsidP="00117587">
            <w:pPr>
              <w:pStyle w:val="Normal1linespace"/>
              <w:widowControl w:val="0"/>
              <w:jc w:val="left"/>
              <w:rPr>
                <w:b/>
              </w:rPr>
            </w:pPr>
          </w:p>
        </w:tc>
      </w:tr>
      <w:tr w:rsidR="00117587" w14:paraId="15E9E58F" w14:textId="77777777" w:rsidTr="00117587">
        <w:tc>
          <w:tcPr>
            <w:tcW w:w="3085" w:type="dxa"/>
            <w:shd w:val="clear" w:color="auto" w:fill="auto"/>
          </w:tcPr>
          <w:p w14:paraId="1DBBF2E3" w14:textId="77777777" w:rsidR="00117587" w:rsidRDefault="00117587" w:rsidP="00117587">
            <w:pPr>
              <w:pStyle w:val="Normal1linespace"/>
              <w:widowControl w:val="0"/>
              <w:jc w:val="left"/>
            </w:pPr>
            <w:r>
              <w:t>Number of paragraphs:</w:t>
            </w:r>
          </w:p>
        </w:tc>
        <w:tc>
          <w:tcPr>
            <w:tcW w:w="5989" w:type="dxa"/>
            <w:shd w:val="clear" w:color="auto" w:fill="auto"/>
          </w:tcPr>
          <w:p w14:paraId="4E61B858" w14:textId="5996AEAA" w:rsidR="00117587" w:rsidRDefault="00F3591D" w:rsidP="00117587">
            <w:pPr>
              <w:pStyle w:val="Normal1linespace"/>
              <w:widowControl w:val="0"/>
              <w:jc w:val="left"/>
            </w:pPr>
            <w:bookmarkStart w:id="7" w:name="PlaceCategoryParagraphs"/>
            <w:r w:rsidRPr="003D4EA5">
              <w:t>198</w:t>
            </w:r>
            <w:bookmarkEnd w:id="7"/>
          </w:p>
        </w:tc>
      </w:tr>
      <w:tr w:rsidR="00117587" w14:paraId="72AD06C7" w14:textId="77777777" w:rsidTr="00117587">
        <w:tc>
          <w:tcPr>
            <w:tcW w:w="3085" w:type="dxa"/>
            <w:shd w:val="clear" w:color="auto" w:fill="auto"/>
          </w:tcPr>
          <w:p w14:paraId="49184D68" w14:textId="77777777" w:rsidR="00117587" w:rsidRDefault="00117587" w:rsidP="00117587">
            <w:pPr>
              <w:pStyle w:val="Normal1linespace"/>
              <w:widowControl w:val="0"/>
              <w:jc w:val="left"/>
            </w:pPr>
          </w:p>
        </w:tc>
        <w:tc>
          <w:tcPr>
            <w:tcW w:w="5989" w:type="dxa"/>
            <w:shd w:val="clear" w:color="auto" w:fill="auto"/>
          </w:tcPr>
          <w:p w14:paraId="445E59EF" w14:textId="77777777" w:rsidR="00117587" w:rsidRDefault="00117587" w:rsidP="00117587">
            <w:pPr>
              <w:pStyle w:val="Normal1linespace"/>
              <w:widowControl w:val="0"/>
              <w:jc w:val="left"/>
            </w:pPr>
          </w:p>
        </w:tc>
      </w:tr>
      <w:tr w:rsidR="00117587" w14:paraId="25BDAD21" w14:textId="77777777" w:rsidTr="00117587">
        <w:tc>
          <w:tcPr>
            <w:tcW w:w="3085" w:type="dxa"/>
            <w:shd w:val="clear" w:color="auto" w:fill="auto"/>
          </w:tcPr>
          <w:p w14:paraId="72EA0224" w14:textId="77777777" w:rsidR="00117587" w:rsidRDefault="00117587" w:rsidP="00117587">
            <w:pPr>
              <w:pStyle w:val="Normal1linespace"/>
              <w:widowControl w:val="0"/>
              <w:jc w:val="left"/>
            </w:pPr>
            <w:bookmarkStart w:id="8" w:name="Counsel" w:colFirst="0" w:colLast="2"/>
            <w:r>
              <w:t>Counsel for the Applicant:</w:t>
            </w:r>
          </w:p>
        </w:tc>
        <w:tc>
          <w:tcPr>
            <w:tcW w:w="5989" w:type="dxa"/>
            <w:shd w:val="clear" w:color="auto" w:fill="auto"/>
          </w:tcPr>
          <w:p w14:paraId="1661170B" w14:textId="20A903CA" w:rsidR="00117587" w:rsidRDefault="002E774E" w:rsidP="00117587">
            <w:pPr>
              <w:pStyle w:val="Normal1linespace"/>
              <w:widowControl w:val="0"/>
              <w:jc w:val="left"/>
            </w:pPr>
            <w:bookmarkStart w:id="9" w:name="AppCounsel"/>
            <w:bookmarkEnd w:id="9"/>
            <w:r>
              <w:t xml:space="preserve">R Higgins SC with T Prince and </w:t>
            </w:r>
            <w:r w:rsidR="00117587">
              <w:t>E Bathurst</w:t>
            </w:r>
          </w:p>
        </w:tc>
      </w:tr>
      <w:tr w:rsidR="00117587" w14:paraId="7064962A" w14:textId="77777777" w:rsidTr="00117587">
        <w:tc>
          <w:tcPr>
            <w:tcW w:w="3085" w:type="dxa"/>
            <w:shd w:val="clear" w:color="auto" w:fill="auto"/>
          </w:tcPr>
          <w:p w14:paraId="78A7A44D" w14:textId="77777777" w:rsidR="00117587" w:rsidRDefault="00117587" w:rsidP="00117587">
            <w:pPr>
              <w:pStyle w:val="Normal1linespace"/>
              <w:widowControl w:val="0"/>
              <w:jc w:val="left"/>
            </w:pPr>
          </w:p>
        </w:tc>
        <w:tc>
          <w:tcPr>
            <w:tcW w:w="5989" w:type="dxa"/>
            <w:shd w:val="clear" w:color="auto" w:fill="auto"/>
          </w:tcPr>
          <w:p w14:paraId="52570B98" w14:textId="77777777" w:rsidR="00117587" w:rsidRDefault="00117587" w:rsidP="00117587">
            <w:pPr>
              <w:pStyle w:val="Normal1linespace"/>
              <w:widowControl w:val="0"/>
              <w:jc w:val="left"/>
            </w:pPr>
          </w:p>
        </w:tc>
      </w:tr>
      <w:tr w:rsidR="00117587" w14:paraId="123978DF" w14:textId="77777777" w:rsidTr="00117587">
        <w:tc>
          <w:tcPr>
            <w:tcW w:w="3085" w:type="dxa"/>
            <w:shd w:val="clear" w:color="auto" w:fill="auto"/>
          </w:tcPr>
          <w:p w14:paraId="5DE1C231" w14:textId="77777777" w:rsidR="00117587" w:rsidRDefault="00117587" w:rsidP="00117587">
            <w:pPr>
              <w:pStyle w:val="Normal1linespace"/>
              <w:widowControl w:val="0"/>
              <w:jc w:val="left"/>
            </w:pPr>
            <w:r>
              <w:t>Solicitor for the Applicant:</w:t>
            </w:r>
          </w:p>
        </w:tc>
        <w:tc>
          <w:tcPr>
            <w:tcW w:w="5989" w:type="dxa"/>
            <w:shd w:val="clear" w:color="auto" w:fill="auto"/>
          </w:tcPr>
          <w:p w14:paraId="38E3B23C" w14:textId="77777777" w:rsidR="00117587" w:rsidRDefault="00117587" w:rsidP="00117587">
            <w:pPr>
              <w:pStyle w:val="Normal1linespace"/>
              <w:widowControl w:val="0"/>
              <w:jc w:val="left"/>
            </w:pPr>
            <w:r>
              <w:t>Australian Government Solicitor</w:t>
            </w:r>
          </w:p>
        </w:tc>
      </w:tr>
      <w:tr w:rsidR="00117587" w14:paraId="1A0C7410" w14:textId="77777777" w:rsidTr="00117587">
        <w:tc>
          <w:tcPr>
            <w:tcW w:w="3085" w:type="dxa"/>
            <w:shd w:val="clear" w:color="auto" w:fill="auto"/>
          </w:tcPr>
          <w:p w14:paraId="41DECB05" w14:textId="77777777" w:rsidR="00117587" w:rsidRDefault="00117587" w:rsidP="00117587">
            <w:pPr>
              <w:pStyle w:val="Normal1linespace"/>
              <w:widowControl w:val="0"/>
              <w:jc w:val="left"/>
            </w:pPr>
          </w:p>
        </w:tc>
        <w:tc>
          <w:tcPr>
            <w:tcW w:w="5989" w:type="dxa"/>
            <w:shd w:val="clear" w:color="auto" w:fill="auto"/>
          </w:tcPr>
          <w:p w14:paraId="1B1F47A6" w14:textId="77777777" w:rsidR="00117587" w:rsidRDefault="00117587" w:rsidP="00117587">
            <w:pPr>
              <w:pStyle w:val="Normal1linespace"/>
              <w:widowControl w:val="0"/>
              <w:jc w:val="left"/>
            </w:pPr>
          </w:p>
        </w:tc>
      </w:tr>
      <w:tr w:rsidR="00117587" w14:paraId="29F84F2B" w14:textId="77777777" w:rsidTr="00117587">
        <w:tc>
          <w:tcPr>
            <w:tcW w:w="3085" w:type="dxa"/>
            <w:shd w:val="clear" w:color="auto" w:fill="auto"/>
          </w:tcPr>
          <w:p w14:paraId="6ACD4B99" w14:textId="77777777" w:rsidR="00117587" w:rsidRDefault="00117587" w:rsidP="00117587">
            <w:pPr>
              <w:pStyle w:val="Normal1linespace"/>
              <w:widowControl w:val="0"/>
              <w:jc w:val="left"/>
            </w:pPr>
            <w:r>
              <w:lastRenderedPageBreak/>
              <w:t>Counsel for the First Respondent:</w:t>
            </w:r>
          </w:p>
        </w:tc>
        <w:tc>
          <w:tcPr>
            <w:tcW w:w="5989" w:type="dxa"/>
            <w:shd w:val="clear" w:color="auto" w:fill="auto"/>
          </w:tcPr>
          <w:p w14:paraId="60DA18DA" w14:textId="75E4B428" w:rsidR="00117587" w:rsidRDefault="00117587" w:rsidP="00117587">
            <w:pPr>
              <w:pStyle w:val="Normal1linespace"/>
              <w:widowControl w:val="0"/>
              <w:jc w:val="left"/>
            </w:pPr>
            <w:r>
              <w:t xml:space="preserve">N </w:t>
            </w:r>
            <w:proofErr w:type="spellStart"/>
            <w:r>
              <w:t>Hutley</w:t>
            </w:r>
            <w:proofErr w:type="spellEnd"/>
            <w:r>
              <w:t xml:space="preserve"> SC with S Hartford Davis</w:t>
            </w:r>
          </w:p>
        </w:tc>
      </w:tr>
      <w:tr w:rsidR="00117587" w14:paraId="704445D8" w14:textId="77777777" w:rsidTr="00117587">
        <w:tc>
          <w:tcPr>
            <w:tcW w:w="3085" w:type="dxa"/>
            <w:shd w:val="clear" w:color="auto" w:fill="auto"/>
          </w:tcPr>
          <w:p w14:paraId="3601F4A5" w14:textId="77777777" w:rsidR="00117587" w:rsidRDefault="00117587" w:rsidP="00117587">
            <w:pPr>
              <w:pStyle w:val="Normal1linespace"/>
              <w:widowControl w:val="0"/>
              <w:jc w:val="left"/>
            </w:pPr>
          </w:p>
        </w:tc>
        <w:tc>
          <w:tcPr>
            <w:tcW w:w="5989" w:type="dxa"/>
            <w:shd w:val="clear" w:color="auto" w:fill="auto"/>
          </w:tcPr>
          <w:p w14:paraId="0413377C" w14:textId="77777777" w:rsidR="00117587" w:rsidRDefault="00117587" w:rsidP="00117587">
            <w:pPr>
              <w:pStyle w:val="Normal1linespace"/>
              <w:widowControl w:val="0"/>
              <w:jc w:val="left"/>
            </w:pPr>
          </w:p>
        </w:tc>
      </w:tr>
      <w:tr w:rsidR="00117587" w14:paraId="31F5D360" w14:textId="77777777" w:rsidTr="00117587">
        <w:tc>
          <w:tcPr>
            <w:tcW w:w="3085" w:type="dxa"/>
            <w:shd w:val="clear" w:color="auto" w:fill="auto"/>
          </w:tcPr>
          <w:p w14:paraId="06385959" w14:textId="77777777" w:rsidR="00117587" w:rsidRDefault="00117587" w:rsidP="00117587">
            <w:pPr>
              <w:pStyle w:val="Normal1linespace"/>
              <w:widowControl w:val="0"/>
              <w:jc w:val="left"/>
            </w:pPr>
            <w:r>
              <w:t>Counsel for the Second Respondent:</w:t>
            </w:r>
          </w:p>
        </w:tc>
        <w:tc>
          <w:tcPr>
            <w:tcW w:w="5989" w:type="dxa"/>
            <w:shd w:val="clear" w:color="auto" w:fill="auto"/>
          </w:tcPr>
          <w:p w14:paraId="3AC851C5" w14:textId="6D725BFA" w:rsidR="00117587" w:rsidRDefault="002E774E" w:rsidP="002E774E">
            <w:pPr>
              <w:pStyle w:val="Normal1linespace"/>
              <w:widowControl w:val="0"/>
              <w:jc w:val="left"/>
            </w:pPr>
            <w:r>
              <w:t xml:space="preserve">K Richardson SC with </w:t>
            </w:r>
            <w:r w:rsidR="00117587">
              <w:t>C Amato</w:t>
            </w:r>
          </w:p>
        </w:tc>
      </w:tr>
      <w:tr w:rsidR="00117587" w14:paraId="641C9C7D" w14:textId="77777777" w:rsidTr="00117587">
        <w:tc>
          <w:tcPr>
            <w:tcW w:w="3085" w:type="dxa"/>
            <w:shd w:val="clear" w:color="auto" w:fill="auto"/>
          </w:tcPr>
          <w:p w14:paraId="3EBAD76D" w14:textId="77777777" w:rsidR="00117587" w:rsidRDefault="00117587" w:rsidP="00117587">
            <w:pPr>
              <w:pStyle w:val="Normal1linespace"/>
              <w:widowControl w:val="0"/>
              <w:jc w:val="left"/>
            </w:pPr>
          </w:p>
        </w:tc>
        <w:tc>
          <w:tcPr>
            <w:tcW w:w="5989" w:type="dxa"/>
            <w:shd w:val="clear" w:color="auto" w:fill="auto"/>
          </w:tcPr>
          <w:p w14:paraId="20E74A5D" w14:textId="77777777" w:rsidR="00117587" w:rsidRDefault="00117587" w:rsidP="00117587">
            <w:pPr>
              <w:pStyle w:val="Normal1linespace"/>
              <w:widowControl w:val="0"/>
              <w:jc w:val="left"/>
            </w:pPr>
          </w:p>
        </w:tc>
      </w:tr>
      <w:tr w:rsidR="00117587" w14:paraId="0B7A4CC5" w14:textId="77777777" w:rsidTr="00117587">
        <w:tc>
          <w:tcPr>
            <w:tcW w:w="3085" w:type="dxa"/>
            <w:shd w:val="clear" w:color="auto" w:fill="auto"/>
          </w:tcPr>
          <w:p w14:paraId="38AC44EC" w14:textId="77777777" w:rsidR="00117587" w:rsidRDefault="00117587" w:rsidP="00117587">
            <w:pPr>
              <w:pStyle w:val="Normal1linespace"/>
              <w:widowControl w:val="0"/>
              <w:jc w:val="left"/>
            </w:pPr>
            <w:r>
              <w:t>Solicitor for the Respondents:</w:t>
            </w:r>
          </w:p>
        </w:tc>
        <w:tc>
          <w:tcPr>
            <w:tcW w:w="5989" w:type="dxa"/>
            <w:shd w:val="clear" w:color="auto" w:fill="auto"/>
          </w:tcPr>
          <w:p w14:paraId="43DCDF96" w14:textId="77777777" w:rsidR="00117587" w:rsidRDefault="00117587" w:rsidP="00117587">
            <w:pPr>
              <w:pStyle w:val="Normal1linespace"/>
              <w:widowControl w:val="0"/>
              <w:jc w:val="left"/>
            </w:pPr>
            <w:r>
              <w:t xml:space="preserve">King &amp; Wood </w:t>
            </w:r>
            <w:proofErr w:type="spellStart"/>
            <w:r>
              <w:t>Mallesons</w:t>
            </w:r>
            <w:proofErr w:type="spellEnd"/>
          </w:p>
        </w:tc>
      </w:tr>
      <w:bookmarkEnd w:id="8"/>
    </w:tbl>
    <w:p w14:paraId="6DDFDBC9" w14:textId="77777777" w:rsidR="00395B24" w:rsidRDefault="00395B24">
      <w:pPr>
        <w:pStyle w:val="Normal1linespace"/>
      </w:pPr>
    </w:p>
    <w:p w14:paraId="3FFF8D07" w14:textId="77777777" w:rsidR="0092590B" w:rsidRDefault="0092590B">
      <w:pPr>
        <w:pStyle w:val="Normal1linespace"/>
      </w:pPr>
    </w:p>
    <w:p w14:paraId="49D22BAC"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1EE22F11"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BCA5438" w14:textId="77777777" w:rsidTr="00E81DA6">
        <w:tc>
          <w:tcPr>
            <w:tcW w:w="6912" w:type="dxa"/>
            <w:gridSpan w:val="2"/>
          </w:tcPr>
          <w:p w14:paraId="663460E3" w14:textId="77777777" w:rsidR="00A46CCC" w:rsidRPr="001765E0" w:rsidRDefault="00A46CCC" w:rsidP="00525A49">
            <w:pPr>
              <w:pStyle w:val="NormalHeadings"/>
            </w:pPr>
          </w:p>
        </w:tc>
        <w:tc>
          <w:tcPr>
            <w:tcW w:w="2330" w:type="dxa"/>
          </w:tcPr>
          <w:p w14:paraId="0275C9C6" w14:textId="77777777" w:rsidR="00A46CCC" w:rsidRDefault="00117587" w:rsidP="00F92355">
            <w:pPr>
              <w:pStyle w:val="NormalHeadings"/>
              <w:jc w:val="right"/>
            </w:pPr>
            <w:bookmarkStart w:id="10" w:name="FileNo"/>
            <w:r>
              <w:t>NSD 246 of 2020</w:t>
            </w:r>
            <w:bookmarkEnd w:id="10"/>
          </w:p>
        </w:tc>
      </w:tr>
      <w:tr w:rsidR="00A76C13" w14:paraId="5A0CE939" w14:textId="77777777" w:rsidTr="008D192B">
        <w:tc>
          <w:tcPr>
            <w:tcW w:w="9242" w:type="dxa"/>
            <w:gridSpan w:val="3"/>
          </w:tcPr>
          <w:p w14:paraId="1C0DD764" w14:textId="77777777" w:rsidR="00A76C13" w:rsidRPr="00A76C13" w:rsidRDefault="00117587" w:rsidP="00117587">
            <w:pPr>
              <w:pStyle w:val="NormalHeadings"/>
              <w:jc w:val="left"/>
            </w:pPr>
            <w:bookmarkStart w:id="11" w:name="InTheMatterOf"/>
            <w:r>
              <w:t xml:space="preserve"> </w:t>
            </w:r>
            <w:bookmarkEnd w:id="11"/>
          </w:p>
        </w:tc>
      </w:tr>
      <w:tr w:rsidR="00A46CCC" w14:paraId="185519BC" w14:textId="77777777" w:rsidTr="008D192B">
        <w:trPr>
          <w:trHeight w:val="386"/>
        </w:trPr>
        <w:tc>
          <w:tcPr>
            <w:tcW w:w="2376" w:type="dxa"/>
          </w:tcPr>
          <w:p w14:paraId="3C5C1E01" w14:textId="77777777" w:rsidR="00A46CCC" w:rsidRDefault="00A46CCC" w:rsidP="008D192B">
            <w:pPr>
              <w:pStyle w:val="NormalHeadings"/>
              <w:jc w:val="left"/>
              <w:rPr>
                <w:caps/>
                <w:szCs w:val="24"/>
              </w:rPr>
            </w:pPr>
            <w:bookmarkStart w:id="12" w:name="Parties"/>
            <w:r>
              <w:rPr>
                <w:caps/>
                <w:szCs w:val="24"/>
              </w:rPr>
              <w:t>BETWEEN:</w:t>
            </w:r>
          </w:p>
        </w:tc>
        <w:tc>
          <w:tcPr>
            <w:tcW w:w="6866" w:type="dxa"/>
            <w:gridSpan w:val="2"/>
          </w:tcPr>
          <w:p w14:paraId="34F7CE3A" w14:textId="77777777" w:rsidR="00117587" w:rsidRDefault="00117587" w:rsidP="00117587">
            <w:pPr>
              <w:pStyle w:val="NormalHeadings"/>
              <w:jc w:val="left"/>
            </w:pPr>
            <w:bookmarkStart w:id="13" w:name="Applicant"/>
            <w:r>
              <w:t>AUSTRALIAN INFORMATION COMMISSIONER</w:t>
            </w:r>
          </w:p>
          <w:p w14:paraId="21AF53F3" w14:textId="77777777" w:rsidR="00117587" w:rsidRDefault="00117587" w:rsidP="00117587">
            <w:pPr>
              <w:pStyle w:val="PartyType"/>
            </w:pPr>
            <w:r>
              <w:t>Applicant</w:t>
            </w:r>
          </w:p>
          <w:bookmarkEnd w:id="13"/>
          <w:p w14:paraId="5E3452B0" w14:textId="77777777" w:rsidR="00A46CCC" w:rsidRPr="006555B4" w:rsidRDefault="00A46CCC" w:rsidP="008D192B">
            <w:pPr>
              <w:pStyle w:val="NormalHeadings"/>
              <w:jc w:val="left"/>
            </w:pPr>
          </w:p>
        </w:tc>
      </w:tr>
      <w:tr w:rsidR="00A46CCC" w14:paraId="42340F57" w14:textId="77777777" w:rsidTr="008D192B">
        <w:trPr>
          <w:trHeight w:val="386"/>
        </w:trPr>
        <w:tc>
          <w:tcPr>
            <w:tcW w:w="2376" w:type="dxa"/>
          </w:tcPr>
          <w:p w14:paraId="13C8F513" w14:textId="77777777" w:rsidR="00A46CCC" w:rsidRDefault="00A46CCC" w:rsidP="008D192B">
            <w:pPr>
              <w:pStyle w:val="NormalHeadings"/>
              <w:jc w:val="left"/>
              <w:rPr>
                <w:caps/>
                <w:szCs w:val="24"/>
              </w:rPr>
            </w:pPr>
            <w:r>
              <w:rPr>
                <w:caps/>
                <w:szCs w:val="24"/>
              </w:rPr>
              <w:t>AND:</w:t>
            </w:r>
          </w:p>
        </w:tc>
        <w:tc>
          <w:tcPr>
            <w:tcW w:w="6866" w:type="dxa"/>
            <w:gridSpan w:val="2"/>
          </w:tcPr>
          <w:p w14:paraId="1F6EA116" w14:textId="77777777" w:rsidR="00117587" w:rsidRDefault="00117587" w:rsidP="00117587">
            <w:pPr>
              <w:pStyle w:val="NormalHeadings"/>
              <w:jc w:val="left"/>
            </w:pPr>
            <w:bookmarkStart w:id="14" w:name="Respondent"/>
            <w:r>
              <w:t>FACEBOOK INC</w:t>
            </w:r>
          </w:p>
          <w:p w14:paraId="722691E5" w14:textId="77777777" w:rsidR="00117587" w:rsidRDefault="00117587" w:rsidP="00117587">
            <w:pPr>
              <w:pStyle w:val="PartyType"/>
            </w:pPr>
            <w:r>
              <w:t>First Respondent</w:t>
            </w:r>
          </w:p>
          <w:p w14:paraId="4CB7F447" w14:textId="77777777" w:rsidR="00117587" w:rsidRDefault="00117587" w:rsidP="008D192B">
            <w:pPr>
              <w:pStyle w:val="NormalHeadings"/>
              <w:jc w:val="left"/>
              <w:rPr>
                <w:szCs w:val="24"/>
              </w:rPr>
            </w:pPr>
          </w:p>
          <w:p w14:paraId="48232BD2" w14:textId="77777777" w:rsidR="00117587" w:rsidRDefault="00117587" w:rsidP="00117587">
            <w:pPr>
              <w:pStyle w:val="NormalHeadings"/>
              <w:jc w:val="left"/>
            </w:pPr>
            <w:r>
              <w:t>FACEBOOK IRELAND LIMITED</w:t>
            </w:r>
          </w:p>
          <w:p w14:paraId="085503F0" w14:textId="77777777" w:rsidR="00117587" w:rsidRDefault="00117587" w:rsidP="00117587">
            <w:pPr>
              <w:pStyle w:val="PartyType"/>
            </w:pPr>
            <w:r>
              <w:t>Second Respondent</w:t>
            </w:r>
          </w:p>
          <w:bookmarkEnd w:id="14"/>
          <w:p w14:paraId="4084D033" w14:textId="77777777" w:rsidR="00A46CCC" w:rsidRPr="006555B4" w:rsidRDefault="00A46CCC" w:rsidP="008D192B">
            <w:pPr>
              <w:pStyle w:val="NormalHeadings"/>
              <w:jc w:val="left"/>
            </w:pPr>
          </w:p>
        </w:tc>
      </w:tr>
    </w:tbl>
    <w:p w14:paraId="623D5C23"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3F86CB3D" w14:textId="77777777">
        <w:tc>
          <w:tcPr>
            <w:tcW w:w="2376" w:type="dxa"/>
          </w:tcPr>
          <w:p w14:paraId="67049B41" w14:textId="6F4994D6" w:rsidR="00395B24" w:rsidRDefault="002E774E" w:rsidP="002E774E">
            <w:pPr>
              <w:pStyle w:val="NormalHeadings"/>
              <w:spacing w:after="120"/>
              <w:jc w:val="left"/>
              <w:rPr>
                <w:caps/>
                <w:szCs w:val="24"/>
              </w:rPr>
            </w:pPr>
            <w:bookmarkStart w:id="16" w:name="JudgeText"/>
            <w:r>
              <w:rPr>
                <w:caps/>
                <w:szCs w:val="24"/>
              </w:rPr>
              <w:t>ORDER MADE BY</w:t>
            </w:r>
            <w:bookmarkEnd w:id="16"/>
            <w:r w:rsidR="002C7385">
              <w:rPr>
                <w:caps/>
                <w:szCs w:val="24"/>
              </w:rPr>
              <w:t>:</w:t>
            </w:r>
          </w:p>
        </w:tc>
        <w:tc>
          <w:tcPr>
            <w:tcW w:w="6866" w:type="dxa"/>
          </w:tcPr>
          <w:p w14:paraId="36C50613" w14:textId="77777777" w:rsidR="00395B24" w:rsidRDefault="00117587">
            <w:pPr>
              <w:pStyle w:val="NormalHeadings"/>
              <w:jc w:val="left"/>
              <w:rPr>
                <w:caps/>
                <w:szCs w:val="24"/>
              </w:rPr>
            </w:pPr>
            <w:bookmarkStart w:id="17" w:name="Judge"/>
            <w:r>
              <w:rPr>
                <w:caps/>
                <w:szCs w:val="24"/>
              </w:rPr>
              <w:t>THAWLEY J</w:t>
            </w:r>
            <w:bookmarkEnd w:id="17"/>
          </w:p>
        </w:tc>
      </w:tr>
      <w:tr w:rsidR="00395B24" w14:paraId="6570251D" w14:textId="77777777">
        <w:tc>
          <w:tcPr>
            <w:tcW w:w="2376" w:type="dxa"/>
          </w:tcPr>
          <w:p w14:paraId="312FAFD0" w14:textId="77777777" w:rsidR="00395B24" w:rsidRDefault="002C7385">
            <w:pPr>
              <w:pStyle w:val="NormalHeadings"/>
              <w:spacing w:after="120"/>
              <w:jc w:val="left"/>
              <w:rPr>
                <w:caps/>
                <w:szCs w:val="24"/>
              </w:rPr>
            </w:pPr>
            <w:r>
              <w:rPr>
                <w:caps/>
                <w:szCs w:val="24"/>
              </w:rPr>
              <w:t>DATE OF ORDER:</w:t>
            </w:r>
          </w:p>
        </w:tc>
        <w:tc>
          <w:tcPr>
            <w:tcW w:w="6866" w:type="dxa"/>
          </w:tcPr>
          <w:p w14:paraId="0D789170" w14:textId="5694E0BE" w:rsidR="00395B24" w:rsidRDefault="00BD6583" w:rsidP="009506F5">
            <w:pPr>
              <w:pStyle w:val="NormalHeadings"/>
              <w:jc w:val="left"/>
              <w:rPr>
                <w:caps/>
                <w:szCs w:val="24"/>
              </w:rPr>
            </w:pPr>
            <w:bookmarkStart w:id="18" w:name="Judgment_Dated"/>
            <w:r>
              <w:rPr>
                <w:caps/>
                <w:szCs w:val="24"/>
              </w:rPr>
              <w:t>14 September 2020</w:t>
            </w:r>
            <w:bookmarkEnd w:id="18"/>
          </w:p>
        </w:tc>
      </w:tr>
    </w:tbl>
    <w:p w14:paraId="1A4CC8EA" w14:textId="77777777" w:rsidR="00395B24" w:rsidRDefault="00395B24">
      <w:pPr>
        <w:pStyle w:val="NormalHeadings"/>
        <w:rPr>
          <w:b w:val="0"/>
        </w:rPr>
      </w:pPr>
    </w:p>
    <w:p w14:paraId="0EC48AC2" w14:textId="77777777" w:rsidR="008D1617" w:rsidRDefault="008D1617">
      <w:pPr>
        <w:pStyle w:val="NormalHeadings"/>
        <w:rPr>
          <w:b w:val="0"/>
        </w:rPr>
      </w:pPr>
    </w:p>
    <w:p w14:paraId="250BEE79" w14:textId="77777777" w:rsidR="00395B24" w:rsidRDefault="002C7385">
      <w:pPr>
        <w:pStyle w:val="NormalHeadings"/>
      </w:pPr>
      <w:r>
        <w:t>THE COURT ORDERS THAT:</w:t>
      </w:r>
    </w:p>
    <w:p w14:paraId="55C8620F" w14:textId="77777777" w:rsidR="00395B24" w:rsidRDefault="00395B24">
      <w:pPr>
        <w:pStyle w:val="NormalHeadings"/>
      </w:pPr>
    </w:p>
    <w:p w14:paraId="0366CBF2" w14:textId="2C21866A" w:rsidR="00395B24" w:rsidRDefault="00DB339B" w:rsidP="00274F5B">
      <w:pPr>
        <w:pStyle w:val="Order1"/>
      </w:pPr>
      <w:bookmarkStart w:id="19" w:name="Order_Start_Text"/>
      <w:bookmarkEnd w:id="19"/>
      <w:r>
        <w:t xml:space="preserve">The interlocutory application dated </w:t>
      </w:r>
      <w:r w:rsidRPr="00D8527F">
        <w:t>6 May 2020</w:t>
      </w:r>
      <w:r>
        <w:t xml:space="preserve"> be dismissed.</w:t>
      </w:r>
    </w:p>
    <w:p w14:paraId="49C0D418" w14:textId="77777777" w:rsidR="009506F5" w:rsidRPr="006B106E" w:rsidRDefault="009506F5" w:rsidP="009506F5">
      <w:pPr>
        <w:pStyle w:val="Order1"/>
      </w:pPr>
      <w:r w:rsidRPr="006B106E">
        <w:t xml:space="preserve">The </w:t>
      </w:r>
      <w:r>
        <w:t xml:space="preserve">written reasons for </w:t>
      </w:r>
      <w:r w:rsidRPr="006B106E">
        <w:t>judgment not be published beyond the parties until further order.</w:t>
      </w:r>
    </w:p>
    <w:p w14:paraId="05957A75" w14:textId="282892C5" w:rsidR="009506F5" w:rsidRPr="006B106E" w:rsidRDefault="009506F5" w:rsidP="009506F5">
      <w:pPr>
        <w:pStyle w:val="Order1"/>
      </w:pPr>
      <w:r w:rsidRPr="006B106E">
        <w:t xml:space="preserve">The parties have until </w:t>
      </w:r>
      <w:r w:rsidR="00283928">
        <w:t>12 pm on 16 September 2020</w:t>
      </w:r>
      <w:r w:rsidRPr="006B106E">
        <w:t xml:space="preserve"> to advise the Court of any orders for redaction</w:t>
      </w:r>
      <w:r>
        <w:t>s</w:t>
      </w:r>
      <w:r w:rsidRPr="006B106E">
        <w:t xml:space="preserve"> sought</w:t>
      </w:r>
      <w:r>
        <w:t xml:space="preserve">, together with a concise </w:t>
      </w:r>
      <w:r w:rsidR="00283928">
        <w:t xml:space="preserve">written </w:t>
      </w:r>
      <w:r>
        <w:t>explanation as to why those redactions ought be made.</w:t>
      </w:r>
    </w:p>
    <w:p w14:paraId="7E0C6D41" w14:textId="6B6D7B23" w:rsidR="00DB339B" w:rsidRDefault="00F73B46" w:rsidP="00274F5B">
      <w:pPr>
        <w:pStyle w:val="Order1"/>
      </w:pPr>
      <w:r>
        <w:t>Unless any party applies within 7 days for a different order with respect to costs, t</w:t>
      </w:r>
      <w:r w:rsidR="00DB339B">
        <w:t>he first respondent pay the applicant’s costs of the interlocutory application.</w:t>
      </w:r>
    </w:p>
    <w:p w14:paraId="19AAA502" w14:textId="77777777" w:rsidR="00636871" w:rsidRDefault="00636871" w:rsidP="002B0E91">
      <w:pPr>
        <w:pStyle w:val="BodyText"/>
      </w:pPr>
    </w:p>
    <w:p w14:paraId="42890A01" w14:textId="77777777" w:rsidR="00395B24" w:rsidRDefault="00395B24" w:rsidP="002B0E91">
      <w:pPr>
        <w:pStyle w:val="BodyText"/>
      </w:pPr>
    </w:p>
    <w:p w14:paraId="1E519EC2" w14:textId="77777777" w:rsidR="00395B24" w:rsidRDefault="002C7385" w:rsidP="004D53E5">
      <w:pPr>
        <w:pStyle w:val="SingleSpace"/>
      </w:pPr>
      <w:r>
        <w:t>Note:</w:t>
      </w:r>
      <w:r>
        <w:tab/>
        <w:t xml:space="preserve">Entry of orders is dealt with in Rule 39.32 of the </w:t>
      </w:r>
      <w:r>
        <w:rPr>
          <w:i/>
        </w:rPr>
        <w:t>Federal Court Rules 2011</w:t>
      </w:r>
      <w:r>
        <w:t>.</w:t>
      </w:r>
    </w:p>
    <w:p w14:paraId="3C443C83" w14:textId="77777777" w:rsidR="00395B24" w:rsidRDefault="00395B24" w:rsidP="002B0E91">
      <w:pPr>
        <w:pStyle w:val="BodyText"/>
      </w:pPr>
    </w:p>
    <w:p w14:paraId="20D244BC" w14:textId="77777777" w:rsidR="00395B24" w:rsidRDefault="00395B24" w:rsidP="001F2DBC">
      <w:pPr>
        <w:pStyle w:val="BodyText"/>
      </w:pPr>
    </w:p>
    <w:p w14:paraId="1DDFF7C9" w14:textId="2AD4617E" w:rsidR="00CB6BE4" w:rsidRPr="00CB6BE4" w:rsidRDefault="00CB6BE4" w:rsidP="00CB6BE4"/>
    <w:p w14:paraId="6B89D8C1" w14:textId="242DD2BF" w:rsidR="00CB6BE4" w:rsidRPr="00CB6BE4" w:rsidRDefault="00CB6BE4" w:rsidP="00CB6BE4">
      <w:pPr>
        <w:tabs>
          <w:tab w:val="left" w:pos="3193"/>
        </w:tabs>
      </w:pPr>
      <w:r>
        <w:tab/>
      </w:r>
    </w:p>
    <w:p w14:paraId="4170F03A" w14:textId="224D619F" w:rsidR="00CB6BE4" w:rsidRDefault="00CB6BE4" w:rsidP="00CB6BE4"/>
    <w:p w14:paraId="0DA6CDD5" w14:textId="77777777" w:rsidR="00395B24" w:rsidRPr="00CB6BE4" w:rsidRDefault="00395B24" w:rsidP="00CB6BE4">
      <w:pPr>
        <w:sectPr w:rsidR="00395B24" w:rsidRPr="00CB6BE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53054973"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0CDF9839" w14:textId="77777777" w:rsidR="00395B24" w:rsidRPr="00EA03CE" w:rsidRDefault="00D8527F" w:rsidP="005E0510">
      <w:pPr>
        <w:pStyle w:val="NormalHeadings"/>
        <w:spacing w:line="360" w:lineRule="auto"/>
        <w:jc w:val="left"/>
        <w:rPr>
          <w:sz w:val="26"/>
          <w:szCs w:val="26"/>
        </w:rPr>
      </w:pPr>
      <w:r>
        <w:rPr>
          <w:sz w:val="26"/>
          <w:szCs w:val="26"/>
        </w:rPr>
        <w:t>THAWLEY J</w:t>
      </w:r>
      <w:r w:rsidR="00484F6D" w:rsidRPr="00EA03CE">
        <w:rPr>
          <w:sz w:val="26"/>
          <w:szCs w:val="26"/>
        </w:rPr>
        <w:t>:</w:t>
      </w:r>
    </w:p>
    <w:p w14:paraId="2C81947E" w14:textId="7579807C" w:rsidR="00677EF3" w:rsidRDefault="004D6C0E" w:rsidP="00677EF3">
      <w:pPr>
        <w:pStyle w:val="Heading1"/>
      </w:pPr>
      <w:r>
        <w:t xml:space="preserve">A  </w:t>
      </w:r>
      <w:r w:rsidR="000C76BE">
        <w:t>INTRODUCTION</w:t>
      </w:r>
    </w:p>
    <w:p w14:paraId="356CF77E" w14:textId="362EFB4C" w:rsidR="00583431" w:rsidRDefault="00583431" w:rsidP="00565A9A">
      <w:pPr>
        <w:pStyle w:val="ParaNumbering"/>
      </w:pPr>
      <w:r>
        <w:t xml:space="preserve">On 9 March 2020, the Australian Information </w:t>
      </w:r>
      <w:r w:rsidRPr="00677EF3">
        <w:rPr>
          <w:b/>
        </w:rPr>
        <w:t>Commissioner</w:t>
      </w:r>
      <w:r>
        <w:t xml:space="preserve"> commenced proceedings in this Court against </w:t>
      </w:r>
      <w:r w:rsidRPr="004733A2">
        <w:rPr>
          <w:b/>
        </w:rPr>
        <w:t xml:space="preserve">Facebook </w:t>
      </w:r>
      <w:proofErr w:type="spellStart"/>
      <w:r w:rsidRPr="004733A2">
        <w:rPr>
          <w:b/>
        </w:rPr>
        <w:t>Inc</w:t>
      </w:r>
      <w:proofErr w:type="spellEnd"/>
      <w:r>
        <w:t xml:space="preserve"> and </w:t>
      </w:r>
      <w:r w:rsidRPr="00583431">
        <w:rPr>
          <w:b/>
        </w:rPr>
        <w:t>Facebook Ireland</w:t>
      </w:r>
      <w:r>
        <w:t xml:space="preserve"> L</w:t>
      </w:r>
      <w:r w:rsidR="00347EAA">
        <w:t>imi</w:t>
      </w:r>
      <w:r>
        <w:t>t</w:t>
      </w:r>
      <w:r w:rsidR="00347EAA">
        <w:t>e</w:t>
      </w:r>
      <w:r>
        <w:t>d</w:t>
      </w:r>
      <w:r w:rsidR="008E6A60">
        <w:t xml:space="preserve"> </w:t>
      </w:r>
      <w:r w:rsidR="008E6A60" w:rsidRPr="00583431">
        <w:t xml:space="preserve">(together, </w:t>
      </w:r>
      <w:r w:rsidR="008E6A60" w:rsidRPr="00583431">
        <w:rPr>
          <w:b/>
        </w:rPr>
        <w:t>Facebook</w:t>
      </w:r>
      <w:r w:rsidR="008E6A60" w:rsidRPr="00583431">
        <w:t>)</w:t>
      </w:r>
      <w:r>
        <w:t>.  Those proceedings were commenced by the filing of an Originating Application, Concise Statement and Statement of Claim.</w:t>
      </w:r>
      <w:r w:rsidR="004733A2">
        <w:t xml:space="preserve">  The brief account of facts outlined in this </w:t>
      </w:r>
      <w:r w:rsidR="000C76BE">
        <w:t>Introduction</w:t>
      </w:r>
      <w:r w:rsidR="004733A2">
        <w:t xml:space="preserve"> is taken from those documents and set out for the purpose of understanding the nature of the proceedings.  They are not intended to constitute </w:t>
      </w:r>
      <w:r w:rsidR="0088559B">
        <w:t xml:space="preserve">final </w:t>
      </w:r>
      <w:r w:rsidR="004733A2">
        <w:t xml:space="preserve">conclusions of fact. </w:t>
      </w:r>
    </w:p>
    <w:p w14:paraId="082DE560" w14:textId="00DEB3F9" w:rsidR="007857D3" w:rsidRDefault="004D6C0E" w:rsidP="007857D3">
      <w:pPr>
        <w:pStyle w:val="Heading2"/>
      </w:pPr>
      <w:r>
        <w:t xml:space="preserve">A.1  </w:t>
      </w:r>
      <w:r w:rsidR="007857D3">
        <w:t>Nature of the proceedings</w:t>
      </w:r>
    </w:p>
    <w:p w14:paraId="2C72E45F" w14:textId="46F7FE0E" w:rsidR="0088559B" w:rsidRPr="0088559B" w:rsidRDefault="00CD2CC5" w:rsidP="0088559B">
      <w:pPr>
        <w:pStyle w:val="ParaNumbering"/>
      </w:pPr>
      <w:r w:rsidRPr="00583431">
        <w:t xml:space="preserve">The website </w:t>
      </w:r>
      <w:r w:rsidR="00347EAA" w:rsidRPr="00F73B46">
        <w:t>www.facebook.com,</w:t>
      </w:r>
      <w:r w:rsidRPr="00583431">
        <w:t xml:space="preserve"> </w:t>
      </w:r>
      <w:r w:rsidR="0088559B">
        <w:t xml:space="preserve">which is </w:t>
      </w:r>
      <w:r>
        <w:t>also</w:t>
      </w:r>
      <w:r w:rsidRPr="00583431">
        <w:t xml:space="preserve"> accessible </w:t>
      </w:r>
      <w:r w:rsidR="0088559B">
        <w:t>through</w:t>
      </w:r>
      <w:r w:rsidRPr="00583431">
        <w:t xml:space="preserve"> Facebook</w:t>
      </w:r>
      <w:r w:rsidR="0059361E">
        <w:t>’</w:t>
      </w:r>
      <w:r w:rsidRPr="00583431">
        <w:t xml:space="preserve">s associated mobile applications, allows users who create an account to build an online social network with other </w:t>
      </w:r>
      <w:r>
        <w:t>u</w:t>
      </w:r>
      <w:r w:rsidRPr="00583431">
        <w:t>sers.</w:t>
      </w:r>
      <w:r w:rsidRPr="00CD2CC5">
        <w:t xml:space="preserve"> </w:t>
      </w:r>
      <w:r>
        <w:t xml:space="preserve"> </w:t>
      </w:r>
      <w:r w:rsidR="0088559B" w:rsidRPr="0088559B">
        <w:rPr>
          <w:lang w:val="en-US"/>
        </w:rPr>
        <w:t>The network of connections through which users communicate and share information on the Facebook website</w:t>
      </w:r>
      <w:r w:rsidR="0088559B">
        <w:t xml:space="preserve"> is sometimes referred to as the </w:t>
      </w:r>
      <w:r w:rsidR="0088559B" w:rsidRPr="0088559B">
        <w:rPr>
          <w:lang w:val="en-US"/>
        </w:rPr>
        <w:t xml:space="preserve">“social graph”.  </w:t>
      </w:r>
    </w:p>
    <w:p w14:paraId="53344BCB" w14:textId="3AABF1AE" w:rsidR="00CD2CC5" w:rsidRPr="00583431" w:rsidRDefault="00CD2CC5" w:rsidP="0088559B">
      <w:pPr>
        <w:pStyle w:val="ParaNumbering"/>
      </w:pPr>
      <w:r>
        <w:t xml:space="preserve">A Facebook user provides certain information to open an account </w:t>
      </w:r>
      <w:r w:rsidRPr="00FC0A38">
        <w:t>including their name, dat</w:t>
      </w:r>
      <w:r>
        <w:t xml:space="preserve">e of birth, gender and an email </w:t>
      </w:r>
      <w:r w:rsidRPr="00FC0A38">
        <w:t>address or, from early 2015, a mobile phone number</w:t>
      </w:r>
      <w:r>
        <w:t xml:space="preserve">.  Users are able to add further personal information </w:t>
      </w:r>
      <w:r w:rsidR="0088559B">
        <w:t>to</w:t>
      </w:r>
      <w:r>
        <w:t xml:space="preserve"> their Facebook profile including a profile picture, the person</w:t>
      </w:r>
      <w:r w:rsidR="0059361E">
        <w:t>’</w:t>
      </w:r>
      <w:r>
        <w:t xml:space="preserve">s hometown, educational history, work experience, </w:t>
      </w:r>
      <w:r w:rsidR="004733A2">
        <w:t xml:space="preserve">sexual orientation, </w:t>
      </w:r>
      <w:r>
        <w:t xml:space="preserve">relationship status, occupation, political and religious views, interests and photographs.  Users </w:t>
      </w:r>
      <w:r w:rsidR="004733A2">
        <w:t>can</w:t>
      </w:r>
      <w:r>
        <w:t xml:space="preserve"> create and </w:t>
      </w:r>
      <w:r w:rsidR="0088559B">
        <w:t>“</w:t>
      </w:r>
      <w:r>
        <w:t>post</w:t>
      </w:r>
      <w:r w:rsidR="0088559B">
        <w:t>”</w:t>
      </w:r>
      <w:r>
        <w:t xml:space="preserve"> content on the Facebook website.  A post could take various forms including: freeform text, photographs, videos, </w:t>
      </w:r>
      <w:r w:rsidR="0059361E">
        <w:t>“</w:t>
      </w:r>
      <w:r>
        <w:t>check-ins</w:t>
      </w:r>
      <w:r w:rsidR="0059361E">
        <w:t>”</w:t>
      </w:r>
      <w:r>
        <w:t xml:space="preserve"> (indicating a user</w:t>
      </w:r>
      <w:r w:rsidR="0059361E">
        <w:t>’</w:t>
      </w:r>
      <w:r>
        <w:t xml:space="preserve">s geographic location at a particular time) and links to websites, such as articles on news websites.  </w:t>
      </w:r>
    </w:p>
    <w:p w14:paraId="184C9705" w14:textId="62693E4B" w:rsidR="00CD2CC5" w:rsidRPr="00583431" w:rsidRDefault="004733A2" w:rsidP="00CD2CC5">
      <w:pPr>
        <w:pStyle w:val="ParaNumbering"/>
      </w:pPr>
      <w:r w:rsidRPr="00583431">
        <w:t xml:space="preserve">Facebook monetises </w:t>
      </w:r>
      <w:r>
        <w:t>the</w:t>
      </w:r>
      <w:r w:rsidRPr="00583431">
        <w:t xml:space="preserve"> information</w:t>
      </w:r>
      <w:r>
        <w:t xml:space="preserve"> it obtains</w:t>
      </w:r>
      <w:r w:rsidRPr="00583431">
        <w:t xml:space="preserve"> by selling advertising, including advertisements targeted at </w:t>
      </w:r>
      <w:r>
        <w:t>u</w:t>
      </w:r>
      <w:r w:rsidRPr="00583431">
        <w:t xml:space="preserve">sers. </w:t>
      </w:r>
      <w:r w:rsidR="008E6A60">
        <w:t xml:space="preserve"> Facebook</w:t>
      </w:r>
      <w:r w:rsidR="0059361E">
        <w:t>’</w:t>
      </w:r>
      <w:r w:rsidR="008E6A60">
        <w:t>s global revenue is almost entirely comprised of advertising revenue.</w:t>
      </w:r>
    </w:p>
    <w:p w14:paraId="75572C65" w14:textId="4A57E665" w:rsidR="00EA03B4" w:rsidRDefault="004733A2" w:rsidP="00EA03B4">
      <w:pPr>
        <w:pStyle w:val="ParaNumbering"/>
      </w:pPr>
      <w:r w:rsidRPr="00583431">
        <w:t>The Commissioner alleges that, during the period 12 March 2014 to 1 May 2015</w:t>
      </w:r>
      <w:r>
        <w:t xml:space="preserve">, </w:t>
      </w:r>
      <w:r w:rsidRPr="00583431">
        <w:t xml:space="preserve">Facebook </w:t>
      </w:r>
      <w:proofErr w:type="spellStart"/>
      <w:r w:rsidRPr="00583431">
        <w:t>Inc</w:t>
      </w:r>
      <w:proofErr w:type="spellEnd"/>
      <w:r w:rsidRPr="00583431">
        <w:t xml:space="preserve"> and Facebook Ireland </w:t>
      </w:r>
      <w:r w:rsidR="008E6A60" w:rsidRPr="00583431">
        <w:t>disclos</w:t>
      </w:r>
      <w:r w:rsidR="008E6A60">
        <w:t>ed</w:t>
      </w:r>
      <w:r w:rsidR="008E6A60" w:rsidRPr="00583431">
        <w:t xml:space="preserve"> the</w:t>
      </w:r>
      <w:r w:rsidR="008E6A60">
        <w:t xml:space="preserve"> </w:t>
      </w:r>
      <w:r w:rsidR="008E6A60" w:rsidRPr="00583431">
        <w:t xml:space="preserve">personal information (including sensitive information) of approximately 311,127 Australian Facebook </w:t>
      </w:r>
      <w:r w:rsidR="008E6A60">
        <w:t>u</w:t>
      </w:r>
      <w:r w:rsidR="008E6A60" w:rsidRPr="00583431">
        <w:t>sers to a t</w:t>
      </w:r>
      <w:r w:rsidR="008E6A60">
        <w:t xml:space="preserve">hird party application, </w:t>
      </w:r>
      <w:r w:rsidR="008E6A60" w:rsidRPr="00583431">
        <w:t xml:space="preserve">the </w:t>
      </w:r>
      <w:r w:rsidR="0059361E">
        <w:t>“</w:t>
      </w:r>
      <w:r w:rsidR="008E6A60" w:rsidRPr="008E6A60">
        <w:rPr>
          <w:b/>
        </w:rPr>
        <w:t>This is Your Digital Life</w:t>
      </w:r>
      <w:r w:rsidR="0059361E">
        <w:t>”</w:t>
      </w:r>
      <w:r w:rsidR="008E6A60" w:rsidRPr="00583431">
        <w:t xml:space="preserve"> </w:t>
      </w:r>
      <w:r w:rsidR="008E6A60">
        <w:t>a</w:t>
      </w:r>
      <w:r w:rsidR="008E6A60" w:rsidRPr="00583431">
        <w:t>pp</w:t>
      </w:r>
      <w:r w:rsidR="00EA03B4">
        <w:t xml:space="preserve">, which </w:t>
      </w:r>
      <w:r w:rsidR="00EA03B4" w:rsidRPr="00583431">
        <w:t>was a personality survey or quiz</w:t>
      </w:r>
      <w:r w:rsidR="00EA03B4">
        <w:t xml:space="preserve"> </w:t>
      </w:r>
      <w:r w:rsidR="00EA03B4" w:rsidRPr="00583431">
        <w:t xml:space="preserve">developed by Dr </w:t>
      </w:r>
      <w:proofErr w:type="spellStart"/>
      <w:r w:rsidR="00EA03B4" w:rsidRPr="00583431">
        <w:t>Aleksandr</w:t>
      </w:r>
      <w:proofErr w:type="spellEnd"/>
      <w:r w:rsidR="00EA03B4" w:rsidRPr="00583431">
        <w:t xml:space="preserve"> </w:t>
      </w:r>
      <w:proofErr w:type="spellStart"/>
      <w:r w:rsidR="00EA03B4" w:rsidRPr="00583431">
        <w:t>Kogan</w:t>
      </w:r>
      <w:proofErr w:type="spellEnd"/>
      <w:r w:rsidR="00EA03B4" w:rsidRPr="00583431">
        <w:t xml:space="preserve">, a researcher, who later established Global Science Research Ltd. </w:t>
      </w:r>
    </w:p>
    <w:p w14:paraId="277255CA" w14:textId="785EA4CE" w:rsidR="0088559B" w:rsidRDefault="0088559B" w:rsidP="00EA03B4">
      <w:pPr>
        <w:pStyle w:val="ParaNumbering"/>
      </w:pPr>
      <w:r>
        <w:lastRenderedPageBreak/>
        <w:t xml:space="preserve">It was not in dispute that the information uploaded by users to the Facebook website included information which was “personal information”, and arguably “sensitive information”, within the meaning of s 6 of the </w:t>
      </w:r>
      <w:r w:rsidRPr="00F73B46">
        <w:rPr>
          <w:b/>
          <w:i/>
        </w:rPr>
        <w:t>Privacy Act</w:t>
      </w:r>
      <w:r w:rsidRPr="0088559B">
        <w:rPr>
          <w:i/>
        </w:rPr>
        <w:t xml:space="preserve"> </w:t>
      </w:r>
      <w:r w:rsidRPr="00F73B46">
        <w:rPr>
          <w:i/>
        </w:rPr>
        <w:t>1988</w:t>
      </w:r>
      <w:r>
        <w:t xml:space="preserve"> (</w:t>
      </w:r>
      <w:proofErr w:type="spellStart"/>
      <w:r>
        <w:t>Cth</w:t>
      </w:r>
      <w:proofErr w:type="spellEnd"/>
      <w:r>
        <w:t>).</w:t>
      </w:r>
    </w:p>
    <w:p w14:paraId="444FD239" w14:textId="206ABDCE" w:rsidR="00EA03B4" w:rsidRPr="00583431" w:rsidRDefault="00EA03B4" w:rsidP="00565A9A">
      <w:pPr>
        <w:pStyle w:val="ParaNumbering"/>
      </w:pPr>
      <w:r>
        <w:t>At the relevant time, a</w:t>
      </w:r>
      <w:r w:rsidRPr="00583431">
        <w:t xml:space="preserve">pps could request personal information from </w:t>
      </w:r>
      <w:r>
        <w:t>u</w:t>
      </w:r>
      <w:r w:rsidRPr="00583431">
        <w:t>sers</w:t>
      </w:r>
      <w:r w:rsidR="0059361E">
        <w:t>’</w:t>
      </w:r>
      <w:r w:rsidRPr="00583431">
        <w:t xml:space="preserve"> Facebook accounts using a tool called the Graph Application Programming Interface (</w:t>
      </w:r>
      <w:r w:rsidRPr="00EA03B4">
        <w:rPr>
          <w:b/>
        </w:rPr>
        <w:t>Graph API</w:t>
      </w:r>
      <w:r w:rsidRPr="00583431">
        <w:t xml:space="preserve">). </w:t>
      </w:r>
      <w:r>
        <w:t xml:space="preserve"> </w:t>
      </w:r>
      <w:r w:rsidR="00517A60">
        <w:t>T</w:t>
      </w:r>
      <w:r>
        <w:t xml:space="preserve">hrough </w:t>
      </w:r>
      <w:r w:rsidRPr="00583431">
        <w:t>Version 1 of the Graph API (</w:t>
      </w:r>
      <w:r w:rsidRPr="00EA03B4">
        <w:rPr>
          <w:b/>
        </w:rPr>
        <w:t>Graph API V1</w:t>
      </w:r>
      <w:r w:rsidRPr="00583431">
        <w:t>)</w:t>
      </w:r>
      <w:r>
        <w:t xml:space="preserve">, </w:t>
      </w:r>
      <w:r w:rsidRPr="00583431">
        <w:t>an app could request a wide range of information about not only those who had installed an app (</w:t>
      </w:r>
      <w:r w:rsidRPr="00EA03B4">
        <w:rPr>
          <w:b/>
        </w:rPr>
        <w:t>Installers</w:t>
      </w:r>
      <w:r w:rsidRPr="00583431">
        <w:t>) but also their friends who had not installed the app (</w:t>
      </w:r>
      <w:r w:rsidRPr="00EA03B4">
        <w:rPr>
          <w:b/>
        </w:rPr>
        <w:t>Friends</w:t>
      </w:r>
      <w:r w:rsidRPr="00583431">
        <w:t xml:space="preserve">). </w:t>
      </w:r>
      <w:r>
        <w:t xml:space="preserve"> </w:t>
      </w:r>
      <w:r w:rsidRPr="00583431">
        <w:t xml:space="preserve">This included requests for sensitive information. </w:t>
      </w:r>
      <w:r>
        <w:t xml:space="preserve"> </w:t>
      </w:r>
      <w:r w:rsidRPr="00583431">
        <w:t xml:space="preserve">Facebook had rules about what kinds of information an app could request, </w:t>
      </w:r>
      <w:r w:rsidR="00517A60">
        <w:t xml:space="preserve">but </w:t>
      </w:r>
      <w:r w:rsidRPr="00583431">
        <w:t>relied on app developers</w:t>
      </w:r>
      <w:r w:rsidR="0059361E">
        <w:t>’</w:t>
      </w:r>
      <w:r w:rsidRPr="00583431">
        <w:t xml:space="preserve"> self-assessment that an app complied with its rules.</w:t>
      </w:r>
    </w:p>
    <w:p w14:paraId="73AFCADD" w14:textId="35AB40D7" w:rsidR="007863A8" w:rsidRDefault="00EA03B4" w:rsidP="00EA03B4">
      <w:pPr>
        <w:pStyle w:val="ParaNumbering"/>
      </w:pPr>
      <w:r w:rsidRPr="00583431">
        <w:t xml:space="preserve">In response to a request from an app, Facebook disclosed information about Installers and Friends, subject to the </w:t>
      </w:r>
      <w:r>
        <w:t>particular u</w:t>
      </w:r>
      <w:r w:rsidRPr="00583431">
        <w:t>ser</w:t>
      </w:r>
      <w:r w:rsidR="0059361E">
        <w:t>’</w:t>
      </w:r>
      <w:r w:rsidRPr="00583431">
        <w:t xml:space="preserve">s settings. </w:t>
      </w:r>
      <w:r>
        <w:t xml:space="preserve"> The Commissioner alleges that most of th</w:t>
      </w:r>
      <w:r w:rsidRPr="00583431">
        <w:t>e</w:t>
      </w:r>
      <w:r>
        <w:t xml:space="preserve"> relevant Australian</w:t>
      </w:r>
      <w:r w:rsidRPr="00583431">
        <w:t xml:space="preserve"> </w:t>
      </w:r>
      <w:r>
        <w:t>users</w:t>
      </w:r>
      <w:r w:rsidRPr="00583431">
        <w:t xml:space="preserve"> </w:t>
      </w:r>
      <w:r w:rsidR="00FF7D89">
        <w:t xml:space="preserve">whose personal information was disclosed </w:t>
      </w:r>
      <w:r w:rsidRPr="00583431">
        <w:t xml:space="preserve">did not install the </w:t>
      </w:r>
      <w:r w:rsidR="0059361E">
        <w:t>“</w:t>
      </w:r>
      <w:r w:rsidRPr="00583431">
        <w:t>This is Your Digital Life</w:t>
      </w:r>
      <w:r w:rsidR="0059361E">
        <w:t>”</w:t>
      </w:r>
      <w:r>
        <w:t xml:space="preserve"> app</w:t>
      </w:r>
      <w:r w:rsidR="00517A60">
        <w:t>;</w:t>
      </w:r>
      <w:r>
        <w:t xml:space="preserve"> </w:t>
      </w:r>
      <w:r w:rsidR="00517A60">
        <w:t>r</w:t>
      </w:r>
      <w:r>
        <w:t>ather,</w:t>
      </w:r>
      <w:r w:rsidRPr="00583431">
        <w:t xml:space="preserve"> their Facebook friends did. </w:t>
      </w:r>
      <w:r>
        <w:t xml:space="preserve"> Whilst users could</w:t>
      </w:r>
      <w:r w:rsidRPr="00583431">
        <w:t xml:space="preserve"> modify</w:t>
      </w:r>
      <w:r w:rsidR="0088559B">
        <w:t xml:space="preserve"> </w:t>
      </w:r>
      <w:r w:rsidRPr="00583431">
        <w:t xml:space="preserve">their settings, </w:t>
      </w:r>
      <w:r>
        <w:t>if they did not then</w:t>
      </w:r>
      <w:r w:rsidR="007863A8">
        <w:t>,</w:t>
      </w:r>
      <w:r>
        <w:t xml:space="preserve"> </w:t>
      </w:r>
      <w:r w:rsidRPr="00583431">
        <w:t>by default</w:t>
      </w:r>
      <w:r w:rsidR="007863A8">
        <w:t>,</w:t>
      </w:r>
      <w:r w:rsidRPr="00583431">
        <w:t xml:space="preserve"> their personal information was disclosed by Facebook to the </w:t>
      </w:r>
      <w:r w:rsidR="0059361E">
        <w:t>“</w:t>
      </w:r>
      <w:r w:rsidRPr="00583431">
        <w:t>This is Your Digital Life</w:t>
      </w:r>
      <w:r w:rsidR="0059361E">
        <w:t>”</w:t>
      </w:r>
      <w:r w:rsidRPr="00583431">
        <w:t xml:space="preserve"> </w:t>
      </w:r>
      <w:r>
        <w:t>a</w:t>
      </w:r>
      <w:r w:rsidRPr="00583431">
        <w:t xml:space="preserve">pp. </w:t>
      </w:r>
      <w:r>
        <w:t xml:space="preserve"> </w:t>
      </w:r>
    </w:p>
    <w:p w14:paraId="684F764A" w14:textId="0BADF30F" w:rsidR="00EA03B4" w:rsidRPr="00583431" w:rsidRDefault="00EA03B4" w:rsidP="00565A9A">
      <w:pPr>
        <w:pStyle w:val="ParaNumbering"/>
      </w:pPr>
      <w:r>
        <w:t xml:space="preserve">The Commissioner alleges that </w:t>
      </w:r>
      <w:r w:rsidRPr="00583431">
        <w:t xml:space="preserve">Facebook did not adequately inform the </w:t>
      </w:r>
      <w:r>
        <w:t>users</w:t>
      </w:r>
      <w:r w:rsidRPr="00583431">
        <w:t xml:space="preserve"> of the manner in which their personal information would be disclosed, or that it could be disclosed to an app installed by a </w:t>
      </w:r>
      <w:r w:rsidR="007863A8">
        <w:t>F</w:t>
      </w:r>
      <w:r w:rsidRPr="00583431">
        <w:t xml:space="preserve">riend, but not installed by </w:t>
      </w:r>
      <w:r w:rsidR="0088559B">
        <w:t>the</w:t>
      </w:r>
      <w:r w:rsidRPr="00583431">
        <w:t xml:space="preserve"> individual.</w:t>
      </w:r>
      <w:r>
        <w:t xml:space="preserve">  </w:t>
      </w:r>
      <w:r w:rsidRPr="00583431">
        <w:t xml:space="preserve">Nor did </w:t>
      </w:r>
      <w:r>
        <w:t>Facebook</w:t>
      </w:r>
      <w:r w:rsidRPr="00583431">
        <w:t xml:space="preserve"> prevent the </w:t>
      </w:r>
      <w:r w:rsidR="0059361E">
        <w:t>“</w:t>
      </w:r>
      <w:r w:rsidRPr="00583431">
        <w:t>This is Your Digital Life</w:t>
      </w:r>
      <w:r w:rsidR="0059361E">
        <w:t>”</w:t>
      </w:r>
      <w:r w:rsidRPr="00583431">
        <w:t xml:space="preserve"> app from disclosing the information obtained to third parties.</w:t>
      </w:r>
      <w:r>
        <w:t xml:space="preserve">  </w:t>
      </w:r>
      <w:r w:rsidR="007863A8" w:rsidRPr="00583431">
        <w:t>The developers</w:t>
      </w:r>
      <w:r w:rsidR="007863A8">
        <w:t xml:space="preserve"> of</w:t>
      </w:r>
      <w:r w:rsidR="007863A8" w:rsidRPr="00583431">
        <w:t xml:space="preserve"> the </w:t>
      </w:r>
      <w:r w:rsidR="0059361E">
        <w:t>“</w:t>
      </w:r>
      <w:r w:rsidR="007863A8" w:rsidRPr="00583431">
        <w:t>This is Your Digital Life</w:t>
      </w:r>
      <w:r w:rsidR="0059361E">
        <w:t>”</w:t>
      </w:r>
      <w:r w:rsidR="007863A8" w:rsidRPr="00583431">
        <w:t xml:space="preserve"> </w:t>
      </w:r>
      <w:r w:rsidR="007863A8">
        <w:t>a</w:t>
      </w:r>
      <w:r w:rsidR="007863A8" w:rsidRPr="00583431">
        <w:t xml:space="preserve">pp sold personal information obtained using the app to the political consulting firm Cambridge </w:t>
      </w:r>
      <w:proofErr w:type="spellStart"/>
      <w:r w:rsidR="007863A8" w:rsidRPr="00583431">
        <w:t>Analytica</w:t>
      </w:r>
      <w:proofErr w:type="spellEnd"/>
      <w:r w:rsidR="00FF7D89">
        <w:t xml:space="preserve"> Ltd</w:t>
      </w:r>
      <w:r w:rsidR="007863A8" w:rsidRPr="00583431">
        <w:t>, in breach of Facebook</w:t>
      </w:r>
      <w:r w:rsidR="0059361E">
        <w:t>’</w:t>
      </w:r>
      <w:r w:rsidR="007863A8" w:rsidRPr="00583431">
        <w:t>s policies.</w:t>
      </w:r>
      <w:r w:rsidR="007863A8">
        <w:t xml:space="preserve">  </w:t>
      </w:r>
      <w:r w:rsidR="007863A8" w:rsidRPr="00583431">
        <w:t xml:space="preserve">As a result, the </w:t>
      </w:r>
      <w:r w:rsidR="007863A8">
        <w:t>users</w:t>
      </w:r>
      <w:r w:rsidR="0059361E">
        <w:t>’</w:t>
      </w:r>
      <w:r w:rsidR="007863A8" w:rsidRPr="00583431">
        <w:t xml:space="preserve"> personal information was exposed to the risk of disclosure, monetisation and use for political profiling purposes.</w:t>
      </w:r>
      <w:r w:rsidR="008B47DD">
        <w:t xml:space="preserve">  </w:t>
      </w:r>
      <w:r w:rsidRPr="00583431">
        <w:t xml:space="preserve">Facebook did not know the precise nature or extent of the personal information disclosed to the </w:t>
      </w:r>
      <w:r w:rsidR="0059361E">
        <w:t>“</w:t>
      </w:r>
      <w:r w:rsidRPr="00583431">
        <w:t>This is Your Digital Life</w:t>
      </w:r>
      <w:r w:rsidR="0059361E">
        <w:t>”</w:t>
      </w:r>
      <w:r w:rsidRPr="00583431">
        <w:t xml:space="preserve"> </w:t>
      </w:r>
      <w:r>
        <w:t>a</w:t>
      </w:r>
      <w:r w:rsidRPr="00583431">
        <w:t>pp.</w:t>
      </w:r>
    </w:p>
    <w:p w14:paraId="66172CC8" w14:textId="05E34150" w:rsidR="007863A8" w:rsidRPr="007863A8" w:rsidRDefault="007863A8" w:rsidP="00565A9A">
      <w:pPr>
        <w:pStyle w:val="ParaNumbering"/>
      </w:pPr>
      <w:r>
        <w:t xml:space="preserve">A </w:t>
      </w:r>
      <w:r w:rsidR="00EA03B4" w:rsidRPr="00583431">
        <w:t>new version of the Graph API (</w:t>
      </w:r>
      <w:r w:rsidR="00EA03B4" w:rsidRPr="007863A8">
        <w:rPr>
          <w:b/>
        </w:rPr>
        <w:t>Graph API V2</w:t>
      </w:r>
      <w:r w:rsidR="00EA03B4" w:rsidRPr="00583431">
        <w:t>) was launched by Facebook</w:t>
      </w:r>
      <w:r>
        <w:t xml:space="preserve"> o</w:t>
      </w:r>
      <w:r w:rsidRPr="00583431">
        <w:t>n 30 April 2014</w:t>
      </w:r>
      <w:r>
        <w:t>.  A</w:t>
      </w:r>
      <w:r w:rsidRPr="007863A8">
        <w:t>pp developers wishing to request more than basic</w:t>
      </w:r>
      <w:r>
        <w:t xml:space="preserve"> </w:t>
      </w:r>
      <w:r w:rsidRPr="007863A8">
        <w:t>information from Friends and Installers had to undergo a manual app review process (</w:t>
      </w:r>
      <w:r w:rsidRPr="007863A8">
        <w:rPr>
          <w:b/>
        </w:rPr>
        <w:t>App Review</w:t>
      </w:r>
      <w:r w:rsidRPr="007863A8">
        <w:t xml:space="preserve">). </w:t>
      </w:r>
      <w:r>
        <w:t xml:space="preserve"> R</w:t>
      </w:r>
      <w:r w:rsidRPr="007863A8">
        <w:t xml:space="preserve">equests would only be approved where, among other things, the additional information clearly improved the </w:t>
      </w:r>
      <w:r>
        <w:t>u</w:t>
      </w:r>
      <w:r w:rsidRPr="007863A8">
        <w:t>ser</w:t>
      </w:r>
      <w:r w:rsidR="0059361E">
        <w:t>’</w:t>
      </w:r>
      <w:r w:rsidRPr="007863A8">
        <w:t xml:space="preserve">s experience of the app. </w:t>
      </w:r>
      <w:r>
        <w:t xml:space="preserve"> </w:t>
      </w:r>
      <w:r w:rsidRPr="007863A8">
        <w:t>Facebook allowed apps</w:t>
      </w:r>
      <w:r>
        <w:t xml:space="preserve"> using Graph API V1 a 12</w:t>
      </w:r>
      <w:r w:rsidR="007B112A">
        <w:t xml:space="preserve"> </w:t>
      </w:r>
      <w:r>
        <w:t xml:space="preserve">month </w:t>
      </w:r>
      <w:r w:rsidRPr="007863A8">
        <w:t xml:space="preserve">grace period </w:t>
      </w:r>
      <w:r w:rsidR="007857D3">
        <w:t xml:space="preserve">to </w:t>
      </w:r>
      <w:r w:rsidRPr="007863A8">
        <w:t>migrate to Graph API V2.</w:t>
      </w:r>
    </w:p>
    <w:p w14:paraId="508E6C1E" w14:textId="4E89101E" w:rsidR="00EA03B4" w:rsidRPr="00583431" w:rsidRDefault="00EA03B4" w:rsidP="00EA03B4">
      <w:pPr>
        <w:pStyle w:val="ParaNumbering"/>
      </w:pPr>
      <w:r w:rsidRPr="00583431">
        <w:lastRenderedPageBreak/>
        <w:t xml:space="preserve">On 7 May 2014, Facebook rejected </w:t>
      </w:r>
      <w:r w:rsidR="007863A8" w:rsidRPr="00583431">
        <w:t>an application for App Review</w:t>
      </w:r>
      <w:r w:rsidR="007863A8">
        <w:t xml:space="preserve"> made by</w:t>
      </w:r>
      <w:r w:rsidR="007863A8" w:rsidRPr="00583431">
        <w:t xml:space="preserve"> the developers of the </w:t>
      </w:r>
      <w:r w:rsidR="0059361E">
        <w:t>“</w:t>
      </w:r>
      <w:r w:rsidR="007863A8" w:rsidRPr="00583431">
        <w:t>This is Your Digital Life</w:t>
      </w:r>
      <w:r w:rsidR="0059361E">
        <w:t>”</w:t>
      </w:r>
      <w:r w:rsidR="007863A8" w:rsidRPr="00583431">
        <w:t xml:space="preserve"> </w:t>
      </w:r>
      <w:r w:rsidR="007863A8">
        <w:t>a</w:t>
      </w:r>
      <w:r w:rsidR="007863A8" w:rsidRPr="00583431">
        <w:t xml:space="preserve">pp </w:t>
      </w:r>
      <w:r w:rsidRPr="00583431">
        <w:t xml:space="preserve">on the basis that the app would not be using the data gained through extended permissions to enhance a </w:t>
      </w:r>
      <w:r w:rsidR="007863A8">
        <w:t>u</w:t>
      </w:r>
      <w:r w:rsidRPr="00583431">
        <w:t>ser</w:t>
      </w:r>
      <w:r w:rsidR="0059361E">
        <w:t>’</w:t>
      </w:r>
      <w:r w:rsidRPr="00583431">
        <w:t xml:space="preserve">s in-app experience. </w:t>
      </w:r>
      <w:r w:rsidR="007863A8">
        <w:t xml:space="preserve"> Nevertheless</w:t>
      </w:r>
      <w:r w:rsidRPr="00583431">
        <w:t xml:space="preserve">, Facebook permitted </w:t>
      </w:r>
      <w:r w:rsidR="007B112A">
        <w:t xml:space="preserve">the </w:t>
      </w:r>
      <w:r w:rsidR="007863A8">
        <w:t>developers</w:t>
      </w:r>
      <w:r w:rsidRPr="00583431">
        <w:t xml:space="preserve"> to continue requesting Installers</w:t>
      </w:r>
      <w:r w:rsidR="0059361E">
        <w:t>’</w:t>
      </w:r>
      <w:r w:rsidRPr="00583431">
        <w:t xml:space="preserve"> and Friends</w:t>
      </w:r>
      <w:r w:rsidR="0059361E">
        <w:t>’</w:t>
      </w:r>
      <w:r w:rsidRPr="00583431">
        <w:t xml:space="preserve"> information using the Graph API V1 for a further 12 months until the end of the </w:t>
      </w:r>
      <w:r w:rsidR="007863A8">
        <w:t>g</w:t>
      </w:r>
      <w:r w:rsidRPr="00583431">
        <w:t xml:space="preserve">race </w:t>
      </w:r>
      <w:r w:rsidR="007863A8">
        <w:t>p</w:t>
      </w:r>
      <w:r w:rsidRPr="00583431">
        <w:t xml:space="preserve">eriod on 1 May 2015. </w:t>
      </w:r>
    </w:p>
    <w:p w14:paraId="59ECC7DC" w14:textId="54C61DD7" w:rsidR="00CD2CC5" w:rsidRDefault="00583431" w:rsidP="00583431">
      <w:pPr>
        <w:pStyle w:val="ParaNumbering"/>
      </w:pPr>
      <w:r w:rsidRPr="00583431">
        <w:t>The Commissioner alleges</w:t>
      </w:r>
      <w:r w:rsidR="00CD2CC5">
        <w:t xml:space="preserve"> </w:t>
      </w:r>
      <w:r w:rsidRPr="00583431">
        <w:t>that</w:t>
      </w:r>
      <w:r w:rsidR="00CD2CC5">
        <w:t>:</w:t>
      </w:r>
    </w:p>
    <w:p w14:paraId="4128B089" w14:textId="712F6931" w:rsidR="00583431" w:rsidRPr="00583431" w:rsidRDefault="008E6A60" w:rsidP="00CD2CC5">
      <w:pPr>
        <w:pStyle w:val="ListNo1"/>
      </w:pPr>
      <w:r w:rsidRPr="00583431">
        <w:t>Facebook</w:t>
      </w:r>
      <w:r>
        <w:t xml:space="preserve"> </w:t>
      </w:r>
      <w:r w:rsidR="00CD2CC5">
        <w:t>disclosed</w:t>
      </w:r>
      <w:r w:rsidR="00583431" w:rsidRPr="00583431">
        <w:t xml:space="preserve"> the </w:t>
      </w:r>
      <w:r w:rsidR="00CD2CC5">
        <w:t>user</w:t>
      </w:r>
      <w:r w:rsidR="00583431" w:rsidRPr="00583431">
        <w:t>s</w:t>
      </w:r>
      <w:r w:rsidR="0059361E">
        <w:t>’</w:t>
      </w:r>
      <w:r w:rsidR="00583431" w:rsidRPr="00583431">
        <w:t xml:space="preserve"> personal information for a purpose other than that for which it was collected</w:t>
      </w:r>
      <w:r w:rsidR="00CD2CC5">
        <w:t>, in</w:t>
      </w:r>
      <w:r w:rsidR="00583431" w:rsidRPr="00583431">
        <w:t xml:space="preserve"> breach Australian Privacy Principle (</w:t>
      </w:r>
      <w:r w:rsidR="00583431" w:rsidRPr="00CD2CC5">
        <w:rPr>
          <w:b/>
        </w:rPr>
        <w:t>APP</w:t>
      </w:r>
      <w:r w:rsidR="00583431" w:rsidRPr="00583431">
        <w:t xml:space="preserve">) </w:t>
      </w:r>
      <w:r w:rsidR="00CD2CC5">
        <w:t>6;</w:t>
      </w:r>
    </w:p>
    <w:p w14:paraId="6B45273B" w14:textId="2CCF1AA5" w:rsidR="00583431" w:rsidRDefault="008E6A60" w:rsidP="00CD2CC5">
      <w:pPr>
        <w:pStyle w:val="ListNo1"/>
      </w:pPr>
      <w:r>
        <w:t xml:space="preserve">Facebook </w:t>
      </w:r>
      <w:r w:rsidR="00CD2CC5">
        <w:t>failed</w:t>
      </w:r>
      <w:r w:rsidR="00583431" w:rsidRPr="00583431">
        <w:t xml:space="preserve"> to take reasonable steps to protect the </w:t>
      </w:r>
      <w:r w:rsidR="00CD2CC5">
        <w:t>users</w:t>
      </w:r>
      <w:r w:rsidR="0059361E">
        <w:t>’</w:t>
      </w:r>
      <w:r w:rsidR="00583431" w:rsidRPr="00583431">
        <w:t xml:space="preserve"> personal information from unauthorised disclosure</w:t>
      </w:r>
      <w:r w:rsidR="00CD2CC5">
        <w:t xml:space="preserve"> in</w:t>
      </w:r>
      <w:r w:rsidR="00583431" w:rsidRPr="00583431">
        <w:t xml:space="preserve"> breach</w:t>
      </w:r>
      <w:r w:rsidR="00CD2CC5">
        <w:t xml:space="preserve"> of</w:t>
      </w:r>
      <w:r w:rsidR="00583431" w:rsidRPr="00583431">
        <w:t xml:space="preserve"> APP 11</w:t>
      </w:r>
      <w:r>
        <w:t>.1(b);</w:t>
      </w:r>
    </w:p>
    <w:p w14:paraId="3AA3D9CD" w14:textId="48F5200E" w:rsidR="008E6A60" w:rsidRPr="00583431" w:rsidRDefault="008E6A60" w:rsidP="00CD2CC5">
      <w:pPr>
        <w:pStyle w:val="ListNo1"/>
      </w:pPr>
      <w:r>
        <w:t>t</w:t>
      </w:r>
      <w:r w:rsidRPr="00583431">
        <w:t xml:space="preserve">hese breaches amounted to serious and/or repeated interferences with the privacy of the </w:t>
      </w:r>
      <w:r>
        <w:t>user</w:t>
      </w:r>
      <w:r w:rsidRPr="00583431">
        <w:t>s, in contravention of s</w:t>
      </w:r>
      <w:r>
        <w:t> </w:t>
      </w:r>
      <w:r w:rsidRPr="00583431">
        <w:t xml:space="preserve">13G of the </w:t>
      </w:r>
      <w:r w:rsidRPr="00F73B46">
        <w:rPr>
          <w:i/>
        </w:rPr>
        <w:t>Privacy Act</w:t>
      </w:r>
      <w:r>
        <w:t>.</w:t>
      </w:r>
    </w:p>
    <w:p w14:paraId="52F55CA8" w14:textId="42DE4AE0" w:rsidR="007857D3" w:rsidRDefault="004D6C0E" w:rsidP="007857D3">
      <w:pPr>
        <w:pStyle w:val="Heading2"/>
      </w:pPr>
      <w:r>
        <w:t xml:space="preserve">A.2  </w:t>
      </w:r>
      <w:r w:rsidR="007857D3">
        <w:t>Procedural history to date</w:t>
      </w:r>
    </w:p>
    <w:p w14:paraId="68C27D7E" w14:textId="2E5FC975" w:rsidR="00F71D8F" w:rsidRDefault="00D8527F" w:rsidP="00565A9A">
      <w:pPr>
        <w:pStyle w:val="ParaNumbering"/>
      </w:pPr>
      <w:r w:rsidRPr="00D8527F">
        <w:t>On 22 April 2020, the Court</w:t>
      </w:r>
      <w:r w:rsidR="00F71D8F">
        <w:t xml:space="preserve"> amongst other things:</w:t>
      </w:r>
    </w:p>
    <w:p w14:paraId="5DC4F4EA" w14:textId="7CD5D79A" w:rsidR="00F71D8F" w:rsidRDefault="00D8527F" w:rsidP="009D5976">
      <w:pPr>
        <w:pStyle w:val="ListNo1"/>
        <w:numPr>
          <w:ilvl w:val="0"/>
          <w:numId w:val="35"/>
        </w:numPr>
      </w:pPr>
      <w:r w:rsidRPr="00D8527F">
        <w:t xml:space="preserve">granted leave to </w:t>
      </w:r>
      <w:r>
        <w:t xml:space="preserve">the </w:t>
      </w:r>
      <w:r w:rsidRPr="007857D3">
        <w:t>Commissioner</w:t>
      </w:r>
      <w:r>
        <w:t xml:space="preserve"> to serve various documents, including </w:t>
      </w:r>
      <w:r w:rsidR="00CD054E">
        <w:t>the Originating Application</w:t>
      </w:r>
      <w:r>
        <w:t xml:space="preserve">, </w:t>
      </w:r>
      <w:r w:rsidR="007857D3">
        <w:t xml:space="preserve">Concise Statement and Statement of Claim </w:t>
      </w:r>
      <w:r w:rsidRPr="00D8527F">
        <w:t xml:space="preserve">on Facebook </w:t>
      </w:r>
      <w:proofErr w:type="spellStart"/>
      <w:r w:rsidRPr="00D8527F">
        <w:t>Inc</w:t>
      </w:r>
      <w:proofErr w:type="spellEnd"/>
      <w:r w:rsidRPr="00D8527F">
        <w:t xml:space="preserve"> in the </w:t>
      </w:r>
      <w:r w:rsidRPr="00C802F0">
        <w:rPr>
          <w:b/>
        </w:rPr>
        <w:t>United States</w:t>
      </w:r>
      <w:r w:rsidRPr="00D8527F">
        <w:t xml:space="preserve"> of America</w:t>
      </w:r>
      <w:r>
        <w:t xml:space="preserve"> (</w:t>
      </w:r>
      <w:r w:rsidRPr="00F71D8F">
        <w:rPr>
          <w:b/>
        </w:rPr>
        <w:t>Order 2</w:t>
      </w:r>
      <w:r>
        <w:t>) and Facebook Ireland in Ireland</w:t>
      </w:r>
      <w:r w:rsidR="00F71D8F">
        <w:t>;</w:t>
      </w:r>
    </w:p>
    <w:p w14:paraId="3C1AB149" w14:textId="4223DE78" w:rsidR="00F71D8F" w:rsidRDefault="00D8527F" w:rsidP="009D5976">
      <w:pPr>
        <w:pStyle w:val="ListNo1"/>
        <w:numPr>
          <w:ilvl w:val="0"/>
          <w:numId w:val="35"/>
        </w:numPr>
      </w:pPr>
      <w:r>
        <w:t xml:space="preserve">made orders permitting </w:t>
      </w:r>
      <w:r w:rsidR="00E20A82">
        <w:t xml:space="preserve">substituted </w:t>
      </w:r>
      <w:r>
        <w:t>service</w:t>
      </w:r>
      <w:r w:rsidRPr="00D8527F">
        <w:t xml:space="preserve"> on Facebook </w:t>
      </w:r>
      <w:proofErr w:type="spellStart"/>
      <w:r w:rsidRPr="00D8527F">
        <w:t>Inc</w:t>
      </w:r>
      <w:proofErr w:type="spellEnd"/>
      <w:r w:rsidRPr="00D8527F">
        <w:t xml:space="preserve"> </w:t>
      </w:r>
      <w:r>
        <w:t>to be effect</w:t>
      </w:r>
      <w:r w:rsidR="00E20A82">
        <w:t>ed</w:t>
      </w:r>
      <w:r>
        <w:t xml:space="preserve"> </w:t>
      </w:r>
      <w:r w:rsidRPr="00D8527F">
        <w:t xml:space="preserve">by </w:t>
      </w:r>
      <w:r w:rsidR="00E20A82">
        <w:t>sending th</w:t>
      </w:r>
      <w:r>
        <w:t xml:space="preserve">e </w:t>
      </w:r>
      <w:r w:rsidR="00C802F0">
        <w:t xml:space="preserve">relevant </w:t>
      </w:r>
      <w:r>
        <w:t xml:space="preserve">documents by </w:t>
      </w:r>
      <w:r w:rsidRPr="00D8527F">
        <w:t xml:space="preserve">email </w:t>
      </w:r>
      <w:r>
        <w:t xml:space="preserve">to two legal practitioners at </w:t>
      </w:r>
      <w:r w:rsidRPr="00D8527F">
        <w:t xml:space="preserve">King &amp; Wood </w:t>
      </w:r>
      <w:proofErr w:type="spellStart"/>
      <w:r w:rsidRPr="00D8527F">
        <w:t>Mallesons</w:t>
      </w:r>
      <w:proofErr w:type="spellEnd"/>
      <w:r w:rsidRPr="00D8527F">
        <w:t xml:space="preserve"> </w:t>
      </w:r>
      <w:r>
        <w:t>(</w:t>
      </w:r>
      <w:r w:rsidR="007857D3" w:rsidRPr="00F71D8F">
        <w:rPr>
          <w:b/>
        </w:rPr>
        <w:t>Order </w:t>
      </w:r>
      <w:r w:rsidRPr="00F71D8F">
        <w:rPr>
          <w:b/>
        </w:rPr>
        <w:t>4</w:t>
      </w:r>
      <w:r>
        <w:t>)</w:t>
      </w:r>
      <w:r w:rsidR="00E20A82">
        <w:t xml:space="preserve"> and orders permitting substituted service on Facebook Ireland, again to be effected by email</w:t>
      </w:r>
      <w:r>
        <w:t xml:space="preserve">.  </w:t>
      </w:r>
    </w:p>
    <w:p w14:paraId="2FA05C6E" w14:textId="12B3AEAF" w:rsidR="00D8527F" w:rsidRDefault="00D8527F" w:rsidP="00F71D8F">
      <w:pPr>
        <w:pStyle w:val="ParaNumbering"/>
      </w:pPr>
      <w:r>
        <w:t>The reasons for making those</w:t>
      </w:r>
      <w:r w:rsidR="00F71D8F">
        <w:t xml:space="preserve"> </w:t>
      </w:r>
      <w:r>
        <w:t xml:space="preserve">orders </w:t>
      </w:r>
      <w:r w:rsidR="00F71D8F">
        <w:t>may be found in</w:t>
      </w:r>
      <w:r>
        <w:t xml:space="preserve"> </w:t>
      </w:r>
      <w:r w:rsidRPr="00F71D8F">
        <w:rPr>
          <w:i/>
        </w:rPr>
        <w:t xml:space="preserve">Australian Information Commission v Facebook </w:t>
      </w:r>
      <w:proofErr w:type="spellStart"/>
      <w:r w:rsidRPr="00F71D8F">
        <w:rPr>
          <w:i/>
        </w:rPr>
        <w:t>Inc</w:t>
      </w:r>
      <w:proofErr w:type="spellEnd"/>
      <w:r w:rsidRPr="00D8527F">
        <w:t xml:space="preserve"> </w:t>
      </w:r>
      <w:r>
        <w:t>[2020] FCA 531</w:t>
      </w:r>
      <w:r w:rsidR="00E20A82">
        <w:t xml:space="preserve"> (</w:t>
      </w:r>
      <w:r w:rsidR="00E20A82" w:rsidRPr="00F71D8F">
        <w:rPr>
          <w:b/>
          <w:i/>
        </w:rPr>
        <w:t>Facebook No 1</w:t>
      </w:r>
      <w:r w:rsidR="00E20A82">
        <w:t>)</w:t>
      </w:r>
      <w:r>
        <w:t>.</w:t>
      </w:r>
    </w:p>
    <w:p w14:paraId="3606AA46" w14:textId="4144BF01" w:rsidR="00D8527F" w:rsidRPr="00D8527F" w:rsidRDefault="00D8527F" w:rsidP="00D8527F">
      <w:pPr>
        <w:pStyle w:val="ParaNumbering"/>
      </w:pPr>
      <w:r w:rsidRPr="00D8527F">
        <w:t xml:space="preserve">On 6 May 2020, Facebook </w:t>
      </w:r>
      <w:proofErr w:type="spellStart"/>
      <w:r w:rsidRPr="00D8527F">
        <w:t>Inc</w:t>
      </w:r>
      <w:proofErr w:type="spellEnd"/>
      <w:r w:rsidRPr="00D8527F">
        <w:t xml:space="preserve"> filed an interlocutory application seeking </w:t>
      </w:r>
      <w:r w:rsidR="00CD054E">
        <w:t xml:space="preserve">orders </w:t>
      </w:r>
      <w:r w:rsidRPr="00D8527F">
        <w:t>that:</w:t>
      </w:r>
    </w:p>
    <w:p w14:paraId="38BF0FC1" w14:textId="7A4D5F4B" w:rsidR="00FA4DD0" w:rsidRDefault="00D8527F" w:rsidP="009D5976">
      <w:pPr>
        <w:pStyle w:val="ListNo1"/>
        <w:numPr>
          <w:ilvl w:val="0"/>
          <w:numId w:val="34"/>
        </w:numPr>
      </w:pPr>
      <w:r w:rsidRPr="00D8527F">
        <w:t>Order 2</w:t>
      </w:r>
      <w:r w:rsidR="00C802F0">
        <w:t xml:space="preserve">, granting leave to serve Facebook </w:t>
      </w:r>
      <w:proofErr w:type="spellStart"/>
      <w:r w:rsidR="00C802F0">
        <w:t>Inc</w:t>
      </w:r>
      <w:proofErr w:type="spellEnd"/>
      <w:r w:rsidR="00C802F0">
        <w:t xml:space="preserve"> in the United States,</w:t>
      </w:r>
      <w:r w:rsidRPr="00D8527F">
        <w:t xml:space="preserve"> be discharged pursuant to r 13.01(1)(d) of the </w:t>
      </w:r>
      <w:r w:rsidRPr="00F71D8F">
        <w:rPr>
          <w:i/>
        </w:rPr>
        <w:t xml:space="preserve">Federal Court </w:t>
      </w:r>
      <w:r w:rsidRPr="00F71D8F">
        <w:rPr>
          <w:b/>
          <w:i/>
        </w:rPr>
        <w:t>Rules</w:t>
      </w:r>
      <w:r w:rsidRPr="00F71D8F">
        <w:rPr>
          <w:i/>
        </w:rPr>
        <w:t xml:space="preserve"> 2011</w:t>
      </w:r>
      <w:r>
        <w:t xml:space="preserve"> (</w:t>
      </w:r>
      <w:proofErr w:type="spellStart"/>
      <w:r>
        <w:t>Cth</w:t>
      </w:r>
      <w:proofErr w:type="spellEnd"/>
      <w:r>
        <w:t>)</w:t>
      </w:r>
      <w:r w:rsidRPr="00D8527F">
        <w:t xml:space="preserve">; </w:t>
      </w:r>
    </w:p>
    <w:p w14:paraId="14CC2E2A" w14:textId="77777777" w:rsidR="00FA4DD0" w:rsidRDefault="00D8527F" w:rsidP="00872EB6">
      <w:pPr>
        <w:pStyle w:val="ListNo1"/>
        <w:numPr>
          <w:ilvl w:val="0"/>
          <w:numId w:val="34"/>
        </w:numPr>
      </w:pPr>
      <w:r w:rsidRPr="00D8527F">
        <w:t>service of the Originating Application on Facebook</w:t>
      </w:r>
      <w:r w:rsidR="00FA4DD0">
        <w:t xml:space="preserve"> </w:t>
      </w:r>
      <w:proofErr w:type="spellStart"/>
      <w:r w:rsidR="00FA4DD0">
        <w:t>Inc</w:t>
      </w:r>
      <w:proofErr w:type="spellEnd"/>
      <w:r w:rsidR="00FA4DD0">
        <w:t xml:space="preserve"> be set aside pursuant to r </w:t>
      </w:r>
      <w:r w:rsidRPr="00D8527F">
        <w:t>13.01</w:t>
      </w:r>
      <w:r w:rsidR="006831BC">
        <w:t>(1)</w:t>
      </w:r>
      <w:r w:rsidRPr="00D8527F">
        <w:t xml:space="preserve">(b) of the Rules; and </w:t>
      </w:r>
    </w:p>
    <w:p w14:paraId="7813CCEF" w14:textId="77777777" w:rsidR="00D8527F" w:rsidRPr="00D8527F" w:rsidRDefault="00D8527F" w:rsidP="00872EB6">
      <w:pPr>
        <w:pStyle w:val="ListNo1"/>
        <w:numPr>
          <w:ilvl w:val="0"/>
          <w:numId w:val="34"/>
        </w:numPr>
      </w:pPr>
      <w:r w:rsidRPr="00D8527F">
        <w:t xml:space="preserve">Order 4 </w:t>
      </w:r>
      <w:r w:rsidR="00FA4DD0">
        <w:t>be discharged.</w:t>
      </w:r>
    </w:p>
    <w:p w14:paraId="4F05E399" w14:textId="3417EEEF" w:rsidR="007857D3" w:rsidRDefault="007857D3" w:rsidP="00C03B5B">
      <w:pPr>
        <w:pStyle w:val="ParaNumbering"/>
      </w:pPr>
      <w:r>
        <w:lastRenderedPageBreak/>
        <w:t>These reasons address that interlocutory application.</w:t>
      </w:r>
    </w:p>
    <w:p w14:paraId="62D331CD" w14:textId="054888A7" w:rsidR="00C802F0" w:rsidRDefault="00C802F0" w:rsidP="00214B65">
      <w:pPr>
        <w:pStyle w:val="ParaNumbering"/>
      </w:pPr>
      <w:r>
        <w:t xml:space="preserve">Facebook Ireland appeared at the hearing of Facebook </w:t>
      </w:r>
      <w:proofErr w:type="spellStart"/>
      <w:r>
        <w:t>Inc</w:t>
      </w:r>
      <w:r w:rsidR="0059361E">
        <w:t>’</w:t>
      </w:r>
      <w:r>
        <w:t>s</w:t>
      </w:r>
      <w:proofErr w:type="spellEnd"/>
      <w:r>
        <w:t xml:space="preserve"> application, although it did not make any submissions.  It has not sought relief equivalent to that sought by Facebook Inc.  </w:t>
      </w:r>
    </w:p>
    <w:p w14:paraId="4B44A5E0" w14:textId="27EF4228" w:rsidR="00214B65" w:rsidRDefault="00677EF3" w:rsidP="00214B65">
      <w:pPr>
        <w:pStyle w:val="ParaNumbering"/>
      </w:pPr>
      <w:r>
        <w:t xml:space="preserve">Facebook </w:t>
      </w:r>
      <w:proofErr w:type="spellStart"/>
      <w:r>
        <w:t>Inc</w:t>
      </w:r>
      <w:proofErr w:type="spellEnd"/>
      <w:r>
        <w:t xml:space="preserve"> contends that service should be set aside because the Court should not be satisfied that there </w:t>
      </w:r>
      <w:r w:rsidR="00214B65">
        <w:t>was</w:t>
      </w:r>
      <w:r>
        <w:t xml:space="preserve"> a </w:t>
      </w:r>
      <w:r w:rsidRPr="00F73B46">
        <w:t>prima facie</w:t>
      </w:r>
      <w:r>
        <w:t xml:space="preserve"> case for the relief claimed by the Commissioner as required by r 10.43(4)(c) of the Rules.  </w:t>
      </w:r>
    </w:p>
    <w:p w14:paraId="5D5529F6" w14:textId="53958B75" w:rsidR="00375B05" w:rsidRDefault="004D6C0E" w:rsidP="00375B05">
      <w:pPr>
        <w:pStyle w:val="Heading1"/>
      </w:pPr>
      <w:r>
        <w:t xml:space="preserve">B  </w:t>
      </w:r>
      <w:r w:rsidR="00375B05">
        <w:t>THE PRIMA FACIE CASE THE COMMISSIONER MUST ESTABLISH</w:t>
      </w:r>
    </w:p>
    <w:p w14:paraId="4F11D00A" w14:textId="3C0B539F" w:rsidR="00375B05" w:rsidRDefault="00375B05" w:rsidP="00DF7D97">
      <w:pPr>
        <w:pStyle w:val="ParaNumbering"/>
      </w:pPr>
      <w:r>
        <w:t xml:space="preserve">Before turning to the principles relevant to determining whether Facebook </w:t>
      </w:r>
      <w:proofErr w:type="spellStart"/>
      <w:r>
        <w:t>Inc</w:t>
      </w:r>
      <w:r w:rsidR="0059361E">
        <w:t>’</w:t>
      </w:r>
      <w:r>
        <w:t>s</w:t>
      </w:r>
      <w:proofErr w:type="spellEnd"/>
      <w:r>
        <w:t xml:space="preserve"> application should be granted, it is useful to identify the prima facie case which the Commissioner must establish.  </w:t>
      </w:r>
    </w:p>
    <w:p w14:paraId="77A07FA6" w14:textId="027FFD69" w:rsidR="00375B05" w:rsidRPr="00635DB2" w:rsidRDefault="00375B05" w:rsidP="00375B05">
      <w:pPr>
        <w:pStyle w:val="ParaNumbering"/>
      </w:pPr>
      <w:r>
        <w:t xml:space="preserve">The extra-territorial operation of </w:t>
      </w:r>
      <w:r w:rsidRPr="00635DB2">
        <w:t xml:space="preserve">the </w:t>
      </w:r>
      <w:r w:rsidRPr="00FB7B79">
        <w:rPr>
          <w:i/>
        </w:rPr>
        <w:t xml:space="preserve">Privacy Act </w:t>
      </w:r>
      <w:r>
        <w:t>is dealt with in s 5B, which relevantly provides</w:t>
      </w:r>
      <w:r w:rsidRPr="00635DB2">
        <w:t>:</w:t>
      </w:r>
    </w:p>
    <w:p w14:paraId="634DECF4" w14:textId="77777777" w:rsidR="00375B05" w:rsidRPr="00635DB2" w:rsidRDefault="00375B05" w:rsidP="00375B05">
      <w:pPr>
        <w:pStyle w:val="Quote1"/>
        <w:keepNext/>
        <w:widowControl/>
        <w:rPr>
          <w:b/>
        </w:rPr>
      </w:pPr>
      <w:bookmarkStart w:id="21" w:name="_Toc29557093"/>
      <w:r w:rsidRPr="00635DB2">
        <w:rPr>
          <w:rStyle w:val="CharSectno"/>
          <w:b/>
        </w:rPr>
        <w:t>5B</w:t>
      </w:r>
      <w:r w:rsidRPr="00635DB2">
        <w:rPr>
          <w:b/>
        </w:rPr>
        <w:t xml:space="preserve">  Extra</w:t>
      </w:r>
      <w:r w:rsidRPr="00635DB2">
        <w:rPr>
          <w:b/>
        </w:rPr>
        <w:noBreakHyphen/>
        <w:t>territorial operation of Act</w:t>
      </w:r>
      <w:bookmarkEnd w:id="21"/>
    </w:p>
    <w:p w14:paraId="3F882AFA" w14:textId="77777777" w:rsidR="00375B05" w:rsidRPr="00635DB2" w:rsidRDefault="00375B05" w:rsidP="00375B05">
      <w:pPr>
        <w:pStyle w:val="Quote1"/>
        <w:keepNext/>
        <w:widowControl/>
        <w:rPr>
          <w:i/>
        </w:rPr>
      </w:pPr>
      <w:r w:rsidRPr="00635DB2">
        <w:rPr>
          <w:i/>
        </w:rPr>
        <w:t>Agencies</w:t>
      </w:r>
    </w:p>
    <w:p w14:paraId="65E58698" w14:textId="77777777" w:rsidR="00375B05" w:rsidRPr="00635DB2" w:rsidRDefault="00375B05" w:rsidP="00375B05">
      <w:pPr>
        <w:pStyle w:val="Quote1"/>
        <w:widowControl/>
      </w:pPr>
      <w:r w:rsidRPr="00635DB2">
        <w:t>…</w:t>
      </w:r>
    </w:p>
    <w:p w14:paraId="316963E4" w14:textId="77777777" w:rsidR="00375B05" w:rsidRPr="00635DB2" w:rsidRDefault="00375B05" w:rsidP="00375B05">
      <w:pPr>
        <w:pStyle w:val="Quote1"/>
        <w:keepNext/>
        <w:widowControl/>
        <w:rPr>
          <w:i/>
        </w:rPr>
      </w:pPr>
      <w:r w:rsidRPr="00635DB2">
        <w:rPr>
          <w:i/>
        </w:rPr>
        <w:t>Organisations and small business operators</w:t>
      </w:r>
    </w:p>
    <w:p w14:paraId="3329E02B" w14:textId="77777777" w:rsidR="00375B05" w:rsidRPr="00635DB2" w:rsidRDefault="00375B05" w:rsidP="00375B05">
      <w:pPr>
        <w:pStyle w:val="Quote1"/>
        <w:widowControl/>
        <w:ind w:left="1418" w:hanging="681"/>
      </w:pPr>
      <w:r w:rsidRPr="00635DB2">
        <w:t>(1A)</w:t>
      </w:r>
      <w:r w:rsidRPr="00635DB2">
        <w:tab/>
        <w:t>This Act, a registered APP code and the registered CR code extend to an act done, or practice engaged in, outside Australia and the external Territories by an organisation, or small business operator, that has an Australian link.</w:t>
      </w:r>
    </w:p>
    <w:p w14:paraId="6889B041" w14:textId="77777777" w:rsidR="00375B05" w:rsidRPr="006E3277" w:rsidRDefault="00375B05" w:rsidP="00375B05">
      <w:pPr>
        <w:pStyle w:val="Quote1"/>
        <w:widowControl/>
        <w:ind w:left="2153" w:hanging="735"/>
        <w:rPr>
          <w:sz w:val="20"/>
        </w:rPr>
      </w:pPr>
      <w:r w:rsidRPr="006E3277">
        <w:rPr>
          <w:sz w:val="20"/>
        </w:rPr>
        <w:t>Note:</w:t>
      </w:r>
      <w:r w:rsidRPr="006E3277">
        <w:rPr>
          <w:sz w:val="20"/>
        </w:rPr>
        <w:tab/>
        <w:t>The act or practice overseas will not breach an Australian Privacy Principle or a registered APP code if the act or practice is required by an applicable foreign law (see sections 6A and 6B).</w:t>
      </w:r>
    </w:p>
    <w:p w14:paraId="053B9744" w14:textId="77777777" w:rsidR="00375B05" w:rsidRPr="00635DB2" w:rsidRDefault="00375B05" w:rsidP="00375B05">
      <w:pPr>
        <w:pStyle w:val="Quote1"/>
        <w:keepNext/>
        <w:widowControl/>
        <w:rPr>
          <w:i/>
        </w:rPr>
      </w:pPr>
      <w:r w:rsidRPr="00635DB2">
        <w:rPr>
          <w:i/>
        </w:rPr>
        <w:t>Australian link</w:t>
      </w:r>
    </w:p>
    <w:p w14:paraId="5A26C386" w14:textId="77777777" w:rsidR="00375B05" w:rsidRPr="00635DB2" w:rsidRDefault="00375B05" w:rsidP="00375B05">
      <w:pPr>
        <w:pStyle w:val="Quote1"/>
        <w:widowControl/>
        <w:ind w:left="1418" w:hanging="681"/>
      </w:pPr>
      <w:r w:rsidRPr="00635DB2">
        <w:t>(2)</w:t>
      </w:r>
      <w:r w:rsidRPr="00635DB2">
        <w:tab/>
        <w:t xml:space="preserve">An organisation or small business operator has an </w:t>
      </w:r>
      <w:r w:rsidRPr="00635DB2">
        <w:rPr>
          <w:b/>
          <w:i/>
        </w:rPr>
        <w:t>Australian link</w:t>
      </w:r>
      <w:r w:rsidRPr="00635DB2">
        <w:t xml:space="preserve"> if the organisation or operator is:</w:t>
      </w:r>
    </w:p>
    <w:p w14:paraId="1C27D1E2" w14:textId="77777777" w:rsidR="00375B05" w:rsidRPr="00635DB2" w:rsidRDefault="00375B05" w:rsidP="00375B05">
      <w:pPr>
        <w:pStyle w:val="Quote1"/>
        <w:widowControl/>
        <w:ind w:left="1985" w:hanging="567"/>
      </w:pPr>
      <w:r w:rsidRPr="00635DB2">
        <w:t>(a)</w:t>
      </w:r>
      <w:r w:rsidRPr="00635DB2">
        <w:tab/>
        <w:t>an Australian citizen; or</w:t>
      </w:r>
    </w:p>
    <w:p w14:paraId="3EAB9BA6" w14:textId="77777777" w:rsidR="00375B05" w:rsidRPr="00635DB2" w:rsidRDefault="00375B05" w:rsidP="00375B05">
      <w:pPr>
        <w:pStyle w:val="Quote1"/>
        <w:widowControl/>
        <w:ind w:left="1985" w:hanging="567"/>
      </w:pPr>
      <w:r w:rsidRPr="00635DB2">
        <w:t>(b)</w:t>
      </w:r>
      <w:r w:rsidRPr="00635DB2">
        <w:tab/>
        <w:t>a person whose continued presence in Australia is not subject to a limitation as to time imposed by law; or</w:t>
      </w:r>
    </w:p>
    <w:p w14:paraId="587F1342" w14:textId="77777777" w:rsidR="00375B05" w:rsidRPr="00635DB2" w:rsidRDefault="00375B05" w:rsidP="00375B05">
      <w:pPr>
        <w:pStyle w:val="Quote1"/>
        <w:widowControl/>
        <w:ind w:left="1985" w:hanging="567"/>
      </w:pPr>
      <w:r w:rsidRPr="00635DB2">
        <w:t>(c)</w:t>
      </w:r>
      <w:r w:rsidRPr="00635DB2">
        <w:tab/>
        <w:t>a partnership formed in Australia or an external Territory; or</w:t>
      </w:r>
    </w:p>
    <w:p w14:paraId="1E12B0A8" w14:textId="77777777" w:rsidR="00375B05" w:rsidRPr="00635DB2" w:rsidRDefault="00375B05" w:rsidP="00375B05">
      <w:pPr>
        <w:pStyle w:val="Quote1"/>
        <w:widowControl/>
        <w:ind w:left="1985" w:hanging="567"/>
      </w:pPr>
      <w:r w:rsidRPr="00635DB2">
        <w:t>(d)</w:t>
      </w:r>
      <w:r w:rsidRPr="00635DB2">
        <w:tab/>
        <w:t>a trust created in Australia or an external Territory; or</w:t>
      </w:r>
    </w:p>
    <w:p w14:paraId="4E0FE32A" w14:textId="77777777" w:rsidR="00375B05" w:rsidRPr="00635DB2" w:rsidRDefault="00375B05" w:rsidP="00375B05">
      <w:pPr>
        <w:pStyle w:val="Quote1"/>
        <w:widowControl/>
        <w:ind w:left="1985" w:hanging="567"/>
      </w:pPr>
      <w:r w:rsidRPr="00635DB2">
        <w:t>(e)</w:t>
      </w:r>
      <w:r w:rsidRPr="00635DB2">
        <w:tab/>
        <w:t>a body corporate incorporated in Australia or an external Territory; or</w:t>
      </w:r>
    </w:p>
    <w:p w14:paraId="528A9CB2" w14:textId="77777777" w:rsidR="00375B05" w:rsidRPr="00635DB2" w:rsidRDefault="00375B05" w:rsidP="00375B05">
      <w:pPr>
        <w:pStyle w:val="Quote1"/>
        <w:widowControl/>
        <w:ind w:left="1985" w:hanging="567"/>
      </w:pPr>
      <w:r w:rsidRPr="00635DB2">
        <w:t>(f)</w:t>
      </w:r>
      <w:r w:rsidRPr="00635DB2">
        <w:tab/>
        <w:t>an unincorporated association that has its central management and control in Australia or an external Territory.</w:t>
      </w:r>
    </w:p>
    <w:p w14:paraId="2AAA3BB9" w14:textId="77777777" w:rsidR="00375B05" w:rsidRPr="00635DB2" w:rsidRDefault="00375B05" w:rsidP="00375B05">
      <w:pPr>
        <w:pStyle w:val="Quote1"/>
        <w:widowControl/>
        <w:ind w:left="1418" w:hanging="681"/>
      </w:pPr>
      <w:r w:rsidRPr="00635DB2">
        <w:lastRenderedPageBreak/>
        <w:t>(3)</w:t>
      </w:r>
      <w:r w:rsidRPr="00635DB2">
        <w:tab/>
        <w:t xml:space="preserve">An organisation or small business operator also has an </w:t>
      </w:r>
      <w:r w:rsidRPr="00635DB2">
        <w:rPr>
          <w:b/>
          <w:i/>
        </w:rPr>
        <w:t>Australian link</w:t>
      </w:r>
      <w:r w:rsidRPr="00635DB2">
        <w:t xml:space="preserve"> if all of the following apply:</w:t>
      </w:r>
    </w:p>
    <w:p w14:paraId="5FC1E0A0" w14:textId="77777777" w:rsidR="00375B05" w:rsidRPr="00635DB2" w:rsidRDefault="00375B05" w:rsidP="00375B05">
      <w:pPr>
        <w:pStyle w:val="Quote1"/>
        <w:widowControl/>
        <w:ind w:left="1985" w:hanging="567"/>
      </w:pPr>
      <w:r w:rsidRPr="00635DB2">
        <w:t>(a)</w:t>
      </w:r>
      <w:r w:rsidRPr="00635DB2">
        <w:tab/>
        <w:t>the organisation or operator is not described in subsection (2);</w:t>
      </w:r>
    </w:p>
    <w:p w14:paraId="2BD351B6" w14:textId="77777777" w:rsidR="00375B05" w:rsidRPr="00635DB2" w:rsidRDefault="00375B05" w:rsidP="00375B05">
      <w:pPr>
        <w:pStyle w:val="Quote1"/>
        <w:widowControl/>
        <w:ind w:left="1985" w:hanging="567"/>
      </w:pPr>
      <w:r w:rsidRPr="00635DB2">
        <w:t>(b)</w:t>
      </w:r>
      <w:r w:rsidRPr="00635DB2">
        <w:tab/>
        <w:t>the organisation or operator carries on business in Australia or an external Territory;</w:t>
      </w:r>
    </w:p>
    <w:p w14:paraId="620E355C" w14:textId="054DBA29" w:rsidR="00517A60" w:rsidRPr="00635DB2" w:rsidRDefault="00375B05" w:rsidP="00375B05">
      <w:pPr>
        <w:pStyle w:val="Quote1"/>
        <w:widowControl/>
        <w:ind w:left="1985" w:hanging="567"/>
      </w:pPr>
      <w:r w:rsidRPr="00635DB2">
        <w:t>(c)</w:t>
      </w:r>
      <w:r w:rsidRPr="00635DB2">
        <w:tab/>
        <w:t>the personal information was collected or held by the organisation or operator in Australia or an external Territory, either before or at the time of the act or practice.</w:t>
      </w:r>
    </w:p>
    <w:p w14:paraId="0C689D64" w14:textId="11EB5864" w:rsidR="0062195C" w:rsidRPr="00635DB2" w:rsidRDefault="0062195C" w:rsidP="00F73B46">
      <w:pPr>
        <w:pStyle w:val="Quote1"/>
        <w:widowControl/>
        <w:ind w:left="1985" w:hanging="567"/>
      </w:pPr>
    </w:p>
    <w:p w14:paraId="10A6FAD9" w14:textId="5E969A48" w:rsidR="00DF7D97" w:rsidRDefault="00F73B46" w:rsidP="00DF7D97">
      <w:pPr>
        <w:pStyle w:val="ParaNumbering"/>
      </w:pPr>
      <w:r>
        <w:t xml:space="preserve">It was common ground that Facebook </w:t>
      </w:r>
      <w:proofErr w:type="spellStart"/>
      <w:r>
        <w:t>Inc</w:t>
      </w:r>
      <w:proofErr w:type="spellEnd"/>
      <w:r>
        <w:t xml:space="preserve"> was not an “organisation or operator” which fell within s 5B(2) and that Facebook </w:t>
      </w:r>
      <w:proofErr w:type="spellStart"/>
      <w:r>
        <w:t>Inc</w:t>
      </w:r>
      <w:proofErr w:type="spellEnd"/>
      <w:r>
        <w:t xml:space="preserve"> would only have an “Australian link” if s 5B(3) was satisfied.  </w:t>
      </w:r>
      <w:r w:rsidR="00375B05">
        <w:t xml:space="preserve">It was not in dispute that the </w:t>
      </w:r>
      <w:r w:rsidR="007F2D7E">
        <w:t xml:space="preserve">first of the three </w:t>
      </w:r>
      <w:r w:rsidR="00375B05">
        <w:t>requirement</w:t>
      </w:r>
      <w:r w:rsidR="007F2D7E">
        <w:t>s</w:t>
      </w:r>
      <w:r w:rsidR="00375B05">
        <w:t xml:space="preserve"> in s 5B(3) </w:t>
      </w:r>
      <w:r w:rsidR="007F2D7E">
        <w:t>wa</w:t>
      </w:r>
      <w:r w:rsidR="00375B05">
        <w:t xml:space="preserve">s satisfied because Facebook </w:t>
      </w:r>
      <w:proofErr w:type="spellStart"/>
      <w:r w:rsidR="00375B05">
        <w:t>Inc</w:t>
      </w:r>
      <w:proofErr w:type="spellEnd"/>
      <w:r w:rsidR="00375B05">
        <w:t xml:space="preserve"> </w:t>
      </w:r>
      <w:r w:rsidR="006053A9">
        <w:t>wa</w:t>
      </w:r>
      <w:r w:rsidR="00375B05">
        <w:t xml:space="preserve">s not an </w:t>
      </w:r>
      <w:r w:rsidR="0059361E">
        <w:t>“</w:t>
      </w:r>
      <w:r w:rsidR="00375B05">
        <w:t>organisation or operator</w:t>
      </w:r>
      <w:r w:rsidR="0059361E">
        <w:t>”</w:t>
      </w:r>
      <w:r w:rsidR="00375B05">
        <w:t xml:space="preserve"> </w:t>
      </w:r>
      <w:r w:rsidR="007F2D7E">
        <w:t>described in</w:t>
      </w:r>
      <w:r w:rsidR="00375B05">
        <w:t xml:space="preserve"> s 5B(2).  </w:t>
      </w:r>
      <w:r w:rsidR="007F2D7E">
        <w:t xml:space="preserve">However, </w:t>
      </w:r>
      <w:r w:rsidR="00DF7D97">
        <w:t xml:space="preserve">Facebook </w:t>
      </w:r>
      <w:proofErr w:type="spellStart"/>
      <w:r w:rsidR="00DF7D97">
        <w:t>Inc</w:t>
      </w:r>
      <w:proofErr w:type="spellEnd"/>
      <w:r w:rsidR="00DF7D97">
        <w:t xml:space="preserve"> contended that the Commissioner had failed to establish a prima facie case that, at the relevant time, Facebook </w:t>
      </w:r>
      <w:proofErr w:type="spellStart"/>
      <w:r w:rsidR="00DF7D97">
        <w:t>Inc</w:t>
      </w:r>
      <w:proofErr w:type="spellEnd"/>
      <w:r w:rsidR="00DF7D97">
        <w:t>:</w:t>
      </w:r>
    </w:p>
    <w:p w14:paraId="70F21CAA" w14:textId="26D486F5" w:rsidR="00DF7D97" w:rsidRDefault="00DF7D97" w:rsidP="009D5976">
      <w:pPr>
        <w:pStyle w:val="ListNo1"/>
        <w:numPr>
          <w:ilvl w:val="0"/>
          <w:numId w:val="36"/>
        </w:numPr>
      </w:pPr>
      <w:r>
        <w:t xml:space="preserve">carried on business in Australia within the meaning of s 5B(3)(b); or  </w:t>
      </w:r>
    </w:p>
    <w:p w14:paraId="13428AB0" w14:textId="15C87E08" w:rsidR="00DF7D97" w:rsidRDefault="00DF7D97" w:rsidP="00872EB6">
      <w:pPr>
        <w:pStyle w:val="ListNo1"/>
        <w:numPr>
          <w:ilvl w:val="0"/>
          <w:numId w:val="36"/>
        </w:numPr>
      </w:pPr>
      <w:r>
        <w:t xml:space="preserve">collected or held personal information in Australia within the meaning of s 5B(3)(c).  </w:t>
      </w:r>
    </w:p>
    <w:p w14:paraId="106FAC6C" w14:textId="170EC937" w:rsidR="00375B05" w:rsidRDefault="00DF7D97" w:rsidP="00DF7D97">
      <w:pPr>
        <w:pStyle w:val="ParaNumbering"/>
      </w:pPr>
      <w:r>
        <w:t>Absent a prima facie case as to either of these matters, the Commissioner would fail to establish a prima facie case that she might be entitled to the relief sought in the proceedings.</w:t>
      </w:r>
      <w:r w:rsidR="00375B05">
        <w:t xml:space="preserve"> </w:t>
      </w:r>
      <w:r w:rsidR="00C5577A">
        <w:t xml:space="preserve"> </w:t>
      </w:r>
      <w:r w:rsidR="00375B05">
        <w:t>The question on this application is only whether the Commissioner has established a prima facie case about those matters</w:t>
      </w:r>
      <w:r w:rsidR="007F2D7E">
        <w:t>, not</w:t>
      </w:r>
      <w:r w:rsidR="00375B05">
        <w:t xml:space="preserve"> </w:t>
      </w:r>
      <w:r w:rsidR="007F2D7E">
        <w:t>w</w:t>
      </w:r>
      <w:r w:rsidR="00375B05">
        <w:t xml:space="preserve">hether </w:t>
      </w:r>
      <w:r>
        <w:t>paras (b) and (c) are in fact satisfied</w:t>
      </w:r>
      <w:r w:rsidR="00375B05">
        <w:t>.</w:t>
      </w:r>
    </w:p>
    <w:p w14:paraId="4C2FF3C7" w14:textId="72FB11A7" w:rsidR="00677EF3" w:rsidRDefault="004D6C0E" w:rsidP="00677EF3">
      <w:pPr>
        <w:pStyle w:val="Heading1"/>
      </w:pPr>
      <w:r>
        <w:t xml:space="preserve">C  </w:t>
      </w:r>
      <w:r w:rsidR="00677EF3">
        <w:t>RELEVANT PRINCIPLES</w:t>
      </w:r>
    </w:p>
    <w:p w14:paraId="03585297" w14:textId="02D40A88" w:rsidR="00214B65" w:rsidRDefault="004D6C0E" w:rsidP="00214B65">
      <w:pPr>
        <w:pStyle w:val="Heading2"/>
      </w:pPr>
      <w:r>
        <w:t xml:space="preserve">C.1  </w:t>
      </w:r>
      <w:r w:rsidR="00214B65">
        <w:t>Rule 13.01</w:t>
      </w:r>
    </w:p>
    <w:p w14:paraId="50D7DB3E" w14:textId="23A256CB" w:rsidR="006831BC" w:rsidRDefault="006831BC" w:rsidP="00C03B5B">
      <w:pPr>
        <w:pStyle w:val="ParaNumbering"/>
      </w:pPr>
      <w:r>
        <w:t xml:space="preserve">The principles </w:t>
      </w:r>
      <w:r w:rsidR="00517A60">
        <w:t>relevant</w:t>
      </w:r>
      <w:r>
        <w:t xml:space="preserve"> to setting aside service under r 13.01 of the Rules were not in dispute.  They may be summarised as follows:</w:t>
      </w:r>
    </w:p>
    <w:p w14:paraId="0402B4A4" w14:textId="621E7968" w:rsidR="006831BC" w:rsidRDefault="006831BC" w:rsidP="00FA2DE7">
      <w:pPr>
        <w:pStyle w:val="ListNo1"/>
        <w:numPr>
          <w:ilvl w:val="0"/>
          <w:numId w:val="24"/>
        </w:numPr>
      </w:pPr>
      <w:r>
        <w:t>An</w:t>
      </w:r>
      <w:r w:rsidRPr="006831BC">
        <w:rPr>
          <w:spacing w:val="30"/>
        </w:rPr>
        <w:t xml:space="preserve"> </w:t>
      </w:r>
      <w:r>
        <w:t>application</w:t>
      </w:r>
      <w:r w:rsidRPr="006831BC">
        <w:rPr>
          <w:spacing w:val="31"/>
        </w:rPr>
        <w:t xml:space="preserve"> </w:t>
      </w:r>
      <w:r>
        <w:t>under</w:t>
      </w:r>
      <w:r w:rsidRPr="006831BC">
        <w:rPr>
          <w:spacing w:val="30"/>
        </w:rPr>
        <w:t xml:space="preserve"> </w:t>
      </w:r>
      <w:r>
        <w:t>r</w:t>
      </w:r>
      <w:r w:rsidRPr="006831BC">
        <w:rPr>
          <w:spacing w:val="30"/>
        </w:rPr>
        <w:t xml:space="preserve"> </w:t>
      </w:r>
      <w:r>
        <w:t>13.01</w:t>
      </w:r>
      <w:r w:rsidRPr="006831BC">
        <w:rPr>
          <w:spacing w:val="31"/>
        </w:rPr>
        <w:t xml:space="preserve"> </w:t>
      </w:r>
      <w:r>
        <w:t>of</w:t>
      </w:r>
      <w:r w:rsidRPr="006831BC">
        <w:rPr>
          <w:spacing w:val="30"/>
        </w:rPr>
        <w:t xml:space="preserve"> </w:t>
      </w:r>
      <w:r>
        <w:t>the</w:t>
      </w:r>
      <w:r w:rsidRPr="006831BC">
        <w:rPr>
          <w:spacing w:val="31"/>
        </w:rPr>
        <w:t xml:space="preserve"> </w:t>
      </w:r>
      <w:r>
        <w:t>Rules,</w:t>
      </w:r>
      <w:r w:rsidRPr="006831BC">
        <w:rPr>
          <w:spacing w:val="31"/>
        </w:rPr>
        <w:t xml:space="preserve"> </w:t>
      </w:r>
      <w:r>
        <w:t>for</w:t>
      </w:r>
      <w:r w:rsidRPr="006831BC">
        <w:rPr>
          <w:spacing w:val="31"/>
        </w:rPr>
        <w:t xml:space="preserve"> </w:t>
      </w:r>
      <w:r>
        <w:t>an</w:t>
      </w:r>
      <w:r w:rsidRPr="006831BC">
        <w:rPr>
          <w:spacing w:val="31"/>
        </w:rPr>
        <w:t xml:space="preserve"> </w:t>
      </w:r>
      <w:r>
        <w:t>order</w:t>
      </w:r>
      <w:r w:rsidRPr="006831BC">
        <w:rPr>
          <w:spacing w:val="31"/>
        </w:rPr>
        <w:t xml:space="preserve"> </w:t>
      </w:r>
      <w:r>
        <w:t>discharging</w:t>
      </w:r>
      <w:r w:rsidRPr="006831BC">
        <w:rPr>
          <w:spacing w:val="31"/>
        </w:rPr>
        <w:t xml:space="preserve"> </w:t>
      </w:r>
      <w:r>
        <w:t>an</w:t>
      </w:r>
      <w:r w:rsidRPr="006831BC">
        <w:rPr>
          <w:spacing w:val="31"/>
        </w:rPr>
        <w:t xml:space="preserve"> </w:t>
      </w:r>
      <w:r>
        <w:t>earlier</w:t>
      </w:r>
      <w:r w:rsidRPr="006831BC">
        <w:rPr>
          <w:spacing w:val="31"/>
        </w:rPr>
        <w:t xml:space="preserve"> </w:t>
      </w:r>
      <w:r>
        <w:t>order granting</w:t>
      </w:r>
      <w:r w:rsidRPr="006831BC">
        <w:rPr>
          <w:spacing w:val="3"/>
        </w:rPr>
        <w:t xml:space="preserve"> </w:t>
      </w:r>
      <w:r>
        <w:t>leave</w:t>
      </w:r>
      <w:r w:rsidRPr="006831BC">
        <w:rPr>
          <w:spacing w:val="4"/>
        </w:rPr>
        <w:t xml:space="preserve"> </w:t>
      </w:r>
      <w:r>
        <w:t>to</w:t>
      </w:r>
      <w:r w:rsidRPr="006831BC">
        <w:rPr>
          <w:spacing w:val="3"/>
        </w:rPr>
        <w:t xml:space="preserve"> </w:t>
      </w:r>
      <w:r>
        <w:t>serve</w:t>
      </w:r>
      <w:r w:rsidRPr="006831BC">
        <w:rPr>
          <w:spacing w:val="2"/>
        </w:rPr>
        <w:t xml:space="preserve"> </w:t>
      </w:r>
      <w:r>
        <w:t>out</w:t>
      </w:r>
      <w:r w:rsidRPr="006831BC">
        <w:rPr>
          <w:spacing w:val="3"/>
        </w:rPr>
        <w:t xml:space="preserve"> </w:t>
      </w:r>
      <w:r>
        <w:t>of</w:t>
      </w:r>
      <w:r w:rsidRPr="006831BC">
        <w:rPr>
          <w:spacing w:val="3"/>
        </w:rPr>
        <w:t xml:space="preserve"> </w:t>
      </w:r>
      <w:r>
        <w:t>the</w:t>
      </w:r>
      <w:r w:rsidRPr="006831BC">
        <w:rPr>
          <w:spacing w:val="2"/>
        </w:rPr>
        <w:t xml:space="preserve"> </w:t>
      </w:r>
      <w:r>
        <w:t>jurisdiction,</w:t>
      </w:r>
      <w:r w:rsidRPr="006831BC">
        <w:rPr>
          <w:spacing w:val="6"/>
        </w:rPr>
        <w:t xml:space="preserve"> </w:t>
      </w:r>
      <w:r>
        <w:t>or</w:t>
      </w:r>
      <w:r w:rsidRPr="006831BC">
        <w:rPr>
          <w:spacing w:val="4"/>
        </w:rPr>
        <w:t xml:space="preserve"> </w:t>
      </w:r>
      <w:r>
        <w:t>for</w:t>
      </w:r>
      <w:r w:rsidRPr="006831BC">
        <w:rPr>
          <w:spacing w:val="3"/>
        </w:rPr>
        <w:t xml:space="preserve"> </w:t>
      </w:r>
      <w:r>
        <w:t>an</w:t>
      </w:r>
      <w:r w:rsidRPr="006831BC">
        <w:rPr>
          <w:spacing w:val="3"/>
        </w:rPr>
        <w:t xml:space="preserve"> </w:t>
      </w:r>
      <w:r>
        <w:t>order</w:t>
      </w:r>
      <w:r w:rsidRPr="006831BC">
        <w:rPr>
          <w:spacing w:val="3"/>
        </w:rPr>
        <w:t xml:space="preserve"> </w:t>
      </w:r>
      <w:r>
        <w:t>setting</w:t>
      </w:r>
      <w:r w:rsidRPr="006831BC">
        <w:rPr>
          <w:spacing w:val="2"/>
        </w:rPr>
        <w:t xml:space="preserve"> </w:t>
      </w:r>
      <w:r>
        <w:t>aside</w:t>
      </w:r>
      <w:r w:rsidRPr="006831BC">
        <w:rPr>
          <w:spacing w:val="3"/>
        </w:rPr>
        <w:t xml:space="preserve"> </w:t>
      </w:r>
      <w:r>
        <w:t>such</w:t>
      </w:r>
      <w:r w:rsidRPr="006831BC">
        <w:rPr>
          <w:spacing w:val="3"/>
        </w:rPr>
        <w:t xml:space="preserve"> </w:t>
      </w:r>
      <w:r>
        <w:t>service, is</w:t>
      </w:r>
      <w:r w:rsidRPr="006831BC">
        <w:rPr>
          <w:spacing w:val="-4"/>
        </w:rPr>
        <w:t xml:space="preserve"> </w:t>
      </w:r>
      <w:r>
        <w:t>in</w:t>
      </w:r>
      <w:r w:rsidRPr="006831BC">
        <w:rPr>
          <w:spacing w:val="-4"/>
        </w:rPr>
        <w:t xml:space="preserve"> </w:t>
      </w:r>
      <w:r>
        <w:t>the</w:t>
      </w:r>
      <w:r w:rsidRPr="006831BC">
        <w:rPr>
          <w:spacing w:val="-3"/>
        </w:rPr>
        <w:t xml:space="preserve"> </w:t>
      </w:r>
      <w:r>
        <w:t>nature</w:t>
      </w:r>
      <w:r w:rsidRPr="006831BC">
        <w:rPr>
          <w:spacing w:val="-3"/>
        </w:rPr>
        <w:t xml:space="preserve"> </w:t>
      </w:r>
      <w:r>
        <w:t>of</w:t>
      </w:r>
      <w:r w:rsidRPr="006831BC">
        <w:rPr>
          <w:spacing w:val="-4"/>
        </w:rPr>
        <w:t xml:space="preserve"> </w:t>
      </w:r>
      <w:r>
        <w:t>a</w:t>
      </w:r>
      <w:r w:rsidRPr="006831BC">
        <w:rPr>
          <w:spacing w:val="-3"/>
        </w:rPr>
        <w:t xml:space="preserve"> </w:t>
      </w:r>
      <w:r>
        <w:t>review</w:t>
      </w:r>
      <w:r w:rsidRPr="006831BC">
        <w:rPr>
          <w:spacing w:val="-3"/>
        </w:rPr>
        <w:t xml:space="preserve"> </w:t>
      </w:r>
      <w:r>
        <w:t>by</w:t>
      </w:r>
      <w:r w:rsidRPr="006831BC">
        <w:rPr>
          <w:spacing w:val="-4"/>
        </w:rPr>
        <w:t xml:space="preserve"> </w:t>
      </w:r>
      <w:r>
        <w:t>way</w:t>
      </w:r>
      <w:r w:rsidRPr="006831BC">
        <w:rPr>
          <w:spacing w:val="-4"/>
        </w:rPr>
        <w:t xml:space="preserve"> </w:t>
      </w:r>
      <w:r>
        <w:t>of</w:t>
      </w:r>
      <w:r w:rsidRPr="006831BC">
        <w:rPr>
          <w:spacing w:val="-4"/>
        </w:rPr>
        <w:t xml:space="preserve"> </w:t>
      </w:r>
      <w:r>
        <w:t>rehearing</w:t>
      </w:r>
      <w:r w:rsidRPr="006831BC">
        <w:rPr>
          <w:spacing w:val="-4"/>
        </w:rPr>
        <w:t xml:space="preserve"> </w:t>
      </w:r>
      <w:r>
        <w:t>of</w:t>
      </w:r>
      <w:r w:rsidRPr="006831BC">
        <w:rPr>
          <w:spacing w:val="-4"/>
        </w:rPr>
        <w:t xml:space="preserve"> </w:t>
      </w:r>
      <w:r>
        <w:t>the</w:t>
      </w:r>
      <w:r w:rsidRPr="006831BC">
        <w:rPr>
          <w:spacing w:val="-3"/>
        </w:rPr>
        <w:t xml:space="preserve"> </w:t>
      </w:r>
      <w:r>
        <w:t>original</w:t>
      </w:r>
      <w:r w:rsidRPr="006831BC">
        <w:rPr>
          <w:spacing w:val="-3"/>
        </w:rPr>
        <w:t xml:space="preserve"> </w:t>
      </w:r>
      <w:r>
        <w:t>decision</w:t>
      </w:r>
      <w:r w:rsidRPr="006831BC">
        <w:rPr>
          <w:spacing w:val="-3"/>
        </w:rPr>
        <w:t xml:space="preserve"> </w:t>
      </w:r>
      <w:r>
        <w:t>to</w:t>
      </w:r>
      <w:r w:rsidRPr="006831BC">
        <w:rPr>
          <w:spacing w:val="-4"/>
        </w:rPr>
        <w:t xml:space="preserve"> </w:t>
      </w:r>
      <w:r>
        <w:t>grant</w:t>
      </w:r>
      <w:r w:rsidRPr="006831BC">
        <w:rPr>
          <w:spacing w:val="-4"/>
        </w:rPr>
        <w:t xml:space="preserve"> </w:t>
      </w:r>
      <w:r>
        <w:t>leave</w:t>
      </w:r>
      <w:r w:rsidRPr="006831BC">
        <w:rPr>
          <w:spacing w:val="-4"/>
        </w:rPr>
        <w:t xml:space="preserve"> </w:t>
      </w:r>
      <w:r>
        <w:t>to</w:t>
      </w:r>
      <w:r w:rsidRPr="006831BC">
        <w:rPr>
          <w:spacing w:val="-1"/>
        </w:rPr>
        <w:t xml:space="preserve"> </w:t>
      </w:r>
      <w:r>
        <w:t>serve</w:t>
      </w:r>
      <w:r w:rsidRPr="006831BC">
        <w:rPr>
          <w:spacing w:val="18"/>
        </w:rPr>
        <w:t xml:space="preserve"> </w:t>
      </w:r>
      <w:r>
        <w:t>out</w:t>
      </w:r>
      <w:r w:rsidRPr="006831BC">
        <w:rPr>
          <w:spacing w:val="18"/>
        </w:rPr>
        <w:t xml:space="preserve"> </w:t>
      </w:r>
      <w:r>
        <w:t>of</w:t>
      </w:r>
      <w:r w:rsidRPr="006831BC">
        <w:rPr>
          <w:spacing w:val="18"/>
        </w:rPr>
        <w:t xml:space="preserve"> </w:t>
      </w:r>
      <w:r>
        <w:t>the</w:t>
      </w:r>
      <w:r w:rsidRPr="006831BC">
        <w:rPr>
          <w:spacing w:val="17"/>
        </w:rPr>
        <w:t xml:space="preserve"> </w:t>
      </w:r>
      <w:r>
        <w:t>jurisdiction:</w:t>
      </w:r>
      <w:r w:rsidRPr="006831BC">
        <w:rPr>
          <w:spacing w:val="18"/>
        </w:rPr>
        <w:t xml:space="preserve"> </w:t>
      </w:r>
      <w:r w:rsidRPr="006831BC">
        <w:rPr>
          <w:b/>
          <w:i/>
          <w:iCs/>
        </w:rPr>
        <w:t>Israel</w:t>
      </w:r>
      <w:r w:rsidRPr="006831BC">
        <w:rPr>
          <w:b/>
          <w:i/>
          <w:iCs/>
          <w:spacing w:val="5"/>
        </w:rPr>
        <w:t xml:space="preserve"> </w:t>
      </w:r>
      <w:r w:rsidRPr="006831BC">
        <w:rPr>
          <w:b/>
          <w:i/>
          <w:iCs/>
        </w:rPr>
        <w:t>Discount</w:t>
      </w:r>
      <w:r w:rsidRPr="006831BC">
        <w:rPr>
          <w:b/>
          <w:i/>
          <w:iCs/>
          <w:spacing w:val="6"/>
        </w:rPr>
        <w:t xml:space="preserve"> </w:t>
      </w:r>
      <w:r w:rsidRPr="006831BC">
        <w:rPr>
          <w:b/>
          <w:i/>
          <w:iCs/>
        </w:rPr>
        <w:t>Bank</w:t>
      </w:r>
      <w:r w:rsidRPr="006831BC">
        <w:rPr>
          <w:i/>
          <w:iCs/>
          <w:spacing w:val="5"/>
        </w:rPr>
        <w:t xml:space="preserve"> </w:t>
      </w:r>
      <w:r w:rsidRPr="006831BC">
        <w:rPr>
          <w:i/>
          <w:iCs/>
        </w:rPr>
        <w:t>Ltd</w:t>
      </w:r>
      <w:r w:rsidRPr="006831BC">
        <w:rPr>
          <w:i/>
          <w:iCs/>
          <w:spacing w:val="6"/>
        </w:rPr>
        <w:t xml:space="preserve"> </w:t>
      </w:r>
      <w:r w:rsidRPr="006831BC">
        <w:rPr>
          <w:i/>
          <w:iCs/>
        </w:rPr>
        <w:t>v</w:t>
      </w:r>
      <w:r w:rsidRPr="006831BC">
        <w:rPr>
          <w:i/>
          <w:iCs/>
          <w:spacing w:val="6"/>
        </w:rPr>
        <w:t xml:space="preserve"> </w:t>
      </w:r>
      <w:r w:rsidRPr="006831BC">
        <w:rPr>
          <w:i/>
          <w:iCs/>
        </w:rPr>
        <w:t>ACN</w:t>
      </w:r>
      <w:r w:rsidRPr="006831BC">
        <w:rPr>
          <w:i/>
          <w:iCs/>
          <w:spacing w:val="6"/>
        </w:rPr>
        <w:t xml:space="preserve"> </w:t>
      </w:r>
      <w:r w:rsidRPr="006831BC">
        <w:rPr>
          <w:i/>
          <w:iCs/>
        </w:rPr>
        <w:t>078</w:t>
      </w:r>
      <w:r w:rsidRPr="006831BC">
        <w:rPr>
          <w:i/>
          <w:iCs/>
          <w:spacing w:val="5"/>
        </w:rPr>
        <w:t xml:space="preserve"> </w:t>
      </w:r>
      <w:r w:rsidRPr="006831BC">
        <w:rPr>
          <w:i/>
          <w:iCs/>
        </w:rPr>
        <w:t>272</w:t>
      </w:r>
      <w:r w:rsidRPr="006831BC">
        <w:rPr>
          <w:i/>
          <w:iCs/>
          <w:spacing w:val="5"/>
        </w:rPr>
        <w:t xml:space="preserve"> </w:t>
      </w:r>
      <w:r w:rsidRPr="006831BC">
        <w:rPr>
          <w:i/>
          <w:iCs/>
        </w:rPr>
        <w:t>867</w:t>
      </w:r>
      <w:r w:rsidRPr="006831BC">
        <w:rPr>
          <w:i/>
          <w:iCs/>
          <w:spacing w:val="5"/>
        </w:rPr>
        <w:t xml:space="preserve"> </w:t>
      </w:r>
      <w:r w:rsidRPr="006831BC">
        <w:rPr>
          <w:i/>
          <w:iCs/>
        </w:rPr>
        <w:t>Pty</w:t>
      </w:r>
      <w:r w:rsidRPr="006831BC">
        <w:rPr>
          <w:i/>
          <w:iCs/>
          <w:spacing w:val="6"/>
        </w:rPr>
        <w:t xml:space="preserve"> </w:t>
      </w:r>
      <w:r w:rsidRPr="006831BC">
        <w:rPr>
          <w:i/>
          <w:iCs/>
        </w:rPr>
        <w:t>Ltd</w:t>
      </w:r>
      <w:r w:rsidRPr="006831BC">
        <w:rPr>
          <w:i/>
          <w:iCs/>
          <w:spacing w:val="6"/>
        </w:rPr>
        <w:t xml:space="preserve"> </w:t>
      </w:r>
      <w:r w:rsidRPr="006831BC">
        <w:rPr>
          <w:i/>
          <w:iCs/>
        </w:rPr>
        <w:t>(in</w:t>
      </w:r>
      <w:r w:rsidRPr="006831BC">
        <w:rPr>
          <w:i/>
          <w:iCs/>
          <w:spacing w:val="5"/>
        </w:rPr>
        <w:t xml:space="preserve"> </w:t>
      </w:r>
      <w:proofErr w:type="spellStart"/>
      <w:r w:rsidRPr="006831BC">
        <w:rPr>
          <w:i/>
          <w:iCs/>
        </w:rPr>
        <w:t>liq</w:t>
      </w:r>
      <w:proofErr w:type="spellEnd"/>
      <w:r w:rsidRPr="006831BC">
        <w:rPr>
          <w:i/>
          <w:iCs/>
        </w:rPr>
        <w:t>) (formerly</w:t>
      </w:r>
      <w:r w:rsidRPr="006831BC">
        <w:rPr>
          <w:i/>
          <w:iCs/>
          <w:spacing w:val="31"/>
        </w:rPr>
        <w:t xml:space="preserve"> </w:t>
      </w:r>
      <w:r w:rsidRPr="006831BC">
        <w:rPr>
          <w:i/>
          <w:iCs/>
        </w:rPr>
        <w:t>Advance</w:t>
      </w:r>
      <w:r w:rsidRPr="006831BC">
        <w:rPr>
          <w:i/>
          <w:iCs/>
          <w:spacing w:val="30"/>
        </w:rPr>
        <w:t xml:space="preserve"> </w:t>
      </w:r>
      <w:r w:rsidRPr="006831BC">
        <w:rPr>
          <w:i/>
          <w:iCs/>
        </w:rPr>
        <w:t>Finances</w:t>
      </w:r>
      <w:r w:rsidRPr="006831BC">
        <w:rPr>
          <w:i/>
          <w:iCs/>
          <w:spacing w:val="31"/>
        </w:rPr>
        <w:t xml:space="preserve"> </w:t>
      </w:r>
      <w:r w:rsidRPr="006831BC">
        <w:rPr>
          <w:i/>
          <w:iCs/>
        </w:rPr>
        <w:t>Pty</w:t>
      </w:r>
      <w:r w:rsidRPr="006831BC">
        <w:rPr>
          <w:i/>
          <w:iCs/>
          <w:spacing w:val="31"/>
        </w:rPr>
        <w:t xml:space="preserve"> </w:t>
      </w:r>
      <w:r w:rsidRPr="006831BC">
        <w:rPr>
          <w:i/>
          <w:iCs/>
        </w:rPr>
        <w:t>Ltd)</w:t>
      </w:r>
      <w:r w:rsidRPr="006831BC">
        <w:rPr>
          <w:i/>
          <w:iCs/>
          <w:spacing w:val="34"/>
        </w:rPr>
        <w:t xml:space="preserve"> </w:t>
      </w:r>
      <w:r>
        <w:t>(2019)</w:t>
      </w:r>
      <w:r w:rsidRPr="006831BC">
        <w:rPr>
          <w:spacing w:val="29"/>
        </w:rPr>
        <w:t xml:space="preserve"> </w:t>
      </w:r>
      <w:r>
        <w:t>367</w:t>
      </w:r>
      <w:r w:rsidRPr="006831BC">
        <w:rPr>
          <w:spacing w:val="31"/>
        </w:rPr>
        <w:t xml:space="preserve"> </w:t>
      </w:r>
      <w:r>
        <w:t>ALR</w:t>
      </w:r>
      <w:r w:rsidRPr="006831BC">
        <w:rPr>
          <w:spacing w:val="30"/>
        </w:rPr>
        <w:t xml:space="preserve"> </w:t>
      </w:r>
      <w:r>
        <w:t>71</w:t>
      </w:r>
      <w:r w:rsidRPr="006831BC">
        <w:rPr>
          <w:spacing w:val="34"/>
        </w:rPr>
        <w:t xml:space="preserve"> </w:t>
      </w:r>
      <w:r>
        <w:t>at</w:t>
      </w:r>
      <w:r w:rsidRPr="006831BC">
        <w:rPr>
          <w:spacing w:val="31"/>
        </w:rPr>
        <w:t xml:space="preserve"> </w:t>
      </w:r>
      <w:r>
        <w:t>[46] (Yates,</w:t>
      </w:r>
      <w:r w:rsidRPr="006831BC">
        <w:rPr>
          <w:spacing w:val="-1"/>
        </w:rPr>
        <w:t xml:space="preserve"> </w:t>
      </w:r>
      <w:r>
        <w:t>Beach and Moshinsky JJ).</w:t>
      </w:r>
    </w:p>
    <w:p w14:paraId="76D8A641" w14:textId="77777777" w:rsidR="006831BC" w:rsidRDefault="006831BC" w:rsidP="00872EB6">
      <w:pPr>
        <w:pStyle w:val="ListNo1"/>
        <w:numPr>
          <w:ilvl w:val="0"/>
          <w:numId w:val="24"/>
        </w:numPr>
      </w:pPr>
      <w:r>
        <w:lastRenderedPageBreak/>
        <w:t xml:space="preserve">It is open to the party who sought and obtained an order for service out of the jurisdiction to adduce additional evidence, and make additional submissions: </w:t>
      </w:r>
      <w:r w:rsidRPr="00872EB6">
        <w:rPr>
          <w:i/>
          <w:iCs/>
        </w:rPr>
        <w:t xml:space="preserve">Israel Discount Bank </w:t>
      </w:r>
      <w:r>
        <w:t>at</w:t>
      </w:r>
      <w:r w:rsidRPr="00872EB6">
        <w:rPr>
          <w:spacing w:val="-20"/>
        </w:rPr>
        <w:t xml:space="preserve"> </w:t>
      </w:r>
      <w:r>
        <w:t>[46].</w:t>
      </w:r>
    </w:p>
    <w:p w14:paraId="706F1208" w14:textId="68964E0A" w:rsidR="006831BC" w:rsidRDefault="006831BC" w:rsidP="00872EB6">
      <w:pPr>
        <w:pStyle w:val="ListNo1"/>
        <w:numPr>
          <w:ilvl w:val="0"/>
          <w:numId w:val="24"/>
        </w:numPr>
      </w:pPr>
      <w:r>
        <w:t>The</w:t>
      </w:r>
      <w:r>
        <w:rPr>
          <w:spacing w:val="-12"/>
        </w:rPr>
        <w:t xml:space="preserve"> </w:t>
      </w:r>
      <w:r>
        <w:t>onus</w:t>
      </w:r>
      <w:r>
        <w:rPr>
          <w:spacing w:val="-13"/>
        </w:rPr>
        <w:t xml:space="preserve"> </w:t>
      </w:r>
      <w:r>
        <w:t>remains</w:t>
      </w:r>
      <w:r>
        <w:rPr>
          <w:spacing w:val="-12"/>
        </w:rPr>
        <w:t xml:space="preserve"> </w:t>
      </w:r>
      <w:r>
        <w:t>on</w:t>
      </w:r>
      <w:r>
        <w:rPr>
          <w:spacing w:val="-12"/>
        </w:rPr>
        <w:t xml:space="preserve"> </w:t>
      </w:r>
      <w:r>
        <w:t>the</w:t>
      </w:r>
      <w:r>
        <w:rPr>
          <w:spacing w:val="-13"/>
        </w:rPr>
        <w:t xml:space="preserve"> </w:t>
      </w:r>
      <w:r>
        <w:t>applicant</w:t>
      </w:r>
      <w:r w:rsidR="005A47DC">
        <w:t xml:space="preserve"> in the proceedings</w:t>
      </w:r>
      <w:r>
        <w:rPr>
          <w:spacing w:val="-12"/>
        </w:rPr>
        <w:t xml:space="preserve"> </w:t>
      </w:r>
      <w:r>
        <w:t>to</w:t>
      </w:r>
      <w:r>
        <w:rPr>
          <w:spacing w:val="-12"/>
        </w:rPr>
        <w:t xml:space="preserve"> </w:t>
      </w:r>
      <w:r>
        <w:t>satisfy</w:t>
      </w:r>
      <w:r>
        <w:rPr>
          <w:spacing w:val="-12"/>
        </w:rPr>
        <w:t xml:space="preserve"> </w:t>
      </w:r>
      <w:r>
        <w:t>the</w:t>
      </w:r>
      <w:r>
        <w:rPr>
          <w:spacing w:val="-12"/>
        </w:rPr>
        <w:t xml:space="preserve"> </w:t>
      </w:r>
      <w:r w:rsidRPr="00503546">
        <w:t>Court</w:t>
      </w:r>
      <w:r w:rsidRPr="00F73B46">
        <w:t xml:space="preserve"> </w:t>
      </w:r>
      <w:r w:rsidRPr="00503546">
        <w:t>in</w:t>
      </w:r>
      <w:r w:rsidRPr="00F73B46">
        <w:t xml:space="preserve"> </w:t>
      </w:r>
      <w:r w:rsidRPr="00503546">
        <w:t>light</w:t>
      </w:r>
      <w:r w:rsidRPr="00F73B46">
        <w:t xml:space="preserve"> </w:t>
      </w:r>
      <w:r w:rsidRPr="00503546">
        <w:t>of</w:t>
      </w:r>
      <w:r w:rsidRPr="00F73B46">
        <w:t xml:space="preserve"> </w:t>
      </w:r>
      <w:r w:rsidRPr="00503546">
        <w:t>the</w:t>
      </w:r>
      <w:r w:rsidRPr="00F73B46">
        <w:t xml:space="preserve"> material relied upon, including any </w:t>
      </w:r>
      <w:r w:rsidRPr="00503546">
        <w:t>additional</w:t>
      </w:r>
      <w:r w:rsidRPr="00F73B46">
        <w:t xml:space="preserve"> </w:t>
      </w:r>
      <w:r w:rsidRPr="00503546">
        <w:t>material relied upon, that</w:t>
      </w:r>
      <w:r w:rsidRPr="00F73B46">
        <w:t xml:space="preserve"> </w:t>
      </w:r>
      <w:r w:rsidRPr="00503546">
        <w:t>leave</w:t>
      </w:r>
      <w:r w:rsidRPr="00F73B46">
        <w:t xml:space="preserve"> </w:t>
      </w:r>
      <w:r w:rsidRPr="00503546">
        <w:t>ought</w:t>
      </w:r>
      <w:r w:rsidRPr="00F73B46">
        <w:t xml:space="preserve"> </w:t>
      </w:r>
      <w:r w:rsidRPr="00503546">
        <w:t>to</w:t>
      </w:r>
      <w:r w:rsidRPr="00F73B46">
        <w:t xml:space="preserve"> </w:t>
      </w:r>
      <w:r w:rsidRPr="00503546">
        <w:t>have</w:t>
      </w:r>
      <w:r w:rsidRPr="00F73B46">
        <w:t xml:space="preserve"> </w:t>
      </w:r>
      <w:r w:rsidRPr="00503546">
        <w:t>been</w:t>
      </w:r>
      <w:r w:rsidRPr="00F73B46">
        <w:t xml:space="preserve"> </w:t>
      </w:r>
      <w:r w:rsidRPr="00503546">
        <w:t>granted:</w:t>
      </w:r>
      <w:r>
        <w:rPr>
          <w:spacing w:val="21"/>
        </w:rPr>
        <w:t xml:space="preserve"> </w:t>
      </w:r>
      <w:r w:rsidR="00181213" w:rsidRPr="006B6E22">
        <w:rPr>
          <w:b/>
          <w:i/>
          <w:lang w:bidi="en-AU"/>
        </w:rPr>
        <w:t>Tiger Yacht</w:t>
      </w:r>
      <w:r w:rsidR="00181213" w:rsidRPr="00E51961">
        <w:rPr>
          <w:i/>
          <w:lang w:bidi="en-AU"/>
        </w:rPr>
        <w:t xml:space="preserve"> Management Ltd v Morris </w:t>
      </w:r>
      <w:r w:rsidR="00181213" w:rsidRPr="00E51961">
        <w:rPr>
          <w:lang w:bidi="en-AU"/>
        </w:rPr>
        <w:t>(2019) 268 FCR 548</w:t>
      </w:r>
      <w:r w:rsidR="00181213">
        <w:rPr>
          <w:lang w:bidi="en-AU"/>
        </w:rPr>
        <w:t xml:space="preserve"> at [100(9)] (McKerracher, Derrington and Colvin JJ); </w:t>
      </w:r>
      <w:proofErr w:type="spellStart"/>
      <w:r w:rsidRPr="00F73B46">
        <w:rPr>
          <w:i/>
          <w:iCs/>
        </w:rPr>
        <w:t>Armacel</w:t>
      </w:r>
      <w:proofErr w:type="spellEnd"/>
      <w:r>
        <w:rPr>
          <w:i/>
          <w:iCs/>
          <w:spacing w:val="18"/>
        </w:rPr>
        <w:t xml:space="preserve"> </w:t>
      </w:r>
      <w:r>
        <w:rPr>
          <w:i/>
          <w:iCs/>
        </w:rPr>
        <w:t>Pty</w:t>
      </w:r>
      <w:r>
        <w:rPr>
          <w:i/>
          <w:iCs/>
          <w:spacing w:val="18"/>
        </w:rPr>
        <w:t xml:space="preserve"> </w:t>
      </w:r>
      <w:r>
        <w:rPr>
          <w:i/>
          <w:iCs/>
        </w:rPr>
        <w:t>Ltd</w:t>
      </w:r>
      <w:r>
        <w:rPr>
          <w:i/>
          <w:iCs/>
          <w:spacing w:val="17"/>
        </w:rPr>
        <w:t xml:space="preserve"> </w:t>
      </w:r>
      <w:r>
        <w:rPr>
          <w:i/>
          <w:iCs/>
        </w:rPr>
        <w:t>v</w:t>
      </w:r>
      <w:r>
        <w:rPr>
          <w:i/>
          <w:iCs/>
          <w:spacing w:val="18"/>
        </w:rPr>
        <w:t xml:space="preserve"> </w:t>
      </w:r>
      <w:r>
        <w:rPr>
          <w:i/>
          <w:iCs/>
        </w:rPr>
        <w:t>Smurfit Stone</w:t>
      </w:r>
      <w:r>
        <w:rPr>
          <w:i/>
          <w:iCs/>
          <w:spacing w:val="-12"/>
        </w:rPr>
        <w:t xml:space="preserve"> </w:t>
      </w:r>
      <w:r>
        <w:rPr>
          <w:i/>
          <w:iCs/>
        </w:rPr>
        <w:t>Container</w:t>
      </w:r>
      <w:r>
        <w:rPr>
          <w:i/>
          <w:iCs/>
          <w:spacing w:val="-13"/>
        </w:rPr>
        <w:t xml:space="preserve"> </w:t>
      </w:r>
      <w:r>
        <w:rPr>
          <w:i/>
          <w:iCs/>
        </w:rPr>
        <w:t>Corp</w:t>
      </w:r>
      <w:r>
        <w:rPr>
          <w:i/>
          <w:iCs/>
          <w:spacing w:val="-13"/>
        </w:rPr>
        <w:t xml:space="preserve"> </w:t>
      </w:r>
      <w:r>
        <w:t>(2008)</w:t>
      </w:r>
      <w:r>
        <w:rPr>
          <w:spacing w:val="-12"/>
        </w:rPr>
        <w:t xml:space="preserve"> </w:t>
      </w:r>
      <w:r>
        <w:t>248</w:t>
      </w:r>
      <w:r>
        <w:rPr>
          <w:spacing w:val="-12"/>
        </w:rPr>
        <w:t xml:space="preserve"> </w:t>
      </w:r>
      <w:r>
        <w:t>ALR</w:t>
      </w:r>
      <w:r>
        <w:rPr>
          <w:spacing w:val="-13"/>
        </w:rPr>
        <w:t xml:space="preserve"> </w:t>
      </w:r>
      <w:r>
        <w:t>573</w:t>
      </w:r>
      <w:r>
        <w:rPr>
          <w:spacing w:val="-12"/>
        </w:rPr>
        <w:t xml:space="preserve"> </w:t>
      </w:r>
      <w:r>
        <w:t>at</w:t>
      </w:r>
      <w:r>
        <w:rPr>
          <w:spacing w:val="-12"/>
        </w:rPr>
        <w:t xml:space="preserve"> </w:t>
      </w:r>
      <w:r>
        <w:t>[45]</w:t>
      </w:r>
      <w:r>
        <w:rPr>
          <w:spacing w:val="-13"/>
        </w:rPr>
        <w:t xml:space="preserve"> </w:t>
      </w:r>
      <w:r>
        <w:t>(Jacobson J)</w:t>
      </w:r>
      <w:r w:rsidR="008E376E">
        <w:t>;</w:t>
      </w:r>
      <w:r>
        <w:t xml:space="preserve"> </w:t>
      </w:r>
      <w:proofErr w:type="spellStart"/>
      <w:r>
        <w:rPr>
          <w:i/>
          <w:iCs/>
        </w:rPr>
        <w:t>Voth</w:t>
      </w:r>
      <w:proofErr w:type="spellEnd"/>
      <w:r>
        <w:rPr>
          <w:i/>
          <w:iCs/>
        </w:rPr>
        <w:t xml:space="preserve"> v</w:t>
      </w:r>
      <w:r>
        <w:rPr>
          <w:i/>
          <w:iCs/>
          <w:spacing w:val="-1"/>
        </w:rPr>
        <w:t xml:space="preserve"> </w:t>
      </w:r>
      <w:r>
        <w:rPr>
          <w:i/>
          <w:iCs/>
        </w:rPr>
        <w:t>Manildra</w:t>
      </w:r>
      <w:r>
        <w:rPr>
          <w:i/>
          <w:iCs/>
          <w:spacing w:val="-1"/>
        </w:rPr>
        <w:t xml:space="preserve"> </w:t>
      </w:r>
      <w:r>
        <w:rPr>
          <w:i/>
          <w:iCs/>
        </w:rPr>
        <w:t>Flour Mills</w:t>
      </w:r>
      <w:r>
        <w:rPr>
          <w:i/>
          <w:iCs/>
          <w:spacing w:val="-1"/>
        </w:rPr>
        <w:t xml:space="preserve"> </w:t>
      </w:r>
      <w:r>
        <w:rPr>
          <w:i/>
          <w:iCs/>
        </w:rPr>
        <w:t>Pty</w:t>
      </w:r>
      <w:r>
        <w:rPr>
          <w:i/>
          <w:iCs/>
          <w:spacing w:val="-1"/>
        </w:rPr>
        <w:t xml:space="preserve"> </w:t>
      </w:r>
      <w:r>
        <w:rPr>
          <w:i/>
          <w:iCs/>
        </w:rPr>
        <w:t>Ltd</w:t>
      </w:r>
      <w:r>
        <w:rPr>
          <w:i/>
          <w:iCs/>
          <w:spacing w:val="-1"/>
        </w:rPr>
        <w:t xml:space="preserve"> </w:t>
      </w:r>
      <w:r>
        <w:t>(1990) 171</w:t>
      </w:r>
      <w:r>
        <w:rPr>
          <w:spacing w:val="-1"/>
        </w:rPr>
        <w:t xml:space="preserve"> </w:t>
      </w:r>
      <w:r>
        <w:t>CLR</w:t>
      </w:r>
      <w:r>
        <w:rPr>
          <w:spacing w:val="-1"/>
        </w:rPr>
        <w:t xml:space="preserve"> </w:t>
      </w:r>
      <w:r>
        <w:t>538 at</w:t>
      </w:r>
      <w:r>
        <w:rPr>
          <w:spacing w:val="-2"/>
        </w:rPr>
        <w:t xml:space="preserve"> </w:t>
      </w:r>
      <w:r w:rsidR="008E376E">
        <w:t>564</w:t>
      </w:r>
      <w:r>
        <w:t xml:space="preserve"> (Mason CJ,</w:t>
      </w:r>
      <w:r>
        <w:rPr>
          <w:spacing w:val="-1"/>
        </w:rPr>
        <w:t xml:space="preserve"> </w:t>
      </w:r>
      <w:r>
        <w:t>Deane,</w:t>
      </w:r>
      <w:r>
        <w:rPr>
          <w:spacing w:val="-1"/>
        </w:rPr>
        <w:t xml:space="preserve"> </w:t>
      </w:r>
      <w:r>
        <w:t>Dawson and</w:t>
      </w:r>
      <w:r>
        <w:rPr>
          <w:spacing w:val="-1"/>
        </w:rPr>
        <w:t xml:space="preserve"> </w:t>
      </w:r>
      <w:proofErr w:type="spellStart"/>
      <w:r>
        <w:t>Gaudron</w:t>
      </w:r>
      <w:proofErr w:type="spellEnd"/>
      <w:r>
        <w:t xml:space="preserve"> JJ).</w:t>
      </w:r>
    </w:p>
    <w:p w14:paraId="704F7584" w14:textId="46247674" w:rsidR="00FD03EA" w:rsidRDefault="00FD03EA" w:rsidP="00FD03EA">
      <w:pPr>
        <w:pStyle w:val="ParaNumbering"/>
      </w:pPr>
      <w:r>
        <w:t xml:space="preserve">As noted earlier, Facebook </w:t>
      </w:r>
      <w:proofErr w:type="spellStart"/>
      <w:r>
        <w:t>Inc</w:t>
      </w:r>
      <w:proofErr w:type="spellEnd"/>
      <w:r>
        <w:t xml:space="preserve"> contends that the relevant orders should not have been made because the Commissioner has not established a prima facie case for the purpose of r 10.43(4)(c)</w:t>
      </w:r>
      <w:r w:rsidR="00010C14">
        <w:t xml:space="preserve"> of the Rules</w:t>
      </w:r>
      <w:r>
        <w:t>.</w:t>
      </w:r>
    </w:p>
    <w:p w14:paraId="1EC19C65" w14:textId="2AD3F17D" w:rsidR="00214B65" w:rsidRDefault="004D6C0E" w:rsidP="00214B65">
      <w:pPr>
        <w:pStyle w:val="Heading2"/>
      </w:pPr>
      <w:r>
        <w:t xml:space="preserve">C.2  </w:t>
      </w:r>
      <w:r w:rsidR="00214B65">
        <w:t>Rule 10.43(4)(c)</w:t>
      </w:r>
    </w:p>
    <w:p w14:paraId="49043047" w14:textId="101699A2" w:rsidR="00214B65" w:rsidRDefault="00214B65" w:rsidP="00214B65">
      <w:pPr>
        <w:pStyle w:val="ParaNumbering"/>
      </w:pPr>
      <w:r>
        <w:t>Rule 10.43</w:t>
      </w:r>
      <w:r w:rsidR="00010C14">
        <w:t xml:space="preserve"> of the Rules</w:t>
      </w:r>
      <w:r>
        <w:t xml:space="preserve"> includes:</w:t>
      </w:r>
    </w:p>
    <w:p w14:paraId="40BCDF52" w14:textId="77777777" w:rsidR="00214B65" w:rsidRDefault="00214B65" w:rsidP="00214B65">
      <w:pPr>
        <w:pStyle w:val="Quote1"/>
        <w:ind w:left="1418" w:hanging="681"/>
      </w:pPr>
      <w:r w:rsidRPr="009812C8">
        <w:t>(2)</w:t>
      </w:r>
      <w:r w:rsidRPr="009812C8">
        <w:tab/>
        <w:t>A party may apply to the Court for leave to serve an originating application on a person in a foreign country in accordance with a convention, the Hague Convention or the law of the foreign country.</w:t>
      </w:r>
    </w:p>
    <w:p w14:paraId="28D02A3A" w14:textId="77777777" w:rsidR="00214B65" w:rsidRPr="009812C8" w:rsidRDefault="00214B65" w:rsidP="00214B65">
      <w:pPr>
        <w:pStyle w:val="Quote1"/>
        <w:ind w:left="1418" w:hanging="681"/>
      </w:pPr>
      <w:r>
        <w:t>…</w:t>
      </w:r>
    </w:p>
    <w:p w14:paraId="54F0B9F4" w14:textId="77777777" w:rsidR="00214B65" w:rsidRPr="009812C8" w:rsidRDefault="00214B65" w:rsidP="00214B65">
      <w:pPr>
        <w:pStyle w:val="Quote1"/>
        <w:ind w:left="1418" w:hanging="681"/>
      </w:pPr>
      <w:r w:rsidRPr="009812C8">
        <w:t>(4)</w:t>
      </w:r>
      <w:r w:rsidRPr="009812C8">
        <w:tab/>
        <w:t xml:space="preserve">For </w:t>
      </w:r>
      <w:proofErr w:type="spellStart"/>
      <w:r w:rsidRPr="009812C8">
        <w:t>subrule</w:t>
      </w:r>
      <w:proofErr w:type="spellEnd"/>
      <w:r w:rsidRPr="009812C8">
        <w:t xml:space="preserve"> (2), the party must satisfy the Court that:</w:t>
      </w:r>
    </w:p>
    <w:p w14:paraId="321A9909" w14:textId="5D6139D4" w:rsidR="00214B65" w:rsidRPr="009812C8" w:rsidRDefault="00214B65" w:rsidP="00214B65">
      <w:pPr>
        <w:pStyle w:val="Quote1"/>
        <w:ind w:left="1985" w:hanging="567"/>
      </w:pPr>
      <w:r w:rsidRPr="009812C8">
        <w:t>(a)</w:t>
      </w:r>
      <w:r w:rsidRPr="009812C8">
        <w:tab/>
        <w:t>the Court has jurisdiction in the proceeding;</w:t>
      </w:r>
      <w:r w:rsidR="00C85C69">
        <w:t xml:space="preserve"> and</w:t>
      </w:r>
    </w:p>
    <w:p w14:paraId="416DCE7A" w14:textId="3BF0AA47" w:rsidR="00214B65" w:rsidRPr="009812C8" w:rsidRDefault="00214B65" w:rsidP="00214B65">
      <w:pPr>
        <w:pStyle w:val="Quote1"/>
        <w:ind w:left="1985" w:hanging="567"/>
      </w:pPr>
      <w:r w:rsidRPr="009812C8">
        <w:t>(b)</w:t>
      </w:r>
      <w:r w:rsidRPr="009812C8">
        <w:tab/>
        <w:t>the proceeding is of a kind mentioned in r 10.42;</w:t>
      </w:r>
      <w:r w:rsidR="00C85C69">
        <w:t xml:space="preserve"> and</w:t>
      </w:r>
    </w:p>
    <w:p w14:paraId="2C9700DA" w14:textId="77777777" w:rsidR="00214B65" w:rsidRPr="009812C8" w:rsidRDefault="00214B65" w:rsidP="00214B65">
      <w:pPr>
        <w:pStyle w:val="Quote1"/>
        <w:spacing w:after="0"/>
        <w:ind w:left="1985" w:hanging="567"/>
      </w:pPr>
      <w:r w:rsidRPr="009812C8">
        <w:t>(c)</w:t>
      </w:r>
      <w:r w:rsidRPr="009812C8">
        <w:tab/>
        <w:t>the party has a prima facie case for all or any of the relief claimed in the proceeding.</w:t>
      </w:r>
    </w:p>
    <w:p w14:paraId="38087F91" w14:textId="77777777" w:rsidR="00214B65" w:rsidRDefault="00214B65" w:rsidP="00214B65">
      <w:pPr>
        <w:pStyle w:val="Quote1"/>
      </w:pPr>
    </w:p>
    <w:p w14:paraId="0237B5DD" w14:textId="79C862B0" w:rsidR="00E20A82" w:rsidRDefault="00E20A82" w:rsidP="00C03B5B">
      <w:pPr>
        <w:pStyle w:val="ParaNumbering"/>
      </w:pPr>
      <w:r>
        <w:t xml:space="preserve">In </w:t>
      </w:r>
      <w:r>
        <w:rPr>
          <w:i/>
        </w:rPr>
        <w:t>Facebook No 1</w:t>
      </w:r>
      <w:r>
        <w:t xml:space="preserve"> at [30], the principles</w:t>
      </w:r>
      <w:r w:rsidR="009812C8">
        <w:t xml:space="preserve"> concerning </w:t>
      </w:r>
      <w:r w:rsidR="00677EF3">
        <w:t xml:space="preserve">the requirement in </w:t>
      </w:r>
      <w:r w:rsidR="009812C8">
        <w:t>r 10.43(4)(c)</w:t>
      </w:r>
      <w:r w:rsidR="00677EF3">
        <w:t xml:space="preserve"> of the Rules to demonstrate a </w:t>
      </w:r>
      <w:r w:rsidR="00677EF3" w:rsidRPr="00F73B46">
        <w:t>prima facie</w:t>
      </w:r>
      <w:r w:rsidR="00677EF3">
        <w:rPr>
          <w:i/>
        </w:rPr>
        <w:t xml:space="preserve"> </w:t>
      </w:r>
      <w:r w:rsidR="00677EF3">
        <w:t>case</w:t>
      </w:r>
      <w:r w:rsidR="00F10EC9">
        <w:t xml:space="preserve"> were summarised</w:t>
      </w:r>
      <w:r w:rsidR="009812C8">
        <w:t xml:space="preserve"> </w:t>
      </w:r>
      <w:r>
        <w:t>in the following way:</w:t>
      </w:r>
    </w:p>
    <w:p w14:paraId="2E488DBE" w14:textId="58492728" w:rsidR="00E20A82" w:rsidRPr="0029117B" w:rsidRDefault="00E20A82" w:rsidP="00214B65">
      <w:pPr>
        <w:pStyle w:val="Quote1"/>
        <w:widowControl/>
      </w:pPr>
      <w:r w:rsidRPr="0029117B">
        <w:t xml:space="preserve">The requirement to demonstrate a </w:t>
      </w:r>
      <w:r w:rsidRPr="006E3277">
        <w:rPr>
          <w:i/>
        </w:rPr>
        <w:t>prima facie</w:t>
      </w:r>
      <w:r w:rsidRPr="0029117B">
        <w:t xml:space="preserve"> case in the context of an application for leave to serve documents outside Australia is </w:t>
      </w:r>
      <w:r w:rsidR="0059361E">
        <w:t>“</w:t>
      </w:r>
      <w:r w:rsidRPr="0029117B">
        <w:t>not particularly onerous</w:t>
      </w:r>
      <w:r w:rsidR="0059361E">
        <w:t>”</w:t>
      </w:r>
      <w:r w:rsidRPr="0029117B">
        <w:t xml:space="preserve">: </w:t>
      </w:r>
      <w:r w:rsidRPr="0029117B">
        <w:rPr>
          <w:i/>
        </w:rPr>
        <w:t>Yellow Page Marketing</w:t>
      </w:r>
      <w:r w:rsidRPr="0029117B">
        <w:t xml:space="preserve"> </w:t>
      </w:r>
      <w:r w:rsidR="00C85C69">
        <w:t>[</w:t>
      </w:r>
      <w:r w:rsidR="00C85C69" w:rsidRPr="00C85C69">
        <w:t>[2010] FCA 1218</w:t>
      </w:r>
      <w:r w:rsidR="00C85C69">
        <w:t xml:space="preserve">] </w:t>
      </w:r>
      <w:r w:rsidRPr="0029117B">
        <w:t>at [25].  It is relevant to assess whether sufficient material is placed before the Court to show:</w:t>
      </w:r>
    </w:p>
    <w:p w14:paraId="30728B8D" w14:textId="77777777" w:rsidR="00E20A82" w:rsidRPr="0029117B" w:rsidRDefault="00E20A82" w:rsidP="00214B65">
      <w:pPr>
        <w:pStyle w:val="Quote1"/>
        <w:widowControl/>
        <w:ind w:left="1418" w:hanging="681"/>
      </w:pPr>
      <w:r w:rsidRPr="0029117B">
        <w:t>(1)</w:t>
      </w:r>
      <w:r w:rsidRPr="0029117B">
        <w:tab/>
        <w:t xml:space="preserve">that findings of fact are available, and inferences are open to be drawn, which would support the relief claimed: </w:t>
      </w:r>
      <w:r w:rsidRPr="0029117B">
        <w:rPr>
          <w:i/>
        </w:rPr>
        <w:t>Australian Securities and Investment Commission v Axis International Management Pty Ltd</w:t>
      </w:r>
      <w:r w:rsidRPr="0029117B">
        <w:t xml:space="preserve"> [2008] FCA 1605 at [14] (Gilmour J), citing </w:t>
      </w:r>
      <w:r w:rsidRPr="0029117B">
        <w:rPr>
          <w:i/>
        </w:rPr>
        <w:t xml:space="preserve">Bell Group Ltd (In </w:t>
      </w:r>
      <w:proofErr w:type="spellStart"/>
      <w:r w:rsidRPr="0029117B">
        <w:rPr>
          <w:i/>
        </w:rPr>
        <w:t>Liq</w:t>
      </w:r>
      <w:proofErr w:type="spellEnd"/>
      <w:r w:rsidRPr="0029117B">
        <w:rPr>
          <w:i/>
        </w:rPr>
        <w:t>) v Westpac Banking Corporation</w:t>
      </w:r>
      <w:r w:rsidRPr="0029117B">
        <w:t xml:space="preserve"> (1996) 20 ACSR 760 at 763;  </w:t>
      </w:r>
    </w:p>
    <w:p w14:paraId="35607C7F" w14:textId="77777777" w:rsidR="00E20A82" w:rsidRDefault="00E20A82" w:rsidP="00214B65">
      <w:pPr>
        <w:pStyle w:val="Quote1"/>
        <w:widowControl/>
        <w:spacing w:after="0"/>
        <w:ind w:left="1417" w:hanging="680"/>
      </w:pPr>
      <w:r w:rsidRPr="0029117B">
        <w:lastRenderedPageBreak/>
        <w:t>(2)</w:t>
      </w:r>
      <w:r w:rsidRPr="0029117B">
        <w:tab/>
        <w:t xml:space="preserve">the existence of a controversy that warrants causing a proposed respondent to be involved in litigation in Australia: </w:t>
      </w:r>
      <w:r w:rsidRPr="0029117B">
        <w:rPr>
          <w:i/>
        </w:rPr>
        <w:t>Century Insurance (in provisional liquidation) v New Zealand Guardian Trust</w:t>
      </w:r>
      <w:r w:rsidRPr="0029117B">
        <w:t xml:space="preserve"> [1996] FCA 376 (Lee J); </w:t>
      </w:r>
      <w:proofErr w:type="spellStart"/>
      <w:r w:rsidRPr="0029117B">
        <w:rPr>
          <w:i/>
        </w:rPr>
        <w:t>Ho</w:t>
      </w:r>
      <w:proofErr w:type="spellEnd"/>
      <w:r w:rsidRPr="0029117B">
        <w:rPr>
          <w:i/>
        </w:rPr>
        <w:t xml:space="preserve"> v Akai Pty Ltd (in </w:t>
      </w:r>
      <w:proofErr w:type="spellStart"/>
      <w:r w:rsidRPr="0029117B">
        <w:rPr>
          <w:i/>
        </w:rPr>
        <w:t>liq</w:t>
      </w:r>
      <w:proofErr w:type="spellEnd"/>
      <w:r w:rsidRPr="0029117B">
        <w:rPr>
          <w:i/>
        </w:rPr>
        <w:t xml:space="preserve">) </w:t>
      </w:r>
      <w:r w:rsidRPr="006E3277">
        <w:t>(2006) 247 FCR 205</w:t>
      </w:r>
      <w:r w:rsidRPr="00086213">
        <w:t xml:space="preserve"> at [10</w:t>
      </w:r>
      <w:r w:rsidRPr="0029117B">
        <w:t xml:space="preserve">] (Finn, Weinberg and Rares JJ); </w:t>
      </w:r>
      <w:r w:rsidRPr="006E3277">
        <w:rPr>
          <w:b/>
          <w:i/>
        </w:rPr>
        <w:t xml:space="preserve">Israel Discount Bank </w:t>
      </w:r>
      <w:r w:rsidRPr="00086213">
        <w:rPr>
          <w:i/>
        </w:rPr>
        <w:t xml:space="preserve">Limited v ACN 078 272 867 Pty Ltd (in </w:t>
      </w:r>
      <w:proofErr w:type="spellStart"/>
      <w:r w:rsidRPr="00086213">
        <w:rPr>
          <w:i/>
        </w:rPr>
        <w:t>liq</w:t>
      </w:r>
      <w:proofErr w:type="spellEnd"/>
      <w:r w:rsidRPr="00086213">
        <w:rPr>
          <w:i/>
        </w:rPr>
        <w:t>) (formerly Advance Finances Pty Ltd)</w:t>
      </w:r>
      <w:r w:rsidRPr="00086213">
        <w:t xml:space="preserve"> (2019) 367</w:t>
      </w:r>
      <w:r w:rsidRPr="0029117B">
        <w:t xml:space="preserve"> ALR 71 at [47] (Yates, Beach and Moshinsky JJ).  </w:t>
      </w:r>
    </w:p>
    <w:p w14:paraId="5194F548" w14:textId="77777777" w:rsidR="00E20A82" w:rsidRPr="0029117B" w:rsidRDefault="00E20A82" w:rsidP="00214B65">
      <w:pPr>
        <w:pStyle w:val="Quote1"/>
        <w:widowControl/>
        <w:ind w:left="1418" w:hanging="681"/>
      </w:pPr>
    </w:p>
    <w:p w14:paraId="026525B8" w14:textId="52A996AB" w:rsidR="00615E78" w:rsidRPr="00615E78" w:rsidRDefault="00E20A82" w:rsidP="00FF7D89">
      <w:pPr>
        <w:pStyle w:val="ParaNumbering"/>
      </w:pPr>
      <w:r>
        <w:t xml:space="preserve">Facebook </w:t>
      </w:r>
      <w:proofErr w:type="spellStart"/>
      <w:r>
        <w:t>Inc</w:t>
      </w:r>
      <w:proofErr w:type="spellEnd"/>
      <w:r>
        <w:t xml:space="preserve"> did not contend that this summary misstated the principles.  </w:t>
      </w:r>
      <w:r w:rsidR="00615E78">
        <w:t xml:space="preserve">Facebook </w:t>
      </w:r>
      <w:proofErr w:type="spellStart"/>
      <w:r w:rsidR="00615E78">
        <w:t>Inc</w:t>
      </w:r>
      <w:proofErr w:type="spellEnd"/>
      <w:r w:rsidR="00615E78">
        <w:t xml:space="preserve"> emphasised, however, that whilst i</w:t>
      </w:r>
      <w:r w:rsidR="00615E78" w:rsidRPr="00615E78">
        <w:t xml:space="preserve">t has been said that </w:t>
      </w:r>
      <w:r w:rsidR="00615E78">
        <w:t>establishing a prima facie case</w:t>
      </w:r>
      <w:r w:rsidR="00615E78" w:rsidRPr="00615E78">
        <w:t xml:space="preserve"> is not </w:t>
      </w:r>
      <w:r w:rsidR="00615E78">
        <w:t>“particularly onerous”</w:t>
      </w:r>
      <w:r w:rsidR="0009286A">
        <w:t xml:space="preserve"> (</w:t>
      </w:r>
      <w:r w:rsidR="00EA4EBC">
        <w:rPr>
          <w:i/>
        </w:rPr>
        <w:t xml:space="preserve">Australian Competition and Consumer Commission v </w:t>
      </w:r>
      <w:r w:rsidR="0009286A" w:rsidRPr="0029117B">
        <w:rPr>
          <w:i/>
        </w:rPr>
        <w:t>Yellow Page Marketing</w:t>
      </w:r>
      <w:r w:rsidR="00EA4EBC">
        <w:rPr>
          <w:i/>
        </w:rPr>
        <w:t xml:space="preserve"> BV </w:t>
      </w:r>
      <w:r w:rsidR="00EA4EBC">
        <w:t>[2010] FCA 1218</w:t>
      </w:r>
      <w:r w:rsidR="0009286A" w:rsidRPr="0029117B">
        <w:t xml:space="preserve"> at [25]</w:t>
      </w:r>
      <w:r w:rsidR="007F2D7E">
        <w:t xml:space="preserve"> pe</w:t>
      </w:r>
      <w:r w:rsidR="006053A9">
        <w:t>r</w:t>
      </w:r>
      <w:r w:rsidR="007F2D7E">
        <w:t xml:space="preserve"> Gordon J</w:t>
      </w:r>
      <w:r w:rsidR="0009286A">
        <w:t>)</w:t>
      </w:r>
      <w:r w:rsidR="00615E78">
        <w:t xml:space="preserve">, </w:t>
      </w:r>
      <w:r w:rsidR="00615E78" w:rsidRPr="00615E78">
        <w:t>it is nonetheless “necessary that there be a</w:t>
      </w:r>
      <w:r w:rsidR="00615E78">
        <w:t xml:space="preserve"> </w:t>
      </w:r>
      <w:r w:rsidR="00615E78" w:rsidRPr="00615E78">
        <w:t>foundation established for an arguable case”</w:t>
      </w:r>
      <w:r w:rsidR="00615E78">
        <w:t xml:space="preserve">: </w:t>
      </w:r>
      <w:r w:rsidR="00615E78" w:rsidRPr="00615E78">
        <w:rPr>
          <w:i/>
          <w:iCs/>
        </w:rPr>
        <w:t xml:space="preserve">Akai Pty Limited (in </w:t>
      </w:r>
      <w:proofErr w:type="spellStart"/>
      <w:r w:rsidR="00615E78" w:rsidRPr="00615E78">
        <w:rPr>
          <w:i/>
          <w:iCs/>
        </w:rPr>
        <w:t>liq</w:t>
      </w:r>
      <w:proofErr w:type="spellEnd"/>
      <w:r w:rsidR="00615E78" w:rsidRPr="00615E78">
        <w:rPr>
          <w:i/>
          <w:iCs/>
        </w:rPr>
        <w:t xml:space="preserve">) v </w:t>
      </w:r>
      <w:proofErr w:type="spellStart"/>
      <w:r w:rsidR="00615E78" w:rsidRPr="00493934">
        <w:rPr>
          <w:i/>
          <w:iCs/>
        </w:rPr>
        <w:t>Ho</w:t>
      </w:r>
      <w:proofErr w:type="spellEnd"/>
      <w:r w:rsidR="00615E78" w:rsidRPr="00615E78">
        <w:rPr>
          <w:i/>
          <w:iCs/>
        </w:rPr>
        <w:t xml:space="preserve"> </w:t>
      </w:r>
      <w:r w:rsidR="00615E78" w:rsidRPr="00615E78">
        <w:t xml:space="preserve">(2006) </w:t>
      </w:r>
      <w:r w:rsidR="00EA4EBC">
        <w:t xml:space="preserve">230 ALR 107 </w:t>
      </w:r>
      <w:r w:rsidR="00615E78" w:rsidRPr="00615E78">
        <w:t xml:space="preserve">at [6] per </w:t>
      </w:r>
      <w:proofErr w:type="spellStart"/>
      <w:r w:rsidR="00615E78" w:rsidRPr="00615E78">
        <w:t>Gyles</w:t>
      </w:r>
      <w:proofErr w:type="spellEnd"/>
      <w:r w:rsidR="00615E78" w:rsidRPr="00615E78">
        <w:t xml:space="preserve"> J, referring to: </w:t>
      </w:r>
      <w:r w:rsidR="00615E78" w:rsidRPr="00615E78">
        <w:rPr>
          <w:i/>
          <w:iCs/>
        </w:rPr>
        <w:t>WSGAL Pty L</w:t>
      </w:r>
      <w:r w:rsidR="00EA4EBC">
        <w:rPr>
          <w:i/>
          <w:iCs/>
        </w:rPr>
        <w:t>imi</w:t>
      </w:r>
      <w:r w:rsidR="00615E78" w:rsidRPr="00615E78">
        <w:rPr>
          <w:i/>
          <w:iCs/>
        </w:rPr>
        <w:t>t</w:t>
      </w:r>
      <w:r w:rsidR="00EA4EBC">
        <w:rPr>
          <w:i/>
          <w:iCs/>
        </w:rPr>
        <w:t>e</w:t>
      </w:r>
      <w:r w:rsidR="00615E78" w:rsidRPr="00615E78">
        <w:rPr>
          <w:i/>
          <w:iCs/>
        </w:rPr>
        <w:t xml:space="preserve">d v Trade Practices Commission </w:t>
      </w:r>
      <w:r w:rsidR="00615E78" w:rsidRPr="00615E78">
        <w:t>(1992) 39 FCR 472 at 476</w:t>
      </w:r>
      <w:r w:rsidR="00EA4EBC" w:rsidRPr="00EA4EBC">
        <w:t xml:space="preserve"> </w:t>
      </w:r>
      <w:r w:rsidR="00EA4EBC" w:rsidRPr="00615E78">
        <w:t>per Beaumont J</w:t>
      </w:r>
      <w:r w:rsidR="00615E78" w:rsidRPr="00615E78">
        <w:t xml:space="preserve">; </w:t>
      </w:r>
      <w:proofErr w:type="spellStart"/>
      <w:r w:rsidR="00615E78" w:rsidRPr="00615E78">
        <w:rPr>
          <w:i/>
          <w:iCs/>
        </w:rPr>
        <w:t>Sydbank</w:t>
      </w:r>
      <w:proofErr w:type="spellEnd"/>
      <w:r w:rsidR="00615E78" w:rsidRPr="00615E78">
        <w:rPr>
          <w:i/>
          <w:iCs/>
        </w:rPr>
        <w:t xml:space="preserve"> </w:t>
      </w:r>
      <w:proofErr w:type="spellStart"/>
      <w:r w:rsidR="00615E78" w:rsidRPr="00615E78">
        <w:rPr>
          <w:i/>
          <w:iCs/>
        </w:rPr>
        <w:t>Soenderjylland</w:t>
      </w:r>
      <w:proofErr w:type="spellEnd"/>
      <w:r w:rsidR="00615E78" w:rsidRPr="00615E78">
        <w:rPr>
          <w:i/>
          <w:iCs/>
        </w:rPr>
        <w:t xml:space="preserve"> A/S v Bannerton Holdings Pty Ltd </w:t>
      </w:r>
      <w:r w:rsidR="00615E78" w:rsidRPr="00615E78">
        <w:t>(1996) 68 FCR 539 at 549.</w:t>
      </w:r>
    </w:p>
    <w:p w14:paraId="7CF37C7B" w14:textId="386F0CDD" w:rsidR="00450D44" w:rsidRDefault="004D6C0E" w:rsidP="00450D44">
      <w:pPr>
        <w:pStyle w:val="Heading2"/>
      </w:pPr>
      <w:r>
        <w:t xml:space="preserve">C.3  </w:t>
      </w:r>
      <w:r w:rsidR="00450D44">
        <w:t>Prima facie case and the drawing of inferences</w:t>
      </w:r>
    </w:p>
    <w:p w14:paraId="5A92A4E2" w14:textId="075F5DB4" w:rsidR="00E20A82" w:rsidRDefault="00E20A82" w:rsidP="00C03B5B">
      <w:pPr>
        <w:pStyle w:val="ParaNumbering"/>
      </w:pPr>
      <w:r>
        <w:t xml:space="preserve">Facebook </w:t>
      </w:r>
      <w:proofErr w:type="spellStart"/>
      <w:r>
        <w:t>Inc</w:t>
      </w:r>
      <w:proofErr w:type="spellEnd"/>
      <w:r>
        <w:t xml:space="preserve"> contended that the Commissioner had failed to </w:t>
      </w:r>
      <w:r w:rsidR="00D902A4">
        <w:t xml:space="preserve">establish </w:t>
      </w:r>
      <w:r w:rsidR="0059361E">
        <w:t>“</w:t>
      </w:r>
      <w:r w:rsidR="00D902A4">
        <w:t xml:space="preserve">an arguable case as </w:t>
      </w:r>
      <w:r w:rsidR="00C72FF5">
        <w:t>[</w:t>
      </w:r>
      <w:r w:rsidR="00450D44">
        <w:t>she</w:t>
      </w:r>
      <w:r w:rsidR="00C72FF5">
        <w:t>]</w:t>
      </w:r>
      <w:r w:rsidR="00D902A4">
        <w:t xml:space="preserve"> has merely posited </w:t>
      </w:r>
      <w:r w:rsidR="0059361E">
        <w:t>‘</w:t>
      </w:r>
      <w:r w:rsidR="00D902A4">
        <w:t>inferences</w:t>
      </w:r>
      <w:r w:rsidR="0059361E">
        <w:t>’</w:t>
      </w:r>
      <w:r w:rsidR="00D902A4">
        <w:t xml:space="preserve"> which do not reasonably arise from the material tendered</w:t>
      </w:r>
      <w:r w:rsidR="0059361E">
        <w:t>”</w:t>
      </w:r>
      <w:r w:rsidR="00D902A4">
        <w:t xml:space="preserve"> and that all that the Commissioner had done was </w:t>
      </w:r>
      <w:r w:rsidR="0059361E">
        <w:t>“</w:t>
      </w:r>
      <w:r w:rsidR="00D902A4">
        <w:t xml:space="preserve">speculated that a </w:t>
      </w:r>
      <w:r w:rsidR="00D902A4">
        <w:rPr>
          <w:i/>
        </w:rPr>
        <w:t>prima facie</w:t>
      </w:r>
      <w:r w:rsidR="00D902A4">
        <w:t xml:space="preserve"> case might be found to exist at some point in the future</w:t>
      </w:r>
      <w:r w:rsidR="0059361E">
        <w:t>”</w:t>
      </w:r>
      <w:r w:rsidR="00D902A4">
        <w:t>.</w:t>
      </w:r>
    </w:p>
    <w:p w14:paraId="0FCE9D6F" w14:textId="76540845" w:rsidR="00214B65" w:rsidRDefault="0062078C" w:rsidP="00C03B5B">
      <w:pPr>
        <w:pStyle w:val="ParaNumbering"/>
      </w:pPr>
      <w:r>
        <w:t>Although it has be</w:t>
      </w:r>
      <w:r w:rsidR="0009286A">
        <w:t>en</w:t>
      </w:r>
      <w:r>
        <w:t xml:space="preserve"> stated that the question of whether a </w:t>
      </w:r>
      <w:r w:rsidRPr="00F73B46">
        <w:t>prima facie</w:t>
      </w:r>
      <w:r>
        <w:rPr>
          <w:i/>
        </w:rPr>
        <w:t xml:space="preserve"> </w:t>
      </w:r>
      <w:r>
        <w:t xml:space="preserve">case has been established </w:t>
      </w:r>
      <w:r w:rsidR="0059361E">
        <w:t>“</w:t>
      </w:r>
      <w:r>
        <w:t>should not call for a substantial inquiry</w:t>
      </w:r>
      <w:r w:rsidR="0059361E">
        <w:t>”</w:t>
      </w:r>
      <w:r>
        <w:t xml:space="preserve"> (</w:t>
      </w:r>
      <w:proofErr w:type="spellStart"/>
      <w:r>
        <w:rPr>
          <w:i/>
        </w:rPr>
        <w:t>Ho</w:t>
      </w:r>
      <w:proofErr w:type="spellEnd"/>
      <w:r w:rsidR="00493934">
        <w:rPr>
          <w:i/>
        </w:rPr>
        <w:t xml:space="preserve"> v Akai Pty Ltd (in </w:t>
      </w:r>
      <w:proofErr w:type="spellStart"/>
      <w:r w:rsidR="00493934">
        <w:rPr>
          <w:i/>
        </w:rPr>
        <w:t>liq</w:t>
      </w:r>
      <w:proofErr w:type="spellEnd"/>
      <w:r w:rsidR="00493934">
        <w:rPr>
          <w:i/>
        </w:rPr>
        <w:t xml:space="preserve">) </w:t>
      </w:r>
      <w:r w:rsidR="00493934">
        <w:t>(2006) 247 FCR 205</w:t>
      </w:r>
      <w:r>
        <w:rPr>
          <w:i/>
        </w:rPr>
        <w:t xml:space="preserve"> </w:t>
      </w:r>
      <w:r>
        <w:t xml:space="preserve">at [10]), Facebook </w:t>
      </w:r>
      <w:proofErr w:type="spellStart"/>
      <w:r>
        <w:t>Inc</w:t>
      </w:r>
      <w:proofErr w:type="spellEnd"/>
      <w:r>
        <w:t xml:space="preserve"> analysed in detail the various inferences which the Commissioner contended were available in an endeavour to show that </w:t>
      </w:r>
      <w:r w:rsidR="0009286A">
        <w:t>those</w:t>
      </w:r>
      <w:r w:rsidR="00FD03EA">
        <w:t xml:space="preserve"> </w:t>
      </w:r>
      <w:r>
        <w:t xml:space="preserve">inferences </w:t>
      </w:r>
      <w:r w:rsidR="00FD03EA">
        <w:t>were, on proper analysis,</w:t>
      </w:r>
      <w:r>
        <w:t xml:space="preserve"> mere speculation.  </w:t>
      </w:r>
      <w:r w:rsidR="003C3C38">
        <w:t xml:space="preserve">There is nothing wrong in this approach.  However, one must bear in mind that the question whether a prima facie case has been established arises in a particular statutory context and the question whether an inference is available arises before trial.  </w:t>
      </w:r>
    </w:p>
    <w:p w14:paraId="46CC4C77" w14:textId="7FEAAF94" w:rsidR="00A83105" w:rsidRDefault="00ED46A6" w:rsidP="00C03B5B">
      <w:pPr>
        <w:pStyle w:val="ParaNumbering"/>
      </w:pPr>
      <w:r>
        <w:t xml:space="preserve">There is no doubt that the </w:t>
      </w:r>
      <w:r w:rsidR="00861A6D">
        <w:t xml:space="preserve">term </w:t>
      </w:r>
      <w:r w:rsidR="00861A6D" w:rsidRPr="00F73B46">
        <w:t>prima facie</w:t>
      </w:r>
      <w:r w:rsidR="00861A6D">
        <w:rPr>
          <w:i/>
        </w:rPr>
        <w:t xml:space="preserve"> </w:t>
      </w:r>
      <w:r w:rsidR="00861A6D">
        <w:t xml:space="preserve">case </w:t>
      </w:r>
      <w:r>
        <w:t xml:space="preserve">has a well understood meaning but </w:t>
      </w:r>
      <w:r w:rsidR="00861A6D">
        <w:t xml:space="preserve">its meaning is affected by </w:t>
      </w:r>
      <w:r w:rsidR="00FD03EA">
        <w:t xml:space="preserve">the particular </w:t>
      </w:r>
      <w:r w:rsidR="00861A6D">
        <w:t>statutory context</w:t>
      </w:r>
      <w:r w:rsidR="00FD03EA">
        <w:t xml:space="preserve"> in which it is being used</w:t>
      </w:r>
      <w:r w:rsidR="00861A6D">
        <w:t xml:space="preserve">.  It is </w:t>
      </w:r>
      <w:r>
        <w:t xml:space="preserve">used in the present context to test whether there exists a controversy which is sufficiently made out at the commencement of proceedings to warrant exposing the proposed respondent to litigation in Australia.  That context is different, for example, </w:t>
      </w:r>
      <w:r w:rsidR="00861A6D">
        <w:t xml:space="preserve">to </w:t>
      </w:r>
      <w:r>
        <w:t xml:space="preserve">deciding whether the prosecution in a criminal trial has, after adducing its evidence and </w:t>
      </w:r>
      <w:r w:rsidR="00FD03EA">
        <w:t>that evidence</w:t>
      </w:r>
      <w:r>
        <w:t xml:space="preserve"> being tested by cross-examination, established a </w:t>
      </w:r>
      <w:r w:rsidRPr="00F73B46">
        <w:t>prima facie</w:t>
      </w:r>
      <w:r>
        <w:t xml:space="preserve"> case sufficient to reject a no case submission.</w:t>
      </w:r>
    </w:p>
    <w:p w14:paraId="6D683CD7" w14:textId="6EFF2A75" w:rsidR="00861A6D" w:rsidRDefault="00861A6D" w:rsidP="00861A6D">
      <w:pPr>
        <w:pStyle w:val="ParaNumbering"/>
      </w:pPr>
      <w:r>
        <w:lastRenderedPageBreak/>
        <w:t xml:space="preserve">In </w:t>
      </w:r>
      <w:proofErr w:type="spellStart"/>
      <w:r w:rsidRPr="00861A6D">
        <w:rPr>
          <w:b/>
          <w:i/>
          <w:iCs/>
        </w:rPr>
        <w:t>Merpro</w:t>
      </w:r>
      <w:proofErr w:type="spellEnd"/>
      <w:r w:rsidRPr="00861A6D">
        <w:rPr>
          <w:b/>
          <w:i/>
          <w:iCs/>
        </w:rPr>
        <w:t xml:space="preserve"> </w:t>
      </w:r>
      <w:proofErr w:type="spellStart"/>
      <w:r w:rsidRPr="00861A6D">
        <w:rPr>
          <w:b/>
          <w:i/>
          <w:iCs/>
        </w:rPr>
        <w:t>Montassa</w:t>
      </w:r>
      <w:proofErr w:type="spellEnd"/>
      <w:r w:rsidRPr="00E962D0">
        <w:rPr>
          <w:i/>
          <w:iCs/>
        </w:rPr>
        <w:t xml:space="preserve"> L</w:t>
      </w:r>
      <w:r w:rsidR="00885972">
        <w:rPr>
          <w:i/>
          <w:iCs/>
        </w:rPr>
        <w:t>imi</w:t>
      </w:r>
      <w:r w:rsidRPr="00E962D0">
        <w:rPr>
          <w:i/>
          <w:iCs/>
        </w:rPr>
        <w:t>t</w:t>
      </w:r>
      <w:r w:rsidR="00885972">
        <w:rPr>
          <w:i/>
          <w:iCs/>
        </w:rPr>
        <w:t>e</w:t>
      </w:r>
      <w:r w:rsidRPr="00E962D0">
        <w:rPr>
          <w:i/>
          <w:iCs/>
        </w:rPr>
        <w:t xml:space="preserve">d v Conoco Specialty Products </w:t>
      </w:r>
      <w:proofErr w:type="spellStart"/>
      <w:r w:rsidRPr="00E962D0">
        <w:rPr>
          <w:i/>
          <w:iCs/>
        </w:rPr>
        <w:t>Inc</w:t>
      </w:r>
      <w:proofErr w:type="spellEnd"/>
      <w:r w:rsidRPr="00E962D0">
        <w:rPr>
          <w:i/>
          <w:iCs/>
        </w:rPr>
        <w:t xml:space="preserve"> </w:t>
      </w:r>
      <w:r w:rsidRPr="00E962D0">
        <w:t>(1991) 28 FCR 387 at 390</w:t>
      </w:r>
      <w:r>
        <w:t xml:space="preserve">, </w:t>
      </w:r>
      <w:proofErr w:type="spellStart"/>
      <w:r>
        <w:t>Heerey</w:t>
      </w:r>
      <w:proofErr w:type="spellEnd"/>
      <w:r>
        <w:t xml:space="preserve"> J observed that the question whether a </w:t>
      </w:r>
      <w:r w:rsidRPr="00F73B46">
        <w:t>prima facie</w:t>
      </w:r>
      <w:r w:rsidRPr="0062195C">
        <w:t xml:space="preserve"> </w:t>
      </w:r>
      <w:r>
        <w:t xml:space="preserve">case had been established arises at the outset of proceedings, before discovery, subpoenas and other procedural aids, meaning that inferences might more readily be drawn in favour of an applicant.  </w:t>
      </w:r>
      <w:r w:rsidR="00BE3D02">
        <w:t xml:space="preserve">After setting out the concept of a prima facie case by reference to </w:t>
      </w:r>
      <w:r w:rsidR="00BE3D02">
        <w:rPr>
          <w:i/>
        </w:rPr>
        <w:t>May v O</w:t>
      </w:r>
      <w:r w:rsidR="0059361E">
        <w:rPr>
          <w:i/>
        </w:rPr>
        <w:t>’</w:t>
      </w:r>
      <w:r w:rsidR="00BE3D02">
        <w:rPr>
          <w:i/>
        </w:rPr>
        <w:t xml:space="preserve">Sullivan </w:t>
      </w:r>
      <w:r w:rsidR="00BE3D02">
        <w:t xml:space="preserve">(1955) 92 CLR 654 at 658, </w:t>
      </w:r>
      <w:proofErr w:type="spellStart"/>
      <w:r w:rsidR="00885972">
        <w:t>Heerey</w:t>
      </w:r>
      <w:proofErr w:type="spellEnd"/>
      <w:r w:rsidR="00885972">
        <w:t> </w:t>
      </w:r>
      <w:r w:rsidR="00BE3D02">
        <w:t xml:space="preserve">J </w:t>
      </w:r>
      <w:r>
        <w:t>said of the predecessor rule:</w:t>
      </w:r>
    </w:p>
    <w:p w14:paraId="52F2FB04" w14:textId="10DC3F5C" w:rsidR="00861A6D" w:rsidRDefault="00BE3D02" w:rsidP="00861A6D">
      <w:pPr>
        <w:pStyle w:val="Quote1"/>
        <w:spacing w:after="0"/>
      </w:pPr>
      <w:r>
        <w:t>It need only be added that t</w:t>
      </w:r>
      <w:r w:rsidR="00861A6D" w:rsidRPr="00266C8E">
        <w:t xml:space="preserve">he requirement of O 8, r 2(2)(c) </w:t>
      </w:r>
      <w:r w:rsidR="00861A6D">
        <w:t>[</w:t>
      </w:r>
      <w:r w:rsidR="0059361E">
        <w:t>“</w:t>
      </w:r>
      <w:r w:rsidR="00861A6D">
        <w:t xml:space="preserve">that the applicant has a </w:t>
      </w:r>
      <w:r w:rsidR="00861A6D" w:rsidRPr="00F73B46">
        <w:t>prima facie</w:t>
      </w:r>
      <w:r w:rsidR="00861A6D">
        <w:t xml:space="preserve"> case for the relief of which he seeks</w:t>
      </w:r>
      <w:r w:rsidR="0059361E">
        <w:t>”</w:t>
      </w:r>
      <w:r w:rsidR="00861A6D">
        <w:t xml:space="preserve">] </w:t>
      </w:r>
      <w:r w:rsidR="00861A6D" w:rsidRPr="00266C8E">
        <w:t>has to be met at the outset of the proceedings. It does not suggest the kind of scrutiny that would occur in a submission of no case to answer follow</w:t>
      </w:r>
      <w:r w:rsidR="00861A6D">
        <w:t>ing the closure of an applicant</w:t>
      </w:r>
      <w:r w:rsidR="0059361E">
        <w:t>’</w:t>
      </w:r>
      <w:r w:rsidR="00861A6D" w:rsidRPr="00266C8E">
        <w:t>s case at trial. As a matter of practicality, one is her</w:t>
      </w:r>
      <w:r w:rsidR="00861A6D">
        <w:t>e concerned with, in Sheppard J</w:t>
      </w:r>
      <w:r w:rsidR="0059361E">
        <w:t>’</w:t>
      </w:r>
      <w:r w:rsidR="00861A6D" w:rsidRPr="00266C8E">
        <w:t xml:space="preserve">s words, </w:t>
      </w:r>
      <w:r w:rsidR="0059361E">
        <w:t>“</w:t>
      </w:r>
      <w:r w:rsidR="00861A6D" w:rsidRPr="00266C8E">
        <w:t>evidence which discloses in a littl</w:t>
      </w:r>
      <w:r w:rsidR="00861A6D">
        <w:t>e detail what the facts are ...</w:t>
      </w:r>
      <w:r w:rsidR="0059361E">
        <w:t>”</w:t>
      </w:r>
      <w:r w:rsidR="00861A6D" w:rsidRPr="00266C8E">
        <w:t xml:space="preserve"> </w:t>
      </w:r>
      <w:r w:rsidR="00861A6D">
        <w:t>[</w:t>
      </w:r>
      <w:r w:rsidR="00861A6D" w:rsidRPr="00266C8E">
        <w:rPr>
          <w:i/>
          <w:iCs/>
        </w:rPr>
        <w:t xml:space="preserve">Stanley </w:t>
      </w:r>
      <w:r w:rsidR="00861A6D">
        <w:rPr>
          <w:i/>
          <w:iCs/>
        </w:rPr>
        <w:t>Kerr</w:t>
      </w:r>
      <w:r w:rsidR="00861A6D" w:rsidRPr="00266C8E">
        <w:rPr>
          <w:i/>
          <w:iCs/>
        </w:rPr>
        <w:t xml:space="preserve"> Holdings Pty Ltd v</w:t>
      </w:r>
      <w:r w:rsidR="00861A6D">
        <w:rPr>
          <w:i/>
          <w:iCs/>
        </w:rPr>
        <w:t xml:space="preserve"> </w:t>
      </w:r>
      <w:proofErr w:type="spellStart"/>
      <w:r w:rsidR="00861A6D" w:rsidRPr="00266C8E">
        <w:rPr>
          <w:i/>
          <w:iCs/>
        </w:rPr>
        <w:t>Gibor</w:t>
      </w:r>
      <w:proofErr w:type="spellEnd"/>
      <w:r w:rsidR="00861A6D" w:rsidRPr="00266C8E">
        <w:rPr>
          <w:i/>
          <w:iCs/>
        </w:rPr>
        <w:t xml:space="preserve"> Textile Enterprises Ltd </w:t>
      </w:r>
      <w:r w:rsidR="00861A6D" w:rsidRPr="00266C8E">
        <w:t>[1978] 2 NSWLR 372</w:t>
      </w:r>
      <w:r w:rsidR="00861A6D">
        <w:t>]</w:t>
      </w:r>
      <w:r w:rsidR="00861A6D" w:rsidRPr="00266C8E">
        <w:t>. It may be therefore that a court at this stage might draw inferences more readily in favour of an applicant, bearing in mind, amongst other things, that the applicant will not have had the advantage of discovery, subpoena and other procedural aids to the making</w:t>
      </w:r>
      <w:r w:rsidR="00861A6D">
        <w:t xml:space="preserve"> </w:t>
      </w:r>
      <w:r w:rsidR="00861A6D" w:rsidRPr="00266C8E">
        <w:t>out of a prima facie case at trial.</w:t>
      </w:r>
    </w:p>
    <w:p w14:paraId="4E94AC7B" w14:textId="77777777" w:rsidR="00861A6D" w:rsidRPr="00266C8E" w:rsidRDefault="00861A6D" w:rsidP="00861A6D">
      <w:pPr>
        <w:pStyle w:val="Quote1"/>
      </w:pPr>
    </w:p>
    <w:p w14:paraId="38A9D755" w14:textId="0E92901D" w:rsidR="00861A6D" w:rsidRDefault="00861A6D" w:rsidP="00861A6D">
      <w:pPr>
        <w:pStyle w:val="ParaNumbering"/>
      </w:pPr>
      <w:r>
        <w:t xml:space="preserve">To similar effect were the observations of </w:t>
      </w:r>
      <w:proofErr w:type="spellStart"/>
      <w:r>
        <w:t>Carr</w:t>
      </w:r>
      <w:proofErr w:type="spellEnd"/>
      <w:r>
        <w:t xml:space="preserve"> J as a member of the Full Court in </w:t>
      </w:r>
      <w:r w:rsidRPr="00C91B3B">
        <w:rPr>
          <w:i/>
          <w:iCs/>
        </w:rPr>
        <w:t>Bray</w:t>
      </w:r>
      <w:r w:rsidRPr="00266C8E">
        <w:rPr>
          <w:i/>
          <w:iCs/>
        </w:rPr>
        <w:t xml:space="preserve"> v F</w:t>
      </w:r>
      <w:r>
        <w:rPr>
          <w:i/>
          <w:iCs/>
        </w:rPr>
        <w:t> </w:t>
      </w:r>
      <w:r w:rsidRPr="00266C8E">
        <w:rPr>
          <w:i/>
          <w:iCs/>
        </w:rPr>
        <w:t xml:space="preserve">Hoffman-La Roche Ltd </w:t>
      </w:r>
      <w:r w:rsidRPr="00E962D0">
        <w:t>(2003) 130 FCR 317</w:t>
      </w:r>
      <w:r w:rsidR="00C91B3B">
        <w:t xml:space="preserve"> (</w:t>
      </w:r>
      <w:r w:rsidR="005A47DC" w:rsidRPr="005A47DC">
        <w:rPr>
          <w:b/>
          <w:i/>
        </w:rPr>
        <w:t>Bray FCAFC</w:t>
      </w:r>
      <w:r w:rsidR="00C91B3B">
        <w:rPr>
          <w:i/>
        </w:rPr>
        <w:t>)</w:t>
      </w:r>
      <w:r w:rsidRPr="00E962D0">
        <w:t xml:space="preserve"> at</w:t>
      </w:r>
      <w:r>
        <w:t xml:space="preserve"> [97]:</w:t>
      </w:r>
    </w:p>
    <w:p w14:paraId="66B699E4" w14:textId="3E640129" w:rsidR="00861A6D" w:rsidRDefault="00861A6D" w:rsidP="00861A6D">
      <w:pPr>
        <w:pStyle w:val="Quote1"/>
        <w:spacing w:after="0"/>
      </w:pPr>
      <w:r>
        <w:t>… The question is whether, on the material before the court, inferences were open which, if translated into findings of fact, would support the relief claimed. The scrutiny is not that which would occur in a submission of no case to answer following the closure of an applicant</w:t>
      </w:r>
      <w:r w:rsidR="0059361E">
        <w:t>’</w:t>
      </w:r>
      <w:r>
        <w:t>s case at trial. A court can draw inferences more readily in favour of an applicant, bearing in mind, among other things, that the applicant will not have had the advantage of discovery and other procedural aids. The kind of evidence to be adduced should be in proportion to the nature of such an interlocutory issue by way of a mini rather than a mega trial.</w:t>
      </w:r>
    </w:p>
    <w:p w14:paraId="063A9AA5" w14:textId="77777777" w:rsidR="00861A6D" w:rsidRDefault="00861A6D" w:rsidP="00861A6D">
      <w:pPr>
        <w:pStyle w:val="Quote1"/>
      </w:pPr>
    </w:p>
    <w:p w14:paraId="114B651D" w14:textId="77777777" w:rsidR="00861A6D" w:rsidRDefault="00861A6D" w:rsidP="00861A6D">
      <w:pPr>
        <w:pStyle w:val="ParaNumbering"/>
      </w:pPr>
      <w:r w:rsidRPr="00D714B1">
        <w:t xml:space="preserve">In </w:t>
      </w:r>
      <w:proofErr w:type="spellStart"/>
      <w:r w:rsidRPr="00FD03EA">
        <w:rPr>
          <w:b/>
          <w:i/>
        </w:rPr>
        <w:t>Apotex</w:t>
      </w:r>
      <w:proofErr w:type="spellEnd"/>
      <w:r w:rsidRPr="00D714B1">
        <w:rPr>
          <w:i/>
        </w:rPr>
        <w:t xml:space="preserve"> Pty Ltd v Les </w:t>
      </w:r>
      <w:proofErr w:type="spellStart"/>
      <w:r w:rsidRPr="00D714B1">
        <w:rPr>
          <w:i/>
        </w:rPr>
        <w:t>Laboratoires</w:t>
      </w:r>
      <w:proofErr w:type="spellEnd"/>
      <w:r w:rsidRPr="00D714B1">
        <w:rPr>
          <w:i/>
        </w:rPr>
        <w:t xml:space="preserve"> </w:t>
      </w:r>
      <w:proofErr w:type="spellStart"/>
      <w:r w:rsidRPr="00D714B1">
        <w:rPr>
          <w:i/>
        </w:rPr>
        <w:t>Servier</w:t>
      </w:r>
      <w:proofErr w:type="spellEnd"/>
      <w:r w:rsidRPr="00D714B1">
        <w:rPr>
          <w:i/>
        </w:rPr>
        <w:t xml:space="preserve"> (No 2)</w:t>
      </w:r>
      <w:r w:rsidRPr="00D714B1">
        <w:t xml:space="preserve"> </w:t>
      </w:r>
      <w:r>
        <w:t>(2012) 293 ALR 272 at [18], Bennett J observed:</w:t>
      </w:r>
    </w:p>
    <w:p w14:paraId="1472D3B8" w14:textId="5446FE7C" w:rsidR="00861A6D" w:rsidRDefault="00861A6D" w:rsidP="00861A6D">
      <w:pPr>
        <w:pStyle w:val="Quote1"/>
        <w:widowControl/>
        <w:spacing w:after="0"/>
      </w:pPr>
      <w:r>
        <w:t xml:space="preserve">The principles to be applied in determining whether </w:t>
      </w:r>
      <w:proofErr w:type="spellStart"/>
      <w:r>
        <w:t>Servier</w:t>
      </w:r>
      <w:proofErr w:type="spellEnd"/>
      <w:r>
        <w:t xml:space="preserve"> has made out a prima facie case are not in dispute and are conveniently stated by the Full Court in </w:t>
      </w:r>
      <w:proofErr w:type="spellStart"/>
      <w:r w:rsidRPr="00CB38ED">
        <w:rPr>
          <w:i/>
        </w:rPr>
        <w:t>Ho</w:t>
      </w:r>
      <w:proofErr w:type="spellEnd"/>
      <w:r w:rsidRPr="00CB38ED">
        <w:rPr>
          <w:i/>
        </w:rPr>
        <w:t xml:space="preserve"> v Akai Pty Ltd (in </w:t>
      </w:r>
      <w:proofErr w:type="spellStart"/>
      <w:r w:rsidRPr="00CB38ED">
        <w:rPr>
          <w:i/>
        </w:rPr>
        <w:t>liq</w:t>
      </w:r>
      <w:proofErr w:type="spellEnd"/>
      <w:r w:rsidRPr="00CB38ED">
        <w:rPr>
          <w:i/>
        </w:rPr>
        <w:t xml:space="preserve">) </w:t>
      </w:r>
      <w:r>
        <w:t>(2006) 24 ACLC 1526; [2006] FCAFC 159 at [10] (</w:t>
      </w:r>
      <w:proofErr w:type="spellStart"/>
      <w:r w:rsidRPr="00CB38ED">
        <w:rPr>
          <w:i/>
        </w:rPr>
        <w:t>Ho</w:t>
      </w:r>
      <w:proofErr w:type="spellEnd"/>
      <w:r>
        <w:t>). The determination does not call for a substantial inquiry and is met before the advantages of discovery, if ordered, and other procedural aids. The parties</w:t>
      </w:r>
      <w:r w:rsidR="0059361E">
        <w:t>’</w:t>
      </w:r>
      <w:r>
        <w:t xml:space="preserve"> contentions are based on the available facts and inferences that may be drawn. A prima facie case is made out, generally, if on the material before the court, inferences are open which, if translated into findings of fact, would support the relief claimed. This test was described by Collier J in </w:t>
      </w:r>
      <w:r w:rsidRPr="00CB38ED">
        <w:rPr>
          <w:i/>
        </w:rPr>
        <w:t>Bell v Steele</w:t>
      </w:r>
      <w:r>
        <w:t xml:space="preserve"> (2011) 198 FCR 291; 94 IPR 502; [2011] FCA 1390 at [21] as a </w:t>
      </w:r>
      <w:r w:rsidR="0059361E">
        <w:t>“</w:t>
      </w:r>
      <w:r>
        <w:t>relatively low</w:t>
      </w:r>
      <w:r w:rsidR="0059361E">
        <w:t>”</w:t>
      </w:r>
      <w:r>
        <w:t xml:space="preserve"> threshold. I would add that an available inference, to be open, should be made on the basis of evidence of facts; an inference should be clearly and properly drawn (</w:t>
      </w:r>
      <w:r w:rsidRPr="00CB38ED">
        <w:rPr>
          <w:i/>
        </w:rPr>
        <w:t xml:space="preserve">Unilever Plc v </w:t>
      </w:r>
      <w:proofErr w:type="spellStart"/>
      <w:r w:rsidRPr="00CB38ED">
        <w:rPr>
          <w:i/>
        </w:rPr>
        <w:t>Chefaro</w:t>
      </w:r>
      <w:proofErr w:type="spellEnd"/>
      <w:r w:rsidRPr="00CB38ED">
        <w:rPr>
          <w:i/>
        </w:rPr>
        <w:t xml:space="preserve"> Proprietaries Ltd</w:t>
      </w:r>
      <w:r>
        <w:t xml:space="preserve"> [1994] FSR 135 at 141 (</w:t>
      </w:r>
      <w:proofErr w:type="spellStart"/>
      <w:r w:rsidRPr="00CB38ED">
        <w:rPr>
          <w:i/>
        </w:rPr>
        <w:t>Chefaro</w:t>
      </w:r>
      <w:proofErr w:type="spellEnd"/>
      <w:r>
        <w:t xml:space="preserve">) per </w:t>
      </w:r>
      <w:proofErr w:type="spellStart"/>
      <w:r>
        <w:t>Glidewell</w:t>
      </w:r>
      <w:proofErr w:type="spellEnd"/>
      <w:r>
        <w:t xml:space="preserve"> LJ), not on the basis of mere speculation.</w:t>
      </w:r>
    </w:p>
    <w:p w14:paraId="1430E694" w14:textId="77777777" w:rsidR="00861A6D" w:rsidRPr="00D714B1" w:rsidRDefault="00861A6D" w:rsidP="00861A6D">
      <w:pPr>
        <w:pStyle w:val="Quote1"/>
      </w:pPr>
    </w:p>
    <w:p w14:paraId="5D114F58" w14:textId="362E0BFB" w:rsidR="00FD03EA" w:rsidRDefault="00861A6D" w:rsidP="00861A6D">
      <w:pPr>
        <w:pStyle w:val="ParaNumbering"/>
      </w:pPr>
      <w:r>
        <w:lastRenderedPageBreak/>
        <w:t xml:space="preserve">Facebook </w:t>
      </w:r>
      <w:proofErr w:type="spellStart"/>
      <w:r>
        <w:t>Inc</w:t>
      </w:r>
      <w:proofErr w:type="spellEnd"/>
      <w:r>
        <w:t xml:space="preserve"> submitted that the present context is different to </w:t>
      </w:r>
      <w:proofErr w:type="spellStart"/>
      <w:r>
        <w:rPr>
          <w:i/>
        </w:rPr>
        <w:t>Merpro</w:t>
      </w:r>
      <w:proofErr w:type="spellEnd"/>
      <w:r>
        <w:t xml:space="preserve"> </w:t>
      </w:r>
      <w:proofErr w:type="spellStart"/>
      <w:r w:rsidR="00FD03EA">
        <w:rPr>
          <w:i/>
        </w:rPr>
        <w:t>Montassa</w:t>
      </w:r>
      <w:proofErr w:type="spellEnd"/>
      <w:r w:rsidR="00FD03EA">
        <w:rPr>
          <w:i/>
        </w:rPr>
        <w:t xml:space="preserve"> </w:t>
      </w:r>
      <w:r>
        <w:t>and the other cases just mentioned.  The Commissioner</w:t>
      </w:r>
      <w:r w:rsidR="0059361E">
        <w:t>’</w:t>
      </w:r>
      <w:r>
        <w:t xml:space="preserve">s application has been brought after her investigation of approximately two years, which has included the use of </w:t>
      </w:r>
      <w:r w:rsidR="0009286A">
        <w:t xml:space="preserve">investigative and </w:t>
      </w:r>
      <w:r>
        <w:t xml:space="preserve">coercive powers available under the </w:t>
      </w:r>
      <w:r w:rsidRPr="00F73B46">
        <w:rPr>
          <w:i/>
        </w:rPr>
        <w:t>Privacy Act</w:t>
      </w:r>
      <w:r w:rsidRPr="0009286A">
        <w:t>.</w:t>
      </w:r>
      <w:r>
        <w:t xml:space="preserve">  Accordingly, the Commissioner is not in the same position as the litigants to whom the observations of </w:t>
      </w:r>
      <w:proofErr w:type="spellStart"/>
      <w:r w:rsidR="009839BA">
        <w:t>Heerey</w:t>
      </w:r>
      <w:proofErr w:type="spellEnd"/>
      <w:r w:rsidR="00B8678F">
        <w:t>,</w:t>
      </w:r>
      <w:r>
        <w:t xml:space="preserve"> </w:t>
      </w:r>
      <w:proofErr w:type="spellStart"/>
      <w:r>
        <w:t>Carr</w:t>
      </w:r>
      <w:proofErr w:type="spellEnd"/>
      <w:r>
        <w:t xml:space="preserve"> </w:t>
      </w:r>
      <w:r w:rsidR="00B8678F">
        <w:t>and Bennett J</w:t>
      </w:r>
      <w:r>
        <w:t xml:space="preserve">J were directed.  </w:t>
      </w:r>
    </w:p>
    <w:p w14:paraId="7A76556E" w14:textId="4F060825" w:rsidR="00861A6D" w:rsidRDefault="00FD03EA" w:rsidP="00F73B46">
      <w:pPr>
        <w:pStyle w:val="ParaNumbering"/>
      </w:pPr>
      <w:r>
        <w:t xml:space="preserve">That proposition can be accepted.  The weight to be attributed to evidence, and whether an inference should be drawn in the absence of direct evidence on an issue, is affected by the capacity of the party to adduce evidence on the issue: </w:t>
      </w:r>
      <w:proofErr w:type="spellStart"/>
      <w:r w:rsidRPr="00FD03EA">
        <w:rPr>
          <w:i/>
        </w:rPr>
        <w:t>Blatch</w:t>
      </w:r>
      <w:proofErr w:type="spellEnd"/>
      <w:r w:rsidRPr="00FD03EA">
        <w:rPr>
          <w:i/>
        </w:rPr>
        <w:t xml:space="preserve"> v Archer</w:t>
      </w:r>
      <w:r w:rsidRPr="00E20237">
        <w:t xml:space="preserve"> (1774) 1 </w:t>
      </w:r>
      <w:proofErr w:type="spellStart"/>
      <w:r w:rsidRPr="00E20237">
        <w:t>Cowp</w:t>
      </w:r>
      <w:proofErr w:type="spellEnd"/>
      <w:r w:rsidRPr="00E20237">
        <w:t xml:space="preserve"> 63</w:t>
      </w:r>
      <w:r>
        <w:t xml:space="preserve">.  I approach the matter on the basis that the Commissioner has a greater capacity to adduce evidence in respect of the relevant issues than was the position of the litigants in </w:t>
      </w:r>
      <w:proofErr w:type="spellStart"/>
      <w:r w:rsidRPr="00FD03EA">
        <w:rPr>
          <w:i/>
          <w:iCs/>
        </w:rPr>
        <w:t>Merpro</w:t>
      </w:r>
      <w:proofErr w:type="spellEnd"/>
      <w:r w:rsidRPr="00FD03EA">
        <w:rPr>
          <w:i/>
          <w:iCs/>
        </w:rPr>
        <w:t xml:space="preserve"> </w:t>
      </w:r>
      <w:proofErr w:type="spellStart"/>
      <w:r w:rsidRPr="00FD03EA">
        <w:rPr>
          <w:i/>
          <w:iCs/>
        </w:rPr>
        <w:t>Montassa</w:t>
      </w:r>
      <w:proofErr w:type="spellEnd"/>
      <w:r w:rsidRPr="00FD03EA">
        <w:rPr>
          <w:iCs/>
        </w:rPr>
        <w:t xml:space="preserve">, </w:t>
      </w:r>
      <w:r w:rsidRPr="00FD03EA">
        <w:rPr>
          <w:i/>
          <w:iCs/>
        </w:rPr>
        <w:t>Bray</w:t>
      </w:r>
      <w:r w:rsidR="005A47DC">
        <w:rPr>
          <w:i/>
          <w:iCs/>
        </w:rPr>
        <w:t xml:space="preserve"> FCAFC</w:t>
      </w:r>
      <w:r w:rsidRPr="00FD03EA">
        <w:rPr>
          <w:i/>
          <w:iCs/>
        </w:rPr>
        <w:t xml:space="preserve"> </w:t>
      </w:r>
      <w:r w:rsidRPr="00FD03EA">
        <w:rPr>
          <w:iCs/>
        </w:rPr>
        <w:t xml:space="preserve">and </w:t>
      </w:r>
      <w:proofErr w:type="spellStart"/>
      <w:r w:rsidRPr="00FD03EA">
        <w:rPr>
          <w:i/>
          <w:iCs/>
        </w:rPr>
        <w:t>Apotex</w:t>
      </w:r>
      <w:proofErr w:type="spellEnd"/>
      <w:r w:rsidRPr="00FD03EA">
        <w:rPr>
          <w:iCs/>
        </w:rPr>
        <w:t xml:space="preserve">.  Nevertheless, the question is being asked at the outset of the proceedings for the limited purpose of determining whether </w:t>
      </w:r>
      <w:r w:rsidR="0009286A" w:rsidRPr="00FD03EA">
        <w:rPr>
          <w:iCs/>
        </w:rPr>
        <w:t xml:space="preserve">to set aside an order granting </w:t>
      </w:r>
      <w:r w:rsidRPr="00FD03EA">
        <w:rPr>
          <w:iCs/>
        </w:rPr>
        <w:t>leave to serve the originating process out of the jurisdiction.  The proceedings are only at a preliminary stage</w:t>
      </w:r>
      <w:r>
        <w:rPr>
          <w:iCs/>
        </w:rPr>
        <w:t xml:space="preserve">. </w:t>
      </w:r>
      <w:r w:rsidR="004C1E4B">
        <w:rPr>
          <w:iCs/>
        </w:rPr>
        <w:t xml:space="preserve"> </w:t>
      </w:r>
      <w:r>
        <w:rPr>
          <w:iCs/>
        </w:rPr>
        <w:t xml:space="preserve">It is possible that further information may be obtained as </w:t>
      </w:r>
      <w:r w:rsidR="005A47DC">
        <w:rPr>
          <w:iCs/>
        </w:rPr>
        <w:t>a</w:t>
      </w:r>
      <w:r>
        <w:rPr>
          <w:iCs/>
        </w:rPr>
        <w:t xml:space="preserve"> result of Court processes such as discovery and interrogatories or the issuing of subpoenas.  </w:t>
      </w:r>
      <w:r w:rsidR="004C1E4B">
        <w:rPr>
          <w:iCs/>
        </w:rPr>
        <w:t xml:space="preserve">The Commissioner has not filed all of the evidence which would be relied upon in support of her case.  </w:t>
      </w:r>
      <w:r w:rsidR="00E8127C">
        <w:rPr>
          <w:iCs/>
        </w:rPr>
        <w:t xml:space="preserve">As </w:t>
      </w:r>
      <w:proofErr w:type="spellStart"/>
      <w:r w:rsidR="00E8127C">
        <w:rPr>
          <w:iCs/>
        </w:rPr>
        <w:t>Carr</w:t>
      </w:r>
      <w:proofErr w:type="spellEnd"/>
      <w:r w:rsidR="00E8127C">
        <w:rPr>
          <w:iCs/>
        </w:rPr>
        <w:t xml:space="preserve"> J observed in </w:t>
      </w:r>
      <w:r w:rsidR="00E8127C">
        <w:rPr>
          <w:i/>
          <w:iCs/>
        </w:rPr>
        <w:t>Bray</w:t>
      </w:r>
      <w:r w:rsidR="005A47DC">
        <w:rPr>
          <w:i/>
          <w:iCs/>
        </w:rPr>
        <w:t xml:space="preserve"> FCAFC</w:t>
      </w:r>
      <w:r w:rsidR="00B8678F">
        <w:rPr>
          <w:i/>
          <w:iCs/>
        </w:rPr>
        <w:t xml:space="preserve"> </w:t>
      </w:r>
      <w:r w:rsidR="00B8678F">
        <w:rPr>
          <w:iCs/>
        </w:rPr>
        <w:t>at [97]</w:t>
      </w:r>
      <w:r w:rsidR="00E8127C">
        <w:rPr>
          <w:iCs/>
        </w:rPr>
        <w:t xml:space="preserve">, </w:t>
      </w:r>
      <w:r w:rsidR="0059361E">
        <w:rPr>
          <w:iCs/>
        </w:rPr>
        <w:t>“</w:t>
      </w:r>
      <w:r w:rsidR="00E8127C">
        <w:t>[t]he kind of evidence to be adduced should be in proportion to the nature of such an interlocutory issue by way of a mini rather than a mega trial</w:t>
      </w:r>
      <w:r w:rsidR="0059361E">
        <w:t>”</w:t>
      </w:r>
      <w:r w:rsidR="00E8127C">
        <w:t>.</w:t>
      </w:r>
    </w:p>
    <w:p w14:paraId="269E4D52" w14:textId="1F0C13ED" w:rsidR="00F50F53" w:rsidRDefault="00BE3D02" w:rsidP="00565A9A">
      <w:pPr>
        <w:pStyle w:val="ParaNumbering"/>
      </w:pPr>
      <w:r>
        <w:t>As to the drawing of inferences, i</w:t>
      </w:r>
      <w:r w:rsidR="00A83105">
        <w:t xml:space="preserve">n </w:t>
      </w:r>
      <w:proofErr w:type="spellStart"/>
      <w:r w:rsidR="00A83105" w:rsidRPr="00F73B46">
        <w:rPr>
          <w:b/>
          <w:i/>
        </w:rPr>
        <w:t>Carr</w:t>
      </w:r>
      <w:proofErr w:type="spellEnd"/>
      <w:r w:rsidR="00A83105" w:rsidRPr="00BE3D02">
        <w:rPr>
          <w:i/>
        </w:rPr>
        <w:t xml:space="preserve"> v Baker</w:t>
      </w:r>
      <w:r w:rsidR="00A83105" w:rsidRPr="00EB3C97">
        <w:t> (1936) 36 SR</w:t>
      </w:r>
      <w:r w:rsidR="00DF4B40">
        <w:t xml:space="preserve"> </w:t>
      </w:r>
      <w:r w:rsidR="00A83105" w:rsidRPr="00EB3C97">
        <w:t>(NSW) 301 at 306</w:t>
      </w:r>
      <w:r w:rsidR="00A83105">
        <w:t>,</w:t>
      </w:r>
      <w:r w:rsidR="00924C3F">
        <w:t xml:space="preserve"> Jordan CJ stated, </w:t>
      </w:r>
      <w:r w:rsidR="0059361E">
        <w:t>“</w:t>
      </w:r>
      <w:r w:rsidR="00924C3F">
        <w:t>[t]</w:t>
      </w:r>
      <w:r w:rsidR="00924C3F" w:rsidRPr="003E3693">
        <w:t>he</w:t>
      </w:r>
      <w:r w:rsidR="00924C3F" w:rsidRPr="00EB3C97">
        <w:t xml:space="preserve"> existence of a fact may be inferred from other facts when those facts make it reasonably probable that it exists</w:t>
      </w:r>
      <w:r w:rsidR="0059361E">
        <w:t>”</w:t>
      </w:r>
      <w:r w:rsidR="00924C3F">
        <w:t>.</w:t>
      </w:r>
      <w:r w:rsidR="00A83105">
        <w:t xml:space="preserve">  </w:t>
      </w:r>
      <w:r w:rsidR="00F50F53">
        <w:t xml:space="preserve">Jordan CJ also observed that conjecture can range from the barely possible to the quite possible.  Inferences of probability might range from </w:t>
      </w:r>
      <w:r w:rsidR="0059361E">
        <w:t>“</w:t>
      </w:r>
      <w:r w:rsidR="00F50F53">
        <w:t>a mere scintilla o</w:t>
      </w:r>
      <w:r w:rsidR="00A83105">
        <w:t>f</w:t>
      </w:r>
      <w:r w:rsidR="00F50F53">
        <w:t xml:space="preserve"> probability</w:t>
      </w:r>
      <w:r w:rsidR="0059361E">
        <w:t>”</w:t>
      </w:r>
      <w:r w:rsidR="00F50F53">
        <w:t xml:space="preserve"> to one of near </w:t>
      </w:r>
      <w:r w:rsidR="0059361E">
        <w:t>“</w:t>
      </w:r>
      <w:r w:rsidR="00F50F53">
        <w:t>practical certainty</w:t>
      </w:r>
      <w:r w:rsidR="0059361E">
        <w:t>”</w:t>
      </w:r>
      <w:r w:rsidR="00DF4B40">
        <w:t>: at 306</w:t>
      </w:r>
      <w:r w:rsidR="00F50F53">
        <w:t>.  The result is that there is no bright dividing line as to when reasoning crosses from the permissible drawing of inferences to impermissible conjecture.</w:t>
      </w:r>
      <w:r w:rsidR="00937113">
        <w:t xml:space="preserve">  As </w:t>
      </w:r>
      <w:proofErr w:type="spellStart"/>
      <w:r w:rsidR="00937113">
        <w:t>Spigelman</w:t>
      </w:r>
      <w:proofErr w:type="spellEnd"/>
      <w:r w:rsidR="00937113">
        <w:t> </w:t>
      </w:r>
      <w:r w:rsidR="00F50F53">
        <w:t xml:space="preserve">CJ stated in </w:t>
      </w:r>
      <w:proofErr w:type="spellStart"/>
      <w:r w:rsidR="00F50F53" w:rsidRPr="00F73B46">
        <w:rPr>
          <w:b/>
          <w:i/>
        </w:rPr>
        <w:t>Seltsam</w:t>
      </w:r>
      <w:proofErr w:type="spellEnd"/>
      <w:r w:rsidR="00F50F53" w:rsidRPr="00BE3D02">
        <w:rPr>
          <w:i/>
        </w:rPr>
        <w:t xml:space="preserve"> Pty Ltd v McGuiness</w:t>
      </w:r>
      <w:r w:rsidR="00F50F53" w:rsidRPr="00F50F53">
        <w:t xml:space="preserve"> (2000) 49 NSWLR 262</w:t>
      </w:r>
      <w:r w:rsidR="00F50F53">
        <w:t xml:space="preserve"> at [84]:</w:t>
      </w:r>
    </w:p>
    <w:p w14:paraId="2208FF55" w14:textId="77777777" w:rsidR="00F50F53" w:rsidRDefault="00F50F53" w:rsidP="00F50F53">
      <w:pPr>
        <w:pStyle w:val="Quote1"/>
        <w:spacing w:after="0"/>
      </w:pPr>
      <w:r>
        <w:t>It is often difficult to distinguish between permissible inference and conjecture. Characterisation of a reasoning process as one or the other occurs on a continuum in which there is no bright line division. Nevertheless, the distinction exists.</w:t>
      </w:r>
    </w:p>
    <w:p w14:paraId="4E3830BA" w14:textId="77777777" w:rsidR="00F50F53" w:rsidRDefault="00F50F53" w:rsidP="00F50F53">
      <w:pPr>
        <w:pStyle w:val="Quote1"/>
      </w:pPr>
    </w:p>
    <w:p w14:paraId="5CB22909" w14:textId="77777777" w:rsidR="00937113" w:rsidRDefault="00937113" w:rsidP="00937113">
      <w:pPr>
        <w:pStyle w:val="ParaNumbering"/>
      </w:pPr>
      <w:r>
        <w:t xml:space="preserve">Both Jordan CJ in </w:t>
      </w:r>
      <w:proofErr w:type="spellStart"/>
      <w:r>
        <w:rPr>
          <w:i/>
        </w:rPr>
        <w:t>Carr</w:t>
      </w:r>
      <w:proofErr w:type="spellEnd"/>
      <w:r>
        <w:t xml:space="preserve">, and </w:t>
      </w:r>
      <w:proofErr w:type="spellStart"/>
      <w:r>
        <w:t>Spigelman</w:t>
      </w:r>
      <w:proofErr w:type="spellEnd"/>
      <w:r>
        <w:t xml:space="preserve"> CJ in </w:t>
      </w:r>
      <w:proofErr w:type="spellStart"/>
      <w:r>
        <w:rPr>
          <w:i/>
        </w:rPr>
        <w:t>Seltsam</w:t>
      </w:r>
      <w:proofErr w:type="spellEnd"/>
      <w:r>
        <w:t xml:space="preserve">, referred to </w:t>
      </w:r>
      <w:r w:rsidRPr="00F73B46">
        <w:rPr>
          <w:b/>
          <w:i/>
        </w:rPr>
        <w:t>Jones</w:t>
      </w:r>
      <w:r>
        <w:rPr>
          <w:i/>
        </w:rPr>
        <w:t xml:space="preserve"> v Great Western Railway Co</w:t>
      </w:r>
      <w:r>
        <w:t> (1930) 47 TLR 39</w:t>
      </w:r>
      <w:r w:rsidRPr="00937113">
        <w:t xml:space="preserve"> </w:t>
      </w:r>
      <w:r>
        <w:t>at 45, in which Lord Macmillan stated:</w:t>
      </w:r>
    </w:p>
    <w:p w14:paraId="39DD1377" w14:textId="262DC21E" w:rsidR="00937113" w:rsidRDefault="00937113" w:rsidP="00937113">
      <w:pPr>
        <w:pStyle w:val="Quote1"/>
        <w:spacing w:after="0"/>
      </w:pPr>
      <w:r>
        <w:lastRenderedPageBreak/>
        <w:t xml:space="preserve">The dividing line between conjecture and inference is often a very difficult one to draw. A conjecture may be plausible but </w:t>
      </w:r>
      <w:r w:rsidR="00D86EE2">
        <w:t xml:space="preserve">it </w:t>
      </w:r>
      <w:r>
        <w:t>is of no legal value, for its essence is that it is a mere guess. An inference in the legal sense, on the other hand, is a deduction from the evidence, and if it is a reasonable deduction it may have</w:t>
      </w:r>
      <w:r w:rsidR="00D86EE2">
        <w:t xml:space="preserve"> the</w:t>
      </w:r>
      <w:r>
        <w:t xml:space="preserve"> validity </w:t>
      </w:r>
      <w:r w:rsidR="00D86EE2">
        <w:t xml:space="preserve">of </w:t>
      </w:r>
      <w:r>
        <w:t>legal proof. The attribution of an occurrence to a cause is, I take it, always a matter of inference.</w:t>
      </w:r>
    </w:p>
    <w:p w14:paraId="714083DC" w14:textId="77777777" w:rsidR="00937113" w:rsidRDefault="00937113" w:rsidP="00937113">
      <w:pPr>
        <w:pStyle w:val="Quote1"/>
      </w:pPr>
    </w:p>
    <w:p w14:paraId="771A7C2B" w14:textId="301E0E16" w:rsidR="00677EF3" w:rsidRDefault="00BC7091" w:rsidP="008D192B">
      <w:pPr>
        <w:pStyle w:val="ParaNumbering"/>
      </w:pPr>
      <w:r w:rsidRPr="00117587">
        <w:t>Despite the dividing line being difficult to draw</w:t>
      </w:r>
      <w:r w:rsidR="001F4559" w:rsidRPr="00117587">
        <w:t xml:space="preserve">, </w:t>
      </w:r>
      <w:r w:rsidR="00677EF3">
        <w:t xml:space="preserve">there are </w:t>
      </w:r>
      <w:r w:rsidR="001F4559" w:rsidRPr="00117587">
        <w:t>certain matters</w:t>
      </w:r>
      <w:r w:rsidR="00677EF3">
        <w:t xml:space="preserve"> which can be stated:</w:t>
      </w:r>
    </w:p>
    <w:p w14:paraId="2A59C322" w14:textId="1A95EFF6" w:rsidR="00677EF3" w:rsidRDefault="001F4559" w:rsidP="009D5976">
      <w:pPr>
        <w:pStyle w:val="ListNo1"/>
        <w:numPr>
          <w:ilvl w:val="0"/>
          <w:numId w:val="33"/>
        </w:numPr>
      </w:pPr>
      <w:r w:rsidRPr="00117587">
        <w:t xml:space="preserve">First, there can be no inference unless there are objective facts from which to infer the fact which it is sought to establish: </w:t>
      </w:r>
      <w:r w:rsidRPr="00677EF3">
        <w:rPr>
          <w:i/>
        </w:rPr>
        <w:t xml:space="preserve">Caswell v Powell </w:t>
      </w:r>
      <w:proofErr w:type="spellStart"/>
      <w:r w:rsidRPr="00677EF3">
        <w:rPr>
          <w:i/>
        </w:rPr>
        <w:t>Duffryn</w:t>
      </w:r>
      <w:proofErr w:type="spellEnd"/>
      <w:r w:rsidRPr="00677EF3">
        <w:rPr>
          <w:i/>
        </w:rPr>
        <w:t xml:space="preserve"> Associated Collieries</w:t>
      </w:r>
      <w:r w:rsidR="002A6AC3">
        <w:rPr>
          <w:i/>
        </w:rPr>
        <w:t>,</w:t>
      </w:r>
      <w:r w:rsidRPr="00677EF3">
        <w:rPr>
          <w:i/>
        </w:rPr>
        <w:t xml:space="preserve"> L</w:t>
      </w:r>
      <w:r w:rsidR="002A6AC3">
        <w:rPr>
          <w:i/>
        </w:rPr>
        <w:t>imi</w:t>
      </w:r>
      <w:r w:rsidRPr="00677EF3">
        <w:rPr>
          <w:i/>
        </w:rPr>
        <w:t>t</w:t>
      </w:r>
      <w:r w:rsidR="002A6AC3">
        <w:rPr>
          <w:i/>
        </w:rPr>
        <w:t>e</w:t>
      </w:r>
      <w:r w:rsidRPr="00677EF3">
        <w:rPr>
          <w:i/>
        </w:rPr>
        <w:t xml:space="preserve">d </w:t>
      </w:r>
      <w:r w:rsidRPr="00117587">
        <w:t xml:space="preserve">[1940] AC 152 at 169-170; </w:t>
      </w:r>
      <w:proofErr w:type="spellStart"/>
      <w:r w:rsidRPr="00677EF3">
        <w:rPr>
          <w:i/>
        </w:rPr>
        <w:t>Seltsam</w:t>
      </w:r>
      <w:proofErr w:type="spellEnd"/>
      <w:r w:rsidRPr="00117587">
        <w:t xml:space="preserve"> at [87].  </w:t>
      </w:r>
    </w:p>
    <w:p w14:paraId="646C9494" w14:textId="0231FF68" w:rsidR="00677EF3" w:rsidRDefault="001F4559" w:rsidP="009D5976">
      <w:pPr>
        <w:pStyle w:val="ListNo1"/>
        <w:numPr>
          <w:ilvl w:val="0"/>
          <w:numId w:val="33"/>
        </w:numPr>
      </w:pPr>
      <w:r w:rsidRPr="00117587">
        <w:t xml:space="preserve">Secondly, the making of a finding of fact through a process of inference can involve combining facts like strands in a cable or links in a chain: </w:t>
      </w:r>
      <w:proofErr w:type="spellStart"/>
      <w:r w:rsidRPr="00677EF3">
        <w:rPr>
          <w:i/>
        </w:rPr>
        <w:t>Seltsam</w:t>
      </w:r>
      <w:proofErr w:type="spellEnd"/>
      <w:r w:rsidRPr="00677EF3">
        <w:rPr>
          <w:i/>
        </w:rPr>
        <w:t xml:space="preserve"> </w:t>
      </w:r>
      <w:r w:rsidRPr="00117587">
        <w:t>at [91]</w:t>
      </w:r>
      <w:r w:rsidR="00AE76AB" w:rsidRPr="00117587">
        <w:t xml:space="preserve">.  </w:t>
      </w:r>
      <w:r w:rsidR="003144B6">
        <w:t>A</w:t>
      </w:r>
      <w:r w:rsidR="00211713" w:rsidRPr="00117587">
        <w:t xml:space="preserve">n inference </w:t>
      </w:r>
      <w:r w:rsidR="003144B6">
        <w:t xml:space="preserve">can be drawn </w:t>
      </w:r>
      <w:r w:rsidR="00211713" w:rsidRPr="00117587">
        <w:t>on the basis of</w:t>
      </w:r>
      <w:r w:rsidR="003144B6">
        <w:t xml:space="preserve"> circumstantial evidence</w:t>
      </w:r>
      <w:r w:rsidR="00B92E7E" w:rsidRPr="00117587">
        <w:t xml:space="preserve">: </w:t>
      </w:r>
      <w:r w:rsidR="00B92E7E" w:rsidRPr="00677EF3">
        <w:rPr>
          <w:i/>
        </w:rPr>
        <w:t>Rawson Finance</w:t>
      </w:r>
      <w:r w:rsidR="00E16A28">
        <w:rPr>
          <w:i/>
        </w:rPr>
        <w:t>s</w:t>
      </w:r>
      <w:r w:rsidR="00B92E7E" w:rsidRPr="00677EF3">
        <w:rPr>
          <w:i/>
        </w:rPr>
        <w:t xml:space="preserve"> Pty Ltd v Commissioner of Taxation</w:t>
      </w:r>
      <w:r w:rsidR="00B92E7E" w:rsidRPr="00117587">
        <w:t xml:space="preserve"> (2013) 296 ALR 307 at [88] </w:t>
      </w:r>
      <w:r w:rsidR="00E16A28">
        <w:t xml:space="preserve">per </w:t>
      </w:r>
      <w:r w:rsidR="00B92E7E" w:rsidRPr="00117587">
        <w:t>Jagot J</w:t>
      </w:r>
      <w:r w:rsidR="00211713" w:rsidRPr="00117587">
        <w:t xml:space="preserve">; </w:t>
      </w:r>
      <w:proofErr w:type="spellStart"/>
      <w:r w:rsidR="00211713" w:rsidRPr="00677EF3">
        <w:rPr>
          <w:i/>
        </w:rPr>
        <w:t>Seltsam</w:t>
      </w:r>
      <w:proofErr w:type="spellEnd"/>
      <w:r w:rsidR="00211713" w:rsidRPr="00117587">
        <w:t xml:space="preserve"> at [90]</w:t>
      </w:r>
      <w:r w:rsidR="00B92E7E" w:rsidRPr="00117587">
        <w:t xml:space="preserve">.  </w:t>
      </w:r>
    </w:p>
    <w:p w14:paraId="530F81A3" w14:textId="7561853C" w:rsidR="00B92E7E" w:rsidRDefault="00B92E7E" w:rsidP="009D5976">
      <w:pPr>
        <w:pStyle w:val="ListNo1"/>
        <w:numPr>
          <w:ilvl w:val="0"/>
          <w:numId w:val="33"/>
        </w:numPr>
      </w:pPr>
      <w:r w:rsidRPr="00117587">
        <w:t xml:space="preserve">Thirdly, where it is the civil standard of the balance of probabilities that applies, the inference cannot be drawn if the evidence only establishes a possibility; the inference can only be drawn if the evidence establishes that the inferred fact is more probable than not: </w:t>
      </w:r>
      <w:proofErr w:type="spellStart"/>
      <w:r w:rsidRPr="00677EF3">
        <w:rPr>
          <w:i/>
        </w:rPr>
        <w:t>Seltsam</w:t>
      </w:r>
      <w:proofErr w:type="spellEnd"/>
      <w:r w:rsidRPr="00117587">
        <w:t xml:space="preserve"> at [80].  </w:t>
      </w:r>
    </w:p>
    <w:p w14:paraId="394149D4" w14:textId="531FF2B3" w:rsidR="00E8127C" w:rsidRDefault="003144B6" w:rsidP="00E8127C">
      <w:pPr>
        <w:pStyle w:val="ParaNumbering"/>
      </w:pPr>
      <w:r>
        <w:t xml:space="preserve">It is important to appreciate that the observations in </w:t>
      </w:r>
      <w:r>
        <w:rPr>
          <w:i/>
        </w:rPr>
        <w:t>Jones</w:t>
      </w:r>
      <w:r>
        <w:t xml:space="preserve"> and in </w:t>
      </w:r>
      <w:proofErr w:type="spellStart"/>
      <w:r>
        <w:rPr>
          <w:i/>
        </w:rPr>
        <w:t>Seltsam</w:t>
      </w:r>
      <w:proofErr w:type="spellEnd"/>
      <w:r>
        <w:t xml:space="preserve"> were made in the context of whether an inference of causation could be drawn from the facts established </w:t>
      </w:r>
      <w:r w:rsidR="0009286A">
        <w:t>after a fully contested</w:t>
      </w:r>
      <w:r>
        <w:t xml:space="preserve"> trial.  </w:t>
      </w:r>
      <w:r w:rsidR="00E8127C">
        <w:t xml:space="preserve">The observation that inferences might be drawn more readily in the present context </w:t>
      </w:r>
      <w:r>
        <w:t>(</w:t>
      </w:r>
      <w:proofErr w:type="spellStart"/>
      <w:r>
        <w:rPr>
          <w:i/>
        </w:rPr>
        <w:t>Merpro</w:t>
      </w:r>
      <w:proofErr w:type="spellEnd"/>
      <w:r>
        <w:rPr>
          <w:i/>
        </w:rPr>
        <w:t xml:space="preserve"> </w:t>
      </w:r>
      <w:proofErr w:type="spellStart"/>
      <w:r>
        <w:rPr>
          <w:i/>
        </w:rPr>
        <w:t>Montassa</w:t>
      </w:r>
      <w:proofErr w:type="spellEnd"/>
      <w:r>
        <w:rPr>
          <w:i/>
        </w:rPr>
        <w:t xml:space="preserve"> </w:t>
      </w:r>
      <w:r>
        <w:t xml:space="preserve">at </w:t>
      </w:r>
      <w:r w:rsidR="00F364F2">
        <w:t>390</w:t>
      </w:r>
      <w:r>
        <w:t xml:space="preserve">; </w:t>
      </w:r>
      <w:r>
        <w:rPr>
          <w:i/>
        </w:rPr>
        <w:t>Bray</w:t>
      </w:r>
      <w:r w:rsidR="005A47DC">
        <w:rPr>
          <w:i/>
        </w:rPr>
        <w:t xml:space="preserve"> FCAFC</w:t>
      </w:r>
      <w:r>
        <w:rPr>
          <w:i/>
        </w:rPr>
        <w:t xml:space="preserve"> </w:t>
      </w:r>
      <w:r>
        <w:t xml:space="preserve">at [97]; compare </w:t>
      </w:r>
      <w:proofErr w:type="spellStart"/>
      <w:r>
        <w:rPr>
          <w:i/>
        </w:rPr>
        <w:t>Apotex</w:t>
      </w:r>
      <w:proofErr w:type="spellEnd"/>
      <w:r>
        <w:t xml:space="preserve"> at [18]) </w:t>
      </w:r>
      <w:r w:rsidR="00E8127C">
        <w:t>recognises that the question is being asked at the commencement of proceedings in an interlocutory context</w:t>
      </w:r>
      <w:r>
        <w:t xml:space="preserve"> where the question is whether a </w:t>
      </w:r>
      <w:r w:rsidRPr="00F73B46">
        <w:t>prima facie</w:t>
      </w:r>
      <w:r>
        <w:t xml:space="preserve"> case has been established sufficiently to warrant subjecting the proposed respondent to litigation in Australia</w:t>
      </w:r>
      <w:r w:rsidR="00BB351C">
        <w:t xml:space="preserve">: </w:t>
      </w:r>
      <w:r w:rsidR="00BB351C">
        <w:rPr>
          <w:i/>
        </w:rPr>
        <w:t>Tiger Yacht</w:t>
      </w:r>
      <w:r w:rsidR="00BB351C">
        <w:t xml:space="preserve"> at [46]</w:t>
      </w:r>
      <w:r w:rsidR="00E8127C">
        <w:t xml:space="preserve">. </w:t>
      </w:r>
    </w:p>
    <w:p w14:paraId="48784C9D" w14:textId="55E4D97D" w:rsidR="00E20A82" w:rsidRDefault="004D6C0E" w:rsidP="00625234">
      <w:pPr>
        <w:pStyle w:val="Heading2"/>
      </w:pPr>
      <w:r>
        <w:t xml:space="preserve">C.4  </w:t>
      </w:r>
      <w:r w:rsidR="00625234">
        <w:t>Carrying on business</w:t>
      </w:r>
    </w:p>
    <w:p w14:paraId="4A1FF934" w14:textId="5B355EE7" w:rsidR="00625234" w:rsidRDefault="00625234" w:rsidP="00C03B5B">
      <w:pPr>
        <w:pStyle w:val="ParaNumbering"/>
      </w:pPr>
      <w:r>
        <w:t xml:space="preserve">In </w:t>
      </w:r>
      <w:r>
        <w:rPr>
          <w:i/>
        </w:rPr>
        <w:t>Tiger Yacht</w:t>
      </w:r>
      <w:r>
        <w:t xml:space="preserve"> at [50], the Full Court observed that the expression </w:t>
      </w:r>
      <w:r w:rsidR="0059361E">
        <w:t>“</w:t>
      </w:r>
      <w:r>
        <w:t>carrying on business</w:t>
      </w:r>
      <w:r w:rsidR="0059361E">
        <w:t>”</w:t>
      </w:r>
      <w:r>
        <w:t xml:space="preserve"> may have </w:t>
      </w:r>
      <w:r w:rsidR="006053A9">
        <w:t xml:space="preserve">a </w:t>
      </w:r>
      <w:r>
        <w:t>different meaning in different contexts and that, where used to ensure jurisdictional nexus, the meaning will be informed by the requirement for there to be sufficient connection with the country asserting jurisdiction.  The Full Court said:</w:t>
      </w:r>
    </w:p>
    <w:p w14:paraId="47A81562" w14:textId="1326CC2D" w:rsidR="00625234" w:rsidRDefault="00625234" w:rsidP="00214B65">
      <w:pPr>
        <w:pStyle w:val="Quote1"/>
        <w:widowControl/>
      </w:pPr>
      <w:r>
        <w:t xml:space="preserve">The expression </w:t>
      </w:r>
      <w:r w:rsidR="0059361E">
        <w:t>“</w:t>
      </w:r>
      <w:r>
        <w:t>carrying on business</w:t>
      </w:r>
      <w:r w:rsidR="0059361E">
        <w:t>”</w:t>
      </w:r>
      <w:r>
        <w:t xml:space="preserve"> may have different meanings in different contexts: </w:t>
      </w:r>
      <w:proofErr w:type="spellStart"/>
      <w:r w:rsidRPr="00625234">
        <w:rPr>
          <w:i/>
        </w:rPr>
        <w:t>Luckins</w:t>
      </w:r>
      <w:proofErr w:type="spellEnd"/>
      <w:r w:rsidRPr="00625234">
        <w:rPr>
          <w:i/>
        </w:rPr>
        <w:t xml:space="preserve"> v Highway Motel (Carnarvon) Pty Ltd</w:t>
      </w:r>
      <w:r>
        <w:t xml:space="preserve"> (1975) 133 CLR 164 at 178 (Gibbs J). So, care must be taken to understand the context in which the requirement </w:t>
      </w:r>
      <w:r>
        <w:lastRenderedPageBreak/>
        <w:t xml:space="preserve">is being considered. However, when used to ensure a jurisdictional nexus as a matter of comity it will have a meaning informed by the requirement to ensure there is sufficient connection with the country asserting jurisdiction. It requires resort to the usual or ordinary meaning of the phrase and invites a factual inquiry. As the Court said in </w:t>
      </w:r>
      <w:r w:rsidRPr="00625234">
        <w:rPr>
          <w:i/>
        </w:rPr>
        <w:t>Anchorage Capital Partners Pty Ltd v ACPA Pty Ltd</w:t>
      </w:r>
      <w:r>
        <w:t xml:space="preserve"> (2018) 259 FCR 514 at [99]:</w:t>
      </w:r>
    </w:p>
    <w:p w14:paraId="1649341C" w14:textId="77777777" w:rsidR="00625234" w:rsidRDefault="00625234" w:rsidP="00625234">
      <w:pPr>
        <w:pStyle w:val="Quote2"/>
        <w:spacing w:after="0"/>
      </w:pPr>
      <w:r>
        <w:t xml:space="preserve">Whether a company is carrying on business in Australia is a question of fact: </w:t>
      </w:r>
      <w:proofErr w:type="spellStart"/>
      <w:r w:rsidRPr="00625234">
        <w:rPr>
          <w:i/>
        </w:rPr>
        <w:t>Luckins</w:t>
      </w:r>
      <w:proofErr w:type="spellEnd"/>
      <w:r w:rsidRPr="00625234">
        <w:rPr>
          <w:i/>
        </w:rPr>
        <w:t xml:space="preserve"> (Receiver &amp; Manager of Australian </w:t>
      </w:r>
      <w:proofErr w:type="spellStart"/>
      <w:r w:rsidRPr="00625234">
        <w:rPr>
          <w:i/>
        </w:rPr>
        <w:t>Trailways</w:t>
      </w:r>
      <w:proofErr w:type="spellEnd"/>
      <w:r w:rsidRPr="00625234">
        <w:rPr>
          <w:i/>
        </w:rPr>
        <w:t xml:space="preserve"> Pty Ltd) v Highway Motel (Carnarvon) Pty Ltd</w:t>
      </w:r>
      <w:r>
        <w:t xml:space="preserve"> (1975) 133 CLR 164 at 186. While it is correct to say that a company may be found to carry on business in Australia even though it does not maintain an office in Australia or the bulk of its business is carried on outside Australia, it does not follow that such a company will be found to carry on business in Australia merely because it has engaged in a small number of isolated transactions. Each case will depend on its own facts. </w:t>
      </w:r>
    </w:p>
    <w:p w14:paraId="1160D20B" w14:textId="77777777" w:rsidR="00625234" w:rsidRDefault="00625234" w:rsidP="00625234">
      <w:pPr>
        <w:pStyle w:val="Quote2"/>
      </w:pPr>
    </w:p>
    <w:p w14:paraId="38E1EE5C" w14:textId="0BAEA688" w:rsidR="00565A9A" w:rsidRDefault="00067953" w:rsidP="00565A9A">
      <w:pPr>
        <w:pStyle w:val="ParaNumbering"/>
      </w:pPr>
      <w:r>
        <w:t xml:space="preserve">In </w:t>
      </w:r>
      <w:r w:rsidRPr="00565A9A">
        <w:rPr>
          <w:i/>
        </w:rPr>
        <w:t>Tiger Yacht</w:t>
      </w:r>
      <w:r>
        <w:t xml:space="preserve">, the question arose because relief could only granted if the relevant entity was a Pt 5.7 body within the meaning of s 9 of the </w:t>
      </w:r>
      <w:r w:rsidRPr="00565A9A">
        <w:rPr>
          <w:i/>
        </w:rPr>
        <w:t xml:space="preserve">Corporations Act 2001 </w:t>
      </w:r>
      <w:r>
        <w:t>(</w:t>
      </w:r>
      <w:proofErr w:type="spellStart"/>
      <w:r>
        <w:t>Cth</w:t>
      </w:r>
      <w:proofErr w:type="spellEnd"/>
      <w:r>
        <w:t xml:space="preserve">) which would be established if it was a foreign company carrying on business in Australia.  </w:t>
      </w:r>
      <w:r w:rsidR="00565A9A">
        <w:t xml:space="preserve">If the foreign company did not carry on business in Australia, there would not be a sufficient jurisdictional nexus to justify applying the </w:t>
      </w:r>
      <w:r w:rsidR="00565A9A" w:rsidRPr="00565A9A">
        <w:rPr>
          <w:i/>
        </w:rPr>
        <w:t xml:space="preserve">Corporations Act 2001 </w:t>
      </w:r>
      <w:r w:rsidR="00565A9A">
        <w:t>(</w:t>
      </w:r>
      <w:proofErr w:type="spellStart"/>
      <w:r w:rsidR="00565A9A">
        <w:t>Cth</w:t>
      </w:r>
      <w:proofErr w:type="spellEnd"/>
      <w:r w:rsidR="00565A9A">
        <w:t xml:space="preserve">), a law of Australia, to the foreign company.  </w:t>
      </w:r>
    </w:p>
    <w:p w14:paraId="0490F7C0" w14:textId="633E4C06" w:rsidR="00565A9A" w:rsidRDefault="00BB351C" w:rsidP="00565A9A">
      <w:pPr>
        <w:pStyle w:val="ParaNumbering"/>
      </w:pPr>
      <w:r>
        <w:t>A</w:t>
      </w:r>
      <w:r w:rsidR="00E8127C">
        <w:t xml:space="preserve">s in </w:t>
      </w:r>
      <w:r w:rsidR="00E8127C" w:rsidRPr="00565A9A">
        <w:rPr>
          <w:i/>
        </w:rPr>
        <w:t>Tiger Yacht</w:t>
      </w:r>
      <w:r w:rsidR="00E8127C">
        <w:t>,</w:t>
      </w:r>
      <w:r w:rsidR="00FB7B79">
        <w:t xml:space="preserve"> the question whether the Commissioner has established a prima facie case that Facebook </w:t>
      </w:r>
      <w:proofErr w:type="spellStart"/>
      <w:r w:rsidR="00FB7B79">
        <w:t>Inc</w:t>
      </w:r>
      <w:proofErr w:type="spellEnd"/>
      <w:r w:rsidR="00FB7B79">
        <w:t xml:space="preserve"> carries on business in Australia arises</w:t>
      </w:r>
      <w:r w:rsidR="00E8127C">
        <w:t xml:space="preserve"> because it is one requirement necessary</w:t>
      </w:r>
      <w:r w:rsidR="00BE3D02">
        <w:t xml:space="preserve"> to establish jurisdictional nexus</w:t>
      </w:r>
      <w:r w:rsidR="00067953">
        <w:t xml:space="preserve">.  </w:t>
      </w:r>
      <w:r w:rsidR="00565A9A">
        <w:t>T</w:t>
      </w:r>
      <w:r w:rsidR="00067953">
        <w:t xml:space="preserve">he </w:t>
      </w:r>
      <w:r w:rsidR="00446A33">
        <w:t>overall</w:t>
      </w:r>
      <w:r w:rsidR="00565A9A">
        <w:t xml:space="preserve"> </w:t>
      </w:r>
      <w:r w:rsidR="00067953">
        <w:t>statutory context is</w:t>
      </w:r>
      <w:r w:rsidR="00446A33">
        <w:t>, however,</w:t>
      </w:r>
      <w:r w:rsidR="00067953">
        <w:t xml:space="preserve"> different to that in </w:t>
      </w:r>
      <w:r w:rsidR="00067953" w:rsidRPr="00565A9A">
        <w:rPr>
          <w:i/>
        </w:rPr>
        <w:t>Tiger Yacht</w:t>
      </w:r>
      <w:r w:rsidR="00067953">
        <w:t xml:space="preserve">.  </w:t>
      </w:r>
      <w:r w:rsidR="00446A33">
        <w:t xml:space="preserve">The present context is the application of Australian privacy laws to foreign entities rather than the application of Australian corporate regulation on foreign corporations.  </w:t>
      </w:r>
      <w:r w:rsidR="00565A9A">
        <w:t xml:space="preserve">The </w:t>
      </w:r>
      <w:r w:rsidR="00446A33">
        <w:t>present statutory</w:t>
      </w:r>
      <w:r w:rsidR="00565A9A">
        <w:t xml:space="preserve"> context includes the object of protecting the privacy of individuals and the responsible handling of personal information collected from individuals in Australia.  Section 2A of the </w:t>
      </w:r>
      <w:r w:rsidR="00565A9A" w:rsidRPr="00565A9A">
        <w:rPr>
          <w:i/>
        </w:rPr>
        <w:t>Privacy Act</w:t>
      </w:r>
      <w:r w:rsidR="00565A9A">
        <w:t xml:space="preserve"> identified the following as express statutory objects:</w:t>
      </w:r>
    </w:p>
    <w:p w14:paraId="487D40D0" w14:textId="77777777" w:rsidR="00565A9A" w:rsidRPr="002C740F" w:rsidRDefault="00565A9A" w:rsidP="00446A33">
      <w:pPr>
        <w:pStyle w:val="Quote1"/>
        <w:keepNext/>
        <w:widowControl/>
        <w:rPr>
          <w:b/>
        </w:rPr>
      </w:pPr>
      <w:r w:rsidRPr="002C740F">
        <w:rPr>
          <w:b/>
        </w:rPr>
        <w:t>2A  Objects of this Act</w:t>
      </w:r>
    </w:p>
    <w:p w14:paraId="082C5105" w14:textId="77777777" w:rsidR="00565A9A" w:rsidRDefault="00565A9A" w:rsidP="0009286A">
      <w:pPr>
        <w:pStyle w:val="Quote1"/>
        <w:widowControl/>
      </w:pPr>
      <w:r>
        <w:t>The objects of this Act are:</w:t>
      </w:r>
    </w:p>
    <w:p w14:paraId="272CDE0C" w14:textId="77777777" w:rsidR="00565A9A" w:rsidRDefault="00565A9A" w:rsidP="0009286A">
      <w:pPr>
        <w:pStyle w:val="Quote1"/>
        <w:widowControl/>
      </w:pPr>
      <w:r>
        <w:t>(a)</w:t>
      </w:r>
      <w:r>
        <w:tab/>
        <w:t>to promote the protection of the privacy of individuals; and</w:t>
      </w:r>
    </w:p>
    <w:p w14:paraId="7F4F32CB" w14:textId="77777777" w:rsidR="00565A9A" w:rsidRDefault="00565A9A" w:rsidP="0009286A">
      <w:pPr>
        <w:pStyle w:val="Quote1"/>
        <w:widowControl/>
        <w:ind w:left="1440" w:hanging="703"/>
      </w:pPr>
      <w:r>
        <w:t>(b)</w:t>
      </w:r>
      <w:r>
        <w:tab/>
        <w:t>to recognise that the protection of the privacy of individuals is balanced with the interests of entities in carrying out their functions or activities; and</w:t>
      </w:r>
    </w:p>
    <w:p w14:paraId="1C5C9E0B" w14:textId="77777777" w:rsidR="00565A9A" w:rsidRDefault="00565A9A" w:rsidP="0009286A">
      <w:pPr>
        <w:pStyle w:val="Quote1"/>
        <w:widowControl/>
        <w:ind w:left="1440" w:hanging="703"/>
      </w:pPr>
      <w:r>
        <w:t>…</w:t>
      </w:r>
    </w:p>
    <w:p w14:paraId="2827CF0F" w14:textId="77777777" w:rsidR="00565A9A" w:rsidRDefault="00565A9A" w:rsidP="0009286A">
      <w:pPr>
        <w:pStyle w:val="Quote1"/>
        <w:widowControl/>
        <w:ind w:left="1440" w:hanging="703"/>
      </w:pPr>
      <w:r>
        <w:t xml:space="preserve">(d)  </w:t>
      </w:r>
      <w:r>
        <w:tab/>
        <w:t>to promote responsible and transparent handling of personal information by entities; and</w:t>
      </w:r>
    </w:p>
    <w:p w14:paraId="1A3F3BBB" w14:textId="77777777" w:rsidR="00565A9A" w:rsidRDefault="00565A9A" w:rsidP="0009286A">
      <w:pPr>
        <w:pStyle w:val="Quote1"/>
        <w:widowControl/>
        <w:ind w:left="1440" w:hanging="703"/>
      </w:pPr>
      <w:r>
        <w:t>…</w:t>
      </w:r>
    </w:p>
    <w:p w14:paraId="06E34124" w14:textId="77777777" w:rsidR="00565A9A" w:rsidRDefault="00565A9A" w:rsidP="0009286A">
      <w:pPr>
        <w:pStyle w:val="Quote1"/>
        <w:widowControl/>
        <w:ind w:left="1440" w:hanging="703"/>
      </w:pPr>
      <w:r>
        <w:lastRenderedPageBreak/>
        <w:t xml:space="preserve">(f)  </w:t>
      </w:r>
      <w:r>
        <w:tab/>
        <w:t>to facilitate the free flow of information across national borders while ensuring that the privacy of individuals is respected; and</w:t>
      </w:r>
    </w:p>
    <w:p w14:paraId="5746AB23" w14:textId="77777777" w:rsidR="00565A9A" w:rsidRDefault="00565A9A" w:rsidP="0009286A">
      <w:pPr>
        <w:pStyle w:val="Quote1"/>
        <w:widowControl/>
        <w:ind w:left="1440" w:hanging="703"/>
      </w:pPr>
      <w:r>
        <w:t xml:space="preserve">(g)  </w:t>
      </w:r>
      <w:r>
        <w:tab/>
        <w:t>to provide a means for individuals to complain about an alleged interference with their privacy; and</w:t>
      </w:r>
    </w:p>
    <w:p w14:paraId="4D204C3C" w14:textId="36B91EF5" w:rsidR="00565A9A" w:rsidRDefault="00565A9A" w:rsidP="0009286A">
      <w:pPr>
        <w:pStyle w:val="Quote1"/>
        <w:widowControl/>
        <w:spacing w:after="0"/>
      </w:pPr>
      <w:r>
        <w:t xml:space="preserve">(h)  </w:t>
      </w:r>
      <w:r>
        <w:tab/>
        <w:t>to implement Australia</w:t>
      </w:r>
      <w:r w:rsidR="0059361E">
        <w:t>’</w:t>
      </w:r>
      <w:r>
        <w:t>s international obligation in relation to privacy.</w:t>
      </w:r>
    </w:p>
    <w:p w14:paraId="6B197090" w14:textId="77777777" w:rsidR="00565A9A" w:rsidRDefault="00565A9A" w:rsidP="00565A9A">
      <w:pPr>
        <w:pStyle w:val="Quote1"/>
      </w:pPr>
    </w:p>
    <w:p w14:paraId="63781269" w14:textId="272C14C0" w:rsidR="00565A9A" w:rsidRDefault="00565A9A" w:rsidP="00565A9A">
      <w:pPr>
        <w:pStyle w:val="ParaNumbering"/>
      </w:pPr>
      <w:bookmarkStart w:id="22" w:name="_Ref50134210"/>
      <w:r>
        <w:t xml:space="preserve">The Commissioner placed particular reliance on the Explanatory Memorandum to the </w:t>
      </w:r>
      <w:r w:rsidRPr="00565A9A">
        <w:rPr>
          <w:i/>
        </w:rPr>
        <w:t>Privacy Amendment (Enhancing Privacy Protection) Bill 2012</w:t>
      </w:r>
      <w:r>
        <w:t xml:space="preserve"> (</w:t>
      </w:r>
      <w:proofErr w:type="spellStart"/>
      <w:r>
        <w:t>Cth</w:t>
      </w:r>
      <w:proofErr w:type="spellEnd"/>
      <w:r>
        <w:t xml:space="preserve">), which </w:t>
      </w:r>
      <w:r w:rsidR="00EE4CBF">
        <w:t>amended</w:t>
      </w:r>
      <w:r>
        <w:t xml:space="preserve"> s 5B </w:t>
      </w:r>
      <w:r w:rsidR="00EE4CBF">
        <w:t xml:space="preserve">of </w:t>
      </w:r>
      <w:r>
        <w:t xml:space="preserve">the </w:t>
      </w:r>
      <w:r w:rsidRPr="00565A9A">
        <w:rPr>
          <w:i/>
        </w:rPr>
        <w:t>Privacy Act</w:t>
      </w:r>
      <w:r>
        <w:t>.  It included a statement that paras (b) (carries on business) and (c) (collect or hold personal information) of s 5B(3) were intended to capture entities based outside of and with no physical presence in Australia which collect information from individuals in Australia via a website hosted outside of Australia.  The Explanatory Memorandum included (emphasis added):</w:t>
      </w:r>
      <w:bookmarkEnd w:id="22"/>
    </w:p>
    <w:p w14:paraId="10672A07" w14:textId="77777777" w:rsidR="00565A9A" w:rsidRPr="00A1442C" w:rsidRDefault="00565A9A" w:rsidP="00565A9A">
      <w:pPr>
        <w:pStyle w:val="Quote1"/>
        <w:keepNext/>
        <w:rPr>
          <w:b/>
        </w:rPr>
      </w:pPr>
      <w:bookmarkStart w:id="23" w:name="_bookmark0"/>
      <w:bookmarkEnd w:id="23"/>
      <w:r w:rsidRPr="00A1442C">
        <w:rPr>
          <w:b/>
        </w:rPr>
        <w:t>Item 6 Subsection 5B(3)</w:t>
      </w:r>
    </w:p>
    <w:p w14:paraId="60C406E3" w14:textId="4F7062DE" w:rsidR="00565A9A" w:rsidRDefault="00565A9A" w:rsidP="00565A9A">
      <w:pPr>
        <w:pStyle w:val="Quote1"/>
      </w:pPr>
      <w:r>
        <w:t xml:space="preserve">Item 6 will amend subsection 5B(3) by rephrasing the opening of the subsection and inserting a reference to the new term </w:t>
      </w:r>
      <w:r w:rsidR="0059361E">
        <w:t>‘</w:t>
      </w:r>
      <w:r>
        <w:t>Australian link</w:t>
      </w:r>
      <w:r w:rsidR="0059361E">
        <w:t>’</w:t>
      </w:r>
      <w:r>
        <w:t>. This will clarify that the subsection lists additional connections with Australia which would be a sufficient link for the Privacy Act to operate extra-territorially in relation to organisations and small business operators under subsection 5B(1A).</w:t>
      </w:r>
    </w:p>
    <w:p w14:paraId="5B492315" w14:textId="19211B48" w:rsidR="00565A9A" w:rsidRDefault="00565A9A" w:rsidP="00565A9A">
      <w:pPr>
        <w:pStyle w:val="Quote1"/>
      </w:pPr>
      <w:r>
        <w:t xml:space="preserve">The collection of personal information </w:t>
      </w:r>
      <w:r w:rsidR="0059361E">
        <w:t>‘</w:t>
      </w:r>
      <w:r>
        <w:t>in Australia</w:t>
      </w:r>
      <w:r w:rsidR="0059361E">
        <w:t>’</w:t>
      </w:r>
      <w:r>
        <w:t xml:space="preserve"> under paragraph 5B(3)(c) includes the collection of personal information from an individual who is physically within the borders of Australia or an external territory, by an overseas entity.</w:t>
      </w:r>
    </w:p>
    <w:p w14:paraId="1FD3B6B2" w14:textId="26B1CC20" w:rsidR="00565A9A" w:rsidRDefault="00565A9A" w:rsidP="00565A9A">
      <w:pPr>
        <w:pStyle w:val="Quote1"/>
        <w:spacing w:after="0"/>
      </w:pPr>
      <w:r>
        <w:t xml:space="preserve">For example, a collection is taken to have occurred </w:t>
      </w:r>
      <w:r w:rsidR="0059361E">
        <w:t>‘</w:t>
      </w:r>
      <w:r>
        <w:t>in Australia</w:t>
      </w:r>
      <w:r w:rsidR="0059361E">
        <w:t>’</w:t>
      </w:r>
      <w:r>
        <w:t xml:space="preserve"> where an individual is physically located in Australia or an external Territory, and information is collected from that individual via a website, and the website is hosted outside of Australia, and owned by a foreign company that is based outside of Australia and that is not incorporated in Australia.  </w:t>
      </w:r>
      <w:r w:rsidRPr="009823E3">
        <w:rPr>
          <w:b/>
        </w:rPr>
        <w:t xml:space="preserve">It is intended that, for the operation of paragraphs 5B(3)(b) and (c) of the Privacy Act, entities such as those described above who have an online presence (but no physical presence in Australia), and collect personal information from people who are physically in Australia, carry on a </w:t>
      </w:r>
      <w:r w:rsidR="0059361E">
        <w:rPr>
          <w:b/>
        </w:rPr>
        <w:t>‘</w:t>
      </w:r>
      <w:r w:rsidRPr="009823E3">
        <w:rPr>
          <w:b/>
        </w:rPr>
        <w:t>business in Australia or an external Territory</w:t>
      </w:r>
      <w:r w:rsidR="0059361E">
        <w:rPr>
          <w:b/>
        </w:rPr>
        <w:t>’</w:t>
      </w:r>
      <w:r>
        <w:t>.</w:t>
      </w:r>
    </w:p>
    <w:p w14:paraId="18148AE1" w14:textId="77777777" w:rsidR="00565A9A" w:rsidRDefault="00565A9A" w:rsidP="00565A9A">
      <w:pPr>
        <w:pStyle w:val="Quote1"/>
      </w:pPr>
    </w:p>
    <w:p w14:paraId="78FADF03" w14:textId="27C5C621" w:rsidR="00375B05" w:rsidRDefault="00BB351C" w:rsidP="00375B05">
      <w:pPr>
        <w:pStyle w:val="ParaNumbering"/>
      </w:pPr>
      <w:r>
        <w:t xml:space="preserve">The phrase </w:t>
      </w:r>
      <w:r w:rsidR="0059361E">
        <w:t>“</w:t>
      </w:r>
      <w:r>
        <w:t>carries on business</w:t>
      </w:r>
      <w:r w:rsidR="0059361E">
        <w:t>”</w:t>
      </w:r>
      <w:r w:rsidR="00565A9A">
        <w:t xml:space="preserve"> in s 5B(3)(b)</w:t>
      </w:r>
      <w:r>
        <w:t xml:space="preserve"> has its ordinary meaning and invites a factual inquiry.  </w:t>
      </w:r>
      <w:r w:rsidR="00375B05">
        <w:t xml:space="preserve">The legislature </w:t>
      </w:r>
      <w:r w:rsidR="009823E3">
        <w:t>selected the</w:t>
      </w:r>
      <w:r w:rsidR="00375B05">
        <w:t xml:space="preserve"> criteria </w:t>
      </w:r>
      <w:r w:rsidR="009823E3">
        <w:t xml:space="preserve">required </w:t>
      </w:r>
      <w:r w:rsidR="00375B05">
        <w:t>to establish a sufficient nexus with Australia</w:t>
      </w:r>
      <w:r w:rsidR="009823E3">
        <w:t xml:space="preserve">.  It could have chosen different criteria to those </w:t>
      </w:r>
      <w:r>
        <w:t>in fact required.</w:t>
      </w:r>
      <w:r w:rsidR="00375B05">
        <w:t xml:space="preserve"> </w:t>
      </w:r>
      <w:r>
        <w:t xml:space="preserve"> I</w:t>
      </w:r>
      <w:r w:rsidR="00375B05">
        <w:t xml:space="preserve">t could have chosen </w:t>
      </w:r>
      <w:r w:rsidR="00D109E1">
        <w:t xml:space="preserve">only </w:t>
      </w:r>
      <w:r w:rsidR="00375B05">
        <w:t xml:space="preserve">the requirement that there be collection or holding </w:t>
      </w:r>
      <w:r w:rsidR="00D109E1">
        <w:t xml:space="preserve">of personal information </w:t>
      </w:r>
      <w:r w:rsidR="00375B05">
        <w:t>in Australia (s 5B(3)(c)</w:t>
      </w:r>
      <w:r w:rsidR="006615C0">
        <w:t>)</w:t>
      </w:r>
      <w:r w:rsidR="00375B05">
        <w:t xml:space="preserve"> </w:t>
      </w:r>
      <w:r>
        <w:t xml:space="preserve">and not that the organisation or </w:t>
      </w:r>
      <w:r w:rsidR="00375B05">
        <w:t xml:space="preserve">operator </w:t>
      </w:r>
      <w:r>
        <w:t xml:space="preserve">also </w:t>
      </w:r>
      <w:r w:rsidR="00375B05">
        <w:t xml:space="preserve">carry on business in Australia (s 5B(3)(b)).  The legislature chose </w:t>
      </w:r>
      <w:r>
        <w:t>both</w:t>
      </w:r>
      <w:r w:rsidR="00446A33">
        <w:t xml:space="preserve"> requirements</w:t>
      </w:r>
      <w:r>
        <w:t>.</w:t>
      </w:r>
      <w:r w:rsidR="00D109E1">
        <w:t xml:space="preserve">  </w:t>
      </w:r>
    </w:p>
    <w:p w14:paraId="230EAC88" w14:textId="77777777" w:rsidR="00625234" w:rsidRDefault="00625234" w:rsidP="00C03B5B">
      <w:pPr>
        <w:pStyle w:val="ParaNumbering"/>
      </w:pPr>
      <w:r>
        <w:t xml:space="preserve">The Full Court in </w:t>
      </w:r>
      <w:r>
        <w:rPr>
          <w:i/>
        </w:rPr>
        <w:t>Tiger Yacht</w:t>
      </w:r>
      <w:r>
        <w:t xml:space="preserve"> also noted</w:t>
      </w:r>
      <w:r w:rsidR="00FB7B79">
        <w:t xml:space="preserve"> that</w:t>
      </w:r>
      <w:r>
        <w:t>:</w:t>
      </w:r>
    </w:p>
    <w:p w14:paraId="04FDB00E" w14:textId="35734E1B" w:rsidR="00625234" w:rsidRPr="00625234" w:rsidRDefault="00625234" w:rsidP="00FA2DE7">
      <w:pPr>
        <w:pStyle w:val="ListNo1"/>
        <w:numPr>
          <w:ilvl w:val="0"/>
          <w:numId w:val="25"/>
        </w:numPr>
      </w:pPr>
      <w:r>
        <w:lastRenderedPageBreak/>
        <w:t>at [51]</w:t>
      </w:r>
      <w:r w:rsidR="00FB7B79">
        <w:t>:</w:t>
      </w:r>
      <w:r>
        <w:t xml:space="preserve"> in order to be carrying on business, t</w:t>
      </w:r>
      <w:r w:rsidRPr="00625234">
        <w:t>he activities must form a commercial enterprise</w:t>
      </w:r>
      <w:r w:rsidR="006615C0">
        <w:t>, citing</w:t>
      </w:r>
      <w:r w:rsidRPr="00625234">
        <w:t xml:space="preserve"> </w:t>
      </w:r>
      <w:r w:rsidRPr="0009364A">
        <w:rPr>
          <w:i/>
        </w:rPr>
        <w:t>Australian Competition and Consumer Commission v Valve Corp (No</w:t>
      </w:r>
      <w:r w:rsidR="001310F9">
        <w:rPr>
          <w:i/>
        </w:rPr>
        <w:t> </w:t>
      </w:r>
      <w:r w:rsidRPr="0009364A">
        <w:rPr>
          <w:i/>
        </w:rPr>
        <w:t>3)</w:t>
      </w:r>
      <w:r w:rsidRPr="00625234">
        <w:t xml:space="preserve"> (2016) 337 ALR 647</w:t>
      </w:r>
      <w:r>
        <w:t xml:space="preserve"> at [197];</w:t>
      </w:r>
    </w:p>
    <w:p w14:paraId="1357C9FA" w14:textId="4E7E3B06" w:rsidR="00625234" w:rsidRPr="00625234" w:rsidRDefault="00625234" w:rsidP="00872EB6">
      <w:pPr>
        <w:pStyle w:val="ListNo1"/>
        <w:numPr>
          <w:ilvl w:val="0"/>
          <w:numId w:val="25"/>
        </w:numPr>
      </w:pPr>
      <w:r>
        <w:t>at [52]</w:t>
      </w:r>
      <w:r w:rsidR="00FB7B79">
        <w:t>:</w:t>
      </w:r>
      <w:r>
        <w:t xml:space="preserve"> t</w:t>
      </w:r>
      <w:r w:rsidRPr="00625234">
        <w:t xml:space="preserve">he words </w:t>
      </w:r>
      <w:r w:rsidR="0059361E">
        <w:t>“</w:t>
      </w:r>
      <w:r w:rsidRPr="00625234">
        <w:t>carrying on</w:t>
      </w:r>
      <w:r w:rsidR="0059361E">
        <w:t>”</w:t>
      </w:r>
      <w:r w:rsidRPr="00625234">
        <w:t xml:space="preserve"> imply the repetition of acts and activities which possess some</w:t>
      </w:r>
      <w:r>
        <w:t xml:space="preserve">thing of a permanent character, citing </w:t>
      </w:r>
      <w:r w:rsidRPr="00872EB6">
        <w:rPr>
          <w:i/>
        </w:rPr>
        <w:t>Hope v Bathurst City Council</w:t>
      </w:r>
      <w:r w:rsidRPr="00625234">
        <w:t xml:space="preserve"> (1980) 144 CLR 1 at 8 </w:t>
      </w:r>
      <w:r w:rsidR="00166F78">
        <w:t xml:space="preserve">per </w:t>
      </w:r>
      <w:r w:rsidRPr="00625234">
        <w:t>Mason J</w:t>
      </w:r>
      <w:r>
        <w:t>, and that p</w:t>
      </w:r>
      <w:r w:rsidRPr="00625234">
        <w:t xml:space="preserve">articipation in a single transaction or a number of isolated transactions </w:t>
      </w:r>
      <w:r w:rsidR="00FB7B79">
        <w:t>will not satisfy this aspect;</w:t>
      </w:r>
    </w:p>
    <w:p w14:paraId="29EC3AD6" w14:textId="7C189CC7" w:rsidR="00625234" w:rsidRPr="00625234" w:rsidRDefault="00FB7B79" w:rsidP="00872EB6">
      <w:pPr>
        <w:pStyle w:val="ListNo1"/>
        <w:numPr>
          <w:ilvl w:val="0"/>
          <w:numId w:val="25"/>
        </w:numPr>
      </w:pPr>
      <w:r>
        <w:t>at [53]: a</w:t>
      </w:r>
      <w:r w:rsidR="00625234" w:rsidRPr="00625234">
        <w:t xml:space="preserve"> company may be carrying on business in Australia even though it does not have an identifiable place of business within Australia</w:t>
      </w:r>
      <w:r w:rsidR="00166F78">
        <w:t>, citing</w:t>
      </w:r>
      <w:r w:rsidR="00625234" w:rsidRPr="00625234">
        <w:t xml:space="preserve"> </w:t>
      </w:r>
      <w:r w:rsidR="00625234" w:rsidRPr="00FB7B79">
        <w:rPr>
          <w:i/>
        </w:rPr>
        <w:t>Bray v F Hoffman-La Roche Ltd</w:t>
      </w:r>
      <w:r w:rsidR="00625234" w:rsidRPr="00625234">
        <w:t xml:space="preserve"> </w:t>
      </w:r>
      <w:r>
        <w:t xml:space="preserve">(2002) 118 FCR 1 </w:t>
      </w:r>
      <w:r w:rsidR="00C91B3B">
        <w:t>(</w:t>
      </w:r>
      <w:r w:rsidR="00C91B3B">
        <w:rPr>
          <w:b/>
          <w:i/>
        </w:rPr>
        <w:t xml:space="preserve">Bray </w:t>
      </w:r>
      <w:r w:rsidR="005A47DC">
        <w:rPr>
          <w:b/>
          <w:i/>
        </w:rPr>
        <w:t>FCA</w:t>
      </w:r>
      <w:r w:rsidR="00C91B3B">
        <w:t>)</w:t>
      </w:r>
      <w:r w:rsidR="001310F9">
        <w:t xml:space="preserve"> </w:t>
      </w:r>
      <w:r w:rsidRPr="00C91B3B">
        <w:t>at</w:t>
      </w:r>
      <w:r>
        <w:t xml:space="preserve"> [63];</w:t>
      </w:r>
    </w:p>
    <w:p w14:paraId="6699F45D" w14:textId="77777777" w:rsidR="00625234" w:rsidRDefault="00FB7B79" w:rsidP="00872EB6">
      <w:pPr>
        <w:pStyle w:val="ListNo1"/>
        <w:numPr>
          <w:ilvl w:val="0"/>
          <w:numId w:val="25"/>
        </w:numPr>
      </w:pPr>
      <w:r>
        <w:t>at [54]: t</w:t>
      </w:r>
      <w:r w:rsidR="00625234" w:rsidRPr="00625234">
        <w:t xml:space="preserve">here are cases where a company has been found to be carrying on business in Australia because its subsidiaries are not carrying on business on their own account but rather are doing so as agent for their international parent. </w:t>
      </w:r>
    </w:p>
    <w:p w14:paraId="3B407EB5" w14:textId="35374F8E" w:rsidR="0009364A" w:rsidRDefault="0009364A" w:rsidP="0009364A">
      <w:pPr>
        <w:pStyle w:val="ParaNumbering"/>
      </w:pPr>
      <w:r>
        <w:t xml:space="preserve">It might be added that the means by which entities carry on business are constantly evolving.  Much of the case law in which the concept has been discussed </w:t>
      </w:r>
      <w:r w:rsidR="00F47FD1">
        <w:t>was</w:t>
      </w:r>
      <w:r>
        <w:t xml:space="preserve"> decided long before the technological advances which underpin many modern forms of commerce.  </w:t>
      </w:r>
      <w:r w:rsidR="008316B8">
        <w:t>Ultimately, the question whether a particular entity carries on business, and does so in a particular place, is determined by reference to the particular facts.</w:t>
      </w:r>
    </w:p>
    <w:p w14:paraId="3449C750" w14:textId="3022DB80" w:rsidR="0009364A" w:rsidRDefault="004D6C0E" w:rsidP="00D8611D">
      <w:pPr>
        <w:pStyle w:val="Heading1"/>
      </w:pPr>
      <w:r>
        <w:t xml:space="preserve">D  </w:t>
      </w:r>
      <w:r w:rsidR="00D8611D">
        <w:t>CARRIES ON BUSINESS</w:t>
      </w:r>
    </w:p>
    <w:p w14:paraId="0D700E93" w14:textId="54D25AF9" w:rsidR="00CE6C15" w:rsidRDefault="00CE6C15" w:rsidP="008D192B">
      <w:pPr>
        <w:pStyle w:val="ParaNumbering"/>
      </w:pPr>
      <w:r>
        <w:t xml:space="preserve">The Commissioner submitted that she had established a prima facie case that Facebook </w:t>
      </w:r>
      <w:proofErr w:type="spellStart"/>
      <w:r>
        <w:t>Inc</w:t>
      </w:r>
      <w:proofErr w:type="spellEnd"/>
      <w:r>
        <w:t xml:space="preserve"> carried on business in Australia through a combination of two matters: first, through the agency of Facebook Ireland; and secondly, through certain activities for which Facebook </w:t>
      </w:r>
      <w:proofErr w:type="spellStart"/>
      <w:r>
        <w:t>Inc</w:t>
      </w:r>
      <w:proofErr w:type="spellEnd"/>
      <w:r>
        <w:t xml:space="preserve"> was directly responsible in Australia.</w:t>
      </w:r>
    </w:p>
    <w:p w14:paraId="1EEBCDF5" w14:textId="3CE5EA4F" w:rsidR="00F47FD1" w:rsidRDefault="000C76BE" w:rsidP="00D8611D">
      <w:pPr>
        <w:pStyle w:val="Heading2"/>
      </w:pPr>
      <w:r>
        <w:t>D</w:t>
      </w:r>
      <w:r w:rsidR="004D6C0E">
        <w:t xml:space="preserve">.1  </w:t>
      </w:r>
      <w:r w:rsidR="00F47FD1">
        <w:t>Agency</w:t>
      </w:r>
    </w:p>
    <w:p w14:paraId="5748FE74" w14:textId="64FEE925" w:rsidR="00C771C9" w:rsidRDefault="00C771C9" w:rsidP="008D192B">
      <w:pPr>
        <w:pStyle w:val="ParaNumbering"/>
      </w:pPr>
      <w:r>
        <w:t>The Commissioner</w:t>
      </w:r>
      <w:r w:rsidR="0059361E">
        <w:t>’</w:t>
      </w:r>
      <w:r>
        <w:t xml:space="preserve">s case that Facebook </w:t>
      </w:r>
      <w:proofErr w:type="spellStart"/>
      <w:r>
        <w:t>Inc</w:t>
      </w:r>
      <w:proofErr w:type="spellEnd"/>
      <w:r>
        <w:t xml:space="preserve"> carried on business in Australia through the agency of Facebook Ireland was put at </w:t>
      </w:r>
      <w:r w:rsidR="006A23E0">
        <w:t xml:space="preserve">two levels: </w:t>
      </w:r>
      <w:r w:rsidR="00F8317E">
        <w:t xml:space="preserve">one </w:t>
      </w:r>
      <w:r>
        <w:t xml:space="preserve">narrow and </w:t>
      </w:r>
      <w:r w:rsidR="00F8317E">
        <w:t xml:space="preserve">one </w:t>
      </w:r>
      <w:r>
        <w:t>broad.</w:t>
      </w:r>
    </w:p>
    <w:p w14:paraId="265688CD" w14:textId="7D109FC8" w:rsidR="002D2ACD" w:rsidRDefault="00C771C9" w:rsidP="008D192B">
      <w:pPr>
        <w:pStyle w:val="ParaNumbering"/>
      </w:pPr>
      <w:r>
        <w:t xml:space="preserve">The first and more difficult was that there was a prima facie case that </w:t>
      </w:r>
      <w:r w:rsidR="00F47FD1">
        <w:t xml:space="preserve">Facebook </w:t>
      </w:r>
      <w:proofErr w:type="spellStart"/>
      <w:r w:rsidR="00F47FD1">
        <w:t>Inc</w:t>
      </w:r>
      <w:proofErr w:type="spellEnd"/>
      <w:r w:rsidR="00F47FD1">
        <w:t xml:space="preserve"> carried on business in Australia through the agency of Facebook Ireland in the sense that Facebook Ireland had the capacity to </w:t>
      </w:r>
      <w:r w:rsidR="00D84F09">
        <w:t xml:space="preserve">and did </w:t>
      </w:r>
      <w:r w:rsidR="00F47FD1">
        <w:t xml:space="preserve">enter into contracts on behalf of Facebook </w:t>
      </w:r>
      <w:proofErr w:type="spellStart"/>
      <w:r w:rsidR="00F47FD1">
        <w:t>I</w:t>
      </w:r>
      <w:r w:rsidR="005A47DC">
        <w:t>nc</w:t>
      </w:r>
      <w:proofErr w:type="spellEnd"/>
      <w:r w:rsidR="002D2ACD">
        <w:t xml:space="preserve"> with Australian users</w:t>
      </w:r>
      <w:r w:rsidR="00F47FD1">
        <w:t xml:space="preserve">.  </w:t>
      </w:r>
    </w:p>
    <w:p w14:paraId="60CAE016" w14:textId="01CEC23B" w:rsidR="00D84F09" w:rsidRDefault="002D2ACD" w:rsidP="008D192B">
      <w:pPr>
        <w:pStyle w:val="ParaNumbering"/>
      </w:pPr>
      <w:bookmarkStart w:id="24" w:name="_Ref50099604"/>
      <w:r>
        <w:lastRenderedPageBreak/>
        <w:t xml:space="preserve">The second case adopted a broader understanding of the meaning of agency.  The Commissioner submitted, and Facebook </w:t>
      </w:r>
      <w:proofErr w:type="spellStart"/>
      <w:r>
        <w:t>Inc</w:t>
      </w:r>
      <w:proofErr w:type="spellEnd"/>
      <w:r>
        <w:t xml:space="preserve"> did not dispute, that the relevant question</w:t>
      </w:r>
      <w:r w:rsidR="00F47FD1">
        <w:t xml:space="preserve"> </w:t>
      </w:r>
      <w:r w:rsidR="00C771C9">
        <w:t>included</w:t>
      </w:r>
      <w:r w:rsidR="00F47FD1">
        <w:t xml:space="preserve"> </w:t>
      </w:r>
      <w:r w:rsidR="0059361E">
        <w:t>“</w:t>
      </w:r>
      <w:r w:rsidR="00F47FD1" w:rsidRPr="00F47FD1">
        <w:t>whether, having regard to all of</w:t>
      </w:r>
      <w:r w:rsidR="00F47FD1">
        <w:t xml:space="preserve"> </w:t>
      </w:r>
      <w:r w:rsidR="00F47FD1" w:rsidRPr="00F47FD1">
        <w:t>the relevant facts and circumstances, the putative agent</w:t>
      </w:r>
      <w:r w:rsidR="00F47FD1">
        <w:t xml:space="preserve"> [Facebook Ireland]</w:t>
      </w:r>
      <w:r w:rsidR="00F47FD1" w:rsidRPr="00F47FD1">
        <w:t xml:space="preserve"> is carrying on its own business</w:t>
      </w:r>
      <w:r w:rsidR="00F47FD1">
        <w:t xml:space="preserve"> </w:t>
      </w:r>
      <w:r w:rsidR="00F47FD1" w:rsidRPr="00F47FD1">
        <w:t xml:space="preserve">or whether it is carrying on business </w:t>
      </w:r>
      <w:r w:rsidR="00F47FD1">
        <w:t>on behalf of its foreign parent</w:t>
      </w:r>
      <w:r w:rsidR="0059361E">
        <w:t>”</w:t>
      </w:r>
      <w:r w:rsidR="00F47FD1">
        <w:t>.</w:t>
      </w:r>
      <w:bookmarkEnd w:id="24"/>
      <w:r w:rsidR="00F47FD1">
        <w:t xml:space="preserve">  </w:t>
      </w:r>
    </w:p>
    <w:p w14:paraId="62038DFF" w14:textId="5D8EC209" w:rsidR="00F47FD1" w:rsidRPr="00F47FD1" w:rsidRDefault="002D2ACD" w:rsidP="008D192B">
      <w:pPr>
        <w:pStyle w:val="ParaNumbering"/>
      </w:pPr>
      <w:bookmarkStart w:id="25" w:name="_Ref50099607"/>
      <w:r>
        <w:t>In this regard, t</w:t>
      </w:r>
      <w:r w:rsidR="00F47FD1">
        <w:t xml:space="preserve">he Commissioner referred to the </w:t>
      </w:r>
      <w:r w:rsidR="0059231E">
        <w:t>decision</w:t>
      </w:r>
      <w:r w:rsidR="00F47FD1">
        <w:t xml:space="preserve"> of </w:t>
      </w:r>
      <w:r w:rsidR="00F47FD1" w:rsidRPr="00F47FD1">
        <w:t xml:space="preserve">Besanko J in </w:t>
      </w:r>
      <w:r w:rsidR="00F47FD1" w:rsidRPr="00F47FD1">
        <w:rPr>
          <w:i/>
          <w:iCs/>
        </w:rPr>
        <w:t xml:space="preserve">Australian Competition and Consumer Commission v </w:t>
      </w:r>
      <w:proofErr w:type="spellStart"/>
      <w:r w:rsidR="00F47FD1" w:rsidRPr="001310F9">
        <w:rPr>
          <w:b/>
          <w:i/>
          <w:iCs/>
        </w:rPr>
        <w:t>Yazaki</w:t>
      </w:r>
      <w:proofErr w:type="spellEnd"/>
      <w:r w:rsidR="00F47FD1" w:rsidRPr="00F47FD1">
        <w:rPr>
          <w:i/>
          <w:iCs/>
        </w:rPr>
        <w:t xml:space="preserve"> Corporation (No 2) </w:t>
      </w:r>
      <w:r w:rsidR="001A3CF9">
        <w:t>(2015) 332 ALR 396</w:t>
      </w:r>
      <w:r w:rsidR="00F47FD1" w:rsidRPr="00F47FD1">
        <w:t xml:space="preserve"> </w:t>
      </w:r>
      <w:r w:rsidR="001A3CF9">
        <w:t>(</w:t>
      </w:r>
      <w:r w:rsidR="001A3CF9" w:rsidRPr="001A3CF9">
        <w:rPr>
          <w:lang w:val="en-US"/>
        </w:rPr>
        <w:t>this aspect of Besanko J</w:t>
      </w:r>
      <w:r w:rsidR="0059361E">
        <w:rPr>
          <w:lang w:val="en-US"/>
        </w:rPr>
        <w:t>’</w:t>
      </w:r>
      <w:r w:rsidR="001A3CF9" w:rsidRPr="001A3CF9">
        <w:rPr>
          <w:lang w:val="en-US"/>
        </w:rPr>
        <w:t>s reasoning was not challenged</w:t>
      </w:r>
      <w:r w:rsidR="001A3CF9">
        <w:rPr>
          <w:lang w:val="en-US"/>
        </w:rPr>
        <w:t xml:space="preserve"> on appeal</w:t>
      </w:r>
      <w:r w:rsidR="001A3CF9" w:rsidRPr="001A3CF9">
        <w:rPr>
          <w:lang w:val="en-US"/>
        </w:rPr>
        <w:t xml:space="preserve">: </w:t>
      </w:r>
      <w:r w:rsidR="00AF22B0" w:rsidRPr="00F47FD1">
        <w:rPr>
          <w:i/>
          <w:iCs/>
        </w:rPr>
        <w:t xml:space="preserve">Australian Competition and Consumer Commission v </w:t>
      </w:r>
      <w:proofErr w:type="spellStart"/>
      <w:r w:rsidR="00AF22B0" w:rsidRPr="00F47FD1">
        <w:rPr>
          <w:i/>
          <w:iCs/>
        </w:rPr>
        <w:t>Yazaki</w:t>
      </w:r>
      <w:proofErr w:type="spellEnd"/>
      <w:r w:rsidR="00AF22B0" w:rsidRPr="00F47FD1">
        <w:rPr>
          <w:i/>
          <w:iCs/>
        </w:rPr>
        <w:t xml:space="preserve"> Corporation </w:t>
      </w:r>
      <w:r w:rsidR="001A3CF9" w:rsidRPr="001A3CF9">
        <w:rPr>
          <w:lang w:val="en-US"/>
        </w:rPr>
        <w:t>(2018) 262 FCR 243 at [40]</w:t>
      </w:r>
      <w:r w:rsidR="001A3CF9">
        <w:rPr>
          <w:lang w:val="en-US"/>
        </w:rPr>
        <w:t>)</w:t>
      </w:r>
      <w:r w:rsidR="0059231E">
        <w:rPr>
          <w:lang w:val="en-US"/>
        </w:rPr>
        <w:t xml:space="preserve">.  His </w:t>
      </w:r>
      <w:proofErr w:type="spellStart"/>
      <w:r w:rsidR="0059231E">
        <w:rPr>
          <w:lang w:val="en-US"/>
        </w:rPr>
        <w:t>Honour</w:t>
      </w:r>
      <w:proofErr w:type="spellEnd"/>
      <w:r w:rsidR="0059231E">
        <w:rPr>
          <w:lang w:val="en-US"/>
        </w:rPr>
        <w:t xml:space="preserve"> said</w:t>
      </w:r>
      <w:r w:rsidR="00F47FD1" w:rsidRPr="00F47FD1">
        <w:t>:</w:t>
      </w:r>
      <w:bookmarkEnd w:id="25"/>
    </w:p>
    <w:p w14:paraId="5B4CF831" w14:textId="5E79824A" w:rsidR="00C0453A" w:rsidRDefault="007F2D7E" w:rsidP="007F2D7E">
      <w:pPr>
        <w:pStyle w:val="Quote1"/>
        <w:widowControl/>
        <w:ind w:left="1418" w:hanging="681"/>
      </w:pPr>
      <w:r>
        <w:t>[344]</w:t>
      </w:r>
      <w:r>
        <w:tab/>
      </w:r>
      <w:r w:rsidR="0059361E">
        <w:t>“</w:t>
      </w:r>
      <w:r w:rsidR="00C0453A">
        <w:t>Business</w:t>
      </w:r>
      <w:r w:rsidR="0059361E">
        <w:t>”</w:t>
      </w:r>
      <w:r w:rsidR="00C0453A">
        <w:t xml:space="preserve"> has been said to mean a commercial enterprise in the nature of a going concern, that is to say, activities engaged in for the purpose of profit on a continuous and repetitive basis (</w:t>
      </w:r>
      <w:r w:rsidR="00C0453A" w:rsidRPr="00C0453A">
        <w:rPr>
          <w:i/>
        </w:rPr>
        <w:t>Hope v Bathurst City Council</w:t>
      </w:r>
      <w:r w:rsidR="00C0453A">
        <w:t xml:space="preserve"> (1980) 144 CLR 1 at 8–9; 29 ALR 577 at 582–3 per Mason J). There was no dispute in this case that there was a business being carried on in Victoria. The issue in dispute is whether that business was being carried on by AAPL or by </w:t>
      </w:r>
      <w:proofErr w:type="spellStart"/>
      <w:r w:rsidR="00C0453A">
        <w:t>Yazaki</w:t>
      </w:r>
      <w:proofErr w:type="spellEnd"/>
      <w:r w:rsidR="00C0453A">
        <w:t xml:space="preserve"> or by both companies.</w:t>
      </w:r>
    </w:p>
    <w:p w14:paraId="32DA66DD" w14:textId="2439BEE5" w:rsidR="00C0453A" w:rsidRDefault="007F2D7E" w:rsidP="007F2D7E">
      <w:pPr>
        <w:pStyle w:val="Quote1"/>
        <w:widowControl/>
        <w:ind w:left="1418" w:hanging="681"/>
      </w:pPr>
      <w:r>
        <w:t>[345]</w:t>
      </w:r>
      <w:r>
        <w:tab/>
      </w:r>
      <w:r w:rsidR="00C0453A">
        <w:t>It is trite to say that a wholly owned subsidiary is a separate legal entity from its parent capable of having its own assets, its own creditors and conducting its own business (</w:t>
      </w:r>
      <w:r w:rsidR="00C0453A" w:rsidRPr="00C0453A">
        <w:rPr>
          <w:i/>
        </w:rPr>
        <w:t xml:space="preserve">Walker v </w:t>
      </w:r>
      <w:proofErr w:type="spellStart"/>
      <w:r w:rsidR="00C0453A" w:rsidRPr="00C0453A">
        <w:rPr>
          <w:i/>
        </w:rPr>
        <w:t>Wimborne</w:t>
      </w:r>
      <w:proofErr w:type="spellEnd"/>
      <w:r w:rsidR="00C0453A">
        <w:t xml:space="preserve"> (1976) 137 CLR 1 at 6–7 per Mason J; </w:t>
      </w:r>
      <w:r w:rsidR="005E3F96">
        <w:rPr>
          <w:i/>
        </w:rPr>
        <w:t xml:space="preserve">Industrial Equity Ltd v </w:t>
      </w:r>
      <w:r w:rsidR="00C0453A" w:rsidRPr="00C0453A">
        <w:rPr>
          <w:i/>
        </w:rPr>
        <w:t>Blackburn</w:t>
      </w:r>
      <w:r w:rsidR="00C0453A">
        <w:t xml:space="preserve"> [(1997) 137 CLR 567] at 577; </w:t>
      </w:r>
      <w:r w:rsidR="005E3F96">
        <w:t xml:space="preserve">[17 </w:t>
      </w:r>
      <w:r w:rsidR="00C0453A">
        <w:t xml:space="preserve">ALR </w:t>
      </w:r>
      <w:r w:rsidR="005E3F96">
        <w:t xml:space="preserve">575 at] </w:t>
      </w:r>
      <w:r w:rsidR="00C0453A">
        <w:t>584 per Mason J).</w:t>
      </w:r>
    </w:p>
    <w:p w14:paraId="7FA8F7CF" w14:textId="77777777" w:rsidR="00C0453A" w:rsidRDefault="00C0453A" w:rsidP="007F2D7E">
      <w:pPr>
        <w:pStyle w:val="Quote1"/>
        <w:widowControl/>
        <w:ind w:left="1418" w:hanging="681"/>
      </w:pPr>
      <w:r>
        <w:t>…</w:t>
      </w:r>
    </w:p>
    <w:p w14:paraId="1037C400" w14:textId="31BBC443" w:rsidR="00F47FD1" w:rsidRDefault="007F2D7E" w:rsidP="007F2D7E">
      <w:pPr>
        <w:pStyle w:val="Quote1"/>
        <w:widowControl/>
        <w:spacing w:after="0"/>
        <w:ind w:left="1418" w:hanging="681"/>
      </w:pPr>
      <w:r>
        <w:t>[358]</w:t>
      </w:r>
      <w:r>
        <w:tab/>
      </w:r>
      <w:r w:rsidR="00F47FD1" w:rsidRPr="00F47FD1">
        <w:t xml:space="preserve">The test of when a corporation incorporated overseas and with a subsidiary operating in Victoria/Australia is carrying on a business in Victoria/Australia involves a consideration of a number of factors and the evaluation of the significance of the various factors before reaching a conclusion. Although the English Court of Appeal in </w:t>
      </w:r>
      <w:r w:rsidR="00F47FD1" w:rsidRPr="00F47FD1">
        <w:rPr>
          <w:i/>
          <w:iCs/>
        </w:rPr>
        <w:t xml:space="preserve">Adams v Cape Industries </w:t>
      </w:r>
      <w:r w:rsidR="00F47FD1" w:rsidRPr="00F47FD1">
        <w:t xml:space="preserve">[[1990] 1 </w:t>
      </w:r>
      <w:proofErr w:type="spellStart"/>
      <w:r w:rsidR="00F47FD1" w:rsidRPr="00F47FD1">
        <w:t>Ch</w:t>
      </w:r>
      <w:proofErr w:type="spellEnd"/>
      <w:r w:rsidR="00F47FD1" w:rsidRPr="00F47FD1">
        <w:t xml:space="preserve"> 433] and Merkel J in </w:t>
      </w:r>
      <w:r w:rsidR="00F47FD1" w:rsidRPr="00F47FD1">
        <w:rPr>
          <w:i/>
          <w:iCs/>
        </w:rPr>
        <w:t xml:space="preserve">Bray v Hoffman-La Roche </w:t>
      </w:r>
      <w:r w:rsidR="00F47FD1" w:rsidRPr="00F47FD1">
        <w:t>[(2002) 118 FCR 1] refer to agency or lifting the corporate veil, I do not think they are using those terms in a narrow sense. By that I mean I do not think the notion is confined to the ability to enter into contracts on another</w:t>
      </w:r>
      <w:r w:rsidR="0059361E">
        <w:t>’</w:t>
      </w:r>
      <w:r w:rsidR="00F47FD1" w:rsidRPr="00F47FD1">
        <w:t>s behalf. That is, according to the English Court of Appeal, a powerful factor but it is not a decisive factor. A number of matters are to be</w:t>
      </w:r>
      <w:r w:rsidR="004B1BFE">
        <w:t xml:space="preserve"> </w:t>
      </w:r>
      <w:r w:rsidR="00F47FD1" w:rsidRPr="00F47FD1">
        <w:t>considered.</w:t>
      </w:r>
    </w:p>
    <w:p w14:paraId="4666FAF5" w14:textId="77777777" w:rsidR="004B1BFE" w:rsidRPr="00F47FD1" w:rsidRDefault="004B1BFE" w:rsidP="004B1BFE">
      <w:pPr>
        <w:pStyle w:val="Quote1"/>
      </w:pPr>
    </w:p>
    <w:p w14:paraId="77B6635D" w14:textId="37080AE5" w:rsidR="004A3A87" w:rsidRDefault="006A3A7A" w:rsidP="00D84F09">
      <w:pPr>
        <w:pStyle w:val="ParaNumbering"/>
      </w:pPr>
      <w:r>
        <w:t>As to the matters to be considered</w:t>
      </w:r>
      <w:r w:rsidR="007F2D7E">
        <w:t xml:space="preserve"> in determining whether a foreign corporation is carrying on business through its locally operating subsidiary</w:t>
      </w:r>
      <w:r>
        <w:t xml:space="preserve">, Besanko J </w:t>
      </w:r>
      <w:r w:rsidR="007F2D7E">
        <w:t xml:space="preserve">preferred as more relevant to the facts </w:t>
      </w:r>
      <w:r w:rsidR="00DF6590">
        <w:t>of</w:t>
      </w:r>
      <w:r w:rsidR="007F2D7E">
        <w:t xml:space="preserve"> the case before him </w:t>
      </w:r>
      <w:r>
        <w:t>those which ha</w:t>
      </w:r>
      <w:r w:rsidR="0059231E">
        <w:t>d</w:t>
      </w:r>
      <w:r>
        <w:t xml:space="preserve"> been referred to by Merkel J in </w:t>
      </w:r>
      <w:r>
        <w:rPr>
          <w:i/>
        </w:rPr>
        <w:t>Bray</w:t>
      </w:r>
      <w:r w:rsidR="005A47DC">
        <w:rPr>
          <w:i/>
        </w:rPr>
        <w:t xml:space="preserve"> FCA</w:t>
      </w:r>
      <w:r w:rsidR="004A3A87">
        <w:rPr>
          <w:i/>
        </w:rPr>
        <w:t xml:space="preserve"> </w:t>
      </w:r>
      <w:r w:rsidR="004A3A87">
        <w:t xml:space="preserve">rather than those which had been identified by the English Court of Appeal in </w:t>
      </w:r>
      <w:r w:rsidR="004A3A87" w:rsidRPr="00F73B46">
        <w:rPr>
          <w:b/>
          <w:i/>
        </w:rPr>
        <w:t>Adams</w:t>
      </w:r>
      <w:r w:rsidR="00C91B3B">
        <w:rPr>
          <w:i/>
        </w:rPr>
        <w:t xml:space="preserve"> v Cape Industries </w:t>
      </w:r>
      <w:r w:rsidR="00C91B3B" w:rsidRPr="00F47FD1">
        <w:t xml:space="preserve">[1990] 1 </w:t>
      </w:r>
      <w:proofErr w:type="spellStart"/>
      <w:r w:rsidR="00C91B3B" w:rsidRPr="00F47FD1">
        <w:t>Ch</w:t>
      </w:r>
      <w:proofErr w:type="spellEnd"/>
      <w:r w:rsidR="00C91B3B" w:rsidRPr="00F47FD1">
        <w:t xml:space="preserve"> 433</w:t>
      </w:r>
      <w:r w:rsidR="00DF6590">
        <w:t xml:space="preserve">: </w:t>
      </w:r>
      <w:proofErr w:type="spellStart"/>
      <w:r w:rsidR="00DF6590">
        <w:rPr>
          <w:i/>
        </w:rPr>
        <w:t>Yazaki</w:t>
      </w:r>
      <w:proofErr w:type="spellEnd"/>
      <w:r w:rsidR="00DF6590">
        <w:rPr>
          <w:i/>
        </w:rPr>
        <w:t xml:space="preserve"> </w:t>
      </w:r>
      <w:r w:rsidR="00DF6590">
        <w:t>at [</w:t>
      </w:r>
      <w:r w:rsidR="00DF6590" w:rsidRPr="00F73B46">
        <w:t>359</w:t>
      </w:r>
      <w:r w:rsidR="00DF6590">
        <w:t>].</w:t>
      </w:r>
      <w:r>
        <w:t xml:space="preserve"> </w:t>
      </w:r>
    </w:p>
    <w:p w14:paraId="61AC3683" w14:textId="2B710662" w:rsidR="004A3A87" w:rsidRDefault="004A3A87" w:rsidP="00D84F09">
      <w:pPr>
        <w:pStyle w:val="ParaNumbering"/>
      </w:pPr>
      <w:r>
        <w:lastRenderedPageBreak/>
        <w:t xml:space="preserve">Besanko J summarised </w:t>
      </w:r>
      <w:r>
        <w:rPr>
          <w:i/>
        </w:rPr>
        <w:t>Bray</w:t>
      </w:r>
      <w:r w:rsidR="005A47DC">
        <w:rPr>
          <w:i/>
        </w:rPr>
        <w:t xml:space="preserve"> FCA</w:t>
      </w:r>
      <w:r w:rsidR="00DF6590">
        <w:rPr>
          <w:i/>
        </w:rPr>
        <w:t xml:space="preserve"> </w:t>
      </w:r>
      <w:r w:rsidR="00DF6590">
        <w:t>and the factors considered by Merkel J</w:t>
      </w:r>
      <w:r w:rsidR="00446A33">
        <w:t xml:space="preserve"> at [</w:t>
      </w:r>
      <w:r w:rsidR="0076781B" w:rsidRPr="00F73B46">
        <w:t>351</w:t>
      </w:r>
      <w:r w:rsidR="00446A33">
        <w:t>]</w:t>
      </w:r>
      <w:r w:rsidR="0076781B">
        <w:t>-[356]</w:t>
      </w:r>
      <w:r>
        <w:t>:</w:t>
      </w:r>
    </w:p>
    <w:p w14:paraId="6B5C47CA" w14:textId="001EE0DB" w:rsidR="00EF0785" w:rsidRDefault="003E2447" w:rsidP="00F73B46">
      <w:pPr>
        <w:pStyle w:val="Quote1"/>
        <w:widowControl/>
        <w:ind w:left="1440" w:hanging="703"/>
      </w:pPr>
      <w:r>
        <w:t>[351]</w:t>
      </w:r>
      <w:r>
        <w:tab/>
      </w:r>
      <w:r w:rsidR="00EF0785" w:rsidRPr="00CE65D6">
        <w:rPr>
          <w:i/>
        </w:rPr>
        <w:t>Bray</w:t>
      </w:r>
      <w:r w:rsidR="00EF0785">
        <w:t xml:space="preserve"> addressed the very issue involved in this case, that is to say, whether foreign corporations were carrying on business in Australia under the Trade Practices Act at the time of alleged contraventions of s 45(2) of the Act. The issue arose in an application under O 9 r 7 of the Federal Court Rules 1979 (</w:t>
      </w:r>
      <w:proofErr w:type="spellStart"/>
      <w:r w:rsidR="00EF0785">
        <w:t>Cth</w:t>
      </w:r>
      <w:proofErr w:type="spellEnd"/>
      <w:r w:rsidR="00EF0785">
        <w:t>) to set aside service of the originating process upon them or, in the alternative, to discharge the order giving leave to serve that process.</w:t>
      </w:r>
    </w:p>
    <w:p w14:paraId="4E3AEE7E" w14:textId="48103EA4" w:rsidR="00EF0785" w:rsidRDefault="003E2447" w:rsidP="00F73B46">
      <w:pPr>
        <w:pStyle w:val="Quote1"/>
        <w:widowControl/>
        <w:ind w:left="1440" w:hanging="703"/>
      </w:pPr>
      <w:r>
        <w:t>[352]</w:t>
      </w:r>
      <w:r>
        <w:tab/>
      </w:r>
      <w:r w:rsidR="00EF0785">
        <w:t>The case involved a class action against companies in the Hoffman-La Roche, Aventis and BASF groups of companies which were alleged to have entered into and carried into effect an international price fixing and market sharing arrangement in respect of vitamin products manufactured and sold by them and their subsidiaries. A number of the respondent companies were foreign corporations and leave to serve them outside Australia was required. That leave was granted ex parte.</w:t>
      </w:r>
    </w:p>
    <w:p w14:paraId="45DC3702" w14:textId="01D16F76" w:rsidR="00EF0785" w:rsidRDefault="003E2447" w:rsidP="00F73B46">
      <w:pPr>
        <w:pStyle w:val="Quote1"/>
        <w:widowControl/>
        <w:ind w:left="1440" w:hanging="703"/>
      </w:pPr>
      <w:r>
        <w:t>[353]</w:t>
      </w:r>
      <w:r>
        <w:tab/>
      </w:r>
      <w:r w:rsidR="00EF0785">
        <w:t>Merkel J considered the application of the Trade Practices Act to conduct outside of Australia. That issue turned on whether the foreign respondents were carrying on business in Australia at the time of the alleged contraventions. Merkel J said that that was the relevant time and not the time of the service of the proceeding.</w:t>
      </w:r>
    </w:p>
    <w:p w14:paraId="2C371C66" w14:textId="3398E0DF" w:rsidR="00EF0785" w:rsidRDefault="003E2447" w:rsidP="00F73B46">
      <w:pPr>
        <w:pStyle w:val="Quote1"/>
        <w:widowControl/>
        <w:ind w:left="1440" w:hanging="703"/>
      </w:pPr>
      <w:r>
        <w:t>[354]</w:t>
      </w:r>
      <w:r>
        <w:tab/>
      </w:r>
      <w:r w:rsidR="00EF0785">
        <w:t>Merkel J said that Parliament could have included a provision which gave the Act extra-territorial operation where the conduct had consequences in Australia (</w:t>
      </w:r>
      <w:r w:rsidR="00EF0785" w:rsidRPr="00D870C9">
        <w:rPr>
          <w:i/>
        </w:rPr>
        <w:t>Meyer Heine Pty Ltd v China Navigation Co Ltd</w:t>
      </w:r>
      <w:r w:rsidR="00EF0785">
        <w:t xml:space="preserve"> (1966) 115 CLR 10; [1966] ALR 791). However, it did not do so and the expression of carrying on business should be given its ordinary or usual meaning (at [60]). His Honour said that whether a corporation was carrying on business in Australia was a question of fact and he referred to authorities which have considered the meaning of the word, </w:t>
      </w:r>
      <w:r w:rsidR="0059361E">
        <w:t>“</w:t>
      </w:r>
      <w:r w:rsidR="00EF0785">
        <w:t>business</w:t>
      </w:r>
      <w:r w:rsidR="0059361E">
        <w:t>”</w:t>
      </w:r>
      <w:r w:rsidR="00EF0785">
        <w:t>. His Honour said that it was not necessary that a foreign corporation have a place of business in Australia before it could be said that it was carrying on business in Australia (at [63]). His Honour noted that the Australian subsidiaries of the foreign respondents carried on business in Australia and the question was whether they did so on their account or on account of their parent companies.</w:t>
      </w:r>
    </w:p>
    <w:p w14:paraId="59493245" w14:textId="2779D978" w:rsidR="00EF0785" w:rsidRPr="00F73B46" w:rsidRDefault="003E2447" w:rsidP="00F73B46">
      <w:pPr>
        <w:pStyle w:val="Quote1"/>
        <w:ind w:left="1440" w:hanging="703"/>
        <w:rPr>
          <w:i/>
        </w:rPr>
      </w:pPr>
      <w:r>
        <w:t>[355]</w:t>
      </w:r>
      <w:r>
        <w:tab/>
      </w:r>
      <w:r w:rsidR="00EF0785">
        <w:t xml:space="preserve">His Honour referred to </w:t>
      </w:r>
      <w:r w:rsidR="00EF0785" w:rsidRPr="00D870C9">
        <w:rPr>
          <w:i/>
        </w:rPr>
        <w:t xml:space="preserve">Smith, Stone &amp; Knight </w:t>
      </w:r>
      <w:r w:rsidR="0076781B" w:rsidRPr="00F73B46">
        <w:t>[</w:t>
      </w:r>
      <w:r w:rsidR="0076781B" w:rsidRPr="0076781B">
        <w:rPr>
          <w:i/>
        </w:rPr>
        <w:t>Ltd v Lord Mayor, Al</w:t>
      </w:r>
      <w:r w:rsidR="0076781B">
        <w:rPr>
          <w:i/>
        </w:rPr>
        <w:t xml:space="preserve">derman and Citizens of the </w:t>
      </w:r>
      <w:r w:rsidR="0076781B" w:rsidRPr="0076781B">
        <w:rPr>
          <w:i/>
        </w:rPr>
        <w:t xml:space="preserve">City of Birmingham </w:t>
      </w:r>
      <w:r w:rsidR="0076781B" w:rsidRPr="00F73B46">
        <w:t>[1939] 4 All ER 116]</w:t>
      </w:r>
      <w:r w:rsidR="0076781B">
        <w:rPr>
          <w:i/>
        </w:rPr>
        <w:t xml:space="preserve"> </w:t>
      </w:r>
      <w:r w:rsidR="00EF0785">
        <w:t xml:space="preserve">and </w:t>
      </w:r>
      <w:r w:rsidR="00EF0785" w:rsidRPr="00D870C9">
        <w:rPr>
          <w:i/>
        </w:rPr>
        <w:t>Adams</w:t>
      </w:r>
      <w:r w:rsidR="00EF0785">
        <w:t xml:space="preserve"> and then addressed a submission put to him that, in effect, the companies, including the parent and the subsidiary, were a group of companies operating at a global level and that the subsidiary should be seen as an integrated part of a global enterprise and, therefore, as the agent of the parent. Merkel J rejected this submission on the basis that it was not consistent with established authority (at [72]).</w:t>
      </w:r>
    </w:p>
    <w:p w14:paraId="681A6A43" w14:textId="563AD869" w:rsidR="00EF0785" w:rsidRDefault="003E2447" w:rsidP="00DF6590">
      <w:pPr>
        <w:pStyle w:val="Quote1"/>
        <w:widowControl/>
        <w:ind w:left="1418" w:hanging="681"/>
      </w:pPr>
      <w:r>
        <w:t>[356]</w:t>
      </w:r>
      <w:r>
        <w:tab/>
      </w:r>
      <w:r w:rsidR="00EF0785">
        <w:t>His Honour decided that the Australian subsidiaries were conducting their own businesses and not their parent</w:t>
      </w:r>
      <w:r w:rsidR="0059361E">
        <w:t>’</w:t>
      </w:r>
      <w:r w:rsidR="00EF0785">
        <w:t>s business. He relied on the following matters:</w:t>
      </w:r>
    </w:p>
    <w:p w14:paraId="586B8D71" w14:textId="77777777" w:rsidR="00EF0785" w:rsidRDefault="00EF0785" w:rsidP="00DF6590">
      <w:pPr>
        <w:pStyle w:val="Quote1"/>
        <w:widowControl/>
        <w:ind w:left="1985" w:hanging="567"/>
      </w:pPr>
      <w:r>
        <w:t xml:space="preserve">(1) </w:t>
      </w:r>
      <w:r>
        <w:tab/>
        <w:t>the Australian subsidiaries held their own assets (including bank accounts) in their own names and employed employees and purchased and sold products in their own names;</w:t>
      </w:r>
    </w:p>
    <w:p w14:paraId="311E009E" w14:textId="77777777" w:rsidR="00EF0785" w:rsidRDefault="00EF0785" w:rsidP="00DF6590">
      <w:pPr>
        <w:pStyle w:val="Quote1"/>
        <w:widowControl/>
        <w:ind w:left="1985" w:hanging="567"/>
      </w:pPr>
      <w:r>
        <w:t xml:space="preserve">(2) </w:t>
      </w:r>
      <w:r>
        <w:tab/>
        <w:t>their businesses were not confined to the class vitamins (</w:t>
      </w:r>
      <w:proofErr w:type="spellStart"/>
      <w:r>
        <w:t>ie</w:t>
      </w:r>
      <w:proofErr w:type="spellEnd"/>
      <w:r>
        <w:t>, the vitamins the subject of the proceeding) or to products supplied by other companies in their respective groups;</w:t>
      </w:r>
    </w:p>
    <w:p w14:paraId="670A7BB2" w14:textId="77777777" w:rsidR="00EF0785" w:rsidRDefault="00EF0785" w:rsidP="00DF6590">
      <w:pPr>
        <w:pStyle w:val="Quote1"/>
        <w:widowControl/>
        <w:ind w:left="1985" w:hanging="567"/>
      </w:pPr>
      <w:r>
        <w:lastRenderedPageBreak/>
        <w:t xml:space="preserve">(3) </w:t>
      </w:r>
      <w:r>
        <w:tab/>
        <w:t>the accounts of each of the subsidiaries were included in the Consolidated group accounts, but that was commonplace with subsidiaries and accorded with established accounting and regulatory requirements;</w:t>
      </w:r>
    </w:p>
    <w:p w14:paraId="183854C0" w14:textId="77777777" w:rsidR="00EF0785" w:rsidRDefault="00EF0785" w:rsidP="00DF6590">
      <w:pPr>
        <w:pStyle w:val="Quote1"/>
        <w:widowControl/>
        <w:ind w:left="1985" w:hanging="567"/>
      </w:pPr>
      <w:r>
        <w:t xml:space="preserve">(4) </w:t>
      </w:r>
      <w:r>
        <w:tab/>
        <w:t>there may have been some overlapping board appointments in respect of the subsidiaries and the regional or parent companies in the respective groups but, for the most part, the subsidiaries had different boards to the European or regional parent;</w:t>
      </w:r>
    </w:p>
    <w:p w14:paraId="4418119B" w14:textId="77777777" w:rsidR="00EF0785" w:rsidRDefault="00EF0785" w:rsidP="00DF6590">
      <w:pPr>
        <w:pStyle w:val="Quote1"/>
        <w:widowControl/>
        <w:ind w:left="1985" w:hanging="567"/>
      </w:pPr>
      <w:r>
        <w:t xml:space="preserve">(5) </w:t>
      </w:r>
      <w:r>
        <w:tab/>
        <w:t>the evidence did not suggest that the Australian subsidiaries were not maintained as distinct or separate entities or that the parents had disregarded corporate boundaries;</w:t>
      </w:r>
    </w:p>
    <w:p w14:paraId="6A684890" w14:textId="77777777" w:rsidR="00EF0785" w:rsidRDefault="00EF0785" w:rsidP="00DF6590">
      <w:pPr>
        <w:pStyle w:val="Quote1"/>
        <w:widowControl/>
        <w:ind w:left="1985" w:hanging="567"/>
      </w:pPr>
      <w:r>
        <w:t xml:space="preserve">(6) </w:t>
      </w:r>
      <w:r>
        <w:tab/>
        <w:t>the European and regional parents did not appear to hold assets in Australia, save for intellectual property rights and shares in the Australian subsidiaries. They had no premises, offices or employees in Australia and, in general, did not purport to engage in business activities in Australia;</w:t>
      </w:r>
    </w:p>
    <w:p w14:paraId="3DB4B3AC" w14:textId="073B0B46" w:rsidR="00EF0785" w:rsidRDefault="00EF0785" w:rsidP="00DF6590">
      <w:pPr>
        <w:pStyle w:val="Quote1"/>
        <w:widowControl/>
        <w:ind w:left="1985" w:hanging="567"/>
      </w:pPr>
      <w:r>
        <w:t xml:space="preserve">(7) </w:t>
      </w:r>
      <w:r>
        <w:tab/>
        <w:t>in terms of foreign direction and control, his Honour said that something more was required than indirect legal and commercial capacity of the parent companies to control and direct the subsidiaries, plus the parent</w:t>
      </w:r>
      <w:r w:rsidR="0059361E">
        <w:t>’</w:t>
      </w:r>
      <w:r>
        <w:t>s involvement in implementing the cartel arrangement, before the corporate veil between the subsidiaries and their parents is lifted on a finding made that each of the subsidiaries is carrying on its business as agent for the parent;</w:t>
      </w:r>
    </w:p>
    <w:p w14:paraId="585DB4E2" w14:textId="5BD238FD" w:rsidR="00EF0785" w:rsidRDefault="00EF0785" w:rsidP="00DF6590">
      <w:pPr>
        <w:pStyle w:val="Quote1"/>
        <w:widowControl/>
        <w:spacing w:after="0"/>
        <w:ind w:left="1985" w:hanging="567"/>
      </w:pPr>
      <w:r>
        <w:t xml:space="preserve">(8) </w:t>
      </w:r>
      <w:r>
        <w:tab/>
        <w:t>his Honour was not satisfied at that stage that the foreign respondents were carrying on business in Australia. That conclusion might need to be revisited if the applicant was able to establish that some of the foreign respondents engaged in sufficient business activity in Australia in their own right (for example, by supplying group products to an Australian subsidiary) or that the parent</w:t>
      </w:r>
      <w:r w:rsidR="0059361E">
        <w:t>’</w:t>
      </w:r>
      <w:r>
        <w:t>s involvement in the implementation of the cartel arrangement in Australia was sufficient to constitute carrying on business in Australia (at [77]–[81]).</w:t>
      </w:r>
    </w:p>
    <w:p w14:paraId="1DF1356B" w14:textId="77777777" w:rsidR="00EF0785" w:rsidRDefault="00EF0785" w:rsidP="00446A33">
      <w:pPr>
        <w:pStyle w:val="Quote1"/>
        <w:widowControl/>
        <w:ind w:left="1440" w:hanging="703"/>
      </w:pPr>
    </w:p>
    <w:p w14:paraId="499B1240" w14:textId="73E2A6BE" w:rsidR="0059231E" w:rsidRPr="006A3A7A" w:rsidRDefault="0059231E" w:rsidP="0059231E">
      <w:pPr>
        <w:pStyle w:val="ParaNumbering"/>
      </w:pPr>
      <w:r>
        <w:t xml:space="preserve">Facebook </w:t>
      </w:r>
      <w:proofErr w:type="spellStart"/>
      <w:r>
        <w:t>Inc</w:t>
      </w:r>
      <w:proofErr w:type="spellEnd"/>
      <w:r>
        <w:t xml:space="preserve"> emphasised that the Commissioner had not approached the matter by analysing the various factors mentioned in </w:t>
      </w:r>
      <w:r>
        <w:rPr>
          <w:i/>
        </w:rPr>
        <w:t>Bray</w:t>
      </w:r>
      <w:r w:rsidR="005A47DC">
        <w:rPr>
          <w:i/>
        </w:rPr>
        <w:t xml:space="preserve"> FCA</w:t>
      </w:r>
      <w:r>
        <w:t xml:space="preserve"> as set out by Besanko J in </w:t>
      </w:r>
      <w:proofErr w:type="spellStart"/>
      <w:r>
        <w:rPr>
          <w:i/>
        </w:rPr>
        <w:t>Yazaki</w:t>
      </w:r>
      <w:proofErr w:type="spellEnd"/>
      <w:r>
        <w:t xml:space="preserve"> at [356].</w:t>
      </w:r>
    </w:p>
    <w:p w14:paraId="5D180CEC" w14:textId="7C0368BA" w:rsidR="004A3A87" w:rsidRDefault="004A3A87" w:rsidP="004A3A87">
      <w:pPr>
        <w:pStyle w:val="ParaNumbering"/>
      </w:pPr>
      <w:r>
        <w:t xml:space="preserve">The matters mentioned by the English Court of Appeal in </w:t>
      </w:r>
      <w:r>
        <w:rPr>
          <w:i/>
        </w:rPr>
        <w:t>Adams</w:t>
      </w:r>
      <w:r>
        <w:t xml:space="preserve"> at 530-</w:t>
      </w:r>
      <w:r w:rsidR="002F565E">
        <w:t>53</w:t>
      </w:r>
      <w:r>
        <w:t>1 were:</w:t>
      </w:r>
    </w:p>
    <w:p w14:paraId="7EB4943F" w14:textId="6113DB1E" w:rsidR="0059231E" w:rsidRDefault="004A3A87" w:rsidP="00BD23E4">
      <w:pPr>
        <w:pStyle w:val="Quote1"/>
        <w:ind w:left="1418" w:hanging="681"/>
      </w:pPr>
      <w:r w:rsidRPr="006A3A7A">
        <w:t xml:space="preserve">(a) </w:t>
      </w:r>
      <w:r w:rsidR="00BD23E4">
        <w:tab/>
      </w:r>
      <w:r w:rsidRPr="006A3A7A">
        <w:t xml:space="preserve">whether or not the fixed place of business from which the representative operates was originally acquired for the purpose of enabling him to act on behalf of the overseas corporation; </w:t>
      </w:r>
    </w:p>
    <w:p w14:paraId="70A81EE8" w14:textId="3391E134" w:rsidR="0059231E" w:rsidRDefault="004A3A87" w:rsidP="00BD23E4">
      <w:pPr>
        <w:pStyle w:val="Quote1"/>
        <w:ind w:left="1418" w:hanging="681"/>
      </w:pPr>
      <w:r w:rsidRPr="006A3A7A">
        <w:t xml:space="preserve">(b) </w:t>
      </w:r>
      <w:r w:rsidR="00BD23E4">
        <w:tab/>
      </w:r>
      <w:r w:rsidRPr="006A3A7A">
        <w:t>whether the overseas corporation has directly reimbursed him for (</w:t>
      </w:r>
      <w:proofErr w:type="spellStart"/>
      <w:r w:rsidRPr="006A3A7A">
        <w:t>i</w:t>
      </w:r>
      <w:proofErr w:type="spellEnd"/>
      <w:r w:rsidRPr="006A3A7A">
        <w:t>) the cost of his accommodation at the fixed place of business; (ii) the cost of his staff;</w:t>
      </w:r>
      <w:r>
        <w:t xml:space="preserve"> </w:t>
      </w:r>
    </w:p>
    <w:p w14:paraId="7CB6AB61" w14:textId="07ABD016" w:rsidR="0059231E" w:rsidRDefault="004A3A87" w:rsidP="00BD23E4">
      <w:pPr>
        <w:pStyle w:val="Quote1"/>
        <w:ind w:left="1418" w:hanging="681"/>
      </w:pPr>
      <w:r w:rsidRPr="006A3A7A">
        <w:t xml:space="preserve">(c) </w:t>
      </w:r>
      <w:r w:rsidR="00BD23E4">
        <w:tab/>
      </w:r>
      <w:r w:rsidRPr="006A3A7A">
        <w:t xml:space="preserve">what other contributions, if any, the overseas corporation makes to the financing of the business carried on by the representative; </w:t>
      </w:r>
    </w:p>
    <w:p w14:paraId="06D9A73F" w14:textId="30AC1BAA" w:rsidR="0059231E" w:rsidRDefault="004A3A87" w:rsidP="00BD23E4">
      <w:pPr>
        <w:pStyle w:val="Quote1"/>
        <w:ind w:left="1418" w:hanging="681"/>
      </w:pPr>
      <w:r w:rsidRPr="006A3A7A">
        <w:t xml:space="preserve">(d) </w:t>
      </w:r>
      <w:r w:rsidR="00BD23E4">
        <w:tab/>
      </w:r>
      <w:r w:rsidRPr="006A3A7A">
        <w:t>whether the representative is remunerated by reference to transactions, e</w:t>
      </w:r>
      <w:r w:rsidR="003E2447">
        <w:t>.</w:t>
      </w:r>
      <w:r w:rsidRPr="006A3A7A">
        <w:t>g</w:t>
      </w:r>
      <w:r w:rsidR="003E2447">
        <w:t>.</w:t>
      </w:r>
      <w:r w:rsidRPr="006A3A7A">
        <w:t xml:space="preserve"> by commission, or by fixed regular payments or in some other way; </w:t>
      </w:r>
    </w:p>
    <w:p w14:paraId="66F1CADD" w14:textId="1C95077E" w:rsidR="0059231E" w:rsidRDefault="004A3A87" w:rsidP="00BD23E4">
      <w:pPr>
        <w:pStyle w:val="Quote1"/>
        <w:ind w:left="1418" w:hanging="681"/>
      </w:pPr>
      <w:r w:rsidRPr="006A3A7A">
        <w:lastRenderedPageBreak/>
        <w:t xml:space="preserve">(e) </w:t>
      </w:r>
      <w:r w:rsidR="00BD23E4">
        <w:tab/>
      </w:r>
      <w:r w:rsidRPr="006A3A7A">
        <w:t xml:space="preserve">what degree of control the overseas corporation exercises over the running of the business conducted by the representative; </w:t>
      </w:r>
    </w:p>
    <w:p w14:paraId="65007C37" w14:textId="27DCAC8D" w:rsidR="0059231E" w:rsidRDefault="004A3A87" w:rsidP="00BD23E4">
      <w:pPr>
        <w:pStyle w:val="Quote1"/>
        <w:ind w:left="1418" w:hanging="681"/>
      </w:pPr>
      <w:r w:rsidRPr="006A3A7A">
        <w:t xml:space="preserve">(f) </w:t>
      </w:r>
      <w:r w:rsidR="00BD23E4">
        <w:tab/>
      </w:r>
      <w:r w:rsidRPr="006A3A7A">
        <w:t>whether the representative reserves (</w:t>
      </w:r>
      <w:proofErr w:type="spellStart"/>
      <w:r w:rsidRPr="006A3A7A">
        <w:t>i</w:t>
      </w:r>
      <w:proofErr w:type="spellEnd"/>
      <w:r w:rsidRPr="006A3A7A">
        <w:t xml:space="preserve">) part of his accommodation, (ii) part of his staff for conducting business related to the overseas corporation; </w:t>
      </w:r>
    </w:p>
    <w:p w14:paraId="5EAA3474" w14:textId="1ABE51BB" w:rsidR="0059231E" w:rsidRDefault="004A3A87" w:rsidP="00BD23E4">
      <w:pPr>
        <w:pStyle w:val="Quote1"/>
        <w:ind w:left="1418" w:hanging="681"/>
      </w:pPr>
      <w:r w:rsidRPr="006A3A7A">
        <w:t xml:space="preserve">(g) </w:t>
      </w:r>
      <w:r w:rsidR="00BD23E4">
        <w:tab/>
      </w:r>
      <w:r w:rsidRPr="006A3A7A">
        <w:t>whether the representative displays the overseas corporation</w:t>
      </w:r>
      <w:r w:rsidR="0059361E">
        <w:t>’</w:t>
      </w:r>
      <w:r w:rsidRPr="006A3A7A">
        <w:t xml:space="preserve">s name at his premises or on his stationery, and if so, whether he does so in such a way as to indicate that he is a representative of the overseas corporation; </w:t>
      </w:r>
    </w:p>
    <w:p w14:paraId="42AB2440" w14:textId="2746A07C" w:rsidR="0059231E" w:rsidRDefault="004A3A87" w:rsidP="00BD23E4">
      <w:pPr>
        <w:pStyle w:val="Quote1"/>
        <w:ind w:left="1418" w:hanging="681"/>
      </w:pPr>
      <w:r w:rsidRPr="006A3A7A">
        <w:t xml:space="preserve">(h) </w:t>
      </w:r>
      <w:r w:rsidR="00BD23E4">
        <w:tab/>
      </w:r>
      <w:r w:rsidRPr="006A3A7A">
        <w:t xml:space="preserve">what business, if any, the representative transacts as principal exclusively on his own behalf; </w:t>
      </w:r>
    </w:p>
    <w:p w14:paraId="3A9A8A7C" w14:textId="5EFEADEF" w:rsidR="0059231E" w:rsidRDefault="004A3A87" w:rsidP="00BD23E4">
      <w:pPr>
        <w:pStyle w:val="Quote1"/>
        <w:ind w:left="1418" w:hanging="681"/>
      </w:pPr>
      <w:r w:rsidRPr="006A3A7A">
        <w:t>(</w:t>
      </w:r>
      <w:proofErr w:type="spellStart"/>
      <w:r w:rsidRPr="006A3A7A">
        <w:t>i</w:t>
      </w:r>
      <w:proofErr w:type="spellEnd"/>
      <w:r w:rsidRPr="006A3A7A">
        <w:t xml:space="preserve">) </w:t>
      </w:r>
      <w:r w:rsidR="00BD23E4">
        <w:tab/>
      </w:r>
      <w:r w:rsidRPr="006A3A7A">
        <w:t xml:space="preserve">whether the representative makes contracts with customers or other third parties in the name of the overseas corporation, or otherwise in such manner as to bind it; </w:t>
      </w:r>
    </w:p>
    <w:p w14:paraId="55BF8BB7" w14:textId="519EE9EB" w:rsidR="004A3A87" w:rsidRDefault="004A3A87" w:rsidP="00BD23E4">
      <w:pPr>
        <w:pStyle w:val="Quote1"/>
        <w:spacing w:after="0"/>
        <w:ind w:left="1418" w:hanging="681"/>
      </w:pPr>
      <w:r w:rsidRPr="006A3A7A">
        <w:t xml:space="preserve">(j) </w:t>
      </w:r>
      <w:r w:rsidR="00BD23E4">
        <w:tab/>
      </w:r>
      <w:r w:rsidRPr="006A3A7A">
        <w:t>if so, whether the representative requires specific authority in advance before binding the overseas corporation to contractual obligations.</w:t>
      </w:r>
    </w:p>
    <w:p w14:paraId="305FCF10" w14:textId="77777777" w:rsidR="0059231E" w:rsidRDefault="0059231E" w:rsidP="004A3A87">
      <w:pPr>
        <w:pStyle w:val="Quote1"/>
      </w:pPr>
    </w:p>
    <w:p w14:paraId="66975BA6" w14:textId="12039C63" w:rsidR="00D84F09" w:rsidRDefault="009A714F" w:rsidP="00D84F09">
      <w:pPr>
        <w:pStyle w:val="ParaNumbering"/>
      </w:pPr>
      <w:r>
        <w:t xml:space="preserve">Facebook </w:t>
      </w:r>
      <w:proofErr w:type="spellStart"/>
      <w:r>
        <w:t>Inc</w:t>
      </w:r>
      <w:proofErr w:type="spellEnd"/>
      <w:r>
        <w:t xml:space="preserve"> </w:t>
      </w:r>
      <w:r w:rsidR="00BE7204">
        <w:t xml:space="preserve">emphasised that it was rare </w:t>
      </w:r>
      <w:r w:rsidR="00DF6590">
        <w:t xml:space="preserve">for a Court </w:t>
      </w:r>
      <w:r w:rsidR="00BE7204">
        <w:t xml:space="preserve">to conclude that a foreign corporation carried on business in a jurisdiction in which it had no fixed place of business or representation with the capacity to enter into contracts for the foreign corporation, </w:t>
      </w:r>
      <w:r>
        <w:t>referr</w:t>
      </w:r>
      <w:r w:rsidR="00BE7204">
        <w:t>ing</w:t>
      </w:r>
      <w:r>
        <w:t xml:space="preserve"> to the following passage in </w:t>
      </w:r>
      <w:r>
        <w:rPr>
          <w:i/>
        </w:rPr>
        <w:t xml:space="preserve">Adams </w:t>
      </w:r>
      <w:r>
        <w:t>at 529:</w:t>
      </w:r>
    </w:p>
    <w:p w14:paraId="418AE090" w14:textId="77777777" w:rsidR="00EE24A5" w:rsidRDefault="00EE24A5" w:rsidP="00EE24A5">
      <w:pPr>
        <w:pStyle w:val="Quote1"/>
      </w:pPr>
      <w:r>
        <w:t xml:space="preserve">We would agree with Mr. Morison that the existence of a power in the resident agent to bind the foreign corporation to contracts can be neither an exclusive nor conclusive test of the residence of the corporation itself. As he pointed out, there are many cases in which the corporation has been held </w:t>
      </w:r>
      <w:r w:rsidRPr="00EE24A5">
        <w:rPr>
          <w:i/>
        </w:rPr>
        <w:t>not</w:t>
      </w:r>
      <w:r>
        <w:t xml:space="preserve"> to be carrying on business at the agency notwithstanding the existence of authority of this kind: see for example </w:t>
      </w:r>
      <w:r w:rsidRPr="00EE24A5">
        <w:rPr>
          <w:i/>
        </w:rPr>
        <w:t xml:space="preserve">The </w:t>
      </w:r>
      <w:proofErr w:type="spellStart"/>
      <w:r w:rsidRPr="00EE24A5">
        <w:rPr>
          <w:i/>
        </w:rPr>
        <w:t>Princesse</w:t>
      </w:r>
      <w:proofErr w:type="spellEnd"/>
      <w:r w:rsidRPr="00EE24A5">
        <w:rPr>
          <w:i/>
        </w:rPr>
        <w:t xml:space="preserve"> Clementine </w:t>
      </w:r>
      <w:r>
        <w:t xml:space="preserve">[1897] P. 18; </w:t>
      </w:r>
      <w:r w:rsidRPr="00EE24A5">
        <w:rPr>
          <w:i/>
        </w:rPr>
        <w:t xml:space="preserve">The </w:t>
      </w:r>
      <w:proofErr w:type="spellStart"/>
      <w:r w:rsidRPr="00EE24A5">
        <w:rPr>
          <w:i/>
        </w:rPr>
        <w:t>Lalandia</w:t>
      </w:r>
      <w:proofErr w:type="spellEnd"/>
      <w:r>
        <w:t xml:space="preserve"> [1933] P. 56 and </w:t>
      </w:r>
      <w:r w:rsidRPr="00EE24A5">
        <w:rPr>
          <w:i/>
        </w:rPr>
        <w:t>The Holstein</w:t>
      </w:r>
      <w:r>
        <w:t xml:space="preserve"> [1936] 2 All E.R. 1660. Conversely, we can conceive hypothetical cases in which it might be absurd to regard the test as conclusive. If in any given case all other factors indicate that the business carried on by the representative of a corporation in a particular country was clearly the business of the corporation (rather than that of its representative), it could make no difference that the corporation required him to take its instructions before he actually concluded contracts on its behalf; the existence of such a requirement would not by itself prevent the corporation from being present in the country concerned and thus from being amenable to the jurisdiction of its courts.</w:t>
      </w:r>
    </w:p>
    <w:p w14:paraId="07D5C29E" w14:textId="77777777" w:rsidR="00EE24A5" w:rsidRDefault="00EE24A5" w:rsidP="00EE24A5">
      <w:pPr>
        <w:pStyle w:val="Quote1"/>
      </w:pPr>
      <w:r>
        <w:t>Nevertheless, it is a striking fact that with one possible exception (</w:t>
      </w:r>
      <w:r w:rsidRPr="00EE24A5">
        <w:rPr>
          <w:i/>
        </w:rPr>
        <w:t>The World Harmony</w:t>
      </w:r>
      <w:r>
        <w:t xml:space="preserve"> [1967] P. 341) in none of the many reported English decisions cited to us has it been held that a corporation has been resident in this country unless either (a) it has a fixed place of business of its own in this country from which it has carried on business through servants or agents, or (b) it has had a representative here who has had the power to bind it by contract and who has carried on business at or from a fixed place of business in this country.</w:t>
      </w:r>
    </w:p>
    <w:p w14:paraId="2E97D3C2" w14:textId="7932E6CA" w:rsidR="00EE24A5" w:rsidRDefault="00EE24A5" w:rsidP="00EE24A5">
      <w:pPr>
        <w:pStyle w:val="Quote1"/>
      </w:pPr>
      <w:r>
        <w:t xml:space="preserve">We do not find this surprising as a matter of principle. Indubitably a corporation can carry on business in a foreign country by means of an agent. </w:t>
      </w:r>
      <w:r w:rsidR="0059361E">
        <w:t>“</w:t>
      </w:r>
      <w:r>
        <w:t>It may be stated as a general proposition that whatever a person has power to do himself he may do by means of an agent:</w:t>
      </w:r>
      <w:r w:rsidR="0059361E">
        <w:t>”</w:t>
      </w:r>
      <w:r>
        <w:t xml:space="preserve"> </w:t>
      </w:r>
      <w:r w:rsidRPr="00EE24A5">
        <w:rPr>
          <w:i/>
        </w:rPr>
        <w:t>Halsbury</w:t>
      </w:r>
      <w:r w:rsidR="0059361E">
        <w:rPr>
          <w:i/>
        </w:rPr>
        <w:t>’</w:t>
      </w:r>
      <w:r w:rsidRPr="00EE24A5">
        <w:rPr>
          <w:i/>
        </w:rPr>
        <w:t>s Laws of England</w:t>
      </w:r>
      <w:r>
        <w:t xml:space="preserve">, 4th ed., vol. 1 (1973), p. 420, para. 703. However, though the terms </w:t>
      </w:r>
      <w:r w:rsidR="0059361E">
        <w:t>“</w:t>
      </w:r>
      <w:r>
        <w:t>agency</w:t>
      </w:r>
      <w:r w:rsidR="0059361E">
        <w:t>”</w:t>
      </w:r>
      <w:r>
        <w:t xml:space="preserve"> and </w:t>
      </w:r>
      <w:r w:rsidR="0059361E">
        <w:t>“</w:t>
      </w:r>
      <w:r>
        <w:t>agent</w:t>
      </w:r>
      <w:r w:rsidR="0059361E">
        <w:t>”</w:t>
      </w:r>
      <w:r>
        <w:t xml:space="preserve"> have in popular use a number of different meanings:</w:t>
      </w:r>
    </w:p>
    <w:p w14:paraId="11A38156" w14:textId="77C384DB" w:rsidR="00EE24A5" w:rsidRDefault="0059361E" w:rsidP="00EE24A5">
      <w:pPr>
        <w:pStyle w:val="Quote2"/>
        <w:spacing w:after="0"/>
      </w:pPr>
      <w:r>
        <w:lastRenderedPageBreak/>
        <w:t>“</w:t>
      </w:r>
      <w:r w:rsidR="00EE24A5">
        <w:t xml:space="preserve">in law the word </w:t>
      </w:r>
      <w:r>
        <w:t>‘</w:t>
      </w:r>
      <w:r w:rsidR="00EE24A5">
        <w:t>agency</w:t>
      </w:r>
      <w:r>
        <w:t>’</w:t>
      </w:r>
      <w:r w:rsidR="00EE24A5">
        <w:t xml:space="preserve"> is used to connote the relation[ship] which exists where one person has an authority or capacity to create legal relations between a person occupying the position of principal and third parties:</w:t>
      </w:r>
      <w:r>
        <w:t>”</w:t>
      </w:r>
      <w:r w:rsidR="00EE24A5">
        <w:t xml:space="preserve"> </w:t>
      </w:r>
      <w:r w:rsidR="00EE24A5" w:rsidRPr="00EE24A5">
        <w:rPr>
          <w:i/>
        </w:rPr>
        <w:t>Halsbury</w:t>
      </w:r>
      <w:r>
        <w:rPr>
          <w:i/>
        </w:rPr>
        <w:t>’</w:t>
      </w:r>
      <w:r w:rsidR="00EE24A5" w:rsidRPr="00EE24A5">
        <w:rPr>
          <w:i/>
        </w:rPr>
        <w:t>s Laws of England</w:t>
      </w:r>
      <w:r w:rsidR="00EE24A5">
        <w:t>, vol. 1, p. 418, para. 701.</w:t>
      </w:r>
    </w:p>
    <w:p w14:paraId="48A57B23" w14:textId="77777777" w:rsidR="00EE24A5" w:rsidRDefault="00EE24A5" w:rsidP="00EE24A5">
      <w:pPr>
        <w:pStyle w:val="Quote2"/>
      </w:pPr>
    </w:p>
    <w:p w14:paraId="0F71BEB7" w14:textId="351A938F" w:rsidR="00620634" w:rsidRDefault="0059231E" w:rsidP="00620634">
      <w:pPr>
        <w:pStyle w:val="ParaNumbering"/>
      </w:pPr>
      <w:r>
        <w:t xml:space="preserve">The Commissioner relied on </w:t>
      </w:r>
      <w:r w:rsidR="00620634" w:rsidRPr="00F73B46">
        <w:rPr>
          <w:b/>
          <w:i/>
        </w:rPr>
        <w:t>Amalgamated Wireless</w:t>
      </w:r>
      <w:r w:rsidR="00620634">
        <w:rPr>
          <w:i/>
        </w:rPr>
        <w:t xml:space="preserve"> (Australia) Ltd</w:t>
      </w:r>
      <w:r w:rsidR="00620634" w:rsidRPr="00620634">
        <w:rPr>
          <w:i/>
        </w:rPr>
        <w:t xml:space="preserve"> v McDonnell Douglas</w:t>
      </w:r>
      <w:r w:rsidR="00620634">
        <w:rPr>
          <w:i/>
        </w:rPr>
        <w:t xml:space="preserve"> Corp</w:t>
      </w:r>
      <w:r w:rsidR="00620634">
        <w:t xml:space="preserve"> (1987) 16 FCR 238, </w:t>
      </w:r>
      <w:r>
        <w:t xml:space="preserve">in which </w:t>
      </w:r>
      <w:r w:rsidR="00620634">
        <w:t xml:space="preserve">Wilcox J concluded (by way of obiter dictum) that McDonnell Douglas Corp </w:t>
      </w:r>
      <w:r w:rsidR="00BE7204">
        <w:t xml:space="preserve">(a United States corporation) </w:t>
      </w:r>
      <w:r w:rsidR="00620634">
        <w:t xml:space="preserve">did not </w:t>
      </w:r>
      <w:r w:rsidR="0059361E">
        <w:t>“</w:t>
      </w:r>
      <w:r w:rsidR="00620634">
        <w:t>as such and in person, carry on business in Australia</w:t>
      </w:r>
      <w:r w:rsidR="0059361E">
        <w:t>”</w:t>
      </w:r>
      <w:r w:rsidR="00620634">
        <w:t xml:space="preserve"> but that it did </w:t>
      </w:r>
      <w:r w:rsidR="0059361E">
        <w:t>“</w:t>
      </w:r>
      <w:r w:rsidR="00620634">
        <w:t>carry on business in Australia through its agent, McDonnell Douglas Information Systems Pty Ltd</w:t>
      </w:r>
      <w:r w:rsidR="0059361E">
        <w:t>”</w:t>
      </w:r>
      <w:r w:rsidR="00620634">
        <w:t>: at 240.</w:t>
      </w:r>
    </w:p>
    <w:p w14:paraId="19AE3385" w14:textId="77777777" w:rsidR="00620634" w:rsidRDefault="00620634" w:rsidP="00620634">
      <w:pPr>
        <w:pStyle w:val="ParaNumbering"/>
      </w:pPr>
      <w:r>
        <w:t>As to the former conclusion, his Honour explained:</w:t>
      </w:r>
    </w:p>
    <w:p w14:paraId="4AFB4244" w14:textId="579BA173" w:rsidR="00620634" w:rsidRDefault="00620634" w:rsidP="00620634">
      <w:pPr>
        <w:pStyle w:val="Quote1"/>
        <w:spacing w:after="0"/>
        <w:rPr>
          <w:w w:val="105"/>
        </w:rPr>
      </w:pPr>
      <w:r>
        <w:t xml:space="preserve">The reason why I come to the first of those two conclusions is that, although it is plain that the United States company is extremely interested in what happens in Australia and that it supervises very closely the activities in this country, providing personnel and advice and apparently also contract documents and expertise in regard to information systems, the actual business activities – that is to say the earning of income by entering into contracts – is something which is done directly by the second respondent, McDonnell Douglas Information Systems. </w:t>
      </w:r>
      <w:r w:rsidRPr="00F73B46">
        <w:rPr>
          <w:szCs w:val="22"/>
        </w:rPr>
        <w:t xml:space="preserve">If </w:t>
      </w:r>
      <w:r>
        <w:t>one were looking at financial records, I have no doubt that they would show that the income derived from the Australian activities is included on the profit and loss account of McDonnell Douglas Information Systems, as income derived by that company. There may or may not be outgoings to recompense the United States parent company for the assistance which it has given. In terms of the relationship between the McDonnell Douglas organisation and parties with whom contracts are signed, I think that it would be correct to say that they would be entitled to look to McDonnell Douglas Information Systems and, if litigation occurred, for example, to sue that company rather than McDonnell Douglas Corp. For these reasons it seems to me that the actual business activity, which is undoubtedly being carried out in regard to information systems, is with the Australian subsidiary, the second respon</w:t>
      </w:r>
      <w:r w:rsidRPr="00620634">
        <w:rPr>
          <w:w w:val="105"/>
        </w:rPr>
        <w:t>dent.</w:t>
      </w:r>
    </w:p>
    <w:p w14:paraId="242A1973" w14:textId="77777777" w:rsidR="00620634" w:rsidRPr="00620634" w:rsidRDefault="00620634" w:rsidP="00620634">
      <w:pPr>
        <w:pStyle w:val="Quote1"/>
        <w:rPr>
          <w:w w:val="105"/>
        </w:rPr>
      </w:pPr>
    </w:p>
    <w:p w14:paraId="7E1F1615" w14:textId="5EE311D7" w:rsidR="00620634" w:rsidRDefault="00620634" w:rsidP="00620634">
      <w:pPr>
        <w:pStyle w:val="ParaNumbering"/>
      </w:pPr>
      <w:r>
        <w:t>As to the latter conclusion, his Honour said</w:t>
      </w:r>
      <w:r w:rsidR="00BC400D">
        <w:t xml:space="preserve"> at 240-</w:t>
      </w:r>
      <w:r w:rsidR="00B941CA">
        <w:t>24</w:t>
      </w:r>
      <w:r w:rsidR="00BC400D">
        <w:t>1</w:t>
      </w:r>
      <w:r>
        <w:t>:</w:t>
      </w:r>
    </w:p>
    <w:p w14:paraId="099F2482" w14:textId="77777777" w:rsidR="00620634" w:rsidRDefault="00620634" w:rsidP="00620634">
      <w:pPr>
        <w:pStyle w:val="Quote1"/>
        <w:spacing w:after="0"/>
      </w:pPr>
      <w:r>
        <w:t>On the other hand, the degree of involvement of the United States parent is so great that it is impossible to characterise this as being merely a case where a company purchases shares in another company and leaves that other company to carry on its own business on its own account. McDonnell Douglas Corp is more than an investor in the Australian subsidiary; it is</w:t>
      </w:r>
      <w:r w:rsidRPr="00620634">
        <w:t xml:space="preserve"> </w:t>
      </w:r>
      <w:r>
        <w:t>concerned to use the Australian subsidiary as part of a world-wide information systems enterprise. The local company has apparently been set up to run its business as part of the world-wide McDonnell Douglas organisation; and ultimately on behalf of the parent company in America.</w:t>
      </w:r>
    </w:p>
    <w:p w14:paraId="394852E3" w14:textId="77777777" w:rsidR="00620634" w:rsidRDefault="00620634" w:rsidP="00620634">
      <w:pPr>
        <w:pStyle w:val="Quote1"/>
      </w:pPr>
    </w:p>
    <w:p w14:paraId="26A0A921" w14:textId="650C3E12" w:rsidR="00620634" w:rsidRDefault="0059231E" w:rsidP="00620634">
      <w:pPr>
        <w:pStyle w:val="ParaNumbering"/>
      </w:pPr>
      <w:r>
        <w:t xml:space="preserve">Of this decision, Merkel J observed in </w:t>
      </w:r>
      <w:r>
        <w:rPr>
          <w:i/>
        </w:rPr>
        <w:t>Bray</w:t>
      </w:r>
      <w:r w:rsidR="005A47DC">
        <w:rPr>
          <w:i/>
        </w:rPr>
        <w:t xml:space="preserve"> FCA</w:t>
      </w:r>
      <w:r>
        <w:rPr>
          <w:i/>
        </w:rPr>
        <w:t xml:space="preserve"> </w:t>
      </w:r>
      <w:r>
        <w:t>at [76]:</w:t>
      </w:r>
    </w:p>
    <w:p w14:paraId="1B72D4EA" w14:textId="6E3E38F3" w:rsidR="00AC680A" w:rsidRDefault="00AC680A" w:rsidP="00CE65D6">
      <w:pPr>
        <w:pStyle w:val="Quote1"/>
        <w:spacing w:after="0"/>
      </w:pPr>
      <w:r w:rsidRPr="00AC680A">
        <w:t>A difficulty with the approach of Wilcox J is</w:t>
      </w:r>
      <w:r>
        <w:t xml:space="preserve"> that he may have conflated the </w:t>
      </w:r>
      <w:r w:rsidRPr="00AC680A">
        <w:rPr>
          <w:i/>
          <w:iCs/>
        </w:rPr>
        <w:t xml:space="preserve">Adams </w:t>
      </w:r>
      <w:r w:rsidRPr="00F73B46">
        <w:rPr>
          <w:i/>
        </w:rPr>
        <w:t>v</w:t>
      </w:r>
      <w:r w:rsidRPr="00AC680A">
        <w:t xml:space="preserve"> </w:t>
      </w:r>
      <w:r w:rsidRPr="00AC680A">
        <w:rPr>
          <w:i/>
          <w:iCs/>
        </w:rPr>
        <w:t xml:space="preserve">Cape </w:t>
      </w:r>
      <w:r w:rsidRPr="00AC680A">
        <w:t>criteria for piercing the corporate veil (which include control</w:t>
      </w:r>
      <w:r>
        <w:t xml:space="preserve"> </w:t>
      </w:r>
      <w:r w:rsidRPr="00AC680A">
        <w:t xml:space="preserve">and its exercise) with the separate </w:t>
      </w:r>
      <w:r w:rsidRPr="00AC680A">
        <w:rPr>
          <w:i/>
          <w:iCs/>
        </w:rPr>
        <w:t xml:space="preserve">Adams v Cape </w:t>
      </w:r>
      <w:r w:rsidRPr="00AC680A">
        <w:t>criteria for agency. For</w:t>
      </w:r>
      <w:r>
        <w:t xml:space="preserve"> </w:t>
      </w:r>
      <w:r w:rsidRPr="00AC680A">
        <w:t>example, his Honour did not appear to take into account the legal requirement</w:t>
      </w:r>
      <w:r>
        <w:t xml:space="preserve"> </w:t>
      </w:r>
      <w:r w:rsidRPr="00AC680A">
        <w:t xml:space="preserve">that in this context agency connotes </w:t>
      </w:r>
      <w:r w:rsidRPr="00AC680A">
        <w:lastRenderedPageBreak/>
        <w:t>a relationship which exists where one</w:t>
      </w:r>
      <w:r>
        <w:t xml:space="preserve"> </w:t>
      </w:r>
      <w:r w:rsidRPr="00AC680A">
        <w:t>person has an authority or capacity to create legal relations between a person</w:t>
      </w:r>
      <w:r>
        <w:t xml:space="preserve"> </w:t>
      </w:r>
      <w:r w:rsidRPr="00AC680A">
        <w:t xml:space="preserve">occupying the position of principal and third parties: see </w:t>
      </w:r>
      <w:r w:rsidRPr="00AC680A">
        <w:rPr>
          <w:i/>
          <w:iCs/>
        </w:rPr>
        <w:t xml:space="preserve">Adams </w:t>
      </w:r>
      <w:r w:rsidRPr="00F73B46">
        <w:rPr>
          <w:i/>
        </w:rPr>
        <w:t>v</w:t>
      </w:r>
      <w:r w:rsidRPr="00AC680A">
        <w:t xml:space="preserve"> </w:t>
      </w:r>
      <w:r w:rsidRPr="00AC680A">
        <w:rPr>
          <w:i/>
          <w:iCs/>
        </w:rPr>
        <w:t xml:space="preserve">Cape </w:t>
      </w:r>
      <w:r w:rsidRPr="00AC680A">
        <w:t>at 529-530. That conflation may have resulted in an inconsistency between his</w:t>
      </w:r>
      <w:r>
        <w:t xml:space="preserve"> Honour</w:t>
      </w:r>
      <w:r w:rsidR="0059361E">
        <w:t>’</w:t>
      </w:r>
      <w:r w:rsidRPr="00AC680A">
        <w:t xml:space="preserve">s finding in </w:t>
      </w:r>
      <w:r w:rsidRPr="00AC680A">
        <w:rPr>
          <w:i/>
          <w:iCs/>
        </w:rPr>
        <w:t xml:space="preserve">Amalgamated Wireless </w:t>
      </w:r>
      <w:r w:rsidRPr="00AC680A">
        <w:t>at 240 that the subsidiary, rather</w:t>
      </w:r>
      <w:r>
        <w:t xml:space="preserve"> </w:t>
      </w:r>
      <w:r w:rsidRPr="00AC680A">
        <w:t>than its US parent, was the contracting entity with third parties and his later</w:t>
      </w:r>
      <w:r>
        <w:t xml:space="preserve"> </w:t>
      </w:r>
      <w:r w:rsidRPr="00AC680A">
        <w:t>conclusion as to the existence of agency. While there may be some dispute as</w:t>
      </w:r>
      <w:r>
        <w:t xml:space="preserve"> </w:t>
      </w:r>
      <w:r w:rsidRPr="00AC680A">
        <w:t>to whether Wilcox J arrived at the correct conclusion on the facts in</w:t>
      </w:r>
      <w:r>
        <w:t xml:space="preserve"> </w:t>
      </w:r>
      <w:r w:rsidRPr="00AC680A">
        <w:rPr>
          <w:i/>
          <w:iCs/>
        </w:rPr>
        <w:t xml:space="preserve">Amalgamated Wireless </w:t>
      </w:r>
      <w:r w:rsidRPr="00AC680A">
        <w:t>I do not take his Honour to be stating principles that</w:t>
      </w:r>
      <w:r>
        <w:t xml:space="preserve"> </w:t>
      </w:r>
      <w:r w:rsidRPr="00AC680A">
        <w:t xml:space="preserve">differ from those suggested in </w:t>
      </w:r>
      <w:r w:rsidRPr="00AC680A">
        <w:rPr>
          <w:i/>
          <w:iCs/>
        </w:rPr>
        <w:t xml:space="preserve">Smith, Stone </w:t>
      </w:r>
      <w:r w:rsidRPr="00AC680A">
        <w:t xml:space="preserve">or in </w:t>
      </w:r>
      <w:r w:rsidRPr="00AC680A">
        <w:rPr>
          <w:i/>
          <w:iCs/>
        </w:rPr>
        <w:t>Adams</w:t>
      </w:r>
      <w:r w:rsidR="00BD23E4">
        <w:rPr>
          <w:i/>
          <w:iCs/>
        </w:rPr>
        <w:t xml:space="preserve"> </w:t>
      </w:r>
      <w:r w:rsidR="00B941CA">
        <w:rPr>
          <w:i/>
          <w:iCs/>
        </w:rPr>
        <w:t>v</w:t>
      </w:r>
      <w:r w:rsidRPr="00AC680A">
        <w:t xml:space="preserve"> </w:t>
      </w:r>
      <w:r w:rsidRPr="00AC680A">
        <w:rPr>
          <w:i/>
          <w:iCs/>
        </w:rPr>
        <w:t xml:space="preserve">Cape, </w:t>
      </w:r>
      <w:r w:rsidRPr="00AC680A">
        <w:t>the many cases</w:t>
      </w:r>
      <w:r>
        <w:t xml:space="preserve"> </w:t>
      </w:r>
      <w:r w:rsidRPr="00AC680A">
        <w:t>that have cited those decisions, or the other decisions to which I have referred.</w:t>
      </w:r>
      <w:r>
        <w:t xml:space="preserve"> </w:t>
      </w:r>
      <w:r w:rsidRPr="00AC680A">
        <w:t xml:space="preserve">Rather, in </w:t>
      </w:r>
      <w:r w:rsidRPr="00AC680A">
        <w:rPr>
          <w:i/>
          <w:iCs/>
        </w:rPr>
        <w:t xml:space="preserve">Amalgamated Wireless </w:t>
      </w:r>
      <w:r w:rsidRPr="00AC680A">
        <w:t>his Honour made a finding of agency based</w:t>
      </w:r>
      <w:r>
        <w:t xml:space="preserve"> </w:t>
      </w:r>
      <w:r w:rsidRPr="00AC680A">
        <w:t>on his view of the facts in the particular case.</w:t>
      </w:r>
    </w:p>
    <w:p w14:paraId="1F5EE75B" w14:textId="77777777" w:rsidR="00AC680A" w:rsidRDefault="00AC680A" w:rsidP="00AC680A">
      <w:pPr>
        <w:pStyle w:val="Quote1"/>
      </w:pPr>
    </w:p>
    <w:p w14:paraId="6B19ED2F" w14:textId="5AB9E9BD" w:rsidR="002E4C49" w:rsidRDefault="000C76BE" w:rsidP="00EB16B9">
      <w:pPr>
        <w:pStyle w:val="Heading3"/>
      </w:pPr>
      <w:r>
        <w:t>D</w:t>
      </w:r>
      <w:r w:rsidR="00EB16B9">
        <w:t xml:space="preserve">.1.1  </w:t>
      </w:r>
      <w:r w:rsidR="002E4C49">
        <w:t>The narrow case</w:t>
      </w:r>
    </w:p>
    <w:p w14:paraId="5CAD198F" w14:textId="0D0A98AB" w:rsidR="002E4C49" w:rsidRDefault="002E4C49" w:rsidP="002E4C49">
      <w:pPr>
        <w:pStyle w:val="ParaNumbering"/>
      </w:pPr>
      <w:r>
        <w:t>The Commissioner</w:t>
      </w:r>
      <w:r w:rsidRPr="00C86297">
        <w:t xml:space="preserve"> submit</w:t>
      </w:r>
      <w:r>
        <w:t>ted</w:t>
      </w:r>
      <w:r w:rsidRPr="00C86297">
        <w:t xml:space="preserve"> that it </w:t>
      </w:r>
      <w:r>
        <w:t>was</w:t>
      </w:r>
      <w:r w:rsidRPr="00C86297">
        <w:t xml:space="preserve"> open to infer that Facebook Ireland</w:t>
      </w:r>
      <w:r w:rsidR="0059361E">
        <w:t>’</w:t>
      </w:r>
      <w:r w:rsidRPr="00C86297">
        <w:t xml:space="preserve">s conduct in entering into contracts with Australian users for the provision of the Facebook service was conduct carried on by Facebook Ireland on its own behalf and as agent </w:t>
      </w:r>
      <w:r w:rsidR="00446A33" w:rsidRPr="00C86297">
        <w:t xml:space="preserve">of Facebook </w:t>
      </w:r>
      <w:proofErr w:type="spellStart"/>
      <w:r w:rsidR="00446A33" w:rsidRPr="00C86297">
        <w:t>Inc</w:t>
      </w:r>
      <w:proofErr w:type="spellEnd"/>
      <w:r w:rsidR="00446A33" w:rsidRPr="00C86297">
        <w:t xml:space="preserve"> </w:t>
      </w:r>
      <w:r w:rsidRPr="00C86297">
        <w:t xml:space="preserve">in </w:t>
      </w:r>
      <w:r w:rsidR="00446A33">
        <w:t>the</w:t>
      </w:r>
      <w:r w:rsidRPr="00C86297">
        <w:t xml:space="preserve"> </w:t>
      </w:r>
      <w:r w:rsidR="00BE7204">
        <w:t>narrow</w:t>
      </w:r>
      <w:r w:rsidRPr="00C86297">
        <w:t xml:space="preserve"> sense</w:t>
      </w:r>
      <w:r w:rsidR="00446A33">
        <w:t xml:space="preserve"> of a</w:t>
      </w:r>
      <w:r w:rsidR="00BE7204">
        <w:t>n entity</w:t>
      </w:r>
      <w:r w:rsidR="00446A33">
        <w:t xml:space="preserve"> with legal capacity to bind its principal</w:t>
      </w:r>
      <w:r w:rsidRPr="00C86297">
        <w:t xml:space="preserve">. </w:t>
      </w:r>
      <w:r w:rsidR="00B952AD">
        <w:t xml:space="preserve"> </w:t>
      </w:r>
      <w:r>
        <w:t xml:space="preserve">This submission was </w:t>
      </w:r>
      <w:r w:rsidR="00BE7204">
        <w:t xml:space="preserve">primarily </w:t>
      </w:r>
      <w:r>
        <w:t>based on the S</w:t>
      </w:r>
      <w:r w:rsidRPr="00C86297">
        <w:t>tatement</w:t>
      </w:r>
      <w:r>
        <w:t>s</w:t>
      </w:r>
      <w:r w:rsidRPr="00C86297">
        <w:t xml:space="preserve"> of </w:t>
      </w:r>
      <w:r>
        <w:t>Ri</w:t>
      </w:r>
      <w:r w:rsidRPr="00C86297">
        <w:t xml:space="preserve">ghts and </w:t>
      </w:r>
      <w:r>
        <w:t>R</w:t>
      </w:r>
      <w:r w:rsidRPr="00C86297">
        <w:t>esponsibilities</w:t>
      </w:r>
      <w:r>
        <w:t xml:space="preserve"> being the contracts </w:t>
      </w:r>
      <w:r w:rsidR="00446A33">
        <w:t xml:space="preserve">between the relevant Facebook entity and </w:t>
      </w:r>
      <w:r>
        <w:t>users.</w:t>
      </w:r>
      <w:r w:rsidRPr="00C86297">
        <w:t xml:space="preserve"> </w:t>
      </w:r>
    </w:p>
    <w:p w14:paraId="77BA7BF5" w14:textId="7EA3D697" w:rsidR="002E4C49" w:rsidRDefault="002E4C49" w:rsidP="002E4C49">
      <w:pPr>
        <w:pStyle w:val="ParaNumbering"/>
      </w:pPr>
      <w:r>
        <w:t>There were two Statements of Rights and Responsibilities in evidence, one last revised on 15 November 2013 (</w:t>
      </w:r>
      <w:r w:rsidRPr="00AB7C10">
        <w:rPr>
          <w:b/>
        </w:rPr>
        <w:t xml:space="preserve">2013 </w:t>
      </w:r>
      <w:r>
        <w:rPr>
          <w:b/>
        </w:rPr>
        <w:t>Statement</w:t>
      </w:r>
      <w:r>
        <w:t>) and the other on 30 January 2015 (</w:t>
      </w:r>
      <w:r w:rsidRPr="00AB7C10">
        <w:rPr>
          <w:b/>
        </w:rPr>
        <w:t xml:space="preserve">2015 </w:t>
      </w:r>
      <w:r>
        <w:rPr>
          <w:b/>
        </w:rPr>
        <w:t>Statement</w:t>
      </w:r>
      <w:r>
        <w:t xml:space="preserve">).  It was not contended that there were significant differences </w:t>
      </w:r>
      <w:r w:rsidR="00B16B19">
        <w:t xml:space="preserve">of relevance </w:t>
      </w:r>
      <w:r>
        <w:t>between the two Statements.  The 2013 Statement beg</w:t>
      </w:r>
      <w:r w:rsidR="00D12997">
        <w:t>a</w:t>
      </w:r>
      <w:r>
        <w:t>n with the following</w:t>
      </w:r>
      <w:r w:rsidR="00D12997">
        <w:t>, which was</w:t>
      </w:r>
      <w:r w:rsidR="00DB059B">
        <w:t xml:space="preserve"> </w:t>
      </w:r>
      <w:r w:rsidR="00916668">
        <w:t>repeated</w:t>
      </w:r>
      <w:r w:rsidR="00D12997">
        <w:t xml:space="preserve"> in substantially similar terms in the 2015 Statement</w:t>
      </w:r>
      <w:r>
        <w:t>:</w:t>
      </w:r>
    </w:p>
    <w:p w14:paraId="48324D41" w14:textId="6E6C6A12" w:rsidR="002E4C49" w:rsidRDefault="002E4C49" w:rsidP="002E4C49">
      <w:pPr>
        <w:pStyle w:val="Quote1"/>
        <w:spacing w:after="0"/>
      </w:pPr>
      <w:r>
        <w:t>This Statement of Rights and Responsibilities (</w:t>
      </w:r>
      <w:r w:rsidR="0059361E">
        <w:t>“</w:t>
      </w:r>
      <w:r>
        <w:t>Statement,</w:t>
      </w:r>
      <w:r w:rsidR="0059361E">
        <w:t>”</w:t>
      </w:r>
      <w:r>
        <w:t xml:space="preserve"> </w:t>
      </w:r>
      <w:r w:rsidR="0059361E">
        <w:t>“</w:t>
      </w:r>
      <w:r>
        <w:t>Terms,</w:t>
      </w:r>
      <w:r w:rsidR="0059361E">
        <w:t>”</w:t>
      </w:r>
      <w:r>
        <w:t xml:space="preserve"> or </w:t>
      </w:r>
      <w:r w:rsidR="0059361E">
        <w:t>“</w:t>
      </w:r>
      <w:r>
        <w:t>SRR</w:t>
      </w:r>
      <w:r w:rsidR="0059361E">
        <w:t>”</w:t>
      </w:r>
      <w:r>
        <w:t xml:space="preserve">) derives from the </w:t>
      </w:r>
      <w:r w:rsidR="00D12997" w:rsidRPr="00F73B46">
        <w:t>Facebook Principles</w:t>
      </w:r>
      <w:r w:rsidRPr="00AB7C10">
        <w:rPr>
          <w:color w:val="000000"/>
        </w:rPr>
        <w:t xml:space="preserve">, and is our terms of service that governs our relationship with users and others who interact with Facebook. By using or accessing Facebook, you agree to this Statement, as updated from time to time in accordance with Section 14 below.  </w:t>
      </w:r>
      <w:r>
        <w:t>Additionally, you will find resources at the end of this document that help you understand how Facebook works.</w:t>
      </w:r>
    </w:p>
    <w:p w14:paraId="4CCA9C24" w14:textId="77777777" w:rsidR="002E4C49" w:rsidRDefault="002E4C49" w:rsidP="002E4C49">
      <w:pPr>
        <w:pStyle w:val="Quote1"/>
      </w:pPr>
    </w:p>
    <w:p w14:paraId="13D4EFA4" w14:textId="6D5BDDE6" w:rsidR="002E4C49" w:rsidRDefault="0059361E" w:rsidP="002E4C49">
      <w:pPr>
        <w:pStyle w:val="ParaNumbering"/>
      </w:pPr>
      <w:r>
        <w:t>“</w:t>
      </w:r>
      <w:r w:rsidR="002E4C49">
        <w:t>Facebook</w:t>
      </w:r>
      <w:r>
        <w:t>”</w:t>
      </w:r>
      <w:r w:rsidR="002E4C49">
        <w:t xml:space="preserve"> was defined in </w:t>
      </w:r>
      <w:r w:rsidR="00595C84">
        <w:t>s 18(1) of the 2013 Statement (</w:t>
      </w:r>
      <w:r w:rsidR="005D6514">
        <w:t xml:space="preserve">and in substantially similar terms in </w:t>
      </w:r>
      <w:r w:rsidR="00595C84">
        <w:t>s</w:t>
      </w:r>
      <w:r w:rsidR="002E4C49">
        <w:t> 17(1) of the 2015 Statement) in the following way:</w:t>
      </w:r>
    </w:p>
    <w:p w14:paraId="6AFA22E5" w14:textId="502E2142" w:rsidR="002E4C49" w:rsidRDefault="002E4C49" w:rsidP="00446A33">
      <w:pPr>
        <w:pStyle w:val="Quote1"/>
        <w:widowControl/>
        <w:spacing w:after="0"/>
      </w:pPr>
      <w:r>
        <w:t xml:space="preserve">By </w:t>
      </w:r>
      <w:r w:rsidR="0059361E">
        <w:t>“</w:t>
      </w:r>
      <w:r>
        <w:t>Facebook</w:t>
      </w:r>
      <w:r w:rsidR="0059361E">
        <w:t>”</w:t>
      </w:r>
      <w:r>
        <w:t xml:space="preserve"> we mean the features and services we make available, including through (a) our website at </w:t>
      </w:r>
      <w:r w:rsidR="00432CF7" w:rsidRPr="00F73B46">
        <w:t>www.facebook.com</w:t>
      </w:r>
      <w:r w:rsidR="000C3591" w:rsidRPr="000C3591">
        <w:t xml:space="preserve"> </w:t>
      </w:r>
      <w:r>
        <w:t>and any other Facebook branded or co-branded websites (including sub-domains, international versions, widgets, and mobile versions); (b) our Platform; (c) social plugins such as the Like button, the Share button and other similar offerings and (d) other media, software (such as a toolbar), devices or networks now existing or later developed.</w:t>
      </w:r>
    </w:p>
    <w:p w14:paraId="19198D80" w14:textId="77777777" w:rsidR="002E4C49" w:rsidRDefault="002E4C49" w:rsidP="002E4C49">
      <w:pPr>
        <w:pStyle w:val="Quote1"/>
      </w:pPr>
    </w:p>
    <w:p w14:paraId="045626F8" w14:textId="1F1F9865" w:rsidR="002E4C49" w:rsidRDefault="00E317C6" w:rsidP="002E4C49">
      <w:pPr>
        <w:pStyle w:val="ParaNumbering"/>
      </w:pPr>
      <w:r>
        <w:lastRenderedPageBreak/>
        <w:t>Section</w:t>
      </w:r>
      <w:r w:rsidR="002E4C49">
        <w:t xml:space="preserve"> 17</w:t>
      </w:r>
      <w:r w:rsidR="00F679D3">
        <w:t xml:space="preserve"> of the 2013 Statement</w:t>
      </w:r>
      <w:r w:rsidR="002E4C49">
        <w:t xml:space="preserve"> </w:t>
      </w:r>
      <w:r w:rsidR="00F679D3">
        <w:t xml:space="preserve">(s 16 of the 2015 Statement) </w:t>
      </w:r>
      <w:r w:rsidR="002E4C49">
        <w:t>included:</w:t>
      </w:r>
    </w:p>
    <w:p w14:paraId="7821A5CC" w14:textId="77777777" w:rsidR="002E4C49" w:rsidRPr="00957525" w:rsidRDefault="002E4C49" w:rsidP="002E4C49">
      <w:pPr>
        <w:pStyle w:val="Quote1"/>
        <w:rPr>
          <w:b/>
        </w:rPr>
      </w:pPr>
      <w:r w:rsidRPr="00957525">
        <w:rPr>
          <w:b/>
        </w:rPr>
        <w:t>17.</w:t>
      </w:r>
      <w:r w:rsidRPr="00957525">
        <w:rPr>
          <w:b/>
        </w:rPr>
        <w:tab/>
        <w:t>Special Provisions Applicable to Users Outside the United States</w:t>
      </w:r>
    </w:p>
    <w:p w14:paraId="3DE27BAB" w14:textId="77777777" w:rsidR="002E4C49" w:rsidRDefault="002E4C49" w:rsidP="002E4C49">
      <w:pPr>
        <w:pStyle w:val="Quote1"/>
        <w:widowControl/>
      </w:pPr>
      <w:r>
        <w:t>We strive to create a global community with consistent standards for everyone, but we also strive to respect local laws. The following provisions apply to users and non-users who interact with Facebook outside the United States:</w:t>
      </w:r>
    </w:p>
    <w:p w14:paraId="34AF3300" w14:textId="77777777" w:rsidR="002E4C49" w:rsidRDefault="002E4C49" w:rsidP="00B952AD">
      <w:pPr>
        <w:pStyle w:val="Quote1"/>
        <w:widowControl/>
        <w:spacing w:after="0"/>
        <w:ind w:left="1417" w:hanging="680"/>
      </w:pPr>
      <w:r>
        <w:t xml:space="preserve">1. </w:t>
      </w:r>
      <w:r>
        <w:tab/>
        <w:t>You consent to having your personal data transferred to and processed in the United S</w:t>
      </w:r>
      <w:r w:rsidR="00B952AD">
        <w:t>tates …</w:t>
      </w:r>
    </w:p>
    <w:p w14:paraId="404465B6" w14:textId="77777777" w:rsidR="002E4C49" w:rsidRDefault="002E4C49" w:rsidP="002E4C49">
      <w:pPr>
        <w:pStyle w:val="Quote1"/>
        <w:widowControl/>
        <w:ind w:left="1418" w:hanging="681"/>
      </w:pPr>
    </w:p>
    <w:p w14:paraId="1AFEC160" w14:textId="2E4E3F4A" w:rsidR="002E4C49" w:rsidRDefault="00E317C6" w:rsidP="002E4C49">
      <w:pPr>
        <w:pStyle w:val="ParaNumbering"/>
      </w:pPr>
      <w:r>
        <w:t>Section</w:t>
      </w:r>
      <w:r w:rsidR="002E4C49">
        <w:t xml:space="preserve"> 19 of the 2013 Statement </w:t>
      </w:r>
      <w:r>
        <w:t>(s</w:t>
      </w:r>
      <w:r w:rsidR="00B952AD">
        <w:t xml:space="preserve"> 18 of the 2015 Statement) </w:t>
      </w:r>
      <w:r w:rsidR="002E4C49">
        <w:t>include</w:t>
      </w:r>
      <w:r w:rsidR="00B952AD">
        <w:t>d</w:t>
      </w:r>
      <w:r w:rsidR="002E4C49">
        <w:t>:</w:t>
      </w:r>
    </w:p>
    <w:p w14:paraId="3A4D3394" w14:textId="77777777" w:rsidR="002E4C49" w:rsidRPr="001A71DB" w:rsidRDefault="002E4C49" w:rsidP="002E4C49">
      <w:pPr>
        <w:pStyle w:val="Quote1"/>
        <w:ind w:left="1418" w:hanging="681"/>
        <w:rPr>
          <w:b/>
          <w:lang w:eastAsia="en-AU"/>
        </w:rPr>
      </w:pPr>
      <w:r w:rsidRPr="001A71DB">
        <w:rPr>
          <w:b/>
          <w:lang w:eastAsia="en-AU"/>
        </w:rPr>
        <w:t xml:space="preserve">19. </w:t>
      </w:r>
      <w:r>
        <w:rPr>
          <w:b/>
          <w:lang w:eastAsia="en-AU"/>
        </w:rPr>
        <w:tab/>
      </w:r>
      <w:r w:rsidRPr="001A71DB">
        <w:rPr>
          <w:b/>
          <w:lang w:eastAsia="en-AU"/>
        </w:rPr>
        <w:t>Other</w:t>
      </w:r>
    </w:p>
    <w:p w14:paraId="3EC074FB" w14:textId="6B70E14D" w:rsidR="002E4C49" w:rsidRDefault="002E4C49" w:rsidP="002E4C49">
      <w:pPr>
        <w:pStyle w:val="Quote1"/>
        <w:ind w:left="1418" w:hanging="681"/>
        <w:rPr>
          <w:lang w:eastAsia="en-AU"/>
        </w:rPr>
      </w:pPr>
      <w:r>
        <w:rPr>
          <w:lang w:eastAsia="en-AU"/>
        </w:rPr>
        <w:t xml:space="preserve">1. </w:t>
      </w:r>
      <w:r>
        <w:rPr>
          <w:lang w:eastAsia="en-AU"/>
        </w:rPr>
        <w:tab/>
        <w:t xml:space="preserve">If you are a resident of or have your principal place of business in the US or Canada, this Statement is an agreement between you and Facebook, Inc. Otherwise, this Statement is an agreement between you and Facebook Ireland Limited. References to </w:t>
      </w:r>
      <w:r w:rsidR="0059361E">
        <w:rPr>
          <w:lang w:eastAsia="en-AU"/>
        </w:rPr>
        <w:t>“</w:t>
      </w:r>
      <w:r>
        <w:rPr>
          <w:lang w:eastAsia="en-AU"/>
        </w:rPr>
        <w:t>us,</w:t>
      </w:r>
      <w:r w:rsidR="0059361E">
        <w:rPr>
          <w:lang w:eastAsia="en-AU"/>
        </w:rPr>
        <w:t>”</w:t>
      </w:r>
      <w:r>
        <w:rPr>
          <w:lang w:eastAsia="en-AU"/>
        </w:rPr>
        <w:t xml:space="preserve"> </w:t>
      </w:r>
      <w:r w:rsidR="0059361E">
        <w:rPr>
          <w:lang w:eastAsia="en-AU"/>
        </w:rPr>
        <w:t>“</w:t>
      </w:r>
      <w:r>
        <w:rPr>
          <w:lang w:eastAsia="en-AU"/>
        </w:rPr>
        <w:t>we,</w:t>
      </w:r>
      <w:r w:rsidR="0059361E">
        <w:rPr>
          <w:lang w:eastAsia="en-AU"/>
        </w:rPr>
        <w:t>”</w:t>
      </w:r>
      <w:r>
        <w:rPr>
          <w:lang w:eastAsia="en-AU"/>
        </w:rPr>
        <w:t xml:space="preserve"> and </w:t>
      </w:r>
      <w:r w:rsidR="0059361E">
        <w:rPr>
          <w:lang w:eastAsia="en-AU"/>
        </w:rPr>
        <w:t>“</w:t>
      </w:r>
      <w:r>
        <w:rPr>
          <w:lang w:eastAsia="en-AU"/>
        </w:rPr>
        <w:t>our</w:t>
      </w:r>
      <w:r w:rsidR="0059361E">
        <w:rPr>
          <w:lang w:eastAsia="en-AU"/>
        </w:rPr>
        <w:t>”</w:t>
      </w:r>
      <w:r>
        <w:rPr>
          <w:lang w:eastAsia="en-AU"/>
        </w:rPr>
        <w:t xml:space="preserve"> mean either Facebook, Inc. or Facebook Ireland Limited, as appropriate.</w:t>
      </w:r>
    </w:p>
    <w:p w14:paraId="78548E35" w14:textId="14BED066" w:rsidR="002E4C49" w:rsidRDefault="002E4C49" w:rsidP="002E4C49">
      <w:pPr>
        <w:pStyle w:val="Quote1"/>
        <w:spacing w:after="0"/>
        <w:ind w:left="1417" w:hanging="680"/>
        <w:rPr>
          <w:lang w:eastAsia="en-AU"/>
        </w:rPr>
      </w:pPr>
      <w:r>
        <w:rPr>
          <w:lang w:eastAsia="en-AU"/>
        </w:rPr>
        <w:t xml:space="preserve">2. </w:t>
      </w:r>
      <w:r>
        <w:rPr>
          <w:lang w:eastAsia="en-AU"/>
        </w:rPr>
        <w:tab/>
        <w:t>This Statement makes up the entire agreement between the parties regarding Facebook, and supersedes any prior agreements</w:t>
      </w:r>
      <w:r w:rsidR="00F679D3">
        <w:rPr>
          <w:lang w:eastAsia="en-AU"/>
        </w:rPr>
        <w:t xml:space="preserve"> … </w:t>
      </w:r>
    </w:p>
    <w:p w14:paraId="5EE07CF7" w14:textId="77777777" w:rsidR="002E4C49" w:rsidRDefault="002E4C49" w:rsidP="002E4C49">
      <w:pPr>
        <w:pStyle w:val="Quote1"/>
        <w:ind w:left="1418" w:hanging="681"/>
      </w:pPr>
    </w:p>
    <w:p w14:paraId="4BF3E8CC" w14:textId="774D9059" w:rsidR="00BE7204" w:rsidRDefault="00F4546E" w:rsidP="003617EF">
      <w:pPr>
        <w:pStyle w:val="ParaNumbering"/>
      </w:pPr>
      <w:r>
        <w:t xml:space="preserve">The Commissioner observed that </w:t>
      </w:r>
      <w:r w:rsidR="00595C84">
        <w:t xml:space="preserve">both Facebook </w:t>
      </w:r>
      <w:proofErr w:type="spellStart"/>
      <w:r w:rsidR="00595C84">
        <w:t>Inc</w:t>
      </w:r>
      <w:proofErr w:type="spellEnd"/>
      <w:r w:rsidR="00595C84">
        <w:t xml:space="preserve"> and Facebook Ireland offer the same website, namely </w:t>
      </w:r>
      <w:r w:rsidR="0062195C" w:rsidRPr="00F73B46">
        <w:t>www.facebook.com</w:t>
      </w:r>
      <w:r w:rsidR="00595C84">
        <w:t xml:space="preserve"> and that </w:t>
      </w:r>
      <w:r>
        <w:t xml:space="preserve">the domain name Facebook.com was owned by Facebook Inc.  </w:t>
      </w:r>
    </w:p>
    <w:p w14:paraId="117BC08B" w14:textId="23883368" w:rsidR="006B4294" w:rsidRDefault="002E4C49" w:rsidP="003617EF">
      <w:pPr>
        <w:pStyle w:val="ParaNumbering"/>
      </w:pPr>
      <w:r>
        <w:t>The Commissioner</w:t>
      </w:r>
      <w:r w:rsidR="00337C3A">
        <w:t xml:space="preserve"> </w:t>
      </w:r>
      <w:r w:rsidR="00595C84">
        <w:t xml:space="preserve">made the following </w:t>
      </w:r>
      <w:r w:rsidR="006B4294">
        <w:t>submissions.  T</w:t>
      </w:r>
      <w:r w:rsidR="00F4546E">
        <w:t xml:space="preserve">here was a prima facie case that Facebook Ireland provided the website on behalf of Facebook </w:t>
      </w:r>
      <w:proofErr w:type="spellStart"/>
      <w:r w:rsidR="00F4546E">
        <w:t>Inc</w:t>
      </w:r>
      <w:proofErr w:type="spellEnd"/>
      <w:r w:rsidR="00F4546E">
        <w:t xml:space="preserve"> or that Facebook Ireland di</w:t>
      </w:r>
      <w:r w:rsidR="00595C84">
        <w:t>d not provide the service alone</w:t>
      </w:r>
      <w:r w:rsidR="006B4294">
        <w:t>.  O</w:t>
      </w:r>
      <w:r w:rsidR="00B952AD">
        <w:t xml:space="preserve">bjectively construed, one </w:t>
      </w:r>
      <w:r>
        <w:t>would not understand</w:t>
      </w:r>
      <w:r w:rsidR="00BE7204">
        <w:t xml:space="preserve"> from the 2013 o</w:t>
      </w:r>
      <w:r w:rsidR="00D316C3">
        <w:t>r</w:t>
      </w:r>
      <w:r w:rsidR="00BE7204">
        <w:t xml:space="preserve"> 2015 Statements</w:t>
      </w:r>
      <w:r>
        <w:t xml:space="preserve"> that Facebook Ireland alone was making available to the user </w:t>
      </w:r>
      <w:r w:rsidR="0059361E">
        <w:t>“</w:t>
      </w:r>
      <w:r>
        <w:t>our website at Facebook.com and any other Facebook-branded or co-branded websites</w:t>
      </w:r>
      <w:r w:rsidR="0059361E">
        <w:t>”</w:t>
      </w:r>
      <w:r w:rsidR="00BE7204">
        <w:t>:</w:t>
      </w:r>
      <w:r w:rsidR="00337C3A">
        <w:t xml:space="preserve"> </w:t>
      </w:r>
      <w:r w:rsidR="00E317C6">
        <w:t>s</w:t>
      </w:r>
      <w:r w:rsidR="006B4294">
        <w:t> 18(1).  I</w:t>
      </w:r>
      <w:r w:rsidR="00337C3A" w:rsidRPr="00C86297">
        <w:t xml:space="preserve">t was Facebook </w:t>
      </w:r>
      <w:proofErr w:type="spellStart"/>
      <w:r w:rsidR="00337C3A" w:rsidRPr="00C86297">
        <w:t>Inc</w:t>
      </w:r>
      <w:r w:rsidR="00337C3A">
        <w:t>’</w:t>
      </w:r>
      <w:r w:rsidR="00337C3A" w:rsidRPr="00C86297">
        <w:t>s</w:t>
      </w:r>
      <w:proofErr w:type="spellEnd"/>
      <w:r w:rsidR="00337C3A" w:rsidRPr="00C86297">
        <w:t xml:space="preserve"> website</w:t>
      </w:r>
      <w:r w:rsidR="00337C3A">
        <w:t>, not Facebook Ireland’s website</w:t>
      </w:r>
      <w:r w:rsidR="00595C84">
        <w:t>; t</w:t>
      </w:r>
      <w:r w:rsidR="00337C3A">
        <w:t xml:space="preserve">he </w:t>
      </w:r>
      <w:r w:rsidR="00337C3A" w:rsidRPr="00C86297">
        <w:t xml:space="preserve">reference to </w:t>
      </w:r>
      <w:r w:rsidR="00337C3A">
        <w:t>“</w:t>
      </w:r>
      <w:r w:rsidR="00337C3A" w:rsidRPr="00C86297">
        <w:t>any other Facebook-branded or cobranded website</w:t>
      </w:r>
      <w:r w:rsidR="00337C3A">
        <w:t>”</w:t>
      </w:r>
      <w:r w:rsidR="00337C3A" w:rsidRPr="00C86297">
        <w:t xml:space="preserve"> </w:t>
      </w:r>
      <w:r w:rsidR="00337C3A">
        <w:t>should</w:t>
      </w:r>
      <w:r w:rsidR="00337C3A" w:rsidRPr="00C86297">
        <w:t xml:space="preserve"> be read as a reference to all Facebook-branded websites worldwide</w:t>
      </w:r>
      <w:r w:rsidR="006B4294">
        <w:t>.</w:t>
      </w:r>
      <w:r w:rsidR="006960A1">
        <w:t xml:space="preserve"> </w:t>
      </w:r>
      <w:r w:rsidR="00595C84">
        <w:t xml:space="preserve"> </w:t>
      </w:r>
      <w:r w:rsidR="006B4294">
        <w:t>Section</w:t>
      </w:r>
      <w:r w:rsidR="00E317C6">
        <w:t> 19(1)</w:t>
      </w:r>
      <w:r w:rsidR="006960A1">
        <w:t xml:space="preserve"> of the 2013 Statement</w:t>
      </w:r>
      <w:r w:rsidR="00E317C6">
        <w:t xml:space="preserve">, when read with </w:t>
      </w:r>
      <w:proofErr w:type="spellStart"/>
      <w:r w:rsidR="00E317C6">
        <w:t>ss</w:t>
      </w:r>
      <w:proofErr w:type="spellEnd"/>
      <w:r w:rsidR="00AD69C4">
        <w:t> 17(1) and 18(1), left open an inference that Facebook Ireland was not contracting with an Australian user solely as principal</w:t>
      </w:r>
      <w:r w:rsidR="00F4546E">
        <w:t>.</w:t>
      </w:r>
      <w:r w:rsidR="006B4294">
        <w:t xml:space="preserve">  Whilst s 19(1) made it clear that Australian users were contracting with Facebook Ireland, it left open the capacity in which Facebook Ireland was so contracting – namely whether it was so contracting as principal or also as agent for Facebook Inc.  When assessed with the fact that the website is owned by Facebook </w:t>
      </w:r>
      <w:proofErr w:type="spellStart"/>
      <w:r w:rsidR="006B4294">
        <w:t>Inc</w:t>
      </w:r>
      <w:proofErr w:type="spellEnd"/>
      <w:r w:rsidR="006B4294">
        <w:t xml:space="preserve"> and</w:t>
      </w:r>
      <w:r w:rsidR="005937A9">
        <w:t xml:space="preserve"> that</w:t>
      </w:r>
      <w:r w:rsidR="006B4294">
        <w:t xml:space="preserve"> Facebook </w:t>
      </w:r>
      <w:proofErr w:type="spellStart"/>
      <w:r w:rsidR="006B4294">
        <w:t>Inc</w:t>
      </w:r>
      <w:proofErr w:type="spellEnd"/>
      <w:r w:rsidR="006B4294">
        <w:t xml:space="preserve"> and Facebook Ireland are offering the same website, the possibility is left open that a user is dealing with Facebook </w:t>
      </w:r>
      <w:proofErr w:type="spellStart"/>
      <w:r w:rsidR="006B4294">
        <w:t>Inc</w:t>
      </w:r>
      <w:proofErr w:type="spellEnd"/>
      <w:r w:rsidR="006B4294">
        <w:t xml:space="preserve"> through Facebook Ireland.</w:t>
      </w:r>
    </w:p>
    <w:p w14:paraId="1605CAC3" w14:textId="0F82F350" w:rsidR="00595C84" w:rsidRDefault="002E4C49" w:rsidP="003617EF">
      <w:pPr>
        <w:pStyle w:val="ParaNumbering"/>
      </w:pPr>
      <w:r>
        <w:lastRenderedPageBreak/>
        <w:t>F</w:t>
      </w:r>
      <w:r w:rsidR="00B952AD">
        <w:t xml:space="preserve">acebook </w:t>
      </w:r>
      <w:proofErr w:type="spellStart"/>
      <w:r w:rsidR="00B952AD">
        <w:t>Inc</w:t>
      </w:r>
      <w:proofErr w:type="spellEnd"/>
      <w:r w:rsidR="00B952AD">
        <w:t xml:space="preserve"> </w:t>
      </w:r>
      <w:r w:rsidR="006B4294">
        <w:t>made the following submissions.  T</w:t>
      </w:r>
      <w:r>
        <w:t xml:space="preserve">he meaning of the words </w:t>
      </w:r>
      <w:r w:rsidR="0059361E">
        <w:t>“</w:t>
      </w:r>
      <w:r>
        <w:t>we</w:t>
      </w:r>
      <w:r w:rsidR="0059361E">
        <w:t>”</w:t>
      </w:r>
      <w:r>
        <w:t xml:space="preserve"> and </w:t>
      </w:r>
      <w:r w:rsidR="0059361E">
        <w:t>“</w:t>
      </w:r>
      <w:r>
        <w:t>our</w:t>
      </w:r>
      <w:r w:rsidR="0059361E">
        <w:t>”</w:t>
      </w:r>
      <w:r w:rsidR="00E317C6">
        <w:t xml:space="preserve"> in s</w:t>
      </w:r>
      <w:r w:rsidR="00B952AD">
        <w:t xml:space="preserve"> 18(1) </w:t>
      </w:r>
      <w:r w:rsidR="00152BCE">
        <w:t>had to</w:t>
      </w:r>
      <w:r>
        <w:t xml:space="preserve"> be read with </w:t>
      </w:r>
      <w:r w:rsidR="00E317C6">
        <w:t>s</w:t>
      </w:r>
      <w:r>
        <w:t xml:space="preserve"> 19(1), namely as referring either to Facebook </w:t>
      </w:r>
      <w:proofErr w:type="spellStart"/>
      <w:r>
        <w:t>Inc</w:t>
      </w:r>
      <w:proofErr w:type="spellEnd"/>
      <w:r>
        <w:t xml:space="preserve"> or Facebook Ireland depending on the user</w:t>
      </w:r>
      <w:r w:rsidR="0059361E">
        <w:t>’</w:t>
      </w:r>
      <w:r>
        <w:t>s residency or usual place of business</w:t>
      </w:r>
      <w:r w:rsidR="00595C84">
        <w:t xml:space="preserve">; </w:t>
      </w:r>
      <w:r w:rsidR="00E317C6">
        <w:t>s 19(1) was clear: if you are an Australian user your contract is with Facebook Ireland not with Facebook Inc</w:t>
      </w:r>
      <w:r w:rsidR="006B4294">
        <w:t>.  The</w:t>
      </w:r>
      <w:r w:rsidR="00595C84">
        <w:t xml:space="preserve"> fact that the domain name might be owned by </w:t>
      </w:r>
      <w:r w:rsidR="006B4294">
        <w:t xml:space="preserve">Facebook </w:t>
      </w:r>
      <w:proofErr w:type="spellStart"/>
      <w:r w:rsidR="006B4294">
        <w:t>Inc</w:t>
      </w:r>
      <w:proofErr w:type="spellEnd"/>
      <w:r w:rsidR="00595C84">
        <w:t xml:space="preserve"> was irrelevant; there was nothing unusual about a company in a group citing domain names in the ownership of other companies within the group and referring to the website as “our website”.  Facebook </w:t>
      </w:r>
      <w:proofErr w:type="spellStart"/>
      <w:r w:rsidR="00595C84">
        <w:t>Inc</w:t>
      </w:r>
      <w:proofErr w:type="spellEnd"/>
      <w:r w:rsidR="00595C84">
        <w:t xml:space="preserve"> also pointed to the following clause in the </w:t>
      </w:r>
      <w:r w:rsidR="00205CE2">
        <w:t xml:space="preserve">2013 </w:t>
      </w:r>
      <w:r w:rsidR="00595C84">
        <w:t xml:space="preserve">Data Use Policy (discussed further below): </w:t>
      </w:r>
    </w:p>
    <w:p w14:paraId="77404878" w14:textId="77777777" w:rsidR="00595C84" w:rsidRPr="004B3BFD" w:rsidRDefault="00595C84" w:rsidP="00595C84">
      <w:pPr>
        <w:pStyle w:val="Quote1"/>
        <w:keepNext/>
        <w:rPr>
          <w:b/>
        </w:rPr>
      </w:pPr>
      <w:r w:rsidRPr="004B3BFD">
        <w:rPr>
          <w:b/>
        </w:rPr>
        <w:t>Information for users outside of the United States and Canada</w:t>
      </w:r>
    </w:p>
    <w:p w14:paraId="7829152F" w14:textId="77777777" w:rsidR="00595C84" w:rsidRDefault="00595C84" w:rsidP="00595C84">
      <w:pPr>
        <w:pStyle w:val="Quote1"/>
        <w:widowControl/>
        <w:spacing w:after="0"/>
      </w:pPr>
      <w:r>
        <w:t>Company Information: The website</w:t>
      </w:r>
      <w:hyperlink r:id="rId11" w:history="1">
        <w:r>
          <w:t xml:space="preserve"> under www.facebook.com</w:t>
        </w:r>
      </w:hyperlink>
      <w:r>
        <w:t xml:space="preserve"> and the services on these pages are being offered to users outside of the U.S. and Canada by Facebook Ireland Ltd., Hanover Reach, 5-7 Hanover Quay, Dublin 2 Ireland. The company Facebook Ireland Ltd. has been established and registered in Ireland as a private limited company, Company Number: 462932, and is the data controller responsible for your personal information …</w:t>
      </w:r>
    </w:p>
    <w:p w14:paraId="5B1E9400" w14:textId="77777777" w:rsidR="00595C84" w:rsidRDefault="00595C84" w:rsidP="00595C84">
      <w:pPr>
        <w:pStyle w:val="Quote1"/>
      </w:pPr>
    </w:p>
    <w:p w14:paraId="52AB00B5" w14:textId="157B5A77" w:rsidR="00A547D1" w:rsidRDefault="00A547D1" w:rsidP="00D316C3">
      <w:pPr>
        <w:pStyle w:val="Heading3"/>
      </w:pPr>
      <w:bookmarkStart w:id="26" w:name="_Ref50124481"/>
      <w:r>
        <w:t>D.1.2  Conclusion: the narrow agency case</w:t>
      </w:r>
    </w:p>
    <w:p w14:paraId="080839D1" w14:textId="791405E5" w:rsidR="00345EBE" w:rsidRDefault="006B4294" w:rsidP="00B952AD">
      <w:pPr>
        <w:pStyle w:val="ParaNumbering"/>
      </w:pPr>
      <w:bookmarkStart w:id="27" w:name="_Ref50642446"/>
      <w:r>
        <w:t xml:space="preserve">In my view, the Commissioner has not established a prima facie case that an Australian user, by agreeing to the 2013 or 2015 Statements, enters in to a contractual relationship with Facebook Inc.  Australian users enter into a contract with Facebook Ireland.  Section 19(1) distinguishes the position of US and Canadian users </w:t>
      </w:r>
      <w:r w:rsidR="000C3591">
        <w:t xml:space="preserve">(also referred to as North American users) </w:t>
      </w:r>
      <w:r>
        <w:t>to those of all other users.</w:t>
      </w:r>
      <w:r w:rsidR="00C9509C">
        <w:t xml:space="preserve"> </w:t>
      </w:r>
      <w:r>
        <w:t xml:space="preserve"> </w:t>
      </w:r>
      <w:r w:rsidR="00BE7204">
        <w:t>On the evidence adduced on this application, i</w:t>
      </w:r>
      <w:r>
        <w:t>t is not re</w:t>
      </w:r>
      <w:r w:rsidR="000C3591">
        <w:t>asonably arguable in light of s</w:t>
      </w:r>
      <w:r>
        <w:t> 19(1) that Facebook Ireland is contracting</w:t>
      </w:r>
      <w:r w:rsidR="00BE7204">
        <w:t xml:space="preserve"> with Australian users</w:t>
      </w:r>
      <w:r>
        <w:t xml:space="preserve"> as agent for Facebook Inc.</w:t>
      </w:r>
      <w:r w:rsidR="00FC4BA0">
        <w:t xml:space="preserve">  Accordingly, I reject the Commissioner’s “narrow” case based on agency.</w:t>
      </w:r>
      <w:bookmarkEnd w:id="26"/>
      <w:bookmarkEnd w:id="27"/>
    </w:p>
    <w:p w14:paraId="487013FD" w14:textId="369901CA" w:rsidR="002D2ACD" w:rsidRDefault="000C76BE" w:rsidP="00EB16B9">
      <w:pPr>
        <w:pStyle w:val="Heading3"/>
      </w:pPr>
      <w:r>
        <w:t>D</w:t>
      </w:r>
      <w:r w:rsidR="00EB16B9">
        <w:t>.1.</w:t>
      </w:r>
      <w:r w:rsidR="00A547D1">
        <w:t>3</w:t>
      </w:r>
      <w:r w:rsidR="00EB16B9">
        <w:t xml:space="preserve">  </w:t>
      </w:r>
      <w:r w:rsidR="002D2ACD">
        <w:t>The broader case</w:t>
      </w:r>
    </w:p>
    <w:p w14:paraId="0EBBB398" w14:textId="36FD7F78" w:rsidR="002F6205" w:rsidRDefault="002F6205" w:rsidP="004B1BFE">
      <w:pPr>
        <w:pStyle w:val="ParaNumbering"/>
      </w:pPr>
      <w:r>
        <w:t xml:space="preserve">The Commissioner pointed to a number of matters contended to establish a </w:t>
      </w:r>
      <w:r w:rsidRPr="00F73B46">
        <w:t>prima facie</w:t>
      </w:r>
      <w:r>
        <w:t xml:space="preserve"> case that Facebook Ireland was in substance carrying on business on behalf of Facebook </w:t>
      </w:r>
      <w:proofErr w:type="spellStart"/>
      <w:r>
        <w:t>Inc</w:t>
      </w:r>
      <w:proofErr w:type="spellEnd"/>
      <w:r>
        <w:t xml:space="preserve"> and was an agent</w:t>
      </w:r>
      <w:r w:rsidRPr="004B1BFE">
        <w:t xml:space="preserve"> </w:t>
      </w:r>
      <w:r w:rsidRPr="004B1BFE">
        <w:rPr>
          <w:iCs/>
        </w:rPr>
        <w:t xml:space="preserve">in the </w:t>
      </w:r>
      <w:r w:rsidR="00AD69C4">
        <w:rPr>
          <w:iCs/>
        </w:rPr>
        <w:t>broad</w:t>
      </w:r>
      <w:r w:rsidR="000C3591">
        <w:rPr>
          <w:iCs/>
        </w:rPr>
        <w:t>er</w:t>
      </w:r>
      <w:r w:rsidRPr="004B1BFE">
        <w:rPr>
          <w:iCs/>
        </w:rPr>
        <w:t xml:space="preserve"> sense</w:t>
      </w:r>
      <w:r w:rsidR="000C3591">
        <w:rPr>
          <w:iCs/>
        </w:rPr>
        <w:t xml:space="preserve"> identified above – see, in particular</w:t>
      </w:r>
      <w:r w:rsidR="00D57748">
        <w:rPr>
          <w:iCs/>
        </w:rPr>
        <w:t>,</w:t>
      </w:r>
      <w:r w:rsidR="000C3591">
        <w:rPr>
          <w:iCs/>
        </w:rPr>
        <w:t xml:space="preserve"> [</w:t>
      </w:r>
      <w:r w:rsidR="000C3591">
        <w:rPr>
          <w:iCs/>
        </w:rPr>
        <w:fldChar w:fldCharType="begin"/>
      </w:r>
      <w:r w:rsidR="000C3591">
        <w:rPr>
          <w:iCs/>
        </w:rPr>
        <w:instrText xml:space="preserve"> REF _Ref50099604 \r \h </w:instrText>
      </w:r>
      <w:r w:rsidR="000C3591">
        <w:rPr>
          <w:iCs/>
        </w:rPr>
      </w:r>
      <w:r w:rsidR="000C3591">
        <w:rPr>
          <w:iCs/>
        </w:rPr>
        <w:fldChar w:fldCharType="separate"/>
      </w:r>
      <w:r w:rsidR="00872EB6">
        <w:rPr>
          <w:iCs/>
        </w:rPr>
        <w:t>50</w:t>
      </w:r>
      <w:r w:rsidR="000C3591">
        <w:rPr>
          <w:iCs/>
        </w:rPr>
        <w:fldChar w:fldCharType="end"/>
      </w:r>
      <w:r w:rsidR="000C3591">
        <w:rPr>
          <w:iCs/>
        </w:rPr>
        <w:t>] and [</w:t>
      </w:r>
      <w:r w:rsidR="000C3591">
        <w:rPr>
          <w:iCs/>
        </w:rPr>
        <w:fldChar w:fldCharType="begin"/>
      </w:r>
      <w:r w:rsidR="000C3591">
        <w:rPr>
          <w:iCs/>
        </w:rPr>
        <w:instrText xml:space="preserve"> REF _Ref50099607 \r \h </w:instrText>
      </w:r>
      <w:r w:rsidR="000C3591">
        <w:rPr>
          <w:iCs/>
        </w:rPr>
      </w:r>
      <w:r w:rsidR="000C3591">
        <w:rPr>
          <w:iCs/>
        </w:rPr>
        <w:fldChar w:fldCharType="separate"/>
      </w:r>
      <w:r w:rsidR="00872EB6">
        <w:rPr>
          <w:iCs/>
        </w:rPr>
        <w:t>51</w:t>
      </w:r>
      <w:r w:rsidR="000C3591">
        <w:rPr>
          <w:iCs/>
        </w:rPr>
        <w:fldChar w:fldCharType="end"/>
      </w:r>
      <w:r w:rsidR="000C3591">
        <w:rPr>
          <w:iCs/>
        </w:rPr>
        <w:t>]</w:t>
      </w:r>
      <w:r w:rsidRPr="004B1BFE">
        <w:t>.</w:t>
      </w:r>
      <w:r>
        <w:t xml:space="preserve">  </w:t>
      </w:r>
    </w:p>
    <w:p w14:paraId="22287708" w14:textId="0BBA97F2" w:rsidR="006D47F8" w:rsidRDefault="006D47F8" w:rsidP="004B1BFE">
      <w:pPr>
        <w:pStyle w:val="ParaNumbering"/>
      </w:pPr>
      <w:r>
        <w:t xml:space="preserve">Although the </w:t>
      </w:r>
      <w:r w:rsidR="00D7067C">
        <w:t xml:space="preserve">matters the Commissioner relied upon </w:t>
      </w:r>
      <w:r>
        <w:t xml:space="preserve">are identified </w:t>
      </w:r>
      <w:r w:rsidR="00D7067C">
        <w:t xml:space="preserve">below </w:t>
      </w:r>
      <w:r>
        <w:t xml:space="preserve">individually they must be </w:t>
      </w:r>
      <w:r w:rsidR="00D7067C">
        <w:t>assessed</w:t>
      </w:r>
      <w:r>
        <w:t xml:space="preserve"> as a whole.  Many of the individual </w:t>
      </w:r>
      <w:r w:rsidR="00D7067C">
        <w:t xml:space="preserve">matters </w:t>
      </w:r>
      <w:r>
        <w:t xml:space="preserve">were relied upon to support an underlying submission advanced by the Commissioner that there was a “single worldwide business operated by multiple entities” and that Facebook Ireland conducts that business in Australia on behalf of Facebook Inc. </w:t>
      </w:r>
    </w:p>
    <w:p w14:paraId="2AFE9499" w14:textId="353009A2" w:rsidR="00EB16B9" w:rsidRDefault="000C76BE" w:rsidP="00EB16B9">
      <w:pPr>
        <w:pStyle w:val="Heading4"/>
      </w:pPr>
      <w:r>
        <w:lastRenderedPageBreak/>
        <w:t>D</w:t>
      </w:r>
      <w:r w:rsidR="00CB3B7C">
        <w:t>.1.</w:t>
      </w:r>
      <w:r w:rsidR="00A547D1">
        <w:t>3</w:t>
      </w:r>
      <w:r w:rsidR="00CB3B7C">
        <w:t xml:space="preserve">.1  </w:t>
      </w:r>
      <w:r w:rsidR="00EB16B9">
        <w:t xml:space="preserve">Facebook </w:t>
      </w:r>
      <w:proofErr w:type="spellStart"/>
      <w:r w:rsidR="00EB16B9">
        <w:t>Inc</w:t>
      </w:r>
      <w:proofErr w:type="spellEnd"/>
      <w:r w:rsidR="00EB16B9">
        <w:t xml:space="preserve"> was the ultimate holding company</w:t>
      </w:r>
    </w:p>
    <w:p w14:paraId="51E58A29" w14:textId="234D1ADA" w:rsidR="004B1BFE" w:rsidRDefault="002F6205" w:rsidP="004B1BFE">
      <w:pPr>
        <w:pStyle w:val="ParaNumbering"/>
      </w:pPr>
      <w:r>
        <w:t>First, t</w:t>
      </w:r>
      <w:r w:rsidR="00A55C72">
        <w:t xml:space="preserve">he Commissioner </w:t>
      </w:r>
      <w:r>
        <w:t>observed</w:t>
      </w:r>
      <w:r w:rsidR="006D47F8">
        <w:t xml:space="preserve">, </w:t>
      </w:r>
      <w:proofErr w:type="spellStart"/>
      <w:r w:rsidR="006D47F8">
        <w:t>uncontroversially</w:t>
      </w:r>
      <w:proofErr w:type="spellEnd"/>
      <w:r w:rsidR="006D47F8">
        <w:t>,</w:t>
      </w:r>
      <w:r w:rsidR="00A55C72">
        <w:t xml:space="preserve"> that Facebook </w:t>
      </w:r>
      <w:proofErr w:type="spellStart"/>
      <w:r w:rsidR="00A55C72">
        <w:t>Inc</w:t>
      </w:r>
      <w:proofErr w:type="spellEnd"/>
      <w:r w:rsidR="00A55C72">
        <w:t xml:space="preserve"> was the ultimate holding company of a group of companies which included Facebook Ireland.  </w:t>
      </w:r>
    </w:p>
    <w:p w14:paraId="5E99B400" w14:textId="0EEE5955" w:rsidR="00EB16B9" w:rsidRDefault="000C76BE" w:rsidP="00EB16B9">
      <w:pPr>
        <w:pStyle w:val="Heading4"/>
      </w:pPr>
      <w:r>
        <w:t>D</w:t>
      </w:r>
      <w:r w:rsidR="00CB3B7C">
        <w:t>.1.</w:t>
      </w:r>
      <w:r w:rsidR="00A547D1">
        <w:t>3</w:t>
      </w:r>
      <w:r w:rsidR="00CB3B7C">
        <w:t xml:space="preserve">.2  </w:t>
      </w:r>
      <w:r w:rsidR="00EB16B9">
        <w:t>Same terms and conditions offered to all users</w:t>
      </w:r>
    </w:p>
    <w:p w14:paraId="023AE0EF" w14:textId="7E6C5C68" w:rsidR="000C3591" w:rsidRDefault="002F6205" w:rsidP="008D192B">
      <w:pPr>
        <w:pStyle w:val="ParaNumbering"/>
      </w:pPr>
      <w:r>
        <w:t>Secondly</w:t>
      </w:r>
      <w:r w:rsidR="004B1BFE">
        <w:t xml:space="preserve">, </w:t>
      </w:r>
      <w:r w:rsidR="001A3CF9">
        <w:t xml:space="preserve">the Commissioner observed that </w:t>
      </w:r>
      <w:r w:rsidR="004B1BFE">
        <w:t>the terms and cond</w:t>
      </w:r>
      <w:r w:rsidR="001A3CF9">
        <w:t>itions of the services offered</w:t>
      </w:r>
      <w:r w:rsidR="004B1BFE">
        <w:t xml:space="preserve"> </w:t>
      </w:r>
      <w:r w:rsidR="00AB7C10">
        <w:t xml:space="preserve">to </w:t>
      </w:r>
      <w:r w:rsidR="000C3591">
        <w:t>u</w:t>
      </w:r>
      <w:r w:rsidR="00AB7C10">
        <w:t xml:space="preserve">sers </w:t>
      </w:r>
      <w:r w:rsidR="004B1BFE">
        <w:t>by Facebook</w:t>
      </w:r>
      <w:r w:rsidR="001A3CF9">
        <w:t xml:space="preserve"> </w:t>
      </w:r>
      <w:proofErr w:type="spellStart"/>
      <w:r w:rsidR="004B1BFE">
        <w:t>Inc</w:t>
      </w:r>
      <w:proofErr w:type="spellEnd"/>
      <w:r w:rsidR="004B1BFE">
        <w:t xml:space="preserve"> and Facebook Ireland</w:t>
      </w:r>
      <w:r w:rsidR="000C3591">
        <w:t>, set out in the 2013 and 2015 Statements,</w:t>
      </w:r>
      <w:r w:rsidR="004B1BFE">
        <w:t xml:space="preserve"> were the same</w:t>
      </w:r>
      <w:r w:rsidR="000C3591">
        <w:t xml:space="preserve"> irrespective of whether the contractual relationship of the particular user was with Facebook </w:t>
      </w:r>
      <w:proofErr w:type="spellStart"/>
      <w:r w:rsidR="000C3591">
        <w:t>Inc</w:t>
      </w:r>
      <w:proofErr w:type="spellEnd"/>
      <w:r w:rsidR="000C3591">
        <w:t xml:space="preserve"> or Facebook Ireland. </w:t>
      </w:r>
      <w:r w:rsidR="006D47F8">
        <w:t xml:space="preserve"> </w:t>
      </w:r>
    </w:p>
    <w:p w14:paraId="6DF22CB8" w14:textId="1E21F09A" w:rsidR="002E4C49" w:rsidRDefault="000C3591" w:rsidP="008D192B">
      <w:pPr>
        <w:pStyle w:val="ParaNumbering"/>
      </w:pPr>
      <w:r>
        <w:t xml:space="preserve">In fact, as Facebook </w:t>
      </w:r>
      <w:proofErr w:type="spellStart"/>
      <w:r>
        <w:t>Inc</w:t>
      </w:r>
      <w:proofErr w:type="spellEnd"/>
      <w:r>
        <w:t xml:space="preserve"> submitted, t</w:t>
      </w:r>
      <w:r w:rsidR="0090182A">
        <w:t xml:space="preserve">here were </w:t>
      </w:r>
      <w:r>
        <w:t xml:space="preserve">some </w:t>
      </w:r>
      <w:r w:rsidR="0090182A">
        <w:t>differences</w:t>
      </w:r>
      <w:r w:rsidR="00927DEB">
        <w:t xml:space="preserve"> in the applicable terms</w:t>
      </w:r>
      <w:r w:rsidR="0090182A">
        <w:t xml:space="preserve">. </w:t>
      </w:r>
      <w:r w:rsidR="00927DEB">
        <w:t xml:space="preserve"> For example, s</w:t>
      </w:r>
      <w:r w:rsidR="0090182A">
        <w:t xml:space="preserve"> 17 of the 2013 Statement contained </w:t>
      </w:r>
      <w:r w:rsidR="0059361E">
        <w:t>“</w:t>
      </w:r>
      <w:r w:rsidR="0090182A">
        <w:t>special provisions applicable to users outside the United States</w:t>
      </w:r>
      <w:r w:rsidR="0059361E">
        <w:t>”</w:t>
      </w:r>
      <w:r w:rsidR="0090182A">
        <w:t xml:space="preserve">.  </w:t>
      </w:r>
      <w:r w:rsidR="00927DEB">
        <w:t>Nevertheless, broadly speaking the terms were the same.</w:t>
      </w:r>
    </w:p>
    <w:p w14:paraId="6CF6BC77" w14:textId="243A3B0C" w:rsidR="00CB3B7C" w:rsidRDefault="004827D4" w:rsidP="00CB3B7C">
      <w:pPr>
        <w:pStyle w:val="Heading4"/>
      </w:pPr>
      <w:r>
        <w:t>D</w:t>
      </w:r>
      <w:r w:rsidR="00CB3B7C">
        <w:t>.1.</w:t>
      </w:r>
      <w:r w:rsidR="00A547D1">
        <w:t>3</w:t>
      </w:r>
      <w:r w:rsidR="00CB3B7C">
        <w:t>.3  Single worldwide business</w:t>
      </w:r>
    </w:p>
    <w:p w14:paraId="077AAC18" w14:textId="471D1F84" w:rsidR="00CB3B7C" w:rsidRDefault="00CB3B7C" w:rsidP="008D192B">
      <w:pPr>
        <w:pStyle w:val="ParaNumbering"/>
      </w:pPr>
      <w:r>
        <w:t>Thirdly, the Commissioner submitted that, as indicated by the 2013 and 2015 Statements, “[a]s</w:t>
      </w:r>
      <w:r w:rsidRPr="005605CF">
        <w:t xml:space="preserve"> </w:t>
      </w:r>
      <w:r w:rsidR="00D7067C">
        <w:t xml:space="preserve">a </w:t>
      </w:r>
      <w:r w:rsidRPr="005605CF">
        <w:t xml:space="preserve">matter of substance, </w:t>
      </w:r>
      <w:r>
        <w:t>u</w:t>
      </w:r>
      <w:r w:rsidRPr="005605CF">
        <w:t>sers throughout the world are provided with the same services</w:t>
      </w:r>
      <w:r>
        <w:t>”</w:t>
      </w:r>
      <w:r w:rsidRPr="005605CF">
        <w:t xml:space="preserve">.  </w:t>
      </w:r>
      <w:r>
        <w:t xml:space="preserve">It was submitted that this, assessed in the context of all of the facts, indicated a prima facie case </w:t>
      </w:r>
      <w:r w:rsidRPr="005605CF">
        <w:t xml:space="preserve">that there </w:t>
      </w:r>
      <w:r>
        <w:t>was</w:t>
      </w:r>
      <w:r w:rsidRPr="005605CF">
        <w:t xml:space="preserve"> </w:t>
      </w:r>
      <w:r>
        <w:t>“</w:t>
      </w:r>
      <w:r w:rsidRPr="005605CF">
        <w:t>a single worldwide business operated by multiple entities</w:t>
      </w:r>
      <w:r>
        <w:t xml:space="preserve">”.  </w:t>
      </w:r>
    </w:p>
    <w:p w14:paraId="6F613B23" w14:textId="7E9BCF79" w:rsidR="00D159C4" w:rsidRDefault="001A71DB" w:rsidP="008D192B">
      <w:pPr>
        <w:pStyle w:val="ParaNumbering"/>
      </w:pPr>
      <w:r>
        <w:t>In support of th</w:t>
      </w:r>
      <w:r w:rsidR="008760B3">
        <w:t>e</w:t>
      </w:r>
      <w:r>
        <w:t xml:space="preserve"> proposition</w:t>
      </w:r>
      <w:r w:rsidR="008760B3">
        <w:t xml:space="preserve"> that there was </w:t>
      </w:r>
      <w:r w:rsidR="008760B3" w:rsidRPr="005605CF">
        <w:t>a single worldwide business operated by multiple entities</w:t>
      </w:r>
      <w:r>
        <w:t xml:space="preserve">, the Commissioner </w:t>
      </w:r>
      <w:r w:rsidR="00D159C4">
        <w:t>referred to</w:t>
      </w:r>
      <w:r w:rsidR="00927DEB">
        <w:t xml:space="preserve"> the</w:t>
      </w:r>
      <w:r w:rsidR="00D159C4">
        <w:t xml:space="preserve"> </w:t>
      </w:r>
      <w:r w:rsidR="00927DEB">
        <w:t>“</w:t>
      </w:r>
      <w:r w:rsidR="00927DEB" w:rsidRPr="00F73B46">
        <w:t>Data Hosting Service</w:t>
      </w:r>
      <w:r w:rsidR="0037693A">
        <w:t>s</w:t>
      </w:r>
      <w:r w:rsidR="00927DEB" w:rsidRPr="00F73B46">
        <w:t xml:space="preserve"> Agreement</w:t>
      </w:r>
      <w:r w:rsidR="00927DEB">
        <w:t>”, effective as of 1 June 2013, between</w:t>
      </w:r>
      <w:r w:rsidR="00D159C4">
        <w:t xml:space="preserve"> Facebook Ireland and Facebook </w:t>
      </w:r>
      <w:proofErr w:type="spellStart"/>
      <w:r w:rsidR="00D159C4">
        <w:t>Inc</w:t>
      </w:r>
      <w:proofErr w:type="spellEnd"/>
      <w:r w:rsidR="00D159C4">
        <w:t xml:space="preserve"> as </w:t>
      </w:r>
      <w:r w:rsidR="0059361E">
        <w:t>“</w:t>
      </w:r>
      <w:r w:rsidR="00D159C4">
        <w:t>Service Recipients</w:t>
      </w:r>
      <w:r w:rsidR="0059361E">
        <w:t>”</w:t>
      </w:r>
      <w:r w:rsidR="00D159C4">
        <w:t xml:space="preserve"> </w:t>
      </w:r>
      <w:r w:rsidR="00927DEB">
        <w:t>and</w:t>
      </w:r>
      <w:r w:rsidR="00D159C4">
        <w:t xml:space="preserve"> Pinnacle Sweden AB </w:t>
      </w:r>
      <w:r w:rsidR="00927DEB">
        <w:t xml:space="preserve">(a Facebook entity) </w:t>
      </w:r>
      <w:r w:rsidR="00D159C4">
        <w:t xml:space="preserve">as </w:t>
      </w:r>
      <w:r w:rsidR="0059361E">
        <w:t>“</w:t>
      </w:r>
      <w:r w:rsidR="00D159C4">
        <w:t>Service Provider</w:t>
      </w:r>
      <w:r w:rsidR="0059361E">
        <w:t>”</w:t>
      </w:r>
      <w:r w:rsidR="00BE7204" w:rsidRPr="00BE7204">
        <w:t xml:space="preserve"> </w:t>
      </w:r>
      <w:r w:rsidR="00BE7204">
        <w:t>(</w:t>
      </w:r>
      <w:r w:rsidR="00BE7204" w:rsidRPr="00F86C44">
        <w:rPr>
          <w:b/>
        </w:rPr>
        <w:t>Sweden</w:t>
      </w:r>
      <w:r w:rsidR="00BE7204">
        <w:t xml:space="preserve"> </w:t>
      </w:r>
      <w:r w:rsidR="00BE7204">
        <w:rPr>
          <w:b/>
        </w:rPr>
        <w:t>Data Hosting Agreement</w:t>
      </w:r>
      <w:r w:rsidR="00BE7204">
        <w:t>)</w:t>
      </w:r>
      <w:r w:rsidR="00D159C4">
        <w:t xml:space="preserve">.  The </w:t>
      </w:r>
      <w:r w:rsidR="00EB16B9">
        <w:t xml:space="preserve">Sweden </w:t>
      </w:r>
      <w:r w:rsidR="00927DEB">
        <w:t>Data Hosting Agreement</w:t>
      </w:r>
      <w:r w:rsidR="00D159C4">
        <w:t xml:space="preserve"> was said to be entered into </w:t>
      </w:r>
      <w:r w:rsidR="0059361E">
        <w:t>“</w:t>
      </w:r>
      <w:r w:rsidR="00D159C4">
        <w:t>in reference to the following facts</w:t>
      </w:r>
      <w:r w:rsidR="0059361E">
        <w:t>”</w:t>
      </w:r>
      <w:r w:rsidR="00D159C4">
        <w:t xml:space="preserve"> (set out in the form of recitals to a contract):</w:t>
      </w:r>
    </w:p>
    <w:p w14:paraId="00269F89" w14:textId="77777777" w:rsidR="00D159C4" w:rsidRPr="00220850" w:rsidRDefault="00D159C4" w:rsidP="00AD69C4">
      <w:pPr>
        <w:pStyle w:val="Quote1"/>
        <w:widowControl/>
        <w:tabs>
          <w:tab w:val="left" w:pos="1418"/>
        </w:tabs>
        <w:ind w:left="1418" w:hanging="681"/>
      </w:pPr>
      <w:r w:rsidRPr="00220850">
        <w:t>A.</w:t>
      </w:r>
      <w:r w:rsidRPr="00220850">
        <w:tab/>
        <w:t>The Service Recipients are engaged in the business of maintaining an online social networking community of users, marketing and selling advertising to advertisers targeting this user community, and marketing and selling digital goods and other goods and services to this user community.</w:t>
      </w:r>
    </w:p>
    <w:p w14:paraId="64C2FAF2" w14:textId="77777777" w:rsidR="00D159C4" w:rsidRPr="00220850" w:rsidRDefault="00D159C4" w:rsidP="00AD69C4">
      <w:pPr>
        <w:pStyle w:val="Quote1"/>
        <w:widowControl/>
        <w:tabs>
          <w:tab w:val="left" w:pos="1418"/>
        </w:tabs>
        <w:ind w:left="1418" w:hanging="681"/>
      </w:pPr>
      <w:r w:rsidRPr="00220850">
        <w:t>B.</w:t>
      </w:r>
      <w:r w:rsidRPr="00220850">
        <w:tab/>
        <w:t>The Service Recipients commercialize the Facebook Online Platform, as defined herein, in the Facebook Ireland Territory and the Facebook US Territory, respectively, as defined herein.</w:t>
      </w:r>
    </w:p>
    <w:p w14:paraId="27220E41" w14:textId="77777777" w:rsidR="00D159C4" w:rsidRPr="00220850" w:rsidRDefault="00D159C4" w:rsidP="00AD69C4">
      <w:pPr>
        <w:pStyle w:val="Quote1"/>
        <w:widowControl/>
        <w:tabs>
          <w:tab w:val="left" w:pos="1418"/>
        </w:tabs>
        <w:ind w:left="1418" w:hanging="681"/>
      </w:pPr>
      <w:r w:rsidRPr="00220850">
        <w:t>C.</w:t>
      </w:r>
      <w:r w:rsidRPr="00220850">
        <w:tab/>
        <w:t>From time to time, the Service Recipients may request Service Provider to perform website and data hosting services for their businesses.</w:t>
      </w:r>
    </w:p>
    <w:p w14:paraId="60898A89" w14:textId="73274903" w:rsidR="00D159C4" w:rsidRPr="00220850" w:rsidRDefault="00D159C4" w:rsidP="00AD69C4">
      <w:pPr>
        <w:pStyle w:val="Quote1"/>
        <w:widowControl/>
        <w:tabs>
          <w:tab w:val="left" w:pos="1418"/>
        </w:tabs>
        <w:ind w:left="1418" w:hanging="681"/>
      </w:pPr>
      <w:r w:rsidRPr="00220850">
        <w:t>D.</w:t>
      </w:r>
      <w:r w:rsidRPr="00220850">
        <w:tab/>
        <w:t xml:space="preserve">Facebook Ireland is the data controller for all personal data relating to, or uploaded by users in the Facebook Ireland Territory. Service Provider shall act only as a data processing service provider on behalf of, and subject to directions </w:t>
      </w:r>
      <w:r w:rsidRPr="00220850">
        <w:lastRenderedPageBreak/>
        <w:t xml:space="preserve">from Facebook Ireland with respect to such personal data. Facebook Ireland will have the right to access the data and applications hosted in the Data </w:t>
      </w:r>
      <w:proofErr w:type="spellStart"/>
      <w:r w:rsidRPr="00220850">
        <w:t>Center</w:t>
      </w:r>
      <w:proofErr w:type="spellEnd"/>
      <w:r w:rsidRPr="00220850">
        <w:t xml:space="preserve">, as defined herein, remotely. Service Provider retains control over all premises, hardware and personnel at the Data </w:t>
      </w:r>
      <w:proofErr w:type="spellStart"/>
      <w:r w:rsidRPr="00220850">
        <w:t>Center</w:t>
      </w:r>
      <w:proofErr w:type="spellEnd"/>
      <w:r w:rsidRPr="00220850">
        <w:t>, but Service Provider shall not access or process any personal data controlled by Facebook Ireland, except as a data processing service provider under Facebook Ireland</w:t>
      </w:r>
      <w:r w:rsidR="0059361E">
        <w:t>’</w:t>
      </w:r>
      <w:r w:rsidRPr="00220850">
        <w:t>s control with respect to such data.</w:t>
      </w:r>
    </w:p>
    <w:p w14:paraId="17948915" w14:textId="3A735802" w:rsidR="00D159C4" w:rsidRDefault="00D159C4" w:rsidP="00AD69C4">
      <w:pPr>
        <w:pStyle w:val="Quote1"/>
        <w:widowControl/>
        <w:tabs>
          <w:tab w:val="left" w:pos="1418"/>
        </w:tabs>
        <w:spacing w:after="0"/>
        <w:ind w:left="1417" w:hanging="680"/>
      </w:pPr>
      <w:r w:rsidRPr="00220850">
        <w:t>E.</w:t>
      </w:r>
      <w:r w:rsidRPr="00220850">
        <w:tab/>
        <w:t xml:space="preserve">Service Provider is willing to use its personnel, expertise and facilities </w:t>
      </w:r>
      <w:r w:rsidR="0037693A">
        <w:t>t</w:t>
      </w:r>
      <w:r w:rsidRPr="00220850">
        <w:t>o provide such services on the terms and conditions set forth herein.</w:t>
      </w:r>
    </w:p>
    <w:p w14:paraId="385B9FE7" w14:textId="77777777" w:rsidR="00E51F55" w:rsidRPr="00220850" w:rsidRDefault="00E51F55" w:rsidP="00D159C4">
      <w:pPr>
        <w:pStyle w:val="Quote1"/>
        <w:tabs>
          <w:tab w:val="left" w:pos="1418"/>
        </w:tabs>
        <w:ind w:left="1418" w:hanging="681"/>
      </w:pPr>
    </w:p>
    <w:p w14:paraId="2E124061" w14:textId="4F3A6D75" w:rsidR="00D159C4" w:rsidRDefault="00D159C4" w:rsidP="00D159C4">
      <w:pPr>
        <w:pStyle w:val="ParaNumbering"/>
      </w:pPr>
      <w:r>
        <w:t xml:space="preserve">The Commissioner placed particular emphasis on Recitals A and B as indicating a single worldwide business.  It should be observed, however, that Recital </w:t>
      </w:r>
      <w:r w:rsidR="00984B31">
        <w:t>C</w:t>
      </w:r>
      <w:r>
        <w:t xml:space="preserve"> refers to the Service Recipients</w:t>
      </w:r>
      <w:r w:rsidR="0059361E">
        <w:t>’</w:t>
      </w:r>
      <w:r>
        <w:t xml:space="preserve"> </w:t>
      </w:r>
      <w:r w:rsidR="0059361E">
        <w:t>“</w:t>
      </w:r>
      <w:r>
        <w:t>businesses</w:t>
      </w:r>
      <w:r w:rsidR="0059361E">
        <w:t>”</w:t>
      </w:r>
      <w:r>
        <w:t>.</w:t>
      </w:r>
      <w:r w:rsidR="002F6205">
        <w:t xml:space="preserve">  </w:t>
      </w:r>
    </w:p>
    <w:p w14:paraId="0D3C8C74" w14:textId="33EDCEC5" w:rsidR="00D159C4" w:rsidRDefault="00D159C4" w:rsidP="00D159C4">
      <w:pPr>
        <w:pStyle w:val="ParaNumbering"/>
      </w:pPr>
      <w:r>
        <w:t xml:space="preserve">Section 1 of the </w:t>
      </w:r>
      <w:r w:rsidR="00EB16B9">
        <w:t xml:space="preserve">Sweden </w:t>
      </w:r>
      <w:r w:rsidR="00F86C44">
        <w:t xml:space="preserve">Data Hosting Agreement </w:t>
      </w:r>
      <w:r>
        <w:t>contained various definitions including:</w:t>
      </w:r>
    </w:p>
    <w:p w14:paraId="66E4EEFE" w14:textId="68E3B335" w:rsidR="007C3211" w:rsidRDefault="007C3211" w:rsidP="007C3211">
      <w:pPr>
        <w:pStyle w:val="Quote1"/>
        <w:ind w:left="1440" w:hanging="703"/>
      </w:pPr>
      <w:r>
        <w:t xml:space="preserve">1.3 </w:t>
      </w:r>
      <w:r>
        <w:tab/>
      </w:r>
      <w:r w:rsidR="0059361E">
        <w:t>“</w:t>
      </w:r>
      <w:r w:rsidRPr="007C3211">
        <w:rPr>
          <w:u w:val="single"/>
        </w:rPr>
        <w:t xml:space="preserve">Data </w:t>
      </w:r>
      <w:proofErr w:type="spellStart"/>
      <w:r w:rsidRPr="007C3211">
        <w:rPr>
          <w:u w:val="single"/>
        </w:rPr>
        <w:t>Center</w:t>
      </w:r>
      <w:proofErr w:type="spellEnd"/>
      <w:r w:rsidR="0059361E">
        <w:t>”</w:t>
      </w:r>
      <w:r>
        <w:t xml:space="preserve"> shall mean the location(s) at which Service Provider provides the Services, as defined in </w:t>
      </w:r>
      <w:r w:rsidRPr="007C3211">
        <w:rPr>
          <w:u w:val="single"/>
        </w:rPr>
        <w:t>Section 1.6</w:t>
      </w:r>
      <w:r>
        <w:t xml:space="preserve"> herein, including all hardware at that location and software applications installed on such hardware.</w:t>
      </w:r>
    </w:p>
    <w:p w14:paraId="77B17098" w14:textId="77777777" w:rsidR="007C3211" w:rsidRDefault="007C3211" w:rsidP="007C3211">
      <w:pPr>
        <w:pStyle w:val="Quote1"/>
      </w:pPr>
      <w:r>
        <w:t>…</w:t>
      </w:r>
    </w:p>
    <w:p w14:paraId="6D396DC1" w14:textId="2D124A59" w:rsidR="007C3211" w:rsidRDefault="007C3211" w:rsidP="007C3211">
      <w:pPr>
        <w:pStyle w:val="Quote1"/>
        <w:ind w:left="1440" w:hanging="703"/>
      </w:pPr>
      <w:r>
        <w:t xml:space="preserve">1.5 </w:t>
      </w:r>
      <w:r>
        <w:tab/>
      </w:r>
      <w:r w:rsidR="0059361E">
        <w:t>“</w:t>
      </w:r>
      <w:r w:rsidRPr="007C3211">
        <w:rPr>
          <w:u w:val="single"/>
        </w:rPr>
        <w:t>Facebook Online Platform</w:t>
      </w:r>
      <w:r w:rsidR="0059361E">
        <w:t>”</w:t>
      </w:r>
      <w:r>
        <w:t xml:space="preserve"> shall mean and include the system that facilitates the sharing of data between users for social networking purposes, sales of credits and virtual items, development of applications by developers, delivery of targeted advertisements to user pages, and any related processes or technology that relates to facilitating communication and social networking among users and serving advertisements.</w:t>
      </w:r>
    </w:p>
    <w:p w14:paraId="4F346CBD" w14:textId="0599D04A" w:rsidR="007C3211" w:rsidRDefault="007C3211" w:rsidP="007C3211">
      <w:pPr>
        <w:pStyle w:val="Quote1"/>
        <w:ind w:left="1440" w:hanging="703"/>
      </w:pPr>
      <w:r>
        <w:t xml:space="preserve">1.6 </w:t>
      </w:r>
      <w:r>
        <w:tab/>
      </w:r>
      <w:r w:rsidR="0059361E">
        <w:t>“</w:t>
      </w:r>
      <w:r w:rsidRPr="007C3211">
        <w:rPr>
          <w:u w:val="single"/>
        </w:rPr>
        <w:t>Services</w:t>
      </w:r>
      <w:r w:rsidR="0059361E">
        <w:t>”</w:t>
      </w:r>
      <w:r>
        <w:t xml:space="preserve"> shall mean and include website and data hosting services as specified in Section 2.</w:t>
      </w:r>
    </w:p>
    <w:p w14:paraId="293C7098" w14:textId="2DE10A92" w:rsidR="007C3211" w:rsidRDefault="007C3211" w:rsidP="007C3211">
      <w:pPr>
        <w:pStyle w:val="Quote1"/>
        <w:ind w:left="1440" w:hanging="703"/>
      </w:pPr>
      <w:r>
        <w:t xml:space="preserve">1.7 </w:t>
      </w:r>
      <w:r>
        <w:tab/>
      </w:r>
      <w:r w:rsidR="0059361E">
        <w:t>“</w:t>
      </w:r>
      <w:r w:rsidRPr="007C3211">
        <w:rPr>
          <w:u w:val="single"/>
        </w:rPr>
        <w:t>Facebook US Territory</w:t>
      </w:r>
      <w:r w:rsidR="0059361E">
        <w:t>”</w:t>
      </w:r>
      <w:r>
        <w:t xml:space="preserve"> shall mean and include the United States and Canada.</w:t>
      </w:r>
    </w:p>
    <w:p w14:paraId="0EB83A35" w14:textId="27E2FAC7" w:rsidR="007C3211" w:rsidRDefault="007C3211" w:rsidP="007C3211">
      <w:pPr>
        <w:pStyle w:val="Quote1"/>
        <w:spacing w:after="0"/>
        <w:ind w:left="1440" w:hanging="703"/>
      </w:pPr>
      <w:r>
        <w:t xml:space="preserve">1.8 </w:t>
      </w:r>
      <w:r>
        <w:tab/>
      </w:r>
      <w:r w:rsidR="0059361E">
        <w:t>“</w:t>
      </w:r>
      <w:r w:rsidRPr="007C3211">
        <w:rPr>
          <w:u w:val="single"/>
        </w:rPr>
        <w:t>Facebook Ireland Territory</w:t>
      </w:r>
      <w:r w:rsidR="0059361E">
        <w:t>”</w:t>
      </w:r>
      <w:r>
        <w:t xml:space="preserve"> shall mean and include all countries worldwide, excluding the Facebook US Territory.</w:t>
      </w:r>
    </w:p>
    <w:p w14:paraId="4C9DC591" w14:textId="77777777" w:rsidR="007C3211" w:rsidRDefault="007C3211" w:rsidP="007C3211">
      <w:pPr>
        <w:pStyle w:val="Quote1"/>
        <w:ind w:left="1440" w:hanging="703"/>
      </w:pPr>
    </w:p>
    <w:p w14:paraId="5BB11BFF" w14:textId="76FB04B2" w:rsidR="00D159C4" w:rsidRDefault="00D159C4" w:rsidP="00D159C4">
      <w:pPr>
        <w:pStyle w:val="ParaNumbering"/>
      </w:pPr>
      <w:r>
        <w:t xml:space="preserve">Section 2 is headed </w:t>
      </w:r>
      <w:r w:rsidR="0059361E">
        <w:t>“</w:t>
      </w:r>
      <w:r>
        <w:t>Engagement of Service Provider</w:t>
      </w:r>
      <w:r w:rsidR="0059361E">
        <w:t>”</w:t>
      </w:r>
      <w:r>
        <w:t xml:space="preserve"> and includes:</w:t>
      </w:r>
    </w:p>
    <w:p w14:paraId="348BFB0D" w14:textId="77777777" w:rsidR="007C3211" w:rsidRDefault="007C3211" w:rsidP="007C3211">
      <w:pPr>
        <w:pStyle w:val="Quote1"/>
        <w:spacing w:after="0"/>
        <w:ind w:left="1440" w:hanging="703"/>
      </w:pPr>
      <w:r>
        <w:t xml:space="preserve">2.2 </w:t>
      </w:r>
      <w:r>
        <w:tab/>
        <w:t xml:space="preserve">Service Provider shall operate and provide capacity to the Service Recipients at one or more Data </w:t>
      </w:r>
      <w:proofErr w:type="spellStart"/>
      <w:r>
        <w:t>Centers</w:t>
      </w:r>
      <w:proofErr w:type="spellEnd"/>
      <w:r>
        <w:t xml:space="preserve"> sufficient to provide website hosting and data hosting capacity as requested from time to time.</w:t>
      </w:r>
    </w:p>
    <w:p w14:paraId="792AED66" w14:textId="77777777" w:rsidR="007C3211" w:rsidRDefault="007C3211" w:rsidP="007C3211">
      <w:pPr>
        <w:pStyle w:val="Quote1"/>
        <w:ind w:left="1440" w:hanging="703"/>
      </w:pPr>
    </w:p>
    <w:p w14:paraId="7EE24D6C" w14:textId="733351BD" w:rsidR="00D159C4" w:rsidRDefault="00D159C4" w:rsidP="00D159C4">
      <w:pPr>
        <w:pStyle w:val="ParaNumbering"/>
      </w:pPr>
      <w:r>
        <w:t xml:space="preserve">Section 5 </w:t>
      </w:r>
      <w:r w:rsidR="00F86C44">
        <w:t>is</w:t>
      </w:r>
      <w:r>
        <w:t xml:space="preserve"> headed </w:t>
      </w:r>
      <w:r w:rsidR="0059361E">
        <w:t>“</w:t>
      </w:r>
      <w:r>
        <w:t>Consideration</w:t>
      </w:r>
      <w:r w:rsidR="0059361E">
        <w:t>”</w:t>
      </w:r>
      <w:r>
        <w:t xml:space="preserve"> and include</w:t>
      </w:r>
      <w:r w:rsidR="00F86C44">
        <w:t>s</w:t>
      </w:r>
      <w:r>
        <w:t>:</w:t>
      </w:r>
    </w:p>
    <w:p w14:paraId="4AC133AD" w14:textId="77777777" w:rsidR="007C3211" w:rsidRDefault="007C3211" w:rsidP="007C3211">
      <w:pPr>
        <w:pStyle w:val="Quote1"/>
        <w:spacing w:after="0"/>
        <w:ind w:left="1440" w:hanging="703"/>
      </w:pPr>
      <w:r>
        <w:t xml:space="preserve">5.4 </w:t>
      </w:r>
      <w:r>
        <w:tab/>
        <w:t>Within thirty (30) calendar days after any payment by Facebook Ireland to Service Provider of Service Fees and Reimbursements pursuant to Section 5.3 or 6.4 hereof, Facebook US shall reimburse Facebook Ireland for that portion of such Service Fees and Reimbursements paid with respect to Services performed by Service Provider for Facebook US.</w:t>
      </w:r>
    </w:p>
    <w:p w14:paraId="70E84F08" w14:textId="77777777" w:rsidR="007C3211" w:rsidRPr="001A71DB" w:rsidRDefault="007C3211" w:rsidP="007C3211">
      <w:pPr>
        <w:pStyle w:val="Quote1"/>
        <w:ind w:left="1440" w:hanging="703"/>
      </w:pPr>
    </w:p>
    <w:p w14:paraId="1B2CE849" w14:textId="1D5B3F00" w:rsidR="003608E7" w:rsidRDefault="003608E7" w:rsidP="00D159C4">
      <w:pPr>
        <w:pStyle w:val="ParaNumbering"/>
      </w:pPr>
      <w:r>
        <w:t xml:space="preserve">Facebook </w:t>
      </w:r>
      <w:proofErr w:type="spellStart"/>
      <w:r>
        <w:t>Inc</w:t>
      </w:r>
      <w:proofErr w:type="spellEnd"/>
      <w:r>
        <w:t xml:space="preserve"> emphasised that </w:t>
      </w:r>
      <w:r w:rsidR="00BE7204">
        <w:t>s 5</w:t>
      </w:r>
      <w:r>
        <w:t xml:space="preserve"> confirm</w:t>
      </w:r>
      <w:r w:rsidR="00F86C44">
        <w:t>ed</w:t>
      </w:r>
      <w:r>
        <w:t xml:space="preserve"> the parties</w:t>
      </w:r>
      <w:r w:rsidR="0059361E">
        <w:t>’</w:t>
      </w:r>
      <w:r>
        <w:t xml:space="preserve"> intention, objectively ascertained, that they operate separate businesses, each responsible for their own expenses.</w:t>
      </w:r>
    </w:p>
    <w:p w14:paraId="24D7EE18" w14:textId="35DD71A6" w:rsidR="003C5651" w:rsidRDefault="003C5651" w:rsidP="00D159C4">
      <w:pPr>
        <w:pStyle w:val="ParaNumbering"/>
      </w:pPr>
      <w:r>
        <w:t xml:space="preserve">Facebook </w:t>
      </w:r>
      <w:proofErr w:type="spellStart"/>
      <w:r>
        <w:t>Inc</w:t>
      </w:r>
      <w:proofErr w:type="spellEnd"/>
      <w:r>
        <w:t xml:space="preserve"> submitted that little could be made from the Commissioner</w:t>
      </w:r>
      <w:r w:rsidR="0059361E">
        <w:t>’</w:t>
      </w:r>
      <w:r>
        <w:t xml:space="preserve">s submission that there was a single worldwide business operated by multiple entities.  It was observed that </w:t>
      </w:r>
      <w:r w:rsidR="00F86C44">
        <w:t>the same comment</w:t>
      </w:r>
      <w:r>
        <w:t xml:space="preserve"> could be </w:t>
      </w:r>
      <w:r w:rsidR="00BE7204">
        <w:t xml:space="preserve">made </w:t>
      </w:r>
      <w:r>
        <w:t xml:space="preserve">of many multinational groups, for example those which sold </w:t>
      </w:r>
      <w:r w:rsidR="00F86C44">
        <w:t>branded products with a global reputation such as drinks or motor vehicles</w:t>
      </w:r>
      <w:r>
        <w:t xml:space="preserve">.  </w:t>
      </w:r>
      <w:r w:rsidR="0090182A">
        <w:t xml:space="preserve">The fact that a particular product is branded in the same way throughout the world, and the brand is owned by a particular group, does not lead to the consequence that </w:t>
      </w:r>
      <w:r w:rsidR="00BE7204">
        <w:t xml:space="preserve">each of the various entities in </w:t>
      </w:r>
      <w:r w:rsidR="0090182A">
        <w:t>the group carr</w:t>
      </w:r>
      <w:r w:rsidR="00D7067C">
        <w:t>ies</w:t>
      </w:r>
      <w:r w:rsidR="0090182A">
        <w:t xml:space="preserve"> on business in every jurisdiction in </w:t>
      </w:r>
      <w:r w:rsidR="00F86C44">
        <w:t>which the product is sold</w:t>
      </w:r>
      <w:r w:rsidR="00D7067C">
        <w:t xml:space="preserve"> or that the head entity carries on business in every jurisdiction in which it has an operating subsidiary</w:t>
      </w:r>
      <w:r w:rsidR="0090182A">
        <w:t>.</w:t>
      </w:r>
    </w:p>
    <w:p w14:paraId="58C8B463" w14:textId="0B5DC127" w:rsidR="00CB3B7C" w:rsidRDefault="004827D4" w:rsidP="00CB3B7C">
      <w:pPr>
        <w:pStyle w:val="Heading4"/>
      </w:pPr>
      <w:r>
        <w:t>D</w:t>
      </w:r>
      <w:r w:rsidR="00CB3B7C">
        <w:t>.1.</w:t>
      </w:r>
      <w:r w:rsidR="00A547D1">
        <w:t>3</w:t>
      </w:r>
      <w:r w:rsidR="00CB3B7C">
        <w:t xml:space="preserve">.4  Contractual relationship between Facebook </w:t>
      </w:r>
      <w:proofErr w:type="spellStart"/>
      <w:r w:rsidR="00CB3B7C">
        <w:t>Inc</w:t>
      </w:r>
      <w:proofErr w:type="spellEnd"/>
      <w:r w:rsidR="00CB3B7C">
        <w:t xml:space="preserve"> and Facebook Ireland</w:t>
      </w:r>
    </w:p>
    <w:p w14:paraId="4D662BC0" w14:textId="7B88B472" w:rsidR="00EB16B9" w:rsidRDefault="0085218A" w:rsidP="00D159C4">
      <w:pPr>
        <w:pStyle w:val="ParaNumbering"/>
      </w:pPr>
      <w:r>
        <w:t>Fourthly</w:t>
      </w:r>
      <w:r w:rsidR="002F6205">
        <w:t xml:space="preserve">, the Commissioner </w:t>
      </w:r>
      <w:r w:rsidR="00612E5C">
        <w:t>relied upon</w:t>
      </w:r>
      <w:r w:rsidR="002F6205">
        <w:t xml:space="preserve"> the contractual arrangements between Facebook </w:t>
      </w:r>
      <w:proofErr w:type="spellStart"/>
      <w:r w:rsidR="002F6205">
        <w:t>Inc</w:t>
      </w:r>
      <w:proofErr w:type="spellEnd"/>
      <w:r w:rsidR="002F6205">
        <w:t xml:space="preserve"> and Facebook Ireland</w:t>
      </w:r>
      <w:r w:rsidR="00EB16B9">
        <w:t>, in particular:</w:t>
      </w:r>
    </w:p>
    <w:p w14:paraId="48EE72EB" w14:textId="467F818F" w:rsidR="00EB16B9" w:rsidRDefault="00EB16B9" w:rsidP="009D5976">
      <w:pPr>
        <w:pStyle w:val="ListNo1"/>
        <w:numPr>
          <w:ilvl w:val="0"/>
          <w:numId w:val="37"/>
        </w:numPr>
      </w:pPr>
      <w:r>
        <w:t>the “</w:t>
      </w:r>
      <w:r w:rsidRPr="00F73B46">
        <w:t>Data Hosting Services Agreement</w:t>
      </w:r>
      <w:r>
        <w:t xml:space="preserve">” between Facebook Ireland (described as “Company”) and Facebook </w:t>
      </w:r>
      <w:proofErr w:type="spellStart"/>
      <w:r>
        <w:t>Inc</w:t>
      </w:r>
      <w:proofErr w:type="spellEnd"/>
      <w:r>
        <w:t xml:space="preserve"> (described as “Service Provider”) effective as of 15 September 2010 (</w:t>
      </w:r>
      <w:r>
        <w:rPr>
          <w:b/>
        </w:rPr>
        <w:t>Data Hosting Agreement</w:t>
      </w:r>
      <w:r>
        <w:t xml:space="preserve">); and </w:t>
      </w:r>
    </w:p>
    <w:p w14:paraId="0AD5E3B1" w14:textId="249A31FA" w:rsidR="005B032E" w:rsidRDefault="00EB16B9" w:rsidP="00872EB6">
      <w:pPr>
        <w:pStyle w:val="ListNo1"/>
        <w:numPr>
          <w:ilvl w:val="0"/>
          <w:numId w:val="37"/>
        </w:numPr>
      </w:pPr>
      <w:r>
        <w:t>the “</w:t>
      </w:r>
      <w:r w:rsidRPr="00F73B46">
        <w:t>Data Transfer and Processing Agreement”,</w:t>
      </w:r>
      <w:r>
        <w:t xml:space="preserve"> effective 13 November 2013, between Facebook Ireland (described as the “data exporter”) and Facebook </w:t>
      </w:r>
      <w:proofErr w:type="spellStart"/>
      <w:r>
        <w:t>Inc</w:t>
      </w:r>
      <w:proofErr w:type="spellEnd"/>
      <w:r>
        <w:t xml:space="preserve"> (described as the “data importer”).  </w:t>
      </w:r>
    </w:p>
    <w:p w14:paraId="692C6E8B" w14:textId="173FF0C8" w:rsidR="00EB16B9" w:rsidRPr="00B04C13" w:rsidRDefault="00EB16B9" w:rsidP="00B04C13">
      <w:pPr>
        <w:pStyle w:val="ParaNumbering"/>
        <w:numPr>
          <w:ilvl w:val="0"/>
          <w:numId w:val="0"/>
        </w:numPr>
        <w:rPr>
          <w:u w:val="single"/>
        </w:rPr>
      </w:pPr>
      <w:r w:rsidRPr="00B04C13">
        <w:rPr>
          <w:u w:val="single"/>
        </w:rPr>
        <w:t>The Data Hosting Agreement</w:t>
      </w:r>
    </w:p>
    <w:p w14:paraId="20E8A8C3" w14:textId="4A7C144B" w:rsidR="00EB16B9" w:rsidRDefault="00EB16B9" w:rsidP="00EB16B9">
      <w:pPr>
        <w:pStyle w:val="ParaNumbering"/>
      </w:pPr>
      <w:r>
        <w:t xml:space="preserve">The Data Hosting Agreement </w:t>
      </w:r>
      <w:r w:rsidR="00C7295B">
        <w:t>states it was</w:t>
      </w:r>
      <w:r>
        <w:t xml:space="preserve"> entered into “in reference to the following facts” (set out in the form of recitals):</w:t>
      </w:r>
    </w:p>
    <w:p w14:paraId="189EF584" w14:textId="77777777" w:rsidR="00EB16B9" w:rsidRDefault="00EB16B9" w:rsidP="00C7295B">
      <w:pPr>
        <w:pStyle w:val="Quote1"/>
        <w:widowControl/>
        <w:ind w:left="1440" w:hanging="703"/>
      </w:pPr>
      <w:r>
        <w:t xml:space="preserve">A. </w:t>
      </w:r>
      <w:r>
        <w:tab/>
        <w:t>[Facebook Ireland] is engaged in the business of maintaining an online social networking community of users, marketing and selling advertising to advertisers targeting this user community, and marketing and selling digital goods and other goods and services to this user community.</w:t>
      </w:r>
    </w:p>
    <w:p w14:paraId="253D9708" w14:textId="77777777" w:rsidR="00EB16B9" w:rsidRDefault="00EB16B9" w:rsidP="00C7295B">
      <w:pPr>
        <w:pStyle w:val="Quote1"/>
        <w:widowControl/>
        <w:ind w:left="1440" w:hanging="703"/>
      </w:pPr>
      <w:r>
        <w:t xml:space="preserve">B. </w:t>
      </w:r>
      <w:r>
        <w:tab/>
        <w:t>[Facebook Ireland] commercializes the Facebook Online Platform, as defined herein, in its Territory, as defined herein [namely, all countries worldwide, excluding the United States and Canada].</w:t>
      </w:r>
    </w:p>
    <w:p w14:paraId="46D7CBB9" w14:textId="77777777" w:rsidR="00EB16B9" w:rsidRDefault="00EB16B9" w:rsidP="00C7295B">
      <w:pPr>
        <w:pStyle w:val="Quote1"/>
        <w:widowControl/>
        <w:ind w:left="1440" w:hanging="703"/>
      </w:pPr>
      <w:r>
        <w:t xml:space="preserve">C. </w:t>
      </w:r>
      <w:r>
        <w:tab/>
        <w:t xml:space="preserve">From time to time, [Facebook Ireland] may request [Facebook </w:t>
      </w:r>
      <w:proofErr w:type="spellStart"/>
      <w:r>
        <w:t>Inc</w:t>
      </w:r>
      <w:proofErr w:type="spellEnd"/>
      <w:r>
        <w:t>] to perform website and data hosting services for its business.</w:t>
      </w:r>
    </w:p>
    <w:p w14:paraId="5FAF4C6D" w14:textId="77777777" w:rsidR="00EB16B9" w:rsidRDefault="00EB16B9" w:rsidP="00C7295B">
      <w:pPr>
        <w:pStyle w:val="Quote1"/>
        <w:widowControl/>
        <w:ind w:left="1440" w:hanging="703"/>
      </w:pPr>
      <w:r>
        <w:lastRenderedPageBreak/>
        <w:t xml:space="preserve">D. </w:t>
      </w:r>
      <w:r>
        <w:tab/>
        <w:t xml:space="preserve">[Facebook Ireland] is the data controller for all personal data relating to, or uploaded by users in the Territory. [Facebook </w:t>
      </w:r>
      <w:proofErr w:type="spellStart"/>
      <w:r>
        <w:t>Inc</w:t>
      </w:r>
      <w:proofErr w:type="spellEnd"/>
      <w:r>
        <w:t xml:space="preserve">] shall act only as a data processing service provider on behalf of, and subject to directions from [Facebook Ireland] with respect to such personal data. [Facebook Ireland] will have the right to access the data and applications hosted in the Data </w:t>
      </w:r>
      <w:proofErr w:type="spellStart"/>
      <w:r>
        <w:t>Center</w:t>
      </w:r>
      <w:proofErr w:type="spellEnd"/>
      <w:r>
        <w:t xml:space="preserve">, as defined herein, remotely. [Facebook </w:t>
      </w:r>
      <w:proofErr w:type="spellStart"/>
      <w:r>
        <w:t>Inc</w:t>
      </w:r>
      <w:proofErr w:type="spellEnd"/>
      <w:r>
        <w:t xml:space="preserve">] retains control over all premises, hardware and personnel at the Data </w:t>
      </w:r>
      <w:proofErr w:type="spellStart"/>
      <w:r>
        <w:t>Center</w:t>
      </w:r>
      <w:proofErr w:type="spellEnd"/>
      <w:r>
        <w:t xml:space="preserve">, but [Facebook </w:t>
      </w:r>
      <w:proofErr w:type="spellStart"/>
      <w:r>
        <w:t>Inc</w:t>
      </w:r>
      <w:proofErr w:type="spellEnd"/>
      <w:r>
        <w:t>] shall not access or process any personal data controlled by [Facebook Ireland], except as a data processing service provider under [Facebook Ireland’s] control with respect to such data.</w:t>
      </w:r>
    </w:p>
    <w:p w14:paraId="6313D1BB" w14:textId="77777777" w:rsidR="00EB16B9" w:rsidRDefault="00EB16B9" w:rsidP="00C7295B">
      <w:pPr>
        <w:pStyle w:val="Quote1"/>
        <w:widowControl/>
        <w:spacing w:after="0"/>
        <w:ind w:left="1440" w:hanging="703"/>
      </w:pPr>
      <w:r>
        <w:t xml:space="preserve">E. </w:t>
      </w:r>
      <w:r>
        <w:tab/>
        <w:t xml:space="preserve">[Facebook </w:t>
      </w:r>
      <w:proofErr w:type="spellStart"/>
      <w:r>
        <w:t>Inc</w:t>
      </w:r>
      <w:proofErr w:type="spellEnd"/>
      <w:r>
        <w:t>] is willing to use its personnel, expertise and facilities to provide such services on the terms and conditions set forth herein.</w:t>
      </w:r>
    </w:p>
    <w:p w14:paraId="0A61CE80" w14:textId="77777777" w:rsidR="00EB16B9" w:rsidRDefault="00EB16B9" w:rsidP="00EB16B9">
      <w:pPr>
        <w:pStyle w:val="Quote1"/>
        <w:ind w:left="1440" w:hanging="703"/>
      </w:pPr>
    </w:p>
    <w:p w14:paraId="653BB6A0" w14:textId="77777777" w:rsidR="00EB16B9" w:rsidRDefault="00EB16B9" w:rsidP="00EB16B9">
      <w:pPr>
        <w:pStyle w:val="ParaNumbering"/>
      </w:pPr>
      <w:r>
        <w:t>Section 1 included:</w:t>
      </w:r>
    </w:p>
    <w:p w14:paraId="3EDA05D2" w14:textId="77777777" w:rsidR="00EB16B9" w:rsidRDefault="00EB16B9" w:rsidP="00EB16B9">
      <w:pPr>
        <w:pStyle w:val="Quote1"/>
        <w:widowControl/>
        <w:ind w:left="1440" w:hanging="703"/>
      </w:pPr>
      <w:r>
        <w:t xml:space="preserve">1.3 </w:t>
      </w:r>
      <w:r>
        <w:tab/>
        <w:t>“</w:t>
      </w:r>
      <w:r w:rsidRPr="00F73B46">
        <w:rPr>
          <w:u w:val="single"/>
        </w:rPr>
        <w:t xml:space="preserve">Data </w:t>
      </w:r>
      <w:proofErr w:type="spellStart"/>
      <w:r w:rsidRPr="00F73B46">
        <w:rPr>
          <w:u w:val="single"/>
        </w:rPr>
        <w:t>Center</w:t>
      </w:r>
      <w:proofErr w:type="spellEnd"/>
      <w:r>
        <w:t xml:space="preserve">” shall mean the location(s) at which [Facebook </w:t>
      </w:r>
      <w:proofErr w:type="spellStart"/>
      <w:r>
        <w:t>Inc</w:t>
      </w:r>
      <w:proofErr w:type="spellEnd"/>
      <w:r>
        <w:t>] provides the Services, as defined in Section 1.6 herein, including all hardware at that location and software applications installed on such hardware.</w:t>
      </w:r>
    </w:p>
    <w:p w14:paraId="4D1E2021" w14:textId="77777777" w:rsidR="00EB16B9" w:rsidRDefault="00EB16B9" w:rsidP="00EB16B9">
      <w:pPr>
        <w:pStyle w:val="Quote1"/>
        <w:widowControl/>
      </w:pPr>
      <w:r>
        <w:t>…</w:t>
      </w:r>
    </w:p>
    <w:p w14:paraId="17C37FD6" w14:textId="77777777" w:rsidR="00EB16B9" w:rsidRDefault="00EB16B9" w:rsidP="00EB16B9">
      <w:pPr>
        <w:pStyle w:val="Quote1"/>
        <w:widowControl/>
        <w:ind w:left="1440" w:hanging="703"/>
      </w:pPr>
      <w:r>
        <w:t xml:space="preserve">1.5 </w:t>
      </w:r>
      <w:r>
        <w:tab/>
        <w:t>“</w:t>
      </w:r>
      <w:r w:rsidRPr="00F73B46">
        <w:rPr>
          <w:u w:val="single"/>
        </w:rPr>
        <w:t>Facebook Online Platform</w:t>
      </w:r>
      <w:r>
        <w:t>” shall mean and include the system that facilitates the sharing of data between users for social networking purposes, sales of credits and virtual items, development of applications by developers, delivery of targeted advertisements to user pages, and any related processes or technology that relates to facilitating communication and social networking among users and serving advertisements.</w:t>
      </w:r>
    </w:p>
    <w:p w14:paraId="420BF328" w14:textId="77777777" w:rsidR="00EB16B9" w:rsidRDefault="00EB16B9" w:rsidP="00EB16B9">
      <w:pPr>
        <w:pStyle w:val="Quote1"/>
        <w:widowControl/>
        <w:ind w:left="1440" w:hanging="703"/>
      </w:pPr>
      <w:r>
        <w:t xml:space="preserve">1.6 </w:t>
      </w:r>
      <w:r>
        <w:tab/>
        <w:t>“</w:t>
      </w:r>
      <w:r w:rsidRPr="00F73B46">
        <w:rPr>
          <w:u w:val="single"/>
        </w:rPr>
        <w:t>Services</w:t>
      </w:r>
      <w:r>
        <w:t>” shall mean and include website and data hosting services as specified in Section 2.</w:t>
      </w:r>
    </w:p>
    <w:p w14:paraId="5F7C2B22" w14:textId="77777777" w:rsidR="00EB16B9" w:rsidRDefault="00EB16B9" w:rsidP="00EB16B9">
      <w:pPr>
        <w:pStyle w:val="Quote1"/>
        <w:widowControl/>
        <w:spacing w:after="0"/>
        <w:ind w:left="1440" w:hanging="703"/>
      </w:pPr>
      <w:r>
        <w:t xml:space="preserve">1.7 </w:t>
      </w:r>
      <w:r>
        <w:tab/>
        <w:t>“</w:t>
      </w:r>
      <w:r w:rsidRPr="00F73B46">
        <w:rPr>
          <w:u w:val="single"/>
        </w:rPr>
        <w:t>Territory</w:t>
      </w:r>
      <w:r>
        <w:t>” shall mean and include all countries worldwide, excluding the United States and Canada.</w:t>
      </w:r>
    </w:p>
    <w:p w14:paraId="398F9CE1" w14:textId="77777777" w:rsidR="00EB16B9" w:rsidRDefault="00EB16B9" w:rsidP="00EB16B9">
      <w:pPr>
        <w:pStyle w:val="Quote1"/>
      </w:pPr>
    </w:p>
    <w:p w14:paraId="5582424C" w14:textId="77777777" w:rsidR="00EB16B9" w:rsidRDefault="00EB16B9" w:rsidP="00EB16B9">
      <w:pPr>
        <w:pStyle w:val="ParaNumbering"/>
      </w:pPr>
      <w:r>
        <w:t>Section 2 included:</w:t>
      </w:r>
    </w:p>
    <w:p w14:paraId="0136404B" w14:textId="77777777" w:rsidR="00EB16B9" w:rsidRPr="00B954A8" w:rsidRDefault="00EB16B9" w:rsidP="00EB16B9">
      <w:pPr>
        <w:pStyle w:val="Quote1"/>
        <w:rPr>
          <w:b/>
          <w:u w:val="single"/>
        </w:rPr>
      </w:pPr>
      <w:r w:rsidRPr="00B954A8">
        <w:rPr>
          <w:b/>
          <w:u w:val="single"/>
        </w:rPr>
        <w:t>Section 2 - Engagement of Company</w:t>
      </w:r>
    </w:p>
    <w:p w14:paraId="194D3931" w14:textId="77777777" w:rsidR="00EB16B9" w:rsidRDefault="00EB16B9" w:rsidP="00EB16B9">
      <w:pPr>
        <w:pStyle w:val="Quote1"/>
        <w:ind w:left="1440" w:hanging="703"/>
      </w:pPr>
      <w:r>
        <w:t xml:space="preserve">2.1 </w:t>
      </w:r>
      <w:r>
        <w:tab/>
        <w:t xml:space="preserve">[Facebook Ireland] hereby engages [Facebook </w:t>
      </w:r>
      <w:proofErr w:type="spellStart"/>
      <w:r>
        <w:t>Inc</w:t>
      </w:r>
      <w:proofErr w:type="spellEnd"/>
      <w:r>
        <w:t xml:space="preserve">], and [Facebook </w:t>
      </w:r>
      <w:proofErr w:type="spellStart"/>
      <w:r>
        <w:t>Inc</w:t>
      </w:r>
      <w:proofErr w:type="spellEnd"/>
      <w:r>
        <w:t>] hereby agrees, to provide [Facebook Ireland] with Services as [Facebook Ireland] may request from time to time. [Facebook Ireland] shall use its best efforts to perform the Services in a timely and efficient manner.</w:t>
      </w:r>
    </w:p>
    <w:p w14:paraId="4297CC44" w14:textId="77777777" w:rsidR="00EB16B9" w:rsidRDefault="00EB16B9" w:rsidP="00EB16B9">
      <w:pPr>
        <w:pStyle w:val="Quote1"/>
        <w:ind w:left="1440" w:hanging="703"/>
      </w:pPr>
      <w:r>
        <w:t xml:space="preserve">2.2 </w:t>
      </w:r>
      <w:r>
        <w:tab/>
        <w:t xml:space="preserve">[Facebook </w:t>
      </w:r>
      <w:proofErr w:type="spellStart"/>
      <w:r>
        <w:t>Inc</w:t>
      </w:r>
      <w:proofErr w:type="spellEnd"/>
      <w:r>
        <w:t xml:space="preserve">] shall operate and provide capacity to [Facebook Ireland] at one or more Data </w:t>
      </w:r>
      <w:proofErr w:type="spellStart"/>
      <w:r>
        <w:t>Centers</w:t>
      </w:r>
      <w:proofErr w:type="spellEnd"/>
      <w:r>
        <w:t xml:space="preserve"> sufficient to provide website hosting and data hosting capacity as requested by [Facebook Ireland] from time to time.</w:t>
      </w:r>
    </w:p>
    <w:p w14:paraId="54842C46" w14:textId="77777777" w:rsidR="00EB16B9" w:rsidRDefault="00EB16B9" w:rsidP="00EB16B9">
      <w:pPr>
        <w:pStyle w:val="Quote1"/>
        <w:ind w:left="1440" w:hanging="703"/>
      </w:pPr>
      <w:r>
        <w:t xml:space="preserve">2.3 </w:t>
      </w:r>
      <w:r>
        <w:tab/>
        <w:t xml:space="preserve">[Facebook </w:t>
      </w:r>
      <w:proofErr w:type="spellStart"/>
      <w:r>
        <w:t>Inc</w:t>
      </w:r>
      <w:proofErr w:type="spellEnd"/>
      <w:r>
        <w:t xml:space="preserve">] shall have operational and financial responsibility for operation of the Data </w:t>
      </w:r>
      <w:proofErr w:type="spellStart"/>
      <w:r>
        <w:t>Center</w:t>
      </w:r>
      <w:proofErr w:type="spellEnd"/>
      <w:r>
        <w:t xml:space="preserve"> at all times. [Facebook </w:t>
      </w:r>
      <w:proofErr w:type="spellStart"/>
      <w:r>
        <w:t>Inc</w:t>
      </w:r>
      <w:proofErr w:type="spellEnd"/>
      <w:r>
        <w:t xml:space="preserve">] shall own or lease all equipment used in the Data </w:t>
      </w:r>
      <w:proofErr w:type="spellStart"/>
      <w:r>
        <w:t>Center</w:t>
      </w:r>
      <w:proofErr w:type="spellEnd"/>
      <w:r>
        <w:t xml:space="preserve"> to provide the Services and will select the hardware to be used in the Data </w:t>
      </w:r>
      <w:proofErr w:type="spellStart"/>
      <w:r>
        <w:t>Center</w:t>
      </w:r>
      <w:proofErr w:type="spellEnd"/>
      <w:r>
        <w:t xml:space="preserve">. [Facebook </w:t>
      </w:r>
      <w:proofErr w:type="spellStart"/>
      <w:r>
        <w:t>Inc</w:t>
      </w:r>
      <w:proofErr w:type="spellEnd"/>
      <w:r>
        <w:t xml:space="preserve">] shall maintain the Data </w:t>
      </w:r>
      <w:proofErr w:type="spellStart"/>
      <w:r>
        <w:t>Center</w:t>
      </w:r>
      <w:proofErr w:type="spellEnd"/>
      <w:r>
        <w:t xml:space="preserve"> in a secure facility. No persons other than [Facebook </w:t>
      </w:r>
      <w:proofErr w:type="spellStart"/>
      <w:r>
        <w:t>Inc</w:t>
      </w:r>
      <w:proofErr w:type="spellEnd"/>
      <w:r>
        <w:t xml:space="preserve">] personnel shall have access to the Data </w:t>
      </w:r>
      <w:proofErr w:type="spellStart"/>
      <w:r>
        <w:t>Center</w:t>
      </w:r>
      <w:proofErr w:type="spellEnd"/>
      <w:r>
        <w:t xml:space="preserve"> without prior authorization from [Facebook </w:t>
      </w:r>
      <w:proofErr w:type="spellStart"/>
      <w:r>
        <w:t>Inc</w:t>
      </w:r>
      <w:proofErr w:type="spellEnd"/>
      <w:r>
        <w:t>].</w:t>
      </w:r>
    </w:p>
    <w:p w14:paraId="6DA35A3C" w14:textId="77777777" w:rsidR="00EB16B9" w:rsidRDefault="00EB16B9" w:rsidP="00EB16B9">
      <w:pPr>
        <w:pStyle w:val="Quote1"/>
        <w:spacing w:after="0"/>
        <w:ind w:left="1440" w:hanging="703"/>
      </w:pPr>
      <w:r>
        <w:lastRenderedPageBreak/>
        <w:t xml:space="preserve">2.5 </w:t>
      </w:r>
      <w:r>
        <w:tab/>
        <w:t xml:space="preserve">The Parties are and shall at all times remain independent contractors, and not partners, agent or joint venturers. Neither Party may (a) bind or control the other pursuant to this Agreement; (b) act as an agent or represent that it is authorized to act as an agent for the other; nor (c) create or assume any obligation on behalf or in the name of the other. All obligations entered into by [Facebook </w:t>
      </w:r>
      <w:proofErr w:type="spellStart"/>
      <w:r>
        <w:t>Inc</w:t>
      </w:r>
      <w:proofErr w:type="spellEnd"/>
      <w:r>
        <w:t>] shall be its sole responsibility except to the extent specifically provided otherwise herein.</w:t>
      </w:r>
    </w:p>
    <w:p w14:paraId="2EC9A3B6" w14:textId="77777777" w:rsidR="00EB16B9" w:rsidRDefault="00EB16B9" w:rsidP="00EB16B9">
      <w:pPr>
        <w:pStyle w:val="Quote1"/>
        <w:ind w:left="1440" w:hanging="703"/>
      </w:pPr>
    </w:p>
    <w:p w14:paraId="089A56F6" w14:textId="08E2E73C" w:rsidR="00EB16B9" w:rsidRDefault="000B585F" w:rsidP="00EB16B9">
      <w:pPr>
        <w:pStyle w:val="ParaNumbering"/>
      </w:pPr>
      <w:r>
        <w:t>Section</w:t>
      </w:r>
      <w:r w:rsidR="00EB16B9">
        <w:t xml:space="preserve"> 2.1, read with </w:t>
      </w:r>
      <w:r>
        <w:t>s</w:t>
      </w:r>
      <w:r w:rsidR="00EB16B9">
        <w:t xml:space="preserve"> 1.6, indicates that Facebook </w:t>
      </w:r>
      <w:proofErr w:type="spellStart"/>
      <w:r w:rsidR="00EB16B9">
        <w:t>Inc</w:t>
      </w:r>
      <w:proofErr w:type="spellEnd"/>
      <w:r w:rsidR="00EB16B9">
        <w:t xml:space="preserve"> is to provide to Facebook Ireland website and data hosting services, which includes the Facebook Online Platform available for access in Australia by Australian </w:t>
      </w:r>
      <w:r w:rsidR="00BD73A8">
        <w:t>u</w:t>
      </w:r>
      <w:r w:rsidR="00EB16B9">
        <w:t>sers.</w:t>
      </w:r>
    </w:p>
    <w:p w14:paraId="2406C6AE" w14:textId="03CDAE8F" w:rsidR="00EB16B9" w:rsidRDefault="000B585F" w:rsidP="00EB16B9">
      <w:pPr>
        <w:pStyle w:val="ParaNumbering"/>
      </w:pPr>
      <w:r>
        <w:t>Section</w:t>
      </w:r>
      <w:r w:rsidR="00EB16B9">
        <w:t xml:space="preserve"> 2.2, read with </w:t>
      </w:r>
      <w:proofErr w:type="spellStart"/>
      <w:r>
        <w:t>ss</w:t>
      </w:r>
      <w:proofErr w:type="spellEnd"/>
      <w:r w:rsidR="00EB16B9">
        <w:t xml:space="preserve"> 1.3 and 1.6, indicates that Facebook </w:t>
      </w:r>
      <w:proofErr w:type="spellStart"/>
      <w:r w:rsidR="00EB16B9">
        <w:t>Inc</w:t>
      </w:r>
      <w:proofErr w:type="spellEnd"/>
      <w:r w:rsidR="00EB16B9">
        <w:t xml:space="preserve"> is to operate and provide capacity to Facebook Ireland, at one or more “Data </w:t>
      </w:r>
      <w:proofErr w:type="spellStart"/>
      <w:r w:rsidR="00EB16B9">
        <w:t>Centers</w:t>
      </w:r>
      <w:proofErr w:type="spellEnd"/>
      <w:r w:rsidR="00EB16B9">
        <w:t xml:space="preserve">”, sufficient to provide website hosting and data capacity as requested by Facebook Ireland. </w:t>
      </w:r>
      <w:r w:rsidR="00C4107D">
        <w:t xml:space="preserve"> Under </w:t>
      </w:r>
      <w:r>
        <w:t>s</w:t>
      </w:r>
      <w:r w:rsidR="00C4107D">
        <w:t xml:space="preserve"> 2.3, Facebook </w:t>
      </w:r>
      <w:proofErr w:type="spellStart"/>
      <w:r w:rsidR="00C4107D">
        <w:t>Inc</w:t>
      </w:r>
      <w:proofErr w:type="spellEnd"/>
      <w:r w:rsidR="00C4107D">
        <w:t xml:space="preserve"> shall own or lease all equipment used in the “Data </w:t>
      </w:r>
      <w:proofErr w:type="spellStart"/>
      <w:r w:rsidR="00C4107D">
        <w:t>Center</w:t>
      </w:r>
      <w:proofErr w:type="spellEnd"/>
      <w:r w:rsidR="00C4107D">
        <w:t xml:space="preserve">” to provide the services and will select the hardware to be used in the “Data </w:t>
      </w:r>
      <w:proofErr w:type="spellStart"/>
      <w:r w:rsidR="00C4107D">
        <w:t>Center</w:t>
      </w:r>
      <w:proofErr w:type="spellEnd"/>
      <w:r w:rsidR="00C4107D">
        <w:t xml:space="preserve">”.  Whilst the Commissioner submitted that it was open to infer that there might be physical systems in Australia which Facebook </w:t>
      </w:r>
      <w:proofErr w:type="spellStart"/>
      <w:r w:rsidR="00C4107D">
        <w:t>Inc</w:t>
      </w:r>
      <w:proofErr w:type="spellEnd"/>
      <w:r w:rsidR="00C4107D">
        <w:t xml:space="preserve"> used to fulfil its obligations under these clauses, the Commissioner did not submit that there was a “Data </w:t>
      </w:r>
      <w:proofErr w:type="spellStart"/>
      <w:r w:rsidR="00C4107D">
        <w:t>Center</w:t>
      </w:r>
      <w:proofErr w:type="spellEnd"/>
      <w:r w:rsidR="00C4107D">
        <w:t xml:space="preserve">” in Australia.  As is noted below, the Commissioner did submit that there were caching servers in Australia which it could be inferred were operated and owned by Facebook Inc.  </w:t>
      </w:r>
    </w:p>
    <w:p w14:paraId="3300B43D" w14:textId="620550C5" w:rsidR="00EB16B9" w:rsidRDefault="00EB16B9" w:rsidP="00EB16B9">
      <w:pPr>
        <w:pStyle w:val="ParaNumbering"/>
      </w:pPr>
      <w:r>
        <w:t xml:space="preserve">Facebook </w:t>
      </w:r>
      <w:proofErr w:type="spellStart"/>
      <w:r>
        <w:t>Inc</w:t>
      </w:r>
      <w:proofErr w:type="spellEnd"/>
      <w:r>
        <w:t xml:space="preserve"> emphasised </w:t>
      </w:r>
      <w:r w:rsidR="000B585F">
        <w:t>s</w:t>
      </w:r>
      <w:r>
        <w:t xml:space="preserve"> 2.5, which provided that Facebook </w:t>
      </w:r>
      <w:proofErr w:type="spellStart"/>
      <w:r>
        <w:t>Inc</w:t>
      </w:r>
      <w:proofErr w:type="spellEnd"/>
      <w:r>
        <w:t xml:space="preserve"> and Facebook Ireland “are and shall at all times remain independent contractors, and not partners, agent or joint venturers”. </w:t>
      </w:r>
      <w:r w:rsidR="00F710FF">
        <w:t xml:space="preserve"> </w:t>
      </w:r>
      <w:r>
        <w:t xml:space="preserve">It may be that the facts are such that the parties are, notwithstanding such a term, in fact agents or partners or joint venturers – see: </w:t>
      </w:r>
      <w:r w:rsidRPr="00D263CD">
        <w:rPr>
          <w:i/>
          <w:iCs/>
          <w:lang w:val="en-US"/>
        </w:rPr>
        <w:t>Board of Trade v Hammond Elevator Co</w:t>
      </w:r>
      <w:r w:rsidRPr="00D263CD">
        <w:rPr>
          <w:lang w:val="en-US"/>
        </w:rPr>
        <w:t xml:space="preserve"> 198 US 424 </w:t>
      </w:r>
      <w:r w:rsidR="002A7B8C">
        <w:rPr>
          <w:lang w:val="en-US"/>
        </w:rPr>
        <w:t xml:space="preserve">(1905) </w:t>
      </w:r>
      <w:r w:rsidRPr="00D263CD">
        <w:rPr>
          <w:lang w:val="en-US"/>
        </w:rPr>
        <w:t>at 437</w:t>
      </w:r>
      <w:r w:rsidR="002A7B8C">
        <w:rPr>
          <w:lang w:val="en-US"/>
        </w:rPr>
        <w:t>-</w:t>
      </w:r>
      <w:r w:rsidRPr="00D263CD">
        <w:rPr>
          <w:lang w:val="en-US"/>
        </w:rPr>
        <w:t>438, 441</w:t>
      </w:r>
      <w:r>
        <w:rPr>
          <w:lang w:val="en-US"/>
        </w:rPr>
        <w:t>;</w:t>
      </w:r>
      <w:r w:rsidRPr="00D263CD">
        <w:rPr>
          <w:lang w:val="en-US"/>
        </w:rPr>
        <w:t xml:space="preserve"> </w:t>
      </w:r>
      <w:proofErr w:type="spellStart"/>
      <w:r w:rsidRPr="00D263CD">
        <w:rPr>
          <w:i/>
          <w:iCs/>
          <w:lang w:val="en-US"/>
        </w:rPr>
        <w:t>Radaich</w:t>
      </w:r>
      <w:proofErr w:type="spellEnd"/>
      <w:r w:rsidRPr="00D263CD">
        <w:rPr>
          <w:i/>
          <w:iCs/>
          <w:lang w:val="en-US"/>
        </w:rPr>
        <w:t xml:space="preserve"> v Smith</w:t>
      </w:r>
      <w:r w:rsidRPr="00D263CD">
        <w:rPr>
          <w:lang w:val="en-US"/>
        </w:rPr>
        <w:t xml:space="preserve"> (1959) 101 CLR 209 at 219 (Taylor</w:t>
      </w:r>
      <w:r w:rsidR="00340232">
        <w:rPr>
          <w:lang w:val="en-US"/>
        </w:rPr>
        <w:t> </w:t>
      </w:r>
      <w:r w:rsidRPr="00D263CD">
        <w:rPr>
          <w:lang w:val="en-US"/>
        </w:rPr>
        <w:t xml:space="preserve">J); </w:t>
      </w:r>
      <w:proofErr w:type="spellStart"/>
      <w:r w:rsidRPr="00D263CD">
        <w:rPr>
          <w:i/>
          <w:iCs/>
          <w:lang w:val="en-US"/>
        </w:rPr>
        <w:t>Voli</w:t>
      </w:r>
      <w:proofErr w:type="spellEnd"/>
      <w:r w:rsidRPr="00D263CD">
        <w:rPr>
          <w:i/>
          <w:iCs/>
          <w:lang w:val="en-US"/>
        </w:rPr>
        <w:t xml:space="preserve"> v Inglewood Shire Council</w:t>
      </w:r>
      <w:r w:rsidRPr="00D263CD">
        <w:rPr>
          <w:lang w:val="en-US"/>
        </w:rPr>
        <w:t xml:space="preserve"> (1963) 110 CLR 74 at 90-91 (</w:t>
      </w:r>
      <w:proofErr w:type="spellStart"/>
      <w:r w:rsidRPr="00D263CD">
        <w:rPr>
          <w:lang w:val="en-US"/>
        </w:rPr>
        <w:t>Windeyer</w:t>
      </w:r>
      <w:proofErr w:type="spellEnd"/>
      <w:r w:rsidR="00340232">
        <w:rPr>
          <w:lang w:val="en-US"/>
        </w:rPr>
        <w:t> </w:t>
      </w:r>
      <w:r w:rsidRPr="00D263CD">
        <w:rPr>
          <w:lang w:val="en-US"/>
        </w:rPr>
        <w:t>J)</w:t>
      </w:r>
      <w:r>
        <w:t xml:space="preserve">.  Facebook </w:t>
      </w:r>
      <w:proofErr w:type="spellStart"/>
      <w:r>
        <w:t>Inc</w:t>
      </w:r>
      <w:proofErr w:type="spellEnd"/>
      <w:r w:rsidRPr="00F26CF8">
        <w:t xml:space="preserve"> </w:t>
      </w:r>
      <w:r>
        <w:t xml:space="preserve">submitted, however, that it was clear that the parties objectively intended to conduct separate businesses in separate territories and that the Commissioner had not pointed to any contract entered into by Facebook Ireland on behalf of Facebook Inc. </w:t>
      </w:r>
    </w:p>
    <w:p w14:paraId="3D0F5663" w14:textId="63CF9B98" w:rsidR="00EB16B9" w:rsidRDefault="00EB16B9" w:rsidP="00EB16B9">
      <w:pPr>
        <w:pStyle w:val="ParaNumbering"/>
      </w:pPr>
      <w:r>
        <w:t xml:space="preserve">Facebook </w:t>
      </w:r>
      <w:proofErr w:type="spellStart"/>
      <w:r>
        <w:t>Inc</w:t>
      </w:r>
      <w:proofErr w:type="spellEnd"/>
      <w:r>
        <w:t xml:space="preserve"> also relied upon </w:t>
      </w:r>
      <w:proofErr w:type="spellStart"/>
      <w:r w:rsidR="000B585F">
        <w:t>ss</w:t>
      </w:r>
      <w:proofErr w:type="spellEnd"/>
      <w:r w:rsidR="000B585F">
        <w:t> </w:t>
      </w:r>
      <w:r>
        <w:t>4.1 and 5.1, which provided:</w:t>
      </w:r>
    </w:p>
    <w:p w14:paraId="1071DFB8" w14:textId="77777777" w:rsidR="00EB16B9" w:rsidRPr="00CE65D6" w:rsidRDefault="00EB16B9" w:rsidP="00EB16B9">
      <w:pPr>
        <w:pStyle w:val="Quote1"/>
        <w:rPr>
          <w:b/>
          <w:u w:val="single"/>
        </w:rPr>
      </w:pPr>
      <w:r w:rsidRPr="00CE65D6">
        <w:rPr>
          <w:b/>
          <w:u w:val="single"/>
        </w:rPr>
        <w:t>Section 4 - Report of Services</w:t>
      </w:r>
    </w:p>
    <w:p w14:paraId="7BA061D1" w14:textId="77777777" w:rsidR="00EB16B9" w:rsidRDefault="00EB16B9" w:rsidP="000B585F">
      <w:pPr>
        <w:pStyle w:val="Quote1"/>
        <w:spacing w:after="0"/>
        <w:ind w:left="1276" w:hanging="539"/>
      </w:pPr>
      <w:r>
        <w:t xml:space="preserve">4.1 </w:t>
      </w:r>
      <w:r>
        <w:tab/>
        <w:t xml:space="preserve">On a periodic basis, but no less frequently than quarterly, [Facebook </w:t>
      </w:r>
      <w:proofErr w:type="spellStart"/>
      <w:r>
        <w:t>Inc</w:t>
      </w:r>
      <w:proofErr w:type="spellEnd"/>
      <w:r>
        <w:t xml:space="preserve">] shall furnish [Facebook Ireland] with a written report/invoice (a) summarizing all Services performed by [Facebook </w:t>
      </w:r>
      <w:proofErr w:type="spellStart"/>
      <w:r>
        <w:t>Inc</w:t>
      </w:r>
      <w:proofErr w:type="spellEnd"/>
      <w:r>
        <w:t xml:space="preserve">] for [Facebook Ireland] for the applicable period; and (b) detailing [Facebook </w:t>
      </w:r>
      <w:proofErr w:type="spellStart"/>
      <w:r>
        <w:t>Inc’s</w:t>
      </w:r>
      <w:proofErr w:type="spellEnd"/>
      <w:r>
        <w:t>] Expenses incurred with respect thereto.</w:t>
      </w:r>
    </w:p>
    <w:p w14:paraId="52D5962C" w14:textId="77777777" w:rsidR="00EB16B9" w:rsidRDefault="00EB16B9" w:rsidP="00EB16B9">
      <w:pPr>
        <w:pStyle w:val="Quote1"/>
        <w:ind w:left="1276" w:hanging="539"/>
      </w:pPr>
      <w:r>
        <w:lastRenderedPageBreak/>
        <w:t>…</w:t>
      </w:r>
    </w:p>
    <w:p w14:paraId="66EEEA94" w14:textId="77777777" w:rsidR="00EB16B9" w:rsidRPr="00F73B46" w:rsidRDefault="00EB16B9" w:rsidP="00EB16B9">
      <w:pPr>
        <w:pStyle w:val="Quote1"/>
        <w:ind w:left="1276" w:hanging="539"/>
        <w:rPr>
          <w:b/>
          <w:bCs/>
          <w:u w:val="single"/>
        </w:rPr>
      </w:pPr>
      <w:r w:rsidRPr="00F73B46">
        <w:rPr>
          <w:b/>
          <w:bCs/>
          <w:u w:val="single"/>
        </w:rPr>
        <w:t xml:space="preserve">Section 5 </w:t>
      </w:r>
      <w:r w:rsidRPr="00F73B46">
        <w:rPr>
          <w:b/>
          <w:u w:val="single"/>
        </w:rPr>
        <w:t>-</w:t>
      </w:r>
      <w:r w:rsidRPr="00F73B46">
        <w:rPr>
          <w:u w:val="single"/>
        </w:rPr>
        <w:t xml:space="preserve"> </w:t>
      </w:r>
      <w:r w:rsidRPr="00F73B46">
        <w:rPr>
          <w:b/>
          <w:bCs/>
          <w:u w:val="single"/>
        </w:rPr>
        <w:t>Consideration</w:t>
      </w:r>
    </w:p>
    <w:p w14:paraId="76AA0C60" w14:textId="1DCF7B1B" w:rsidR="00EB16B9" w:rsidRDefault="00EB16B9" w:rsidP="000B585F">
      <w:pPr>
        <w:pStyle w:val="Quote1"/>
        <w:spacing w:after="0"/>
        <w:ind w:left="1276" w:hanging="539"/>
      </w:pPr>
      <w:r w:rsidRPr="00E37CAE">
        <w:t xml:space="preserve">5.1 </w:t>
      </w:r>
      <w:r>
        <w:tab/>
      </w:r>
      <w:r w:rsidRPr="00E37CAE">
        <w:t>In consideration for the Service</w:t>
      </w:r>
      <w:r w:rsidR="000B585F">
        <w:t xml:space="preserve">s performed by </w:t>
      </w:r>
      <w:r w:rsidR="008618D4">
        <w:t xml:space="preserve">[Facebook </w:t>
      </w:r>
      <w:proofErr w:type="spellStart"/>
      <w:r w:rsidR="008618D4">
        <w:t>Inc</w:t>
      </w:r>
      <w:proofErr w:type="spellEnd"/>
      <w:r w:rsidR="008618D4">
        <w:t>]</w:t>
      </w:r>
      <w:r w:rsidR="000B585F">
        <w:t>,</w:t>
      </w:r>
      <w:r w:rsidRPr="00E37CAE">
        <w:t xml:space="preserve"> </w:t>
      </w:r>
      <w:r w:rsidR="008618D4">
        <w:t>[Facebook Ireland]</w:t>
      </w:r>
      <w:r>
        <w:t xml:space="preserve"> shall pay </w:t>
      </w:r>
      <w:r w:rsidR="008618D4">
        <w:t xml:space="preserve">[Facebook </w:t>
      </w:r>
      <w:proofErr w:type="spellStart"/>
      <w:r w:rsidR="008618D4">
        <w:t>Inc</w:t>
      </w:r>
      <w:proofErr w:type="spellEnd"/>
      <w:r w:rsidR="008618D4">
        <w:t>]</w:t>
      </w:r>
      <w:r w:rsidRPr="00E37CAE">
        <w:t xml:space="preserve"> an amount equal to </w:t>
      </w:r>
      <w:r w:rsidR="008618D4">
        <w:t xml:space="preserve">[Facebook </w:t>
      </w:r>
      <w:proofErr w:type="spellStart"/>
      <w:r w:rsidR="008618D4">
        <w:t>Inc’s</w:t>
      </w:r>
      <w:proofErr w:type="spellEnd"/>
      <w:r w:rsidR="008618D4">
        <w:t>]</w:t>
      </w:r>
      <w:r>
        <w:t xml:space="preserve"> Expenses, plus</w:t>
      </w:r>
      <w:r w:rsidR="008618D4">
        <w:t xml:space="preserve"> [redacted]</w:t>
      </w:r>
      <w:r>
        <w:t xml:space="preserve"> (“</w:t>
      </w:r>
      <w:r w:rsidRPr="00E37CAE">
        <w:t>Service</w:t>
      </w:r>
      <w:r>
        <w:t xml:space="preserve"> </w:t>
      </w:r>
      <w:r w:rsidRPr="00E37CAE">
        <w:t>Fees</w:t>
      </w:r>
      <w:r>
        <w:t>”</w:t>
      </w:r>
      <w:r w:rsidRPr="00E37CAE">
        <w:t>). The Parties agree to periodically review the Service Fees and to make adjustments to the Service</w:t>
      </w:r>
      <w:r>
        <w:t xml:space="preserve"> </w:t>
      </w:r>
      <w:r w:rsidRPr="00E37CAE">
        <w:t>Fees as appropriate to maintain an arm</w:t>
      </w:r>
      <w:r>
        <w:t>’</w:t>
      </w:r>
      <w:r w:rsidRPr="00E37CAE">
        <w:t>s-length compensation.</w:t>
      </w:r>
    </w:p>
    <w:p w14:paraId="2C3FD49B" w14:textId="77777777" w:rsidR="00EB16B9" w:rsidRPr="00D263CD" w:rsidRDefault="00EB16B9" w:rsidP="00EB16B9">
      <w:pPr>
        <w:pStyle w:val="Quote1"/>
        <w:ind w:left="1276" w:hanging="539"/>
      </w:pPr>
    </w:p>
    <w:p w14:paraId="36CFC4AD" w14:textId="05EC6AE4" w:rsidR="00EB16B9" w:rsidRDefault="00EB16B9" w:rsidP="003617EF">
      <w:pPr>
        <w:pStyle w:val="ParaNumbering"/>
      </w:pPr>
      <w:r>
        <w:t>The</w:t>
      </w:r>
      <w:r w:rsidR="000B585F">
        <w:t xml:space="preserve"> Commissioner relied on s </w:t>
      </w:r>
      <w:r>
        <w:t>5.1 as indicat</w:t>
      </w:r>
      <w:r w:rsidR="008618D4">
        <w:t>ing</w:t>
      </w:r>
      <w:r>
        <w:t xml:space="preserve"> that Facebook </w:t>
      </w:r>
      <w:proofErr w:type="spellStart"/>
      <w:r>
        <w:t>Inc</w:t>
      </w:r>
      <w:proofErr w:type="spellEnd"/>
      <w:r>
        <w:t xml:space="preserve"> derive</w:t>
      </w:r>
      <w:r w:rsidR="000B585F">
        <w:t>d</w:t>
      </w:r>
      <w:r>
        <w:t xml:space="preserve"> income from activities conducted in Australia. </w:t>
      </w:r>
      <w:r w:rsidR="008618D4">
        <w:t xml:space="preserve"> </w:t>
      </w:r>
      <w:r w:rsidR="000B585F">
        <w:t xml:space="preserve">Section 5.1 does not of itself give rise to any inference that services were provided by Facebook </w:t>
      </w:r>
      <w:proofErr w:type="spellStart"/>
      <w:r w:rsidR="000B585F">
        <w:t>Inc</w:t>
      </w:r>
      <w:proofErr w:type="spellEnd"/>
      <w:r>
        <w:t xml:space="preserve"> </w:t>
      </w:r>
      <w:r w:rsidR="000B585F">
        <w:t xml:space="preserve">in Australia.  All it provides is that consideration is payable to Facebook </w:t>
      </w:r>
      <w:proofErr w:type="spellStart"/>
      <w:r w:rsidR="000B585F">
        <w:t>Inc</w:t>
      </w:r>
      <w:proofErr w:type="spellEnd"/>
      <w:r w:rsidR="000B585F">
        <w:t xml:space="preserve"> for the services it provides.   </w:t>
      </w:r>
    </w:p>
    <w:p w14:paraId="75B252AD" w14:textId="59CD5464" w:rsidR="009F0A8B" w:rsidRDefault="009F0A8B" w:rsidP="009F0A8B">
      <w:pPr>
        <w:pStyle w:val="ParaNumbering"/>
      </w:pPr>
      <w:r>
        <w:t>Section 8.4 of the Data Hosting Agreement provided:</w:t>
      </w:r>
    </w:p>
    <w:p w14:paraId="551ABCD2" w14:textId="77777777" w:rsidR="009F0A8B" w:rsidRDefault="009F0A8B" w:rsidP="009F0A8B">
      <w:pPr>
        <w:pStyle w:val="Quote1"/>
        <w:spacing w:after="0"/>
      </w:pPr>
      <w:r>
        <w:t xml:space="preserve">[Facebook Ireland] may, at its sole discretion, provide or make accessible to [Facebook </w:t>
      </w:r>
      <w:proofErr w:type="spellStart"/>
      <w:r>
        <w:t>Inc</w:t>
      </w:r>
      <w:proofErr w:type="spellEnd"/>
      <w:r>
        <w:t xml:space="preserve">] personal data (as this term is defined in Article 2 of Directive 95/46/EC) relating to residents of the European Economic Area (“EEA Personal Data”) and other personal or business data for [Facebook </w:t>
      </w:r>
      <w:proofErr w:type="spellStart"/>
      <w:r>
        <w:t>Inc</w:t>
      </w:r>
      <w:proofErr w:type="spellEnd"/>
      <w:r>
        <w:t xml:space="preserve">] to process on behalf of [Facebook Ireland] (collectively “Processed Data,” including, without limitation, “EEA Personal Data”). [Facebook </w:t>
      </w:r>
      <w:proofErr w:type="spellStart"/>
      <w:r>
        <w:t>Inc</w:t>
      </w:r>
      <w:proofErr w:type="spellEnd"/>
      <w:r>
        <w:t xml:space="preserve">] shall not process (as this term is defined in Article 2 of Directive 95/46/EC) any Processed Data, except (a) on behalf and in the interest of, and subject to instructions from, [Facebook Ireland]; (b) in compliance with legal requirements applicable to [Facebook Ireland] as to technical and administrative data security measures, to be set forth in more detail in a separate data transfer agreement between the Parties; and (c) under an arrangement that ensures, for purposes of compliance with Directive 95/46/EC, adequate safeguards to data privacy and security if and to the extent [Facebook </w:t>
      </w:r>
      <w:proofErr w:type="spellStart"/>
      <w:r>
        <w:t>Inc</w:t>
      </w:r>
      <w:proofErr w:type="spellEnd"/>
      <w:r>
        <w:t xml:space="preserve">] or subcontractors conduct processing activities outside the EEA (e.g., based on standard contractual clauses or a Safe Harbor registration by [Facebook </w:t>
      </w:r>
      <w:proofErr w:type="spellStart"/>
      <w:r>
        <w:t>Inc</w:t>
      </w:r>
      <w:proofErr w:type="spellEnd"/>
      <w:r>
        <w:t>]). The requirements set forth in this Section 8.4 shall apply in addition to, not in lieu of, any obligations set forth in Section 8.1-8.3, and without regard to any exemptions in Section 8.3. Without limiting the generality of Section 9.10, this Section 8.4 shall not create any third party beneficiary rights.</w:t>
      </w:r>
    </w:p>
    <w:p w14:paraId="7DCA956F" w14:textId="77777777" w:rsidR="009F0A8B" w:rsidRPr="00EC6BEC" w:rsidRDefault="009F0A8B" w:rsidP="009F0A8B">
      <w:pPr>
        <w:pStyle w:val="Quote1"/>
      </w:pPr>
    </w:p>
    <w:p w14:paraId="63E52F89" w14:textId="06513CE3" w:rsidR="00EC3DAD" w:rsidRDefault="009F0A8B" w:rsidP="00EC3DAD">
      <w:pPr>
        <w:pStyle w:val="ParaNumbering"/>
      </w:pPr>
      <w:r>
        <w:t xml:space="preserve">Facebook </w:t>
      </w:r>
      <w:proofErr w:type="spellStart"/>
      <w:r>
        <w:t>Inc</w:t>
      </w:r>
      <w:proofErr w:type="spellEnd"/>
      <w:r>
        <w:t xml:space="preserve"> relied on s 8.4 as confirming that it processed data as part of its business of, amongst other things, providing services to Facebook Ireland.</w:t>
      </w:r>
      <w:r w:rsidR="00EC3DAD">
        <w:t xml:space="preserve">  Facebook </w:t>
      </w:r>
      <w:proofErr w:type="spellStart"/>
      <w:r w:rsidR="00EC3DAD">
        <w:t>Inc</w:t>
      </w:r>
      <w:proofErr w:type="spellEnd"/>
      <w:r w:rsidR="00EC3DAD">
        <w:t xml:space="preserve"> emphasised that s 8.4 required Facebook </w:t>
      </w:r>
      <w:proofErr w:type="spellStart"/>
      <w:r w:rsidR="00EC3DAD">
        <w:t>Inc</w:t>
      </w:r>
      <w:proofErr w:type="spellEnd"/>
      <w:r w:rsidR="00EC3DAD">
        <w:t xml:space="preserve"> to process data only “on behalf </w:t>
      </w:r>
      <w:r w:rsidR="00600A5B">
        <w:t xml:space="preserve">of </w:t>
      </w:r>
      <w:r w:rsidR="00EC3DAD">
        <w:t>and in the interest</w:t>
      </w:r>
      <w:r w:rsidR="00600A5B">
        <w:t>s</w:t>
      </w:r>
      <w:r w:rsidR="00EC3DAD">
        <w:t xml:space="preserve"> of, and subject to </w:t>
      </w:r>
      <w:r w:rsidR="00600A5B">
        <w:t xml:space="preserve">… </w:t>
      </w:r>
      <w:r w:rsidR="00EC3DAD">
        <w:t xml:space="preserve">instructions” </w:t>
      </w:r>
      <w:r w:rsidR="00600A5B">
        <w:t xml:space="preserve">from </w:t>
      </w:r>
      <w:r w:rsidR="00EC3DAD">
        <w:t xml:space="preserve">Facebook Ireland.  The Commissioner submitted </w:t>
      </w:r>
      <w:r w:rsidR="00A41893">
        <w:t>s 8.4</w:t>
      </w:r>
      <w:r w:rsidR="00EC3DAD">
        <w:t xml:space="preserve"> showed that Facebook </w:t>
      </w:r>
      <w:proofErr w:type="spellStart"/>
      <w:r w:rsidR="00EC3DAD">
        <w:t>Inc</w:t>
      </w:r>
      <w:proofErr w:type="spellEnd"/>
      <w:r w:rsidR="00EC3DAD">
        <w:t xml:space="preserve"> would be conducting activities in respect of data that subjected it to the application of such laws.</w:t>
      </w:r>
    </w:p>
    <w:p w14:paraId="616B31E3" w14:textId="77777777" w:rsidR="00C15465" w:rsidRPr="00B04C13" w:rsidRDefault="00C15465" w:rsidP="007C292D">
      <w:pPr>
        <w:pStyle w:val="ParaNumbering"/>
        <w:keepNext/>
        <w:numPr>
          <w:ilvl w:val="0"/>
          <w:numId w:val="0"/>
        </w:numPr>
        <w:rPr>
          <w:u w:val="single"/>
        </w:rPr>
      </w:pPr>
      <w:r w:rsidRPr="00B04C13">
        <w:rPr>
          <w:u w:val="single"/>
        </w:rPr>
        <w:lastRenderedPageBreak/>
        <w:t xml:space="preserve">Data Transfer and Processing Agreement </w:t>
      </w:r>
    </w:p>
    <w:p w14:paraId="1249D543" w14:textId="75998CB4" w:rsidR="00D159C4" w:rsidRDefault="00612E5C" w:rsidP="003617EF">
      <w:pPr>
        <w:pStyle w:val="ParaNumbering"/>
      </w:pPr>
      <w:r>
        <w:t xml:space="preserve">The </w:t>
      </w:r>
      <w:r w:rsidR="0059361E" w:rsidRPr="00B04C13">
        <w:t>“</w:t>
      </w:r>
      <w:r w:rsidRPr="00B04C13">
        <w:t>Data Transfer and Processing Agreement</w:t>
      </w:r>
      <w:r w:rsidR="0059361E" w:rsidRPr="00B04C13">
        <w:t>”</w:t>
      </w:r>
      <w:r w:rsidRPr="00B04C13">
        <w:t>,</w:t>
      </w:r>
      <w:r>
        <w:t xml:space="preserve"> effective 13 November 2013, between Facebook Ireland (described as the </w:t>
      </w:r>
      <w:r w:rsidR="0059361E">
        <w:t>“</w:t>
      </w:r>
      <w:r>
        <w:t>data exporter</w:t>
      </w:r>
      <w:r w:rsidR="0059361E">
        <w:t>”</w:t>
      </w:r>
      <w:r>
        <w:t xml:space="preserve">) and Facebook </w:t>
      </w:r>
      <w:proofErr w:type="spellStart"/>
      <w:r>
        <w:t>Inc</w:t>
      </w:r>
      <w:proofErr w:type="spellEnd"/>
      <w:r>
        <w:t xml:space="preserve"> (described as the </w:t>
      </w:r>
      <w:r w:rsidR="0059361E">
        <w:t>“</w:t>
      </w:r>
      <w:r>
        <w:t>data importer</w:t>
      </w:r>
      <w:r w:rsidR="0059361E">
        <w:t>”</w:t>
      </w:r>
      <w:r>
        <w:t>) recorded</w:t>
      </w:r>
      <w:r w:rsidR="00B6604E">
        <w:t xml:space="preserve"> </w:t>
      </w:r>
      <w:r w:rsidR="00B04C13">
        <w:t xml:space="preserve">by way of preamble </w:t>
      </w:r>
      <w:r w:rsidR="00B6604E">
        <w:t>that the parties</w:t>
      </w:r>
      <w:r>
        <w:t>:</w:t>
      </w:r>
    </w:p>
    <w:p w14:paraId="35872137" w14:textId="77777777" w:rsidR="00612E5C" w:rsidRDefault="00612E5C" w:rsidP="00D45650">
      <w:pPr>
        <w:pStyle w:val="Quote1"/>
        <w:spacing w:after="0"/>
      </w:pPr>
      <w: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1C120576" w14:textId="77777777" w:rsidR="00D45650" w:rsidRDefault="00D45650" w:rsidP="00612E5C">
      <w:pPr>
        <w:pStyle w:val="Quote1"/>
      </w:pPr>
    </w:p>
    <w:p w14:paraId="7A684878" w14:textId="1EB7D718" w:rsidR="00B6604E" w:rsidRDefault="00B6604E" w:rsidP="00D159C4">
      <w:pPr>
        <w:pStyle w:val="ParaNumbering"/>
      </w:pPr>
      <w:r>
        <w:t xml:space="preserve">Clause 2.3 stated that it </w:t>
      </w:r>
      <w:r w:rsidR="0059361E">
        <w:t>“</w:t>
      </w:r>
      <w:r>
        <w:t>shall not impact upon the Data Hosting Services Agreement between the parties dated September 15, 2010</w:t>
      </w:r>
      <w:r w:rsidR="0059361E">
        <w:t>”</w:t>
      </w:r>
      <w:r>
        <w:t>.</w:t>
      </w:r>
      <w:r w:rsidR="003C72ED">
        <w:t xml:space="preserve">  This is the </w:t>
      </w:r>
      <w:r w:rsidR="005E3B36">
        <w:t>Data Hosting A</w:t>
      </w:r>
      <w:r w:rsidR="003C72ED">
        <w:t>greement dealt with immediately above.</w:t>
      </w:r>
    </w:p>
    <w:p w14:paraId="0DB1242D" w14:textId="77777777" w:rsidR="00B6604E" w:rsidRDefault="00B6604E" w:rsidP="00D159C4">
      <w:pPr>
        <w:pStyle w:val="ParaNumbering"/>
      </w:pPr>
      <w:r>
        <w:t>Clause 2.4 provided:</w:t>
      </w:r>
    </w:p>
    <w:p w14:paraId="35EB5580" w14:textId="77777777" w:rsidR="00AC680A" w:rsidRDefault="00D30986" w:rsidP="009F0A8B">
      <w:pPr>
        <w:pStyle w:val="Quote1"/>
        <w:widowControl/>
        <w:spacing w:after="0"/>
      </w:pPr>
      <w:r>
        <w:t>The details of the transfer and in particular the special categories of personal data where applicable are specified in Appendix 1 which forms an integral part of the Clauses.</w:t>
      </w:r>
    </w:p>
    <w:p w14:paraId="203BDF9A" w14:textId="77777777" w:rsidR="00D30986" w:rsidRDefault="00D30986" w:rsidP="00D30986">
      <w:pPr>
        <w:pStyle w:val="Quote1"/>
      </w:pPr>
    </w:p>
    <w:p w14:paraId="33FDD117" w14:textId="6B27D583" w:rsidR="00612E5C" w:rsidRDefault="00674C80" w:rsidP="00D159C4">
      <w:pPr>
        <w:pStyle w:val="ParaNumbering"/>
      </w:pPr>
      <w:r>
        <w:t>Appendix 1</w:t>
      </w:r>
      <w:r w:rsidR="00B6604E">
        <w:t xml:space="preserve"> to </w:t>
      </w:r>
      <w:r w:rsidR="003C27CD">
        <w:t xml:space="preserve">the </w:t>
      </w:r>
      <w:r w:rsidR="008947AA">
        <w:t>D</w:t>
      </w:r>
      <w:r w:rsidR="003C27CD">
        <w:t xml:space="preserve">ata Transfer </w:t>
      </w:r>
      <w:r w:rsidR="003C72ED">
        <w:t xml:space="preserve">and Processing </w:t>
      </w:r>
      <w:r w:rsidR="003C27CD">
        <w:t>Agreement</w:t>
      </w:r>
      <w:r>
        <w:t xml:space="preserve"> include</w:t>
      </w:r>
      <w:r w:rsidR="005E3B36">
        <w:t>d</w:t>
      </w:r>
      <w:r>
        <w:t>:</w:t>
      </w:r>
    </w:p>
    <w:p w14:paraId="2B4B3766" w14:textId="77777777" w:rsidR="007F0A4F" w:rsidRPr="002C740F" w:rsidRDefault="007F0A4F" w:rsidP="002C740F">
      <w:pPr>
        <w:pStyle w:val="Quote1"/>
        <w:jc w:val="center"/>
        <w:rPr>
          <w:b/>
          <w:u w:val="single"/>
        </w:rPr>
      </w:pPr>
      <w:r w:rsidRPr="002C740F">
        <w:rPr>
          <w:b/>
          <w:u w:val="single"/>
        </w:rPr>
        <w:t>APPENDIX 1 TO THE STANDARD CONTRACTUAL CLAUSES</w:t>
      </w:r>
    </w:p>
    <w:p w14:paraId="7F9907F0" w14:textId="77777777" w:rsidR="007F0A4F" w:rsidRPr="00DC1B24" w:rsidRDefault="007F0A4F" w:rsidP="007F0A4F">
      <w:pPr>
        <w:pStyle w:val="Quote1"/>
        <w:rPr>
          <w:b/>
        </w:rPr>
      </w:pPr>
      <w:r w:rsidRPr="00DC1B24">
        <w:rPr>
          <w:b/>
        </w:rPr>
        <w:t>Data exporter</w:t>
      </w:r>
    </w:p>
    <w:p w14:paraId="2CD271C2" w14:textId="7DD6266E" w:rsidR="007F0A4F" w:rsidRDefault="007F0A4F" w:rsidP="007F0A4F">
      <w:pPr>
        <w:pStyle w:val="Quote1"/>
      </w:pPr>
      <w:r>
        <w:t xml:space="preserve">The data exporter </w:t>
      </w:r>
      <w:r w:rsidR="004A796F">
        <w:t xml:space="preserve">[Facebook Ireland] </w:t>
      </w:r>
      <w:r>
        <w:t>is a provider of social network services to users domiciled outside of the United States of America and Canada.</w:t>
      </w:r>
    </w:p>
    <w:p w14:paraId="2062E4CA" w14:textId="77777777" w:rsidR="007F0A4F" w:rsidRPr="00DC1B24" w:rsidRDefault="007F0A4F" w:rsidP="007F0A4F">
      <w:pPr>
        <w:pStyle w:val="Quote1"/>
        <w:rPr>
          <w:b/>
        </w:rPr>
      </w:pPr>
      <w:r w:rsidRPr="00DC1B24">
        <w:rPr>
          <w:b/>
        </w:rPr>
        <w:t>Data importer</w:t>
      </w:r>
    </w:p>
    <w:p w14:paraId="0CEFCD89" w14:textId="7D6B56E7" w:rsidR="007F0A4F" w:rsidRDefault="007F0A4F" w:rsidP="007F0A4F">
      <w:pPr>
        <w:pStyle w:val="Quote1"/>
      </w:pPr>
      <w:r>
        <w:t xml:space="preserve">The data importer </w:t>
      </w:r>
      <w:r w:rsidR="004A796F">
        <w:t xml:space="preserve">[Facebook </w:t>
      </w:r>
      <w:proofErr w:type="spellStart"/>
      <w:r w:rsidR="004A796F">
        <w:t>Inc</w:t>
      </w:r>
      <w:proofErr w:type="spellEnd"/>
      <w:r w:rsidR="004A796F">
        <w:t xml:space="preserve">] </w:t>
      </w:r>
      <w:r>
        <w:t>is a provider of social network services to users domiciled in the United States of America and Canada. The data importer also provides technical, engineering and human resource services to the data exporter.</w:t>
      </w:r>
    </w:p>
    <w:p w14:paraId="66ACC46E" w14:textId="77777777" w:rsidR="007F0A4F" w:rsidRPr="00DC1B24" w:rsidRDefault="007F0A4F" w:rsidP="007F0A4F">
      <w:pPr>
        <w:pStyle w:val="Quote1"/>
        <w:rPr>
          <w:b/>
        </w:rPr>
      </w:pPr>
      <w:r w:rsidRPr="00DC1B24">
        <w:rPr>
          <w:b/>
        </w:rPr>
        <w:t>Data subjects</w:t>
      </w:r>
    </w:p>
    <w:p w14:paraId="0CF88AA1" w14:textId="77777777" w:rsidR="007F0A4F" w:rsidRDefault="007F0A4F" w:rsidP="007F0A4F">
      <w:pPr>
        <w:pStyle w:val="Quote1"/>
      </w:pPr>
      <w:r>
        <w:t>The personal data transferred concern the following categories of data subjects:</w:t>
      </w:r>
    </w:p>
    <w:p w14:paraId="35EAEDB9" w14:textId="77777777" w:rsidR="00DC1B24" w:rsidRDefault="007F0A4F" w:rsidP="00DC1B24">
      <w:pPr>
        <w:pStyle w:val="Quote1Bullet"/>
      </w:pPr>
      <w:r>
        <w:t>Registered users of the Facebook platform;</w:t>
      </w:r>
    </w:p>
    <w:p w14:paraId="10AEA4A2" w14:textId="77777777" w:rsidR="00DC1B24" w:rsidRDefault="007F0A4F" w:rsidP="00DC1B24">
      <w:pPr>
        <w:pStyle w:val="Quote1Bullet"/>
      </w:pPr>
      <w:r>
        <w:t>Employees of the data exporter; and</w:t>
      </w:r>
    </w:p>
    <w:p w14:paraId="16EE86D6" w14:textId="77777777" w:rsidR="007F0A4F" w:rsidRDefault="007F0A4F" w:rsidP="00DC1B24">
      <w:pPr>
        <w:pStyle w:val="Quote1Bullet"/>
      </w:pPr>
      <w:r>
        <w:t>Third parties with a commercial relationship with the data exporter (e.g. advertisers, contractors).</w:t>
      </w:r>
    </w:p>
    <w:p w14:paraId="57B78B1E" w14:textId="77777777" w:rsidR="007F0A4F" w:rsidRPr="00DC1B24" w:rsidRDefault="007F0A4F" w:rsidP="007F0A4F">
      <w:pPr>
        <w:pStyle w:val="Quote1"/>
        <w:rPr>
          <w:b/>
        </w:rPr>
      </w:pPr>
      <w:r w:rsidRPr="00DC1B24">
        <w:rPr>
          <w:b/>
        </w:rPr>
        <w:t>Categories of data</w:t>
      </w:r>
    </w:p>
    <w:p w14:paraId="3760F3C3" w14:textId="77777777" w:rsidR="007F0A4F" w:rsidRDefault="007F0A4F" w:rsidP="007F0A4F">
      <w:pPr>
        <w:pStyle w:val="Quote1"/>
      </w:pPr>
      <w:r>
        <w:t>The personal data transferred is:</w:t>
      </w:r>
    </w:p>
    <w:p w14:paraId="1D744EF7" w14:textId="77777777" w:rsidR="00DC1B24" w:rsidRDefault="007F0A4F" w:rsidP="00DC1B24">
      <w:pPr>
        <w:pStyle w:val="Quote1Bullet"/>
      </w:pPr>
      <w:r>
        <w:t>the personal data generated, shared and uploaded by the registered users of the Facebook platform;</w:t>
      </w:r>
    </w:p>
    <w:p w14:paraId="12062C61" w14:textId="1FDE8830" w:rsidR="00DC1B24" w:rsidRDefault="007F0A4F" w:rsidP="00DC1B24">
      <w:pPr>
        <w:pStyle w:val="Quote1Bullet"/>
      </w:pPr>
      <w:r>
        <w:lastRenderedPageBreak/>
        <w:t>the personal data of the data exporter</w:t>
      </w:r>
      <w:r w:rsidR="0059361E">
        <w:t>’</w:t>
      </w:r>
      <w:r>
        <w:t>s employees generated in the normal</w:t>
      </w:r>
      <w:r w:rsidR="00DC1B24">
        <w:t xml:space="preserve"> course of staff administration; </w:t>
      </w:r>
      <w:r>
        <w:t>and</w:t>
      </w:r>
    </w:p>
    <w:p w14:paraId="11E14621" w14:textId="77777777" w:rsidR="007F0A4F" w:rsidRDefault="007F0A4F" w:rsidP="00DC1B24">
      <w:pPr>
        <w:pStyle w:val="Quote1Bullet"/>
      </w:pPr>
      <w:r>
        <w:t>personal data relating to external third parties with whom the data exporter has a commercial relationship.</w:t>
      </w:r>
    </w:p>
    <w:p w14:paraId="0A4C1F02" w14:textId="77777777" w:rsidR="007F0A4F" w:rsidRDefault="007F0A4F" w:rsidP="007F0A4F">
      <w:pPr>
        <w:pStyle w:val="Quote1"/>
      </w:pPr>
      <w:r>
        <w:t>Such personal data may be in the following forms:</w:t>
      </w:r>
    </w:p>
    <w:p w14:paraId="254E39FD" w14:textId="77777777" w:rsidR="00DC1B24" w:rsidRDefault="00DC1B24" w:rsidP="00DC1B24">
      <w:pPr>
        <w:pStyle w:val="Quote1Bullet"/>
      </w:pPr>
      <w:r>
        <w:t>Photographs;</w:t>
      </w:r>
    </w:p>
    <w:p w14:paraId="45136378" w14:textId="77777777" w:rsidR="00DC1B24" w:rsidRDefault="007F0A4F" w:rsidP="00DC1B24">
      <w:pPr>
        <w:pStyle w:val="Quote1Bullet"/>
      </w:pPr>
      <w:r>
        <w:t>Videos;</w:t>
      </w:r>
    </w:p>
    <w:p w14:paraId="13DBD427" w14:textId="77777777" w:rsidR="00DC1B24" w:rsidRDefault="007F0A4F" w:rsidP="00DC1B24">
      <w:pPr>
        <w:pStyle w:val="Quote1Bullet"/>
      </w:pPr>
      <w:r>
        <w:t>Events attended/invited to;</w:t>
      </w:r>
    </w:p>
    <w:p w14:paraId="7366A2AC" w14:textId="77777777" w:rsidR="00DC1B24" w:rsidRDefault="00DC1B24" w:rsidP="00DC1B24">
      <w:pPr>
        <w:pStyle w:val="Quote1Bullet"/>
      </w:pPr>
      <w:r>
        <w:t>Group membership;</w:t>
      </w:r>
    </w:p>
    <w:p w14:paraId="437B9DC4" w14:textId="77777777" w:rsidR="00DC1B24" w:rsidRDefault="007F0A4F" w:rsidP="00DC1B24">
      <w:pPr>
        <w:pStyle w:val="Quote1Bullet"/>
      </w:pPr>
      <w:r>
        <w:t>Friends;</w:t>
      </w:r>
    </w:p>
    <w:p w14:paraId="786036A6" w14:textId="77777777" w:rsidR="00DC1B24" w:rsidRDefault="007F0A4F" w:rsidP="00DC1B24">
      <w:pPr>
        <w:pStyle w:val="Quote1Bullet"/>
      </w:pPr>
      <w:r>
        <w:t>Gender;</w:t>
      </w:r>
    </w:p>
    <w:p w14:paraId="1E1D8554" w14:textId="77777777" w:rsidR="00DC1B24" w:rsidRDefault="007F0A4F" w:rsidP="00DC1B24">
      <w:pPr>
        <w:pStyle w:val="Quote1Bullet"/>
      </w:pPr>
      <w:r>
        <w:t>Date of Birth;</w:t>
      </w:r>
    </w:p>
    <w:p w14:paraId="6D90A747" w14:textId="77777777" w:rsidR="00DC1B24" w:rsidRDefault="007F0A4F" w:rsidP="00DC1B24">
      <w:pPr>
        <w:pStyle w:val="Quote1Bullet"/>
      </w:pPr>
      <w:r>
        <w:t>Relationship status;</w:t>
      </w:r>
    </w:p>
    <w:p w14:paraId="616E3EBC" w14:textId="77777777" w:rsidR="00DC1B24" w:rsidRDefault="007F0A4F" w:rsidP="00DC1B24">
      <w:pPr>
        <w:pStyle w:val="Quote1Bullet"/>
      </w:pPr>
      <w:r>
        <w:t>Email address;</w:t>
      </w:r>
    </w:p>
    <w:p w14:paraId="5D699A85" w14:textId="77777777" w:rsidR="00DC1B24" w:rsidRDefault="007F0A4F" w:rsidP="00DC1B24">
      <w:pPr>
        <w:pStyle w:val="Quote1Bullet"/>
      </w:pPr>
      <w:r>
        <w:t>Phone number;</w:t>
      </w:r>
    </w:p>
    <w:p w14:paraId="3759D38F" w14:textId="77777777" w:rsidR="00DC1B24" w:rsidRDefault="007F0A4F" w:rsidP="00DC1B24">
      <w:pPr>
        <w:pStyle w:val="Quote1Bullet"/>
      </w:pPr>
      <w:r>
        <w:t>Address;</w:t>
      </w:r>
    </w:p>
    <w:p w14:paraId="0C15D65D" w14:textId="77777777" w:rsidR="00DC1B24" w:rsidRDefault="007F0A4F" w:rsidP="00DC1B24">
      <w:pPr>
        <w:pStyle w:val="Quote1Bullet"/>
      </w:pPr>
      <w:r>
        <w:t>URL;</w:t>
      </w:r>
    </w:p>
    <w:p w14:paraId="3CCD7737" w14:textId="77777777" w:rsidR="00DC1B24" w:rsidRDefault="007F0A4F" w:rsidP="00DC1B24">
      <w:pPr>
        <w:pStyle w:val="Quote1Bullet"/>
      </w:pPr>
      <w:r>
        <w:t>Hometown;</w:t>
      </w:r>
    </w:p>
    <w:p w14:paraId="3163531F" w14:textId="77777777" w:rsidR="00DC1B24" w:rsidRDefault="007F0A4F" w:rsidP="00DC1B24">
      <w:pPr>
        <w:pStyle w:val="Quote1Bullet"/>
      </w:pPr>
      <w:r>
        <w:t>Family;</w:t>
      </w:r>
    </w:p>
    <w:p w14:paraId="4A789371" w14:textId="77777777" w:rsidR="00DC1B24" w:rsidRDefault="007F0A4F" w:rsidP="00DC1B24">
      <w:pPr>
        <w:pStyle w:val="Quote1Bullet"/>
      </w:pPr>
      <w:r>
        <w:t>Political views;</w:t>
      </w:r>
    </w:p>
    <w:p w14:paraId="0EBD4553" w14:textId="77777777" w:rsidR="00DC1B24" w:rsidRDefault="007F0A4F" w:rsidP="00DC1B24">
      <w:pPr>
        <w:pStyle w:val="Quote1Bullet"/>
      </w:pPr>
      <w:r>
        <w:t>Religious Views;</w:t>
      </w:r>
    </w:p>
    <w:p w14:paraId="0E192A84" w14:textId="77777777" w:rsidR="00DC1B24" w:rsidRDefault="007F0A4F" w:rsidP="00DC1B24">
      <w:pPr>
        <w:pStyle w:val="Quote1Bullet"/>
      </w:pPr>
      <w:r>
        <w:t>Sexual Life;</w:t>
      </w:r>
    </w:p>
    <w:p w14:paraId="7680C79E" w14:textId="77777777" w:rsidR="00DC1B24" w:rsidRDefault="007F0A4F" w:rsidP="00DC1B24">
      <w:pPr>
        <w:pStyle w:val="Quote1Bullet"/>
      </w:pPr>
      <w:r>
        <w:t>Biography;</w:t>
      </w:r>
    </w:p>
    <w:p w14:paraId="4576E50B" w14:textId="77777777" w:rsidR="00DC1B24" w:rsidRDefault="007F0A4F" w:rsidP="00DC1B24">
      <w:pPr>
        <w:pStyle w:val="Quote1Bullet"/>
      </w:pPr>
      <w:r>
        <w:t>Employment history;</w:t>
      </w:r>
    </w:p>
    <w:p w14:paraId="7D3DBF85" w14:textId="77777777" w:rsidR="00DC1B24" w:rsidRDefault="007F0A4F" w:rsidP="00DC1B24">
      <w:pPr>
        <w:pStyle w:val="Quote1Bullet"/>
      </w:pPr>
      <w:r>
        <w:t>Location;</w:t>
      </w:r>
    </w:p>
    <w:p w14:paraId="44E93A11" w14:textId="77777777" w:rsidR="00DC1B24" w:rsidRDefault="007F0A4F" w:rsidP="00DC1B24">
      <w:pPr>
        <w:pStyle w:val="Quote1Bullet"/>
      </w:pPr>
      <w:r>
        <w:t>Education;</w:t>
      </w:r>
    </w:p>
    <w:p w14:paraId="4265759E" w14:textId="77777777" w:rsidR="00DC1B24" w:rsidRDefault="007F0A4F" w:rsidP="00DC1B24">
      <w:pPr>
        <w:pStyle w:val="Quote1Bullet"/>
      </w:pPr>
      <w:r>
        <w:t>Interests;</w:t>
      </w:r>
    </w:p>
    <w:p w14:paraId="495E0743" w14:textId="77777777" w:rsidR="00DC1B24" w:rsidRDefault="007F0A4F" w:rsidP="00DC1B24">
      <w:pPr>
        <w:pStyle w:val="Quote1Bullet"/>
      </w:pPr>
      <w:r>
        <w:t>Entertainment preferences, incl</w:t>
      </w:r>
      <w:r w:rsidR="00DC1B24">
        <w:t>uding music, books and televisio</w:t>
      </w:r>
      <w:r>
        <w:t>n;</w:t>
      </w:r>
    </w:p>
    <w:p w14:paraId="37497F84" w14:textId="4E6E4844" w:rsidR="00DC1B24" w:rsidRDefault="007F0A4F" w:rsidP="00DC1B24">
      <w:pPr>
        <w:pStyle w:val="Quote1Bullet"/>
      </w:pPr>
      <w:r>
        <w:t>Materi</w:t>
      </w:r>
      <w:r w:rsidR="00DC1B24">
        <w:t>al shared by the data subject (</w:t>
      </w:r>
      <w:proofErr w:type="spellStart"/>
      <w:r w:rsidR="00DC1B24">
        <w:t>e</w:t>
      </w:r>
      <w:r>
        <w:t>,g</w:t>
      </w:r>
      <w:proofErr w:type="spellEnd"/>
      <w:r>
        <w:t xml:space="preserve">. </w:t>
      </w:r>
      <w:r w:rsidR="0059361E">
        <w:t>“</w:t>
      </w:r>
      <w:r>
        <w:t>wall posts</w:t>
      </w:r>
      <w:r w:rsidR="0059361E">
        <w:t>”</w:t>
      </w:r>
      <w:r>
        <w:t>, messages, pokes);</w:t>
      </w:r>
    </w:p>
    <w:p w14:paraId="19ADAD31" w14:textId="77777777" w:rsidR="00DC1B24" w:rsidRDefault="007F0A4F" w:rsidP="00DC1B24">
      <w:pPr>
        <w:pStyle w:val="Quote1Bullet"/>
      </w:pPr>
      <w:r>
        <w:t>Credit card information; and</w:t>
      </w:r>
    </w:p>
    <w:p w14:paraId="36D9FA28" w14:textId="77777777" w:rsidR="007F0A4F" w:rsidRDefault="007F0A4F" w:rsidP="00DC1B24">
      <w:pPr>
        <w:pStyle w:val="Quote1Bullet"/>
      </w:pPr>
      <w:r>
        <w:t>Actions taken</w:t>
      </w:r>
      <w:r w:rsidR="00DC1B24">
        <w:t xml:space="preserve"> on Facebook and other services</w:t>
      </w:r>
      <w:r>
        <w:t>.</w:t>
      </w:r>
    </w:p>
    <w:p w14:paraId="635EA3B3" w14:textId="77777777" w:rsidR="007F0A4F" w:rsidRPr="00DC1B24" w:rsidRDefault="007F0A4F" w:rsidP="007F0A4F">
      <w:pPr>
        <w:pStyle w:val="Quote1"/>
        <w:rPr>
          <w:b/>
        </w:rPr>
      </w:pPr>
      <w:r w:rsidRPr="00DC1B24">
        <w:rPr>
          <w:b/>
        </w:rPr>
        <w:t>Special categories of data</w:t>
      </w:r>
    </w:p>
    <w:p w14:paraId="40BAFBB2" w14:textId="77777777" w:rsidR="007F0A4F" w:rsidRDefault="007F0A4F" w:rsidP="007F0A4F">
      <w:pPr>
        <w:pStyle w:val="Quote1"/>
      </w:pPr>
      <w:r>
        <w:t>The personal data transferred concern the following special categories of data:</w:t>
      </w:r>
    </w:p>
    <w:p w14:paraId="6056A431" w14:textId="77777777" w:rsidR="00DC1B24" w:rsidRDefault="007F0A4F" w:rsidP="00DC1B24">
      <w:pPr>
        <w:pStyle w:val="Quote1Bullet"/>
      </w:pPr>
      <w:r>
        <w:lastRenderedPageBreak/>
        <w:t>Racial or ethnic origin;</w:t>
      </w:r>
    </w:p>
    <w:p w14:paraId="76E5E568" w14:textId="77777777" w:rsidR="00DC1B24" w:rsidRDefault="007F0A4F" w:rsidP="00DC1B24">
      <w:pPr>
        <w:pStyle w:val="Quote1Bullet"/>
      </w:pPr>
      <w:r>
        <w:t>Political opinions;</w:t>
      </w:r>
    </w:p>
    <w:p w14:paraId="6C9EBF6A" w14:textId="77777777" w:rsidR="00DC1B24" w:rsidRDefault="007F0A4F" w:rsidP="00DC1B24">
      <w:pPr>
        <w:pStyle w:val="Quote1Bullet"/>
      </w:pPr>
      <w:r>
        <w:t>Philosophical beliefs;</w:t>
      </w:r>
    </w:p>
    <w:p w14:paraId="2122306F" w14:textId="77777777" w:rsidR="00DC1B24" w:rsidRDefault="007F0A4F" w:rsidP="00DC1B24">
      <w:pPr>
        <w:pStyle w:val="Quote1Bullet"/>
      </w:pPr>
      <w:r>
        <w:t>Trade union membership;</w:t>
      </w:r>
    </w:p>
    <w:p w14:paraId="37A8CD98" w14:textId="77777777" w:rsidR="00DC1B24" w:rsidRDefault="007F0A4F" w:rsidP="00DC1B24">
      <w:pPr>
        <w:pStyle w:val="Quote1Bullet"/>
      </w:pPr>
      <w:r>
        <w:t>Health; and</w:t>
      </w:r>
    </w:p>
    <w:p w14:paraId="61E40DB1" w14:textId="77777777" w:rsidR="007F0A4F" w:rsidRDefault="00DC1B24" w:rsidP="00F73B46">
      <w:pPr>
        <w:pStyle w:val="Quote1Bullet"/>
      </w:pPr>
      <w:r>
        <w:t>Sex life</w:t>
      </w:r>
      <w:r w:rsidR="007F0A4F">
        <w:t>.</w:t>
      </w:r>
    </w:p>
    <w:p w14:paraId="7F815A43" w14:textId="0D15BF3D" w:rsidR="00DC1B24" w:rsidRDefault="004A796F" w:rsidP="00F73B46">
      <w:pPr>
        <w:pStyle w:val="Quote1Bullet"/>
        <w:numPr>
          <w:ilvl w:val="0"/>
          <w:numId w:val="0"/>
        </w:numPr>
        <w:spacing w:after="0"/>
        <w:ind w:left="720"/>
      </w:pPr>
      <w:r>
        <w:t>…</w:t>
      </w:r>
    </w:p>
    <w:p w14:paraId="165643B5" w14:textId="77777777" w:rsidR="004A796F" w:rsidRPr="00CE6C15" w:rsidRDefault="004A796F" w:rsidP="00F73B46">
      <w:pPr>
        <w:pStyle w:val="Quote1Bullet"/>
        <w:numPr>
          <w:ilvl w:val="0"/>
          <w:numId w:val="0"/>
        </w:numPr>
        <w:ind w:left="720"/>
      </w:pPr>
    </w:p>
    <w:p w14:paraId="2070B773" w14:textId="7236FB5F" w:rsidR="006C1FE8" w:rsidRDefault="006C1FE8" w:rsidP="006C1FE8">
      <w:pPr>
        <w:pStyle w:val="ParaNumbering"/>
      </w:pPr>
      <w:r>
        <w:t xml:space="preserve">The personal data transferred by Facebook Ireland to Facebook </w:t>
      </w:r>
      <w:proofErr w:type="spellStart"/>
      <w:r>
        <w:t>Inc</w:t>
      </w:r>
      <w:proofErr w:type="spellEnd"/>
      <w:r>
        <w:t xml:space="preserve"> i</w:t>
      </w:r>
      <w:r w:rsidR="003C72ED">
        <w:t>s</w:t>
      </w:r>
      <w:r>
        <w:t xml:space="preserve"> the data described in Appendix 1, set out above</w:t>
      </w:r>
      <w:r w:rsidR="003C72ED">
        <w:t>,</w:t>
      </w:r>
      <w:r>
        <w:t xml:space="preserve"> and include</w:t>
      </w:r>
      <w:r w:rsidR="00A02200">
        <w:t>d</w:t>
      </w:r>
      <w:r>
        <w:t>:</w:t>
      </w:r>
    </w:p>
    <w:p w14:paraId="43776991" w14:textId="42566439" w:rsidR="00A02200" w:rsidRPr="006C1FE8" w:rsidRDefault="00611012" w:rsidP="00A02200">
      <w:pPr>
        <w:pStyle w:val="Quote1Bullet"/>
      </w:pPr>
      <w:r>
        <w:t>the personal data generated</w:t>
      </w:r>
      <w:r w:rsidR="006C1FE8" w:rsidRPr="006C1FE8">
        <w:t>, shared and upload</w:t>
      </w:r>
      <w:r w:rsidR="006C1FE8">
        <w:t>e</w:t>
      </w:r>
      <w:r w:rsidR="006C1FE8" w:rsidRPr="006C1FE8">
        <w:t xml:space="preserve">d by the registered users of the </w:t>
      </w:r>
      <w:r w:rsidR="006C1FE8">
        <w:t>F</w:t>
      </w:r>
      <w:r w:rsidR="006C1FE8" w:rsidRPr="006C1FE8">
        <w:t xml:space="preserve">acebook </w:t>
      </w:r>
      <w:r w:rsidR="006C1FE8">
        <w:t>platform</w:t>
      </w:r>
      <w:r w:rsidR="006C1FE8" w:rsidRPr="006C1FE8">
        <w:t>;</w:t>
      </w:r>
      <w:r w:rsidR="00A02200">
        <w:t xml:space="preserve"> [and] … </w:t>
      </w:r>
    </w:p>
    <w:p w14:paraId="218EF451" w14:textId="6FC85ADD" w:rsidR="006C1FE8" w:rsidRDefault="006C1FE8" w:rsidP="00F73B46">
      <w:pPr>
        <w:pStyle w:val="Quote1Bullet"/>
        <w:spacing w:after="0"/>
      </w:pPr>
      <w:r w:rsidRPr="006C1FE8">
        <w:t xml:space="preserve">personal data relating </w:t>
      </w:r>
      <w:r>
        <w:t>to</w:t>
      </w:r>
      <w:r w:rsidRPr="006C1FE8">
        <w:t xml:space="preserve"> external third parties with whom the data </w:t>
      </w:r>
      <w:r>
        <w:t>ex</w:t>
      </w:r>
      <w:r w:rsidRPr="006C1FE8">
        <w:t xml:space="preserve">porter has </w:t>
      </w:r>
      <w:r>
        <w:t>a</w:t>
      </w:r>
      <w:r w:rsidRPr="006C1FE8">
        <w:t xml:space="preserve"> commercial relationship.</w:t>
      </w:r>
    </w:p>
    <w:p w14:paraId="7452B283" w14:textId="77777777" w:rsidR="004A796F" w:rsidRPr="006C1FE8" w:rsidRDefault="004A796F" w:rsidP="00F73B46">
      <w:pPr>
        <w:pStyle w:val="Quote1Bullet"/>
        <w:numPr>
          <w:ilvl w:val="0"/>
          <w:numId w:val="0"/>
        </w:numPr>
        <w:ind w:left="720"/>
      </w:pPr>
    </w:p>
    <w:p w14:paraId="043F9E6C" w14:textId="6F591AEB" w:rsidR="006C1FE8" w:rsidRDefault="006C1FE8" w:rsidP="006C1FE8">
      <w:pPr>
        <w:pStyle w:val="ParaNumbering"/>
      </w:pPr>
      <w:r>
        <w:t>That data may take the form</w:t>
      </w:r>
      <w:r w:rsidR="00D7067C">
        <w:t>s</w:t>
      </w:r>
      <w:r>
        <w:t xml:space="preserve"> identified in Appendix 1 including photographs, video, friend</w:t>
      </w:r>
      <w:r w:rsidR="004A796F">
        <w:t>s</w:t>
      </w:r>
      <w:r>
        <w:t>, gender, relationship status, political views, sexual life</w:t>
      </w:r>
      <w:r w:rsidR="00D7067C">
        <w:t xml:space="preserve"> and </w:t>
      </w:r>
      <w:r>
        <w:t>credit card information.</w:t>
      </w:r>
    </w:p>
    <w:p w14:paraId="17AD444B" w14:textId="163FBD5D" w:rsidR="00B6604E" w:rsidRDefault="00B6604E" w:rsidP="008D192B">
      <w:pPr>
        <w:pStyle w:val="ParaNumbering"/>
      </w:pPr>
      <w:r>
        <w:t>Clause 4 include</w:t>
      </w:r>
      <w:r w:rsidR="00A02200">
        <w:t>d</w:t>
      </w:r>
      <w:r>
        <w:t>:</w:t>
      </w:r>
    </w:p>
    <w:p w14:paraId="3F209A39" w14:textId="77777777" w:rsidR="00D30986" w:rsidRDefault="00D30986" w:rsidP="00D30986">
      <w:pPr>
        <w:pStyle w:val="Quote1"/>
        <w:jc w:val="center"/>
        <w:rPr>
          <w:b/>
          <w:i/>
        </w:rPr>
      </w:pPr>
      <w:r w:rsidRPr="00D30986">
        <w:rPr>
          <w:b/>
          <w:i/>
        </w:rPr>
        <w:t>Obligations of the data exporter</w:t>
      </w:r>
    </w:p>
    <w:p w14:paraId="60C95B57" w14:textId="44F45195" w:rsidR="00D30986" w:rsidRDefault="00D30986" w:rsidP="00D30986">
      <w:pPr>
        <w:pStyle w:val="Quote1"/>
        <w:jc w:val="left"/>
      </w:pPr>
      <w:r>
        <w:t>The data exporter</w:t>
      </w:r>
      <w:r w:rsidR="00F52DF5">
        <w:t xml:space="preserve"> [Facebook Ireland]</w:t>
      </w:r>
      <w:r>
        <w:t xml:space="preserve"> agrees and warrants:</w:t>
      </w:r>
    </w:p>
    <w:p w14:paraId="27C20242" w14:textId="77777777" w:rsidR="00D30986" w:rsidRDefault="00D30986" w:rsidP="00D30986">
      <w:pPr>
        <w:pStyle w:val="Quote1"/>
        <w:ind w:left="1276" w:hanging="539"/>
        <w:jc w:val="left"/>
      </w:pPr>
      <w:r>
        <w:t xml:space="preserve">(a) </w:t>
      </w:r>
      <w:r>
        <w:tab/>
        <w:t>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p w14:paraId="3E315950" w14:textId="2FF620D8" w:rsidR="00D30986" w:rsidRDefault="00D30986" w:rsidP="00D30986">
      <w:pPr>
        <w:pStyle w:val="Quote1"/>
        <w:spacing w:after="0"/>
        <w:ind w:left="1276" w:hanging="539"/>
        <w:jc w:val="left"/>
      </w:pPr>
      <w:r>
        <w:t xml:space="preserve">(b) </w:t>
      </w:r>
      <w:r>
        <w:tab/>
        <w:t>that it has instructed and throughout the duration of the personal data processing services will instruct the data importer to process the personal data transferred only on the data exporter</w:t>
      </w:r>
      <w:r w:rsidR="0059361E">
        <w:t>’</w:t>
      </w:r>
      <w:r>
        <w:t>s behalf and in accordance with the applicable data protection law and the Clauses;</w:t>
      </w:r>
      <w:r w:rsidR="009A4254">
        <w:t xml:space="preserve"> </w:t>
      </w:r>
      <w:r>
        <w:t>…</w:t>
      </w:r>
    </w:p>
    <w:p w14:paraId="063C229D" w14:textId="77777777" w:rsidR="00D30986" w:rsidRPr="00D30986" w:rsidRDefault="00D30986" w:rsidP="00D30986">
      <w:pPr>
        <w:pStyle w:val="Quote1"/>
        <w:ind w:left="1276" w:hanging="539"/>
        <w:jc w:val="left"/>
      </w:pPr>
    </w:p>
    <w:p w14:paraId="4C089EA0" w14:textId="49BC9022" w:rsidR="00B6604E" w:rsidRDefault="00B6604E" w:rsidP="008D192B">
      <w:pPr>
        <w:pStyle w:val="ParaNumbering"/>
      </w:pPr>
      <w:r>
        <w:t xml:space="preserve">Facebook </w:t>
      </w:r>
      <w:proofErr w:type="spellStart"/>
      <w:r>
        <w:t>Inc</w:t>
      </w:r>
      <w:proofErr w:type="spellEnd"/>
      <w:r>
        <w:t xml:space="preserve"> submitted that cl 4(b) revealed that</w:t>
      </w:r>
      <w:r w:rsidR="00BD73A8" w:rsidRPr="00BD73A8">
        <w:t xml:space="preserve"> </w:t>
      </w:r>
      <w:r w:rsidR="00BD73A8">
        <w:t>the control of data rested with Facebook Ireland</w:t>
      </w:r>
      <w:r>
        <w:t>, contrary to the Commissioner</w:t>
      </w:r>
      <w:r w:rsidR="0059361E">
        <w:t>’</w:t>
      </w:r>
      <w:r>
        <w:t xml:space="preserve">s contention that Facebook </w:t>
      </w:r>
      <w:proofErr w:type="spellStart"/>
      <w:r>
        <w:t>Inc</w:t>
      </w:r>
      <w:proofErr w:type="spellEnd"/>
      <w:r>
        <w:t xml:space="preserve"> </w:t>
      </w:r>
      <w:r w:rsidR="00BD73A8">
        <w:t xml:space="preserve">could </w:t>
      </w:r>
      <w:r>
        <w:t>call for data.  Th</w:t>
      </w:r>
      <w:r w:rsidR="009A4254">
        <w:t>is position</w:t>
      </w:r>
      <w:r>
        <w:t xml:space="preserve"> was said to be consistent with privacy obligation</w:t>
      </w:r>
      <w:r w:rsidR="009A4254">
        <w:t>s</w:t>
      </w:r>
      <w:r>
        <w:t xml:space="preserve"> </w:t>
      </w:r>
      <w:r w:rsidR="009A4254">
        <w:t xml:space="preserve">owed by Facebook Ireland </w:t>
      </w:r>
      <w:r>
        <w:t>in the E</w:t>
      </w:r>
      <w:r w:rsidR="00F52DF5">
        <w:t xml:space="preserve">uropean </w:t>
      </w:r>
      <w:r>
        <w:t>U</w:t>
      </w:r>
      <w:r w:rsidR="00F52DF5">
        <w:t>nion</w:t>
      </w:r>
      <w:r>
        <w:t xml:space="preserve"> and</w:t>
      </w:r>
      <w:r w:rsidR="009A4254">
        <w:t xml:space="preserve"> to</w:t>
      </w:r>
      <w:r>
        <w:t xml:space="preserve"> other countries.  This </w:t>
      </w:r>
      <w:r w:rsidR="009A4254">
        <w:t xml:space="preserve">position </w:t>
      </w:r>
      <w:r>
        <w:t>was also said to be supported by cl 5(a).</w:t>
      </w:r>
    </w:p>
    <w:p w14:paraId="01BA45CF" w14:textId="61F23D8B" w:rsidR="00F47FD1" w:rsidRDefault="000102CA" w:rsidP="008D192B">
      <w:pPr>
        <w:pStyle w:val="ParaNumbering"/>
      </w:pPr>
      <w:r>
        <w:t>Clause 5 include</w:t>
      </w:r>
      <w:r w:rsidR="00A02200">
        <w:t>d</w:t>
      </w:r>
      <w:r>
        <w:t>:</w:t>
      </w:r>
    </w:p>
    <w:p w14:paraId="4F95C589" w14:textId="77777777" w:rsidR="000102CA" w:rsidRPr="000102CA" w:rsidRDefault="000102CA" w:rsidP="00D8611D">
      <w:pPr>
        <w:pStyle w:val="Quote1"/>
        <w:keepNext/>
        <w:jc w:val="center"/>
        <w:rPr>
          <w:b/>
        </w:rPr>
      </w:pPr>
      <w:r w:rsidRPr="000102CA">
        <w:rPr>
          <w:b/>
        </w:rPr>
        <w:lastRenderedPageBreak/>
        <w:t>Obligations of the data importer</w:t>
      </w:r>
    </w:p>
    <w:p w14:paraId="3FC7EC77" w14:textId="4932A10A" w:rsidR="000102CA" w:rsidRPr="000102CA" w:rsidRDefault="000102CA" w:rsidP="000102CA">
      <w:pPr>
        <w:pStyle w:val="Quote1"/>
      </w:pPr>
      <w:r w:rsidRPr="000102CA">
        <w:t>The data importer</w:t>
      </w:r>
      <w:r w:rsidR="00A02200">
        <w:t xml:space="preserve"> [Facebook </w:t>
      </w:r>
      <w:proofErr w:type="spellStart"/>
      <w:r w:rsidR="00A02200">
        <w:t>Inc</w:t>
      </w:r>
      <w:proofErr w:type="spellEnd"/>
      <w:r w:rsidR="00A02200">
        <w:t>]</w:t>
      </w:r>
      <w:r w:rsidRPr="000102CA">
        <w:t xml:space="preserve"> agrees and warrants:</w:t>
      </w:r>
    </w:p>
    <w:p w14:paraId="73C766F2" w14:textId="77777777" w:rsidR="000102CA" w:rsidRPr="000102CA" w:rsidRDefault="000102CA" w:rsidP="000102CA">
      <w:pPr>
        <w:pStyle w:val="Quote1"/>
        <w:ind w:left="1418" w:hanging="681"/>
      </w:pPr>
      <w:r>
        <w:t>(a)</w:t>
      </w:r>
      <w:r>
        <w:tab/>
      </w:r>
      <w:r w:rsidRPr="000102CA">
        <w:t>to process the personal data only on behalf</w:t>
      </w:r>
      <w:r>
        <w:t xml:space="preserve"> </w:t>
      </w:r>
      <w:r w:rsidRPr="000102CA">
        <w:t>of</w:t>
      </w:r>
      <w:r>
        <w:t xml:space="preserve"> </w:t>
      </w:r>
      <w:r w:rsidRPr="000102CA">
        <w:t>the data exporter and in compliance with its instructions and the Clauses; if it cannot provide such compliance for whatever reasons, it agrees to inform promptly the data ex</w:t>
      </w:r>
      <w:r>
        <w:t>porter of its inability to comp</w:t>
      </w:r>
      <w:r w:rsidRPr="000102CA">
        <w:t>ly, in which case the data exporter is e</w:t>
      </w:r>
      <w:r>
        <w:t>ntitled to suspend the transfer</w:t>
      </w:r>
      <w:r w:rsidRPr="000102CA">
        <w:t xml:space="preserve"> of data and/or </w:t>
      </w:r>
      <w:r>
        <w:t>term</w:t>
      </w:r>
      <w:r w:rsidRPr="000102CA">
        <w:t>inate the contract</w:t>
      </w:r>
      <w:r>
        <w:t>; …</w:t>
      </w:r>
    </w:p>
    <w:p w14:paraId="43C54A53" w14:textId="333A014C" w:rsidR="000102CA" w:rsidRPr="000102CA" w:rsidRDefault="000102CA" w:rsidP="009A4254">
      <w:pPr>
        <w:pStyle w:val="Quote1"/>
        <w:spacing w:after="0"/>
        <w:ind w:left="1417" w:hanging="680"/>
      </w:pPr>
      <w:r>
        <w:t>(c)</w:t>
      </w:r>
      <w:r>
        <w:tab/>
      </w:r>
      <w:r w:rsidRPr="000102CA">
        <w:t>that it has implemented the technical and organisational security measures specified in Appendix 2 before processing the personal data transferred;</w:t>
      </w:r>
      <w:r w:rsidR="00A02200">
        <w:t xml:space="preserve"> …</w:t>
      </w:r>
    </w:p>
    <w:p w14:paraId="02C12819" w14:textId="77777777" w:rsidR="000102CA" w:rsidRDefault="000102CA" w:rsidP="000102CA">
      <w:pPr>
        <w:pStyle w:val="Quote1"/>
      </w:pPr>
    </w:p>
    <w:p w14:paraId="472C07AC" w14:textId="0E957D38" w:rsidR="006C1FE8" w:rsidRDefault="006C1FE8" w:rsidP="000102CA">
      <w:pPr>
        <w:pStyle w:val="ParaNumbering"/>
      </w:pPr>
      <w:bookmarkStart w:id="28" w:name="_Ref50124700"/>
      <w:r>
        <w:t xml:space="preserve">Clause 5(a) requires Facebook </w:t>
      </w:r>
      <w:proofErr w:type="spellStart"/>
      <w:r>
        <w:t>Inc</w:t>
      </w:r>
      <w:proofErr w:type="spellEnd"/>
      <w:r>
        <w:t xml:space="preserve"> to process the data </w:t>
      </w:r>
      <w:r w:rsidR="00BD73A8">
        <w:t>“</w:t>
      </w:r>
      <w:r>
        <w:t>transferred</w:t>
      </w:r>
      <w:r w:rsidR="00BD73A8">
        <w:t>”</w:t>
      </w:r>
      <w:r>
        <w:t xml:space="preserve"> to it by Facebook Ireland.  The </w:t>
      </w:r>
      <w:r w:rsidR="0059361E">
        <w:t>“</w:t>
      </w:r>
      <w:r>
        <w:t>processing operations</w:t>
      </w:r>
      <w:r w:rsidR="0059361E">
        <w:t>”</w:t>
      </w:r>
      <w:r w:rsidR="00611012">
        <w:t xml:space="preserve"> are described in Appendix 1 in the following way</w:t>
      </w:r>
      <w:r w:rsidR="009A4254">
        <w:t xml:space="preserve"> (emphasis added to indicate the matters emphasised by the Commissioner)</w:t>
      </w:r>
      <w:r w:rsidR="00611012">
        <w:t>:</w:t>
      </w:r>
      <w:bookmarkEnd w:id="28"/>
    </w:p>
    <w:p w14:paraId="4D2B5405" w14:textId="77777777" w:rsidR="0062666A" w:rsidRPr="00CE65D6" w:rsidRDefault="0062666A" w:rsidP="003C72ED">
      <w:pPr>
        <w:pStyle w:val="Quote1"/>
        <w:keepNext/>
        <w:rPr>
          <w:b/>
        </w:rPr>
      </w:pPr>
      <w:r w:rsidRPr="00CE65D6">
        <w:rPr>
          <w:b/>
        </w:rPr>
        <w:t>Processing operations</w:t>
      </w:r>
    </w:p>
    <w:p w14:paraId="12432441" w14:textId="77777777" w:rsidR="0062666A" w:rsidRDefault="0062666A" w:rsidP="0062666A">
      <w:pPr>
        <w:pStyle w:val="Quote1"/>
      </w:pPr>
      <w:r>
        <w:t>The personal data transferred will be subject to the following basic processing activities:</w:t>
      </w:r>
    </w:p>
    <w:p w14:paraId="34D27C53" w14:textId="77777777" w:rsidR="0062666A" w:rsidRPr="00CE65D6" w:rsidRDefault="0062666A" w:rsidP="00CE65D6">
      <w:pPr>
        <w:pStyle w:val="Quote1Bullet"/>
        <w:rPr>
          <w:b/>
        </w:rPr>
      </w:pPr>
      <w:r w:rsidRPr="00CE65D6">
        <w:rPr>
          <w:b/>
        </w:rPr>
        <w:t>Facilitating communication across the Facebook platform;</w:t>
      </w:r>
    </w:p>
    <w:p w14:paraId="09F84429" w14:textId="77777777" w:rsidR="0062666A" w:rsidRDefault="0062666A" w:rsidP="00CE65D6">
      <w:pPr>
        <w:pStyle w:val="Quote1Bullet"/>
      </w:pPr>
      <w:r>
        <w:t>Monitoring for abuse of the Facebook platform;</w:t>
      </w:r>
    </w:p>
    <w:p w14:paraId="145BA1BA" w14:textId="77777777" w:rsidR="0062666A" w:rsidRDefault="0062666A" w:rsidP="00CE65D6">
      <w:pPr>
        <w:pStyle w:val="Quote1Bullet"/>
      </w:pPr>
      <w:r>
        <w:t>Providing geo-location relevant information;</w:t>
      </w:r>
    </w:p>
    <w:p w14:paraId="1A582554" w14:textId="77777777" w:rsidR="0062666A" w:rsidRPr="00CE65D6" w:rsidRDefault="0062666A" w:rsidP="00CE65D6">
      <w:pPr>
        <w:pStyle w:val="Quote1Bullet"/>
        <w:rPr>
          <w:b/>
        </w:rPr>
      </w:pPr>
      <w:r w:rsidRPr="00CE65D6">
        <w:rPr>
          <w:b/>
        </w:rPr>
        <w:t>Targeting advertisements and to assess their effectiveness;</w:t>
      </w:r>
    </w:p>
    <w:p w14:paraId="429CC94E" w14:textId="77777777" w:rsidR="0062666A" w:rsidRDefault="0062666A" w:rsidP="00CE65D6">
      <w:pPr>
        <w:pStyle w:val="Quote1Bullet"/>
      </w:pPr>
      <w:r>
        <w:t>Identifying connections between Facebook users;</w:t>
      </w:r>
    </w:p>
    <w:p w14:paraId="13E37B3F" w14:textId="77777777" w:rsidR="0006709D" w:rsidRDefault="0062666A" w:rsidP="00CE65D6">
      <w:pPr>
        <w:pStyle w:val="Quote1Bullet"/>
      </w:pPr>
      <w:r>
        <w:t>Personalising content;</w:t>
      </w:r>
    </w:p>
    <w:p w14:paraId="18FBE56C" w14:textId="77777777" w:rsidR="0062666A" w:rsidRDefault="0062666A" w:rsidP="0062666A">
      <w:pPr>
        <w:pStyle w:val="Quote1Bullet"/>
      </w:pPr>
      <w:r>
        <w:t>Processing law enforcement and civil law requests for access to the personal data;</w:t>
      </w:r>
    </w:p>
    <w:p w14:paraId="129D294B" w14:textId="13D32F59" w:rsidR="0062666A" w:rsidRPr="00CE65D6" w:rsidRDefault="0062666A" w:rsidP="0062666A">
      <w:pPr>
        <w:pStyle w:val="Quote1Bullet"/>
        <w:rPr>
          <w:b/>
        </w:rPr>
      </w:pPr>
      <w:r w:rsidRPr="00CE65D6">
        <w:rPr>
          <w:b/>
        </w:rPr>
        <w:t xml:space="preserve">Installing, operating and removing, as appropriate, cookies on terminal equipment for purposes including the provision </w:t>
      </w:r>
      <w:r w:rsidR="00A02200">
        <w:rPr>
          <w:b/>
        </w:rPr>
        <w:t xml:space="preserve">[of] </w:t>
      </w:r>
      <w:r w:rsidRPr="00CE65D6">
        <w:rPr>
          <w:b/>
        </w:rPr>
        <w:t xml:space="preserve">an information society service explicitly requested by Facebook users, security, facilitating user log in, enhancing the efficiency of Facebook services and localisation of content; </w:t>
      </w:r>
      <w:r w:rsidRPr="0062666A">
        <w:t>and</w:t>
      </w:r>
    </w:p>
    <w:p w14:paraId="3245D98B" w14:textId="77777777" w:rsidR="0062666A" w:rsidRDefault="0062666A" w:rsidP="0062666A">
      <w:pPr>
        <w:pStyle w:val="Quote1Bullet"/>
      </w:pPr>
      <w:r w:rsidRPr="00CE65D6">
        <w:rPr>
          <w:b/>
        </w:rPr>
        <w:t>Transferring content to third parties with consent from the data subject;</w:t>
      </w:r>
      <w:r>
        <w:t xml:space="preserve"> and</w:t>
      </w:r>
    </w:p>
    <w:p w14:paraId="3CB78549" w14:textId="77777777" w:rsidR="0062666A" w:rsidRDefault="0062666A" w:rsidP="009A4254">
      <w:pPr>
        <w:pStyle w:val="Quote1Bullet"/>
        <w:spacing w:after="0"/>
      </w:pPr>
      <w:r>
        <w:t>Providing technical and engineering support.</w:t>
      </w:r>
    </w:p>
    <w:p w14:paraId="6781088D" w14:textId="6F06D640" w:rsidR="0062666A" w:rsidRDefault="0062666A" w:rsidP="00CE65D6">
      <w:pPr>
        <w:pStyle w:val="Quote1Bullet"/>
        <w:numPr>
          <w:ilvl w:val="0"/>
          <w:numId w:val="0"/>
        </w:numPr>
        <w:spacing w:after="0"/>
        <w:ind w:left="1440" w:hanging="720"/>
      </w:pPr>
    </w:p>
    <w:p w14:paraId="0200218E" w14:textId="2CDC9076" w:rsidR="00611012" w:rsidRDefault="007D0A4B" w:rsidP="000102CA">
      <w:pPr>
        <w:pStyle w:val="ParaNumbering"/>
      </w:pPr>
      <w:r>
        <w:t xml:space="preserve">The Commissioner also noted that cl 11 prohibits Facebook </w:t>
      </w:r>
      <w:proofErr w:type="spellStart"/>
      <w:r>
        <w:t>Inc</w:t>
      </w:r>
      <w:proofErr w:type="spellEnd"/>
      <w:r>
        <w:t xml:space="preserve"> from subcontracting any of its processing operations without the written consent of Facebook Ireland.</w:t>
      </w:r>
    </w:p>
    <w:p w14:paraId="4C8A7F31" w14:textId="47A2FDEC" w:rsidR="008D192B" w:rsidRDefault="005B032E" w:rsidP="000102CA">
      <w:pPr>
        <w:pStyle w:val="ParaNumbering"/>
      </w:pPr>
      <w:r>
        <w:t>Appendix 2, relevant to cl 5(c), include</w:t>
      </w:r>
      <w:r w:rsidR="009A4254">
        <w:t>s</w:t>
      </w:r>
      <w:r>
        <w:t xml:space="preserve"> the following:</w:t>
      </w:r>
    </w:p>
    <w:p w14:paraId="783E56A9" w14:textId="77777777" w:rsidR="00DC1B24" w:rsidRDefault="00DC1B24" w:rsidP="00DC1B24">
      <w:pPr>
        <w:pStyle w:val="Quote1Bullet"/>
      </w:pPr>
      <w:r>
        <w:t>Personal data is to be primarily held in a suitable facility/facilities</w:t>
      </w:r>
    </w:p>
    <w:p w14:paraId="0A8F85C3" w14:textId="77777777" w:rsidR="00DC1B24" w:rsidRDefault="00DC1B24" w:rsidP="00DC1B24">
      <w:pPr>
        <w:pStyle w:val="Quote1Bullet"/>
      </w:pPr>
      <w:r>
        <w:lastRenderedPageBreak/>
        <w:t>Personal data is to be stored on secured servers behind firewalls.</w:t>
      </w:r>
    </w:p>
    <w:p w14:paraId="3F0B40C3" w14:textId="77777777" w:rsidR="00DC1B24" w:rsidRDefault="00DC1B24" w:rsidP="00DC1B24">
      <w:pPr>
        <w:pStyle w:val="Quote1Bullet"/>
      </w:pPr>
      <w:r>
        <w:t>Servers are to be monitored by both industry standard and proprietary network monitoring tools to prevent any potential security breaches.</w:t>
      </w:r>
    </w:p>
    <w:p w14:paraId="2DC05826" w14:textId="77777777" w:rsidR="00DC1B24" w:rsidRDefault="00DC1B24" w:rsidP="00DC1B24">
      <w:pPr>
        <w:pStyle w:val="Quote1Bullet"/>
      </w:pPr>
      <w:r>
        <w:t>Data importer to install, operate and remove, as appropriate, security cookies.</w:t>
      </w:r>
    </w:p>
    <w:p w14:paraId="47028571" w14:textId="77777777" w:rsidR="00DC1B24" w:rsidRDefault="00DC1B24" w:rsidP="00DC1B24">
      <w:pPr>
        <w:pStyle w:val="Quote1Bullet"/>
      </w:pPr>
      <w:r>
        <w:t>Data importer to comply with all security policies of the Facebook group</w:t>
      </w:r>
    </w:p>
    <w:p w14:paraId="46C61F82" w14:textId="13291552" w:rsidR="00DC1B24" w:rsidRDefault="00DC1B24" w:rsidP="00DC1B24">
      <w:pPr>
        <w:pStyle w:val="Quote1Bullet"/>
        <w:spacing w:after="0"/>
      </w:pPr>
      <w:r>
        <w:t>Data importers</w:t>
      </w:r>
      <w:r w:rsidR="0059361E">
        <w:t>’</w:t>
      </w:r>
      <w:r>
        <w:t xml:space="preserve"> employees and contractors are to be trained in relation to specific technical and organizational security measures.</w:t>
      </w:r>
    </w:p>
    <w:p w14:paraId="39B3A7CD" w14:textId="77777777" w:rsidR="00DC1B24" w:rsidRDefault="00DC1B24" w:rsidP="00DC1B24">
      <w:pPr>
        <w:pStyle w:val="Quote1Bullet"/>
        <w:numPr>
          <w:ilvl w:val="0"/>
          <w:numId w:val="0"/>
        </w:numPr>
        <w:ind w:left="1440"/>
      </w:pPr>
    </w:p>
    <w:p w14:paraId="65433200" w14:textId="4EE2D5A6" w:rsidR="009F0A8B" w:rsidRPr="009F0A8B" w:rsidRDefault="009F0A8B" w:rsidP="00EC3DAD">
      <w:pPr>
        <w:pStyle w:val="ParaNumbering"/>
        <w:keepNext/>
        <w:numPr>
          <w:ilvl w:val="0"/>
          <w:numId w:val="0"/>
        </w:numPr>
        <w:rPr>
          <w:u w:val="single"/>
        </w:rPr>
      </w:pPr>
      <w:bookmarkStart w:id="29" w:name="_Ref49068732"/>
      <w:r>
        <w:rPr>
          <w:u w:val="single"/>
        </w:rPr>
        <w:t>Answer</w:t>
      </w:r>
      <w:r w:rsidRPr="009F0A8B">
        <w:rPr>
          <w:u w:val="single"/>
        </w:rPr>
        <w:t xml:space="preserve"> provided by Facebook </w:t>
      </w:r>
      <w:proofErr w:type="spellStart"/>
      <w:r w:rsidRPr="009F0A8B">
        <w:rPr>
          <w:u w:val="single"/>
        </w:rPr>
        <w:t>Inc</w:t>
      </w:r>
      <w:proofErr w:type="spellEnd"/>
      <w:r w:rsidRPr="009F0A8B">
        <w:rPr>
          <w:u w:val="single"/>
        </w:rPr>
        <w:t xml:space="preserve"> and Facebook Ireland to the Commissioner</w:t>
      </w:r>
    </w:p>
    <w:p w14:paraId="5AAF57CE" w14:textId="0F553921" w:rsidR="00296FF5" w:rsidRPr="007C292D" w:rsidRDefault="009F0A8B" w:rsidP="005B032E">
      <w:pPr>
        <w:pStyle w:val="ParaNumbering"/>
        <w:rPr>
          <w:szCs w:val="24"/>
        </w:rPr>
      </w:pPr>
      <w:r w:rsidRPr="003D4EA5">
        <w:rPr>
          <w:szCs w:val="24"/>
        </w:rPr>
        <w:t>In addition to the two contracts just referred to, t</w:t>
      </w:r>
      <w:r w:rsidR="00D446DE" w:rsidRPr="003D4EA5">
        <w:rPr>
          <w:szCs w:val="24"/>
        </w:rPr>
        <w:t xml:space="preserve">he Commissioner </w:t>
      </w:r>
      <w:r w:rsidRPr="003D4EA5">
        <w:rPr>
          <w:szCs w:val="24"/>
        </w:rPr>
        <w:t xml:space="preserve">also </w:t>
      </w:r>
      <w:r w:rsidR="00D446DE" w:rsidRPr="003D4EA5">
        <w:rPr>
          <w:szCs w:val="24"/>
        </w:rPr>
        <w:t xml:space="preserve">relied on the following answer given </w:t>
      </w:r>
      <w:r w:rsidR="00327FD6" w:rsidRPr="003D4EA5">
        <w:rPr>
          <w:szCs w:val="24"/>
        </w:rPr>
        <w:t xml:space="preserve">by Facebook Ireland </w:t>
      </w:r>
      <w:r w:rsidR="00D446DE" w:rsidRPr="003D4EA5">
        <w:rPr>
          <w:szCs w:val="24"/>
        </w:rPr>
        <w:t>in response to a notice</w:t>
      </w:r>
      <w:r w:rsidR="00331DAF" w:rsidRPr="003D4EA5">
        <w:rPr>
          <w:szCs w:val="24"/>
        </w:rPr>
        <w:t xml:space="preserve"> issued under s 44 of the </w:t>
      </w:r>
      <w:r w:rsidR="00331DAF" w:rsidRPr="003D4EA5">
        <w:rPr>
          <w:i/>
          <w:szCs w:val="24"/>
        </w:rPr>
        <w:t>Privacy Act</w:t>
      </w:r>
      <w:r w:rsidR="00D446DE" w:rsidRPr="003D4EA5">
        <w:rPr>
          <w:szCs w:val="24"/>
        </w:rPr>
        <w:t>:</w:t>
      </w:r>
    </w:p>
    <w:p w14:paraId="075BA43B" w14:textId="7D7DE46D" w:rsidR="00A05D00" w:rsidRPr="00A05D00" w:rsidRDefault="00A05D00" w:rsidP="00A05D00">
      <w:pPr>
        <w:pStyle w:val="Quote1"/>
        <w:rPr>
          <w:b/>
        </w:rPr>
      </w:pPr>
      <w:r w:rsidRPr="00A05D00">
        <w:rPr>
          <w:b/>
        </w:rPr>
        <w:t xml:space="preserve">2 A copy of all documentation issued by Facebook </w:t>
      </w:r>
      <w:proofErr w:type="spellStart"/>
      <w:r w:rsidRPr="00A05D00">
        <w:rPr>
          <w:b/>
        </w:rPr>
        <w:t>Inc</w:t>
      </w:r>
      <w:proofErr w:type="spellEnd"/>
      <w:r w:rsidRPr="00A05D00">
        <w:rPr>
          <w:b/>
        </w:rPr>
        <w:t xml:space="preserve"> containing rules, instructions, directions to Facebook Ireland Ltd, in relation to its handling of Facebook Users</w:t>
      </w:r>
      <w:r w:rsidR="0059361E">
        <w:rPr>
          <w:b/>
        </w:rPr>
        <w:t>’</w:t>
      </w:r>
      <w:r w:rsidRPr="00A05D00">
        <w:rPr>
          <w:b/>
        </w:rPr>
        <w:t xml:space="preserve"> data.</w:t>
      </w:r>
    </w:p>
    <w:p w14:paraId="61B81B9C" w14:textId="77777777" w:rsidR="00A05D00" w:rsidRPr="00A05D00" w:rsidRDefault="00A05D00" w:rsidP="008103F1">
      <w:pPr>
        <w:pStyle w:val="Quote1"/>
      </w:pPr>
      <w:r w:rsidRPr="00A05D00">
        <w:t>Facebook Ireland was the provider of the Facebook service t</w:t>
      </w:r>
      <w:r>
        <w:t xml:space="preserve">o Australian Users at all times </w:t>
      </w:r>
      <w:r w:rsidRPr="00A05D00">
        <w:t>during the period between 12 March 2014 and 17 December 2015. At all times during this</w:t>
      </w:r>
      <w:r>
        <w:t xml:space="preserve"> </w:t>
      </w:r>
      <w:r w:rsidRPr="00A05D00">
        <w:t>period, Facebook Ireland was responsible, in that capacity, for the collected and storage of</w:t>
      </w:r>
      <w:r>
        <w:t xml:space="preserve"> </w:t>
      </w:r>
      <w:r w:rsidRPr="00A05D00">
        <w:t>personal information of Australian Users through the Facebook service.</w:t>
      </w:r>
    </w:p>
    <w:p w14:paraId="6F082801" w14:textId="77777777" w:rsidR="00A05D00" w:rsidRPr="00A05D00" w:rsidRDefault="00A05D00" w:rsidP="00CA210C">
      <w:pPr>
        <w:pStyle w:val="Quote1"/>
      </w:pPr>
      <w:r w:rsidRPr="00A05D00">
        <w:t xml:space="preserve">Facebook </w:t>
      </w:r>
      <w:proofErr w:type="spellStart"/>
      <w:r w:rsidRPr="00A05D00">
        <w:t>Inc</w:t>
      </w:r>
      <w:proofErr w:type="spellEnd"/>
      <w:r w:rsidRPr="00A05D00">
        <w:t xml:space="preserve"> performed data processing activities for Faceb</w:t>
      </w:r>
      <w:r>
        <w:t xml:space="preserve">ook Ireland during this time as </w:t>
      </w:r>
      <w:r w:rsidRPr="00A05D00">
        <w:t>contemplated by the Data Transfer and Processing Agreement between Facebook Ireland (as</w:t>
      </w:r>
      <w:r>
        <w:t xml:space="preserve"> </w:t>
      </w:r>
      <w:r w:rsidRPr="00A05D00">
        <w:t xml:space="preserve">data exporter) and Facebook </w:t>
      </w:r>
      <w:proofErr w:type="spellStart"/>
      <w:r w:rsidRPr="00A05D00">
        <w:t>Inc</w:t>
      </w:r>
      <w:proofErr w:type="spellEnd"/>
      <w:r w:rsidRPr="00A05D00">
        <w:t xml:space="preserve"> (as data importer) dated 13 November 2013 (see</w:t>
      </w:r>
      <w:r>
        <w:t xml:space="preserve"> </w:t>
      </w:r>
      <w:r w:rsidRPr="00A05D00">
        <w:t xml:space="preserve">FBI.001.006.0016). As set out in that agreement, Facebook </w:t>
      </w:r>
      <w:proofErr w:type="spellStart"/>
      <w:r w:rsidRPr="00A05D00">
        <w:t>Inc</w:t>
      </w:r>
      <w:proofErr w:type="spellEnd"/>
      <w:r w:rsidRPr="00A05D00">
        <w:t xml:space="preserve"> was obliged to follow</w:t>
      </w:r>
      <w:r>
        <w:t xml:space="preserve"> </w:t>
      </w:r>
      <w:r w:rsidRPr="00A05D00">
        <w:t>instructions from Facebook Ireland in relation to relevant processing activities (rather than the</w:t>
      </w:r>
      <w:r>
        <w:t xml:space="preserve"> </w:t>
      </w:r>
      <w:r w:rsidRPr="00A05D00">
        <w:t>other way around, as assumed in this request). In addition, all of those activities took place</w:t>
      </w:r>
      <w:r>
        <w:t xml:space="preserve"> </w:t>
      </w:r>
      <w:r w:rsidRPr="00A05D00">
        <w:t>outside Australia.</w:t>
      </w:r>
    </w:p>
    <w:p w14:paraId="26F3A3A1" w14:textId="629246C1" w:rsidR="00A05D00" w:rsidRDefault="00A05D00" w:rsidP="009F0A8B">
      <w:pPr>
        <w:pStyle w:val="Quote1"/>
        <w:spacing w:after="0"/>
      </w:pPr>
      <w:r w:rsidRPr="00A05D00">
        <w:t xml:space="preserve">To the best of our current understanding, we are not aware of any other </w:t>
      </w:r>
      <w:r>
        <w:t xml:space="preserve">documentation </w:t>
      </w:r>
      <w:r w:rsidRPr="00A05D00">
        <w:t xml:space="preserve">containing relevant rules, instructions, directions between Facebook </w:t>
      </w:r>
      <w:proofErr w:type="spellStart"/>
      <w:r w:rsidRPr="00A05D00">
        <w:t>Inc</w:t>
      </w:r>
      <w:proofErr w:type="spellEnd"/>
      <w:r w:rsidRPr="00A05D00">
        <w:t xml:space="preserve"> and Facebook Ireland</w:t>
      </w:r>
      <w:r>
        <w:t xml:space="preserve"> </w:t>
      </w:r>
      <w:r w:rsidRPr="00A05D00">
        <w:t>in relation to handling of Facebook Users</w:t>
      </w:r>
      <w:r w:rsidR="0059361E">
        <w:t>’</w:t>
      </w:r>
      <w:r w:rsidRPr="00A05D00">
        <w:t xml:space="preserve"> data in the period 12 March 2014 to 17 December</w:t>
      </w:r>
      <w:r>
        <w:t xml:space="preserve"> </w:t>
      </w:r>
      <w:r w:rsidRPr="00A05D00">
        <w:t>2015.</w:t>
      </w:r>
    </w:p>
    <w:p w14:paraId="6BD9154D" w14:textId="77777777" w:rsidR="00A05D00" w:rsidRPr="00D446DE" w:rsidRDefault="00A05D00" w:rsidP="00A05D00">
      <w:pPr>
        <w:pStyle w:val="Quote1"/>
        <w:rPr>
          <w:sz w:val="24"/>
        </w:rPr>
      </w:pPr>
    </w:p>
    <w:p w14:paraId="12FEDA0B" w14:textId="77777777" w:rsidR="00BD73A8" w:rsidRDefault="00D446DE" w:rsidP="005B032E">
      <w:pPr>
        <w:pStyle w:val="ParaNumbering"/>
      </w:pPr>
      <w:r>
        <w:t xml:space="preserve">The Commissioner submitted that this </w:t>
      </w:r>
      <w:r w:rsidR="009F0A8B">
        <w:t xml:space="preserve">answer </w:t>
      </w:r>
      <w:r>
        <w:t xml:space="preserve">showed that Facebook Ireland did not in fact give instructions to Facebook </w:t>
      </w:r>
      <w:proofErr w:type="spellStart"/>
      <w:r>
        <w:t>Inc</w:t>
      </w:r>
      <w:proofErr w:type="spellEnd"/>
      <w:r>
        <w:t xml:space="preserve"> as to how users</w:t>
      </w:r>
      <w:r w:rsidR="0059361E">
        <w:t>’</w:t>
      </w:r>
      <w:r>
        <w:t xml:space="preserve"> data was to be stored or processed.  This was said to lead to the inference that Facebook </w:t>
      </w:r>
      <w:proofErr w:type="spellStart"/>
      <w:r>
        <w:t>Inc</w:t>
      </w:r>
      <w:proofErr w:type="spellEnd"/>
      <w:r>
        <w:t xml:space="preserve"> was acting as principal and not as agent of Facebook Ireland.  </w:t>
      </w:r>
    </w:p>
    <w:p w14:paraId="0213258F" w14:textId="71E06C99" w:rsidR="00D446DE" w:rsidRDefault="009F0A8B" w:rsidP="005B032E">
      <w:pPr>
        <w:pStyle w:val="ParaNumbering"/>
      </w:pPr>
      <w:r>
        <w:t>T</w:t>
      </w:r>
      <w:r w:rsidR="00D446DE">
        <w:t xml:space="preserve">he question </w:t>
      </w:r>
      <w:r>
        <w:t xml:space="preserve">posed by the Commissioner </w:t>
      </w:r>
      <w:r w:rsidR="00D446DE">
        <w:t xml:space="preserve">did not ask for </w:t>
      </w:r>
      <w:r w:rsidR="007C292D">
        <w:t xml:space="preserve">a copy of </w:t>
      </w:r>
      <w:r w:rsidR="00D446DE">
        <w:t xml:space="preserve">instructions passing from Facebook Ireland to Facebook </w:t>
      </w:r>
      <w:proofErr w:type="spellStart"/>
      <w:r w:rsidR="00D446DE">
        <w:t>Inc</w:t>
      </w:r>
      <w:proofErr w:type="spellEnd"/>
      <w:r w:rsidR="00D446DE">
        <w:t xml:space="preserve">; </w:t>
      </w:r>
      <w:r w:rsidR="003D4EA5">
        <w:t xml:space="preserve">she </w:t>
      </w:r>
      <w:r w:rsidR="00D446DE">
        <w:t xml:space="preserve">asked the opposite.  </w:t>
      </w:r>
      <w:r w:rsidR="00327FD6">
        <w:t xml:space="preserve">Nevertheless, Facebook Ireland </w:t>
      </w:r>
      <w:r w:rsidR="00D7067C">
        <w:t xml:space="preserve">responded that it </w:t>
      </w:r>
      <w:r w:rsidR="00327FD6">
        <w:t>was “</w:t>
      </w:r>
      <w:r w:rsidR="00327FD6" w:rsidRPr="00A05D00">
        <w:t xml:space="preserve">not aware of any other </w:t>
      </w:r>
      <w:r w:rsidR="00327FD6">
        <w:t xml:space="preserve">documentation </w:t>
      </w:r>
      <w:r w:rsidR="00327FD6" w:rsidRPr="00A05D00">
        <w:t xml:space="preserve">containing relevant rules, instructions, directions </w:t>
      </w:r>
      <w:r w:rsidR="00327FD6" w:rsidRPr="00327FD6">
        <w:rPr>
          <w:i/>
        </w:rPr>
        <w:t>between</w:t>
      </w:r>
      <w:r w:rsidR="00327FD6" w:rsidRPr="00A05D00">
        <w:t xml:space="preserve"> Facebook </w:t>
      </w:r>
      <w:proofErr w:type="spellStart"/>
      <w:r w:rsidR="00327FD6" w:rsidRPr="00A05D00">
        <w:t>Inc</w:t>
      </w:r>
      <w:proofErr w:type="spellEnd"/>
      <w:r w:rsidR="00327FD6" w:rsidRPr="00A05D00">
        <w:t xml:space="preserve"> and Facebook Ireland</w:t>
      </w:r>
      <w:r w:rsidR="00327FD6">
        <w:t xml:space="preserve">”. </w:t>
      </w:r>
      <w:r w:rsidR="003C5651">
        <w:t xml:space="preserve"> </w:t>
      </w:r>
      <w:r w:rsidR="00327FD6">
        <w:t>That response, read in context, is open to the interpretation that there were no instructions either way.</w:t>
      </w:r>
    </w:p>
    <w:p w14:paraId="2A24BCC4" w14:textId="23B38C58" w:rsidR="009F0A8B" w:rsidRPr="00296FF5" w:rsidRDefault="004827D4" w:rsidP="009F0A8B">
      <w:pPr>
        <w:pStyle w:val="Heading4"/>
      </w:pPr>
      <w:r>
        <w:lastRenderedPageBreak/>
        <w:t>D</w:t>
      </w:r>
      <w:r w:rsidR="004032FB">
        <w:t>.1.</w:t>
      </w:r>
      <w:r w:rsidR="00A547D1">
        <w:t>3</w:t>
      </w:r>
      <w:r w:rsidR="004032FB">
        <w:t xml:space="preserve">.5  </w:t>
      </w:r>
      <w:r w:rsidR="009F0A8B">
        <w:t>Management of the Facebook Online Platform</w:t>
      </w:r>
    </w:p>
    <w:p w14:paraId="220BB0A5" w14:textId="0188A721" w:rsidR="005D5FC2" w:rsidRPr="005D5FC2" w:rsidRDefault="009F0A8B" w:rsidP="005B032E">
      <w:pPr>
        <w:pStyle w:val="ParaNumbering"/>
      </w:pPr>
      <w:r>
        <w:t>Fifthly</w:t>
      </w:r>
      <w:r w:rsidR="00D714B1">
        <w:t xml:space="preserve">, </w:t>
      </w:r>
      <w:r w:rsidR="00D714B1" w:rsidRPr="00D714B1">
        <w:rPr>
          <w:lang w:val="en-US"/>
        </w:rPr>
        <w:t xml:space="preserve">in addition to the </w:t>
      </w:r>
      <w:r w:rsidR="0059361E">
        <w:rPr>
          <w:lang w:val="en-US"/>
        </w:rPr>
        <w:t>“</w:t>
      </w:r>
      <w:r w:rsidR="00D714B1" w:rsidRPr="00D714B1">
        <w:rPr>
          <w:lang w:val="en-US"/>
        </w:rPr>
        <w:t>processing operations</w:t>
      </w:r>
      <w:r w:rsidR="0059361E">
        <w:rPr>
          <w:lang w:val="en-US"/>
        </w:rPr>
        <w:t>”</w:t>
      </w:r>
      <w:r w:rsidR="00D714B1" w:rsidRPr="00D714B1">
        <w:rPr>
          <w:lang w:val="en-US"/>
        </w:rPr>
        <w:t xml:space="preserve"> described above, </w:t>
      </w:r>
      <w:r w:rsidR="00364891">
        <w:t>the Commissioner relied</w:t>
      </w:r>
      <w:r w:rsidR="00364891" w:rsidRPr="00D714B1">
        <w:rPr>
          <w:lang w:val="en-US"/>
        </w:rPr>
        <w:t xml:space="preserve"> </w:t>
      </w:r>
      <w:r w:rsidR="00364891">
        <w:rPr>
          <w:lang w:val="en-US"/>
        </w:rPr>
        <w:t xml:space="preserve">on the fact that </w:t>
      </w:r>
      <w:r w:rsidR="00D714B1" w:rsidRPr="00D714B1">
        <w:rPr>
          <w:lang w:val="en-US"/>
        </w:rPr>
        <w:t xml:space="preserve">Facebook </w:t>
      </w:r>
      <w:proofErr w:type="spellStart"/>
      <w:r w:rsidR="00D714B1" w:rsidRPr="00D714B1">
        <w:rPr>
          <w:lang w:val="en-US"/>
        </w:rPr>
        <w:t>Inc</w:t>
      </w:r>
      <w:proofErr w:type="spellEnd"/>
      <w:r w:rsidR="00D714B1" w:rsidRPr="00D714B1">
        <w:rPr>
          <w:lang w:val="en-US"/>
        </w:rPr>
        <w:t xml:space="preserve"> was the entity </w:t>
      </w:r>
      <w:r w:rsidR="005D5FC2">
        <w:rPr>
          <w:lang w:val="en-US"/>
        </w:rPr>
        <w:t>which</w:t>
      </w:r>
      <w:r w:rsidR="00D714B1" w:rsidRPr="00D714B1">
        <w:rPr>
          <w:lang w:val="en-US"/>
        </w:rPr>
        <w:t xml:space="preserve"> managed the Facebook</w:t>
      </w:r>
      <w:r w:rsidR="00364891">
        <w:rPr>
          <w:lang w:val="en-US"/>
        </w:rPr>
        <w:t xml:space="preserve"> Online</w:t>
      </w:r>
      <w:r w:rsidR="00D714B1" w:rsidRPr="00D714B1">
        <w:rPr>
          <w:lang w:val="en-US"/>
        </w:rPr>
        <w:t xml:space="preserve"> Platform which allowed third party apps to create a link or interface between apps and the Facebook website</w:t>
      </w:r>
      <w:r w:rsidR="0059361E">
        <w:rPr>
          <w:lang w:val="en-US"/>
        </w:rPr>
        <w:t>’</w:t>
      </w:r>
      <w:r w:rsidR="00D714B1" w:rsidRPr="00D714B1">
        <w:rPr>
          <w:lang w:val="en-US"/>
        </w:rPr>
        <w:t xml:space="preserve">s </w:t>
      </w:r>
      <w:r w:rsidR="0059361E">
        <w:rPr>
          <w:lang w:val="en-US"/>
        </w:rPr>
        <w:t>“</w:t>
      </w:r>
      <w:r w:rsidR="00D714B1" w:rsidRPr="00D714B1">
        <w:rPr>
          <w:lang w:val="en-US"/>
        </w:rPr>
        <w:t>social graph</w:t>
      </w:r>
      <w:r w:rsidR="0059361E">
        <w:rPr>
          <w:lang w:val="en-US"/>
        </w:rPr>
        <w:t>”</w:t>
      </w:r>
      <w:r w:rsidR="005D5FC2">
        <w:rPr>
          <w:lang w:val="en-US"/>
        </w:rPr>
        <w:t xml:space="preserve">.  </w:t>
      </w:r>
      <w:r w:rsidR="00BD73A8">
        <w:rPr>
          <w:lang w:val="en-US"/>
        </w:rPr>
        <w:t>As noted earlier, t</w:t>
      </w:r>
      <w:r w:rsidR="005D5FC2">
        <w:rPr>
          <w:lang w:val="en-US"/>
        </w:rPr>
        <w:t>he “social graph” is t</w:t>
      </w:r>
      <w:r w:rsidR="00D714B1" w:rsidRPr="00D714B1">
        <w:rPr>
          <w:lang w:val="en-US"/>
        </w:rPr>
        <w:t xml:space="preserve">he network of connections through which </w:t>
      </w:r>
      <w:r w:rsidR="005D5FC2">
        <w:rPr>
          <w:lang w:val="en-US"/>
        </w:rPr>
        <w:t>u</w:t>
      </w:r>
      <w:r w:rsidR="00D714B1" w:rsidRPr="00D714B1">
        <w:rPr>
          <w:lang w:val="en-US"/>
        </w:rPr>
        <w:t>sers communicated and shared information on the Facebook website</w:t>
      </w:r>
      <w:r w:rsidR="007C78DD">
        <w:rPr>
          <w:lang w:val="en-US"/>
        </w:rPr>
        <w:t xml:space="preserve">.  </w:t>
      </w:r>
    </w:p>
    <w:p w14:paraId="1503D347" w14:textId="728055EE" w:rsidR="00753A7C" w:rsidRDefault="007C78DD" w:rsidP="005B032E">
      <w:pPr>
        <w:pStyle w:val="ParaNumbering"/>
      </w:pPr>
      <w:bookmarkStart w:id="30" w:name="_Ref50128452"/>
      <w:r>
        <w:rPr>
          <w:lang w:val="en-US"/>
        </w:rPr>
        <w:t xml:space="preserve">The </w:t>
      </w:r>
      <w:r w:rsidR="005D5FC2">
        <w:rPr>
          <w:lang w:val="en-US"/>
        </w:rPr>
        <w:t xml:space="preserve">Commissioner referred in this regard to the </w:t>
      </w:r>
      <w:r>
        <w:rPr>
          <w:lang w:val="en-US"/>
        </w:rPr>
        <w:t xml:space="preserve">following question </w:t>
      </w:r>
      <w:r w:rsidR="005D5FC2">
        <w:rPr>
          <w:lang w:val="en-US"/>
        </w:rPr>
        <w:t xml:space="preserve">asked of Facebook Ireland </w:t>
      </w:r>
      <w:r>
        <w:rPr>
          <w:lang w:val="en-US"/>
        </w:rPr>
        <w:t>under a s 44 notice and Facebook Ireland</w:t>
      </w:r>
      <w:r w:rsidR="004032FB">
        <w:rPr>
          <w:lang w:val="en-US"/>
        </w:rPr>
        <w:t>’s</w:t>
      </w:r>
      <w:r>
        <w:rPr>
          <w:lang w:val="en-US"/>
        </w:rPr>
        <w:t xml:space="preserve"> response:</w:t>
      </w:r>
      <w:bookmarkEnd w:id="29"/>
      <w:bookmarkEnd w:id="30"/>
    </w:p>
    <w:p w14:paraId="4ECD090F" w14:textId="77777777" w:rsidR="00753A7C" w:rsidRPr="007C78DD" w:rsidRDefault="007C78DD" w:rsidP="003608E7">
      <w:pPr>
        <w:pStyle w:val="Quote1"/>
        <w:keepNext/>
        <w:rPr>
          <w:b/>
        </w:rPr>
      </w:pPr>
      <w:r w:rsidRPr="007C78DD">
        <w:rPr>
          <w:b/>
        </w:rPr>
        <w:t xml:space="preserve">3 </w:t>
      </w:r>
      <w:r w:rsidRPr="007C78DD">
        <w:rPr>
          <w:b/>
        </w:rPr>
        <w:tab/>
        <w:t>Names of any and all Facebook entities that:</w:t>
      </w:r>
    </w:p>
    <w:p w14:paraId="2AE15C1E" w14:textId="77777777" w:rsidR="007C78DD" w:rsidRPr="007C78DD" w:rsidRDefault="007C78DD" w:rsidP="007C78DD">
      <w:pPr>
        <w:pStyle w:val="Quote1"/>
      </w:pPr>
      <w:r>
        <w:t xml:space="preserve">… </w:t>
      </w:r>
    </w:p>
    <w:p w14:paraId="2297B24F" w14:textId="77777777" w:rsidR="007C78DD" w:rsidRPr="007C78DD" w:rsidRDefault="007C78DD" w:rsidP="004032FB">
      <w:pPr>
        <w:pStyle w:val="Quote1"/>
        <w:keepNext/>
        <w:widowControl/>
        <w:ind w:left="1985" w:hanging="567"/>
        <w:rPr>
          <w:b/>
        </w:rPr>
      </w:pPr>
      <w:r w:rsidRPr="007C78DD">
        <w:rPr>
          <w:b/>
        </w:rPr>
        <w:t xml:space="preserve">d. </w:t>
      </w:r>
      <w:r w:rsidRPr="007C78DD">
        <w:rPr>
          <w:b/>
        </w:rPr>
        <w:tab/>
        <w:t>made available for access, by any third party, any personal information of Australian Users;</w:t>
      </w:r>
    </w:p>
    <w:p w14:paraId="30A03826" w14:textId="77777777" w:rsidR="007C78DD" w:rsidRPr="007C78DD" w:rsidRDefault="007C78DD" w:rsidP="004032FB">
      <w:pPr>
        <w:pStyle w:val="Quote1"/>
        <w:widowControl/>
        <w:ind w:left="1985"/>
      </w:pPr>
      <w:r w:rsidRPr="007C78DD">
        <w:t>Information shared by Australian Users on the Facebook service was available for access by other users on the Facebook service in accordance with the Facebook Data Policy and to the extent permitted by the settings choices (including choices regarding their privacy settings) of those Australian Users.</w:t>
      </w:r>
    </w:p>
    <w:p w14:paraId="0D96CD2B" w14:textId="37F8480D" w:rsidR="00753A7C" w:rsidRDefault="007C78DD" w:rsidP="004032FB">
      <w:pPr>
        <w:pStyle w:val="Quote1"/>
        <w:widowControl/>
        <w:spacing w:after="0"/>
        <w:ind w:left="1985"/>
      </w:pPr>
      <w:r w:rsidRPr="007C78DD">
        <w:t>The Facebook service included an API called Facebook Login through which third party App developers could request permission directly from users to access certain categories of information that those users either uploaded or had access to on the Facebook service.</w:t>
      </w:r>
    </w:p>
    <w:p w14:paraId="4AF0EAE5" w14:textId="77777777" w:rsidR="004032FB" w:rsidRPr="007C78DD" w:rsidRDefault="004032FB" w:rsidP="004032FB">
      <w:pPr>
        <w:pStyle w:val="Quote1"/>
        <w:widowControl/>
        <w:ind w:left="1985"/>
      </w:pPr>
    </w:p>
    <w:p w14:paraId="6D49A969" w14:textId="77777777" w:rsidR="00753A7C" w:rsidRDefault="007C78DD" w:rsidP="005B032E">
      <w:pPr>
        <w:pStyle w:val="ParaNumbering"/>
      </w:pPr>
      <w:bookmarkStart w:id="31" w:name="_Ref49068734"/>
      <w:r>
        <w:t>A footnote to the final paragraph explained:</w:t>
      </w:r>
      <w:bookmarkEnd w:id="31"/>
    </w:p>
    <w:p w14:paraId="3DF5033A" w14:textId="77777777" w:rsidR="007C78DD" w:rsidRDefault="007C78DD" w:rsidP="002C740F">
      <w:pPr>
        <w:pStyle w:val="Quote1"/>
        <w:spacing w:after="0"/>
      </w:pPr>
      <w:r>
        <w:t xml:space="preserve">The process of allowing third party App developers to access the API was managed by Facebook </w:t>
      </w:r>
      <w:proofErr w:type="spellStart"/>
      <w:r>
        <w:t>Inc</w:t>
      </w:r>
      <w:proofErr w:type="spellEnd"/>
      <w:r>
        <w:t xml:space="preserve"> for all Apps on the Facebook platform, including on behalf of Facebook Ireland as the provider of the Facebook service to Australian Users.</w:t>
      </w:r>
    </w:p>
    <w:p w14:paraId="7B899911" w14:textId="77777777" w:rsidR="007C78DD" w:rsidRDefault="007C78DD" w:rsidP="007C78DD">
      <w:pPr>
        <w:pStyle w:val="Quote1"/>
      </w:pPr>
    </w:p>
    <w:p w14:paraId="3417744E" w14:textId="507323C9" w:rsidR="004032FB" w:rsidRPr="004032FB" w:rsidRDefault="004827D4" w:rsidP="004032FB">
      <w:pPr>
        <w:pStyle w:val="Heading4"/>
      </w:pPr>
      <w:r>
        <w:t>D</w:t>
      </w:r>
      <w:r w:rsidR="004032FB">
        <w:t>.1.</w:t>
      </w:r>
      <w:r w:rsidR="00A547D1">
        <w:t>3</w:t>
      </w:r>
      <w:r w:rsidR="004032FB">
        <w:t>.6  Employee numbers</w:t>
      </w:r>
    </w:p>
    <w:p w14:paraId="68C20893" w14:textId="0F0EA673" w:rsidR="007C78DD" w:rsidRDefault="004032FB" w:rsidP="007C78DD">
      <w:pPr>
        <w:pStyle w:val="ParaNumbering"/>
      </w:pPr>
      <w:r>
        <w:rPr>
          <w:iCs/>
        </w:rPr>
        <w:t>Sixthly</w:t>
      </w:r>
      <w:r w:rsidR="007C78DD" w:rsidRPr="007C78DD">
        <w:rPr>
          <w:i/>
          <w:iCs/>
        </w:rPr>
        <w:t xml:space="preserve">, </w:t>
      </w:r>
      <w:r w:rsidR="007C78DD" w:rsidRPr="007C78DD">
        <w:t xml:space="preserve">the </w:t>
      </w:r>
      <w:r w:rsidR="00DA3219">
        <w:t xml:space="preserve">Commissioner relied upon what was said to be the </w:t>
      </w:r>
      <w:r w:rsidR="0059361E">
        <w:t>“</w:t>
      </w:r>
      <w:r w:rsidR="007C78DD" w:rsidRPr="007C78DD">
        <w:t>dramatic disparity in employee numbers</w:t>
      </w:r>
      <w:r w:rsidR="0059361E">
        <w:t>”</w:t>
      </w:r>
      <w:r w:rsidR="007C78DD" w:rsidRPr="007C78DD">
        <w:t xml:space="preserve">.  </w:t>
      </w:r>
      <w:r w:rsidR="00DA3219">
        <w:t xml:space="preserve">It was observed that Facebook Ireland employed about one tenth of the number of persons employed by Facebook </w:t>
      </w:r>
      <w:proofErr w:type="spellStart"/>
      <w:r w:rsidR="00DA3219">
        <w:t>Inc</w:t>
      </w:r>
      <w:proofErr w:type="spellEnd"/>
      <w:r w:rsidR="00DA3219">
        <w:t>, n</w:t>
      </w:r>
      <w:r w:rsidR="007C78DD" w:rsidRPr="007C78DD">
        <w:t>otwithstanding that</w:t>
      </w:r>
      <w:r w:rsidR="00DA3219">
        <w:t xml:space="preserve"> </w:t>
      </w:r>
      <w:r w:rsidR="007C78DD" w:rsidRPr="007C78DD">
        <w:t>Facebook Ireland was offering Facebook services worldwide to all users other than North American residents.</w:t>
      </w:r>
    </w:p>
    <w:p w14:paraId="76CFE2B7" w14:textId="2DF40584" w:rsidR="00D61285" w:rsidRDefault="00D61285" w:rsidP="00D61285">
      <w:pPr>
        <w:pStyle w:val="ParaNumbering"/>
      </w:pPr>
      <w:r>
        <w:t xml:space="preserve">Facebook </w:t>
      </w:r>
      <w:proofErr w:type="spellStart"/>
      <w:r>
        <w:t>Inc</w:t>
      </w:r>
      <w:proofErr w:type="spellEnd"/>
      <w:r>
        <w:t xml:space="preserve"> submitted that, without more, this demonstrated little.  It was observed that Facebook </w:t>
      </w:r>
      <w:proofErr w:type="spellStart"/>
      <w:r>
        <w:t>Inc</w:t>
      </w:r>
      <w:proofErr w:type="spellEnd"/>
      <w:r>
        <w:t xml:space="preserve"> contracts to provide services to Facebook Ireland, presumably being a potential explanation for the greater number of employees.  It was </w:t>
      </w:r>
      <w:r w:rsidR="00A547D1">
        <w:t>also observed that nothing was known about</w:t>
      </w:r>
      <w:r>
        <w:t xml:space="preserve"> the research and development activities of the group</w:t>
      </w:r>
      <w:r w:rsidR="00A547D1">
        <w:t>.</w:t>
      </w:r>
    </w:p>
    <w:p w14:paraId="57ED55AA" w14:textId="60E5C8D5" w:rsidR="004032FB" w:rsidRDefault="004827D4" w:rsidP="004032FB">
      <w:pPr>
        <w:pStyle w:val="Heading4"/>
      </w:pPr>
      <w:r>
        <w:lastRenderedPageBreak/>
        <w:t>D</w:t>
      </w:r>
      <w:r w:rsidR="004032FB">
        <w:t>.1.</w:t>
      </w:r>
      <w:r w:rsidR="00A547D1">
        <w:t>3</w:t>
      </w:r>
      <w:r w:rsidR="004032FB">
        <w:t>.7  Data Use Policy</w:t>
      </w:r>
    </w:p>
    <w:p w14:paraId="2039753A" w14:textId="6103847C" w:rsidR="00DA3219" w:rsidRDefault="004032FB" w:rsidP="007C78DD">
      <w:pPr>
        <w:pStyle w:val="ParaNumbering"/>
      </w:pPr>
      <w:r>
        <w:t>Seventhly</w:t>
      </w:r>
      <w:r w:rsidR="00DA3219">
        <w:t xml:space="preserve">, the Commissioner relied on a term in the </w:t>
      </w:r>
      <w:r w:rsidR="0059361E">
        <w:t>“</w:t>
      </w:r>
      <w:r w:rsidR="00DA3219">
        <w:t>Data Use Policy</w:t>
      </w:r>
      <w:r w:rsidR="0059361E">
        <w:t>”</w:t>
      </w:r>
      <w:r>
        <w:t>, which was incorporated into the contracts with users through the 2013 and 2015 Statements</w:t>
      </w:r>
      <w:r w:rsidR="00205CE2">
        <w:t xml:space="preserve">.  There were two versions of the Data Use Policy in evidence, the </w:t>
      </w:r>
      <w:r w:rsidR="00205CE2">
        <w:rPr>
          <w:b/>
        </w:rPr>
        <w:t xml:space="preserve">2013 Data Use Policy </w:t>
      </w:r>
      <w:r w:rsidR="00205CE2">
        <w:t xml:space="preserve">and the </w:t>
      </w:r>
      <w:r w:rsidR="00BF624C">
        <w:rPr>
          <w:b/>
        </w:rPr>
        <w:t>2015 Data</w:t>
      </w:r>
      <w:r w:rsidR="00205CE2">
        <w:rPr>
          <w:b/>
        </w:rPr>
        <w:t xml:space="preserve"> Policy</w:t>
      </w:r>
      <w:r w:rsidR="00205CE2" w:rsidRPr="00205CE2">
        <w:t>.</w:t>
      </w:r>
      <w:r w:rsidR="00205CE2">
        <w:rPr>
          <w:b/>
        </w:rPr>
        <w:t xml:space="preserve"> </w:t>
      </w:r>
      <w:r w:rsidR="00205CE2">
        <w:t xml:space="preserve"> The </w:t>
      </w:r>
      <w:r w:rsidR="00BF624C">
        <w:t>2015 Data</w:t>
      </w:r>
      <w:r w:rsidR="00205CE2">
        <w:t xml:space="preserve"> Policy </w:t>
      </w:r>
      <w:r w:rsidR="00DA3219">
        <w:t>provided:</w:t>
      </w:r>
    </w:p>
    <w:p w14:paraId="5752F787" w14:textId="77777777" w:rsidR="00DA3219" w:rsidRPr="00CF2A53" w:rsidRDefault="00DA3219" w:rsidP="004032FB">
      <w:pPr>
        <w:pStyle w:val="Quote1"/>
        <w:keepNext/>
        <w:rPr>
          <w:b/>
        </w:rPr>
      </w:pPr>
      <w:r w:rsidRPr="00CF2A53">
        <w:rPr>
          <w:b/>
        </w:rPr>
        <w:t>VI.</w:t>
      </w:r>
      <w:r w:rsidRPr="00CF2A53">
        <w:rPr>
          <w:b/>
        </w:rPr>
        <w:tab/>
        <w:t>How our global services operate</w:t>
      </w:r>
    </w:p>
    <w:p w14:paraId="24EEDE7F" w14:textId="77777777" w:rsidR="00DA3219" w:rsidRDefault="00DA3219" w:rsidP="004032FB">
      <w:pPr>
        <w:pStyle w:val="Quote1"/>
        <w:keepNext/>
      </w:pPr>
      <w:r>
        <w:t>…</w:t>
      </w:r>
    </w:p>
    <w:p w14:paraId="7ADA698D" w14:textId="247BB3AC" w:rsidR="00DA3219" w:rsidRDefault="00DA3219" w:rsidP="004032FB">
      <w:pPr>
        <w:pStyle w:val="Quote1"/>
        <w:widowControl/>
        <w:spacing w:after="0"/>
      </w:pPr>
      <w:r>
        <w:t>Facebook may share information internally within our family of companies or with third parties for purposes described in this policy. Information collected within the European Economic Area (</w:t>
      </w:r>
      <w:r w:rsidR="0059361E">
        <w:t>“</w:t>
      </w:r>
      <w:r>
        <w:t>EEA</w:t>
      </w:r>
      <w:r w:rsidR="0059361E">
        <w:t>”</w:t>
      </w:r>
      <w:r>
        <w:t>) may, for example, be transferred to countries outside of the EEA for the purposes as described in this policy.</w:t>
      </w:r>
    </w:p>
    <w:p w14:paraId="28104800" w14:textId="77777777" w:rsidR="00CF2A53" w:rsidRPr="00DA3219" w:rsidRDefault="00CF2A53" w:rsidP="00DA3219">
      <w:pPr>
        <w:pStyle w:val="Quote1"/>
      </w:pPr>
    </w:p>
    <w:p w14:paraId="3E43B3E2" w14:textId="43710300" w:rsidR="004032FB" w:rsidRDefault="004827D4" w:rsidP="004032FB">
      <w:pPr>
        <w:pStyle w:val="Heading4"/>
      </w:pPr>
      <w:r>
        <w:t>D</w:t>
      </w:r>
      <w:r w:rsidR="004032FB">
        <w:t>.1.</w:t>
      </w:r>
      <w:r w:rsidR="00A547D1">
        <w:t>3</w:t>
      </w:r>
      <w:r w:rsidR="004032FB">
        <w:t xml:space="preserve">.8  Summary of </w:t>
      </w:r>
      <w:r w:rsidR="00A547D1">
        <w:t xml:space="preserve">parties’ </w:t>
      </w:r>
      <w:r w:rsidR="004032FB">
        <w:t>submissions</w:t>
      </w:r>
      <w:r w:rsidR="00A547D1">
        <w:t xml:space="preserve"> on broader agency case</w:t>
      </w:r>
    </w:p>
    <w:p w14:paraId="06B4012A" w14:textId="1FC6646F" w:rsidR="00DA3219" w:rsidRDefault="004032FB" w:rsidP="00DC1B24">
      <w:pPr>
        <w:pStyle w:val="ParaNumbering"/>
      </w:pPr>
      <w:r>
        <w:t>T</w:t>
      </w:r>
      <w:r w:rsidR="00DA3219">
        <w:t>he Commissioner submitted that</w:t>
      </w:r>
      <w:r>
        <w:t>, taking these various matters into account,</w:t>
      </w:r>
      <w:r w:rsidR="00DA3219">
        <w:t xml:space="preserve"> the performance pursuant to the contractual arrangements by Facebook </w:t>
      </w:r>
      <w:proofErr w:type="spellStart"/>
      <w:r w:rsidR="00DA3219">
        <w:t>Inc</w:t>
      </w:r>
      <w:proofErr w:type="spellEnd"/>
      <w:r w:rsidR="00DA3219">
        <w:t xml:space="preserve"> of functions necessary for Facebook Ireland to provide the Facebook service</w:t>
      </w:r>
      <w:r>
        <w:t xml:space="preserve"> </w:t>
      </w:r>
      <w:r w:rsidRPr="00BE604A">
        <w:t>(which</w:t>
      </w:r>
      <w:r>
        <w:t xml:space="preserve"> </w:t>
      </w:r>
      <w:r w:rsidRPr="00BE604A">
        <w:t>includes the delivery of the Facebook Online Platform in Australia)</w:t>
      </w:r>
      <w:r w:rsidR="00DA3219">
        <w:t xml:space="preserve">, including in Australia, indicated that Facebook Ireland was a convenient entity through which Facebook </w:t>
      </w:r>
      <w:proofErr w:type="spellStart"/>
      <w:r w:rsidR="00DA3219">
        <w:t>Inc</w:t>
      </w:r>
      <w:proofErr w:type="spellEnd"/>
      <w:r w:rsidR="00DA3219">
        <w:t xml:space="preserve"> carried on business in Australia during the relevant period.  It was submitted that the conclusion was open, on the relevant prima facie basis, that there was a single world-wide business of </w:t>
      </w:r>
      <w:r w:rsidR="00A547D1">
        <w:t xml:space="preserve">Facebook </w:t>
      </w:r>
      <w:proofErr w:type="spellStart"/>
      <w:r w:rsidR="00A547D1">
        <w:t>Inc</w:t>
      </w:r>
      <w:proofErr w:type="spellEnd"/>
      <w:r w:rsidR="00A547D1">
        <w:t xml:space="preserve">, </w:t>
      </w:r>
      <w:r w:rsidR="00DA3219">
        <w:t xml:space="preserve">conducted </w:t>
      </w:r>
      <w:r>
        <w:t xml:space="preserve">in Australia </w:t>
      </w:r>
      <w:r w:rsidR="00DA3219">
        <w:t>by Facebook Ireland.</w:t>
      </w:r>
    </w:p>
    <w:p w14:paraId="43311DC6" w14:textId="77777777" w:rsidR="004032FB" w:rsidRDefault="004032FB" w:rsidP="004032FB">
      <w:pPr>
        <w:pStyle w:val="ParaNumbering"/>
      </w:pPr>
      <w:r w:rsidRPr="00296FF5">
        <w:t xml:space="preserve">Facebook </w:t>
      </w:r>
      <w:proofErr w:type="spellStart"/>
      <w:r w:rsidRPr="00296FF5">
        <w:t>Inc</w:t>
      </w:r>
      <w:proofErr w:type="spellEnd"/>
      <w:r w:rsidRPr="00296FF5">
        <w:t xml:space="preserve"> submitted that</w:t>
      </w:r>
      <w:r>
        <w:t>:</w:t>
      </w:r>
    </w:p>
    <w:p w14:paraId="4E4FFF55" w14:textId="77777777" w:rsidR="004032FB" w:rsidRDefault="004032FB" w:rsidP="009D5976">
      <w:pPr>
        <w:pStyle w:val="ListNo1"/>
        <w:numPr>
          <w:ilvl w:val="0"/>
          <w:numId w:val="38"/>
        </w:numPr>
      </w:pPr>
      <w:r>
        <w:t>T</w:t>
      </w:r>
      <w:r w:rsidRPr="00296FF5">
        <w:t>he evidence indicated that certain important services</w:t>
      </w:r>
      <w:r>
        <w:t>, in particular processing services,</w:t>
      </w:r>
      <w:r w:rsidRPr="00296FF5">
        <w:t xml:space="preserve"> were provided by Facebook </w:t>
      </w:r>
      <w:proofErr w:type="spellStart"/>
      <w:r w:rsidRPr="00296FF5">
        <w:t>Inc</w:t>
      </w:r>
      <w:proofErr w:type="spellEnd"/>
      <w:r w:rsidRPr="00296FF5">
        <w:t xml:space="preserve"> to Facebook Ireland for consideration.  </w:t>
      </w:r>
      <w:r>
        <w:t>This</w:t>
      </w:r>
      <w:r w:rsidRPr="00296FF5">
        <w:t xml:space="preserve"> was a conventional engagement </w:t>
      </w:r>
      <w:r>
        <w:t>by</w:t>
      </w:r>
      <w:r w:rsidRPr="00296FF5">
        <w:t xml:space="preserve"> one company </w:t>
      </w:r>
      <w:r>
        <w:t>of</w:t>
      </w:r>
      <w:r w:rsidRPr="00296FF5">
        <w:t xml:space="preserve"> another to provide services.</w:t>
      </w:r>
      <w:r>
        <w:t xml:space="preserve">  </w:t>
      </w:r>
      <w:r w:rsidRPr="00296FF5">
        <w:t xml:space="preserve"> </w:t>
      </w:r>
    </w:p>
    <w:p w14:paraId="6E0347E0" w14:textId="77777777" w:rsidR="004032FB" w:rsidRDefault="004032FB" w:rsidP="009D5976">
      <w:pPr>
        <w:pStyle w:val="ListNo1"/>
        <w:numPr>
          <w:ilvl w:val="0"/>
          <w:numId w:val="38"/>
        </w:numPr>
      </w:pPr>
      <w:r>
        <w:t xml:space="preserve">The Data Hosting Agreement and the Data Transfer and Processing Agreement were carefully drafted for Facebook </w:t>
      </w:r>
      <w:proofErr w:type="spellStart"/>
      <w:r>
        <w:t>Inc</w:t>
      </w:r>
      <w:proofErr w:type="spellEnd"/>
      <w:r>
        <w:t xml:space="preserve"> to provide services to Facebook Ireland.  Facebook </w:t>
      </w:r>
      <w:proofErr w:type="spellStart"/>
      <w:r>
        <w:t>Inc</w:t>
      </w:r>
      <w:proofErr w:type="spellEnd"/>
      <w:r>
        <w:t xml:space="preserve"> was providing services to Facebook Ireland’s business.  The contractual arrangements indicated a </w:t>
      </w:r>
      <w:r>
        <w:rPr>
          <w:sz w:val="23"/>
          <w:szCs w:val="23"/>
        </w:rPr>
        <w:t xml:space="preserve">careful and deliberate separating of roles and of businesses.  </w:t>
      </w:r>
      <w:r>
        <w:t xml:space="preserve">There was no evidence or available inference that the agreements were not adhered to.  It would invert the clearly expressed contractual language to suggest that the engaging organisation (Facebook Ireland) was conducting the business of the organisation engaged to provide services (Facebook </w:t>
      </w:r>
      <w:proofErr w:type="spellStart"/>
      <w:r>
        <w:t>Inc</w:t>
      </w:r>
      <w:proofErr w:type="spellEnd"/>
      <w:r>
        <w:t xml:space="preserve">). </w:t>
      </w:r>
    </w:p>
    <w:p w14:paraId="0EE96114" w14:textId="57D8ADC6" w:rsidR="004032FB" w:rsidRDefault="004032FB" w:rsidP="009D5976">
      <w:pPr>
        <w:pStyle w:val="ListNo1"/>
        <w:numPr>
          <w:ilvl w:val="0"/>
          <w:numId w:val="38"/>
        </w:numPr>
      </w:pPr>
      <w:r>
        <w:lastRenderedPageBreak/>
        <w:t xml:space="preserve">Recital B of the Data Hosting Agreement between Facebook Ireland and Facebook </w:t>
      </w:r>
      <w:proofErr w:type="spellStart"/>
      <w:r>
        <w:t>Inc</w:t>
      </w:r>
      <w:proofErr w:type="spellEnd"/>
      <w:r>
        <w:t xml:space="preserve"> made it clear that Facebook Ireland commercialised the platform outside of the US and Canada.  Facebook </w:t>
      </w:r>
      <w:proofErr w:type="spellStart"/>
      <w:r>
        <w:t>Inc</w:t>
      </w:r>
      <w:proofErr w:type="spellEnd"/>
      <w:r>
        <w:t xml:space="preserve"> did not generate revenue from providing the Facebook service, but rather from selling advertising.  During the relevant period, Facebook </w:t>
      </w:r>
      <w:proofErr w:type="spellStart"/>
      <w:r>
        <w:t>Inc</w:t>
      </w:r>
      <w:proofErr w:type="spellEnd"/>
      <w:r>
        <w:t xml:space="preserve"> did not sell advertising in Australia.  Rather, Facebook Ireland and Facebook Australia were the entities which sold advertising in Australia.  </w:t>
      </w:r>
    </w:p>
    <w:p w14:paraId="62F304FA" w14:textId="1913E184" w:rsidR="004032FB" w:rsidRDefault="00516E6F" w:rsidP="009D5976">
      <w:pPr>
        <w:pStyle w:val="ListNo1"/>
        <w:numPr>
          <w:ilvl w:val="0"/>
          <w:numId w:val="38"/>
        </w:numPr>
      </w:pPr>
      <w:r>
        <w:t xml:space="preserve">An analysis of the various matters mentioned in cases such as </w:t>
      </w:r>
      <w:r w:rsidRPr="00F922CC">
        <w:rPr>
          <w:i/>
        </w:rPr>
        <w:t xml:space="preserve">Adams </w:t>
      </w:r>
      <w:r>
        <w:t xml:space="preserve">and </w:t>
      </w:r>
      <w:r w:rsidRPr="00F922CC">
        <w:rPr>
          <w:i/>
        </w:rPr>
        <w:t>Bray</w:t>
      </w:r>
      <w:r w:rsidR="005A47DC">
        <w:rPr>
          <w:i/>
        </w:rPr>
        <w:t xml:space="preserve"> FCA</w:t>
      </w:r>
      <w:r>
        <w:t xml:space="preserve"> leads to the conclusion that there is no prima facie case that Facebook Ireland conducted Facebook </w:t>
      </w:r>
      <w:proofErr w:type="spellStart"/>
      <w:r>
        <w:t>Inc’s</w:t>
      </w:r>
      <w:proofErr w:type="spellEnd"/>
      <w:r>
        <w:t xml:space="preserve"> business in Australia or that it conducted the business of both of them. T</w:t>
      </w:r>
      <w:r w:rsidR="004032FB">
        <w:t xml:space="preserve">here was no evidence that Facebook </w:t>
      </w:r>
      <w:proofErr w:type="spellStart"/>
      <w:r w:rsidR="004032FB">
        <w:t>Inc</w:t>
      </w:r>
      <w:proofErr w:type="spellEnd"/>
      <w:r w:rsidR="004032FB">
        <w:t xml:space="preserve"> controlled the board of directors of Facebook Ireland or that they had the same board members.  There was no evidence that employees of Facebook </w:t>
      </w:r>
      <w:proofErr w:type="spellStart"/>
      <w:r w:rsidR="004032FB">
        <w:t>Inc</w:t>
      </w:r>
      <w:proofErr w:type="spellEnd"/>
      <w:r w:rsidR="004032FB">
        <w:t xml:space="preserve"> were directing or being involved in the activities of Facebook Ireland.  Rather, the evidence overwhelmingly demonstrated a case for the entities choosing to operate, and in fact operating, separate businesses. </w:t>
      </w:r>
      <w:r>
        <w:t xml:space="preserve"> </w:t>
      </w:r>
    </w:p>
    <w:p w14:paraId="2ABF36DB" w14:textId="73A2441A" w:rsidR="00A547D1" w:rsidRDefault="00A547D1" w:rsidP="003D4EA5">
      <w:pPr>
        <w:pStyle w:val="Heading3"/>
      </w:pPr>
      <w:r>
        <w:t>D.1.4  Conclusion: the broader agency case</w:t>
      </w:r>
    </w:p>
    <w:p w14:paraId="545D02CE" w14:textId="3B5B6775" w:rsidR="009D00D4" w:rsidRDefault="00A547D1" w:rsidP="00A547D1">
      <w:pPr>
        <w:pStyle w:val="ParaNumbering"/>
      </w:pPr>
      <w:r>
        <w:t>I am not satisfied on the basis of the evidence adduced on this application that</w:t>
      </w:r>
      <w:r w:rsidRPr="00064006">
        <w:t xml:space="preserve"> the Commissioner has established a prima facie case </w:t>
      </w:r>
      <w:r>
        <w:t xml:space="preserve">that Facebook </w:t>
      </w:r>
      <w:proofErr w:type="spellStart"/>
      <w:r>
        <w:t>Inc</w:t>
      </w:r>
      <w:proofErr w:type="spellEnd"/>
      <w:r>
        <w:t xml:space="preserve"> carried on business in Australia within the meaning of s 5B(3)(b) </w:t>
      </w:r>
      <w:r w:rsidRPr="00064006">
        <w:t xml:space="preserve">on the basis that Facebook Ireland conducted Facebook </w:t>
      </w:r>
      <w:proofErr w:type="spellStart"/>
      <w:r w:rsidRPr="00064006">
        <w:t>Inc’s</w:t>
      </w:r>
      <w:proofErr w:type="spellEnd"/>
      <w:r w:rsidRPr="00064006">
        <w:t xml:space="preserve"> business in Australia.  </w:t>
      </w:r>
    </w:p>
    <w:p w14:paraId="5573F846" w14:textId="1E73C3BA" w:rsidR="00A547D1" w:rsidRDefault="003C3C38" w:rsidP="00A547D1">
      <w:pPr>
        <w:pStyle w:val="ParaNumbering"/>
      </w:pPr>
      <w:r>
        <w:t>Rather, the evidence on this application suggests that, t</w:t>
      </w:r>
      <w:r w:rsidR="00A547D1">
        <w:t>o the extent Facebook Ireland carried on business in Australia, it was carrying on its own business</w:t>
      </w:r>
      <w:r>
        <w:t xml:space="preserve">. </w:t>
      </w:r>
      <w:r w:rsidR="002E774E">
        <w:t xml:space="preserve"> </w:t>
      </w:r>
      <w:r>
        <w:t xml:space="preserve">The </w:t>
      </w:r>
      <w:r w:rsidR="00A547D1">
        <w:t xml:space="preserve">evidence </w:t>
      </w:r>
      <w:r w:rsidR="009D00D4">
        <w:t xml:space="preserve">adduced on this application </w:t>
      </w:r>
      <w:r w:rsidR="00A547D1">
        <w:t>and</w:t>
      </w:r>
      <w:r w:rsidR="009D00D4">
        <w:t xml:space="preserve"> the</w:t>
      </w:r>
      <w:r w:rsidR="00A547D1">
        <w:t xml:space="preserve"> inferences available</w:t>
      </w:r>
      <w:r w:rsidR="009D00D4">
        <w:t xml:space="preserve"> to be drawn</w:t>
      </w:r>
      <w:r w:rsidR="00A547D1">
        <w:t xml:space="preserve"> do not sufficiently allow for a </w:t>
      </w:r>
      <w:r>
        <w:t xml:space="preserve">possible </w:t>
      </w:r>
      <w:r w:rsidR="00A547D1">
        <w:t xml:space="preserve">conclusion that </w:t>
      </w:r>
      <w:r>
        <w:t xml:space="preserve">Facebook Ireland </w:t>
      </w:r>
      <w:r w:rsidR="00A547D1">
        <w:t xml:space="preserve">was also carrying on Facebook </w:t>
      </w:r>
      <w:proofErr w:type="spellStart"/>
      <w:r w:rsidR="00A547D1">
        <w:t>Inc’s</w:t>
      </w:r>
      <w:proofErr w:type="spellEnd"/>
      <w:r w:rsidR="00A547D1">
        <w:t xml:space="preserve"> business to warrant</w:t>
      </w:r>
      <w:r w:rsidR="009D00D4">
        <w:t xml:space="preserve"> permitting</w:t>
      </w:r>
      <w:r w:rsidR="00A547D1">
        <w:t xml:space="preserve"> service out of the jurisdiction.</w:t>
      </w:r>
    </w:p>
    <w:p w14:paraId="77E11A46" w14:textId="66543216" w:rsidR="009D00D4" w:rsidRPr="00064006" w:rsidRDefault="009D00D4" w:rsidP="00A547D1">
      <w:pPr>
        <w:pStyle w:val="ParaNumbering"/>
      </w:pPr>
      <w:r>
        <w:t xml:space="preserve">However, for the reasons given next, the Commissioner has established a sufficient prima facie case to warrant exposing Facebook </w:t>
      </w:r>
      <w:proofErr w:type="spellStart"/>
      <w:r>
        <w:t>Inc</w:t>
      </w:r>
      <w:proofErr w:type="spellEnd"/>
      <w:r>
        <w:t xml:space="preserve"> to litigation in Australia on the basis that Facebook </w:t>
      </w:r>
      <w:proofErr w:type="spellStart"/>
      <w:r>
        <w:t>Inc</w:t>
      </w:r>
      <w:proofErr w:type="spellEnd"/>
      <w:r>
        <w:t xml:space="preserve"> </w:t>
      </w:r>
      <w:r w:rsidR="003C3C38">
        <w:t xml:space="preserve">directly </w:t>
      </w:r>
      <w:r>
        <w:t xml:space="preserve">carried on business in Australia.  </w:t>
      </w:r>
      <w:r w:rsidR="003C3C38">
        <w:t>On its case, a</w:t>
      </w:r>
      <w:r>
        <w:t xml:space="preserve"> part of Facebook </w:t>
      </w:r>
      <w:proofErr w:type="spellStart"/>
      <w:r>
        <w:t>Inc’s</w:t>
      </w:r>
      <w:proofErr w:type="spellEnd"/>
      <w:r>
        <w:t xml:space="preserve"> business was to provide services to Facebook Ireland, including the processing activities referred to earlier.  I am satisfied that there is a prima facie case that Facebook </w:t>
      </w:r>
      <w:proofErr w:type="spellStart"/>
      <w:r>
        <w:t>Inc</w:t>
      </w:r>
      <w:proofErr w:type="spellEnd"/>
      <w:r>
        <w:t xml:space="preserve"> carried out sufficient activity in Australia in its business of providing services to Facebook Ireland for a conclusion to be available that Facebook </w:t>
      </w:r>
      <w:proofErr w:type="spellStart"/>
      <w:r>
        <w:t>Inc</w:t>
      </w:r>
      <w:proofErr w:type="spellEnd"/>
      <w:r>
        <w:t xml:space="preserve"> carried on business in Australia</w:t>
      </w:r>
      <w:r w:rsidR="00382330">
        <w:t xml:space="preserve"> within the meaning of s 5B(3)(b) of the </w:t>
      </w:r>
      <w:r w:rsidR="00382330" w:rsidRPr="003D4EA5">
        <w:rPr>
          <w:i/>
        </w:rPr>
        <w:t>Privacy Act</w:t>
      </w:r>
      <w:r>
        <w:t>.</w:t>
      </w:r>
    </w:p>
    <w:p w14:paraId="29455370" w14:textId="62F21AD1" w:rsidR="00C86297" w:rsidRDefault="000C76BE" w:rsidP="00D8611D">
      <w:pPr>
        <w:pStyle w:val="Heading2"/>
      </w:pPr>
      <w:r>
        <w:lastRenderedPageBreak/>
        <w:t>D</w:t>
      </w:r>
      <w:r w:rsidR="00DC0E02">
        <w:t xml:space="preserve">.2  </w:t>
      </w:r>
      <w:r w:rsidR="00D8611D">
        <w:t>Activities carried out</w:t>
      </w:r>
      <w:r w:rsidR="00F922CC">
        <w:t xml:space="preserve"> by Facebook </w:t>
      </w:r>
      <w:proofErr w:type="spellStart"/>
      <w:r w:rsidR="00F922CC">
        <w:t>Inc</w:t>
      </w:r>
      <w:proofErr w:type="spellEnd"/>
      <w:r w:rsidR="00D8611D">
        <w:t xml:space="preserve"> directly in Australia</w:t>
      </w:r>
    </w:p>
    <w:p w14:paraId="639EB0F3" w14:textId="430227A7" w:rsidR="00C86297" w:rsidRDefault="002C740F" w:rsidP="00C86297">
      <w:pPr>
        <w:pStyle w:val="ParaNumbering"/>
      </w:pPr>
      <w:r>
        <w:t xml:space="preserve">The Commissioner relied upon </w:t>
      </w:r>
      <w:r w:rsidR="00C36710">
        <w:t>various</w:t>
      </w:r>
      <w:r>
        <w:t xml:space="preserve"> activities said to be carried on </w:t>
      </w:r>
      <w:r w:rsidR="00F1616B">
        <w:t xml:space="preserve">by Facebook </w:t>
      </w:r>
      <w:proofErr w:type="spellStart"/>
      <w:r w:rsidR="00F1616B">
        <w:t>Inc</w:t>
      </w:r>
      <w:proofErr w:type="spellEnd"/>
      <w:r w:rsidR="00F1616B">
        <w:t xml:space="preserve"> </w:t>
      </w:r>
      <w:r>
        <w:t>in Australia</w:t>
      </w:r>
      <w:r w:rsidR="00F1616B">
        <w:t xml:space="preserve"> </w:t>
      </w:r>
      <w:r w:rsidR="00D6786B">
        <w:t>and said</w:t>
      </w:r>
      <w:r w:rsidR="00F1616B">
        <w:t xml:space="preserve"> to show a prima facie case that Facebook </w:t>
      </w:r>
      <w:proofErr w:type="spellStart"/>
      <w:r w:rsidR="00F1616B">
        <w:t>Inc</w:t>
      </w:r>
      <w:proofErr w:type="spellEnd"/>
      <w:r w:rsidR="00F1616B">
        <w:t xml:space="preserve"> carried on business in Australia within the meaning of s</w:t>
      </w:r>
      <w:r w:rsidR="00D6786B">
        <w:t> </w:t>
      </w:r>
      <w:r w:rsidR="00F1616B">
        <w:t>5B(3)(b)</w:t>
      </w:r>
      <w:r w:rsidR="00D6786B">
        <w:t>.  The activities relied upon were</w:t>
      </w:r>
      <w:r>
        <w:t>:</w:t>
      </w:r>
    </w:p>
    <w:p w14:paraId="59F73C22" w14:textId="5FE11249" w:rsidR="00C36710" w:rsidRDefault="00C36710" w:rsidP="009D5976">
      <w:pPr>
        <w:pStyle w:val="ListNo1"/>
        <w:numPr>
          <w:ilvl w:val="0"/>
          <w:numId w:val="29"/>
        </w:numPr>
      </w:pPr>
      <w:r>
        <w:t>entering into contracts with Australian users</w:t>
      </w:r>
      <w:r w:rsidR="00D6786B">
        <w:t xml:space="preserve"> through Facebook Ireland as its agent</w:t>
      </w:r>
      <w:r>
        <w:t>;</w:t>
      </w:r>
    </w:p>
    <w:p w14:paraId="7CCAC6BB" w14:textId="3A7E4210" w:rsidR="002C740F" w:rsidRDefault="002C740F" w:rsidP="009D5976">
      <w:pPr>
        <w:pStyle w:val="ListNo1"/>
        <w:numPr>
          <w:ilvl w:val="0"/>
          <w:numId w:val="29"/>
        </w:numPr>
      </w:pPr>
      <w:r>
        <w:t xml:space="preserve">the installation </w:t>
      </w:r>
      <w:r w:rsidR="00D6786B">
        <w:t xml:space="preserve">and operation </w:t>
      </w:r>
      <w:r>
        <w:t>of cookies on computers and electronic devices of Australian users for the purpose of target</w:t>
      </w:r>
      <w:r w:rsidR="003A748A">
        <w:t>ing</w:t>
      </w:r>
      <w:r>
        <w:t xml:space="preserve"> advertising to those users;</w:t>
      </w:r>
    </w:p>
    <w:p w14:paraId="0A36E0BC" w14:textId="45206D30" w:rsidR="009138C1" w:rsidRDefault="002C740F" w:rsidP="00872EB6">
      <w:pPr>
        <w:pStyle w:val="ListNo1"/>
        <w:numPr>
          <w:ilvl w:val="0"/>
          <w:numId w:val="29"/>
        </w:numPr>
      </w:pPr>
      <w:r>
        <w:t xml:space="preserve">the provision of the </w:t>
      </w:r>
      <w:r w:rsidR="002B1AB0">
        <w:t>G</w:t>
      </w:r>
      <w:r>
        <w:t>raph API to Australia</w:t>
      </w:r>
      <w:r w:rsidR="001D7F37">
        <w:t>n</w:t>
      </w:r>
      <w:r>
        <w:t xml:space="preserve"> app</w:t>
      </w:r>
      <w:r w:rsidR="005F3B32">
        <w:t xml:space="preserve"> developer</w:t>
      </w:r>
      <w:r>
        <w:t>s</w:t>
      </w:r>
      <w:r w:rsidR="009138C1">
        <w:t>;</w:t>
      </w:r>
    </w:p>
    <w:p w14:paraId="765835E1" w14:textId="2FB44FBD" w:rsidR="00C36710" w:rsidRDefault="00C36710" w:rsidP="00872EB6">
      <w:pPr>
        <w:pStyle w:val="ListNo1"/>
        <w:numPr>
          <w:ilvl w:val="0"/>
          <w:numId w:val="29"/>
        </w:numPr>
      </w:pPr>
      <w:r>
        <w:t>the collection and holding of i</w:t>
      </w:r>
      <w:r w:rsidR="00450F93">
        <w:t>nformation from Australia users;</w:t>
      </w:r>
    </w:p>
    <w:p w14:paraId="3117F1AC" w14:textId="77777777" w:rsidR="009138C1" w:rsidRDefault="009138C1" w:rsidP="00872EB6">
      <w:pPr>
        <w:pStyle w:val="ListNo1"/>
        <w:numPr>
          <w:ilvl w:val="0"/>
          <w:numId w:val="29"/>
        </w:numPr>
      </w:pPr>
      <w:r>
        <w:t xml:space="preserve">the offering of stock in Facebook </w:t>
      </w:r>
      <w:proofErr w:type="spellStart"/>
      <w:r>
        <w:t>Inc</w:t>
      </w:r>
      <w:proofErr w:type="spellEnd"/>
      <w:r>
        <w:t xml:space="preserve"> to Australian employees;</w:t>
      </w:r>
    </w:p>
    <w:p w14:paraId="7E9F33EA" w14:textId="77777777" w:rsidR="002C740F" w:rsidRDefault="009138C1" w:rsidP="00872EB6">
      <w:pPr>
        <w:pStyle w:val="ListNo1"/>
        <w:numPr>
          <w:ilvl w:val="0"/>
          <w:numId w:val="29"/>
        </w:numPr>
      </w:pPr>
      <w:r>
        <w:t xml:space="preserve">Facebook </w:t>
      </w:r>
      <w:proofErr w:type="spellStart"/>
      <w:r>
        <w:t>Inc</w:t>
      </w:r>
      <w:proofErr w:type="spellEnd"/>
      <w:r>
        <w:t xml:space="preserve"> considering itself able to draw on funds from foreign subsidiaries to apply to US operations and give directions with respect to those funds</w:t>
      </w:r>
      <w:r w:rsidR="002C740F">
        <w:t>.</w:t>
      </w:r>
    </w:p>
    <w:p w14:paraId="0FA79F66" w14:textId="5B5FF155" w:rsidR="002D341A" w:rsidRDefault="000C76BE" w:rsidP="00D8611D">
      <w:pPr>
        <w:pStyle w:val="Heading3"/>
      </w:pPr>
      <w:r>
        <w:t>D</w:t>
      </w:r>
      <w:r w:rsidR="00D6786B">
        <w:t xml:space="preserve">.2.1  </w:t>
      </w:r>
      <w:r w:rsidR="002D341A">
        <w:t xml:space="preserve">Entering into contracts with Australian users through Facebook Ireland as its agent </w:t>
      </w:r>
    </w:p>
    <w:p w14:paraId="03F605A2" w14:textId="1E0B0861" w:rsidR="002D341A" w:rsidRDefault="002D341A" w:rsidP="002D341A">
      <w:pPr>
        <w:pStyle w:val="ParaNumbering"/>
      </w:pPr>
      <w:r>
        <w:t xml:space="preserve">I have earlier concluded that it is not reasonably arguable that Facebook Ireland entered into contracts with Australian users as agent for Facebook </w:t>
      </w:r>
      <w:proofErr w:type="spellStart"/>
      <w:r>
        <w:t>Inc</w:t>
      </w:r>
      <w:proofErr w:type="spellEnd"/>
      <w:r>
        <w:t xml:space="preserve"> – see: [</w:t>
      </w:r>
      <w:r w:rsidR="009D00D4">
        <w:fldChar w:fldCharType="begin"/>
      </w:r>
      <w:r w:rsidR="009D00D4">
        <w:instrText xml:space="preserve"> REF _Ref50642446 \r \h </w:instrText>
      </w:r>
      <w:r w:rsidR="009D00D4">
        <w:fldChar w:fldCharType="separate"/>
      </w:r>
      <w:r w:rsidR="00872EB6">
        <w:t>69</w:t>
      </w:r>
      <w:r w:rsidR="009D00D4">
        <w:fldChar w:fldCharType="end"/>
      </w:r>
      <w:r>
        <w:t>] above.</w:t>
      </w:r>
      <w:r w:rsidR="009D00D4">
        <w:t xml:space="preserve">  It follows that I do not consider this was an activity which could support a conclusion that Facebook </w:t>
      </w:r>
      <w:proofErr w:type="spellStart"/>
      <w:r w:rsidR="009D00D4">
        <w:t>Inc</w:t>
      </w:r>
      <w:proofErr w:type="spellEnd"/>
      <w:r w:rsidR="009D00D4">
        <w:t xml:space="preserve"> carried on business in Australia. </w:t>
      </w:r>
    </w:p>
    <w:p w14:paraId="1D66D093" w14:textId="6845ABC5" w:rsidR="00C86297" w:rsidRPr="002D2ACD" w:rsidRDefault="000C76BE" w:rsidP="00D8611D">
      <w:pPr>
        <w:pStyle w:val="Heading3"/>
      </w:pPr>
      <w:r>
        <w:t>D</w:t>
      </w:r>
      <w:r w:rsidR="002D341A">
        <w:t xml:space="preserve">.2.2  </w:t>
      </w:r>
      <w:r w:rsidR="00064006">
        <w:t xml:space="preserve">Installation, operation and removal </w:t>
      </w:r>
      <w:r w:rsidR="002C740F">
        <w:t>of cookies</w:t>
      </w:r>
    </w:p>
    <w:p w14:paraId="0C5C47CF" w14:textId="32699372" w:rsidR="00DA3219" w:rsidRDefault="00D6786B" w:rsidP="00DA3219">
      <w:pPr>
        <w:pStyle w:val="ParaNumbering"/>
      </w:pPr>
      <w:r>
        <w:t>As noted at [</w:t>
      </w:r>
      <w:r>
        <w:fldChar w:fldCharType="begin"/>
      </w:r>
      <w:r>
        <w:instrText xml:space="preserve"> REF _Ref50124700 \r \h </w:instrText>
      </w:r>
      <w:r>
        <w:fldChar w:fldCharType="separate"/>
      </w:r>
      <w:r w:rsidR="00872EB6">
        <w:t>103</w:t>
      </w:r>
      <w:r>
        <w:fldChar w:fldCharType="end"/>
      </w:r>
      <w:r>
        <w:t>] above, o</w:t>
      </w:r>
      <w:r w:rsidR="003A748A">
        <w:t xml:space="preserve">ne of the </w:t>
      </w:r>
      <w:r>
        <w:t>“</w:t>
      </w:r>
      <w:r w:rsidR="003A748A">
        <w:t>processing operations</w:t>
      </w:r>
      <w:r>
        <w:t>”</w:t>
      </w:r>
      <w:r w:rsidR="003A748A">
        <w:t xml:space="preserve"> for which Facebook </w:t>
      </w:r>
      <w:proofErr w:type="spellStart"/>
      <w:r w:rsidR="003A748A">
        <w:t>Inc</w:t>
      </w:r>
      <w:proofErr w:type="spellEnd"/>
      <w:r w:rsidR="003A748A">
        <w:t xml:space="preserve"> was responsible </w:t>
      </w:r>
      <w:r>
        <w:t xml:space="preserve">in accordance with cl 5(a) of </w:t>
      </w:r>
      <w:r w:rsidR="003A748A">
        <w:t>the Data Transfer and Processing Agreement was</w:t>
      </w:r>
      <w:r>
        <w:t>, as specified in Appendix 1,</w:t>
      </w:r>
      <w:r w:rsidR="003A748A">
        <w:t xml:space="preserve"> </w:t>
      </w:r>
      <w:r w:rsidR="0059361E">
        <w:t>“</w:t>
      </w:r>
      <w:r w:rsidR="003A748A">
        <w:t>[t]</w:t>
      </w:r>
      <w:proofErr w:type="spellStart"/>
      <w:r w:rsidR="003A748A">
        <w:t>argeting</w:t>
      </w:r>
      <w:proofErr w:type="spellEnd"/>
      <w:r w:rsidR="003A748A">
        <w:t xml:space="preserve"> advertisements and </w:t>
      </w:r>
      <w:r w:rsidR="002B1AB0">
        <w:t xml:space="preserve">… </w:t>
      </w:r>
      <w:r w:rsidR="003A748A">
        <w:t>assess</w:t>
      </w:r>
      <w:r w:rsidR="002B1AB0">
        <w:t>[</w:t>
      </w:r>
      <w:proofErr w:type="spellStart"/>
      <w:r w:rsidR="002B1AB0">
        <w:t>ing</w:t>
      </w:r>
      <w:proofErr w:type="spellEnd"/>
      <w:r w:rsidR="002B1AB0">
        <w:t>]</w:t>
      </w:r>
      <w:r w:rsidR="003A748A">
        <w:t xml:space="preserve"> their effectiveness</w:t>
      </w:r>
      <w:r w:rsidR="0059361E">
        <w:t>”</w:t>
      </w:r>
      <w:r w:rsidR="003A748A">
        <w:t>.  Another was:</w:t>
      </w:r>
    </w:p>
    <w:p w14:paraId="4B3B90B6" w14:textId="0E0836D5" w:rsidR="003A748A" w:rsidRDefault="003A748A" w:rsidP="003A748A">
      <w:pPr>
        <w:pStyle w:val="Quote1"/>
        <w:widowControl/>
        <w:spacing w:after="0"/>
      </w:pPr>
      <w:r>
        <w:t xml:space="preserve">Installing, operating and removing, as appropriate, cookies on terminal equipment for purposes including the provision </w:t>
      </w:r>
      <w:r w:rsidR="002B1AB0">
        <w:t xml:space="preserve">[of] </w:t>
      </w:r>
      <w:r>
        <w:t>an information society service explicitly requested by Facebook users, security, facilitating user log in, enhancing the efficiency of Facebook services and localisation of content …</w:t>
      </w:r>
    </w:p>
    <w:p w14:paraId="472B7F04" w14:textId="77777777" w:rsidR="003A748A" w:rsidRPr="007C78DD" w:rsidRDefault="003A748A" w:rsidP="003A748A">
      <w:pPr>
        <w:pStyle w:val="Quote1"/>
        <w:widowControl/>
      </w:pPr>
    </w:p>
    <w:p w14:paraId="6AB4A1AE" w14:textId="6731D98D" w:rsidR="003A748A" w:rsidRDefault="001F6259" w:rsidP="005B032E">
      <w:pPr>
        <w:pStyle w:val="ParaNumbering"/>
      </w:pPr>
      <w:r>
        <w:t xml:space="preserve">Clause 5(c) and </w:t>
      </w:r>
      <w:r w:rsidR="003A748A">
        <w:t>Appendix 2 to the Data Transfer and Processing Agreement included</w:t>
      </w:r>
      <w:r>
        <w:t xml:space="preserve"> as an obligation on the part of Facebook </w:t>
      </w:r>
      <w:proofErr w:type="spellStart"/>
      <w:r>
        <w:t>Inc</w:t>
      </w:r>
      <w:proofErr w:type="spellEnd"/>
      <w:r w:rsidR="003A748A">
        <w:t>:</w:t>
      </w:r>
    </w:p>
    <w:p w14:paraId="2EAB7943" w14:textId="283B234F" w:rsidR="003A748A" w:rsidRDefault="003A748A" w:rsidP="00D6786B">
      <w:pPr>
        <w:pStyle w:val="Quote1"/>
        <w:spacing w:after="0"/>
      </w:pPr>
      <w:r w:rsidRPr="003A748A">
        <w:t>Data importer to install, operate and remove, as appropriate, security cookies</w:t>
      </w:r>
      <w:r>
        <w:t>.</w:t>
      </w:r>
    </w:p>
    <w:p w14:paraId="7FC668A9" w14:textId="77777777" w:rsidR="00D6786B" w:rsidRDefault="00D6786B" w:rsidP="003A748A">
      <w:pPr>
        <w:pStyle w:val="Quote1"/>
      </w:pPr>
    </w:p>
    <w:p w14:paraId="0357CC25" w14:textId="2F70E571" w:rsidR="003A748A" w:rsidRDefault="003A748A" w:rsidP="005B032E">
      <w:pPr>
        <w:pStyle w:val="ParaNumbering"/>
      </w:pPr>
      <w:bookmarkStart w:id="32" w:name="_Ref50137713"/>
      <w:r>
        <w:t xml:space="preserve">The </w:t>
      </w:r>
      <w:r w:rsidR="00205CE2">
        <w:t xml:space="preserve">2013 </w:t>
      </w:r>
      <w:r>
        <w:t>Data Use Policy included</w:t>
      </w:r>
      <w:r w:rsidR="00382330">
        <w:t xml:space="preserve"> an explanation of what “cookies” are</w:t>
      </w:r>
      <w:r>
        <w:t>:</w:t>
      </w:r>
      <w:bookmarkEnd w:id="32"/>
    </w:p>
    <w:p w14:paraId="4C9B0F04" w14:textId="77777777" w:rsidR="008103F1" w:rsidRPr="008103F1" w:rsidRDefault="008103F1" w:rsidP="001F6259">
      <w:pPr>
        <w:pStyle w:val="Quote1"/>
        <w:keepNext/>
        <w:rPr>
          <w:b/>
          <w:bCs/>
        </w:rPr>
      </w:pPr>
      <w:r w:rsidRPr="008103F1">
        <w:rPr>
          <w:b/>
          <w:bCs/>
        </w:rPr>
        <w:lastRenderedPageBreak/>
        <w:t>V. Cookies, pixels and other similar technologies</w:t>
      </w:r>
    </w:p>
    <w:p w14:paraId="739BE637" w14:textId="77777777" w:rsidR="008103F1" w:rsidRPr="008103F1" w:rsidRDefault="008103F1" w:rsidP="001F6259">
      <w:pPr>
        <w:pStyle w:val="Quote1"/>
        <w:widowControl/>
      </w:pPr>
      <w:r w:rsidRPr="008103F1">
        <w:t xml:space="preserve">Cookies are small pieces of data that are stored on your computer, mobile phone or other </w:t>
      </w:r>
      <w:r>
        <w:t xml:space="preserve">device. Pixels are small blocks </w:t>
      </w:r>
      <w:r w:rsidRPr="008103F1">
        <w:t>of code on webpages that do things like allow another server to measure viewing of a webpage and often are used in</w:t>
      </w:r>
      <w:r>
        <w:t xml:space="preserve"> </w:t>
      </w:r>
      <w:r w:rsidRPr="008103F1">
        <w:t>connection with cookies.</w:t>
      </w:r>
    </w:p>
    <w:p w14:paraId="3EDBBD0C" w14:textId="77777777" w:rsidR="008103F1" w:rsidRPr="008103F1" w:rsidRDefault="008103F1" w:rsidP="001F6259">
      <w:pPr>
        <w:pStyle w:val="Quote1"/>
        <w:widowControl/>
      </w:pPr>
      <w:r w:rsidRPr="008103F1">
        <w:t>We use technologies like cookies, pixels, and local storage (like on your browser or devic</w:t>
      </w:r>
      <w:r>
        <w:t xml:space="preserve">e, which is similar to a cookie </w:t>
      </w:r>
      <w:r w:rsidRPr="008103F1">
        <w:t>but holds more information) to provide and understand a range of products and services. Learn more at:</w:t>
      </w:r>
      <w:r>
        <w:t xml:space="preserve"> </w:t>
      </w:r>
      <w:r w:rsidRPr="008103F1">
        <w:t>https://www.facebook.com/help/cookies</w:t>
      </w:r>
    </w:p>
    <w:p w14:paraId="0EF052F3" w14:textId="77777777" w:rsidR="008103F1" w:rsidRPr="008103F1" w:rsidRDefault="008103F1" w:rsidP="001F6259">
      <w:pPr>
        <w:pStyle w:val="Quote1"/>
        <w:widowControl/>
      </w:pPr>
      <w:r w:rsidRPr="008103F1">
        <w:t>We use these technologies to do things like:</w:t>
      </w:r>
    </w:p>
    <w:p w14:paraId="34AAE2BC" w14:textId="77777777" w:rsidR="008103F1" w:rsidRPr="008103F1" w:rsidRDefault="008103F1" w:rsidP="001F6259">
      <w:pPr>
        <w:pStyle w:val="Quote1Bullet"/>
        <w:widowControl/>
      </w:pPr>
      <w:r w:rsidRPr="008103F1">
        <w:t>make Facebook easier or faster to use;</w:t>
      </w:r>
    </w:p>
    <w:p w14:paraId="1AC91174" w14:textId="77777777" w:rsidR="008103F1" w:rsidRPr="008103F1" w:rsidRDefault="008103F1" w:rsidP="001F6259">
      <w:pPr>
        <w:pStyle w:val="Quote1Bullet"/>
        <w:widowControl/>
      </w:pPr>
      <w:r w:rsidRPr="008103F1">
        <w:t>enable features and store information about you (including on your device or in y</w:t>
      </w:r>
      <w:r>
        <w:t xml:space="preserve">our browser cache) and your use </w:t>
      </w:r>
      <w:r w:rsidRPr="008103F1">
        <w:t>of Facebook;</w:t>
      </w:r>
    </w:p>
    <w:p w14:paraId="2EAF49BC" w14:textId="77777777" w:rsidR="008103F1" w:rsidRPr="008103F1" w:rsidRDefault="008103F1" w:rsidP="001F6259">
      <w:pPr>
        <w:pStyle w:val="Quote1Bullet"/>
        <w:widowControl/>
      </w:pPr>
      <w:r w:rsidRPr="008103F1">
        <w:t>deliver, understand and improve advertising;</w:t>
      </w:r>
    </w:p>
    <w:p w14:paraId="15AC8CCA" w14:textId="77777777" w:rsidR="008103F1" w:rsidRPr="008103F1" w:rsidRDefault="008103F1" w:rsidP="001F6259">
      <w:pPr>
        <w:pStyle w:val="Quote1Bullet"/>
        <w:widowControl/>
      </w:pPr>
      <w:r w:rsidRPr="008103F1">
        <w:t>monitor and understand the use of our products and services; and</w:t>
      </w:r>
    </w:p>
    <w:p w14:paraId="17A1CC8B" w14:textId="77777777" w:rsidR="008103F1" w:rsidRPr="008103F1" w:rsidRDefault="008103F1" w:rsidP="001F6259">
      <w:pPr>
        <w:pStyle w:val="Quote1Bullet"/>
        <w:widowControl/>
      </w:pPr>
      <w:r w:rsidRPr="008103F1">
        <w:t>protect you, others and Facebook.</w:t>
      </w:r>
    </w:p>
    <w:p w14:paraId="3530BBF3" w14:textId="77777777" w:rsidR="008103F1" w:rsidRPr="008103F1" w:rsidRDefault="008103F1" w:rsidP="001F6259">
      <w:pPr>
        <w:pStyle w:val="Quote1"/>
        <w:widowControl/>
      </w:pPr>
      <w:r w:rsidRPr="008103F1">
        <w:t>For example, we may use these tools to know you are logged in to Facebook, to help y</w:t>
      </w:r>
      <w:r>
        <w:t xml:space="preserve">ou use social plugins and share </w:t>
      </w:r>
      <w:r w:rsidRPr="008103F1">
        <w:t>buttons, or to know when you are interacting with our advertising or Platform partners.</w:t>
      </w:r>
    </w:p>
    <w:p w14:paraId="29A72FBF" w14:textId="77777777" w:rsidR="008103F1" w:rsidRPr="008103F1" w:rsidRDefault="008103F1" w:rsidP="001F6259">
      <w:pPr>
        <w:pStyle w:val="Quote1"/>
        <w:widowControl/>
      </w:pPr>
      <w:r w:rsidRPr="008103F1">
        <w:t xml:space="preserve">We may ask advertisers or other partners to serve ads or services to computers, mobile phones or other </w:t>
      </w:r>
      <w:r>
        <w:t xml:space="preserve">devices, which </w:t>
      </w:r>
      <w:r w:rsidRPr="008103F1">
        <w:t>may use a cookie, pixel or other similar technology placed by Facebook or the third party (although we would not share</w:t>
      </w:r>
      <w:r>
        <w:t xml:space="preserve"> </w:t>
      </w:r>
      <w:r w:rsidRPr="008103F1">
        <w:t>information that personally identifies you with an advertiser).</w:t>
      </w:r>
    </w:p>
    <w:p w14:paraId="0DDF7D65" w14:textId="77777777" w:rsidR="008103F1" w:rsidRPr="008103F1" w:rsidRDefault="008103F1" w:rsidP="001F6259">
      <w:pPr>
        <w:pStyle w:val="Quote1"/>
        <w:widowControl/>
      </w:pPr>
      <w:r w:rsidRPr="008103F1">
        <w:t>Most companies on the web use cookies (or other similar technological tools), includi</w:t>
      </w:r>
      <w:r>
        <w:t xml:space="preserve">ng our advertising and Platform </w:t>
      </w:r>
      <w:r w:rsidRPr="008103F1">
        <w:t>partners. For example, our Platform partners, advertisers or Page administrators may use cookies or similar</w:t>
      </w:r>
      <w:r>
        <w:t xml:space="preserve"> </w:t>
      </w:r>
      <w:r w:rsidRPr="008103F1">
        <w:t>technologies when you access their apps, ads, Pages or other content.</w:t>
      </w:r>
    </w:p>
    <w:p w14:paraId="51DA3859" w14:textId="77777777" w:rsidR="008103F1" w:rsidRPr="008103F1" w:rsidRDefault="008103F1" w:rsidP="001F6259">
      <w:pPr>
        <w:pStyle w:val="Quote1"/>
        <w:widowControl/>
      </w:pPr>
      <w:r w:rsidRPr="008103F1">
        <w:t>Cookies and things like local storage help make Facebook work, like allowing pages</w:t>
      </w:r>
      <w:r>
        <w:t xml:space="preserve"> to load faster because certain </w:t>
      </w:r>
      <w:r w:rsidRPr="008103F1">
        <w:t>content is stored on your browser or by helping us authenticate you to deliver personalized content.</w:t>
      </w:r>
    </w:p>
    <w:p w14:paraId="3BB09210" w14:textId="1C24D263" w:rsidR="008103F1" w:rsidRPr="008103F1" w:rsidRDefault="00E43502" w:rsidP="001F6259">
      <w:pPr>
        <w:pStyle w:val="Quote1"/>
        <w:widowControl/>
      </w:pPr>
      <w:r>
        <w:t>…</w:t>
      </w:r>
    </w:p>
    <w:p w14:paraId="7FE04095" w14:textId="60E257DC" w:rsidR="008103F1" w:rsidRDefault="008103F1" w:rsidP="001F6259">
      <w:pPr>
        <w:pStyle w:val="Quote1"/>
        <w:widowControl/>
        <w:spacing w:after="0"/>
      </w:pPr>
      <w:r w:rsidRPr="008103F1">
        <w:t>Refer to your browser or device</w:t>
      </w:r>
      <w:r w:rsidR="0059361E">
        <w:t>’</w:t>
      </w:r>
      <w:r w:rsidRPr="008103F1">
        <w:t>s help material to learn what controls you can often us</w:t>
      </w:r>
      <w:r>
        <w:t xml:space="preserve">e to remove or block cookies or </w:t>
      </w:r>
      <w:r w:rsidRPr="008103F1">
        <w:t>other similar technologies or block or remove other data stored on your computer or device (such as by using the</w:t>
      </w:r>
      <w:r>
        <w:t xml:space="preserve"> </w:t>
      </w:r>
      <w:r w:rsidRPr="008103F1">
        <w:t>various settings in your browser). If you do this, it may affect your ability to use Facebook or other websites and apps.</w:t>
      </w:r>
    </w:p>
    <w:p w14:paraId="591A8CFD" w14:textId="77777777" w:rsidR="008103F1" w:rsidRDefault="008103F1" w:rsidP="008103F1">
      <w:pPr>
        <w:pStyle w:val="Quote1"/>
      </w:pPr>
    </w:p>
    <w:p w14:paraId="3E5F2380" w14:textId="77777777" w:rsidR="00E43502" w:rsidRDefault="00B16534" w:rsidP="005B032E">
      <w:pPr>
        <w:pStyle w:val="ParaNumbering"/>
      </w:pPr>
      <w:bookmarkStart w:id="33" w:name="_Ref50137718"/>
      <w:r>
        <w:t>This material indicates two matters of significance</w:t>
      </w:r>
      <w:r w:rsidR="00E43502">
        <w:t>:</w:t>
      </w:r>
    </w:p>
    <w:p w14:paraId="51A0599C" w14:textId="53980843" w:rsidR="00E43502" w:rsidRDefault="00B16534" w:rsidP="001D7F37">
      <w:pPr>
        <w:pStyle w:val="ListNo1"/>
        <w:numPr>
          <w:ilvl w:val="0"/>
          <w:numId w:val="42"/>
        </w:numPr>
      </w:pPr>
      <w:r>
        <w:t xml:space="preserve">First, being </w:t>
      </w:r>
      <w:r w:rsidR="00E43502">
        <w:t xml:space="preserve">a </w:t>
      </w:r>
      <w:r>
        <w:t>matter the Commissioner emphasis</w:t>
      </w:r>
      <w:r w:rsidR="00E43502">
        <w:t>ed</w:t>
      </w:r>
      <w:r>
        <w:t xml:space="preserve">, Facebook </w:t>
      </w:r>
      <w:proofErr w:type="spellStart"/>
      <w:r>
        <w:t>Inc</w:t>
      </w:r>
      <w:proofErr w:type="spellEnd"/>
      <w:r>
        <w:t xml:space="preserve"> is responsible for installing</w:t>
      </w:r>
      <w:r w:rsidR="00E43502">
        <w:t>,</w:t>
      </w:r>
      <w:r>
        <w:t xml:space="preserve"> operating </w:t>
      </w:r>
      <w:r w:rsidR="00E43502">
        <w:t xml:space="preserve">and removing </w:t>
      </w:r>
      <w:r>
        <w:t xml:space="preserve">cookies on the devices of Australian users.  </w:t>
      </w:r>
    </w:p>
    <w:p w14:paraId="6A9F9F4C" w14:textId="66549CE1" w:rsidR="003A748A" w:rsidRDefault="00B16534" w:rsidP="001D7F37">
      <w:pPr>
        <w:pStyle w:val="ListNo1"/>
        <w:numPr>
          <w:ilvl w:val="0"/>
          <w:numId w:val="42"/>
        </w:numPr>
      </w:pPr>
      <w:r>
        <w:lastRenderedPageBreak/>
        <w:t xml:space="preserve">Secondly, </w:t>
      </w:r>
      <w:r w:rsidR="00E43502">
        <w:t xml:space="preserve">by reason of </w:t>
      </w:r>
      <w:r>
        <w:t xml:space="preserve">the second dot point in the third paragraph set out above, </w:t>
      </w:r>
      <w:r w:rsidR="001F6259">
        <w:t xml:space="preserve">it is reasonably arguable </w:t>
      </w:r>
      <w:r>
        <w:t xml:space="preserve">that Facebook </w:t>
      </w:r>
      <w:proofErr w:type="spellStart"/>
      <w:r>
        <w:t>Inc</w:t>
      </w:r>
      <w:proofErr w:type="spellEnd"/>
      <w:r>
        <w:t xml:space="preserve">, through its installation and operation of cookies, stores information about Australian users on the devices of those Australian users or in their browser caches.  </w:t>
      </w:r>
      <w:r w:rsidR="00D8611D">
        <w:t xml:space="preserve">This </w:t>
      </w:r>
      <w:r w:rsidR="00E43502">
        <w:t>is relevant</w:t>
      </w:r>
      <w:r w:rsidR="00D8611D">
        <w:t xml:space="preserve"> </w:t>
      </w:r>
      <w:r w:rsidR="00E43502">
        <w:t xml:space="preserve">not only to the issue under s 5B(3)(b) (carries on business), but also </w:t>
      </w:r>
      <w:r w:rsidR="00D8611D">
        <w:t>to the question which arises under s 5B(3)(c) (collecting or holding personal information).</w:t>
      </w:r>
      <w:bookmarkEnd w:id="33"/>
    </w:p>
    <w:p w14:paraId="1CF43C4C" w14:textId="3CFD469B" w:rsidR="00D96C8A" w:rsidRDefault="00D65CE6" w:rsidP="00D65CE6">
      <w:pPr>
        <w:pStyle w:val="ParaNumbering"/>
      </w:pPr>
      <w:bookmarkStart w:id="34" w:name="_Ref50643461"/>
      <w:r>
        <w:t xml:space="preserve">Facebook </w:t>
      </w:r>
      <w:proofErr w:type="spellStart"/>
      <w:r>
        <w:t>Inc</w:t>
      </w:r>
      <w:proofErr w:type="spellEnd"/>
      <w:r>
        <w:t xml:space="preserve"> submitted</w:t>
      </w:r>
      <w:r w:rsidR="00D96C8A">
        <w:t xml:space="preserve"> that:</w:t>
      </w:r>
      <w:bookmarkEnd w:id="34"/>
    </w:p>
    <w:p w14:paraId="011FDF16" w14:textId="10E96BA0" w:rsidR="00D96C8A" w:rsidRDefault="00D96C8A" w:rsidP="009D5976">
      <w:pPr>
        <w:pStyle w:val="ListNo1"/>
        <w:numPr>
          <w:ilvl w:val="0"/>
          <w:numId w:val="39"/>
        </w:numPr>
      </w:pPr>
      <w:r>
        <w:t xml:space="preserve">First, </w:t>
      </w:r>
      <w:r w:rsidR="00D65CE6">
        <w:t xml:space="preserve">Australia users authorised Facebook Ireland to install cookies and, in turn, Facebook Ireland subcontracted that function to Facebook </w:t>
      </w:r>
      <w:proofErr w:type="spellStart"/>
      <w:r w:rsidR="00D65CE6">
        <w:t>Inc</w:t>
      </w:r>
      <w:proofErr w:type="spellEnd"/>
      <w:r w:rsidR="00D65CE6">
        <w:t xml:space="preserve"> to perform on Facebook Ireland</w:t>
      </w:r>
      <w:r w:rsidR="0059361E">
        <w:t>’</w:t>
      </w:r>
      <w:r w:rsidR="00D65CE6">
        <w:t xml:space="preserve">s behalf.  </w:t>
      </w:r>
    </w:p>
    <w:p w14:paraId="4BD21374" w14:textId="5B8A7436" w:rsidR="00D96C8A" w:rsidRDefault="00D96C8A" w:rsidP="009D5976">
      <w:pPr>
        <w:pStyle w:val="ListNo1"/>
        <w:numPr>
          <w:ilvl w:val="0"/>
          <w:numId w:val="39"/>
        </w:numPr>
      </w:pPr>
      <w:r>
        <w:t xml:space="preserve">Secondly, processing operations carried out by Facebook, including installing, operating and removing cookies, were not carried out by any person located in Australia or otherwise in Australia.  Facebook </w:t>
      </w:r>
      <w:proofErr w:type="spellStart"/>
      <w:r>
        <w:t>Inc</w:t>
      </w:r>
      <w:proofErr w:type="spellEnd"/>
      <w:r>
        <w:t xml:space="preserve"> submitted that cookies are uploaded through actions taken overseas and later downloaded in Australia when a user accesses the Facebook platform.</w:t>
      </w:r>
    </w:p>
    <w:p w14:paraId="08AF1B34" w14:textId="0CF37F3B" w:rsidR="00D65CE6" w:rsidRDefault="00D96C8A" w:rsidP="00D65CE6">
      <w:pPr>
        <w:pStyle w:val="ParaNumbering"/>
      </w:pPr>
      <w:r>
        <w:t xml:space="preserve">As to the first </w:t>
      </w:r>
      <w:r w:rsidR="00803A70">
        <w:t>submission</w:t>
      </w:r>
      <w:r>
        <w:t>, it is true that Australian users authorised Facebook Ireland to install cookies.  T</w:t>
      </w:r>
      <w:r w:rsidR="00D65CE6">
        <w:t xml:space="preserve">he </w:t>
      </w:r>
      <w:r w:rsidR="00D63298">
        <w:t xml:space="preserve">2013 </w:t>
      </w:r>
      <w:r w:rsidR="00D65CE6">
        <w:t xml:space="preserve">Data Use Policy </w:t>
      </w:r>
      <w:r w:rsidR="00BF624C">
        <w:t xml:space="preserve">and 2015 Data Policy </w:t>
      </w:r>
      <w:r w:rsidR="00D65CE6">
        <w:t>w</w:t>
      </w:r>
      <w:r w:rsidR="00D63298">
        <w:t>ere</w:t>
      </w:r>
      <w:r w:rsidR="00D65CE6">
        <w:t xml:space="preserve"> incorporated into the 2013 and 2015 Statements</w:t>
      </w:r>
      <w:r w:rsidR="00BF624C">
        <w:t xml:space="preserve"> respectively</w:t>
      </w:r>
      <w:r w:rsidR="00D65CE6">
        <w:t xml:space="preserve">.  </w:t>
      </w:r>
      <w:r w:rsidR="001F6259">
        <w:t>Section</w:t>
      </w:r>
      <w:r w:rsidR="00D65CE6">
        <w:t xml:space="preserve"> 1 of the 2015 Statement provided:</w:t>
      </w:r>
    </w:p>
    <w:p w14:paraId="378F7922" w14:textId="77777777" w:rsidR="008103F1" w:rsidRPr="008103F1" w:rsidRDefault="008103F1" w:rsidP="008103F1">
      <w:pPr>
        <w:pStyle w:val="Quote1"/>
        <w:rPr>
          <w:b/>
        </w:rPr>
      </w:pPr>
      <w:r w:rsidRPr="008103F1">
        <w:rPr>
          <w:b/>
        </w:rPr>
        <w:t>1. Privacy</w:t>
      </w:r>
    </w:p>
    <w:p w14:paraId="1626EE3D" w14:textId="77777777" w:rsidR="008103F1" w:rsidRDefault="008103F1" w:rsidP="008103F1">
      <w:pPr>
        <w:pStyle w:val="Quote1"/>
        <w:spacing w:after="0"/>
      </w:pPr>
      <w:r>
        <w:t>Your privacy is very important to us. We designed our Data Policy to make important disclosures about how you can use Facebook to share with others and how we collect and can use your content and information. We encourage you to read the Data Policy, and to use it to help you make informed decisions.</w:t>
      </w:r>
    </w:p>
    <w:p w14:paraId="6E8E4850" w14:textId="77777777" w:rsidR="008103F1" w:rsidRDefault="008103F1" w:rsidP="008103F1">
      <w:pPr>
        <w:pStyle w:val="Quote1"/>
      </w:pPr>
    </w:p>
    <w:p w14:paraId="63792111" w14:textId="652AA81F" w:rsidR="004A5C64" w:rsidRDefault="00D65CE6" w:rsidP="005B032E">
      <w:pPr>
        <w:pStyle w:val="ParaNumbering"/>
      </w:pPr>
      <w:r>
        <w:t xml:space="preserve">After </w:t>
      </w:r>
      <w:r w:rsidR="001F6259">
        <w:t>s </w:t>
      </w:r>
      <w:r>
        <w:t xml:space="preserve">18 (the final </w:t>
      </w:r>
      <w:r w:rsidR="001F6259">
        <w:t>section</w:t>
      </w:r>
      <w:r>
        <w:t>), the 2015 Statement provided:</w:t>
      </w:r>
    </w:p>
    <w:p w14:paraId="62CDB942" w14:textId="36DE1CC0" w:rsidR="008103F1" w:rsidRDefault="008103F1" w:rsidP="001D7F37">
      <w:pPr>
        <w:pStyle w:val="Quote1"/>
        <w:spacing w:after="0"/>
      </w:pPr>
      <w:r w:rsidRPr="001D7F37">
        <w:t>By using or accessing Facebook Services, you agree that we can collect and use such content and information in accordance with the Data Policy as amended from time to time</w:t>
      </w:r>
      <w:r w:rsidR="00E43502">
        <w:t xml:space="preserve"> …</w:t>
      </w:r>
    </w:p>
    <w:p w14:paraId="0894D521" w14:textId="77777777" w:rsidR="00E43502" w:rsidRPr="001D7F37" w:rsidRDefault="00E43502" w:rsidP="008103F1">
      <w:pPr>
        <w:pStyle w:val="Quote1"/>
      </w:pPr>
    </w:p>
    <w:p w14:paraId="6FA0F2F6" w14:textId="4D7DD050" w:rsidR="00803A70" w:rsidRDefault="00803A70" w:rsidP="00E43502">
      <w:pPr>
        <w:pStyle w:val="ParaNumbering"/>
      </w:pPr>
      <w:r>
        <w:t xml:space="preserve">Whilst the authorisation to install cookies was given by users to Facebook Ireland, the task of installing and operating cookies was carried out by Facebook </w:t>
      </w:r>
      <w:proofErr w:type="spellStart"/>
      <w:r>
        <w:t>Inc</w:t>
      </w:r>
      <w:proofErr w:type="spellEnd"/>
      <w:r>
        <w:t xml:space="preserve"> in accordance with the Data Transfer and Processing Agreement.  The real issue is whether a prima facie case has been established that Facebook </w:t>
      </w:r>
      <w:proofErr w:type="spellStart"/>
      <w:r>
        <w:t>Inc</w:t>
      </w:r>
      <w:proofErr w:type="spellEnd"/>
      <w:r>
        <w:t xml:space="preserve"> engaged in activity in Australia sufficient to permit a conclusion that it carried on business in Australia.</w:t>
      </w:r>
    </w:p>
    <w:p w14:paraId="636CD517" w14:textId="1A37C926" w:rsidR="006235B5" w:rsidRDefault="00D96C8A" w:rsidP="00484298">
      <w:pPr>
        <w:pStyle w:val="ParaNumbering"/>
      </w:pPr>
      <w:r>
        <w:lastRenderedPageBreak/>
        <w:t xml:space="preserve">As to the second </w:t>
      </w:r>
      <w:r w:rsidR="00803A70">
        <w:t>submission at [</w:t>
      </w:r>
      <w:r w:rsidR="00803A70">
        <w:fldChar w:fldCharType="begin"/>
      </w:r>
      <w:r w:rsidR="00803A70">
        <w:instrText xml:space="preserve"> REF _Ref50643461 \r \h </w:instrText>
      </w:r>
      <w:r w:rsidR="00803A70">
        <w:fldChar w:fldCharType="separate"/>
      </w:r>
      <w:r w:rsidR="00872EB6">
        <w:t>126</w:t>
      </w:r>
      <w:r w:rsidR="00803A70">
        <w:fldChar w:fldCharType="end"/>
      </w:r>
      <w:r w:rsidR="00803A70">
        <w:t xml:space="preserve">] above – that all of its processing activity occurred outside of Australia – </w:t>
      </w:r>
      <w:r w:rsidR="008322AB">
        <w:t>Facebook</w:t>
      </w:r>
      <w:r w:rsidR="00803A70">
        <w:t xml:space="preserve"> </w:t>
      </w:r>
      <w:proofErr w:type="spellStart"/>
      <w:r w:rsidR="008322AB">
        <w:t>Inc</w:t>
      </w:r>
      <w:proofErr w:type="spellEnd"/>
      <w:r w:rsidR="008322AB">
        <w:t xml:space="preserve"> relied on </w:t>
      </w:r>
      <w:r w:rsidR="002D1419">
        <w:t>various</w:t>
      </w:r>
      <w:r w:rsidR="00803A70">
        <w:t xml:space="preserve"> </w:t>
      </w:r>
      <w:r w:rsidR="00803A70" w:rsidRPr="00B87A81">
        <w:rPr>
          <w:szCs w:val="24"/>
        </w:rPr>
        <w:t xml:space="preserve">passages in the </w:t>
      </w:r>
      <w:r w:rsidR="00195A32" w:rsidRPr="00B87A81">
        <w:rPr>
          <w:szCs w:val="24"/>
        </w:rPr>
        <w:t>judgment of Barrett</w:t>
      </w:r>
      <w:r w:rsidR="00BF624C" w:rsidRPr="00B87A81">
        <w:rPr>
          <w:szCs w:val="24"/>
        </w:rPr>
        <w:t> </w:t>
      </w:r>
      <w:r w:rsidR="00195A32" w:rsidRPr="00B87A81">
        <w:rPr>
          <w:szCs w:val="24"/>
        </w:rPr>
        <w:t xml:space="preserve">J </w:t>
      </w:r>
      <w:r w:rsidR="008322AB" w:rsidRPr="00B87A81">
        <w:rPr>
          <w:szCs w:val="24"/>
        </w:rPr>
        <w:t xml:space="preserve">in </w:t>
      </w:r>
      <w:r w:rsidR="006F63E6" w:rsidRPr="00B87A81">
        <w:rPr>
          <w:i/>
          <w:szCs w:val="24"/>
        </w:rPr>
        <w:t>Campbell</w:t>
      </w:r>
      <w:r w:rsidR="004045A0" w:rsidRPr="00B87A81">
        <w:rPr>
          <w:i/>
          <w:szCs w:val="24"/>
        </w:rPr>
        <w:t xml:space="preserve"> v</w:t>
      </w:r>
      <w:r w:rsidR="006F63E6" w:rsidRPr="00B87A81">
        <w:rPr>
          <w:i/>
          <w:szCs w:val="24"/>
        </w:rPr>
        <w:t xml:space="preserve"> </w:t>
      </w:r>
      <w:proofErr w:type="spellStart"/>
      <w:r w:rsidR="008322AB" w:rsidRPr="00B87A81">
        <w:rPr>
          <w:b/>
          <w:i/>
          <w:szCs w:val="24"/>
        </w:rPr>
        <w:t>Gebo</w:t>
      </w:r>
      <w:proofErr w:type="spellEnd"/>
      <w:r w:rsidR="008322AB" w:rsidRPr="00B87A81">
        <w:rPr>
          <w:b/>
          <w:i/>
          <w:szCs w:val="24"/>
        </w:rPr>
        <w:t xml:space="preserve"> Investments</w:t>
      </w:r>
      <w:r w:rsidR="006F63E6" w:rsidRPr="00B87A81">
        <w:rPr>
          <w:i/>
          <w:szCs w:val="24"/>
        </w:rPr>
        <w:t xml:space="preserve"> </w:t>
      </w:r>
      <w:r w:rsidR="006F63E6" w:rsidRPr="003D4EA5">
        <w:rPr>
          <w:i/>
          <w:szCs w:val="24"/>
        </w:rPr>
        <w:t xml:space="preserve">(Labuan) Ltd </w:t>
      </w:r>
      <w:r w:rsidR="006F63E6" w:rsidRPr="003D4EA5">
        <w:rPr>
          <w:szCs w:val="24"/>
        </w:rPr>
        <w:t xml:space="preserve">(2005) </w:t>
      </w:r>
      <w:r w:rsidR="00FE3EEB" w:rsidRPr="003D4EA5">
        <w:rPr>
          <w:szCs w:val="24"/>
        </w:rPr>
        <w:t>190 FLR 209</w:t>
      </w:r>
      <w:r w:rsidR="002D1419" w:rsidRPr="003D4EA5">
        <w:rPr>
          <w:szCs w:val="24"/>
        </w:rPr>
        <w:t xml:space="preserve">.  </w:t>
      </w:r>
      <w:r w:rsidR="006235B5" w:rsidRPr="003D4EA5">
        <w:rPr>
          <w:szCs w:val="24"/>
        </w:rPr>
        <w:t>A question in th</w:t>
      </w:r>
      <w:r w:rsidR="00B87A81">
        <w:rPr>
          <w:szCs w:val="24"/>
        </w:rPr>
        <w:t>at</w:t>
      </w:r>
      <w:r w:rsidR="006235B5" w:rsidRPr="003D4EA5">
        <w:rPr>
          <w:szCs w:val="24"/>
        </w:rPr>
        <w:t xml:space="preserve"> case was</w:t>
      </w:r>
      <w:r w:rsidR="006235B5" w:rsidRPr="00B87A81">
        <w:rPr>
          <w:szCs w:val="24"/>
        </w:rPr>
        <w:t xml:space="preserve"> whether the mere solicitation of </w:t>
      </w:r>
      <w:r w:rsidR="006235B5" w:rsidRPr="00F3591D">
        <w:rPr>
          <w:szCs w:val="24"/>
        </w:rPr>
        <w:t>business transactions by the internet constituted carrying on business in</w:t>
      </w:r>
      <w:r w:rsidR="006235B5" w:rsidRPr="00843812">
        <w:rPr>
          <w:szCs w:val="24"/>
        </w:rPr>
        <w:t xml:space="preserve"> Australia in the context of the winding up provisions of the </w:t>
      </w:r>
      <w:r w:rsidR="006235B5" w:rsidRPr="003D4EA5">
        <w:rPr>
          <w:i/>
          <w:iCs/>
          <w:szCs w:val="24"/>
        </w:rPr>
        <w:t>Corporations Act</w:t>
      </w:r>
      <w:r w:rsidR="006235B5" w:rsidRPr="003D4EA5">
        <w:rPr>
          <w:szCs w:val="24"/>
        </w:rPr>
        <w:t xml:space="preserve"> </w:t>
      </w:r>
      <w:r w:rsidR="006235B5" w:rsidRPr="003D4EA5">
        <w:rPr>
          <w:i/>
          <w:iCs/>
          <w:szCs w:val="24"/>
        </w:rPr>
        <w:t xml:space="preserve">2001 </w:t>
      </w:r>
      <w:r w:rsidR="006235B5" w:rsidRPr="003D4EA5">
        <w:rPr>
          <w:szCs w:val="24"/>
        </w:rPr>
        <w:t>(</w:t>
      </w:r>
      <w:proofErr w:type="spellStart"/>
      <w:r w:rsidR="006235B5" w:rsidRPr="003D4EA5">
        <w:rPr>
          <w:szCs w:val="24"/>
        </w:rPr>
        <w:t>Cth</w:t>
      </w:r>
      <w:proofErr w:type="spellEnd"/>
      <w:r w:rsidR="006235B5" w:rsidRPr="003D4EA5">
        <w:rPr>
          <w:szCs w:val="24"/>
        </w:rPr>
        <w:t xml:space="preserve">) that give the Court jurisdiction to wind up a “Part 5.7 body” where the body “has ceased to carry on business in this jurisdiction”.  </w:t>
      </w:r>
      <w:r w:rsidR="003D4EA5">
        <w:rPr>
          <w:szCs w:val="24"/>
        </w:rPr>
        <w:t>Over</w:t>
      </w:r>
      <w:r w:rsidR="006235B5" w:rsidRPr="003D4EA5">
        <w:rPr>
          <w:szCs w:val="24"/>
        </w:rPr>
        <w:t xml:space="preserve"> 2,000 resident</w:t>
      </w:r>
      <w:r w:rsidR="003D4EA5">
        <w:rPr>
          <w:szCs w:val="24"/>
        </w:rPr>
        <w:t>s</w:t>
      </w:r>
      <w:r w:rsidR="006235B5" w:rsidRPr="003D4EA5">
        <w:rPr>
          <w:szCs w:val="24"/>
        </w:rPr>
        <w:t xml:space="preserve"> </w:t>
      </w:r>
      <w:r w:rsidR="003D4EA5">
        <w:rPr>
          <w:szCs w:val="24"/>
        </w:rPr>
        <w:t>of</w:t>
      </w:r>
      <w:r w:rsidR="003D4EA5" w:rsidRPr="003D4EA5">
        <w:rPr>
          <w:szCs w:val="24"/>
        </w:rPr>
        <w:t xml:space="preserve"> </w:t>
      </w:r>
      <w:r w:rsidR="006235B5" w:rsidRPr="003D4EA5">
        <w:rPr>
          <w:szCs w:val="24"/>
        </w:rPr>
        <w:t xml:space="preserve">Australia had responded to solicitation through the </w:t>
      </w:r>
      <w:proofErr w:type="spellStart"/>
      <w:r w:rsidR="006235B5" w:rsidRPr="003D4EA5">
        <w:rPr>
          <w:szCs w:val="24"/>
        </w:rPr>
        <w:t>LifeWealth</w:t>
      </w:r>
      <w:proofErr w:type="spellEnd"/>
      <w:r w:rsidR="006235B5" w:rsidRPr="003D4EA5">
        <w:rPr>
          <w:szCs w:val="24"/>
        </w:rPr>
        <w:t xml:space="preserve"> 8 website and had become licensees</w:t>
      </w:r>
      <w:r w:rsidR="006235B5" w:rsidRPr="00F37DED">
        <w:t xml:space="preserve"> for the purposes of simulated stock market activity by making</w:t>
      </w:r>
      <w:r w:rsidR="006235B5">
        <w:t xml:space="preserve"> </w:t>
      </w:r>
      <w:r w:rsidR="006235B5" w:rsidRPr="00F37DED">
        <w:t xml:space="preserve">credit card payments by means of the website. </w:t>
      </w:r>
      <w:r w:rsidR="00B87A81">
        <w:t xml:space="preserve"> </w:t>
      </w:r>
      <w:r w:rsidR="006235B5" w:rsidRPr="00F37DED">
        <w:t>The solicitation was part of a systematic plan received and acted upon in Australia.</w:t>
      </w:r>
      <w:r w:rsidR="006235B5">
        <w:t xml:space="preserve"> </w:t>
      </w:r>
    </w:p>
    <w:p w14:paraId="185158F1" w14:textId="4CC81F6A" w:rsidR="006F63E6" w:rsidRPr="00B87A81" w:rsidRDefault="002D1419" w:rsidP="00484298">
      <w:pPr>
        <w:pStyle w:val="ParaNumbering"/>
        <w:rPr>
          <w:szCs w:val="24"/>
        </w:rPr>
      </w:pPr>
      <w:r w:rsidRPr="003D4EA5">
        <w:rPr>
          <w:szCs w:val="24"/>
        </w:rPr>
        <w:t xml:space="preserve">Barrett J explained that a document could be made available on the World Wide Web by a person uploading the document to a </w:t>
      </w:r>
      <w:r w:rsidRPr="00B87A81">
        <w:rPr>
          <w:szCs w:val="24"/>
        </w:rPr>
        <w:t xml:space="preserve">storage area managed by a web server.  A person wanting to access the document </w:t>
      </w:r>
      <w:r w:rsidRPr="00843812">
        <w:rPr>
          <w:szCs w:val="24"/>
        </w:rPr>
        <w:t xml:space="preserve">could request the document from the server through his or her web browser such that the user could download the document.  His Honour said </w:t>
      </w:r>
      <w:r w:rsidR="006F63E6" w:rsidRPr="003D4EA5">
        <w:rPr>
          <w:szCs w:val="24"/>
        </w:rPr>
        <w:t>at [29]:</w:t>
      </w:r>
    </w:p>
    <w:p w14:paraId="36166429" w14:textId="1FA45630" w:rsidR="00CE4BBF" w:rsidRPr="00CE4BBF" w:rsidRDefault="00CE4BBF" w:rsidP="00D96C8A">
      <w:pPr>
        <w:pStyle w:val="Quote1"/>
      </w:pPr>
      <w:r w:rsidRPr="00CE4BBF">
        <w:t xml:space="preserve">The workings of the </w:t>
      </w:r>
      <w:r w:rsidR="00FE3EEB">
        <w:t>I</w:t>
      </w:r>
      <w:r w:rsidRPr="00CE4BBF">
        <w:t>nternet were not the</w:t>
      </w:r>
      <w:r>
        <w:t xml:space="preserve"> subject of evidence before me. </w:t>
      </w:r>
      <w:r w:rsidRPr="00CE4BBF">
        <w:t xml:space="preserve">The matter was, however, the subject of evidence and discussion in </w:t>
      </w:r>
      <w:r w:rsidRPr="00F37DED">
        <w:rPr>
          <w:i/>
        </w:rPr>
        <w:t xml:space="preserve">Dow Jones &amp; Co </w:t>
      </w:r>
      <w:proofErr w:type="spellStart"/>
      <w:r w:rsidRPr="00F37DED">
        <w:rPr>
          <w:i/>
        </w:rPr>
        <w:t>Inc</w:t>
      </w:r>
      <w:proofErr w:type="spellEnd"/>
      <w:r w:rsidRPr="00F37DED">
        <w:rPr>
          <w:i/>
        </w:rPr>
        <w:t xml:space="preserve"> v </w:t>
      </w:r>
      <w:proofErr w:type="spellStart"/>
      <w:r w:rsidRPr="00F37DED">
        <w:rPr>
          <w:i/>
        </w:rPr>
        <w:t>Gutnick</w:t>
      </w:r>
      <w:proofErr w:type="spellEnd"/>
      <w:r w:rsidRPr="00CE4BBF">
        <w:t xml:space="preserve"> (2002) 210 CLR 575 and,</w:t>
      </w:r>
      <w:r>
        <w:t xml:space="preserve"> </w:t>
      </w:r>
      <w:r w:rsidRPr="00CE4BBF">
        <w:t>because there is no controversy in that respect in the proceedings with which I am</w:t>
      </w:r>
      <w:r>
        <w:t xml:space="preserve"> </w:t>
      </w:r>
      <w:r w:rsidRPr="00CE4BBF">
        <w:t>dealing, I am content merely to quote and adopt a passage in the joint judgment</w:t>
      </w:r>
      <w:r>
        <w:t xml:space="preserve"> </w:t>
      </w:r>
      <w:r w:rsidRPr="00CE4BBF">
        <w:t xml:space="preserve">of Gleeson CJ, McHugh, </w:t>
      </w:r>
      <w:proofErr w:type="spellStart"/>
      <w:r w:rsidRPr="00CE4BBF">
        <w:t>Gummow</w:t>
      </w:r>
      <w:proofErr w:type="spellEnd"/>
      <w:r w:rsidRPr="00CE4BBF">
        <w:t xml:space="preserve"> and Hayne JJ at [14]–[16]:</w:t>
      </w:r>
    </w:p>
    <w:p w14:paraId="1E9F1A17" w14:textId="496ECAF9" w:rsidR="00CE4BBF" w:rsidRPr="00750E95" w:rsidRDefault="00CE4BBF" w:rsidP="00D96C8A">
      <w:pPr>
        <w:pStyle w:val="Quote1"/>
        <w:ind w:left="1418" w:hanging="681"/>
        <w:rPr>
          <w:szCs w:val="22"/>
        </w:rPr>
      </w:pPr>
      <w:r w:rsidRPr="00CE4BBF">
        <w:rPr>
          <w:szCs w:val="22"/>
        </w:rPr>
        <w:t xml:space="preserve">[14] </w:t>
      </w:r>
      <w:r w:rsidR="00D96C8A">
        <w:rPr>
          <w:szCs w:val="22"/>
        </w:rPr>
        <w:tab/>
      </w:r>
      <w:r w:rsidRPr="00CE4BBF">
        <w:rPr>
          <w:szCs w:val="22"/>
        </w:rPr>
        <w:t xml:space="preserve">One witness called by Dow Jones, Dr Clarke, described the Internet as </w:t>
      </w:r>
      <w:r w:rsidR="0059361E">
        <w:rPr>
          <w:szCs w:val="22"/>
        </w:rPr>
        <w:t>“</w:t>
      </w:r>
      <w:r w:rsidRPr="00CE4BBF">
        <w:rPr>
          <w:szCs w:val="22"/>
        </w:rPr>
        <w:t>a</w:t>
      </w:r>
      <w:r w:rsidRPr="00F37DED">
        <w:rPr>
          <w:szCs w:val="22"/>
        </w:rPr>
        <w:t xml:space="preserve"> telecommunications network that links other telecommunication networks</w:t>
      </w:r>
      <w:r w:rsidR="0059361E">
        <w:rPr>
          <w:szCs w:val="22"/>
        </w:rPr>
        <w:t>”</w:t>
      </w:r>
      <w:r w:rsidRPr="00F37DED">
        <w:rPr>
          <w:szCs w:val="22"/>
        </w:rPr>
        <w:t xml:space="preserve">. In his opinion, it is unlike any technology that has preceded it. The key differences identified </w:t>
      </w:r>
      <w:r w:rsidRPr="00BF36F5">
        <w:rPr>
          <w:szCs w:val="22"/>
        </w:rPr>
        <w:t xml:space="preserve">by Dr Clarke included that the Internet </w:t>
      </w:r>
      <w:r w:rsidR="0059361E">
        <w:rPr>
          <w:szCs w:val="22"/>
        </w:rPr>
        <w:t>“</w:t>
      </w:r>
      <w:r w:rsidRPr="00BF36F5">
        <w:rPr>
          <w:szCs w:val="22"/>
        </w:rPr>
        <w:t>enables i</w:t>
      </w:r>
      <w:r w:rsidRPr="00CA210C">
        <w:rPr>
          <w:szCs w:val="22"/>
        </w:rPr>
        <w:t>nter-communication using multiple data-formats ... among an unprecedented number of people using an unprecedented number of devices [and] among people and devices without geographic limitation</w:t>
      </w:r>
      <w:r w:rsidR="0059361E">
        <w:rPr>
          <w:szCs w:val="22"/>
        </w:rPr>
        <w:t>”</w:t>
      </w:r>
      <w:r w:rsidRPr="00CA210C">
        <w:rPr>
          <w:szCs w:val="22"/>
        </w:rPr>
        <w:t>.</w:t>
      </w:r>
    </w:p>
    <w:p w14:paraId="2B656FA4" w14:textId="462F455C" w:rsidR="00CE4BBF" w:rsidRPr="005722BA" w:rsidRDefault="00CE4BBF" w:rsidP="00D96C8A">
      <w:pPr>
        <w:pStyle w:val="Quote1"/>
        <w:ind w:left="1418" w:hanging="681"/>
        <w:rPr>
          <w:szCs w:val="22"/>
        </w:rPr>
      </w:pPr>
      <w:r w:rsidRPr="00750E95">
        <w:rPr>
          <w:szCs w:val="22"/>
        </w:rPr>
        <w:t xml:space="preserve">[15] </w:t>
      </w:r>
      <w:r w:rsidR="00D96C8A">
        <w:rPr>
          <w:szCs w:val="22"/>
        </w:rPr>
        <w:tab/>
      </w:r>
      <w:r w:rsidRPr="00750E95">
        <w:rPr>
          <w:szCs w:val="22"/>
        </w:rPr>
        <w:t>The World Wide Web is but one particular service available over the Internet. It</w:t>
      </w:r>
      <w:r w:rsidRPr="00DD0604">
        <w:rPr>
          <w:szCs w:val="22"/>
        </w:rPr>
        <w:t xml:space="preserve"> enables a document to be stored in such a way on one computer </w:t>
      </w:r>
      <w:r w:rsidRPr="005722BA">
        <w:rPr>
          <w:szCs w:val="22"/>
        </w:rPr>
        <w:t xml:space="preserve">connected to the Internet that a person using another computer connected to the Internet can request and receive a copy of the document. As Dr Clarke said, the terms conventionally used to refer to the materials that are transmitted in this way are a </w:t>
      </w:r>
      <w:r w:rsidR="0059361E">
        <w:rPr>
          <w:szCs w:val="22"/>
        </w:rPr>
        <w:t>“</w:t>
      </w:r>
      <w:r w:rsidRPr="005722BA">
        <w:rPr>
          <w:szCs w:val="22"/>
        </w:rPr>
        <w:t>document</w:t>
      </w:r>
      <w:r w:rsidR="0059361E">
        <w:rPr>
          <w:szCs w:val="22"/>
        </w:rPr>
        <w:t>”</w:t>
      </w:r>
      <w:r w:rsidRPr="005722BA">
        <w:rPr>
          <w:szCs w:val="22"/>
        </w:rPr>
        <w:t xml:space="preserve"> or a </w:t>
      </w:r>
      <w:r w:rsidR="0059361E">
        <w:rPr>
          <w:szCs w:val="22"/>
        </w:rPr>
        <w:t>“</w:t>
      </w:r>
      <w:r w:rsidRPr="005722BA">
        <w:rPr>
          <w:szCs w:val="22"/>
        </w:rPr>
        <w:t>web page</w:t>
      </w:r>
      <w:r w:rsidR="0059361E">
        <w:rPr>
          <w:szCs w:val="22"/>
        </w:rPr>
        <w:t>”</w:t>
      </w:r>
      <w:r w:rsidRPr="005722BA">
        <w:rPr>
          <w:szCs w:val="22"/>
        </w:rPr>
        <w:t xml:space="preserve"> and a collection of web pages is usually referred to as a </w:t>
      </w:r>
      <w:r w:rsidR="0059361E">
        <w:rPr>
          <w:szCs w:val="22"/>
        </w:rPr>
        <w:t>“</w:t>
      </w:r>
      <w:r w:rsidRPr="005722BA">
        <w:rPr>
          <w:szCs w:val="22"/>
        </w:rPr>
        <w:t>web site</w:t>
      </w:r>
      <w:r w:rsidR="0059361E">
        <w:rPr>
          <w:szCs w:val="22"/>
        </w:rPr>
        <w:t>”</w:t>
      </w:r>
      <w:r w:rsidRPr="005722BA">
        <w:rPr>
          <w:szCs w:val="22"/>
        </w:rPr>
        <w:t xml:space="preserve">. A computer that makes documents available runs software that is referred to as a </w:t>
      </w:r>
      <w:r w:rsidR="0059361E">
        <w:rPr>
          <w:szCs w:val="22"/>
        </w:rPr>
        <w:t>“</w:t>
      </w:r>
      <w:r w:rsidRPr="005722BA">
        <w:rPr>
          <w:szCs w:val="22"/>
        </w:rPr>
        <w:t>web server</w:t>
      </w:r>
      <w:r w:rsidR="0059361E">
        <w:rPr>
          <w:szCs w:val="22"/>
        </w:rPr>
        <w:t>”</w:t>
      </w:r>
      <w:r w:rsidRPr="005722BA">
        <w:rPr>
          <w:szCs w:val="22"/>
        </w:rPr>
        <w:t xml:space="preserve">; a computer that requests and receives documents runs software that is referred to as a </w:t>
      </w:r>
      <w:r w:rsidR="0059361E">
        <w:rPr>
          <w:szCs w:val="22"/>
        </w:rPr>
        <w:t>“</w:t>
      </w:r>
      <w:r w:rsidRPr="005722BA">
        <w:rPr>
          <w:szCs w:val="22"/>
        </w:rPr>
        <w:t>web browser</w:t>
      </w:r>
      <w:r w:rsidR="0059361E">
        <w:rPr>
          <w:szCs w:val="22"/>
        </w:rPr>
        <w:t>”</w:t>
      </w:r>
      <w:r w:rsidRPr="005722BA">
        <w:rPr>
          <w:szCs w:val="22"/>
        </w:rPr>
        <w:t>.</w:t>
      </w:r>
    </w:p>
    <w:p w14:paraId="09EBACD7" w14:textId="156AA21A" w:rsidR="00CE4BBF" w:rsidRDefault="00CE4BBF" w:rsidP="003D4EA5">
      <w:pPr>
        <w:pStyle w:val="Quote1"/>
        <w:spacing w:after="0"/>
        <w:ind w:left="1417" w:hanging="680"/>
        <w:rPr>
          <w:szCs w:val="22"/>
        </w:rPr>
      </w:pPr>
      <w:r w:rsidRPr="005722BA">
        <w:rPr>
          <w:szCs w:val="22"/>
        </w:rPr>
        <w:t xml:space="preserve">[16] </w:t>
      </w:r>
      <w:r w:rsidR="00D96C8A">
        <w:rPr>
          <w:szCs w:val="22"/>
        </w:rPr>
        <w:tab/>
      </w:r>
      <w:r w:rsidRPr="005722BA">
        <w:rPr>
          <w:szCs w:val="22"/>
        </w:rPr>
        <w:t xml:space="preserve">The originator of a document wishing to make it available on the World Wide Web arranges for it to be placed in a storage area managed by a web server. This process is conventionally referred to as </w:t>
      </w:r>
      <w:r w:rsidR="0059361E">
        <w:rPr>
          <w:szCs w:val="22"/>
        </w:rPr>
        <w:t>“</w:t>
      </w:r>
      <w:r w:rsidRPr="005722BA">
        <w:rPr>
          <w:szCs w:val="22"/>
        </w:rPr>
        <w:t>uploading</w:t>
      </w:r>
      <w:r w:rsidR="0059361E">
        <w:rPr>
          <w:szCs w:val="22"/>
        </w:rPr>
        <w:t>”</w:t>
      </w:r>
      <w:r w:rsidRPr="005722BA">
        <w:rPr>
          <w:szCs w:val="22"/>
        </w:rPr>
        <w:t xml:space="preserve">. A person wishing to have access to that document must issue a request to the relevant server nominating the location of the web page identified by its </w:t>
      </w:r>
      <w:r w:rsidR="0059361E">
        <w:rPr>
          <w:szCs w:val="22"/>
        </w:rPr>
        <w:t>“</w:t>
      </w:r>
      <w:r w:rsidRPr="005722BA">
        <w:rPr>
          <w:szCs w:val="22"/>
        </w:rPr>
        <w:t>uniform resource locator (URL)</w:t>
      </w:r>
      <w:r w:rsidR="0059361E">
        <w:rPr>
          <w:szCs w:val="22"/>
        </w:rPr>
        <w:t>”</w:t>
      </w:r>
      <w:r w:rsidRPr="005722BA">
        <w:rPr>
          <w:szCs w:val="22"/>
        </w:rPr>
        <w:t xml:space="preserve">. When the server delivers the document in response to the request the process is conventionally referred to as </w:t>
      </w:r>
      <w:r w:rsidR="0059361E">
        <w:rPr>
          <w:szCs w:val="22"/>
        </w:rPr>
        <w:t>“</w:t>
      </w:r>
      <w:r w:rsidRPr="00F37DED">
        <w:rPr>
          <w:szCs w:val="22"/>
        </w:rPr>
        <w:t>downloading</w:t>
      </w:r>
      <w:r w:rsidR="0059361E">
        <w:rPr>
          <w:szCs w:val="22"/>
        </w:rPr>
        <w:t>”</w:t>
      </w:r>
      <w:r w:rsidRPr="00F37DED">
        <w:rPr>
          <w:szCs w:val="22"/>
        </w:rPr>
        <w:t>.</w:t>
      </w:r>
    </w:p>
    <w:p w14:paraId="36D98BE0" w14:textId="77777777" w:rsidR="002D1419" w:rsidRDefault="002D1419" w:rsidP="00D96C8A">
      <w:pPr>
        <w:pStyle w:val="Quote1"/>
        <w:ind w:left="1418" w:hanging="681"/>
        <w:rPr>
          <w:szCs w:val="22"/>
        </w:rPr>
      </w:pPr>
    </w:p>
    <w:p w14:paraId="61BFDE6F" w14:textId="77777777" w:rsidR="006235B5" w:rsidRDefault="002D1419" w:rsidP="00B87A81">
      <w:pPr>
        <w:pStyle w:val="ParaNumbering"/>
      </w:pPr>
      <w:r>
        <w:t xml:space="preserve">Barrett J then considered whether, on the assumption that all of the uploading activity occurred outside Australia, </w:t>
      </w:r>
      <w:r w:rsidR="00EC7616">
        <w:t>that activity could amount</w:t>
      </w:r>
      <w:r w:rsidR="00583822">
        <w:t xml:space="preserve"> to carrying on business in Australia, by reason of the receipt of a communication in Australia.  </w:t>
      </w:r>
    </w:p>
    <w:p w14:paraId="58ECF1B0" w14:textId="21735CE7" w:rsidR="002D1419" w:rsidRDefault="00583822" w:rsidP="00B87A81">
      <w:pPr>
        <w:pStyle w:val="ParaNumbering"/>
      </w:pPr>
      <w:r>
        <w:t>His Honour said at [30] to [34]:</w:t>
      </w:r>
      <w:r w:rsidR="002D1419">
        <w:t xml:space="preserve"> </w:t>
      </w:r>
    </w:p>
    <w:p w14:paraId="42B4085F" w14:textId="39767763" w:rsidR="00F37DED" w:rsidRDefault="00583822" w:rsidP="00B87A81">
      <w:pPr>
        <w:pStyle w:val="Quote1"/>
        <w:widowControl/>
        <w:ind w:left="1418" w:hanging="681"/>
      </w:pPr>
      <w:r>
        <w:t>[30]</w:t>
      </w:r>
      <w:r>
        <w:tab/>
        <w:t>…</w:t>
      </w:r>
      <w:r w:rsidR="00F37DED">
        <w:t xml:space="preserve"> I assume, without deciding, that the acts of uploading occurred outside Australia. That raises the question whether physical acts outside Australia which result in business communication with persons in Australia are, by reason of the territorial quality of the receipt of the communication, properly regarded as carrying on business in Australia. The question applies equally to a situation where a person outside Australia telephones persons in Australia or sends a messages by post or email to persons in Australia and, as a result of those acts performed by the person outside Australia, receives responses which amount to or lead to transactions forming part of some undoubted business activity.</w:t>
      </w:r>
    </w:p>
    <w:p w14:paraId="5D06059F" w14:textId="5C4ACA63" w:rsidR="00F37DED" w:rsidRDefault="00583822" w:rsidP="00B87A81">
      <w:pPr>
        <w:pStyle w:val="Quote1"/>
        <w:widowControl/>
        <w:ind w:left="1418" w:hanging="681"/>
      </w:pPr>
      <w:r>
        <w:t>[31]</w:t>
      </w:r>
      <w:r>
        <w:tab/>
      </w:r>
      <w:r w:rsidR="00F37DED">
        <w:t xml:space="preserve">It is my opinion that the circumstances outlined are, of themselves, insufficient to constitute the carrying on of business in Australia. Case law makes it clear that the territorial concept of carrying on business involves acts within the relevant territory that amount to or are ancillary to transactions that make up or support the business. Many of the cases concern persons acting as agents within the jurisdiction of enterprise bases and operating outside the jurisdiction. One view has traditionally been taken where the agent within the jurisdiction has authority to bind the principal to dealings there; while another view has been taken of cases in which the agent is empowered to do no more than receive proposals or orders within the jurisdiction (often, no doubt, in response to solicitation there) and retransmit them to the principal. The distinction is discussed in several cases, including </w:t>
      </w:r>
      <w:r w:rsidR="00F37DED" w:rsidRPr="00F37DED">
        <w:rPr>
          <w:i/>
        </w:rPr>
        <w:t xml:space="preserve">Okura &amp; Co Ltd v </w:t>
      </w:r>
      <w:proofErr w:type="spellStart"/>
      <w:r w:rsidR="00F37DED" w:rsidRPr="00F37DED">
        <w:rPr>
          <w:i/>
        </w:rPr>
        <w:t>Forsbacka</w:t>
      </w:r>
      <w:proofErr w:type="spellEnd"/>
      <w:r w:rsidR="00F37DED" w:rsidRPr="00F37DED">
        <w:rPr>
          <w:i/>
        </w:rPr>
        <w:t xml:space="preserve"> </w:t>
      </w:r>
      <w:proofErr w:type="spellStart"/>
      <w:r w:rsidR="00F37DED" w:rsidRPr="00F37DED">
        <w:rPr>
          <w:i/>
        </w:rPr>
        <w:t>Jernverks</w:t>
      </w:r>
      <w:proofErr w:type="spellEnd"/>
      <w:r w:rsidR="00F37DED">
        <w:t xml:space="preserve"> </w:t>
      </w:r>
      <w:proofErr w:type="spellStart"/>
      <w:r w:rsidR="00F37DED" w:rsidRPr="00F37DED">
        <w:rPr>
          <w:i/>
        </w:rPr>
        <w:t>Aktiebolag</w:t>
      </w:r>
      <w:proofErr w:type="spellEnd"/>
      <w:r w:rsidR="00F37DED" w:rsidRPr="00F37DED">
        <w:rPr>
          <w:i/>
        </w:rPr>
        <w:t xml:space="preserve"> </w:t>
      </w:r>
      <w:r w:rsidR="00F37DED">
        <w:t>[1914] 1 KB 715</w:t>
      </w:r>
      <w:r>
        <w:t xml:space="preserve">. </w:t>
      </w:r>
      <w:r w:rsidR="00F37DED">
        <w:t xml:space="preserve"> Buckley LJ, speaking of a situation of the latter kind, there said (at </w:t>
      </w:r>
      <w:r w:rsidR="00FE3EEB">
        <w:t xml:space="preserve">p </w:t>
      </w:r>
      <w:r w:rsidR="00F37DED">
        <w:t>721):</w:t>
      </w:r>
    </w:p>
    <w:p w14:paraId="651FE7CA" w14:textId="626EF915" w:rsidR="00F37DED" w:rsidRDefault="00F37DED" w:rsidP="00B87A81">
      <w:pPr>
        <w:pStyle w:val="Quote2"/>
        <w:widowControl/>
        <w:ind w:left="1985"/>
      </w:pPr>
      <w:r>
        <w:t xml:space="preserve">These being the facts, 101, </w:t>
      </w:r>
      <w:proofErr w:type="spellStart"/>
      <w:r>
        <w:t>Leadenhall</w:t>
      </w:r>
      <w:proofErr w:type="spellEnd"/>
      <w:r>
        <w:t xml:space="preserve"> Street is really only an address from which business is from time to time offered to the foreign corporation; the question whether any particular business shall or shall not be done is determined by the foreign corporation in Sweden and not by any one in London. In my opinion the defendants are not </w:t>
      </w:r>
      <w:r w:rsidR="0059361E">
        <w:t>“</w:t>
      </w:r>
      <w:r>
        <w:t>here</w:t>
      </w:r>
      <w:r w:rsidR="0059361E">
        <w:t>”</w:t>
      </w:r>
      <w:r>
        <w:t xml:space="preserve"> by an alter ego who does business for them here, or who is competent to bind them in any way. They are not doing business here by a person but through a person. That person has to communicate with them, and the ultimate determination, resulting in a contract, is made not by the agents in London, but by the defendants in Sweden. It follows from this that one of the essential elements which must be present before a writ can be served in this country on the agent of a foreign corporation is lacking in this case. This appeal must, therefore, be dismissed.</w:t>
      </w:r>
    </w:p>
    <w:p w14:paraId="091FD55B" w14:textId="3E08A986" w:rsidR="00F37DED" w:rsidRDefault="00F37DED" w:rsidP="00B87A81">
      <w:pPr>
        <w:pStyle w:val="Quote1"/>
        <w:widowControl/>
        <w:ind w:left="1418"/>
      </w:pPr>
      <w:r>
        <w:t xml:space="preserve">By the same reasoning, the mere employment by a foreign company of a commercial traveller in Victoria to receive orders on commission and to forward them to its office abroad was held, in </w:t>
      </w:r>
      <w:r w:rsidRPr="00F37DED">
        <w:rPr>
          <w:i/>
        </w:rPr>
        <w:t>Pearce v Tower Manufacturing &amp; Novelty Co Ltd</w:t>
      </w:r>
      <w:r>
        <w:t xml:space="preserve"> (1898) 24 VLR 506, not to be carrying on business in Victoria.</w:t>
      </w:r>
    </w:p>
    <w:p w14:paraId="750882FE" w14:textId="06ADD628" w:rsidR="00F37DED" w:rsidRDefault="00583822" w:rsidP="00B87A81">
      <w:pPr>
        <w:pStyle w:val="Quote1"/>
        <w:widowControl/>
        <w:ind w:left="1418" w:hanging="681"/>
      </w:pPr>
      <w:r>
        <w:lastRenderedPageBreak/>
        <w:t>[33]</w:t>
      </w:r>
      <w:r>
        <w:tab/>
      </w:r>
      <w:r w:rsidR="00F37DED">
        <w:t xml:space="preserve">Advances in technology making it possible for material uploaded on to the </w:t>
      </w:r>
      <w:r w:rsidR="00FE3EEB">
        <w:t>I</w:t>
      </w:r>
      <w:r w:rsidR="00F37DED">
        <w:t xml:space="preserve">nternet in some place unknown to be accessed with ease by anyone in Australia with </w:t>
      </w:r>
      <w:r w:rsidR="00FE3EEB">
        <w:t>I</w:t>
      </w:r>
      <w:r w:rsidR="00F37DED">
        <w:t>nternet facilities who wishes (or chances) to access it cannot be seen as having carried with them any alteration of principles as to the place of carrying on business developed at times when such communication was unknown. It has never been suggested that someone who by, say, letters posted in another country and addressed to recipients in Australia, seeks to interest those persons in business transactions to be entered into in the other country and in fact succeeds in concluding such transactions with some of them thereby carries on business in Australia, even though, depending on precise circumstances, the solicitation may contravene some other Australian law. There is a need for some physical activity in Australia through human instrumentalities, being activity that itself forms part of the course of conducting business.</w:t>
      </w:r>
    </w:p>
    <w:p w14:paraId="61CCCBD8" w14:textId="20D25B2D" w:rsidR="00F37DED" w:rsidRDefault="00583822" w:rsidP="00B87A81">
      <w:pPr>
        <w:pStyle w:val="Quote1"/>
        <w:widowControl/>
        <w:spacing w:after="0"/>
        <w:ind w:left="1417" w:hanging="680"/>
      </w:pPr>
      <w:r>
        <w:t>[34]</w:t>
      </w:r>
      <w:r>
        <w:tab/>
      </w:r>
      <w:r w:rsidR="00F37DED">
        <w:t xml:space="preserve">Unless there is evidence of activities in Australia of placing material on the </w:t>
      </w:r>
      <w:r w:rsidR="000C6064">
        <w:t>I</w:t>
      </w:r>
      <w:r w:rsidR="00F37DED">
        <w:t xml:space="preserve">nternet or processing and dealing with inquiries or applications received by </w:t>
      </w:r>
      <w:r w:rsidR="000C6064">
        <w:t>I</w:t>
      </w:r>
      <w:r w:rsidR="00F37DED">
        <w:t xml:space="preserve">nternet, the question whether </w:t>
      </w:r>
      <w:proofErr w:type="spellStart"/>
      <w:r w:rsidR="00F37DED">
        <w:t>LifeWealth</w:t>
      </w:r>
      <w:proofErr w:type="spellEnd"/>
      <w:r w:rsidR="00F37DED">
        <w:t xml:space="preserve"> Labuan carried on business in Australia must be addressed by reference to the elements of the evidence that go beyond internet solicitation of persons to be licensees of the </w:t>
      </w:r>
      <w:proofErr w:type="spellStart"/>
      <w:r w:rsidR="00F37DED">
        <w:t>LifeWealth</w:t>
      </w:r>
      <w:proofErr w:type="spellEnd"/>
      <w:r w:rsidR="00F37DED">
        <w:t xml:space="preserve"> 8 simulated stock market game.</w:t>
      </w:r>
    </w:p>
    <w:p w14:paraId="74BF2608" w14:textId="77777777" w:rsidR="00F37DED" w:rsidRPr="00F37DED" w:rsidRDefault="00F37DED" w:rsidP="00F37DED">
      <w:pPr>
        <w:pStyle w:val="Quote1"/>
      </w:pPr>
    </w:p>
    <w:p w14:paraId="09B41710" w14:textId="5D9DBE50" w:rsidR="008322AB" w:rsidRPr="00195A32" w:rsidRDefault="00195A32" w:rsidP="005B032E">
      <w:pPr>
        <w:pStyle w:val="ParaNumbering"/>
      </w:pPr>
      <w:proofErr w:type="spellStart"/>
      <w:r w:rsidRPr="003D4EA5">
        <w:rPr>
          <w:i/>
          <w:szCs w:val="24"/>
        </w:rPr>
        <w:t>Gebo</w:t>
      </w:r>
      <w:proofErr w:type="spellEnd"/>
      <w:r w:rsidRPr="003D4EA5">
        <w:rPr>
          <w:i/>
          <w:szCs w:val="24"/>
        </w:rPr>
        <w:t xml:space="preserve"> Investments </w:t>
      </w:r>
      <w:r w:rsidRPr="003D4EA5">
        <w:rPr>
          <w:szCs w:val="24"/>
        </w:rPr>
        <w:t xml:space="preserve">was considered by a Full Court of this Court in </w:t>
      </w:r>
      <w:r w:rsidRPr="003D4EA5">
        <w:rPr>
          <w:i/>
          <w:szCs w:val="24"/>
        </w:rPr>
        <w:t>Valve Corporation v A</w:t>
      </w:r>
      <w:r w:rsidR="00C40009" w:rsidRPr="003D4EA5">
        <w:rPr>
          <w:i/>
          <w:szCs w:val="24"/>
        </w:rPr>
        <w:t xml:space="preserve">ustralian </w:t>
      </w:r>
      <w:r w:rsidRPr="003D4EA5">
        <w:rPr>
          <w:i/>
          <w:szCs w:val="24"/>
        </w:rPr>
        <w:t>C</w:t>
      </w:r>
      <w:r w:rsidR="00C40009" w:rsidRPr="003D4EA5">
        <w:rPr>
          <w:i/>
          <w:szCs w:val="24"/>
        </w:rPr>
        <w:t>ompetition</w:t>
      </w:r>
      <w:r w:rsidR="00C40009">
        <w:rPr>
          <w:i/>
          <w:sz w:val="23"/>
          <w:szCs w:val="23"/>
        </w:rPr>
        <w:t xml:space="preserve"> </w:t>
      </w:r>
      <w:r w:rsidR="00C40009" w:rsidRPr="003D4EA5">
        <w:rPr>
          <w:i/>
          <w:szCs w:val="24"/>
        </w:rPr>
        <w:t xml:space="preserve">and </w:t>
      </w:r>
      <w:r w:rsidRPr="003D4EA5">
        <w:rPr>
          <w:i/>
          <w:szCs w:val="24"/>
        </w:rPr>
        <w:t>C</w:t>
      </w:r>
      <w:r w:rsidR="00C40009" w:rsidRPr="003D4EA5">
        <w:rPr>
          <w:i/>
          <w:szCs w:val="24"/>
        </w:rPr>
        <w:t xml:space="preserve">onsumer </w:t>
      </w:r>
      <w:r w:rsidRPr="003D4EA5">
        <w:rPr>
          <w:i/>
          <w:szCs w:val="24"/>
        </w:rPr>
        <w:t>C</w:t>
      </w:r>
      <w:r w:rsidR="00C40009" w:rsidRPr="003D4EA5">
        <w:rPr>
          <w:i/>
          <w:szCs w:val="24"/>
        </w:rPr>
        <w:t>ommission</w:t>
      </w:r>
      <w:r w:rsidRPr="003D4EA5">
        <w:rPr>
          <w:szCs w:val="24"/>
        </w:rPr>
        <w:t xml:space="preserve"> (2017) 258 FCR 190 (</w:t>
      </w:r>
      <w:proofErr w:type="spellStart"/>
      <w:r w:rsidRPr="003D4EA5">
        <w:rPr>
          <w:szCs w:val="24"/>
        </w:rPr>
        <w:t>Dowsett</w:t>
      </w:r>
      <w:proofErr w:type="spellEnd"/>
      <w:r w:rsidRPr="003D4EA5">
        <w:rPr>
          <w:szCs w:val="24"/>
        </w:rPr>
        <w:t>, McKerracher and Moshinsky JJ)</w:t>
      </w:r>
      <w:r w:rsidR="006F63E6" w:rsidRPr="003D4EA5">
        <w:rPr>
          <w:szCs w:val="24"/>
        </w:rPr>
        <w:t>.</w:t>
      </w:r>
      <w:r w:rsidRPr="003D4EA5">
        <w:rPr>
          <w:szCs w:val="24"/>
        </w:rPr>
        <w:t xml:space="preserve"> </w:t>
      </w:r>
      <w:r w:rsidR="00D96C8A" w:rsidRPr="003D4EA5">
        <w:rPr>
          <w:szCs w:val="24"/>
        </w:rPr>
        <w:t xml:space="preserve"> </w:t>
      </w:r>
      <w:r w:rsidR="005C0ACF" w:rsidRPr="003D4EA5">
        <w:rPr>
          <w:szCs w:val="24"/>
        </w:rPr>
        <w:t>T</w:t>
      </w:r>
      <w:r w:rsidR="006235B5" w:rsidRPr="003D4EA5">
        <w:rPr>
          <w:szCs w:val="24"/>
        </w:rPr>
        <w:t xml:space="preserve">he </w:t>
      </w:r>
      <w:r w:rsidR="005C0ACF" w:rsidRPr="003D4EA5">
        <w:rPr>
          <w:szCs w:val="24"/>
        </w:rPr>
        <w:t xml:space="preserve">Full </w:t>
      </w:r>
      <w:r w:rsidRPr="003D4EA5">
        <w:rPr>
          <w:szCs w:val="24"/>
        </w:rPr>
        <w:t xml:space="preserve">Court </w:t>
      </w:r>
      <w:r w:rsidR="005C0ACF" w:rsidRPr="003D4EA5">
        <w:rPr>
          <w:szCs w:val="24"/>
        </w:rPr>
        <w:t>broadly agreed with the observations of Barret J set out above, but did not accept that there was an “inflexible rule” that there was in all cases “</w:t>
      </w:r>
      <w:r w:rsidR="005C0ACF" w:rsidRPr="00B87A81">
        <w:rPr>
          <w:szCs w:val="24"/>
        </w:rPr>
        <w:t xml:space="preserve">a need for some physical activity in Australia through human instrumentalities, being activity that itself forms part of the course of conducting business” as </w:t>
      </w:r>
      <w:r w:rsidR="0021019D">
        <w:rPr>
          <w:szCs w:val="24"/>
        </w:rPr>
        <w:t>was the view expressed by Barrett J</w:t>
      </w:r>
      <w:r w:rsidR="0021019D" w:rsidRPr="00B87A81">
        <w:rPr>
          <w:szCs w:val="24"/>
        </w:rPr>
        <w:t xml:space="preserve"> </w:t>
      </w:r>
      <w:r w:rsidR="005C0ACF" w:rsidRPr="00B87A81">
        <w:rPr>
          <w:szCs w:val="24"/>
        </w:rPr>
        <w:t xml:space="preserve">in </w:t>
      </w:r>
      <w:proofErr w:type="spellStart"/>
      <w:r w:rsidR="005C0ACF" w:rsidRPr="00B87A81">
        <w:rPr>
          <w:i/>
          <w:szCs w:val="24"/>
        </w:rPr>
        <w:t>Gebo</w:t>
      </w:r>
      <w:proofErr w:type="spellEnd"/>
      <w:r w:rsidR="005C0ACF" w:rsidRPr="00B87A81">
        <w:rPr>
          <w:i/>
          <w:szCs w:val="24"/>
        </w:rPr>
        <w:t xml:space="preserve"> Investments</w:t>
      </w:r>
      <w:r w:rsidR="005C0ACF" w:rsidRPr="00B87A81">
        <w:rPr>
          <w:szCs w:val="24"/>
        </w:rPr>
        <w:t xml:space="preserve"> at [33].  After summarising the passages of </w:t>
      </w:r>
      <w:proofErr w:type="spellStart"/>
      <w:r w:rsidR="005C0ACF" w:rsidRPr="00B87A81">
        <w:rPr>
          <w:i/>
          <w:szCs w:val="24"/>
        </w:rPr>
        <w:t>Gebo</w:t>
      </w:r>
      <w:proofErr w:type="spellEnd"/>
      <w:r w:rsidR="005C0ACF" w:rsidRPr="00B87A81">
        <w:rPr>
          <w:i/>
          <w:szCs w:val="24"/>
        </w:rPr>
        <w:t xml:space="preserve"> Investments </w:t>
      </w:r>
      <w:r w:rsidR="005C0ACF" w:rsidRPr="00B87A81">
        <w:rPr>
          <w:szCs w:val="24"/>
        </w:rPr>
        <w:t>set out above, the Full Court stated</w:t>
      </w:r>
      <w:r w:rsidRPr="003D4EA5">
        <w:rPr>
          <w:szCs w:val="24"/>
        </w:rPr>
        <w:t>:</w:t>
      </w:r>
    </w:p>
    <w:p w14:paraId="741AAD9C" w14:textId="29D5D984" w:rsidR="00BF36F5" w:rsidRDefault="00583822" w:rsidP="00583822">
      <w:pPr>
        <w:pStyle w:val="Quote1"/>
        <w:ind w:left="1418" w:hanging="681"/>
      </w:pPr>
      <w:r>
        <w:t>[148]</w:t>
      </w:r>
      <w:r>
        <w:tab/>
      </w:r>
      <w:r w:rsidR="00BF36F5">
        <w:t>His Honour concluded (at [34]) that, unless there was evidence of activities in Australia of placing material on the internet, or processing and dealing with inquiries or applications received by internet, the question whether the relevant company (</w:t>
      </w:r>
      <w:proofErr w:type="spellStart"/>
      <w:r w:rsidR="00BF36F5">
        <w:t>LifeWealth</w:t>
      </w:r>
      <w:proofErr w:type="spellEnd"/>
      <w:r w:rsidR="00BF36F5">
        <w:t xml:space="preserve"> Labuan) carried on business in Australia needed to be addressed by reference to the elements of the evidence that went beyond internet solicitation of persons to be licensees. (His Honour then went on to consider those other facts and matters, concluding (at [113]) that </w:t>
      </w:r>
      <w:proofErr w:type="spellStart"/>
      <w:r w:rsidR="00BF36F5">
        <w:t>LifeWealth</w:t>
      </w:r>
      <w:proofErr w:type="spellEnd"/>
      <w:r w:rsidR="00BF36F5">
        <w:t xml:space="preserve"> Labuan carried on business in Australia.)</w:t>
      </w:r>
    </w:p>
    <w:p w14:paraId="31A953E3" w14:textId="75641EDC" w:rsidR="00BF36F5" w:rsidRDefault="00583822" w:rsidP="00583822">
      <w:pPr>
        <w:pStyle w:val="Quote1"/>
        <w:spacing w:after="0"/>
        <w:ind w:left="1418" w:hanging="681"/>
      </w:pPr>
      <w:r>
        <w:t>[149]</w:t>
      </w:r>
      <w:r>
        <w:tab/>
      </w:r>
      <w:r w:rsidR="00BF36F5" w:rsidRPr="00BF36F5">
        <w:t xml:space="preserve">Although </w:t>
      </w:r>
      <w:proofErr w:type="spellStart"/>
      <w:r w:rsidR="00BF36F5" w:rsidRPr="00BF36F5">
        <w:rPr>
          <w:i/>
          <w:iCs/>
        </w:rPr>
        <w:t>Gebo</w:t>
      </w:r>
      <w:proofErr w:type="spellEnd"/>
      <w:r w:rsidR="00BF36F5" w:rsidRPr="00BF36F5">
        <w:rPr>
          <w:i/>
          <w:iCs/>
        </w:rPr>
        <w:t xml:space="preserve"> Investments </w:t>
      </w:r>
      <w:r w:rsidR="00BF36F5" w:rsidRPr="00BF36F5">
        <w:t>concerned dif</w:t>
      </w:r>
      <w:r w:rsidR="00BF36F5">
        <w:t xml:space="preserve">ferent statutory provisions, we </w:t>
      </w:r>
      <w:r w:rsidR="00BF36F5" w:rsidRPr="00BF36F5">
        <w:t>consider the discussion of principles regarding carrying on business generally to</w:t>
      </w:r>
      <w:r w:rsidR="00BF36F5">
        <w:t xml:space="preserve"> </w:t>
      </w:r>
      <w:r w:rsidR="00BF36F5" w:rsidRPr="00BF36F5">
        <w:t>be of assistance for present purposes. We do not, however, see the reference to</w:t>
      </w:r>
      <w:r w:rsidR="00BF36F5">
        <w:t xml:space="preserve"> </w:t>
      </w:r>
      <w:r w:rsidR="0059361E">
        <w:t>“</w:t>
      </w:r>
      <w:r w:rsidR="00BF36F5" w:rsidRPr="00BF36F5">
        <w:t>human instrumentalities</w:t>
      </w:r>
      <w:r w:rsidR="0059361E">
        <w:t>”</w:t>
      </w:r>
      <w:r w:rsidR="00BF36F5" w:rsidRPr="00BF36F5">
        <w:t xml:space="preserve"> in the last sentence of [33] as laying down an</w:t>
      </w:r>
      <w:r w:rsidR="00BF36F5">
        <w:t xml:space="preserve"> </w:t>
      </w:r>
      <w:r w:rsidR="00BF36F5" w:rsidRPr="00BF36F5">
        <w:t>inflexible rule or condition as to the circumstances in which an overseas</w:t>
      </w:r>
      <w:r w:rsidR="00BF36F5">
        <w:t xml:space="preserve"> </w:t>
      </w:r>
      <w:r w:rsidR="00BF36F5" w:rsidRPr="00BF36F5">
        <w:t>company may be taken to be carrying on business in Australia. We would</w:t>
      </w:r>
      <w:r w:rsidR="00BF36F5">
        <w:t xml:space="preserve"> </w:t>
      </w:r>
      <w:r w:rsidR="00BF36F5" w:rsidRPr="00BF36F5">
        <w:t xml:space="preserve">instead place emphasis on the statement at [31] of </w:t>
      </w:r>
      <w:proofErr w:type="spellStart"/>
      <w:r w:rsidR="00BF36F5" w:rsidRPr="00BF36F5">
        <w:rPr>
          <w:i/>
          <w:iCs/>
        </w:rPr>
        <w:t>Gebo</w:t>
      </w:r>
      <w:proofErr w:type="spellEnd"/>
      <w:r w:rsidR="00BF36F5" w:rsidRPr="00BF36F5">
        <w:rPr>
          <w:i/>
          <w:iCs/>
        </w:rPr>
        <w:t xml:space="preserve"> Investments </w:t>
      </w:r>
      <w:r w:rsidR="00BF36F5" w:rsidRPr="00BF36F5">
        <w:t>that the</w:t>
      </w:r>
      <w:r w:rsidR="00BF36F5">
        <w:t xml:space="preserve"> </w:t>
      </w:r>
      <w:r w:rsidR="00BF36F5" w:rsidRPr="00BF36F5">
        <w:t>case law makes clear that the territorial concept of carrying on business</w:t>
      </w:r>
      <w:r w:rsidR="00BF36F5">
        <w:t xml:space="preserve"> </w:t>
      </w:r>
      <w:r w:rsidR="00BF36F5" w:rsidRPr="00BF36F5">
        <w:t>involves acts within the relevant territory that amount to, or are ancillary to,</w:t>
      </w:r>
      <w:r w:rsidR="00BF36F5">
        <w:t xml:space="preserve"> </w:t>
      </w:r>
      <w:r w:rsidR="00BF36F5" w:rsidRPr="00BF36F5">
        <w:t>transactions that make up or support the business.</w:t>
      </w:r>
    </w:p>
    <w:p w14:paraId="313E180D" w14:textId="77777777" w:rsidR="00BF36F5" w:rsidRDefault="00BF36F5" w:rsidP="00BF36F5">
      <w:pPr>
        <w:pStyle w:val="Quote1"/>
      </w:pPr>
    </w:p>
    <w:p w14:paraId="690A13CB" w14:textId="0866A52B" w:rsidR="00195A32" w:rsidRDefault="009D2451" w:rsidP="005B032E">
      <w:pPr>
        <w:pStyle w:val="ParaNumbering"/>
      </w:pPr>
      <w:r>
        <w:t xml:space="preserve">Facebook </w:t>
      </w:r>
      <w:proofErr w:type="spellStart"/>
      <w:r>
        <w:t>Inc</w:t>
      </w:r>
      <w:proofErr w:type="spellEnd"/>
      <w:r>
        <w:t xml:space="preserve"> submitted that the </w:t>
      </w:r>
      <w:r w:rsidR="0059361E">
        <w:t>“</w:t>
      </w:r>
      <w:r>
        <w:t>installing</w:t>
      </w:r>
      <w:r w:rsidR="0059361E">
        <w:t>”</w:t>
      </w:r>
      <w:r>
        <w:t xml:space="preserve"> of a cookie involves, as a matter of substance, a communication of data uploaded overseas </w:t>
      </w:r>
      <w:r w:rsidR="005C0ACF">
        <w:t xml:space="preserve">which is then </w:t>
      </w:r>
      <w:r>
        <w:t>downloaded</w:t>
      </w:r>
      <w:r w:rsidR="007303FE">
        <w:t xml:space="preserve"> by a user</w:t>
      </w:r>
      <w:r>
        <w:t xml:space="preserve"> in Australia.  </w:t>
      </w:r>
      <w:r w:rsidR="007303FE">
        <w:t xml:space="preserve">It submitted that </w:t>
      </w:r>
      <w:r w:rsidR="005C0ACF">
        <w:t xml:space="preserve">this was insufficient for a conclusion on the relevant prima facie basis that Facebook </w:t>
      </w:r>
      <w:proofErr w:type="spellStart"/>
      <w:r w:rsidR="005C0ACF">
        <w:t>Inc</w:t>
      </w:r>
      <w:proofErr w:type="spellEnd"/>
      <w:r w:rsidR="005C0ACF">
        <w:t xml:space="preserve"> carried on business in Australia</w:t>
      </w:r>
      <w:r>
        <w:t>.</w:t>
      </w:r>
    </w:p>
    <w:p w14:paraId="71DA45BD" w14:textId="7E6CCCE1" w:rsidR="004D3F7F" w:rsidRDefault="00BD73A8" w:rsidP="005B032E">
      <w:pPr>
        <w:pStyle w:val="ParaNumbering"/>
      </w:pPr>
      <w:r>
        <w:t xml:space="preserve">The observations made in </w:t>
      </w:r>
      <w:proofErr w:type="spellStart"/>
      <w:r>
        <w:rPr>
          <w:i/>
        </w:rPr>
        <w:t>Gebo</w:t>
      </w:r>
      <w:proofErr w:type="spellEnd"/>
      <w:r>
        <w:rPr>
          <w:i/>
        </w:rPr>
        <w:t xml:space="preserve"> Investments</w:t>
      </w:r>
      <w:r>
        <w:t>,</w:t>
      </w:r>
      <w:r>
        <w:rPr>
          <w:i/>
        </w:rPr>
        <w:t xml:space="preserve"> </w:t>
      </w:r>
      <w:r>
        <w:t>and the partial explanation of aspects of the</w:t>
      </w:r>
      <w:r w:rsidR="006235B5">
        <w:t xml:space="preserve"> internet and the</w:t>
      </w:r>
      <w:r>
        <w:t xml:space="preserve"> World Wide Web extracted by Barrett J from the High Court’s decision in </w:t>
      </w:r>
      <w:r w:rsidRPr="00F37DED">
        <w:rPr>
          <w:i/>
        </w:rPr>
        <w:t xml:space="preserve">Dow Jones </w:t>
      </w:r>
      <w:r>
        <w:rPr>
          <w:i/>
        </w:rPr>
        <w:t xml:space="preserve">v </w:t>
      </w:r>
      <w:proofErr w:type="spellStart"/>
      <w:r w:rsidRPr="003D4EA5">
        <w:rPr>
          <w:i/>
        </w:rPr>
        <w:t>Gutnick</w:t>
      </w:r>
      <w:proofErr w:type="spellEnd"/>
      <w:r>
        <w:rPr>
          <w:i/>
        </w:rPr>
        <w:t xml:space="preserve"> </w:t>
      </w:r>
      <w:r w:rsidRPr="00CE4BBF">
        <w:t>(2002) 210 CLR 575</w:t>
      </w:r>
      <w:r>
        <w:t>,</w:t>
      </w:r>
      <w:r>
        <w:rPr>
          <w:i/>
        </w:rPr>
        <w:t xml:space="preserve"> </w:t>
      </w:r>
      <w:r>
        <w:t xml:space="preserve">do not </w:t>
      </w:r>
      <w:r w:rsidR="00484298">
        <w:t xml:space="preserve">explain the </w:t>
      </w:r>
      <w:r>
        <w:t xml:space="preserve">data processing activities of Facebook </w:t>
      </w:r>
      <w:proofErr w:type="spellStart"/>
      <w:r>
        <w:t>Inc</w:t>
      </w:r>
      <w:proofErr w:type="spellEnd"/>
      <w:r w:rsidR="004D3F7F">
        <w:t xml:space="preserve">, including its activities in </w:t>
      </w:r>
      <w:r>
        <w:t>installing, operating and removing cookies</w:t>
      </w:r>
      <w:r w:rsidR="004D3F7F">
        <w:t xml:space="preserve"> on Australian users’ devices</w:t>
      </w:r>
      <w:r>
        <w:t xml:space="preserve"> and storing information on </w:t>
      </w:r>
      <w:r w:rsidR="004D3F7F">
        <w:t>those</w:t>
      </w:r>
      <w:r>
        <w:t xml:space="preserve"> devices a</w:t>
      </w:r>
      <w:r w:rsidR="00DC1CA2">
        <w:t xml:space="preserve">nd </w:t>
      </w:r>
      <w:r w:rsidR="004D3F7F">
        <w:t xml:space="preserve">those </w:t>
      </w:r>
      <w:r w:rsidR="00DC1CA2">
        <w:t>users’ browser caches</w:t>
      </w:r>
      <w:r w:rsidR="00484298">
        <w:t>.</w:t>
      </w:r>
      <w:r w:rsidR="00DC1CA2">
        <w:t xml:space="preserve"> </w:t>
      </w:r>
      <w:r w:rsidR="00484298">
        <w:t xml:space="preserve"> </w:t>
      </w:r>
      <w:r w:rsidR="0021019D">
        <w:t xml:space="preserve">I do not accept Facebook </w:t>
      </w:r>
      <w:proofErr w:type="spellStart"/>
      <w:r w:rsidR="0021019D">
        <w:t>Inc’s</w:t>
      </w:r>
      <w:proofErr w:type="spellEnd"/>
      <w:r w:rsidR="0021019D">
        <w:t xml:space="preserve"> submission that </w:t>
      </w:r>
      <w:r w:rsidR="00D06E47">
        <w:t>installing and operating cookies</w:t>
      </w:r>
      <w:r w:rsidR="0021019D">
        <w:t xml:space="preserve"> is to be regarded as</w:t>
      </w:r>
      <w:r w:rsidR="00D06E47">
        <w:t xml:space="preserve"> equivalent to </w:t>
      </w:r>
      <w:r w:rsidR="0021019D">
        <w:t xml:space="preserve">uploading and </w:t>
      </w:r>
      <w:r w:rsidR="00D06E47">
        <w:t xml:space="preserve">downloading a document.  </w:t>
      </w:r>
      <w:r w:rsidR="00C93488">
        <w:t xml:space="preserve">The exact mechanism by which Facebook </w:t>
      </w:r>
      <w:proofErr w:type="spellStart"/>
      <w:r w:rsidR="00C93488">
        <w:t>Inc</w:t>
      </w:r>
      <w:proofErr w:type="spellEnd"/>
      <w:r w:rsidR="00C93488">
        <w:t xml:space="preserve"> install</w:t>
      </w:r>
      <w:r w:rsidR="00DC1CA2">
        <w:t>ed</w:t>
      </w:r>
      <w:r w:rsidR="00C93488">
        <w:t>, operate</w:t>
      </w:r>
      <w:r w:rsidR="00DC1CA2">
        <w:t>d</w:t>
      </w:r>
      <w:r w:rsidR="00C93488">
        <w:t xml:space="preserve"> and remove</w:t>
      </w:r>
      <w:r w:rsidR="00DC1CA2">
        <w:t>d</w:t>
      </w:r>
      <w:r w:rsidR="00C93488">
        <w:t xml:space="preserve"> cookies was not the subject of </w:t>
      </w:r>
      <w:r w:rsidR="00DC1CA2">
        <w:t xml:space="preserve">detailed </w:t>
      </w:r>
      <w:r w:rsidR="00C93488">
        <w:t xml:space="preserve">evidence.  </w:t>
      </w:r>
      <w:r w:rsidR="007303FE">
        <w:t xml:space="preserve">Nor was there evidence specifically directed to the storing of information about Australian users on the devices of those users or in their browser caches. </w:t>
      </w:r>
      <w:r w:rsidR="004D3F7F">
        <w:t xml:space="preserve"> The inference is open that the</w:t>
      </w:r>
      <w:r w:rsidR="00484298">
        <w:t xml:space="preserve"> installing of a cookie, by it being downloaded by an Australian user or otherwise, </w:t>
      </w:r>
      <w:r w:rsidR="004D3F7F">
        <w:t xml:space="preserve">and its subsequent “operation” </w:t>
      </w:r>
      <w:r w:rsidR="00484298">
        <w:t xml:space="preserve">by Facebook </w:t>
      </w:r>
      <w:proofErr w:type="spellStart"/>
      <w:r w:rsidR="00484298">
        <w:t>Inc</w:t>
      </w:r>
      <w:proofErr w:type="spellEnd"/>
      <w:r w:rsidR="00484298">
        <w:t xml:space="preserve"> </w:t>
      </w:r>
      <w:r w:rsidR="00D06E47">
        <w:t xml:space="preserve">once installed, involves activity in Australia, albeit </w:t>
      </w:r>
      <w:r w:rsidR="0021019D">
        <w:t xml:space="preserve">instituted or </w:t>
      </w:r>
      <w:r w:rsidR="00D06E47">
        <w:t>controlled remotely</w:t>
      </w:r>
      <w:r w:rsidR="00484298">
        <w:t xml:space="preserve">.  </w:t>
      </w:r>
    </w:p>
    <w:p w14:paraId="6ADC6878" w14:textId="2E247F15" w:rsidR="003A40F0" w:rsidRDefault="003617EF" w:rsidP="002B4709">
      <w:pPr>
        <w:pStyle w:val="ParaNumbering"/>
      </w:pPr>
      <w:r>
        <w:t>In my view,</w:t>
      </w:r>
      <w:r w:rsidR="00484298">
        <w:t xml:space="preserve"> the Commissioner has discharged her onus of establishing that</w:t>
      </w:r>
      <w:r>
        <w:t xml:space="preserve"> it is arguable</w:t>
      </w:r>
      <w:r w:rsidR="00484298">
        <w:t>,</w:t>
      </w:r>
      <w:r>
        <w:t xml:space="preserve"> and the inference is open to be drawn</w:t>
      </w:r>
      <w:r w:rsidR="00484298">
        <w:t>,</w:t>
      </w:r>
      <w:r>
        <w:t xml:space="preserve"> that some of the</w:t>
      </w:r>
      <w:r w:rsidR="00BD73A8">
        <w:t xml:space="preserve"> data processing</w:t>
      </w:r>
      <w:r>
        <w:t xml:space="preserve"> activities </w:t>
      </w:r>
      <w:r w:rsidR="004D3F7F">
        <w:t xml:space="preserve">carried on by Facebook </w:t>
      </w:r>
      <w:proofErr w:type="spellStart"/>
      <w:r w:rsidR="004D3F7F">
        <w:t>Inc</w:t>
      </w:r>
      <w:proofErr w:type="spellEnd"/>
      <w:r w:rsidR="004D3F7F">
        <w:t xml:space="preserve"> can be regarded as having occurred </w:t>
      </w:r>
      <w:r>
        <w:t>in Australia</w:t>
      </w:r>
      <w:r w:rsidR="00BD73A8">
        <w:t>,</w:t>
      </w:r>
      <w:r w:rsidR="002D787E">
        <w:t xml:space="preserve"> </w:t>
      </w:r>
      <w:r w:rsidR="00BD73A8">
        <w:t xml:space="preserve">notwithstanding that </w:t>
      </w:r>
      <w:r w:rsidR="006235B5">
        <w:t xml:space="preserve">the evidence did not establish that any </w:t>
      </w:r>
      <w:r w:rsidR="00BD73A8">
        <w:t xml:space="preserve">employee of Facebook </w:t>
      </w:r>
      <w:proofErr w:type="spellStart"/>
      <w:r w:rsidR="00BD73A8">
        <w:t>Inc</w:t>
      </w:r>
      <w:proofErr w:type="spellEnd"/>
      <w:r w:rsidR="00BD73A8">
        <w:t xml:space="preserve"> was physically located in Australia</w:t>
      </w:r>
      <w:r>
        <w:t xml:space="preserve">.  </w:t>
      </w:r>
      <w:r w:rsidR="004D3F7F">
        <w:t xml:space="preserve">It is arguable that this is sufficient for a conclusion that Facebook </w:t>
      </w:r>
      <w:proofErr w:type="spellStart"/>
      <w:r w:rsidR="004D3F7F">
        <w:t>Inc</w:t>
      </w:r>
      <w:proofErr w:type="spellEnd"/>
      <w:r w:rsidR="004D3F7F">
        <w:t xml:space="preserve"> carried on business in Australia</w:t>
      </w:r>
      <w:r w:rsidR="00D06E47">
        <w:t xml:space="preserve">.  </w:t>
      </w:r>
      <w:r w:rsidR="0021019D">
        <w:t xml:space="preserve">On Facebook </w:t>
      </w:r>
      <w:proofErr w:type="spellStart"/>
      <w:r w:rsidR="0021019D">
        <w:t>Inc’s</w:t>
      </w:r>
      <w:proofErr w:type="spellEnd"/>
      <w:r w:rsidR="0021019D">
        <w:t xml:space="preserve"> case, its </w:t>
      </w:r>
      <w:r w:rsidR="00D06E47">
        <w:t xml:space="preserve">business was one of providing services to Facebook Ireland </w:t>
      </w:r>
      <w:r w:rsidR="00D844D2">
        <w:t>and</w:t>
      </w:r>
      <w:r w:rsidR="00D06E47">
        <w:t xml:space="preserve"> involved undertaking data processing activities which included operating cookies on the devices of Australian users</w:t>
      </w:r>
      <w:r w:rsidR="004D3F7F">
        <w:t>.</w:t>
      </w:r>
      <w:r w:rsidR="00D06E47">
        <w:t xml:space="preserve">  </w:t>
      </w:r>
      <w:r>
        <w:t xml:space="preserve">Facebook </w:t>
      </w:r>
      <w:proofErr w:type="spellStart"/>
      <w:r>
        <w:t>Inc’s</w:t>
      </w:r>
      <w:proofErr w:type="spellEnd"/>
      <w:r>
        <w:t xml:space="preserve"> argument that the data processing activities were carried out by Facebook </w:t>
      </w:r>
      <w:proofErr w:type="spellStart"/>
      <w:r>
        <w:t>Inc</w:t>
      </w:r>
      <w:proofErr w:type="spellEnd"/>
      <w:r>
        <w:t xml:space="preserve"> for Facebook Ireland</w:t>
      </w:r>
      <w:r w:rsidR="00D06E47">
        <w:t xml:space="preserve"> </w:t>
      </w:r>
      <w:r w:rsidR="00014FC0">
        <w:t xml:space="preserve">says nothing about where Facebook </w:t>
      </w:r>
      <w:proofErr w:type="spellStart"/>
      <w:r w:rsidR="00014FC0">
        <w:t>Inc</w:t>
      </w:r>
      <w:proofErr w:type="spellEnd"/>
      <w:r w:rsidR="00014FC0">
        <w:t xml:space="preserve"> carrie</w:t>
      </w:r>
      <w:r w:rsidR="00D06E47">
        <w:t>d</w:t>
      </w:r>
      <w:r w:rsidR="00014FC0">
        <w:t xml:space="preserve"> on its business of providing services to Facebook Ireland.  It may be accepted that much</w:t>
      </w:r>
      <w:r w:rsidR="00DC1CA2">
        <w:t xml:space="preserve"> or most</w:t>
      </w:r>
      <w:r w:rsidR="00014FC0">
        <w:t xml:space="preserve"> of Facebook </w:t>
      </w:r>
      <w:proofErr w:type="spellStart"/>
      <w:r w:rsidR="00014FC0">
        <w:t>Inc’s</w:t>
      </w:r>
      <w:proofErr w:type="spellEnd"/>
      <w:r w:rsidR="00014FC0">
        <w:t xml:space="preserve"> business activities in so far as </w:t>
      </w:r>
      <w:r w:rsidR="0021019D">
        <w:t xml:space="preserve">those activities related </w:t>
      </w:r>
      <w:r w:rsidR="00014FC0">
        <w:t xml:space="preserve">to data processing </w:t>
      </w:r>
      <w:r w:rsidR="00CC0363">
        <w:t xml:space="preserve">were </w:t>
      </w:r>
      <w:r w:rsidR="00014FC0">
        <w:t>carried on in the U</w:t>
      </w:r>
      <w:r w:rsidR="00CC0363">
        <w:t>nited States</w:t>
      </w:r>
      <w:r w:rsidR="00014FC0">
        <w:t xml:space="preserve">.  </w:t>
      </w:r>
      <w:r w:rsidR="0021019D">
        <w:t>However, i</w:t>
      </w:r>
      <w:r w:rsidR="00014FC0">
        <w:t xml:space="preserve">t is also </w:t>
      </w:r>
      <w:r w:rsidR="00DC1CA2">
        <w:t xml:space="preserve">sufficiently </w:t>
      </w:r>
      <w:r w:rsidR="00014FC0">
        <w:t>arguable</w:t>
      </w:r>
      <w:r w:rsidR="00DC1CA2">
        <w:t xml:space="preserve"> for the purpose of granting leave to serve out of</w:t>
      </w:r>
      <w:r w:rsidR="0021019D">
        <w:t xml:space="preserve"> the</w:t>
      </w:r>
      <w:r w:rsidR="00DC1CA2">
        <w:t xml:space="preserve"> jurisdiction</w:t>
      </w:r>
      <w:r w:rsidR="00014FC0">
        <w:t xml:space="preserve"> that parts of its </w:t>
      </w:r>
      <w:r w:rsidR="00DC1CA2">
        <w:t xml:space="preserve">business </w:t>
      </w:r>
      <w:r w:rsidR="00014FC0">
        <w:t>activit</w:t>
      </w:r>
      <w:r w:rsidR="00DC1CA2">
        <w:t xml:space="preserve">y in providing a service to Facebook Ireland </w:t>
      </w:r>
      <w:r w:rsidR="00C926E1">
        <w:t xml:space="preserve">were </w:t>
      </w:r>
      <w:r w:rsidR="00DC1CA2">
        <w:t>carried on</w:t>
      </w:r>
      <w:r w:rsidR="00014FC0">
        <w:t xml:space="preserve"> in Australia.  </w:t>
      </w:r>
    </w:p>
    <w:p w14:paraId="0330A3C3" w14:textId="1275AC6F" w:rsidR="00C93488" w:rsidRDefault="00014FC0" w:rsidP="00DC1CA2">
      <w:pPr>
        <w:pStyle w:val="ParaNumbering"/>
      </w:pPr>
      <w:bookmarkStart w:id="35" w:name="_Ref50713984"/>
      <w:r>
        <w:lastRenderedPageBreak/>
        <w:t xml:space="preserve">It is relevant to note in this context that Facebook </w:t>
      </w:r>
      <w:proofErr w:type="spellStart"/>
      <w:r>
        <w:t>Inc</w:t>
      </w:r>
      <w:proofErr w:type="spellEnd"/>
      <w:r>
        <w:t xml:space="preserve"> perform</w:t>
      </w:r>
      <w:r w:rsidR="00CC0363">
        <w:t xml:space="preserve">ed </w:t>
      </w:r>
      <w:r>
        <w:t>the data processing</w:t>
      </w:r>
      <w:r w:rsidR="00CC0363">
        <w:t xml:space="preserve"> for all users, wherever situated</w:t>
      </w:r>
      <w:r>
        <w:t xml:space="preserve">.  </w:t>
      </w:r>
      <w:r w:rsidR="003A40F0">
        <w:t xml:space="preserve">The Facebook service links users all over the world.  </w:t>
      </w:r>
      <w:r>
        <w:t xml:space="preserve">Facebook </w:t>
      </w:r>
      <w:proofErr w:type="spellStart"/>
      <w:r>
        <w:t>Inc</w:t>
      </w:r>
      <w:proofErr w:type="spellEnd"/>
      <w:r>
        <w:t xml:space="preserve"> contracted with North American users and those users authorised Facebook </w:t>
      </w:r>
      <w:proofErr w:type="spellStart"/>
      <w:r>
        <w:t>Inc</w:t>
      </w:r>
      <w:proofErr w:type="spellEnd"/>
      <w:r>
        <w:t xml:space="preserve"> to install, operate and remove cookies.  </w:t>
      </w:r>
      <w:r w:rsidR="003A40F0">
        <w:t xml:space="preserve">Other users authorised Facebook Ireland to do so.  </w:t>
      </w:r>
      <w:r>
        <w:t xml:space="preserve">The uploading of data </w:t>
      </w:r>
      <w:r w:rsidR="00C926E1">
        <w:t xml:space="preserve">to the Facebook website </w:t>
      </w:r>
      <w:r>
        <w:t xml:space="preserve">by a user and the processing of data must occur effectively simultaneously.  Although the Data Transfer and Processing Agreement refers to the “transfer” of data by Facebook Ireland to Facebook </w:t>
      </w:r>
      <w:proofErr w:type="spellStart"/>
      <w:r>
        <w:t>Inc</w:t>
      </w:r>
      <w:proofErr w:type="spellEnd"/>
      <w:r>
        <w:t xml:space="preserve">, it is unrealistic to think that data is first provided </w:t>
      </w:r>
      <w:r w:rsidR="003A40F0">
        <w:t xml:space="preserve">by a non-North American user </w:t>
      </w:r>
      <w:r>
        <w:t xml:space="preserve">to Facebook Ireland and then transferred to Facebook </w:t>
      </w:r>
      <w:proofErr w:type="spellStart"/>
      <w:r>
        <w:t>Inc</w:t>
      </w:r>
      <w:proofErr w:type="spellEnd"/>
      <w:r>
        <w:t xml:space="preserve"> </w:t>
      </w:r>
      <w:r w:rsidR="003A40F0">
        <w:t>where it is</w:t>
      </w:r>
      <w:r w:rsidR="00DC1CA2">
        <w:t xml:space="preserve"> subsequently</w:t>
      </w:r>
      <w:r w:rsidR="003A40F0">
        <w:t xml:space="preserve"> processed</w:t>
      </w:r>
      <w:r>
        <w:t>.</w:t>
      </w:r>
      <w:bookmarkEnd w:id="35"/>
      <w:r w:rsidR="0021019D">
        <w:t xml:space="preserve">  </w:t>
      </w:r>
      <w:r w:rsidR="007110C3">
        <w:t>T</w:t>
      </w:r>
      <w:r w:rsidR="0021019D">
        <w:t>he inference is available</w:t>
      </w:r>
      <w:r w:rsidR="007110C3">
        <w:t xml:space="preserve"> that data uploaded by an Australian user is received instantaneously by Facebook </w:t>
      </w:r>
      <w:proofErr w:type="spellStart"/>
      <w:r w:rsidR="007110C3">
        <w:t>Inc</w:t>
      </w:r>
      <w:proofErr w:type="spellEnd"/>
      <w:r w:rsidR="007110C3">
        <w:t xml:space="preserve"> directly from the user.</w:t>
      </w:r>
    </w:p>
    <w:p w14:paraId="42A65319" w14:textId="5BB1087B" w:rsidR="005F3B32" w:rsidRDefault="000C76BE" w:rsidP="00D8611D">
      <w:pPr>
        <w:pStyle w:val="Heading3"/>
      </w:pPr>
      <w:r>
        <w:t>D</w:t>
      </w:r>
      <w:r w:rsidR="002D341A">
        <w:t xml:space="preserve">.2.3  </w:t>
      </w:r>
      <w:r w:rsidR="005F3B32">
        <w:t>Provision of the Graph API</w:t>
      </w:r>
    </w:p>
    <w:p w14:paraId="01CEC5B2" w14:textId="327BE843" w:rsidR="003A748A" w:rsidRDefault="004D367D" w:rsidP="005F3B32">
      <w:pPr>
        <w:pStyle w:val="ParaNumbering"/>
      </w:pPr>
      <w:r>
        <w:t>As noted at [</w:t>
      </w:r>
      <w:r w:rsidR="00BB61B5">
        <w:fldChar w:fldCharType="begin"/>
      </w:r>
      <w:r w:rsidR="00BB61B5">
        <w:instrText xml:space="preserve"> REF _Ref50128452 \r \h </w:instrText>
      </w:r>
      <w:r w:rsidR="00BB61B5">
        <w:fldChar w:fldCharType="separate"/>
      </w:r>
      <w:r w:rsidR="00872EB6">
        <w:t>110</w:t>
      </w:r>
      <w:r w:rsidR="00BB61B5">
        <w:fldChar w:fldCharType="end"/>
      </w:r>
      <w:r>
        <w:t>] and [</w:t>
      </w:r>
      <w:r>
        <w:fldChar w:fldCharType="begin"/>
      </w:r>
      <w:r>
        <w:instrText xml:space="preserve"> REF _Ref49068734 \r \h </w:instrText>
      </w:r>
      <w:r>
        <w:fldChar w:fldCharType="separate"/>
      </w:r>
      <w:r w:rsidR="00872EB6">
        <w:t>111</w:t>
      </w:r>
      <w:r>
        <w:fldChar w:fldCharType="end"/>
      </w:r>
      <w:r>
        <w:t xml:space="preserve">] above, the Commissioner submitted that the evidence indicated that, in addition to processing operations, Facebook </w:t>
      </w:r>
      <w:proofErr w:type="spellStart"/>
      <w:r>
        <w:t>Inc</w:t>
      </w:r>
      <w:proofErr w:type="spellEnd"/>
      <w:r>
        <w:t xml:space="preserve"> managed the Facebook platform which allowed third party app developers to </w:t>
      </w:r>
      <w:r w:rsidR="005F3B32" w:rsidRPr="005F3B32">
        <w:t>access certain</w:t>
      </w:r>
      <w:r w:rsidR="005F3B32">
        <w:t xml:space="preserve"> </w:t>
      </w:r>
      <w:r w:rsidR="005F3B32" w:rsidRPr="005F3B32">
        <w:t xml:space="preserve">categories of information that </w:t>
      </w:r>
      <w:r w:rsidR="005F3B32">
        <w:t>Australian</w:t>
      </w:r>
      <w:r w:rsidR="005F3B32" w:rsidRPr="005F3B32">
        <w:t xml:space="preserve"> users either uploaded or had access to on the</w:t>
      </w:r>
      <w:r w:rsidR="005F3B32">
        <w:t xml:space="preserve"> </w:t>
      </w:r>
      <w:r w:rsidR="005F3B32" w:rsidRPr="005F3B32">
        <w:t>Facebook service</w:t>
      </w:r>
      <w:r w:rsidR="005F3B32">
        <w:t xml:space="preserve">.  </w:t>
      </w:r>
    </w:p>
    <w:p w14:paraId="7482E872" w14:textId="0C2E754B" w:rsidR="003A748A" w:rsidRDefault="005F3B32" w:rsidP="005B032E">
      <w:pPr>
        <w:pStyle w:val="ParaNumbering"/>
      </w:pPr>
      <w:r>
        <w:t>The Commissioner referred to the evidence which disclosed that there were Australian-based app developers which were accessing the Graph API</w:t>
      </w:r>
      <w:r w:rsidR="00064006">
        <w:t xml:space="preserve"> </w:t>
      </w:r>
      <w:r>
        <w:t xml:space="preserve">to which Facebook provided the service.  As noted in </w:t>
      </w:r>
      <w:r w:rsidRPr="00E258E6">
        <w:rPr>
          <w:i/>
        </w:rPr>
        <w:t>Facebook No 1</w:t>
      </w:r>
      <w:r>
        <w:t xml:space="preserve"> at [46], t</w:t>
      </w:r>
      <w:r w:rsidRPr="007F7089">
        <w:t xml:space="preserve">he Commissioner summarised the </w:t>
      </w:r>
      <w:r>
        <w:t xml:space="preserve">significance of the Graph API in the following way </w:t>
      </w:r>
      <w:r w:rsidRPr="007F7089">
        <w:t>(footnotes omitted):</w:t>
      </w:r>
    </w:p>
    <w:p w14:paraId="5D1C52C1" w14:textId="77777777" w:rsidR="004D367D" w:rsidRPr="007F7089" w:rsidRDefault="004D367D" w:rsidP="004D367D">
      <w:pPr>
        <w:pStyle w:val="Quote1"/>
        <w:keepNext/>
        <w:rPr>
          <w:b/>
        </w:rPr>
      </w:pPr>
      <w:r w:rsidRPr="006E3277">
        <w:rPr>
          <w:b/>
        </w:rPr>
        <w:t xml:space="preserve">(6) </w:t>
      </w:r>
      <w:r w:rsidRPr="006E3277">
        <w:rPr>
          <w:b/>
        </w:rPr>
        <w:tab/>
      </w:r>
      <w:r w:rsidRPr="007F7089">
        <w:rPr>
          <w:b/>
        </w:rPr>
        <w:t>The Graph API and Facebook Login (Statement of Claim</w:t>
      </w:r>
      <w:r w:rsidRPr="007F7089">
        <w:rPr>
          <w:b/>
          <w:spacing w:val="-7"/>
        </w:rPr>
        <w:t xml:space="preserve"> </w:t>
      </w:r>
      <w:r w:rsidRPr="007F7089">
        <w:rPr>
          <w:b/>
        </w:rPr>
        <w:t>[25]-[38])</w:t>
      </w:r>
    </w:p>
    <w:p w14:paraId="229F91E7" w14:textId="5232141B" w:rsidR="004D367D" w:rsidRPr="007F7089" w:rsidRDefault="004D367D" w:rsidP="005F3B32">
      <w:pPr>
        <w:pStyle w:val="Quote1"/>
        <w:widowControl/>
        <w:ind w:left="1417" w:hanging="680"/>
      </w:pPr>
      <w:r w:rsidRPr="007F7089">
        <w:t>23.</w:t>
      </w:r>
      <w:r w:rsidRPr="007F7089">
        <w:tab/>
        <w:t>During the Relevant Period, apps could request personal information from Users</w:t>
      </w:r>
      <w:r w:rsidR="0059361E">
        <w:t>’</w:t>
      </w:r>
      <w:r w:rsidRPr="007F7089">
        <w:t xml:space="preserve"> Facebook Accounts using a tool called the Graph Application Programming Interface (</w:t>
      </w:r>
      <w:r w:rsidRPr="007F7089">
        <w:rPr>
          <w:b/>
        </w:rPr>
        <w:t>Graph API</w:t>
      </w:r>
      <w:r w:rsidRPr="007F7089">
        <w:t>). The Graph API allowed apps to create a link or interface between the Facebook Website</w:t>
      </w:r>
      <w:r w:rsidR="0059361E">
        <w:t>’</w:t>
      </w:r>
      <w:r w:rsidRPr="007F7089">
        <w:t xml:space="preserve">s </w:t>
      </w:r>
      <w:r w:rsidR="0059361E">
        <w:t>“</w:t>
      </w:r>
      <w:r w:rsidRPr="007F7089">
        <w:t>social graph</w:t>
      </w:r>
      <w:r w:rsidR="0059361E">
        <w:t>”</w:t>
      </w:r>
      <w:r w:rsidRPr="007F7089">
        <w:t xml:space="preserve"> (being the network of connections through which Users communicated information on the Facebook Website) and the app.</w:t>
      </w:r>
      <w:r w:rsidRPr="007F7089">
        <w:rPr>
          <w:spacing w:val="13"/>
          <w:position w:val="6"/>
          <w:sz w:val="13"/>
        </w:rPr>
        <w:t xml:space="preserve"> </w:t>
      </w:r>
      <w:r w:rsidRPr="007F7089">
        <w:t>Version 1 of the Graph API was in place during the Relevant Period (</w:t>
      </w:r>
      <w:r w:rsidRPr="007F7089">
        <w:rPr>
          <w:b/>
        </w:rPr>
        <w:t>Graph API</w:t>
      </w:r>
      <w:r w:rsidRPr="007F7089">
        <w:rPr>
          <w:b/>
          <w:spacing w:val="-10"/>
        </w:rPr>
        <w:t xml:space="preserve"> </w:t>
      </w:r>
      <w:r w:rsidRPr="007F7089">
        <w:rPr>
          <w:b/>
        </w:rPr>
        <w:t>V1</w:t>
      </w:r>
      <w:r w:rsidRPr="007F7089">
        <w:t>).</w:t>
      </w:r>
    </w:p>
    <w:p w14:paraId="5EAD11F3" w14:textId="3E048185" w:rsidR="004D367D" w:rsidRPr="007F7089" w:rsidRDefault="004D367D" w:rsidP="005F3B32">
      <w:pPr>
        <w:pStyle w:val="Quote1"/>
        <w:widowControl/>
        <w:ind w:left="1417" w:hanging="680"/>
      </w:pPr>
      <w:r w:rsidRPr="007F7089">
        <w:t>24.</w:t>
      </w:r>
      <w:r w:rsidRPr="007F7089">
        <w:tab/>
        <w:t xml:space="preserve">The link or interface between the Facebook Website and the app was facilitated by a further tool known as </w:t>
      </w:r>
      <w:r w:rsidR="0059361E">
        <w:t>“</w:t>
      </w:r>
      <w:r w:rsidRPr="007F7089">
        <w:t>Facebook Login</w:t>
      </w:r>
      <w:r w:rsidR="0059361E">
        <w:t>”</w:t>
      </w:r>
      <w:r w:rsidRPr="007F7089">
        <w:t>. This allowed an installer of an app (</w:t>
      </w:r>
      <w:r w:rsidRPr="007F7089">
        <w:rPr>
          <w:b/>
        </w:rPr>
        <w:t>Installer</w:t>
      </w:r>
      <w:r w:rsidRPr="007F7089">
        <w:t>) to utilise their Facebook account credentials (username and password) to login to an app. Where an Installer did so, a screen or page would appear on the app</w:t>
      </w:r>
      <w:r w:rsidRPr="007F7089">
        <w:rPr>
          <w:spacing w:val="30"/>
        </w:rPr>
        <w:t xml:space="preserve"> </w:t>
      </w:r>
      <w:r w:rsidRPr="007F7089">
        <w:t xml:space="preserve">requesting </w:t>
      </w:r>
      <w:r w:rsidRPr="007F7089">
        <w:rPr>
          <w:lang w:bidi="en-AU"/>
        </w:rPr>
        <w:t>the Installer</w:t>
      </w:r>
      <w:r w:rsidR="0059361E">
        <w:rPr>
          <w:lang w:bidi="en-AU"/>
        </w:rPr>
        <w:t>’</w:t>
      </w:r>
      <w:r w:rsidRPr="007F7089">
        <w:rPr>
          <w:lang w:bidi="en-AU"/>
        </w:rPr>
        <w:t>s permission for the app to request, through the Graph API, certain categories of the User</w:t>
      </w:r>
      <w:r w:rsidR="0059361E">
        <w:rPr>
          <w:lang w:bidi="en-AU"/>
        </w:rPr>
        <w:t>’</w:t>
      </w:r>
      <w:r w:rsidRPr="007F7089">
        <w:rPr>
          <w:lang w:bidi="en-AU"/>
        </w:rPr>
        <w:t>s personal information as that User had provided to the Facebook Website (</w:t>
      </w:r>
      <w:r w:rsidRPr="007F7089">
        <w:rPr>
          <w:b/>
          <w:lang w:bidi="en-AU"/>
        </w:rPr>
        <w:t>Permission Request</w:t>
      </w:r>
      <w:r w:rsidRPr="007F7089">
        <w:rPr>
          <w:lang w:bidi="en-AU"/>
        </w:rPr>
        <w:t>).</w:t>
      </w:r>
    </w:p>
    <w:p w14:paraId="3096789C" w14:textId="4D75486B" w:rsidR="004D367D" w:rsidRPr="007F7089" w:rsidRDefault="004D367D" w:rsidP="005F3B32">
      <w:pPr>
        <w:pStyle w:val="Quote1"/>
        <w:widowControl/>
        <w:ind w:left="1417" w:hanging="680"/>
      </w:pPr>
      <w:r w:rsidRPr="007F7089">
        <w:rPr>
          <w:lang w:bidi="en-AU"/>
        </w:rPr>
        <w:t>25.</w:t>
      </w:r>
      <w:r w:rsidRPr="007F7089">
        <w:rPr>
          <w:lang w:bidi="en-AU"/>
        </w:rPr>
        <w:tab/>
        <w:t xml:space="preserve">Through the Graph API V1, an app could request a wide range of information about not only those Installers who had responded to Permission Requests, but </w:t>
      </w:r>
      <w:r w:rsidRPr="007F7089">
        <w:rPr>
          <w:i/>
          <w:lang w:bidi="en-AU"/>
        </w:rPr>
        <w:t xml:space="preserve">also </w:t>
      </w:r>
      <w:r w:rsidRPr="007F7089">
        <w:rPr>
          <w:lang w:bidi="en-AU"/>
        </w:rPr>
        <w:t>their Facebook friends who had not installed the app (</w:t>
      </w:r>
      <w:r w:rsidRPr="007F7089">
        <w:rPr>
          <w:b/>
          <w:lang w:bidi="en-AU"/>
        </w:rPr>
        <w:t>Friends</w:t>
      </w:r>
      <w:r w:rsidRPr="007F7089">
        <w:rPr>
          <w:lang w:bidi="en-AU"/>
        </w:rPr>
        <w:t xml:space="preserve">). This included requests for sensitive information. In response to a request from an </w:t>
      </w:r>
      <w:r w:rsidRPr="007F7089">
        <w:rPr>
          <w:lang w:bidi="en-AU"/>
        </w:rPr>
        <w:lastRenderedPageBreak/>
        <w:t>app, the Respondents disclosed information about Installers and their Friends to the app, subject to the User</w:t>
      </w:r>
      <w:r w:rsidR="0059361E">
        <w:rPr>
          <w:lang w:bidi="en-AU"/>
        </w:rPr>
        <w:t>’</w:t>
      </w:r>
      <w:r w:rsidRPr="007F7089">
        <w:rPr>
          <w:lang w:bidi="en-AU"/>
        </w:rPr>
        <w:t>s privacy settings on the Facebook Website … However, a User</w:t>
      </w:r>
      <w:r w:rsidR="0059361E">
        <w:rPr>
          <w:lang w:bidi="en-AU"/>
        </w:rPr>
        <w:t>’</w:t>
      </w:r>
      <w:r w:rsidRPr="007F7089">
        <w:rPr>
          <w:lang w:bidi="en-AU"/>
        </w:rPr>
        <w:t xml:space="preserve">s </w:t>
      </w:r>
      <w:r w:rsidR="0059361E">
        <w:rPr>
          <w:lang w:bidi="en-AU"/>
        </w:rPr>
        <w:t>“</w:t>
      </w:r>
      <w:r w:rsidRPr="007F7089">
        <w:rPr>
          <w:lang w:bidi="en-AU"/>
        </w:rPr>
        <w:t>privacy settings</w:t>
      </w:r>
      <w:r w:rsidR="0059361E">
        <w:rPr>
          <w:lang w:bidi="en-AU"/>
        </w:rPr>
        <w:t>”</w:t>
      </w:r>
      <w:r w:rsidRPr="007F7089">
        <w:rPr>
          <w:lang w:bidi="en-AU"/>
        </w:rPr>
        <w:t xml:space="preserve"> did not alone control how a User</w:t>
      </w:r>
      <w:r w:rsidR="0059361E">
        <w:rPr>
          <w:lang w:bidi="en-AU"/>
        </w:rPr>
        <w:t>’</w:t>
      </w:r>
      <w:r w:rsidRPr="007F7089">
        <w:rPr>
          <w:lang w:bidi="en-AU"/>
        </w:rPr>
        <w:t>s personal information was shared with apps, including apps installed by Users</w:t>
      </w:r>
      <w:r w:rsidR="0059361E">
        <w:rPr>
          <w:lang w:bidi="en-AU"/>
        </w:rPr>
        <w:t>’</w:t>
      </w:r>
      <w:r w:rsidRPr="007F7089">
        <w:rPr>
          <w:lang w:bidi="en-AU"/>
        </w:rPr>
        <w:t xml:space="preserve"> Friends. Unless a User modified their </w:t>
      </w:r>
      <w:r w:rsidR="0059361E">
        <w:rPr>
          <w:lang w:bidi="en-AU"/>
        </w:rPr>
        <w:t>“</w:t>
      </w:r>
      <w:r w:rsidRPr="007F7089">
        <w:rPr>
          <w:lang w:bidi="en-AU"/>
        </w:rPr>
        <w:t>app settings</w:t>
      </w:r>
      <w:r w:rsidR="0059361E">
        <w:rPr>
          <w:lang w:bidi="en-AU"/>
        </w:rPr>
        <w:t>”</w:t>
      </w:r>
      <w:r w:rsidRPr="007F7089">
        <w:rPr>
          <w:lang w:bidi="en-AU"/>
        </w:rPr>
        <w:t>, various categories of the User</w:t>
      </w:r>
      <w:r w:rsidR="0059361E">
        <w:rPr>
          <w:lang w:bidi="en-AU"/>
        </w:rPr>
        <w:t>’</w:t>
      </w:r>
      <w:r w:rsidRPr="007F7089">
        <w:rPr>
          <w:lang w:bidi="en-AU"/>
        </w:rPr>
        <w:t>s personal information, including sensitive information, would be disclosed to apps installed by their Friends by default …</w:t>
      </w:r>
    </w:p>
    <w:p w14:paraId="179DD0A4" w14:textId="7C087BF4" w:rsidR="004D367D" w:rsidRPr="007F7089" w:rsidRDefault="004D367D" w:rsidP="005F3B32">
      <w:pPr>
        <w:pStyle w:val="Quote1"/>
        <w:widowControl/>
        <w:ind w:left="1417" w:hanging="680"/>
      </w:pPr>
      <w:r w:rsidRPr="007F7089">
        <w:rPr>
          <w:lang w:bidi="en-AU"/>
        </w:rPr>
        <w:t>26.</w:t>
      </w:r>
      <w:r w:rsidRPr="007F7089">
        <w:rPr>
          <w:lang w:bidi="en-AU"/>
        </w:rPr>
        <w:tab/>
        <w:t>Although the Respondents had in place terms and conditions about what kinds of information an app could request (see the Platform Policy, the relevant terms of which are pleaded at [35] of the Statement of Claim), the Respondents relied upon app developers</w:t>
      </w:r>
      <w:r w:rsidR="0059361E">
        <w:rPr>
          <w:lang w:bidi="en-AU"/>
        </w:rPr>
        <w:t>’</w:t>
      </w:r>
      <w:r w:rsidRPr="007F7089">
        <w:rPr>
          <w:lang w:bidi="en-AU"/>
        </w:rPr>
        <w:t xml:space="preserve"> self-assessment that an app complied with these rules. In particular, as is alleged at [36] of the Statement of Claim, the Respondents did not have in place any procedures to approve an app</w:t>
      </w:r>
      <w:r w:rsidR="0059361E">
        <w:rPr>
          <w:lang w:bidi="en-AU"/>
        </w:rPr>
        <w:t>’</w:t>
      </w:r>
      <w:r w:rsidRPr="007F7089">
        <w:rPr>
          <w:lang w:bidi="en-AU"/>
        </w:rPr>
        <w:t>s ability to make requests of the Graph API V1; nor did it review the privacy policies of the apps themselves.</w:t>
      </w:r>
    </w:p>
    <w:p w14:paraId="1C59E07F" w14:textId="5F8468FB" w:rsidR="004D367D" w:rsidRDefault="004D367D" w:rsidP="00965751">
      <w:pPr>
        <w:pStyle w:val="Quote1"/>
        <w:widowControl/>
        <w:spacing w:after="0"/>
        <w:ind w:left="1417" w:hanging="680"/>
        <w:rPr>
          <w:lang w:bidi="en-AU"/>
        </w:rPr>
      </w:pPr>
      <w:r w:rsidRPr="007F7089">
        <w:rPr>
          <w:lang w:bidi="en-AU"/>
        </w:rPr>
        <w:t>27.</w:t>
      </w:r>
      <w:r w:rsidRPr="007F7089">
        <w:rPr>
          <w:lang w:bidi="en-AU"/>
        </w:rPr>
        <w:tab/>
        <w:t>On 30 April 2014, a new version of the Graph API (</w:t>
      </w:r>
      <w:r w:rsidRPr="007F7089">
        <w:rPr>
          <w:b/>
          <w:lang w:bidi="en-AU"/>
        </w:rPr>
        <w:t>Graph API V2</w:t>
      </w:r>
      <w:r w:rsidRPr="007F7089">
        <w:rPr>
          <w:lang w:bidi="en-AU"/>
        </w:rPr>
        <w:t>) was launched by the Respondents. Under Graph API V2, app developers wishing to request more than basic information from Friends and Installers had to undergo a manual app review process (</w:t>
      </w:r>
      <w:r w:rsidRPr="007F7089">
        <w:rPr>
          <w:b/>
          <w:lang w:bidi="en-AU"/>
        </w:rPr>
        <w:t>App Review</w:t>
      </w:r>
      <w:r w:rsidRPr="007F7089">
        <w:rPr>
          <w:lang w:bidi="en-AU"/>
        </w:rPr>
        <w:t>). Such requests would only be approved where, among other things, the additional information clearly improved the User</w:t>
      </w:r>
      <w:r w:rsidR="0059361E">
        <w:rPr>
          <w:lang w:bidi="en-AU"/>
        </w:rPr>
        <w:t>’</w:t>
      </w:r>
      <w:r w:rsidRPr="007F7089">
        <w:rPr>
          <w:lang w:bidi="en-AU"/>
        </w:rPr>
        <w:t xml:space="preserve">s experience of the app. However, Facebook allowed apps using Graph API V1 a 12-month </w:t>
      </w:r>
      <w:r w:rsidR="0059361E">
        <w:rPr>
          <w:lang w:bidi="en-AU"/>
        </w:rPr>
        <w:t>‘</w:t>
      </w:r>
      <w:r w:rsidRPr="007F7089">
        <w:rPr>
          <w:lang w:bidi="en-AU"/>
        </w:rPr>
        <w:t>grace period</w:t>
      </w:r>
      <w:r w:rsidR="0059361E">
        <w:rPr>
          <w:lang w:bidi="en-AU"/>
        </w:rPr>
        <w:t>’</w:t>
      </w:r>
      <w:r w:rsidRPr="007F7089">
        <w:rPr>
          <w:lang w:bidi="en-AU"/>
        </w:rPr>
        <w:t xml:space="preserve"> (</w:t>
      </w:r>
      <w:r w:rsidRPr="006E3277">
        <w:rPr>
          <w:b/>
          <w:lang w:bidi="en-AU"/>
        </w:rPr>
        <w:t>Grace Period</w:t>
      </w:r>
      <w:r w:rsidRPr="007F7089">
        <w:rPr>
          <w:lang w:bidi="en-AU"/>
        </w:rPr>
        <w:t>) to migrate to Graph API V2.</w:t>
      </w:r>
    </w:p>
    <w:p w14:paraId="3F063577" w14:textId="77777777" w:rsidR="00965751" w:rsidRDefault="00965751" w:rsidP="005F3B32">
      <w:pPr>
        <w:pStyle w:val="Quote1"/>
        <w:widowControl/>
        <w:ind w:left="1417" w:hanging="680"/>
        <w:rPr>
          <w:lang w:bidi="en-AU"/>
        </w:rPr>
      </w:pPr>
    </w:p>
    <w:p w14:paraId="6C3DDB16" w14:textId="1371224D" w:rsidR="006F3FBA" w:rsidRDefault="006F3FBA" w:rsidP="003206A6">
      <w:pPr>
        <w:pStyle w:val="ParaNumbering"/>
        <w:rPr>
          <w:lang w:bidi="en-AU"/>
        </w:rPr>
      </w:pPr>
      <w:r>
        <w:rPr>
          <w:lang w:bidi="en-AU"/>
        </w:rPr>
        <w:t>A response made by Facebook to an information request from the Commissioner included</w:t>
      </w:r>
      <w:r w:rsidR="00AA4ABA">
        <w:rPr>
          <w:lang w:bidi="en-AU"/>
        </w:rPr>
        <w:t xml:space="preserve"> (footnotes omitted)</w:t>
      </w:r>
      <w:r>
        <w:rPr>
          <w:lang w:bidi="en-AU"/>
        </w:rPr>
        <w:t>:</w:t>
      </w:r>
    </w:p>
    <w:p w14:paraId="1C0AD86D" w14:textId="56AA22B9" w:rsidR="006F3FBA" w:rsidRPr="006F3FBA" w:rsidRDefault="006F3FBA" w:rsidP="006F3FBA">
      <w:pPr>
        <w:pStyle w:val="Quote1"/>
      </w:pPr>
      <w:r>
        <w:t>Facebook</w:t>
      </w:r>
      <w:r w:rsidR="0059361E">
        <w:t>’</w:t>
      </w:r>
      <w:r w:rsidRPr="006F3FBA">
        <w:t>s Graph Application Programming Interface (</w:t>
      </w:r>
      <w:r w:rsidR="0059361E">
        <w:t>“</w:t>
      </w:r>
      <w:r w:rsidRPr="006F3FBA">
        <w:rPr>
          <w:b/>
        </w:rPr>
        <w:t>API</w:t>
      </w:r>
      <w:r w:rsidR="0059361E">
        <w:t>”</w:t>
      </w:r>
      <w:r w:rsidRPr="006F3FBA">
        <w:t xml:space="preserve">) allows developers to build social apps on top of the </w:t>
      </w:r>
      <w:r w:rsidR="0059361E">
        <w:t>“</w:t>
      </w:r>
      <w:r w:rsidRPr="006F3FBA">
        <w:t>social graph</w:t>
      </w:r>
      <w:r w:rsidR="0059361E">
        <w:t>”</w:t>
      </w:r>
      <w:r w:rsidRPr="006F3FBA">
        <w:t xml:space="preserve"> (the Facebook network of real connections through which people communicate and share information). The purpose of Graph API is to make Facebook more connected and social by allowing users to securely and conveniently access other experiences offered by third-party applications of interest to them, should they wish.</w:t>
      </w:r>
    </w:p>
    <w:p w14:paraId="671D83C5" w14:textId="05691EB9" w:rsidR="006F3FBA" w:rsidRPr="006F3FBA" w:rsidRDefault="006F3FBA" w:rsidP="006F3FBA">
      <w:pPr>
        <w:pStyle w:val="Quote1"/>
      </w:pPr>
      <w:r w:rsidRPr="006F3FBA">
        <w:t>Developers using Graph API must comply with all of Fac</w:t>
      </w:r>
      <w:r>
        <w:t>ebook</w:t>
      </w:r>
      <w:r w:rsidR="0059361E">
        <w:t>’</w:t>
      </w:r>
      <w:r w:rsidRPr="006F3FBA">
        <w:t>s policies, including our Platform Policy, Terms of Service, and Data Policy. These policies are discussed in greater detail throughout our response …</w:t>
      </w:r>
    </w:p>
    <w:p w14:paraId="725502EA" w14:textId="345C22F5" w:rsidR="006F3FBA" w:rsidRDefault="006F3FBA" w:rsidP="006F3FBA">
      <w:pPr>
        <w:pStyle w:val="Quote1"/>
        <w:spacing w:after="0"/>
      </w:pPr>
      <w:r w:rsidRPr="006F3FBA">
        <w:t>One of the widely-used features of Graph API is Facebook Login, which enables third-party app developers to request consent from Facebook users to allow their apps to access specified categories of user data. During the currency of V</w:t>
      </w:r>
      <w:r>
        <w:t>1</w:t>
      </w:r>
      <w:r w:rsidRPr="006F3FBA">
        <w:t xml:space="preserve"> Graph API, it also allowed developers to request consent from users to access specific categories of information shared with those users by their Friends (at all times consistent with, and subject to those Friends</w:t>
      </w:r>
      <w:r w:rsidR="0059361E">
        <w:t>’</w:t>
      </w:r>
      <w:r w:rsidRPr="006F3FBA">
        <w:t xml:space="preserve"> own privacy settings)</w:t>
      </w:r>
      <w:r>
        <w:t>.</w:t>
      </w:r>
    </w:p>
    <w:p w14:paraId="425DCFDB" w14:textId="77777777" w:rsidR="006F3FBA" w:rsidRPr="006F3FBA" w:rsidRDefault="006F3FBA" w:rsidP="006F3FBA">
      <w:pPr>
        <w:pStyle w:val="Quote1"/>
      </w:pPr>
    </w:p>
    <w:p w14:paraId="23FBE059" w14:textId="326999A7" w:rsidR="003206A6" w:rsidRDefault="00965751" w:rsidP="003206A6">
      <w:pPr>
        <w:pStyle w:val="ParaNumbering"/>
        <w:rPr>
          <w:lang w:bidi="en-AU"/>
        </w:rPr>
      </w:pPr>
      <w:r>
        <w:rPr>
          <w:lang w:bidi="en-AU"/>
        </w:rPr>
        <w:t xml:space="preserve">Facebook </w:t>
      </w:r>
      <w:proofErr w:type="spellStart"/>
      <w:r>
        <w:rPr>
          <w:lang w:bidi="en-AU"/>
        </w:rPr>
        <w:t>Inc</w:t>
      </w:r>
      <w:proofErr w:type="spellEnd"/>
      <w:r>
        <w:rPr>
          <w:lang w:bidi="en-AU"/>
        </w:rPr>
        <w:t xml:space="preserve"> noted that the 2013 and 2015 Statements </w:t>
      </w:r>
      <w:r w:rsidR="00E258E6">
        <w:rPr>
          <w:lang w:bidi="en-AU"/>
        </w:rPr>
        <w:t xml:space="preserve">not only </w:t>
      </w:r>
      <w:r>
        <w:rPr>
          <w:lang w:bidi="en-AU"/>
        </w:rPr>
        <w:t>governed the contractual relationship</w:t>
      </w:r>
      <w:r w:rsidR="00E258E6">
        <w:rPr>
          <w:lang w:bidi="en-AU"/>
        </w:rPr>
        <w:t xml:space="preserve"> with users but also</w:t>
      </w:r>
      <w:r>
        <w:rPr>
          <w:lang w:bidi="en-AU"/>
        </w:rPr>
        <w:t xml:space="preserve"> between the relevant Facebook entity and app developers.  </w:t>
      </w:r>
      <w:r w:rsidR="00E258E6">
        <w:rPr>
          <w:lang w:bidi="en-AU"/>
        </w:rPr>
        <w:t>Section</w:t>
      </w:r>
      <w:r>
        <w:rPr>
          <w:lang w:bidi="en-AU"/>
        </w:rPr>
        <w:t xml:space="preserve"> 8 of the 2015 Statement provided:</w:t>
      </w:r>
    </w:p>
    <w:p w14:paraId="669A247B" w14:textId="6CDECD81" w:rsidR="00BF36F5" w:rsidRPr="00BF36F5" w:rsidRDefault="00BF36F5" w:rsidP="003D4EA5">
      <w:pPr>
        <w:pStyle w:val="Quote1"/>
        <w:keepNext/>
        <w:widowControl/>
        <w:rPr>
          <w:b/>
          <w:bCs/>
          <w:lang w:bidi="en-AU"/>
        </w:rPr>
      </w:pPr>
      <w:r w:rsidRPr="00BF36F5">
        <w:rPr>
          <w:b/>
          <w:lang w:bidi="en-AU"/>
        </w:rPr>
        <w:lastRenderedPageBreak/>
        <w:t>8.</w:t>
      </w:r>
      <w:r w:rsidRPr="00BF36F5">
        <w:rPr>
          <w:lang w:bidi="en-AU"/>
        </w:rPr>
        <w:t xml:space="preserve"> </w:t>
      </w:r>
      <w:r w:rsidRPr="00BF36F5">
        <w:rPr>
          <w:b/>
          <w:bCs/>
          <w:lang w:bidi="en-AU"/>
        </w:rPr>
        <w:t>Special Provisions Applicable to Developers/Operators of Applications and Websites</w:t>
      </w:r>
    </w:p>
    <w:p w14:paraId="3113B657" w14:textId="0B0B8008" w:rsidR="00BF36F5" w:rsidRDefault="00BF36F5" w:rsidP="00BF36F5">
      <w:pPr>
        <w:pStyle w:val="Quote1"/>
        <w:spacing w:after="0"/>
        <w:rPr>
          <w:lang w:bidi="en-AU"/>
        </w:rPr>
      </w:pPr>
      <w:r w:rsidRPr="00BF36F5">
        <w:rPr>
          <w:lang w:bidi="en-AU"/>
        </w:rPr>
        <w:t>If you are a developer or operator of a Platform application or website or if y</w:t>
      </w:r>
      <w:r>
        <w:rPr>
          <w:lang w:bidi="en-AU"/>
        </w:rPr>
        <w:t xml:space="preserve">ou use Social Plugins, you must </w:t>
      </w:r>
      <w:r w:rsidRPr="00BF36F5">
        <w:rPr>
          <w:lang w:bidi="en-AU"/>
        </w:rPr>
        <w:t>comply with the Facebook Platform Policy.</w:t>
      </w:r>
    </w:p>
    <w:p w14:paraId="533B687B" w14:textId="77777777" w:rsidR="00BF36F5" w:rsidRDefault="00BF36F5" w:rsidP="00BF36F5">
      <w:pPr>
        <w:pStyle w:val="Quote1"/>
        <w:rPr>
          <w:lang w:bidi="en-AU"/>
        </w:rPr>
      </w:pPr>
    </w:p>
    <w:p w14:paraId="3BAA68DD" w14:textId="44D93DC0" w:rsidR="00965751" w:rsidRDefault="00965751" w:rsidP="003206A6">
      <w:pPr>
        <w:pStyle w:val="ParaNumbering"/>
        <w:rPr>
          <w:lang w:bidi="en-AU"/>
        </w:rPr>
      </w:pPr>
      <w:r>
        <w:rPr>
          <w:lang w:bidi="en-AU"/>
        </w:rPr>
        <w:t>Clause 11</w:t>
      </w:r>
      <w:r w:rsidR="00A704F7">
        <w:rPr>
          <w:lang w:bidi="en-AU"/>
        </w:rPr>
        <w:t>.1</w:t>
      </w:r>
      <w:r>
        <w:rPr>
          <w:lang w:bidi="en-AU"/>
        </w:rPr>
        <w:t xml:space="preserve"> of the Facebook Platform Policy</w:t>
      </w:r>
      <w:r w:rsidR="006A60C3">
        <w:rPr>
          <w:lang w:bidi="en-AU"/>
        </w:rPr>
        <w:t xml:space="preserve"> referred to in s 8,</w:t>
      </w:r>
      <w:r w:rsidR="00324525" w:rsidRPr="00324525">
        <w:rPr>
          <w:lang w:bidi="en-AU"/>
        </w:rPr>
        <w:t xml:space="preserve"> </w:t>
      </w:r>
      <w:r w:rsidR="00324525">
        <w:rPr>
          <w:lang w:bidi="en-AU"/>
        </w:rPr>
        <w:t>as in force from 20 August 2013 to 24 July 2014,</w:t>
      </w:r>
      <w:r w:rsidR="00A704F7">
        <w:rPr>
          <w:lang w:bidi="en-AU"/>
        </w:rPr>
        <w:t xml:space="preserve"> provided:</w:t>
      </w:r>
    </w:p>
    <w:p w14:paraId="40E9E92B" w14:textId="08E5A9B7" w:rsidR="00BF36F5" w:rsidRDefault="00BF36F5" w:rsidP="00A704F7">
      <w:pPr>
        <w:pStyle w:val="Quote1"/>
        <w:rPr>
          <w:b/>
          <w:lang w:bidi="en-AU"/>
        </w:rPr>
      </w:pPr>
      <w:r>
        <w:rPr>
          <w:b/>
          <w:lang w:bidi="en-AU"/>
        </w:rPr>
        <w:t>XI. License</w:t>
      </w:r>
    </w:p>
    <w:p w14:paraId="6DAC8C26" w14:textId="5D22BE66" w:rsidR="00BF36F5" w:rsidRDefault="00BF36F5" w:rsidP="009D5976">
      <w:pPr>
        <w:pStyle w:val="Quote1"/>
        <w:numPr>
          <w:ilvl w:val="0"/>
          <w:numId w:val="31"/>
        </w:numPr>
        <w:spacing w:after="0"/>
        <w:ind w:left="1276" w:hanging="539"/>
        <w:rPr>
          <w:lang w:bidi="en-AU"/>
        </w:rPr>
      </w:pPr>
      <w:r>
        <w:rPr>
          <w:lang w:bidi="en-AU"/>
        </w:rPr>
        <w:t>We give you</w:t>
      </w:r>
      <w:r w:rsidR="00324525">
        <w:rPr>
          <w:lang w:bidi="en-AU"/>
        </w:rPr>
        <w:t xml:space="preserve"> [the app developer]</w:t>
      </w:r>
      <w:r>
        <w:rPr>
          <w:lang w:bidi="en-AU"/>
        </w:rPr>
        <w:t xml:space="preserve"> a license to use the code, APIs, data, and tools you receive from us for use with the Facebook Platform. Don</w:t>
      </w:r>
      <w:r w:rsidR="0059361E">
        <w:rPr>
          <w:lang w:bidi="en-AU"/>
        </w:rPr>
        <w:t>’</w:t>
      </w:r>
      <w:r>
        <w:rPr>
          <w:lang w:bidi="en-AU"/>
        </w:rPr>
        <w:t>t sell, transfer, or sublicense our code, APIs, or tools to anyone without our prior written permission. If they need a license, they should get it from us.</w:t>
      </w:r>
    </w:p>
    <w:p w14:paraId="37FFB744" w14:textId="77777777" w:rsidR="00BF36F5" w:rsidRPr="00BF36F5" w:rsidRDefault="00BF36F5" w:rsidP="00BF36F5">
      <w:pPr>
        <w:pStyle w:val="Quote1"/>
        <w:ind w:left="1097"/>
        <w:rPr>
          <w:lang w:bidi="en-AU"/>
        </w:rPr>
      </w:pPr>
    </w:p>
    <w:p w14:paraId="0E928D01" w14:textId="18EF2C1E" w:rsidR="00A704F7" w:rsidRDefault="008D7AA5" w:rsidP="003206A6">
      <w:pPr>
        <w:pStyle w:val="ParaNumbering"/>
        <w:rPr>
          <w:lang w:bidi="en-AU"/>
        </w:rPr>
      </w:pPr>
      <w:r>
        <w:rPr>
          <w:lang w:bidi="en-AU"/>
        </w:rPr>
        <w:t xml:space="preserve">Facebook </w:t>
      </w:r>
      <w:proofErr w:type="spellStart"/>
      <w:r>
        <w:rPr>
          <w:lang w:bidi="en-AU"/>
        </w:rPr>
        <w:t>Inc</w:t>
      </w:r>
      <w:proofErr w:type="spellEnd"/>
      <w:r>
        <w:rPr>
          <w:lang w:bidi="en-AU"/>
        </w:rPr>
        <w:t xml:space="preserve"> also pointed to clauses 6.4 and 6.7 i</w:t>
      </w:r>
      <w:r w:rsidR="00B86825">
        <w:rPr>
          <w:lang w:bidi="en-AU"/>
        </w:rPr>
        <w:t>n one of the Facebook Platform P</w:t>
      </w:r>
      <w:r>
        <w:rPr>
          <w:lang w:bidi="en-AU"/>
        </w:rPr>
        <w:t>olicies which stated:</w:t>
      </w:r>
    </w:p>
    <w:p w14:paraId="27382439" w14:textId="55613630" w:rsidR="008D7AA5" w:rsidRDefault="008D7AA5" w:rsidP="008D7AA5">
      <w:pPr>
        <w:pStyle w:val="Quote1"/>
        <w:ind w:left="1276" w:hanging="539"/>
        <w:rPr>
          <w:lang w:bidi="en-AU"/>
        </w:rPr>
      </w:pPr>
      <w:r>
        <w:rPr>
          <w:lang w:bidi="en-AU"/>
        </w:rPr>
        <w:t>4.</w:t>
      </w:r>
      <w:r>
        <w:rPr>
          <w:lang w:bidi="en-AU"/>
        </w:rPr>
        <w:tab/>
        <w:t>You give us all rights necessary to enable your app to work with Facebook, including the right to incorporate information you provide to us into other parts of Facebook, and the right to attribute the source of information using your name or logos.</w:t>
      </w:r>
    </w:p>
    <w:p w14:paraId="0D68C3CE" w14:textId="6D883213" w:rsidR="00E772FA" w:rsidRDefault="00E772FA" w:rsidP="008D7AA5">
      <w:pPr>
        <w:pStyle w:val="Quote1"/>
        <w:ind w:left="1276" w:hanging="539"/>
        <w:rPr>
          <w:lang w:bidi="en-AU"/>
        </w:rPr>
      </w:pPr>
      <w:r>
        <w:rPr>
          <w:lang w:bidi="en-AU"/>
        </w:rPr>
        <w:t>…</w:t>
      </w:r>
    </w:p>
    <w:p w14:paraId="2FD275C6" w14:textId="77777777" w:rsidR="008D7AA5" w:rsidRDefault="008D7AA5" w:rsidP="008D7AA5">
      <w:pPr>
        <w:pStyle w:val="Quote1"/>
        <w:spacing w:after="0"/>
        <w:ind w:left="1276" w:hanging="539"/>
        <w:rPr>
          <w:lang w:bidi="en-AU"/>
        </w:rPr>
      </w:pPr>
      <w:r>
        <w:rPr>
          <w:lang w:bidi="en-AU"/>
        </w:rPr>
        <w:t>7.</w:t>
      </w:r>
      <w:r>
        <w:rPr>
          <w:lang w:bidi="en-AU"/>
        </w:rPr>
        <w:tab/>
        <w:t>You give us the right to link to or frame your app, and place content, including ads, around your app. If you use our social plugins, feed dialog or share button, you also give us permission to use and allow others to use such links and content on Facebook.</w:t>
      </w:r>
    </w:p>
    <w:p w14:paraId="37FD0951" w14:textId="77777777" w:rsidR="008D7AA5" w:rsidRDefault="008D7AA5" w:rsidP="008D7AA5">
      <w:pPr>
        <w:pStyle w:val="Quote1"/>
        <w:ind w:left="1276" w:hanging="539"/>
        <w:rPr>
          <w:lang w:bidi="en-AU"/>
        </w:rPr>
      </w:pPr>
    </w:p>
    <w:p w14:paraId="035A4FA1" w14:textId="2A7C454E" w:rsidR="00292C66" w:rsidRDefault="00292C66" w:rsidP="00292C66">
      <w:pPr>
        <w:pStyle w:val="ParaNumbering"/>
      </w:pPr>
      <w:r>
        <w:t xml:space="preserve">The Commissioner submitted that Facebook </w:t>
      </w:r>
      <w:proofErr w:type="spellStart"/>
      <w:r>
        <w:t>Inc’s</w:t>
      </w:r>
      <w:proofErr w:type="spellEnd"/>
      <w:r>
        <w:t xml:space="preserve"> provision of the Graph API to Australian apps was one act engaged in by Facebook </w:t>
      </w:r>
      <w:proofErr w:type="spellStart"/>
      <w:r>
        <w:t>Inc</w:t>
      </w:r>
      <w:proofErr w:type="spellEnd"/>
      <w:r>
        <w:t xml:space="preserve"> in Australia which went towards it carrying on business in the jurisdiction.  The Commissioner submitted that, assessed with the other factual matters, an inference was reasonably open that Facebook </w:t>
      </w:r>
      <w:proofErr w:type="spellStart"/>
      <w:r>
        <w:t>Inc</w:t>
      </w:r>
      <w:proofErr w:type="spellEnd"/>
      <w:r>
        <w:t xml:space="preserve"> carried on business in Australia within the meaning of s 5B(3)(b).</w:t>
      </w:r>
      <w:r w:rsidRPr="007422D4">
        <w:t xml:space="preserve"> </w:t>
      </w:r>
    </w:p>
    <w:p w14:paraId="1BC0FEC0" w14:textId="295C68CB" w:rsidR="00292C66" w:rsidRDefault="000F7A6B" w:rsidP="00AE2042">
      <w:pPr>
        <w:pStyle w:val="ParaNumbering"/>
      </w:pPr>
      <w:r w:rsidRPr="00AE2042">
        <w:t xml:space="preserve">Facebook </w:t>
      </w:r>
      <w:proofErr w:type="spellStart"/>
      <w:r w:rsidRPr="00AE2042">
        <w:t>Inc</w:t>
      </w:r>
      <w:proofErr w:type="spellEnd"/>
      <w:r w:rsidR="00292C66">
        <w:t>:</w:t>
      </w:r>
    </w:p>
    <w:p w14:paraId="0BBA7024" w14:textId="77777777" w:rsidR="00292C66" w:rsidRDefault="00292C66" w:rsidP="009D5976">
      <w:pPr>
        <w:pStyle w:val="ListNo1"/>
        <w:numPr>
          <w:ilvl w:val="0"/>
          <w:numId w:val="40"/>
        </w:numPr>
      </w:pPr>
      <w:r w:rsidRPr="00AE2042">
        <w:t xml:space="preserve">submitted that the relevant contractual arrangements </w:t>
      </w:r>
      <w:r>
        <w:t xml:space="preserve">with non-North American app developers </w:t>
      </w:r>
      <w:r w:rsidRPr="00AE2042">
        <w:t>were with Facebook Ireland</w:t>
      </w:r>
      <w:r>
        <w:t>, referring to</w:t>
      </w:r>
      <w:r>
        <w:rPr>
          <w:lang w:bidi="en-AU"/>
        </w:rPr>
        <w:t xml:space="preserve"> s 19(1) of the 2013 Statement (s 18(1) of the 2015 Statement);</w:t>
      </w:r>
    </w:p>
    <w:p w14:paraId="7C08FF40" w14:textId="77777777" w:rsidR="00292C66" w:rsidRDefault="000F7A6B" w:rsidP="009D5976">
      <w:pPr>
        <w:pStyle w:val="ListNo1"/>
        <w:numPr>
          <w:ilvl w:val="0"/>
          <w:numId w:val="40"/>
        </w:numPr>
      </w:pPr>
      <w:r w:rsidRPr="00AE2042">
        <w:t xml:space="preserve">accepted that the </w:t>
      </w:r>
      <w:r w:rsidR="00292C66">
        <w:t xml:space="preserve">Graph API </w:t>
      </w:r>
      <w:r w:rsidRPr="00AE2042">
        <w:t xml:space="preserve">process was managed by Facebook </w:t>
      </w:r>
      <w:proofErr w:type="spellStart"/>
      <w:r w:rsidRPr="00AE2042">
        <w:t>Inc</w:t>
      </w:r>
      <w:proofErr w:type="spellEnd"/>
      <w:r w:rsidRPr="00AE2042">
        <w:t xml:space="preserve"> for all apps on the Facebook platform, including on behalf</w:t>
      </w:r>
      <w:r w:rsidR="00B86825">
        <w:t xml:space="preserve"> of Facebook Ireland as provider</w:t>
      </w:r>
      <w:r w:rsidRPr="00AE2042">
        <w:t xml:space="preserve"> of the Facebook service to Australia</w:t>
      </w:r>
      <w:r w:rsidR="00292C66">
        <w:t>;</w:t>
      </w:r>
    </w:p>
    <w:p w14:paraId="78C02A4D" w14:textId="77777777" w:rsidR="00292C66" w:rsidRDefault="00E772FA" w:rsidP="009D5976">
      <w:pPr>
        <w:pStyle w:val="ListNo1"/>
        <w:numPr>
          <w:ilvl w:val="0"/>
          <w:numId w:val="40"/>
        </w:numPr>
      </w:pPr>
      <w:r>
        <w:lastRenderedPageBreak/>
        <w:t>submitted that t</w:t>
      </w:r>
      <w:r w:rsidR="000F7A6B" w:rsidRPr="00AE2042">
        <w:t xml:space="preserve">he service which Facebook </w:t>
      </w:r>
      <w:proofErr w:type="spellStart"/>
      <w:r w:rsidR="000F7A6B" w:rsidRPr="00AE2042">
        <w:t>Inc</w:t>
      </w:r>
      <w:proofErr w:type="spellEnd"/>
      <w:r w:rsidR="000F7A6B" w:rsidRPr="00AE2042">
        <w:t xml:space="preserve"> provided with respect to the Graph API in res</w:t>
      </w:r>
      <w:r w:rsidR="00292C66">
        <w:t>pect of an Australian developer:</w:t>
      </w:r>
    </w:p>
    <w:p w14:paraId="6CF7A455" w14:textId="0A5DF1F3" w:rsidR="00292C66" w:rsidRDefault="000F7A6B" w:rsidP="00872EB6">
      <w:pPr>
        <w:pStyle w:val="ListNo2"/>
        <w:numPr>
          <w:ilvl w:val="1"/>
          <w:numId w:val="29"/>
        </w:numPr>
      </w:pPr>
      <w:r w:rsidRPr="00AE2042">
        <w:t>occurred overseas, pursuant to a contract between the Australian app developer and Facebook Ireland</w:t>
      </w:r>
      <w:r w:rsidR="00292C66">
        <w:t>; and</w:t>
      </w:r>
    </w:p>
    <w:p w14:paraId="4DB8012A" w14:textId="47295325" w:rsidR="00E772FA" w:rsidRDefault="00AE2042" w:rsidP="00872EB6">
      <w:pPr>
        <w:pStyle w:val="ListNo2"/>
        <w:numPr>
          <w:ilvl w:val="1"/>
          <w:numId w:val="29"/>
        </w:numPr>
      </w:pPr>
      <w:r w:rsidRPr="00AE2042">
        <w:t>result</w:t>
      </w:r>
      <w:r>
        <w:t>ed</w:t>
      </w:r>
      <w:r w:rsidRPr="00AE2042">
        <w:t xml:space="preserve"> in Facebook Ireland, pursuant to its contract with the</w:t>
      </w:r>
      <w:r>
        <w:t xml:space="preserve"> </w:t>
      </w:r>
      <w:r w:rsidRPr="00AE2042">
        <w:t xml:space="preserve">relevant </w:t>
      </w:r>
      <w:r w:rsidR="00E772FA">
        <w:t xml:space="preserve">app </w:t>
      </w:r>
      <w:r w:rsidRPr="00AE2042">
        <w:t xml:space="preserve">developer, </w:t>
      </w:r>
      <w:r>
        <w:t>making</w:t>
      </w:r>
      <w:r w:rsidRPr="00AE2042">
        <w:t xml:space="preserve"> available through its platform means by which users </w:t>
      </w:r>
      <w:r w:rsidR="00B86825">
        <w:t>could</w:t>
      </w:r>
      <w:r>
        <w:t xml:space="preserve"> contract with app developers </w:t>
      </w:r>
      <w:r w:rsidRPr="00AE2042">
        <w:t>through the medium of the Facebook platform.</w:t>
      </w:r>
      <w:r w:rsidR="00B86825">
        <w:t xml:space="preserve">  </w:t>
      </w:r>
    </w:p>
    <w:p w14:paraId="0CFE24AF" w14:textId="690C3098" w:rsidR="00064006" w:rsidRDefault="00292C66" w:rsidP="0088559B">
      <w:pPr>
        <w:pStyle w:val="ParaNumbering"/>
      </w:pPr>
      <w:r>
        <w:t xml:space="preserve">Accepting for the purpose of argument </w:t>
      </w:r>
      <w:r w:rsidR="007422D4">
        <w:t xml:space="preserve">that </w:t>
      </w:r>
      <w:r>
        <w:t xml:space="preserve">Facebook </w:t>
      </w:r>
      <w:proofErr w:type="spellStart"/>
      <w:r>
        <w:t>Inc’s</w:t>
      </w:r>
      <w:proofErr w:type="spellEnd"/>
      <w:r>
        <w:t xml:space="preserve"> activities </w:t>
      </w:r>
      <w:r w:rsidR="00C02797">
        <w:t xml:space="preserve">in managing the Graph API </w:t>
      </w:r>
      <w:r>
        <w:t>were performed</w:t>
      </w:r>
      <w:r w:rsidR="007422D4">
        <w:t xml:space="preserve"> as a service to Facebook Ireland and that </w:t>
      </w:r>
      <w:r w:rsidR="00497ED8">
        <w:t>app developers</w:t>
      </w:r>
      <w:r w:rsidR="007422D4">
        <w:t xml:space="preserve"> contract</w:t>
      </w:r>
      <w:r w:rsidR="00497ED8">
        <w:t>ed</w:t>
      </w:r>
      <w:r w:rsidR="007422D4">
        <w:t xml:space="preserve"> with</w:t>
      </w:r>
      <w:r>
        <w:t xml:space="preserve"> Facebook Ireland</w:t>
      </w:r>
      <w:r w:rsidR="007422D4">
        <w:t xml:space="preserve">, that does not mean that Facebook </w:t>
      </w:r>
      <w:proofErr w:type="spellStart"/>
      <w:r w:rsidR="007422D4">
        <w:t>Inc</w:t>
      </w:r>
      <w:proofErr w:type="spellEnd"/>
      <w:r w:rsidR="007422D4">
        <w:t xml:space="preserve"> </w:t>
      </w:r>
      <w:r>
        <w:t>did not carry</w:t>
      </w:r>
      <w:r w:rsidR="007422D4">
        <w:t xml:space="preserve"> on business</w:t>
      </w:r>
      <w:r w:rsidR="00497ED8">
        <w:t>, as service provider to Facebook Ireland,</w:t>
      </w:r>
      <w:r w:rsidR="007422D4">
        <w:t xml:space="preserve"> in Australia.  Whether or not the activity was performed </w:t>
      </w:r>
      <w:r w:rsidR="00295BBE">
        <w:t>by way of services provided to Facebook Ireland</w:t>
      </w:r>
      <w:r w:rsidR="00085F0E">
        <w:t>,</w:t>
      </w:r>
      <w:r w:rsidR="007422D4">
        <w:t xml:space="preserve"> the fact is that Facebook </w:t>
      </w:r>
      <w:proofErr w:type="spellStart"/>
      <w:r w:rsidR="007422D4">
        <w:t>Inc</w:t>
      </w:r>
      <w:proofErr w:type="spellEnd"/>
      <w:r w:rsidR="007422D4">
        <w:t xml:space="preserve"> managed the</w:t>
      </w:r>
      <w:r w:rsidR="00497ED8">
        <w:t xml:space="preserve"> Graph API</w:t>
      </w:r>
      <w:r w:rsidR="007422D4">
        <w:t xml:space="preserve"> </w:t>
      </w:r>
      <w:r w:rsidR="00497ED8">
        <w:t>process</w:t>
      </w:r>
      <w:r w:rsidR="007422D4">
        <w:t xml:space="preserve"> as part of its business.  If </w:t>
      </w:r>
      <w:r w:rsidR="00085F0E">
        <w:t xml:space="preserve">the inference is open that </w:t>
      </w:r>
      <w:r w:rsidR="00C02797">
        <w:t>some</w:t>
      </w:r>
      <w:r w:rsidR="007422D4">
        <w:t xml:space="preserve"> of </w:t>
      </w:r>
      <w:r w:rsidR="00085F0E">
        <w:t xml:space="preserve">Facebook </w:t>
      </w:r>
      <w:proofErr w:type="spellStart"/>
      <w:r w:rsidR="00085F0E">
        <w:t>Inc’s</w:t>
      </w:r>
      <w:proofErr w:type="spellEnd"/>
      <w:r w:rsidR="007422D4">
        <w:t xml:space="preserve"> activities </w:t>
      </w:r>
      <w:r w:rsidR="00085F0E">
        <w:t xml:space="preserve">in </w:t>
      </w:r>
      <w:r w:rsidR="005E3E4E">
        <w:t xml:space="preserve">managing the Graph API process </w:t>
      </w:r>
      <w:r w:rsidR="007422D4">
        <w:t>were carried out in Australia</w:t>
      </w:r>
      <w:r w:rsidR="00085F0E">
        <w:t>,</w:t>
      </w:r>
      <w:r w:rsidR="007422D4">
        <w:t xml:space="preserve"> it is reasonably arguable that </w:t>
      </w:r>
      <w:r w:rsidR="00085F0E">
        <w:t xml:space="preserve">Facebook </w:t>
      </w:r>
      <w:proofErr w:type="spellStart"/>
      <w:r w:rsidR="00085F0E">
        <w:t>Inc</w:t>
      </w:r>
      <w:proofErr w:type="spellEnd"/>
      <w:r w:rsidR="007422D4">
        <w:t xml:space="preserve"> carried on business in Australia within the meaning of s 5B(3)(b).  </w:t>
      </w:r>
      <w:r>
        <w:t xml:space="preserve">In my view, the inference is available that a part of Facebook </w:t>
      </w:r>
      <w:proofErr w:type="spellStart"/>
      <w:r>
        <w:t>Inc’s</w:t>
      </w:r>
      <w:proofErr w:type="spellEnd"/>
      <w:r>
        <w:t xml:space="preserve"> activities in making available the Graph API to Australia</w:t>
      </w:r>
      <w:r w:rsidR="00324525">
        <w:t>n</w:t>
      </w:r>
      <w:r>
        <w:t xml:space="preserve"> apps included activity in Australia</w:t>
      </w:r>
      <w:r w:rsidR="00C02797">
        <w:t xml:space="preserve">. </w:t>
      </w:r>
      <w:r>
        <w:t xml:space="preserve"> </w:t>
      </w:r>
      <w:r w:rsidR="00C02797" w:rsidRPr="007F7089">
        <w:t xml:space="preserve">The Graph API allowed apps to create a link or interface between the Facebook </w:t>
      </w:r>
      <w:r w:rsidR="00C02797">
        <w:t>w</w:t>
      </w:r>
      <w:r w:rsidR="00C02797" w:rsidRPr="007F7089">
        <w:t>ebsite</w:t>
      </w:r>
      <w:r w:rsidR="00C02797">
        <w:t>’</w:t>
      </w:r>
      <w:r w:rsidR="00C02797" w:rsidRPr="007F7089">
        <w:t xml:space="preserve">s </w:t>
      </w:r>
      <w:r w:rsidR="00C02797">
        <w:t>“</w:t>
      </w:r>
      <w:r w:rsidR="00C02797" w:rsidRPr="007F7089">
        <w:t>social graph</w:t>
      </w:r>
      <w:r w:rsidR="00C02797">
        <w:t>”</w:t>
      </w:r>
      <w:r w:rsidR="00C02797" w:rsidRPr="007F7089">
        <w:t xml:space="preserve"> and the app</w:t>
      </w:r>
      <w:r w:rsidR="00C02797">
        <w:t xml:space="preserve">.  </w:t>
      </w:r>
      <w:r w:rsidR="00CC0363">
        <w:t>It is arguable and the</w:t>
      </w:r>
      <w:r w:rsidR="00C02797">
        <w:t xml:space="preserve"> inference is open that </w:t>
      </w:r>
      <w:r w:rsidR="00085F0E">
        <w:t>this</w:t>
      </w:r>
      <w:r w:rsidR="00C02797">
        <w:t xml:space="preserve"> involved activity</w:t>
      </w:r>
      <w:r w:rsidR="00085F0E">
        <w:t xml:space="preserve"> by Facebook </w:t>
      </w:r>
      <w:proofErr w:type="spellStart"/>
      <w:r w:rsidR="00085F0E">
        <w:t>Inc</w:t>
      </w:r>
      <w:proofErr w:type="spellEnd"/>
      <w:r w:rsidR="00C02797">
        <w:t xml:space="preserve"> in Australia</w:t>
      </w:r>
      <w:r w:rsidR="005E3E4E">
        <w:t>, albeit</w:t>
      </w:r>
      <w:r w:rsidR="00CC0363">
        <w:t xml:space="preserve"> </w:t>
      </w:r>
      <w:r w:rsidR="002B4709">
        <w:t xml:space="preserve">initiated, </w:t>
      </w:r>
      <w:r w:rsidR="00CC0363">
        <w:t xml:space="preserve">controlled or </w:t>
      </w:r>
      <w:r w:rsidR="002B4709">
        <w:t xml:space="preserve">operated </w:t>
      </w:r>
      <w:r w:rsidR="005E3E4E">
        <w:t>remotely,</w:t>
      </w:r>
      <w:r w:rsidR="00085F0E">
        <w:t xml:space="preserve"> such as the installing and operation of data in various forms</w:t>
      </w:r>
      <w:r w:rsidR="00C02797">
        <w:t xml:space="preserve">.  </w:t>
      </w:r>
    </w:p>
    <w:p w14:paraId="0E885A19" w14:textId="364208E9" w:rsidR="00CF2530" w:rsidRDefault="00064006" w:rsidP="0088559B">
      <w:pPr>
        <w:pStyle w:val="ParaNumbering"/>
      </w:pPr>
      <w:r>
        <w:t xml:space="preserve">Facebook </w:t>
      </w:r>
      <w:proofErr w:type="spellStart"/>
      <w:r>
        <w:t>Inc</w:t>
      </w:r>
      <w:proofErr w:type="spellEnd"/>
      <w:r>
        <w:t xml:space="preserve"> observed that there was no evidence that Facebook </w:t>
      </w:r>
      <w:proofErr w:type="spellStart"/>
      <w:r>
        <w:t>Inc</w:t>
      </w:r>
      <w:proofErr w:type="spellEnd"/>
      <w:r>
        <w:t xml:space="preserve"> had employees in Australia and there was no evidence that Facebook </w:t>
      </w:r>
      <w:proofErr w:type="spellStart"/>
      <w:r>
        <w:t>Inc</w:t>
      </w:r>
      <w:proofErr w:type="spellEnd"/>
      <w:r>
        <w:t xml:space="preserve"> had a place of business in Australia.  </w:t>
      </w:r>
      <w:r w:rsidR="00085F0E">
        <w:t xml:space="preserve">The fact that the activity which occurs in Australia might be controlled or facilitated by actions taken remotely and without the need for employees in Australia, does not necessarily mean that no </w:t>
      </w:r>
      <w:r w:rsidR="00D844D2">
        <w:t xml:space="preserve">relevant </w:t>
      </w:r>
      <w:r w:rsidR="00085F0E">
        <w:t xml:space="preserve">activity is performed by Facebook </w:t>
      </w:r>
      <w:proofErr w:type="spellStart"/>
      <w:r w:rsidR="00085F0E">
        <w:t>Inc</w:t>
      </w:r>
      <w:proofErr w:type="spellEnd"/>
      <w:r w:rsidR="00085F0E">
        <w:t xml:space="preserve"> in Australia.  </w:t>
      </w:r>
      <w:r w:rsidR="00D844D2">
        <w:t>If</w:t>
      </w:r>
      <w:r w:rsidR="002B4709">
        <w:t>, for example,</w:t>
      </w:r>
      <w:r w:rsidR="00D844D2">
        <w:t xml:space="preserve"> an overseas corporation operating a delivery business decided to operate delivery drones in Australia, controlled from overseas, it would not be difficult to conclude that it carried on business in Australia.  The same conclusion would flow for a</w:t>
      </w:r>
      <w:r w:rsidR="00A727BE">
        <w:t>n overseas</w:t>
      </w:r>
      <w:r w:rsidR="00D844D2">
        <w:t xml:space="preserve"> company operating driverless cars engaged in a taxi service</w:t>
      </w:r>
      <w:r w:rsidR="00A727BE">
        <w:t xml:space="preserve"> in Australia</w:t>
      </w:r>
      <w:r w:rsidR="00D844D2">
        <w:t xml:space="preserve">.  </w:t>
      </w:r>
    </w:p>
    <w:p w14:paraId="558681D8" w14:textId="08EA607C" w:rsidR="0043259D" w:rsidRDefault="000C76BE" w:rsidP="00D8611D">
      <w:pPr>
        <w:pStyle w:val="Heading3"/>
      </w:pPr>
      <w:r>
        <w:t>D</w:t>
      </w:r>
      <w:r w:rsidR="002D341A">
        <w:t xml:space="preserve">.2.4  </w:t>
      </w:r>
      <w:r w:rsidR="0043259D">
        <w:t>Collecting o</w:t>
      </w:r>
      <w:r w:rsidR="00B304B3">
        <w:t>r</w:t>
      </w:r>
      <w:r w:rsidR="0043259D">
        <w:t xml:space="preserve"> holding personal information</w:t>
      </w:r>
    </w:p>
    <w:p w14:paraId="7911507B" w14:textId="1F70FA62" w:rsidR="002D341A" w:rsidRDefault="0043259D" w:rsidP="0043259D">
      <w:pPr>
        <w:pStyle w:val="ParaNumbering"/>
      </w:pPr>
      <w:r>
        <w:t xml:space="preserve">The Commissioner submitted that Facebook </w:t>
      </w:r>
      <w:proofErr w:type="spellStart"/>
      <w:r>
        <w:t>Inc</w:t>
      </w:r>
      <w:proofErr w:type="spellEnd"/>
      <w:r>
        <w:t xml:space="preserve"> collected or held personal information in Australia and this was an activity which pointed to it directly carrying on business in Australia.  </w:t>
      </w:r>
    </w:p>
    <w:p w14:paraId="4497DB73" w14:textId="346A57C5" w:rsidR="0043259D" w:rsidRDefault="0043259D" w:rsidP="0043259D">
      <w:pPr>
        <w:pStyle w:val="ParaNumbering"/>
      </w:pPr>
      <w:r>
        <w:lastRenderedPageBreak/>
        <w:t>Both parties addressed this matter in the context of the second requirement which the Commissioner had to establish to the requisite prima facie standard and is, accordingly, dealt with</w:t>
      </w:r>
      <w:r w:rsidR="00F86FA0">
        <w:t xml:space="preserve"> </w:t>
      </w:r>
      <w:r>
        <w:t>below</w:t>
      </w:r>
      <w:r w:rsidR="002D341A">
        <w:t xml:space="preserve"> in Section </w:t>
      </w:r>
      <w:r w:rsidR="00F86FA0">
        <w:t xml:space="preserve">E </w:t>
      </w:r>
      <w:r>
        <w:t>in that context.</w:t>
      </w:r>
      <w:r w:rsidR="00F86FA0">
        <w:t xml:space="preserve">  I conclude in Section E that the Commissioner has established a prima facie case that Facebook </w:t>
      </w:r>
      <w:proofErr w:type="spellStart"/>
      <w:r w:rsidR="00F86FA0">
        <w:t>Inc</w:t>
      </w:r>
      <w:proofErr w:type="spellEnd"/>
      <w:r w:rsidR="00F86FA0">
        <w:t xml:space="preserve"> collected and held information in Australia.  The matters referred to in Section E also support the conclusion I have reached that the Commissioner has discharged her onus of showing a prima facie case in the required sense that Facebook </w:t>
      </w:r>
      <w:proofErr w:type="spellStart"/>
      <w:r w:rsidR="00F86FA0">
        <w:t>Inc</w:t>
      </w:r>
      <w:proofErr w:type="spellEnd"/>
      <w:r w:rsidR="00F86FA0">
        <w:t xml:space="preserve"> carried on business in Australia in the relevant period.</w:t>
      </w:r>
    </w:p>
    <w:p w14:paraId="24D35ED6" w14:textId="1F99E444" w:rsidR="005F3B32" w:rsidRDefault="000C76BE" w:rsidP="00D8611D">
      <w:pPr>
        <w:pStyle w:val="Heading3"/>
      </w:pPr>
      <w:r>
        <w:t>D</w:t>
      </w:r>
      <w:r w:rsidR="002D341A">
        <w:t xml:space="preserve">.2.5  </w:t>
      </w:r>
      <w:r w:rsidR="009138C1">
        <w:t>Offering of stock</w:t>
      </w:r>
    </w:p>
    <w:p w14:paraId="5BE9EC57" w14:textId="3054F549" w:rsidR="009138C1" w:rsidRDefault="009138C1" w:rsidP="009138C1">
      <w:pPr>
        <w:pStyle w:val="ParaNumbering"/>
      </w:pPr>
      <w:r w:rsidRPr="005605CF">
        <w:t>The</w:t>
      </w:r>
      <w:r>
        <w:t xml:space="preserve"> Commissioner noted that</w:t>
      </w:r>
      <w:r w:rsidRPr="005605CF">
        <w:t xml:space="preserve"> employees of Facebook Australia were offered stock in Facebook </w:t>
      </w:r>
      <w:proofErr w:type="spellStart"/>
      <w:r w:rsidRPr="005605CF">
        <w:t>Inc</w:t>
      </w:r>
      <w:proofErr w:type="spellEnd"/>
      <w:r w:rsidRPr="005605CF">
        <w:t xml:space="preserve"> following the IPO of the company in 2012.  </w:t>
      </w:r>
      <w:r w:rsidR="002968FF">
        <w:t>During the relevant period</w:t>
      </w:r>
      <w:r>
        <w:t xml:space="preserve">, </w:t>
      </w:r>
      <w:r w:rsidRPr="005605CF">
        <w:t xml:space="preserve">Facebook </w:t>
      </w:r>
      <w:proofErr w:type="spellStart"/>
      <w:r w:rsidRPr="005605CF">
        <w:t>Inc</w:t>
      </w:r>
      <w:proofErr w:type="spellEnd"/>
      <w:r w:rsidRPr="005605CF">
        <w:t xml:space="preserve"> was a non-registered organisation in Australia</w:t>
      </w:r>
      <w:r>
        <w:t>.  It</w:t>
      </w:r>
      <w:r w:rsidRPr="005605CF">
        <w:t xml:space="preserve"> lodged three documents with ASIC</w:t>
      </w:r>
      <w:r w:rsidR="002968FF">
        <w:t xml:space="preserve"> in 2012</w:t>
      </w:r>
      <w:r w:rsidRPr="005605CF">
        <w:t xml:space="preserve">, pursuant to a mutual recognition scheme.  One of the documents was Facebook </w:t>
      </w:r>
      <w:proofErr w:type="spellStart"/>
      <w:r w:rsidRPr="005605CF">
        <w:t>Inc</w:t>
      </w:r>
      <w:r w:rsidR="0059361E">
        <w:t>’</w:t>
      </w:r>
      <w:r w:rsidRPr="005605CF">
        <w:t>s</w:t>
      </w:r>
      <w:proofErr w:type="spellEnd"/>
      <w:r w:rsidRPr="005605CF">
        <w:t xml:space="preserve"> offer of certain types of stock (</w:t>
      </w:r>
      <w:r w:rsidR="0059361E">
        <w:t>“</w:t>
      </w:r>
      <w:r w:rsidRPr="005605CF">
        <w:t>Restricted Stock Units</w:t>
      </w:r>
      <w:r w:rsidR="0059361E">
        <w:t>”</w:t>
      </w:r>
      <w:r w:rsidRPr="005605CF">
        <w:t xml:space="preserve">) to selected Australian resident employees or directors of Facebook </w:t>
      </w:r>
      <w:proofErr w:type="spellStart"/>
      <w:r w:rsidRPr="005605CF">
        <w:t>Inc</w:t>
      </w:r>
      <w:proofErr w:type="spellEnd"/>
      <w:r w:rsidRPr="005605CF">
        <w:t xml:space="preserve"> or its subsidiaries (which include</w:t>
      </w:r>
      <w:r w:rsidR="00654A5C">
        <w:t>d</w:t>
      </w:r>
      <w:r w:rsidRPr="005605CF">
        <w:t xml:space="preserve"> Facebook Australia) as part of its share </w:t>
      </w:r>
      <w:r>
        <w:t>based compensation scheme.  The</w:t>
      </w:r>
      <w:r w:rsidRPr="005605CF">
        <w:t xml:space="preserve"> document also annexed Facebook </w:t>
      </w:r>
      <w:proofErr w:type="spellStart"/>
      <w:r w:rsidRPr="005605CF">
        <w:t>Inc</w:t>
      </w:r>
      <w:r w:rsidR="0059361E">
        <w:t>’</w:t>
      </w:r>
      <w:r w:rsidRPr="005605CF">
        <w:t>s</w:t>
      </w:r>
      <w:proofErr w:type="spellEnd"/>
      <w:r w:rsidRPr="005605CF">
        <w:t xml:space="preserve"> prospectus for its May 2012 IPO and various other documents lodged with the United States Securities and Exchange Commission. </w:t>
      </w:r>
      <w:r>
        <w:t xml:space="preserve"> </w:t>
      </w:r>
      <w:r w:rsidRPr="005605CF">
        <w:t>The</w:t>
      </w:r>
      <w:r>
        <w:t xml:space="preserve"> Commissioner submitted that the</w:t>
      </w:r>
      <w:r w:rsidRPr="005605CF">
        <w:t xml:space="preserve"> fact that Facebook Australia employees were rewarded with stock in Facebook </w:t>
      </w:r>
      <w:proofErr w:type="spellStart"/>
      <w:r w:rsidRPr="005605CF">
        <w:t>Inc</w:t>
      </w:r>
      <w:proofErr w:type="spellEnd"/>
      <w:r w:rsidRPr="005605CF">
        <w:t xml:space="preserve"> arguably demonstrates the strong connection between the parent company and its Australian subsidiary, which was carrying on business in Australia.</w:t>
      </w:r>
      <w:r w:rsidR="00654A5C">
        <w:t xml:space="preserve">  I have not placed </w:t>
      </w:r>
      <w:r w:rsidR="00F86FA0">
        <w:t xml:space="preserve">any </w:t>
      </w:r>
      <w:r w:rsidR="00654A5C">
        <w:t>weight on this factor</w:t>
      </w:r>
      <w:r w:rsidR="00F86FA0">
        <w:t xml:space="preserve"> in reaching the conclusion that the Commissioner has established a prima facie case that Facebook </w:t>
      </w:r>
      <w:proofErr w:type="spellStart"/>
      <w:r w:rsidR="00F86FA0">
        <w:t>Inc</w:t>
      </w:r>
      <w:proofErr w:type="spellEnd"/>
      <w:r w:rsidR="00F86FA0">
        <w:t xml:space="preserve"> carried on business in Australia</w:t>
      </w:r>
      <w:r w:rsidR="00654A5C">
        <w:t>.</w:t>
      </w:r>
    </w:p>
    <w:p w14:paraId="381CBE94" w14:textId="468337FF" w:rsidR="009138C1" w:rsidRPr="005605CF" w:rsidRDefault="000C76BE" w:rsidP="00D8611D">
      <w:pPr>
        <w:pStyle w:val="Heading3"/>
      </w:pPr>
      <w:r>
        <w:t>D</w:t>
      </w:r>
      <w:r w:rsidR="002D341A">
        <w:t xml:space="preserve">.2.6  </w:t>
      </w:r>
      <w:r w:rsidR="009138C1">
        <w:t>Drawing on funds</w:t>
      </w:r>
    </w:p>
    <w:p w14:paraId="41C80464" w14:textId="21B5315A" w:rsidR="00D8611D" w:rsidRDefault="00D8611D" w:rsidP="009138C1">
      <w:pPr>
        <w:pStyle w:val="ParaNumbering"/>
      </w:pPr>
      <w:r>
        <w:t>The Commissioner referred to</w:t>
      </w:r>
      <w:r w:rsidR="009138C1" w:rsidRPr="005605CF">
        <w:t xml:space="preserve"> Facebook </w:t>
      </w:r>
      <w:proofErr w:type="spellStart"/>
      <w:r w:rsidR="009138C1" w:rsidRPr="005605CF">
        <w:t>Inc</w:t>
      </w:r>
      <w:r w:rsidR="0059361E">
        <w:t>’</w:t>
      </w:r>
      <w:r w:rsidR="009138C1" w:rsidRPr="005605CF">
        <w:t>s</w:t>
      </w:r>
      <w:proofErr w:type="spellEnd"/>
      <w:r w:rsidR="009138C1" w:rsidRPr="005605CF">
        <w:t xml:space="preserve"> 2012 IPO prospectus </w:t>
      </w:r>
      <w:r>
        <w:t>which included</w:t>
      </w:r>
      <w:r w:rsidR="009138C1" w:rsidRPr="005605CF">
        <w:t xml:space="preserve">: </w:t>
      </w:r>
    </w:p>
    <w:p w14:paraId="315D34E4" w14:textId="3F331D3E" w:rsidR="00D8611D" w:rsidRDefault="009138C1" w:rsidP="00D8611D">
      <w:pPr>
        <w:pStyle w:val="Quote1"/>
        <w:spacing w:after="0"/>
        <w:rPr>
          <w:rFonts w:ascii="Palatino Linotype" w:hAnsi="Palatino Linotype"/>
        </w:rPr>
      </w:pPr>
      <w:r w:rsidRPr="005605CF">
        <w:t>As of March 31 2012, $486 million of the $3,910 million in cash and cash equivalents and marketable securities was held by our foreign subsidiaries. We have provided for the additional taxes that would be due if we repatriated these funds for use in our operations in the United States.</w:t>
      </w:r>
    </w:p>
    <w:p w14:paraId="5FC2CA05" w14:textId="77777777" w:rsidR="00D8611D" w:rsidRDefault="00D8611D" w:rsidP="00D8611D">
      <w:pPr>
        <w:pStyle w:val="Quote1"/>
      </w:pPr>
    </w:p>
    <w:p w14:paraId="4ECD0EB0" w14:textId="7DF3EEB6" w:rsidR="009138C1" w:rsidRDefault="009138C1" w:rsidP="009138C1">
      <w:pPr>
        <w:pStyle w:val="ParaNumbering"/>
      </w:pPr>
      <w:r w:rsidRPr="005605CF">
        <w:t>Th</w:t>
      </w:r>
      <w:r w:rsidR="00D8611D">
        <w:t>e Commissioner submitted that th</w:t>
      </w:r>
      <w:r w:rsidRPr="005605CF">
        <w:t>is demonstrate</w:t>
      </w:r>
      <w:r w:rsidR="00D8611D">
        <w:t>d</w:t>
      </w:r>
      <w:r w:rsidRPr="005605CF">
        <w:t xml:space="preserve"> that Facebook </w:t>
      </w:r>
      <w:proofErr w:type="spellStart"/>
      <w:r w:rsidRPr="005605CF">
        <w:t>Inc</w:t>
      </w:r>
      <w:proofErr w:type="spellEnd"/>
      <w:r w:rsidRPr="005605CF">
        <w:t xml:space="preserve"> considered itself able to draw on funds from its foreign subsidiaries to apply to United States operations. </w:t>
      </w:r>
      <w:r w:rsidR="00D8611D">
        <w:t xml:space="preserve"> It was submitted t</w:t>
      </w:r>
      <w:r w:rsidRPr="005605CF">
        <w:t xml:space="preserve">hat </w:t>
      </w:r>
      <w:r w:rsidR="002B4709">
        <w:t xml:space="preserve">this </w:t>
      </w:r>
      <w:r w:rsidR="00D8611D">
        <w:t>gave rise to</w:t>
      </w:r>
      <w:r w:rsidRPr="005605CF">
        <w:t xml:space="preserve"> an </w:t>
      </w:r>
      <w:r w:rsidR="00D8611D">
        <w:t xml:space="preserve">arguable </w:t>
      </w:r>
      <w:r w:rsidRPr="005605CF">
        <w:t xml:space="preserve">inference, absent evidence to the contrary, that Facebook </w:t>
      </w:r>
      <w:proofErr w:type="spellStart"/>
      <w:r w:rsidRPr="005605CF">
        <w:t>Inc</w:t>
      </w:r>
      <w:r w:rsidR="0059361E">
        <w:t>’</w:t>
      </w:r>
      <w:r w:rsidRPr="005605CF">
        <w:t>s</w:t>
      </w:r>
      <w:proofErr w:type="spellEnd"/>
      <w:r w:rsidRPr="005605CF">
        <w:t xml:space="preserve"> foreign subsidiaries (including Facebook Australia and Facebook </w:t>
      </w:r>
      <w:r w:rsidR="00D8611D">
        <w:t>Ireland</w:t>
      </w:r>
      <w:r w:rsidRPr="005605CF">
        <w:t xml:space="preserve">) were </w:t>
      </w:r>
      <w:r w:rsidRPr="005605CF">
        <w:lastRenderedPageBreak/>
        <w:t xml:space="preserve">subject to direction from Facebook </w:t>
      </w:r>
      <w:proofErr w:type="spellStart"/>
      <w:r w:rsidRPr="005605CF">
        <w:t>Inc</w:t>
      </w:r>
      <w:proofErr w:type="spellEnd"/>
      <w:r w:rsidRPr="005605CF">
        <w:t xml:space="preserve"> in respect of those subsidiaries</w:t>
      </w:r>
      <w:r w:rsidR="0059361E">
        <w:t>’</w:t>
      </w:r>
      <w:r w:rsidRPr="005605CF">
        <w:t xml:space="preserve"> funds</w:t>
      </w:r>
      <w:r w:rsidR="00D8611D">
        <w:t>, which in turn suggested</w:t>
      </w:r>
      <w:r w:rsidRPr="005605CF">
        <w:t xml:space="preserve"> that the parent company was also carrying on business in Australia.  </w:t>
      </w:r>
    </w:p>
    <w:p w14:paraId="2BB94CDB" w14:textId="26F59B4E" w:rsidR="000364D2" w:rsidRDefault="000364D2" w:rsidP="009138C1">
      <w:pPr>
        <w:pStyle w:val="ParaNumbering"/>
      </w:pPr>
      <w:r>
        <w:t xml:space="preserve">Facebook </w:t>
      </w:r>
      <w:proofErr w:type="spellStart"/>
      <w:r>
        <w:t>Inc</w:t>
      </w:r>
      <w:proofErr w:type="spellEnd"/>
      <w:r>
        <w:t xml:space="preserve"> submitted that a general capacity to control is not evidence of agency, referring to what Merkel J said in </w:t>
      </w:r>
      <w:r>
        <w:rPr>
          <w:i/>
        </w:rPr>
        <w:t>Bray</w:t>
      </w:r>
      <w:r w:rsidR="005A47DC">
        <w:rPr>
          <w:i/>
        </w:rPr>
        <w:t xml:space="preserve"> FCA</w:t>
      </w:r>
      <w:r>
        <w:t xml:space="preserve"> at [79] and [80]:</w:t>
      </w:r>
    </w:p>
    <w:p w14:paraId="7EC63C01" w14:textId="77777777" w:rsidR="000364D2" w:rsidRPr="000364D2" w:rsidRDefault="000364D2" w:rsidP="000364D2">
      <w:pPr>
        <w:pStyle w:val="Quote1"/>
      </w:pPr>
      <w:r w:rsidRPr="000364D2">
        <w:t>For present purposes, I am prepared to accept that, directly or indirectly, the</w:t>
      </w:r>
      <w:r>
        <w:t xml:space="preserve"> </w:t>
      </w:r>
      <w:r w:rsidRPr="000364D2">
        <w:t xml:space="preserve">parent or regional parent companies in each group may have the </w:t>
      </w:r>
      <w:r w:rsidRPr="00F73B46">
        <w:rPr>
          <w:i/>
        </w:rPr>
        <w:t xml:space="preserve">ultimate </w:t>
      </w:r>
      <w:r w:rsidRPr="000364D2">
        <w:t>legal</w:t>
      </w:r>
      <w:r>
        <w:t xml:space="preserve"> </w:t>
      </w:r>
      <w:r w:rsidRPr="000364D2">
        <w:t>entitlement, as shareholders, to elect the boards of the subsidiaries and</w:t>
      </w:r>
      <w:r>
        <w:t xml:space="preserve"> </w:t>
      </w:r>
      <w:r w:rsidRPr="000364D2">
        <w:t>therefore, in a practical and commercial sense, have a general capacity to direct</w:t>
      </w:r>
      <w:r>
        <w:t xml:space="preserve"> </w:t>
      </w:r>
      <w:r w:rsidRPr="000364D2">
        <w:t>and control their commercial operations. The evidence, at this stage, is</w:t>
      </w:r>
      <w:r>
        <w:t xml:space="preserve"> </w:t>
      </w:r>
      <w:r w:rsidRPr="000364D2">
        <w:t>extremely vague and uncertain as to whether, and if so to what extent, that</w:t>
      </w:r>
      <w:r>
        <w:t xml:space="preserve"> </w:t>
      </w:r>
      <w:r w:rsidRPr="000364D2">
        <w:t>capacity was exercised other than in the course of implementing the cartel</w:t>
      </w:r>
      <w:r>
        <w:t xml:space="preserve"> </w:t>
      </w:r>
      <w:r w:rsidRPr="000364D2">
        <w:t>arrangement. Of course, that implementation involved the parents, directly or</w:t>
      </w:r>
      <w:r>
        <w:t xml:space="preserve"> </w:t>
      </w:r>
      <w:r w:rsidRPr="000364D2">
        <w:t>indirectly, in supplying and fixing prices for the class vitamins. However,</w:t>
      </w:r>
      <w:r>
        <w:t xml:space="preserve"> </w:t>
      </w:r>
      <w:r w:rsidRPr="000364D2">
        <w:t>putting to one side any alleged illegality attending the implementation of the</w:t>
      </w:r>
      <w:r>
        <w:t xml:space="preserve"> </w:t>
      </w:r>
      <w:r w:rsidRPr="000364D2">
        <w:t>cartel arrangement, the situation described above reflects a quite unexceptional</w:t>
      </w:r>
      <w:r>
        <w:t xml:space="preserve"> </w:t>
      </w:r>
      <w:r w:rsidRPr="000364D2">
        <w:t>commercial and legal relationship which commonly exists between overseas</w:t>
      </w:r>
      <w:r>
        <w:t xml:space="preserve"> </w:t>
      </w:r>
      <w:r w:rsidRPr="000364D2">
        <w:t>parent and regional companies and their Australian subsidiaries in a vertically</w:t>
      </w:r>
      <w:r>
        <w:t xml:space="preserve"> </w:t>
      </w:r>
      <w:r w:rsidRPr="000364D2">
        <w:t>integrated worldwide group of companies.</w:t>
      </w:r>
    </w:p>
    <w:p w14:paraId="15F8F963" w14:textId="125D6869" w:rsidR="000364D2" w:rsidRDefault="000364D2" w:rsidP="000364D2">
      <w:pPr>
        <w:pStyle w:val="Quote1"/>
        <w:spacing w:after="0"/>
      </w:pPr>
      <w:r w:rsidRPr="000364D2">
        <w:t>In my view something more than the indirect legal and commercial capacity</w:t>
      </w:r>
      <w:r>
        <w:t xml:space="preserve"> </w:t>
      </w:r>
      <w:r w:rsidRPr="000364D2">
        <w:t>of the parent companies to control and direct the subsidiaries, plus the parent</w:t>
      </w:r>
      <w:r w:rsidR="0059361E">
        <w:t>’</w:t>
      </w:r>
      <w:r w:rsidRPr="000364D2">
        <w:t>s</w:t>
      </w:r>
      <w:r>
        <w:t xml:space="preserve"> </w:t>
      </w:r>
      <w:r w:rsidRPr="000364D2">
        <w:t>involvement in implementing the cartel arrangement, is required to lift the</w:t>
      </w:r>
      <w:r>
        <w:t xml:space="preserve"> </w:t>
      </w:r>
      <w:r w:rsidRPr="000364D2">
        <w:t>corporate veil between the subsidiaries and their parents or to find that each of</w:t>
      </w:r>
      <w:r>
        <w:t xml:space="preserve"> </w:t>
      </w:r>
      <w:r w:rsidRPr="000364D2">
        <w:t>the subsidiaries is carrying on its business as agent for the parent. That is</w:t>
      </w:r>
      <w:r>
        <w:t xml:space="preserve"> </w:t>
      </w:r>
      <w:r w:rsidRPr="000364D2">
        <w:t>particularly so where it is contended ( as it is in the present case) that the parent,</w:t>
      </w:r>
      <w:r>
        <w:t xml:space="preserve"> </w:t>
      </w:r>
      <w:r w:rsidRPr="000364D2">
        <w:t>rather than the subsidiary, is carrying on business in Australia or, put another</w:t>
      </w:r>
      <w:r>
        <w:t xml:space="preserve"> </w:t>
      </w:r>
      <w:r w:rsidRPr="000364D2">
        <w:t>way, the subsidiary is engaging in all of its commercial activities on behalf of,</w:t>
      </w:r>
      <w:r>
        <w:t xml:space="preserve"> </w:t>
      </w:r>
      <w:r w:rsidRPr="000364D2">
        <w:t>and therefore as agent for, the parent.</w:t>
      </w:r>
    </w:p>
    <w:p w14:paraId="0B840ABB" w14:textId="77777777" w:rsidR="000364D2" w:rsidRPr="000364D2" w:rsidRDefault="000364D2" w:rsidP="000364D2">
      <w:pPr>
        <w:pStyle w:val="Quote1"/>
        <w:rPr>
          <w:sz w:val="24"/>
        </w:rPr>
      </w:pPr>
    </w:p>
    <w:p w14:paraId="44DD04FF" w14:textId="31F5E516" w:rsidR="00D6786B" w:rsidRDefault="000364D2" w:rsidP="002B4709">
      <w:pPr>
        <w:pStyle w:val="ParaNumbering"/>
      </w:pPr>
      <w:r>
        <w:t>Likewise, the fact that an overseas parent might have the ability to influence or control funds being paid to it by a subsidiary does not, of itself, indicate that the parent is carrying on business in the jurisdiction in which the subsidiary carries on business.</w:t>
      </w:r>
      <w:r w:rsidR="00F86FA0">
        <w:t xml:space="preserve">  </w:t>
      </w:r>
      <w:r w:rsidR="00450F93">
        <w:t xml:space="preserve">I have not placed </w:t>
      </w:r>
      <w:r w:rsidR="00F86FA0">
        <w:t xml:space="preserve">any </w:t>
      </w:r>
      <w:r w:rsidR="00450F93">
        <w:t>weight on this factor</w:t>
      </w:r>
      <w:r w:rsidR="00F86FA0">
        <w:t xml:space="preserve"> in reaching the conclusion that the Commissioner has established a prima facie case that Facebook </w:t>
      </w:r>
      <w:proofErr w:type="spellStart"/>
      <w:r w:rsidR="00F86FA0">
        <w:t>Inc</w:t>
      </w:r>
      <w:proofErr w:type="spellEnd"/>
      <w:r w:rsidR="00F86FA0">
        <w:t xml:space="preserve"> carried on business in Australia.</w:t>
      </w:r>
    </w:p>
    <w:p w14:paraId="0CD9C406" w14:textId="56495311" w:rsidR="00450F93" w:rsidRDefault="000C76BE" w:rsidP="006D704B">
      <w:pPr>
        <w:pStyle w:val="Heading2"/>
      </w:pPr>
      <w:r>
        <w:t>D</w:t>
      </w:r>
      <w:r w:rsidR="006D704B">
        <w:t>.3</w:t>
      </w:r>
      <w:r w:rsidR="00450F93">
        <w:tab/>
        <w:t xml:space="preserve">Conclusion: </w:t>
      </w:r>
      <w:r w:rsidR="006D704B">
        <w:t>carries on business</w:t>
      </w:r>
    </w:p>
    <w:p w14:paraId="38F3B969" w14:textId="6405323C" w:rsidR="005E3E4E" w:rsidRDefault="00F86FA0" w:rsidP="00A3238A">
      <w:pPr>
        <w:pStyle w:val="ParaNumbering"/>
      </w:pPr>
      <w:r>
        <w:t>F</w:t>
      </w:r>
      <w:r w:rsidR="006D704B">
        <w:t xml:space="preserve">or the reasons given in sections </w:t>
      </w:r>
      <w:r w:rsidR="00D87C83">
        <w:t>D</w:t>
      </w:r>
      <w:r w:rsidR="006D704B">
        <w:t>.2.2</w:t>
      </w:r>
      <w:r w:rsidR="00064006">
        <w:t xml:space="preserve"> (installation, </w:t>
      </w:r>
      <w:r w:rsidR="006D704B">
        <w:t xml:space="preserve">operation </w:t>
      </w:r>
      <w:r w:rsidR="00064006">
        <w:t xml:space="preserve">and removal </w:t>
      </w:r>
      <w:r w:rsidR="006D704B">
        <w:t xml:space="preserve">of cookies) and </w:t>
      </w:r>
      <w:r w:rsidR="00D87C83">
        <w:t>D</w:t>
      </w:r>
      <w:r w:rsidR="006D704B">
        <w:t>.2.3 (</w:t>
      </w:r>
      <w:r w:rsidR="00064006">
        <w:t xml:space="preserve">provision of the Graph API) and the further reasons given in Section </w:t>
      </w:r>
      <w:r w:rsidR="00D87C83">
        <w:t>E</w:t>
      </w:r>
      <w:r w:rsidR="00064006">
        <w:t xml:space="preserve"> below concerning whether a prima facie case </w:t>
      </w:r>
      <w:r w:rsidR="00616241">
        <w:t>has been</w:t>
      </w:r>
      <w:r w:rsidR="00064006">
        <w:t xml:space="preserve"> established that Facebook </w:t>
      </w:r>
      <w:proofErr w:type="spellStart"/>
      <w:r w:rsidR="00064006">
        <w:t>Inc</w:t>
      </w:r>
      <w:proofErr w:type="spellEnd"/>
      <w:r w:rsidR="00064006">
        <w:t xml:space="preserve"> collected or held information within the meaning of s 5B(3)(c), I am satisfied that the Commissioner has established a prima facie case</w:t>
      </w:r>
      <w:r w:rsidR="005E3E4E">
        <w:t>, in the required sense,</w:t>
      </w:r>
      <w:r w:rsidR="00064006">
        <w:t xml:space="preserve"> that Facebook </w:t>
      </w:r>
      <w:proofErr w:type="spellStart"/>
      <w:r w:rsidR="00064006">
        <w:t>Inc</w:t>
      </w:r>
      <w:proofErr w:type="spellEnd"/>
      <w:r w:rsidR="00064006">
        <w:t xml:space="preserve"> carried on business in Australia within the meaning of s 5B(3)(b).</w:t>
      </w:r>
      <w:r w:rsidR="00A3238A">
        <w:t xml:space="preserve">  </w:t>
      </w:r>
      <w:r w:rsidR="005E3E4E">
        <w:t xml:space="preserve">In summary, the Commissioner has established a </w:t>
      </w:r>
      <w:r w:rsidR="002B4709">
        <w:t xml:space="preserve">sufficient </w:t>
      </w:r>
      <w:r w:rsidR="005E3E4E">
        <w:t xml:space="preserve">prima facie case that Facebook </w:t>
      </w:r>
      <w:proofErr w:type="spellStart"/>
      <w:r w:rsidR="005E3E4E">
        <w:t>Inc</w:t>
      </w:r>
      <w:proofErr w:type="spellEnd"/>
      <w:r w:rsidR="005E3E4E">
        <w:t xml:space="preserve"> carried on business in</w:t>
      </w:r>
      <w:r w:rsidR="00A3238A">
        <w:t xml:space="preserve"> Australia </w:t>
      </w:r>
      <w:r w:rsidR="000B2EDE">
        <w:t xml:space="preserve">which included </w:t>
      </w:r>
      <w:r w:rsidR="00A3238A">
        <w:t>providing services to Facebook Ireland.</w:t>
      </w:r>
    </w:p>
    <w:p w14:paraId="03BB96AB" w14:textId="3E529540" w:rsidR="009138C1" w:rsidRDefault="000C76BE" w:rsidP="00D8611D">
      <w:pPr>
        <w:pStyle w:val="Heading1"/>
      </w:pPr>
      <w:proofErr w:type="spellStart"/>
      <w:r>
        <w:lastRenderedPageBreak/>
        <w:t>E</w:t>
      </w:r>
      <w:proofErr w:type="spellEnd"/>
      <w:r w:rsidR="00616241">
        <w:t xml:space="preserve">  </w:t>
      </w:r>
      <w:r w:rsidR="00D8611D">
        <w:t>COLLECTED OR HELD PERSONAL INFORMATION</w:t>
      </w:r>
    </w:p>
    <w:p w14:paraId="4645D662" w14:textId="28F8BE23" w:rsidR="005722BA" w:rsidRDefault="00D8611D" w:rsidP="005F3B32">
      <w:pPr>
        <w:pStyle w:val="ParaNumbering"/>
      </w:pPr>
      <w:r>
        <w:t xml:space="preserve">As noted </w:t>
      </w:r>
      <w:r w:rsidR="006B5AE5">
        <w:t>in Section B above</w:t>
      </w:r>
      <w:r>
        <w:t xml:space="preserve">, the second matter in respect of which the Commissioner was required to show a prima facie case was that </w:t>
      </w:r>
      <w:r w:rsidR="00562D33" w:rsidRPr="00635DB2">
        <w:t xml:space="preserve">the personal information was collected or held by </w:t>
      </w:r>
      <w:r w:rsidR="00562D33">
        <w:t xml:space="preserve">Facebook </w:t>
      </w:r>
      <w:proofErr w:type="spellStart"/>
      <w:r w:rsidR="00562D33">
        <w:t>Inc</w:t>
      </w:r>
      <w:proofErr w:type="spellEnd"/>
      <w:r w:rsidR="00562D33" w:rsidRPr="00635DB2">
        <w:t xml:space="preserve"> in Australia </w:t>
      </w:r>
      <w:r w:rsidR="00A40D3A">
        <w:t xml:space="preserve">at the relevant time.  </w:t>
      </w:r>
    </w:p>
    <w:p w14:paraId="4E8FDD0F" w14:textId="240EC3A7" w:rsidR="00D8611D" w:rsidRDefault="00B96A9C" w:rsidP="005F3B32">
      <w:pPr>
        <w:pStyle w:val="ParaNumbering"/>
      </w:pPr>
      <w:r>
        <w:t xml:space="preserve">It is sufficient for the Commissioner to establish a prima facie case with respect to either collecting or holding personal information.  </w:t>
      </w:r>
      <w:r w:rsidR="00A40D3A">
        <w:t xml:space="preserve">Section 5B(3)(c) </w:t>
      </w:r>
      <w:r w:rsidR="00D87C83">
        <w:t xml:space="preserve">of the </w:t>
      </w:r>
      <w:r w:rsidR="00D87C83">
        <w:rPr>
          <w:i/>
        </w:rPr>
        <w:t xml:space="preserve">Privacy Act </w:t>
      </w:r>
      <w:r w:rsidR="00A40D3A">
        <w:t>provide</w:t>
      </w:r>
      <w:r w:rsidR="00D87C83">
        <w:t>s</w:t>
      </w:r>
      <w:r w:rsidR="00A40D3A">
        <w:t>:</w:t>
      </w:r>
    </w:p>
    <w:p w14:paraId="00207879" w14:textId="77777777" w:rsidR="00D8611D" w:rsidRPr="00635DB2" w:rsidRDefault="00D8611D" w:rsidP="00D8611D">
      <w:pPr>
        <w:pStyle w:val="Quote1"/>
        <w:ind w:left="1418" w:hanging="681"/>
      </w:pPr>
      <w:r w:rsidRPr="00635DB2">
        <w:t>(3)</w:t>
      </w:r>
      <w:r w:rsidRPr="00635DB2">
        <w:tab/>
        <w:t xml:space="preserve">An organisation or small business operator also has an </w:t>
      </w:r>
      <w:r w:rsidRPr="00635DB2">
        <w:rPr>
          <w:b/>
          <w:i/>
        </w:rPr>
        <w:t>Australian link</w:t>
      </w:r>
      <w:r w:rsidRPr="00635DB2">
        <w:t xml:space="preserve"> if all of the following apply:</w:t>
      </w:r>
    </w:p>
    <w:p w14:paraId="78BA5C45" w14:textId="77777777" w:rsidR="00D8611D" w:rsidRPr="00635DB2" w:rsidRDefault="00A40D3A" w:rsidP="00D8611D">
      <w:pPr>
        <w:pStyle w:val="Quote1"/>
        <w:ind w:left="1985" w:hanging="567"/>
      </w:pPr>
      <w:r>
        <w:t>…</w:t>
      </w:r>
    </w:p>
    <w:p w14:paraId="2072CA9E" w14:textId="77777777" w:rsidR="00D8611D" w:rsidRDefault="00D8611D" w:rsidP="00A40D3A">
      <w:pPr>
        <w:pStyle w:val="Quote1"/>
        <w:spacing w:after="0"/>
        <w:ind w:left="1985" w:hanging="567"/>
      </w:pPr>
      <w:r w:rsidRPr="00635DB2">
        <w:t>(c)</w:t>
      </w:r>
      <w:r w:rsidRPr="00635DB2">
        <w:tab/>
        <w:t>the personal information was collected or held by the organisation or operator in Australia or an external Territory, either before or at the time of the act or practice.</w:t>
      </w:r>
    </w:p>
    <w:p w14:paraId="6ED3C186" w14:textId="77777777" w:rsidR="00A40D3A" w:rsidRPr="00635DB2" w:rsidRDefault="00A40D3A" w:rsidP="00D8611D">
      <w:pPr>
        <w:pStyle w:val="Quote1"/>
        <w:ind w:left="1985" w:hanging="567"/>
      </w:pPr>
    </w:p>
    <w:p w14:paraId="4CB41F60" w14:textId="6094586D" w:rsidR="005F3B32" w:rsidRDefault="002D4484" w:rsidP="005F3B32">
      <w:pPr>
        <w:pStyle w:val="ParaNumbering"/>
      </w:pPr>
      <w:r>
        <w:t xml:space="preserve">Section 6 </w:t>
      </w:r>
      <w:r w:rsidR="00D87C83">
        <w:t xml:space="preserve">of the </w:t>
      </w:r>
      <w:r w:rsidR="00D87C83">
        <w:rPr>
          <w:i/>
        </w:rPr>
        <w:t xml:space="preserve">Privacy Act </w:t>
      </w:r>
      <w:r>
        <w:t xml:space="preserve">defines </w:t>
      </w:r>
      <w:r w:rsidR="0059361E">
        <w:t>“</w:t>
      </w:r>
      <w:r>
        <w:t>personal information</w:t>
      </w:r>
      <w:r w:rsidR="0059361E">
        <w:t>”</w:t>
      </w:r>
      <w:r>
        <w:t xml:space="preserve"> in the following way:</w:t>
      </w:r>
    </w:p>
    <w:p w14:paraId="37F67576" w14:textId="21ABF164" w:rsidR="00CA210C" w:rsidRPr="00CA210C" w:rsidRDefault="00CA210C" w:rsidP="00CA210C">
      <w:pPr>
        <w:pStyle w:val="Quote1"/>
      </w:pPr>
      <w:r w:rsidRPr="00CA210C">
        <w:rPr>
          <w:b/>
          <w:bCs/>
          <w:i/>
          <w:iCs/>
        </w:rPr>
        <w:t>personal information</w:t>
      </w:r>
      <w:r>
        <w:t xml:space="preserve"> </w:t>
      </w:r>
      <w:r w:rsidRPr="00CA210C">
        <w:t>means information or an opinion about an identified individual, or an individual who is reasonably identifiable:</w:t>
      </w:r>
    </w:p>
    <w:p w14:paraId="0504EEF6" w14:textId="1761F092" w:rsidR="00CA210C" w:rsidRPr="00CA210C" w:rsidRDefault="00CA210C" w:rsidP="00CA210C">
      <w:pPr>
        <w:pStyle w:val="Quote1"/>
        <w:ind w:left="1276" w:hanging="539"/>
      </w:pPr>
      <w:r>
        <w:t>(a)</w:t>
      </w:r>
      <w:r w:rsidRPr="00CA210C">
        <w:t xml:space="preserve"> </w:t>
      </w:r>
      <w:r>
        <w:tab/>
      </w:r>
      <w:r w:rsidRPr="00CA210C">
        <w:t>whether the information or opinion is true or not; and</w:t>
      </w:r>
    </w:p>
    <w:p w14:paraId="29500499" w14:textId="1640AA98" w:rsidR="00CA210C" w:rsidRPr="00CA210C" w:rsidRDefault="00CA210C" w:rsidP="00CE65D6">
      <w:pPr>
        <w:pStyle w:val="Quote1"/>
        <w:spacing w:after="0"/>
        <w:ind w:left="1276" w:hanging="539"/>
      </w:pPr>
      <w:r>
        <w:t>(b)</w:t>
      </w:r>
      <w:r>
        <w:tab/>
      </w:r>
      <w:r w:rsidRPr="00CA210C">
        <w:t>whether the information or opinion is recorded in a material form or not.</w:t>
      </w:r>
    </w:p>
    <w:p w14:paraId="53D16653" w14:textId="77777777" w:rsidR="002D4484" w:rsidRDefault="002D4484" w:rsidP="002D4484">
      <w:pPr>
        <w:pStyle w:val="Quote1"/>
      </w:pPr>
    </w:p>
    <w:p w14:paraId="234F62EF" w14:textId="72574ACE" w:rsidR="00BA03CC" w:rsidRDefault="000C76BE" w:rsidP="00BA03CC">
      <w:pPr>
        <w:pStyle w:val="Heading2"/>
      </w:pPr>
      <w:r>
        <w:t>E</w:t>
      </w:r>
      <w:r w:rsidR="006B5AE5">
        <w:t xml:space="preserve">.1  </w:t>
      </w:r>
      <w:r w:rsidR="00BA03CC">
        <w:t>Collects</w:t>
      </w:r>
    </w:p>
    <w:p w14:paraId="37932A11" w14:textId="281C0834" w:rsidR="002D4484" w:rsidRDefault="002D4484" w:rsidP="002D4484">
      <w:pPr>
        <w:pStyle w:val="ParaNumbering"/>
      </w:pPr>
      <w:r>
        <w:t xml:space="preserve">Section 6 defines </w:t>
      </w:r>
      <w:r w:rsidR="0059361E">
        <w:t>“</w:t>
      </w:r>
      <w:r>
        <w:t>collects</w:t>
      </w:r>
      <w:r w:rsidR="0059361E">
        <w:t>”</w:t>
      </w:r>
      <w:r>
        <w:t xml:space="preserve"> in the following way:</w:t>
      </w:r>
    </w:p>
    <w:p w14:paraId="23C18D58" w14:textId="3ADE2E09" w:rsidR="002D4484" w:rsidRDefault="002D4484" w:rsidP="002D4484">
      <w:pPr>
        <w:pStyle w:val="Quote1"/>
        <w:spacing w:after="0"/>
      </w:pPr>
      <w:r w:rsidRPr="002D4484">
        <w:rPr>
          <w:b/>
          <w:i/>
        </w:rPr>
        <w:t>collects</w:t>
      </w:r>
      <w:r>
        <w:t xml:space="preserve">: an entity </w:t>
      </w:r>
      <w:r w:rsidRPr="00BA03CC">
        <w:rPr>
          <w:b/>
          <w:i/>
        </w:rPr>
        <w:t>collects</w:t>
      </w:r>
      <w:r>
        <w:t xml:space="preserve"> personal information only if the entity collects the personal information for inclusion in a record or generally available publication</w:t>
      </w:r>
      <w:r w:rsidR="00D87C83">
        <w:t>.</w:t>
      </w:r>
    </w:p>
    <w:p w14:paraId="5358212A" w14:textId="77777777" w:rsidR="002D4484" w:rsidRDefault="002D4484" w:rsidP="002D4484">
      <w:pPr>
        <w:pStyle w:val="Quote1"/>
      </w:pPr>
    </w:p>
    <w:p w14:paraId="66DC9699" w14:textId="51B3EEA3" w:rsidR="002D4484" w:rsidRDefault="002D4484" w:rsidP="0088559B">
      <w:pPr>
        <w:pStyle w:val="ParaNumbering"/>
      </w:pPr>
      <w:r>
        <w:t xml:space="preserve">This definition operates by limiting what would ordinarily be understood by the </w:t>
      </w:r>
      <w:r w:rsidR="00370B1D">
        <w:t>word</w:t>
      </w:r>
      <w:r>
        <w:t xml:space="preserve"> </w:t>
      </w:r>
      <w:r w:rsidR="0059361E">
        <w:t>“</w:t>
      </w:r>
      <w:r>
        <w:t>collects</w:t>
      </w:r>
      <w:r w:rsidR="0059361E">
        <w:t>”</w:t>
      </w:r>
      <w:r>
        <w:t xml:space="preserve">.  </w:t>
      </w:r>
      <w:r w:rsidR="00370B1D">
        <w:t xml:space="preserve">The ordinary meaning of “collects” is to gather, assemble, accumulate or make a collection.  </w:t>
      </w:r>
      <w:r>
        <w:t xml:space="preserve">When the s 6 definition of </w:t>
      </w:r>
      <w:r w:rsidR="0059361E">
        <w:t>“</w:t>
      </w:r>
      <w:r>
        <w:t>collects</w:t>
      </w:r>
      <w:r w:rsidR="0059361E">
        <w:t>”</w:t>
      </w:r>
      <w:r>
        <w:t xml:space="preserve"> is read into s 5B(3)(c), it is apparent that para (c) is only satisfied, inter alia, if the collecting of information is for </w:t>
      </w:r>
      <w:r w:rsidR="0059361E">
        <w:t>“</w:t>
      </w:r>
      <w:r>
        <w:t>inclusion in a record or generally available publication</w:t>
      </w:r>
      <w:r w:rsidR="0059361E">
        <w:t>”</w:t>
      </w:r>
      <w:r>
        <w:t xml:space="preserve">.  </w:t>
      </w:r>
      <w:r w:rsidR="00EE72F0">
        <w:t xml:space="preserve">Put another way, an entity can collect information </w:t>
      </w:r>
      <w:r w:rsidR="00370B1D">
        <w:t xml:space="preserve">without falling within para (c) </w:t>
      </w:r>
      <w:r w:rsidR="00EE72F0">
        <w:t xml:space="preserve">where the collecting is not for </w:t>
      </w:r>
      <w:r w:rsidR="0059361E">
        <w:t>“</w:t>
      </w:r>
      <w:r w:rsidR="00EE72F0">
        <w:t>inclusion in a record or generally available publication</w:t>
      </w:r>
      <w:r w:rsidR="0059361E">
        <w:t>”</w:t>
      </w:r>
      <w:r w:rsidR="00EE72F0">
        <w:t xml:space="preserve">.  </w:t>
      </w:r>
      <w:r>
        <w:t>Paragraph (c) also includes a territorial limitation, nam</w:t>
      </w:r>
      <w:r w:rsidR="00BA03CC">
        <w:t>ely that the collecting must be in Australia.</w:t>
      </w:r>
    </w:p>
    <w:p w14:paraId="378A6604" w14:textId="0D63572C" w:rsidR="00BA03CC" w:rsidRDefault="00BA03CC" w:rsidP="00BA03CC">
      <w:pPr>
        <w:pStyle w:val="ParaNumbering"/>
      </w:pPr>
      <w:r>
        <w:t>As noted at [</w:t>
      </w:r>
      <w:r w:rsidR="00F14281">
        <w:fldChar w:fldCharType="begin"/>
      </w:r>
      <w:r w:rsidR="00F14281">
        <w:instrText xml:space="preserve"> REF _Ref50134210 \r \h </w:instrText>
      </w:r>
      <w:r w:rsidR="00F14281">
        <w:fldChar w:fldCharType="separate"/>
      </w:r>
      <w:r w:rsidR="00872EB6">
        <w:t>43</w:t>
      </w:r>
      <w:r w:rsidR="00F14281">
        <w:fldChar w:fldCharType="end"/>
      </w:r>
      <w:r>
        <w:t xml:space="preserve">] above, the Explanatory Memorandum </w:t>
      </w:r>
      <w:r w:rsidR="00A727BE">
        <w:t xml:space="preserve">to the </w:t>
      </w:r>
      <w:r w:rsidR="00A727BE" w:rsidRPr="00565A9A">
        <w:rPr>
          <w:i/>
        </w:rPr>
        <w:t>Privacy Amendment (Enhancing Privacy Protection) Bill 2012</w:t>
      </w:r>
      <w:r w:rsidR="00A727BE">
        <w:t xml:space="preserve"> (</w:t>
      </w:r>
      <w:proofErr w:type="spellStart"/>
      <w:r w:rsidR="00A727BE">
        <w:t>Cth</w:t>
      </w:r>
      <w:proofErr w:type="spellEnd"/>
      <w:r w:rsidR="00A727BE">
        <w:t xml:space="preserve">) </w:t>
      </w:r>
      <w:r w:rsidR="00346885">
        <w:t>included</w:t>
      </w:r>
      <w:r>
        <w:t>:</w:t>
      </w:r>
    </w:p>
    <w:p w14:paraId="537879A6" w14:textId="77777777" w:rsidR="00BA03CC" w:rsidRPr="00A1442C" w:rsidRDefault="00BA03CC" w:rsidP="00BA03CC">
      <w:pPr>
        <w:pStyle w:val="Quote1"/>
        <w:keepNext/>
        <w:rPr>
          <w:b/>
        </w:rPr>
      </w:pPr>
      <w:r w:rsidRPr="00A1442C">
        <w:rPr>
          <w:b/>
        </w:rPr>
        <w:lastRenderedPageBreak/>
        <w:t>Item 6 Subsection 5B(3)</w:t>
      </w:r>
    </w:p>
    <w:p w14:paraId="4FDFB91C" w14:textId="77777777" w:rsidR="00BA03CC" w:rsidRDefault="00BA03CC" w:rsidP="00BA03CC">
      <w:pPr>
        <w:pStyle w:val="Quote1"/>
        <w:keepNext/>
      </w:pPr>
      <w:r>
        <w:t>…</w:t>
      </w:r>
    </w:p>
    <w:p w14:paraId="54CD3EE9" w14:textId="6A61741D" w:rsidR="00BA03CC" w:rsidRDefault="00BA03CC" w:rsidP="00BA03CC">
      <w:pPr>
        <w:pStyle w:val="Quote1"/>
      </w:pPr>
      <w:r>
        <w:t xml:space="preserve">The collection of personal information </w:t>
      </w:r>
      <w:r w:rsidR="0059361E">
        <w:t>‘</w:t>
      </w:r>
      <w:r>
        <w:t>in Australia</w:t>
      </w:r>
      <w:r w:rsidR="0059361E">
        <w:t>’</w:t>
      </w:r>
      <w:r>
        <w:t xml:space="preserve"> under paragraph 5B(3)(c) includes the collection of personal information from an individual who is physically within the borders of Australia or an external territory, by an overseas entity.</w:t>
      </w:r>
    </w:p>
    <w:p w14:paraId="60F36562" w14:textId="0E31CDA0" w:rsidR="00BA03CC" w:rsidRDefault="00BA03CC" w:rsidP="00BA03CC">
      <w:pPr>
        <w:pStyle w:val="Quote1"/>
        <w:spacing w:after="0"/>
      </w:pPr>
      <w:r>
        <w:t xml:space="preserve">For example, a collection is taken to have occurred </w:t>
      </w:r>
      <w:r w:rsidR="0059361E">
        <w:t>‘</w:t>
      </w:r>
      <w:r>
        <w:t>in Australia</w:t>
      </w:r>
      <w:r w:rsidR="0059361E">
        <w:t>’</w:t>
      </w:r>
      <w:r>
        <w:t xml:space="preserve"> where an individual is physically located in Australia or an external Territory, and information is collected from that individual via a website, and the website is hosted outside of Australia, and owned by a foreign company that is based outside of Australia and that is not incorporated in Australia.  It is intended that, for the operation of paragraphs 5B(3)(b) and (c) of the Privacy Act, entities such as those described above who have an online presence (but no physical presence in Australia), and collect personal information from people who are physically in Australia, carry on a </w:t>
      </w:r>
      <w:r w:rsidR="0059361E">
        <w:t>‘</w:t>
      </w:r>
      <w:r>
        <w:t>business in Australia or an external Territory</w:t>
      </w:r>
      <w:r w:rsidR="0059361E">
        <w:t>’</w:t>
      </w:r>
      <w:r>
        <w:t>.</w:t>
      </w:r>
    </w:p>
    <w:p w14:paraId="74853A4A" w14:textId="77777777" w:rsidR="00BA03CC" w:rsidRDefault="00BA03CC" w:rsidP="00BA03CC">
      <w:pPr>
        <w:pStyle w:val="Quote1"/>
      </w:pPr>
    </w:p>
    <w:p w14:paraId="361A12FB" w14:textId="5B6A7FB4" w:rsidR="00BA03CC" w:rsidRDefault="00F14281" w:rsidP="00BA03CC">
      <w:pPr>
        <w:pStyle w:val="ParaNumbering"/>
      </w:pPr>
      <w:r>
        <w:t xml:space="preserve">The Commissioner observed that the word “collects” must be read in the context of the statute as a whole and must have a different operation to that which is captured by the word “holds”.  </w:t>
      </w:r>
      <w:r w:rsidR="00BA03CC">
        <w:t xml:space="preserve">Section 6 </w:t>
      </w:r>
      <w:r>
        <w:t xml:space="preserve">(discussed in more detail below) </w:t>
      </w:r>
      <w:r w:rsidR="00BA03CC">
        <w:t xml:space="preserve">defines </w:t>
      </w:r>
      <w:r w:rsidR="0059361E">
        <w:t>“</w:t>
      </w:r>
      <w:r w:rsidR="00BA03CC">
        <w:t>holds</w:t>
      </w:r>
      <w:r w:rsidR="0059361E">
        <w:t>”</w:t>
      </w:r>
      <w:r w:rsidR="00BA03CC">
        <w:t xml:space="preserve"> in the following way:</w:t>
      </w:r>
    </w:p>
    <w:p w14:paraId="215708D1" w14:textId="77777777" w:rsidR="00BA03CC" w:rsidRDefault="00BA03CC" w:rsidP="00BA03CC">
      <w:pPr>
        <w:pStyle w:val="Quote1"/>
        <w:spacing w:after="0"/>
      </w:pPr>
      <w:r w:rsidRPr="00BA03CC">
        <w:rPr>
          <w:b/>
          <w:i/>
        </w:rPr>
        <w:t>holds</w:t>
      </w:r>
      <w:r>
        <w:t xml:space="preserve">: an entity </w:t>
      </w:r>
      <w:r w:rsidRPr="00BA03CC">
        <w:rPr>
          <w:b/>
          <w:i/>
        </w:rPr>
        <w:t>holds</w:t>
      </w:r>
      <w:r>
        <w:t xml:space="preserve"> personal information if the entity has possession or control of a record that contains the personal information.</w:t>
      </w:r>
    </w:p>
    <w:p w14:paraId="22FA0767" w14:textId="77777777" w:rsidR="00BA03CC" w:rsidRDefault="00BA03CC" w:rsidP="00BA03CC">
      <w:pPr>
        <w:pStyle w:val="Quote1"/>
      </w:pPr>
    </w:p>
    <w:p w14:paraId="6F40E9EE" w14:textId="58C826D5" w:rsidR="002B4709" w:rsidRDefault="002B4709" w:rsidP="002B4709">
      <w:pPr>
        <w:pStyle w:val="ParaNumbering"/>
      </w:pPr>
      <w:bookmarkStart w:id="36" w:name="_Ref50713044"/>
      <w:r>
        <w:t xml:space="preserve">Facebook </w:t>
      </w:r>
      <w:proofErr w:type="spellStart"/>
      <w:r>
        <w:t>Inc</w:t>
      </w:r>
      <w:proofErr w:type="spellEnd"/>
      <w:r>
        <w:t xml:space="preserve"> emphasised that the personal information which had to be collected or held by it was the personal information with which the proceedings were concerned.  In response, the Commissioner submitted that nothing suggested that Facebook’s general operations and contractual relationships were not applicable to all types of information and, therefore, necessarily also the personal information the subject of the proceedings.  As noted earlier, a user had to proffer certain information to open a Facebook account </w:t>
      </w:r>
      <w:r w:rsidRPr="00FC0A38">
        <w:t>including their name, dat</w:t>
      </w:r>
      <w:r>
        <w:t xml:space="preserve">e of birth, gender and an email </w:t>
      </w:r>
      <w:r w:rsidRPr="00FC0A38">
        <w:t>address or, from early 2015, a mobile phone number</w:t>
      </w:r>
      <w:r>
        <w:t xml:space="preserve">.  Users were able to add further personal information into their Facebook profile including a profile picture, the person’s hometown, educational history, work experience, relationship status, occupation, political and religious views, interests and photographs.  Users could create and </w:t>
      </w:r>
      <w:r w:rsidR="00072A73">
        <w:t>“</w:t>
      </w:r>
      <w:r>
        <w:t>post</w:t>
      </w:r>
      <w:r w:rsidR="00072A73">
        <w:t>”</w:t>
      </w:r>
      <w:r>
        <w:t xml:space="preserve"> content on the Facebook website.  A post could take various forms including: freeform text, photographs, videos, “check-ins” (indicating a user’s geographic location at a particular time), and links to websites (such as articles on news websites).  I accept that this was arguably “personal information” within the meaning of s 6 of the </w:t>
      </w:r>
      <w:r>
        <w:rPr>
          <w:i/>
        </w:rPr>
        <w:t>Privacy Act</w:t>
      </w:r>
      <w:r>
        <w:t>.  For reasons expanded upon below, particularly at [</w:t>
      </w:r>
      <w:r w:rsidR="0093792E">
        <w:fldChar w:fldCharType="begin"/>
      </w:r>
      <w:r w:rsidR="0093792E">
        <w:instrText xml:space="preserve"> REF _Ref51075563 \r \h </w:instrText>
      </w:r>
      <w:r w:rsidR="0093792E">
        <w:fldChar w:fldCharType="separate"/>
      </w:r>
      <w:r w:rsidR="00872EB6">
        <w:t>172</w:t>
      </w:r>
      <w:r w:rsidR="0093792E">
        <w:fldChar w:fldCharType="end"/>
      </w:r>
      <w:r>
        <w:t>], I also accept that, if the Commissioner has otherwise established a prima facie case that s 5B(3)(c) was met, there is a prima facie case that the personal information included the information the subject of the proceeding.</w:t>
      </w:r>
      <w:bookmarkEnd w:id="36"/>
    </w:p>
    <w:p w14:paraId="2083B7B2" w14:textId="74211594" w:rsidR="002B4709" w:rsidRDefault="00DA0F4B" w:rsidP="00B952AD">
      <w:pPr>
        <w:pStyle w:val="ParaNumbering"/>
      </w:pPr>
      <w:r>
        <w:lastRenderedPageBreak/>
        <w:t xml:space="preserve">The Commissioner submitted that the key question in deciding whether information has been collected within the meaning of </w:t>
      </w:r>
      <w:r w:rsidR="00F14281">
        <w:t>s </w:t>
      </w:r>
      <w:r>
        <w:t xml:space="preserve">5B(3)(c) is not how the information was obtained or whether it was internally generated or transferred between two entities, but whether or not the information was intended for inclusion or included in a record or generally available publication.  </w:t>
      </w:r>
      <w:r w:rsidR="002B4709">
        <w:t xml:space="preserve">The Commissioner submitted </w:t>
      </w:r>
      <w:r w:rsidR="00F361F4">
        <w:t xml:space="preserve">that the conclusion was open </w:t>
      </w:r>
      <w:r w:rsidR="002B4709">
        <w:t xml:space="preserve">that the information was collected for inclusion in a record because Facebook </w:t>
      </w:r>
      <w:proofErr w:type="spellStart"/>
      <w:r w:rsidR="002B4709">
        <w:t>Inc</w:t>
      </w:r>
      <w:proofErr w:type="spellEnd"/>
      <w:r w:rsidR="00F361F4">
        <w:t xml:space="preserve"> in fact</w:t>
      </w:r>
      <w:r w:rsidR="002B4709">
        <w:t xml:space="preserve"> made a record of the personal information of Australian users</w:t>
      </w:r>
      <w:r w:rsidR="00F361F4">
        <w:t xml:space="preserve"> in the United States or elsewhere</w:t>
      </w:r>
      <w:r w:rsidR="002B4709">
        <w:t xml:space="preserve"> for the purposes of providing the Facebook service to North American users upon that data being transferred to Facebook </w:t>
      </w:r>
      <w:proofErr w:type="spellStart"/>
      <w:r w:rsidR="002B4709">
        <w:t>Inc</w:t>
      </w:r>
      <w:proofErr w:type="spellEnd"/>
      <w:r w:rsidR="002B4709">
        <w:t xml:space="preserve"> by Facebook Ireland under the Data Transfer and Processing Agreement.</w:t>
      </w:r>
    </w:p>
    <w:p w14:paraId="26C776D9" w14:textId="0FE18F5F" w:rsidR="002B4709" w:rsidRDefault="00DA0F4B" w:rsidP="00B952AD">
      <w:pPr>
        <w:pStyle w:val="ParaNumbering"/>
      </w:pPr>
      <w:r>
        <w:t xml:space="preserve">The Commissioner submitted that the evidence revealed a prima facie case that Facebook </w:t>
      </w:r>
      <w:proofErr w:type="spellStart"/>
      <w:r>
        <w:t>Inc</w:t>
      </w:r>
      <w:proofErr w:type="spellEnd"/>
      <w:r>
        <w:t xml:space="preserve">: (a) </w:t>
      </w:r>
      <w:r w:rsidR="002B4709">
        <w:t xml:space="preserve">in fact </w:t>
      </w:r>
      <w:r>
        <w:t>collected Australian users</w:t>
      </w:r>
      <w:r w:rsidR="0059361E">
        <w:t>’</w:t>
      </w:r>
      <w:r>
        <w:t xml:space="preserve"> personal information in Australia</w:t>
      </w:r>
      <w:r w:rsidR="002B4709">
        <w:t xml:space="preserve"> directly from those users</w:t>
      </w:r>
      <w:r>
        <w:t>; and/or (b)</w:t>
      </w:r>
      <w:r w:rsidR="002B4709">
        <w:t xml:space="preserve"> “constructively” collected </w:t>
      </w:r>
      <w:r w:rsidR="00F361F4">
        <w:t>such information</w:t>
      </w:r>
      <w:r w:rsidR="002B4709">
        <w:t xml:space="preserve"> through Facebook Ireland.  </w:t>
      </w:r>
    </w:p>
    <w:p w14:paraId="41477DE8" w14:textId="5EFC7A4C" w:rsidR="00BA03CC" w:rsidRDefault="000C76BE" w:rsidP="00562D33">
      <w:pPr>
        <w:pStyle w:val="Heading3"/>
      </w:pPr>
      <w:r>
        <w:t>E</w:t>
      </w:r>
      <w:r w:rsidR="00562D33">
        <w:t xml:space="preserve">.1.1  </w:t>
      </w:r>
      <w:r w:rsidR="00B067BD">
        <w:t>Direct or actual</w:t>
      </w:r>
      <w:r w:rsidR="00DA0F4B">
        <w:t xml:space="preserve"> collection</w:t>
      </w:r>
    </w:p>
    <w:p w14:paraId="17FDD662" w14:textId="495934CC" w:rsidR="007656A1" w:rsidRDefault="007656A1" w:rsidP="002D4484">
      <w:pPr>
        <w:pStyle w:val="ParaNumbering"/>
      </w:pPr>
      <w:r>
        <w:t>The Commissioner</w:t>
      </w:r>
      <w:r w:rsidR="00F361F4">
        <w:t xml:space="preserve"> submitted </w:t>
      </w:r>
      <w:r>
        <w:t>that</w:t>
      </w:r>
      <w:r w:rsidR="00F361F4">
        <w:t xml:space="preserve"> the conclusion was open that</w:t>
      </w:r>
      <w:r>
        <w:t xml:space="preserve"> data was instantaneously transferred to Facebook </w:t>
      </w:r>
      <w:proofErr w:type="spellStart"/>
      <w:r>
        <w:t>Inc</w:t>
      </w:r>
      <w:proofErr w:type="spellEnd"/>
      <w:r>
        <w:t xml:space="preserve"> at the time the data was uploaded by an Australian user such that Facebook </w:t>
      </w:r>
      <w:proofErr w:type="spellStart"/>
      <w:r>
        <w:t>Inc</w:t>
      </w:r>
      <w:proofErr w:type="spellEnd"/>
      <w:r>
        <w:t xml:space="preserve"> </w:t>
      </w:r>
      <w:r w:rsidR="00F361F4">
        <w:t xml:space="preserve">directly </w:t>
      </w:r>
      <w:r>
        <w:t>collected the information.</w:t>
      </w:r>
      <w:r w:rsidR="00562CB4">
        <w:t xml:space="preserve">  The Commissioner also relied upon three further matters as indicating a prima facie case of direct collection of personal information by Facebook </w:t>
      </w:r>
      <w:proofErr w:type="spellStart"/>
      <w:r w:rsidR="00562CB4">
        <w:t>Inc</w:t>
      </w:r>
      <w:proofErr w:type="spellEnd"/>
      <w:r w:rsidR="00562CB4">
        <w:t xml:space="preserve"> of personal information from Australian users:</w:t>
      </w:r>
    </w:p>
    <w:p w14:paraId="60410D24" w14:textId="2814E4C0" w:rsidR="00B53AF9" w:rsidRDefault="00B53AF9" w:rsidP="009D5976">
      <w:pPr>
        <w:pStyle w:val="ListNo1"/>
        <w:numPr>
          <w:ilvl w:val="0"/>
          <w:numId w:val="41"/>
        </w:numPr>
      </w:pPr>
      <w:r>
        <w:t>the use of caching servers;</w:t>
      </w:r>
      <w:r w:rsidR="00EB2D67" w:rsidRPr="00EB2D67">
        <w:t xml:space="preserve"> </w:t>
      </w:r>
    </w:p>
    <w:p w14:paraId="380C70E0" w14:textId="0CDCA8CD" w:rsidR="002771E3" w:rsidRDefault="00B53AF9" w:rsidP="009D5976">
      <w:pPr>
        <w:pStyle w:val="ListNo1"/>
        <w:numPr>
          <w:ilvl w:val="0"/>
          <w:numId w:val="41"/>
        </w:numPr>
      </w:pPr>
      <w:r>
        <w:t>the installation, op</w:t>
      </w:r>
      <w:r w:rsidR="00EB2D67">
        <w:t>eration and removal of cookies</w:t>
      </w:r>
      <w:r w:rsidR="002771E3">
        <w:t>;</w:t>
      </w:r>
      <w:r w:rsidR="00F26C9B">
        <w:t xml:space="preserve"> and</w:t>
      </w:r>
    </w:p>
    <w:p w14:paraId="66532D51" w14:textId="22A0CB67" w:rsidR="00B53AF9" w:rsidRDefault="002771E3" w:rsidP="009D5976">
      <w:pPr>
        <w:pStyle w:val="ListNo1"/>
        <w:numPr>
          <w:ilvl w:val="0"/>
          <w:numId w:val="41"/>
        </w:numPr>
      </w:pPr>
      <w:r>
        <w:t>various r</w:t>
      </w:r>
      <w:r w:rsidR="006C7B1E">
        <w:t>esponses given to questions asked by the Commissioner</w:t>
      </w:r>
      <w:r w:rsidR="00EB2D67">
        <w:t>.</w:t>
      </w:r>
    </w:p>
    <w:p w14:paraId="2E0C8B84" w14:textId="0896CE44" w:rsidR="00EB2D67" w:rsidRDefault="000C76BE" w:rsidP="00EB2D67">
      <w:pPr>
        <w:pStyle w:val="Heading4"/>
      </w:pPr>
      <w:bookmarkStart w:id="37" w:name="_Ref50135616"/>
      <w:r>
        <w:t>E</w:t>
      </w:r>
      <w:r w:rsidR="00EB2D67">
        <w:t>.1.1.1  Caching servers</w:t>
      </w:r>
    </w:p>
    <w:p w14:paraId="774EECBB" w14:textId="663B63C5" w:rsidR="00B53AF9" w:rsidRDefault="00B53AF9" w:rsidP="00EB2D67">
      <w:pPr>
        <w:pStyle w:val="ParaNumbering"/>
      </w:pPr>
      <w:r>
        <w:t xml:space="preserve">The Commissioner asked </w:t>
      </w:r>
      <w:r w:rsidR="00562CB4">
        <w:t xml:space="preserve">Facebook </w:t>
      </w:r>
      <w:r>
        <w:t xml:space="preserve">a number of questions </w:t>
      </w:r>
      <w:r w:rsidR="00EB2D67">
        <w:t>in</w:t>
      </w:r>
      <w:r>
        <w:t xml:space="preserve"> a letter dated 2 May 2019.  The covering letter under which Facebook’s response was sent indicated: “</w:t>
      </w:r>
      <w:r w:rsidRPr="00DB7CBF">
        <w:t xml:space="preserve">we use </w:t>
      </w:r>
      <w:r>
        <w:t>‘</w:t>
      </w:r>
      <w:r w:rsidRPr="00DB7CBF">
        <w:t>Facebook</w:t>
      </w:r>
      <w:r>
        <w:t>’</w:t>
      </w:r>
      <w:r w:rsidRPr="00DB7CBF">
        <w:t xml:space="preserve"> to refer to all relevant</w:t>
      </w:r>
      <w:r>
        <w:t xml:space="preserve"> </w:t>
      </w:r>
      <w:r w:rsidRPr="00DB7CBF">
        <w:t>Facebook entities</w:t>
      </w:r>
      <w:r>
        <w:t>”.  Facebook gave the following answer in a response to a question put by the Commissioner during her investigation (</w:t>
      </w:r>
      <w:r w:rsidR="00F26C9B">
        <w:t xml:space="preserve">italics </w:t>
      </w:r>
      <w:r>
        <w:t>added</w:t>
      </w:r>
      <w:r w:rsidR="00F26C9B">
        <w:t xml:space="preserve"> for emphasis</w:t>
      </w:r>
      <w:r>
        <w:t>):</w:t>
      </w:r>
      <w:bookmarkEnd w:id="37"/>
    </w:p>
    <w:p w14:paraId="29DCBC12" w14:textId="77777777" w:rsidR="00B53AF9" w:rsidRPr="00655B25" w:rsidRDefault="00B53AF9" w:rsidP="00B53AF9">
      <w:pPr>
        <w:pStyle w:val="Quote1"/>
        <w:keepNext/>
        <w:widowControl/>
        <w:rPr>
          <w:b/>
        </w:rPr>
      </w:pPr>
      <w:r w:rsidRPr="00655B25">
        <w:rPr>
          <w:b/>
        </w:rPr>
        <w:t>7. Identify the location of and the owner of the servers used by Facebook Ireland to provide the service in paragraph 5 above?</w:t>
      </w:r>
    </w:p>
    <w:p w14:paraId="1427B504" w14:textId="77777777" w:rsidR="00B53AF9" w:rsidRDefault="00B53AF9" w:rsidP="00B53AF9">
      <w:pPr>
        <w:pStyle w:val="Quote1"/>
        <w:widowControl/>
        <w:spacing w:after="0"/>
      </w:pPr>
      <w:r w:rsidRPr="00655B25">
        <w:t xml:space="preserve">For the purposes of this response, we have assumed that the term </w:t>
      </w:r>
      <w:r>
        <w:t>“</w:t>
      </w:r>
      <w:r w:rsidRPr="00655B25">
        <w:t>servers</w:t>
      </w:r>
      <w:r>
        <w:t>”</w:t>
      </w:r>
      <w:r w:rsidRPr="00655B25">
        <w:t xml:space="preserve"> has been used to refer to computers on which data or content is stored and made available for access by users. User content and applications used to deliver the Facebook service are stored in various data centres around the world.</w:t>
      </w:r>
      <w:r>
        <w:t xml:space="preserve"> </w:t>
      </w:r>
      <w:r w:rsidRPr="00655B25">
        <w:t>Facebook group companies own or lease data centres in the United States, Ireland (</w:t>
      </w:r>
      <w:proofErr w:type="spellStart"/>
      <w:r w:rsidRPr="00655B25">
        <w:t>Clonee</w:t>
      </w:r>
      <w:proofErr w:type="spellEnd"/>
      <w:r w:rsidRPr="00655B25">
        <w:t>), Sweden (</w:t>
      </w:r>
      <w:proofErr w:type="spellStart"/>
      <w:r w:rsidRPr="00655B25">
        <w:t>Luleå</w:t>
      </w:r>
      <w:proofErr w:type="spellEnd"/>
      <w:r w:rsidRPr="00655B25">
        <w:t xml:space="preserve">), Denmark </w:t>
      </w:r>
      <w:r w:rsidRPr="00655B25">
        <w:lastRenderedPageBreak/>
        <w:t xml:space="preserve">(Odense) and Singapore. Taking a simplified view of our architecture, data centres store full copies of user data as well as the full suite of applications and services used for the Facebook service. </w:t>
      </w:r>
      <w:r w:rsidRPr="009D4D0F">
        <w:rPr>
          <w:i/>
        </w:rPr>
        <w:t>Like other global technology companies, Facebook relies on other types of equipment (such as network equipment and caching servers) which operate to reduce latency and transaction times for geographically proximate users (including in Australia). These nodes improve connection and delivery times, but do not otherwise store data.</w:t>
      </w:r>
    </w:p>
    <w:p w14:paraId="52580FF3" w14:textId="77777777" w:rsidR="00B53AF9" w:rsidRPr="00655B25" w:rsidRDefault="00B53AF9" w:rsidP="00B53AF9">
      <w:pPr>
        <w:pStyle w:val="Quote1"/>
      </w:pPr>
    </w:p>
    <w:p w14:paraId="5C9EB342" w14:textId="77777777" w:rsidR="00EB2D67" w:rsidRDefault="00EB2D67" w:rsidP="00EB2D67">
      <w:pPr>
        <w:pStyle w:val="ParaNumbering"/>
      </w:pPr>
      <w:r>
        <w:t>The Commissioner placed particular reliance on the last two sentences, italicised above.  The Commissioner submitted that the use of the word “otherwise” indicated that the equipment located in Australia (including network equipment and caching servers) stored data to improve connection and delivery time.  The equipment would not be geographically proximate to Australian users unless located in Australia.  I accept those submissions.</w:t>
      </w:r>
    </w:p>
    <w:p w14:paraId="5898BF3D" w14:textId="64A91173" w:rsidR="00EB2D67" w:rsidRDefault="00EB2D67" w:rsidP="00B53AF9">
      <w:pPr>
        <w:pStyle w:val="ParaNumbering"/>
      </w:pPr>
      <w:r>
        <w:t xml:space="preserve">Facebook’s response does not specifically identify which entities owned </w:t>
      </w:r>
      <w:r w:rsidR="00562CB4">
        <w:t xml:space="preserve">the </w:t>
      </w:r>
      <w:r>
        <w:t xml:space="preserve">equipment located in Australia, except that it was a Facebook entity.  </w:t>
      </w:r>
      <w:r w:rsidRPr="004E584B">
        <w:t>An inference is open to be drawn</w:t>
      </w:r>
      <w:r w:rsidR="00562CB4">
        <w:t xml:space="preserve"> from this response</w:t>
      </w:r>
      <w:r w:rsidRPr="004E584B">
        <w:t xml:space="preserve"> that Facebook </w:t>
      </w:r>
      <w:proofErr w:type="spellStart"/>
      <w:r w:rsidRPr="004E584B">
        <w:t>Inc</w:t>
      </w:r>
      <w:proofErr w:type="spellEnd"/>
      <w:r w:rsidRPr="004E584B">
        <w:t xml:space="preserve"> was one such entity.</w:t>
      </w:r>
    </w:p>
    <w:p w14:paraId="0C9CC9DA" w14:textId="7DDC1369" w:rsidR="005E4FDB" w:rsidRDefault="00EB2D67" w:rsidP="00B53AF9">
      <w:pPr>
        <w:pStyle w:val="ParaNumbering"/>
      </w:pPr>
      <w:r>
        <w:t xml:space="preserve">The inference is </w:t>
      </w:r>
      <w:r w:rsidR="00562CB4">
        <w:t xml:space="preserve">also </w:t>
      </w:r>
      <w:r>
        <w:t xml:space="preserve">open that </w:t>
      </w:r>
      <w:r w:rsidR="00562CB4">
        <w:t xml:space="preserve">the information in the form of data was collected for </w:t>
      </w:r>
      <w:r>
        <w:t>the purpose of storing the data in caching servers to allow it to be quickly accessed</w:t>
      </w:r>
      <w:r w:rsidR="00562CB4">
        <w:t>, including by other users</w:t>
      </w:r>
      <w:r>
        <w:t xml:space="preserve">.  The inference is open that the data </w:t>
      </w:r>
      <w:r w:rsidR="00562CB4">
        <w:t xml:space="preserve">uploaded and </w:t>
      </w:r>
      <w:r>
        <w:t xml:space="preserve">stored in caching servers </w:t>
      </w:r>
      <w:r w:rsidR="00562CB4">
        <w:t xml:space="preserve">located in Australia </w:t>
      </w:r>
      <w:r>
        <w:t>was instantaneously available</w:t>
      </w:r>
      <w:r w:rsidR="00562CB4">
        <w:t xml:space="preserve"> upon upload.</w:t>
      </w:r>
      <w:r>
        <w:t xml:space="preserve"> </w:t>
      </w:r>
      <w:r w:rsidR="00562CB4">
        <w:t xml:space="preserve"> I</w:t>
      </w:r>
      <w:r>
        <w:t xml:space="preserve">t is open to conclude that the data was not transferred to those caching servers by Facebook Ireland in the sense of it having first been received by Facebook Ireland and then transferred.  </w:t>
      </w:r>
    </w:p>
    <w:p w14:paraId="0E1A1527" w14:textId="76233679" w:rsidR="005E4FDB" w:rsidRDefault="005E4FDB" w:rsidP="00B53AF9">
      <w:pPr>
        <w:pStyle w:val="ParaNumbering"/>
      </w:pPr>
      <w:bookmarkStart w:id="38" w:name="_Ref51075563"/>
      <w:r>
        <w:t xml:space="preserve">Facebook </w:t>
      </w:r>
      <w:proofErr w:type="spellStart"/>
      <w:r>
        <w:t>Inc</w:t>
      </w:r>
      <w:proofErr w:type="spellEnd"/>
      <w:r>
        <w:t xml:space="preserve"> submitted that there was no material which allowed for an inference that the information collected or held (temporarily) on caching servers was the personal information the subject of the proceedings.  Facebook </w:t>
      </w:r>
      <w:proofErr w:type="spellStart"/>
      <w:r>
        <w:t>Inc</w:t>
      </w:r>
      <w:proofErr w:type="spellEnd"/>
      <w:r>
        <w:t xml:space="preserve"> submitted that it was only information of a particular kind which was cached and there was no evidence that the personal information the subject of the proceedings was information of that kind.  Facebook </w:t>
      </w:r>
      <w:proofErr w:type="spellStart"/>
      <w:r>
        <w:t>Inc’s</w:t>
      </w:r>
      <w:proofErr w:type="spellEnd"/>
      <w:r>
        <w:t xml:space="preserve"> submission appeared to be based on the incorrect assumption that the personal information the subject of the proceedings was limited to the information specifically provided by Facebook to the “This is Your Digital Life” app.  In fact, the personal information relied upon is the broad kind of personal information referred to at [</w:t>
      </w:r>
      <w:r>
        <w:fldChar w:fldCharType="begin"/>
      </w:r>
      <w:r>
        <w:instrText xml:space="preserve"> REF _Ref50713044 \r \h </w:instrText>
      </w:r>
      <w:r>
        <w:fldChar w:fldCharType="separate"/>
      </w:r>
      <w:r w:rsidR="00872EB6">
        <w:t>164</w:t>
      </w:r>
      <w:r>
        <w:fldChar w:fldCharType="end"/>
      </w:r>
      <w:r>
        <w:t>] above.  It is open to conclude that that type of information, such as videos and photos, was precisely the kind of information likely to be stored on caching servers.  In any event, the personal information that the “This is Your Digital Life” app was permitted to access through the Graph API was broad and the inference is available that it included information likely to have been stored on caching servers in Australia.</w:t>
      </w:r>
      <w:bookmarkEnd w:id="38"/>
    </w:p>
    <w:p w14:paraId="12892ED7" w14:textId="05B8AE33" w:rsidR="002771E3" w:rsidRDefault="005E4FDB" w:rsidP="00BD6583">
      <w:pPr>
        <w:pStyle w:val="ParaNumbering"/>
      </w:pPr>
      <w:r>
        <w:lastRenderedPageBreak/>
        <w:t xml:space="preserve">I am satisfied that the Commissioner has established a prima facie case that Facebook </w:t>
      </w:r>
      <w:proofErr w:type="spellStart"/>
      <w:r>
        <w:t>Inc</w:t>
      </w:r>
      <w:proofErr w:type="spellEnd"/>
      <w:r>
        <w:t xml:space="preserve"> directly collected</w:t>
      </w:r>
      <w:r w:rsidR="003C0A5E">
        <w:t xml:space="preserve"> (and stored)</w:t>
      </w:r>
      <w:r>
        <w:t xml:space="preserve"> information in Australia through caching</w:t>
      </w:r>
      <w:r w:rsidR="00644734">
        <w:t xml:space="preserve"> servers located in Australia</w:t>
      </w:r>
      <w:r>
        <w:t>.</w:t>
      </w:r>
    </w:p>
    <w:p w14:paraId="2B3F5DCA" w14:textId="1B60879E" w:rsidR="00B53AF9" w:rsidRDefault="000C76BE" w:rsidP="00EB2D67">
      <w:pPr>
        <w:pStyle w:val="Heading4"/>
      </w:pPr>
      <w:r>
        <w:t>E</w:t>
      </w:r>
      <w:r w:rsidR="00EB2D67">
        <w:t>.1.1.2  Installation, operation and removal of cookies</w:t>
      </w:r>
    </w:p>
    <w:p w14:paraId="45E665DC" w14:textId="12963CD9" w:rsidR="00B53AF9" w:rsidRDefault="00EB2D67" w:rsidP="00C35A71">
      <w:pPr>
        <w:pStyle w:val="ParaNumbering"/>
      </w:pPr>
      <w:r>
        <w:t xml:space="preserve">As noted </w:t>
      </w:r>
      <w:r w:rsidR="00644734">
        <w:t>in Section D.2.2 above</w:t>
      </w:r>
      <w:r>
        <w:t xml:space="preserve">, a part of Facebook </w:t>
      </w:r>
      <w:proofErr w:type="spellStart"/>
      <w:r>
        <w:t>Inc’s</w:t>
      </w:r>
      <w:proofErr w:type="spellEnd"/>
      <w:r>
        <w:t xml:space="preserve"> processing activities included the installation, operation and removal of cookies</w:t>
      </w:r>
      <w:r w:rsidR="002771E3">
        <w:t xml:space="preserve"> on Australia users’ devices.  One </w:t>
      </w:r>
      <w:r w:rsidR="00644734">
        <w:t xml:space="preserve">stated </w:t>
      </w:r>
      <w:r w:rsidR="002771E3">
        <w:t xml:space="preserve">purpose of </w:t>
      </w:r>
      <w:r w:rsidR="00072A73">
        <w:t xml:space="preserve">this </w:t>
      </w:r>
      <w:r w:rsidR="00644734">
        <w:t xml:space="preserve">activity </w:t>
      </w:r>
      <w:r w:rsidR="002771E3">
        <w:t xml:space="preserve">was to “deliver, understand and improve advertising”.  The inference is </w:t>
      </w:r>
      <w:r w:rsidR="00644734">
        <w:t xml:space="preserve">also </w:t>
      </w:r>
      <w:r w:rsidR="002771E3">
        <w:t>open</w:t>
      </w:r>
      <w:r w:rsidR="00644734">
        <w:t>, fr</w:t>
      </w:r>
      <w:r w:rsidR="00072A73">
        <w:t>o</w:t>
      </w:r>
      <w:r w:rsidR="00644734">
        <w:t>m the terms of the Data Use Policy set out at [</w:t>
      </w:r>
      <w:r w:rsidR="00644734">
        <w:fldChar w:fldCharType="begin"/>
      </w:r>
      <w:r w:rsidR="00644734">
        <w:instrText xml:space="preserve"> REF _Ref50137713 \r \h </w:instrText>
      </w:r>
      <w:r w:rsidR="00644734">
        <w:fldChar w:fldCharType="separate"/>
      </w:r>
      <w:r w:rsidR="00872EB6">
        <w:t>124</w:t>
      </w:r>
      <w:r w:rsidR="00644734">
        <w:fldChar w:fldCharType="end"/>
      </w:r>
      <w:r w:rsidR="00644734">
        <w:t>] above,</w:t>
      </w:r>
      <w:r w:rsidR="002771E3">
        <w:t xml:space="preserve"> that one reason for installing and operating cookies was to </w:t>
      </w:r>
      <w:r w:rsidR="002771E3" w:rsidRPr="008103F1">
        <w:t xml:space="preserve">store information about </w:t>
      </w:r>
      <w:r w:rsidR="002771E3">
        <w:t>users</w:t>
      </w:r>
      <w:r w:rsidR="002771E3" w:rsidRPr="008103F1">
        <w:t xml:space="preserve"> on </w:t>
      </w:r>
      <w:r w:rsidR="002771E3">
        <w:t>their</w:t>
      </w:r>
      <w:r w:rsidR="002771E3" w:rsidRPr="008103F1">
        <w:t xml:space="preserve"> device</w:t>
      </w:r>
      <w:r w:rsidR="002771E3">
        <w:t>s</w:t>
      </w:r>
      <w:r w:rsidR="002771E3" w:rsidRPr="008103F1">
        <w:t xml:space="preserve"> or in </w:t>
      </w:r>
      <w:r w:rsidR="002771E3">
        <w:t xml:space="preserve">their browser caches and </w:t>
      </w:r>
      <w:r w:rsidR="00644734">
        <w:t xml:space="preserve">about </w:t>
      </w:r>
      <w:r w:rsidR="002771E3">
        <w:t xml:space="preserve">their use </w:t>
      </w:r>
      <w:r w:rsidR="002771E3" w:rsidRPr="008103F1">
        <w:t>of Facebook</w:t>
      </w:r>
      <w:r w:rsidR="003C0A5E">
        <w:t>; see also: [</w:t>
      </w:r>
      <w:r w:rsidR="003C0A5E">
        <w:fldChar w:fldCharType="begin"/>
      </w:r>
      <w:r w:rsidR="003C0A5E">
        <w:instrText xml:space="preserve"> REF _Ref50137718 \r \h </w:instrText>
      </w:r>
      <w:r w:rsidR="003C0A5E">
        <w:fldChar w:fldCharType="separate"/>
      </w:r>
      <w:r w:rsidR="00872EB6">
        <w:t>125</w:t>
      </w:r>
      <w:r w:rsidR="003C0A5E">
        <w:fldChar w:fldCharType="end"/>
      </w:r>
      <w:r w:rsidR="003C0A5E">
        <w:t>] above</w:t>
      </w:r>
      <w:r w:rsidR="002771E3">
        <w:t xml:space="preserve">.  Another processing activity for which Facebook </w:t>
      </w:r>
      <w:proofErr w:type="spellStart"/>
      <w:r w:rsidR="002771E3">
        <w:t>Inc</w:t>
      </w:r>
      <w:proofErr w:type="spellEnd"/>
      <w:r w:rsidR="002771E3">
        <w:t xml:space="preserve"> was responsible was “[t]</w:t>
      </w:r>
      <w:proofErr w:type="spellStart"/>
      <w:r w:rsidR="002771E3">
        <w:t>argeting</w:t>
      </w:r>
      <w:proofErr w:type="spellEnd"/>
      <w:r w:rsidR="002771E3">
        <w:t xml:space="preserve"> advertisements and </w:t>
      </w:r>
      <w:r w:rsidR="0006724B">
        <w:t xml:space="preserve">… </w:t>
      </w:r>
      <w:r w:rsidR="002771E3">
        <w:t>assess</w:t>
      </w:r>
      <w:r w:rsidR="0006724B">
        <w:t>[</w:t>
      </w:r>
      <w:proofErr w:type="spellStart"/>
      <w:r w:rsidR="0006724B">
        <w:t>ing</w:t>
      </w:r>
      <w:proofErr w:type="spellEnd"/>
      <w:r w:rsidR="0006724B">
        <w:t>]</w:t>
      </w:r>
      <w:r w:rsidR="002771E3">
        <w:t xml:space="preserve"> their effectiveness”.  These matters support the inference that the information uploaded by users is instantaneously provided to Facebook Inc.</w:t>
      </w:r>
      <w:r w:rsidR="00644734">
        <w:t xml:space="preserve">  </w:t>
      </w:r>
      <w:r w:rsidR="003C0A5E">
        <w:t>These matters</w:t>
      </w:r>
      <w:r w:rsidR="00644734">
        <w:t xml:space="preserve"> also support the inference that, as part of its business activities</w:t>
      </w:r>
      <w:r w:rsidR="003C0A5E">
        <w:t>,</w:t>
      </w:r>
      <w:r w:rsidR="00644734">
        <w:t xml:space="preserve"> Facebook </w:t>
      </w:r>
      <w:proofErr w:type="spellStart"/>
      <w:r w:rsidR="00644734">
        <w:t>Inc</w:t>
      </w:r>
      <w:proofErr w:type="spellEnd"/>
      <w:r w:rsidR="00644734">
        <w:t xml:space="preserve"> collect</w:t>
      </w:r>
      <w:r w:rsidR="003C0A5E">
        <w:t>ed</w:t>
      </w:r>
      <w:r w:rsidR="00644734">
        <w:t xml:space="preserve"> </w:t>
      </w:r>
      <w:r w:rsidR="003C0A5E">
        <w:t xml:space="preserve">(and stored) </w:t>
      </w:r>
      <w:r w:rsidR="00644734">
        <w:t>information directly from Australia users.</w:t>
      </w:r>
      <w:r w:rsidR="002771E3">
        <w:t xml:space="preserve"> </w:t>
      </w:r>
      <w:r w:rsidR="003C0A5E">
        <w:t xml:space="preserve"> </w:t>
      </w:r>
      <w:r w:rsidR="002771E3">
        <w:t>It arguably does not matter for the case brought b</w:t>
      </w:r>
      <w:r w:rsidR="0006724B">
        <w:t>y</w:t>
      </w:r>
      <w:r w:rsidR="002771E3">
        <w:t xml:space="preserve"> the Commissioner that </w:t>
      </w:r>
      <w:r w:rsidR="0006724B">
        <w:t xml:space="preserve">Facebook </w:t>
      </w:r>
      <w:proofErr w:type="spellStart"/>
      <w:r w:rsidR="0006724B">
        <w:t>Inc</w:t>
      </w:r>
      <w:r w:rsidR="003C0A5E">
        <w:t>’s</w:t>
      </w:r>
      <w:proofErr w:type="spellEnd"/>
      <w:r w:rsidR="003C0A5E">
        <w:t xml:space="preserve"> activities in this respect were undertaken in performance of</w:t>
      </w:r>
      <w:r w:rsidR="002771E3">
        <w:t xml:space="preserve"> a contract with Facebook Ireland and by way of providing services to Facebook Ireland.</w:t>
      </w:r>
    </w:p>
    <w:p w14:paraId="79279DE4" w14:textId="478AE1D8" w:rsidR="003C0A5E" w:rsidRDefault="003C0A5E" w:rsidP="003C0A5E">
      <w:pPr>
        <w:pStyle w:val="ParaNumbering"/>
      </w:pPr>
      <w:r>
        <w:t xml:space="preserve">I am satisfied that the Commissioner has established a prima facie case that Facebook </w:t>
      </w:r>
      <w:proofErr w:type="spellStart"/>
      <w:r>
        <w:t>Inc</w:t>
      </w:r>
      <w:proofErr w:type="spellEnd"/>
      <w:r>
        <w:t xml:space="preserve"> directly collected (and stored) information in Australia through its installation and operation of cookies.</w:t>
      </w:r>
    </w:p>
    <w:p w14:paraId="70DBD9EC" w14:textId="4D454CE6" w:rsidR="00B53AF9" w:rsidRDefault="000C76BE" w:rsidP="002771E3">
      <w:pPr>
        <w:pStyle w:val="Heading4"/>
      </w:pPr>
      <w:r>
        <w:t>E</w:t>
      </w:r>
      <w:r w:rsidR="00BE32E4">
        <w:t>.</w:t>
      </w:r>
      <w:r w:rsidR="002771E3">
        <w:t xml:space="preserve">1.1.3  Responses to </w:t>
      </w:r>
      <w:r w:rsidR="006C7B1E">
        <w:t>Commissioner’s</w:t>
      </w:r>
      <w:r w:rsidR="002771E3">
        <w:t xml:space="preserve"> </w:t>
      </w:r>
      <w:r w:rsidR="006C7B1E">
        <w:t>question</w:t>
      </w:r>
      <w:r w:rsidR="002771E3">
        <w:t>s</w:t>
      </w:r>
    </w:p>
    <w:p w14:paraId="4904D59F" w14:textId="44825D16" w:rsidR="00F15C54" w:rsidRDefault="00F15C54" w:rsidP="00B952AD">
      <w:pPr>
        <w:pStyle w:val="ParaNumbering"/>
      </w:pPr>
      <w:r>
        <w:t xml:space="preserve">The Commissioner submitted </w:t>
      </w:r>
      <w:r w:rsidR="00932B9D">
        <w:t xml:space="preserve">that </w:t>
      </w:r>
      <w:r>
        <w:t>the</w:t>
      </w:r>
      <w:r w:rsidR="00267722">
        <w:t xml:space="preserve"> various </w:t>
      </w:r>
      <w:r w:rsidR="00932B9D">
        <w:t>response</w:t>
      </w:r>
      <w:r w:rsidR="003929E7">
        <w:t>s</w:t>
      </w:r>
      <w:r w:rsidR="00932B9D">
        <w:t xml:space="preserve"> </w:t>
      </w:r>
      <w:r w:rsidR="00267722">
        <w:t xml:space="preserve">given by Facebook </w:t>
      </w:r>
      <w:proofErr w:type="spellStart"/>
      <w:r w:rsidR="00267722">
        <w:t>Inc</w:t>
      </w:r>
      <w:proofErr w:type="spellEnd"/>
      <w:r w:rsidR="00267722">
        <w:t xml:space="preserve"> and Facebook Ireland to questions posed by the Commissioner </w:t>
      </w:r>
      <w:r>
        <w:t>left</w:t>
      </w:r>
      <w:r w:rsidR="00932B9D">
        <w:t xml:space="preserve"> open an inference that Australian users</w:t>
      </w:r>
      <w:r w:rsidR="0059361E">
        <w:t>’</w:t>
      </w:r>
      <w:r w:rsidR="00932B9D">
        <w:t xml:space="preserve"> data was in practice instantaneo</w:t>
      </w:r>
      <w:r w:rsidR="001046A9">
        <w:t>usly transferred to Facebook</w:t>
      </w:r>
      <w:r w:rsidR="0059361E">
        <w:t>’</w:t>
      </w:r>
      <w:r w:rsidR="00932B9D">
        <w:t xml:space="preserve">s </w:t>
      </w:r>
      <w:r w:rsidR="003C0A5E">
        <w:t xml:space="preserve">data </w:t>
      </w:r>
      <w:r w:rsidR="00932B9D">
        <w:t xml:space="preserve">storage facilities </w:t>
      </w:r>
      <w:r w:rsidR="003C0A5E">
        <w:t xml:space="preserve">(or “Data </w:t>
      </w:r>
      <w:proofErr w:type="spellStart"/>
      <w:r w:rsidR="003C0A5E">
        <w:t>Centers</w:t>
      </w:r>
      <w:proofErr w:type="spellEnd"/>
      <w:r w:rsidR="003C0A5E">
        <w:t xml:space="preserve">”) </w:t>
      </w:r>
      <w:r w:rsidR="00932B9D">
        <w:t xml:space="preserve">at the time the data was provided to the Facebook website or associated mobile applications by an Australian user. </w:t>
      </w:r>
      <w:r w:rsidR="001046A9">
        <w:t xml:space="preserve"> </w:t>
      </w:r>
    </w:p>
    <w:p w14:paraId="598413C5" w14:textId="444A7282" w:rsidR="00932B9D" w:rsidRDefault="00267722" w:rsidP="00B952AD">
      <w:pPr>
        <w:pStyle w:val="ParaNumbering"/>
      </w:pPr>
      <w:r>
        <w:t>Facebook Ireland answered the following question</w:t>
      </w:r>
      <w:r w:rsidR="003929E7">
        <w:t>s</w:t>
      </w:r>
      <w:r>
        <w:t xml:space="preserve"> in the following way:</w:t>
      </w:r>
    </w:p>
    <w:p w14:paraId="7674F2DA" w14:textId="7BF199CE" w:rsidR="00DD0604" w:rsidRPr="00DD0604" w:rsidRDefault="00DD0604" w:rsidP="004E584B">
      <w:pPr>
        <w:pStyle w:val="Quote1"/>
        <w:keepNext/>
        <w:widowControl/>
        <w:ind w:left="1276" w:hanging="539"/>
        <w:rPr>
          <w:b/>
        </w:rPr>
      </w:pPr>
      <w:r w:rsidRPr="00DD0604">
        <w:rPr>
          <w:b/>
        </w:rPr>
        <w:lastRenderedPageBreak/>
        <w:t xml:space="preserve">4. </w:t>
      </w:r>
      <w:r>
        <w:rPr>
          <w:b/>
        </w:rPr>
        <w:tab/>
      </w:r>
      <w:r w:rsidRPr="00DD0604">
        <w:rPr>
          <w:b/>
        </w:rPr>
        <w:t>Between 12 March 2014 and 17 December 2015 did Facebook Ireland:</w:t>
      </w:r>
    </w:p>
    <w:p w14:paraId="7F95947F" w14:textId="045AB2C2" w:rsidR="00DD0604" w:rsidRPr="00DD0604" w:rsidRDefault="00DD0604" w:rsidP="004E584B">
      <w:pPr>
        <w:pStyle w:val="Quote1"/>
        <w:keepNext/>
        <w:widowControl/>
        <w:ind w:left="1843" w:hanging="567"/>
        <w:rPr>
          <w:b/>
        </w:rPr>
      </w:pPr>
      <w:r w:rsidRPr="00DD0604">
        <w:rPr>
          <w:b/>
        </w:rPr>
        <w:t xml:space="preserve">a. </w:t>
      </w:r>
      <w:r>
        <w:rPr>
          <w:b/>
        </w:rPr>
        <w:tab/>
      </w:r>
      <w:r w:rsidRPr="00DD0604">
        <w:rPr>
          <w:b/>
        </w:rPr>
        <w:t>collect any personal information of Australian Users?</w:t>
      </w:r>
    </w:p>
    <w:p w14:paraId="286EBD5B" w14:textId="4D8D3470" w:rsidR="00DD0604" w:rsidRPr="00DD0604" w:rsidRDefault="00DD0604" w:rsidP="004E584B">
      <w:pPr>
        <w:pStyle w:val="Quote1"/>
        <w:keepNext/>
        <w:widowControl/>
        <w:ind w:left="1843" w:hanging="567"/>
        <w:rPr>
          <w:b/>
        </w:rPr>
      </w:pPr>
      <w:r w:rsidRPr="00DD0604">
        <w:rPr>
          <w:b/>
        </w:rPr>
        <w:t xml:space="preserve">b. </w:t>
      </w:r>
      <w:r>
        <w:rPr>
          <w:b/>
        </w:rPr>
        <w:tab/>
      </w:r>
      <w:r w:rsidRPr="00DD0604">
        <w:rPr>
          <w:b/>
        </w:rPr>
        <w:t>store any personal information of Australian Users?</w:t>
      </w:r>
    </w:p>
    <w:p w14:paraId="6B043120" w14:textId="7717CC2D" w:rsidR="00DD0604" w:rsidRDefault="00DD0604" w:rsidP="004E584B">
      <w:pPr>
        <w:pStyle w:val="Quote1"/>
        <w:widowControl/>
      </w:pPr>
      <w:r>
        <w:t>Facebook Ireland was the provider of the Facebook service to users outside of the United States and Canada, including Australian Users, between 12 March 2014 and 17 December 2015. At all times during this period, Facebook Ireland was responsible, in that capacity, for the collection and storage of personal information of Australian Users through the Facebook service.</w:t>
      </w:r>
    </w:p>
    <w:p w14:paraId="420ED0D5" w14:textId="30306151" w:rsidR="00DD0604" w:rsidRPr="00DD0604" w:rsidRDefault="00DD0604" w:rsidP="004E584B">
      <w:pPr>
        <w:pStyle w:val="Quote1"/>
        <w:widowControl/>
        <w:ind w:left="1843" w:hanging="567"/>
        <w:rPr>
          <w:b/>
        </w:rPr>
      </w:pPr>
      <w:r w:rsidRPr="00DD0604">
        <w:rPr>
          <w:b/>
        </w:rPr>
        <w:t xml:space="preserve">c. </w:t>
      </w:r>
      <w:r>
        <w:rPr>
          <w:b/>
        </w:rPr>
        <w:tab/>
      </w:r>
      <w:r w:rsidRPr="00DD0604">
        <w:rPr>
          <w:b/>
        </w:rPr>
        <w:t>make available for access by any third party any personal information of Australian Users?</w:t>
      </w:r>
    </w:p>
    <w:p w14:paraId="1C243E64" w14:textId="100621FB" w:rsidR="00DD0604" w:rsidRPr="00DD0604" w:rsidRDefault="00DD0604" w:rsidP="004E584B">
      <w:pPr>
        <w:pStyle w:val="Quote1"/>
        <w:widowControl/>
        <w:ind w:left="1843" w:hanging="567"/>
        <w:rPr>
          <w:b/>
        </w:rPr>
      </w:pPr>
      <w:r w:rsidRPr="00DD0604">
        <w:rPr>
          <w:b/>
        </w:rPr>
        <w:t xml:space="preserve">d. </w:t>
      </w:r>
      <w:r>
        <w:rPr>
          <w:b/>
        </w:rPr>
        <w:tab/>
      </w:r>
      <w:r w:rsidRPr="00DD0604">
        <w:rPr>
          <w:b/>
        </w:rPr>
        <w:t xml:space="preserve">make available for access by the </w:t>
      </w:r>
      <w:r w:rsidR="0059361E">
        <w:rPr>
          <w:b/>
        </w:rPr>
        <w:t>“</w:t>
      </w:r>
      <w:proofErr w:type="spellStart"/>
      <w:r w:rsidRPr="00DD0604">
        <w:rPr>
          <w:b/>
        </w:rPr>
        <w:t>thisisyourdigitallife</w:t>
      </w:r>
      <w:proofErr w:type="spellEnd"/>
      <w:r w:rsidR="0059361E">
        <w:rPr>
          <w:b/>
        </w:rPr>
        <w:t>”</w:t>
      </w:r>
      <w:r w:rsidRPr="00DD0604">
        <w:rPr>
          <w:b/>
        </w:rPr>
        <w:t xml:space="preserve"> app (the Life app) any personal information of Australian Users?</w:t>
      </w:r>
    </w:p>
    <w:p w14:paraId="44E17562" w14:textId="1521CA32" w:rsidR="00DD0604" w:rsidRDefault="00DD0604" w:rsidP="004E584B">
      <w:pPr>
        <w:pStyle w:val="Quote1"/>
        <w:widowControl/>
      </w:pPr>
      <w:r>
        <w:t>Information shared by Australian Users on the Facebook service was available for access by other users on the Facebook service to the extent permitted by the choices (including choices regarding their privacy settings) of those Australian Users.</w:t>
      </w:r>
    </w:p>
    <w:p w14:paraId="0F0EA9ED" w14:textId="606ABB4C" w:rsidR="00DD0604" w:rsidRDefault="00DD0604" w:rsidP="004E584B">
      <w:pPr>
        <w:pStyle w:val="Quote1"/>
        <w:widowControl/>
      </w:pPr>
      <w:r>
        <w:t>As we stated in our previous response dated 6 July 2018, as part of the Facebook service, Facebook Ireland provided an API called Facebook Login through which third party app developers could request permission directly from users to access certain categories of information that those users either uploaded or had access to on the Facebook service. Facebook Login did not allow third party app developers to have direct access to Facebook Ireland</w:t>
      </w:r>
      <w:r w:rsidR="0059361E">
        <w:t>’</w:t>
      </w:r>
      <w:r>
        <w:t>s systems or to user data.</w:t>
      </w:r>
    </w:p>
    <w:p w14:paraId="3B94B7AE" w14:textId="7CA7E730" w:rsidR="00DD0604" w:rsidRDefault="00DD0604" w:rsidP="004E584B">
      <w:pPr>
        <w:pStyle w:val="Quote1"/>
        <w:widowControl/>
      </w:pPr>
      <w:r>
        <w:t>Through its use of Facebook Login, the Life app may have had access to certain limited categories of personal information about Australian Users in this way. However, as we have noted in previous responses, this would have depended in each case on a number of factors, including:</w:t>
      </w:r>
    </w:p>
    <w:p w14:paraId="5B8508FB" w14:textId="3FBD6378" w:rsidR="00DD0604" w:rsidRDefault="00DD0604" w:rsidP="004E584B">
      <w:pPr>
        <w:pStyle w:val="Quote1Bullet"/>
        <w:widowControl/>
      </w:pPr>
      <w:r>
        <w:t>whether or not the Australian Users had installed the Life app, or were friends on the Facebook service with a user who had installed the Life app, during the relevant period; and</w:t>
      </w:r>
    </w:p>
    <w:p w14:paraId="19B673EE" w14:textId="6D5E279A" w:rsidR="00DD0604" w:rsidRDefault="00DD0604" w:rsidP="004E584B">
      <w:pPr>
        <w:pStyle w:val="Quote1Bullet"/>
        <w:widowControl/>
      </w:pPr>
      <w:r>
        <w:t>the privacy settings the Australian Users had in place during the relevant period.</w:t>
      </w:r>
    </w:p>
    <w:p w14:paraId="0051CC70" w14:textId="14DDFB06" w:rsidR="00DD0604" w:rsidRDefault="00DD0604" w:rsidP="004E584B">
      <w:pPr>
        <w:pStyle w:val="Quote1"/>
        <w:widowControl/>
        <w:spacing w:after="0"/>
      </w:pPr>
      <w:r>
        <w:t>We also note that, as explained in previous responses, the Life app</w:t>
      </w:r>
      <w:r w:rsidR="0059361E">
        <w:t>’</w:t>
      </w:r>
      <w:r>
        <w:t>s access to information about Australian Users was restricted from May 2015 following changes made to Facebook Login.</w:t>
      </w:r>
    </w:p>
    <w:p w14:paraId="59E76AB9" w14:textId="77777777" w:rsidR="00DD0604" w:rsidRPr="00DD0604" w:rsidRDefault="00DD0604" w:rsidP="004E584B">
      <w:pPr>
        <w:pStyle w:val="Quote1"/>
        <w:widowControl/>
      </w:pPr>
    </w:p>
    <w:p w14:paraId="309E3CE3" w14:textId="60615942" w:rsidR="00267722" w:rsidRDefault="00267722" w:rsidP="00B952AD">
      <w:pPr>
        <w:pStyle w:val="ParaNumbering"/>
      </w:pPr>
      <w:r>
        <w:t>In response</w:t>
      </w:r>
      <w:r w:rsidR="00BE32E4">
        <w:t xml:space="preserve"> to a notice issued under s 44 of the </w:t>
      </w:r>
      <w:r w:rsidR="00BE32E4">
        <w:rPr>
          <w:i/>
        </w:rPr>
        <w:t>Privacy Act</w:t>
      </w:r>
      <w:r>
        <w:t>, Facebook Ireland</w:t>
      </w:r>
      <w:r w:rsidR="00235081">
        <w:t xml:space="preserve"> provided the following answers</w:t>
      </w:r>
      <w:r w:rsidR="003C0A5E">
        <w:t xml:space="preserve"> to questions</w:t>
      </w:r>
      <w:r w:rsidR="00235081">
        <w:t>:</w:t>
      </w:r>
    </w:p>
    <w:p w14:paraId="120D0089" w14:textId="1EF7698E" w:rsidR="00DD0604" w:rsidRPr="00CE65D6" w:rsidRDefault="00DD0604" w:rsidP="00B53AF9">
      <w:pPr>
        <w:pStyle w:val="Quote1"/>
        <w:widowControl/>
        <w:ind w:left="1276" w:hanging="539"/>
        <w:rPr>
          <w:b/>
        </w:rPr>
      </w:pPr>
      <w:r w:rsidRPr="00CE65D6">
        <w:rPr>
          <w:b/>
        </w:rPr>
        <w:t xml:space="preserve">3 </w:t>
      </w:r>
      <w:r w:rsidR="003C7EBF">
        <w:rPr>
          <w:b/>
        </w:rPr>
        <w:tab/>
      </w:r>
      <w:r w:rsidRPr="00CE65D6">
        <w:rPr>
          <w:b/>
        </w:rPr>
        <w:t>Names of any and all Facebook entities that:</w:t>
      </w:r>
    </w:p>
    <w:p w14:paraId="085D7317" w14:textId="14BAC4DA" w:rsidR="003C7EBF" w:rsidRPr="00CE65D6" w:rsidRDefault="00DD0604" w:rsidP="009D5976">
      <w:pPr>
        <w:pStyle w:val="Quote1"/>
        <w:keepNext/>
        <w:widowControl/>
        <w:numPr>
          <w:ilvl w:val="0"/>
          <w:numId w:val="32"/>
        </w:numPr>
        <w:ind w:left="1843" w:hanging="567"/>
        <w:rPr>
          <w:b/>
        </w:rPr>
      </w:pPr>
      <w:r w:rsidRPr="00CE65D6">
        <w:rPr>
          <w:b/>
        </w:rPr>
        <w:t>collected or received, directly or indirectly, any personal information of Australian Users and the purpose for which the entity collected the personal information;</w:t>
      </w:r>
      <w:r w:rsidR="003C7EBF" w:rsidRPr="00CE65D6">
        <w:rPr>
          <w:b/>
        </w:rPr>
        <w:t xml:space="preserve"> </w:t>
      </w:r>
    </w:p>
    <w:p w14:paraId="41F6598C" w14:textId="270866D3" w:rsidR="00DD0604" w:rsidRDefault="00DD0604" w:rsidP="00B53AF9">
      <w:pPr>
        <w:pStyle w:val="Quote1"/>
        <w:widowControl/>
      </w:pPr>
      <w:r>
        <w:t>Facebook Ireland was the provider of the Facebook service to Australian Users</w:t>
      </w:r>
      <w:r w:rsidR="003C7EBF">
        <w:t xml:space="preserve"> </w:t>
      </w:r>
      <w:r>
        <w:t>between 12 March 2014 and 17 December 2015. At all times during this period,</w:t>
      </w:r>
      <w:r w:rsidR="003C7EBF">
        <w:t xml:space="preserve"> </w:t>
      </w:r>
      <w:r>
        <w:lastRenderedPageBreak/>
        <w:t>Facebook Ireland was responsible, in that capacity, for the collection and storage of</w:t>
      </w:r>
      <w:r w:rsidR="003C7EBF">
        <w:t xml:space="preserve"> </w:t>
      </w:r>
      <w:r>
        <w:t>personal information of Australian Users through the Facebook service.</w:t>
      </w:r>
    </w:p>
    <w:p w14:paraId="22294547" w14:textId="41DADF1B" w:rsidR="00DD0604" w:rsidRDefault="00DD0604" w:rsidP="00B53AF9">
      <w:pPr>
        <w:pStyle w:val="Quote1"/>
        <w:widowControl/>
      </w:pPr>
      <w:r>
        <w:t>The purposes for which the personal information was c</w:t>
      </w:r>
      <w:r w:rsidR="003C7EBF">
        <w:t xml:space="preserve">ollected were as set out in the </w:t>
      </w:r>
      <w:r>
        <w:t>Facebook Data Policy. We have produced copies of the Facebook Data Policy as it</w:t>
      </w:r>
      <w:r w:rsidR="003C7EBF">
        <w:t xml:space="preserve"> </w:t>
      </w:r>
      <w:r>
        <w:t>applied over the period between 12 March 2014 and 17 December 2015 (see</w:t>
      </w:r>
      <w:r w:rsidR="003C7EBF">
        <w:t xml:space="preserve"> </w:t>
      </w:r>
      <w:r>
        <w:t>FBI.001.001.0036 and FBI.001.001.0051).</w:t>
      </w:r>
    </w:p>
    <w:p w14:paraId="1DA260D8" w14:textId="25C44C67" w:rsidR="00DD0604" w:rsidRPr="00CE65D6" w:rsidRDefault="00DD0604" w:rsidP="00B53AF9">
      <w:pPr>
        <w:pStyle w:val="Quote1"/>
        <w:keepNext/>
        <w:widowControl/>
        <w:ind w:left="1843" w:hanging="567"/>
        <w:rPr>
          <w:b/>
        </w:rPr>
      </w:pPr>
      <w:r w:rsidRPr="00CE65D6">
        <w:rPr>
          <w:b/>
        </w:rPr>
        <w:t xml:space="preserve">b. </w:t>
      </w:r>
      <w:r w:rsidR="003C7EBF">
        <w:rPr>
          <w:b/>
        </w:rPr>
        <w:tab/>
      </w:r>
      <w:r w:rsidRPr="00CE65D6">
        <w:rPr>
          <w:b/>
        </w:rPr>
        <w:t>stored any personal information of Australian Users;</w:t>
      </w:r>
    </w:p>
    <w:p w14:paraId="1A9A34C4" w14:textId="4DC8AEBA" w:rsidR="00DD0604" w:rsidRDefault="00DD0604" w:rsidP="00B53AF9">
      <w:pPr>
        <w:pStyle w:val="Quote1"/>
        <w:widowControl/>
      </w:pPr>
      <w:r>
        <w:t>The processing of information about Australian U</w:t>
      </w:r>
      <w:r w:rsidR="003C7EBF">
        <w:t xml:space="preserve">sers stored in data centres was </w:t>
      </w:r>
      <w:r>
        <w:t>exclusively under the control of Facebook Ireland and not any other Facebook entity.</w:t>
      </w:r>
      <w:r w:rsidR="003C7EBF">
        <w:t xml:space="preserve"> </w:t>
      </w:r>
      <w:r>
        <w:t>During the period between 12 March 2014 and 17 December 2015, personal</w:t>
      </w:r>
      <w:r w:rsidR="003C7EBF">
        <w:t xml:space="preserve"> </w:t>
      </w:r>
      <w:r>
        <w:t>information of Australian Users was stored in data centres located in the United</w:t>
      </w:r>
      <w:r w:rsidR="003C7EBF">
        <w:t xml:space="preserve"> </w:t>
      </w:r>
      <w:r>
        <w:t>States or Sweden (</w:t>
      </w:r>
      <w:proofErr w:type="spellStart"/>
      <w:r>
        <w:t>Luleå</w:t>
      </w:r>
      <w:proofErr w:type="spellEnd"/>
      <w:r>
        <w:t>), which were used at the time by Facebook Ireland to</w:t>
      </w:r>
      <w:r w:rsidR="003C7EBF">
        <w:t xml:space="preserve"> </w:t>
      </w:r>
      <w:r>
        <w:t>provide the Facebook service to Australian Users. All relevant US data centres were</w:t>
      </w:r>
      <w:r w:rsidR="003C7EBF">
        <w:t xml:space="preserve"> </w:t>
      </w:r>
      <w:r>
        <w:t xml:space="preserve">owned or leased by </w:t>
      </w:r>
      <w:proofErr w:type="spellStart"/>
      <w:r>
        <w:t>Siculus</w:t>
      </w:r>
      <w:proofErr w:type="spellEnd"/>
      <w:r>
        <w:t xml:space="preserve"> Inc., Andale, Inc., </w:t>
      </w:r>
      <w:proofErr w:type="spellStart"/>
      <w:r>
        <w:t>Vitesse</w:t>
      </w:r>
      <w:proofErr w:type="spellEnd"/>
      <w:r>
        <w:t>, LLC, or Facebook Operations,</w:t>
      </w:r>
      <w:r w:rsidR="003C7EBF">
        <w:t xml:space="preserve"> </w:t>
      </w:r>
      <w:r>
        <w:t xml:space="preserve">LLC, entities within the Facebook group of companies, and the </w:t>
      </w:r>
      <w:proofErr w:type="spellStart"/>
      <w:r>
        <w:t>Luleå</w:t>
      </w:r>
      <w:proofErr w:type="spellEnd"/>
      <w:r>
        <w:t xml:space="preserve"> data centre was</w:t>
      </w:r>
      <w:r w:rsidR="003C7EBF">
        <w:t xml:space="preserve"> </w:t>
      </w:r>
      <w:r>
        <w:t>owned by Pinnacle Sweden AB., also an entity within the Facebook group of</w:t>
      </w:r>
      <w:r w:rsidR="003C7EBF">
        <w:t xml:space="preserve"> </w:t>
      </w:r>
      <w:r>
        <w:t>companies.</w:t>
      </w:r>
    </w:p>
    <w:p w14:paraId="42A8BF51" w14:textId="61FB1F91" w:rsidR="00DD0604" w:rsidRPr="00CE65D6" w:rsidRDefault="00DD0604" w:rsidP="00B53AF9">
      <w:pPr>
        <w:pStyle w:val="Quote1"/>
        <w:keepNext/>
        <w:widowControl/>
        <w:ind w:left="1843" w:hanging="567"/>
        <w:rPr>
          <w:b/>
        </w:rPr>
      </w:pPr>
      <w:r w:rsidRPr="00CE65D6">
        <w:rPr>
          <w:b/>
        </w:rPr>
        <w:t xml:space="preserve">c. </w:t>
      </w:r>
      <w:r w:rsidR="003C7EBF">
        <w:rPr>
          <w:b/>
        </w:rPr>
        <w:tab/>
      </w:r>
      <w:r w:rsidRPr="00CE65D6">
        <w:rPr>
          <w:b/>
        </w:rPr>
        <w:t>had a right to access any personal informatio</w:t>
      </w:r>
      <w:r w:rsidR="003C7EBF" w:rsidRPr="00CE65D6">
        <w:rPr>
          <w:b/>
        </w:rPr>
        <w:t xml:space="preserve">n of Australian Users stored by </w:t>
      </w:r>
      <w:r w:rsidRPr="00CE65D6">
        <w:rPr>
          <w:b/>
        </w:rPr>
        <w:t>another Facebook entity;</w:t>
      </w:r>
    </w:p>
    <w:p w14:paraId="5EC0716C" w14:textId="77777777" w:rsidR="00DD0604" w:rsidRDefault="00DD0604" w:rsidP="00B53AF9">
      <w:pPr>
        <w:pStyle w:val="Quote1"/>
        <w:widowControl/>
      </w:pPr>
      <w:r>
        <w:t>Please see the response to Question 2 above.</w:t>
      </w:r>
    </w:p>
    <w:p w14:paraId="0DAB0F3B" w14:textId="3CE6D58C" w:rsidR="00DD0604" w:rsidRPr="00CE65D6" w:rsidRDefault="00DD0604" w:rsidP="00B53AF9">
      <w:pPr>
        <w:pStyle w:val="Quote1"/>
        <w:keepNext/>
        <w:widowControl/>
        <w:ind w:left="1843" w:hanging="567"/>
        <w:rPr>
          <w:b/>
        </w:rPr>
      </w:pPr>
      <w:r w:rsidRPr="00CE65D6">
        <w:rPr>
          <w:b/>
        </w:rPr>
        <w:t xml:space="preserve">d. </w:t>
      </w:r>
      <w:r w:rsidR="003C7EBF">
        <w:rPr>
          <w:b/>
        </w:rPr>
        <w:tab/>
      </w:r>
      <w:r w:rsidRPr="00CE65D6">
        <w:rPr>
          <w:b/>
        </w:rPr>
        <w:t>made available for access, by any third par</w:t>
      </w:r>
      <w:r w:rsidR="003C7EBF" w:rsidRPr="00CE65D6">
        <w:rPr>
          <w:b/>
        </w:rPr>
        <w:t xml:space="preserve">ty, any personal information of </w:t>
      </w:r>
      <w:r w:rsidRPr="00CE65D6">
        <w:rPr>
          <w:b/>
        </w:rPr>
        <w:t>Australian Users;</w:t>
      </w:r>
    </w:p>
    <w:p w14:paraId="07B79243" w14:textId="216BC65F" w:rsidR="00DD0604" w:rsidRDefault="00DD0604" w:rsidP="00B53AF9">
      <w:pPr>
        <w:pStyle w:val="Quote1"/>
        <w:widowControl/>
      </w:pPr>
      <w:r>
        <w:t>Information shared by Australian Users on the Fac</w:t>
      </w:r>
      <w:r w:rsidR="003C7EBF">
        <w:t xml:space="preserve">ebook service was available for </w:t>
      </w:r>
      <w:r>
        <w:t>access by other users on the Facebook service in accordance with the Facebook</w:t>
      </w:r>
      <w:r w:rsidR="003C7EBF">
        <w:t xml:space="preserve"> </w:t>
      </w:r>
      <w:r>
        <w:t>Data Policy and to the extent permitted by the settings choices (including choices</w:t>
      </w:r>
      <w:r w:rsidR="003C7EBF">
        <w:t xml:space="preserve"> </w:t>
      </w:r>
      <w:r>
        <w:t>regarding their privacy settings) of those Australian Users.</w:t>
      </w:r>
    </w:p>
    <w:p w14:paraId="2A39F123" w14:textId="678FDA26" w:rsidR="00DD0604" w:rsidRDefault="00DD0604" w:rsidP="00B53AF9">
      <w:pPr>
        <w:pStyle w:val="Quote1"/>
        <w:widowControl/>
      </w:pPr>
      <w:r>
        <w:t>The Facebook service included an API called Fac</w:t>
      </w:r>
      <w:r w:rsidR="003C7EBF">
        <w:t xml:space="preserve">ebook Login through which third </w:t>
      </w:r>
      <w:r>
        <w:t>party App developers could request permission directly from users to access certain</w:t>
      </w:r>
      <w:r w:rsidR="003C7EBF">
        <w:t xml:space="preserve"> </w:t>
      </w:r>
      <w:r>
        <w:t>categories of information that those users either uploaded or had access to on the</w:t>
      </w:r>
      <w:r w:rsidR="003C7EBF">
        <w:t xml:space="preserve"> Facebook service.</w:t>
      </w:r>
    </w:p>
    <w:p w14:paraId="59157F48" w14:textId="02D3EFA3" w:rsidR="00DD0604" w:rsidRPr="00CE65D6" w:rsidRDefault="00DD0604" w:rsidP="00B53AF9">
      <w:pPr>
        <w:pStyle w:val="Quote1"/>
        <w:keepNext/>
        <w:widowControl/>
        <w:ind w:left="1843" w:hanging="567"/>
        <w:rPr>
          <w:b/>
        </w:rPr>
      </w:pPr>
      <w:r w:rsidRPr="00CE65D6">
        <w:rPr>
          <w:b/>
        </w:rPr>
        <w:t xml:space="preserve">e. </w:t>
      </w:r>
      <w:r w:rsidR="003C7EBF">
        <w:rPr>
          <w:b/>
        </w:rPr>
        <w:tab/>
      </w:r>
      <w:r w:rsidRPr="00CE65D6">
        <w:rPr>
          <w:b/>
        </w:rPr>
        <w:t xml:space="preserve">made available for access by the Life </w:t>
      </w:r>
      <w:r w:rsidR="003C7EBF" w:rsidRPr="00CE65D6">
        <w:rPr>
          <w:b/>
        </w:rPr>
        <w:t xml:space="preserve">App any personal information of </w:t>
      </w:r>
      <w:r w:rsidRPr="00CE65D6">
        <w:rPr>
          <w:b/>
        </w:rPr>
        <w:t>Australian Users, including but not limited to Installers and/or Friends.</w:t>
      </w:r>
    </w:p>
    <w:p w14:paraId="6A5A59D3" w14:textId="0C425392" w:rsidR="00DD0604" w:rsidRDefault="00DD0604" w:rsidP="00B53AF9">
      <w:pPr>
        <w:pStyle w:val="Quote1"/>
        <w:widowControl/>
      </w:pPr>
      <w:r>
        <w:t>Through its use of Facebook Login, the Life App</w:t>
      </w:r>
      <w:r w:rsidR="003C7EBF">
        <w:t xml:space="preserve"> may have had access to certain </w:t>
      </w:r>
      <w:r>
        <w:t>limited categories of personal information about Australian Users in the manner</w:t>
      </w:r>
      <w:r w:rsidR="003C7EBF">
        <w:t xml:space="preserve"> </w:t>
      </w:r>
      <w:r>
        <w:t>described in the response to Question 3(d) above. However, this would have</w:t>
      </w:r>
      <w:r w:rsidR="003C7EBF">
        <w:t xml:space="preserve"> </w:t>
      </w:r>
      <w:r>
        <w:t>depended in each case on a number of factors, including:</w:t>
      </w:r>
    </w:p>
    <w:p w14:paraId="2734D3CA" w14:textId="0DB29538" w:rsidR="00DD0604" w:rsidRDefault="00DD0604" w:rsidP="00B53AF9">
      <w:pPr>
        <w:pStyle w:val="Quote1Bullet"/>
        <w:widowControl/>
      </w:pPr>
      <w:r>
        <w:t>whether or not the Australian Users were Installers or Friends; and</w:t>
      </w:r>
    </w:p>
    <w:p w14:paraId="101CA99F" w14:textId="0572A0D9" w:rsidR="00DD0604" w:rsidRDefault="00DD0604" w:rsidP="00B53AF9">
      <w:pPr>
        <w:pStyle w:val="Quote1Bullet"/>
        <w:widowControl/>
      </w:pPr>
      <w:r>
        <w:t>the privacy settings the Australian Users had in place during the relevant</w:t>
      </w:r>
      <w:r w:rsidR="003C7EBF">
        <w:t xml:space="preserve"> </w:t>
      </w:r>
      <w:r>
        <w:t>period.</w:t>
      </w:r>
    </w:p>
    <w:p w14:paraId="629275FB" w14:textId="0B27B32A" w:rsidR="00DD0604" w:rsidRDefault="00DD0604" w:rsidP="00B53AF9">
      <w:pPr>
        <w:pStyle w:val="Quote1"/>
        <w:widowControl/>
        <w:spacing w:after="0"/>
      </w:pPr>
      <w:r>
        <w:t>We also note that, the Life App</w:t>
      </w:r>
      <w:r w:rsidR="0059361E">
        <w:t>’</w:t>
      </w:r>
      <w:r>
        <w:t>s access to informa</w:t>
      </w:r>
      <w:r w:rsidR="003C7EBF">
        <w:t xml:space="preserve">tion about Australian Users was </w:t>
      </w:r>
      <w:r>
        <w:t>restricted from May 2015 following changes made to Facebook Login.</w:t>
      </w:r>
    </w:p>
    <w:p w14:paraId="6D492BCF" w14:textId="77777777" w:rsidR="003C7EBF" w:rsidRPr="003C7EBF" w:rsidRDefault="003C7EBF" w:rsidP="00B53AF9">
      <w:pPr>
        <w:pStyle w:val="Quote1"/>
        <w:widowControl/>
      </w:pPr>
    </w:p>
    <w:p w14:paraId="70FDD353" w14:textId="3F19F24A" w:rsidR="00235081" w:rsidRDefault="00235081" w:rsidP="00B952AD">
      <w:pPr>
        <w:pStyle w:val="ParaNumbering"/>
      </w:pPr>
      <w:r>
        <w:t xml:space="preserve">Facebook </w:t>
      </w:r>
      <w:proofErr w:type="spellStart"/>
      <w:r>
        <w:t>Inc</w:t>
      </w:r>
      <w:proofErr w:type="spellEnd"/>
      <w:r>
        <w:t xml:space="preserve"> gave the following answer</w:t>
      </w:r>
      <w:r w:rsidR="00472062">
        <w:t>s</w:t>
      </w:r>
      <w:r w:rsidR="00320C67">
        <w:t xml:space="preserve"> in response to a notice issued under s 44 of the </w:t>
      </w:r>
      <w:r w:rsidR="00320C67">
        <w:rPr>
          <w:i/>
        </w:rPr>
        <w:t>Privacy Act</w:t>
      </w:r>
      <w:r>
        <w:t>:</w:t>
      </w:r>
    </w:p>
    <w:p w14:paraId="0B63F692" w14:textId="4B724E24" w:rsidR="00B66BCC" w:rsidRPr="00B66BCC" w:rsidRDefault="00B66BCC" w:rsidP="00B66BCC">
      <w:pPr>
        <w:pStyle w:val="Quote1"/>
        <w:ind w:left="1276" w:hanging="539"/>
        <w:rPr>
          <w:b/>
        </w:rPr>
      </w:pPr>
      <w:r w:rsidRPr="00B66BCC">
        <w:rPr>
          <w:b/>
        </w:rPr>
        <w:lastRenderedPageBreak/>
        <w:t xml:space="preserve">5 </w:t>
      </w:r>
      <w:r>
        <w:rPr>
          <w:b/>
        </w:rPr>
        <w:tab/>
      </w:r>
      <w:r w:rsidRPr="00B66BCC">
        <w:rPr>
          <w:b/>
        </w:rPr>
        <w:t xml:space="preserve">If Facebook </w:t>
      </w:r>
      <w:proofErr w:type="spellStart"/>
      <w:r w:rsidRPr="00B66BCC">
        <w:rPr>
          <w:b/>
        </w:rPr>
        <w:t>Inc</w:t>
      </w:r>
      <w:proofErr w:type="spellEnd"/>
      <w:r w:rsidRPr="00B66BCC">
        <w:rPr>
          <w:b/>
        </w:rPr>
        <w:t xml:space="preserve"> collected or stored the personal information of Australian Users, including personal information collected from another entity, please identify:</w:t>
      </w:r>
    </w:p>
    <w:p w14:paraId="637FE411" w14:textId="726DFDBA" w:rsidR="00B66BCC" w:rsidRPr="00B66BCC" w:rsidRDefault="00B66BCC" w:rsidP="00472062">
      <w:pPr>
        <w:pStyle w:val="Quote1"/>
        <w:ind w:left="1843" w:hanging="567"/>
        <w:rPr>
          <w:b/>
        </w:rPr>
      </w:pPr>
      <w:r w:rsidRPr="00B66BCC">
        <w:rPr>
          <w:b/>
        </w:rPr>
        <w:t xml:space="preserve">a. </w:t>
      </w:r>
      <w:r>
        <w:rPr>
          <w:b/>
        </w:rPr>
        <w:tab/>
      </w:r>
      <w:r w:rsidRPr="00B66BCC">
        <w:rPr>
          <w:b/>
        </w:rPr>
        <w:t xml:space="preserve">the purposes for which Facebook </w:t>
      </w:r>
      <w:proofErr w:type="spellStart"/>
      <w:r w:rsidRPr="00B66BCC">
        <w:rPr>
          <w:b/>
        </w:rPr>
        <w:t>Inc</w:t>
      </w:r>
      <w:proofErr w:type="spellEnd"/>
      <w:r w:rsidRPr="00B66BCC">
        <w:rPr>
          <w:b/>
        </w:rPr>
        <w:t xml:space="preserve"> collected or stored the personal information;</w:t>
      </w:r>
    </w:p>
    <w:p w14:paraId="35047C8B" w14:textId="022E48BC" w:rsidR="00B66BCC" w:rsidRPr="00B66BCC" w:rsidRDefault="00B66BCC" w:rsidP="00B66BCC">
      <w:pPr>
        <w:pStyle w:val="Quote1"/>
      </w:pPr>
      <w:r>
        <w:t xml:space="preserve">Facebook Ireland was the provider of the Facebook service to Australian Users between 12 March 2014 and 17 December 2015. At all times during this period, </w:t>
      </w:r>
      <w:r w:rsidRPr="00B66BCC">
        <w:t>Facebook Ireland was responsible, in that capacity, for all processing of personal</w:t>
      </w:r>
      <w:r>
        <w:t xml:space="preserve"> </w:t>
      </w:r>
      <w:r w:rsidRPr="00B66BCC">
        <w:t>information of Australian Users through the Facebook service.</w:t>
      </w:r>
    </w:p>
    <w:p w14:paraId="047253F8" w14:textId="07C122AE" w:rsidR="00B66BCC" w:rsidRPr="00B66BCC" w:rsidRDefault="00B66BCC" w:rsidP="00B66BCC">
      <w:pPr>
        <w:pStyle w:val="Quote1"/>
      </w:pPr>
      <w:r w:rsidRPr="00B66BCC">
        <w:t xml:space="preserve">Facebook </w:t>
      </w:r>
      <w:proofErr w:type="spellStart"/>
      <w:r w:rsidRPr="00B66BCC">
        <w:t>Inc</w:t>
      </w:r>
      <w:proofErr w:type="spellEnd"/>
      <w:r w:rsidRPr="00B66BCC">
        <w:t xml:space="preserve"> performed data processing activities f</w:t>
      </w:r>
      <w:r>
        <w:t xml:space="preserve">or Facebook Ireland during this </w:t>
      </w:r>
      <w:r w:rsidRPr="00B66BCC">
        <w:t>time as contemplated by the Data Transfer and Processing Agreement between</w:t>
      </w:r>
      <w:r>
        <w:t xml:space="preserve"> </w:t>
      </w:r>
      <w:r w:rsidRPr="00B66BCC">
        <w:t xml:space="preserve">Facebook Ireland (as data exporter) and Facebook </w:t>
      </w:r>
      <w:proofErr w:type="spellStart"/>
      <w:r w:rsidRPr="00B66BCC">
        <w:t>Inc</w:t>
      </w:r>
      <w:proofErr w:type="spellEnd"/>
      <w:r w:rsidRPr="00B66BCC">
        <w:t xml:space="preserve"> (as data importer) dated 13</w:t>
      </w:r>
      <w:r>
        <w:t xml:space="preserve"> </w:t>
      </w:r>
      <w:r w:rsidRPr="00B66BCC">
        <w:t xml:space="preserve">November 2013 (see FBI.001.006.0016). As set out in that agreement, Facebook </w:t>
      </w:r>
      <w:proofErr w:type="spellStart"/>
      <w:r w:rsidRPr="00B66BCC">
        <w:t>Inc</w:t>
      </w:r>
      <w:proofErr w:type="spellEnd"/>
      <w:r>
        <w:t xml:space="preserve"> </w:t>
      </w:r>
      <w:r w:rsidRPr="00B66BCC">
        <w:t>was obliged to follow instructions from Facebook Ireland in relation to relevant</w:t>
      </w:r>
      <w:r>
        <w:t xml:space="preserve"> </w:t>
      </w:r>
      <w:r w:rsidRPr="00B66BCC">
        <w:t>processing activities. In addition, all of those activities took place outside Australia.</w:t>
      </w:r>
    </w:p>
    <w:p w14:paraId="32DC2073" w14:textId="59FA872E" w:rsidR="00B66BCC" w:rsidRPr="00B66BCC" w:rsidRDefault="00B66BCC" w:rsidP="00B66BCC">
      <w:pPr>
        <w:pStyle w:val="Quote1"/>
      </w:pPr>
      <w:r w:rsidRPr="00B66BCC">
        <w:t>The purposes for which the personal information w</w:t>
      </w:r>
      <w:r>
        <w:t xml:space="preserve">as collected and stored were as </w:t>
      </w:r>
      <w:r w:rsidRPr="00B66BCC">
        <w:t>set out in the Facebook Data Policy.</w:t>
      </w:r>
    </w:p>
    <w:p w14:paraId="3AFF0A1A" w14:textId="502378C2" w:rsidR="00B66BCC" w:rsidRPr="00B66BCC" w:rsidRDefault="00B66BCC" w:rsidP="00472062">
      <w:pPr>
        <w:pStyle w:val="Quote1"/>
        <w:ind w:left="1843" w:hanging="567"/>
        <w:rPr>
          <w:b/>
          <w:bCs/>
        </w:rPr>
      </w:pPr>
      <w:r w:rsidRPr="00B66BCC">
        <w:rPr>
          <w:b/>
          <w:bCs/>
        </w:rPr>
        <w:t xml:space="preserve">b. </w:t>
      </w:r>
      <w:r>
        <w:rPr>
          <w:b/>
          <w:bCs/>
        </w:rPr>
        <w:tab/>
      </w:r>
      <w:r w:rsidRPr="00B66BCC">
        <w:rPr>
          <w:b/>
          <w:bCs/>
        </w:rPr>
        <w:t>the number of Australian Users whose person</w:t>
      </w:r>
      <w:r>
        <w:rPr>
          <w:b/>
          <w:bCs/>
        </w:rPr>
        <w:t xml:space="preserve">al information was collected by </w:t>
      </w:r>
      <w:r w:rsidRPr="00B66BCC">
        <w:rPr>
          <w:b/>
          <w:bCs/>
        </w:rPr>
        <w:t xml:space="preserve">Facebook </w:t>
      </w:r>
      <w:proofErr w:type="spellStart"/>
      <w:r w:rsidRPr="00B66BCC">
        <w:rPr>
          <w:b/>
          <w:bCs/>
        </w:rPr>
        <w:t>Inc</w:t>
      </w:r>
      <w:proofErr w:type="spellEnd"/>
      <w:r w:rsidRPr="00B66BCC">
        <w:rPr>
          <w:b/>
          <w:bCs/>
        </w:rPr>
        <w:t xml:space="preserve"> under:</w:t>
      </w:r>
    </w:p>
    <w:p w14:paraId="65335D76" w14:textId="55FDB70C" w:rsidR="00B66BCC" w:rsidRPr="00B66BCC" w:rsidRDefault="00B66BCC" w:rsidP="006574A1">
      <w:pPr>
        <w:pStyle w:val="Quote1"/>
        <w:ind w:left="2410" w:hanging="567"/>
        <w:rPr>
          <w:b/>
          <w:bCs/>
        </w:rPr>
      </w:pPr>
      <w:proofErr w:type="spellStart"/>
      <w:r w:rsidRPr="00B66BCC">
        <w:rPr>
          <w:b/>
          <w:bCs/>
        </w:rPr>
        <w:t>i</w:t>
      </w:r>
      <w:proofErr w:type="spellEnd"/>
      <w:r w:rsidRPr="00B66BCC">
        <w:rPr>
          <w:b/>
          <w:bCs/>
        </w:rPr>
        <w:t xml:space="preserve">. </w:t>
      </w:r>
      <w:r>
        <w:rPr>
          <w:b/>
          <w:bCs/>
        </w:rPr>
        <w:tab/>
      </w:r>
      <w:r w:rsidRPr="00B66BCC">
        <w:rPr>
          <w:b/>
          <w:bCs/>
        </w:rPr>
        <w:t>the Data Transfer and Processing Agreement dated 13 November 2013;</w:t>
      </w:r>
    </w:p>
    <w:p w14:paraId="7E9565C9" w14:textId="7558C890" w:rsidR="00B66BCC" w:rsidRPr="00B66BCC" w:rsidRDefault="00B66BCC" w:rsidP="006574A1">
      <w:pPr>
        <w:pStyle w:val="Quote1"/>
        <w:ind w:left="2410" w:hanging="567"/>
        <w:rPr>
          <w:b/>
          <w:bCs/>
        </w:rPr>
      </w:pPr>
      <w:r w:rsidRPr="00B66BCC">
        <w:rPr>
          <w:b/>
          <w:bCs/>
        </w:rPr>
        <w:t xml:space="preserve">ii. </w:t>
      </w:r>
      <w:r>
        <w:rPr>
          <w:b/>
          <w:bCs/>
        </w:rPr>
        <w:tab/>
      </w:r>
      <w:r w:rsidRPr="00B66BCC">
        <w:rPr>
          <w:b/>
          <w:bCs/>
        </w:rPr>
        <w:t>any amended versions of the above agreement; and</w:t>
      </w:r>
    </w:p>
    <w:p w14:paraId="67262FD5" w14:textId="6A3E8F69" w:rsidR="00B66BCC" w:rsidRPr="00B66BCC" w:rsidRDefault="00B66BCC" w:rsidP="006574A1">
      <w:pPr>
        <w:pStyle w:val="Quote1"/>
        <w:ind w:left="2410" w:hanging="567"/>
        <w:rPr>
          <w:b/>
          <w:bCs/>
        </w:rPr>
      </w:pPr>
      <w:r w:rsidRPr="00B66BCC">
        <w:rPr>
          <w:b/>
          <w:bCs/>
        </w:rPr>
        <w:t xml:space="preserve">iii. </w:t>
      </w:r>
      <w:r>
        <w:rPr>
          <w:b/>
          <w:bCs/>
        </w:rPr>
        <w:tab/>
      </w:r>
      <w:r w:rsidRPr="00B66BCC">
        <w:rPr>
          <w:b/>
          <w:bCs/>
        </w:rPr>
        <w:t>any other contract or agreement effective</w:t>
      </w:r>
      <w:r>
        <w:rPr>
          <w:b/>
          <w:bCs/>
        </w:rPr>
        <w:t xml:space="preserve"> in the period 12 March 2014 to </w:t>
      </w:r>
      <w:r w:rsidRPr="00B66BCC">
        <w:rPr>
          <w:b/>
          <w:bCs/>
        </w:rPr>
        <w:t>17 December 2015.</w:t>
      </w:r>
    </w:p>
    <w:p w14:paraId="6A8DED35" w14:textId="1AA8E119" w:rsidR="00B66BCC" w:rsidRDefault="00B66BCC" w:rsidP="00B66BCC">
      <w:pPr>
        <w:pStyle w:val="Quote1"/>
        <w:spacing w:after="0"/>
      </w:pPr>
      <w:r w:rsidRPr="00B66BCC">
        <w:t>The arrangements described in response to Ques</w:t>
      </w:r>
      <w:r>
        <w:t xml:space="preserve">tion 5(a) above applied for all </w:t>
      </w:r>
      <w:r w:rsidRPr="00B66BCC">
        <w:t>Australian Users. There are no amended versions of the Data Transfer and</w:t>
      </w:r>
      <w:r>
        <w:t xml:space="preserve"> </w:t>
      </w:r>
      <w:r w:rsidRPr="00B66BCC">
        <w:t>Processing Agreement or other contracts or agreements relevant to this Question.</w:t>
      </w:r>
    </w:p>
    <w:p w14:paraId="5BD03374" w14:textId="77777777" w:rsidR="00B66BCC" w:rsidRPr="00B66BCC" w:rsidRDefault="00B66BCC" w:rsidP="00B66BCC">
      <w:pPr>
        <w:pStyle w:val="Quote1"/>
      </w:pPr>
    </w:p>
    <w:p w14:paraId="03853383" w14:textId="4C769140" w:rsidR="006C7B1E" w:rsidRDefault="006C7B1E" w:rsidP="006C7B1E">
      <w:pPr>
        <w:pStyle w:val="ParaNumbering"/>
      </w:pPr>
      <w:r>
        <w:t xml:space="preserve">These responses indicate that personal information of Australian users was stored outside of Australia in data centres located in the United States or Sweden, none of which were owned or leased by Facebook Inc.  Facebook </w:t>
      </w:r>
      <w:proofErr w:type="spellStart"/>
      <w:r>
        <w:t>Inc</w:t>
      </w:r>
      <w:proofErr w:type="spellEnd"/>
      <w:r>
        <w:t xml:space="preserve"> accepted it was arguable that Facebook Ireland collected the personal information because th</w:t>
      </w:r>
      <w:r w:rsidR="00854E6C">
        <w:t>e</w:t>
      </w:r>
      <w:r>
        <w:t xml:space="preserve"> entities</w:t>
      </w:r>
      <w:r w:rsidR="00854E6C">
        <w:t xml:space="preserve"> which owned or leased the data centres</w:t>
      </w:r>
      <w:r>
        <w:t xml:space="preserve"> were collecting </w:t>
      </w:r>
      <w:r w:rsidR="00517A60">
        <w:t>the personal information</w:t>
      </w:r>
      <w:r>
        <w:t xml:space="preserve"> on behalf of Facebook Ireland, the data controller.  Facebook </w:t>
      </w:r>
      <w:proofErr w:type="spellStart"/>
      <w:r>
        <w:t>Inc</w:t>
      </w:r>
      <w:proofErr w:type="spellEnd"/>
      <w:r>
        <w:t xml:space="preserve"> accepted that the contracts with users permitted the information to be passed on, but submitted that collection had occurred by that point.</w:t>
      </w:r>
    </w:p>
    <w:p w14:paraId="37040276" w14:textId="77777777" w:rsidR="003C0A5E" w:rsidRDefault="00235081" w:rsidP="00235081">
      <w:pPr>
        <w:pStyle w:val="ParaNumbering"/>
      </w:pPr>
      <w:r>
        <w:t>The Commissioner submitted that, whilst these responses were astute to identify that it was Facebook Ireland that was responsible for the provision of the Facebook service to Australian users and responsible in that capacity for all processing of personal information through the Facebook service, the responses did not identify the entity actually performing the act of collection of the Australian users</w:t>
      </w:r>
      <w:r w:rsidR="0059361E">
        <w:t>’</w:t>
      </w:r>
      <w:r>
        <w:t xml:space="preserve"> personal information.  </w:t>
      </w:r>
    </w:p>
    <w:p w14:paraId="3FF07380" w14:textId="0115A914" w:rsidR="00235081" w:rsidRDefault="00235081" w:rsidP="00235081">
      <w:pPr>
        <w:pStyle w:val="ParaNumbering"/>
      </w:pPr>
      <w:r>
        <w:lastRenderedPageBreak/>
        <w:t xml:space="preserve">The Commissioner submitted that, read alongside the uncontroversial fact that Facebook </w:t>
      </w:r>
      <w:proofErr w:type="spellStart"/>
      <w:r>
        <w:t>Inc</w:t>
      </w:r>
      <w:proofErr w:type="spellEnd"/>
      <w:r>
        <w:t xml:space="preserve"> performed data processing activities in respect of Australian users</w:t>
      </w:r>
      <w:r w:rsidR="00517A60">
        <w:t>’</w:t>
      </w:r>
      <w:r>
        <w:t xml:space="preserve"> data</w:t>
      </w:r>
      <w:r w:rsidR="00517A60">
        <w:t>,</w:t>
      </w:r>
      <w:r>
        <w:t xml:space="preserve"> the inference was open that personal information was instantaneously and physically collected by Facebook </w:t>
      </w:r>
      <w:proofErr w:type="spellStart"/>
      <w:r>
        <w:t>Inc</w:t>
      </w:r>
      <w:proofErr w:type="spellEnd"/>
      <w:r>
        <w:t xml:space="preserve"> for processing under the Data Transfer </w:t>
      </w:r>
      <w:r w:rsidR="006574A1">
        <w:t>a</w:t>
      </w:r>
      <w:r>
        <w:t xml:space="preserve">nd Processing Agreement. </w:t>
      </w:r>
    </w:p>
    <w:p w14:paraId="5135C5C9" w14:textId="07F42C1A" w:rsidR="006C7B1E" w:rsidRDefault="006C7B1E" w:rsidP="00235081">
      <w:pPr>
        <w:pStyle w:val="ParaNumbering"/>
      </w:pPr>
      <w:r>
        <w:t xml:space="preserve">As noted above, I consider it arguable that Facebook </w:t>
      </w:r>
      <w:proofErr w:type="spellStart"/>
      <w:r>
        <w:t>Inc</w:t>
      </w:r>
      <w:proofErr w:type="spellEnd"/>
      <w:r>
        <w:t xml:space="preserve"> collected personal information by reason of the matter</w:t>
      </w:r>
      <w:r w:rsidR="00310ACF">
        <w:t>s</w:t>
      </w:r>
      <w:r>
        <w:t xml:space="preserve"> referred to above in relation to caching servers and in relation to the installation and operation of cookies.  Those matters, together with the matters referred to next, also support a prima facie case that the personal information was instantaneously obtained by Facebook </w:t>
      </w:r>
      <w:proofErr w:type="spellStart"/>
      <w:r>
        <w:t>Inc</w:t>
      </w:r>
      <w:proofErr w:type="spellEnd"/>
      <w:r>
        <w:t xml:space="preserve">, as opposed to being “transferred” to it, with the result that it is arguable that Facebook </w:t>
      </w:r>
      <w:proofErr w:type="spellStart"/>
      <w:r>
        <w:t>Inc</w:t>
      </w:r>
      <w:proofErr w:type="spellEnd"/>
      <w:r>
        <w:t xml:space="preserve"> “collected” the information within the meaning of s 5B(3)(c).</w:t>
      </w:r>
    </w:p>
    <w:p w14:paraId="7CD7E099" w14:textId="7ADFD0C9" w:rsidR="006C7B1E" w:rsidRDefault="00FC0A38" w:rsidP="00235081">
      <w:pPr>
        <w:pStyle w:val="ParaNumbering"/>
      </w:pPr>
      <w:r>
        <w:t>It is arguable</w:t>
      </w:r>
      <w:r w:rsidR="006574A1">
        <w:t xml:space="preserve"> in the present context</w:t>
      </w:r>
      <w:r>
        <w:t xml:space="preserve"> that multiple entities can collect</w:t>
      </w:r>
      <w:r w:rsidR="006574A1">
        <w:t xml:space="preserve"> the same</w:t>
      </w:r>
      <w:r>
        <w:t xml:space="preserve"> information.  </w:t>
      </w:r>
      <w:r w:rsidR="006574A1">
        <w:t xml:space="preserve">Facebook </w:t>
      </w:r>
      <w:proofErr w:type="spellStart"/>
      <w:r w:rsidR="006574A1">
        <w:t>Inc’s</w:t>
      </w:r>
      <w:proofErr w:type="spellEnd"/>
      <w:r w:rsidR="006574A1">
        <w:t xml:space="preserve"> submission that Facebook Ireland collects the information and that, </w:t>
      </w:r>
      <w:r w:rsidR="00B00309">
        <w:t xml:space="preserve">at the time </w:t>
      </w:r>
      <w:r w:rsidR="006574A1">
        <w:t xml:space="preserve">it transfers the information to Facebook </w:t>
      </w:r>
      <w:proofErr w:type="spellStart"/>
      <w:r w:rsidR="006574A1">
        <w:t>Inc</w:t>
      </w:r>
      <w:proofErr w:type="spellEnd"/>
      <w:r w:rsidR="006574A1">
        <w:t xml:space="preserve"> for processing, the </w:t>
      </w:r>
      <w:r w:rsidR="006C7B1E">
        <w:t>process of collection is complete</w:t>
      </w:r>
      <w:r w:rsidR="006574A1">
        <w:t xml:space="preserve">, might conform to the words in or ideas generated by the relevant contracts, but </w:t>
      </w:r>
      <w:r w:rsidR="00F308C5">
        <w:t xml:space="preserve">it </w:t>
      </w:r>
      <w:r w:rsidR="006574A1">
        <w:t>does so at the expense of reality</w:t>
      </w:r>
      <w:r w:rsidR="003C0A5E">
        <w:t>; see also: [</w:t>
      </w:r>
      <w:r w:rsidR="003C0A5E">
        <w:fldChar w:fldCharType="begin"/>
      </w:r>
      <w:r w:rsidR="003C0A5E">
        <w:instrText xml:space="preserve"> REF _Ref50713984 \r \h </w:instrText>
      </w:r>
      <w:r w:rsidR="003C0A5E">
        <w:fldChar w:fldCharType="separate"/>
      </w:r>
      <w:r w:rsidR="00872EB6">
        <w:t>138</w:t>
      </w:r>
      <w:r w:rsidR="003C0A5E">
        <w:fldChar w:fldCharType="end"/>
      </w:r>
      <w:r w:rsidR="003C0A5E">
        <w:t>] above</w:t>
      </w:r>
      <w:r w:rsidR="006574A1">
        <w:t xml:space="preserve">.  </w:t>
      </w:r>
    </w:p>
    <w:p w14:paraId="068BC860" w14:textId="31CEA93B" w:rsidR="00CC0C78" w:rsidRDefault="006C7B1E" w:rsidP="00235081">
      <w:pPr>
        <w:pStyle w:val="ParaNumbering"/>
      </w:pPr>
      <w:r>
        <w:t>An</w:t>
      </w:r>
      <w:r w:rsidR="00F308C5">
        <w:t xml:space="preserve"> inference is open that Facebook </w:t>
      </w:r>
      <w:proofErr w:type="spellStart"/>
      <w:r w:rsidR="00F308C5">
        <w:t>Inc</w:t>
      </w:r>
      <w:proofErr w:type="spellEnd"/>
      <w:r w:rsidR="00F308C5">
        <w:t xml:space="preserve"> collect</w:t>
      </w:r>
      <w:r w:rsidR="00B00309">
        <w:t>ed</w:t>
      </w:r>
      <w:r w:rsidR="00F308C5">
        <w:t xml:space="preserve"> the </w:t>
      </w:r>
      <w:r w:rsidR="00B00309">
        <w:t xml:space="preserve">personal </w:t>
      </w:r>
      <w:r w:rsidR="00F308C5">
        <w:t xml:space="preserve">information </w:t>
      </w:r>
      <w:r w:rsidR="00B00309">
        <w:t xml:space="preserve">of Australian users </w:t>
      </w:r>
      <w:r w:rsidR="00F308C5">
        <w:t xml:space="preserve">for processing.  That Facebook </w:t>
      </w:r>
      <w:proofErr w:type="spellStart"/>
      <w:r w:rsidR="00F308C5">
        <w:t>Inc</w:t>
      </w:r>
      <w:proofErr w:type="spellEnd"/>
      <w:r w:rsidR="00F308C5">
        <w:t xml:space="preserve"> might </w:t>
      </w:r>
      <w:r w:rsidR="00B00309">
        <w:t xml:space="preserve">have </w:t>
      </w:r>
      <w:r w:rsidR="00F308C5">
        <w:t>collect</w:t>
      </w:r>
      <w:r w:rsidR="00B00309">
        <w:t>ed</w:t>
      </w:r>
      <w:r w:rsidR="00F308C5">
        <w:t xml:space="preserve"> the information pursuant to a contract under which it provide</w:t>
      </w:r>
      <w:r w:rsidR="00B00309">
        <w:t>d</w:t>
      </w:r>
      <w:r w:rsidR="00F308C5">
        <w:t xml:space="preserve"> services to Facebook Ireland does not immunise it from a prima facie case that it collect</w:t>
      </w:r>
      <w:r w:rsidR="00B00309">
        <w:t>ed</w:t>
      </w:r>
      <w:r w:rsidR="00F308C5">
        <w:t xml:space="preserve"> the information within the meaning of s 5B(3)(c).  </w:t>
      </w:r>
      <w:r w:rsidR="0036155F">
        <w:t>It is arguable that, assuming Facebook Ireland collect</w:t>
      </w:r>
      <w:r w:rsidR="00B00309">
        <w:t>ed</w:t>
      </w:r>
      <w:r w:rsidR="0036155F">
        <w:t xml:space="preserve"> the information, Facebook </w:t>
      </w:r>
      <w:proofErr w:type="spellStart"/>
      <w:r w:rsidR="0036155F">
        <w:t>Inc</w:t>
      </w:r>
      <w:proofErr w:type="spellEnd"/>
      <w:r w:rsidR="0036155F">
        <w:t xml:space="preserve"> can also and simultaneously collect the same information.  </w:t>
      </w:r>
      <w:r w:rsidR="0043259D">
        <w:t xml:space="preserve">The precise ambit of the word </w:t>
      </w:r>
      <w:r w:rsidR="0059361E">
        <w:t>“</w:t>
      </w:r>
      <w:r w:rsidR="0043259D">
        <w:t>collect</w:t>
      </w:r>
      <w:r w:rsidR="00F308C5">
        <w:t>s</w:t>
      </w:r>
      <w:r w:rsidR="0059361E">
        <w:t>”</w:t>
      </w:r>
      <w:r w:rsidR="0043259D">
        <w:t xml:space="preserve"> does not need to be determined on this application.  It is sufficient if there is a prima facie case that Facebook </w:t>
      </w:r>
      <w:proofErr w:type="spellStart"/>
      <w:r w:rsidR="0043259D">
        <w:t>Inc</w:t>
      </w:r>
      <w:proofErr w:type="spellEnd"/>
      <w:r w:rsidR="0043259D">
        <w:t xml:space="preserve"> collected personal information.</w:t>
      </w:r>
      <w:r w:rsidR="00F308C5">
        <w:t xml:space="preserve">  In my view there is.</w:t>
      </w:r>
      <w:r w:rsidR="00F4206C">
        <w:t xml:space="preserve">  Having regard to the terms of the Explanatory Memorandum, the fact that the</w:t>
      </w:r>
      <w:r w:rsidR="004379CC">
        <w:t xml:space="preserve"> personal</w:t>
      </w:r>
      <w:r w:rsidR="00F4206C">
        <w:t xml:space="preserve"> information is uploaded in Australia and stored </w:t>
      </w:r>
      <w:r w:rsidR="004379CC">
        <w:t xml:space="preserve">on Australian users’ devices and browser caches and </w:t>
      </w:r>
      <w:r w:rsidR="00F4206C">
        <w:t xml:space="preserve">on caching servers </w:t>
      </w:r>
      <w:r w:rsidR="00310ACF">
        <w:t xml:space="preserve">arguably owned or operated by Facebook </w:t>
      </w:r>
      <w:proofErr w:type="spellStart"/>
      <w:r w:rsidR="00310ACF">
        <w:t>Inc</w:t>
      </w:r>
      <w:proofErr w:type="spellEnd"/>
      <w:r w:rsidR="00310ACF">
        <w:t xml:space="preserve"> </w:t>
      </w:r>
      <w:r w:rsidR="0036155F">
        <w:t>in Australia</w:t>
      </w:r>
      <w:r w:rsidR="00F4206C">
        <w:t xml:space="preserve">, it is arguable that </w:t>
      </w:r>
      <w:r w:rsidR="00310ACF">
        <w:t xml:space="preserve">Facebook </w:t>
      </w:r>
      <w:proofErr w:type="spellStart"/>
      <w:r w:rsidR="00310ACF">
        <w:t>Inc</w:t>
      </w:r>
      <w:proofErr w:type="spellEnd"/>
      <w:r w:rsidR="00310ACF">
        <w:t xml:space="preserve"> </w:t>
      </w:r>
      <w:r w:rsidR="00F4206C">
        <w:t>collect</w:t>
      </w:r>
      <w:r w:rsidR="00310ACF">
        <w:t>ed</w:t>
      </w:r>
      <w:r w:rsidR="004379CC">
        <w:t xml:space="preserve"> the</w:t>
      </w:r>
      <w:r w:rsidR="00F4206C">
        <w:t xml:space="preserve"> </w:t>
      </w:r>
      <w:r w:rsidR="00310ACF">
        <w:t xml:space="preserve">personal information </w:t>
      </w:r>
      <w:r w:rsidR="00F4206C">
        <w:t xml:space="preserve">in Australia.  </w:t>
      </w:r>
    </w:p>
    <w:p w14:paraId="3B92BA4E" w14:textId="460CA2D3" w:rsidR="00235081" w:rsidRDefault="000C76BE" w:rsidP="00235081">
      <w:pPr>
        <w:pStyle w:val="Heading3"/>
      </w:pPr>
      <w:r>
        <w:t>E</w:t>
      </w:r>
      <w:r w:rsidR="00562D33">
        <w:t xml:space="preserve">.1.2  </w:t>
      </w:r>
      <w:r w:rsidR="00235081">
        <w:t>Constructive collection</w:t>
      </w:r>
    </w:p>
    <w:p w14:paraId="758B504B" w14:textId="318BF83D" w:rsidR="002611AC" w:rsidRDefault="0000369C" w:rsidP="00B952AD">
      <w:pPr>
        <w:pStyle w:val="ParaNumbering"/>
      </w:pPr>
      <w:r>
        <w:t xml:space="preserve">The Commissioner submitted </w:t>
      </w:r>
      <w:r w:rsidR="00E04BE5">
        <w:t xml:space="preserve">it was reasonably arguable </w:t>
      </w:r>
      <w:r>
        <w:t xml:space="preserve">that, to the extent information of Australian users was collected by Facebook Ireland, the information </w:t>
      </w:r>
      <w:r w:rsidR="002611AC">
        <w:t xml:space="preserve">so collected </w:t>
      </w:r>
      <w:r>
        <w:t xml:space="preserve">was transferred to Facebook </w:t>
      </w:r>
      <w:proofErr w:type="spellStart"/>
      <w:r>
        <w:t>Inc</w:t>
      </w:r>
      <w:proofErr w:type="spellEnd"/>
      <w:r w:rsidR="002611AC">
        <w:t xml:space="preserve"> </w:t>
      </w:r>
      <w:r>
        <w:t>for data processing</w:t>
      </w:r>
      <w:r w:rsidR="002611AC">
        <w:t xml:space="preserve"> and</w:t>
      </w:r>
      <w:r w:rsidR="00113349">
        <w:t xml:space="preserve"> </w:t>
      </w:r>
      <w:r>
        <w:t xml:space="preserve">to allow Facebook </w:t>
      </w:r>
      <w:proofErr w:type="spellStart"/>
      <w:r>
        <w:t>Inc</w:t>
      </w:r>
      <w:proofErr w:type="spellEnd"/>
      <w:r>
        <w:t xml:space="preserve"> to provide the Facebook service to users located in North America</w:t>
      </w:r>
      <w:r w:rsidR="002611AC">
        <w:t>.</w:t>
      </w:r>
    </w:p>
    <w:p w14:paraId="07021B5B" w14:textId="3F659DE3" w:rsidR="00206F7A" w:rsidRDefault="002611AC" w:rsidP="00B952AD">
      <w:pPr>
        <w:pStyle w:val="ParaNumbering"/>
      </w:pPr>
      <w:r>
        <w:lastRenderedPageBreak/>
        <w:t xml:space="preserve">The Commissioner submitted that Facebook </w:t>
      </w:r>
      <w:proofErr w:type="spellStart"/>
      <w:r>
        <w:t>Inc</w:t>
      </w:r>
      <w:proofErr w:type="spellEnd"/>
      <w:r>
        <w:t xml:space="preserve"> could be regarded as having “constructively” collected the information and that this was arguabl</w:t>
      </w:r>
      <w:r w:rsidR="00072A73">
        <w:t>y</w:t>
      </w:r>
      <w:r>
        <w:t xml:space="preserve"> sufficient for a conclusion that Facebook </w:t>
      </w:r>
      <w:proofErr w:type="spellStart"/>
      <w:r>
        <w:t>Inc</w:t>
      </w:r>
      <w:proofErr w:type="spellEnd"/>
      <w:r>
        <w:t xml:space="preserve"> collected information in Australia within the meaning of s 5B(3)(c)</w:t>
      </w:r>
      <w:r w:rsidR="0000369C">
        <w:t xml:space="preserve">. </w:t>
      </w:r>
      <w:r w:rsidR="00113349">
        <w:t xml:space="preserve"> </w:t>
      </w:r>
    </w:p>
    <w:p w14:paraId="76E01D70" w14:textId="0EFC4622" w:rsidR="00CF1672" w:rsidRDefault="00113349" w:rsidP="00B952AD">
      <w:pPr>
        <w:pStyle w:val="ParaNumbering"/>
      </w:pPr>
      <w:r>
        <w:t>The Commissioner submitted it was reasonably arguable that</w:t>
      </w:r>
      <w:r w:rsidR="00CF1672">
        <w:t>:</w:t>
      </w:r>
    </w:p>
    <w:p w14:paraId="0ED65869" w14:textId="77777777" w:rsidR="00CF1672" w:rsidRDefault="00113349" w:rsidP="009D5976">
      <w:pPr>
        <w:pStyle w:val="ListNo1"/>
        <w:numPr>
          <w:ilvl w:val="0"/>
          <w:numId w:val="30"/>
        </w:numPr>
      </w:pPr>
      <w:r>
        <w:t xml:space="preserve">the concept of collection under the </w:t>
      </w:r>
      <w:r w:rsidRPr="00CF1672">
        <w:rPr>
          <w:i/>
        </w:rPr>
        <w:t>Privacy Act</w:t>
      </w:r>
      <w:r>
        <w:t xml:space="preserve"> captured a circumstance in which one entity physically collects personal information and that information is then transferred to another entity to enable the second entity to offer a service</w:t>
      </w:r>
      <w:r w:rsidR="00CF1672">
        <w:t>;</w:t>
      </w:r>
    </w:p>
    <w:p w14:paraId="500A7E66" w14:textId="53C83D34" w:rsidR="00CF1672" w:rsidRDefault="00113349" w:rsidP="009D5976">
      <w:pPr>
        <w:pStyle w:val="ListNo1"/>
        <w:numPr>
          <w:ilvl w:val="0"/>
          <w:numId w:val="30"/>
        </w:numPr>
      </w:pPr>
      <w:r>
        <w:t xml:space="preserve">Facebook </w:t>
      </w:r>
      <w:proofErr w:type="spellStart"/>
      <w:r>
        <w:t>Inc</w:t>
      </w:r>
      <w:proofErr w:type="spellEnd"/>
      <w:r>
        <w:t xml:space="preserve"> made a record of the personal information of Australian users for the purpose of providing the Facebook service to North American users upon that data being transferred under the Data Transfer and Processing Agreement</w:t>
      </w:r>
      <w:r w:rsidR="00CF1672">
        <w:t>;</w:t>
      </w:r>
    </w:p>
    <w:p w14:paraId="3D9FE91E" w14:textId="6C56CEC7" w:rsidR="00CF1672" w:rsidRDefault="00936B4F" w:rsidP="009D5976">
      <w:pPr>
        <w:pStyle w:val="ListNo1"/>
        <w:numPr>
          <w:ilvl w:val="0"/>
          <w:numId w:val="30"/>
        </w:numPr>
      </w:pPr>
      <w:r>
        <w:t>the phrase</w:t>
      </w:r>
      <w:r w:rsidR="00CF1672">
        <w:t xml:space="preserve"> </w:t>
      </w:r>
      <w:r w:rsidR="0059361E">
        <w:t>“</w:t>
      </w:r>
      <w:r w:rsidR="00CF1672">
        <w:t>in Australia</w:t>
      </w:r>
      <w:r w:rsidR="0059361E">
        <w:t>”</w:t>
      </w:r>
      <w:r>
        <w:t>,</w:t>
      </w:r>
      <w:r w:rsidR="00CF1672">
        <w:t xml:space="preserve"> as used in s 5B(3)(c)</w:t>
      </w:r>
      <w:r>
        <w:t>,</w:t>
      </w:r>
      <w:r w:rsidR="00CF1672">
        <w:t xml:space="preserve"> included collection </w:t>
      </w:r>
      <w:r w:rsidR="0059361E">
        <w:t>“</w:t>
      </w:r>
      <w:r w:rsidR="00CF1672" w:rsidRPr="00CF1672">
        <w:rPr>
          <w:i/>
          <w:iCs/>
        </w:rPr>
        <w:t xml:space="preserve">from </w:t>
      </w:r>
      <w:r w:rsidR="00CF1672">
        <w:t>an individual within Australia</w:t>
      </w:r>
      <w:r w:rsidR="0059361E">
        <w:t>”</w:t>
      </w:r>
      <w:r w:rsidR="00CF1672">
        <w:t>; the fact that the repository of the personal information collected might not be physically located in Australia does not exclude the operation of the statutory provision</w:t>
      </w:r>
      <w:r w:rsidR="00206F7A">
        <w:t>.</w:t>
      </w:r>
    </w:p>
    <w:p w14:paraId="3ABF0A7A" w14:textId="456A9DA0" w:rsidR="00206F7A" w:rsidRDefault="00206F7A" w:rsidP="00CF1672">
      <w:pPr>
        <w:pStyle w:val="ParaNumbering"/>
      </w:pPr>
      <w:r>
        <w:t xml:space="preserve">As noted </w:t>
      </w:r>
      <w:r w:rsidR="00AD0860">
        <w:t>at [</w:t>
      </w:r>
      <w:r w:rsidR="00AD0860">
        <w:fldChar w:fldCharType="begin"/>
      </w:r>
      <w:r w:rsidR="00AD0860">
        <w:instrText xml:space="preserve"> REF _Ref50134210 \r \h </w:instrText>
      </w:r>
      <w:r w:rsidR="00AD0860">
        <w:fldChar w:fldCharType="separate"/>
      </w:r>
      <w:r w:rsidR="00872EB6">
        <w:t>43</w:t>
      </w:r>
      <w:r w:rsidR="00AD0860">
        <w:fldChar w:fldCharType="end"/>
      </w:r>
      <w:r w:rsidR="00AD0860">
        <w:t xml:space="preserve">] </w:t>
      </w:r>
      <w:r>
        <w:t>above, the Explanatory Memorandum</w:t>
      </w:r>
      <w:r w:rsidR="00072A73">
        <w:t xml:space="preserve"> to the </w:t>
      </w:r>
      <w:r w:rsidR="00072A73" w:rsidRPr="00565A9A">
        <w:rPr>
          <w:i/>
        </w:rPr>
        <w:t>Privacy Amendment (Enhancing Privacy Protection) Bill 2012</w:t>
      </w:r>
      <w:r w:rsidR="00072A73">
        <w:t xml:space="preserve"> (</w:t>
      </w:r>
      <w:proofErr w:type="spellStart"/>
      <w:r w:rsidR="00072A73">
        <w:t>Cth</w:t>
      </w:r>
      <w:proofErr w:type="spellEnd"/>
      <w:r w:rsidR="00072A73">
        <w:t>)</w:t>
      </w:r>
      <w:r>
        <w:t xml:space="preserve"> included:</w:t>
      </w:r>
    </w:p>
    <w:p w14:paraId="4E01B759" w14:textId="77777777" w:rsidR="00206F7A" w:rsidRPr="00A1442C" w:rsidRDefault="00206F7A" w:rsidP="00206F7A">
      <w:pPr>
        <w:pStyle w:val="Quote1"/>
        <w:rPr>
          <w:b/>
        </w:rPr>
      </w:pPr>
      <w:r w:rsidRPr="00A1442C">
        <w:rPr>
          <w:b/>
        </w:rPr>
        <w:t>Item 6 Subsection 5B(3)</w:t>
      </w:r>
    </w:p>
    <w:p w14:paraId="32E3A0AF" w14:textId="77777777" w:rsidR="00206F7A" w:rsidRDefault="00206F7A" w:rsidP="00206F7A">
      <w:pPr>
        <w:pStyle w:val="Quote1"/>
      </w:pPr>
      <w:r>
        <w:t>…</w:t>
      </w:r>
    </w:p>
    <w:p w14:paraId="61981AC3" w14:textId="07F811B3" w:rsidR="00206F7A" w:rsidRDefault="00206F7A" w:rsidP="00206F7A">
      <w:pPr>
        <w:pStyle w:val="Quote1"/>
        <w:spacing w:after="0"/>
      </w:pPr>
      <w:r>
        <w:t xml:space="preserve">The collection of personal information </w:t>
      </w:r>
      <w:r w:rsidR="0059361E">
        <w:t>‘</w:t>
      </w:r>
      <w:r>
        <w:t>in Australia</w:t>
      </w:r>
      <w:r w:rsidR="0059361E">
        <w:t>’</w:t>
      </w:r>
      <w:r>
        <w:t xml:space="preserve"> under paragraph 5B(3)(c) includes the collection of personal information from an individual who is physically within the borders of Australia or an external territory, by an overseas entity.</w:t>
      </w:r>
    </w:p>
    <w:p w14:paraId="234785BB" w14:textId="77777777" w:rsidR="00206F7A" w:rsidRDefault="00206F7A" w:rsidP="00206F7A">
      <w:pPr>
        <w:pStyle w:val="Quote1"/>
      </w:pPr>
    </w:p>
    <w:p w14:paraId="503E8C80" w14:textId="6F613E26" w:rsidR="00C35A71" w:rsidRDefault="00C35A71" w:rsidP="00CF1672">
      <w:pPr>
        <w:pStyle w:val="ParaNumbering"/>
      </w:pPr>
      <w:r>
        <w:t xml:space="preserve">Facebook </w:t>
      </w:r>
      <w:proofErr w:type="spellStart"/>
      <w:r>
        <w:t>Inc</w:t>
      </w:r>
      <w:proofErr w:type="spellEnd"/>
      <w:r>
        <w:t xml:space="preserve"> submitted that all the Explanatory Memorandum supported as arguable was a conclusion that Facebook Ireland collected information, not that Facebook </w:t>
      </w:r>
      <w:proofErr w:type="spellStart"/>
      <w:r>
        <w:t>Inc</w:t>
      </w:r>
      <w:proofErr w:type="spellEnd"/>
      <w:r>
        <w:t xml:space="preserve"> could be regarded as having collected the information.</w:t>
      </w:r>
    </w:p>
    <w:p w14:paraId="09E21713" w14:textId="2A18EAC8" w:rsidR="00CF1672" w:rsidRDefault="00C35A71" w:rsidP="00CF1672">
      <w:pPr>
        <w:pStyle w:val="ParaNumbering"/>
      </w:pPr>
      <w:r>
        <w:t>T</w:t>
      </w:r>
      <w:r w:rsidR="00206F7A">
        <w:t xml:space="preserve">he Commissioner relied upon the fact that it was arguable that Facebook </w:t>
      </w:r>
      <w:proofErr w:type="spellStart"/>
      <w:r w:rsidR="00206F7A">
        <w:t>Inc</w:t>
      </w:r>
      <w:proofErr w:type="spellEnd"/>
      <w:r w:rsidR="00206F7A">
        <w:t xml:space="preserve"> operated networking equipment and caching servers in </w:t>
      </w:r>
      <w:r w:rsidR="00D75B94">
        <w:t>North America which contained Australia</w:t>
      </w:r>
      <w:r w:rsidR="00AD0860">
        <w:t>n</w:t>
      </w:r>
      <w:r w:rsidR="00D75B94">
        <w:t xml:space="preserve"> users</w:t>
      </w:r>
      <w:r w:rsidR="0059361E">
        <w:t>’</w:t>
      </w:r>
      <w:r w:rsidR="00D75B94">
        <w:t xml:space="preserve"> information</w:t>
      </w:r>
      <w:r w:rsidR="00206F7A">
        <w:t xml:space="preserve"> </w:t>
      </w:r>
      <w:r w:rsidR="00D75B94">
        <w:t xml:space="preserve">indicating that the information was collected for the purpose of Facebook </w:t>
      </w:r>
      <w:proofErr w:type="spellStart"/>
      <w:r w:rsidR="00D75B94">
        <w:t>Inc</w:t>
      </w:r>
      <w:r w:rsidR="0059361E">
        <w:t>’</w:t>
      </w:r>
      <w:r w:rsidR="00D75B94">
        <w:t>s</w:t>
      </w:r>
      <w:proofErr w:type="spellEnd"/>
      <w:r w:rsidR="00D75B94">
        <w:t xml:space="preserve"> provision of the Facebook service to North American users.  </w:t>
      </w:r>
      <w:r w:rsidR="00AD0860">
        <w:t>This is relevant to the requirement in s 5B(3)(c) that the information be collected “for inclusion in a record or generally available publication” – see: definition of “collects”</w:t>
      </w:r>
      <w:r w:rsidR="00D22A52">
        <w:t xml:space="preserve"> in </w:t>
      </w:r>
      <w:r w:rsidR="004A7DA9">
        <w:t xml:space="preserve">s 6 of the </w:t>
      </w:r>
      <w:r w:rsidR="004A7DA9">
        <w:rPr>
          <w:i/>
        </w:rPr>
        <w:t>Privacy Act</w:t>
      </w:r>
      <w:r w:rsidR="00AD0860">
        <w:t xml:space="preserve">.  The </w:t>
      </w:r>
      <w:r w:rsidR="00AD0860">
        <w:lastRenderedPageBreak/>
        <w:t>Commissioner did not submit that operating caching servers in North America meant that information was collected “in Australia”.</w:t>
      </w:r>
    </w:p>
    <w:p w14:paraId="17D125D7" w14:textId="5066E32F" w:rsidR="00D75B94" w:rsidRDefault="00057974" w:rsidP="005F3B32">
      <w:pPr>
        <w:pStyle w:val="ParaNumbering"/>
      </w:pPr>
      <w:r>
        <w:t xml:space="preserve">It is not necessary to reach a view </w:t>
      </w:r>
      <w:r w:rsidR="009A21B4">
        <w:t>concerning “constructive” collection</w:t>
      </w:r>
      <w:r>
        <w:t xml:space="preserve"> given my earlier conclusion that </w:t>
      </w:r>
      <w:r w:rsidR="009A21B4">
        <w:t>the Commissioner has established</w:t>
      </w:r>
      <w:r>
        <w:t xml:space="preserve"> a prima facie case that Facebook </w:t>
      </w:r>
      <w:proofErr w:type="spellStart"/>
      <w:r>
        <w:t>Inc</w:t>
      </w:r>
      <w:proofErr w:type="spellEnd"/>
      <w:r>
        <w:t xml:space="preserve"> </w:t>
      </w:r>
      <w:r w:rsidR="009A21B4">
        <w:t xml:space="preserve">directly </w:t>
      </w:r>
      <w:r>
        <w:t xml:space="preserve">collected information </w:t>
      </w:r>
      <w:r w:rsidR="00310ACF">
        <w:t xml:space="preserve">in Australia </w:t>
      </w:r>
      <w:r w:rsidR="00C35A71">
        <w:t xml:space="preserve">and the view I express </w:t>
      </w:r>
      <w:r w:rsidR="009A21B4">
        <w:t xml:space="preserve">next </w:t>
      </w:r>
      <w:r w:rsidR="00C35A71">
        <w:t xml:space="preserve">that the Commissioner has established a prima facie case that Facebook </w:t>
      </w:r>
      <w:proofErr w:type="spellStart"/>
      <w:r w:rsidR="00C35A71">
        <w:t>Inc</w:t>
      </w:r>
      <w:proofErr w:type="spellEnd"/>
      <w:r w:rsidR="00C35A71">
        <w:t xml:space="preserve"> held information in Australia</w:t>
      </w:r>
      <w:r>
        <w:t xml:space="preserve">.  </w:t>
      </w:r>
    </w:p>
    <w:p w14:paraId="5DDD3AC7" w14:textId="536C7C7B" w:rsidR="00D75B94" w:rsidRDefault="000C76BE" w:rsidP="00B50329">
      <w:pPr>
        <w:pStyle w:val="Heading2"/>
      </w:pPr>
      <w:r>
        <w:t>E</w:t>
      </w:r>
      <w:r w:rsidR="00713141">
        <w:t xml:space="preserve">.2  </w:t>
      </w:r>
      <w:r w:rsidR="00B50329">
        <w:t xml:space="preserve">Holds </w:t>
      </w:r>
    </w:p>
    <w:p w14:paraId="0B24DF67" w14:textId="77777777" w:rsidR="00B50329" w:rsidRDefault="00B50329" w:rsidP="005F3B32">
      <w:pPr>
        <w:pStyle w:val="ParaNumbering"/>
      </w:pPr>
      <w:r>
        <w:t>As noted earlier, s 5B(3)(c) provides:</w:t>
      </w:r>
    </w:p>
    <w:p w14:paraId="209B369B" w14:textId="77777777" w:rsidR="00B50329" w:rsidRPr="00635DB2" w:rsidRDefault="00B50329" w:rsidP="00B50329">
      <w:pPr>
        <w:pStyle w:val="Quote1"/>
        <w:ind w:left="1418" w:hanging="681"/>
      </w:pPr>
      <w:r w:rsidRPr="00635DB2">
        <w:t>(3)</w:t>
      </w:r>
      <w:r w:rsidRPr="00635DB2">
        <w:tab/>
        <w:t xml:space="preserve">An organisation or small business operator also has an </w:t>
      </w:r>
      <w:r w:rsidRPr="00635DB2">
        <w:rPr>
          <w:b/>
          <w:i/>
        </w:rPr>
        <w:t>Australian link</w:t>
      </w:r>
      <w:r w:rsidRPr="00635DB2">
        <w:t xml:space="preserve"> if all of the following apply:</w:t>
      </w:r>
    </w:p>
    <w:p w14:paraId="7D8A9705" w14:textId="77777777" w:rsidR="00B50329" w:rsidRPr="00635DB2" w:rsidRDefault="00B50329" w:rsidP="00B50329">
      <w:pPr>
        <w:pStyle w:val="Quote1"/>
        <w:ind w:left="1985" w:hanging="567"/>
      </w:pPr>
      <w:r>
        <w:t>…</w:t>
      </w:r>
    </w:p>
    <w:p w14:paraId="48D09C4B" w14:textId="77777777" w:rsidR="00B50329" w:rsidRPr="00635DB2" w:rsidRDefault="00B50329" w:rsidP="00B50329">
      <w:pPr>
        <w:pStyle w:val="Quote1"/>
        <w:spacing w:after="0"/>
        <w:ind w:left="1985" w:hanging="567"/>
      </w:pPr>
      <w:r w:rsidRPr="00635DB2">
        <w:t>(c)</w:t>
      </w:r>
      <w:r w:rsidRPr="00635DB2">
        <w:tab/>
        <w:t>the personal information was collected or held by the organisation or operator in Australia or an external Territory, either before or at the time of the act or practice.</w:t>
      </w:r>
    </w:p>
    <w:p w14:paraId="0608BE4B" w14:textId="77777777" w:rsidR="00B50329" w:rsidRPr="00635DB2" w:rsidRDefault="00B50329" w:rsidP="00B50329">
      <w:pPr>
        <w:pStyle w:val="Quote1"/>
      </w:pPr>
    </w:p>
    <w:p w14:paraId="1878FCF2" w14:textId="254B1A95" w:rsidR="00B50329" w:rsidRDefault="004A7DA9" w:rsidP="00B50329">
      <w:pPr>
        <w:pStyle w:val="ParaNumbering"/>
      </w:pPr>
      <w:r>
        <w:t>As noted earlier, s </w:t>
      </w:r>
      <w:r w:rsidR="00B50329">
        <w:t xml:space="preserve">6 defines </w:t>
      </w:r>
      <w:r w:rsidR="0059361E">
        <w:t>“</w:t>
      </w:r>
      <w:r w:rsidR="00B50329">
        <w:t>holds</w:t>
      </w:r>
      <w:r w:rsidR="0059361E">
        <w:t>”</w:t>
      </w:r>
      <w:r w:rsidR="00B50329">
        <w:t xml:space="preserve"> in the following way:</w:t>
      </w:r>
    </w:p>
    <w:p w14:paraId="748C7E24" w14:textId="77777777" w:rsidR="00B50329" w:rsidRDefault="00B50329" w:rsidP="00B50329">
      <w:pPr>
        <w:pStyle w:val="Quote1"/>
        <w:spacing w:after="0"/>
      </w:pPr>
      <w:r w:rsidRPr="00BA03CC">
        <w:rPr>
          <w:b/>
          <w:i/>
        </w:rPr>
        <w:t>holds</w:t>
      </w:r>
      <w:r>
        <w:t xml:space="preserve">: an entity </w:t>
      </w:r>
      <w:r w:rsidRPr="00BA03CC">
        <w:rPr>
          <w:b/>
          <w:i/>
        </w:rPr>
        <w:t>holds</w:t>
      </w:r>
      <w:r>
        <w:t xml:space="preserve"> personal information if the entity has possession or control of a record that contains the personal information.</w:t>
      </w:r>
    </w:p>
    <w:p w14:paraId="4CD02E0D" w14:textId="77777777" w:rsidR="00B50329" w:rsidRDefault="00B50329" w:rsidP="00B50329">
      <w:pPr>
        <w:pStyle w:val="Quote1"/>
      </w:pPr>
    </w:p>
    <w:p w14:paraId="781FFE5B" w14:textId="4BBD4DB6" w:rsidR="009759EE" w:rsidRDefault="00334074" w:rsidP="00310ACF">
      <w:pPr>
        <w:pStyle w:val="ParaNumbering"/>
      </w:pPr>
      <w:r>
        <w:t xml:space="preserve">The Commissioner submitted that the phrase </w:t>
      </w:r>
      <w:r w:rsidR="0059361E">
        <w:t>“</w:t>
      </w:r>
      <w:r>
        <w:t>possession or control</w:t>
      </w:r>
      <w:r w:rsidR="0059361E">
        <w:t>”</w:t>
      </w:r>
      <w:r>
        <w:t xml:space="preserve"> included</w:t>
      </w:r>
      <w:r w:rsidR="009759EE">
        <w:t xml:space="preserve"> control though an agent and that control need not be exclusive.</w:t>
      </w:r>
      <w:r w:rsidR="00310ACF">
        <w:t xml:space="preserve">  </w:t>
      </w:r>
      <w:r w:rsidR="009759EE">
        <w:t>The Commissioner submitted it was reasonably arguable that, to the extent that Australian users</w:t>
      </w:r>
      <w:r w:rsidR="0059361E">
        <w:t>’</w:t>
      </w:r>
      <w:r w:rsidR="009759EE">
        <w:t xml:space="preserve"> personal information was physically located in caching servers in Australia, those caching servers were arguably controlled by Facebook </w:t>
      </w:r>
      <w:proofErr w:type="spellStart"/>
      <w:r w:rsidR="009759EE">
        <w:t>Inc</w:t>
      </w:r>
      <w:proofErr w:type="spellEnd"/>
      <w:r w:rsidR="009759EE">
        <w:t xml:space="preserve">, such that Facebook </w:t>
      </w:r>
      <w:proofErr w:type="spellStart"/>
      <w:r w:rsidR="009759EE">
        <w:t>Inc</w:t>
      </w:r>
      <w:proofErr w:type="spellEnd"/>
      <w:r w:rsidR="009759EE">
        <w:t xml:space="preserve"> held personal information in Australia for the purposes of </w:t>
      </w:r>
      <w:r w:rsidR="00332423">
        <w:t>s </w:t>
      </w:r>
      <w:r w:rsidR="009759EE">
        <w:t xml:space="preserve">5B(3)(c). </w:t>
      </w:r>
      <w:r w:rsidR="00CF1CAD">
        <w:t xml:space="preserve"> I accept that argument.</w:t>
      </w:r>
    </w:p>
    <w:p w14:paraId="1C9711BE" w14:textId="108DC6C9" w:rsidR="008C6E9C" w:rsidRPr="008C6E9C" w:rsidRDefault="008C6E9C" w:rsidP="008C6E9C">
      <w:pPr>
        <w:pStyle w:val="ParaNumbering"/>
      </w:pPr>
      <w:r w:rsidRPr="008C6E9C">
        <w:t xml:space="preserve">As noted earlier, the material also indicates a prima facie case that Facebook </w:t>
      </w:r>
      <w:proofErr w:type="spellStart"/>
      <w:r w:rsidRPr="008C6E9C">
        <w:t>Inc</w:t>
      </w:r>
      <w:proofErr w:type="spellEnd"/>
      <w:r w:rsidRPr="008C6E9C">
        <w:t xml:space="preserve"> held personal information through its installation and operation of cookies</w:t>
      </w:r>
      <w:r w:rsidR="00310ACF">
        <w:t xml:space="preserve">, through which Facebook </w:t>
      </w:r>
      <w:proofErr w:type="spellStart"/>
      <w:r w:rsidR="00310ACF">
        <w:t>Inc</w:t>
      </w:r>
      <w:proofErr w:type="spellEnd"/>
      <w:r w:rsidR="00310ACF">
        <w:t xml:space="preserve"> arguably stored information about users on their devices or in their browser caches</w:t>
      </w:r>
      <w:r w:rsidRPr="008C6E9C">
        <w:t xml:space="preserve">.  </w:t>
      </w:r>
    </w:p>
    <w:p w14:paraId="7E6DEB81" w14:textId="6779E03A" w:rsidR="0024055B" w:rsidRDefault="0024055B" w:rsidP="00B952AD">
      <w:pPr>
        <w:pStyle w:val="ParaNumbering"/>
      </w:pPr>
      <w:r>
        <w:t xml:space="preserve">The Commissioner also referred to Facebook </w:t>
      </w:r>
      <w:proofErr w:type="spellStart"/>
      <w:r>
        <w:t>Inc</w:t>
      </w:r>
      <w:r w:rsidR="0059361E">
        <w:t>’</w:t>
      </w:r>
      <w:r>
        <w:t>s</w:t>
      </w:r>
      <w:proofErr w:type="spellEnd"/>
      <w:r>
        <w:t xml:space="preserve"> obligations under the </w:t>
      </w:r>
      <w:r w:rsidR="0034000F">
        <w:t>Data Transfer and Processing Agreement.</w:t>
      </w:r>
      <w:r>
        <w:t xml:space="preserve"> </w:t>
      </w:r>
      <w:r w:rsidR="0034000F">
        <w:t xml:space="preserve"> By cl 5(a) read with Appendix 1, Facebook </w:t>
      </w:r>
      <w:proofErr w:type="spellStart"/>
      <w:r w:rsidR="0034000F">
        <w:t>Inc</w:t>
      </w:r>
      <w:proofErr w:type="spellEnd"/>
      <w:r w:rsidR="0034000F">
        <w:t xml:space="preserve"> was obliged to process personal data transferred to it</w:t>
      </w:r>
      <w:r w:rsidR="00C35A71">
        <w:t>,</w:t>
      </w:r>
      <w:r w:rsidR="0034000F">
        <w:t xml:space="preserve"> including to facilitate communication across the Facebook platform.  It is open to infer that Facebook </w:t>
      </w:r>
      <w:proofErr w:type="spellStart"/>
      <w:r w:rsidR="0034000F">
        <w:t>Inc</w:t>
      </w:r>
      <w:proofErr w:type="spellEnd"/>
      <w:r w:rsidR="0034000F">
        <w:t xml:space="preserve"> held the processed data to make it available to users across the Facebook platform, including by holding data in caching servers, including in </w:t>
      </w:r>
      <w:r w:rsidR="0034000F">
        <w:lastRenderedPageBreak/>
        <w:t xml:space="preserve">Australia.  </w:t>
      </w:r>
      <w:r w:rsidR="008C6E9C">
        <w:t xml:space="preserve">To the extent Facebook </w:t>
      </w:r>
      <w:proofErr w:type="spellStart"/>
      <w:r w:rsidR="008C6E9C">
        <w:t>Inc</w:t>
      </w:r>
      <w:proofErr w:type="spellEnd"/>
      <w:r w:rsidR="008C6E9C">
        <w:t xml:space="preserve"> held information outside of Australia, such holding of information would not satisfy s 5B(3)(c) because the holding must be “in Australia”.</w:t>
      </w:r>
    </w:p>
    <w:p w14:paraId="0FC143A9" w14:textId="62AEE2E8" w:rsidR="00CE6C15" w:rsidRDefault="000C76BE" w:rsidP="001A71DB">
      <w:pPr>
        <w:pStyle w:val="Heading1"/>
      </w:pPr>
      <w:r>
        <w:t>F</w:t>
      </w:r>
      <w:r w:rsidR="008C6E9C">
        <w:t xml:space="preserve">  CONCLUSION</w:t>
      </w:r>
    </w:p>
    <w:p w14:paraId="33FDA686" w14:textId="7B942BFC" w:rsidR="0064525C" w:rsidRDefault="008C6E9C" w:rsidP="0009364A">
      <w:pPr>
        <w:pStyle w:val="ParaNumbering"/>
      </w:pPr>
      <w:r>
        <w:t xml:space="preserve">The </w:t>
      </w:r>
      <w:r w:rsidR="00C35A71">
        <w:t xml:space="preserve">Commissioner has discharged her onus of establishing a prima facie case for relief sufficient to warrant service on Facebook </w:t>
      </w:r>
      <w:proofErr w:type="spellStart"/>
      <w:r w:rsidR="00C35A71">
        <w:t>Inc</w:t>
      </w:r>
      <w:proofErr w:type="spellEnd"/>
      <w:r w:rsidR="00C35A71">
        <w:t xml:space="preserve"> in the United States</w:t>
      </w:r>
      <w:r w:rsidR="00F570C9">
        <w:t xml:space="preserve">.  It follows that the basis on which Facebook </w:t>
      </w:r>
      <w:proofErr w:type="spellStart"/>
      <w:r w:rsidR="00F570C9">
        <w:t>Inc</w:t>
      </w:r>
      <w:proofErr w:type="spellEnd"/>
      <w:r w:rsidR="00F570C9">
        <w:t xml:space="preserve"> sought a discharge of the orders permitting such service has not been made out and the </w:t>
      </w:r>
      <w:r>
        <w:t>interlocutory application should be dismissed.</w:t>
      </w:r>
    </w:p>
    <w:p w14:paraId="24EA2093" w14:textId="77777777" w:rsidR="00117587" w:rsidRDefault="00117587" w:rsidP="008D192B">
      <w:pPr>
        <w:pStyle w:val="BodyText"/>
      </w:pPr>
      <w:bookmarkStart w:id="39" w:name="Certification"/>
    </w:p>
    <w:p w14:paraId="44F05C3A" w14:textId="77777777" w:rsidR="00F40D2C" w:rsidRDefault="00F40D2C" w:rsidP="008D192B">
      <w:pPr>
        <w:pStyle w:val="BodyText"/>
      </w:pPr>
    </w:p>
    <w:p w14:paraId="540EF915" w14:textId="77777777" w:rsidR="00F40D2C" w:rsidRDefault="00F40D2C" w:rsidP="008D192B">
      <w:pPr>
        <w:pStyle w:val="BodyText"/>
      </w:pPr>
    </w:p>
    <w:tbl>
      <w:tblPr>
        <w:tblW w:w="0" w:type="auto"/>
        <w:tblLook w:val="04A0" w:firstRow="1" w:lastRow="0" w:firstColumn="1" w:lastColumn="0" w:noHBand="0" w:noVBand="1"/>
      </w:tblPr>
      <w:tblGrid>
        <w:gridCol w:w="3794"/>
      </w:tblGrid>
      <w:tr w:rsidR="00117587" w:rsidRPr="00117587" w14:paraId="24AF6DA5" w14:textId="77777777">
        <w:tc>
          <w:tcPr>
            <w:tcW w:w="3794" w:type="dxa"/>
            <w:shd w:val="clear" w:color="auto" w:fill="auto"/>
          </w:tcPr>
          <w:p w14:paraId="5D767690" w14:textId="5ECFEC7D" w:rsidR="00117587" w:rsidRPr="00117587" w:rsidRDefault="00117587" w:rsidP="00F3591D">
            <w:pPr>
              <w:pStyle w:val="Normal1linespace"/>
            </w:pPr>
            <w:r w:rsidRPr="00117587">
              <w:t xml:space="preserve">I certify that the preceding </w:t>
            </w:r>
            <w:bookmarkStart w:id="40" w:name="NumberWord"/>
            <w:r w:rsidR="00F3591D">
              <w:t>one hundred and ninety-</w:t>
            </w:r>
            <w:r w:rsidR="00F3591D" w:rsidRPr="00F3591D">
              <w:t>eight</w:t>
            </w:r>
            <w:bookmarkEnd w:id="40"/>
            <w:r w:rsidRPr="003D4EA5">
              <w:t xml:space="preserve"> (</w:t>
            </w:r>
            <w:bookmarkStart w:id="41" w:name="NumberNumeral"/>
            <w:r w:rsidR="00F3591D" w:rsidRPr="003D4EA5">
              <w:t>198</w:t>
            </w:r>
            <w:bookmarkEnd w:id="41"/>
            <w:r w:rsidRPr="003D4EA5">
              <w:t>)</w:t>
            </w:r>
            <w:r w:rsidRPr="00F3591D">
              <w:t xml:space="preserve"> numbered </w:t>
            </w:r>
            <w:bookmarkStart w:id="42" w:name="CertPara"/>
            <w:r w:rsidRPr="00F3591D">
              <w:t>para</w:t>
            </w:r>
            <w:r>
              <w:t>graphs are</w:t>
            </w:r>
            <w:bookmarkEnd w:id="42"/>
            <w:r w:rsidRPr="00117587">
              <w:t xml:space="preserve"> a true copy of the Reasons for Judgment herein of the Honourable </w:t>
            </w:r>
            <w:bookmarkStart w:id="43" w:name="Justice"/>
            <w:r>
              <w:t>Justice Thawley</w:t>
            </w:r>
            <w:bookmarkEnd w:id="43"/>
            <w:r w:rsidRPr="00117587">
              <w:t>.</w:t>
            </w:r>
          </w:p>
        </w:tc>
      </w:tr>
    </w:tbl>
    <w:p w14:paraId="790E2C07" w14:textId="77777777" w:rsidR="00117587" w:rsidRDefault="00117587" w:rsidP="008D192B">
      <w:pPr>
        <w:pStyle w:val="BodyText"/>
      </w:pPr>
    </w:p>
    <w:p w14:paraId="2FBC079F" w14:textId="77777777" w:rsidR="00117587" w:rsidRDefault="00117587" w:rsidP="008D192B">
      <w:pPr>
        <w:pStyle w:val="BodyText"/>
      </w:pPr>
    </w:p>
    <w:p w14:paraId="5B7D3AFF" w14:textId="77777777" w:rsidR="00117587" w:rsidRDefault="00117587" w:rsidP="008D192B">
      <w:pPr>
        <w:pStyle w:val="BodyText"/>
      </w:pPr>
    </w:p>
    <w:p w14:paraId="6E4D397A" w14:textId="7FC482CD" w:rsidR="00117587" w:rsidRDefault="00117587" w:rsidP="008D192B">
      <w:pPr>
        <w:pStyle w:val="BodyText"/>
      </w:pPr>
      <w:r>
        <w:t>Associate:</w:t>
      </w:r>
      <w:r w:rsidR="00F3591D">
        <w:t xml:space="preserve"> </w:t>
      </w:r>
      <w:bookmarkStart w:id="44" w:name="_GoBack"/>
      <w:bookmarkEnd w:id="44"/>
    </w:p>
    <w:p w14:paraId="23A2EC4B" w14:textId="77777777" w:rsidR="00117587" w:rsidRDefault="00117587" w:rsidP="008D192B">
      <w:pPr>
        <w:pStyle w:val="BodyText"/>
      </w:pPr>
    </w:p>
    <w:p w14:paraId="3C4FAD2C" w14:textId="69B066AD" w:rsidR="00117587" w:rsidRDefault="00117587" w:rsidP="008D192B">
      <w:pPr>
        <w:pStyle w:val="BodyText"/>
        <w:tabs>
          <w:tab w:val="left" w:pos="1134"/>
        </w:tabs>
      </w:pPr>
      <w:r>
        <w:t>Dated:</w:t>
      </w:r>
      <w:r>
        <w:tab/>
      </w:r>
      <w:bookmarkStart w:id="45" w:name="CertifyDated"/>
      <w:r w:rsidR="00F3591D">
        <w:t>14 September 2020</w:t>
      </w:r>
      <w:bookmarkEnd w:id="45"/>
    </w:p>
    <w:p w14:paraId="57B3461A" w14:textId="77777777" w:rsidR="00117587" w:rsidRDefault="00117587" w:rsidP="008D192B">
      <w:pPr>
        <w:pStyle w:val="BodyText"/>
      </w:pPr>
    </w:p>
    <w:bookmarkEnd w:id="39"/>
    <w:p w14:paraId="13953A7A" w14:textId="77777777" w:rsidR="00117587" w:rsidRPr="00625234" w:rsidRDefault="00117587" w:rsidP="00117587">
      <w:pPr>
        <w:pStyle w:val="BodyText"/>
      </w:pPr>
    </w:p>
    <w:sectPr w:rsidR="00117587" w:rsidRPr="00625234">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B9567" w14:textId="77777777" w:rsidR="001E0087" w:rsidRDefault="001E0087">
      <w:pPr>
        <w:spacing w:line="20" w:lineRule="exact"/>
      </w:pPr>
    </w:p>
    <w:p w14:paraId="17FF40E6" w14:textId="77777777" w:rsidR="001E0087" w:rsidRDefault="001E0087"/>
    <w:p w14:paraId="36697F0A" w14:textId="77777777" w:rsidR="001E0087" w:rsidRDefault="001E0087"/>
  </w:endnote>
  <w:endnote w:type="continuationSeparator" w:id="0">
    <w:p w14:paraId="6906EEF6" w14:textId="77777777" w:rsidR="001E0087" w:rsidRDefault="001E0087">
      <w:r>
        <w:t xml:space="preserve"> </w:t>
      </w:r>
    </w:p>
    <w:p w14:paraId="4A0A38E5" w14:textId="77777777" w:rsidR="001E0087" w:rsidRDefault="001E0087"/>
    <w:p w14:paraId="053587C1" w14:textId="77777777" w:rsidR="001E0087" w:rsidRDefault="001E0087"/>
  </w:endnote>
  <w:endnote w:type="continuationNotice" w:id="1">
    <w:p w14:paraId="7CE16543" w14:textId="77777777" w:rsidR="001E0087" w:rsidRDefault="001E0087">
      <w:r>
        <w:t xml:space="preserve"> </w:t>
      </w:r>
    </w:p>
    <w:p w14:paraId="6DF6C787" w14:textId="77777777" w:rsidR="001E0087" w:rsidRDefault="001E0087"/>
    <w:p w14:paraId="2F51808D" w14:textId="77777777" w:rsidR="001E0087" w:rsidRDefault="001E0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2AB8" w14:textId="4E6F316F" w:rsidR="00C764BE" w:rsidRDefault="00C764BE">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466B" w14:textId="480BFA92" w:rsidR="00C764BE" w:rsidRPr="00624520" w:rsidRDefault="00C764BE"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AD37" w14:textId="56CA3350" w:rsidR="00C764BE" w:rsidRDefault="00C764BE"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AFDAD" w14:textId="77777777" w:rsidR="001E0087" w:rsidRDefault="001E0087"/>
    <w:p w14:paraId="7942DAD8" w14:textId="77777777" w:rsidR="001E0087" w:rsidRDefault="001E0087"/>
    <w:p w14:paraId="14D285BC" w14:textId="77777777" w:rsidR="001E0087" w:rsidRDefault="001E0087"/>
  </w:footnote>
  <w:footnote w:type="continuationSeparator" w:id="0">
    <w:p w14:paraId="0C259BC2" w14:textId="77777777" w:rsidR="001E0087" w:rsidRDefault="001E0087">
      <w:r>
        <w:continuationSeparator/>
      </w:r>
    </w:p>
    <w:p w14:paraId="19D51B40" w14:textId="77777777" w:rsidR="001E0087" w:rsidRDefault="001E0087"/>
    <w:p w14:paraId="1F831B74" w14:textId="77777777" w:rsidR="001E0087" w:rsidRDefault="001E00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55E2" w14:textId="5A87D498" w:rsidR="00C764BE" w:rsidRDefault="00C764BE">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DA7F" w14:textId="77777777" w:rsidR="00C764BE" w:rsidRDefault="00C764BE">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D218" w14:textId="77777777" w:rsidR="00C764BE" w:rsidRDefault="00C764B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9736" w14:textId="716DB362" w:rsidR="00C764BE" w:rsidRDefault="00C764BE">
    <w:pPr>
      <w:tabs>
        <w:tab w:val="center" w:pos="4512"/>
      </w:tabs>
      <w:suppressAutoHyphens/>
    </w:pPr>
    <w:r>
      <w:tab/>
      <w:t xml:space="preserve">- </w:t>
    </w:r>
    <w:r>
      <w:fldChar w:fldCharType="begin"/>
    </w:r>
    <w:r>
      <w:instrText>page \* arabic</w:instrText>
    </w:r>
    <w:r>
      <w:fldChar w:fldCharType="separate"/>
    </w:r>
    <w:r w:rsidR="00872EB6">
      <w:rPr>
        <w:noProof/>
      </w:rPr>
      <w:t>60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C642" w14:textId="77777777" w:rsidR="00C764BE" w:rsidRDefault="00C764BE">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1D48784B"/>
    <w:multiLevelType w:val="hybridMultilevel"/>
    <w:tmpl w:val="3266F6E4"/>
    <w:lvl w:ilvl="0" w:tplc="C35E686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15:restartNumberingAfterBreak="0">
    <w:nsid w:val="204248D0"/>
    <w:multiLevelType w:val="multilevel"/>
    <w:tmpl w:val="8758B39C"/>
    <w:lvl w:ilvl="0">
      <w:start w:val="1"/>
      <w:numFmt w:val="decimal"/>
      <w:pStyle w:val="NumberLevel1"/>
      <w:lvlText w:val="%1."/>
      <w:lvlJc w:val="left"/>
      <w:pPr>
        <w:tabs>
          <w:tab w:val="num" w:pos="567"/>
        </w:tabs>
        <w:ind w:left="567" w:hanging="567"/>
      </w:pPr>
      <w:rPr>
        <w:b w:val="0"/>
        <w:bCs w:val="0"/>
        <w:i w:val="0"/>
        <w:iCs w:val="0"/>
      </w:rPr>
    </w:lvl>
    <w:lvl w:ilvl="1">
      <w:start w:val="1"/>
      <w:numFmt w:val="decimal"/>
      <w:pStyle w:val="NumberLevel2"/>
      <w:lvlText w:val="%1.%2."/>
      <w:lvlJc w:val="left"/>
      <w:pPr>
        <w:tabs>
          <w:tab w:val="num" w:pos="1134"/>
        </w:tabs>
        <w:ind w:left="1134" w:hanging="567"/>
      </w:pPr>
      <w:rPr>
        <w:rFonts w:ascii="Palatino Linotype" w:hAnsi="Palatino Linotype" w:hint="default"/>
        <w:sz w:val="22"/>
        <w:szCs w:val="22"/>
      </w:rPr>
    </w:lvl>
    <w:lvl w:ilvl="2">
      <w:start w:val="1"/>
      <w:numFmt w:val="decimal"/>
      <w:pStyle w:val="NumberLevel3"/>
      <w:lvlText w:val="%1.%2.%3."/>
      <w:lvlJc w:val="left"/>
      <w:pPr>
        <w:tabs>
          <w:tab w:val="num" w:pos="1984"/>
        </w:tabs>
        <w:ind w:left="1984" w:hanging="850"/>
      </w:p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2C84D31"/>
    <w:multiLevelType w:val="hybridMultilevel"/>
    <w:tmpl w:val="6EA29FB4"/>
    <w:lvl w:ilvl="0" w:tplc="3AFAE3D2">
      <w:start w:val="1"/>
      <w:numFmt w:val="decimal"/>
      <w:pStyle w:val="CaselawNumbered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2623F3D"/>
    <w:multiLevelType w:val="hybridMultilevel"/>
    <w:tmpl w:val="A106EF2E"/>
    <w:lvl w:ilvl="0" w:tplc="4DAC301C">
      <w:start w:val="1"/>
      <w:numFmt w:val="decimal"/>
      <w:pStyle w:val="CaselawNumbered10"/>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C1D1E49"/>
    <w:multiLevelType w:val="hybridMultilevel"/>
    <w:tmpl w:val="31D2A652"/>
    <w:lvl w:ilvl="0" w:tplc="BB7AB45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0"/>
  </w:num>
  <w:num w:numId="15">
    <w:abstractNumId w:val="21"/>
  </w:num>
  <w:num w:numId="16">
    <w:abstractNumId w:val="26"/>
  </w:num>
  <w:num w:numId="17">
    <w:abstractNumId w:val="12"/>
  </w:num>
  <w:num w:numId="18">
    <w:abstractNumId w:val="25"/>
  </w:num>
  <w:num w:numId="19">
    <w:abstractNumId w:val="10"/>
  </w:num>
  <w:num w:numId="20">
    <w:abstractNumId w:val="18"/>
  </w:num>
  <w:num w:numId="21">
    <w:abstractNumId w:val="19"/>
  </w:num>
  <w:num w:numId="22">
    <w:abstractNumId w:val="16"/>
  </w:num>
  <w:num w:numId="23">
    <w:abstractNumId w:val="16"/>
  </w:num>
  <w:num w:numId="2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num>
  <w:num w:numId="28">
    <w:abstractNumId w:val="14"/>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3"/>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Information Commissioner"/>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46 of 2020"/>
    <w:docVar w:name="HearingDate" w:val="26 June 2020"/>
    <w:docVar w:name="Initiators" w:val="(and another named in the Schedule)"/>
    <w:docVar w:name="Judgdate" w:val="##"/>
    <w:docVar w:name="Judge" w:val="Thawley"/>
    <w:docVar w:name="Justices" w:val="Justice"/>
    <w:docVar w:name="lstEntryList" w:val="-1"/>
    <w:docVar w:name="myEntryList" w:val="Counsel for the Applicant=Dr R Higgins SC with Mr T Prince and Ms E Bathurst|Solicitor for the Applicant=Australian Government Solicitor|Counsel for the First Respondent=Mr N Hutley SC with Dr S Hartford Davis|Counsel for the Second Respondent=Ms K Richardson SC with Ms C Amato|Solicitor for the Respondents=King &amp; Wood Mallesons"/>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Facebook Inc|Facebook Ireland Limited"/>
    <w:docVar w:name="ResState" w:val="New South Wales"/>
    <w:docVar w:name="SubArea" w:val="Regulator and Consumer Protection (C &amp; C)"/>
  </w:docVars>
  <w:rsids>
    <w:rsidRoot w:val="00195025"/>
    <w:rsid w:val="0000369C"/>
    <w:rsid w:val="000102CA"/>
    <w:rsid w:val="00010C14"/>
    <w:rsid w:val="000141C2"/>
    <w:rsid w:val="0001469E"/>
    <w:rsid w:val="00014FC0"/>
    <w:rsid w:val="00015993"/>
    <w:rsid w:val="00020CC1"/>
    <w:rsid w:val="00022289"/>
    <w:rsid w:val="00022DF4"/>
    <w:rsid w:val="00025984"/>
    <w:rsid w:val="00032F9F"/>
    <w:rsid w:val="000364D2"/>
    <w:rsid w:val="00041C07"/>
    <w:rsid w:val="00045BB7"/>
    <w:rsid w:val="00052226"/>
    <w:rsid w:val="00055719"/>
    <w:rsid w:val="0005641B"/>
    <w:rsid w:val="00057974"/>
    <w:rsid w:val="00064006"/>
    <w:rsid w:val="0006709D"/>
    <w:rsid w:val="0006724B"/>
    <w:rsid w:val="00067953"/>
    <w:rsid w:val="00072A73"/>
    <w:rsid w:val="00081497"/>
    <w:rsid w:val="000849E8"/>
    <w:rsid w:val="000852B4"/>
    <w:rsid w:val="00085F0E"/>
    <w:rsid w:val="0008728C"/>
    <w:rsid w:val="0009286A"/>
    <w:rsid w:val="000930C0"/>
    <w:rsid w:val="0009364A"/>
    <w:rsid w:val="000A0DC2"/>
    <w:rsid w:val="000A2E76"/>
    <w:rsid w:val="000A4807"/>
    <w:rsid w:val="000A4BE4"/>
    <w:rsid w:val="000B2EDE"/>
    <w:rsid w:val="000B585F"/>
    <w:rsid w:val="000C023E"/>
    <w:rsid w:val="000C0A52"/>
    <w:rsid w:val="000C3591"/>
    <w:rsid w:val="000C5195"/>
    <w:rsid w:val="000C5B6B"/>
    <w:rsid w:val="000C6064"/>
    <w:rsid w:val="000C62EF"/>
    <w:rsid w:val="000C7266"/>
    <w:rsid w:val="000C76BE"/>
    <w:rsid w:val="000D1AF5"/>
    <w:rsid w:val="000D2137"/>
    <w:rsid w:val="000D3FD2"/>
    <w:rsid w:val="000E27C1"/>
    <w:rsid w:val="000E3FC8"/>
    <w:rsid w:val="000E7BAE"/>
    <w:rsid w:val="000F133D"/>
    <w:rsid w:val="000F7A6B"/>
    <w:rsid w:val="001046A9"/>
    <w:rsid w:val="0010536B"/>
    <w:rsid w:val="0011145C"/>
    <w:rsid w:val="001128BD"/>
    <w:rsid w:val="00113349"/>
    <w:rsid w:val="001138EF"/>
    <w:rsid w:val="0011419D"/>
    <w:rsid w:val="00117587"/>
    <w:rsid w:val="0012772D"/>
    <w:rsid w:val="001310F9"/>
    <w:rsid w:val="00132054"/>
    <w:rsid w:val="00143151"/>
    <w:rsid w:val="00145AB9"/>
    <w:rsid w:val="00152BCE"/>
    <w:rsid w:val="00164DFF"/>
    <w:rsid w:val="00166F78"/>
    <w:rsid w:val="001727A4"/>
    <w:rsid w:val="0017376C"/>
    <w:rsid w:val="001738AB"/>
    <w:rsid w:val="001765E0"/>
    <w:rsid w:val="00177759"/>
    <w:rsid w:val="00181213"/>
    <w:rsid w:val="00184304"/>
    <w:rsid w:val="00185E6B"/>
    <w:rsid w:val="00187BBC"/>
    <w:rsid w:val="001932F3"/>
    <w:rsid w:val="00195025"/>
    <w:rsid w:val="00195A32"/>
    <w:rsid w:val="001A1698"/>
    <w:rsid w:val="001A3CF9"/>
    <w:rsid w:val="001A4309"/>
    <w:rsid w:val="001A71DB"/>
    <w:rsid w:val="001B1053"/>
    <w:rsid w:val="001B14AC"/>
    <w:rsid w:val="001B4AF3"/>
    <w:rsid w:val="001B7940"/>
    <w:rsid w:val="001C37CA"/>
    <w:rsid w:val="001D38EA"/>
    <w:rsid w:val="001D4303"/>
    <w:rsid w:val="001D6746"/>
    <w:rsid w:val="001D7F37"/>
    <w:rsid w:val="001E0087"/>
    <w:rsid w:val="001E3B49"/>
    <w:rsid w:val="001E7388"/>
    <w:rsid w:val="001F13DD"/>
    <w:rsid w:val="001F2DBC"/>
    <w:rsid w:val="001F4559"/>
    <w:rsid w:val="001F6259"/>
    <w:rsid w:val="001F73E8"/>
    <w:rsid w:val="0020262C"/>
    <w:rsid w:val="00205CE2"/>
    <w:rsid w:val="00206F7A"/>
    <w:rsid w:val="0021019D"/>
    <w:rsid w:val="002116A1"/>
    <w:rsid w:val="00211713"/>
    <w:rsid w:val="00214B65"/>
    <w:rsid w:val="00220850"/>
    <w:rsid w:val="00224537"/>
    <w:rsid w:val="00225DDB"/>
    <w:rsid w:val="002309C5"/>
    <w:rsid w:val="00230DDC"/>
    <w:rsid w:val="00235081"/>
    <w:rsid w:val="00235956"/>
    <w:rsid w:val="0024055B"/>
    <w:rsid w:val="00247C9A"/>
    <w:rsid w:val="0025160C"/>
    <w:rsid w:val="002535D0"/>
    <w:rsid w:val="002539B3"/>
    <w:rsid w:val="002553CA"/>
    <w:rsid w:val="00255410"/>
    <w:rsid w:val="00255451"/>
    <w:rsid w:val="00256424"/>
    <w:rsid w:val="00257C3E"/>
    <w:rsid w:val="002602C2"/>
    <w:rsid w:val="002611AC"/>
    <w:rsid w:val="002666C9"/>
    <w:rsid w:val="00266C8E"/>
    <w:rsid w:val="00267722"/>
    <w:rsid w:val="00270136"/>
    <w:rsid w:val="00272E60"/>
    <w:rsid w:val="00274F5B"/>
    <w:rsid w:val="00275417"/>
    <w:rsid w:val="002771E3"/>
    <w:rsid w:val="00280836"/>
    <w:rsid w:val="00281210"/>
    <w:rsid w:val="00282E1A"/>
    <w:rsid w:val="00283928"/>
    <w:rsid w:val="0029113B"/>
    <w:rsid w:val="0029289B"/>
    <w:rsid w:val="00292C66"/>
    <w:rsid w:val="002934C0"/>
    <w:rsid w:val="00293B44"/>
    <w:rsid w:val="00295BBE"/>
    <w:rsid w:val="002968FF"/>
    <w:rsid w:val="00296FF5"/>
    <w:rsid w:val="002A1B50"/>
    <w:rsid w:val="002A5EBB"/>
    <w:rsid w:val="002A6AC3"/>
    <w:rsid w:val="002A7B8C"/>
    <w:rsid w:val="002A7D47"/>
    <w:rsid w:val="002B0E91"/>
    <w:rsid w:val="002B1029"/>
    <w:rsid w:val="002B1AB0"/>
    <w:rsid w:val="002B4709"/>
    <w:rsid w:val="002B4BB0"/>
    <w:rsid w:val="002B6779"/>
    <w:rsid w:val="002B71C0"/>
    <w:rsid w:val="002B7A34"/>
    <w:rsid w:val="002B7EE9"/>
    <w:rsid w:val="002C09A9"/>
    <w:rsid w:val="002C31AD"/>
    <w:rsid w:val="002C58C1"/>
    <w:rsid w:val="002C7385"/>
    <w:rsid w:val="002C740F"/>
    <w:rsid w:val="002D1419"/>
    <w:rsid w:val="002D2ACD"/>
    <w:rsid w:val="002D2DBB"/>
    <w:rsid w:val="002D341A"/>
    <w:rsid w:val="002D4484"/>
    <w:rsid w:val="002D54A6"/>
    <w:rsid w:val="002D69CE"/>
    <w:rsid w:val="002D787E"/>
    <w:rsid w:val="002E4C49"/>
    <w:rsid w:val="002E6A7A"/>
    <w:rsid w:val="002E774E"/>
    <w:rsid w:val="002F0436"/>
    <w:rsid w:val="002F1E49"/>
    <w:rsid w:val="002F4E9C"/>
    <w:rsid w:val="002F565E"/>
    <w:rsid w:val="002F6205"/>
    <w:rsid w:val="002F71F8"/>
    <w:rsid w:val="00300045"/>
    <w:rsid w:val="00310ACF"/>
    <w:rsid w:val="0031256C"/>
    <w:rsid w:val="003144B6"/>
    <w:rsid w:val="00314D6C"/>
    <w:rsid w:val="00316D2A"/>
    <w:rsid w:val="003206A6"/>
    <w:rsid w:val="00320C67"/>
    <w:rsid w:val="00322A7C"/>
    <w:rsid w:val="00323804"/>
    <w:rsid w:val="00323B1D"/>
    <w:rsid w:val="00324525"/>
    <w:rsid w:val="00327FD6"/>
    <w:rsid w:val="00331DAF"/>
    <w:rsid w:val="00332423"/>
    <w:rsid w:val="00334074"/>
    <w:rsid w:val="00337C3A"/>
    <w:rsid w:val="0034000F"/>
    <w:rsid w:val="00340232"/>
    <w:rsid w:val="003402D3"/>
    <w:rsid w:val="00341A32"/>
    <w:rsid w:val="00343ABC"/>
    <w:rsid w:val="00345EBE"/>
    <w:rsid w:val="003463FE"/>
    <w:rsid w:val="00346885"/>
    <w:rsid w:val="00347EAA"/>
    <w:rsid w:val="00354AEE"/>
    <w:rsid w:val="003554B3"/>
    <w:rsid w:val="00356632"/>
    <w:rsid w:val="003608E7"/>
    <w:rsid w:val="0036155F"/>
    <w:rsid w:val="003617EF"/>
    <w:rsid w:val="00364891"/>
    <w:rsid w:val="00364D8E"/>
    <w:rsid w:val="00370B1D"/>
    <w:rsid w:val="00375B05"/>
    <w:rsid w:val="0037693A"/>
    <w:rsid w:val="0038114D"/>
    <w:rsid w:val="00382149"/>
    <w:rsid w:val="00382330"/>
    <w:rsid w:val="003845A9"/>
    <w:rsid w:val="00390883"/>
    <w:rsid w:val="003922F8"/>
    <w:rsid w:val="003929E7"/>
    <w:rsid w:val="00395B24"/>
    <w:rsid w:val="003A0FD9"/>
    <w:rsid w:val="003A2D38"/>
    <w:rsid w:val="003A40F0"/>
    <w:rsid w:val="003A416D"/>
    <w:rsid w:val="003A748A"/>
    <w:rsid w:val="003A7ECC"/>
    <w:rsid w:val="003B2C72"/>
    <w:rsid w:val="003C0A5E"/>
    <w:rsid w:val="003C1333"/>
    <w:rsid w:val="003C20FF"/>
    <w:rsid w:val="003C27CD"/>
    <w:rsid w:val="003C3C38"/>
    <w:rsid w:val="003C5651"/>
    <w:rsid w:val="003C72ED"/>
    <w:rsid w:val="003C7EBF"/>
    <w:rsid w:val="003D2650"/>
    <w:rsid w:val="003D49C2"/>
    <w:rsid w:val="003D4EA5"/>
    <w:rsid w:val="003D560C"/>
    <w:rsid w:val="003E1B97"/>
    <w:rsid w:val="003E2447"/>
    <w:rsid w:val="003E3693"/>
    <w:rsid w:val="003E5874"/>
    <w:rsid w:val="003F193E"/>
    <w:rsid w:val="003F34F1"/>
    <w:rsid w:val="00402EB8"/>
    <w:rsid w:val="004032FB"/>
    <w:rsid w:val="004045A0"/>
    <w:rsid w:val="004078AB"/>
    <w:rsid w:val="00411AE8"/>
    <w:rsid w:val="00413B74"/>
    <w:rsid w:val="004305AA"/>
    <w:rsid w:val="0043259D"/>
    <w:rsid w:val="00432CF7"/>
    <w:rsid w:val="00435C5F"/>
    <w:rsid w:val="004379CC"/>
    <w:rsid w:val="00441448"/>
    <w:rsid w:val="00441E98"/>
    <w:rsid w:val="00446A33"/>
    <w:rsid w:val="0044760E"/>
    <w:rsid w:val="00450D44"/>
    <w:rsid w:val="00450F93"/>
    <w:rsid w:val="004532F7"/>
    <w:rsid w:val="004550C8"/>
    <w:rsid w:val="00460A56"/>
    <w:rsid w:val="00464A55"/>
    <w:rsid w:val="00472027"/>
    <w:rsid w:val="00472062"/>
    <w:rsid w:val="004733A2"/>
    <w:rsid w:val="004804CF"/>
    <w:rsid w:val="00480B7D"/>
    <w:rsid w:val="004827D4"/>
    <w:rsid w:val="00484298"/>
    <w:rsid w:val="00484962"/>
    <w:rsid w:val="00484F6D"/>
    <w:rsid w:val="00490421"/>
    <w:rsid w:val="0049338A"/>
    <w:rsid w:val="00493934"/>
    <w:rsid w:val="0049417F"/>
    <w:rsid w:val="00497ED8"/>
    <w:rsid w:val="004A3A87"/>
    <w:rsid w:val="004A5C64"/>
    <w:rsid w:val="004A796F"/>
    <w:rsid w:val="004A7DA9"/>
    <w:rsid w:val="004B1BFE"/>
    <w:rsid w:val="004B3BFD"/>
    <w:rsid w:val="004B3EFA"/>
    <w:rsid w:val="004B43AF"/>
    <w:rsid w:val="004C1768"/>
    <w:rsid w:val="004C1E4B"/>
    <w:rsid w:val="004C2A87"/>
    <w:rsid w:val="004C4D7B"/>
    <w:rsid w:val="004C4ED3"/>
    <w:rsid w:val="004D0660"/>
    <w:rsid w:val="004D0A42"/>
    <w:rsid w:val="004D2C57"/>
    <w:rsid w:val="004D2EA5"/>
    <w:rsid w:val="004D32A6"/>
    <w:rsid w:val="004D367D"/>
    <w:rsid w:val="004D3F7F"/>
    <w:rsid w:val="004D53E5"/>
    <w:rsid w:val="004D6C0E"/>
    <w:rsid w:val="004E584B"/>
    <w:rsid w:val="004F6DD6"/>
    <w:rsid w:val="00500332"/>
    <w:rsid w:val="00501A12"/>
    <w:rsid w:val="005031C4"/>
    <w:rsid w:val="00503546"/>
    <w:rsid w:val="00505BCA"/>
    <w:rsid w:val="0051346D"/>
    <w:rsid w:val="00513EAE"/>
    <w:rsid w:val="0051550F"/>
    <w:rsid w:val="00516806"/>
    <w:rsid w:val="00516E6F"/>
    <w:rsid w:val="00517A60"/>
    <w:rsid w:val="00525A49"/>
    <w:rsid w:val="00535613"/>
    <w:rsid w:val="005359EB"/>
    <w:rsid w:val="0054254A"/>
    <w:rsid w:val="005466B5"/>
    <w:rsid w:val="00554314"/>
    <w:rsid w:val="005626A0"/>
    <w:rsid w:val="005629B3"/>
    <w:rsid w:val="00562CB4"/>
    <w:rsid w:val="00562D33"/>
    <w:rsid w:val="00565A9A"/>
    <w:rsid w:val="005722BA"/>
    <w:rsid w:val="00573AC4"/>
    <w:rsid w:val="005801FC"/>
    <w:rsid w:val="005826AC"/>
    <w:rsid w:val="00583431"/>
    <w:rsid w:val="00583822"/>
    <w:rsid w:val="0058684D"/>
    <w:rsid w:val="00590053"/>
    <w:rsid w:val="0059231E"/>
    <w:rsid w:val="0059361E"/>
    <w:rsid w:val="005937A9"/>
    <w:rsid w:val="00595016"/>
    <w:rsid w:val="00595C84"/>
    <w:rsid w:val="00597AAE"/>
    <w:rsid w:val="005A222C"/>
    <w:rsid w:val="005A47DC"/>
    <w:rsid w:val="005A4DF8"/>
    <w:rsid w:val="005B032E"/>
    <w:rsid w:val="005B1426"/>
    <w:rsid w:val="005B1D9B"/>
    <w:rsid w:val="005C0A8E"/>
    <w:rsid w:val="005C0ACF"/>
    <w:rsid w:val="005C1767"/>
    <w:rsid w:val="005C42EF"/>
    <w:rsid w:val="005D50F9"/>
    <w:rsid w:val="005D5FC2"/>
    <w:rsid w:val="005D6514"/>
    <w:rsid w:val="005E02F5"/>
    <w:rsid w:val="005E0510"/>
    <w:rsid w:val="005E176E"/>
    <w:rsid w:val="005E218E"/>
    <w:rsid w:val="005E35A0"/>
    <w:rsid w:val="005E3B36"/>
    <w:rsid w:val="005E3E4E"/>
    <w:rsid w:val="005E3F96"/>
    <w:rsid w:val="005E4FDB"/>
    <w:rsid w:val="005E55B4"/>
    <w:rsid w:val="005E6F26"/>
    <w:rsid w:val="005F0D1B"/>
    <w:rsid w:val="005F1865"/>
    <w:rsid w:val="005F3B32"/>
    <w:rsid w:val="005F613E"/>
    <w:rsid w:val="006007BD"/>
    <w:rsid w:val="00600A5B"/>
    <w:rsid w:val="006013C8"/>
    <w:rsid w:val="0060270D"/>
    <w:rsid w:val="00604611"/>
    <w:rsid w:val="006053A9"/>
    <w:rsid w:val="0060743F"/>
    <w:rsid w:val="00611012"/>
    <w:rsid w:val="00611586"/>
    <w:rsid w:val="00612E5C"/>
    <w:rsid w:val="00615E78"/>
    <w:rsid w:val="00616241"/>
    <w:rsid w:val="00620634"/>
    <w:rsid w:val="0062078C"/>
    <w:rsid w:val="00621887"/>
    <w:rsid w:val="0062195C"/>
    <w:rsid w:val="006235B5"/>
    <w:rsid w:val="00623D49"/>
    <w:rsid w:val="00624520"/>
    <w:rsid w:val="00625234"/>
    <w:rsid w:val="00625365"/>
    <w:rsid w:val="0062666A"/>
    <w:rsid w:val="00632300"/>
    <w:rsid w:val="00632BB7"/>
    <w:rsid w:val="00635B36"/>
    <w:rsid w:val="00636871"/>
    <w:rsid w:val="00640F4E"/>
    <w:rsid w:val="00642178"/>
    <w:rsid w:val="00642FB4"/>
    <w:rsid w:val="00643DE0"/>
    <w:rsid w:val="00644734"/>
    <w:rsid w:val="00644E85"/>
    <w:rsid w:val="0064525C"/>
    <w:rsid w:val="00653CD2"/>
    <w:rsid w:val="00654A5C"/>
    <w:rsid w:val="00655B25"/>
    <w:rsid w:val="006574A1"/>
    <w:rsid w:val="0066063F"/>
    <w:rsid w:val="006615C0"/>
    <w:rsid w:val="00662BB0"/>
    <w:rsid w:val="00663878"/>
    <w:rsid w:val="00667773"/>
    <w:rsid w:val="006704E8"/>
    <w:rsid w:val="00670743"/>
    <w:rsid w:val="00671931"/>
    <w:rsid w:val="00673139"/>
    <w:rsid w:val="00674C80"/>
    <w:rsid w:val="00674FB2"/>
    <w:rsid w:val="00677EF3"/>
    <w:rsid w:val="006831BC"/>
    <w:rsid w:val="00687869"/>
    <w:rsid w:val="00690EE2"/>
    <w:rsid w:val="006960A1"/>
    <w:rsid w:val="006A0E20"/>
    <w:rsid w:val="006A23E0"/>
    <w:rsid w:val="006A3A7A"/>
    <w:rsid w:val="006A5136"/>
    <w:rsid w:val="006A5695"/>
    <w:rsid w:val="006A60C3"/>
    <w:rsid w:val="006B3904"/>
    <w:rsid w:val="006B4294"/>
    <w:rsid w:val="006B5AE5"/>
    <w:rsid w:val="006B5B7D"/>
    <w:rsid w:val="006B6E22"/>
    <w:rsid w:val="006C1FE8"/>
    <w:rsid w:val="006C7B1E"/>
    <w:rsid w:val="006D0ECF"/>
    <w:rsid w:val="006D47F8"/>
    <w:rsid w:val="006D4C92"/>
    <w:rsid w:val="006D4EB6"/>
    <w:rsid w:val="006D704B"/>
    <w:rsid w:val="006E35BF"/>
    <w:rsid w:val="006E7850"/>
    <w:rsid w:val="006F00FA"/>
    <w:rsid w:val="006F308E"/>
    <w:rsid w:val="006F3FBA"/>
    <w:rsid w:val="006F63E6"/>
    <w:rsid w:val="007028D9"/>
    <w:rsid w:val="00707218"/>
    <w:rsid w:val="007110C3"/>
    <w:rsid w:val="00712B1D"/>
    <w:rsid w:val="00713141"/>
    <w:rsid w:val="00714CED"/>
    <w:rsid w:val="00722643"/>
    <w:rsid w:val="007303FE"/>
    <w:rsid w:val="007325D9"/>
    <w:rsid w:val="00734269"/>
    <w:rsid w:val="007360CA"/>
    <w:rsid w:val="007422D4"/>
    <w:rsid w:val="00742695"/>
    <w:rsid w:val="00750CC6"/>
    <w:rsid w:val="00750E95"/>
    <w:rsid w:val="00751736"/>
    <w:rsid w:val="00751E0F"/>
    <w:rsid w:val="00753A7C"/>
    <w:rsid w:val="007565C4"/>
    <w:rsid w:val="00760EC0"/>
    <w:rsid w:val="007656A1"/>
    <w:rsid w:val="0076781B"/>
    <w:rsid w:val="0078003A"/>
    <w:rsid w:val="00780771"/>
    <w:rsid w:val="007857D3"/>
    <w:rsid w:val="007863A8"/>
    <w:rsid w:val="007929CF"/>
    <w:rsid w:val="007A6F28"/>
    <w:rsid w:val="007B03C6"/>
    <w:rsid w:val="007B0DB1"/>
    <w:rsid w:val="007B112A"/>
    <w:rsid w:val="007C2739"/>
    <w:rsid w:val="007C292D"/>
    <w:rsid w:val="007C3211"/>
    <w:rsid w:val="007C3BF6"/>
    <w:rsid w:val="007C6AB5"/>
    <w:rsid w:val="007C78DD"/>
    <w:rsid w:val="007D0A32"/>
    <w:rsid w:val="007D0A4B"/>
    <w:rsid w:val="007D0FD2"/>
    <w:rsid w:val="007D2EF8"/>
    <w:rsid w:val="007D561F"/>
    <w:rsid w:val="007D7FD2"/>
    <w:rsid w:val="007E13D9"/>
    <w:rsid w:val="007E20A7"/>
    <w:rsid w:val="007E41BE"/>
    <w:rsid w:val="007E4DB6"/>
    <w:rsid w:val="007E7CD4"/>
    <w:rsid w:val="007F00A5"/>
    <w:rsid w:val="007F0A4F"/>
    <w:rsid w:val="007F12AC"/>
    <w:rsid w:val="007F2D7E"/>
    <w:rsid w:val="00801800"/>
    <w:rsid w:val="00801B5B"/>
    <w:rsid w:val="00803A70"/>
    <w:rsid w:val="0080469C"/>
    <w:rsid w:val="008103F1"/>
    <w:rsid w:val="008172C0"/>
    <w:rsid w:val="008276B4"/>
    <w:rsid w:val="008316B8"/>
    <w:rsid w:val="00831927"/>
    <w:rsid w:val="008322AB"/>
    <w:rsid w:val="00841BD3"/>
    <w:rsid w:val="0084273D"/>
    <w:rsid w:val="00843812"/>
    <w:rsid w:val="00844E3F"/>
    <w:rsid w:val="00845A83"/>
    <w:rsid w:val="0085218A"/>
    <w:rsid w:val="00854E6C"/>
    <w:rsid w:val="008618D4"/>
    <w:rsid w:val="00861A6D"/>
    <w:rsid w:val="008712BB"/>
    <w:rsid w:val="00872EB6"/>
    <w:rsid w:val="00874B3A"/>
    <w:rsid w:val="008760B3"/>
    <w:rsid w:val="00884DCF"/>
    <w:rsid w:val="0088559B"/>
    <w:rsid w:val="00885972"/>
    <w:rsid w:val="008947AA"/>
    <w:rsid w:val="00896B83"/>
    <w:rsid w:val="008A2484"/>
    <w:rsid w:val="008A579E"/>
    <w:rsid w:val="008B47DD"/>
    <w:rsid w:val="008C26D9"/>
    <w:rsid w:val="008C6D50"/>
    <w:rsid w:val="008C6E9C"/>
    <w:rsid w:val="008C7167"/>
    <w:rsid w:val="008C7503"/>
    <w:rsid w:val="008D049F"/>
    <w:rsid w:val="008D1617"/>
    <w:rsid w:val="008D192B"/>
    <w:rsid w:val="008D4DD6"/>
    <w:rsid w:val="008D7AA5"/>
    <w:rsid w:val="008E376E"/>
    <w:rsid w:val="008E3BFB"/>
    <w:rsid w:val="008E3D7E"/>
    <w:rsid w:val="008E6315"/>
    <w:rsid w:val="008E6A60"/>
    <w:rsid w:val="008F11E0"/>
    <w:rsid w:val="008F78BC"/>
    <w:rsid w:val="008F7B63"/>
    <w:rsid w:val="008F7D6A"/>
    <w:rsid w:val="008F7DA9"/>
    <w:rsid w:val="00900BFE"/>
    <w:rsid w:val="0090182A"/>
    <w:rsid w:val="00902274"/>
    <w:rsid w:val="0090455C"/>
    <w:rsid w:val="009054CB"/>
    <w:rsid w:val="00912F94"/>
    <w:rsid w:val="009138C1"/>
    <w:rsid w:val="00916668"/>
    <w:rsid w:val="00924193"/>
    <w:rsid w:val="00924C3F"/>
    <w:rsid w:val="0092590B"/>
    <w:rsid w:val="00925E60"/>
    <w:rsid w:val="009264B3"/>
    <w:rsid w:val="00927DEB"/>
    <w:rsid w:val="00932B9D"/>
    <w:rsid w:val="0093634F"/>
    <w:rsid w:val="009365E0"/>
    <w:rsid w:val="00936B4F"/>
    <w:rsid w:val="00937113"/>
    <w:rsid w:val="00937584"/>
    <w:rsid w:val="0093792E"/>
    <w:rsid w:val="00942BA2"/>
    <w:rsid w:val="009437D4"/>
    <w:rsid w:val="00944C86"/>
    <w:rsid w:val="009506F5"/>
    <w:rsid w:val="009555A8"/>
    <w:rsid w:val="00957525"/>
    <w:rsid w:val="00957DE8"/>
    <w:rsid w:val="00960ECB"/>
    <w:rsid w:val="009615D6"/>
    <w:rsid w:val="00965751"/>
    <w:rsid w:val="00967855"/>
    <w:rsid w:val="009759EE"/>
    <w:rsid w:val="00980736"/>
    <w:rsid w:val="009812C8"/>
    <w:rsid w:val="00981A39"/>
    <w:rsid w:val="009823E3"/>
    <w:rsid w:val="009839BA"/>
    <w:rsid w:val="00984B31"/>
    <w:rsid w:val="00987097"/>
    <w:rsid w:val="0099384C"/>
    <w:rsid w:val="009A10AC"/>
    <w:rsid w:val="009A21B4"/>
    <w:rsid w:val="009A3A9C"/>
    <w:rsid w:val="009A4254"/>
    <w:rsid w:val="009A714F"/>
    <w:rsid w:val="009B046C"/>
    <w:rsid w:val="009B0E79"/>
    <w:rsid w:val="009B13FA"/>
    <w:rsid w:val="009B1E2D"/>
    <w:rsid w:val="009C59FB"/>
    <w:rsid w:val="009C6F3B"/>
    <w:rsid w:val="009D00D4"/>
    <w:rsid w:val="009D1467"/>
    <w:rsid w:val="009D2451"/>
    <w:rsid w:val="009D4D0F"/>
    <w:rsid w:val="009D5976"/>
    <w:rsid w:val="009E4C48"/>
    <w:rsid w:val="009E4F9D"/>
    <w:rsid w:val="009E4FA6"/>
    <w:rsid w:val="009E6E06"/>
    <w:rsid w:val="009E7D93"/>
    <w:rsid w:val="009F0A8B"/>
    <w:rsid w:val="009F54B6"/>
    <w:rsid w:val="009F5C33"/>
    <w:rsid w:val="009F5C80"/>
    <w:rsid w:val="00A02200"/>
    <w:rsid w:val="00A03EAC"/>
    <w:rsid w:val="00A03F6E"/>
    <w:rsid w:val="00A05D00"/>
    <w:rsid w:val="00A065AA"/>
    <w:rsid w:val="00A11CA6"/>
    <w:rsid w:val="00A1442C"/>
    <w:rsid w:val="00A20C49"/>
    <w:rsid w:val="00A269CA"/>
    <w:rsid w:val="00A3238A"/>
    <w:rsid w:val="00A336EE"/>
    <w:rsid w:val="00A359AC"/>
    <w:rsid w:val="00A35BAD"/>
    <w:rsid w:val="00A40D3A"/>
    <w:rsid w:val="00A41413"/>
    <w:rsid w:val="00A41893"/>
    <w:rsid w:val="00A45FB1"/>
    <w:rsid w:val="00A46CCC"/>
    <w:rsid w:val="00A51CFE"/>
    <w:rsid w:val="00A524FB"/>
    <w:rsid w:val="00A5448A"/>
    <w:rsid w:val="00A547D1"/>
    <w:rsid w:val="00A55C72"/>
    <w:rsid w:val="00A63F6E"/>
    <w:rsid w:val="00A669DE"/>
    <w:rsid w:val="00A701BE"/>
    <w:rsid w:val="00A704F7"/>
    <w:rsid w:val="00A727BE"/>
    <w:rsid w:val="00A76C13"/>
    <w:rsid w:val="00A800FA"/>
    <w:rsid w:val="00A83105"/>
    <w:rsid w:val="00A92E79"/>
    <w:rsid w:val="00A9412E"/>
    <w:rsid w:val="00A950B6"/>
    <w:rsid w:val="00A958B0"/>
    <w:rsid w:val="00AA4ABA"/>
    <w:rsid w:val="00AA7CCD"/>
    <w:rsid w:val="00AB41C1"/>
    <w:rsid w:val="00AB6595"/>
    <w:rsid w:val="00AB7C10"/>
    <w:rsid w:val="00AC3734"/>
    <w:rsid w:val="00AC4BF2"/>
    <w:rsid w:val="00AC680A"/>
    <w:rsid w:val="00AD0860"/>
    <w:rsid w:val="00AD12A8"/>
    <w:rsid w:val="00AD2218"/>
    <w:rsid w:val="00AD6556"/>
    <w:rsid w:val="00AD69C4"/>
    <w:rsid w:val="00AD79F3"/>
    <w:rsid w:val="00AE023F"/>
    <w:rsid w:val="00AE1C45"/>
    <w:rsid w:val="00AE2042"/>
    <w:rsid w:val="00AE31F3"/>
    <w:rsid w:val="00AE76AB"/>
    <w:rsid w:val="00AF22B0"/>
    <w:rsid w:val="00AF3577"/>
    <w:rsid w:val="00AF35F9"/>
    <w:rsid w:val="00AF363F"/>
    <w:rsid w:val="00AF4B38"/>
    <w:rsid w:val="00B00309"/>
    <w:rsid w:val="00B04C13"/>
    <w:rsid w:val="00B051BB"/>
    <w:rsid w:val="00B05C7D"/>
    <w:rsid w:val="00B067BD"/>
    <w:rsid w:val="00B137A8"/>
    <w:rsid w:val="00B16534"/>
    <w:rsid w:val="00B16B19"/>
    <w:rsid w:val="00B304B3"/>
    <w:rsid w:val="00B32795"/>
    <w:rsid w:val="00B346C3"/>
    <w:rsid w:val="00B4471C"/>
    <w:rsid w:val="00B451A6"/>
    <w:rsid w:val="00B50329"/>
    <w:rsid w:val="00B52E07"/>
    <w:rsid w:val="00B53AF9"/>
    <w:rsid w:val="00B64AC5"/>
    <w:rsid w:val="00B6604E"/>
    <w:rsid w:val="00B66BCC"/>
    <w:rsid w:val="00B722DE"/>
    <w:rsid w:val="00B73DFC"/>
    <w:rsid w:val="00B76C44"/>
    <w:rsid w:val="00B83F87"/>
    <w:rsid w:val="00B8678F"/>
    <w:rsid w:val="00B86825"/>
    <w:rsid w:val="00B87A81"/>
    <w:rsid w:val="00B92E7E"/>
    <w:rsid w:val="00B941CA"/>
    <w:rsid w:val="00B952AD"/>
    <w:rsid w:val="00B954A8"/>
    <w:rsid w:val="00B96A9C"/>
    <w:rsid w:val="00BA03CC"/>
    <w:rsid w:val="00BA2EFA"/>
    <w:rsid w:val="00BA3DBC"/>
    <w:rsid w:val="00BA4CFE"/>
    <w:rsid w:val="00BA4DD5"/>
    <w:rsid w:val="00BB2DA2"/>
    <w:rsid w:val="00BB351C"/>
    <w:rsid w:val="00BB56DC"/>
    <w:rsid w:val="00BB61B5"/>
    <w:rsid w:val="00BB75B9"/>
    <w:rsid w:val="00BC400D"/>
    <w:rsid w:val="00BC42D0"/>
    <w:rsid w:val="00BC4ABD"/>
    <w:rsid w:val="00BC7091"/>
    <w:rsid w:val="00BD1ACB"/>
    <w:rsid w:val="00BD23E4"/>
    <w:rsid w:val="00BD6583"/>
    <w:rsid w:val="00BD73A8"/>
    <w:rsid w:val="00BE183D"/>
    <w:rsid w:val="00BE32E4"/>
    <w:rsid w:val="00BE3B9A"/>
    <w:rsid w:val="00BE3D02"/>
    <w:rsid w:val="00BE604A"/>
    <w:rsid w:val="00BE7204"/>
    <w:rsid w:val="00BE7308"/>
    <w:rsid w:val="00BF36F5"/>
    <w:rsid w:val="00BF5D7A"/>
    <w:rsid w:val="00BF6005"/>
    <w:rsid w:val="00BF624C"/>
    <w:rsid w:val="00C02797"/>
    <w:rsid w:val="00C02D33"/>
    <w:rsid w:val="00C03B5B"/>
    <w:rsid w:val="00C0453A"/>
    <w:rsid w:val="00C1232C"/>
    <w:rsid w:val="00C132B6"/>
    <w:rsid w:val="00C15465"/>
    <w:rsid w:val="00C21EF6"/>
    <w:rsid w:val="00C2493F"/>
    <w:rsid w:val="00C306EA"/>
    <w:rsid w:val="00C34BC2"/>
    <w:rsid w:val="00C35A71"/>
    <w:rsid w:val="00C36442"/>
    <w:rsid w:val="00C36710"/>
    <w:rsid w:val="00C37F12"/>
    <w:rsid w:val="00C40009"/>
    <w:rsid w:val="00C400CE"/>
    <w:rsid w:val="00C4107D"/>
    <w:rsid w:val="00C410FD"/>
    <w:rsid w:val="00C468FB"/>
    <w:rsid w:val="00C5382A"/>
    <w:rsid w:val="00C539FB"/>
    <w:rsid w:val="00C5577A"/>
    <w:rsid w:val="00C64C91"/>
    <w:rsid w:val="00C70871"/>
    <w:rsid w:val="00C7295B"/>
    <w:rsid w:val="00C729EC"/>
    <w:rsid w:val="00C72FF5"/>
    <w:rsid w:val="00C764BE"/>
    <w:rsid w:val="00C771C9"/>
    <w:rsid w:val="00C802F0"/>
    <w:rsid w:val="00C85C69"/>
    <w:rsid w:val="00C86297"/>
    <w:rsid w:val="00C91B3B"/>
    <w:rsid w:val="00C926E1"/>
    <w:rsid w:val="00C93294"/>
    <w:rsid w:val="00C93488"/>
    <w:rsid w:val="00C9509C"/>
    <w:rsid w:val="00CA210C"/>
    <w:rsid w:val="00CA246D"/>
    <w:rsid w:val="00CA50D9"/>
    <w:rsid w:val="00CA7351"/>
    <w:rsid w:val="00CB38ED"/>
    <w:rsid w:val="00CB3B7C"/>
    <w:rsid w:val="00CB5636"/>
    <w:rsid w:val="00CB6BE4"/>
    <w:rsid w:val="00CC0363"/>
    <w:rsid w:val="00CC0C78"/>
    <w:rsid w:val="00CD054E"/>
    <w:rsid w:val="00CD2CC5"/>
    <w:rsid w:val="00CE4BBF"/>
    <w:rsid w:val="00CE65D6"/>
    <w:rsid w:val="00CE6C15"/>
    <w:rsid w:val="00CF1672"/>
    <w:rsid w:val="00CF1CAD"/>
    <w:rsid w:val="00CF2530"/>
    <w:rsid w:val="00CF2A53"/>
    <w:rsid w:val="00CF793B"/>
    <w:rsid w:val="00D013B0"/>
    <w:rsid w:val="00D01B77"/>
    <w:rsid w:val="00D03265"/>
    <w:rsid w:val="00D06C17"/>
    <w:rsid w:val="00D06E47"/>
    <w:rsid w:val="00D109E1"/>
    <w:rsid w:val="00D10F21"/>
    <w:rsid w:val="00D12997"/>
    <w:rsid w:val="00D159C4"/>
    <w:rsid w:val="00D22A52"/>
    <w:rsid w:val="00D24806"/>
    <w:rsid w:val="00D263CD"/>
    <w:rsid w:val="00D30986"/>
    <w:rsid w:val="00D316C3"/>
    <w:rsid w:val="00D32CAD"/>
    <w:rsid w:val="00D32D8B"/>
    <w:rsid w:val="00D34040"/>
    <w:rsid w:val="00D34E69"/>
    <w:rsid w:val="00D375EE"/>
    <w:rsid w:val="00D446DE"/>
    <w:rsid w:val="00D45650"/>
    <w:rsid w:val="00D513D6"/>
    <w:rsid w:val="00D57748"/>
    <w:rsid w:val="00D61285"/>
    <w:rsid w:val="00D62699"/>
    <w:rsid w:val="00D63298"/>
    <w:rsid w:val="00D65CE6"/>
    <w:rsid w:val="00D6786B"/>
    <w:rsid w:val="00D7067C"/>
    <w:rsid w:val="00D714B1"/>
    <w:rsid w:val="00D75857"/>
    <w:rsid w:val="00D75B94"/>
    <w:rsid w:val="00D82620"/>
    <w:rsid w:val="00D844D2"/>
    <w:rsid w:val="00D84F09"/>
    <w:rsid w:val="00D8527F"/>
    <w:rsid w:val="00D8611D"/>
    <w:rsid w:val="00D86BA6"/>
    <w:rsid w:val="00D86EE2"/>
    <w:rsid w:val="00D870C9"/>
    <w:rsid w:val="00D87C83"/>
    <w:rsid w:val="00D902A4"/>
    <w:rsid w:val="00D96C8A"/>
    <w:rsid w:val="00D9725F"/>
    <w:rsid w:val="00DA01B1"/>
    <w:rsid w:val="00DA0F4B"/>
    <w:rsid w:val="00DA11A2"/>
    <w:rsid w:val="00DA14ED"/>
    <w:rsid w:val="00DA3219"/>
    <w:rsid w:val="00DB059B"/>
    <w:rsid w:val="00DB21FF"/>
    <w:rsid w:val="00DB2EF1"/>
    <w:rsid w:val="00DB339B"/>
    <w:rsid w:val="00DB3DE1"/>
    <w:rsid w:val="00DB5DA0"/>
    <w:rsid w:val="00DB716C"/>
    <w:rsid w:val="00DB7CBF"/>
    <w:rsid w:val="00DC0E02"/>
    <w:rsid w:val="00DC1B24"/>
    <w:rsid w:val="00DC1CA2"/>
    <w:rsid w:val="00DC25D9"/>
    <w:rsid w:val="00DC5C85"/>
    <w:rsid w:val="00DD0604"/>
    <w:rsid w:val="00DD3E45"/>
    <w:rsid w:val="00DD4236"/>
    <w:rsid w:val="00DD44F1"/>
    <w:rsid w:val="00DD74A8"/>
    <w:rsid w:val="00DE3067"/>
    <w:rsid w:val="00DF450E"/>
    <w:rsid w:val="00DF4B40"/>
    <w:rsid w:val="00DF6590"/>
    <w:rsid w:val="00DF7D97"/>
    <w:rsid w:val="00E027BC"/>
    <w:rsid w:val="00E04BE5"/>
    <w:rsid w:val="00E05DE3"/>
    <w:rsid w:val="00E145F9"/>
    <w:rsid w:val="00E14EA5"/>
    <w:rsid w:val="00E16A28"/>
    <w:rsid w:val="00E20A82"/>
    <w:rsid w:val="00E21133"/>
    <w:rsid w:val="00E2327E"/>
    <w:rsid w:val="00E258E6"/>
    <w:rsid w:val="00E266EF"/>
    <w:rsid w:val="00E317C6"/>
    <w:rsid w:val="00E37CAE"/>
    <w:rsid w:val="00E43502"/>
    <w:rsid w:val="00E47428"/>
    <w:rsid w:val="00E51F55"/>
    <w:rsid w:val="00E56F1E"/>
    <w:rsid w:val="00E6047B"/>
    <w:rsid w:val="00E62430"/>
    <w:rsid w:val="00E66B9F"/>
    <w:rsid w:val="00E710D6"/>
    <w:rsid w:val="00E76E45"/>
    <w:rsid w:val="00E772FA"/>
    <w:rsid w:val="00E777C9"/>
    <w:rsid w:val="00E8127C"/>
    <w:rsid w:val="00E81DA6"/>
    <w:rsid w:val="00E84212"/>
    <w:rsid w:val="00E84619"/>
    <w:rsid w:val="00E9086C"/>
    <w:rsid w:val="00E91A0F"/>
    <w:rsid w:val="00E94A71"/>
    <w:rsid w:val="00E962D0"/>
    <w:rsid w:val="00EA03B4"/>
    <w:rsid w:val="00EA03CE"/>
    <w:rsid w:val="00EA23E5"/>
    <w:rsid w:val="00EA4E2E"/>
    <w:rsid w:val="00EA4EBC"/>
    <w:rsid w:val="00EB16B9"/>
    <w:rsid w:val="00EB2CCB"/>
    <w:rsid w:val="00EB2D67"/>
    <w:rsid w:val="00EB3C97"/>
    <w:rsid w:val="00EC167A"/>
    <w:rsid w:val="00EC3DAD"/>
    <w:rsid w:val="00EC57A7"/>
    <w:rsid w:val="00EC6BEC"/>
    <w:rsid w:val="00EC7616"/>
    <w:rsid w:val="00ED0817"/>
    <w:rsid w:val="00ED46A6"/>
    <w:rsid w:val="00ED7DD9"/>
    <w:rsid w:val="00EE24A5"/>
    <w:rsid w:val="00EE4CBF"/>
    <w:rsid w:val="00EE72F0"/>
    <w:rsid w:val="00EF0785"/>
    <w:rsid w:val="00EF2567"/>
    <w:rsid w:val="00EF3113"/>
    <w:rsid w:val="00EF3F84"/>
    <w:rsid w:val="00EF4A28"/>
    <w:rsid w:val="00EF62D5"/>
    <w:rsid w:val="00F03619"/>
    <w:rsid w:val="00F10EC9"/>
    <w:rsid w:val="00F14281"/>
    <w:rsid w:val="00F15C54"/>
    <w:rsid w:val="00F1616B"/>
    <w:rsid w:val="00F176AC"/>
    <w:rsid w:val="00F22C17"/>
    <w:rsid w:val="00F26C9B"/>
    <w:rsid w:val="00F26CF8"/>
    <w:rsid w:val="00F27714"/>
    <w:rsid w:val="00F308C5"/>
    <w:rsid w:val="00F3276E"/>
    <w:rsid w:val="00F33D3C"/>
    <w:rsid w:val="00F3591D"/>
    <w:rsid w:val="00F361F4"/>
    <w:rsid w:val="00F364F2"/>
    <w:rsid w:val="00F37A91"/>
    <w:rsid w:val="00F37DED"/>
    <w:rsid w:val="00F40D2C"/>
    <w:rsid w:val="00F4206C"/>
    <w:rsid w:val="00F4546E"/>
    <w:rsid w:val="00F45CF5"/>
    <w:rsid w:val="00F47DB0"/>
    <w:rsid w:val="00F47FD1"/>
    <w:rsid w:val="00F50E34"/>
    <w:rsid w:val="00F50F53"/>
    <w:rsid w:val="00F52DF5"/>
    <w:rsid w:val="00F53EF7"/>
    <w:rsid w:val="00F54BF2"/>
    <w:rsid w:val="00F570C9"/>
    <w:rsid w:val="00F60D39"/>
    <w:rsid w:val="00F62A92"/>
    <w:rsid w:val="00F679D3"/>
    <w:rsid w:val="00F710FF"/>
    <w:rsid w:val="00F71D8F"/>
    <w:rsid w:val="00F73B46"/>
    <w:rsid w:val="00F8317E"/>
    <w:rsid w:val="00F86C44"/>
    <w:rsid w:val="00F86FA0"/>
    <w:rsid w:val="00F922CC"/>
    <w:rsid w:val="00F92355"/>
    <w:rsid w:val="00F93963"/>
    <w:rsid w:val="00F93B04"/>
    <w:rsid w:val="00F94291"/>
    <w:rsid w:val="00FA2DE7"/>
    <w:rsid w:val="00FA4DD0"/>
    <w:rsid w:val="00FB7982"/>
    <w:rsid w:val="00FB7B79"/>
    <w:rsid w:val="00FC0734"/>
    <w:rsid w:val="00FC0A38"/>
    <w:rsid w:val="00FC0FC5"/>
    <w:rsid w:val="00FC4BA0"/>
    <w:rsid w:val="00FC588F"/>
    <w:rsid w:val="00FD03EA"/>
    <w:rsid w:val="00FD6999"/>
    <w:rsid w:val="00FE1B30"/>
    <w:rsid w:val="00FE3EEB"/>
    <w:rsid w:val="00FE3F03"/>
    <w:rsid w:val="00FE7B44"/>
    <w:rsid w:val="00FF7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296E93"/>
  <w15:docId w15:val="{323731D9-3E54-4735-B0C4-8FCC6D15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1"/>
    <w:qFormat/>
    <w:rsid w:val="006831BC"/>
    <w:pPr>
      <w:autoSpaceDE w:val="0"/>
      <w:autoSpaceDN w:val="0"/>
      <w:adjustRightInd w:val="0"/>
      <w:spacing w:line="240" w:lineRule="auto"/>
      <w:ind w:left="668" w:right="117" w:hanging="568"/>
    </w:pPr>
    <w:rPr>
      <w:rFonts w:ascii="Palatino Linotype" w:hAnsi="Palatino Linotype" w:cs="Palatino Linotype"/>
      <w:szCs w:val="24"/>
      <w:lang w:eastAsia="en-AU"/>
    </w:rPr>
  </w:style>
  <w:style w:type="character" w:customStyle="1" w:styleId="CharSectno">
    <w:name w:val="CharSectno"/>
    <w:basedOn w:val="DefaultParagraphFont"/>
    <w:qFormat/>
    <w:rsid w:val="00FB7B79"/>
    <w:rPr>
      <w:rFonts w:cs="Times New Roman"/>
    </w:rPr>
  </w:style>
  <w:style w:type="paragraph" w:customStyle="1" w:styleId="CaselawNumbered10">
    <w:name w:val="Caselaw Numbered 1"/>
    <w:basedOn w:val="Normal"/>
    <w:uiPriority w:val="5"/>
    <w:qFormat/>
    <w:rsid w:val="00EB3C97"/>
    <w:pPr>
      <w:numPr>
        <w:numId w:val="26"/>
      </w:numPr>
      <w:spacing w:after="240"/>
      <w:ind w:left="720" w:hanging="720"/>
      <w:jc w:val="left"/>
    </w:pPr>
    <w:rPr>
      <w:rFonts w:ascii="Arial" w:eastAsia="Calibri" w:hAnsi="Arial" w:cs="Arial"/>
      <w:szCs w:val="24"/>
      <w:lang w:eastAsia="en-AU"/>
    </w:rPr>
  </w:style>
  <w:style w:type="paragraph" w:customStyle="1" w:styleId="CaselawNumbered1">
    <w:name w:val="Caselaw Numbered (1)"/>
    <w:basedOn w:val="CaselawNumbered10"/>
    <w:qFormat/>
    <w:rsid w:val="00EB3C97"/>
    <w:pPr>
      <w:numPr>
        <w:numId w:val="27"/>
      </w:numPr>
      <w:spacing w:after="360" w:line="240" w:lineRule="auto"/>
      <w:ind w:left="1440" w:hanging="720"/>
    </w:pPr>
  </w:style>
  <w:style w:type="paragraph" w:customStyle="1" w:styleId="CaselawQuote">
    <w:name w:val="Caselaw Quote &gt;"/>
    <w:basedOn w:val="Normal"/>
    <w:qFormat/>
    <w:rsid w:val="00EB3C97"/>
    <w:pPr>
      <w:spacing w:after="360" w:line="240" w:lineRule="auto"/>
      <w:ind w:left="720"/>
      <w:jc w:val="left"/>
    </w:pPr>
    <w:rPr>
      <w:rFonts w:ascii="Arial" w:eastAsia="Calibri" w:hAnsi="Arial" w:cs="Arial"/>
      <w:sz w:val="22"/>
      <w:szCs w:val="24"/>
      <w:lang w:eastAsia="en-AU"/>
    </w:rPr>
  </w:style>
  <w:style w:type="paragraph" w:customStyle="1" w:styleId="CaselawQuote0">
    <w:name w:val="Caselaw Quote &gt;&gt;"/>
    <w:basedOn w:val="Normal"/>
    <w:qFormat/>
    <w:rsid w:val="00937113"/>
    <w:pPr>
      <w:spacing w:after="360" w:line="240" w:lineRule="auto"/>
      <w:ind w:left="2160"/>
      <w:jc w:val="left"/>
    </w:pPr>
    <w:rPr>
      <w:rFonts w:ascii="Arial" w:eastAsia="Calibri" w:hAnsi="Arial" w:cs="Arial"/>
      <w:sz w:val="22"/>
      <w:szCs w:val="24"/>
      <w:lang w:eastAsia="en-AU"/>
    </w:rPr>
  </w:style>
  <w:style w:type="character" w:styleId="FootnoteReference">
    <w:name w:val="footnote reference"/>
    <w:basedOn w:val="DefaultParagraphFont"/>
    <w:uiPriority w:val="31"/>
    <w:rsid w:val="001A3CF9"/>
    <w:rPr>
      <w:rFonts w:ascii="Arial" w:hAnsi="Arial" w:cs="Arial"/>
      <w:b w:val="0"/>
      <w:i w:val="0"/>
      <w:sz w:val="18"/>
      <w:vertAlign w:val="superscript"/>
    </w:rPr>
  </w:style>
  <w:style w:type="paragraph" w:styleId="FootnoteText">
    <w:name w:val="footnote text"/>
    <w:basedOn w:val="Normal"/>
    <w:link w:val="FootnoteTextChar"/>
    <w:uiPriority w:val="31"/>
    <w:rsid w:val="001A3CF9"/>
    <w:pPr>
      <w:tabs>
        <w:tab w:val="left" w:pos="425"/>
      </w:tabs>
      <w:spacing w:after="60" w:line="240" w:lineRule="auto"/>
      <w:ind w:left="425" w:right="567" w:hanging="425"/>
      <w:jc w:val="left"/>
    </w:pPr>
    <w:rPr>
      <w:rFonts w:ascii="Arial" w:eastAsia="Times New Roman" w:hAnsi="Arial" w:cs="Arial"/>
      <w:sz w:val="18"/>
      <w:lang w:eastAsia="en-AU"/>
    </w:rPr>
  </w:style>
  <w:style w:type="character" w:customStyle="1" w:styleId="FootnoteTextChar">
    <w:name w:val="Footnote Text Char"/>
    <w:basedOn w:val="DefaultParagraphFont"/>
    <w:link w:val="FootnoteText"/>
    <w:uiPriority w:val="99"/>
    <w:rsid w:val="001A3CF9"/>
    <w:rPr>
      <w:rFonts w:ascii="Arial" w:eastAsia="Times New Roman" w:hAnsi="Arial" w:cs="Arial"/>
      <w:sz w:val="18"/>
    </w:rPr>
  </w:style>
  <w:style w:type="paragraph" w:customStyle="1" w:styleId="NumberLevel1">
    <w:name w:val="Number Level 1"/>
    <w:aliases w:val="N1"/>
    <w:basedOn w:val="Normal"/>
    <w:uiPriority w:val="1"/>
    <w:qFormat/>
    <w:rsid w:val="001A3CF9"/>
    <w:pPr>
      <w:numPr>
        <w:numId w:val="28"/>
      </w:numPr>
      <w:spacing w:before="280" w:after="140" w:line="280" w:lineRule="atLeast"/>
      <w:jc w:val="left"/>
      <w:outlineLvl w:val="0"/>
    </w:pPr>
    <w:rPr>
      <w:rFonts w:ascii="Arial" w:eastAsia="Times New Roman" w:hAnsi="Arial" w:cs="Arial"/>
      <w:sz w:val="22"/>
      <w:szCs w:val="22"/>
      <w:lang w:eastAsia="en-AU"/>
    </w:rPr>
  </w:style>
  <w:style w:type="paragraph" w:customStyle="1" w:styleId="NumberLevel2">
    <w:name w:val="Number Level 2"/>
    <w:aliases w:val="N2"/>
    <w:basedOn w:val="Normal"/>
    <w:uiPriority w:val="1"/>
    <w:qFormat/>
    <w:rsid w:val="001A3CF9"/>
    <w:pPr>
      <w:numPr>
        <w:ilvl w:val="1"/>
        <w:numId w:val="28"/>
      </w:numPr>
      <w:spacing w:before="280" w:after="140" w:line="280" w:lineRule="atLeast"/>
      <w:jc w:val="left"/>
      <w:outlineLvl w:val="1"/>
    </w:pPr>
    <w:rPr>
      <w:rFonts w:ascii="Arial" w:eastAsia="Times New Roman" w:hAnsi="Arial" w:cs="Arial"/>
      <w:sz w:val="22"/>
      <w:szCs w:val="22"/>
      <w:lang w:eastAsia="en-AU"/>
    </w:rPr>
  </w:style>
  <w:style w:type="paragraph" w:customStyle="1" w:styleId="NumberLevel3">
    <w:name w:val="Number Level 3"/>
    <w:aliases w:val="N3"/>
    <w:basedOn w:val="Normal"/>
    <w:uiPriority w:val="1"/>
    <w:qFormat/>
    <w:rsid w:val="001A3CF9"/>
    <w:pPr>
      <w:numPr>
        <w:ilvl w:val="2"/>
        <w:numId w:val="28"/>
      </w:numPr>
      <w:spacing w:before="280" w:after="140" w:line="280" w:lineRule="atLeast"/>
      <w:jc w:val="left"/>
      <w:outlineLvl w:val="2"/>
    </w:pPr>
    <w:rPr>
      <w:rFonts w:ascii="Arial" w:eastAsia="Times New Roman" w:hAnsi="Arial" w:cs="Arial"/>
      <w:sz w:val="22"/>
      <w:szCs w:val="22"/>
      <w:lang w:eastAsia="en-AU"/>
    </w:rPr>
  </w:style>
  <w:style w:type="paragraph" w:customStyle="1" w:styleId="NumberLevel4">
    <w:name w:val="Number Level 4"/>
    <w:aliases w:val="N4"/>
    <w:basedOn w:val="Normal"/>
    <w:uiPriority w:val="1"/>
    <w:qFormat/>
    <w:rsid w:val="001A3CF9"/>
    <w:pPr>
      <w:numPr>
        <w:ilvl w:val="3"/>
        <w:numId w:val="28"/>
      </w:numPr>
      <w:spacing w:before="280" w:after="140" w:line="280" w:lineRule="atLeast"/>
      <w:jc w:val="left"/>
      <w:outlineLvl w:val="3"/>
    </w:pPr>
    <w:rPr>
      <w:rFonts w:ascii="Arial" w:eastAsia="Times New Roman" w:hAnsi="Arial" w:cs="Arial"/>
      <w:sz w:val="22"/>
      <w:szCs w:val="22"/>
      <w:lang w:eastAsia="en-AU"/>
    </w:rPr>
  </w:style>
  <w:style w:type="paragraph" w:customStyle="1" w:styleId="NumberLevel5">
    <w:name w:val="Number Level 5"/>
    <w:aliases w:val="N5"/>
    <w:basedOn w:val="Normal"/>
    <w:uiPriority w:val="1"/>
    <w:semiHidden/>
    <w:rsid w:val="001A3CF9"/>
    <w:pPr>
      <w:numPr>
        <w:ilvl w:val="4"/>
        <w:numId w:val="28"/>
      </w:numPr>
      <w:spacing w:before="280" w:after="140" w:line="280" w:lineRule="atLeast"/>
      <w:jc w:val="left"/>
      <w:outlineLvl w:val="4"/>
    </w:pPr>
    <w:rPr>
      <w:rFonts w:ascii="Arial" w:eastAsia="Times New Roman" w:hAnsi="Arial" w:cs="Arial"/>
      <w:sz w:val="22"/>
      <w:szCs w:val="22"/>
      <w:lang w:eastAsia="en-AU"/>
    </w:rPr>
  </w:style>
  <w:style w:type="paragraph" w:customStyle="1" w:styleId="NumberLevel6">
    <w:name w:val="Number Level 6"/>
    <w:basedOn w:val="Normal"/>
    <w:uiPriority w:val="1"/>
    <w:semiHidden/>
    <w:rsid w:val="001A3CF9"/>
    <w:pPr>
      <w:numPr>
        <w:ilvl w:val="5"/>
        <w:numId w:val="28"/>
      </w:numPr>
      <w:spacing w:before="280" w:after="140" w:line="280" w:lineRule="atLeast"/>
      <w:jc w:val="left"/>
      <w:outlineLvl w:val="5"/>
    </w:pPr>
    <w:rPr>
      <w:rFonts w:ascii="Arial" w:eastAsia="Times New Roman" w:hAnsi="Arial" w:cs="Arial"/>
      <w:sz w:val="22"/>
      <w:szCs w:val="22"/>
      <w:lang w:eastAsia="en-AU"/>
    </w:rPr>
  </w:style>
  <w:style w:type="paragraph" w:customStyle="1" w:styleId="NumberLevel7">
    <w:name w:val="Number Level 7"/>
    <w:basedOn w:val="Normal"/>
    <w:uiPriority w:val="1"/>
    <w:semiHidden/>
    <w:rsid w:val="001A3CF9"/>
    <w:pPr>
      <w:numPr>
        <w:ilvl w:val="6"/>
        <w:numId w:val="28"/>
      </w:numPr>
      <w:spacing w:before="280" w:after="140" w:line="280" w:lineRule="atLeast"/>
      <w:jc w:val="left"/>
      <w:outlineLvl w:val="6"/>
    </w:pPr>
    <w:rPr>
      <w:rFonts w:ascii="Arial" w:eastAsia="Times New Roman" w:hAnsi="Arial" w:cs="Arial"/>
      <w:sz w:val="22"/>
      <w:szCs w:val="22"/>
      <w:lang w:eastAsia="en-AU"/>
    </w:rPr>
  </w:style>
  <w:style w:type="paragraph" w:customStyle="1" w:styleId="NumberLevel8">
    <w:name w:val="Number Level 8"/>
    <w:basedOn w:val="Normal"/>
    <w:uiPriority w:val="1"/>
    <w:semiHidden/>
    <w:rsid w:val="001A3CF9"/>
    <w:pPr>
      <w:numPr>
        <w:ilvl w:val="7"/>
        <w:numId w:val="28"/>
      </w:numPr>
      <w:spacing w:before="280" w:after="140" w:line="280" w:lineRule="atLeast"/>
      <w:jc w:val="left"/>
      <w:outlineLvl w:val="7"/>
    </w:pPr>
    <w:rPr>
      <w:rFonts w:ascii="Arial" w:eastAsia="Times New Roman" w:hAnsi="Arial" w:cs="Arial"/>
      <w:sz w:val="22"/>
      <w:szCs w:val="22"/>
      <w:lang w:eastAsia="en-AU"/>
    </w:rPr>
  </w:style>
  <w:style w:type="paragraph" w:customStyle="1" w:styleId="NumberLevel9">
    <w:name w:val="Number Level 9"/>
    <w:basedOn w:val="Normal"/>
    <w:uiPriority w:val="1"/>
    <w:semiHidden/>
    <w:rsid w:val="001A3CF9"/>
    <w:pPr>
      <w:numPr>
        <w:ilvl w:val="8"/>
        <w:numId w:val="28"/>
      </w:numPr>
      <w:spacing w:before="280" w:after="140" w:line="280" w:lineRule="atLeast"/>
      <w:jc w:val="left"/>
      <w:outlineLvl w:val="8"/>
    </w:pPr>
    <w:rPr>
      <w:rFonts w:ascii="Arial" w:eastAsia="Times New Roman" w:hAnsi="Arial" w:cs="Arial"/>
      <w:sz w:val="22"/>
      <w:szCs w:val="22"/>
      <w:lang w:eastAsia="en-AU"/>
    </w:rPr>
  </w:style>
  <w:style w:type="paragraph" w:customStyle="1" w:styleId="Default">
    <w:name w:val="Default"/>
    <w:rsid w:val="009759EE"/>
    <w:pPr>
      <w:autoSpaceDE w:val="0"/>
      <w:autoSpaceDN w:val="0"/>
      <w:adjustRightInd w:val="0"/>
    </w:pPr>
    <w:rPr>
      <w:color w:val="000000"/>
      <w:sz w:val="24"/>
      <w:szCs w:val="24"/>
    </w:rPr>
  </w:style>
  <w:style w:type="paragraph" w:styleId="Revision">
    <w:name w:val="Revision"/>
    <w:hidden/>
    <w:uiPriority w:val="99"/>
    <w:semiHidden/>
    <w:rsid w:val="00C35A7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19434">
      <w:bodyDiv w:val="1"/>
      <w:marLeft w:val="0"/>
      <w:marRight w:val="0"/>
      <w:marTop w:val="0"/>
      <w:marBottom w:val="0"/>
      <w:divBdr>
        <w:top w:val="none" w:sz="0" w:space="0" w:color="auto"/>
        <w:left w:val="none" w:sz="0" w:space="0" w:color="auto"/>
        <w:bottom w:val="none" w:sz="0" w:space="0" w:color="auto"/>
        <w:right w:val="none" w:sz="0" w:space="0" w:color="auto"/>
      </w:divBdr>
    </w:div>
    <w:div w:id="766732122">
      <w:bodyDiv w:val="1"/>
      <w:marLeft w:val="0"/>
      <w:marRight w:val="0"/>
      <w:marTop w:val="0"/>
      <w:marBottom w:val="0"/>
      <w:divBdr>
        <w:top w:val="none" w:sz="0" w:space="0" w:color="auto"/>
        <w:left w:val="none" w:sz="0" w:space="0" w:color="auto"/>
        <w:bottom w:val="none" w:sz="0" w:space="0" w:color="auto"/>
        <w:right w:val="none" w:sz="0" w:space="0" w:color="auto"/>
      </w:divBdr>
    </w:div>
    <w:div w:id="790898513">
      <w:bodyDiv w:val="1"/>
      <w:marLeft w:val="0"/>
      <w:marRight w:val="0"/>
      <w:marTop w:val="0"/>
      <w:marBottom w:val="0"/>
      <w:divBdr>
        <w:top w:val="none" w:sz="0" w:space="0" w:color="auto"/>
        <w:left w:val="none" w:sz="0" w:space="0" w:color="auto"/>
        <w:bottom w:val="none" w:sz="0" w:space="0" w:color="auto"/>
        <w:right w:val="none" w:sz="0" w:space="0" w:color="auto"/>
      </w:divBdr>
    </w:div>
    <w:div w:id="1393045938">
      <w:bodyDiv w:val="1"/>
      <w:marLeft w:val="0"/>
      <w:marRight w:val="0"/>
      <w:marTop w:val="0"/>
      <w:marBottom w:val="0"/>
      <w:divBdr>
        <w:top w:val="none" w:sz="0" w:space="0" w:color="auto"/>
        <w:left w:val="none" w:sz="0" w:space="0" w:color="auto"/>
        <w:bottom w:val="none" w:sz="0" w:space="0" w:color="auto"/>
        <w:right w:val="none" w:sz="0" w:space="0" w:color="auto"/>
      </w:divBdr>
    </w:div>
    <w:div w:id="1519738877">
      <w:bodyDiv w:val="1"/>
      <w:marLeft w:val="0"/>
      <w:marRight w:val="0"/>
      <w:marTop w:val="0"/>
      <w:marBottom w:val="0"/>
      <w:divBdr>
        <w:top w:val="none" w:sz="0" w:space="0" w:color="auto"/>
        <w:left w:val="none" w:sz="0" w:space="0" w:color="auto"/>
        <w:bottom w:val="none" w:sz="0" w:space="0" w:color="auto"/>
        <w:right w:val="none" w:sz="0" w:space="0" w:color="auto"/>
      </w:divBdr>
    </w:div>
    <w:div w:id="16002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781C-E568-4A76-A995-A9544607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64</Pages>
  <Words>25629</Words>
  <Characters>133813</Characters>
  <Application>Microsoft Office Word</Application>
  <DocSecurity>4</DocSecurity>
  <Lines>2389</Lines>
  <Paragraphs>852</Paragraphs>
  <ScaleCrop>false</ScaleCrop>
  <HeadingPairs>
    <vt:vector size="2" baseType="variant">
      <vt:variant>
        <vt:lpstr>Title</vt:lpstr>
      </vt:variant>
      <vt:variant>
        <vt:i4>1</vt:i4>
      </vt:variant>
    </vt:vector>
  </HeadingPairs>
  <TitlesOfParts>
    <vt:vector size="1" baseType="lpstr">
      <vt:lpstr>Australian Information Commissioner v Facebook Inc (No 2) [2020] FCA 1307</vt:lpstr>
    </vt:vector>
  </TitlesOfParts>
  <Company>Federal Court of Australia</Company>
  <LinksUpToDate>false</LinksUpToDate>
  <CharactersWithSpaces>158590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Information Commissioner v Facebook Inc (No 2) [2020] FCA 1307</dc:title>
  <dc:creator>Justice Thawley  (FCA)</dc:creator>
  <cp:lastModifiedBy>Amy Chan</cp:lastModifiedBy>
  <cp:revision>2</cp:revision>
  <cp:lastPrinted>2020-09-15T05:26:00Z</cp:lastPrinted>
  <dcterms:created xsi:type="dcterms:W3CDTF">2020-09-15T05:33:00Z</dcterms:created>
  <dcterms:modified xsi:type="dcterms:W3CDTF">2020-09-15T05:33:00Z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THAWLEY J</vt:lpwstr>
  </property>
  <property fmtid="{D5CDD505-2E9C-101B-9397-08002B2CF9AE}" pid="4" name="Judgment_dated" linkTarget="Judgment_dated">
    <vt:lpwstr>14 September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