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E417" w14:textId="5119EF10" w:rsidR="00395B24" w:rsidRDefault="00407FD7" w:rsidP="00A22932">
      <w:pPr>
        <w:pStyle w:val="CourtTitle"/>
      </w:pPr>
      <w:r>
        <w:fldChar w:fldCharType="begin" w:fldLock="1"/>
      </w:r>
      <w:r>
        <w:instrText xml:space="preserve"> DOCPROPERTY  Court  \* MERGEFORMAT </w:instrText>
      </w:r>
      <w:r>
        <w:fldChar w:fldCharType="separate"/>
      </w:r>
      <w:r w:rsidR="00CB07C3">
        <w:t>Federal Court of Australia</w:t>
      </w:r>
      <w:r>
        <w:fldChar w:fldCharType="end"/>
      </w:r>
    </w:p>
    <w:p w14:paraId="18980C1E" w14:textId="77777777" w:rsidR="00395B24" w:rsidRDefault="00395B24">
      <w:pPr>
        <w:pStyle w:val="NormalHeadings"/>
        <w:jc w:val="center"/>
        <w:rPr>
          <w:sz w:val="32"/>
        </w:rPr>
      </w:pPr>
    </w:p>
    <w:bookmarkStart w:id="0" w:name="MNC"/>
    <w:p w14:paraId="1C15927F" w14:textId="7751FF45" w:rsidR="00374CC4" w:rsidRDefault="00827F0D" w:rsidP="001A2B40">
      <w:pPr>
        <w:pStyle w:val="MNC"/>
      </w:pPr>
      <w:sdt>
        <w:sdtPr>
          <w:alias w:val="MNC"/>
          <w:tag w:val="MNC"/>
          <w:id w:val="343289786"/>
          <w:lock w:val="sdtLocked"/>
          <w:placeholder>
            <w:docPart w:val="EE50ABEE550742AC929FD8BAECFE8A54"/>
          </w:placeholder>
          <w:dataBinding w:prefixMappings="xmlns:ns0='http://schemas.globalmacros.com/FCA'" w:xpath="/ns0:root[1]/ns0:Name[1]" w:storeItemID="{687E7CCB-4AA5-44E7-B148-17BA2B6F57C0}"/>
          <w:text w:multiLine="1"/>
        </w:sdtPr>
        <w:sdtEndPr/>
        <w:sdtContent>
          <w:r w:rsidR="00B80B7D">
            <w:t xml:space="preserve">Coles Supply Chain Pty Ltd v Milford [2020] FCAFC </w:t>
          </w:r>
          <w:r w:rsidR="002132B8">
            <w:t>152</w:t>
          </w:r>
          <w:r w:rsidR="003139C8">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48593EA1" w14:textId="77777777" w:rsidTr="00CB07C3">
        <w:tc>
          <w:tcPr>
            <w:tcW w:w="3083" w:type="dxa"/>
            <w:shd w:val="clear" w:color="auto" w:fill="auto"/>
          </w:tcPr>
          <w:p w14:paraId="02A1E370" w14:textId="77777777" w:rsidR="00395B24" w:rsidRDefault="00B80B7D" w:rsidP="002539B3">
            <w:pPr>
              <w:pStyle w:val="Normal1linespace"/>
              <w:widowControl w:val="0"/>
              <w:spacing w:after="60"/>
              <w:jc w:val="left"/>
            </w:pPr>
            <w:bookmarkStart w:id="1" w:name="AppealFrom_row" w:colFirst="0" w:colLast="1"/>
            <w:r>
              <w:t>Review of</w:t>
            </w:r>
            <w:r w:rsidR="002C7385">
              <w:t>:</w:t>
            </w:r>
          </w:p>
        </w:tc>
        <w:tc>
          <w:tcPr>
            <w:tcW w:w="5990" w:type="dxa"/>
            <w:shd w:val="clear" w:color="auto" w:fill="auto"/>
          </w:tcPr>
          <w:p w14:paraId="179EF63D" w14:textId="7EAF16D5" w:rsidR="00395B24" w:rsidRDefault="00B80B7D" w:rsidP="002539B3">
            <w:pPr>
              <w:pStyle w:val="CasesLegislationAppealFrom"/>
              <w:spacing w:after="60"/>
            </w:pPr>
            <w:r>
              <w:t>Application for Judicial Review:</w:t>
            </w:r>
            <w:r w:rsidR="00D51574">
              <w:t xml:space="preserve"> </w:t>
            </w:r>
            <w:r w:rsidR="003139C8">
              <w:t xml:space="preserve"> </w:t>
            </w:r>
            <w:fldSimple w:instr=" DOCPROPERTY  AppealFrom  \* MERGEFORMAT " w:fldLock="1">
              <w:r w:rsidR="00CB07C3" w:rsidRPr="00CB07C3">
                <w:rPr>
                  <w:i/>
                </w:rPr>
                <w:t>Cameron Milford v Coles Supply Chain Pty</w:t>
              </w:r>
              <w:r w:rsidR="00CB07C3">
                <w:t xml:space="preserve"> Ltd [2019] FWCFB 7658</w:t>
              </w:r>
            </w:fldSimple>
          </w:p>
        </w:tc>
      </w:tr>
      <w:tr w:rsidR="00395B24" w14:paraId="1562348D" w14:textId="77777777" w:rsidTr="00CB07C3">
        <w:tc>
          <w:tcPr>
            <w:tcW w:w="3083" w:type="dxa"/>
            <w:shd w:val="clear" w:color="auto" w:fill="auto"/>
          </w:tcPr>
          <w:p w14:paraId="22C4875F" w14:textId="77777777" w:rsidR="00395B24" w:rsidRDefault="00395B24" w:rsidP="00663878">
            <w:pPr>
              <w:pStyle w:val="Normal1linespace"/>
              <w:widowControl w:val="0"/>
              <w:jc w:val="left"/>
            </w:pPr>
          </w:p>
        </w:tc>
        <w:tc>
          <w:tcPr>
            <w:tcW w:w="5990" w:type="dxa"/>
            <w:shd w:val="clear" w:color="auto" w:fill="auto"/>
          </w:tcPr>
          <w:p w14:paraId="688A1C07" w14:textId="77777777" w:rsidR="00395B24" w:rsidRDefault="00395B24" w:rsidP="00663878">
            <w:pPr>
              <w:pStyle w:val="Normal1linespace"/>
              <w:widowControl w:val="0"/>
              <w:jc w:val="left"/>
            </w:pPr>
          </w:p>
        </w:tc>
      </w:tr>
      <w:bookmarkEnd w:id="1"/>
      <w:tr w:rsidR="00395B24" w14:paraId="7E29040C" w14:textId="77777777" w:rsidTr="00CB07C3">
        <w:tc>
          <w:tcPr>
            <w:tcW w:w="3083" w:type="dxa"/>
            <w:shd w:val="clear" w:color="auto" w:fill="auto"/>
          </w:tcPr>
          <w:p w14:paraId="7386D04C" w14:textId="77777777" w:rsidR="00395B24" w:rsidRDefault="00B80B7D" w:rsidP="00663878">
            <w:pPr>
              <w:pStyle w:val="Normal1linespace"/>
              <w:widowControl w:val="0"/>
              <w:jc w:val="left"/>
            </w:pPr>
            <w:r>
              <w:t>File number</w:t>
            </w:r>
            <w:r w:rsidR="002C7385">
              <w:t>:</w:t>
            </w:r>
          </w:p>
        </w:tc>
        <w:tc>
          <w:tcPr>
            <w:tcW w:w="5990" w:type="dxa"/>
            <w:shd w:val="clear" w:color="auto" w:fill="auto"/>
          </w:tcPr>
          <w:p w14:paraId="15F1F3F7" w14:textId="4FEDCE78" w:rsidR="00395B24" w:rsidRPr="00CB07C3" w:rsidRDefault="00D009BE" w:rsidP="00CB07C3">
            <w:pPr>
              <w:pStyle w:val="Normal1linespace"/>
              <w:jc w:val="left"/>
            </w:pPr>
            <w:fldSimple w:instr=" REF  FileNo  \* MERGEFORMAT " w:fldLock="1">
              <w:r w:rsidR="00CB07C3" w:rsidRPr="00CB07C3">
                <w:t>QUD 793 of 2019</w:t>
              </w:r>
            </w:fldSimple>
          </w:p>
        </w:tc>
      </w:tr>
      <w:tr w:rsidR="00395B24" w14:paraId="56830A73" w14:textId="77777777" w:rsidTr="00CB07C3">
        <w:tc>
          <w:tcPr>
            <w:tcW w:w="3083" w:type="dxa"/>
            <w:shd w:val="clear" w:color="auto" w:fill="auto"/>
          </w:tcPr>
          <w:p w14:paraId="068D3ED8" w14:textId="77777777" w:rsidR="00395B24" w:rsidRDefault="00395B24" w:rsidP="00663878">
            <w:pPr>
              <w:pStyle w:val="Normal1linespace"/>
              <w:widowControl w:val="0"/>
              <w:jc w:val="left"/>
            </w:pPr>
          </w:p>
        </w:tc>
        <w:tc>
          <w:tcPr>
            <w:tcW w:w="5990" w:type="dxa"/>
            <w:shd w:val="clear" w:color="auto" w:fill="auto"/>
          </w:tcPr>
          <w:p w14:paraId="73B088F5" w14:textId="77777777" w:rsidR="00395B24" w:rsidRDefault="00395B24" w:rsidP="00663878">
            <w:pPr>
              <w:pStyle w:val="Normal1linespace"/>
              <w:widowControl w:val="0"/>
              <w:jc w:val="left"/>
            </w:pPr>
          </w:p>
        </w:tc>
      </w:tr>
      <w:tr w:rsidR="00395B24" w14:paraId="76C74B66" w14:textId="77777777" w:rsidTr="00CB07C3">
        <w:tc>
          <w:tcPr>
            <w:tcW w:w="3083" w:type="dxa"/>
            <w:shd w:val="clear" w:color="auto" w:fill="auto"/>
          </w:tcPr>
          <w:p w14:paraId="7C34C9E5"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10325A85" w14:textId="7454301F" w:rsidR="00395B24" w:rsidRDefault="002C7385" w:rsidP="00663878">
            <w:pPr>
              <w:pStyle w:val="Normal1linespace"/>
              <w:widowControl w:val="0"/>
              <w:jc w:val="left"/>
              <w:rPr>
                <w:b/>
              </w:rPr>
            </w:pPr>
            <w:r w:rsidRPr="00CB07C3">
              <w:rPr>
                <w:b/>
              </w:rPr>
              <w:fldChar w:fldCharType="begin" w:fldLock="1"/>
            </w:r>
            <w:r w:rsidRPr="00CB07C3">
              <w:rPr>
                <w:b/>
              </w:rPr>
              <w:instrText xml:space="preserve"> REF  Judge  \* MERGEFORMAT </w:instrText>
            </w:r>
            <w:r w:rsidRPr="00CB07C3">
              <w:rPr>
                <w:b/>
              </w:rPr>
              <w:fldChar w:fldCharType="separate"/>
            </w:r>
            <w:r w:rsidR="00CB07C3" w:rsidRPr="00CB07C3">
              <w:rPr>
                <w:b/>
                <w:caps/>
                <w:szCs w:val="24"/>
              </w:rPr>
              <w:t>RARES, COLLIER AND CHARLESWORTH JJ</w:t>
            </w:r>
            <w:r w:rsidRPr="00CB07C3">
              <w:rPr>
                <w:b/>
              </w:rPr>
              <w:fldChar w:fldCharType="end"/>
            </w:r>
          </w:p>
        </w:tc>
      </w:tr>
      <w:tr w:rsidR="00395B24" w14:paraId="047C1F9A" w14:textId="77777777" w:rsidTr="00CB07C3">
        <w:tc>
          <w:tcPr>
            <w:tcW w:w="3083" w:type="dxa"/>
            <w:shd w:val="clear" w:color="auto" w:fill="auto"/>
          </w:tcPr>
          <w:p w14:paraId="56A472E7" w14:textId="77777777" w:rsidR="00395B24" w:rsidRDefault="00395B24" w:rsidP="00663878">
            <w:pPr>
              <w:pStyle w:val="Normal1linespace"/>
              <w:widowControl w:val="0"/>
              <w:jc w:val="left"/>
            </w:pPr>
          </w:p>
        </w:tc>
        <w:tc>
          <w:tcPr>
            <w:tcW w:w="5990" w:type="dxa"/>
            <w:shd w:val="clear" w:color="auto" w:fill="auto"/>
          </w:tcPr>
          <w:p w14:paraId="7DD8E2A7" w14:textId="77777777" w:rsidR="00395B24" w:rsidRDefault="00395B24" w:rsidP="00663878">
            <w:pPr>
              <w:pStyle w:val="Normal1linespace"/>
              <w:widowControl w:val="0"/>
              <w:jc w:val="left"/>
            </w:pPr>
          </w:p>
        </w:tc>
      </w:tr>
      <w:tr w:rsidR="00395B24" w14:paraId="1690984B" w14:textId="77777777" w:rsidTr="00CB07C3">
        <w:tc>
          <w:tcPr>
            <w:tcW w:w="3083" w:type="dxa"/>
            <w:shd w:val="clear" w:color="auto" w:fill="auto"/>
          </w:tcPr>
          <w:p w14:paraId="28D4FF09" w14:textId="77777777" w:rsidR="00395B24" w:rsidRDefault="002C7385" w:rsidP="00663878">
            <w:pPr>
              <w:pStyle w:val="Normal1linespace"/>
              <w:widowControl w:val="0"/>
              <w:jc w:val="left"/>
            </w:pPr>
            <w:r>
              <w:t>Date of judgment:</w:t>
            </w:r>
          </w:p>
        </w:tc>
        <w:tc>
          <w:tcPr>
            <w:tcW w:w="5990" w:type="dxa"/>
            <w:shd w:val="clear" w:color="auto" w:fill="auto"/>
          </w:tcPr>
          <w:p w14:paraId="0E48B691" w14:textId="5301EE59" w:rsidR="00395B24" w:rsidRDefault="00CB07C3" w:rsidP="00663878">
            <w:pPr>
              <w:pStyle w:val="Normal1linespace"/>
              <w:widowControl w:val="0"/>
              <w:jc w:val="left"/>
            </w:pPr>
            <w:bookmarkStart w:id="2" w:name="JudgmentDate"/>
            <w:r>
              <w:t>11 September 2020</w:t>
            </w:r>
            <w:bookmarkEnd w:id="2"/>
          </w:p>
        </w:tc>
      </w:tr>
      <w:tr w:rsidR="00395B24" w14:paraId="22EE3136" w14:textId="77777777" w:rsidTr="00CB07C3">
        <w:tc>
          <w:tcPr>
            <w:tcW w:w="3083" w:type="dxa"/>
            <w:shd w:val="clear" w:color="auto" w:fill="auto"/>
          </w:tcPr>
          <w:p w14:paraId="442F30E4" w14:textId="77777777" w:rsidR="00395B24" w:rsidRDefault="00395B24" w:rsidP="00663878">
            <w:pPr>
              <w:pStyle w:val="Normal1linespace"/>
              <w:widowControl w:val="0"/>
              <w:jc w:val="left"/>
            </w:pPr>
          </w:p>
        </w:tc>
        <w:tc>
          <w:tcPr>
            <w:tcW w:w="5990" w:type="dxa"/>
            <w:shd w:val="clear" w:color="auto" w:fill="auto"/>
          </w:tcPr>
          <w:p w14:paraId="617364C8" w14:textId="77777777" w:rsidR="00395B24" w:rsidRDefault="00395B24" w:rsidP="00663878">
            <w:pPr>
              <w:pStyle w:val="Normal1linespace"/>
              <w:widowControl w:val="0"/>
              <w:jc w:val="left"/>
            </w:pPr>
          </w:p>
        </w:tc>
      </w:tr>
      <w:tr w:rsidR="00395B24" w14:paraId="19350114" w14:textId="77777777" w:rsidTr="00CB07C3">
        <w:tc>
          <w:tcPr>
            <w:tcW w:w="3083" w:type="dxa"/>
            <w:shd w:val="clear" w:color="auto" w:fill="auto"/>
          </w:tcPr>
          <w:p w14:paraId="26E2B551" w14:textId="77777777" w:rsidR="00395B24" w:rsidRDefault="002C7385" w:rsidP="00663878">
            <w:pPr>
              <w:pStyle w:val="Normal1linespace"/>
              <w:widowControl w:val="0"/>
              <w:jc w:val="left"/>
            </w:pPr>
            <w:r>
              <w:t>Catchwords:</w:t>
            </w:r>
          </w:p>
        </w:tc>
        <w:tc>
          <w:tcPr>
            <w:tcW w:w="5990" w:type="dxa"/>
            <w:shd w:val="clear" w:color="auto" w:fill="auto"/>
          </w:tcPr>
          <w:p w14:paraId="6252AFF4" w14:textId="329D5208" w:rsidR="00395B24" w:rsidRPr="004562A9" w:rsidRDefault="004562A9" w:rsidP="006842DA">
            <w:pPr>
              <w:pStyle w:val="Normal1linespace"/>
              <w:widowControl w:val="0"/>
              <w:jc w:val="left"/>
            </w:pPr>
            <w:r w:rsidRPr="006842DA">
              <w:rPr>
                <w:b/>
              </w:rPr>
              <w:t>INDUSTRIAL LAW</w:t>
            </w:r>
            <w:r w:rsidR="009D5404">
              <w:t xml:space="preserve"> – application for judicial review of decision of the Fair Work Commission con</w:t>
            </w:r>
            <w:r>
              <w:t>stituted by</w:t>
            </w:r>
            <w:r w:rsidR="009D5404">
              <w:t xml:space="preserve"> a Full Bench</w:t>
            </w:r>
            <w:r>
              <w:t xml:space="preserve"> – Full Bench allowing an appeal from a decision refusing an extension of time to </w:t>
            </w:r>
            <w:r w:rsidR="006842DA">
              <w:t>commence an application under s </w:t>
            </w:r>
            <w:r>
              <w:t xml:space="preserve">365 of the </w:t>
            </w:r>
            <w:r>
              <w:rPr>
                <w:i/>
              </w:rPr>
              <w:t xml:space="preserve">Fair Work Act 2009 </w:t>
            </w:r>
            <w:r>
              <w:t>(</w:t>
            </w:r>
            <w:proofErr w:type="spellStart"/>
            <w:r>
              <w:t>Cth</w:t>
            </w:r>
            <w:proofErr w:type="spellEnd"/>
            <w:r>
              <w:t>) – Full Bench concluding that the Fair Work Commission had no power to determine whether an applicant under</w:t>
            </w:r>
            <w:r w:rsidR="006842DA">
              <w:t xml:space="preserve"> s </w:t>
            </w:r>
            <w:r>
              <w:t>365 of the Act had been dismissed in fact – Full Bench concluding that the date of dismissal must be assumed to be the date dismissal was alleged to</w:t>
            </w:r>
            <w:r w:rsidR="006842DA">
              <w:t xml:space="preserve"> have occurred by the applicant – w</w:t>
            </w:r>
            <w:r>
              <w:t xml:space="preserve">hether Full Bench misconstrued provisions of the Fair Work Act defining the jurisdiction of the Fair Work Commission in relation to a general protections </w:t>
            </w:r>
            <w:r w:rsidR="006842DA">
              <w:t>application involving dismissal</w:t>
            </w:r>
          </w:p>
        </w:tc>
      </w:tr>
      <w:tr w:rsidR="00395B24" w14:paraId="08EE50BD" w14:textId="77777777" w:rsidTr="00CB07C3">
        <w:tc>
          <w:tcPr>
            <w:tcW w:w="3083" w:type="dxa"/>
            <w:shd w:val="clear" w:color="auto" w:fill="auto"/>
          </w:tcPr>
          <w:p w14:paraId="21772326" w14:textId="77777777" w:rsidR="00395B24" w:rsidRDefault="00395B24" w:rsidP="00663878">
            <w:pPr>
              <w:pStyle w:val="Normal1linespace"/>
              <w:widowControl w:val="0"/>
              <w:jc w:val="left"/>
            </w:pPr>
          </w:p>
        </w:tc>
        <w:tc>
          <w:tcPr>
            <w:tcW w:w="5990" w:type="dxa"/>
            <w:shd w:val="clear" w:color="auto" w:fill="auto"/>
          </w:tcPr>
          <w:p w14:paraId="728C3C32" w14:textId="77777777" w:rsidR="00395B24" w:rsidRDefault="00395B24" w:rsidP="00663878">
            <w:pPr>
              <w:pStyle w:val="Normal1linespace"/>
              <w:widowControl w:val="0"/>
              <w:jc w:val="left"/>
            </w:pPr>
          </w:p>
        </w:tc>
      </w:tr>
      <w:tr w:rsidR="00395B24" w14:paraId="78BEC0AB" w14:textId="77777777" w:rsidTr="00CB07C3">
        <w:tc>
          <w:tcPr>
            <w:tcW w:w="3083" w:type="dxa"/>
            <w:shd w:val="clear" w:color="auto" w:fill="auto"/>
          </w:tcPr>
          <w:p w14:paraId="399C1ED4" w14:textId="77777777" w:rsidR="00395B24" w:rsidRDefault="002C7385" w:rsidP="00663878">
            <w:pPr>
              <w:pStyle w:val="Normal1linespace"/>
              <w:widowControl w:val="0"/>
              <w:jc w:val="left"/>
            </w:pPr>
            <w:r>
              <w:t>Legislation:</w:t>
            </w:r>
          </w:p>
        </w:tc>
        <w:tc>
          <w:tcPr>
            <w:tcW w:w="5990" w:type="dxa"/>
            <w:shd w:val="clear" w:color="auto" w:fill="auto"/>
          </w:tcPr>
          <w:p w14:paraId="40BBCCA7" w14:textId="77777777" w:rsidR="004027C1" w:rsidRDefault="004027C1" w:rsidP="004027C1">
            <w:pPr>
              <w:pStyle w:val="CasesLegislationAppealFrom"/>
              <w:spacing w:after="60"/>
            </w:pPr>
            <w:r w:rsidRPr="004027C1">
              <w:rPr>
                <w:i/>
              </w:rPr>
              <w:t>Acts Interpretation Act 1901</w:t>
            </w:r>
            <w:r>
              <w:t xml:space="preserve"> (</w:t>
            </w:r>
            <w:proofErr w:type="spellStart"/>
            <w:r>
              <w:t>Cth</w:t>
            </w:r>
            <w:proofErr w:type="spellEnd"/>
            <w:r>
              <w:t>) s 15AA</w:t>
            </w:r>
          </w:p>
          <w:p w14:paraId="7FA6E6D9" w14:textId="4976B5E2" w:rsidR="004027C1" w:rsidRDefault="004027C1" w:rsidP="004027C1">
            <w:pPr>
              <w:pStyle w:val="CasesLegislationAppealFrom"/>
              <w:spacing w:after="60"/>
            </w:pPr>
            <w:r w:rsidRPr="004027C1">
              <w:rPr>
                <w:i/>
              </w:rPr>
              <w:t>Fair Work Act 2009</w:t>
            </w:r>
            <w:r>
              <w:t xml:space="preserve"> (</w:t>
            </w:r>
            <w:proofErr w:type="spellStart"/>
            <w:r>
              <w:t>Cth</w:t>
            </w:r>
            <w:proofErr w:type="spellEnd"/>
            <w:r>
              <w:t xml:space="preserve">) </w:t>
            </w:r>
            <w:proofErr w:type="spellStart"/>
            <w:r>
              <w:t>ss</w:t>
            </w:r>
            <w:proofErr w:type="spellEnd"/>
            <w:r>
              <w:t xml:space="preserve"> 12, </w:t>
            </w:r>
            <w:r w:rsidR="00712E6F" w:rsidRPr="00712E6F">
              <w:t>40A</w:t>
            </w:r>
            <w:r w:rsidR="00712E6F">
              <w:t>,</w:t>
            </w:r>
            <w:r w:rsidR="00712E6F" w:rsidRPr="00712E6F">
              <w:t xml:space="preserve"> </w:t>
            </w:r>
            <w:r>
              <w:t xml:space="preserve">340, 342, 365, 366, 368, 369, 370, 371, </w:t>
            </w:r>
            <w:r w:rsidR="004F6F99">
              <w:t xml:space="preserve">374, </w:t>
            </w:r>
            <w:r>
              <w:t>386, 390, 394, 396, 399, 405, 539, 562, 585, 587, 590, 592, 593, 604, 609, 613, 725</w:t>
            </w:r>
          </w:p>
          <w:p w14:paraId="40F31E46" w14:textId="54EE5954" w:rsidR="004027C1" w:rsidRDefault="004027C1" w:rsidP="004027C1">
            <w:pPr>
              <w:pStyle w:val="CasesLegislationAppealFrom"/>
              <w:spacing w:after="60"/>
            </w:pPr>
            <w:r w:rsidRPr="004027C1">
              <w:rPr>
                <w:i/>
              </w:rPr>
              <w:t>Federal Court of Australia Act 1976</w:t>
            </w:r>
            <w:r>
              <w:t xml:space="preserve"> (</w:t>
            </w:r>
            <w:proofErr w:type="spellStart"/>
            <w:r>
              <w:t>Cth</w:t>
            </w:r>
            <w:proofErr w:type="spellEnd"/>
            <w:r>
              <w:t xml:space="preserve">) </w:t>
            </w:r>
            <w:proofErr w:type="spellStart"/>
            <w:r>
              <w:t>ss</w:t>
            </w:r>
            <w:proofErr w:type="spellEnd"/>
            <w:r>
              <w:t xml:space="preserve"> 20, 21</w:t>
            </w:r>
          </w:p>
          <w:p w14:paraId="3EABFEDF" w14:textId="032454FD" w:rsidR="00395B24" w:rsidRDefault="004027C1" w:rsidP="004027C1">
            <w:pPr>
              <w:pStyle w:val="CasesLegislationAppealFrom"/>
              <w:spacing w:after="60"/>
            </w:pPr>
            <w:r w:rsidRPr="004027C1">
              <w:rPr>
                <w:i/>
              </w:rPr>
              <w:t>Judiciary Act 1903</w:t>
            </w:r>
            <w:r>
              <w:t xml:space="preserve"> (</w:t>
            </w:r>
            <w:proofErr w:type="spellStart"/>
            <w:r>
              <w:t>Cth</w:t>
            </w:r>
            <w:proofErr w:type="spellEnd"/>
            <w:r>
              <w:t xml:space="preserve">) </w:t>
            </w:r>
            <w:r w:rsidR="005D19FA">
              <w:t>s</w:t>
            </w:r>
            <w:r>
              <w:t xml:space="preserve"> 39B</w:t>
            </w:r>
          </w:p>
          <w:p w14:paraId="35577F63" w14:textId="210335B2" w:rsidR="006E5E29" w:rsidRDefault="006E5E29" w:rsidP="004027C1">
            <w:pPr>
              <w:pStyle w:val="CasesLegislationAppealFrom"/>
              <w:spacing w:after="60"/>
            </w:pPr>
            <w:r w:rsidRPr="006E5E29">
              <w:rPr>
                <w:i/>
              </w:rPr>
              <w:t>Migration Act 1958</w:t>
            </w:r>
            <w:r>
              <w:t xml:space="preserve"> (</w:t>
            </w:r>
            <w:proofErr w:type="spellStart"/>
            <w:r>
              <w:t>Cth</w:t>
            </w:r>
            <w:proofErr w:type="spellEnd"/>
            <w:r>
              <w:t>) s 477</w:t>
            </w:r>
          </w:p>
        </w:tc>
      </w:tr>
      <w:tr w:rsidR="00395B24" w14:paraId="103E788F" w14:textId="77777777" w:rsidTr="00CB07C3">
        <w:tc>
          <w:tcPr>
            <w:tcW w:w="3083" w:type="dxa"/>
            <w:shd w:val="clear" w:color="auto" w:fill="auto"/>
          </w:tcPr>
          <w:p w14:paraId="48F259CE" w14:textId="77777777" w:rsidR="00395B24" w:rsidRDefault="00395B24" w:rsidP="00663878">
            <w:pPr>
              <w:pStyle w:val="Normal1linespace"/>
              <w:widowControl w:val="0"/>
              <w:jc w:val="left"/>
            </w:pPr>
          </w:p>
        </w:tc>
        <w:tc>
          <w:tcPr>
            <w:tcW w:w="5990" w:type="dxa"/>
            <w:shd w:val="clear" w:color="auto" w:fill="auto"/>
          </w:tcPr>
          <w:p w14:paraId="146C0D14" w14:textId="77777777" w:rsidR="00395B24" w:rsidRDefault="00395B24" w:rsidP="00663878">
            <w:pPr>
              <w:pStyle w:val="Normal1linespace"/>
              <w:widowControl w:val="0"/>
              <w:jc w:val="left"/>
            </w:pPr>
          </w:p>
        </w:tc>
      </w:tr>
      <w:tr w:rsidR="00395B24" w14:paraId="552558FC" w14:textId="77777777" w:rsidTr="00CB07C3">
        <w:tc>
          <w:tcPr>
            <w:tcW w:w="3083" w:type="dxa"/>
            <w:shd w:val="clear" w:color="auto" w:fill="auto"/>
          </w:tcPr>
          <w:p w14:paraId="47A3B395" w14:textId="77777777" w:rsidR="00395B24" w:rsidRDefault="002C7385" w:rsidP="00663878">
            <w:pPr>
              <w:pStyle w:val="Normal1linespace"/>
              <w:widowControl w:val="0"/>
              <w:jc w:val="left"/>
            </w:pPr>
            <w:r>
              <w:t>Cases cited:</w:t>
            </w:r>
          </w:p>
        </w:tc>
        <w:tc>
          <w:tcPr>
            <w:tcW w:w="5990" w:type="dxa"/>
            <w:shd w:val="clear" w:color="auto" w:fill="auto"/>
          </w:tcPr>
          <w:p w14:paraId="45CF0542" w14:textId="1785812C" w:rsidR="004027C1" w:rsidRDefault="004027C1" w:rsidP="004027C1">
            <w:pPr>
              <w:pStyle w:val="CasesLegislationAppealFrom"/>
              <w:spacing w:after="60"/>
            </w:pPr>
            <w:r w:rsidRPr="004027C1">
              <w:rPr>
                <w:i/>
              </w:rPr>
              <w:t>Alcan (NT) Alumina Pty Ltd v Commissioner of Territory Revenue</w:t>
            </w:r>
            <w:r>
              <w:t xml:space="preserve"> (2009) 239 CLR 27</w:t>
            </w:r>
          </w:p>
          <w:p w14:paraId="320985C0" w14:textId="77777777" w:rsidR="004027C1" w:rsidRDefault="004027C1" w:rsidP="004027C1">
            <w:pPr>
              <w:pStyle w:val="CasesLegislationAppealFrom"/>
              <w:spacing w:after="60"/>
            </w:pPr>
            <w:r w:rsidRPr="004027C1">
              <w:rPr>
                <w:i/>
              </w:rPr>
              <w:t>Australian Securities and Investments Commission v DB Management Pty Ltd</w:t>
            </w:r>
            <w:r>
              <w:t xml:space="preserve"> (2000) 199 CLR 321</w:t>
            </w:r>
          </w:p>
          <w:p w14:paraId="325CE93F" w14:textId="77777777" w:rsidR="004027C1" w:rsidRDefault="004027C1" w:rsidP="004027C1">
            <w:pPr>
              <w:pStyle w:val="CasesLegislationAppealFrom"/>
              <w:spacing w:after="60"/>
            </w:pPr>
            <w:proofErr w:type="spellStart"/>
            <w:r w:rsidRPr="004027C1">
              <w:rPr>
                <w:i/>
              </w:rPr>
              <w:t>Ayub</w:t>
            </w:r>
            <w:proofErr w:type="spellEnd"/>
            <w:r w:rsidRPr="004027C1">
              <w:rPr>
                <w:i/>
              </w:rPr>
              <w:t xml:space="preserve"> v NSW Trains</w:t>
            </w:r>
            <w:r>
              <w:t xml:space="preserve"> [2016] FWCFB 5500</w:t>
            </w:r>
          </w:p>
          <w:p w14:paraId="316CEF34" w14:textId="77777777" w:rsidR="004027C1" w:rsidRDefault="004027C1" w:rsidP="004027C1">
            <w:pPr>
              <w:pStyle w:val="CasesLegislationAppealFrom"/>
              <w:spacing w:after="60"/>
            </w:pPr>
            <w:proofErr w:type="spellStart"/>
            <w:r w:rsidRPr="004027C1">
              <w:rPr>
                <w:i/>
              </w:rPr>
              <w:t>Belan</w:t>
            </w:r>
            <w:proofErr w:type="spellEnd"/>
            <w:r w:rsidRPr="004027C1">
              <w:rPr>
                <w:i/>
              </w:rPr>
              <w:t xml:space="preserve"> v National Union of Workers (NSW Branch)</w:t>
            </w:r>
            <w:r>
              <w:t xml:space="preserve"> (2018) 267 FCR 6</w:t>
            </w:r>
          </w:p>
          <w:p w14:paraId="3B216526" w14:textId="2968D472" w:rsidR="004027C1" w:rsidRDefault="004027C1" w:rsidP="004027C1">
            <w:pPr>
              <w:pStyle w:val="CasesLegislationAppealFrom"/>
              <w:spacing w:after="60"/>
            </w:pPr>
            <w:r w:rsidRPr="004027C1">
              <w:rPr>
                <w:i/>
              </w:rPr>
              <w:t>Brisbane South Regional Health Authority v Taylor</w:t>
            </w:r>
            <w:r>
              <w:t xml:space="preserve"> (1996) 186 CLR 541</w:t>
            </w:r>
          </w:p>
          <w:p w14:paraId="35AAE1F2" w14:textId="77777777" w:rsidR="006842DA" w:rsidRDefault="006842DA" w:rsidP="004027C1">
            <w:pPr>
              <w:pStyle w:val="CasesLegislationAppealFrom"/>
              <w:spacing w:after="60"/>
            </w:pPr>
          </w:p>
          <w:p w14:paraId="0B3232AF" w14:textId="77777777" w:rsidR="004027C1" w:rsidRDefault="004027C1" w:rsidP="004027C1">
            <w:pPr>
              <w:pStyle w:val="CasesLegislationAppealFrom"/>
              <w:spacing w:after="60"/>
            </w:pPr>
            <w:r w:rsidRPr="004027C1">
              <w:rPr>
                <w:i/>
              </w:rPr>
              <w:lastRenderedPageBreak/>
              <w:t>Cameron Milford v Coles Supply Chain Pty Ltd</w:t>
            </w:r>
            <w:r>
              <w:t xml:space="preserve"> [2019] FWCFB 2277</w:t>
            </w:r>
          </w:p>
          <w:p w14:paraId="1FCF08D1" w14:textId="77777777" w:rsidR="004027C1" w:rsidRDefault="004027C1" w:rsidP="004027C1">
            <w:pPr>
              <w:pStyle w:val="CasesLegislationAppealFrom"/>
              <w:spacing w:after="60"/>
            </w:pPr>
            <w:r w:rsidRPr="004027C1">
              <w:rPr>
                <w:i/>
              </w:rPr>
              <w:t>Cameron Milford v Coles Supply Chain Pty Ltd</w:t>
            </w:r>
            <w:r>
              <w:t xml:space="preserve"> [2019] FWCFB 7658</w:t>
            </w:r>
          </w:p>
          <w:p w14:paraId="6491F7F7" w14:textId="77777777" w:rsidR="004027C1" w:rsidRDefault="004027C1" w:rsidP="004027C1">
            <w:pPr>
              <w:pStyle w:val="CasesLegislationAppealFrom"/>
              <w:spacing w:after="60"/>
            </w:pPr>
            <w:r w:rsidRPr="004027C1">
              <w:rPr>
                <w:i/>
              </w:rPr>
              <w:t>Cameron Milford v Coles Supply Chain Pty Ltd T/A Coles Heathwood Distribution Centre</w:t>
            </w:r>
            <w:r>
              <w:t xml:space="preserve"> [2019] FWC 844</w:t>
            </w:r>
          </w:p>
          <w:p w14:paraId="4EE2A7DB" w14:textId="77777777" w:rsidR="004027C1" w:rsidRDefault="004027C1" w:rsidP="004027C1">
            <w:pPr>
              <w:pStyle w:val="CasesLegislationAppealFrom"/>
              <w:spacing w:after="60"/>
            </w:pPr>
            <w:r w:rsidRPr="004027C1">
              <w:rPr>
                <w:i/>
              </w:rPr>
              <w:t>Cameron Milford v Coles Supply Chain Pty Ltd T/A Coles Heathwood Distribution Centre</w:t>
            </w:r>
            <w:r>
              <w:t xml:space="preserve"> [2019] FWC 4892</w:t>
            </w:r>
          </w:p>
          <w:p w14:paraId="684E5054" w14:textId="77777777" w:rsidR="004027C1" w:rsidRDefault="004027C1" w:rsidP="004027C1">
            <w:pPr>
              <w:pStyle w:val="CasesLegislationAppealFrom"/>
              <w:spacing w:after="60"/>
            </w:pPr>
            <w:r w:rsidRPr="004027C1">
              <w:rPr>
                <w:i/>
              </w:rPr>
              <w:t>Chang v Laidley Shire Council</w:t>
            </w:r>
            <w:r>
              <w:t xml:space="preserve"> (2007) 234 CLR 1</w:t>
            </w:r>
          </w:p>
          <w:p w14:paraId="1F6C8334" w14:textId="77777777" w:rsidR="004027C1" w:rsidRDefault="004027C1" w:rsidP="004027C1">
            <w:pPr>
              <w:pStyle w:val="CasesLegislationAppealFrom"/>
              <w:spacing w:after="60"/>
            </w:pPr>
            <w:r w:rsidRPr="004027C1">
              <w:rPr>
                <w:i/>
              </w:rPr>
              <w:t>Cooper Brookes (Wollongong) Pty Ltd v Commissioner of Taxation</w:t>
            </w:r>
            <w:r>
              <w:t xml:space="preserve"> (1981) 147 CLR 297</w:t>
            </w:r>
          </w:p>
          <w:p w14:paraId="20F22FD1" w14:textId="43D120D3" w:rsidR="004027C1" w:rsidRDefault="004027C1" w:rsidP="004027C1">
            <w:pPr>
              <w:pStyle w:val="CasesLegislationAppealFrom"/>
              <w:spacing w:after="60"/>
            </w:pPr>
            <w:r w:rsidRPr="004027C1">
              <w:rPr>
                <w:i/>
              </w:rPr>
              <w:t>Craig v South Australia</w:t>
            </w:r>
            <w:r>
              <w:t xml:space="preserve"> (1995) 184 CLR 163</w:t>
            </w:r>
          </w:p>
          <w:p w14:paraId="48E52561" w14:textId="34857677" w:rsidR="006B0DC5" w:rsidRDefault="006B0DC5" w:rsidP="004027C1">
            <w:pPr>
              <w:pStyle w:val="CasesLegislationAppealFrom"/>
              <w:spacing w:after="60"/>
            </w:pPr>
            <w:r w:rsidRPr="006842DA">
              <w:rPr>
                <w:i/>
              </w:rPr>
              <w:t xml:space="preserve">Forbes v </w:t>
            </w:r>
            <w:proofErr w:type="spellStart"/>
            <w:r w:rsidRPr="006842DA">
              <w:rPr>
                <w:i/>
              </w:rPr>
              <w:t>Petbarn</w:t>
            </w:r>
            <w:proofErr w:type="spellEnd"/>
            <w:r w:rsidRPr="006842DA">
              <w:rPr>
                <w:i/>
              </w:rPr>
              <w:t xml:space="preserve"> Pty Ltd</w:t>
            </w:r>
            <w:r w:rsidRPr="006B0DC5">
              <w:t xml:space="preserve"> [2018] FCA 256</w:t>
            </w:r>
          </w:p>
          <w:p w14:paraId="3B198BB2" w14:textId="28C392A6" w:rsidR="004027C1" w:rsidRDefault="004027C1" w:rsidP="004027C1">
            <w:pPr>
              <w:pStyle w:val="CasesLegislationAppealFrom"/>
              <w:spacing w:after="60"/>
            </w:pPr>
            <w:r w:rsidRPr="004027C1">
              <w:rPr>
                <w:i/>
              </w:rPr>
              <w:t xml:space="preserve">Hewitt v </w:t>
            </w:r>
            <w:proofErr w:type="spellStart"/>
            <w:r w:rsidRPr="004027C1">
              <w:rPr>
                <w:i/>
              </w:rPr>
              <w:t>Topero</w:t>
            </w:r>
            <w:proofErr w:type="spellEnd"/>
            <w:r w:rsidRPr="004027C1">
              <w:rPr>
                <w:i/>
              </w:rPr>
              <w:t xml:space="preserve"> Nominees Pty Ltd</w:t>
            </w:r>
            <w:r>
              <w:t xml:space="preserve"> [2013] FWCFB 6321; 238 IR 42</w:t>
            </w:r>
          </w:p>
          <w:p w14:paraId="71DDA75E" w14:textId="208CEEE6" w:rsidR="000C3C9C" w:rsidRDefault="000C3C9C" w:rsidP="004027C1">
            <w:pPr>
              <w:pStyle w:val="CasesLegislationAppealFrom"/>
              <w:spacing w:after="60"/>
            </w:pPr>
            <w:proofErr w:type="spellStart"/>
            <w:r w:rsidRPr="000C3C9C">
              <w:rPr>
                <w:i/>
              </w:rPr>
              <w:t>Jackamarra</w:t>
            </w:r>
            <w:proofErr w:type="spellEnd"/>
            <w:r w:rsidRPr="000C3C9C">
              <w:rPr>
                <w:i/>
              </w:rPr>
              <w:t xml:space="preserve"> v </w:t>
            </w:r>
            <w:proofErr w:type="spellStart"/>
            <w:r w:rsidRPr="000C3C9C">
              <w:rPr>
                <w:i/>
              </w:rPr>
              <w:t>Krakouer</w:t>
            </w:r>
            <w:proofErr w:type="spellEnd"/>
            <w:r w:rsidRPr="000C3C9C">
              <w:t xml:space="preserve"> (1998) 195 CLR 516</w:t>
            </w:r>
          </w:p>
          <w:p w14:paraId="59B5A72C" w14:textId="048A5396" w:rsidR="000C3C9C" w:rsidRDefault="000C3C9C" w:rsidP="004027C1">
            <w:pPr>
              <w:pStyle w:val="CasesLegislationAppealFrom"/>
              <w:spacing w:after="60"/>
            </w:pPr>
            <w:r w:rsidRPr="000C3C9C">
              <w:rPr>
                <w:i/>
              </w:rPr>
              <w:t>Jess v Scott</w:t>
            </w:r>
            <w:r w:rsidRPr="000C3C9C">
              <w:t xml:space="preserve"> (1986) 12 FCR 187</w:t>
            </w:r>
          </w:p>
          <w:p w14:paraId="5E110700" w14:textId="77777777" w:rsidR="004027C1" w:rsidRDefault="004027C1" w:rsidP="004027C1">
            <w:pPr>
              <w:pStyle w:val="CasesLegislationAppealFrom"/>
              <w:spacing w:after="60"/>
            </w:pPr>
            <w:proofErr w:type="spellStart"/>
            <w:r w:rsidRPr="004027C1">
              <w:rPr>
                <w:i/>
              </w:rPr>
              <w:t>Mihajlovic</w:t>
            </w:r>
            <w:proofErr w:type="spellEnd"/>
            <w:r w:rsidRPr="004027C1">
              <w:rPr>
                <w:i/>
              </w:rPr>
              <w:t xml:space="preserve"> v Lifeline Macarthur</w:t>
            </w:r>
            <w:r>
              <w:t xml:space="preserve"> [2013] FWC 9804</w:t>
            </w:r>
          </w:p>
          <w:p w14:paraId="4E4674F3" w14:textId="290882EF" w:rsidR="004027C1" w:rsidRDefault="004027C1" w:rsidP="004027C1">
            <w:pPr>
              <w:pStyle w:val="CasesLegislationAppealFrom"/>
              <w:spacing w:after="60"/>
            </w:pPr>
            <w:r w:rsidRPr="004027C1">
              <w:rPr>
                <w:i/>
              </w:rPr>
              <w:t>Project Blue Sky v Australian Broadcasting Authority</w:t>
            </w:r>
            <w:r>
              <w:t xml:space="preserve"> (1998) 194 CLR 355</w:t>
            </w:r>
          </w:p>
          <w:p w14:paraId="4693CD5C" w14:textId="28C1D378" w:rsidR="00943D5D" w:rsidRDefault="00943D5D" w:rsidP="004027C1">
            <w:pPr>
              <w:pStyle w:val="CasesLegislationAppealFrom"/>
              <w:spacing w:after="60"/>
            </w:pPr>
            <w:r w:rsidRPr="00943D5D">
              <w:rPr>
                <w:i/>
              </w:rPr>
              <w:t>R v Kirby; Ex parte Boilermakers’ Society of Australia</w:t>
            </w:r>
            <w:r w:rsidRPr="00943D5D">
              <w:t xml:space="preserve"> (1956) 94 CLR 254</w:t>
            </w:r>
          </w:p>
          <w:p w14:paraId="6E2D265B" w14:textId="14A47AA4" w:rsidR="00395B24" w:rsidRDefault="004027C1" w:rsidP="004027C1">
            <w:pPr>
              <w:pStyle w:val="CasesLegislationAppealFrom"/>
              <w:spacing w:after="60"/>
            </w:pPr>
            <w:r w:rsidRPr="004027C1">
              <w:rPr>
                <w:i/>
              </w:rPr>
              <w:t xml:space="preserve">Re Bolton; Ex parte </w:t>
            </w:r>
            <w:proofErr w:type="spellStart"/>
            <w:r w:rsidRPr="004027C1">
              <w:rPr>
                <w:i/>
              </w:rPr>
              <w:t>Beane</w:t>
            </w:r>
            <w:proofErr w:type="spellEnd"/>
            <w:r>
              <w:t xml:space="preserve"> (1987) 162 CLR 514</w:t>
            </w:r>
          </w:p>
        </w:tc>
      </w:tr>
      <w:tr w:rsidR="00B80B7D" w14:paraId="004EB21B" w14:textId="77777777" w:rsidTr="00CB07C3">
        <w:tc>
          <w:tcPr>
            <w:tcW w:w="3083" w:type="dxa"/>
            <w:shd w:val="clear" w:color="auto" w:fill="auto"/>
          </w:tcPr>
          <w:p w14:paraId="14D392FE" w14:textId="77777777" w:rsidR="00B80B7D" w:rsidRDefault="00B80B7D" w:rsidP="008E00B4">
            <w:pPr>
              <w:pStyle w:val="Normal1linespace"/>
              <w:widowControl w:val="0"/>
            </w:pPr>
          </w:p>
        </w:tc>
        <w:tc>
          <w:tcPr>
            <w:tcW w:w="5990" w:type="dxa"/>
            <w:shd w:val="clear" w:color="auto" w:fill="auto"/>
          </w:tcPr>
          <w:p w14:paraId="13BACCC7" w14:textId="77777777" w:rsidR="00B80B7D" w:rsidRDefault="00B80B7D" w:rsidP="008E00B4">
            <w:pPr>
              <w:pStyle w:val="Normal1linespace"/>
              <w:widowControl w:val="0"/>
              <w:jc w:val="left"/>
            </w:pPr>
          </w:p>
        </w:tc>
      </w:tr>
      <w:tr w:rsidR="00B80B7D" w14:paraId="2673A70A" w14:textId="77777777" w:rsidTr="00CB07C3">
        <w:tc>
          <w:tcPr>
            <w:tcW w:w="3083" w:type="dxa"/>
            <w:shd w:val="clear" w:color="auto" w:fill="auto"/>
          </w:tcPr>
          <w:p w14:paraId="6613780B" w14:textId="77777777" w:rsidR="00B80B7D" w:rsidRDefault="00B80B7D" w:rsidP="00501A12">
            <w:pPr>
              <w:pStyle w:val="Normal1linespace"/>
              <w:widowControl w:val="0"/>
            </w:pPr>
            <w:r>
              <w:t>Division:</w:t>
            </w:r>
          </w:p>
        </w:tc>
        <w:tc>
          <w:tcPr>
            <w:tcW w:w="5990" w:type="dxa"/>
            <w:shd w:val="clear" w:color="auto" w:fill="auto"/>
          </w:tcPr>
          <w:p w14:paraId="13F12DB8" w14:textId="66512347" w:rsidR="00B80B7D" w:rsidRPr="00F17599" w:rsidRDefault="00D009BE" w:rsidP="00D009BE">
            <w:pPr>
              <w:pStyle w:val="Normal1linespace"/>
              <w:widowControl w:val="0"/>
              <w:jc w:val="left"/>
            </w:pPr>
            <w:fldSimple w:instr=" DOCPROPERTY  Division " w:fldLock="1">
              <w:r>
                <w:t>Fair Work</w:t>
              </w:r>
              <w:r w:rsidR="00CB07C3">
                <w:t xml:space="preserve"> Division</w:t>
              </w:r>
            </w:fldSimple>
          </w:p>
        </w:tc>
      </w:tr>
      <w:tr w:rsidR="00B80B7D" w14:paraId="6731AD16" w14:textId="77777777" w:rsidTr="00CB07C3">
        <w:tc>
          <w:tcPr>
            <w:tcW w:w="3083" w:type="dxa"/>
            <w:shd w:val="clear" w:color="auto" w:fill="auto"/>
          </w:tcPr>
          <w:p w14:paraId="3DDBF124" w14:textId="77777777" w:rsidR="00B80B7D" w:rsidRDefault="00B80B7D" w:rsidP="00501A12">
            <w:pPr>
              <w:pStyle w:val="Normal1linespace"/>
              <w:widowControl w:val="0"/>
            </w:pPr>
            <w:bookmarkStart w:id="3" w:name="Registry_rows" w:colFirst="0" w:colLast="1"/>
          </w:p>
        </w:tc>
        <w:tc>
          <w:tcPr>
            <w:tcW w:w="5990" w:type="dxa"/>
            <w:shd w:val="clear" w:color="auto" w:fill="auto"/>
          </w:tcPr>
          <w:p w14:paraId="39BEC8FF" w14:textId="77777777" w:rsidR="00B80B7D" w:rsidRDefault="00B80B7D" w:rsidP="00501A12">
            <w:pPr>
              <w:pStyle w:val="Normal1linespace"/>
              <w:widowControl w:val="0"/>
              <w:jc w:val="left"/>
            </w:pPr>
          </w:p>
        </w:tc>
      </w:tr>
      <w:tr w:rsidR="00B80B7D" w14:paraId="0183873E" w14:textId="77777777" w:rsidTr="00CB07C3">
        <w:tc>
          <w:tcPr>
            <w:tcW w:w="3083" w:type="dxa"/>
            <w:shd w:val="clear" w:color="auto" w:fill="auto"/>
          </w:tcPr>
          <w:p w14:paraId="77CA05A6" w14:textId="77777777" w:rsidR="00B80B7D" w:rsidRDefault="00B80B7D" w:rsidP="00501A12">
            <w:pPr>
              <w:pStyle w:val="Normal1linespace"/>
              <w:widowControl w:val="0"/>
            </w:pPr>
            <w:r>
              <w:t>Registry:</w:t>
            </w:r>
          </w:p>
        </w:tc>
        <w:tc>
          <w:tcPr>
            <w:tcW w:w="5990" w:type="dxa"/>
            <w:shd w:val="clear" w:color="auto" w:fill="auto"/>
          </w:tcPr>
          <w:p w14:paraId="1C479749" w14:textId="10B3DCFC" w:rsidR="00B80B7D" w:rsidRPr="00F17599" w:rsidRDefault="00D009BE" w:rsidP="00501A12">
            <w:pPr>
              <w:pStyle w:val="Normal1linespace"/>
              <w:widowControl w:val="0"/>
              <w:jc w:val="left"/>
            </w:pPr>
            <w:fldSimple w:instr=" DOCPROPERTY  Registry " w:fldLock="1">
              <w:r w:rsidR="00CB07C3">
                <w:t>Queensland</w:t>
              </w:r>
            </w:fldSimple>
          </w:p>
        </w:tc>
      </w:tr>
      <w:tr w:rsidR="00B80B7D" w14:paraId="23ED7063" w14:textId="77777777" w:rsidTr="00CB07C3">
        <w:tc>
          <w:tcPr>
            <w:tcW w:w="3083" w:type="dxa"/>
            <w:shd w:val="clear" w:color="auto" w:fill="auto"/>
          </w:tcPr>
          <w:p w14:paraId="2DE80016" w14:textId="77777777" w:rsidR="00B80B7D" w:rsidRDefault="00B80B7D" w:rsidP="00501A12">
            <w:pPr>
              <w:pStyle w:val="Normal1linespace"/>
              <w:widowControl w:val="0"/>
            </w:pPr>
            <w:bookmarkStart w:id="4" w:name="NPARow" w:colFirst="0" w:colLast="1"/>
            <w:bookmarkEnd w:id="3"/>
          </w:p>
        </w:tc>
        <w:tc>
          <w:tcPr>
            <w:tcW w:w="5990" w:type="dxa"/>
            <w:shd w:val="clear" w:color="auto" w:fill="auto"/>
          </w:tcPr>
          <w:p w14:paraId="38580610" w14:textId="77777777" w:rsidR="00B80B7D" w:rsidRPr="00F17599" w:rsidRDefault="00B80B7D" w:rsidP="00501A12">
            <w:pPr>
              <w:pStyle w:val="Normal1linespace"/>
              <w:widowControl w:val="0"/>
              <w:jc w:val="left"/>
              <w:rPr>
                <w:b/>
              </w:rPr>
            </w:pPr>
          </w:p>
        </w:tc>
      </w:tr>
      <w:tr w:rsidR="00B80B7D" w14:paraId="3D5E1251" w14:textId="77777777" w:rsidTr="00CB07C3">
        <w:tc>
          <w:tcPr>
            <w:tcW w:w="3083" w:type="dxa"/>
            <w:shd w:val="clear" w:color="auto" w:fill="auto"/>
          </w:tcPr>
          <w:p w14:paraId="66FD5C94" w14:textId="77777777" w:rsidR="00B80B7D" w:rsidRDefault="00B80B7D" w:rsidP="00501A12">
            <w:pPr>
              <w:pStyle w:val="Normal1linespace"/>
              <w:widowControl w:val="0"/>
            </w:pPr>
            <w:r>
              <w:t>National Practice Area:</w:t>
            </w:r>
          </w:p>
        </w:tc>
        <w:tc>
          <w:tcPr>
            <w:tcW w:w="5990" w:type="dxa"/>
            <w:shd w:val="clear" w:color="auto" w:fill="auto"/>
          </w:tcPr>
          <w:p w14:paraId="20D59912" w14:textId="048B5089" w:rsidR="00B80B7D" w:rsidRPr="00F17599" w:rsidRDefault="00D009BE" w:rsidP="008E00B4">
            <w:pPr>
              <w:pStyle w:val="Normal1linespace"/>
              <w:widowControl w:val="0"/>
              <w:jc w:val="left"/>
              <w:rPr>
                <w:b/>
              </w:rPr>
            </w:pPr>
            <w:fldSimple w:instr=" DOCPROPERTY  &quot;Practice Area&quot;  \* MERGEFORMAT " w:fldLock="1">
              <w:r w:rsidR="00CB07C3">
                <w:t>Employment and Industrial Relations</w:t>
              </w:r>
            </w:fldSimple>
          </w:p>
        </w:tc>
      </w:tr>
      <w:bookmarkEnd w:id="4"/>
      <w:tr w:rsidR="00B80B7D" w14:paraId="0B1FB1BE" w14:textId="77777777" w:rsidTr="00CB07C3">
        <w:tc>
          <w:tcPr>
            <w:tcW w:w="3083" w:type="dxa"/>
            <w:shd w:val="clear" w:color="auto" w:fill="auto"/>
          </w:tcPr>
          <w:p w14:paraId="5CF191E7" w14:textId="77777777" w:rsidR="00B80B7D" w:rsidRDefault="00B80B7D" w:rsidP="00501A12">
            <w:pPr>
              <w:pStyle w:val="Normal1linespace"/>
              <w:widowControl w:val="0"/>
            </w:pPr>
          </w:p>
        </w:tc>
        <w:tc>
          <w:tcPr>
            <w:tcW w:w="5990" w:type="dxa"/>
            <w:shd w:val="clear" w:color="auto" w:fill="auto"/>
          </w:tcPr>
          <w:p w14:paraId="3A773B03" w14:textId="77777777" w:rsidR="00B80B7D" w:rsidRDefault="00B80B7D" w:rsidP="00501A12">
            <w:pPr>
              <w:pStyle w:val="Normal1linespace"/>
              <w:widowControl w:val="0"/>
              <w:jc w:val="left"/>
            </w:pPr>
          </w:p>
        </w:tc>
      </w:tr>
      <w:tr w:rsidR="00B80B7D" w14:paraId="253D3BAD" w14:textId="77777777" w:rsidTr="00CB07C3">
        <w:tc>
          <w:tcPr>
            <w:tcW w:w="3083" w:type="dxa"/>
            <w:shd w:val="clear" w:color="auto" w:fill="auto"/>
          </w:tcPr>
          <w:p w14:paraId="59F27CB8" w14:textId="77777777" w:rsidR="00B80B7D" w:rsidRDefault="00B80B7D" w:rsidP="00501A12">
            <w:pPr>
              <w:pStyle w:val="Normal1linespace"/>
              <w:widowControl w:val="0"/>
            </w:pPr>
            <w:r>
              <w:t>Number of paragraphs:</w:t>
            </w:r>
          </w:p>
        </w:tc>
        <w:tc>
          <w:tcPr>
            <w:tcW w:w="5990" w:type="dxa"/>
            <w:shd w:val="clear" w:color="auto" w:fill="auto"/>
          </w:tcPr>
          <w:p w14:paraId="46A78F9C" w14:textId="73180A3F" w:rsidR="00B80B7D" w:rsidRDefault="00CB07C3" w:rsidP="00501A12">
            <w:pPr>
              <w:pStyle w:val="Normal1linespace"/>
              <w:widowControl w:val="0"/>
              <w:jc w:val="left"/>
            </w:pPr>
            <w:bookmarkStart w:id="5" w:name="PlaceCategoryParagraphs"/>
            <w:r>
              <w:t>89</w:t>
            </w:r>
            <w:bookmarkEnd w:id="5"/>
          </w:p>
        </w:tc>
      </w:tr>
      <w:tr w:rsidR="00B80B7D" w14:paraId="723DAD7B" w14:textId="77777777" w:rsidTr="00CB07C3">
        <w:tc>
          <w:tcPr>
            <w:tcW w:w="3083" w:type="dxa"/>
            <w:shd w:val="clear" w:color="auto" w:fill="auto"/>
          </w:tcPr>
          <w:p w14:paraId="392713D2" w14:textId="77777777" w:rsidR="00B80B7D" w:rsidRDefault="00B80B7D" w:rsidP="00B80B7D">
            <w:pPr>
              <w:pStyle w:val="Normal1linespace"/>
              <w:widowControl w:val="0"/>
              <w:jc w:val="left"/>
            </w:pPr>
          </w:p>
        </w:tc>
        <w:tc>
          <w:tcPr>
            <w:tcW w:w="5990" w:type="dxa"/>
            <w:shd w:val="clear" w:color="auto" w:fill="auto"/>
          </w:tcPr>
          <w:p w14:paraId="2B302D11" w14:textId="77777777" w:rsidR="00B80B7D" w:rsidRDefault="00B80B7D" w:rsidP="00B80B7D">
            <w:pPr>
              <w:pStyle w:val="Normal1linespace"/>
              <w:widowControl w:val="0"/>
              <w:jc w:val="left"/>
            </w:pPr>
          </w:p>
        </w:tc>
      </w:tr>
      <w:tr w:rsidR="00B80B7D" w14:paraId="3EDF39F4" w14:textId="77777777" w:rsidTr="00CB07C3">
        <w:tc>
          <w:tcPr>
            <w:tcW w:w="3083" w:type="dxa"/>
            <w:shd w:val="clear" w:color="auto" w:fill="auto"/>
          </w:tcPr>
          <w:p w14:paraId="3EE84E7D" w14:textId="77777777" w:rsidR="00B80B7D" w:rsidRDefault="00B80B7D" w:rsidP="00B80B7D">
            <w:pPr>
              <w:pStyle w:val="Normal1linespace"/>
              <w:widowControl w:val="0"/>
              <w:jc w:val="left"/>
            </w:pPr>
            <w:bookmarkStart w:id="6" w:name="CounselDate" w:colFirst="0" w:colLast="2"/>
            <w:r w:rsidRPr="006A24E3">
              <w:t>Date of hearing:</w:t>
            </w:r>
          </w:p>
        </w:tc>
        <w:tc>
          <w:tcPr>
            <w:tcW w:w="5990" w:type="dxa"/>
            <w:shd w:val="clear" w:color="auto" w:fill="auto"/>
          </w:tcPr>
          <w:p w14:paraId="7117F357" w14:textId="33FE4968" w:rsidR="00B80B7D" w:rsidRDefault="006A6789" w:rsidP="006A6789">
            <w:pPr>
              <w:pStyle w:val="Normal1linespace"/>
              <w:widowControl w:val="0"/>
              <w:jc w:val="left"/>
            </w:pPr>
            <w:bookmarkStart w:id="7" w:name="HearingDate"/>
            <w:r>
              <w:t>24 August 2020</w:t>
            </w:r>
            <w:bookmarkEnd w:id="7"/>
            <w:r>
              <w:t xml:space="preserve"> </w:t>
            </w:r>
          </w:p>
        </w:tc>
      </w:tr>
      <w:tr w:rsidR="00B80B7D" w14:paraId="44E9CD95" w14:textId="77777777" w:rsidTr="00CB07C3">
        <w:tc>
          <w:tcPr>
            <w:tcW w:w="3083" w:type="dxa"/>
            <w:shd w:val="clear" w:color="auto" w:fill="auto"/>
          </w:tcPr>
          <w:p w14:paraId="14BF2E78" w14:textId="77777777" w:rsidR="00B80B7D" w:rsidRDefault="00B80B7D" w:rsidP="00B80B7D">
            <w:pPr>
              <w:pStyle w:val="Normal1linespace"/>
              <w:widowControl w:val="0"/>
              <w:jc w:val="left"/>
            </w:pPr>
          </w:p>
        </w:tc>
        <w:tc>
          <w:tcPr>
            <w:tcW w:w="5990" w:type="dxa"/>
            <w:shd w:val="clear" w:color="auto" w:fill="auto"/>
          </w:tcPr>
          <w:p w14:paraId="0566697F" w14:textId="77777777" w:rsidR="00B80B7D" w:rsidRDefault="00B80B7D" w:rsidP="00B80B7D">
            <w:pPr>
              <w:pStyle w:val="Normal1linespace"/>
              <w:widowControl w:val="0"/>
              <w:jc w:val="left"/>
            </w:pPr>
          </w:p>
        </w:tc>
      </w:tr>
      <w:tr w:rsidR="00CB07C3" w14:paraId="4514ECC3" w14:textId="77777777" w:rsidTr="00CB07C3">
        <w:tc>
          <w:tcPr>
            <w:tcW w:w="3083" w:type="dxa"/>
            <w:shd w:val="clear" w:color="auto" w:fill="auto"/>
          </w:tcPr>
          <w:p w14:paraId="01EE9C3E" w14:textId="779530FD" w:rsidR="00CB07C3" w:rsidRDefault="00CB07C3" w:rsidP="00CB07C3">
            <w:pPr>
              <w:pStyle w:val="Normal1linespace"/>
              <w:widowControl w:val="0"/>
              <w:jc w:val="left"/>
            </w:pPr>
            <w:bookmarkStart w:id="8" w:name="Counsel" w:colFirst="0" w:colLast="2"/>
            <w:bookmarkEnd w:id="6"/>
            <w:r>
              <w:t>Counsel for the Applicant:</w:t>
            </w:r>
          </w:p>
        </w:tc>
        <w:tc>
          <w:tcPr>
            <w:tcW w:w="5990" w:type="dxa"/>
            <w:shd w:val="clear" w:color="auto" w:fill="auto"/>
          </w:tcPr>
          <w:p w14:paraId="39EC9B77" w14:textId="31854356" w:rsidR="00CB07C3" w:rsidRDefault="00CB07C3" w:rsidP="00CB07C3">
            <w:pPr>
              <w:pStyle w:val="Normal1linespace"/>
              <w:widowControl w:val="0"/>
              <w:jc w:val="left"/>
            </w:pPr>
            <w:bookmarkStart w:id="9" w:name="AppCounsel"/>
            <w:bookmarkEnd w:id="9"/>
            <w:r>
              <w:t>Mr B Rauf</w:t>
            </w:r>
          </w:p>
        </w:tc>
      </w:tr>
      <w:tr w:rsidR="00CB07C3" w14:paraId="4DE511AA" w14:textId="77777777" w:rsidTr="00CB07C3">
        <w:tc>
          <w:tcPr>
            <w:tcW w:w="3083" w:type="dxa"/>
            <w:shd w:val="clear" w:color="auto" w:fill="auto"/>
          </w:tcPr>
          <w:p w14:paraId="21BCD26B" w14:textId="77777777" w:rsidR="00CB07C3" w:rsidRDefault="00CB07C3" w:rsidP="00CB07C3">
            <w:pPr>
              <w:pStyle w:val="Normal1linespace"/>
              <w:widowControl w:val="0"/>
              <w:jc w:val="left"/>
            </w:pPr>
          </w:p>
        </w:tc>
        <w:tc>
          <w:tcPr>
            <w:tcW w:w="5989" w:type="dxa"/>
            <w:shd w:val="clear" w:color="auto" w:fill="auto"/>
          </w:tcPr>
          <w:p w14:paraId="63E11B66" w14:textId="77777777" w:rsidR="00CB07C3" w:rsidRDefault="00CB07C3" w:rsidP="00CB07C3">
            <w:pPr>
              <w:pStyle w:val="Normal1linespace"/>
              <w:widowControl w:val="0"/>
              <w:jc w:val="left"/>
            </w:pPr>
          </w:p>
        </w:tc>
      </w:tr>
      <w:tr w:rsidR="00CB07C3" w14:paraId="13F8E258" w14:textId="77777777" w:rsidTr="00CB07C3">
        <w:tc>
          <w:tcPr>
            <w:tcW w:w="3083" w:type="dxa"/>
            <w:shd w:val="clear" w:color="auto" w:fill="auto"/>
          </w:tcPr>
          <w:p w14:paraId="4AC4B30C" w14:textId="4E0FF93F" w:rsidR="00CB07C3" w:rsidRDefault="00CB07C3" w:rsidP="00CB07C3">
            <w:pPr>
              <w:pStyle w:val="Normal1linespace"/>
              <w:widowControl w:val="0"/>
              <w:jc w:val="left"/>
            </w:pPr>
            <w:r>
              <w:t>Solicitor for the Applicant:</w:t>
            </w:r>
          </w:p>
        </w:tc>
        <w:tc>
          <w:tcPr>
            <w:tcW w:w="5989" w:type="dxa"/>
            <w:shd w:val="clear" w:color="auto" w:fill="auto"/>
          </w:tcPr>
          <w:p w14:paraId="7715A21B" w14:textId="55D9D754" w:rsidR="00CB07C3" w:rsidRDefault="00CB07C3" w:rsidP="00CB07C3">
            <w:pPr>
              <w:pStyle w:val="Normal1linespace"/>
              <w:widowControl w:val="0"/>
              <w:jc w:val="left"/>
            </w:pPr>
            <w:r>
              <w:t>Herbert Smith Freehills</w:t>
            </w:r>
          </w:p>
        </w:tc>
      </w:tr>
      <w:tr w:rsidR="00CB07C3" w14:paraId="60FF5FE0" w14:textId="77777777" w:rsidTr="00CB07C3">
        <w:tc>
          <w:tcPr>
            <w:tcW w:w="3083" w:type="dxa"/>
            <w:shd w:val="clear" w:color="auto" w:fill="auto"/>
          </w:tcPr>
          <w:p w14:paraId="6E6BFA1A" w14:textId="77777777" w:rsidR="00CB07C3" w:rsidRDefault="00CB07C3" w:rsidP="00CB07C3">
            <w:pPr>
              <w:pStyle w:val="Normal1linespace"/>
              <w:widowControl w:val="0"/>
              <w:jc w:val="left"/>
            </w:pPr>
          </w:p>
        </w:tc>
        <w:tc>
          <w:tcPr>
            <w:tcW w:w="5989" w:type="dxa"/>
            <w:shd w:val="clear" w:color="auto" w:fill="auto"/>
          </w:tcPr>
          <w:p w14:paraId="3F66ACC9" w14:textId="77777777" w:rsidR="00CB07C3" w:rsidRDefault="00CB07C3" w:rsidP="00CB07C3">
            <w:pPr>
              <w:pStyle w:val="Normal1linespace"/>
              <w:widowControl w:val="0"/>
              <w:jc w:val="left"/>
            </w:pPr>
          </w:p>
        </w:tc>
      </w:tr>
      <w:tr w:rsidR="00CB07C3" w14:paraId="5D5B86DF" w14:textId="77777777" w:rsidTr="00CB07C3">
        <w:tc>
          <w:tcPr>
            <w:tcW w:w="3083" w:type="dxa"/>
            <w:shd w:val="clear" w:color="auto" w:fill="auto"/>
          </w:tcPr>
          <w:p w14:paraId="5452AB1F" w14:textId="1B52067D" w:rsidR="00CB07C3" w:rsidRDefault="00CB07C3" w:rsidP="00CB07C3">
            <w:pPr>
              <w:pStyle w:val="Normal1linespace"/>
              <w:widowControl w:val="0"/>
              <w:jc w:val="left"/>
            </w:pPr>
            <w:r>
              <w:t>Counsel for the First Respondent:</w:t>
            </w:r>
          </w:p>
        </w:tc>
        <w:tc>
          <w:tcPr>
            <w:tcW w:w="5989" w:type="dxa"/>
            <w:shd w:val="clear" w:color="auto" w:fill="auto"/>
          </w:tcPr>
          <w:p w14:paraId="027BAAFE" w14:textId="34CF9BFD" w:rsidR="00CB07C3" w:rsidRDefault="00CB07C3" w:rsidP="00CB07C3">
            <w:pPr>
              <w:pStyle w:val="Normal1linespace"/>
              <w:widowControl w:val="0"/>
              <w:jc w:val="left"/>
            </w:pPr>
            <w:r>
              <w:t xml:space="preserve">Mr A Crowe QC with Mr M Walker </w:t>
            </w:r>
          </w:p>
        </w:tc>
      </w:tr>
      <w:tr w:rsidR="00CB07C3" w14:paraId="1945C448" w14:textId="77777777" w:rsidTr="00CB07C3">
        <w:tc>
          <w:tcPr>
            <w:tcW w:w="3083" w:type="dxa"/>
            <w:shd w:val="clear" w:color="auto" w:fill="auto"/>
          </w:tcPr>
          <w:p w14:paraId="5C51E199" w14:textId="77777777" w:rsidR="00CB07C3" w:rsidRDefault="00CB07C3" w:rsidP="00CB07C3">
            <w:pPr>
              <w:pStyle w:val="Normal1linespace"/>
              <w:widowControl w:val="0"/>
              <w:jc w:val="left"/>
            </w:pPr>
          </w:p>
        </w:tc>
        <w:tc>
          <w:tcPr>
            <w:tcW w:w="5989" w:type="dxa"/>
            <w:shd w:val="clear" w:color="auto" w:fill="auto"/>
          </w:tcPr>
          <w:p w14:paraId="4C48A098" w14:textId="77777777" w:rsidR="00CB07C3" w:rsidRDefault="00CB07C3" w:rsidP="00CB07C3">
            <w:pPr>
              <w:pStyle w:val="Normal1linespace"/>
              <w:widowControl w:val="0"/>
              <w:jc w:val="left"/>
            </w:pPr>
          </w:p>
        </w:tc>
      </w:tr>
      <w:tr w:rsidR="00CB07C3" w14:paraId="2D15F0DF" w14:textId="77777777" w:rsidTr="00CB07C3">
        <w:tc>
          <w:tcPr>
            <w:tcW w:w="3083" w:type="dxa"/>
            <w:shd w:val="clear" w:color="auto" w:fill="auto"/>
          </w:tcPr>
          <w:p w14:paraId="348C319D" w14:textId="3DC6595B" w:rsidR="00CB07C3" w:rsidRDefault="00CB07C3" w:rsidP="00CB07C3">
            <w:pPr>
              <w:pStyle w:val="Normal1linespace"/>
              <w:widowControl w:val="0"/>
              <w:jc w:val="left"/>
            </w:pPr>
            <w:r>
              <w:t>Solicitor for the First Respondent:</w:t>
            </w:r>
          </w:p>
        </w:tc>
        <w:tc>
          <w:tcPr>
            <w:tcW w:w="5989" w:type="dxa"/>
            <w:shd w:val="clear" w:color="auto" w:fill="auto"/>
          </w:tcPr>
          <w:p w14:paraId="015821D1" w14:textId="7D5EBBD4" w:rsidR="00CB07C3" w:rsidRDefault="00CB07C3" w:rsidP="00CB07C3">
            <w:pPr>
              <w:pStyle w:val="Normal1linespace"/>
              <w:widowControl w:val="0"/>
              <w:jc w:val="left"/>
            </w:pPr>
            <w:proofErr w:type="spellStart"/>
            <w:r>
              <w:t>LawRight</w:t>
            </w:r>
            <w:proofErr w:type="spellEnd"/>
          </w:p>
        </w:tc>
      </w:tr>
      <w:tr w:rsidR="00CB07C3" w14:paraId="60E25A14" w14:textId="77777777" w:rsidTr="00CB07C3">
        <w:tc>
          <w:tcPr>
            <w:tcW w:w="3083" w:type="dxa"/>
            <w:shd w:val="clear" w:color="auto" w:fill="auto"/>
          </w:tcPr>
          <w:p w14:paraId="5173B610" w14:textId="77777777" w:rsidR="00CB07C3" w:rsidRDefault="00CB07C3" w:rsidP="00CB07C3">
            <w:pPr>
              <w:pStyle w:val="Normal1linespace"/>
              <w:widowControl w:val="0"/>
              <w:jc w:val="left"/>
            </w:pPr>
          </w:p>
        </w:tc>
        <w:tc>
          <w:tcPr>
            <w:tcW w:w="5989" w:type="dxa"/>
            <w:shd w:val="clear" w:color="auto" w:fill="auto"/>
          </w:tcPr>
          <w:p w14:paraId="5F1C6F2F" w14:textId="77777777" w:rsidR="00CB07C3" w:rsidRDefault="00CB07C3" w:rsidP="00CB07C3">
            <w:pPr>
              <w:pStyle w:val="Normal1linespace"/>
              <w:widowControl w:val="0"/>
              <w:jc w:val="left"/>
            </w:pPr>
          </w:p>
        </w:tc>
      </w:tr>
      <w:tr w:rsidR="00CB07C3" w14:paraId="110CBDFA" w14:textId="77777777" w:rsidTr="00CB07C3">
        <w:tc>
          <w:tcPr>
            <w:tcW w:w="3083" w:type="dxa"/>
            <w:shd w:val="clear" w:color="auto" w:fill="auto"/>
          </w:tcPr>
          <w:p w14:paraId="6413FFA1" w14:textId="2E27915A" w:rsidR="00CB07C3" w:rsidRDefault="00CB07C3" w:rsidP="00CB07C3">
            <w:pPr>
              <w:pStyle w:val="Normal1linespace"/>
              <w:widowControl w:val="0"/>
              <w:jc w:val="left"/>
            </w:pPr>
            <w:r>
              <w:t>Counsel for the Second Respondent:</w:t>
            </w:r>
          </w:p>
        </w:tc>
        <w:tc>
          <w:tcPr>
            <w:tcW w:w="5989" w:type="dxa"/>
            <w:shd w:val="clear" w:color="auto" w:fill="auto"/>
          </w:tcPr>
          <w:p w14:paraId="6E42BAFF" w14:textId="3F0004A9" w:rsidR="00CB07C3" w:rsidRDefault="00CB07C3" w:rsidP="00CB07C3">
            <w:pPr>
              <w:pStyle w:val="Normal1linespace"/>
              <w:widowControl w:val="0"/>
              <w:jc w:val="left"/>
            </w:pPr>
            <w:r>
              <w:t>The Second Respondent filed a Submitting Notice</w:t>
            </w:r>
          </w:p>
        </w:tc>
      </w:tr>
      <w:bookmarkEnd w:id="8"/>
    </w:tbl>
    <w:p w14:paraId="588FC0EA" w14:textId="77777777" w:rsidR="007470BD" w:rsidRDefault="007470BD">
      <w:pPr>
        <w:pStyle w:val="Normal1linespace"/>
      </w:pPr>
    </w:p>
    <w:p w14:paraId="1D13D01E"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B80F6D1" w14:textId="77777777" w:rsidTr="00E81DA6">
        <w:tc>
          <w:tcPr>
            <w:tcW w:w="6912" w:type="dxa"/>
            <w:gridSpan w:val="2"/>
          </w:tcPr>
          <w:p w14:paraId="1C23E05A" w14:textId="77777777" w:rsidR="00A46CCC" w:rsidRPr="001765E0" w:rsidRDefault="00A46CCC" w:rsidP="00525A49">
            <w:pPr>
              <w:pStyle w:val="NormalHeadings"/>
            </w:pPr>
          </w:p>
        </w:tc>
        <w:tc>
          <w:tcPr>
            <w:tcW w:w="2330" w:type="dxa"/>
          </w:tcPr>
          <w:p w14:paraId="276291D2" w14:textId="70D41FF1" w:rsidR="00A46CCC" w:rsidRDefault="00CB07C3" w:rsidP="00F92355">
            <w:pPr>
              <w:pStyle w:val="NormalHeadings"/>
              <w:jc w:val="right"/>
            </w:pPr>
            <w:bookmarkStart w:id="10" w:name="FileNo"/>
            <w:r>
              <w:t>QUD 793 of 2019</w:t>
            </w:r>
            <w:bookmarkEnd w:id="10"/>
          </w:p>
        </w:tc>
      </w:tr>
      <w:tr w:rsidR="00A76C13" w14:paraId="488F50EC" w14:textId="77777777" w:rsidTr="008E00B4">
        <w:tc>
          <w:tcPr>
            <w:tcW w:w="9242" w:type="dxa"/>
            <w:gridSpan w:val="3"/>
          </w:tcPr>
          <w:p w14:paraId="6D895503" w14:textId="761583C4" w:rsidR="00A76C13" w:rsidRPr="00A76C13" w:rsidRDefault="00CB07C3" w:rsidP="00CB07C3">
            <w:pPr>
              <w:pStyle w:val="NormalHeadings"/>
              <w:jc w:val="left"/>
            </w:pPr>
            <w:bookmarkStart w:id="11" w:name="InTheMatterOf"/>
            <w:r>
              <w:t xml:space="preserve"> </w:t>
            </w:r>
            <w:bookmarkEnd w:id="11"/>
          </w:p>
        </w:tc>
      </w:tr>
      <w:tr w:rsidR="00A46CCC" w14:paraId="7535FE62" w14:textId="77777777" w:rsidTr="008E00B4">
        <w:trPr>
          <w:trHeight w:val="386"/>
        </w:trPr>
        <w:tc>
          <w:tcPr>
            <w:tcW w:w="2376" w:type="dxa"/>
          </w:tcPr>
          <w:p w14:paraId="3D2038E3" w14:textId="77777777" w:rsidR="00A46CCC" w:rsidRDefault="00A46CCC" w:rsidP="008E00B4">
            <w:pPr>
              <w:pStyle w:val="NormalHeadings"/>
              <w:jc w:val="left"/>
              <w:rPr>
                <w:caps/>
                <w:szCs w:val="24"/>
              </w:rPr>
            </w:pPr>
            <w:bookmarkStart w:id="12" w:name="Parties"/>
            <w:r>
              <w:rPr>
                <w:caps/>
                <w:szCs w:val="24"/>
              </w:rPr>
              <w:t>BETWEEN:</w:t>
            </w:r>
          </w:p>
        </w:tc>
        <w:tc>
          <w:tcPr>
            <w:tcW w:w="6866" w:type="dxa"/>
            <w:gridSpan w:val="2"/>
          </w:tcPr>
          <w:p w14:paraId="414D89F1" w14:textId="77777777" w:rsidR="00CB07C3" w:rsidRDefault="00CB07C3" w:rsidP="00CB07C3">
            <w:pPr>
              <w:pStyle w:val="NormalHeadings"/>
              <w:jc w:val="left"/>
            </w:pPr>
            <w:bookmarkStart w:id="13" w:name="Applicant"/>
            <w:r>
              <w:t>COLES SUPPLY CHAIN PTY LTD</w:t>
            </w:r>
          </w:p>
          <w:p w14:paraId="7A224AAE" w14:textId="77777777" w:rsidR="00CB07C3" w:rsidRDefault="00CB07C3" w:rsidP="00CB07C3">
            <w:pPr>
              <w:pStyle w:val="PartyType"/>
            </w:pPr>
            <w:r>
              <w:t>Applicant</w:t>
            </w:r>
          </w:p>
          <w:bookmarkEnd w:id="13"/>
          <w:p w14:paraId="1B7511BB" w14:textId="56B1B2B9" w:rsidR="00A46CCC" w:rsidRPr="006555B4" w:rsidRDefault="00A46CCC" w:rsidP="008E00B4">
            <w:pPr>
              <w:pStyle w:val="NormalHeadings"/>
              <w:jc w:val="left"/>
            </w:pPr>
          </w:p>
        </w:tc>
      </w:tr>
      <w:tr w:rsidR="00A46CCC" w14:paraId="646CF368" w14:textId="77777777" w:rsidTr="008E00B4">
        <w:trPr>
          <w:trHeight w:val="386"/>
        </w:trPr>
        <w:tc>
          <w:tcPr>
            <w:tcW w:w="2376" w:type="dxa"/>
          </w:tcPr>
          <w:p w14:paraId="336CFDEF" w14:textId="77777777" w:rsidR="00A46CCC" w:rsidRDefault="00A46CCC" w:rsidP="008E00B4">
            <w:pPr>
              <w:pStyle w:val="NormalHeadings"/>
              <w:jc w:val="left"/>
              <w:rPr>
                <w:caps/>
                <w:szCs w:val="24"/>
              </w:rPr>
            </w:pPr>
            <w:r>
              <w:rPr>
                <w:caps/>
                <w:szCs w:val="24"/>
              </w:rPr>
              <w:t>AND:</w:t>
            </w:r>
          </w:p>
        </w:tc>
        <w:tc>
          <w:tcPr>
            <w:tcW w:w="6866" w:type="dxa"/>
            <w:gridSpan w:val="2"/>
          </w:tcPr>
          <w:p w14:paraId="2641FFE1" w14:textId="77777777" w:rsidR="00CB07C3" w:rsidRDefault="00CB07C3" w:rsidP="00CB07C3">
            <w:pPr>
              <w:pStyle w:val="NormalHeadings"/>
              <w:jc w:val="left"/>
            </w:pPr>
            <w:bookmarkStart w:id="14" w:name="Respondent"/>
            <w:r>
              <w:t>CAMERON MILFORD</w:t>
            </w:r>
          </w:p>
          <w:p w14:paraId="64A5B19B" w14:textId="77777777" w:rsidR="00CB07C3" w:rsidRDefault="00CB07C3" w:rsidP="00CB07C3">
            <w:pPr>
              <w:pStyle w:val="PartyType"/>
            </w:pPr>
            <w:r>
              <w:t>First Respondent</w:t>
            </w:r>
          </w:p>
          <w:p w14:paraId="3CDC0A1B" w14:textId="77777777" w:rsidR="00CB07C3" w:rsidRDefault="00CB07C3" w:rsidP="008E00B4">
            <w:pPr>
              <w:pStyle w:val="NormalHeadings"/>
              <w:jc w:val="left"/>
            </w:pPr>
          </w:p>
          <w:p w14:paraId="2100046C" w14:textId="77777777" w:rsidR="00CB07C3" w:rsidRDefault="00CB07C3" w:rsidP="00CB07C3">
            <w:pPr>
              <w:pStyle w:val="NormalHeadings"/>
              <w:jc w:val="left"/>
            </w:pPr>
            <w:r>
              <w:t>FAIR WORK COMMISSION</w:t>
            </w:r>
          </w:p>
          <w:p w14:paraId="2A7C0400" w14:textId="77777777" w:rsidR="00CB07C3" w:rsidRDefault="00CB07C3" w:rsidP="00CB07C3">
            <w:pPr>
              <w:pStyle w:val="PartyType"/>
            </w:pPr>
            <w:r>
              <w:t>Second Respondent</w:t>
            </w:r>
          </w:p>
          <w:bookmarkEnd w:id="14"/>
          <w:p w14:paraId="63B2FBA6" w14:textId="18B6738F" w:rsidR="00A46CCC" w:rsidRPr="006555B4" w:rsidRDefault="00A46CCC" w:rsidP="008E00B4">
            <w:pPr>
              <w:pStyle w:val="NormalHeadings"/>
              <w:jc w:val="left"/>
            </w:pPr>
          </w:p>
        </w:tc>
      </w:tr>
    </w:tbl>
    <w:p w14:paraId="42C2D06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2A3FCA75" w14:textId="77777777">
        <w:tc>
          <w:tcPr>
            <w:tcW w:w="2376" w:type="dxa"/>
          </w:tcPr>
          <w:p w14:paraId="46C196F2"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0BC89D1B" w14:textId="150A088A" w:rsidR="00395B24" w:rsidRDefault="00CB07C3">
            <w:pPr>
              <w:pStyle w:val="NormalHeadings"/>
              <w:jc w:val="left"/>
              <w:rPr>
                <w:caps/>
                <w:szCs w:val="24"/>
              </w:rPr>
            </w:pPr>
            <w:bookmarkStart w:id="17" w:name="Judge"/>
            <w:r>
              <w:rPr>
                <w:caps/>
                <w:szCs w:val="24"/>
              </w:rPr>
              <w:t>RARES, COLLIER AND CHARLESWORTH JJ</w:t>
            </w:r>
            <w:bookmarkEnd w:id="17"/>
          </w:p>
        </w:tc>
      </w:tr>
      <w:tr w:rsidR="00395B24" w14:paraId="5DB5430E" w14:textId="77777777">
        <w:tc>
          <w:tcPr>
            <w:tcW w:w="2376" w:type="dxa"/>
          </w:tcPr>
          <w:p w14:paraId="6C46C670" w14:textId="77777777" w:rsidR="00395B24" w:rsidRDefault="002C7385">
            <w:pPr>
              <w:pStyle w:val="NormalHeadings"/>
              <w:spacing w:after="120"/>
              <w:jc w:val="left"/>
              <w:rPr>
                <w:caps/>
                <w:szCs w:val="24"/>
              </w:rPr>
            </w:pPr>
            <w:r>
              <w:rPr>
                <w:caps/>
                <w:szCs w:val="24"/>
              </w:rPr>
              <w:t>DATE OF ORDER:</w:t>
            </w:r>
          </w:p>
        </w:tc>
        <w:tc>
          <w:tcPr>
            <w:tcW w:w="6866" w:type="dxa"/>
          </w:tcPr>
          <w:p w14:paraId="7237B204" w14:textId="0191DBEE" w:rsidR="00395B24" w:rsidRDefault="00CB07C3">
            <w:pPr>
              <w:pStyle w:val="NormalHeadings"/>
              <w:jc w:val="left"/>
              <w:rPr>
                <w:caps/>
                <w:szCs w:val="24"/>
              </w:rPr>
            </w:pPr>
            <w:bookmarkStart w:id="18" w:name="Judgment_Dated"/>
            <w:r>
              <w:rPr>
                <w:caps/>
                <w:szCs w:val="24"/>
              </w:rPr>
              <w:t>11 SEPTEMBER 2020</w:t>
            </w:r>
            <w:bookmarkEnd w:id="18"/>
          </w:p>
        </w:tc>
      </w:tr>
    </w:tbl>
    <w:p w14:paraId="0DDA56D1" w14:textId="77777777" w:rsidR="00395B24" w:rsidRDefault="00395B24">
      <w:pPr>
        <w:pStyle w:val="NormalHeadings"/>
        <w:rPr>
          <w:b w:val="0"/>
        </w:rPr>
      </w:pPr>
    </w:p>
    <w:p w14:paraId="0C414487" w14:textId="77777777" w:rsidR="008D1617" w:rsidRDefault="008D1617">
      <w:pPr>
        <w:pStyle w:val="NormalHeadings"/>
        <w:rPr>
          <w:b w:val="0"/>
        </w:rPr>
      </w:pPr>
    </w:p>
    <w:p w14:paraId="3EEEB626" w14:textId="77777777" w:rsidR="00395B24" w:rsidRDefault="002C7385">
      <w:pPr>
        <w:pStyle w:val="NormalHeadings"/>
      </w:pPr>
      <w:r>
        <w:t>THE COURT ORDERS THAT:</w:t>
      </w:r>
    </w:p>
    <w:p w14:paraId="66CEB81A" w14:textId="77777777" w:rsidR="007F60DF" w:rsidRDefault="007F60DF" w:rsidP="00243E5E">
      <w:pPr>
        <w:pStyle w:val="NormalHeadings"/>
      </w:pPr>
    </w:p>
    <w:p w14:paraId="4EBBF560" w14:textId="1C96D91D" w:rsidR="009D5404" w:rsidRPr="00051B41" w:rsidRDefault="009D5404" w:rsidP="009D5404">
      <w:pPr>
        <w:pStyle w:val="Order1"/>
      </w:pPr>
      <w:r>
        <w:t xml:space="preserve">A writ of certiorari issue, </w:t>
      </w:r>
      <w:r w:rsidRPr="00051B41">
        <w:t xml:space="preserve">quashing the decision of the </w:t>
      </w:r>
      <w:r w:rsidR="002132B8" w:rsidRPr="00051B41">
        <w:t xml:space="preserve">second respondent </w:t>
      </w:r>
      <w:r w:rsidR="004562A9" w:rsidRPr="00051B41">
        <w:t>(constituted by</w:t>
      </w:r>
      <w:r w:rsidRPr="00051B41">
        <w:t xml:space="preserve"> a Full Bench) made on 26 November 2019 in C2019/4735.</w:t>
      </w:r>
    </w:p>
    <w:p w14:paraId="2379B7A8" w14:textId="2C8E16AA" w:rsidR="001A6C52" w:rsidRPr="00051B41" w:rsidRDefault="009D5404" w:rsidP="002132B8">
      <w:pPr>
        <w:pStyle w:val="Order1"/>
      </w:pPr>
      <w:r w:rsidRPr="00051B41">
        <w:t xml:space="preserve">A writ of mandamus issue requiring the </w:t>
      </w:r>
      <w:r w:rsidR="002132B8" w:rsidRPr="00051B41">
        <w:t xml:space="preserve">second respondent </w:t>
      </w:r>
      <w:r w:rsidR="004562A9" w:rsidRPr="00051B41">
        <w:t>(constituted by</w:t>
      </w:r>
      <w:r w:rsidRPr="00051B41">
        <w:t xml:space="preserve"> a Full Bench) to hear and determine the respondent’s application for permission to appeal (and, if permission be granted, the appeal) under s 604(1) of the </w:t>
      </w:r>
      <w:r w:rsidRPr="00051B41">
        <w:rPr>
          <w:i/>
        </w:rPr>
        <w:t>Fair Work Act 2009</w:t>
      </w:r>
      <w:r w:rsidR="004004BF">
        <w:t> </w:t>
      </w:r>
      <w:r w:rsidRPr="00051B41">
        <w:t>(</w:t>
      </w:r>
      <w:proofErr w:type="spellStart"/>
      <w:r w:rsidRPr="00051B41">
        <w:t>Cth</w:t>
      </w:r>
      <w:proofErr w:type="spellEnd"/>
      <w:r w:rsidRPr="00051B41">
        <w:t>) in accordance with law.</w:t>
      </w:r>
    </w:p>
    <w:p w14:paraId="0F876553" w14:textId="77777777" w:rsidR="001A6C52" w:rsidRDefault="001A6C52" w:rsidP="001A6C52">
      <w:pPr>
        <w:pStyle w:val="BodyText"/>
      </w:pPr>
    </w:p>
    <w:p w14:paraId="5846EAF5" w14:textId="77777777" w:rsidR="00A431E6" w:rsidRDefault="00A431E6" w:rsidP="001A6C52">
      <w:pPr>
        <w:pStyle w:val="BodyText"/>
      </w:pPr>
    </w:p>
    <w:p w14:paraId="33B08F9F" w14:textId="77ACB5BA" w:rsidR="0050309C" w:rsidRDefault="00CB07C3"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17829FB4" w14:textId="77777777" w:rsidR="0092590B" w:rsidRDefault="0092590B" w:rsidP="002B0E91">
      <w:pPr>
        <w:pStyle w:val="BodyText"/>
      </w:pPr>
    </w:p>
    <w:p w14:paraId="0935872C" w14:textId="77777777" w:rsidR="00395B24" w:rsidRDefault="00395B24">
      <w:pPr>
        <w:pStyle w:val="NormalHeadings"/>
        <w:spacing w:before="240" w:after="120"/>
        <w:rPr>
          <w:b w:val="0"/>
        </w:rPr>
        <w:sectPr w:rsidR="00395B24" w:rsidSect="0092590B">
          <w:headerReference w:type="default" r:id="rId8"/>
          <w:footerReference w:type="default" r:id="rId9"/>
          <w:headerReference w:type="first" r:id="rId10"/>
          <w:footerReference w:type="first" r:id="rId11"/>
          <w:endnotePr>
            <w:numFmt w:val="decimal"/>
          </w:endnotePr>
          <w:pgSz w:w="11907" w:h="16840" w:code="9"/>
          <w:pgMar w:top="1440" w:right="1440" w:bottom="1440" w:left="1440" w:header="851" w:footer="851" w:gutter="0"/>
          <w:pgNumType w:fmt="lowerRoman" w:start="1"/>
          <w:cols w:space="720"/>
          <w:noEndnote/>
          <w:titlePg/>
        </w:sectPr>
      </w:pPr>
    </w:p>
    <w:p w14:paraId="658F6119"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488CEC2D" w14:textId="2C468492" w:rsidR="00694BEB" w:rsidRDefault="00C07A40" w:rsidP="005E0510">
      <w:pPr>
        <w:pStyle w:val="NormalHeadings"/>
        <w:spacing w:line="360" w:lineRule="auto"/>
        <w:jc w:val="left"/>
        <w:rPr>
          <w:sz w:val="26"/>
          <w:szCs w:val="26"/>
        </w:rPr>
      </w:pPr>
      <w:r>
        <w:rPr>
          <w:sz w:val="26"/>
          <w:szCs w:val="26"/>
        </w:rPr>
        <w:t>THE COURT</w:t>
      </w:r>
    </w:p>
    <w:p w14:paraId="0FDA9BD9" w14:textId="5A06D6C6" w:rsidR="00FD35D1" w:rsidRPr="00CB07C3" w:rsidRDefault="00321DF9" w:rsidP="00FD35D1">
      <w:pPr>
        <w:pStyle w:val="ParaNumbering"/>
      </w:pPr>
      <w:r w:rsidRPr="00CB07C3">
        <w:t xml:space="preserve">The applicant, </w:t>
      </w:r>
      <w:r w:rsidR="005D19FA" w:rsidRPr="00CB07C3">
        <w:t>Mr </w:t>
      </w:r>
      <w:r w:rsidRPr="00CB07C3">
        <w:t>Cameron Milford</w:t>
      </w:r>
      <w:r w:rsidR="00DE11DD" w:rsidRPr="00CB07C3">
        <w:t>,</w:t>
      </w:r>
      <w:r w:rsidRPr="00CB07C3">
        <w:t xml:space="preserve"> </w:t>
      </w:r>
      <w:r w:rsidR="00756D24" w:rsidRPr="00CB07C3">
        <w:t>was formerly employed as a casual store worker by</w:t>
      </w:r>
      <w:r w:rsidRPr="00CB07C3">
        <w:t xml:space="preserve"> </w:t>
      </w:r>
      <w:r w:rsidRPr="00CB07C3">
        <w:rPr>
          <w:b/>
        </w:rPr>
        <w:t>Coles</w:t>
      </w:r>
      <w:r w:rsidR="007148DC" w:rsidRPr="00CB07C3">
        <w:t xml:space="preserve"> Supply Chain Pty Ltd.</w:t>
      </w:r>
      <w:r w:rsidR="003139C8" w:rsidRPr="00CB07C3">
        <w:t xml:space="preserve"> </w:t>
      </w:r>
      <w:r w:rsidR="00D51574" w:rsidRPr="00CB07C3">
        <w:t xml:space="preserve"> </w:t>
      </w:r>
      <w:r w:rsidR="007148DC" w:rsidRPr="00CB07C3">
        <w:t>Mr </w:t>
      </w:r>
      <w:r w:rsidR="00D10260" w:rsidRPr="00CB07C3">
        <w:t xml:space="preserve">Milford </w:t>
      </w:r>
      <w:r w:rsidR="00FD35D1" w:rsidRPr="00CB07C3">
        <w:t>alleges</w:t>
      </w:r>
      <w:r w:rsidR="00D10260" w:rsidRPr="00CB07C3">
        <w:t xml:space="preserve"> that he was dismissed from his employment in contravention of Pt 3-1 of the </w:t>
      </w:r>
      <w:r w:rsidR="00D10260" w:rsidRPr="00CB07C3">
        <w:rPr>
          <w:i/>
        </w:rPr>
        <w:t>Fair Work Act 2009</w:t>
      </w:r>
      <w:r w:rsidR="00D10260" w:rsidRPr="00CB07C3">
        <w:t xml:space="preserve"> (</w:t>
      </w:r>
      <w:proofErr w:type="spellStart"/>
      <w:r w:rsidR="00D10260" w:rsidRPr="00CB07C3">
        <w:t>Cth</w:t>
      </w:r>
      <w:proofErr w:type="spellEnd"/>
      <w:r w:rsidR="00D10260" w:rsidRPr="00CB07C3">
        <w:t>)</w:t>
      </w:r>
      <w:r w:rsidR="00795DB8" w:rsidRPr="00CB07C3">
        <w:t xml:space="preserve"> (</w:t>
      </w:r>
      <w:r w:rsidR="007148DC" w:rsidRPr="00CB07C3">
        <w:t>FW </w:t>
      </w:r>
      <w:r w:rsidR="00795DB8" w:rsidRPr="00CB07C3">
        <w:t>Act)</w:t>
      </w:r>
      <w:r w:rsidR="007148DC" w:rsidRPr="00CB07C3">
        <w:t>.</w:t>
      </w:r>
      <w:r w:rsidR="00D51574" w:rsidRPr="00CB07C3">
        <w:t xml:space="preserve"> </w:t>
      </w:r>
      <w:r w:rsidR="002B4CA3" w:rsidRPr="00CB07C3">
        <w:t xml:space="preserve"> </w:t>
      </w:r>
      <w:r w:rsidR="007148DC" w:rsidRPr="00CB07C3">
        <w:t xml:space="preserve">On 5 August 2018, </w:t>
      </w:r>
      <w:r w:rsidR="004B76FB" w:rsidRPr="00CB07C3">
        <w:t xml:space="preserve">he </w:t>
      </w:r>
      <w:r w:rsidR="00FD35D1" w:rsidRPr="00CB07C3">
        <w:t>purported to file</w:t>
      </w:r>
      <w:r w:rsidRPr="00CB07C3">
        <w:t xml:space="preserve"> a general protections </w:t>
      </w:r>
      <w:r w:rsidR="003E41C2" w:rsidRPr="00CB07C3">
        <w:t xml:space="preserve">court </w:t>
      </w:r>
      <w:r w:rsidRPr="00CB07C3">
        <w:t xml:space="preserve">application in the Fair Work Commission </w:t>
      </w:r>
      <w:r w:rsidR="000955E3" w:rsidRPr="00CB07C3">
        <w:t>(FWC)</w:t>
      </w:r>
      <w:r w:rsidR="007148DC" w:rsidRPr="00CB07C3">
        <w:t xml:space="preserve"> under s </w:t>
      </w:r>
      <w:r w:rsidRPr="00CB07C3">
        <w:t xml:space="preserve">365 of the </w:t>
      </w:r>
      <w:r w:rsidR="007148DC" w:rsidRPr="00CB07C3">
        <w:t>FW </w:t>
      </w:r>
      <w:r w:rsidR="00795DB8" w:rsidRPr="00CB07C3">
        <w:t>Act</w:t>
      </w:r>
      <w:r w:rsidR="00B508B4" w:rsidRPr="00CB07C3">
        <w:t xml:space="preserve"> relating to his dismissal</w:t>
      </w:r>
      <w:r w:rsidRPr="00CB07C3">
        <w:t>.</w:t>
      </w:r>
    </w:p>
    <w:p w14:paraId="6D1C98B2" w14:textId="1085F6A2" w:rsidR="00777AFB" w:rsidRPr="00CB07C3" w:rsidRDefault="003C764B" w:rsidP="00777AFB">
      <w:pPr>
        <w:pStyle w:val="ParaNumbering"/>
      </w:pPr>
      <w:r w:rsidRPr="00CB07C3">
        <w:t xml:space="preserve">A general protections </w:t>
      </w:r>
      <w:r w:rsidR="003E41C2" w:rsidRPr="00CB07C3">
        <w:t xml:space="preserve">court </w:t>
      </w:r>
      <w:r w:rsidR="007148DC" w:rsidRPr="00CB07C3">
        <w:t>application under s </w:t>
      </w:r>
      <w:r w:rsidR="00321DF9" w:rsidRPr="00CB07C3">
        <w:t>365</w:t>
      </w:r>
      <w:r w:rsidR="007148DC" w:rsidRPr="00CB07C3">
        <w:t xml:space="preserve"> of the FW </w:t>
      </w:r>
      <w:r w:rsidR="00321DF9" w:rsidRPr="00CB07C3">
        <w:t>Act must b</w:t>
      </w:r>
      <w:r w:rsidR="00D51574" w:rsidRPr="00CB07C3">
        <w:t>e made within 21 </w:t>
      </w:r>
      <w:r w:rsidR="00321DF9" w:rsidRPr="00CB07C3">
        <w:t xml:space="preserve">days from the date </w:t>
      </w:r>
      <w:r w:rsidRPr="00CB07C3">
        <w:t>the</w:t>
      </w:r>
      <w:r w:rsidR="00321DF9" w:rsidRPr="00CB07C3">
        <w:t xml:space="preserve"> dismissal</w:t>
      </w:r>
      <w:r w:rsidRPr="00CB07C3">
        <w:t xml:space="preserve"> takes effect</w:t>
      </w:r>
      <w:r w:rsidR="00777AFB" w:rsidRPr="00CB07C3">
        <w:t>,</w:t>
      </w:r>
      <w:r w:rsidR="00321DF9" w:rsidRPr="00CB07C3">
        <w:t xml:space="preserve"> or within such </w:t>
      </w:r>
      <w:r w:rsidR="00F50F31" w:rsidRPr="00CB07C3">
        <w:t xml:space="preserve">further </w:t>
      </w:r>
      <w:r w:rsidR="00321DF9" w:rsidRPr="00CB07C3">
        <w:t xml:space="preserve">time as the </w:t>
      </w:r>
      <w:r w:rsidR="000955E3" w:rsidRPr="00CB07C3">
        <w:t>FWC</w:t>
      </w:r>
      <w:r w:rsidR="00321DF9" w:rsidRPr="00CB07C3">
        <w:t xml:space="preserve"> may allow </w:t>
      </w:r>
      <w:r w:rsidR="0031555F" w:rsidRPr="00CB07C3">
        <w:t>u</w:t>
      </w:r>
      <w:r w:rsidR="00321DF9" w:rsidRPr="00CB07C3">
        <w:t>nd</w:t>
      </w:r>
      <w:r w:rsidR="0038782F" w:rsidRPr="00CB07C3">
        <w:t>er s </w:t>
      </w:r>
      <w:r w:rsidRPr="00CB07C3">
        <w:t>366</w:t>
      </w:r>
      <w:r w:rsidR="00AF3141" w:rsidRPr="00CB07C3">
        <w:t>(1</w:t>
      </w:r>
      <w:r w:rsidRPr="00CB07C3">
        <w:t>)</w:t>
      </w:r>
      <w:r w:rsidR="00321DF9" w:rsidRPr="00CB07C3">
        <w:t>.</w:t>
      </w:r>
      <w:r w:rsidR="00D51574" w:rsidRPr="00CB07C3">
        <w:t xml:space="preserve"> </w:t>
      </w:r>
      <w:r w:rsidR="002B4CA3" w:rsidRPr="00CB07C3">
        <w:t xml:space="preserve"> </w:t>
      </w:r>
      <w:r w:rsidR="00B508B4" w:rsidRPr="00CB07C3">
        <w:t>In the</w:t>
      </w:r>
      <w:r w:rsidR="00FD35D1" w:rsidRPr="00CB07C3">
        <w:t xml:space="preserve"> documents lodged with the FWC</w:t>
      </w:r>
      <w:r w:rsidR="00DE11DD" w:rsidRPr="00CB07C3">
        <w:t>,</w:t>
      </w:r>
      <w:r w:rsidR="0038782F" w:rsidRPr="00CB07C3">
        <w:t xml:space="preserve"> Mr </w:t>
      </w:r>
      <w:r w:rsidR="00321DF9" w:rsidRPr="00CB07C3">
        <w:t>Milford</w:t>
      </w:r>
      <w:r w:rsidR="0038228C" w:rsidRPr="00CB07C3">
        <w:t xml:space="preserve"> alleged that he had been </w:t>
      </w:r>
      <w:r w:rsidR="00B05652" w:rsidRPr="00CB07C3">
        <w:t>dismissed in contravention of s </w:t>
      </w:r>
      <w:r w:rsidR="0038228C" w:rsidRPr="00CB07C3">
        <w:t>340</w:t>
      </w:r>
      <w:r w:rsidR="00B05652" w:rsidRPr="00CB07C3">
        <w:t xml:space="preserve"> of the FW </w:t>
      </w:r>
      <w:r w:rsidR="0038228C" w:rsidRPr="00CB07C3">
        <w:t xml:space="preserve">Act </w:t>
      </w:r>
      <w:r w:rsidR="00FD35D1" w:rsidRPr="00CB07C3">
        <w:t>and that his</w:t>
      </w:r>
      <w:r w:rsidR="0038228C" w:rsidRPr="00CB07C3">
        <w:t xml:space="preserve"> dismissal </w:t>
      </w:r>
      <w:r w:rsidR="00FD35D1" w:rsidRPr="00CB07C3">
        <w:t>took effect</w:t>
      </w:r>
      <w:r w:rsidR="0038782F" w:rsidRPr="00CB07C3">
        <w:t xml:space="preserve"> on 20 </w:t>
      </w:r>
      <w:r w:rsidR="00321DF9" w:rsidRPr="00CB07C3">
        <w:t>July 2018</w:t>
      </w:r>
      <w:r w:rsidR="00DE11DD" w:rsidRPr="00CB07C3">
        <w:t xml:space="preserve">, </w:t>
      </w:r>
      <w:r w:rsidR="00FD35D1" w:rsidRPr="00CB07C3">
        <w:t>that is,</w:t>
      </w:r>
      <w:r w:rsidR="00D51574" w:rsidRPr="00CB07C3">
        <w:t xml:space="preserve"> less than 21 </w:t>
      </w:r>
      <w:r w:rsidR="00DE11DD" w:rsidRPr="00CB07C3">
        <w:t xml:space="preserve">days before </w:t>
      </w:r>
      <w:r w:rsidR="00F50F31" w:rsidRPr="00CB07C3">
        <w:t>he lodged the application</w:t>
      </w:r>
      <w:r w:rsidR="00DE11DD" w:rsidRPr="00CB07C3">
        <w:t>.</w:t>
      </w:r>
    </w:p>
    <w:p w14:paraId="7D1AD56E" w14:textId="681AFA61" w:rsidR="00321DF9" w:rsidRPr="00CB07C3" w:rsidRDefault="00FD35D1" w:rsidP="00795DB8">
      <w:pPr>
        <w:pStyle w:val="ParaNumbering"/>
      </w:pPr>
      <w:r w:rsidRPr="00CB07C3">
        <w:t xml:space="preserve">If a person has made an application under </w:t>
      </w:r>
      <w:r w:rsidR="0038782F" w:rsidRPr="00CB07C3">
        <w:t>s </w:t>
      </w:r>
      <w:r w:rsidR="00777AFB" w:rsidRPr="00CB07C3">
        <w:t>365</w:t>
      </w:r>
      <w:r w:rsidR="0038782F" w:rsidRPr="00CB07C3">
        <w:t xml:space="preserve"> of the FW </w:t>
      </w:r>
      <w:r w:rsidR="00777AFB" w:rsidRPr="00CB07C3">
        <w:t>Act</w:t>
      </w:r>
      <w:r w:rsidRPr="00CB07C3">
        <w:t>, the FWC must deal with the dispute</w:t>
      </w:r>
      <w:r w:rsidR="00B508B4" w:rsidRPr="00CB07C3">
        <w:t xml:space="preserve"> in</w:t>
      </w:r>
      <w:r w:rsidRPr="00CB07C3">
        <w:t xml:space="preserve"> accordance with </w:t>
      </w:r>
      <w:r w:rsidR="0038782F" w:rsidRPr="00CB07C3">
        <w:t>s </w:t>
      </w:r>
      <w:r w:rsidR="00795DB8" w:rsidRPr="00CB07C3">
        <w:t>368</w:t>
      </w:r>
      <w:r w:rsidRPr="00CB07C3">
        <w:t>.</w:t>
      </w:r>
      <w:r w:rsidR="002B4CA3" w:rsidRPr="00CB07C3">
        <w:t xml:space="preserve"> </w:t>
      </w:r>
      <w:r w:rsidR="00D51574" w:rsidRPr="00CB07C3">
        <w:t xml:space="preserve"> </w:t>
      </w:r>
      <w:r w:rsidRPr="00CB07C3">
        <w:t>Relevantly, i</w:t>
      </w:r>
      <w:r w:rsidR="00777AFB" w:rsidRPr="00CB07C3">
        <w:t xml:space="preserve">f </w:t>
      </w:r>
      <w:r w:rsidRPr="00CB07C3">
        <w:t>the</w:t>
      </w:r>
      <w:r w:rsidR="00795DB8" w:rsidRPr="00CB07C3">
        <w:t xml:space="preserve"> </w:t>
      </w:r>
      <w:r w:rsidRPr="00CB07C3">
        <w:t xml:space="preserve">dispute </w:t>
      </w:r>
      <w:r w:rsidR="00795DB8" w:rsidRPr="00CB07C3">
        <w:t>cannot</w:t>
      </w:r>
      <w:r w:rsidR="00777AFB" w:rsidRPr="00CB07C3">
        <w:t xml:space="preserve"> be resolved by conciliation, the </w:t>
      </w:r>
      <w:r w:rsidR="000955E3" w:rsidRPr="00CB07C3">
        <w:t>FWC</w:t>
      </w:r>
      <w:r w:rsidR="00777AFB" w:rsidRPr="00CB07C3">
        <w:t xml:space="preserve"> must issue a certificate to that effect</w:t>
      </w:r>
      <w:r w:rsidR="00F1011D" w:rsidRPr="00CB07C3">
        <w:t>:</w:t>
      </w:r>
      <w:r w:rsidR="006A6789" w:rsidRPr="00CB07C3">
        <w:t>  </w:t>
      </w:r>
      <w:r w:rsidR="00F1011D" w:rsidRPr="00CB07C3">
        <w:t>s</w:t>
      </w:r>
      <w:r w:rsidR="006A6789" w:rsidRPr="00CB07C3">
        <w:t> </w:t>
      </w:r>
      <w:r w:rsidR="00F1011D" w:rsidRPr="00CB07C3">
        <w:t>368(3)</w:t>
      </w:r>
      <w:r w:rsidR="00F50F31" w:rsidRPr="00CB07C3">
        <w:t>.</w:t>
      </w:r>
      <w:r w:rsidR="002B4CA3" w:rsidRPr="00CB07C3">
        <w:t xml:space="preserve"> </w:t>
      </w:r>
      <w:r w:rsidR="00D51574" w:rsidRPr="00CB07C3">
        <w:t xml:space="preserve"> </w:t>
      </w:r>
      <w:r w:rsidR="00777AFB" w:rsidRPr="00CB07C3">
        <w:t>The issue</w:t>
      </w:r>
      <w:r w:rsidR="0038782F" w:rsidRPr="00CB07C3">
        <w:t xml:space="preserve"> of a certificate under s </w:t>
      </w:r>
      <w:r w:rsidR="00777AFB" w:rsidRPr="00CB07C3">
        <w:t xml:space="preserve">368 is an essential precondition to the commencement of </w:t>
      </w:r>
      <w:r w:rsidR="00795DB8" w:rsidRPr="00CB07C3">
        <w:t>a general protections court application</w:t>
      </w:r>
      <w:r w:rsidR="00B508B4" w:rsidRPr="00CB07C3">
        <w:t xml:space="preserve"> or (if the parties consent) to an arbitration conducted by the FWC:</w:t>
      </w:r>
      <w:r w:rsidR="00D51574" w:rsidRPr="00CB07C3">
        <w:t>  </w:t>
      </w:r>
      <w:r w:rsidR="0038782F" w:rsidRPr="00CB07C3">
        <w:t>FW </w:t>
      </w:r>
      <w:r w:rsidR="00AA0223" w:rsidRPr="00CB07C3">
        <w:t xml:space="preserve">Act, </w:t>
      </w:r>
      <w:r w:rsidR="00AF3141" w:rsidRPr="00CB07C3">
        <w:t>s</w:t>
      </w:r>
      <w:r w:rsidR="0038782F" w:rsidRPr="00CB07C3">
        <w:t> </w:t>
      </w:r>
      <w:r w:rsidR="00AA0223" w:rsidRPr="00CB07C3">
        <w:t>370</w:t>
      </w:r>
      <w:r w:rsidR="00B508B4" w:rsidRPr="00CB07C3">
        <w:t xml:space="preserve"> and </w:t>
      </w:r>
      <w:r w:rsidR="006B606F" w:rsidRPr="00CB07C3">
        <w:t>s</w:t>
      </w:r>
      <w:r w:rsidR="00D51574" w:rsidRPr="00CB07C3">
        <w:t> </w:t>
      </w:r>
      <w:r w:rsidR="00B508B4" w:rsidRPr="00CB07C3">
        <w:t>399 respectively.</w:t>
      </w:r>
    </w:p>
    <w:p w14:paraId="097AC50A" w14:textId="7E535BC5" w:rsidR="00321DF9" w:rsidRPr="00CB07C3" w:rsidRDefault="00321DF9" w:rsidP="00321DF9">
      <w:pPr>
        <w:pStyle w:val="ParaNumbering"/>
      </w:pPr>
      <w:r w:rsidRPr="00CB07C3">
        <w:t>Coles raised a</w:t>
      </w:r>
      <w:r w:rsidR="0038782F" w:rsidRPr="00CB07C3">
        <w:t xml:space="preserve"> jurisdictional objection to Mr </w:t>
      </w:r>
      <w:r w:rsidRPr="00CB07C3">
        <w:t>Milford’s application.</w:t>
      </w:r>
      <w:r w:rsidR="002B4CA3" w:rsidRPr="00CB07C3">
        <w:t xml:space="preserve"> </w:t>
      </w:r>
      <w:r w:rsidR="00B508B4" w:rsidRPr="00CB07C3">
        <w:t xml:space="preserve"> </w:t>
      </w:r>
      <w:r w:rsidRPr="00CB07C3">
        <w:t xml:space="preserve">It alleged </w:t>
      </w:r>
      <w:r w:rsidR="00D10260" w:rsidRPr="00CB07C3">
        <w:t>that Mr</w:t>
      </w:r>
      <w:r w:rsidR="0038782F" w:rsidRPr="00CB07C3">
        <w:t> </w:t>
      </w:r>
      <w:r w:rsidR="00D10260" w:rsidRPr="00CB07C3">
        <w:t>Milford</w:t>
      </w:r>
      <w:r w:rsidR="00F1011D" w:rsidRPr="00CB07C3">
        <w:t>’s dismissal took effect</w:t>
      </w:r>
      <w:r w:rsidR="00F50F31" w:rsidRPr="00CB07C3">
        <w:t xml:space="preserve"> </w:t>
      </w:r>
      <w:r w:rsidR="00D10260" w:rsidRPr="00CB07C3">
        <w:t xml:space="preserve">from the </w:t>
      </w:r>
      <w:r w:rsidR="00795DB8" w:rsidRPr="00CB07C3">
        <w:t>completion of his</w:t>
      </w:r>
      <w:r w:rsidR="0038782F" w:rsidRPr="00CB07C3">
        <w:t xml:space="preserve"> last casual shift on 1 </w:t>
      </w:r>
      <w:r w:rsidR="00D10260" w:rsidRPr="00CB07C3">
        <w:t>October 2014.</w:t>
      </w:r>
      <w:r w:rsidR="002B4CA3" w:rsidRPr="00CB07C3">
        <w:t xml:space="preserve"> </w:t>
      </w:r>
      <w:r w:rsidR="00D51574" w:rsidRPr="00CB07C3">
        <w:t xml:space="preserve"> </w:t>
      </w:r>
      <w:r w:rsidR="00B508B4" w:rsidRPr="00CB07C3">
        <w:t>Coles later raised an alternate</w:t>
      </w:r>
      <w:r w:rsidR="00AF3141" w:rsidRPr="00CB07C3">
        <w:t xml:space="preserve"> and primary argument</w:t>
      </w:r>
      <w:r w:rsidR="00D51574" w:rsidRPr="00CB07C3">
        <w:t xml:space="preserve"> to the effect that Mr </w:t>
      </w:r>
      <w:r w:rsidR="00B508B4" w:rsidRPr="00CB07C3">
        <w:t>Milford had not been dismissed at</w:t>
      </w:r>
      <w:r w:rsidR="004C182F" w:rsidRPr="00CB07C3">
        <w:t xml:space="preserve"> all</w:t>
      </w:r>
      <w:r w:rsidR="00B508B4" w:rsidRPr="00CB07C3">
        <w:t xml:space="preserve"> </w:t>
      </w:r>
      <w:r w:rsidR="00AF3141" w:rsidRPr="00CB07C3">
        <w:t>because</w:t>
      </w:r>
      <w:r w:rsidR="00B508B4" w:rsidRPr="00CB07C3">
        <w:t xml:space="preserve"> his casual employment had come to an end by the operation of an enterprise agreement.  In either case</w:t>
      </w:r>
      <w:r w:rsidR="00795DB8" w:rsidRPr="00CB07C3">
        <w:t xml:space="preserve">, Coles submitted, </w:t>
      </w:r>
      <w:r w:rsidRPr="00CB07C3">
        <w:t xml:space="preserve">the </w:t>
      </w:r>
      <w:r w:rsidR="000955E3" w:rsidRPr="00CB07C3">
        <w:t>FWC</w:t>
      </w:r>
      <w:r w:rsidRPr="00CB07C3">
        <w:t xml:space="preserve"> did not have </w:t>
      </w:r>
      <w:r w:rsidR="0031555F" w:rsidRPr="00CB07C3">
        <w:t>the power</w:t>
      </w:r>
      <w:r w:rsidRPr="00CB07C3">
        <w:t xml:space="preserve"> to deal with </w:t>
      </w:r>
      <w:r w:rsidR="00B508B4" w:rsidRPr="00CB07C3">
        <w:t xml:space="preserve">any dispute under </w:t>
      </w:r>
      <w:r w:rsidR="0038782F" w:rsidRPr="00CB07C3">
        <w:t>s </w:t>
      </w:r>
      <w:r w:rsidR="00DE11DD" w:rsidRPr="00CB07C3">
        <w:t>368</w:t>
      </w:r>
      <w:r w:rsidR="0038782F" w:rsidRPr="00CB07C3">
        <w:t xml:space="preserve"> of the FW </w:t>
      </w:r>
      <w:r w:rsidR="00DE11DD" w:rsidRPr="00CB07C3">
        <w:t>Act</w:t>
      </w:r>
      <w:r w:rsidR="0038782F" w:rsidRPr="00CB07C3">
        <w:t>.</w:t>
      </w:r>
    </w:p>
    <w:p w14:paraId="45E5CFA6" w14:textId="6E045A64" w:rsidR="00795DB8" w:rsidRPr="00CB07C3" w:rsidRDefault="003C764B" w:rsidP="00321DF9">
      <w:pPr>
        <w:pStyle w:val="ParaNumbering"/>
      </w:pPr>
      <w:r w:rsidRPr="00CB07C3">
        <w:t xml:space="preserve">The </w:t>
      </w:r>
      <w:r w:rsidR="000955E3" w:rsidRPr="00CB07C3">
        <w:t>FWC</w:t>
      </w:r>
      <w:r w:rsidRPr="00CB07C3">
        <w:t xml:space="preserve"> </w:t>
      </w:r>
      <w:r w:rsidR="00795DB8" w:rsidRPr="00CB07C3">
        <w:t>(</w:t>
      </w:r>
      <w:r w:rsidRPr="00CB07C3">
        <w:t xml:space="preserve">constituted </w:t>
      </w:r>
      <w:r w:rsidR="00F50F31" w:rsidRPr="00CB07C3">
        <w:t xml:space="preserve">by </w:t>
      </w:r>
      <w:r w:rsidRPr="00CB07C3">
        <w:t xml:space="preserve">a </w:t>
      </w:r>
      <w:r w:rsidR="00AF3141" w:rsidRPr="00CB07C3">
        <w:t>Deputy President</w:t>
      </w:r>
      <w:r w:rsidR="00795DB8" w:rsidRPr="00CB07C3">
        <w:t>)</w:t>
      </w:r>
      <w:r w:rsidR="00B95FE9" w:rsidRPr="00CB07C3">
        <w:t xml:space="preserve"> determined that Mr </w:t>
      </w:r>
      <w:r w:rsidR="00321DF9" w:rsidRPr="00CB07C3">
        <w:t>Milford</w:t>
      </w:r>
      <w:r w:rsidR="00D10260" w:rsidRPr="00CB07C3">
        <w:t>’s emp</w:t>
      </w:r>
      <w:r w:rsidR="00B95FE9" w:rsidRPr="00CB07C3">
        <w:t>loyment had come to an end on 1 </w:t>
      </w:r>
      <w:r w:rsidR="00D10260" w:rsidRPr="00CB07C3">
        <w:t xml:space="preserve">October 2014, </w:t>
      </w:r>
      <w:r w:rsidR="00795DB8" w:rsidRPr="00CB07C3">
        <w:t>that</w:t>
      </w:r>
      <w:r w:rsidR="00B508B4" w:rsidRPr="00CB07C3">
        <w:t xml:space="preserve"> Coles had made him </w:t>
      </w:r>
      <w:r w:rsidR="00795DB8" w:rsidRPr="00CB07C3">
        <w:t xml:space="preserve">aware </w:t>
      </w:r>
      <w:r w:rsidR="00B508B4" w:rsidRPr="00CB07C3">
        <w:t>of that circumstance</w:t>
      </w:r>
      <w:r w:rsidR="00DE11DD" w:rsidRPr="00CB07C3">
        <w:t xml:space="preserve"> </w:t>
      </w:r>
      <w:r w:rsidR="00D51574" w:rsidRPr="00CB07C3">
        <w:t xml:space="preserve">in </w:t>
      </w:r>
      <w:r w:rsidR="00DE11DD" w:rsidRPr="00CB07C3">
        <w:t>June or July of 2016</w:t>
      </w:r>
      <w:r w:rsidR="00AF3141" w:rsidRPr="00CB07C3">
        <w:t xml:space="preserve"> and that the application was out of time</w:t>
      </w:r>
      <w:r w:rsidR="004C182F" w:rsidRPr="00CB07C3">
        <w:t>:</w:t>
      </w:r>
      <w:r w:rsidR="006A6789" w:rsidRPr="00CB07C3">
        <w:t>  </w:t>
      </w:r>
      <w:r w:rsidR="00AF3141" w:rsidRPr="00CB07C3">
        <w:rPr>
          <w:i/>
        </w:rPr>
        <w:t>Cameron Milford v Coles Supply Chain Pty Ltd T/A Coles Heathwood Distribution Centre</w:t>
      </w:r>
      <w:r w:rsidR="00AF3141" w:rsidRPr="00CB07C3">
        <w:t xml:space="preserve"> [2019] FWC 844 (the first decision</w:t>
      </w:r>
      <w:r w:rsidR="000C3C9C" w:rsidRPr="00CB07C3">
        <w:t>).</w:t>
      </w:r>
    </w:p>
    <w:p w14:paraId="1C5BE3EE" w14:textId="380C9189" w:rsidR="00795DB8" w:rsidRPr="00CB07C3" w:rsidRDefault="00B95FE9" w:rsidP="00321DF9">
      <w:pPr>
        <w:pStyle w:val="ParaNumbering"/>
      </w:pPr>
      <w:r w:rsidRPr="00CB07C3">
        <w:t>Mr </w:t>
      </w:r>
      <w:r w:rsidR="00795DB8" w:rsidRPr="00CB07C3">
        <w:t xml:space="preserve">Milford sought permission to appeal from the first decision to the </w:t>
      </w:r>
      <w:r w:rsidR="00795DB8" w:rsidRPr="00CB07C3">
        <w:rPr>
          <w:b/>
        </w:rPr>
        <w:t>Full Bench</w:t>
      </w:r>
      <w:r w:rsidR="00795DB8" w:rsidRPr="00CB07C3">
        <w:t xml:space="preserve"> of the </w:t>
      </w:r>
      <w:r w:rsidR="000955E3" w:rsidRPr="00CB07C3">
        <w:t>FWC</w:t>
      </w:r>
      <w:r w:rsidR="00795DB8" w:rsidRPr="00CB07C3">
        <w:t>.</w:t>
      </w:r>
      <w:r w:rsidR="003139C8" w:rsidRPr="00CB07C3">
        <w:t xml:space="preserve"> </w:t>
      </w:r>
      <w:r w:rsidR="005D19FA" w:rsidRPr="00CB07C3">
        <w:t xml:space="preserve"> </w:t>
      </w:r>
      <w:r w:rsidR="00795DB8" w:rsidRPr="00CB07C3">
        <w:t>Permission was refused on the basi</w:t>
      </w:r>
      <w:r w:rsidR="00B508B4" w:rsidRPr="00CB07C3">
        <w:t>s</w:t>
      </w:r>
      <w:r w:rsidR="00D51574" w:rsidRPr="00CB07C3">
        <w:t xml:space="preserve"> that </w:t>
      </w:r>
      <w:r w:rsidR="00F1011D" w:rsidRPr="00CB07C3">
        <w:t>Mr</w:t>
      </w:r>
      <w:r w:rsidR="006A6789" w:rsidRPr="00CB07C3">
        <w:t> </w:t>
      </w:r>
      <w:r w:rsidR="00F1011D" w:rsidRPr="00CB07C3">
        <w:t xml:space="preserve">Milford could apply for an extension of time and, </w:t>
      </w:r>
      <w:r w:rsidR="00F1011D" w:rsidRPr="00CB07C3">
        <w:lastRenderedPageBreak/>
        <w:t xml:space="preserve">accordingly, </w:t>
      </w:r>
      <w:r w:rsidR="00D51574" w:rsidRPr="00CB07C3">
        <w:t>the appeal was premature:  </w:t>
      </w:r>
      <w:r w:rsidR="00D51574" w:rsidRPr="00CB07C3">
        <w:rPr>
          <w:i/>
        </w:rPr>
        <w:t>Cameron Milford v Coles Supply Chain Pty Ltd</w:t>
      </w:r>
      <w:r w:rsidR="00D51574" w:rsidRPr="00CB07C3">
        <w:t xml:space="preserve"> [2019] FWCFB 2277.</w:t>
      </w:r>
    </w:p>
    <w:p w14:paraId="0C43E606" w14:textId="6F7EFF28" w:rsidR="00321DF9" w:rsidRPr="00CB07C3" w:rsidRDefault="003C764B" w:rsidP="00321DF9">
      <w:pPr>
        <w:pStyle w:val="ParaNumbering"/>
      </w:pPr>
      <w:r w:rsidRPr="00CB07C3">
        <w:t xml:space="preserve">The </w:t>
      </w:r>
      <w:r w:rsidR="00B508B4" w:rsidRPr="00CB07C3">
        <w:t>Deputy President</w:t>
      </w:r>
      <w:r w:rsidR="00321DF9" w:rsidRPr="00CB07C3">
        <w:t xml:space="preserve"> </w:t>
      </w:r>
      <w:r w:rsidR="00795DB8" w:rsidRPr="00CB07C3">
        <w:t>later</w:t>
      </w:r>
      <w:r w:rsidR="00321DF9" w:rsidRPr="00CB07C3">
        <w:t xml:space="preserve"> </w:t>
      </w:r>
      <w:r w:rsidRPr="00CB07C3">
        <w:t xml:space="preserve">dismissed </w:t>
      </w:r>
      <w:r w:rsidR="00B95FE9" w:rsidRPr="00CB07C3">
        <w:t>an application by Mr </w:t>
      </w:r>
      <w:r w:rsidR="00321DF9" w:rsidRPr="00CB07C3">
        <w:t xml:space="preserve">Milford for an extension of the time in which to </w:t>
      </w:r>
      <w:r w:rsidR="00B508B4" w:rsidRPr="00CB07C3">
        <w:t xml:space="preserve">make a general protections </w:t>
      </w:r>
      <w:r w:rsidR="003E41C2" w:rsidRPr="00CB07C3">
        <w:t xml:space="preserve">court </w:t>
      </w:r>
      <w:r w:rsidR="00B508B4" w:rsidRPr="00CB07C3">
        <w:t>application:</w:t>
      </w:r>
      <w:r w:rsidR="00D601C0" w:rsidRPr="00CB07C3">
        <w:t>  </w:t>
      </w:r>
      <w:r w:rsidR="00D601C0" w:rsidRPr="00CB07C3">
        <w:rPr>
          <w:i/>
        </w:rPr>
        <w:t>Cameron Milford v Coles Supply Chain Pty Ltd T/A Coles Heathwood Distribution Centre</w:t>
      </w:r>
      <w:r w:rsidR="00D601C0" w:rsidRPr="00CB07C3">
        <w:t xml:space="preserve"> [2019] FWC 4892</w:t>
      </w:r>
      <w:r w:rsidR="00B508B4" w:rsidRPr="00CB07C3">
        <w:t xml:space="preserve"> (the second decision</w:t>
      </w:r>
      <w:r w:rsidR="00D601C0" w:rsidRPr="00CB07C3">
        <w:t>).</w:t>
      </w:r>
    </w:p>
    <w:p w14:paraId="0358C304" w14:textId="0A0ABA8F" w:rsidR="00B508B4" w:rsidRDefault="00B95FE9" w:rsidP="00B508B4">
      <w:pPr>
        <w:pStyle w:val="ParaNumbering"/>
      </w:pPr>
      <w:r>
        <w:t>Mr </w:t>
      </w:r>
      <w:r w:rsidR="00321DF9">
        <w:t xml:space="preserve">Milford </w:t>
      </w:r>
      <w:r w:rsidR="00795DB8">
        <w:t xml:space="preserve">again </w:t>
      </w:r>
      <w:r w:rsidR="003C764B">
        <w:t>sought permission to appeal to</w:t>
      </w:r>
      <w:r w:rsidR="00321DF9">
        <w:t xml:space="preserve"> the Full </w:t>
      </w:r>
      <w:r w:rsidR="003C764B">
        <w:t>Bench.</w:t>
      </w:r>
      <w:r w:rsidR="002B4CA3">
        <w:t xml:space="preserve"> </w:t>
      </w:r>
      <w:r w:rsidR="00D601C0">
        <w:t xml:space="preserve"> </w:t>
      </w:r>
      <w:r w:rsidR="003C764B">
        <w:t>T</w:t>
      </w:r>
      <w:r w:rsidR="00321DF9">
        <w:t xml:space="preserve">he Full Bench </w:t>
      </w:r>
      <w:r w:rsidR="00795DB8">
        <w:t>granted permission</w:t>
      </w:r>
      <w:r w:rsidR="00B508B4">
        <w:t xml:space="preserve"> to appeal and proceeded to review both the first decision and the second decision, treating the first as an interlocutory decision affecti</w:t>
      </w:r>
      <w:r w:rsidR="00D601C0">
        <w:t>ng the outcome of the second.</w:t>
      </w:r>
    </w:p>
    <w:p w14:paraId="23DC2F60" w14:textId="6EE96404" w:rsidR="0002563E" w:rsidRPr="00CB07C3" w:rsidRDefault="00B508B4" w:rsidP="00B508B4">
      <w:pPr>
        <w:pStyle w:val="ParaNumbering"/>
      </w:pPr>
      <w:r w:rsidRPr="00CB07C3">
        <w:t xml:space="preserve">The Full Bench </w:t>
      </w:r>
      <w:r w:rsidR="00321DF9" w:rsidRPr="00CB07C3">
        <w:t xml:space="preserve">determined that the date of dismissal was to be ascertained by reference to the date of dismissal </w:t>
      </w:r>
      <w:r w:rsidR="003C764B" w:rsidRPr="00CB07C3">
        <w:t xml:space="preserve">that had been </w:t>
      </w:r>
      <w:r w:rsidR="00F1011D" w:rsidRPr="00CB07C3">
        <w:t xml:space="preserve">alleged </w:t>
      </w:r>
      <w:r w:rsidR="00321DF9" w:rsidRPr="00CB07C3">
        <w:t>by</w:t>
      </w:r>
      <w:r w:rsidR="00B95FE9" w:rsidRPr="00CB07C3">
        <w:t xml:space="preserve"> Mr </w:t>
      </w:r>
      <w:r w:rsidR="00DE11DD" w:rsidRPr="00CB07C3">
        <w:t>Milfor</w:t>
      </w:r>
      <w:r w:rsidR="00B95FE9" w:rsidRPr="00CB07C3">
        <w:t>d on his application, namely 20 July 2018</w:t>
      </w:r>
      <w:r w:rsidR="00F1011D" w:rsidRPr="00CB07C3">
        <w:t xml:space="preserve"> irrespective of whether the allegation was correct in fact:</w:t>
      </w:r>
      <w:r w:rsidR="003139C8" w:rsidRPr="00CB07C3">
        <w:t xml:space="preserve"> </w:t>
      </w:r>
      <w:r w:rsidR="000C3C9C" w:rsidRPr="00CB07C3">
        <w:t xml:space="preserve"> </w:t>
      </w:r>
      <w:r w:rsidR="00DE11DD" w:rsidRPr="00CB07C3">
        <w:rPr>
          <w:i/>
          <w:iCs/>
        </w:rPr>
        <w:t xml:space="preserve">Cameron Milford v Coles Supply Chain Pty Ltd </w:t>
      </w:r>
      <w:r w:rsidR="0031555F" w:rsidRPr="00CB07C3">
        <w:t>[2019] FWCFB 7658 (the Full Bench decision).</w:t>
      </w:r>
      <w:r w:rsidR="002B4CA3" w:rsidRPr="00CB07C3">
        <w:t xml:space="preserve"> </w:t>
      </w:r>
      <w:r w:rsidR="00D601C0" w:rsidRPr="00CB07C3">
        <w:t xml:space="preserve"> </w:t>
      </w:r>
      <w:r w:rsidRPr="00CB07C3">
        <w:t xml:space="preserve">The Full Bench concluded that the Deputy President had erred by </w:t>
      </w:r>
      <w:r w:rsidR="00AF3141" w:rsidRPr="00CB07C3">
        <w:t xml:space="preserve">effectively determining the </w:t>
      </w:r>
      <w:r w:rsidR="00F1011D" w:rsidRPr="00CB07C3">
        <w:t xml:space="preserve">substantive </w:t>
      </w:r>
      <w:r w:rsidR="00AF3141" w:rsidRPr="00CB07C3">
        <w:t>dispute</w:t>
      </w:r>
      <w:r w:rsidR="00F1011D" w:rsidRPr="00CB07C3">
        <w:t xml:space="preserve"> between the parties </w:t>
      </w:r>
      <w:r w:rsidR="00AF3141" w:rsidRPr="00CB07C3">
        <w:t xml:space="preserve">on </w:t>
      </w:r>
      <w:r w:rsidR="00F1011D" w:rsidRPr="00CB07C3">
        <w:t>the</w:t>
      </w:r>
      <w:r w:rsidR="00132654" w:rsidRPr="00CB07C3">
        <w:t xml:space="preserve"> </w:t>
      </w:r>
      <w:r w:rsidR="00AF3141" w:rsidRPr="00CB07C3">
        <w:t>merits, which the FWC was not empowered to do</w:t>
      </w:r>
      <w:r w:rsidRPr="00CB07C3">
        <w:t>.  The Full Bench set</w:t>
      </w:r>
      <w:r w:rsidR="0002563E" w:rsidRPr="00CB07C3">
        <w:t xml:space="preserve"> aside the first decision and the second decision and the</w:t>
      </w:r>
      <w:r w:rsidR="00237EB3" w:rsidRPr="00CB07C3">
        <w:t>n</w:t>
      </w:r>
      <w:r w:rsidR="0002563E" w:rsidRPr="00CB07C3">
        <w:t xml:space="preserve"> referred</w:t>
      </w:r>
      <w:r w:rsidR="003C764B" w:rsidRPr="00CB07C3">
        <w:t xml:space="preserve"> the </w:t>
      </w:r>
      <w:r w:rsidR="0031555F" w:rsidRPr="00CB07C3">
        <w:t>dispute</w:t>
      </w:r>
      <w:r w:rsidR="003C764B" w:rsidRPr="00CB07C3">
        <w:t xml:space="preserve"> to a different </w:t>
      </w:r>
      <w:r w:rsidR="000955E3" w:rsidRPr="00CB07C3">
        <w:t>Commissioner</w:t>
      </w:r>
      <w:r w:rsidR="003C764B" w:rsidRPr="00CB07C3">
        <w:t xml:space="preserve"> to be dealt with </w:t>
      </w:r>
      <w:r w:rsidR="0002563E" w:rsidRPr="00CB07C3">
        <w:t>under</w:t>
      </w:r>
      <w:r w:rsidR="00B95FE9" w:rsidRPr="00CB07C3">
        <w:t xml:space="preserve"> s </w:t>
      </w:r>
      <w:r w:rsidR="00DE11DD" w:rsidRPr="00CB07C3">
        <w:t>368</w:t>
      </w:r>
      <w:r w:rsidR="00B95FE9" w:rsidRPr="00CB07C3">
        <w:t xml:space="preserve"> of the FW Act.</w:t>
      </w:r>
    </w:p>
    <w:p w14:paraId="7A3BD158" w14:textId="77A16E63" w:rsidR="0031555F" w:rsidRPr="00CB07C3" w:rsidRDefault="00A358BA" w:rsidP="00B95FE9">
      <w:pPr>
        <w:pStyle w:val="ParaNumbering"/>
      </w:pPr>
      <w:r w:rsidRPr="00CB07C3">
        <w:t>This is an application for judicial review</w:t>
      </w:r>
      <w:r w:rsidR="00DE11DD" w:rsidRPr="00CB07C3">
        <w:t xml:space="preserve"> under </w:t>
      </w:r>
      <w:r w:rsidR="00321DF9" w:rsidRPr="00CB07C3">
        <w:t>s</w:t>
      </w:r>
      <w:r w:rsidR="00B95FE9" w:rsidRPr="00CB07C3">
        <w:t> </w:t>
      </w:r>
      <w:r w:rsidR="00321DF9" w:rsidRPr="00CB07C3">
        <w:t xml:space="preserve">39B of the </w:t>
      </w:r>
      <w:r w:rsidR="00321DF9" w:rsidRPr="00CB07C3">
        <w:rPr>
          <w:i/>
        </w:rPr>
        <w:t>Judiciary Act 1903</w:t>
      </w:r>
      <w:r w:rsidR="00321DF9" w:rsidRPr="00CB07C3">
        <w:t xml:space="preserve"> (</w:t>
      </w:r>
      <w:proofErr w:type="spellStart"/>
      <w:r w:rsidR="00321DF9" w:rsidRPr="00CB07C3">
        <w:t>Cth</w:t>
      </w:r>
      <w:proofErr w:type="spellEnd"/>
      <w:r w:rsidR="00321DF9" w:rsidRPr="00CB07C3">
        <w:t>) for</w:t>
      </w:r>
      <w:r w:rsidR="0031555F" w:rsidRPr="00CB07C3">
        <w:t xml:space="preserve"> orders in the nature of constitutional writs quashing</w:t>
      </w:r>
      <w:r w:rsidRPr="00CB07C3">
        <w:t xml:space="preserve"> the decision of the Full Bench, </w:t>
      </w:r>
      <w:r w:rsidR="0031555F" w:rsidRPr="00CB07C3">
        <w:t>prohibiting the</w:t>
      </w:r>
      <w:r w:rsidRPr="00CB07C3">
        <w:t xml:space="preserve"> FWC from acting upon it </w:t>
      </w:r>
      <w:r w:rsidR="0031555F" w:rsidRPr="00CB07C3">
        <w:t>and requiring</w:t>
      </w:r>
      <w:r w:rsidR="00B05652" w:rsidRPr="00CB07C3">
        <w:t xml:space="preserve"> the Full Bench to determine Mr </w:t>
      </w:r>
      <w:r w:rsidR="0031555F" w:rsidRPr="00CB07C3">
        <w:t>Milford’s appea</w:t>
      </w:r>
      <w:r w:rsidR="00B05652" w:rsidRPr="00CB07C3">
        <w:t>l in accordance with the law.</w:t>
      </w:r>
      <w:r w:rsidR="002B4CA3" w:rsidRPr="00CB07C3">
        <w:t xml:space="preserve"> </w:t>
      </w:r>
      <w:r w:rsidR="00237EB3" w:rsidRPr="00CB07C3">
        <w:t xml:space="preserve"> </w:t>
      </w:r>
      <w:r w:rsidRPr="00CB07C3">
        <w:t xml:space="preserve">Coles </w:t>
      </w:r>
      <w:r w:rsidR="0031555F" w:rsidRPr="00CB07C3">
        <w:t>seeks declarations as to th</w:t>
      </w:r>
      <w:r w:rsidR="00B05652" w:rsidRPr="00CB07C3">
        <w:t>e proper construction of the FW </w:t>
      </w:r>
      <w:r w:rsidR="0031555F" w:rsidRPr="00CB07C3">
        <w:t>Act and a further de</w:t>
      </w:r>
      <w:r w:rsidR="00B05652" w:rsidRPr="00CB07C3">
        <w:t>claration to the effect that Mr </w:t>
      </w:r>
      <w:r w:rsidR="0031555F" w:rsidRPr="00CB07C3">
        <w:t>Milford</w:t>
      </w:r>
      <w:r w:rsidRPr="00CB07C3">
        <w:t xml:space="preserve">’s dismissal took effect from either </w:t>
      </w:r>
      <w:r w:rsidR="00237EB3" w:rsidRPr="00CB07C3">
        <w:t>13 June 2016 or 1 </w:t>
      </w:r>
      <w:r w:rsidRPr="00CB07C3">
        <w:t>July 2016</w:t>
      </w:r>
      <w:r w:rsidR="0031555F" w:rsidRPr="00CB07C3">
        <w:t>.</w:t>
      </w:r>
    </w:p>
    <w:p w14:paraId="43A35285" w14:textId="5537FB20" w:rsidR="00321DF9" w:rsidRPr="00CB07C3" w:rsidRDefault="00F50F31" w:rsidP="00B95FE9">
      <w:pPr>
        <w:pStyle w:val="ParaNumbering"/>
      </w:pPr>
      <w:r w:rsidRPr="00CB07C3">
        <w:t xml:space="preserve">The Chief Justice made </w:t>
      </w:r>
      <w:r w:rsidR="0002563E" w:rsidRPr="00CB07C3">
        <w:t>a</w:t>
      </w:r>
      <w:r w:rsidRPr="00CB07C3">
        <w:t xml:space="preserve"> direction</w:t>
      </w:r>
      <w:r w:rsidR="0002563E" w:rsidRPr="00CB07C3">
        <w:t xml:space="preserve"> </w:t>
      </w:r>
      <w:r w:rsidR="00B653C5" w:rsidRPr="00CB07C3">
        <w:t xml:space="preserve">pursuant to </w:t>
      </w:r>
      <w:r w:rsidR="006E5E29" w:rsidRPr="00CB07C3">
        <w:t>s </w:t>
      </w:r>
      <w:r w:rsidR="00B653C5" w:rsidRPr="00CB07C3">
        <w:t>20(</w:t>
      </w:r>
      <w:r w:rsidR="004F3BBA" w:rsidRPr="00CB07C3">
        <w:t>1A</w:t>
      </w:r>
      <w:r w:rsidR="00B653C5" w:rsidRPr="00CB07C3">
        <w:t>)</w:t>
      </w:r>
      <w:r w:rsidR="0002563E" w:rsidRPr="00CB07C3">
        <w:t xml:space="preserve"> of the </w:t>
      </w:r>
      <w:r w:rsidR="0002563E" w:rsidRPr="00CB07C3">
        <w:rPr>
          <w:i/>
        </w:rPr>
        <w:t>Federal</w:t>
      </w:r>
      <w:r w:rsidR="003139C8" w:rsidRPr="00CB07C3">
        <w:rPr>
          <w:i/>
        </w:rPr>
        <w:t xml:space="preserve"> </w:t>
      </w:r>
      <w:r w:rsidR="0002563E" w:rsidRPr="00CB07C3">
        <w:rPr>
          <w:i/>
        </w:rPr>
        <w:t>Court of Australia Act 1976</w:t>
      </w:r>
      <w:r w:rsidR="0002563E" w:rsidRPr="00CB07C3">
        <w:t xml:space="preserve"> (</w:t>
      </w:r>
      <w:proofErr w:type="spellStart"/>
      <w:r w:rsidR="0002563E" w:rsidRPr="00CB07C3">
        <w:t>Cth</w:t>
      </w:r>
      <w:proofErr w:type="spellEnd"/>
      <w:r w:rsidR="0002563E" w:rsidRPr="00CB07C3">
        <w:t>)</w:t>
      </w:r>
      <w:r w:rsidR="00F1011D" w:rsidRPr="00CB07C3">
        <w:t xml:space="preserve"> (FCA</w:t>
      </w:r>
      <w:r w:rsidR="006A6789" w:rsidRPr="00CB07C3">
        <w:t> </w:t>
      </w:r>
      <w:r w:rsidR="00F1011D" w:rsidRPr="00CB07C3">
        <w:t>Act)</w:t>
      </w:r>
      <w:r w:rsidRPr="00CB07C3">
        <w:t xml:space="preserve"> that</w:t>
      </w:r>
      <w:r w:rsidR="0002563E" w:rsidRPr="00CB07C3">
        <w:t xml:space="preserve"> </w:t>
      </w:r>
      <w:r w:rsidR="00F1011D" w:rsidRPr="00CB07C3">
        <w:t xml:space="preserve">the </w:t>
      </w:r>
      <w:r w:rsidR="00B95FE9" w:rsidRPr="00CB07C3">
        <w:t>C</w:t>
      </w:r>
      <w:r w:rsidR="0002563E" w:rsidRPr="00CB07C3">
        <w:t xml:space="preserve">ourt’s jurisdiction to hear the application </w:t>
      </w:r>
      <w:r w:rsidRPr="00CB07C3">
        <w:t xml:space="preserve">be </w:t>
      </w:r>
      <w:r w:rsidR="0002563E" w:rsidRPr="00CB07C3">
        <w:t>exercised by a Full Court.</w:t>
      </w:r>
    </w:p>
    <w:p w14:paraId="031DA7F7" w14:textId="7277C787" w:rsidR="00A358BA" w:rsidRDefault="00A358BA" w:rsidP="00A358BA">
      <w:pPr>
        <w:pStyle w:val="Heading1"/>
      </w:pPr>
      <w:r>
        <w:t>SUMMARY OF RESULT</w:t>
      </w:r>
    </w:p>
    <w:p w14:paraId="4FB46ACA" w14:textId="5FA9E9F8" w:rsidR="0031555F" w:rsidRDefault="0031555F" w:rsidP="00B95FE9">
      <w:pPr>
        <w:pStyle w:val="ParaNumbering"/>
      </w:pPr>
      <w:r>
        <w:t>For the reasons that follow, the Full Bench miscon</w:t>
      </w:r>
      <w:r w:rsidR="00B05652">
        <w:t>strued the provisions of the FW </w:t>
      </w:r>
      <w:r>
        <w:t xml:space="preserve">Act </w:t>
      </w:r>
      <w:r w:rsidR="00A358BA">
        <w:t xml:space="preserve">defining </w:t>
      </w:r>
      <w:r>
        <w:t xml:space="preserve">the </w:t>
      </w:r>
      <w:r w:rsidR="00A358BA">
        <w:t>boundaries of the FWC’s</w:t>
      </w:r>
      <w:r>
        <w:t xml:space="preserve"> authori</w:t>
      </w:r>
      <w:r w:rsidR="00B05652">
        <w:t>ty to deal with the dispute</w:t>
      </w:r>
      <w:r w:rsidR="00A358BA">
        <w:t xml:space="preserve"> and so committed jurisdictional error</w:t>
      </w:r>
      <w:r w:rsidR="00B05652">
        <w:t>.</w:t>
      </w:r>
      <w:r w:rsidR="002B4CA3">
        <w:t xml:space="preserve"> </w:t>
      </w:r>
      <w:r w:rsidR="004F6F99">
        <w:t xml:space="preserve"> </w:t>
      </w:r>
      <w:r>
        <w:t xml:space="preserve">There should be orders having the effect of quashing the </w:t>
      </w:r>
      <w:r w:rsidR="006A6789">
        <w:t xml:space="preserve">decision of the </w:t>
      </w:r>
      <w:r>
        <w:t xml:space="preserve">Full </w:t>
      </w:r>
      <w:r w:rsidR="00B05652">
        <w:t xml:space="preserve">Bench and </w:t>
      </w:r>
      <w:r w:rsidR="00B05652">
        <w:lastRenderedPageBreak/>
        <w:t>remitting Mr </w:t>
      </w:r>
      <w:r>
        <w:t>Milford’s appeal to be determined</w:t>
      </w:r>
      <w:r w:rsidR="00B05652">
        <w:t xml:space="preserve"> in accordance with the </w:t>
      </w:r>
      <w:r w:rsidR="00F1011D">
        <w:t>l</w:t>
      </w:r>
      <w:r w:rsidR="00B05652">
        <w:t>aw.</w:t>
      </w:r>
      <w:r w:rsidR="00A358BA">
        <w:t xml:space="preserve">  Declaratory relief </w:t>
      </w:r>
      <w:r w:rsidR="00F1011D">
        <w:t xml:space="preserve">ought </w:t>
      </w:r>
      <w:r w:rsidR="006A6789">
        <w:t xml:space="preserve">to </w:t>
      </w:r>
      <w:r w:rsidR="00F1011D">
        <w:t>be granted</w:t>
      </w:r>
      <w:r w:rsidR="00237EB3">
        <w:t>.</w:t>
      </w:r>
      <w:r w:rsidR="00F1011D">
        <w:t xml:space="preserve">  However, declarations in the terms sought by Coles should not be made.</w:t>
      </w:r>
    </w:p>
    <w:p w14:paraId="6BA186C4" w14:textId="77777777" w:rsidR="00DE11DD" w:rsidRDefault="002D276F" w:rsidP="00DE11DD">
      <w:pPr>
        <w:pStyle w:val="Heading1"/>
      </w:pPr>
      <w:r>
        <w:t>the FW ACT</w:t>
      </w:r>
    </w:p>
    <w:p w14:paraId="58E7F972" w14:textId="77777777" w:rsidR="00AF3141" w:rsidRPr="00B95FE9" w:rsidRDefault="00AF3141" w:rsidP="00AF3141">
      <w:pPr>
        <w:pStyle w:val="ParaNumbering"/>
      </w:pPr>
      <w:r>
        <w:t>It is necessary to begin with a broad survey of the relevant provisions of the FW Act, and the context in which they are placed in the statute as a whole.</w:t>
      </w:r>
    </w:p>
    <w:p w14:paraId="71C47E7B" w14:textId="095D1390" w:rsidR="00F57121" w:rsidRPr="00CB07C3" w:rsidRDefault="00B95FE9" w:rsidP="00F57121">
      <w:pPr>
        <w:pStyle w:val="ParaNumbering"/>
      </w:pPr>
      <w:r w:rsidRPr="00CB07C3">
        <w:t>Part 3-1 of the FW </w:t>
      </w:r>
      <w:r w:rsidR="007D12A0" w:rsidRPr="00CB07C3">
        <w:t xml:space="preserve">Act is titled </w:t>
      </w:r>
      <w:r w:rsidR="00670D9E" w:rsidRPr="00CB07C3">
        <w:t>“</w:t>
      </w:r>
      <w:r w:rsidR="007D12A0" w:rsidRPr="00CB07C3">
        <w:t>General Protections</w:t>
      </w:r>
      <w:r w:rsidR="00670D9E" w:rsidRPr="00CB07C3">
        <w:t>”</w:t>
      </w:r>
      <w:r w:rsidR="007D12A0" w:rsidRPr="00CB07C3">
        <w:rPr>
          <w:i/>
        </w:rPr>
        <w:t>.</w:t>
      </w:r>
      <w:r w:rsidR="003139C8" w:rsidRPr="00CB07C3">
        <w:t xml:space="preserve"> </w:t>
      </w:r>
      <w:r w:rsidR="00237EB3" w:rsidRPr="00CB07C3">
        <w:t xml:space="preserve"> </w:t>
      </w:r>
      <w:r w:rsidR="00AD10E2" w:rsidRPr="00CB07C3">
        <w:t>Section </w:t>
      </w:r>
      <w:r w:rsidR="007D12A0" w:rsidRPr="00CB07C3">
        <w:t>340(1) relevantly provides that a person must not take “adverse action” against another person because the other person has exercise</w:t>
      </w:r>
      <w:r w:rsidR="00F1011D" w:rsidRPr="00CB07C3">
        <w:t>d (or proposes to exercise)</w:t>
      </w:r>
      <w:r w:rsidR="007D12A0" w:rsidRPr="00CB07C3">
        <w:t xml:space="preserve"> a “workplace right”.</w:t>
      </w:r>
      <w:r w:rsidR="002B4CA3" w:rsidRPr="00CB07C3">
        <w:t xml:space="preserve"> </w:t>
      </w:r>
      <w:r w:rsidR="00237EB3" w:rsidRPr="00CB07C3">
        <w:t xml:space="preserve"> </w:t>
      </w:r>
      <w:r w:rsidR="00F57121" w:rsidRPr="00CB07C3">
        <w:t>Adverse action is taken by an employer against an employee if the employer (relevantly) dismisses the employee</w:t>
      </w:r>
      <w:r w:rsidR="00F50F31" w:rsidRPr="00CB07C3">
        <w:t xml:space="preserve"> and that action is not authorised by law</w:t>
      </w:r>
      <w:r w:rsidR="00F57121" w:rsidRPr="00CB07C3">
        <w:t>:</w:t>
      </w:r>
      <w:r w:rsidR="002B4CA3" w:rsidRPr="00CB07C3">
        <w:t xml:space="preserve"> </w:t>
      </w:r>
      <w:r w:rsidR="005D19FA" w:rsidRPr="00CB07C3">
        <w:t xml:space="preserve"> </w:t>
      </w:r>
      <w:r w:rsidR="00AD10E2" w:rsidRPr="00CB07C3">
        <w:t>s </w:t>
      </w:r>
      <w:r w:rsidR="007D12A0" w:rsidRPr="00CB07C3">
        <w:t>342</w:t>
      </w:r>
      <w:r w:rsidR="00F57121" w:rsidRPr="00CB07C3">
        <w:t>(1), item</w:t>
      </w:r>
      <w:r w:rsidR="00237EB3" w:rsidRPr="00CB07C3">
        <w:t> </w:t>
      </w:r>
      <w:r w:rsidR="00F57121" w:rsidRPr="00CB07C3">
        <w:t>1</w:t>
      </w:r>
      <w:r w:rsidR="00F50F31" w:rsidRPr="00CB07C3">
        <w:t>; s 342(3).</w:t>
      </w:r>
      <w:r w:rsidR="00A358BA" w:rsidRPr="00CB07C3">
        <w:t xml:space="preserve">  There are other defined adverse actions that do not involve dismissal.</w:t>
      </w:r>
    </w:p>
    <w:p w14:paraId="37189BBC" w14:textId="6CF0B361" w:rsidR="00F57121" w:rsidRPr="00CB07C3" w:rsidRDefault="00F57121" w:rsidP="00237EB3">
      <w:pPr>
        <w:pStyle w:val="ParaNumbering"/>
        <w:keepNext/>
      </w:pPr>
      <w:r w:rsidRPr="00CB07C3">
        <w:rPr>
          <w:bCs/>
          <w:iCs/>
        </w:rPr>
        <w:t>Section</w:t>
      </w:r>
      <w:r w:rsidR="00B05652" w:rsidRPr="00CB07C3">
        <w:rPr>
          <w:bCs/>
          <w:iCs/>
        </w:rPr>
        <w:t> </w:t>
      </w:r>
      <w:r w:rsidRPr="00CB07C3">
        <w:rPr>
          <w:bCs/>
          <w:iCs/>
        </w:rPr>
        <w:t>12 defines the word</w:t>
      </w:r>
      <w:r w:rsidRPr="00CB07C3">
        <w:rPr>
          <w:b/>
          <w:bCs/>
          <w:iCs/>
        </w:rPr>
        <w:t xml:space="preserve"> </w:t>
      </w:r>
      <w:r w:rsidR="005D19FA" w:rsidRPr="00CB07C3">
        <w:rPr>
          <w:bCs/>
          <w:iCs/>
        </w:rPr>
        <w:t>“</w:t>
      </w:r>
      <w:r w:rsidRPr="00CB07C3">
        <w:rPr>
          <w:bCs/>
          <w:iCs/>
        </w:rPr>
        <w:t>dismissed</w:t>
      </w:r>
      <w:r w:rsidR="005D19FA" w:rsidRPr="00CB07C3">
        <w:rPr>
          <w:bCs/>
          <w:iCs/>
        </w:rPr>
        <w:t>”</w:t>
      </w:r>
      <w:r w:rsidR="00A358BA" w:rsidRPr="00CB07C3">
        <w:t xml:space="preserve"> </w:t>
      </w:r>
      <w:r w:rsidR="00B05652" w:rsidRPr="00CB07C3">
        <w:t>by reference to s </w:t>
      </w:r>
      <w:r w:rsidRPr="00CB07C3">
        <w:t>386</w:t>
      </w:r>
      <w:r w:rsidR="00A358BA" w:rsidRPr="00CB07C3">
        <w:t xml:space="preserve">.  It </w:t>
      </w:r>
      <w:r w:rsidR="00F50F31" w:rsidRPr="00CB07C3">
        <w:t xml:space="preserve">relevantly </w:t>
      </w:r>
      <w:r w:rsidR="00A358BA" w:rsidRPr="00CB07C3">
        <w:t>provides</w:t>
      </w:r>
      <w:r w:rsidR="00B05652" w:rsidRPr="00CB07C3">
        <w:t>:</w:t>
      </w:r>
    </w:p>
    <w:p w14:paraId="461B45ED" w14:textId="77777777" w:rsidR="00F57121" w:rsidRPr="00DE07CE" w:rsidRDefault="00F57121" w:rsidP="00F57121">
      <w:pPr>
        <w:pStyle w:val="Quote1"/>
        <w:rPr>
          <w:b/>
        </w:rPr>
      </w:pPr>
      <w:r w:rsidRPr="00DE07CE">
        <w:rPr>
          <w:b/>
        </w:rPr>
        <w:t xml:space="preserve">386 Meaning of </w:t>
      </w:r>
      <w:r w:rsidRPr="00DE07CE">
        <w:rPr>
          <w:b/>
          <w:i/>
        </w:rPr>
        <w:t>dismissed</w:t>
      </w:r>
      <w:r w:rsidRPr="00DE07CE">
        <w:rPr>
          <w:b/>
        </w:rPr>
        <w:t xml:space="preserve"> </w:t>
      </w:r>
    </w:p>
    <w:p w14:paraId="1F566BA4" w14:textId="77777777" w:rsidR="00F57121" w:rsidRPr="00DE07CE" w:rsidRDefault="00F57121" w:rsidP="00F57121">
      <w:pPr>
        <w:pStyle w:val="Quote1"/>
      </w:pPr>
      <w:r w:rsidRPr="00DE07CE">
        <w:t>(1)</w:t>
      </w:r>
      <w:r w:rsidRPr="00DE07CE">
        <w:tab/>
        <w:t xml:space="preserve">A person has been </w:t>
      </w:r>
      <w:r w:rsidRPr="00DE07CE">
        <w:rPr>
          <w:b/>
          <w:i/>
        </w:rPr>
        <w:t>dismissed</w:t>
      </w:r>
      <w:r w:rsidRPr="00DE07CE">
        <w:t xml:space="preserve"> if: </w:t>
      </w:r>
    </w:p>
    <w:p w14:paraId="516C448D" w14:textId="77777777" w:rsidR="00F57121" w:rsidRPr="00DE07CE" w:rsidRDefault="00F57121" w:rsidP="00F57121">
      <w:pPr>
        <w:pStyle w:val="Quote2"/>
        <w:ind w:left="2160" w:hanging="720"/>
      </w:pPr>
      <w:r w:rsidRPr="00DE07CE">
        <w:t>(a)</w:t>
      </w:r>
      <w:r w:rsidRPr="00DE07CE">
        <w:tab/>
        <w:t xml:space="preserve">the person’s employment with his or her employer has been terminated on the employer’s initiative; or </w:t>
      </w:r>
    </w:p>
    <w:p w14:paraId="418EA41F" w14:textId="60BC6888" w:rsidR="00F57121" w:rsidRDefault="00F57121" w:rsidP="00F57121">
      <w:pPr>
        <w:pStyle w:val="Quote2"/>
        <w:ind w:left="2160" w:hanging="720"/>
      </w:pPr>
      <w:r w:rsidRPr="00DE07CE">
        <w:t>(b)</w:t>
      </w:r>
      <w:r w:rsidRPr="00DE07CE">
        <w:tab/>
        <w:t>the person has resigned from his or her employment, but was forced to do so because of conduct, or a course of conduct, engaged in by his or her employer.</w:t>
      </w:r>
      <w:r>
        <w:t xml:space="preserve"> </w:t>
      </w:r>
    </w:p>
    <w:p w14:paraId="37031A79" w14:textId="413DE639" w:rsidR="00F50F31" w:rsidRDefault="00F50F31" w:rsidP="00F57121">
      <w:pPr>
        <w:pStyle w:val="Quote2"/>
        <w:ind w:left="2160" w:hanging="720"/>
      </w:pPr>
      <w:r>
        <w:t>…</w:t>
      </w:r>
    </w:p>
    <w:p w14:paraId="7BEAD799" w14:textId="6CEA1B1A" w:rsidR="00A358BA" w:rsidRPr="00CB07C3" w:rsidRDefault="002D276F" w:rsidP="008E00B4">
      <w:pPr>
        <w:pStyle w:val="ParaNumbering"/>
      </w:pPr>
      <w:r w:rsidRPr="00CB07C3">
        <w:t>Div</w:t>
      </w:r>
      <w:r w:rsidR="00B35046" w:rsidRPr="00CB07C3">
        <w:t>ision</w:t>
      </w:r>
      <w:r w:rsidR="00AD10E2" w:rsidRPr="00CB07C3">
        <w:t> </w:t>
      </w:r>
      <w:r w:rsidRPr="00CB07C3">
        <w:t xml:space="preserve">8 </w:t>
      </w:r>
      <w:r w:rsidR="00F57121" w:rsidRPr="00CB07C3">
        <w:t>of</w:t>
      </w:r>
      <w:r w:rsidR="00B05652" w:rsidRPr="00CB07C3">
        <w:t xml:space="preserve"> Pt 3-1 is titled </w:t>
      </w:r>
      <w:r w:rsidR="00670D9E" w:rsidRPr="00CB07C3">
        <w:t>“</w:t>
      </w:r>
      <w:r w:rsidR="00B05652" w:rsidRPr="00CB07C3">
        <w:t>Compliance</w:t>
      </w:r>
      <w:r w:rsidR="00670D9E" w:rsidRPr="00CB07C3">
        <w:t>”</w:t>
      </w:r>
      <w:r w:rsidR="00B05652" w:rsidRPr="00CB07C3">
        <w:t>.</w:t>
      </w:r>
      <w:r w:rsidR="002B4CA3" w:rsidRPr="00CB07C3">
        <w:t xml:space="preserve"> </w:t>
      </w:r>
      <w:r w:rsidR="00237EB3" w:rsidRPr="00CB07C3">
        <w:t xml:space="preserve"> </w:t>
      </w:r>
      <w:r w:rsidR="00FE5CB4" w:rsidRPr="00CB07C3">
        <w:t>It establishes</w:t>
      </w:r>
      <w:r w:rsidR="00F57121" w:rsidRPr="00CB07C3">
        <w:t xml:space="preserve"> </w:t>
      </w:r>
      <w:r w:rsidR="004C4A92" w:rsidRPr="00CB07C3">
        <w:t>two regimes</w:t>
      </w:r>
      <w:r w:rsidR="00F57121" w:rsidRPr="00CB07C3">
        <w:t xml:space="preserve"> </w:t>
      </w:r>
      <w:r w:rsidR="00FE5CB4" w:rsidRPr="00CB07C3">
        <w:t xml:space="preserve">for dealing with </w:t>
      </w:r>
      <w:r w:rsidR="00B05652" w:rsidRPr="00CB07C3">
        <w:t>disputes</w:t>
      </w:r>
      <w:r w:rsidR="004C182F" w:rsidRPr="00CB07C3">
        <w:t xml:space="preserve"> in which </w:t>
      </w:r>
      <w:r w:rsidR="00A358BA" w:rsidRPr="00CB07C3">
        <w:t>allegation</w:t>
      </w:r>
      <w:r w:rsidR="004C4A92" w:rsidRPr="00CB07C3">
        <w:t>s</w:t>
      </w:r>
      <w:r w:rsidR="00A358BA" w:rsidRPr="00CB07C3">
        <w:t xml:space="preserve"> of contravention of </w:t>
      </w:r>
      <w:r w:rsidR="004C4A92" w:rsidRPr="00CB07C3">
        <w:t xml:space="preserve">general protection provisions are made: </w:t>
      </w:r>
      <w:r w:rsidR="005D19FA" w:rsidRPr="00CB07C3">
        <w:t xml:space="preserve"> </w:t>
      </w:r>
      <w:r w:rsidR="004C4A92" w:rsidRPr="00CB07C3">
        <w:t>a regime</w:t>
      </w:r>
      <w:r w:rsidR="00237EB3" w:rsidRPr="00CB07C3">
        <w:t xml:space="preserve"> for dismissal disputes (</w:t>
      </w:r>
      <w:proofErr w:type="spellStart"/>
      <w:r w:rsidR="00237EB3" w:rsidRPr="00CB07C3">
        <w:t>Subdiv</w:t>
      </w:r>
      <w:proofErr w:type="spellEnd"/>
      <w:r w:rsidR="00237EB3" w:rsidRPr="00CB07C3">
        <w:t> </w:t>
      </w:r>
      <w:r w:rsidR="004C4A92" w:rsidRPr="00CB07C3">
        <w:t>A) and a regime for non</w:t>
      </w:r>
      <w:r w:rsidR="00237EB3" w:rsidRPr="00CB07C3">
        <w:t>-dismissal disputes (</w:t>
      </w:r>
      <w:proofErr w:type="spellStart"/>
      <w:r w:rsidR="00237EB3" w:rsidRPr="00CB07C3">
        <w:t>Subdiv</w:t>
      </w:r>
      <w:proofErr w:type="spellEnd"/>
      <w:r w:rsidR="00237EB3" w:rsidRPr="00CB07C3">
        <w:t> B).</w:t>
      </w:r>
    </w:p>
    <w:p w14:paraId="7EB05B9F" w14:textId="029E92F5" w:rsidR="00F57121" w:rsidRPr="00CB07C3" w:rsidRDefault="00237EB3" w:rsidP="00237EB3">
      <w:pPr>
        <w:pStyle w:val="ParaNumbering"/>
        <w:keepNext/>
      </w:pPr>
      <w:r w:rsidRPr="00CB07C3">
        <w:t>Section</w:t>
      </w:r>
      <w:r w:rsidR="00B05652" w:rsidRPr="00CB07C3">
        <w:t> </w:t>
      </w:r>
      <w:r w:rsidR="00F57121" w:rsidRPr="00CB07C3">
        <w:t>365</w:t>
      </w:r>
      <w:r w:rsidR="004C4A92" w:rsidRPr="00CB07C3">
        <w:t xml:space="preserve"> and </w:t>
      </w:r>
      <w:r w:rsidRPr="00CB07C3">
        <w:t>s</w:t>
      </w:r>
      <w:r w:rsidR="00B05652" w:rsidRPr="00CB07C3">
        <w:t> </w:t>
      </w:r>
      <w:r w:rsidR="00FE5CB4" w:rsidRPr="00CB07C3">
        <w:t>366</w:t>
      </w:r>
      <w:r w:rsidR="00F57121" w:rsidRPr="00CB07C3">
        <w:t xml:space="preserve"> of</w:t>
      </w:r>
      <w:r w:rsidR="00B05652" w:rsidRPr="00CB07C3">
        <w:t xml:space="preserve"> the FW </w:t>
      </w:r>
      <w:r w:rsidR="00F57121" w:rsidRPr="00CB07C3">
        <w:t>Act</w:t>
      </w:r>
      <w:r w:rsidRPr="00CB07C3">
        <w:t xml:space="preserve"> are contained in </w:t>
      </w:r>
      <w:proofErr w:type="spellStart"/>
      <w:r w:rsidRPr="00CB07C3">
        <w:t>Subdiv</w:t>
      </w:r>
      <w:proofErr w:type="spellEnd"/>
      <w:r w:rsidRPr="00CB07C3">
        <w:t> </w:t>
      </w:r>
      <w:r w:rsidR="004C4A92" w:rsidRPr="00CB07C3">
        <w:t>A.  The</w:t>
      </w:r>
      <w:r w:rsidRPr="00CB07C3">
        <w:t>y</w:t>
      </w:r>
      <w:r w:rsidR="004C4A92" w:rsidRPr="00CB07C3">
        <w:t xml:space="preserve"> provide:</w:t>
      </w:r>
    </w:p>
    <w:p w14:paraId="7AA0F70C" w14:textId="77777777" w:rsidR="00AF3C90" w:rsidRPr="00DE07CE" w:rsidRDefault="00AF3C90" w:rsidP="006842DA">
      <w:pPr>
        <w:pStyle w:val="Quote1"/>
        <w:keepNext/>
        <w:ind w:left="734" w:right="734"/>
        <w:rPr>
          <w:b/>
        </w:rPr>
      </w:pPr>
      <w:r w:rsidRPr="00DE07CE">
        <w:rPr>
          <w:b/>
        </w:rPr>
        <w:t xml:space="preserve">365 Application for the FWC to deal with a dismissal dispute </w:t>
      </w:r>
    </w:p>
    <w:p w14:paraId="0C32774E" w14:textId="77777777" w:rsidR="00AF3C90" w:rsidRPr="00DE07CE" w:rsidRDefault="00AD10E2" w:rsidP="00AD10E2">
      <w:pPr>
        <w:pStyle w:val="Quote1"/>
        <w:rPr>
          <w:szCs w:val="22"/>
        </w:rPr>
      </w:pPr>
      <w:r w:rsidRPr="00DE07CE">
        <w:rPr>
          <w:szCs w:val="22"/>
        </w:rPr>
        <w:t>If:</w:t>
      </w:r>
    </w:p>
    <w:p w14:paraId="0717AD34" w14:textId="77777777" w:rsidR="00AF3C90" w:rsidRPr="00DE07CE" w:rsidRDefault="00AD10E2" w:rsidP="00AD10E2">
      <w:pPr>
        <w:pStyle w:val="Quote1"/>
        <w:rPr>
          <w:szCs w:val="22"/>
        </w:rPr>
      </w:pPr>
      <w:r w:rsidRPr="00DE07CE">
        <w:rPr>
          <w:szCs w:val="22"/>
        </w:rPr>
        <w:t>(a)</w:t>
      </w:r>
      <w:r w:rsidRPr="00DE07CE">
        <w:rPr>
          <w:szCs w:val="22"/>
        </w:rPr>
        <w:tab/>
      </w:r>
      <w:r w:rsidR="00AF3C90" w:rsidRPr="00DE07CE">
        <w:rPr>
          <w:szCs w:val="22"/>
        </w:rPr>
        <w:t xml:space="preserve">a person has been dismissed; and </w:t>
      </w:r>
    </w:p>
    <w:p w14:paraId="325C4A68" w14:textId="77777777" w:rsidR="00AF3C90" w:rsidRPr="00DE07CE" w:rsidRDefault="00AD10E2" w:rsidP="00AD10E2">
      <w:pPr>
        <w:pStyle w:val="Quote1"/>
        <w:ind w:left="1440" w:hanging="703"/>
        <w:rPr>
          <w:szCs w:val="22"/>
        </w:rPr>
      </w:pPr>
      <w:r w:rsidRPr="00DE07CE">
        <w:rPr>
          <w:szCs w:val="22"/>
        </w:rPr>
        <w:t>(b)</w:t>
      </w:r>
      <w:r w:rsidRPr="00DE07CE">
        <w:rPr>
          <w:szCs w:val="22"/>
        </w:rPr>
        <w:tab/>
      </w:r>
      <w:r w:rsidR="00AF3C90" w:rsidRPr="00DE07CE">
        <w:rPr>
          <w:szCs w:val="22"/>
        </w:rPr>
        <w:t>the person, or an industrial association that is entitled to represent the industrial interests of the person, alleges that the person was dismissed</w:t>
      </w:r>
      <w:r w:rsidRPr="00DE07CE">
        <w:rPr>
          <w:szCs w:val="22"/>
        </w:rPr>
        <w:t xml:space="preserve"> in contravention of this Part;</w:t>
      </w:r>
    </w:p>
    <w:p w14:paraId="199F3932" w14:textId="77777777" w:rsidR="00AF3C90" w:rsidRPr="00DE07CE" w:rsidRDefault="00AF3C90" w:rsidP="00AD10E2">
      <w:pPr>
        <w:pStyle w:val="Quote1"/>
        <w:rPr>
          <w:szCs w:val="22"/>
        </w:rPr>
      </w:pPr>
      <w:r w:rsidRPr="00DE07CE">
        <w:rPr>
          <w:szCs w:val="22"/>
        </w:rPr>
        <w:t xml:space="preserve">the person, or the industrial association, may apply to the FWC for the FWC to deal with the dispute. </w:t>
      </w:r>
    </w:p>
    <w:p w14:paraId="0C61FC99" w14:textId="48BFA57D" w:rsidR="00AF3C90" w:rsidRPr="00DE07CE" w:rsidRDefault="00AF3C90" w:rsidP="00AD10E2">
      <w:pPr>
        <w:pStyle w:val="Quote1"/>
        <w:rPr>
          <w:b/>
        </w:rPr>
      </w:pPr>
      <w:r w:rsidRPr="00DE07CE">
        <w:rPr>
          <w:b/>
        </w:rPr>
        <w:t xml:space="preserve">366 Time for application </w:t>
      </w:r>
    </w:p>
    <w:p w14:paraId="26242D5C" w14:textId="77777777" w:rsidR="00AF3C90" w:rsidRPr="00DE07CE" w:rsidRDefault="00AD10E2" w:rsidP="00AD10E2">
      <w:pPr>
        <w:pStyle w:val="Quote1"/>
        <w:rPr>
          <w:szCs w:val="22"/>
        </w:rPr>
      </w:pPr>
      <w:r w:rsidRPr="00DE07CE">
        <w:rPr>
          <w:szCs w:val="22"/>
        </w:rPr>
        <w:lastRenderedPageBreak/>
        <w:t>(1)</w:t>
      </w:r>
      <w:r w:rsidRPr="00DE07CE">
        <w:rPr>
          <w:szCs w:val="22"/>
        </w:rPr>
        <w:tab/>
        <w:t>An application under section </w:t>
      </w:r>
      <w:r w:rsidR="00AF3C90" w:rsidRPr="00DE07CE">
        <w:rPr>
          <w:szCs w:val="22"/>
        </w:rPr>
        <w:t xml:space="preserve">365 must be made: </w:t>
      </w:r>
    </w:p>
    <w:p w14:paraId="54ECE99A" w14:textId="77777777" w:rsidR="00AF3C90" w:rsidRPr="00DE07CE" w:rsidRDefault="00AD10E2" w:rsidP="00AD10E2">
      <w:pPr>
        <w:pStyle w:val="Quote2"/>
      </w:pPr>
      <w:r w:rsidRPr="00DE07CE">
        <w:t>(a)</w:t>
      </w:r>
      <w:r w:rsidRPr="00DE07CE">
        <w:tab/>
      </w:r>
      <w:r w:rsidR="00AF3C90" w:rsidRPr="00DE07CE">
        <w:t xml:space="preserve">within 21 days after the dismissal took effect; or </w:t>
      </w:r>
    </w:p>
    <w:p w14:paraId="1FCAA837" w14:textId="77777777" w:rsidR="00AF3C90" w:rsidRPr="00DE07CE" w:rsidRDefault="00AD10E2" w:rsidP="00AD10E2">
      <w:pPr>
        <w:pStyle w:val="Quote2"/>
      </w:pPr>
      <w:r w:rsidRPr="00DE07CE">
        <w:t>(b)</w:t>
      </w:r>
      <w:r w:rsidRPr="00DE07CE">
        <w:tab/>
      </w:r>
      <w:r w:rsidR="00AF3C90" w:rsidRPr="00DE07CE">
        <w:t>within such further period as the FWC allows under subsection</w:t>
      </w:r>
      <w:r w:rsidRPr="00DE07CE">
        <w:t> (2).</w:t>
      </w:r>
    </w:p>
    <w:p w14:paraId="3CA415B4" w14:textId="77777777" w:rsidR="00AF3C90" w:rsidRPr="00DE07CE" w:rsidRDefault="00AD10E2" w:rsidP="00AD10E2">
      <w:pPr>
        <w:pStyle w:val="Quote1"/>
        <w:ind w:left="1440" w:hanging="703"/>
        <w:rPr>
          <w:szCs w:val="22"/>
        </w:rPr>
      </w:pPr>
      <w:r w:rsidRPr="00DE07CE">
        <w:rPr>
          <w:szCs w:val="22"/>
        </w:rPr>
        <w:t>(2)</w:t>
      </w:r>
      <w:r w:rsidRPr="00DE07CE">
        <w:rPr>
          <w:szCs w:val="22"/>
        </w:rPr>
        <w:tab/>
      </w:r>
      <w:r w:rsidR="00AF3C90" w:rsidRPr="00DE07CE">
        <w:rPr>
          <w:szCs w:val="22"/>
        </w:rPr>
        <w:t>The FWC may allow a further period if the FWC is satisfied that there are exceptional circ</w:t>
      </w:r>
      <w:r w:rsidRPr="00DE07CE">
        <w:rPr>
          <w:szCs w:val="22"/>
        </w:rPr>
        <w:t>umstances, taking into account:</w:t>
      </w:r>
    </w:p>
    <w:p w14:paraId="7DE17E6B" w14:textId="77777777" w:rsidR="00AF3C90" w:rsidRPr="00DE07CE" w:rsidRDefault="00AD10E2" w:rsidP="00AD10E2">
      <w:pPr>
        <w:pStyle w:val="Quote2"/>
      </w:pPr>
      <w:r w:rsidRPr="00DE07CE">
        <w:t>(a)</w:t>
      </w:r>
      <w:r w:rsidRPr="00DE07CE">
        <w:tab/>
        <w:t>the reason for the delay; and</w:t>
      </w:r>
    </w:p>
    <w:p w14:paraId="4EBBBB84" w14:textId="77777777" w:rsidR="00AF3C90" w:rsidRPr="00DE07CE" w:rsidRDefault="00AD10E2" w:rsidP="00AD10E2">
      <w:pPr>
        <w:pStyle w:val="Quote2"/>
      </w:pPr>
      <w:r w:rsidRPr="00DE07CE">
        <w:t>(b)</w:t>
      </w:r>
      <w:r w:rsidRPr="00DE07CE">
        <w:tab/>
      </w:r>
      <w:r w:rsidR="00AF3C90" w:rsidRPr="00DE07CE">
        <w:t>any action taken by the person to dispute the d</w:t>
      </w:r>
      <w:r w:rsidRPr="00DE07CE">
        <w:t>ismissal; and</w:t>
      </w:r>
    </w:p>
    <w:p w14:paraId="13159F7B" w14:textId="77777777" w:rsidR="00AF3C90" w:rsidRPr="00DE07CE" w:rsidRDefault="00AD10E2" w:rsidP="00AD10E2">
      <w:pPr>
        <w:pStyle w:val="Quote2"/>
        <w:ind w:left="2160" w:hanging="720"/>
      </w:pPr>
      <w:r w:rsidRPr="00DE07CE">
        <w:t>(c)</w:t>
      </w:r>
      <w:r w:rsidRPr="00DE07CE">
        <w:tab/>
      </w:r>
      <w:r w:rsidR="00AF3C90" w:rsidRPr="00DE07CE">
        <w:t>prejudice to the employer (including prej</w:t>
      </w:r>
      <w:r w:rsidRPr="00DE07CE">
        <w:t>udice caused by the delay); and</w:t>
      </w:r>
    </w:p>
    <w:p w14:paraId="3F93F412" w14:textId="77777777" w:rsidR="00AF3C90" w:rsidRPr="00DE07CE" w:rsidRDefault="00AD10E2" w:rsidP="00AD10E2">
      <w:pPr>
        <w:pStyle w:val="Quote2"/>
      </w:pPr>
      <w:r w:rsidRPr="00DE07CE">
        <w:t>(d)</w:t>
      </w:r>
      <w:r w:rsidRPr="00DE07CE">
        <w:tab/>
      </w:r>
      <w:r w:rsidR="00AF3C90" w:rsidRPr="00DE07CE">
        <w:t>the</w:t>
      </w:r>
      <w:r w:rsidRPr="00DE07CE">
        <w:t xml:space="preserve"> merits of the application; and</w:t>
      </w:r>
    </w:p>
    <w:p w14:paraId="2A072DD5" w14:textId="77777777" w:rsidR="00AF3C90" w:rsidRPr="00DE07CE" w:rsidRDefault="00AD10E2" w:rsidP="00AD10E2">
      <w:pPr>
        <w:pStyle w:val="Quote2"/>
      </w:pPr>
      <w:r w:rsidRPr="00DE07CE">
        <w:t>(e)</w:t>
      </w:r>
      <w:r w:rsidRPr="00DE07CE">
        <w:tab/>
      </w:r>
      <w:r w:rsidR="00AF3C90" w:rsidRPr="00DE07CE">
        <w:t>fairness as between the person and ot</w:t>
      </w:r>
      <w:r w:rsidRPr="00DE07CE">
        <w:t>her persons in a like position.</w:t>
      </w:r>
    </w:p>
    <w:p w14:paraId="4EC463D4" w14:textId="27ACC173" w:rsidR="00FE5CB4" w:rsidRPr="00CB07C3" w:rsidRDefault="00FE5CB4" w:rsidP="00237EB3">
      <w:pPr>
        <w:pStyle w:val="ParaNumbering"/>
        <w:keepNext/>
      </w:pPr>
      <w:r w:rsidRPr="00CB07C3">
        <w:t>Section</w:t>
      </w:r>
      <w:r w:rsidR="00B05652" w:rsidRPr="00CB07C3">
        <w:t> </w:t>
      </w:r>
      <w:r w:rsidRPr="00CB07C3">
        <w:t>368</w:t>
      </w:r>
      <w:r w:rsidR="00B05652" w:rsidRPr="00CB07C3">
        <w:t xml:space="preserve"> of the FW </w:t>
      </w:r>
      <w:r w:rsidRPr="00CB07C3">
        <w:t xml:space="preserve">Act confers authority on the FWC to deal with a </w:t>
      </w:r>
      <w:r w:rsidR="004C4A92" w:rsidRPr="00CB07C3">
        <w:t xml:space="preserve">dismissal </w:t>
      </w:r>
      <w:r w:rsidRPr="00CB07C3">
        <w:t>dispute in the event that</w:t>
      </w:r>
      <w:r w:rsidR="00B05652" w:rsidRPr="00CB07C3">
        <w:t xml:space="preserve"> an application is made under s </w:t>
      </w:r>
      <w:r w:rsidRPr="00CB07C3">
        <w:t>365</w:t>
      </w:r>
      <w:r w:rsidR="00B05652" w:rsidRPr="00CB07C3">
        <w:t>.</w:t>
      </w:r>
      <w:r w:rsidR="002B4CA3" w:rsidRPr="00CB07C3">
        <w:t xml:space="preserve"> </w:t>
      </w:r>
      <w:r w:rsidR="00237EB3" w:rsidRPr="00CB07C3">
        <w:t xml:space="preserve"> </w:t>
      </w:r>
      <w:r w:rsidR="00B05652" w:rsidRPr="00CB07C3">
        <w:t>It provides:</w:t>
      </w:r>
    </w:p>
    <w:p w14:paraId="256F2AFA" w14:textId="77777777" w:rsidR="00B05652" w:rsidRPr="00DE07CE" w:rsidRDefault="00B05652" w:rsidP="00B05652">
      <w:pPr>
        <w:pStyle w:val="Quote1"/>
        <w:rPr>
          <w:b/>
          <w:shd w:val="clear" w:color="auto" w:fill="FFFFFF"/>
          <w:lang w:eastAsia="en-AU"/>
        </w:rPr>
      </w:pPr>
      <w:r w:rsidRPr="00DE07CE">
        <w:rPr>
          <w:b/>
          <w:shd w:val="clear" w:color="auto" w:fill="FFFFFF"/>
          <w:lang w:eastAsia="en-AU"/>
        </w:rPr>
        <w:t>Dealing with a dismissal dispute (other than by arbitration)</w:t>
      </w:r>
    </w:p>
    <w:p w14:paraId="34D07523" w14:textId="3EEDE123" w:rsidR="00B05652" w:rsidRPr="00DE07CE" w:rsidRDefault="00B05652" w:rsidP="00B05652">
      <w:pPr>
        <w:pStyle w:val="Quote1"/>
        <w:ind w:left="1440" w:hanging="703"/>
        <w:rPr>
          <w:shd w:val="clear" w:color="auto" w:fill="FFFFFF"/>
          <w:lang w:eastAsia="en-AU"/>
        </w:rPr>
      </w:pPr>
      <w:r w:rsidRPr="00DE07CE">
        <w:rPr>
          <w:shd w:val="clear" w:color="auto" w:fill="FFFFFF"/>
          <w:lang w:eastAsia="en-AU"/>
        </w:rPr>
        <w:t>(1)</w:t>
      </w:r>
      <w:r w:rsidRPr="00DE07CE">
        <w:rPr>
          <w:shd w:val="clear" w:color="auto" w:fill="FFFFFF"/>
          <w:lang w:eastAsia="en-AU"/>
        </w:rPr>
        <w:tab/>
        <w:t>If an application is made under section 365, the FWC must deal with the dispute (other than by arbitration).</w:t>
      </w:r>
    </w:p>
    <w:p w14:paraId="3C2AA205" w14:textId="2135ADA3" w:rsidR="00B05652" w:rsidRPr="00DE07CE" w:rsidRDefault="00B05652" w:rsidP="00B05652">
      <w:pPr>
        <w:pStyle w:val="Quote2"/>
        <w:ind w:left="2160" w:hanging="720"/>
        <w:rPr>
          <w:sz w:val="18"/>
          <w:szCs w:val="18"/>
          <w:shd w:val="clear" w:color="auto" w:fill="FFFFFF"/>
          <w:lang w:eastAsia="en-AU"/>
        </w:rPr>
      </w:pPr>
      <w:r w:rsidRPr="00DE07CE">
        <w:rPr>
          <w:sz w:val="18"/>
          <w:szCs w:val="18"/>
          <w:shd w:val="clear" w:color="auto" w:fill="FFFFFF"/>
          <w:lang w:eastAsia="en-AU"/>
        </w:rPr>
        <w:t>Note:</w:t>
      </w:r>
      <w:r w:rsidRPr="00DE07CE">
        <w:rPr>
          <w:sz w:val="18"/>
          <w:szCs w:val="18"/>
          <w:shd w:val="clear" w:color="auto" w:fill="FFFFFF"/>
          <w:lang w:eastAsia="en-AU"/>
        </w:rPr>
        <w:tab/>
        <w:t>The FWC may deal with a dispute by mediation or conciliation, or by making a recommendation or expressing an opinion (see subsection 595(2)).</w:t>
      </w:r>
      <w:r w:rsidR="002B4CA3" w:rsidRPr="00DE07CE">
        <w:rPr>
          <w:sz w:val="18"/>
          <w:szCs w:val="18"/>
          <w:shd w:val="clear" w:color="auto" w:fill="FFFFFF"/>
          <w:lang w:eastAsia="en-AU"/>
        </w:rPr>
        <w:t xml:space="preserve"> </w:t>
      </w:r>
      <w:r w:rsidRPr="00DE07CE">
        <w:rPr>
          <w:sz w:val="18"/>
          <w:szCs w:val="18"/>
          <w:shd w:val="clear" w:color="auto" w:fill="FFFFFF"/>
          <w:lang w:eastAsia="en-AU"/>
        </w:rPr>
        <w:t>One of the recommendations that the FWC might make is that an application be made under Part 3-2 (which deals with unfair dismissal) in relation to the dispute.</w:t>
      </w:r>
    </w:p>
    <w:p w14:paraId="4A967FA5" w14:textId="20601437" w:rsidR="00B05652" w:rsidRPr="00DE07CE" w:rsidRDefault="00B05652" w:rsidP="00B05652">
      <w:pPr>
        <w:pStyle w:val="Quote1"/>
        <w:ind w:left="1440" w:hanging="703"/>
        <w:rPr>
          <w:shd w:val="clear" w:color="auto" w:fill="FFFFFF"/>
          <w:lang w:eastAsia="en-AU"/>
        </w:rPr>
      </w:pPr>
      <w:r w:rsidRPr="00DE07CE">
        <w:rPr>
          <w:shd w:val="clear" w:color="auto" w:fill="FFFFFF"/>
          <w:lang w:eastAsia="en-AU"/>
        </w:rPr>
        <w:t>(2)</w:t>
      </w:r>
      <w:r w:rsidRPr="00DE07CE">
        <w:rPr>
          <w:shd w:val="clear" w:color="auto" w:fill="FFFFFF"/>
          <w:lang w:eastAsia="en-AU"/>
        </w:rPr>
        <w:tab/>
        <w:t>Any conference conducted for the purposes of dealing with the dispute (other than by arbitration) must be conducted in private, despite subsection 592(3).</w:t>
      </w:r>
    </w:p>
    <w:p w14:paraId="0AABB104" w14:textId="657F4BD5" w:rsidR="00B05652" w:rsidRPr="00DE07CE" w:rsidRDefault="00B05652" w:rsidP="00B05652">
      <w:pPr>
        <w:pStyle w:val="Quote2"/>
        <w:rPr>
          <w:sz w:val="18"/>
          <w:szCs w:val="18"/>
          <w:shd w:val="clear" w:color="auto" w:fill="FFFFFF"/>
          <w:lang w:eastAsia="en-AU"/>
        </w:rPr>
      </w:pPr>
      <w:r w:rsidRPr="00DE07CE">
        <w:rPr>
          <w:sz w:val="18"/>
          <w:szCs w:val="18"/>
          <w:shd w:val="clear" w:color="auto" w:fill="FFFFFF"/>
          <w:lang w:eastAsia="en-AU"/>
        </w:rPr>
        <w:t>Note:</w:t>
      </w:r>
      <w:r w:rsidRPr="00DE07CE">
        <w:rPr>
          <w:sz w:val="18"/>
          <w:szCs w:val="18"/>
          <w:shd w:val="clear" w:color="auto" w:fill="FFFFFF"/>
          <w:lang w:eastAsia="en-AU"/>
        </w:rPr>
        <w:tab/>
        <w:t>For conferences, see section 592.</w:t>
      </w:r>
    </w:p>
    <w:p w14:paraId="77B29248" w14:textId="003F6E2A" w:rsidR="00B05652" w:rsidRPr="00DE07CE" w:rsidRDefault="00B05652" w:rsidP="00B05652">
      <w:pPr>
        <w:pStyle w:val="Quote1"/>
        <w:ind w:left="1440" w:hanging="703"/>
        <w:rPr>
          <w:shd w:val="clear" w:color="auto" w:fill="FFFFFF"/>
          <w:lang w:eastAsia="en-AU"/>
        </w:rPr>
      </w:pPr>
      <w:r w:rsidRPr="00DE07CE">
        <w:rPr>
          <w:shd w:val="clear" w:color="auto" w:fill="FFFFFF"/>
          <w:lang w:eastAsia="en-AU"/>
        </w:rPr>
        <w:t>(3)</w:t>
      </w:r>
      <w:r w:rsidRPr="00DE07CE">
        <w:rPr>
          <w:shd w:val="clear" w:color="auto" w:fill="FFFFFF"/>
          <w:lang w:eastAsia="en-AU"/>
        </w:rPr>
        <w:tab/>
        <w:t>If the FWC is satisfied that all reasonable attempts to resolve the dispute (other than by arbitration) have been, or are likely to be, unsuccessful, then:</w:t>
      </w:r>
    </w:p>
    <w:p w14:paraId="18A2DE54" w14:textId="3B58782F" w:rsidR="00B05652" w:rsidRPr="00DE07CE" w:rsidRDefault="00B05652" w:rsidP="00B05652">
      <w:pPr>
        <w:pStyle w:val="Quote2"/>
        <w:ind w:left="2160" w:hanging="720"/>
        <w:rPr>
          <w:shd w:val="clear" w:color="auto" w:fill="FFFFFF"/>
          <w:lang w:eastAsia="en-AU"/>
        </w:rPr>
      </w:pPr>
      <w:r w:rsidRPr="00DE07CE">
        <w:rPr>
          <w:shd w:val="clear" w:color="auto" w:fill="FFFFFF"/>
          <w:lang w:eastAsia="en-AU"/>
        </w:rPr>
        <w:t>(a)</w:t>
      </w:r>
      <w:r w:rsidRPr="00DE07CE">
        <w:rPr>
          <w:shd w:val="clear" w:color="auto" w:fill="FFFFFF"/>
          <w:lang w:eastAsia="en-AU"/>
        </w:rPr>
        <w:tab/>
        <w:t>the FWC must issue a certificate to that effect; and</w:t>
      </w:r>
    </w:p>
    <w:p w14:paraId="3B37EDE5" w14:textId="66D91F04" w:rsidR="00B05652" w:rsidRPr="00DE07CE" w:rsidRDefault="00B05652" w:rsidP="00B05652">
      <w:pPr>
        <w:pStyle w:val="Quote2"/>
        <w:ind w:left="2160" w:hanging="720"/>
        <w:rPr>
          <w:shd w:val="clear" w:color="auto" w:fill="FFFFFF"/>
          <w:lang w:eastAsia="en-AU"/>
        </w:rPr>
      </w:pPr>
      <w:r w:rsidRPr="00DE07CE">
        <w:rPr>
          <w:shd w:val="clear" w:color="auto" w:fill="FFFFFF"/>
          <w:lang w:eastAsia="en-AU"/>
        </w:rPr>
        <w:t>(b)</w:t>
      </w:r>
      <w:r w:rsidRPr="00DE07CE">
        <w:rPr>
          <w:shd w:val="clear" w:color="auto" w:fill="FFFFFF"/>
          <w:lang w:eastAsia="en-AU"/>
        </w:rPr>
        <w:tab/>
        <w:t>if the FWC considers, taking into account all the materials before it, that arbitration under section 369, or a general protections court application, in relation to the dispute would not have a reasonable prospect of success, the FWC must advise the parties accordingly.</w:t>
      </w:r>
    </w:p>
    <w:p w14:paraId="19192091" w14:textId="08505574" w:rsidR="00B05652" w:rsidRPr="00DE07CE" w:rsidRDefault="00B05652" w:rsidP="00B05652">
      <w:pPr>
        <w:pStyle w:val="Quote1"/>
        <w:ind w:left="1440" w:hanging="703"/>
        <w:rPr>
          <w:shd w:val="clear" w:color="auto" w:fill="FFFFFF"/>
          <w:lang w:eastAsia="en-AU"/>
        </w:rPr>
      </w:pPr>
      <w:r w:rsidRPr="00DE07CE">
        <w:rPr>
          <w:shd w:val="clear" w:color="auto" w:fill="FFFFFF"/>
          <w:lang w:eastAsia="en-AU"/>
        </w:rPr>
        <w:t>(4)</w:t>
      </w:r>
      <w:r w:rsidRPr="00DE07CE">
        <w:rPr>
          <w:shd w:val="clear" w:color="auto" w:fill="FFFFFF"/>
          <w:lang w:eastAsia="en-AU"/>
        </w:rPr>
        <w:tab/>
        <w:t xml:space="preserve">A </w:t>
      </w:r>
      <w:r w:rsidRPr="00DE07CE">
        <w:rPr>
          <w:b/>
          <w:i/>
          <w:shd w:val="clear" w:color="auto" w:fill="FFFFFF"/>
          <w:lang w:eastAsia="en-AU"/>
        </w:rPr>
        <w:t>general protections court application</w:t>
      </w:r>
      <w:r w:rsidRPr="00DE07CE">
        <w:rPr>
          <w:shd w:val="clear" w:color="auto" w:fill="FFFFFF"/>
          <w:lang w:eastAsia="en-AU"/>
        </w:rPr>
        <w:t xml:space="preserve"> is an application to a court under Division 2 of Part 4-1 for orders in relation to a contravention of this Part.</w:t>
      </w:r>
    </w:p>
    <w:p w14:paraId="5EBA259E" w14:textId="4CC1EFED" w:rsidR="00FE5CB4" w:rsidRPr="00CB07C3" w:rsidRDefault="00FE5CB4" w:rsidP="00905CDF">
      <w:pPr>
        <w:pStyle w:val="ParaNumbering"/>
      </w:pPr>
      <w:r w:rsidRPr="00CB07C3">
        <w:t xml:space="preserve">If </w:t>
      </w:r>
      <w:r w:rsidR="00B05652" w:rsidRPr="00CB07C3">
        <w:t>a certificate is issued under s </w:t>
      </w:r>
      <w:r w:rsidRPr="00CB07C3">
        <w:t xml:space="preserve">368(3), the parties may agree to the </w:t>
      </w:r>
      <w:r w:rsidR="004C4A92" w:rsidRPr="00CB07C3">
        <w:t>FWC</w:t>
      </w:r>
      <w:r w:rsidR="00B05652" w:rsidRPr="00CB07C3">
        <w:t xml:space="preserve"> arbitrating the dispute:</w:t>
      </w:r>
      <w:r w:rsidR="006A6789" w:rsidRPr="00CB07C3">
        <w:t>  </w:t>
      </w:r>
      <w:r w:rsidR="00B05652" w:rsidRPr="00CB07C3">
        <w:t>s </w:t>
      </w:r>
      <w:r w:rsidRPr="00CB07C3">
        <w:t>369.</w:t>
      </w:r>
      <w:r w:rsidR="00670D9E" w:rsidRPr="00CB07C3">
        <w:t xml:space="preserve"> </w:t>
      </w:r>
      <w:r w:rsidR="002B4CA3" w:rsidRPr="00CB07C3">
        <w:t xml:space="preserve"> </w:t>
      </w:r>
      <w:r w:rsidRPr="00CB07C3">
        <w:t xml:space="preserve">In that event, the </w:t>
      </w:r>
      <w:r w:rsidR="004C4A92" w:rsidRPr="00CB07C3">
        <w:t>FWC</w:t>
      </w:r>
      <w:r w:rsidRPr="00CB07C3">
        <w:t xml:space="preserve"> may deal with the dispute by arbitration and may make orders affecting the substantive rights of the parities, including orders for reinstatement, and f</w:t>
      </w:r>
      <w:r w:rsidR="00FC0928" w:rsidRPr="00CB07C3">
        <w:t>or the payment of compensation:</w:t>
      </w:r>
      <w:r w:rsidR="002B4CA3" w:rsidRPr="00CB07C3">
        <w:t xml:space="preserve"> </w:t>
      </w:r>
      <w:r w:rsidR="005D19FA" w:rsidRPr="00CB07C3">
        <w:t xml:space="preserve"> </w:t>
      </w:r>
      <w:r w:rsidR="00FC0928" w:rsidRPr="00CB07C3">
        <w:t>s </w:t>
      </w:r>
      <w:r w:rsidRPr="00CB07C3">
        <w:t>369</w:t>
      </w:r>
      <w:r w:rsidR="00FC0928" w:rsidRPr="00CB07C3">
        <w:t>(2).</w:t>
      </w:r>
      <w:r w:rsidR="002B4CA3" w:rsidRPr="00CB07C3">
        <w:t xml:space="preserve"> </w:t>
      </w:r>
      <w:r w:rsidR="00670D9E" w:rsidRPr="00CB07C3">
        <w:t xml:space="preserve"> </w:t>
      </w:r>
      <w:r w:rsidR="00FC0928" w:rsidRPr="00CB07C3">
        <w:t>Section </w:t>
      </w:r>
      <w:r w:rsidRPr="00CB07C3">
        <w:t>369(3) prohibits a person from contravening an ord</w:t>
      </w:r>
      <w:r w:rsidR="00FC0928" w:rsidRPr="00CB07C3">
        <w:t>er made under s 369(2).</w:t>
      </w:r>
    </w:p>
    <w:p w14:paraId="0F21C468" w14:textId="577ED44D" w:rsidR="00990EEC" w:rsidRPr="00CB07C3" w:rsidRDefault="00C62208" w:rsidP="00670D9E">
      <w:pPr>
        <w:pStyle w:val="ParaNumbering"/>
        <w:keepNext/>
        <w:rPr>
          <w:lang w:eastAsia="en-AU"/>
        </w:rPr>
      </w:pPr>
      <w:r w:rsidRPr="00CB07C3">
        <w:rPr>
          <w:shd w:val="clear" w:color="auto" w:fill="FFFFFF"/>
          <w:lang w:eastAsia="en-AU"/>
        </w:rPr>
        <w:lastRenderedPageBreak/>
        <w:t>S</w:t>
      </w:r>
      <w:r w:rsidR="00FC0928" w:rsidRPr="00CB07C3">
        <w:rPr>
          <w:shd w:val="clear" w:color="auto" w:fill="FFFFFF"/>
          <w:lang w:eastAsia="en-AU"/>
        </w:rPr>
        <w:t>ection </w:t>
      </w:r>
      <w:r w:rsidRPr="00CB07C3">
        <w:rPr>
          <w:shd w:val="clear" w:color="auto" w:fill="FFFFFF"/>
          <w:lang w:eastAsia="en-AU"/>
        </w:rPr>
        <w:t>370</w:t>
      </w:r>
      <w:r w:rsidR="00FC0928" w:rsidRPr="00CB07C3">
        <w:rPr>
          <w:shd w:val="clear" w:color="auto" w:fill="FFFFFF"/>
          <w:lang w:eastAsia="en-AU"/>
        </w:rPr>
        <w:t xml:space="preserve"> of the FW Act provides that “A</w:t>
      </w:r>
      <w:r w:rsidRPr="00CB07C3">
        <w:rPr>
          <w:shd w:val="clear" w:color="auto" w:fill="FFFFFF"/>
          <w:lang w:eastAsia="en-AU"/>
        </w:rPr>
        <w:t xml:space="preserve"> person who is entitled to apply under s</w:t>
      </w:r>
      <w:r w:rsidR="00FC0928" w:rsidRPr="00CB07C3">
        <w:rPr>
          <w:shd w:val="clear" w:color="auto" w:fill="FFFFFF"/>
          <w:lang w:eastAsia="en-AU"/>
        </w:rPr>
        <w:t> </w:t>
      </w:r>
      <w:r w:rsidRPr="00CB07C3">
        <w:rPr>
          <w:shd w:val="clear" w:color="auto" w:fill="FFFFFF"/>
          <w:lang w:eastAsia="en-AU"/>
        </w:rPr>
        <w:t>365 for the FWC to deal with a dispute” must not make a general protections court application (as defined in s</w:t>
      </w:r>
      <w:r w:rsidR="00FC0928" w:rsidRPr="00CB07C3">
        <w:rPr>
          <w:shd w:val="clear" w:color="auto" w:fill="FFFFFF"/>
          <w:lang w:eastAsia="en-AU"/>
        </w:rPr>
        <w:t> </w:t>
      </w:r>
      <w:r w:rsidRPr="00CB07C3">
        <w:rPr>
          <w:shd w:val="clear" w:color="auto" w:fill="FFFFFF"/>
          <w:lang w:eastAsia="en-AU"/>
        </w:rPr>
        <w:t>368(4)) in relation to the dispute u</w:t>
      </w:r>
      <w:r w:rsidR="00C71EF4" w:rsidRPr="00CB07C3">
        <w:rPr>
          <w:shd w:val="clear" w:color="auto" w:fill="FFFFFF"/>
          <w:lang w:eastAsia="en-AU"/>
        </w:rPr>
        <w:t>n</w:t>
      </w:r>
      <w:r w:rsidRPr="00CB07C3">
        <w:rPr>
          <w:shd w:val="clear" w:color="auto" w:fill="FFFFFF"/>
          <w:lang w:eastAsia="en-AU"/>
        </w:rPr>
        <w:t>less:</w:t>
      </w:r>
    </w:p>
    <w:p w14:paraId="5757FA0D" w14:textId="37A36BB5" w:rsidR="00FC0928" w:rsidRPr="00CD0D63" w:rsidRDefault="00FC0928" w:rsidP="00FC0928">
      <w:pPr>
        <w:pStyle w:val="Quote1"/>
        <w:rPr>
          <w:lang w:eastAsia="en-AU"/>
        </w:rPr>
      </w:pPr>
      <w:r w:rsidRPr="00CD0D63">
        <w:rPr>
          <w:lang w:eastAsia="en-AU"/>
        </w:rPr>
        <w:t>(a)</w:t>
      </w:r>
      <w:r w:rsidRPr="00CD0D63">
        <w:rPr>
          <w:lang w:eastAsia="en-AU"/>
        </w:rPr>
        <w:tab/>
        <w:t>both of the following apply:</w:t>
      </w:r>
    </w:p>
    <w:p w14:paraId="6520B9D5" w14:textId="177C0557" w:rsidR="00FC0928" w:rsidRPr="00CD0D63" w:rsidRDefault="00FC0928" w:rsidP="00FC0928">
      <w:pPr>
        <w:pStyle w:val="Quote2"/>
        <w:ind w:left="2160" w:hanging="720"/>
        <w:rPr>
          <w:lang w:eastAsia="en-AU"/>
        </w:rPr>
      </w:pPr>
      <w:r w:rsidRPr="00CD0D63">
        <w:rPr>
          <w:lang w:eastAsia="en-AU"/>
        </w:rPr>
        <w:t>(</w:t>
      </w:r>
      <w:proofErr w:type="spellStart"/>
      <w:r w:rsidRPr="00CD0D63">
        <w:rPr>
          <w:lang w:eastAsia="en-AU"/>
        </w:rPr>
        <w:t>i</w:t>
      </w:r>
      <w:proofErr w:type="spellEnd"/>
      <w:r w:rsidRPr="00CD0D63">
        <w:rPr>
          <w:lang w:eastAsia="en-AU"/>
        </w:rPr>
        <w:t>)</w:t>
      </w:r>
      <w:r w:rsidRPr="00CD0D63">
        <w:rPr>
          <w:lang w:eastAsia="en-AU"/>
        </w:rPr>
        <w:tab/>
        <w:t>the FWC has issued a certificate under paragraph 368(3)(a) in relation to the dispute;</w:t>
      </w:r>
    </w:p>
    <w:p w14:paraId="33861CE9" w14:textId="3389E0F4" w:rsidR="00FC0928" w:rsidRPr="00CD0D63" w:rsidRDefault="00FC0928" w:rsidP="00FC0928">
      <w:pPr>
        <w:pStyle w:val="Quote2"/>
        <w:ind w:left="2160" w:hanging="720"/>
        <w:rPr>
          <w:lang w:eastAsia="en-AU"/>
        </w:rPr>
      </w:pPr>
      <w:r w:rsidRPr="00CD0D63">
        <w:rPr>
          <w:lang w:eastAsia="en-AU"/>
        </w:rPr>
        <w:t>(ii)</w:t>
      </w:r>
      <w:r w:rsidRPr="00CD0D63">
        <w:rPr>
          <w:lang w:eastAsia="en-AU"/>
        </w:rPr>
        <w:tab/>
        <w:t>the general protections court application is made within 14 days after the day the certificate is issued, or within such period as the court allows on an application made during or after those 14 days; or</w:t>
      </w:r>
    </w:p>
    <w:p w14:paraId="55167B59" w14:textId="373A8D02" w:rsidR="00FC0928" w:rsidRPr="00990EEC" w:rsidRDefault="00FC0928" w:rsidP="00FC0928">
      <w:pPr>
        <w:pStyle w:val="Quote1"/>
        <w:ind w:left="1440" w:hanging="703"/>
        <w:rPr>
          <w:lang w:eastAsia="en-AU"/>
        </w:rPr>
      </w:pPr>
      <w:r w:rsidRPr="00CD0D63">
        <w:rPr>
          <w:lang w:eastAsia="en-AU"/>
        </w:rPr>
        <w:t>(b)</w:t>
      </w:r>
      <w:r w:rsidRPr="00CD0D63">
        <w:rPr>
          <w:lang w:eastAsia="en-AU"/>
        </w:rPr>
        <w:tab/>
        <w:t>the general protections court application includes an application for an interim injunction.</w:t>
      </w:r>
    </w:p>
    <w:p w14:paraId="3E541DA3" w14:textId="70240D52" w:rsidR="005D33C9" w:rsidRPr="00CB07C3" w:rsidRDefault="002B4CA3" w:rsidP="005D33C9">
      <w:pPr>
        <w:pStyle w:val="ParaNumbering"/>
      </w:pPr>
      <w:r w:rsidRPr="00CB07C3">
        <w:t>Part</w:t>
      </w:r>
      <w:r w:rsidR="00D307DA" w:rsidRPr="00CB07C3">
        <w:t> </w:t>
      </w:r>
      <w:r w:rsidRPr="00CB07C3">
        <w:t>3-2 of the FW </w:t>
      </w:r>
      <w:r w:rsidR="007A13C9" w:rsidRPr="00CB07C3">
        <w:t xml:space="preserve">Act </w:t>
      </w:r>
      <w:r w:rsidRPr="00CB07C3">
        <w:t xml:space="preserve">is titled “Unfair Dismissal”. </w:t>
      </w:r>
      <w:r w:rsidR="00670D9E" w:rsidRPr="00CB07C3">
        <w:t xml:space="preserve"> </w:t>
      </w:r>
      <w:r w:rsidRPr="00CB07C3">
        <w:t>Section </w:t>
      </w:r>
      <w:r w:rsidR="005D33C9" w:rsidRPr="00CB07C3">
        <w:t>394(1) provides that “a person who has been dismissed” may apply to</w:t>
      </w:r>
      <w:r w:rsidRPr="00CB07C3">
        <w:t xml:space="preserve"> the FWC for an order under </w:t>
      </w:r>
      <w:proofErr w:type="spellStart"/>
      <w:r w:rsidRPr="00CB07C3">
        <w:t>Div</w:t>
      </w:r>
      <w:proofErr w:type="spellEnd"/>
      <w:r w:rsidRPr="00CB07C3">
        <w:t xml:space="preserve"> 4 granting a remedy. </w:t>
      </w:r>
      <w:r w:rsidR="00670D9E" w:rsidRPr="00CB07C3">
        <w:t xml:space="preserve"> </w:t>
      </w:r>
      <w:r w:rsidRPr="00CB07C3">
        <w:t>Section </w:t>
      </w:r>
      <w:r w:rsidR="005D33C9" w:rsidRPr="00CB07C3">
        <w:t>394(2) and</w:t>
      </w:r>
      <w:r w:rsidRPr="00CB07C3">
        <w:t xml:space="preserve"> (3) are in the same terms as s </w:t>
      </w:r>
      <w:r w:rsidR="005D33C9" w:rsidRPr="00CB07C3">
        <w:t>366</w:t>
      </w:r>
      <w:r w:rsidRPr="00CB07C3">
        <w:t>(2) of the FW </w:t>
      </w:r>
      <w:r w:rsidR="005D33C9" w:rsidRPr="00CB07C3">
        <w:t>Act</w:t>
      </w:r>
      <w:r w:rsidR="004C4A92" w:rsidRPr="00CB07C3">
        <w:t xml:space="preserve"> (providing for a 21 day time limit for the making of an application and conferring a discretion </w:t>
      </w:r>
      <w:r w:rsidR="00D307DA" w:rsidRPr="00CB07C3">
        <w:t xml:space="preserve">on </w:t>
      </w:r>
      <w:r w:rsidR="004C4A92" w:rsidRPr="00CB07C3">
        <w:t xml:space="preserve">the FWC to allow more time).  </w:t>
      </w:r>
      <w:r w:rsidRPr="00CB07C3">
        <w:t>Division </w:t>
      </w:r>
      <w:r w:rsidR="005D33C9" w:rsidRPr="00CB07C3">
        <w:t>4 of Pt</w:t>
      </w:r>
      <w:r w:rsidR="00D307DA" w:rsidRPr="00CB07C3">
        <w:t> </w:t>
      </w:r>
      <w:r w:rsidR="005D33C9" w:rsidRPr="00CB07C3">
        <w:t xml:space="preserve">3-2 confers powers on the FWC </w:t>
      </w:r>
      <w:r w:rsidRPr="00CB07C3">
        <w:t xml:space="preserve">to </w:t>
      </w:r>
      <w:r w:rsidR="005D33C9" w:rsidRPr="00CB07C3">
        <w:t>grant</w:t>
      </w:r>
      <w:r w:rsidR="004C4A92" w:rsidRPr="00CB07C3">
        <w:t xml:space="preserve"> remedies for unfair dismissal, </w:t>
      </w:r>
      <w:r w:rsidR="005D33C9" w:rsidRPr="00CB07C3">
        <w:t xml:space="preserve">if it is satisfied that the person has been unfairly dismissed and </w:t>
      </w:r>
      <w:r w:rsidR="00F1011D" w:rsidRPr="00CB07C3">
        <w:t xml:space="preserve">that the person </w:t>
      </w:r>
      <w:r w:rsidR="005D33C9" w:rsidRPr="00CB07C3">
        <w:t>was protected from unfair dismissal at</w:t>
      </w:r>
      <w:r w:rsidR="00670D9E" w:rsidRPr="00CB07C3">
        <w:t xml:space="preserve"> the time of being dismissed:  </w:t>
      </w:r>
      <w:r w:rsidRPr="00CB07C3">
        <w:t xml:space="preserve">s 390(1). </w:t>
      </w:r>
      <w:r w:rsidR="00670D9E" w:rsidRPr="00CB07C3">
        <w:t xml:space="preserve"> </w:t>
      </w:r>
      <w:r w:rsidR="005D33C9" w:rsidRPr="00CB07C3">
        <w:t xml:space="preserve">The FWC may grant a remedy for unfair dismissal </w:t>
      </w:r>
      <w:r w:rsidR="00F1011D" w:rsidRPr="00CB07C3">
        <w:t xml:space="preserve">only </w:t>
      </w:r>
      <w:r w:rsidR="005D33C9" w:rsidRPr="00CB07C3">
        <w:t>if an ap</w:t>
      </w:r>
      <w:r w:rsidRPr="00CB07C3">
        <w:t>plication has been made under s </w:t>
      </w:r>
      <w:r w:rsidR="005D33C9" w:rsidRPr="00CB07C3">
        <w:t>394</w:t>
      </w:r>
      <w:r w:rsidRPr="00CB07C3">
        <w:t xml:space="preserve">: </w:t>
      </w:r>
      <w:r w:rsidR="005D19FA" w:rsidRPr="00CB07C3">
        <w:t xml:space="preserve"> </w:t>
      </w:r>
      <w:r w:rsidR="005D33C9" w:rsidRPr="00CB07C3">
        <w:t>s</w:t>
      </w:r>
      <w:r w:rsidRPr="00CB07C3">
        <w:t> </w:t>
      </w:r>
      <w:r w:rsidR="005D33C9" w:rsidRPr="00CB07C3">
        <w:t>390</w:t>
      </w:r>
      <w:r w:rsidR="00670D9E" w:rsidRPr="00CB07C3">
        <w:t>(2).  </w:t>
      </w:r>
      <w:r w:rsidR="005D33C9" w:rsidRPr="00CB07C3">
        <w:t>A p</w:t>
      </w:r>
      <w:r w:rsidRPr="00CB07C3">
        <w:t>erson to whom an order under Pt </w:t>
      </w:r>
      <w:r w:rsidR="005D33C9" w:rsidRPr="00CB07C3">
        <w:t>3-2 applies must not contraven</w:t>
      </w:r>
      <w:r w:rsidRPr="00CB07C3">
        <w:t xml:space="preserve">e a term of the order: </w:t>
      </w:r>
      <w:r w:rsidR="005D19FA" w:rsidRPr="00CB07C3">
        <w:t xml:space="preserve"> </w:t>
      </w:r>
      <w:r w:rsidRPr="00CB07C3">
        <w:t>s 405.</w:t>
      </w:r>
      <w:r w:rsidR="006E5E29" w:rsidRPr="00CB07C3">
        <w:t xml:space="preserve">  Section </w:t>
      </w:r>
      <w:r w:rsidR="00AF3141" w:rsidRPr="00CB07C3">
        <w:t xml:space="preserve">396 provides that the FWC must not determine the merits of an unfair dismissal application unless it is satisfied of a number of </w:t>
      </w:r>
      <w:r w:rsidR="00705EDC" w:rsidRPr="00CB07C3">
        <w:t>“</w:t>
      </w:r>
      <w:r w:rsidR="00AF3141" w:rsidRPr="00CB07C3">
        <w:t>initial matters</w:t>
      </w:r>
      <w:r w:rsidR="00705EDC" w:rsidRPr="00CB07C3">
        <w:t>”</w:t>
      </w:r>
      <w:r w:rsidR="00AF3141" w:rsidRPr="00CB07C3">
        <w:t>, each of which presupposes the fact of a dismissal.</w:t>
      </w:r>
    </w:p>
    <w:p w14:paraId="3CEE71F0" w14:textId="2629D506" w:rsidR="005D33C9" w:rsidRPr="00CB07C3" w:rsidRDefault="002B4CA3" w:rsidP="004C4A92">
      <w:pPr>
        <w:pStyle w:val="ParaNumbering"/>
      </w:pPr>
      <w:r w:rsidRPr="00CB07C3">
        <w:t>Section </w:t>
      </w:r>
      <w:r w:rsidR="005D33C9" w:rsidRPr="00CB07C3">
        <w:t>539(1) of the</w:t>
      </w:r>
      <w:r w:rsidRPr="00CB07C3">
        <w:t xml:space="preserve"> FW Act defines </w:t>
      </w:r>
      <w:proofErr w:type="spellStart"/>
      <w:r w:rsidRPr="00CB07C3">
        <w:t>s</w:t>
      </w:r>
      <w:r w:rsidR="00D307DA" w:rsidRPr="00CB07C3">
        <w:t>s</w:t>
      </w:r>
      <w:proofErr w:type="spellEnd"/>
      <w:r w:rsidRPr="00CB07C3">
        <w:t> </w:t>
      </w:r>
      <w:r w:rsidR="005D33C9" w:rsidRPr="00CB07C3">
        <w:t>340</w:t>
      </w:r>
      <w:r w:rsidRPr="00CB07C3">
        <w:t>(1)</w:t>
      </w:r>
      <w:r w:rsidR="00C32C5D" w:rsidRPr="00CB07C3">
        <w:t>,</w:t>
      </w:r>
      <w:r w:rsidRPr="00CB07C3">
        <w:t> </w:t>
      </w:r>
      <w:r w:rsidR="005D33C9" w:rsidRPr="00CB07C3">
        <w:t>369</w:t>
      </w:r>
      <w:r w:rsidR="006842DA" w:rsidRPr="00CB07C3">
        <w:t>(3) and</w:t>
      </w:r>
      <w:r w:rsidRPr="00CB07C3">
        <w:t> </w:t>
      </w:r>
      <w:r w:rsidR="005D33C9" w:rsidRPr="00CB07C3">
        <w:t>405</w:t>
      </w:r>
      <w:r w:rsidRPr="00CB07C3">
        <w:t xml:space="preserve"> as civil re</w:t>
      </w:r>
      <w:r w:rsidR="004C4A92" w:rsidRPr="00CB07C3">
        <w:t>medy provision</w:t>
      </w:r>
      <w:r w:rsidR="00F1011D" w:rsidRPr="00CB07C3">
        <w:t>s</w:t>
      </w:r>
      <w:r w:rsidR="00943D5D" w:rsidRPr="00CB07C3">
        <w:t>:  </w:t>
      </w:r>
      <w:r w:rsidR="004C4A92" w:rsidRPr="00CB07C3">
        <w:t>s 539</w:t>
      </w:r>
      <w:r w:rsidR="002E6418" w:rsidRPr="00CB07C3">
        <w:t xml:space="preserve">, </w:t>
      </w:r>
      <w:r w:rsidR="00561250" w:rsidRPr="00CB07C3">
        <w:t xml:space="preserve">items 11 and 13. </w:t>
      </w:r>
      <w:r w:rsidR="005D19FA" w:rsidRPr="00CB07C3">
        <w:t xml:space="preserve"> </w:t>
      </w:r>
      <w:r w:rsidR="004C4A92" w:rsidRPr="00CB07C3">
        <w:t xml:space="preserve">A person affected by a contravention of any one of those civil remedy provisions may apply to this Court or the Federal Circuit Court of Australia for </w:t>
      </w:r>
      <w:r w:rsidR="00670D9E" w:rsidRPr="00CB07C3">
        <w:t>orders imposing a civil penalty</w:t>
      </w:r>
      <w:r w:rsidR="004C4A92" w:rsidRPr="00CB07C3">
        <w:t>:</w:t>
      </w:r>
      <w:r w:rsidR="00670D9E" w:rsidRPr="00CB07C3">
        <w:t>  </w:t>
      </w:r>
      <w:r w:rsidR="004C4A92" w:rsidRPr="00CB07C3">
        <w:t>s</w:t>
      </w:r>
      <w:r w:rsidR="00670D9E" w:rsidRPr="00CB07C3">
        <w:t> </w:t>
      </w:r>
      <w:r w:rsidR="004C4A92" w:rsidRPr="00CB07C3">
        <w:t>539(2).</w:t>
      </w:r>
    </w:p>
    <w:p w14:paraId="18917263" w14:textId="017D16A9" w:rsidR="00327E68" w:rsidRDefault="002B4CA3" w:rsidP="002B4CA3">
      <w:pPr>
        <w:pStyle w:val="ParaNumbering"/>
        <w:keepNext/>
      </w:pPr>
      <w:r>
        <w:t xml:space="preserve">Division 3 of </w:t>
      </w:r>
      <w:proofErr w:type="spellStart"/>
      <w:r>
        <w:t>Ch</w:t>
      </w:r>
      <w:proofErr w:type="spellEnd"/>
      <w:r>
        <w:t> </w:t>
      </w:r>
      <w:r w:rsidR="007A13C9">
        <w:t xml:space="preserve">5 </w:t>
      </w:r>
      <w:r w:rsidR="00327E68">
        <w:t>applies to all</w:t>
      </w:r>
      <w:r w:rsidR="007A13C9">
        <w:t xml:space="preserve"> matters before the FWC.</w:t>
      </w:r>
      <w:r w:rsidR="00670D9E">
        <w:t>  </w:t>
      </w:r>
      <w:r w:rsidR="007A13C9">
        <w:t xml:space="preserve">It </w:t>
      </w:r>
      <w:r w:rsidR="00327E68">
        <w:t>contains provisions:</w:t>
      </w:r>
    </w:p>
    <w:p w14:paraId="0D9B05E8" w14:textId="2E885A69" w:rsidR="007A13C9" w:rsidRDefault="00327E68" w:rsidP="00327E68">
      <w:pPr>
        <w:pStyle w:val="ListNo1"/>
      </w:pPr>
      <w:r>
        <w:t>requiring</w:t>
      </w:r>
      <w:r w:rsidR="007A13C9">
        <w:t xml:space="preserve"> </w:t>
      </w:r>
      <w:r w:rsidR="007A13C9" w:rsidRPr="00CD0D63">
        <w:t>that applications to the FWC be made in accordance wit</w:t>
      </w:r>
      <w:r w:rsidR="002B4CA3" w:rsidRPr="00CD0D63">
        <w:t>h procedural rules made under s 609</w:t>
      </w:r>
      <w:r w:rsidR="009C5FB7" w:rsidRPr="00CD0D63">
        <w:t xml:space="preserve"> (see </w:t>
      </w:r>
      <w:r w:rsidR="002B4CA3" w:rsidRPr="00CD0D63">
        <w:t>s </w:t>
      </w:r>
      <w:r w:rsidR="007A13C9" w:rsidRPr="00CD0D63">
        <w:t>585</w:t>
      </w:r>
      <w:r w:rsidR="009C5FB7" w:rsidRPr="00CD0D63">
        <w:t>)</w:t>
      </w:r>
      <w:r w:rsidRPr="00CD0D63">
        <w:t>;</w:t>
      </w:r>
    </w:p>
    <w:p w14:paraId="7AF094F4" w14:textId="49FBD87D" w:rsidR="00327E68" w:rsidRPr="00CD0D63" w:rsidRDefault="00327E68" w:rsidP="00327E68">
      <w:pPr>
        <w:pStyle w:val="ListNo1"/>
      </w:pPr>
      <w:r>
        <w:t xml:space="preserve">conferring powers on the FWC to inform itself in relation to any matter before it in such </w:t>
      </w:r>
      <w:r w:rsidR="00D307DA">
        <w:t xml:space="preserve">a </w:t>
      </w:r>
      <w:r>
        <w:t>manner</w:t>
      </w:r>
      <w:r w:rsidR="002B4CA3">
        <w:t xml:space="preserve"> as it </w:t>
      </w:r>
      <w:r w:rsidR="002B4CA3" w:rsidRPr="00CD0D63">
        <w:t>considers appropriate (s</w:t>
      </w:r>
      <w:r w:rsidR="009C5FB7" w:rsidRPr="00CD0D63">
        <w:t>ee s</w:t>
      </w:r>
      <w:r w:rsidR="002B4CA3" w:rsidRPr="00CD0D63">
        <w:t> </w:t>
      </w:r>
      <w:r w:rsidRPr="00CD0D63">
        <w:t>590);</w:t>
      </w:r>
    </w:p>
    <w:p w14:paraId="50D5D370" w14:textId="0E683398" w:rsidR="00327E68" w:rsidRPr="00CD0D63" w:rsidRDefault="00327E68" w:rsidP="00327E68">
      <w:pPr>
        <w:pStyle w:val="ListNo1"/>
      </w:pPr>
      <w:r w:rsidRPr="00CD0D63">
        <w:t>requiring and conditioning the conduct of a hear</w:t>
      </w:r>
      <w:r w:rsidR="002B4CA3" w:rsidRPr="00CD0D63">
        <w:t>ing in certain circumstances (s</w:t>
      </w:r>
      <w:r w:rsidR="009C5FB7" w:rsidRPr="00CD0D63">
        <w:t>ee s</w:t>
      </w:r>
      <w:r w:rsidR="002B4CA3" w:rsidRPr="00CD0D63">
        <w:t> </w:t>
      </w:r>
      <w:r w:rsidRPr="00CD0D63">
        <w:t xml:space="preserve">593); </w:t>
      </w:r>
    </w:p>
    <w:p w14:paraId="20811E48" w14:textId="06BC67D5" w:rsidR="00327E68" w:rsidRPr="00CD0D63" w:rsidRDefault="00327E68" w:rsidP="00327E68">
      <w:pPr>
        <w:pStyle w:val="ListNo1"/>
      </w:pPr>
      <w:r w:rsidRPr="00CD0D63">
        <w:lastRenderedPageBreak/>
        <w:t xml:space="preserve">authorising the FWC to </w:t>
      </w:r>
      <w:r w:rsidR="00786C97" w:rsidRPr="00CD0D63">
        <w:t>compel</w:t>
      </w:r>
      <w:r w:rsidRPr="00CD0D63">
        <w:t xml:space="preserve"> a person to attend a conference, for the purpose of performing a function or exercising power conferred upon it, at which the FWC may mediate or conciliate or make a recommen</w:t>
      </w:r>
      <w:r w:rsidR="002B4CA3" w:rsidRPr="00CD0D63">
        <w:t>dation or express an opinion (s</w:t>
      </w:r>
      <w:r w:rsidR="009C5FB7" w:rsidRPr="00CD0D63">
        <w:t>ee s</w:t>
      </w:r>
      <w:r w:rsidR="002B4CA3" w:rsidRPr="00CD0D63">
        <w:t> </w:t>
      </w:r>
      <w:r w:rsidRPr="00CD0D63">
        <w:t>592</w:t>
      </w:r>
      <w:r w:rsidR="00786C97" w:rsidRPr="00CD0D63">
        <w:t>);</w:t>
      </w:r>
      <w:r w:rsidR="00ED56E1" w:rsidRPr="00CD0D63">
        <w:t xml:space="preserve"> and</w:t>
      </w:r>
    </w:p>
    <w:p w14:paraId="7FD27067" w14:textId="0E6A97D6" w:rsidR="00786C97" w:rsidRPr="00CD0D63" w:rsidRDefault="00786C97" w:rsidP="00327E68">
      <w:pPr>
        <w:pStyle w:val="ListNo1"/>
      </w:pPr>
      <w:r w:rsidRPr="00CD0D63">
        <w:t>authorising the FWC to direct that a conference under s</w:t>
      </w:r>
      <w:r w:rsidR="00ED56E1" w:rsidRPr="00CD0D63">
        <w:t> </w:t>
      </w:r>
      <w:r w:rsidRPr="00CD0D63">
        <w:t>36</w:t>
      </w:r>
      <w:r w:rsidR="00943D5D" w:rsidRPr="00CD0D63">
        <w:t>8 be conducted in public (see </w:t>
      </w:r>
      <w:r w:rsidR="004F6F99" w:rsidRPr="00CD0D63">
        <w:t>s </w:t>
      </w:r>
      <w:r w:rsidRPr="00CD0D63">
        <w:t xml:space="preserve">592(3)), a power that does not exist in relation to non-dismissal disputes </w:t>
      </w:r>
      <w:r w:rsidR="004F6F99" w:rsidRPr="00CD0D63">
        <w:t>(see</w:t>
      </w:r>
      <w:r w:rsidR="00943D5D" w:rsidRPr="00CD0D63">
        <w:t> </w:t>
      </w:r>
      <w:r w:rsidR="004F6F99" w:rsidRPr="00CD0D63">
        <w:t>s </w:t>
      </w:r>
      <w:r w:rsidRPr="00CD0D63">
        <w:t>374(2)).</w:t>
      </w:r>
    </w:p>
    <w:p w14:paraId="7C3615C0" w14:textId="67EBB500" w:rsidR="007D12A0" w:rsidRPr="00CB07C3" w:rsidRDefault="00A27D21" w:rsidP="002B4CA3">
      <w:pPr>
        <w:pStyle w:val="ParaNumbering"/>
        <w:keepNext/>
      </w:pPr>
      <w:r w:rsidRPr="00CB07C3">
        <w:t>Section 587</w:t>
      </w:r>
      <w:r w:rsidR="00327E68" w:rsidRPr="00CB07C3">
        <w:t>provides:</w:t>
      </w:r>
    </w:p>
    <w:p w14:paraId="41ED4EAD" w14:textId="77777777" w:rsidR="00777AFB" w:rsidRPr="00CD0D63" w:rsidRDefault="00777AFB" w:rsidP="00A27D21">
      <w:pPr>
        <w:pStyle w:val="Quote1"/>
        <w:rPr>
          <w:b/>
        </w:rPr>
      </w:pPr>
      <w:r w:rsidRPr="00CD0D63">
        <w:rPr>
          <w:b/>
        </w:rPr>
        <w:t xml:space="preserve">587 Dismissing applications </w:t>
      </w:r>
    </w:p>
    <w:p w14:paraId="47F01A4A" w14:textId="77777777" w:rsidR="00777AFB" w:rsidRPr="00CD0D63" w:rsidRDefault="00A27D21" w:rsidP="003139C8">
      <w:pPr>
        <w:pStyle w:val="Quote1"/>
        <w:ind w:left="1440" w:hanging="703"/>
        <w:rPr>
          <w:szCs w:val="22"/>
        </w:rPr>
      </w:pPr>
      <w:r w:rsidRPr="00CD0D63">
        <w:rPr>
          <w:szCs w:val="22"/>
        </w:rPr>
        <w:t>(1)</w:t>
      </w:r>
      <w:r w:rsidRPr="00CD0D63">
        <w:rPr>
          <w:szCs w:val="22"/>
        </w:rPr>
        <w:tab/>
      </w:r>
      <w:r w:rsidR="00777AFB" w:rsidRPr="00CD0D63">
        <w:rPr>
          <w:szCs w:val="22"/>
        </w:rPr>
        <w:t>Without limiting when the FWC may dismiss an application, the FWC</w:t>
      </w:r>
      <w:r w:rsidR="003139C8" w:rsidRPr="00CD0D63">
        <w:rPr>
          <w:szCs w:val="22"/>
        </w:rPr>
        <w:t xml:space="preserve"> may dismiss an application if:</w:t>
      </w:r>
    </w:p>
    <w:p w14:paraId="612D61BF" w14:textId="77777777" w:rsidR="00777AFB" w:rsidRPr="00CD0D63" w:rsidRDefault="003139C8" w:rsidP="003139C8">
      <w:pPr>
        <w:pStyle w:val="Quote2"/>
      </w:pPr>
      <w:r w:rsidRPr="00CD0D63">
        <w:t>(a)</w:t>
      </w:r>
      <w:r w:rsidRPr="00CD0D63">
        <w:tab/>
      </w:r>
      <w:r w:rsidR="00777AFB" w:rsidRPr="00CD0D63">
        <w:t xml:space="preserve">the application is not made </w:t>
      </w:r>
      <w:r w:rsidRPr="00CD0D63">
        <w:t>in accordance with this Act; or</w:t>
      </w:r>
    </w:p>
    <w:p w14:paraId="250BC690" w14:textId="77777777" w:rsidR="00777AFB" w:rsidRPr="00CD0D63" w:rsidRDefault="003139C8" w:rsidP="003139C8">
      <w:pPr>
        <w:pStyle w:val="Quote2"/>
      </w:pPr>
      <w:r w:rsidRPr="00CD0D63">
        <w:t>(b)</w:t>
      </w:r>
      <w:r w:rsidRPr="00CD0D63">
        <w:tab/>
      </w:r>
      <w:r w:rsidR="00777AFB" w:rsidRPr="00CD0D63">
        <w:t>the applicatio</w:t>
      </w:r>
      <w:r w:rsidRPr="00CD0D63">
        <w:t>n is frivolous or vexatious; or</w:t>
      </w:r>
    </w:p>
    <w:p w14:paraId="4FCD448C" w14:textId="77777777" w:rsidR="00777AFB" w:rsidRPr="00CD0D63" w:rsidRDefault="00777AFB" w:rsidP="003139C8">
      <w:pPr>
        <w:pStyle w:val="Quote2"/>
      </w:pPr>
      <w:r w:rsidRPr="00CD0D63">
        <w:t>(c)</w:t>
      </w:r>
      <w:r w:rsidR="003139C8" w:rsidRPr="00CD0D63">
        <w:tab/>
      </w:r>
      <w:r w:rsidRPr="00CD0D63">
        <w:t>the application has no r</w:t>
      </w:r>
      <w:r w:rsidR="003139C8" w:rsidRPr="00CD0D63">
        <w:t>easonable prospects of success.</w:t>
      </w:r>
    </w:p>
    <w:p w14:paraId="10CB9E95" w14:textId="77777777" w:rsidR="00777AFB" w:rsidRPr="00CD0D63" w:rsidRDefault="003139C8" w:rsidP="003139C8">
      <w:pPr>
        <w:pStyle w:val="Quote2"/>
        <w:ind w:left="2160" w:hanging="720"/>
        <w:rPr>
          <w:sz w:val="18"/>
          <w:szCs w:val="18"/>
        </w:rPr>
      </w:pPr>
      <w:r w:rsidRPr="00CD0D63">
        <w:rPr>
          <w:sz w:val="18"/>
          <w:szCs w:val="18"/>
        </w:rPr>
        <w:t>Note:</w:t>
      </w:r>
      <w:r w:rsidRPr="00CD0D63">
        <w:rPr>
          <w:sz w:val="18"/>
          <w:szCs w:val="18"/>
        </w:rPr>
        <w:tab/>
      </w:r>
      <w:r w:rsidR="00777AFB" w:rsidRPr="00CD0D63">
        <w:rPr>
          <w:sz w:val="18"/>
          <w:szCs w:val="18"/>
        </w:rPr>
        <w:t xml:space="preserve">For another power of the FWC to dismiss an application for a remedy for unfair dismissal made under Division 5 of Part 3-2, see section 399A. </w:t>
      </w:r>
    </w:p>
    <w:p w14:paraId="6E8F66EF" w14:textId="77777777" w:rsidR="00777AFB" w:rsidRPr="00CD0D63" w:rsidRDefault="003139C8" w:rsidP="003139C8">
      <w:pPr>
        <w:pStyle w:val="Quote1"/>
        <w:ind w:left="1440" w:hanging="703"/>
      </w:pPr>
      <w:r w:rsidRPr="00CD0D63">
        <w:rPr>
          <w:szCs w:val="22"/>
        </w:rPr>
        <w:t>(2)</w:t>
      </w:r>
      <w:r w:rsidRPr="00CD0D63">
        <w:rPr>
          <w:szCs w:val="22"/>
        </w:rPr>
        <w:tab/>
      </w:r>
      <w:r w:rsidR="00777AFB" w:rsidRPr="00CD0D63">
        <w:rPr>
          <w:szCs w:val="22"/>
        </w:rPr>
        <w:t>Despite paragraphs (1)(b) and (c), the FWC must not dismiss an application under section 365 or 773 on the ground that the application:</w:t>
      </w:r>
    </w:p>
    <w:p w14:paraId="0E6CD07E" w14:textId="77777777" w:rsidR="00777AFB" w:rsidRPr="00CD0D63" w:rsidRDefault="003139C8" w:rsidP="003139C8">
      <w:pPr>
        <w:pStyle w:val="Quote2"/>
      </w:pPr>
      <w:r w:rsidRPr="00CD0D63">
        <w:t>(a)</w:t>
      </w:r>
      <w:r w:rsidRPr="00CD0D63">
        <w:tab/>
      </w:r>
      <w:r w:rsidR="00777AFB" w:rsidRPr="00CD0D63">
        <w:t xml:space="preserve">is frivolous or vexatious; or </w:t>
      </w:r>
    </w:p>
    <w:p w14:paraId="7F873A60" w14:textId="77777777" w:rsidR="00777AFB" w:rsidRPr="00CD0D63" w:rsidRDefault="003139C8" w:rsidP="003139C8">
      <w:pPr>
        <w:pStyle w:val="Quote2"/>
      </w:pPr>
      <w:r w:rsidRPr="00CD0D63">
        <w:t>(b)</w:t>
      </w:r>
      <w:r w:rsidRPr="00CD0D63">
        <w:tab/>
      </w:r>
      <w:r w:rsidR="00777AFB" w:rsidRPr="00CD0D63">
        <w:t xml:space="preserve">has no reasonable prospects of success. </w:t>
      </w:r>
    </w:p>
    <w:p w14:paraId="01D77575" w14:textId="77777777" w:rsidR="00777AFB" w:rsidRPr="00CD0D63" w:rsidRDefault="003139C8" w:rsidP="006842DA">
      <w:pPr>
        <w:pStyle w:val="Quote1"/>
        <w:keepNext/>
        <w:widowControl/>
        <w:rPr>
          <w:szCs w:val="22"/>
        </w:rPr>
      </w:pPr>
      <w:r w:rsidRPr="00CD0D63">
        <w:rPr>
          <w:szCs w:val="22"/>
        </w:rPr>
        <w:t>(3)</w:t>
      </w:r>
      <w:r w:rsidRPr="00CD0D63">
        <w:rPr>
          <w:szCs w:val="22"/>
        </w:rPr>
        <w:tab/>
      </w:r>
      <w:r w:rsidR="00777AFB" w:rsidRPr="00CD0D63">
        <w:rPr>
          <w:szCs w:val="22"/>
        </w:rPr>
        <w:t xml:space="preserve">The FWC may dismiss an application: </w:t>
      </w:r>
    </w:p>
    <w:p w14:paraId="41C1B14B" w14:textId="77777777" w:rsidR="00777AFB" w:rsidRPr="00CD0D63" w:rsidRDefault="003139C8" w:rsidP="003139C8">
      <w:pPr>
        <w:pStyle w:val="Quote2"/>
      </w:pPr>
      <w:r w:rsidRPr="00CD0D63">
        <w:t>(a)</w:t>
      </w:r>
      <w:r w:rsidRPr="00CD0D63">
        <w:tab/>
      </w:r>
      <w:r w:rsidR="00777AFB" w:rsidRPr="00CD0D63">
        <w:t xml:space="preserve">on its own initiative; or </w:t>
      </w:r>
    </w:p>
    <w:p w14:paraId="3EBB4F08" w14:textId="77777777" w:rsidR="00777AFB" w:rsidRPr="00CD0D63" w:rsidRDefault="003139C8" w:rsidP="003139C8">
      <w:pPr>
        <w:pStyle w:val="Quote2"/>
      </w:pPr>
      <w:r w:rsidRPr="00CD0D63">
        <w:t>(b)</w:t>
      </w:r>
      <w:r w:rsidRPr="00CD0D63">
        <w:tab/>
      </w:r>
      <w:r w:rsidR="00777AFB" w:rsidRPr="00CD0D63">
        <w:t>on application.</w:t>
      </w:r>
    </w:p>
    <w:p w14:paraId="6CE18257" w14:textId="3756F27F" w:rsidR="00695503" w:rsidRPr="00CB07C3" w:rsidRDefault="00695503" w:rsidP="00695503">
      <w:pPr>
        <w:pStyle w:val="ParaNumbering"/>
      </w:pPr>
      <w:r w:rsidRPr="00CB07C3">
        <w:t xml:space="preserve">A person who is aggrieved by a decision of the FWC (other than a decision of the Full Bench) may appeal the decision, </w:t>
      </w:r>
      <w:r w:rsidR="00407AF9" w:rsidRPr="00CB07C3">
        <w:t>with the permission of the FWC:  </w:t>
      </w:r>
      <w:r w:rsidRPr="00CB07C3">
        <w:t>FW Act, s 604(1).</w:t>
      </w:r>
      <w:r w:rsidR="00407AF9" w:rsidRPr="00CB07C3">
        <w:t>  </w:t>
      </w:r>
      <w:r w:rsidRPr="00CB07C3">
        <w:t>Except in cases of unfair dismissal, the FWC must grant permission if it is satisfied that it is i</w:t>
      </w:r>
      <w:r w:rsidR="00407AF9" w:rsidRPr="00CB07C3">
        <w:t>n the public interest to do so:  </w:t>
      </w:r>
      <w:r w:rsidRPr="00CB07C3">
        <w:t xml:space="preserve">FW Act, </w:t>
      </w:r>
      <w:r w:rsidR="00407AF9" w:rsidRPr="00CB07C3">
        <w:t>s </w:t>
      </w:r>
      <w:r w:rsidRPr="00CB07C3">
        <w:t>604(2).</w:t>
      </w:r>
      <w:r w:rsidR="00407AF9" w:rsidRPr="00CB07C3">
        <w:t>  </w:t>
      </w:r>
      <w:r w:rsidRPr="00CB07C3">
        <w:t>If permission is granted, the appeal is to b</w:t>
      </w:r>
      <w:r w:rsidR="00407AF9" w:rsidRPr="00CB07C3">
        <w:t>e heard by the Full Bench</w:t>
      </w:r>
      <w:r w:rsidR="00E47A0F" w:rsidRPr="00CB07C3">
        <w:t xml:space="preserve"> of the FWC</w:t>
      </w:r>
      <w:r w:rsidR="00407AF9" w:rsidRPr="00CB07C3">
        <w:t>:  </w:t>
      </w:r>
      <w:r w:rsidRPr="00CB07C3">
        <w:t>FW Act, s 613(1)(b).</w:t>
      </w:r>
    </w:p>
    <w:p w14:paraId="6121681A" w14:textId="06A2FE21" w:rsidR="003111E8" w:rsidRDefault="003111E8" w:rsidP="009C5FB7">
      <w:pPr>
        <w:pStyle w:val="Heading1"/>
      </w:pPr>
      <w:r>
        <w:t xml:space="preserve">THE PARTIES’ CASES IN THE </w:t>
      </w:r>
      <w:r w:rsidR="00976F60">
        <w:t>FWC</w:t>
      </w:r>
    </w:p>
    <w:p w14:paraId="4EBE89B4" w14:textId="401066F0" w:rsidR="003111E8" w:rsidRPr="00CD0D63" w:rsidRDefault="003111E8" w:rsidP="009F2E3A">
      <w:pPr>
        <w:pStyle w:val="ParaNumbering"/>
        <w:keepNext/>
      </w:pPr>
      <w:r>
        <w:t xml:space="preserve">The </w:t>
      </w:r>
      <w:r w:rsidR="009C5FB7">
        <w:t xml:space="preserve">allegations made </w:t>
      </w:r>
      <w:r w:rsidR="002B4CA3">
        <w:t>by Mr </w:t>
      </w:r>
      <w:r>
        <w:t>Milford</w:t>
      </w:r>
      <w:r w:rsidR="009C5FB7">
        <w:t xml:space="preserve"> in the documents lodged in the FWC are</w:t>
      </w:r>
      <w:r>
        <w:t xml:space="preserve"> conveniently </w:t>
      </w:r>
      <w:r w:rsidRPr="00CD0D63">
        <w:t>summarised at [18] of the Full Bench decision as follows:</w:t>
      </w:r>
    </w:p>
    <w:p w14:paraId="65D194BB" w14:textId="6A086A14" w:rsidR="002B4CA3" w:rsidRPr="00CD0D63" w:rsidRDefault="00321987" w:rsidP="00321987">
      <w:pPr>
        <w:pStyle w:val="Quote1"/>
        <w:ind w:left="1440" w:hanging="703"/>
      </w:pPr>
      <w:bookmarkStart w:id="21" w:name="PastedTemp70"/>
      <w:r w:rsidRPr="00CD0D63">
        <w:t>(1)</w:t>
      </w:r>
      <w:r w:rsidRPr="00CD0D63">
        <w:tab/>
      </w:r>
      <w:r w:rsidR="009F2E3A" w:rsidRPr="00CD0D63">
        <w:t>Mr </w:t>
      </w:r>
      <w:r w:rsidR="002B4CA3" w:rsidRPr="00CD0D63">
        <w:t xml:space="preserve">Milford was employed by Coles as a casual </w:t>
      </w:r>
      <w:proofErr w:type="spellStart"/>
      <w:r w:rsidR="002B4CA3" w:rsidRPr="00CD0D63">
        <w:t>storeworker</w:t>
      </w:r>
      <w:proofErr w:type="spellEnd"/>
      <w:r w:rsidR="002B4CA3" w:rsidRPr="00CD0D63">
        <w:t xml:space="preserve"> from 2010, working regular shifts.</w:t>
      </w:r>
    </w:p>
    <w:p w14:paraId="654DFEB2" w14:textId="63576AC4" w:rsidR="002B4CA3" w:rsidRPr="00CD0D63" w:rsidRDefault="002B4CA3" w:rsidP="00321987">
      <w:pPr>
        <w:pStyle w:val="Quote1"/>
        <w:ind w:left="1440" w:hanging="703"/>
      </w:pPr>
      <w:r w:rsidRPr="00CD0D63">
        <w:t>(2)</w:t>
      </w:r>
      <w:r w:rsidR="00321987" w:rsidRPr="00CD0D63">
        <w:tab/>
      </w:r>
      <w:r w:rsidRPr="00CD0D63">
        <w:t xml:space="preserve">He was injured at work in 2014, and after he returned to work his condition </w:t>
      </w:r>
      <w:r w:rsidRPr="00CD0D63">
        <w:lastRenderedPageBreak/>
        <w:t>worsened, resulting in him being unable to work a full shift after 1 October 2014.</w:t>
      </w:r>
    </w:p>
    <w:p w14:paraId="14C9F29A" w14:textId="4852D450" w:rsidR="002B4CA3" w:rsidRPr="00CD0D63" w:rsidRDefault="00321987" w:rsidP="00321987">
      <w:pPr>
        <w:pStyle w:val="Quote1"/>
        <w:ind w:left="1440" w:hanging="703"/>
      </w:pPr>
      <w:r w:rsidRPr="00CD0D63">
        <w:t>(3)</w:t>
      </w:r>
      <w:r w:rsidRPr="00CD0D63">
        <w:tab/>
      </w:r>
      <w:r w:rsidR="002B4CA3" w:rsidRPr="00CD0D63">
        <w:t>There was subsequently a dispute concerning whether he could return to work on light duties.</w:t>
      </w:r>
      <w:r w:rsidRPr="00CD0D63">
        <w:t xml:space="preserve"> </w:t>
      </w:r>
      <w:r w:rsidR="002B4CA3" w:rsidRPr="00CD0D63">
        <w:t>Mr Milford supplied medical certificates stating his fitness to return to work on light duties, but Coles did not permit him to return to work on this basis.</w:t>
      </w:r>
    </w:p>
    <w:p w14:paraId="4223C846" w14:textId="379E40B3" w:rsidR="002B4CA3" w:rsidRPr="00CD0D63" w:rsidRDefault="00321987" w:rsidP="00321987">
      <w:pPr>
        <w:pStyle w:val="Quote1"/>
        <w:ind w:left="1440" w:hanging="703"/>
      </w:pPr>
      <w:r w:rsidRPr="00CD0D63">
        <w:t>(4)</w:t>
      </w:r>
      <w:r w:rsidRPr="00CD0D63">
        <w:tab/>
        <w:t>Mr </w:t>
      </w:r>
      <w:r w:rsidR="002B4CA3" w:rsidRPr="00CD0D63">
        <w:t>Milford continued to receive weekly workers’ compensation payments throughout.</w:t>
      </w:r>
    </w:p>
    <w:p w14:paraId="137E9B8B" w14:textId="47EC353C" w:rsidR="002B4CA3" w:rsidRPr="00CD0D63" w:rsidRDefault="00321987" w:rsidP="00321987">
      <w:pPr>
        <w:pStyle w:val="Quote1"/>
        <w:ind w:left="1440" w:hanging="703"/>
      </w:pPr>
      <w:r w:rsidRPr="00CD0D63">
        <w:t>(5)</w:t>
      </w:r>
      <w:r w:rsidRPr="00CD0D63">
        <w:tab/>
        <w:t>On 20 June 2018, Mr </w:t>
      </w:r>
      <w:r w:rsidR="002B4CA3" w:rsidRPr="00CD0D63">
        <w:t>Milford wrote to Coles seeking a return to work for rehabilitation.</w:t>
      </w:r>
      <w:r w:rsidRPr="00CD0D63">
        <w:t xml:space="preserve"> </w:t>
      </w:r>
      <w:r w:rsidR="002B4CA3" w:rsidRPr="00CD0D63">
        <w:t>This constituted him exercising, or proposing to exercise,</w:t>
      </w:r>
      <w:r w:rsidRPr="00CD0D63">
        <w:t xml:space="preserve"> </w:t>
      </w:r>
      <w:r w:rsidR="002B4CA3" w:rsidRPr="00CD0D63">
        <w:t xml:space="preserve">workplace rights arising under the </w:t>
      </w:r>
      <w:r w:rsidR="002B4CA3" w:rsidRPr="00CD0D63">
        <w:rPr>
          <w:i/>
        </w:rPr>
        <w:t>Industrial Relations Act 2016</w:t>
      </w:r>
      <w:r w:rsidR="002B4CA3" w:rsidRPr="00CD0D63">
        <w:t xml:space="preserve"> (Qld) and the </w:t>
      </w:r>
      <w:r w:rsidR="002B4CA3" w:rsidRPr="00CD0D63">
        <w:rPr>
          <w:i/>
        </w:rPr>
        <w:t>Workers’ Compensation and Rehabilitation Act 2003</w:t>
      </w:r>
      <w:r w:rsidR="002B4CA3" w:rsidRPr="00CD0D63">
        <w:t xml:space="preserve"> (Qld).</w:t>
      </w:r>
      <w:r w:rsidRPr="00CD0D63">
        <w:t xml:space="preserve"> </w:t>
      </w:r>
      <w:r w:rsidR="002B4CA3" w:rsidRPr="00CD0D63">
        <w:t xml:space="preserve">He followed this up with </w:t>
      </w:r>
      <w:r w:rsidRPr="00CD0D63">
        <w:t>further correspondence dated 25 June 2018, 29 June 2018, and 12 </w:t>
      </w:r>
      <w:r w:rsidR="002B4CA3" w:rsidRPr="00CD0D63">
        <w:t>July 2018 to similar effect.</w:t>
      </w:r>
      <w:r w:rsidRPr="00CD0D63">
        <w:t xml:space="preserve"> He also lodged two ‘</w:t>
      </w:r>
      <w:r w:rsidR="002B4CA3" w:rsidRPr="00CD0D63">
        <w:rPr>
          <w:i/>
        </w:rPr>
        <w:t>safety concerns</w:t>
      </w:r>
      <w:r w:rsidRPr="00CD0D63">
        <w:t>’ on 2 </w:t>
      </w:r>
      <w:r w:rsidR="002B4CA3" w:rsidRPr="00CD0D63">
        <w:t>July 2018,</w:t>
      </w:r>
      <w:r w:rsidRPr="00CD0D63">
        <w:t xml:space="preserve"> </w:t>
      </w:r>
      <w:r w:rsidR="002B4CA3" w:rsidRPr="00CD0D63">
        <w:t>and his application might be read as suggesting this constituted a complaint or inquiry concerning his employment.</w:t>
      </w:r>
    </w:p>
    <w:p w14:paraId="3782B9E4" w14:textId="2163CDFA" w:rsidR="002B4CA3" w:rsidRPr="00CD0D63" w:rsidRDefault="002B4CA3" w:rsidP="00321987">
      <w:pPr>
        <w:pStyle w:val="Quote1"/>
        <w:ind w:left="1440" w:hanging="703"/>
      </w:pPr>
      <w:r w:rsidRPr="00CD0D63">
        <w:t>(6)</w:t>
      </w:r>
      <w:r w:rsidR="00321987" w:rsidRPr="00CD0D63">
        <w:tab/>
        <w:t>On 20 </w:t>
      </w:r>
      <w:r w:rsidRPr="00CD0D63">
        <w:t>July 2018 Coles sent him correspondence in reply stating that it could not accede to his requests as he was no longer an employee of Coles and had not been since 3</w:t>
      </w:r>
      <w:r w:rsidR="00321987" w:rsidRPr="00CD0D63">
        <w:t>1 </w:t>
      </w:r>
      <w:r w:rsidRPr="00CD0D63">
        <w:t>December 2014.</w:t>
      </w:r>
      <w:r w:rsidR="00321987" w:rsidRPr="00CD0D63">
        <w:t xml:space="preserve"> </w:t>
      </w:r>
      <w:r w:rsidRPr="00CD0D63">
        <w:t>Coles had never previously informed him that his employment had terminated.</w:t>
      </w:r>
      <w:r w:rsidR="00321987" w:rsidRPr="00CD0D63">
        <w:t xml:space="preserve"> </w:t>
      </w:r>
      <w:r w:rsidRPr="00CD0D63">
        <w:t>This letter constituted a dismissal ef</w:t>
      </w:r>
      <w:r w:rsidR="00321987" w:rsidRPr="00CD0D63">
        <w:t>fective from that date, i.e. 20 </w:t>
      </w:r>
      <w:r w:rsidRPr="00CD0D63">
        <w:t>July 2018.</w:t>
      </w:r>
    </w:p>
    <w:p w14:paraId="2A2269A0" w14:textId="3C15D419" w:rsidR="002B4CA3" w:rsidRDefault="00321987" w:rsidP="00321987">
      <w:pPr>
        <w:pStyle w:val="Quote1"/>
        <w:ind w:left="1440" w:hanging="703"/>
      </w:pPr>
      <w:r w:rsidRPr="00CD0D63">
        <w:t>(7)</w:t>
      </w:r>
      <w:r w:rsidRPr="00CD0D63">
        <w:tab/>
      </w:r>
      <w:r w:rsidR="002B4CA3" w:rsidRPr="00CD0D63">
        <w:t>The dismissal occurred by reason of the</w:t>
      </w:r>
      <w:r w:rsidRPr="00CD0D63">
        <w:t xml:space="preserve"> </w:t>
      </w:r>
      <w:bookmarkStart w:id="22" w:name="PastedTemp53"/>
      <w:r w:rsidRPr="00CD0D63">
        <w:t>matters identified in (5) above.</w:t>
      </w:r>
      <w:r w:rsidR="00B27541" w:rsidRPr="00CD0D63">
        <w:t xml:space="preserve"> </w:t>
      </w:r>
      <w:r w:rsidRPr="00CD0D63">
        <w:t>This constituted a contravention of s 340(1).</w:t>
      </w:r>
      <w:bookmarkEnd w:id="22"/>
      <w:r>
        <w:t xml:space="preserve"> </w:t>
      </w:r>
      <w:bookmarkEnd w:id="21"/>
    </w:p>
    <w:p w14:paraId="2AD20C82" w14:textId="07232904" w:rsidR="009C5FB7" w:rsidRDefault="00976F60" w:rsidP="003111E8">
      <w:pPr>
        <w:pStyle w:val="ParaNumbering"/>
      </w:pPr>
      <w:r>
        <w:t xml:space="preserve">In its </w:t>
      </w:r>
      <w:r w:rsidR="009C5FB7">
        <w:t xml:space="preserve">written </w:t>
      </w:r>
      <w:r w:rsidR="009F2E3A">
        <w:t>response, Coles alleged that Mr </w:t>
      </w:r>
      <w:r>
        <w:t xml:space="preserve">Milford was dismissed effective from </w:t>
      </w:r>
      <w:r w:rsidR="009F2E3A">
        <w:t>the end of his final shift on 1 </w:t>
      </w:r>
      <w:r>
        <w:t>October 2014.</w:t>
      </w:r>
      <w:r w:rsidR="00407AF9">
        <w:t xml:space="preserve">  It denied that Mr </w:t>
      </w:r>
      <w:r w:rsidR="009C5FB7">
        <w:t>Milford’s dismissal was effective from 20</w:t>
      </w:r>
      <w:r w:rsidR="00407AF9">
        <w:t> </w:t>
      </w:r>
      <w:r w:rsidR="009C5FB7">
        <w:t xml:space="preserve">July 2018 as alleged in the initiating documents.  </w:t>
      </w:r>
      <w:r w:rsidR="003111E8">
        <w:t>Coles</w:t>
      </w:r>
      <w:r>
        <w:t xml:space="preserve"> later modified its position to advance </w:t>
      </w:r>
      <w:r w:rsidR="009C5FB7">
        <w:t>its alternative</w:t>
      </w:r>
      <w:r>
        <w:t xml:space="preserve"> </w:t>
      </w:r>
      <w:r w:rsidR="00990EEC">
        <w:t xml:space="preserve">case to the effect that </w:t>
      </w:r>
      <w:r w:rsidR="009F2E3A">
        <w:t>Mr </w:t>
      </w:r>
      <w:r w:rsidR="003111E8">
        <w:t>Milford had not been “dismissed”</w:t>
      </w:r>
      <w:r w:rsidR="00990EEC">
        <w:t xml:space="preserve"> at all</w:t>
      </w:r>
      <w:r w:rsidR="00705EDC">
        <w:t xml:space="preserve">.  That argument was founded on </w:t>
      </w:r>
      <w:r w:rsidR="00ED56E1">
        <w:t xml:space="preserve">the </w:t>
      </w:r>
      <w:r w:rsidR="00705EDC">
        <w:t>fact</w:t>
      </w:r>
      <w:r w:rsidR="004F6F99">
        <w:t xml:space="preserve"> that Mr </w:t>
      </w:r>
      <w:r w:rsidR="00705EDC">
        <w:t>Milfo</w:t>
      </w:r>
      <w:r w:rsidR="004F6F99">
        <w:t>r</w:t>
      </w:r>
      <w:r w:rsidR="00705EDC">
        <w:t>d was a</w:t>
      </w:r>
      <w:r w:rsidR="00990EEC">
        <w:t xml:space="preserve"> casual employee</w:t>
      </w:r>
      <w:r w:rsidR="00705EDC">
        <w:t xml:space="preserve">, the fact that he had not been offered any further shifts, and the </w:t>
      </w:r>
      <w:r w:rsidR="00F1011D">
        <w:t xml:space="preserve">application </w:t>
      </w:r>
      <w:r w:rsidR="00705EDC">
        <w:t xml:space="preserve">of </w:t>
      </w:r>
      <w:r w:rsidR="00990EEC">
        <w:t>an enterprise agreement</w:t>
      </w:r>
      <w:r w:rsidR="004F6F99">
        <w:t xml:space="preserve"> </w:t>
      </w:r>
      <w:r w:rsidR="00F1011D">
        <w:t xml:space="preserve">to </w:t>
      </w:r>
      <w:r w:rsidR="004F6F99">
        <w:t xml:space="preserve">those facts. </w:t>
      </w:r>
      <w:r w:rsidR="00705EDC">
        <w:t xml:space="preserve"> </w:t>
      </w:r>
      <w:r w:rsidR="009C5FB7">
        <w:t>In submissions on this application, that alternative case was described as Coles’ princip</w:t>
      </w:r>
      <w:r w:rsidR="00F50F31">
        <w:t>al</w:t>
      </w:r>
      <w:r w:rsidR="009C5FB7">
        <w:t xml:space="preserve"> submission</w:t>
      </w:r>
      <w:r w:rsidR="00943D5D">
        <w:t xml:space="preserve">.  </w:t>
      </w:r>
      <w:r w:rsidR="00F1011D">
        <w:t>Whether</w:t>
      </w:r>
      <w:r w:rsidR="009C5FB7">
        <w:t xml:space="preserve"> Coles </w:t>
      </w:r>
      <w:r w:rsidR="00F1011D">
        <w:t>maintains its</w:t>
      </w:r>
      <w:r w:rsidR="009C5FB7">
        <w:t xml:space="preserve"> principal </w:t>
      </w:r>
      <w:r w:rsidR="00F1011D">
        <w:t>submission is unclear</w:t>
      </w:r>
      <w:r w:rsidR="00407AF9">
        <w:t xml:space="preserve">.  </w:t>
      </w:r>
      <w:r w:rsidR="009C5FB7">
        <w:t>As will be seen, the declaratory relief sought on this application is difficult to reconcile with it.</w:t>
      </w:r>
    </w:p>
    <w:p w14:paraId="682E6ECF" w14:textId="1BC2BC1B" w:rsidR="003111E8" w:rsidRPr="00CB07C3" w:rsidRDefault="009C5FB7" w:rsidP="003111E8">
      <w:pPr>
        <w:pStyle w:val="ParaNumbering"/>
      </w:pPr>
      <w:r w:rsidRPr="00CB07C3">
        <w:t>Before</w:t>
      </w:r>
      <w:r w:rsidR="003111E8" w:rsidRPr="00CB07C3">
        <w:t xml:space="preserve"> the Deputy Pres</w:t>
      </w:r>
      <w:r w:rsidR="00990EEC" w:rsidRPr="00CB07C3">
        <w:t>ident</w:t>
      </w:r>
      <w:r w:rsidR="003111E8" w:rsidRPr="00CB07C3">
        <w:t xml:space="preserve"> and the Full Bench (and before this </w:t>
      </w:r>
      <w:r w:rsidR="007C7DF3" w:rsidRPr="00CB07C3">
        <w:t xml:space="preserve">Full Court) </w:t>
      </w:r>
      <w:r w:rsidRPr="00CB07C3">
        <w:t xml:space="preserve">the parties made submissions </w:t>
      </w:r>
      <w:r w:rsidR="007C7DF3" w:rsidRPr="00CB07C3">
        <w:t xml:space="preserve">as to the significance of an earlier decision of the Full Bench in </w:t>
      </w:r>
      <w:r w:rsidR="007C7DF3" w:rsidRPr="00CB07C3">
        <w:rPr>
          <w:b/>
          <w:i/>
        </w:rPr>
        <w:t>Hewitt</w:t>
      </w:r>
      <w:r w:rsidR="007C7DF3" w:rsidRPr="00CB07C3">
        <w:rPr>
          <w:i/>
        </w:rPr>
        <w:t xml:space="preserve"> v </w:t>
      </w:r>
      <w:proofErr w:type="spellStart"/>
      <w:r w:rsidR="007C7DF3" w:rsidRPr="00CB07C3">
        <w:rPr>
          <w:i/>
        </w:rPr>
        <w:t>Topero</w:t>
      </w:r>
      <w:proofErr w:type="spellEnd"/>
      <w:r w:rsidR="007C7DF3" w:rsidRPr="00CB07C3">
        <w:rPr>
          <w:i/>
        </w:rPr>
        <w:t xml:space="preserve"> Nominees Pty Ltd</w:t>
      </w:r>
      <w:r w:rsidR="007C7DF3" w:rsidRPr="00CB07C3">
        <w:t xml:space="preserve"> [2013] FWCFB 6321; 238 IR 42</w:t>
      </w:r>
      <w:r w:rsidR="00990EEC" w:rsidRPr="00CB07C3">
        <w:t>.</w:t>
      </w:r>
      <w:r w:rsidR="00407AF9" w:rsidRPr="00CB07C3">
        <w:t>  </w:t>
      </w:r>
      <w:r w:rsidR="00705EDC" w:rsidRPr="00CB07C3">
        <w:t>Crudely</w:t>
      </w:r>
      <w:r w:rsidR="00990EEC" w:rsidRPr="00CB07C3">
        <w:t xml:space="preserve"> summarised, the effect of </w:t>
      </w:r>
      <w:r w:rsidR="007C7DF3" w:rsidRPr="00CB07C3">
        <w:t>the</w:t>
      </w:r>
      <w:r w:rsidR="00990EEC" w:rsidRPr="00CB07C3">
        <w:t xml:space="preserve"> decision in </w:t>
      </w:r>
      <w:r w:rsidR="00990EEC" w:rsidRPr="00CB07C3">
        <w:rPr>
          <w:i/>
        </w:rPr>
        <w:t>Hewitt</w:t>
      </w:r>
      <w:r w:rsidR="00990EEC" w:rsidRPr="00CB07C3">
        <w:t xml:space="preserve"> was that </w:t>
      </w:r>
      <w:r w:rsidR="007C7DF3" w:rsidRPr="00CB07C3">
        <w:t xml:space="preserve">the FWC was not authorised to make any finding as to whether or not </w:t>
      </w:r>
      <w:r w:rsidR="00F50F31" w:rsidRPr="00CB07C3">
        <w:t xml:space="preserve">an </w:t>
      </w:r>
      <w:r w:rsidR="007C7DF3" w:rsidRPr="00CB07C3">
        <w:t>applicant had been dismissed from his or her employment</w:t>
      </w:r>
      <w:r w:rsidRPr="00CB07C3">
        <w:t xml:space="preserve"> as to do so would determine</w:t>
      </w:r>
      <w:r w:rsidR="007C7DF3" w:rsidRPr="00CB07C3">
        <w:t xml:space="preserve"> the</w:t>
      </w:r>
      <w:r w:rsidR="00990EEC" w:rsidRPr="00CB07C3">
        <w:t xml:space="preserve"> substantive dispute</w:t>
      </w:r>
      <w:r w:rsidRPr="00CB07C3">
        <w:t xml:space="preserve"> on its merits</w:t>
      </w:r>
      <w:r w:rsidR="007C7DF3" w:rsidRPr="00CB07C3">
        <w:t>, which the FWC had no author</w:t>
      </w:r>
      <w:r w:rsidR="009F2E3A" w:rsidRPr="00CB07C3">
        <w:t>ity to do under s 368 of the FW </w:t>
      </w:r>
      <w:r w:rsidR="007C7DF3" w:rsidRPr="00CB07C3">
        <w:t>Act as then in force.</w:t>
      </w:r>
      <w:r w:rsidR="00705EDC" w:rsidRPr="00CB07C3">
        <w:t xml:space="preserve">  The authority of the FWC</w:t>
      </w:r>
      <w:r w:rsidR="004F6F99" w:rsidRPr="00CB07C3">
        <w:t xml:space="preserve"> to deal with a dispute under s </w:t>
      </w:r>
      <w:r w:rsidR="00705EDC" w:rsidRPr="00CB07C3">
        <w:t xml:space="preserve">368 did not </w:t>
      </w:r>
      <w:r w:rsidR="00705EDC" w:rsidRPr="00CB07C3">
        <w:lastRenderedPageBreak/>
        <w:t xml:space="preserve">depend upon there having been a dismissal in fact, rather it depended on the applicant having alleged that he or she was dismissed, so the Full Bench held. </w:t>
      </w:r>
      <w:r w:rsidR="004F6F99" w:rsidRPr="00CB07C3">
        <w:t xml:space="preserve"> </w:t>
      </w:r>
      <w:r w:rsidR="00705EDC" w:rsidRPr="00CB07C3">
        <w:t>The reasons given by the</w:t>
      </w:r>
      <w:r w:rsidR="007C7DF3" w:rsidRPr="00CB07C3">
        <w:t xml:space="preserve"> Deputy President </w:t>
      </w:r>
      <w:r w:rsidR="00705EDC" w:rsidRPr="00CB07C3">
        <w:t>for the first and second decisions are</w:t>
      </w:r>
      <w:r w:rsidR="007C7DF3" w:rsidRPr="00CB07C3">
        <w:t xml:space="preserve"> to be interpreted in the context of </w:t>
      </w:r>
      <w:r w:rsidR="00990EEC" w:rsidRPr="00CB07C3">
        <w:rPr>
          <w:i/>
        </w:rPr>
        <w:t>Hewitt,</w:t>
      </w:r>
      <w:r w:rsidR="00990EEC" w:rsidRPr="00CB07C3">
        <w:t xml:space="preserve"> </w:t>
      </w:r>
      <w:r w:rsidR="00F50F31" w:rsidRPr="00CB07C3">
        <w:t>by</w:t>
      </w:r>
      <w:r w:rsidR="00990EEC" w:rsidRPr="00CB07C3">
        <w:t xml:space="preserve"> which </w:t>
      </w:r>
      <w:r w:rsidRPr="00CB07C3">
        <w:t xml:space="preserve">she </w:t>
      </w:r>
      <w:r w:rsidR="00990EEC" w:rsidRPr="00CB07C3">
        <w:t>considered herself bound</w:t>
      </w:r>
      <w:r w:rsidR="00F1011D" w:rsidRPr="00CB07C3">
        <w:t xml:space="preserve"> as a single Commissioner</w:t>
      </w:r>
      <w:r w:rsidR="00990EEC" w:rsidRPr="00CB07C3">
        <w:t>.</w:t>
      </w:r>
    </w:p>
    <w:p w14:paraId="7AE02790" w14:textId="14B79024" w:rsidR="00321DF9" w:rsidRDefault="00D75413" w:rsidP="007D12A0">
      <w:pPr>
        <w:pStyle w:val="Heading1"/>
      </w:pPr>
      <w:r>
        <w:t>Decisions of the Deputy PresIDENT</w:t>
      </w:r>
    </w:p>
    <w:p w14:paraId="045ABD1F" w14:textId="77777777" w:rsidR="0002563E" w:rsidRDefault="0038228C" w:rsidP="00D75413">
      <w:pPr>
        <w:pStyle w:val="Heading2"/>
      </w:pPr>
      <w:r>
        <w:t>The first decision</w:t>
      </w:r>
    </w:p>
    <w:p w14:paraId="3F2FCDAD" w14:textId="701357AB" w:rsidR="003111E8" w:rsidRPr="00CB07C3" w:rsidRDefault="007C7DF3" w:rsidP="00407AF9">
      <w:pPr>
        <w:pStyle w:val="ParaNumbering"/>
        <w:keepNext/>
      </w:pPr>
      <w:r w:rsidRPr="00CB07C3">
        <w:t xml:space="preserve">After citing the decision in </w:t>
      </w:r>
      <w:r w:rsidRPr="00CB07C3">
        <w:rPr>
          <w:i/>
        </w:rPr>
        <w:t>Hewitt</w:t>
      </w:r>
      <w:r w:rsidRPr="00CB07C3">
        <w:t xml:space="preserve">, the Deputy President </w:t>
      </w:r>
      <w:r w:rsidR="00705EDC" w:rsidRPr="00CB07C3">
        <w:t>said</w:t>
      </w:r>
      <w:r w:rsidRPr="00CB07C3">
        <w:t xml:space="preserve"> (at [57]):</w:t>
      </w:r>
    </w:p>
    <w:p w14:paraId="332FE72E" w14:textId="3B001FCE" w:rsidR="007C7DF3" w:rsidRDefault="00695503" w:rsidP="007C7DF3">
      <w:pPr>
        <w:pStyle w:val="Quote1"/>
      </w:pPr>
      <w:r w:rsidRPr="00CD0D63">
        <w:t>…</w:t>
      </w:r>
      <w:r w:rsidR="007C7DF3" w:rsidRPr="00CD0D63">
        <w:t xml:space="preserve"> it is not necessary to make a fi</w:t>
      </w:r>
      <w:r w:rsidR="006D10EF" w:rsidRPr="00CD0D63">
        <w:t>nding concerning whether Mr </w:t>
      </w:r>
      <w:r w:rsidR="007C7DF3" w:rsidRPr="00CD0D63">
        <w:t>Milford was dismissed.</w:t>
      </w:r>
      <w:r w:rsidR="00B27541" w:rsidRPr="00CD0D63">
        <w:t xml:space="preserve"> </w:t>
      </w:r>
      <w:r w:rsidR="007C7DF3" w:rsidRPr="00CD0D63">
        <w:t>However it is necessary to d</w:t>
      </w:r>
      <w:r w:rsidR="006D10EF" w:rsidRPr="00CD0D63">
        <w:t>etermine the date that the 21–</w:t>
      </w:r>
      <w:r w:rsidR="007C7DF3" w:rsidRPr="00CD0D63">
        <w:t>day time period commenced (the r</w:t>
      </w:r>
      <w:r w:rsidR="006D10EF" w:rsidRPr="00CD0D63">
        <w:t>elevant date) the purposes of s </w:t>
      </w:r>
      <w:r w:rsidR="007C7DF3" w:rsidRPr="00CD0D63">
        <w:t>366</w:t>
      </w:r>
      <w:r w:rsidR="006D10EF" w:rsidRPr="00CD0D63">
        <w:t>(1)</w:t>
      </w:r>
      <w:r w:rsidR="007C7DF3" w:rsidRPr="00CD0D63">
        <w:t xml:space="preserve"> of the Act</w:t>
      </w:r>
      <w:r w:rsidR="006D10EF" w:rsidRPr="00CD0D63">
        <w:t>.</w:t>
      </w:r>
      <w:r w:rsidR="00B27541" w:rsidRPr="00CD0D63">
        <w:t xml:space="preserve"> </w:t>
      </w:r>
      <w:r w:rsidR="006D10EF" w:rsidRPr="00CD0D63">
        <w:t>…</w:t>
      </w:r>
    </w:p>
    <w:p w14:paraId="65CA2D3B" w14:textId="021E54FC" w:rsidR="00705EDC" w:rsidRPr="00CB07C3" w:rsidRDefault="003111E8" w:rsidP="006842DA">
      <w:pPr>
        <w:pStyle w:val="ParaNumbering"/>
        <w:keepNext/>
      </w:pPr>
      <w:r w:rsidRPr="00CB07C3">
        <w:t xml:space="preserve">The </w:t>
      </w:r>
      <w:r w:rsidR="00D75413" w:rsidRPr="00CB07C3">
        <w:t xml:space="preserve">Deputy President referred to a line of cases in the </w:t>
      </w:r>
      <w:r w:rsidR="00ED56E1" w:rsidRPr="00CB07C3">
        <w:t xml:space="preserve">FWC </w:t>
      </w:r>
      <w:r w:rsidR="00D75413" w:rsidRPr="00CB07C3">
        <w:t>to the effect that</w:t>
      </w:r>
      <w:r w:rsidR="007C7DF3" w:rsidRPr="00CB07C3">
        <w:t xml:space="preserve"> the employment relationship end</w:t>
      </w:r>
      <w:r w:rsidR="00D75413" w:rsidRPr="00CB07C3">
        <w:t>ed when the employee became aware of the</w:t>
      </w:r>
      <w:r w:rsidR="0002714B" w:rsidRPr="00CB07C3">
        <w:t xml:space="preserve"> employer’s decision to end it</w:t>
      </w:r>
      <w:r w:rsidR="00B27541" w:rsidRPr="00CB07C3">
        <w:t xml:space="preserve"> </w:t>
      </w:r>
      <w:r w:rsidR="00943D5D" w:rsidRPr="00CB07C3">
        <w:t>at </w:t>
      </w:r>
      <w:r w:rsidR="00D75413" w:rsidRPr="00CB07C3">
        <w:t>[72], citing</w:t>
      </w:r>
      <w:r w:rsidR="00722C19" w:rsidRPr="00CB07C3">
        <w:t xml:space="preserve"> </w:t>
      </w:r>
      <w:proofErr w:type="spellStart"/>
      <w:r w:rsidR="00722C19" w:rsidRPr="00CB07C3">
        <w:rPr>
          <w:i/>
        </w:rPr>
        <w:t>Mihajlovic</w:t>
      </w:r>
      <w:proofErr w:type="spellEnd"/>
      <w:r w:rsidR="00722C19" w:rsidRPr="00CB07C3">
        <w:rPr>
          <w:i/>
        </w:rPr>
        <w:t xml:space="preserve"> v Lifeline Macarthur</w:t>
      </w:r>
      <w:r w:rsidR="00722C19" w:rsidRPr="00CB07C3">
        <w:t xml:space="preserve"> [2013] FWC 9804.</w:t>
      </w:r>
      <w:r w:rsidR="00B27541" w:rsidRPr="00CB07C3">
        <w:t xml:space="preserve"> </w:t>
      </w:r>
      <w:r w:rsidR="00407AF9" w:rsidRPr="00CB07C3">
        <w:t xml:space="preserve"> </w:t>
      </w:r>
      <w:r w:rsidR="00D75413" w:rsidRPr="00CB07C3">
        <w:t xml:space="preserve">See also </w:t>
      </w:r>
      <w:proofErr w:type="spellStart"/>
      <w:r w:rsidR="00D75413" w:rsidRPr="00CB07C3">
        <w:rPr>
          <w:i/>
        </w:rPr>
        <w:t>Ayub</w:t>
      </w:r>
      <w:proofErr w:type="spellEnd"/>
      <w:r w:rsidR="00D75413" w:rsidRPr="00CB07C3">
        <w:rPr>
          <w:i/>
        </w:rPr>
        <w:t xml:space="preserve"> v NSW Trains </w:t>
      </w:r>
      <w:r w:rsidR="00D75413" w:rsidRPr="00CB07C3">
        <w:t>[2016] FWCFB 5500</w:t>
      </w:r>
      <w:r w:rsidR="00722C19" w:rsidRPr="00CB07C3">
        <w:t>.</w:t>
      </w:r>
      <w:r w:rsidR="00B27541" w:rsidRPr="00CB07C3">
        <w:t xml:space="preserve"> </w:t>
      </w:r>
      <w:r w:rsidR="00407AF9" w:rsidRPr="00CB07C3">
        <w:t xml:space="preserve"> </w:t>
      </w:r>
      <w:r w:rsidR="007C7DF3" w:rsidRPr="00CB07C3">
        <w:t>The Deputy President</w:t>
      </w:r>
      <w:r w:rsidR="0002714B" w:rsidRPr="00CB07C3">
        <w:t xml:space="preserve"> said that it was clear that Mr </w:t>
      </w:r>
      <w:r w:rsidR="00ED56E1" w:rsidRPr="00CB07C3">
        <w:t xml:space="preserve">Milford </w:t>
      </w:r>
      <w:r w:rsidR="007C7DF3" w:rsidRPr="00CB07C3">
        <w:t>had become aware of the end of the employment relationship “on 13</w:t>
      </w:r>
      <w:r w:rsidR="00ED56E1" w:rsidRPr="00CB07C3">
        <w:t> </w:t>
      </w:r>
      <w:r w:rsidR="007C7DF3" w:rsidRPr="00CB07C3">
        <w:t>June 2016 or, at the latest, 1</w:t>
      </w:r>
      <w:r w:rsidR="00ED56E1" w:rsidRPr="00CB07C3">
        <w:t> </w:t>
      </w:r>
      <w:r w:rsidR="007C7DF3" w:rsidRPr="00CB07C3">
        <w:t>July 2016”</w:t>
      </w:r>
      <w:r w:rsidR="00407AF9" w:rsidRPr="00CB07C3">
        <w:t xml:space="preserve">. </w:t>
      </w:r>
      <w:r w:rsidR="00B27541" w:rsidRPr="00CB07C3">
        <w:t xml:space="preserve"> </w:t>
      </w:r>
      <w:r w:rsidR="0002714B" w:rsidRPr="00CB07C3">
        <w:t>And that “At its highest </w:t>
      </w:r>
      <w:r w:rsidR="00976F60" w:rsidRPr="00CB07C3">
        <w:t>.</w:t>
      </w:r>
      <w:r w:rsidR="0002714B" w:rsidRPr="00CB07C3">
        <w:t>.. Mr </w:t>
      </w:r>
      <w:r w:rsidR="007C7DF3" w:rsidRPr="00CB07C3">
        <w:t>Milford’s case results in the conclusion that the employment relationship ended on either of those dates”</w:t>
      </w:r>
      <w:r w:rsidR="00976F60" w:rsidRPr="00CB07C3">
        <w:t>.</w:t>
      </w:r>
      <w:r w:rsidR="00F1011D" w:rsidRPr="00CB07C3">
        <w:t xml:space="preserve">  </w:t>
      </w:r>
      <w:r w:rsidR="00F50F31" w:rsidRPr="00CB07C3">
        <w:t>The  reason that the Deputy President referred to the dates in 2016 was that Coles’ workers compensatio</w:t>
      </w:r>
      <w:r w:rsidR="00943D5D" w:rsidRPr="00CB07C3">
        <w:t xml:space="preserve">n insurer </w:t>
      </w:r>
      <w:r w:rsidR="008A077C" w:rsidRPr="00CB07C3">
        <w:t>(</w:t>
      </w:r>
      <w:r w:rsidR="009D5404" w:rsidRPr="00CB07C3">
        <w:t xml:space="preserve">being </w:t>
      </w:r>
      <w:r w:rsidR="008A077C" w:rsidRPr="00CB07C3">
        <w:t>a related entity</w:t>
      </w:r>
      <w:r w:rsidR="009D5404" w:rsidRPr="00CB07C3">
        <w:t xml:space="preserve"> of Coles</w:t>
      </w:r>
      <w:r w:rsidR="008A077C" w:rsidRPr="00CB07C3">
        <w:t xml:space="preserve">) </w:t>
      </w:r>
      <w:r w:rsidR="00943D5D" w:rsidRPr="00CB07C3">
        <w:t>had written to Mr Milford on 13 </w:t>
      </w:r>
      <w:r w:rsidR="00F50F31" w:rsidRPr="00CB07C3">
        <w:t>Jun</w:t>
      </w:r>
      <w:r w:rsidR="00943D5D" w:rsidRPr="00CB07C3">
        <w:t>e</w:t>
      </w:r>
      <w:r w:rsidR="00F50F31" w:rsidRPr="00CB07C3">
        <w:t xml:space="preserve"> 2016 informing him that his employment with Coles had been terminated (at [2]).  </w:t>
      </w:r>
      <w:r w:rsidR="00705EDC" w:rsidRPr="00CB07C3">
        <w:t>The Deputy President concluded that Mr Milford was “out of time by 1404 days” (at [10]).</w:t>
      </w:r>
    </w:p>
    <w:p w14:paraId="6AC9BDD4" w14:textId="21D28D38" w:rsidR="00705EDC" w:rsidRPr="00CB07C3" w:rsidRDefault="00705EDC" w:rsidP="00705EDC">
      <w:pPr>
        <w:pStyle w:val="ParaNumbering"/>
      </w:pPr>
      <w:r w:rsidRPr="00CB07C3">
        <w:t>As has been mentioned, following the first decision, M</w:t>
      </w:r>
      <w:r w:rsidR="004F6F99" w:rsidRPr="00CB07C3">
        <w:t>r </w:t>
      </w:r>
      <w:r w:rsidRPr="00CB07C3">
        <w:t>Milford made an application for permission to appeal the</w:t>
      </w:r>
      <w:r w:rsidR="004F6F99" w:rsidRPr="00CB07C3">
        <w:t xml:space="preserve"> </w:t>
      </w:r>
      <w:r w:rsidR="00F1011D" w:rsidRPr="00CB07C3">
        <w:t xml:space="preserve">first </w:t>
      </w:r>
      <w:r w:rsidR="004F6F99" w:rsidRPr="00CB07C3">
        <w:t xml:space="preserve">decision to the Full Bench.  </w:t>
      </w:r>
      <w:r w:rsidRPr="00CB07C3">
        <w:t>The Full Bench refused to grant permission because, it said, it remained open to Mr</w:t>
      </w:r>
      <w:r w:rsidR="00ED56E1" w:rsidRPr="00CB07C3">
        <w:t> </w:t>
      </w:r>
      <w:r w:rsidRPr="00CB07C3">
        <w:t>Milford</w:t>
      </w:r>
      <w:r w:rsidR="004F6F99" w:rsidRPr="00CB07C3">
        <w:t xml:space="preserve"> to make an application under s </w:t>
      </w:r>
      <w:r w:rsidRPr="00CB07C3">
        <w:t>366</w:t>
      </w:r>
      <w:r w:rsidR="004F6F99" w:rsidRPr="00CB07C3">
        <w:t>(1) to extend the time</w:t>
      </w:r>
      <w:r w:rsidR="004E6331" w:rsidRPr="00CB07C3">
        <w:t xml:space="preserve"> limit</w:t>
      </w:r>
      <w:r w:rsidR="004F6F99" w:rsidRPr="00CB07C3">
        <w:t xml:space="preserve">.  </w:t>
      </w:r>
      <w:r w:rsidR="00F1011D" w:rsidRPr="00CB07C3">
        <w:t xml:space="preserve">At that time, </w:t>
      </w:r>
      <w:r w:rsidRPr="00CB07C3">
        <w:t xml:space="preserve">the Full Bench failed to appreciate </w:t>
      </w:r>
      <w:r w:rsidR="00F1011D" w:rsidRPr="00CB07C3">
        <w:t xml:space="preserve">the effect of </w:t>
      </w:r>
      <w:r w:rsidR="00943D5D" w:rsidRPr="00CB07C3">
        <w:t>the first decision on Mr </w:t>
      </w:r>
      <w:r w:rsidR="00F1011D" w:rsidRPr="00CB07C3">
        <w:t xml:space="preserve">Milford’s case, namely to place the date of the end of his employment before the date that he purportedly exercised his workplace right. </w:t>
      </w:r>
      <w:r w:rsidR="00943D5D" w:rsidRPr="00CB07C3">
        <w:t xml:space="preserve"> </w:t>
      </w:r>
      <w:r w:rsidRPr="00CB07C3">
        <w:t xml:space="preserve">As explained below, the refusal of permission to appeal from the first decision </w:t>
      </w:r>
      <w:r w:rsidR="00943D5D" w:rsidRPr="00CB07C3">
        <w:t>on the basis that Mr </w:t>
      </w:r>
      <w:r w:rsidR="00B23BB7" w:rsidRPr="00CB07C3">
        <w:t>Milford</w:t>
      </w:r>
      <w:r w:rsidRPr="00CB07C3">
        <w:t xml:space="preserve"> could and should make an application for an extension of time </w:t>
      </w:r>
      <w:r w:rsidR="00B23BB7" w:rsidRPr="00CB07C3">
        <w:t>gave</w:t>
      </w:r>
      <w:r w:rsidR="009609AA" w:rsidRPr="00CB07C3">
        <w:t>,</w:t>
      </w:r>
      <w:r w:rsidR="00B23BB7" w:rsidRPr="00CB07C3">
        <w:t xml:space="preserve"> rise to conceptual difficulties before the Deputy Preside</w:t>
      </w:r>
      <w:r w:rsidR="00943D5D" w:rsidRPr="00CB07C3">
        <w:t>nt when the application under s </w:t>
      </w:r>
      <w:r w:rsidR="00B23BB7" w:rsidRPr="00CB07C3">
        <w:t>366(1) was made</w:t>
      </w:r>
      <w:r w:rsidR="004F6F99" w:rsidRPr="00CB07C3">
        <w:t>.</w:t>
      </w:r>
    </w:p>
    <w:p w14:paraId="7803A870" w14:textId="219A50DE" w:rsidR="00C76204" w:rsidRDefault="00C76204" w:rsidP="00C76204">
      <w:pPr>
        <w:pStyle w:val="Heading2"/>
      </w:pPr>
      <w:r>
        <w:lastRenderedPageBreak/>
        <w:t>The second decision</w:t>
      </w:r>
    </w:p>
    <w:p w14:paraId="57F3A3FD" w14:textId="6429682A" w:rsidR="00D75413" w:rsidRPr="00CB07C3" w:rsidRDefault="00D75413" w:rsidP="00321DF9">
      <w:pPr>
        <w:pStyle w:val="ParaNumbering"/>
      </w:pPr>
      <w:r w:rsidRPr="00CB07C3">
        <w:t>The Deputy Pre</w:t>
      </w:r>
      <w:r w:rsidR="009B753B" w:rsidRPr="00CB07C3">
        <w:t>sident found that Mr </w:t>
      </w:r>
      <w:r w:rsidR="00722C19" w:rsidRPr="00CB07C3">
        <w:t>Milford</w:t>
      </w:r>
      <w:r w:rsidRPr="00CB07C3">
        <w:t xml:space="preserve"> had not taken any action to dispute his dismissal </w:t>
      </w:r>
      <w:r w:rsidR="00C76204" w:rsidRPr="00CB07C3">
        <w:t xml:space="preserve">between mid-2016 and </w:t>
      </w:r>
      <w:r w:rsidR="0002714B" w:rsidRPr="00CB07C3">
        <w:t>5 </w:t>
      </w:r>
      <w:r w:rsidRPr="00CB07C3">
        <w:t>August 2018</w:t>
      </w:r>
      <w:r w:rsidR="00C76204" w:rsidRPr="00CB07C3">
        <w:t xml:space="preserve"> when his initiating documents were lodged</w:t>
      </w:r>
      <w:r w:rsidRPr="00CB07C3">
        <w:t>.</w:t>
      </w:r>
      <w:r w:rsidR="00B27541" w:rsidRPr="00CB07C3">
        <w:t xml:space="preserve"> </w:t>
      </w:r>
      <w:r w:rsidR="004F6F99" w:rsidRPr="00CB07C3">
        <w:t xml:space="preserve"> </w:t>
      </w:r>
      <w:r w:rsidR="009B753B" w:rsidRPr="00CB07C3">
        <w:t>The Deputy President concluded that Mr </w:t>
      </w:r>
      <w:r w:rsidR="00966843" w:rsidRPr="00CB07C3">
        <w:t xml:space="preserve">Milford had </w:t>
      </w:r>
      <w:r w:rsidR="00695503" w:rsidRPr="00CB07C3">
        <w:t>“</w:t>
      </w:r>
      <w:r w:rsidR="00966843" w:rsidRPr="00CB07C3">
        <w:t>put his head in the sand</w:t>
      </w:r>
      <w:r w:rsidR="00695503" w:rsidRPr="00CB07C3">
        <w:t>”</w:t>
      </w:r>
      <w:r w:rsidR="00966843" w:rsidRPr="00CB07C3">
        <w:t xml:space="preserve"> in June and July 2016</w:t>
      </w:r>
      <w:r w:rsidR="00695503" w:rsidRPr="00CB07C3">
        <w:t>, that he had allowed two years to pass</w:t>
      </w:r>
      <w:r w:rsidR="00966843" w:rsidRPr="00CB07C3">
        <w:t xml:space="preserve"> before </w:t>
      </w:r>
      <w:r w:rsidR="00695503" w:rsidRPr="00CB07C3">
        <w:t xml:space="preserve">making his application (at [27]) and that he had </w:t>
      </w:r>
      <w:r w:rsidR="00966843" w:rsidRPr="00CB07C3">
        <w:t>“wilfully resisted the reality of the situation” (at [27]).</w:t>
      </w:r>
      <w:r w:rsidR="00B27541" w:rsidRPr="00CB07C3">
        <w:t xml:space="preserve"> </w:t>
      </w:r>
      <w:r w:rsidR="00C656E0" w:rsidRPr="00CB07C3">
        <w:t xml:space="preserve"> </w:t>
      </w:r>
      <w:r w:rsidR="00966843" w:rsidRPr="00CB07C3">
        <w:t>The Deputy Pres</w:t>
      </w:r>
      <w:r w:rsidR="009B753B" w:rsidRPr="00CB07C3">
        <w:t>ident</w:t>
      </w:r>
      <w:r w:rsidR="00966843" w:rsidRPr="00CB07C3">
        <w:t xml:space="preserve"> concluded that Coles would be prejudiced if the extension of time was to be granted and that t</w:t>
      </w:r>
      <w:r w:rsidR="009B753B" w:rsidRPr="00CB07C3">
        <w:t>his weighed against granting Mr </w:t>
      </w:r>
      <w:r w:rsidR="00966843" w:rsidRPr="00CB07C3">
        <w:t>Milford an extension of time (at [28]).</w:t>
      </w:r>
    </w:p>
    <w:p w14:paraId="351C1733" w14:textId="195A004C" w:rsidR="008E33FF" w:rsidRPr="00CB07C3" w:rsidRDefault="004B76FB" w:rsidP="004F6F99">
      <w:pPr>
        <w:pStyle w:val="ParaNumbering"/>
        <w:keepNext/>
      </w:pPr>
      <w:r w:rsidRPr="00CB07C3">
        <w:t>In considering the merits</w:t>
      </w:r>
      <w:r w:rsidR="00C656E0" w:rsidRPr="00CB07C3">
        <w:t xml:space="preserve"> of the application under s </w:t>
      </w:r>
      <w:r w:rsidRPr="00CB07C3">
        <w:t>366(2)(d), the Deputy President</w:t>
      </w:r>
      <w:r w:rsidR="008E33FF" w:rsidRPr="00CB07C3">
        <w:t xml:space="preserve"> said that the first decision involved an accepta</w:t>
      </w:r>
      <w:r w:rsidR="00C656E0" w:rsidRPr="00CB07C3">
        <w:t>nce of Coles’ submission that “… </w:t>
      </w:r>
      <w:r w:rsidR="008E33FF" w:rsidRPr="00CB07C3">
        <w:t>the Applicant was engaged on a casual basis and his employment came to an end when he was not reengaged for further shifts</w:t>
      </w:r>
      <w:r w:rsidR="00C656E0" w:rsidRPr="00CB07C3">
        <w:t xml:space="preserve">” (at [34]).  </w:t>
      </w:r>
      <w:r w:rsidR="008E33FF" w:rsidRPr="00CB07C3">
        <w:t>She continued:</w:t>
      </w:r>
    </w:p>
    <w:p w14:paraId="6B3A3BA6" w14:textId="3D88BBD6" w:rsidR="008E33FF" w:rsidRDefault="008E33FF" w:rsidP="008E33FF">
      <w:pPr>
        <w:pStyle w:val="Quote1"/>
      </w:pPr>
      <w:r w:rsidRPr="00CD0D63">
        <w:t>Neither the hearing of 17 June 2019 nor the hearing that gave rise to the [first decision] debated the question of th</w:t>
      </w:r>
      <w:r w:rsidR="00C656E0" w:rsidRPr="00CD0D63">
        <w:t>e reason or reasons for this.  In short, the merits of Mr </w:t>
      </w:r>
      <w:r w:rsidRPr="00CD0D63">
        <w:t>Milford’s substantive application pursuant t</w:t>
      </w:r>
      <w:r w:rsidR="00C656E0" w:rsidRPr="00CD0D63">
        <w:t>o s </w:t>
      </w:r>
      <w:r w:rsidRPr="00CD0D63">
        <w:t>365 of the Act have not been the subject of submissions and evidence before me.  I am not in a position to interrogate the merits of his substantive application and it would not be appropriate for me to make any determination concerning his application save for the decision as to whether to grant an extension of time.</w:t>
      </w:r>
    </w:p>
    <w:p w14:paraId="1DFA1380" w14:textId="7F902B46" w:rsidR="00C656E0" w:rsidRDefault="00C656E0" w:rsidP="008E33FF">
      <w:pPr>
        <w:pStyle w:val="Quote1"/>
      </w:pPr>
      <w:r>
        <w:t>(footnote omitted)</w:t>
      </w:r>
    </w:p>
    <w:p w14:paraId="2ED0C6F8" w14:textId="3F0EAC93" w:rsidR="008E33FF" w:rsidRDefault="008E33FF" w:rsidP="00534B91">
      <w:pPr>
        <w:pStyle w:val="ParaNumbering"/>
      </w:pPr>
      <w:r>
        <w:t xml:space="preserve">The Deputy President cited </w:t>
      </w:r>
      <w:r>
        <w:rPr>
          <w:i/>
        </w:rPr>
        <w:t>Hewitt</w:t>
      </w:r>
      <w:r>
        <w:t xml:space="preserve"> in support of the latter conclusion.</w:t>
      </w:r>
    </w:p>
    <w:p w14:paraId="5719D19E" w14:textId="3B1D3C2A" w:rsidR="00966843" w:rsidRPr="00CB07C3" w:rsidRDefault="00976F60" w:rsidP="00966843">
      <w:pPr>
        <w:pStyle w:val="ParaNumbering"/>
      </w:pPr>
      <w:r w:rsidRPr="00CB07C3">
        <w:t xml:space="preserve">The </w:t>
      </w:r>
      <w:r w:rsidR="00FA6F3C" w:rsidRPr="00CB07C3">
        <w:t>Deputy Presi</w:t>
      </w:r>
      <w:r w:rsidR="00966843" w:rsidRPr="00CB07C3">
        <w:t>dent</w:t>
      </w:r>
      <w:r w:rsidRPr="00CB07C3">
        <w:t xml:space="preserve"> noted</w:t>
      </w:r>
      <w:r w:rsidR="00695503" w:rsidRPr="00CB07C3">
        <w:t xml:space="preserve"> that </w:t>
      </w:r>
      <w:r w:rsidR="00A43A8B" w:rsidRPr="00CB07C3">
        <w:t>Mr </w:t>
      </w:r>
      <w:r w:rsidRPr="00CB07C3">
        <w:t>Milford</w:t>
      </w:r>
      <w:r w:rsidR="00695503" w:rsidRPr="00CB07C3">
        <w:t xml:space="preserve"> had submitted that</w:t>
      </w:r>
      <w:r w:rsidRPr="00CB07C3">
        <w:t xml:space="preserve"> if </w:t>
      </w:r>
      <w:r w:rsidR="00966843" w:rsidRPr="00CB07C3">
        <w:t xml:space="preserve">his application for an extension of time </w:t>
      </w:r>
      <w:r w:rsidRPr="00CB07C3">
        <w:t xml:space="preserve">was </w:t>
      </w:r>
      <w:r w:rsidR="00966843" w:rsidRPr="00CB07C3">
        <w:t>to be dismissed</w:t>
      </w:r>
      <w:r w:rsidRPr="00CB07C3">
        <w:t xml:space="preserve"> “</w:t>
      </w:r>
      <w:r w:rsidR="00966843" w:rsidRPr="00CB07C3">
        <w:t>that would effectively determine</w:t>
      </w:r>
      <w:r w:rsidRPr="00CB07C3">
        <w:t xml:space="preserve"> my </w:t>
      </w:r>
      <w:r w:rsidR="0002714B" w:rsidRPr="00CB07C3">
        <w:t>legal right</w:t>
      </w:r>
      <w:r w:rsidR="00966843" w:rsidRPr="00CB07C3">
        <w:t xml:space="preserve"> to address the dis</w:t>
      </w:r>
      <w:r w:rsidR="0002714B" w:rsidRPr="00CB07C3">
        <w:t>missal dispute that arose on 20 </w:t>
      </w:r>
      <w:r w:rsidR="00966843" w:rsidRPr="00CB07C3">
        <w:t>July 2018”.</w:t>
      </w:r>
    </w:p>
    <w:p w14:paraId="148B906A" w14:textId="3F56AC87" w:rsidR="00966843" w:rsidRDefault="00966843" w:rsidP="0002714B">
      <w:pPr>
        <w:pStyle w:val="ParaNumbering"/>
        <w:keepNext/>
      </w:pPr>
      <w:r>
        <w:t xml:space="preserve">In </w:t>
      </w:r>
      <w:r w:rsidR="00B23BB7">
        <w:t xml:space="preserve">response </w:t>
      </w:r>
      <w:r>
        <w:t>to that submission, the D</w:t>
      </w:r>
      <w:r w:rsidR="00FA6F3C">
        <w:t xml:space="preserve">eputy </w:t>
      </w:r>
      <w:r>
        <w:t>P</w:t>
      </w:r>
      <w:r w:rsidR="00FA6F3C">
        <w:t>resident</w:t>
      </w:r>
      <w:r>
        <w:t xml:space="preserve"> said</w:t>
      </w:r>
      <w:r w:rsidR="00976F60">
        <w:t xml:space="preserve"> (at [40])</w:t>
      </w:r>
      <w:r>
        <w:t>:</w:t>
      </w:r>
    </w:p>
    <w:p w14:paraId="492FE935" w14:textId="3C718200" w:rsidR="00966843" w:rsidRPr="00CD0D63" w:rsidRDefault="00FA6F3C" w:rsidP="006842DA">
      <w:pPr>
        <w:pStyle w:val="Quote1"/>
      </w:pPr>
      <w:r w:rsidRPr="00CD0D63">
        <w:t>T</w:t>
      </w:r>
      <w:r w:rsidR="00966843" w:rsidRPr="00CD0D63">
        <w:t xml:space="preserve">his is [a] direct consequence of the time limitation </w:t>
      </w:r>
      <w:r w:rsidRPr="00CD0D63">
        <w:t xml:space="preserve">in </w:t>
      </w:r>
      <w:r w:rsidR="00966843" w:rsidRPr="00CD0D63">
        <w:t>the Act for an application to be lodged.</w:t>
      </w:r>
      <w:r w:rsidR="00AA7449" w:rsidRPr="00CD0D63">
        <w:t xml:space="preserve"> </w:t>
      </w:r>
      <w:r w:rsidR="00966843" w:rsidRPr="00CD0D63">
        <w:t xml:space="preserve">The </w:t>
      </w:r>
      <w:r w:rsidRPr="00CD0D63">
        <w:t>Act gives the C</w:t>
      </w:r>
      <w:r w:rsidR="00966843" w:rsidRPr="00CD0D63">
        <w:t>ommission the power to determine whether to extend this time limit.</w:t>
      </w:r>
      <w:r w:rsidR="00AA7449" w:rsidRPr="00CD0D63">
        <w:t xml:space="preserve"> </w:t>
      </w:r>
      <w:r w:rsidR="00966843" w:rsidRPr="00CD0D63">
        <w:t>This is a discretionary decision.</w:t>
      </w:r>
      <w:r w:rsidR="00AA7449" w:rsidRPr="00CD0D63">
        <w:t xml:space="preserve"> </w:t>
      </w:r>
      <w:r w:rsidR="00966843" w:rsidRPr="00CD0D63">
        <w:t>If the discretion is exercised against the application it follows that the application continues to be outside the time limit.</w:t>
      </w:r>
      <w:r w:rsidR="00AA7449" w:rsidRPr="00CD0D63">
        <w:t xml:space="preserve"> </w:t>
      </w:r>
      <w:r w:rsidR="00966843" w:rsidRPr="00CD0D63">
        <w:t>It follows that the application cannot proceed.</w:t>
      </w:r>
    </w:p>
    <w:p w14:paraId="027E0A82" w14:textId="6003534D" w:rsidR="00976F60" w:rsidRPr="00976F60" w:rsidRDefault="00976F60" w:rsidP="00976F60">
      <w:pPr>
        <w:pStyle w:val="ParaNumbering"/>
      </w:pPr>
      <w:r w:rsidRPr="00976F60">
        <w:t>The Deputy Pres</w:t>
      </w:r>
      <w:r>
        <w:t>ident</w:t>
      </w:r>
      <w:r w:rsidRPr="00976F60">
        <w:t xml:space="preserve"> concluded that in the period between 2</w:t>
      </w:r>
      <w:r w:rsidR="0002714B">
        <w:t> </w:t>
      </w:r>
      <w:r w:rsidRPr="00976F60">
        <w:t>October 2014 and May 2016, exceptional circumstances existed so as to enliven the discretion to grant an extension of time.</w:t>
      </w:r>
      <w:r w:rsidR="00B27541">
        <w:t xml:space="preserve"> </w:t>
      </w:r>
      <w:r w:rsidR="00A43A8B">
        <w:t xml:space="preserve"> </w:t>
      </w:r>
      <w:r w:rsidRPr="00976F60">
        <w:t xml:space="preserve">However, </w:t>
      </w:r>
      <w:r w:rsidR="00695503">
        <w:t>she</w:t>
      </w:r>
      <w:r w:rsidR="0002714B">
        <w:t xml:space="preserve"> concluded</w:t>
      </w:r>
      <w:r w:rsidR="00B23BB7">
        <w:t>,</w:t>
      </w:r>
      <w:r w:rsidR="0002714B">
        <w:t xml:space="preserve"> Mr Milford’</w:t>
      </w:r>
      <w:r w:rsidRPr="00976F60">
        <w:t xml:space="preserve">s behaviour </w:t>
      </w:r>
      <w:r w:rsidR="00F50F31">
        <w:t>during</w:t>
      </w:r>
      <w:r w:rsidR="00F50F31" w:rsidRPr="00976F60">
        <w:t xml:space="preserve"> </w:t>
      </w:r>
      <w:r w:rsidRPr="00976F60">
        <w:t>the balance of the period of the delay weighed against the exercise of the dis</w:t>
      </w:r>
      <w:r w:rsidR="00695503">
        <w:t xml:space="preserve">cretion in his favour and so </w:t>
      </w:r>
      <w:r w:rsidR="00C76204">
        <w:t xml:space="preserve">refused to allow </w:t>
      </w:r>
      <w:r w:rsidR="00695503">
        <w:t>an extension of time</w:t>
      </w:r>
      <w:r w:rsidR="00943D5D">
        <w:t xml:space="preserve"> under s </w:t>
      </w:r>
      <w:r w:rsidR="00B23BB7">
        <w:t>366(1)</w:t>
      </w:r>
      <w:r w:rsidR="00695503">
        <w:t xml:space="preserve"> (at [41]).</w:t>
      </w:r>
    </w:p>
    <w:p w14:paraId="3212F508" w14:textId="77777777" w:rsidR="007D12A0" w:rsidRDefault="000955E3" w:rsidP="000955E3">
      <w:pPr>
        <w:pStyle w:val="Heading1"/>
      </w:pPr>
      <w:r>
        <w:lastRenderedPageBreak/>
        <w:t>THE DECISION OF THE FULL BENCH</w:t>
      </w:r>
    </w:p>
    <w:p w14:paraId="643B42AF" w14:textId="77B8B765" w:rsidR="00695503" w:rsidRPr="00CB07C3" w:rsidRDefault="00695503" w:rsidP="00695503">
      <w:pPr>
        <w:pStyle w:val="ParaNumbering"/>
        <w:keepNext/>
        <w:tabs>
          <w:tab w:val="clear" w:pos="720"/>
        </w:tabs>
      </w:pPr>
      <w:r w:rsidRPr="00CB07C3">
        <w:t xml:space="preserve">The Full Bench </w:t>
      </w:r>
      <w:r w:rsidR="00A60247" w:rsidRPr="00CB07C3">
        <w:t xml:space="preserve">said that the first </w:t>
      </w:r>
      <w:r w:rsidR="00A43A8B" w:rsidRPr="00CB07C3">
        <w:t>decision “necessarily involved the</w:t>
      </w:r>
      <w:r w:rsidR="00A60247" w:rsidRPr="00CB07C3">
        <w:t xml:space="preserve"> </w:t>
      </w:r>
      <w:r w:rsidR="004B76FB" w:rsidRPr="00CB07C3">
        <w:t xml:space="preserve">complete </w:t>
      </w:r>
      <w:r w:rsidR="00A43A8B" w:rsidRPr="00CB07C3">
        <w:t>rejection of Mr </w:t>
      </w:r>
      <w:r w:rsidR="00A60247" w:rsidRPr="00CB07C3">
        <w:t xml:space="preserve">Milford’s </w:t>
      </w:r>
      <w:r w:rsidR="004B76FB" w:rsidRPr="00CB07C3">
        <w:t>pleaded case concerning his dismissal</w:t>
      </w:r>
      <w:r w:rsidR="00A43A8B" w:rsidRPr="00CB07C3">
        <w:t>”</w:t>
      </w:r>
      <w:r w:rsidR="004B76FB" w:rsidRPr="00CB07C3">
        <w:t>.  That was because</w:t>
      </w:r>
      <w:r w:rsidR="00A43A8B" w:rsidRPr="00CB07C3">
        <w:t xml:space="preserve"> the claimed contravention of s </w:t>
      </w:r>
      <w:r w:rsidR="004B76FB" w:rsidRPr="00CB07C3">
        <w:t>340</w:t>
      </w:r>
      <w:r w:rsidR="00A43A8B" w:rsidRPr="00CB07C3">
        <w:t>(1) of the FW </w:t>
      </w:r>
      <w:r w:rsidR="004B76FB" w:rsidRPr="00CB07C3">
        <w:t xml:space="preserve">Act was founded on a series of events that </w:t>
      </w:r>
      <w:r w:rsidR="00A43A8B" w:rsidRPr="00CB07C3">
        <w:t>had occurred on 20 </w:t>
      </w:r>
      <w:r w:rsidR="004B76FB" w:rsidRPr="00CB07C3">
        <w:t>July 201</w:t>
      </w:r>
      <w:r w:rsidR="00A43A8B" w:rsidRPr="00CB07C3">
        <w:t>8, being the date upon which Mr </w:t>
      </w:r>
      <w:r w:rsidR="004B76FB" w:rsidRPr="00CB07C3">
        <w:t>Milford alleged he had exercised a workplace right and</w:t>
      </w:r>
      <w:r w:rsidR="00E07307" w:rsidRPr="00CB07C3">
        <w:t xml:space="preserve"> had</w:t>
      </w:r>
      <w:r w:rsidR="004B76FB" w:rsidRPr="00CB07C3">
        <w:t xml:space="preserve"> been dismissed for having done so.  The Full Ben</w:t>
      </w:r>
      <w:r w:rsidR="00A43A8B" w:rsidRPr="00CB07C3">
        <w:t>ch noted (correctly) that if Mr </w:t>
      </w:r>
      <w:r w:rsidR="004B76FB" w:rsidRPr="00CB07C3">
        <w:t xml:space="preserve">Milford’s employment had ended </w:t>
      </w:r>
      <w:r w:rsidR="00C76204" w:rsidRPr="00CB07C3">
        <w:t>on the date or dates identified by the Deputy President</w:t>
      </w:r>
      <w:r w:rsidR="004B76FB" w:rsidRPr="00CB07C3">
        <w:t>, the foundation for the alleged contravention (being the causal connection between the exercise of the workplace right and th</w:t>
      </w:r>
      <w:r w:rsidR="00A43A8B" w:rsidRPr="00CB07C3">
        <w:t xml:space="preserve">e dismissal) could not exist.  </w:t>
      </w:r>
      <w:r w:rsidR="004B76FB" w:rsidRPr="00CB07C3">
        <w:t>The Full Bench continued</w:t>
      </w:r>
      <w:r w:rsidR="00A43A8B" w:rsidRPr="00CB07C3">
        <w:t xml:space="preserve"> (at [22])</w:t>
      </w:r>
      <w:r w:rsidR="004B76FB" w:rsidRPr="00CB07C3">
        <w:t>:</w:t>
      </w:r>
    </w:p>
    <w:p w14:paraId="664E1691" w14:textId="7C483705" w:rsidR="004B76FB" w:rsidRDefault="00A43A8B" w:rsidP="004B76FB">
      <w:pPr>
        <w:pStyle w:val="Quote1"/>
      </w:pPr>
      <w:r w:rsidRPr="00CD0D63">
        <w:t>…  The ‘</w:t>
      </w:r>
      <w:r w:rsidR="004B76FB" w:rsidRPr="00CD0D63">
        <w:t>qu</w:t>
      </w:r>
      <w:r w:rsidRPr="00CD0D63">
        <w:t>estion of the reason or reasons’</w:t>
      </w:r>
      <w:r w:rsidR="004B76FB" w:rsidRPr="00CD0D63">
        <w:t xml:space="preserve"> for any termination arising in 2014, as adverted to in paragraph [34] of the second decision, was an entirely irrelevant </w:t>
      </w:r>
      <w:r w:rsidRPr="00CD0D63">
        <w:t>consideration because Mr </w:t>
      </w:r>
      <w:r w:rsidR="004B76FB" w:rsidRPr="00CD0D63">
        <w:t>Milford did not allege that there had been any dismi</w:t>
      </w:r>
      <w:r w:rsidRPr="00CD0D63">
        <w:t>ssal before 2018 in breach of s </w:t>
      </w:r>
      <w:r w:rsidR="004B76FB" w:rsidRPr="00CD0D63">
        <w:t>340(1) or at all.</w:t>
      </w:r>
    </w:p>
    <w:p w14:paraId="1FCEEC54" w14:textId="392178B1" w:rsidR="00976F60" w:rsidRPr="00CB07C3" w:rsidRDefault="00976F60" w:rsidP="000050B1">
      <w:pPr>
        <w:pStyle w:val="ParaNumbering"/>
      </w:pPr>
      <w:r w:rsidRPr="00CB07C3">
        <w:t>The Full Bench</w:t>
      </w:r>
      <w:r w:rsidR="00990EEC" w:rsidRPr="00CB07C3">
        <w:t xml:space="preserve"> noted that neither party before it had submitted that </w:t>
      </w:r>
      <w:r w:rsidR="00990EEC" w:rsidRPr="00CB07C3">
        <w:rPr>
          <w:i/>
        </w:rPr>
        <w:t>Hewitt</w:t>
      </w:r>
      <w:r w:rsidR="00990EEC" w:rsidRPr="00CB07C3">
        <w:t xml:space="preserve"> </w:t>
      </w:r>
      <w:r w:rsidR="00C76204" w:rsidRPr="00CB07C3">
        <w:t>was</w:t>
      </w:r>
      <w:r w:rsidR="00990EEC" w:rsidRPr="00CB07C3">
        <w:t xml:space="preserve"> </w:t>
      </w:r>
      <w:r w:rsidR="00C76204" w:rsidRPr="00CB07C3">
        <w:t>in</w:t>
      </w:r>
      <w:r w:rsidR="00990EEC" w:rsidRPr="00CB07C3">
        <w:t>correctly decided.</w:t>
      </w:r>
      <w:r w:rsidR="00B27541" w:rsidRPr="00CB07C3">
        <w:t xml:space="preserve">  </w:t>
      </w:r>
      <w:r w:rsidR="00990EEC" w:rsidRPr="00CB07C3">
        <w:t>The Ful</w:t>
      </w:r>
      <w:r w:rsidR="00C76204" w:rsidRPr="00CB07C3">
        <w:t>l Bench went on to say</w:t>
      </w:r>
      <w:r w:rsidR="005C5B4A" w:rsidRPr="00CB07C3">
        <w:t xml:space="preserve"> that consistent with the reasoning in </w:t>
      </w:r>
      <w:r w:rsidR="00C76204" w:rsidRPr="00CB07C3">
        <w:rPr>
          <w:i/>
        </w:rPr>
        <w:t>Hewitt</w:t>
      </w:r>
      <w:r w:rsidR="000050B1" w:rsidRPr="00CB07C3">
        <w:t>, “the time limitation in s </w:t>
      </w:r>
      <w:r w:rsidR="005C5B4A" w:rsidRPr="00CB07C3">
        <w:t xml:space="preserve">366(1) must be read as operating by reference to the dismissal that is pleaded in the application that is lodged with the Commission” (at [28]).  </w:t>
      </w:r>
      <w:r w:rsidR="00B23BB7" w:rsidRPr="00CB07C3">
        <w:t>T</w:t>
      </w:r>
      <w:r w:rsidR="005C5B4A" w:rsidRPr="00CB07C3">
        <w:t>he remaining critical portions of the Full Bench’s decision</w:t>
      </w:r>
      <w:r w:rsidR="00B23BB7" w:rsidRPr="00CB07C3">
        <w:t xml:space="preserve"> will be discussed</w:t>
      </w:r>
      <w:r w:rsidR="005C5B4A" w:rsidRPr="00CB07C3">
        <w:t xml:space="preserve"> in the course of determining th</w:t>
      </w:r>
      <w:r w:rsidR="000050B1" w:rsidRPr="00CB07C3">
        <w:t>e grounds for judicial review.</w:t>
      </w:r>
    </w:p>
    <w:p w14:paraId="73A549B0" w14:textId="77777777" w:rsidR="00C16ED0" w:rsidRDefault="00C16ED0" w:rsidP="00C16ED0">
      <w:pPr>
        <w:pStyle w:val="Heading1"/>
      </w:pPr>
      <w:r>
        <w:t>THE APPLICATION FOR JUDICIAL REVIEW</w:t>
      </w:r>
    </w:p>
    <w:p w14:paraId="5CC79E92" w14:textId="3959876C" w:rsidR="00C74160" w:rsidRDefault="00C74160" w:rsidP="00534EBB">
      <w:pPr>
        <w:pStyle w:val="ParaNumbering"/>
      </w:pPr>
      <w:r>
        <w:t>To succeed on this application it is necessary for Coles to show that the Full Bench committed jurisdictional error</w:t>
      </w:r>
      <w:r w:rsidR="000C3C9C">
        <w:t>.</w:t>
      </w:r>
    </w:p>
    <w:p w14:paraId="1F3C04AF" w14:textId="2056E057" w:rsidR="00C76204" w:rsidRPr="00CB07C3" w:rsidRDefault="00C76204" w:rsidP="00534EBB">
      <w:pPr>
        <w:pStyle w:val="ParaNumbering"/>
      </w:pPr>
      <w:r w:rsidRPr="00CB07C3">
        <w:t xml:space="preserve">The grounds for review are </w:t>
      </w:r>
      <w:r w:rsidR="00B23BB7" w:rsidRPr="00CB07C3">
        <w:t xml:space="preserve">set out in a </w:t>
      </w:r>
      <w:r w:rsidRPr="00CB07C3">
        <w:t>Sta</w:t>
      </w:r>
      <w:r w:rsidR="00B24764" w:rsidRPr="00CB07C3">
        <w:t>tement of Contentions filed on 24</w:t>
      </w:r>
      <w:r w:rsidR="005C238D" w:rsidRPr="00CB07C3">
        <w:t> </w:t>
      </w:r>
      <w:r w:rsidR="00B24764" w:rsidRPr="00CB07C3">
        <w:t>December 2019.</w:t>
      </w:r>
      <w:r w:rsidRPr="00CB07C3">
        <w:t xml:space="preserve">  They are to the effect that the Full Bench erred in cons</w:t>
      </w:r>
      <w:r w:rsidR="004F6F99" w:rsidRPr="00CB07C3">
        <w:t>truing the provisions of the FW </w:t>
      </w:r>
      <w:r w:rsidRPr="00CB07C3">
        <w:t xml:space="preserve">Act defining the limits of </w:t>
      </w:r>
      <w:r w:rsidR="00B23BB7" w:rsidRPr="00CB07C3">
        <w:t xml:space="preserve">the FWC’s </w:t>
      </w:r>
      <w:r w:rsidRPr="00CB07C3">
        <w:t>authority</w:t>
      </w:r>
      <w:r w:rsidR="004F6F99" w:rsidRPr="00CB07C3">
        <w:t xml:space="preserve"> to deal with a dispute under s </w:t>
      </w:r>
      <w:r w:rsidRPr="00CB07C3">
        <w:t>368.</w:t>
      </w:r>
    </w:p>
    <w:p w14:paraId="7F3D71A7" w14:textId="1D65E42F" w:rsidR="00534EBB" w:rsidRPr="00CB07C3" w:rsidRDefault="00534EBB" w:rsidP="000050B1">
      <w:pPr>
        <w:pStyle w:val="ParaNumbering"/>
      </w:pPr>
      <w:r w:rsidRPr="00CB07C3">
        <w:t xml:space="preserve">In </w:t>
      </w:r>
      <w:r w:rsidR="00B23BB7" w:rsidRPr="00CB07C3">
        <w:rPr>
          <w:b/>
          <w:i/>
        </w:rPr>
        <w:t>Craig</w:t>
      </w:r>
      <w:r w:rsidR="00B23BB7" w:rsidRPr="00CB07C3">
        <w:rPr>
          <w:i/>
        </w:rPr>
        <w:t xml:space="preserve"> v South Australia</w:t>
      </w:r>
      <w:r w:rsidR="00B23BB7" w:rsidRPr="00CB07C3">
        <w:t xml:space="preserve"> (1995) 184 CLR 163</w:t>
      </w:r>
      <w:r w:rsidR="00F50F31" w:rsidRPr="00CB07C3">
        <w:t xml:space="preserve"> at 179,</w:t>
      </w:r>
      <w:r w:rsidRPr="00CB07C3">
        <w:t xml:space="preserve"> the High Court said that if an ad</w:t>
      </w:r>
      <w:r w:rsidR="000050B1" w:rsidRPr="00CB07C3">
        <w:t xml:space="preserve">ministrative tribunal makes an </w:t>
      </w:r>
      <w:r w:rsidRPr="00CB07C3">
        <w:t>error of law which causes it to identify a wrong issue or to ask itself the wrong question</w:t>
      </w:r>
      <w:r w:rsidR="00C74160" w:rsidRPr="00CB07C3">
        <w:t xml:space="preserve">, </w:t>
      </w:r>
      <w:r w:rsidRPr="00CB07C3">
        <w:t xml:space="preserve">and the </w:t>
      </w:r>
      <w:r w:rsidR="00C74160" w:rsidRPr="00CB07C3">
        <w:t>t</w:t>
      </w:r>
      <w:r w:rsidRPr="00CB07C3">
        <w:t>ribunal’s exercise or purported exercise of power is thereby affected, it exceeds its authority or powers and so commits jurisdictional</w:t>
      </w:r>
      <w:r w:rsidR="00C74160" w:rsidRPr="00CB07C3">
        <w:t xml:space="preserve"> error.</w:t>
      </w:r>
      <w:r w:rsidR="00C76204" w:rsidRPr="00CB07C3">
        <w:t xml:space="preserve">  The FWC (howsoever constituted) </w:t>
      </w:r>
      <w:r w:rsidR="009D5404" w:rsidRPr="00CB07C3">
        <w:t xml:space="preserve">is </w:t>
      </w:r>
      <w:r w:rsidR="00C76204" w:rsidRPr="00CB07C3">
        <w:t xml:space="preserve">an administrative tribunal for the purposes of these principles.  It is not a </w:t>
      </w:r>
      <w:r w:rsidR="005C238D" w:rsidRPr="00CB07C3">
        <w:t>c</w:t>
      </w:r>
      <w:r w:rsidR="00C76204" w:rsidRPr="00CB07C3">
        <w:t>ourt: </w:t>
      </w:r>
      <w:r w:rsidR="00943D5D" w:rsidRPr="00CB07C3">
        <w:t> </w:t>
      </w:r>
      <w:r w:rsidR="00F50F31" w:rsidRPr="00CB07C3">
        <w:rPr>
          <w:i/>
        </w:rPr>
        <w:t xml:space="preserve">R v Kirby; Ex parte Boilermakers’ Society of Australia </w:t>
      </w:r>
      <w:r w:rsidR="00F50F31" w:rsidRPr="00CB07C3">
        <w:t xml:space="preserve">(1956) 94 CLR 254; </w:t>
      </w:r>
      <w:r w:rsidR="00C76204" w:rsidRPr="00CB07C3">
        <w:t> </w:t>
      </w:r>
      <w:proofErr w:type="spellStart"/>
      <w:r w:rsidR="00C76204" w:rsidRPr="00CB07C3">
        <w:rPr>
          <w:i/>
        </w:rPr>
        <w:t>Belan</w:t>
      </w:r>
      <w:proofErr w:type="spellEnd"/>
      <w:r w:rsidR="00C76204" w:rsidRPr="00CB07C3">
        <w:rPr>
          <w:i/>
        </w:rPr>
        <w:t xml:space="preserve"> v National Union of Workers (NSW Branch)</w:t>
      </w:r>
      <w:r w:rsidR="00C76204" w:rsidRPr="00CB07C3">
        <w:t xml:space="preserve"> (2018) 267 FCR 6 at [18].</w:t>
      </w:r>
    </w:p>
    <w:p w14:paraId="7236CB54" w14:textId="60AEF1E1" w:rsidR="00534EBB" w:rsidRPr="00CB07C3" w:rsidRDefault="00B23BB7" w:rsidP="00534EBB">
      <w:pPr>
        <w:pStyle w:val="ParaNumbering"/>
      </w:pPr>
      <w:r w:rsidRPr="00CB07C3">
        <w:lastRenderedPageBreak/>
        <w:t>T</w:t>
      </w:r>
      <w:r w:rsidR="00C76204" w:rsidRPr="00CB07C3">
        <w:t>he</w:t>
      </w:r>
      <w:r w:rsidR="00534EBB" w:rsidRPr="00CB07C3">
        <w:t xml:space="preserve"> </w:t>
      </w:r>
      <w:r w:rsidR="00C74160" w:rsidRPr="00CB07C3">
        <w:t>FWC</w:t>
      </w:r>
      <w:r w:rsidR="00534EBB" w:rsidRPr="00CB07C3">
        <w:t xml:space="preserve"> was entitled</w:t>
      </w:r>
      <w:r w:rsidR="00C74160" w:rsidRPr="00CB07C3">
        <w:t xml:space="preserve"> </w:t>
      </w:r>
      <w:r w:rsidR="00534EBB" w:rsidRPr="00CB07C3">
        <w:t xml:space="preserve">to determine the limits of </w:t>
      </w:r>
      <w:r w:rsidR="00C74160" w:rsidRPr="00CB07C3">
        <w:t>its authority to deal with a dispute under s</w:t>
      </w:r>
      <w:r w:rsidR="00CF7CD6" w:rsidRPr="00CB07C3">
        <w:t> 368 of the FW </w:t>
      </w:r>
      <w:r w:rsidR="00C74160" w:rsidRPr="00CB07C3">
        <w:t xml:space="preserve">Act, although it had no authority to </w:t>
      </w:r>
      <w:r w:rsidR="00C76204" w:rsidRPr="00CB07C3">
        <w:t>conclusively</w:t>
      </w:r>
      <w:r w:rsidR="00C74160" w:rsidRPr="00CB07C3">
        <w:t xml:space="preserve"> determine </w:t>
      </w:r>
      <w:r w:rsidRPr="00CB07C3">
        <w:t>those limits</w:t>
      </w:r>
      <w:r w:rsidR="00C74160" w:rsidRPr="00CB07C3">
        <w:t xml:space="preserve">.  </w:t>
      </w:r>
      <w:r w:rsidR="00C76204" w:rsidRPr="00CB07C3">
        <w:t>E</w:t>
      </w:r>
      <w:r w:rsidR="00C74160" w:rsidRPr="00CB07C3">
        <w:t xml:space="preserve">rror in the construction of the </w:t>
      </w:r>
      <w:r w:rsidR="00CF7CD6" w:rsidRPr="00CB07C3">
        <w:t>FW </w:t>
      </w:r>
      <w:r w:rsidR="00534EBB" w:rsidRPr="00CB07C3">
        <w:t xml:space="preserve">Act </w:t>
      </w:r>
      <w:r w:rsidRPr="00CB07C3">
        <w:t>leading the</w:t>
      </w:r>
      <w:r w:rsidR="00C74160" w:rsidRPr="00CB07C3">
        <w:t xml:space="preserve"> </w:t>
      </w:r>
      <w:r w:rsidR="00534EBB" w:rsidRPr="00CB07C3">
        <w:t xml:space="preserve">FWC to assume </w:t>
      </w:r>
      <w:r w:rsidR="00C74160" w:rsidRPr="00CB07C3">
        <w:t>authority</w:t>
      </w:r>
      <w:r w:rsidR="00534EBB" w:rsidRPr="00CB07C3">
        <w:t xml:space="preserve"> that it does not have</w:t>
      </w:r>
      <w:r w:rsidR="00C74160" w:rsidRPr="00CB07C3">
        <w:t xml:space="preserve"> (or to decline to exercise jurisdiction that it does have) may readily be characterised as </w:t>
      </w:r>
      <w:r w:rsidR="00534EBB" w:rsidRPr="00CB07C3">
        <w:t xml:space="preserve">jurisdictional </w:t>
      </w:r>
      <w:r w:rsidR="00C74160" w:rsidRPr="00CB07C3">
        <w:t xml:space="preserve">in the sense explained </w:t>
      </w:r>
      <w:r w:rsidR="00534EBB" w:rsidRPr="00CB07C3">
        <w:t xml:space="preserve">in </w:t>
      </w:r>
      <w:r w:rsidR="00C74160" w:rsidRPr="00CB07C3">
        <w:rPr>
          <w:i/>
        </w:rPr>
        <w:t>Craig</w:t>
      </w:r>
      <w:r w:rsidR="00C76204" w:rsidRPr="00CB07C3">
        <w:t>,</w:t>
      </w:r>
      <w:r w:rsidR="00C74160" w:rsidRPr="00CB07C3">
        <w:rPr>
          <w:i/>
        </w:rPr>
        <w:t xml:space="preserve"> </w:t>
      </w:r>
      <w:r w:rsidR="00C74160" w:rsidRPr="00CB07C3">
        <w:t>with the consequence that the affected decision would</w:t>
      </w:r>
      <w:r w:rsidR="00CF7CD6" w:rsidRPr="00CB07C3">
        <w:t xml:space="preserve"> be liable to be quashed.  </w:t>
      </w:r>
      <w:r w:rsidRPr="00CB07C3">
        <w:t xml:space="preserve">It is common ground </w:t>
      </w:r>
      <w:r w:rsidR="00C74160" w:rsidRPr="00CB07C3">
        <w:t>that the decision of the Full Bench was amenable to review</w:t>
      </w:r>
      <w:r w:rsidRPr="00CB07C3">
        <w:t xml:space="preserve"> and Mr</w:t>
      </w:r>
      <w:r w:rsidR="00433F25" w:rsidRPr="00CB07C3">
        <w:t> </w:t>
      </w:r>
      <w:r w:rsidRPr="00CB07C3">
        <w:t xml:space="preserve">Milford has not </w:t>
      </w:r>
      <w:r w:rsidR="00C74160" w:rsidRPr="00CB07C3">
        <w:t>submitted that error of the kind alleged by Coles ought not to be ch</w:t>
      </w:r>
      <w:r w:rsidR="00CF7CD6" w:rsidRPr="00CB07C3">
        <w:t>aracterised as jurisdictional.</w:t>
      </w:r>
    </w:p>
    <w:p w14:paraId="0781F0FC" w14:textId="643D1FFC" w:rsidR="00C16ED0" w:rsidRDefault="00905CDF" w:rsidP="00905CDF">
      <w:pPr>
        <w:pStyle w:val="Heading1"/>
      </w:pPr>
      <w:r>
        <w:t xml:space="preserve">SUBMISSIONS </w:t>
      </w:r>
    </w:p>
    <w:p w14:paraId="7089DB6A" w14:textId="0D65D68E" w:rsidR="00905CDF" w:rsidRPr="00CB07C3" w:rsidRDefault="009D4B10" w:rsidP="00CF7CD6">
      <w:pPr>
        <w:pStyle w:val="ParaNumbering"/>
      </w:pPr>
      <w:r w:rsidRPr="00CB07C3">
        <w:t xml:space="preserve">Counsel for </w:t>
      </w:r>
      <w:r w:rsidR="00905CDF" w:rsidRPr="00CB07C3">
        <w:t xml:space="preserve">Coles </w:t>
      </w:r>
      <w:r w:rsidRPr="00CB07C3">
        <w:t>submitted</w:t>
      </w:r>
      <w:r w:rsidR="00905CDF" w:rsidRPr="00CB07C3">
        <w:t xml:space="preserve"> that the FWC’s authority to deal with a dispute under s</w:t>
      </w:r>
      <w:r w:rsidR="00B27541" w:rsidRPr="00CB07C3">
        <w:t> </w:t>
      </w:r>
      <w:r w:rsidR="00905CDF" w:rsidRPr="00CB07C3">
        <w:t>368</w:t>
      </w:r>
      <w:r w:rsidR="00B27541" w:rsidRPr="00CB07C3">
        <w:t xml:space="preserve"> of the FW </w:t>
      </w:r>
      <w:r w:rsidR="00905CDF" w:rsidRPr="00CB07C3">
        <w:t>Act (including its authority</w:t>
      </w:r>
      <w:r w:rsidR="00B27541" w:rsidRPr="00CB07C3">
        <w:t xml:space="preserve"> to issue a certificate under s </w:t>
      </w:r>
      <w:r w:rsidR="00905CDF" w:rsidRPr="00CB07C3">
        <w:t>368(3)</w:t>
      </w:r>
      <w:r w:rsidR="00C76204" w:rsidRPr="00CB07C3">
        <w:t>)</w:t>
      </w:r>
      <w:r w:rsidR="00905CDF" w:rsidRPr="00CB07C3">
        <w:t xml:space="preserve"> depended upon the existence of three circumstance</w:t>
      </w:r>
      <w:r w:rsidR="00B23BB7" w:rsidRPr="00CB07C3">
        <w:t>s</w:t>
      </w:r>
      <w:r w:rsidR="00905CDF" w:rsidRPr="00CB07C3">
        <w:t>.</w:t>
      </w:r>
      <w:r w:rsidR="002B4CA3" w:rsidRPr="00CB07C3">
        <w:t xml:space="preserve"> </w:t>
      </w:r>
      <w:r w:rsidR="00B27541" w:rsidRPr="00CB07C3">
        <w:t xml:space="preserve"> </w:t>
      </w:r>
      <w:r w:rsidR="00905CDF" w:rsidRPr="00CB07C3">
        <w:t>First, the applicant must be a person who has been di</w:t>
      </w:r>
      <w:r w:rsidRPr="00CB07C3">
        <w:t>s</w:t>
      </w:r>
      <w:r w:rsidR="00905CDF" w:rsidRPr="00CB07C3">
        <w:t>missed in fact.</w:t>
      </w:r>
      <w:r w:rsidR="002B4CA3" w:rsidRPr="00CB07C3">
        <w:t xml:space="preserve"> </w:t>
      </w:r>
      <w:r w:rsidR="00B27541" w:rsidRPr="00CB07C3">
        <w:t xml:space="preserve"> </w:t>
      </w:r>
      <w:r w:rsidR="00905CDF" w:rsidRPr="00CB07C3">
        <w:t>S</w:t>
      </w:r>
      <w:r w:rsidRPr="00CB07C3">
        <w:t>e</w:t>
      </w:r>
      <w:r w:rsidR="00905CDF" w:rsidRPr="00CB07C3">
        <w:t xml:space="preserve">cond, the applicant must allege that the dismissal was in contravention </w:t>
      </w:r>
      <w:r w:rsidR="00B27541" w:rsidRPr="00CB07C3">
        <w:t>of Pt 3-1 of the FW </w:t>
      </w:r>
      <w:r w:rsidR="00905CDF" w:rsidRPr="00CB07C3">
        <w:t xml:space="preserve">Act. </w:t>
      </w:r>
      <w:r w:rsidR="00B27541" w:rsidRPr="00CB07C3">
        <w:t xml:space="preserve"> </w:t>
      </w:r>
      <w:r w:rsidR="00905CDF" w:rsidRPr="00CB07C3">
        <w:t>Third, the application must be filed within 21</w:t>
      </w:r>
      <w:r w:rsidR="00B27541" w:rsidRPr="00CB07C3">
        <w:t> </w:t>
      </w:r>
      <w:r w:rsidR="00905CDF" w:rsidRPr="00CB07C3">
        <w:t xml:space="preserve">days of the dismissal taking effect or within such further time as the FWC may </w:t>
      </w:r>
      <w:r w:rsidR="00B27541" w:rsidRPr="00CB07C3">
        <w:t>allow on an application under s </w:t>
      </w:r>
      <w:r w:rsidR="00905CDF" w:rsidRPr="00CB07C3">
        <w:t>366(2).</w:t>
      </w:r>
      <w:r w:rsidR="00B27541" w:rsidRPr="00CB07C3">
        <w:t xml:space="preserve"> </w:t>
      </w:r>
      <w:r w:rsidR="002B4CA3" w:rsidRPr="00CB07C3">
        <w:t xml:space="preserve"> </w:t>
      </w:r>
      <w:r w:rsidRPr="00CB07C3">
        <w:t>It was submi</w:t>
      </w:r>
      <w:r w:rsidR="00B27541" w:rsidRPr="00CB07C3">
        <w:t>tted that the construction of s </w:t>
      </w:r>
      <w:r w:rsidRPr="00CB07C3">
        <w:t xml:space="preserve">365 favoured by the Full Bench in this case and in </w:t>
      </w:r>
      <w:r w:rsidRPr="00CB07C3">
        <w:rPr>
          <w:i/>
        </w:rPr>
        <w:t>Hewitt</w:t>
      </w:r>
      <w:r w:rsidRPr="00CB07C3">
        <w:t xml:space="preserve"> was </w:t>
      </w:r>
      <w:r w:rsidR="00B27541" w:rsidRPr="00CB07C3">
        <w:t xml:space="preserve">one that rendered the task </w:t>
      </w:r>
      <w:r w:rsidR="00B23BB7" w:rsidRPr="00CB07C3">
        <w:t xml:space="preserve">conferred by </w:t>
      </w:r>
      <w:r w:rsidR="00B27541" w:rsidRPr="00CB07C3">
        <w:t>s </w:t>
      </w:r>
      <w:r w:rsidRPr="00CB07C3">
        <w:t xml:space="preserve">366 of the </w:t>
      </w:r>
      <w:r w:rsidR="00B27541" w:rsidRPr="00CB07C3">
        <w:t>FW </w:t>
      </w:r>
      <w:r w:rsidRPr="00CB07C3">
        <w:t>Act otiose and that otherwise frustrated the purpose of its enactment.</w:t>
      </w:r>
      <w:r w:rsidR="002B4CA3" w:rsidRPr="00CB07C3">
        <w:t xml:space="preserve"> </w:t>
      </w:r>
      <w:r w:rsidR="00B27541" w:rsidRPr="00CB07C3">
        <w:t xml:space="preserve"> </w:t>
      </w:r>
      <w:r w:rsidRPr="00CB07C3">
        <w:t xml:space="preserve">It was submitted that the decision of the Full Bench had the consequence that the FWC would be compelled to act on the basis that a dismissal had occurred on </w:t>
      </w:r>
      <w:r w:rsidR="00653AAD" w:rsidRPr="00CB07C3">
        <w:t>any</w:t>
      </w:r>
      <w:r w:rsidRPr="00CB07C3">
        <w:t xml:space="preserve"> date </w:t>
      </w:r>
      <w:r w:rsidR="00653AAD" w:rsidRPr="00CB07C3">
        <w:t xml:space="preserve">alleged </w:t>
      </w:r>
      <w:r w:rsidRPr="00CB07C3">
        <w:t xml:space="preserve">by </w:t>
      </w:r>
      <w:r w:rsidR="00653AAD" w:rsidRPr="00CB07C3">
        <w:t xml:space="preserve">an </w:t>
      </w:r>
      <w:r w:rsidRPr="00CB07C3">
        <w:t>applicant</w:t>
      </w:r>
      <w:r w:rsidR="00653AAD" w:rsidRPr="00CB07C3">
        <w:t>, including one that was concocted</w:t>
      </w:r>
      <w:r w:rsidRPr="00CB07C3">
        <w:t xml:space="preserve"> so as to br</w:t>
      </w:r>
      <w:r w:rsidR="004F6F99" w:rsidRPr="00CB07C3">
        <w:t>ing the application within time</w:t>
      </w:r>
      <w:r w:rsidR="00B23BB7" w:rsidRPr="00CB07C3">
        <w:t>, when in fact it was not</w:t>
      </w:r>
      <w:r w:rsidR="004F6F99" w:rsidRPr="00CB07C3">
        <w:t>.</w:t>
      </w:r>
    </w:p>
    <w:p w14:paraId="22F4F6F9" w14:textId="054B7D9F" w:rsidR="00945992" w:rsidRPr="00CB07C3" w:rsidRDefault="00905CDF" w:rsidP="00CF7CD6">
      <w:pPr>
        <w:pStyle w:val="ParaNumbering"/>
      </w:pPr>
      <w:r w:rsidRPr="00CB07C3">
        <w:t>C</w:t>
      </w:r>
      <w:r w:rsidR="00B27541" w:rsidRPr="00CB07C3">
        <w:t>ounsel for Mr </w:t>
      </w:r>
      <w:r w:rsidRPr="00CB07C3">
        <w:t xml:space="preserve">Milford submitted that </w:t>
      </w:r>
      <w:r w:rsidR="00945992" w:rsidRPr="00CB07C3">
        <w:t xml:space="preserve">to determine that there was no dismissal was to substantively determine the dispute between the parties, a task which the FWC was not authorised to do on a general protections </w:t>
      </w:r>
      <w:r w:rsidR="003E41C2" w:rsidRPr="00CB07C3">
        <w:t xml:space="preserve">court </w:t>
      </w:r>
      <w:r w:rsidR="00945992" w:rsidRPr="00CB07C3">
        <w:t>application involving dismissal</w:t>
      </w:r>
      <w:r w:rsidR="00C76204" w:rsidRPr="00CB07C3">
        <w:t xml:space="preserve">, save for cases where the </w:t>
      </w:r>
      <w:r w:rsidR="00945992" w:rsidRPr="00CB07C3">
        <w:t>parties agreed to submit to an arbitration under s 369</w:t>
      </w:r>
      <w:r w:rsidR="00C76204" w:rsidRPr="00CB07C3">
        <w:t xml:space="preserve"> of the FW Act</w:t>
      </w:r>
      <w:r w:rsidR="00CF7CD6" w:rsidRPr="00CB07C3">
        <w:t>.</w:t>
      </w:r>
    </w:p>
    <w:p w14:paraId="67C7B26C" w14:textId="623DD3C8" w:rsidR="009D4B10" w:rsidRPr="00CB07C3" w:rsidRDefault="00945992" w:rsidP="00CF7CD6">
      <w:pPr>
        <w:pStyle w:val="ParaNumbering"/>
      </w:pPr>
      <w:r w:rsidRPr="00CB07C3">
        <w:t xml:space="preserve">It was submitted that </w:t>
      </w:r>
      <w:r w:rsidR="00B27541" w:rsidRPr="00CB07C3">
        <w:t>on the proper construction of s </w:t>
      </w:r>
      <w:r w:rsidR="00905CDF" w:rsidRPr="00CB07C3">
        <w:t>365</w:t>
      </w:r>
      <w:r w:rsidR="00B27541" w:rsidRPr="00CB07C3">
        <w:t xml:space="preserve"> of the FW </w:t>
      </w:r>
      <w:r w:rsidRPr="00CB07C3">
        <w:t>Act,</w:t>
      </w:r>
      <w:r w:rsidR="00905CDF" w:rsidRPr="00CB07C3">
        <w:t xml:space="preserve"> the dismissal must be presumed to have occurred and </w:t>
      </w:r>
      <w:r w:rsidR="008E33FF" w:rsidRPr="00CB07C3">
        <w:t xml:space="preserve">to have taken effect </w:t>
      </w:r>
      <w:r w:rsidR="00905CDF" w:rsidRPr="00CB07C3">
        <w:t xml:space="preserve">on the date that the applicant </w:t>
      </w:r>
      <w:r w:rsidRPr="00CB07C3">
        <w:t>alleged</w:t>
      </w:r>
      <w:r w:rsidR="00905CDF" w:rsidRPr="00CB07C3">
        <w:t>.</w:t>
      </w:r>
      <w:r w:rsidR="002B4CA3" w:rsidRPr="00CB07C3">
        <w:t xml:space="preserve"> </w:t>
      </w:r>
      <w:r w:rsidR="00B27541" w:rsidRPr="00CB07C3">
        <w:t xml:space="preserve"> </w:t>
      </w:r>
      <w:r w:rsidR="00905CDF" w:rsidRPr="00CB07C3">
        <w:t>In the present case, it was submitted, the Deputy President was bound to conclude that the d</w:t>
      </w:r>
      <w:r w:rsidR="00B47781" w:rsidRPr="00CB07C3">
        <w:t>ismissal had taken effect on 20 </w:t>
      </w:r>
      <w:r w:rsidR="00905CDF" w:rsidRPr="00CB07C3">
        <w:t>July 20</w:t>
      </w:r>
      <w:r w:rsidR="00B47781" w:rsidRPr="00CB07C3">
        <w:t>18</w:t>
      </w:r>
      <w:r w:rsidR="00B47418" w:rsidRPr="00CB07C3">
        <w:t>,</w:t>
      </w:r>
      <w:r w:rsidR="00B47781" w:rsidRPr="00CB07C3">
        <w:t xml:space="preserve"> </w:t>
      </w:r>
      <w:r w:rsidRPr="00CB07C3">
        <w:t xml:space="preserve">that being the date </w:t>
      </w:r>
      <w:r w:rsidR="00905CDF" w:rsidRPr="00CB07C3">
        <w:t>alleged</w:t>
      </w:r>
      <w:r w:rsidR="008E33FF" w:rsidRPr="00CB07C3">
        <w:t xml:space="preserve"> on the face of </w:t>
      </w:r>
      <w:r w:rsidR="00B47418" w:rsidRPr="00CB07C3">
        <w:t xml:space="preserve">the </w:t>
      </w:r>
      <w:r w:rsidR="008E33FF" w:rsidRPr="00CB07C3">
        <w:t>application</w:t>
      </w:r>
      <w:r w:rsidR="00905CDF" w:rsidRPr="00CB07C3">
        <w:t>.</w:t>
      </w:r>
      <w:r w:rsidR="00321987" w:rsidRPr="00CB07C3">
        <w:t xml:space="preserve"> </w:t>
      </w:r>
      <w:r w:rsidR="00B47781" w:rsidRPr="00CB07C3">
        <w:t xml:space="preserve"> </w:t>
      </w:r>
      <w:r w:rsidR="009D4B10" w:rsidRPr="00CB07C3">
        <w:t xml:space="preserve">There was no power to </w:t>
      </w:r>
      <w:r w:rsidRPr="00CB07C3">
        <w:t xml:space="preserve">determine whether there was a dismissal in fact, </w:t>
      </w:r>
      <w:r w:rsidR="009D4B10" w:rsidRPr="00CB07C3">
        <w:t>no</w:t>
      </w:r>
      <w:r w:rsidR="008E33FF" w:rsidRPr="00CB07C3">
        <w:t>r was there any</w:t>
      </w:r>
      <w:r w:rsidR="009D4B10" w:rsidRPr="00CB07C3">
        <w:t xml:space="preserve"> express provision in the </w:t>
      </w:r>
      <w:r w:rsidR="00B47781" w:rsidRPr="00CB07C3">
        <w:t>FW </w:t>
      </w:r>
      <w:r w:rsidR="009D4B10" w:rsidRPr="00CB07C3">
        <w:t xml:space="preserve">Act providing for the manner in which any </w:t>
      </w:r>
      <w:r w:rsidRPr="00CB07C3">
        <w:t>such fact finding task should be performed</w:t>
      </w:r>
      <w:r w:rsidR="009D4B10" w:rsidRPr="00CB07C3">
        <w:t>.</w:t>
      </w:r>
    </w:p>
    <w:p w14:paraId="3BE45E4C" w14:textId="328236A2" w:rsidR="008E33FF" w:rsidRPr="00CB07C3" w:rsidRDefault="00945992" w:rsidP="00C76204">
      <w:pPr>
        <w:pStyle w:val="ParaNumbering"/>
      </w:pPr>
      <w:r w:rsidRPr="00CB07C3">
        <w:lastRenderedPageBreak/>
        <w:t>Counsel submitted</w:t>
      </w:r>
      <w:r w:rsidR="00905CDF" w:rsidRPr="00CB07C3">
        <w:t xml:space="preserve"> </w:t>
      </w:r>
      <w:r w:rsidR="008E33FF" w:rsidRPr="00CB07C3">
        <w:t xml:space="preserve">that it was a matter for the Court hearing a general protections court application to determine </w:t>
      </w:r>
      <w:r w:rsidR="004F6F99" w:rsidRPr="00CB07C3">
        <w:t>(under s </w:t>
      </w:r>
      <w:r w:rsidR="00C76204" w:rsidRPr="00CB07C3">
        <w:t>370</w:t>
      </w:r>
      <w:r w:rsidR="004F6F99" w:rsidRPr="00CB07C3">
        <w:t>(1) of the FW </w:t>
      </w:r>
      <w:r w:rsidR="00C76204" w:rsidRPr="00CB07C3">
        <w:t xml:space="preserve">Act) </w:t>
      </w:r>
      <w:r w:rsidR="008E33FF" w:rsidRPr="00CB07C3">
        <w:t>whether the applicant was “a person w</w:t>
      </w:r>
      <w:r w:rsidR="00CF7CD6" w:rsidRPr="00CB07C3">
        <w:t>ho is entitled to apply under s 365” of the FW Act.  The FW </w:t>
      </w:r>
      <w:r w:rsidR="008E33FF" w:rsidRPr="00CB07C3">
        <w:t xml:space="preserve">Act conferred a </w:t>
      </w:r>
      <w:r w:rsidR="00653AAD" w:rsidRPr="00CB07C3">
        <w:t xml:space="preserve">conciliation </w:t>
      </w:r>
      <w:r w:rsidR="00C76204" w:rsidRPr="00CB07C3">
        <w:t xml:space="preserve">function on the </w:t>
      </w:r>
      <w:r w:rsidR="00B47418" w:rsidRPr="00CB07C3">
        <w:t>FWC</w:t>
      </w:r>
      <w:r w:rsidR="00C76204" w:rsidRPr="00CB07C3">
        <w:t xml:space="preserve">, and deferred to the Court </w:t>
      </w:r>
      <w:r w:rsidR="00B23BB7" w:rsidRPr="00CB07C3">
        <w:t xml:space="preserve">the </w:t>
      </w:r>
      <w:r w:rsidR="00C76204" w:rsidRPr="00CB07C3">
        <w:t xml:space="preserve">question of the person’s entitlement to make an application to the FWC.  </w:t>
      </w:r>
      <w:r w:rsidR="008E33FF" w:rsidRPr="00CB07C3">
        <w:t xml:space="preserve">The disincentive against parties nominating a </w:t>
      </w:r>
      <w:r w:rsidR="00B23BB7" w:rsidRPr="00CB07C3">
        <w:t xml:space="preserve">false </w:t>
      </w:r>
      <w:r w:rsidR="008E33FF" w:rsidRPr="00CB07C3">
        <w:t xml:space="preserve">date </w:t>
      </w:r>
      <w:r w:rsidR="00C76204" w:rsidRPr="00CB07C3">
        <w:t xml:space="preserve">so as to artificially bring an application within time </w:t>
      </w:r>
      <w:r w:rsidR="008E33FF" w:rsidRPr="00CB07C3">
        <w:t xml:space="preserve">was that </w:t>
      </w:r>
      <w:r w:rsidR="00B23BB7" w:rsidRPr="00CB07C3">
        <w:t xml:space="preserve">the person </w:t>
      </w:r>
      <w:r w:rsidR="008E33FF" w:rsidRPr="00CB07C3">
        <w:t xml:space="preserve">would lose the opportunity </w:t>
      </w:r>
      <w:r w:rsidR="00B23BB7" w:rsidRPr="00CB07C3">
        <w:t xml:space="preserve">to apply to </w:t>
      </w:r>
      <w:r w:rsidR="008E33FF" w:rsidRPr="00CB07C3">
        <w:t xml:space="preserve">the </w:t>
      </w:r>
      <w:r w:rsidR="00C76204" w:rsidRPr="00CB07C3">
        <w:t>FWC</w:t>
      </w:r>
      <w:r w:rsidR="008E33FF" w:rsidRPr="00CB07C3">
        <w:t xml:space="preserve"> </w:t>
      </w:r>
      <w:r w:rsidR="00B23BB7" w:rsidRPr="00CB07C3">
        <w:t>for an</w:t>
      </w:r>
      <w:r w:rsidR="008E33FF" w:rsidRPr="00CB07C3">
        <w:t xml:space="preserve"> extension of time under s</w:t>
      </w:r>
      <w:r w:rsidR="00CF7CD6" w:rsidRPr="00CB07C3">
        <w:t> </w:t>
      </w:r>
      <w:r w:rsidR="008E33FF" w:rsidRPr="00CB07C3">
        <w:t>366</w:t>
      </w:r>
      <w:r w:rsidR="00C76204" w:rsidRPr="00CB07C3">
        <w:t>(1</w:t>
      </w:r>
      <w:r w:rsidR="008E33FF" w:rsidRPr="00CB07C3">
        <w:t xml:space="preserve">), which only the </w:t>
      </w:r>
      <w:r w:rsidR="00CF7CD6" w:rsidRPr="00CB07C3">
        <w:t xml:space="preserve">FWC was empowered to grant.  </w:t>
      </w:r>
      <w:r w:rsidR="008E33FF" w:rsidRPr="00CB07C3">
        <w:t xml:space="preserve">The policy considerations behind the enactment of the time limit were therefore protected because breach of the time limit could be assessed by a </w:t>
      </w:r>
      <w:r w:rsidR="00B47418" w:rsidRPr="00CB07C3">
        <w:t>c</w:t>
      </w:r>
      <w:r w:rsidR="008E33FF" w:rsidRPr="00CB07C3">
        <w:t xml:space="preserve">ourt at the time that the </w:t>
      </w:r>
      <w:r w:rsidR="00721962" w:rsidRPr="00CB07C3">
        <w:t>C</w:t>
      </w:r>
      <w:r w:rsidR="008E33FF" w:rsidRPr="00CB07C3">
        <w:t>ourt “deals with the balance of the general protections court application”.</w:t>
      </w:r>
    </w:p>
    <w:p w14:paraId="3385C128" w14:textId="195B3DDA" w:rsidR="00325FD0" w:rsidRPr="00CB07C3" w:rsidRDefault="00325FD0" w:rsidP="00C76204">
      <w:pPr>
        <w:pStyle w:val="ParaNumbering"/>
      </w:pPr>
      <w:r w:rsidRPr="00CB07C3">
        <w:t xml:space="preserve">Counsel submitted that where the legislature had intended the FWC to perform the function of determining </w:t>
      </w:r>
      <w:r w:rsidR="00945992" w:rsidRPr="00CB07C3">
        <w:t xml:space="preserve">a dispute </w:t>
      </w:r>
      <w:r w:rsidRPr="00CB07C3">
        <w:t>between the parties, it had made express provision for that to occur, as was app</w:t>
      </w:r>
      <w:r w:rsidR="00B47781" w:rsidRPr="00CB07C3">
        <w:t>arent from the provisions of Pt </w:t>
      </w:r>
      <w:r w:rsidRPr="00CB07C3">
        <w:t>3-2 in respect of unfair dismissal applications.</w:t>
      </w:r>
      <w:r w:rsidR="002B4CA3" w:rsidRPr="00CB07C3">
        <w:t xml:space="preserve"> </w:t>
      </w:r>
      <w:r w:rsidR="00B47781" w:rsidRPr="00CB07C3">
        <w:t xml:space="preserve"> </w:t>
      </w:r>
      <w:r w:rsidR="00945992" w:rsidRPr="00CB07C3">
        <w:t xml:space="preserve">In </w:t>
      </w:r>
      <w:r w:rsidR="00C76204" w:rsidRPr="00CB07C3">
        <w:t>addition</w:t>
      </w:r>
      <w:r w:rsidR="00945992" w:rsidRPr="00CB07C3">
        <w:t>, b</w:t>
      </w:r>
      <w:r w:rsidR="00B47781" w:rsidRPr="00CB07C3">
        <w:t>y s </w:t>
      </w:r>
      <w:r w:rsidR="00945992" w:rsidRPr="00CB07C3">
        <w:t>587</w:t>
      </w:r>
      <w:r w:rsidRPr="00CB07C3">
        <w:t xml:space="preserve"> of the </w:t>
      </w:r>
      <w:r w:rsidR="00B47781" w:rsidRPr="00CB07C3">
        <w:t>FW </w:t>
      </w:r>
      <w:r w:rsidRPr="00CB07C3">
        <w:t>Act, the legislature had confined the FWC’s power to dismiss a general protections application, such that the application could not be dismissed on the ground that it was frivolous or vexatious, and nor could it be dismissed on the ground that it had no reasonable prospects of success.</w:t>
      </w:r>
      <w:r w:rsidR="00C76204" w:rsidRPr="00CB07C3">
        <w:t xml:space="preserve">  </w:t>
      </w:r>
      <w:r w:rsidRPr="00CB07C3">
        <w:t>Counsel submitted that proof of the circumstance that the applicant had not been dismissed would</w:t>
      </w:r>
      <w:r w:rsidR="00B23BB7" w:rsidRPr="00CB07C3">
        <w:t xml:space="preserve"> </w:t>
      </w:r>
      <w:r w:rsidRPr="00CB07C3">
        <w:t xml:space="preserve">have the </w:t>
      </w:r>
      <w:r w:rsidR="00B23BB7" w:rsidRPr="00CB07C3">
        <w:t xml:space="preserve">necessary </w:t>
      </w:r>
      <w:r w:rsidRPr="00CB07C3">
        <w:t xml:space="preserve">consequence that the application could have no reasonable prospects of </w:t>
      </w:r>
      <w:r w:rsidRPr="00051B41">
        <w:t>s</w:t>
      </w:r>
      <w:r w:rsidR="009D4B10" w:rsidRPr="00051B41">
        <w:t xml:space="preserve">uccess, and yet </w:t>
      </w:r>
      <w:r w:rsidR="002132B8" w:rsidRPr="00051B41">
        <w:t xml:space="preserve">the </w:t>
      </w:r>
      <w:r w:rsidR="009D4B10" w:rsidRPr="00051B41">
        <w:t>Parliament had expressly</w:t>
      </w:r>
      <w:r w:rsidR="009D4B10" w:rsidRPr="00CB07C3">
        <w:t xml:space="preserve"> excluded the dismissal of the application on that groun</w:t>
      </w:r>
      <w:r w:rsidR="00B47781" w:rsidRPr="00CB07C3">
        <w:t>d by the express carve out in s </w:t>
      </w:r>
      <w:r w:rsidR="009D4B10" w:rsidRPr="00CB07C3">
        <w:t>587(2).</w:t>
      </w:r>
      <w:r w:rsidR="002B4CA3" w:rsidRPr="00CB07C3">
        <w:t xml:space="preserve"> </w:t>
      </w:r>
      <w:r w:rsidR="00B47781" w:rsidRPr="00CB07C3">
        <w:t xml:space="preserve"> </w:t>
      </w:r>
      <w:r w:rsidR="009D4B10" w:rsidRPr="00CB07C3">
        <w:t xml:space="preserve">That, Counsel submitted, was a strong indicator that the substantive question of whether </w:t>
      </w:r>
      <w:r w:rsidR="00653AAD" w:rsidRPr="00CB07C3">
        <w:t xml:space="preserve">an </w:t>
      </w:r>
      <w:r w:rsidR="009D4B10" w:rsidRPr="00CB07C3">
        <w:t xml:space="preserve">applicant had been dismissed was to be </w:t>
      </w:r>
      <w:r w:rsidR="00945992" w:rsidRPr="00CB07C3">
        <w:t>answered</w:t>
      </w:r>
      <w:r w:rsidR="001B0289" w:rsidRPr="00CB07C3">
        <w:t xml:space="preserve"> (and only answered)</w:t>
      </w:r>
      <w:r w:rsidR="009D4B10" w:rsidRPr="00CB07C3">
        <w:t xml:space="preserve"> by the Court on a general protections </w:t>
      </w:r>
      <w:r w:rsidR="003E41C2" w:rsidRPr="00CB07C3">
        <w:t xml:space="preserve">court </w:t>
      </w:r>
      <w:r w:rsidR="009D4B10" w:rsidRPr="00CB07C3">
        <w:t>application and not by the FWC in the</w:t>
      </w:r>
      <w:r w:rsidR="00145E0C" w:rsidRPr="00CB07C3">
        <w:t xml:space="preserve"> exercise of its powers under s </w:t>
      </w:r>
      <w:r w:rsidR="009D4B10" w:rsidRPr="00CB07C3">
        <w:t>366</w:t>
      </w:r>
      <w:r w:rsidR="00145E0C" w:rsidRPr="00CB07C3">
        <w:t xml:space="preserve"> or s </w:t>
      </w:r>
      <w:r w:rsidR="009D4B10" w:rsidRPr="00CB07C3">
        <w:t>368</w:t>
      </w:r>
      <w:r w:rsidR="00145E0C" w:rsidRPr="00CB07C3">
        <w:t xml:space="preserve"> of the FW </w:t>
      </w:r>
      <w:r w:rsidR="009D4B10" w:rsidRPr="00CB07C3">
        <w:t>Act, at least in cases where the parties had not a</w:t>
      </w:r>
      <w:r w:rsidR="00145E0C" w:rsidRPr="00CB07C3">
        <w:t>greed to an arbitration under s </w:t>
      </w:r>
      <w:r w:rsidR="009D4B10" w:rsidRPr="00CB07C3">
        <w:t>369.</w:t>
      </w:r>
      <w:r w:rsidR="00321987" w:rsidRPr="00CB07C3">
        <w:t xml:space="preserve"> </w:t>
      </w:r>
      <w:r w:rsidR="00145E0C" w:rsidRPr="00CB07C3">
        <w:t xml:space="preserve"> </w:t>
      </w:r>
      <w:r w:rsidR="009D4B10" w:rsidRPr="00CB07C3">
        <w:t xml:space="preserve">Subject </w:t>
      </w:r>
      <w:r w:rsidR="00C76204" w:rsidRPr="00CB07C3">
        <w:t xml:space="preserve">to </w:t>
      </w:r>
      <w:r w:rsidR="009D4B10" w:rsidRPr="00CB07C3">
        <w:t>on</w:t>
      </w:r>
      <w:r w:rsidR="00945992" w:rsidRPr="00CB07C3">
        <w:t>e</w:t>
      </w:r>
      <w:r w:rsidR="009D4B10" w:rsidRPr="00CB07C3">
        <w:t xml:space="preserve"> qualification (discussed below) Counsel otherwise submitted that </w:t>
      </w:r>
      <w:r w:rsidR="009D4B10" w:rsidRPr="00CB07C3">
        <w:rPr>
          <w:i/>
        </w:rPr>
        <w:t>Hewitt</w:t>
      </w:r>
      <w:r w:rsidR="009D4B10" w:rsidRPr="00CB07C3">
        <w:t xml:space="preserve"> was correctly decided and that the Full Bench in this case was correct to </w:t>
      </w:r>
      <w:r w:rsidR="001B0289" w:rsidRPr="00CB07C3">
        <w:t>follow it</w:t>
      </w:r>
      <w:r w:rsidR="009D4B10" w:rsidRPr="00CB07C3">
        <w:t>.</w:t>
      </w:r>
    </w:p>
    <w:p w14:paraId="2FBCC9EF" w14:textId="75784408" w:rsidR="00905CDF" w:rsidRDefault="00325FD0" w:rsidP="00325FD0">
      <w:pPr>
        <w:pStyle w:val="Heading1"/>
      </w:pPr>
      <w:r>
        <w:t>CONSIDERATION</w:t>
      </w:r>
    </w:p>
    <w:p w14:paraId="1C1495E6" w14:textId="7469C4A9" w:rsidR="00653AAD" w:rsidRPr="00CB07C3" w:rsidRDefault="007834FF" w:rsidP="00943D5D">
      <w:pPr>
        <w:pStyle w:val="ParaNumbering"/>
        <w:keepNext/>
      </w:pPr>
      <w:r w:rsidRPr="00CB07C3">
        <w:t xml:space="preserve">In </w:t>
      </w:r>
      <w:r w:rsidRPr="00CB07C3">
        <w:rPr>
          <w:i/>
        </w:rPr>
        <w:t xml:space="preserve">Alcan (NT) Alumina </w:t>
      </w:r>
      <w:r w:rsidR="00CF7CD6" w:rsidRPr="00CB07C3">
        <w:rPr>
          <w:i/>
        </w:rPr>
        <w:t xml:space="preserve">Pty Ltd </w:t>
      </w:r>
      <w:r w:rsidRPr="00CB07C3">
        <w:rPr>
          <w:i/>
        </w:rPr>
        <w:t>v Commissioner of Territory Revenue</w:t>
      </w:r>
      <w:r w:rsidRPr="00CB07C3">
        <w:t xml:space="preserve"> (2009) 239 CLR 27, Hayne, Heydon, Crennan, Kiefel</w:t>
      </w:r>
      <w:r w:rsidR="00CF7CD6" w:rsidRPr="00CB07C3">
        <w:t> </w:t>
      </w:r>
      <w:r w:rsidRPr="00CB07C3">
        <w:t xml:space="preserve">JJ said (at </w:t>
      </w:r>
      <w:r w:rsidR="00CF7CD6" w:rsidRPr="00CB07C3">
        <w:t>[</w:t>
      </w:r>
      <w:r w:rsidRPr="00CB07C3">
        <w:t>46</w:t>
      </w:r>
      <w:r w:rsidR="00CF7CD6" w:rsidRPr="00CB07C3">
        <w:t>]</w:t>
      </w:r>
      <w:r w:rsidRPr="00CB07C3">
        <w:t>)</w:t>
      </w:r>
      <w:r w:rsidR="00653AAD" w:rsidRPr="00CB07C3">
        <w:t>:</w:t>
      </w:r>
    </w:p>
    <w:p w14:paraId="2C2612E3" w14:textId="68886971" w:rsidR="007834FF" w:rsidRPr="00CD0D63" w:rsidRDefault="007834FF" w:rsidP="007834FF">
      <w:pPr>
        <w:pStyle w:val="Quote1"/>
      </w:pPr>
      <w:r w:rsidRPr="00CD0D63">
        <w:t>This Court has stated on many occasions that the task of statutory construction must begin with a co</w:t>
      </w:r>
      <w:r w:rsidR="00CF7CD6" w:rsidRPr="00CD0D63">
        <w:t>nsideration of the text itself.  </w:t>
      </w:r>
      <w:r w:rsidRPr="00CD0D63">
        <w:t>…</w:t>
      </w:r>
      <w:r w:rsidR="00CF7CD6" w:rsidRPr="00CD0D63">
        <w:t>  </w:t>
      </w:r>
      <w:r w:rsidRPr="00CD0D63">
        <w:t xml:space="preserve">The language which has actually been employed in the text of legislation is the surest guide to legislative intention. </w:t>
      </w:r>
      <w:r w:rsidR="00CF7CD6" w:rsidRPr="00CD0D63">
        <w:t xml:space="preserve"> </w:t>
      </w:r>
      <w:r w:rsidRPr="00CD0D63">
        <w:t xml:space="preserve">The meaning of the text may require consideration of the context, which includes the general purpose and policy of a provision, in particular the mischief it is seeking to </w:t>
      </w:r>
      <w:r w:rsidRPr="00CD0D63">
        <w:lastRenderedPageBreak/>
        <w:t>remedy.</w:t>
      </w:r>
    </w:p>
    <w:p w14:paraId="471AFDCA" w14:textId="356EDBCD" w:rsidR="008A077C" w:rsidRDefault="008A077C" w:rsidP="006842DA">
      <w:pPr>
        <w:pStyle w:val="NoNum"/>
      </w:pPr>
      <w:r w:rsidRPr="00CD0D63">
        <w:t xml:space="preserve">And see </w:t>
      </w:r>
      <w:r w:rsidRPr="00CD0D63">
        <w:rPr>
          <w:i/>
        </w:rPr>
        <w:t>Project Blue Sky v Australian Broadcasting Authority</w:t>
      </w:r>
      <w:r w:rsidRPr="00CD0D63">
        <w:t xml:space="preserve"> (1998) 194 CLR 355 at 384 [78] (McHugh, Gummow, Kirby, Hayne JJ), </w:t>
      </w:r>
      <w:r w:rsidRPr="00CD0D63">
        <w:rPr>
          <w:i/>
        </w:rPr>
        <w:t>Cooper Brookes (Wollongong) Pty Ltd v Commissioner of Taxation</w:t>
      </w:r>
      <w:r w:rsidRPr="00CD0D63">
        <w:t xml:space="preserve"> (1981) 147 CLR 297 at 321)</w:t>
      </w:r>
      <w:r w:rsidR="006842DA" w:rsidRPr="00CD0D63">
        <w:t>.</w:t>
      </w:r>
    </w:p>
    <w:p w14:paraId="6B8F79BD" w14:textId="0352821A" w:rsidR="007834FF" w:rsidRPr="00CB07C3" w:rsidRDefault="00653AAD" w:rsidP="00137740">
      <w:pPr>
        <w:pStyle w:val="ParaNumbering"/>
      </w:pPr>
      <w:r w:rsidRPr="00CB07C3">
        <w:t>I</w:t>
      </w:r>
      <w:r w:rsidR="007834FF" w:rsidRPr="00CB07C3">
        <w:t xml:space="preserve">n </w:t>
      </w:r>
      <w:r w:rsidR="007834FF" w:rsidRPr="00CB07C3">
        <w:rPr>
          <w:i/>
          <w:iCs/>
        </w:rPr>
        <w:t xml:space="preserve">Australian Securities and Investments Commission v DB Management Pty Ltd </w:t>
      </w:r>
      <w:r w:rsidR="002B234A" w:rsidRPr="00CB07C3">
        <w:t>(2000) 199 CLR 321 at</w:t>
      </w:r>
      <w:r w:rsidR="007834FF" w:rsidRPr="00CB07C3">
        <w:t xml:space="preserve"> [34]</w:t>
      </w:r>
      <w:r w:rsidR="002B234A" w:rsidRPr="00CB07C3">
        <w:t xml:space="preserve"> – [</w:t>
      </w:r>
      <w:r w:rsidR="007834FF" w:rsidRPr="00CB07C3">
        <w:t>35]</w:t>
      </w:r>
      <w:r w:rsidR="00C17897" w:rsidRPr="00CB07C3">
        <w:t xml:space="preserve"> </w:t>
      </w:r>
      <w:r w:rsidRPr="00CB07C3">
        <w:t xml:space="preserve">the Court </w:t>
      </w:r>
      <w:r w:rsidR="00C17897" w:rsidRPr="00CB07C3">
        <w:t>observed that,</w:t>
      </w:r>
      <w:r w:rsidR="007834FF" w:rsidRPr="00CB07C3">
        <w:t xml:space="preserve"> ordinarily, the words of a statutory provision are to be given their literal or grammatical meaning unless the context of the words, the consequences of a literal or grammatical construction, the purpose of the statute or the canons of con</w:t>
      </w:r>
      <w:r w:rsidR="002B234A" w:rsidRPr="00CB07C3">
        <w:t xml:space="preserve">struction required otherwise.  </w:t>
      </w:r>
      <w:r w:rsidR="007834FF" w:rsidRPr="00CB07C3">
        <w:t>Where a party contends for a meaning other than the literal or grammatical one, “such a contention may lack force unless accompanied by some plausible formulation of an alterna</w:t>
      </w:r>
      <w:r w:rsidR="00137740" w:rsidRPr="00CB07C3">
        <w:t>tive legal meaning” (at [</w:t>
      </w:r>
      <w:r w:rsidR="007207D4" w:rsidRPr="00CB07C3">
        <w:t>35</w:t>
      </w:r>
      <w:r w:rsidR="00137740" w:rsidRPr="00CB07C3">
        <w:t>]).</w:t>
      </w:r>
      <w:r w:rsidR="002B234A" w:rsidRPr="00CB07C3">
        <w:t xml:space="preserve">  </w:t>
      </w:r>
      <w:r w:rsidR="00D62988" w:rsidRPr="00CB07C3">
        <w:t xml:space="preserve">In construing </w:t>
      </w:r>
      <w:proofErr w:type="spellStart"/>
      <w:r w:rsidR="00D62988" w:rsidRPr="00CB07C3">
        <w:t>s</w:t>
      </w:r>
      <w:r w:rsidR="00712E6F" w:rsidRPr="00CB07C3">
        <w:t>s</w:t>
      </w:r>
      <w:proofErr w:type="spellEnd"/>
      <w:r w:rsidR="00D62988" w:rsidRPr="00CB07C3">
        <w:t> </w:t>
      </w:r>
      <w:r w:rsidR="00C17897" w:rsidRPr="00CB07C3">
        <w:t>365</w:t>
      </w:r>
      <w:r w:rsidR="00D62988" w:rsidRPr="00CB07C3">
        <w:t>, </w:t>
      </w:r>
      <w:r w:rsidR="00C17897" w:rsidRPr="00CB07C3">
        <w:t>366 and</w:t>
      </w:r>
      <w:r w:rsidR="00D62988" w:rsidRPr="00CB07C3">
        <w:t> </w:t>
      </w:r>
      <w:r w:rsidR="00C17897" w:rsidRPr="00CB07C3">
        <w:t>368 of the FW</w:t>
      </w:r>
      <w:r w:rsidR="00B47418" w:rsidRPr="00CB07C3">
        <w:t> </w:t>
      </w:r>
      <w:r w:rsidR="00C17897" w:rsidRPr="00CB07C3">
        <w:t>Act, t</w:t>
      </w:r>
      <w:r w:rsidR="002B234A" w:rsidRPr="00CB07C3">
        <w:t>he starting point is the text:  </w:t>
      </w:r>
      <w:r w:rsidR="007834FF" w:rsidRPr="00CB07C3">
        <w:rPr>
          <w:i/>
        </w:rPr>
        <w:t xml:space="preserve">Re Bolton; Ex parte </w:t>
      </w:r>
      <w:proofErr w:type="spellStart"/>
      <w:r w:rsidR="007834FF" w:rsidRPr="00CB07C3">
        <w:rPr>
          <w:i/>
        </w:rPr>
        <w:t>Beane</w:t>
      </w:r>
      <w:proofErr w:type="spellEnd"/>
      <w:r w:rsidR="007834FF" w:rsidRPr="00CB07C3">
        <w:t xml:space="preserve"> (1987) 162 CLR 514 at 518; </w:t>
      </w:r>
      <w:r w:rsidR="007834FF" w:rsidRPr="00CB07C3">
        <w:rPr>
          <w:i/>
        </w:rPr>
        <w:t>Chang</w:t>
      </w:r>
      <w:r w:rsidR="002B234A" w:rsidRPr="00CB07C3">
        <w:rPr>
          <w:i/>
        </w:rPr>
        <w:t xml:space="preserve"> v Laidley Shire Council </w:t>
      </w:r>
      <w:r w:rsidR="007834FF" w:rsidRPr="00CB07C3">
        <w:t xml:space="preserve">(2007) 234 </w:t>
      </w:r>
      <w:r w:rsidR="002B234A" w:rsidRPr="00CB07C3">
        <w:t xml:space="preserve">CLR </w:t>
      </w:r>
      <w:r w:rsidR="00D62988" w:rsidRPr="00CB07C3">
        <w:t xml:space="preserve">1 at </w:t>
      </w:r>
      <w:r w:rsidR="0087086F" w:rsidRPr="00CB07C3">
        <w:t>[59]</w:t>
      </w:r>
      <w:r w:rsidR="00D62988" w:rsidRPr="00CB07C3">
        <w:t xml:space="preserve"> – </w:t>
      </w:r>
      <w:r w:rsidR="0087086F" w:rsidRPr="00CB07C3">
        <w:t>[60]</w:t>
      </w:r>
      <w:r w:rsidR="007834FF" w:rsidRPr="00CB07C3">
        <w:t>.</w:t>
      </w:r>
      <w:r w:rsidR="001B0289" w:rsidRPr="00CB07C3">
        <w:t xml:space="preserve">  Three preliminary observations may be made </w:t>
      </w:r>
      <w:r w:rsidR="00132654" w:rsidRPr="00CB07C3">
        <w:t>of</w:t>
      </w:r>
      <w:r w:rsidR="001B0289" w:rsidRPr="00CB07C3">
        <w:t xml:space="preserve"> the literal and grammatical meaning of those provisions.</w:t>
      </w:r>
    </w:p>
    <w:p w14:paraId="7C74D8CD" w14:textId="265897F8" w:rsidR="00137740" w:rsidRPr="00CB07C3" w:rsidRDefault="007834FF" w:rsidP="00C17897">
      <w:pPr>
        <w:pStyle w:val="ParaNumbering"/>
      </w:pPr>
      <w:r w:rsidRPr="00CB07C3">
        <w:t>The first observa</w:t>
      </w:r>
      <w:r w:rsidR="00FF7404" w:rsidRPr="00CB07C3">
        <w:t>tion is that s </w:t>
      </w:r>
      <w:r w:rsidRPr="00CB07C3">
        <w:t>365</w:t>
      </w:r>
      <w:r w:rsidR="00FF7404" w:rsidRPr="00CB07C3">
        <w:t xml:space="preserve"> and s </w:t>
      </w:r>
      <w:r w:rsidRPr="00CB07C3">
        <w:t>366 are concerned with dif</w:t>
      </w:r>
      <w:r w:rsidR="00FF7404" w:rsidRPr="00CB07C3">
        <w:t>ferent subject matter</w:t>
      </w:r>
      <w:r w:rsidR="00653AAD" w:rsidRPr="00CB07C3">
        <w:t>s</w:t>
      </w:r>
      <w:r w:rsidR="00FF7404" w:rsidRPr="00CB07C3">
        <w:t>.  Section </w:t>
      </w:r>
      <w:r w:rsidRPr="00CB07C3">
        <w:t xml:space="preserve">365 defines </w:t>
      </w:r>
      <w:r w:rsidR="00137740" w:rsidRPr="00CB07C3">
        <w:t xml:space="preserve">the </w:t>
      </w:r>
      <w:r w:rsidRPr="00CB07C3">
        <w:t>person</w:t>
      </w:r>
      <w:r w:rsidR="00137740" w:rsidRPr="00CB07C3">
        <w:t xml:space="preserve">s </w:t>
      </w:r>
      <w:r w:rsidR="00C17897" w:rsidRPr="00CB07C3">
        <w:t xml:space="preserve">who are entitled to make a general protections </w:t>
      </w:r>
      <w:r w:rsidRPr="00CB07C3">
        <w:t>applicatio</w:t>
      </w:r>
      <w:r w:rsidR="00FF7404" w:rsidRPr="00CB07C3">
        <w:t xml:space="preserve">n </w:t>
      </w:r>
      <w:r w:rsidR="001B0289" w:rsidRPr="00CB07C3">
        <w:t xml:space="preserve">to the FWC </w:t>
      </w:r>
      <w:r w:rsidR="00FF7404" w:rsidRPr="00CB07C3">
        <w:t>involving dismissal.  Section </w:t>
      </w:r>
      <w:r w:rsidRPr="00CB07C3">
        <w:t>366</w:t>
      </w:r>
      <w:r w:rsidR="00C17897" w:rsidRPr="00CB07C3">
        <w:t xml:space="preserve"> conditions the manner in which </w:t>
      </w:r>
      <w:r w:rsidR="00653AAD" w:rsidRPr="00CB07C3">
        <w:t xml:space="preserve">such a </w:t>
      </w:r>
      <w:r w:rsidR="001B0289" w:rsidRPr="00CB07C3">
        <w:t xml:space="preserve">person’s </w:t>
      </w:r>
      <w:r w:rsidR="00C17897" w:rsidRPr="00CB07C3">
        <w:t>application must be made</w:t>
      </w:r>
      <w:r w:rsidR="00FF7404" w:rsidRPr="00CB07C3">
        <w:t xml:space="preserve">.  </w:t>
      </w:r>
      <w:r w:rsidRPr="00CB07C3">
        <w:t xml:space="preserve">The condition is that the application be commenced within 21 days or a longer a period that may be allowed by the FWC in the exercise </w:t>
      </w:r>
      <w:r w:rsidR="0015745E" w:rsidRPr="00CB07C3">
        <w:t xml:space="preserve">of </w:t>
      </w:r>
      <w:r w:rsidRPr="00CB07C3">
        <w:t>the discretionary power conferred under s</w:t>
      </w:r>
      <w:r w:rsidR="00FF7404" w:rsidRPr="00CB07C3">
        <w:t> </w:t>
      </w:r>
      <w:r w:rsidRPr="00CB07C3">
        <w:t>366</w:t>
      </w:r>
      <w:r w:rsidR="00C17897" w:rsidRPr="00CB07C3">
        <w:t>(1</w:t>
      </w:r>
      <w:r w:rsidRPr="00CB07C3">
        <w:t>)</w:t>
      </w:r>
      <w:r w:rsidR="00C17897" w:rsidRPr="00CB07C3">
        <w:t>, ha</w:t>
      </w:r>
      <w:r w:rsidR="00D62988" w:rsidRPr="00CB07C3">
        <w:t>ving regard to the factors in s </w:t>
      </w:r>
      <w:r w:rsidR="00C17897" w:rsidRPr="00CB07C3">
        <w:t>366(2).</w:t>
      </w:r>
      <w:r w:rsidRPr="00CB07C3">
        <w:t xml:space="preserve"> </w:t>
      </w:r>
      <w:r w:rsidR="00FF7404" w:rsidRPr="00CB07C3">
        <w:t xml:space="preserve"> </w:t>
      </w:r>
      <w:r w:rsidR="00137740" w:rsidRPr="00CB07C3">
        <w:t>For an</w:t>
      </w:r>
      <w:r w:rsidR="00FF7404" w:rsidRPr="00CB07C3">
        <w:t xml:space="preserve"> application to be </w:t>
      </w:r>
      <w:r w:rsidR="00C17897" w:rsidRPr="00CB07C3">
        <w:t>“</w:t>
      </w:r>
      <w:r w:rsidR="00FF7404" w:rsidRPr="00CB07C3">
        <w:t>made under</w:t>
      </w:r>
      <w:r w:rsidR="00C17897" w:rsidRPr="00CB07C3">
        <w:t>”</w:t>
      </w:r>
      <w:r w:rsidR="00FF7404" w:rsidRPr="00CB07C3">
        <w:t xml:space="preserve"> s </w:t>
      </w:r>
      <w:r w:rsidR="00137740" w:rsidRPr="00CB07C3">
        <w:t xml:space="preserve">365, it must be </w:t>
      </w:r>
      <w:r w:rsidR="00FF7404" w:rsidRPr="00CB07C3">
        <w:t>made by a person described in s </w:t>
      </w:r>
      <w:r w:rsidR="00137740" w:rsidRPr="00CB07C3">
        <w:t xml:space="preserve">365 </w:t>
      </w:r>
      <w:r w:rsidR="00137740" w:rsidRPr="00CB07C3">
        <w:rPr>
          <w:i/>
        </w:rPr>
        <w:t>and</w:t>
      </w:r>
      <w:r w:rsidR="00137740" w:rsidRPr="00CB07C3">
        <w:t xml:space="preserve"> it must be made wit</w:t>
      </w:r>
      <w:r w:rsidR="00FF7404" w:rsidRPr="00CB07C3">
        <w:t xml:space="preserve">hin the time prescribed </w:t>
      </w:r>
      <w:r w:rsidR="00C17897" w:rsidRPr="00CB07C3">
        <w:t xml:space="preserve">or allowed </w:t>
      </w:r>
      <w:r w:rsidR="00FF7404" w:rsidRPr="00CB07C3">
        <w:t>under s </w:t>
      </w:r>
      <w:r w:rsidR="00137740" w:rsidRPr="00CB07C3">
        <w:t>366</w:t>
      </w:r>
      <w:r w:rsidR="00FF7404" w:rsidRPr="00CB07C3">
        <w:t>(1)</w:t>
      </w:r>
      <w:r w:rsidR="00137740" w:rsidRPr="00CB07C3">
        <w:t>.</w:t>
      </w:r>
      <w:r w:rsidR="00D62988" w:rsidRPr="00CB07C3">
        <w:t xml:space="preserve">  </w:t>
      </w:r>
      <w:r w:rsidR="00C17897" w:rsidRPr="00CB07C3">
        <w:t>The</w:t>
      </w:r>
      <w:r w:rsidR="00137740" w:rsidRPr="00CB07C3">
        <w:t xml:space="preserve"> ope</w:t>
      </w:r>
      <w:r w:rsidR="00FF7404" w:rsidRPr="00CB07C3">
        <w:t xml:space="preserve">ning </w:t>
      </w:r>
      <w:r w:rsidR="001B0289" w:rsidRPr="00CB07C3">
        <w:t xml:space="preserve">phrase in </w:t>
      </w:r>
      <w:r w:rsidR="00FF7404" w:rsidRPr="00CB07C3">
        <w:t>s </w:t>
      </w:r>
      <w:r w:rsidR="00137740" w:rsidRPr="00CB07C3">
        <w:t>368</w:t>
      </w:r>
      <w:r w:rsidR="001B0289" w:rsidRPr="00CB07C3">
        <w:t>,</w:t>
      </w:r>
      <w:r w:rsidR="00137740" w:rsidRPr="00CB07C3">
        <w:t xml:space="preserve"> </w:t>
      </w:r>
      <w:r w:rsidR="00712E6F" w:rsidRPr="00CB07C3">
        <w:t>“</w:t>
      </w:r>
      <w:r w:rsidR="00137740" w:rsidRPr="00CB07C3">
        <w:t>if an ap</w:t>
      </w:r>
      <w:r w:rsidR="00FF7404" w:rsidRPr="00CB07C3">
        <w:t>plication has been made under s </w:t>
      </w:r>
      <w:r w:rsidR="00137740" w:rsidRPr="00CB07C3">
        <w:t>36</w:t>
      </w:r>
      <w:r w:rsidR="00FF7404" w:rsidRPr="00CB07C3">
        <w:t>5</w:t>
      </w:r>
      <w:r w:rsidR="00712E6F" w:rsidRPr="00CB07C3">
        <w:rPr>
          <w:i/>
        </w:rPr>
        <w:t>”</w:t>
      </w:r>
      <w:r w:rsidR="001B0289" w:rsidRPr="00CB07C3">
        <w:t>,</w:t>
      </w:r>
      <w:r w:rsidR="00FF7404" w:rsidRPr="00CB07C3">
        <w:t xml:space="preserve"> incorporates both concepts.</w:t>
      </w:r>
      <w:r w:rsidR="00C17897" w:rsidRPr="00CB07C3">
        <w:t xml:space="preserve">  The words erect an essential precondition to the FWC’s authority to perform </w:t>
      </w:r>
      <w:r w:rsidR="001B0289" w:rsidRPr="00CB07C3">
        <w:t xml:space="preserve">both its </w:t>
      </w:r>
      <w:r w:rsidR="00C32C5D" w:rsidRPr="00CB07C3">
        <w:t>conciliation function</w:t>
      </w:r>
      <w:r w:rsidR="001B0289" w:rsidRPr="00CB07C3">
        <w:t xml:space="preserve"> </w:t>
      </w:r>
      <w:r w:rsidR="00C17897" w:rsidRPr="00CB07C3">
        <w:t xml:space="preserve">and its </w:t>
      </w:r>
      <w:r w:rsidR="001B0289" w:rsidRPr="00CB07C3">
        <w:t xml:space="preserve">associated </w:t>
      </w:r>
      <w:r w:rsidR="00C17897" w:rsidRPr="00CB07C3">
        <w:t>power</w:t>
      </w:r>
      <w:r w:rsidR="00D62988" w:rsidRPr="00CB07C3">
        <w:t xml:space="preserve"> to issue a certificate under s </w:t>
      </w:r>
      <w:r w:rsidR="00C17897" w:rsidRPr="00CB07C3">
        <w:t>368</w:t>
      </w:r>
      <w:r w:rsidR="00D62988" w:rsidRPr="00CB07C3">
        <w:t>(3).</w:t>
      </w:r>
    </w:p>
    <w:p w14:paraId="28C24BB4" w14:textId="18E4A92A" w:rsidR="00EA16D7" w:rsidRPr="00CB07C3" w:rsidRDefault="007834FF" w:rsidP="00FF7404">
      <w:pPr>
        <w:pStyle w:val="ParaNumbering"/>
        <w:keepNext/>
      </w:pPr>
      <w:r w:rsidRPr="00CB07C3">
        <w:t>The power to allow further time</w:t>
      </w:r>
      <w:r w:rsidR="006E5E29" w:rsidRPr="00CB07C3">
        <w:t xml:space="preserve"> under s </w:t>
      </w:r>
      <w:r w:rsidR="00C17897" w:rsidRPr="00CB07C3">
        <w:t>366(1)</w:t>
      </w:r>
      <w:r w:rsidRPr="00CB07C3">
        <w:t xml:space="preserve"> is cast in familiar terms, both within the </w:t>
      </w:r>
      <w:r w:rsidR="00137740" w:rsidRPr="00CB07C3">
        <w:t>landscape</w:t>
      </w:r>
      <w:r w:rsidR="00FF7404" w:rsidRPr="00CB07C3">
        <w:t xml:space="preserve"> of the FW </w:t>
      </w:r>
      <w:r w:rsidRPr="00CB07C3">
        <w:t>Act and in other</w:t>
      </w:r>
      <w:r w:rsidR="00137740" w:rsidRPr="00CB07C3">
        <w:t xml:space="preserve"> more</w:t>
      </w:r>
      <w:r w:rsidRPr="00CB07C3">
        <w:t xml:space="preserve"> litigious contexts</w:t>
      </w:r>
      <w:r w:rsidR="00C17897" w:rsidRPr="00CB07C3">
        <w:t xml:space="preserve">: </w:t>
      </w:r>
      <w:r w:rsidR="0015745E" w:rsidRPr="00CB07C3">
        <w:t xml:space="preserve"> </w:t>
      </w:r>
      <w:r w:rsidR="00C17897" w:rsidRPr="00CB07C3">
        <w:t xml:space="preserve">see, for example </w:t>
      </w:r>
      <w:r w:rsidR="006E5E29" w:rsidRPr="00CB07C3">
        <w:t>s </w:t>
      </w:r>
      <w:r w:rsidR="00C17897" w:rsidRPr="00CB07C3">
        <w:t>477(2</w:t>
      </w:r>
      <w:r w:rsidR="00B24764" w:rsidRPr="00CB07C3">
        <w:t>)(b</w:t>
      </w:r>
      <w:r w:rsidR="00C17897" w:rsidRPr="00CB07C3">
        <w:t xml:space="preserve">) of the </w:t>
      </w:r>
      <w:r w:rsidR="00C17897" w:rsidRPr="00CB07C3">
        <w:rPr>
          <w:i/>
        </w:rPr>
        <w:t>Migration Act 1958</w:t>
      </w:r>
      <w:r w:rsidR="00C17897" w:rsidRPr="00CB07C3">
        <w:t xml:space="preserve"> (</w:t>
      </w:r>
      <w:proofErr w:type="spellStart"/>
      <w:r w:rsidR="00C17897" w:rsidRPr="00CB07C3">
        <w:t>Cth</w:t>
      </w:r>
      <w:proofErr w:type="spellEnd"/>
      <w:r w:rsidR="00C17897" w:rsidRPr="00CB07C3">
        <w:t>).</w:t>
      </w:r>
      <w:r w:rsidRPr="00CB07C3">
        <w:t xml:space="preserve">  The purpose </w:t>
      </w:r>
      <w:r w:rsidR="00EA16D7" w:rsidRPr="00CB07C3">
        <w:t xml:space="preserve">of limitation periods conditioning the time for commencing litigation was discussed by McHugh J in </w:t>
      </w:r>
      <w:r w:rsidR="00EA16D7" w:rsidRPr="00CB07C3">
        <w:rPr>
          <w:b/>
          <w:i/>
        </w:rPr>
        <w:t>Brisbane South</w:t>
      </w:r>
      <w:r w:rsidR="00EA16D7" w:rsidRPr="00CB07C3">
        <w:rPr>
          <w:i/>
        </w:rPr>
        <w:t xml:space="preserve"> Regional Health Authority v Taylor </w:t>
      </w:r>
      <w:r w:rsidR="00EA16D7" w:rsidRPr="00CB07C3">
        <w:t>(1996) 186 CLR 541 at 552:</w:t>
      </w:r>
    </w:p>
    <w:p w14:paraId="40DF10F5" w14:textId="49F5DBE2" w:rsidR="00EA16D7" w:rsidRDefault="00EA16D7" w:rsidP="00EA16D7">
      <w:pPr>
        <w:pStyle w:val="Quote1"/>
      </w:pPr>
      <w:r w:rsidRPr="00CD0D63">
        <w:t xml:space="preserve">The effect of delay on the quality of justice is no doubt one of the most important influences motivating a legislature to enact limitation periods for commencing actions. </w:t>
      </w:r>
      <w:r w:rsidR="0015745E" w:rsidRPr="00CD0D63">
        <w:t xml:space="preserve"> </w:t>
      </w:r>
      <w:r w:rsidRPr="00CD0D63">
        <w:t xml:space="preserve">But it is not the only one. </w:t>
      </w:r>
      <w:r w:rsidR="0015745E" w:rsidRPr="00CD0D63">
        <w:t xml:space="preserve"> </w:t>
      </w:r>
      <w:r w:rsidRPr="00CD0D63">
        <w:t xml:space="preserve">Courts and commentators have perceived four broad </w:t>
      </w:r>
      <w:r w:rsidRPr="00CD0D63">
        <w:lastRenderedPageBreak/>
        <w:t>rationales for the enactment of limitation period.</w:t>
      </w:r>
      <w:r w:rsidR="0015745E" w:rsidRPr="00CD0D63">
        <w:t xml:space="preserve"> </w:t>
      </w:r>
      <w:r w:rsidRPr="00CD0D63">
        <w:t xml:space="preserve"> First, as time goes by, relevant evidence is likely to be lost. </w:t>
      </w:r>
      <w:r w:rsidR="0015745E" w:rsidRPr="00CD0D63">
        <w:t xml:space="preserve"> </w:t>
      </w:r>
      <w:r w:rsidRPr="00CD0D63">
        <w:t>Second, it is oppressive, even ‘cruel’, to a defendant to allow an action to be brought long after the circumstances which gave rise to it have passed.</w:t>
      </w:r>
      <w:r w:rsidR="0015745E" w:rsidRPr="00CD0D63">
        <w:t xml:space="preserve"> </w:t>
      </w:r>
      <w:r w:rsidRPr="00CD0D63">
        <w:t xml:space="preserve"> Third, people should be able to arrange their affairs and utilise their resources on the basis that claims can no longer be made against them. </w:t>
      </w:r>
      <w:r w:rsidR="0015745E" w:rsidRPr="00CD0D63">
        <w:t xml:space="preserve"> </w:t>
      </w:r>
      <w:r w:rsidRPr="00CD0D63">
        <w:t>Insurers, public institutions and businesses, particularly limited liability companies, have a significant interest in knowing that they have no liabilities beyond a definite period.</w:t>
      </w:r>
    </w:p>
    <w:p w14:paraId="489A554E" w14:textId="77777777" w:rsidR="00EA16D7" w:rsidRDefault="00EA16D7" w:rsidP="00EA16D7">
      <w:pPr>
        <w:pStyle w:val="Quote1"/>
      </w:pPr>
      <w:r>
        <w:t>(footnotes omitted)</w:t>
      </w:r>
    </w:p>
    <w:p w14:paraId="1359D4AD" w14:textId="705B5CF3" w:rsidR="00EA16D7" w:rsidRPr="00CB07C3" w:rsidRDefault="00EA16D7" w:rsidP="007834FF">
      <w:pPr>
        <w:pStyle w:val="ParaNumbering"/>
      </w:pPr>
      <w:r w:rsidRPr="00CB07C3">
        <w:t>The same principles inform the i</w:t>
      </w:r>
      <w:r w:rsidR="00D62988" w:rsidRPr="00CB07C3">
        <w:t>ntent behind the enactment of s 366 of the FW </w:t>
      </w:r>
      <w:r w:rsidRPr="00CB07C3">
        <w:t>Act</w:t>
      </w:r>
      <w:r w:rsidR="001B0289" w:rsidRPr="00CB07C3">
        <w:t xml:space="preserve"> as it applies to an administrative </w:t>
      </w:r>
      <w:r w:rsidR="00653AAD" w:rsidRPr="00CB07C3">
        <w:t>t</w:t>
      </w:r>
      <w:r w:rsidR="001B0289" w:rsidRPr="00CB07C3">
        <w:t>ribunal</w:t>
      </w:r>
      <w:r w:rsidRPr="00CB07C3">
        <w:t xml:space="preserve">.  </w:t>
      </w:r>
      <w:r w:rsidR="00534B91" w:rsidRPr="00CB07C3">
        <w:t>The provision</w:t>
      </w:r>
      <w:r w:rsidRPr="00CB07C3">
        <w:t xml:space="preserve"> is to be construed </w:t>
      </w:r>
      <w:r w:rsidR="00137740" w:rsidRPr="00CB07C3">
        <w:t>so as to give it meaningful work to do</w:t>
      </w:r>
      <w:r w:rsidR="00534B91" w:rsidRPr="00CB07C3">
        <w:t>, and in</w:t>
      </w:r>
      <w:r w:rsidR="00137740" w:rsidRPr="00CB07C3">
        <w:t xml:space="preserve"> a manner </w:t>
      </w:r>
      <w:r w:rsidR="00FF7404" w:rsidRPr="00CB07C3">
        <w:t>that best promotes its purpose:  </w:t>
      </w:r>
      <w:r w:rsidR="007138E1" w:rsidRPr="00CB07C3">
        <w:rPr>
          <w:i/>
        </w:rPr>
        <w:t>Acts Interpretation Act 1901</w:t>
      </w:r>
      <w:r w:rsidR="007138E1" w:rsidRPr="00CB07C3">
        <w:t xml:space="preserve"> (</w:t>
      </w:r>
      <w:proofErr w:type="spellStart"/>
      <w:r w:rsidR="007138E1" w:rsidRPr="00CB07C3">
        <w:t>Cth</w:t>
      </w:r>
      <w:proofErr w:type="spellEnd"/>
      <w:r w:rsidR="007138E1" w:rsidRPr="00CB07C3">
        <w:t>)</w:t>
      </w:r>
      <w:r w:rsidR="00FF7404" w:rsidRPr="00CB07C3">
        <w:t>, s </w:t>
      </w:r>
      <w:r w:rsidR="00137740" w:rsidRPr="00CB07C3">
        <w:t>15AA</w:t>
      </w:r>
      <w:r w:rsidR="00653AAD" w:rsidRPr="00CB07C3">
        <w:t xml:space="preserve"> (as in force on 25 June 2009:</w:t>
      </w:r>
      <w:r w:rsidR="00712E6F" w:rsidRPr="00CB07C3">
        <w:t>  </w:t>
      </w:r>
      <w:r w:rsidR="00653AAD" w:rsidRPr="00CB07C3">
        <w:t>see s</w:t>
      </w:r>
      <w:r w:rsidR="00712E6F" w:rsidRPr="00CB07C3">
        <w:t> </w:t>
      </w:r>
      <w:r w:rsidR="00653AAD" w:rsidRPr="00CB07C3">
        <w:t>40A of the FW</w:t>
      </w:r>
      <w:r w:rsidR="00712E6F" w:rsidRPr="00CB07C3">
        <w:t> </w:t>
      </w:r>
      <w:r w:rsidR="00653AAD" w:rsidRPr="00CB07C3">
        <w:t>Act)</w:t>
      </w:r>
      <w:r w:rsidR="00137740" w:rsidRPr="00CB07C3">
        <w:t xml:space="preserve">. </w:t>
      </w:r>
      <w:r w:rsidR="00366C21" w:rsidRPr="00CB07C3">
        <w:t xml:space="preserve"> </w:t>
      </w:r>
      <w:r w:rsidR="00BA2220" w:rsidRPr="00CB07C3">
        <w:t>Th</w:t>
      </w:r>
      <w:r w:rsidR="00D62988" w:rsidRPr="00CB07C3">
        <w:t>e mandatory considerations in s </w:t>
      </w:r>
      <w:r w:rsidR="00BA2220" w:rsidRPr="00CB07C3">
        <w:t>366(2) are to be understood as giving effect to that purpose by precluding all delayed applications except in cases where the FWC is satisfied that there are except</w:t>
      </w:r>
      <w:r w:rsidR="00943D5D" w:rsidRPr="00CB07C3">
        <w:t>ional circumstances.</w:t>
      </w:r>
    </w:p>
    <w:p w14:paraId="7211C599" w14:textId="22C4E4F3" w:rsidR="00BA2220" w:rsidRPr="00CB07C3" w:rsidRDefault="00EA16D7" w:rsidP="00132654">
      <w:pPr>
        <w:pStyle w:val="ParaNumbering"/>
      </w:pPr>
      <w:r w:rsidRPr="00CB07C3">
        <w:t xml:space="preserve">The </w:t>
      </w:r>
      <w:r w:rsidR="001B0289" w:rsidRPr="00CB07C3">
        <w:t xml:space="preserve">second </w:t>
      </w:r>
      <w:r w:rsidRPr="00CB07C3">
        <w:t>observa</w:t>
      </w:r>
      <w:r w:rsidR="00FF7404" w:rsidRPr="00CB07C3">
        <w:t>tion that may be made is that s </w:t>
      </w:r>
      <w:r w:rsidRPr="00CB07C3">
        <w:t xml:space="preserve">365 contains two criteria conditioning a person’s entitlement to make an application.  The first </w:t>
      </w:r>
      <w:r w:rsidR="00137740" w:rsidRPr="00CB07C3">
        <w:t xml:space="preserve">criterion </w:t>
      </w:r>
      <w:r w:rsidRPr="00CB07C3">
        <w:t xml:space="preserve">is expressed in objective terms: </w:t>
      </w:r>
      <w:r w:rsidRPr="00CB07C3">
        <w:rPr>
          <w:i/>
        </w:rPr>
        <w:t>the person has been dismissed</w:t>
      </w:r>
      <w:r w:rsidRPr="00CB07C3">
        <w:t>.  The second</w:t>
      </w:r>
      <w:r w:rsidR="00534B91" w:rsidRPr="00CB07C3">
        <w:t xml:space="preserve"> criterion </w:t>
      </w:r>
      <w:r w:rsidRPr="00CB07C3">
        <w:t xml:space="preserve">is also expressed in objective terms, albeit by reference to </w:t>
      </w:r>
      <w:r w:rsidR="00534B91" w:rsidRPr="00CB07C3">
        <w:t xml:space="preserve">the </w:t>
      </w:r>
      <w:r w:rsidRPr="00CB07C3">
        <w:t xml:space="preserve">fact </w:t>
      </w:r>
      <w:r w:rsidR="00534B91" w:rsidRPr="00CB07C3">
        <w:t>that</w:t>
      </w:r>
      <w:r w:rsidRPr="00CB07C3">
        <w:t xml:space="preserve"> an </w:t>
      </w:r>
      <w:r w:rsidRPr="00CB07C3">
        <w:rPr>
          <w:i/>
        </w:rPr>
        <w:t>allegation</w:t>
      </w:r>
      <w:r w:rsidRPr="00CB07C3">
        <w:t xml:space="preserve"> has been made that </w:t>
      </w:r>
      <w:r w:rsidR="00534B91" w:rsidRPr="00CB07C3">
        <w:t>“</w:t>
      </w:r>
      <w:r w:rsidRPr="00CB07C3">
        <w:t>the dismissal</w:t>
      </w:r>
      <w:r w:rsidR="00534B91" w:rsidRPr="00CB07C3">
        <w:t>”</w:t>
      </w:r>
      <w:r w:rsidRPr="00CB07C3">
        <w:t xml:space="preserve"> was in contraven</w:t>
      </w:r>
      <w:r w:rsidR="00D62988" w:rsidRPr="00CB07C3">
        <w:t>tion of a provision of Pt </w:t>
      </w:r>
      <w:r w:rsidR="00FF7404" w:rsidRPr="00CB07C3">
        <w:t>3-1.</w:t>
      </w:r>
      <w:r w:rsidR="001B0289" w:rsidRPr="00CB07C3">
        <w:t xml:space="preserve">  </w:t>
      </w:r>
      <w:r w:rsidRPr="00CB07C3">
        <w:t>The word “alleges” i</w:t>
      </w:r>
      <w:r w:rsidR="00FF7404" w:rsidRPr="00CB07C3">
        <w:t>s found in the criteri</w:t>
      </w:r>
      <w:r w:rsidR="00653AAD" w:rsidRPr="00CB07C3">
        <w:t>on</w:t>
      </w:r>
      <w:r w:rsidR="00FF7404" w:rsidRPr="00CB07C3">
        <w:t xml:space="preserve"> in s </w:t>
      </w:r>
      <w:r w:rsidRPr="00CB07C3">
        <w:t xml:space="preserve">365(1)(b), </w:t>
      </w:r>
      <w:r w:rsidR="00FF7404" w:rsidRPr="00CB07C3">
        <w:t>but not in the criteri</w:t>
      </w:r>
      <w:r w:rsidR="00653AAD" w:rsidRPr="00CB07C3">
        <w:t>on</w:t>
      </w:r>
      <w:r w:rsidR="00FF7404" w:rsidRPr="00CB07C3">
        <w:t xml:space="preserve"> in s </w:t>
      </w:r>
      <w:r w:rsidRPr="00CB07C3">
        <w:t>365(1)(a).</w:t>
      </w:r>
      <w:r w:rsidR="00BA2220" w:rsidRPr="00CB07C3">
        <w:t xml:space="preserve">  In its ordin</w:t>
      </w:r>
      <w:r w:rsidR="00D62988" w:rsidRPr="00CB07C3">
        <w:t>ary meaning, the criterion in s </w:t>
      </w:r>
      <w:r w:rsidR="00BA2220" w:rsidRPr="00CB07C3">
        <w:t xml:space="preserve">365(1)(a) will be fulfilled if there has been a dismissal </w:t>
      </w:r>
      <w:r w:rsidRPr="00CB07C3">
        <w:rPr>
          <w:i/>
        </w:rPr>
        <w:t>in fact</w:t>
      </w:r>
      <w:r w:rsidR="00BA2220" w:rsidRPr="00CB07C3">
        <w:t xml:space="preserve">.  It will not be fulfilled merely because </w:t>
      </w:r>
      <w:r w:rsidR="00653AAD" w:rsidRPr="00CB07C3">
        <w:t xml:space="preserve">an </w:t>
      </w:r>
      <w:r w:rsidR="00BA2220" w:rsidRPr="00CB07C3">
        <w:t xml:space="preserve">applicant asserts that he or she has been dismissed. </w:t>
      </w:r>
      <w:r w:rsidRPr="00CB07C3">
        <w:t xml:space="preserve"> </w:t>
      </w:r>
      <w:r w:rsidR="00BA2220" w:rsidRPr="00CB07C3">
        <w:t>The words “the dismissal” to which subs (b) refers is clearly a reference back to subs (a) and so refers to “the dismissal” that has occurred</w:t>
      </w:r>
      <w:r w:rsidR="00BA2220" w:rsidRPr="00CB07C3">
        <w:rPr>
          <w:i/>
        </w:rPr>
        <w:t xml:space="preserve"> in fact</w:t>
      </w:r>
      <w:r w:rsidR="00BA2220" w:rsidRPr="00CB07C3">
        <w:t>.</w:t>
      </w:r>
    </w:p>
    <w:p w14:paraId="0423D3FC" w14:textId="7C09B8F4" w:rsidR="00BA2220" w:rsidRDefault="00BA2220" w:rsidP="00534B91">
      <w:pPr>
        <w:pStyle w:val="ParaNumbering"/>
      </w:pPr>
      <w:r>
        <w:t>That construction accords with the nature of the</w:t>
      </w:r>
      <w:r w:rsidR="00D62988">
        <w:t xml:space="preserve"> prohibitions with which </w:t>
      </w:r>
      <w:proofErr w:type="spellStart"/>
      <w:r w:rsidR="00D62988">
        <w:t>Subdiv</w:t>
      </w:r>
      <w:proofErr w:type="spellEnd"/>
      <w:r w:rsidR="00D62988">
        <w:t> </w:t>
      </w:r>
      <w:r>
        <w:t>A</w:t>
      </w:r>
      <w:r w:rsidR="00943D5D">
        <w:t xml:space="preserve"> of </w:t>
      </w:r>
      <w:proofErr w:type="spellStart"/>
      <w:r w:rsidR="00943D5D">
        <w:t>Div</w:t>
      </w:r>
      <w:proofErr w:type="spellEnd"/>
      <w:r w:rsidR="00943D5D">
        <w:t> </w:t>
      </w:r>
      <w:r w:rsidR="00653AAD">
        <w:t>8 of Pt</w:t>
      </w:r>
      <w:r w:rsidR="00712E6F">
        <w:t> </w:t>
      </w:r>
      <w:r w:rsidR="00653AAD">
        <w:t>3-1</w:t>
      </w:r>
      <w:r>
        <w:t xml:space="preserve"> is concerned: </w:t>
      </w:r>
      <w:r w:rsidR="00366C21">
        <w:t xml:space="preserve"> </w:t>
      </w:r>
      <w:r>
        <w:t>it is</w:t>
      </w:r>
      <w:r w:rsidR="00AB7C3C">
        <w:t xml:space="preserve"> not a contravention </w:t>
      </w:r>
      <w:r w:rsidR="00943D5D">
        <w:t>of the FW </w:t>
      </w:r>
      <w:r w:rsidR="00653AAD">
        <w:t xml:space="preserve">Act </w:t>
      </w:r>
      <w:r w:rsidR="00AB7C3C">
        <w:t xml:space="preserve">to dismiss a person from his or her employment.  Rather, it is a contravention to (relevantly) dismiss a person </w:t>
      </w:r>
      <w:r w:rsidR="00AB7C3C" w:rsidRPr="00AB7C3C">
        <w:rPr>
          <w:i/>
        </w:rPr>
        <w:t>for a prohibited reason</w:t>
      </w:r>
      <w:r w:rsidR="00AB7C3C">
        <w:t>.</w:t>
      </w:r>
    </w:p>
    <w:p w14:paraId="39238F22" w14:textId="768FF62C" w:rsidR="00534B91" w:rsidRDefault="002E6E38" w:rsidP="00534B91">
      <w:pPr>
        <w:pStyle w:val="ParaNumbering"/>
      </w:pPr>
      <w:r>
        <w:t>Mr </w:t>
      </w:r>
      <w:r w:rsidR="00256A3F">
        <w:t xml:space="preserve">Milford’s claim </w:t>
      </w:r>
      <w:r w:rsidR="00D96D72">
        <w:t xml:space="preserve">is </w:t>
      </w:r>
      <w:r w:rsidR="00256A3F">
        <w:t xml:space="preserve">that </w:t>
      </w:r>
      <w:r w:rsidR="00534B91">
        <w:t>adverse action was taken against him because he had exercised a workplace right.  The right was sa</w:t>
      </w:r>
      <w:r>
        <w:t>id to have been exercised on 20 </w:t>
      </w:r>
      <w:r w:rsidR="00534B91">
        <w:t xml:space="preserve">July 2018 and so preceded a dismissal he alleged had occurred later that same day.  The Full Bench was correct to say that a finding that there was no dismissal necessarily entailed a rejection of his pleaded case because </w:t>
      </w:r>
      <w:r w:rsidR="00534B91">
        <w:lastRenderedPageBreak/>
        <w:t>he had</w:t>
      </w:r>
      <w:r w:rsidR="00D96D72">
        <w:t xml:space="preserve"> not</w:t>
      </w:r>
      <w:r w:rsidR="00534B91">
        <w:t xml:space="preserve"> exercised a workplace right.  So too would a finding that there had been a dismiss</w:t>
      </w:r>
      <w:r w:rsidR="00256A3F">
        <w:t xml:space="preserve">al at </w:t>
      </w:r>
      <w:r w:rsidR="001B0289">
        <w:t xml:space="preserve">a </w:t>
      </w:r>
      <w:r w:rsidR="00256A3F">
        <w:t xml:space="preserve">time </w:t>
      </w:r>
      <w:r w:rsidR="001B0289">
        <w:t xml:space="preserve">predating </w:t>
      </w:r>
      <w:r w:rsidR="00256A3F">
        <w:t>the exercise or purported exercise of the right.</w:t>
      </w:r>
    </w:p>
    <w:p w14:paraId="51E9E3FD" w14:textId="2E9F129C" w:rsidR="00AB7C3C" w:rsidRPr="00CB07C3" w:rsidRDefault="00AB7C3C" w:rsidP="007834FF">
      <w:pPr>
        <w:pStyle w:val="ParaNumbering"/>
      </w:pPr>
      <w:r w:rsidRPr="00CB07C3">
        <w:t>The wor</w:t>
      </w:r>
      <w:r w:rsidR="002E6E38" w:rsidRPr="00CB07C3">
        <w:t>d “alleges” is also absent in s </w:t>
      </w:r>
      <w:r w:rsidRPr="00CB07C3">
        <w:t xml:space="preserve">366(1)(a).  </w:t>
      </w:r>
      <w:r w:rsidR="00534B91" w:rsidRPr="00CB07C3">
        <w:t>In accordance with its ordinary meaning, t</w:t>
      </w:r>
      <w:r w:rsidRPr="00CB07C3">
        <w:t xml:space="preserve">he time to lodge the application runs from </w:t>
      </w:r>
      <w:r w:rsidRPr="00051B41">
        <w:t>the date the</w:t>
      </w:r>
      <w:r w:rsidR="00256A3F" w:rsidRPr="00051B41">
        <w:t xml:space="preserve"> dismissal takes effect </w:t>
      </w:r>
      <w:r w:rsidR="00256A3F" w:rsidRPr="00051B41">
        <w:rPr>
          <w:i/>
        </w:rPr>
        <w:t>in fact</w:t>
      </w:r>
      <w:r w:rsidRPr="00051B41">
        <w:t>.</w:t>
      </w:r>
      <w:r w:rsidR="00534B91" w:rsidRPr="00051B41">
        <w:t xml:space="preserve">  </w:t>
      </w:r>
      <w:r w:rsidR="002132B8" w:rsidRPr="00051B41">
        <w:t xml:space="preserve">The </w:t>
      </w:r>
      <w:r w:rsidR="00534B91" w:rsidRPr="00051B41">
        <w:t xml:space="preserve">Parliament might have easily </w:t>
      </w:r>
      <w:r w:rsidR="00653AAD" w:rsidRPr="00051B41">
        <w:t xml:space="preserve">prescribed </w:t>
      </w:r>
      <w:r w:rsidR="00534B91" w:rsidRPr="00051B41">
        <w:t xml:space="preserve">the time for commencing the application by reference to the date upon which an applicant alleged (whether honestly or not) the dismissal </w:t>
      </w:r>
      <w:r w:rsidR="00256A3F" w:rsidRPr="00051B41">
        <w:t>to have</w:t>
      </w:r>
      <w:r w:rsidR="00534B91" w:rsidRPr="00051B41">
        <w:t xml:space="preserve"> taken effect, but it </w:t>
      </w:r>
      <w:r w:rsidR="00256A3F" w:rsidRPr="00051B41">
        <w:t>has</w:t>
      </w:r>
      <w:r w:rsidR="00534B91" w:rsidRPr="00051B41">
        <w:t xml:space="preserve"> not </w:t>
      </w:r>
      <w:r w:rsidR="00256A3F" w:rsidRPr="00051B41">
        <w:t xml:space="preserve">done </w:t>
      </w:r>
      <w:r w:rsidR="00534B91" w:rsidRPr="00051B41">
        <w:t>so.</w:t>
      </w:r>
    </w:p>
    <w:p w14:paraId="23372E07" w14:textId="314FA979" w:rsidR="00AB7C3C" w:rsidRDefault="00EA16D7" w:rsidP="002E6E38">
      <w:pPr>
        <w:pStyle w:val="ParaNumbering"/>
        <w:keepNext/>
        <w:tabs>
          <w:tab w:val="clear" w:pos="720"/>
        </w:tabs>
      </w:pPr>
      <w:r>
        <w:t xml:space="preserve">The </w:t>
      </w:r>
      <w:r w:rsidR="001B0289">
        <w:t xml:space="preserve">third </w:t>
      </w:r>
      <w:r>
        <w:t>observation is that the power to allow more time to make an application presupposes that there has been a dismissal</w:t>
      </w:r>
      <w:r w:rsidR="00AB7C3C">
        <w:t xml:space="preserve"> in fact</w:t>
      </w:r>
      <w:r w:rsidR="00653AAD">
        <w:t xml:space="preserve"> and that the application was not lodged within 21</w:t>
      </w:r>
      <w:r w:rsidR="00712E6F">
        <w:t> </w:t>
      </w:r>
      <w:r w:rsidR="00653AAD">
        <w:t>days of its occurrence</w:t>
      </w:r>
      <w:r>
        <w:t xml:space="preserve">.  </w:t>
      </w:r>
      <w:r w:rsidR="00137740">
        <w:t>The fol</w:t>
      </w:r>
      <w:r w:rsidR="00AB7C3C">
        <w:t>lowing features make that plain:</w:t>
      </w:r>
    </w:p>
    <w:p w14:paraId="70036F05" w14:textId="34AE9F6A" w:rsidR="00AB7C3C" w:rsidRDefault="00AB7C3C" w:rsidP="00AB7C3C">
      <w:pPr>
        <w:pStyle w:val="ListNo1"/>
        <w:numPr>
          <w:ilvl w:val="0"/>
          <w:numId w:val="29"/>
        </w:numPr>
      </w:pPr>
      <w:r>
        <w:t>First, the requirement that the FWC take into account the reason for the delay necessarily comprehends that the length of the delay m</w:t>
      </w:r>
      <w:r w:rsidR="002E6E38">
        <w:t>ay be objectively ascertained.</w:t>
      </w:r>
    </w:p>
    <w:p w14:paraId="239AF19E" w14:textId="22561CEF" w:rsidR="00AB7C3C" w:rsidRDefault="00AB7C3C" w:rsidP="00D009BE">
      <w:pPr>
        <w:pStyle w:val="ListNo1"/>
        <w:numPr>
          <w:ilvl w:val="0"/>
          <w:numId w:val="29"/>
        </w:numPr>
      </w:pPr>
      <w:r>
        <w:t xml:space="preserve">Second, the requirement that </w:t>
      </w:r>
      <w:r w:rsidR="00D96D72">
        <w:t xml:space="preserve">the </w:t>
      </w:r>
      <w:r>
        <w:t>FWC take into account any action taken by the person to dispute the dismissal focuses attention on the steps taken</w:t>
      </w:r>
      <w:r w:rsidR="001B0289">
        <w:t xml:space="preserve"> (or not taken)</w:t>
      </w:r>
      <w:r>
        <w:t xml:space="preserve"> after the dismissal has occurred.  By its nature, that task requires the FWC to identify </w:t>
      </w:r>
      <w:r w:rsidR="001B0289">
        <w:t>the time from which steps ought to have been taken</w:t>
      </w:r>
      <w:r w:rsidR="00256A3F">
        <w:t>.</w:t>
      </w:r>
    </w:p>
    <w:p w14:paraId="3B8C8D2F" w14:textId="58255DDF" w:rsidR="00AB7C3C" w:rsidRDefault="00AB7C3C" w:rsidP="00D009BE">
      <w:pPr>
        <w:pStyle w:val="ListNo1"/>
        <w:numPr>
          <w:ilvl w:val="0"/>
          <w:numId w:val="29"/>
        </w:numPr>
      </w:pPr>
      <w:r>
        <w:t>Third, the requirement that the FWC have regard to any prejudice to the employer “including prejudice caused by the delay” also requires a finding to be made as to the length of the delay, being the delay between the dismissal taking effect and the expiration of the</w:t>
      </w:r>
      <w:r w:rsidR="002E6E38">
        <w:t xml:space="preserve"> usual 21</w:t>
      </w:r>
      <w:r w:rsidR="00712E6F">
        <w:t> </w:t>
      </w:r>
      <w:r w:rsidR="002E6E38">
        <w:t>day limitation period.</w:t>
      </w:r>
      <w:r w:rsidR="001B0289">
        <w:t xml:space="preserve">  To calculate the length of the delay from the date upon </w:t>
      </w:r>
      <w:r w:rsidR="00653AAD">
        <w:t xml:space="preserve">which a </w:t>
      </w:r>
      <w:r w:rsidR="001B0289">
        <w:t>dismissal is alleged would be to deny the actual length of the delay and hence disregard the consequent prejudice to the respondent.</w:t>
      </w:r>
    </w:p>
    <w:p w14:paraId="19670CD9" w14:textId="714B9D7E" w:rsidR="00653AAD" w:rsidRDefault="00653AAD" w:rsidP="00D009BE">
      <w:pPr>
        <w:pStyle w:val="ListNo1"/>
        <w:numPr>
          <w:ilvl w:val="0"/>
          <w:numId w:val="29"/>
        </w:numPr>
      </w:pPr>
      <w:r>
        <w:t xml:space="preserve">Fourth, the FWC must also consider the fairness of granting or refusing an extension </w:t>
      </w:r>
      <w:r w:rsidR="00712E6F">
        <w:t xml:space="preserve">of time </w:t>
      </w:r>
      <w:r>
        <w:t>as between the person and others in a like position.  That, too, is an objective enquiry.  A person is not “in a like position” just because he or she alleges that to be the case.</w:t>
      </w:r>
    </w:p>
    <w:p w14:paraId="212BE392" w14:textId="2C8F28D4" w:rsidR="003E2B5E" w:rsidRDefault="003E2B5E" w:rsidP="007834FF">
      <w:pPr>
        <w:pStyle w:val="ParaNumbering"/>
      </w:pPr>
      <w:r>
        <w:t xml:space="preserve">As discussed later in these reasons, there may be cases where the FWC may avoid drawing a conclusion as to whether or not an employment relationship has ended </w:t>
      </w:r>
      <w:r w:rsidR="00132654">
        <w:t>in circumstances that amount to a dismissal</w:t>
      </w:r>
      <w:r>
        <w:t xml:space="preserve">, and </w:t>
      </w:r>
      <w:r w:rsidR="00132654">
        <w:t>proceed to</w:t>
      </w:r>
      <w:r>
        <w:t xml:space="preserve"> determine an application for an extension of time on the assumption that it has</w:t>
      </w:r>
      <w:r w:rsidR="00132654">
        <w:t xml:space="preserve"> so ended</w:t>
      </w:r>
      <w:r>
        <w:t xml:space="preserve">.  But on an application for an extension of time, </w:t>
      </w:r>
      <w:r w:rsidR="00132654">
        <w:t xml:space="preserve">ascertainment </w:t>
      </w:r>
      <w:r w:rsidR="00132654">
        <w:lastRenderedPageBreak/>
        <w:t>of the</w:t>
      </w:r>
      <w:r>
        <w:t xml:space="preserve"> length of the delay between the date that the relationship ended and the expiration of the statutory time limit must be identified.</w:t>
      </w:r>
    </w:p>
    <w:p w14:paraId="71505FE3" w14:textId="0B1E0750" w:rsidR="00137740" w:rsidRPr="00CB07C3" w:rsidRDefault="00AB7C3C" w:rsidP="007834FF">
      <w:pPr>
        <w:pStyle w:val="ParaNumbering"/>
      </w:pPr>
      <w:r w:rsidRPr="00CB07C3">
        <w:t xml:space="preserve">The </w:t>
      </w:r>
      <w:r w:rsidR="00DD5556" w:rsidRPr="00CB07C3">
        <w:t>requirement that the FWC take account of “the merits of the application”</w:t>
      </w:r>
      <w:r w:rsidR="00D62988" w:rsidRPr="00CB07C3">
        <w:t xml:space="preserve"> under s </w:t>
      </w:r>
      <w:r w:rsidR="00256A3F" w:rsidRPr="00CB07C3">
        <w:t>366(2)(d)</w:t>
      </w:r>
      <w:r w:rsidR="00DD5556" w:rsidRPr="00CB07C3">
        <w:t xml:space="preserve">  </w:t>
      </w:r>
      <w:r w:rsidR="00084085" w:rsidRPr="00CB07C3">
        <w:t>requires some assessment to be made of the parties’ respect</w:t>
      </w:r>
      <w:r w:rsidR="004F3BBA" w:rsidRPr="00CB07C3">
        <w:t>ive</w:t>
      </w:r>
      <w:r w:rsidR="00084085" w:rsidRPr="00CB07C3">
        <w:t xml:space="preserve"> positions in </w:t>
      </w:r>
      <w:r w:rsidR="00DD5556" w:rsidRPr="00CB07C3">
        <w:t>the</w:t>
      </w:r>
      <w:r w:rsidR="00653AAD" w:rsidRPr="00CB07C3">
        <w:t xml:space="preserve"> </w:t>
      </w:r>
      <w:r w:rsidR="00653AAD" w:rsidRPr="00CB07C3">
        <w:rPr>
          <w:i/>
        </w:rPr>
        <w:t>particular</w:t>
      </w:r>
      <w:r w:rsidR="00DD5556" w:rsidRPr="00CB07C3">
        <w:t xml:space="preserve"> disput</w:t>
      </w:r>
      <w:r w:rsidR="00256A3F" w:rsidRPr="00CB07C3">
        <w:t xml:space="preserve">e </w:t>
      </w:r>
      <w:r w:rsidR="00653AAD" w:rsidRPr="00CB07C3">
        <w:t>that is to be the</w:t>
      </w:r>
      <w:r w:rsidR="00256A3F" w:rsidRPr="00CB07C3">
        <w:t xml:space="preserve"> </w:t>
      </w:r>
      <w:r w:rsidR="00DD5556" w:rsidRPr="00CB07C3">
        <w:t>subject matter of the FW</w:t>
      </w:r>
      <w:r w:rsidR="002E6E38" w:rsidRPr="00CB07C3">
        <w:t>C’s conciliation powers under s </w:t>
      </w:r>
      <w:r w:rsidR="00DD5556" w:rsidRPr="00CB07C3">
        <w:t>368</w:t>
      </w:r>
      <w:r w:rsidR="002E6E38" w:rsidRPr="00CB07C3">
        <w:t xml:space="preserve"> of the FW </w:t>
      </w:r>
      <w:r w:rsidR="00DD5556" w:rsidRPr="00CB07C3">
        <w:t>Act</w:t>
      </w:r>
      <w:r w:rsidR="00653AAD" w:rsidRPr="00CB07C3">
        <w:t>, should an extension of time be granted</w:t>
      </w:r>
      <w:r w:rsidR="00DD5556" w:rsidRPr="00CB07C3">
        <w:t xml:space="preserve">.  </w:t>
      </w:r>
      <w:r w:rsidR="00712E6F" w:rsidRPr="00CB07C3">
        <w:t xml:space="preserve">We </w:t>
      </w:r>
      <w:r w:rsidR="00DD5556" w:rsidRPr="00CB07C3">
        <w:t>will return to</w:t>
      </w:r>
      <w:r w:rsidR="002E6E38" w:rsidRPr="00CB07C3">
        <w:t xml:space="preserve"> that question in due course.</w:t>
      </w:r>
    </w:p>
    <w:p w14:paraId="6947D25E" w14:textId="070F4495" w:rsidR="00EA16D7" w:rsidRPr="00CB07C3" w:rsidRDefault="00DD5556" w:rsidP="007834FF">
      <w:pPr>
        <w:pStyle w:val="ParaNumbering"/>
      </w:pPr>
      <w:r w:rsidRPr="00CB07C3">
        <w:t>Construed in accordance</w:t>
      </w:r>
      <w:r w:rsidR="002E6E38" w:rsidRPr="00CB07C3">
        <w:t xml:space="preserve"> with their ordinary meaning, </w:t>
      </w:r>
      <w:r w:rsidR="00A9148E" w:rsidRPr="00CB07C3">
        <w:t>s</w:t>
      </w:r>
      <w:r w:rsidR="002E6E38" w:rsidRPr="00CB07C3">
        <w:t> </w:t>
      </w:r>
      <w:r w:rsidRPr="00CB07C3">
        <w:t>365</w:t>
      </w:r>
      <w:r w:rsidR="002E6E38" w:rsidRPr="00CB07C3">
        <w:t xml:space="preserve"> and </w:t>
      </w:r>
      <w:r w:rsidR="006842DA" w:rsidRPr="00CB07C3">
        <w:t>s </w:t>
      </w:r>
      <w:r w:rsidRPr="00CB07C3">
        <w:t xml:space="preserve">366 of the </w:t>
      </w:r>
      <w:r w:rsidR="00366C21" w:rsidRPr="00CB07C3">
        <w:t>FW </w:t>
      </w:r>
      <w:r w:rsidRPr="00CB07C3">
        <w:t>Act together promote the purpose of ameliorating the adverse effects of delay on the quality of justice</w:t>
      </w:r>
      <w:r w:rsidR="00256A3F" w:rsidRPr="00CB07C3">
        <w:t xml:space="preserve"> as identified by McHugh</w:t>
      </w:r>
      <w:r w:rsidR="00D62988" w:rsidRPr="00CB07C3">
        <w:t> </w:t>
      </w:r>
      <w:r w:rsidR="00256A3F" w:rsidRPr="00CB07C3">
        <w:t xml:space="preserve">J in </w:t>
      </w:r>
      <w:r w:rsidR="00256A3F" w:rsidRPr="00CB07C3">
        <w:rPr>
          <w:i/>
        </w:rPr>
        <w:t>Brisbane South</w:t>
      </w:r>
      <w:r w:rsidRPr="00CB07C3">
        <w:t>.  To construe the provisions in a way that would deny</w:t>
      </w:r>
      <w:r w:rsidR="00256A3F" w:rsidRPr="00CB07C3">
        <w:t xml:space="preserve"> or ignore</w:t>
      </w:r>
      <w:r w:rsidRPr="00CB07C3">
        <w:t xml:space="preserve"> the </w:t>
      </w:r>
      <w:r w:rsidR="00256A3F" w:rsidRPr="00CB07C3">
        <w:t xml:space="preserve">existence of </w:t>
      </w:r>
      <w:r w:rsidR="00256A3F" w:rsidRPr="00CB07C3">
        <w:rPr>
          <w:i/>
        </w:rPr>
        <w:t>actual</w:t>
      </w:r>
      <w:r w:rsidR="00256A3F" w:rsidRPr="00CB07C3">
        <w:t xml:space="preserve"> </w:t>
      </w:r>
      <w:r w:rsidRPr="00CB07C3">
        <w:t>delay would be to frustrate that purpose.</w:t>
      </w:r>
    </w:p>
    <w:p w14:paraId="3A7EAA9D" w14:textId="3DC999DB" w:rsidR="006611C6" w:rsidRPr="00CB07C3" w:rsidRDefault="00D62988" w:rsidP="007834FF">
      <w:pPr>
        <w:pStyle w:val="ParaNumbering"/>
      </w:pPr>
      <w:r w:rsidRPr="00CB07C3">
        <w:t>Counsel for Mr </w:t>
      </w:r>
      <w:r w:rsidR="00256A3F" w:rsidRPr="00CB07C3">
        <w:t>Milford</w:t>
      </w:r>
      <w:r w:rsidR="00DD5556" w:rsidRPr="00CB07C3">
        <w:t xml:space="preserve"> properly acknowledged that</w:t>
      </w:r>
      <w:r w:rsidR="00653AAD" w:rsidRPr="00CB07C3">
        <w:t xml:space="preserve"> the</w:t>
      </w:r>
      <w:r w:rsidR="002E6E38" w:rsidRPr="00CB07C3">
        <w:t xml:space="preserve"> Parliament had not expressed s </w:t>
      </w:r>
      <w:r w:rsidR="00DD5556" w:rsidRPr="00CB07C3">
        <w:t>365 in terms that conditioned a person’s entitlement to apply on the circumstance that</w:t>
      </w:r>
      <w:r w:rsidR="006611C6" w:rsidRPr="00CB07C3">
        <w:t xml:space="preserve"> the person</w:t>
      </w:r>
      <w:r w:rsidR="00DD5556" w:rsidRPr="00CB07C3">
        <w:t xml:space="preserve"> had </w:t>
      </w:r>
      <w:r w:rsidR="00DD5556" w:rsidRPr="00CB07C3">
        <w:rPr>
          <w:i/>
        </w:rPr>
        <w:t>alleged</w:t>
      </w:r>
      <w:r w:rsidR="00DD5556" w:rsidRPr="00CB07C3">
        <w:t xml:space="preserve"> that he or she had been dismissed in contravention of Pt</w:t>
      </w:r>
      <w:r w:rsidR="00712E6F" w:rsidRPr="00CB07C3">
        <w:t> </w:t>
      </w:r>
      <w:r w:rsidR="00DD5556" w:rsidRPr="00CB07C3">
        <w:t>3-1 of the FW</w:t>
      </w:r>
      <w:r w:rsidR="002E6E38" w:rsidRPr="00CB07C3">
        <w:t> </w:t>
      </w:r>
      <w:r w:rsidR="00DD5556" w:rsidRPr="00CB07C3">
        <w:t xml:space="preserve">Act.  The </w:t>
      </w:r>
      <w:r w:rsidR="00256A3F" w:rsidRPr="00CB07C3">
        <w:t xml:space="preserve">thrust of the </w:t>
      </w:r>
      <w:r w:rsidR="00DD5556" w:rsidRPr="00CB07C3">
        <w:t xml:space="preserve">submissions </w:t>
      </w:r>
      <w:r w:rsidR="00366C21" w:rsidRPr="00CB07C3">
        <w:t>w</w:t>
      </w:r>
      <w:r w:rsidR="00256A3F" w:rsidRPr="00CB07C3">
        <w:t>as that</w:t>
      </w:r>
      <w:r w:rsidR="00DD5556" w:rsidRPr="00CB07C3">
        <w:t xml:space="preserve"> </w:t>
      </w:r>
      <w:r w:rsidR="00256A3F" w:rsidRPr="00CB07C3">
        <w:t>the ordinary text of the provision should give way to a different meaning, to be discerned</w:t>
      </w:r>
      <w:r w:rsidR="002E6E38" w:rsidRPr="00CB07C3">
        <w:t xml:space="preserve"> from the FW </w:t>
      </w:r>
      <w:r w:rsidR="00DD5556" w:rsidRPr="00CB07C3">
        <w:t>Act as a whole.</w:t>
      </w:r>
    </w:p>
    <w:p w14:paraId="0A2E1CD6" w14:textId="09EA4E7F" w:rsidR="00C4672E" w:rsidRPr="00CB07C3" w:rsidRDefault="007B0BC4" w:rsidP="007834FF">
      <w:pPr>
        <w:pStyle w:val="ParaNumbering"/>
      </w:pPr>
      <w:r w:rsidRPr="00CB07C3">
        <w:t xml:space="preserve">Subject to what follows, </w:t>
      </w:r>
      <w:r w:rsidR="002E6E38" w:rsidRPr="00CB07C3">
        <w:t>Mr </w:t>
      </w:r>
      <w:r w:rsidR="006611C6" w:rsidRPr="00CB07C3">
        <w:t xml:space="preserve">Milford is correct in his submissions that the power of the FWC to </w:t>
      </w:r>
      <w:r w:rsidR="002E6E38" w:rsidRPr="00CB07C3">
        <w:t>“deal with the dispute” under s </w:t>
      </w:r>
      <w:r w:rsidR="006611C6" w:rsidRPr="00CB07C3">
        <w:t>368</w:t>
      </w:r>
      <w:r w:rsidR="002E6E38" w:rsidRPr="00CB07C3">
        <w:t xml:space="preserve"> of the FW </w:t>
      </w:r>
      <w:r w:rsidR="006611C6" w:rsidRPr="00CB07C3">
        <w:t xml:space="preserve">Act </w:t>
      </w:r>
      <w:r w:rsidR="00256A3F" w:rsidRPr="00CB07C3">
        <w:t>is</w:t>
      </w:r>
      <w:r w:rsidR="006611C6" w:rsidRPr="00CB07C3">
        <w:t xml:space="preserve"> limited to conciliating </w:t>
      </w:r>
      <w:r w:rsidR="00BB460D" w:rsidRPr="00CB07C3">
        <w:t>“</w:t>
      </w:r>
      <w:r w:rsidR="006611C6" w:rsidRPr="00CB07C3">
        <w:t>the dispute</w:t>
      </w:r>
      <w:r w:rsidR="00BB460D" w:rsidRPr="00CB07C3">
        <w:t>”</w:t>
      </w:r>
      <w:r w:rsidR="001B0289" w:rsidRPr="00CB07C3">
        <w:t>, to expressing an opinion in accordance with s 592 of the FW Act</w:t>
      </w:r>
      <w:r w:rsidR="00256A3F" w:rsidRPr="00CB07C3">
        <w:t xml:space="preserve"> and (</w:t>
      </w:r>
      <w:r w:rsidR="006611C6" w:rsidRPr="00CB07C3">
        <w:t>if the matter can</w:t>
      </w:r>
      <w:r w:rsidR="00256A3F" w:rsidRPr="00CB07C3">
        <w:t>not be resolved by conciliation)</w:t>
      </w:r>
      <w:r w:rsidR="006611C6" w:rsidRPr="00CB07C3">
        <w:t xml:space="preserve"> </w:t>
      </w:r>
      <w:r w:rsidR="001B0289" w:rsidRPr="00CB07C3">
        <w:t>to issuing</w:t>
      </w:r>
      <w:r w:rsidR="006611C6" w:rsidRPr="00CB07C3">
        <w:t xml:space="preserve"> a certifica</w:t>
      </w:r>
      <w:r w:rsidR="002E6E38" w:rsidRPr="00CB07C3">
        <w:t>te to that effect under s </w:t>
      </w:r>
      <w:r w:rsidR="006611C6" w:rsidRPr="00CB07C3">
        <w:t xml:space="preserve">368(3).  However, </w:t>
      </w:r>
      <w:r w:rsidR="00256A3F" w:rsidRPr="00CB07C3">
        <w:t>those</w:t>
      </w:r>
      <w:r w:rsidR="006611C6" w:rsidRPr="00CB07C3">
        <w:t xml:space="preserve"> non-determinative </w:t>
      </w:r>
      <w:r w:rsidR="00256A3F" w:rsidRPr="00CB07C3">
        <w:t>functions</w:t>
      </w:r>
      <w:r w:rsidR="006611C6" w:rsidRPr="00CB07C3">
        <w:t xml:space="preserve"> are only enlivened in the even</w:t>
      </w:r>
      <w:r w:rsidR="00256A3F" w:rsidRPr="00CB07C3">
        <w:t>t</w:t>
      </w:r>
      <w:r w:rsidR="006611C6" w:rsidRPr="00CB07C3">
        <w:t xml:space="preserve"> that </w:t>
      </w:r>
      <w:r w:rsidR="002E6E38" w:rsidRPr="00CB07C3">
        <w:t>an “application is made under s </w:t>
      </w:r>
      <w:r w:rsidR="006611C6" w:rsidRPr="00CB07C3">
        <w:t>365”</w:t>
      </w:r>
      <w:r w:rsidR="00C4672E" w:rsidRPr="00CB07C3">
        <w:t>, and they only apply to “the dispute”.</w:t>
      </w:r>
      <w:r w:rsidR="006611C6" w:rsidRPr="00CB07C3">
        <w:t xml:space="preserve">  </w:t>
      </w:r>
      <w:r w:rsidR="00C4672E" w:rsidRPr="00CB07C3">
        <w:t>What, then is the d</w:t>
      </w:r>
      <w:r w:rsidR="00943D5D" w:rsidRPr="00CB07C3">
        <w:t>ispute to be dealt with under s </w:t>
      </w:r>
      <w:r w:rsidR="00C4672E" w:rsidRPr="00CB07C3">
        <w:t>368?</w:t>
      </w:r>
    </w:p>
    <w:p w14:paraId="2DAD8957" w14:textId="2D409865" w:rsidR="00256A3F" w:rsidRPr="00CB07C3" w:rsidRDefault="00256A3F" w:rsidP="00653AAD">
      <w:pPr>
        <w:pStyle w:val="ParaNumbering"/>
      </w:pPr>
      <w:r w:rsidRPr="00CB07C3">
        <w:t xml:space="preserve">The </w:t>
      </w:r>
      <w:r w:rsidR="002E6E38" w:rsidRPr="00CB07C3">
        <w:t>answer is found in s </w:t>
      </w:r>
      <w:r w:rsidR="006611C6" w:rsidRPr="00CB07C3">
        <w:t>365</w:t>
      </w:r>
      <w:r w:rsidRPr="00CB07C3">
        <w:t xml:space="preserve"> </w:t>
      </w:r>
      <w:r w:rsidR="00D62988" w:rsidRPr="00CB07C3">
        <w:t>and in the opening words to s </w:t>
      </w:r>
      <w:r w:rsidRPr="00CB07C3">
        <w:t>368</w:t>
      </w:r>
      <w:r w:rsidR="00C4672E" w:rsidRPr="00CB07C3">
        <w:t xml:space="preserve"> itself</w:t>
      </w:r>
      <w:r w:rsidRPr="00CB07C3">
        <w:t>.</w:t>
      </w:r>
      <w:r w:rsidR="002E6E38" w:rsidRPr="00CB07C3">
        <w:t xml:space="preserve">  </w:t>
      </w:r>
      <w:r w:rsidR="00C4672E" w:rsidRPr="00CB07C3">
        <w:t xml:space="preserve">As observed earlier, when s 368 refers to an “application” made under s 365, it refers to an application validly made by a person entitled to make it. </w:t>
      </w:r>
      <w:r w:rsidR="00943D5D" w:rsidRPr="00CB07C3">
        <w:t xml:space="preserve"> </w:t>
      </w:r>
      <w:r w:rsidR="00C4672E" w:rsidRPr="00CB07C3">
        <w:t>The</w:t>
      </w:r>
      <w:r w:rsidR="002E6E38" w:rsidRPr="00CB07C3">
        <w:t xml:space="preserve"> text and structure of s </w:t>
      </w:r>
      <w:r w:rsidR="006611C6" w:rsidRPr="00CB07C3">
        <w:t xml:space="preserve">365 is such that there has been a dismissal </w:t>
      </w:r>
      <w:r w:rsidR="006611C6" w:rsidRPr="00CB07C3">
        <w:rPr>
          <w:i/>
        </w:rPr>
        <w:t>in fact</w:t>
      </w:r>
      <w:r w:rsidR="006611C6" w:rsidRPr="00CB07C3">
        <w:t xml:space="preserve"> and that there is an allegation that the </w:t>
      </w:r>
      <w:r w:rsidR="00BB460D" w:rsidRPr="00CB07C3">
        <w:t>dismissal</w:t>
      </w:r>
      <w:r w:rsidR="002E6E38" w:rsidRPr="00CB07C3">
        <w:t xml:space="preserve"> was for a prohibited reason.  </w:t>
      </w:r>
      <w:r w:rsidR="001964EE" w:rsidRPr="00CB07C3">
        <w:t>Construed in the context of s </w:t>
      </w:r>
      <w:r w:rsidR="00C4672E" w:rsidRPr="00CB07C3">
        <w:t>365,</w:t>
      </w:r>
      <w:r w:rsidRPr="00CB07C3">
        <w:t xml:space="preserve"> w</w:t>
      </w:r>
      <w:r w:rsidR="002E6E38" w:rsidRPr="00CB07C3">
        <w:t>hen s </w:t>
      </w:r>
      <w:r w:rsidR="00BB460D" w:rsidRPr="00CB07C3">
        <w:t xml:space="preserve">368 refers to “the dispute” </w:t>
      </w:r>
      <w:r w:rsidR="00CC29DF" w:rsidRPr="00CB07C3">
        <w:t xml:space="preserve">it </w:t>
      </w:r>
      <w:r w:rsidR="00BB460D" w:rsidRPr="00CB07C3">
        <w:t>must be taken to refer to the dispute</w:t>
      </w:r>
      <w:r w:rsidR="00C4672E" w:rsidRPr="00CB07C3">
        <w:t xml:space="preserve"> agitated by the</w:t>
      </w:r>
      <w:r w:rsidR="00BB460D" w:rsidRPr="00CB07C3">
        <w:t xml:space="preserve"> allegation: </w:t>
      </w:r>
      <w:r w:rsidR="00386683" w:rsidRPr="00CB07C3">
        <w:t xml:space="preserve"> </w:t>
      </w:r>
      <w:r w:rsidR="00BB460D" w:rsidRPr="00CB07C3">
        <w:t xml:space="preserve">that is, the allegation concerning the reason for the dismissal, and not </w:t>
      </w:r>
      <w:r w:rsidR="00C4672E" w:rsidRPr="00CB07C3">
        <w:t xml:space="preserve">an allegation of </w:t>
      </w:r>
      <w:r w:rsidR="00BB460D" w:rsidRPr="00CB07C3">
        <w:t>dismis</w:t>
      </w:r>
      <w:r w:rsidR="002E6E38" w:rsidRPr="00CB07C3">
        <w:t xml:space="preserve">sal </w:t>
      </w:r>
      <w:r w:rsidR="002E6E38" w:rsidRPr="00CB07C3">
        <w:rPr>
          <w:i/>
        </w:rPr>
        <w:t>per </w:t>
      </w:r>
      <w:r w:rsidR="00BB460D" w:rsidRPr="00CB07C3">
        <w:rPr>
          <w:i/>
        </w:rPr>
        <w:t>se</w:t>
      </w:r>
      <w:r w:rsidR="001964EE" w:rsidRPr="00CB07C3">
        <w:t>.  It does not assist Mr </w:t>
      </w:r>
      <w:r w:rsidR="00C4672E" w:rsidRPr="00CB07C3">
        <w:t>Milford</w:t>
      </w:r>
      <w:r w:rsidR="001964EE" w:rsidRPr="00CB07C3">
        <w:t xml:space="preserve"> to show that the power under s </w:t>
      </w:r>
      <w:r w:rsidR="00C4672E" w:rsidRPr="00CB07C3">
        <w:t xml:space="preserve">368 is non-determinative.  We are presently concerned with an antecedent question as to whether the non-determinative powers are enlivened at all. </w:t>
      </w:r>
      <w:r w:rsidR="001964EE" w:rsidRPr="00CB07C3">
        <w:t xml:space="preserve"> </w:t>
      </w:r>
      <w:r w:rsidR="006F2E41" w:rsidRPr="00CB07C3">
        <w:t xml:space="preserve">The “merits of the </w:t>
      </w:r>
      <w:r w:rsidR="006F2E41" w:rsidRPr="00CB07C3">
        <w:lastRenderedPageBreak/>
        <w:t>application” to which s</w:t>
      </w:r>
      <w:r w:rsidR="001964EE" w:rsidRPr="00CB07C3">
        <w:t> </w:t>
      </w:r>
      <w:r w:rsidR="006F2E41" w:rsidRPr="00CB07C3">
        <w:t xml:space="preserve">366(2)(d) refers is the merits of </w:t>
      </w:r>
      <w:r w:rsidR="001964EE" w:rsidRPr="00CB07C3">
        <w:t>the allegation referred to in s </w:t>
      </w:r>
      <w:r w:rsidR="006F2E41" w:rsidRPr="00CB07C3">
        <w:t>365(1)(a), that is, the allegation that the applicant was dismissed in contravention of (in this case) s</w:t>
      </w:r>
      <w:r w:rsidR="001964EE" w:rsidRPr="00CB07C3">
        <w:t> </w:t>
      </w:r>
      <w:r w:rsidR="006F2E41" w:rsidRPr="00CB07C3">
        <w:t xml:space="preserve">340(1).  </w:t>
      </w:r>
      <w:r w:rsidR="001964EE" w:rsidRPr="00CB07C3">
        <w:t xml:space="preserve">That is a criterion that is usually considered in applications to extend time:  </w:t>
      </w:r>
      <w:proofErr w:type="spellStart"/>
      <w:r w:rsidR="001964EE" w:rsidRPr="00CB07C3">
        <w:t>cf</w:t>
      </w:r>
      <w:proofErr w:type="spellEnd"/>
      <w:r w:rsidR="001964EE" w:rsidRPr="00CB07C3">
        <w:t>  </w:t>
      </w:r>
      <w:proofErr w:type="spellStart"/>
      <w:r w:rsidR="001964EE" w:rsidRPr="00CB07C3">
        <w:rPr>
          <w:i/>
        </w:rPr>
        <w:t>Jackamarra</w:t>
      </w:r>
      <w:proofErr w:type="spellEnd"/>
      <w:r w:rsidR="001964EE" w:rsidRPr="00CB07C3">
        <w:rPr>
          <w:i/>
        </w:rPr>
        <w:t xml:space="preserve"> v </w:t>
      </w:r>
      <w:proofErr w:type="spellStart"/>
      <w:r w:rsidR="001964EE" w:rsidRPr="00CB07C3">
        <w:rPr>
          <w:i/>
        </w:rPr>
        <w:t>Krakouer</w:t>
      </w:r>
      <w:proofErr w:type="spellEnd"/>
      <w:r w:rsidR="001964EE" w:rsidRPr="00CB07C3">
        <w:t xml:space="preserve"> (1998) 195 CLR 516 </w:t>
      </w:r>
      <w:r w:rsidR="000C3C9C" w:rsidRPr="00CB07C3">
        <w:t xml:space="preserve">Brennan CJ and McHugh J </w:t>
      </w:r>
      <w:r w:rsidR="001964EE" w:rsidRPr="00CB07C3">
        <w:t>at [3] – [4]</w:t>
      </w:r>
      <w:r w:rsidR="000C3C9C" w:rsidRPr="00CB07C3">
        <w:t xml:space="preserve">, Kirby J at [66(d)]; </w:t>
      </w:r>
      <w:r w:rsidR="000C3C9C" w:rsidRPr="00CB07C3">
        <w:rPr>
          <w:i/>
        </w:rPr>
        <w:t>Jess v Scott</w:t>
      </w:r>
      <w:r w:rsidR="000C3C9C" w:rsidRPr="00CB07C3">
        <w:t xml:space="preserve"> (1986) 12 FCR 187</w:t>
      </w:r>
      <w:r w:rsidR="001964EE" w:rsidRPr="00CB07C3">
        <w:t xml:space="preserve">.  </w:t>
      </w:r>
      <w:r w:rsidR="006F2E41" w:rsidRPr="00CB07C3">
        <w:t xml:space="preserve">The timing of the dismissal may be relevant to the merits, indeed in some cases it may be </w:t>
      </w:r>
      <w:r w:rsidR="001964EE" w:rsidRPr="00CB07C3">
        <w:t xml:space="preserve">determinative.  </w:t>
      </w:r>
      <w:r w:rsidR="006F2E41" w:rsidRPr="00CB07C3">
        <w:t>The Parliament could not have intended that in dis</w:t>
      </w:r>
      <w:r w:rsidR="001964EE" w:rsidRPr="00CB07C3">
        <w:t>charging the obligation under s </w:t>
      </w:r>
      <w:r w:rsidR="006F2E41" w:rsidRPr="00CB07C3">
        <w:t>366(2)</w:t>
      </w:r>
      <w:r w:rsidR="00B26B28" w:rsidRPr="00CB07C3">
        <w:t>(d)</w:t>
      </w:r>
      <w:r w:rsidR="006F2E41" w:rsidRPr="00CB07C3">
        <w:t xml:space="preserve"> the FWC must ignore </w:t>
      </w:r>
      <w:r w:rsidR="00B26B28" w:rsidRPr="00CB07C3">
        <w:t>a</w:t>
      </w:r>
      <w:r w:rsidR="006F2E41" w:rsidRPr="00CB07C3">
        <w:t xml:space="preserve"> circumstance </w:t>
      </w:r>
      <w:r w:rsidR="00B26B28" w:rsidRPr="00CB07C3">
        <w:t xml:space="preserve">that would render the application without </w:t>
      </w:r>
      <w:r w:rsidR="000C3C9C" w:rsidRPr="00CB07C3">
        <w:t xml:space="preserve">any, or perhaps any </w:t>
      </w:r>
      <w:r w:rsidR="00B26B28" w:rsidRPr="00CB07C3">
        <w:t>reasonable</w:t>
      </w:r>
      <w:r w:rsidR="003A41C8" w:rsidRPr="00CB07C3">
        <w:t>,</w:t>
      </w:r>
      <w:r w:rsidR="00B26B28" w:rsidRPr="00CB07C3">
        <w:t xml:space="preserve"> prospects of success</w:t>
      </w:r>
      <w:r w:rsidR="006F2E41" w:rsidRPr="00CB07C3">
        <w:t>.</w:t>
      </w:r>
      <w:r w:rsidR="00B26B28" w:rsidRPr="00CB07C3">
        <w:t xml:space="preserve"> </w:t>
      </w:r>
      <w:r w:rsidR="001964EE" w:rsidRPr="00CB07C3">
        <w:t xml:space="preserve"> </w:t>
      </w:r>
      <w:r w:rsidR="00B26B28" w:rsidRPr="00CB07C3">
        <w:t xml:space="preserve">The circumstance that the dismissal predated the </w:t>
      </w:r>
      <w:r w:rsidR="000C3C9C" w:rsidRPr="00CB07C3">
        <w:t xml:space="preserve">alleged </w:t>
      </w:r>
      <w:r w:rsidR="00B26B28" w:rsidRPr="00CB07C3">
        <w:t>exercise of the workplace right may be one such circumstance.</w:t>
      </w:r>
    </w:p>
    <w:p w14:paraId="7348740E" w14:textId="5B343C5D" w:rsidR="00BD2479" w:rsidRDefault="00BB460D" w:rsidP="007834FF">
      <w:pPr>
        <w:pStyle w:val="ParaNumbering"/>
      </w:pPr>
      <w:r>
        <w:t>It is not difficult to conceive of cases where the parties may be in “dispute” as to whether or not a person has been dismissed.</w:t>
      </w:r>
      <w:r w:rsidR="00C4672E">
        <w:t xml:space="preserve">  Most often that will occur in cases where the applicant alleges (and the respondent contests) that he or she has been constructively dismissed.</w:t>
      </w:r>
      <w:r>
        <w:t xml:space="preserve">  But that dispute is not to be confused with the dispute forming the subject matter of t</w:t>
      </w:r>
      <w:r w:rsidR="002E6E38">
        <w:t>he FWC’s conciliat</w:t>
      </w:r>
      <w:r w:rsidR="00084085">
        <w:t>ion</w:t>
      </w:r>
      <w:r w:rsidR="002E6E38">
        <w:t xml:space="preserve"> powers</w:t>
      </w:r>
      <w:r w:rsidR="00BD2479">
        <w:t xml:space="preserve"> as just described</w:t>
      </w:r>
      <w:r w:rsidR="002E6E38">
        <w:t xml:space="preserve">.  </w:t>
      </w:r>
      <w:r>
        <w:t xml:space="preserve">A dispute </w:t>
      </w:r>
      <w:r w:rsidR="00BD2479">
        <w:t>about</w:t>
      </w:r>
      <w:r>
        <w:t xml:space="preserve"> whether a person has been dismissed raises an antecedent issue going to the existence of the FWC’s </w:t>
      </w:r>
      <w:r w:rsidR="00BD2479">
        <w:t>authority</w:t>
      </w:r>
      <w:r>
        <w:t xml:space="preserve"> to compel </w:t>
      </w:r>
      <w:r w:rsidR="00BD2479">
        <w:t>an employer to participate in its</w:t>
      </w:r>
      <w:r>
        <w:t xml:space="preserve"> conciliat</w:t>
      </w:r>
      <w:r w:rsidR="00084085">
        <w:t>ion</w:t>
      </w:r>
      <w:r>
        <w:t xml:space="preserve"> process</w:t>
      </w:r>
      <w:r w:rsidR="00BD2479">
        <w:t>es</w:t>
      </w:r>
      <w:r w:rsidR="00D62988">
        <w:t>.</w:t>
      </w:r>
    </w:p>
    <w:p w14:paraId="2B1AEC02" w14:textId="1692B8D9" w:rsidR="00BB460D" w:rsidRDefault="00BB460D" w:rsidP="007834FF">
      <w:pPr>
        <w:pStyle w:val="ParaNumbering"/>
      </w:pPr>
      <w:r>
        <w:t xml:space="preserve">The question of whether or not a person has been dismissed is an objective </w:t>
      </w:r>
      <w:r w:rsidR="00C4672E">
        <w:t>c</w:t>
      </w:r>
      <w:r>
        <w:t>ondition appearing elsewhere in the FW</w:t>
      </w:r>
      <w:r w:rsidR="002E6E38">
        <w:t> </w:t>
      </w:r>
      <w:r>
        <w:t>Ac</w:t>
      </w:r>
      <w:r w:rsidR="002E6E38">
        <w:t xml:space="preserve">t in the same objective terms. </w:t>
      </w:r>
      <w:r>
        <w:t xml:space="preserve"> By way of examp</w:t>
      </w:r>
      <w:r w:rsidR="002E6E38">
        <w:t>le, s 725 of the FW </w:t>
      </w:r>
      <w:r>
        <w:t xml:space="preserve">Act provides that “a person who has been dismissed” is precluded from making applications or </w:t>
      </w:r>
      <w:r w:rsidR="002E6E38">
        <w:t xml:space="preserve">complaints of certain kinds.  </w:t>
      </w:r>
      <w:r>
        <w:t>Whether or not a person has been dismissed also determines wh</w:t>
      </w:r>
      <w:r w:rsidR="002E6E38">
        <w:t>e</w:t>
      </w:r>
      <w:r>
        <w:t>ther the person m</w:t>
      </w:r>
      <w:r w:rsidR="002E6E38">
        <w:t xml:space="preserve">ay apply under </w:t>
      </w:r>
      <w:proofErr w:type="spellStart"/>
      <w:r w:rsidR="002E6E38" w:rsidRPr="002E6E38">
        <w:t>Sub</w:t>
      </w:r>
      <w:r w:rsidR="002E6E38" w:rsidRPr="007B0BC4">
        <w:t>div</w:t>
      </w:r>
      <w:proofErr w:type="spellEnd"/>
      <w:r w:rsidR="002E6E38" w:rsidRPr="007B0BC4">
        <w:t> A</w:t>
      </w:r>
      <w:r w:rsidR="002E6E38" w:rsidRPr="002E6E38">
        <w:t xml:space="preserve"> or</w:t>
      </w:r>
      <w:r w:rsidR="002E6E38">
        <w:t xml:space="preserve"> </w:t>
      </w:r>
      <w:proofErr w:type="spellStart"/>
      <w:r w:rsidR="002E6E38">
        <w:t>Subdiv</w:t>
      </w:r>
      <w:proofErr w:type="spellEnd"/>
      <w:r w:rsidR="002E6E38">
        <w:t> </w:t>
      </w:r>
      <w:r>
        <w:t>B of Pt</w:t>
      </w:r>
      <w:r w:rsidR="00386683">
        <w:t> </w:t>
      </w:r>
      <w:r>
        <w:t xml:space="preserve">3-1.  In the latter case, </w:t>
      </w:r>
      <w:r w:rsidR="00A1470B">
        <w:t>the employer may be compelled to participate in a conference but the person conducting the conference has no power to direct that it be conducted in public</w:t>
      </w:r>
      <w:r w:rsidR="00943D5D">
        <w:t>:  s </w:t>
      </w:r>
      <w:r w:rsidR="00F37EB0">
        <w:t>374(2)</w:t>
      </w:r>
      <w:r w:rsidR="003E2B5E">
        <w:t>.</w:t>
      </w:r>
      <w:r>
        <w:t xml:space="preserve"> </w:t>
      </w:r>
      <w:r w:rsidR="005D0B8F">
        <w:t xml:space="preserve"> </w:t>
      </w:r>
      <w:r>
        <w:t>If t</w:t>
      </w:r>
      <w:r w:rsidR="002E6E38">
        <w:t xml:space="preserve">he construction </w:t>
      </w:r>
      <w:r w:rsidR="00BD2479">
        <w:t>advanced</w:t>
      </w:r>
      <w:r w:rsidR="002E6E38">
        <w:t xml:space="preserve"> by Mr </w:t>
      </w:r>
      <w:r>
        <w:t xml:space="preserve">Milford were to be accepted, the authority of the FWC </w:t>
      </w:r>
      <w:r w:rsidR="002E6E38">
        <w:t xml:space="preserve">to proceed under </w:t>
      </w:r>
      <w:proofErr w:type="spellStart"/>
      <w:r w:rsidR="002E6E38">
        <w:t>Subdiv</w:t>
      </w:r>
      <w:proofErr w:type="spellEnd"/>
      <w:r w:rsidR="002E6E38">
        <w:t> </w:t>
      </w:r>
      <w:r>
        <w:t xml:space="preserve">A or B </w:t>
      </w:r>
      <w:r w:rsidR="00A56CDD">
        <w:t xml:space="preserve">(and hence its </w:t>
      </w:r>
      <w:r>
        <w:t xml:space="preserve">powers to </w:t>
      </w:r>
      <w:r w:rsidR="006A3143">
        <w:t>direct that the conference be conducted in public</w:t>
      </w:r>
      <w:r>
        <w:t xml:space="preserve">) would depend upon whether the applicant </w:t>
      </w:r>
      <w:r>
        <w:rPr>
          <w:i/>
        </w:rPr>
        <w:t>alleged</w:t>
      </w:r>
      <w:r>
        <w:t xml:space="preserve"> (</w:t>
      </w:r>
      <w:r w:rsidR="00F37EB0">
        <w:t>falsely or otherwise</w:t>
      </w:r>
      <w:r>
        <w:t xml:space="preserve">) that a dismissal had occurred. </w:t>
      </w:r>
      <w:r w:rsidR="005D0B8F">
        <w:t xml:space="preserve"> </w:t>
      </w:r>
      <w:r w:rsidR="00F37EB0">
        <w:t>I am unable to comprehend how such a construction woul</w:t>
      </w:r>
      <w:r w:rsidR="00943D5D">
        <w:t>d advance the objects of the FW </w:t>
      </w:r>
      <w:r w:rsidR="00F37EB0">
        <w:t>Act.</w:t>
      </w:r>
    </w:p>
    <w:p w14:paraId="178DF34A" w14:textId="7A203082" w:rsidR="00A56CDD" w:rsidRPr="00CB07C3" w:rsidRDefault="00F37EB0" w:rsidP="003E2B5E">
      <w:pPr>
        <w:pStyle w:val="ParaNumbering"/>
      </w:pPr>
      <w:r w:rsidRPr="00CB07C3">
        <w:t>To summarise, w</w:t>
      </w:r>
      <w:r w:rsidR="00A56CDD" w:rsidRPr="00CB07C3">
        <w:t>hen an application is purportedly l</w:t>
      </w:r>
      <w:r w:rsidR="002E6E38" w:rsidRPr="00CB07C3">
        <w:t>odged under s </w:t>
      </w:r>
      <w:r w:rsidR="00A56CDD" w:rsidRPr="00CB07C3">
        <w:t xml:space="preserve">365 it is open to a respondent to </w:t>
      </w:r>
      <w:r w:rsidR="00BD2479" w:rsidRPr="00CB07C3">
        <w:t>assert</w:t>
      </w:r>
      <w:r w:rsidR="00A56CDD" w:rsidRPr="00CB07C3">
        <w:t xml:space="preserve"> t</w:t>
      </w:r>
      <w:r w:rsidR="002E6E38" w:rsidRPr="00CB07C3">
        <w:t xml:space="preserve">hat there has been </w:t>
      </w:r>
      <w:r w:rsidR="00BD2479" w:rsidRPr="00CB07C3">
        <w:t>no dismissal, so giving rise to a dispute on that question</w:t>
      </w:r>
      <w:r w:rsidR="002E6E38" w:rsidRPr="00CB07C3">
        <w:t xml:space="preserve">.  </w:t>
      </w:r>
      <w:r w:rsidR="00A56CDD" w:rsidRPr="00CB07C3">
        <w:t>Such a dispute fal</w:t>
      </w:r>
      <w:r w:rsidR="002E6E38" w:rsidRPr="00CB07C3">
        <w:t>ls to be determined not under s </w:t>
      </w:r>
      <w:r w:rsidR="00A56CDD" w:rsidRPr="00CB07C3">
        <w:t>368 but under s</w:t>
      </w:r>
      <w:r w:rsidR="002E6E38" w:rsidRPr="00CB07C3">
        <w:t> </w:t>
      </w:r>
      <w:r w:rsidR="00A56CDD" w:rsidRPr="00CB07C3">
        <w:t>365 itself.  It is a</w:t>
      </w:r>
      <w:r w:rsidR="00BD2479" w:rsidRPr="00CB07C3">
        <w:t xml:space="preserve">n antecedent </w:t>
      </w:r>
      <w:r w:rsidR="00A56CDD" w:rsidRPr="00CB07C3">
        <w:t xml:space="preserve">dispute </w:t>
      </w:r>
      <w:r w:rsidR="00BD2479" w:rsidRPr="00CB07C3">
        <w:lastRenderedPageBreak/>
        <w:t xml:space="preserve">going </w:t>
      </w:r>
      <w:r w:rsidR="00A56CDD" w:rsidRPr="00CB07C3">
        <w:t>to the entitlement of the applicant to apply.</w:t>
      </w:r>
      <w:r w:rsidRPr="00CB07C3">
        <w:t xml:space="preserve">  </w:t>
      </w:r>
      <w:r w:rsidR="00A56CDD" w:rsidRPr="00CB07C3">
        <w:t xml:space="preserve">It is also open to a respondent to </w:t>
      </w:r>
      <w:r w:rsidR="007B0BC4" w:rsidRPr="00CB07C3">
        <w:t>admit</w:t>
      </w:r>
      <w:r w:rsidR="00A56CDD" w:rsidRPr="00CB07C3">
        <w:t xml:space="preserve"> that a dismissal has occurred but dispute that the dismissal took effect within 21</w:t>
      </w:r>
      <w:r w:rsidR="005D0B8F" w:rsidRPr="00CB07C3">
        <w:t> </w:t>
      </w:r>
      <w:r w:rsidR="00A56CDD" w:rsidRPr="00CB07C3">
        <w:t>days of the date that the application was filed.</w:t>
      </w:r>
      <w:r w:rsidR="002E6E38" w:rsidRPr="00CB07C3">
        <w:t xml:space="preserve">  Such a dispute </w:t>
      </w:r>
      <w:r w:rsidR="00084085" w:rsidRPr="00CB07C3">
        <w:t xml:space="preserve">may </w:t>
      </w:r>
      <w:r w:rsidR="007B0BC4" w:rsidRPr="00CB07C3">
        <w:t>give rise to an issue</w:t>
      </w:r>
      <w:r w:rsidR="002E6E38" w:rsidRPr="00CB07C3">
        <w:t xml:space="preserve"> under s </w:t>
      </w:r>
      <w:r w:rsidR="00A56CDD" w:rsidRPr="00CB07C3">
        <w:t>366(1), involving as it does a question as to whether it is necessary for the FWC to determine whether more time should be “allowed” f</w:t>
      </w:r>
      <w:r w:rsidR="002E6E38" w:rsidRPr="00CB07C3">
        <w:t>or the application to be made</w:t>
      </w:r>
      <w:r w:rsidR="00943D5D" w:rsidRPr="00CB07C3">
        <w:t xml:space="preserve"> under s </w:t>
      </w:r>
      <w:r w:rsidRPr="00CB07C3">
        <w:t>365</w:t>
      </w:r>
      <w:r w:rsidR="002E6E38" w:rsidRPr="00CB07C3">
        <w:t xml:space="preserve">. </w:t>
      </w:r>
      <w:r w:rsidR="00A56CDD" w:rsidRPr="00CB07C3">
        <w:t xml:space="preserve"> </w:t>
      </w:r>
      <w:r w:rsidR="007B0BC4" w:rsidRPr="00CB07C3">
        <w:t>That</w:t>
      </w:r>
      <w:r w:rsidR="00BD2479" w:rsidRPr="00CB07C3">
        <w:t xml:space="preserve"> too is an antecedent dispute, going to the question of whether an application has been made</w:t>
      </w:r>
      <w:r w:rsidR="00A56CDD" w:rsidRPr="00CB07C3">
        <w:t xml:space="preserve">.  </w:t>
      </w:r>
      <w:r w:rsidR="00BD2479" w:rsidRPr="00CB07C3">
        <w:t>I</w:t>
      </w:r>
      <w:r w:rsidR="00A56CDD" w:rsidRPr="00CB07C3">
        <w:t xml:space="preserve">t is </w:t>
      </w:r>
      <w:r w:rsidR="00E54E0D" w:rsidRPr="00CB07C3">
        <w:t xml:space="preserve">a </w:t>
      </w:r>
      <w:r w:rsidR="00A56CDD" w:rsidRPr="00CB07C3">
        <w:t>dispute that must be re</w:t>
      </w:r>
      <w:r w:rsidR="002E6E38" w:rsidRPr="00CB07C3">
        <w:t>solved before the power</w:t>
      </w:r>
      <w:r w:rsidR="007B0BC4" w:rsidRPr="00CB07C3">
        <w:t>s</w:t>
      </w:r>
      <w:r w:rsidR="002E6E38" w:rsidRPr="00CB07C3">
        <w:t xml:space="preserve"> </w:t>
      </w:r>
      <w:r w:rsidR="007B0BC4" w:rsidRPr="00CB07C3">
        <w:t>conferred by</w:t>
      </w:r>
      <w:r w:rsidR="002E6E38" w:rsidRPr="00CB07C3">
        <w:t xml:space="preserve"> s </w:t>
      </w:r>
      <w:r w:rsidR="00A56CDD" w:rsidRPr="00CB07C3">
        <w:t>368</w:t>
      </w:r>
      <w:r w:rsidR="00BD2479" w:rsidRPr="00CB07C3">
        <w:t xml:space="preserve"> can be exercised at all.</w:t>
      </w:r>
    </w:p>
    <w:p w14:paraId="6BB2BCCA" w14:textId="58F30A99" w:rsidR="002E6418" w:rsidRPr="00CB07C3" w:rsidRDefault="00F37EB0" w:rsidP="007B0BC4">
      <w:pPr>
        <w:pStyle w:val="ParaNumbering"/>
      </w:pPr>
      <w:r w:rsidRPr="00CB07C3">
        <w:t>C</w:t>
      </w:r>
      <w:r w:rsidR="00943D5D" w:rsidRPr="00CB07C3">
        <w:t>ontrary to Mr </w:t>
      </w:r>
      <w:r w:rsidRPr="00CB07C3">
        <w:t>Milford’s submissions, i</w:t>
      </w:r>
      <w:r w:rsidR="002E6418" w:rsidRPr="00CB07C3">
        <w:t>t is not co</w:t>
      </w:r>
      <w:r w:rsidR="002E6E38" w:rsidRPr="00CB07C3">
        <w:t>rrect to say that the FW </w:t>
      </w:r>
      <w:r w:rsidR="002E6418" w:rsidRPr="00CB07C3">
        <w:t xml:space="preserve">Act contains no express powers for the </w:t>
      </w:r>
      <w:r w:rsidR="00132654" w:rsidRPr="00CB07C3">
        <w:t>resolution</w:t>
      </w:r>
      <w:r w:rsidR="002E6418" w:rsidRPr="00CB07C3">
        <w:t xml:space="preserve"> of antecedent </w:t>
      </w:r>
      <w:r w:rsidR="00132654" w:rsidRPr="00CB07C3">
        <w:t>issues</w:t>
      </w:r>
      <w:r w:rsidR="002E6E38" w:rsidRPr="00CB07C3">
        <w:t xml:space="preserve"> of the kind mentioned above</w:t>
      </w:r>
      <w:r w:rsidRPr="00CB07C3">
        <w:t>, nor is it correct to search for an express conferral of power of that kind in any event</w:t>
      </w:r>
      <w:r w:rsidR="002E6E38" w:rsidRPr="00CB07C3">
        <w:t>.  P</w:t>
      </w:r>
      <w:r w:rsidR="00BD2479" w:rsidRPr="00CB07C3">
        <w:t>art</w:t>
      </w:r>
      <w:r w:rsidR="002E6E38" w:rsidRPr="00CB07C3">
        <w:t> 6-1 of the FW </w:t>
      </w:r>
      <w:r w:rsidR="005C5B4A" w:rsidRPr="00CB07C3">
        <w:t>Act (which concerns multiplicity of actions)</w:t>
      </w:r>
      <w:r w:rsidR="002E6418" w:rsidRPr="00CB07C3">
        <w:t xml:space="preserve"> contains numerous references to applications before the FWC </w:t>
      </w:r>
      <w:r w:rsidR="005C5B4A" w:rsidRPr="00CB07C3">
        <w:t>(i</w:t>
      </w:r>
      <w:r w:rsidR="002E6E38" w:rsidRPr="00CB07C3">
        <w:t>ncluding an application under s </w:t>
      </w:r>
      <w:r w:rsidR="005C5B4A" w:rsidRPr="00CB07C3">
        <w:t xml:space="preserve">365) </w:t>
      </w:r>
      <w:r w:rsidR="002E6418" w:rsidRPr="00CB07C3">
        <w:t>failing for “want of jurisdiction”</w:t>
      </w:r>
      <w:r w:rsidR="007B0BC4" w:rsidRPr="00CB07C3">
        <w:t>, so recognising</w:t>
      </w:r>
      <w:r w:rsidR="00132654" w:rsidRPr="00CB07C3">
        <w:t xml:space="preserve"> </w:t>
      </w:r>
      <w:r w:rsidR="007B0BC4" w:rsidRPr="00CB07C3">
        <w:t xml:space="preserve">that an administrative tribunal </w:t>
      </w:r>
      <w:r w:rsidR="00132654" w:rsidRPr="00CB07C3">
        <w:t xml:space="preserve">such as the FWC </w:t>
      </w:r>
      <w:r w:rsidR="007B0BC4" w:rsidRPr="00CB07C3">
        <w:t>may determine the limits of its powers (albeit not finally).</w:t>
      </w:r>
      <w:r w:rsidR="00D62988" w:rsidRPr="00CB07C3">
        <w:t xml:space="preserve"> </w:t>
      </w:r>
      <w:r w:rsidRPr="00CB07C3">
        <w:t xml:space="preserve"> No express power is necessary.  </w:t>
      </w:r>
      <w:r w:rsidR="00BD2479" w:rsidRPr="00CB07C3">
        <w:t>As to procedure, s</w:t>
      </w:r>
      <w:r w:rsidR="002E6418" w:rsidRPr="00CB07C3">
        <w:t xml:space="preserve"> 590 expressly empowers the FWC to inform itself in relation to “any matter before it in such manner as it considers appropriate”.  In the present case the “matter” before the Deputy </w:t>
      </w:r>
      <w:r w:rsidR="00084085" w:rsidRPr="00CB07C3">
        <w:t xml:space="preserve">President </w:t>
      </w:r>
      <w:r w:rsidR="002E6418" w:rsidRPr="00CB07C3">
        <w:t>was whether she had authority t</w:t>
      </w:r>
      <w:r w:rsidR="002E6E38" w:rsidRPr="00CB07C3">
        <w:t>o deal with the dispute under s </w:t>
      </w:r>
      <w:r w:rsidR="002E6418" w:rsidRPr="00CB07C3">
        <w:t xml:space="preserve">368.  To the </w:t>
      </w:r>
      <w:r w:rsidR="005C5B4A" w:rsidRPr="00CB07C3">
        <w:t xml:space="preserve">extent </w:t>
      </w:r>
      <w:r w:rsidR="002E6418" w:rsidRPr="00CB07C3">
        <w:t xml:space="preserve">that practices and procedures have not developed in the </w:t>
      </w:r>
      <w:r w:rsidR="00E54E0D" w:rsidRPr="00CB07C3">
        <w:t xml:space="preserve">FWC </w:t>
      </w:r>
      <w:r w:rsidR="002E6418" w:rsidRPr="00CB07C3">
        <w:t xml:space="preserve">to deal with challenges to </w:t>
      </w:r>
      <w:r w:rsidR="00E44FB8" w:rsidRPr="00CB07C3">
        <w:t xml:space="preserve">its </w:t>
      </w:r>
      <w:r w:rsidR="002E6418" w:rsidRPr="00CB07C3">
        <w:t xml:space="preserve">own jurisdiction, there is </w:t>
      </w:r>
      <w:r w:rsidR="005C5B4A" w:rsidRPr="00CB07C3">
        <w:t xml:space="preserve">a </w:t>
      </w:r>
      <w:r w:rsidR="002E6418" w:rsidRPr="00CB07C3">
        <w:t xml:space="preserve">power under </w:t>
      </w:r>
      <w:r w:rsidR="002E6E38" w:rsidRPr="00CB07C3">
        <w:t>s </w:t>
      </w:r>
      <w:r w:rsidR="005C5B4A" w:rsidRPr="00CB07C3">
        <w:t>609 to make procedural rules by legislative instrument</w:t>
      </w:r>
      <w:r w:rsidRPr="00CB07C3">
        <w:t xml:space="preserve"> to address the deficiency</w:t>
      </w:r>
      <w:r w:rsidR="005C5B4A" w:rsidRPr="00CB07C3">
        <w:t>.</w:t>
      </w:r>
    </w:p>
    <w:p w14:paraId="453780BD" w14:textId="7F337B4D" w:rsidR="00F37EB0" w:rsidRPr="00CB07C3" w:rsidRDefault="00F37EB0" w:rsidP="00F37EB0">
      <w:pPr>
        <w:pStyle w:val="ParaNumbering"/>
      </w:pPr>
      <w:r w:rsidRPr="00CB07C3">
        <w:t>Whether or not it was open to the Deputy President to dismiss the application under s 587(1)(a) of the FW Act on the basis that it had not been made “in accordance with” the FW Act</w:t>
      </w:r>
      <w:r w:rsidR="00415098" w:rsidRPr="00CB07C3">
        <w:t>,</w:t>
      </w:r>
      <w:r w:rsidRPr="00CB07C3">
        <w:t xml:space="preserve"> may be left to a case in which the outcome might turn on it.  The better view</w:t>
      </w:r>
      <w:r w:rsidR="003E2B5E" w:rsidRPr="00CB07C3">
        <w:t xml:space="preserve"> </w:t>
      </w:r>
      <w:r w:rsidRPr="00CB07C3">
        <w:t>is that it is not necessary to identify an express power in the FWC to decline to act upon an application on the basis that it fails for want of jurisdiction.  It may be that an application purportedly made by a person having no entitlement to make it is not an “application” for the purposes of s 587</w:t>
      </w:r>
      <w:r w:rsidR="00943D5D" w:rsidRPr="00CB07C3">
        <w:t>(1)(a) at all.  Section </w:t>
      </w:r>
      <w:r w:rsidRPr="00CB07C3">
        <w:t>587(1)(a) has work to do in cases where an otherwise valid application has not been made in accordance with procedura</w:t>
      </w:r>
      <w:r w:rsidR="00943D5D" w:rsidRPr="00CB07C3">
        <w:t xml:space="preserve">l rules made under the FW Act. </w:t>
      </w:r>
      <w:r w:rsidRPr="00CB07C3">
        <w:t xml:space="preserve"> The statutory note suggests that is its purpose (although the note does not form a </w:t>
      </w:r>
      <w:r w:rsidR="00132654" w:rsidRPr="00CB07C3">
        <w:t>part of the Act)</w:t>
      </w:r>
      <w:r w:rsidR="00943D5D" w:rsidRPr="00CB07C3">
        <w:t>:  </w:t>
      </w:r>
      <w:r w:rsidR="00C32C5D" w:rsidRPr="00CB07C3">
        <w:t>see</w:t>
      </w:r>
      <w:r w:rsidR="00943D5D" w:rsidRPr="00CB07C3">
        <w:t xml:space="preserve"> s </w:t>
      </w:r>
      <w:r w:rsidR="00084085" w:rsidRPr="00CB07C3">
        <w:t>40A of the FW</w:t>
      </w:r>
      <w:r w:rsidR="00943D5D" w:rsidRPr="00CB07C3">
        <w:t> </w:t>
      </w:r>
      <w:r w:rsidR="00084085" w:rsidRPr="00CB07C3">
        <w:t>Act.</w:t>
      </w:r>
    </w:p>
    <w:p w14:paraId="2709BAC8" w14:textId="7575E8F5" w:rsidR="002E6418" w:rsidRPr="00CD0D63" w:rsidRDefault="00F37EB0" w:rsidP="00D62988">
      <w:pPr>
        <w:pStyle w:val="ParaNumbering"/>
        <w:keepNext/>
      </w:pPr>
      <w:r w:rsidRPr="00CB07C3">
        <w:t>Returning to the Full Bench decision, as the Full Bench</w:t>
      </w:r>
      <w:r w:rsidR="005C5B4A" w:rsidRPr="00CB07C3">
        <w:t xml:space="preserve"> correctly identified, “</w:t>
      </w:r>
      <w:r w:rsidR="002E6E38" w:rsidRPr="00CB07C3">
        <w:t>T</w:t>
      </w:r>
      <w:r w:rsidR="005C5B4A" w:rsidRPr="00CB07C3">
        <w:t>here will be some cases where there is a genuine dispute concerning the date upon which the pleaded dismissal took effect which may have consequences for complianc</w:t>
      </w:r>
      <w:r w:rsidR="002E6E38" w:rsidRPr="00CB07C3">
        <w:t xml:space="preserve">e with the time limitation in </w:t>
      </w:r>
      <w:r w:rsidR="002E6E38" w:rsidRPr="00CB07C3">
        <w:lastRenderedPageBreak/>
        <w:t>s </w:t>
      </w:r>
      <w:r w:rsidR="005C5B4A" w:rsidRPr="00CB07C3">
        <w:t xml:space="preserve">366(1)”.  </w:t>
      </w:r>
      <w:r w:rsidR="000C1DD1" w:rsidRPr="00CB07C3">
        <w:t xml:space="preserve">The Full Bench said that a dispute of that nature might arise in the “theoretical scenario” posited by Coles whereby an applicant adopted a fictitious date in order to avoid the </w:t>
      </w:r>
      <w:r w:rsidR="000C1DD1" w:rsidRPr="00CD0D63">
        <w:t>time l</w:t>
      </w:r>
      <w:r w:rsidR="002E6E38" w:rsidRPr="00CD0D63">
        <w:t>imitation in s </w:t>
      </w:r>
      <w:r w:rsidR="000C1DD1" w:rsidRPr="00CD0D63">
        <w:t>366</w:t>
      </w:r>
      <w:r w:rsidR="002E6E38" w:rsidRPr="00CD0D63">
        <w:t xml:space="preserve">(1) applying.  </w:t>
      </w:r>
      <w:r w:rsidR="000C1DD1" w:rsidRPr="00CD0D63">
        <w:t>The Full Bench continued</w:t>
      </w:r>
      <w:r w:rsidR="002E6E38" w:rsidRPr="00CD0D63">
        <w:t xml:space="preserve"> (at [28])</w:t>
      </w:r>
      <w:r w:rsidR="000C1DD1" w:rsidRPr="00CD0D63">
        <w:t>:</w:t>
      </w:r>
    </w:p>
    <w:p w14:paraId="08C3745A" w14:textId="4E2A5987" w:rsidR="000C1DD1" w:rsidRPr="00CD0D63" w:rsidRDefault="000C1DD1" w:rsidP="000C1DD1">
      <w:pPr>
        <w:pStyle w:val="Quote1"/>
      </w:pPr>
      <w:r w:rsidRPr="00CD0D63">
        <w:t xml:space="preserve">In this type of case it will be necessary for the Commission to identify the correct date of the pleaded dismissal in order to determine whether the application was filed within the </w:t>
      </w:r>
      <w:bookmarkStart w:id="23" w:name="PastedTemp28"/>
      <w:r w:rsidRPr="00CD0D63">
        <w:t>prescribed 21 days and consequently whether it is necessary to consider the grant of an extension of time under s 366(2).</w:t>
      </w:r>
    </w:p>
    <w:p w14:paraId="107BF591" w14:textId="5CE0CCF4" w:rsidR="000C1DD1" w:rsidRDefault="000C1DD1" w:rsidP="000C1DD1">
      <w:pPr>
        <w:pStyle w:val="ParaNumbering"/>
      </w:pPr>
      <w:r>
        <w:t xml:space="preserve">By that passage the Full Bench </w:t>
      </w:r>
      <w:r w:rsidR="007B0BC4">
        <w:t>appears to accept</w:t>
      </w:r>
      <w:r>
        <w:t xml:space="preserve"> that the FWC may (indeed in some cases must) perform a task involving the </w:t>
      </w:r>
      <w:r w:rsidR="007B0BC4">
        <w:t>determination of</w:t>
      </w:r>
      <w:r>
        <w:t xml:space="preserve"> fact</w:t>
      </w:r>
      <w:r w:rsidR="007B0BC4">
        <w:t>s</w:t>
      </w:r>
      <w:r>
        <w:t>.  It is difficult</w:t>
      </w:r>
      <w:r w:rsidR="002E6E38">
        <w:t xml:space="preserve"> to comprehend why the FW </w:t>
      </w:r>
      <w:r>
        <w:t xml:space="preserve">Act would permit (as it does) the FWC making a finding </w:t>
      </w:r>
      <w:r w:rsidR="008C7513">
        <w:t>about</w:t>
      </w:r>
      <w:r>
        <w:t xml:space="preserve"> </w:t>
      </w:r>
      <w:r w:rsidRPr="000C1DD1">
        <w:rPr>
          <w:i/>
        </w:rPr>
        <w:t>when</w:t>
      </w:r>
      <w:r>
        <w:t xml:space="preserve"> a dismissal occurred</w:t>
      </w:r>
      <w:r w:rsidR="00E30553">
        <w:t xml:space="preserve"> in a case of suspected dishonesty</w:t>
      </w:r>
      <w:r>
        <w:t xml:space="preserve">, but preclude it from </w:t>
      </w:r>
      <w:r w:rsidR="008C7513">
        <w:t>making a finding about</w:t>
      </w:r>
      <w:r>
        <w:t xml:space="preserve"> </w:t>
      </w:r>
      <w:r w:rsidRPr="000C1DD1">
        <w:rPr>
          <w:i/>
        </w:rPr>
        <w:t>whether</w:t>
      </w:r>
      <w:r w:rsidR="002E6E38">
        <w:t xml:space="preserve"> a </w:t>
      </w:r>
      <w:r w:rsidR="00084085">
        <w:t xml:space="preserve">disputed </w:t>
      </w:r>
      <w:r w:rsidR="002E6E38">
        <w:t>dismissal had occurred.</w:t>
      </w:r>
    </w:p>
    <w:p w14:paraId="7FF77CEA" w14:textId="3FF1F625" w:rsidR="00E055D3" w:rsidRDefault="002E6E38" w:rsidP="000C1DD1">
      <w:pPr>
        <w:pStyle w:val="ParaNumbering"/>
      </w:pPr>
      <w:r>
        <w:t>The Full Bench said that Mr </w:t>
      </w:r>
      <w:r w:rsidR="000C1DD1" w:rsidRPr="000C1DD1">
        <w:t xml:space="preserve">Milford’s case was different because the relevant dispute was not in truth about the precise date upon which the pleaded dismissal took effect, but whether there was a dismissal at all.  The Full Bench erred in reducing the issues Coles had raised in that way. </w:t>
      </w:r>
      <w:r>
        <w:t xml:space="preserve"> </w:t>
      </w:r>
      <w:r w:rsidR="000C1DD1">
        <w:t>As has been said, Coles by its writte</w:t>
      </w:r>
      <w:r>
        <w:t>n response</w:t>
      </w:r>
      <w:r w:rsidR="00415098">
        <w:t>,</w:t>
      </w:r>
      <w:r>
        <w:t xml:space="preserve"> alleged that Mr </w:t>
      </w:r>
      <w:r w:rsidR="000C1DD1">
        <w:t>Milf</w:t>
      </w:r>
      <w:r>
        <w:t xml:space="preserve">ord had been dismissed as at </w:t>
      </w:r>
      <w:r w:rsidR="00E54E0D">
        <w:t>1</w:t>
      </w:r>
      <w:r>
        <w:t> </w:t>
      </w:r>
      <w:r w:rsidR="000C1DD1">
        <w:t xml:space="preserve">October 2014.  It </w:t>
      </w:r>
      <w:r w:rsidR="008C7513">
        <w:t>did</w:t>
      </w:r>
      <w:r w:rsidR="000C1DD1">
        <w:t xml:space="preserve"> not abandon that position.  </w:t>
      </w:r>
      <w:r w:rsidR="000322CE">
        <w:t xml:space="preserve">It </w:t>
      </w:r>
      <w:r w:rsidR="00E30553">
        <w:t>then</w:t>
      </w:r>
      <w:r w:rsidR="000C1DD1">
        <w:t xml:space="preserve"> advanced </w:t>
      </w:r>
      <w:r w:rsidR="00E30553">
        <w:t>an additional and</w:t>
      </w:r>
      <w:r w:rsidR="000C1DD1">
        <w:t xml:space="preserve"> alternative c</w:t>
      </w:r>
      <w:r>
        <w:t>ontention to the effect that Mr </w:t>
      </w:r>
      <w:r w:rsidR="000C1DD1">
        <w:t>Milford had not</w:t>
      </w:r>
      <w:r>
        <w:t xml:space="preserve"> been “dismissed” as defined.  </w:t>
      </w:r>
      <w:r w:rsidR="000C1DD1">
        <w:t xml:space="preserve">Hamstrung as she was by the decision in </w:t>
      </w:r>
      <w:r w:rsidR="000C1DD1">
        <w:rPr>
          <w:i/>
        </w:rPr>
        <w:t>Hewitt</w:t>
      </w:r>
      <w:r w:rsidR="000C1DD1">
        <w:t xml:space="preserve">, the Deputy President </w:t>
      </w:r>
      <w:r w:rsidR="00E055D3">
        <w:t xml:space="preserve">proceeded on the basis that it was not permissible </w:t>
      </w:r>
      <w:r w:rsidR="000C1DD1">
        <w:t>to make a finding about whether</w:t>
      </w:r>
      <w:r w:rsidR="00D62988">
        <w:t xml:space="preserve"> there had been a dismissal.</w:t>
      </w:r>
    </w:p>
    <w:p w14:paraId="12097215" w14:textId="28AC266C" w:rsidR="00E055D3" w:rsidRPr="00CB07C3" w:rsidRDefault="00E055D3" w:rsidP="000C1DD1">
      <w:pPr>
        <w:pStyle w:val="ParaNumbering"/>
      </w:pPr>
      <w:r w:rsidRPr="00CB07C3">
        <w:t>In the present ca</w:t>
      </w:r>
      <w:r w:rsidR="002E6E38" w:rsidRPr="00CB07C3">
        <w:t>se, the finding that Mr </w:t>
      </w:r>
      <w:r w:rsidRPr="00CB07C3">
        <w:t>Milford’s employment ended effective from 1</w:t>
      </w:r>
      <w:r w:rsidR="002E6E38" w:rsidRPr="00CB07C3">
        <w:t> </w:t>
      </w:r>
      <w:r w:rsidRPr="00CB07C3">
        <w:t xml:space="preserve">July 2016 at the latest was fatal to his claim that the </w:t>
      </w:r>
      <w:r w:rsidRPr="00CB07C3">
        <w:rPr>
          <w:i/>
        </w:rPr>
        <w:t>reason</w:t>
      </w:r>
      <w:r w:rsidRPr="00CB07C3">
        <w:t xml:space="preserve"> for </w:t>
      </w:r>
      <w:r w:rsidR="00E30553" w:rsidRPr="00CB07C3">
        <w:t xml:space="preserve">his alleged </w:t>
      </w:r>
      <w:r w:rsidRPr="00CB07C3">
        <w:t xml:space="preserve">dismissal was the exercise of a workplace right </w:t>
      </w:r>
      <w:r w:rsidR="00943D5D" w:rsidRPr="00CB07C3">
        <w:t>on 20 </w:t>
      </w:r>
      <w:r w:rsidR="00E30553" w:rsidRPr="00CB07C3">
        <w:t xml:space="preserve">July 2018, </w:t>
      </w:r>
      <w:r w:rsidRPr="00CB07C3">
        <w:t xml:space="preserve">some two years later.  But </w:t>
      </w:r>
      <w:r w:rsidR="00E30553" w:rsidRPr="00CB07C3">
        <w:t xml:space="preserve">none of that means that the Deputy President </w:t>
      </w:r>
      <w:r w:rsidR="002E6E38" w:rsidRPr="00CB07C3">
        <w:t>exceeded her powers under</w:t>
      </w:r>
      <w:r w:rsidR="00943D5D" w:rsidRPr="00CB07C3">
        <w:t xml:space="preserve"> s </w:t>
      </w:r>
      <w:r w:rsidR="00084085" w:rsidRPr="00CB07C3">
        <w:t>366 or</w:t>
      </w:r>
      <w:r w:rsidR="002E6E38" w:rsidRPr="00CB07C3">
        <w:t xml:space="preserve"> s </w:t>
      </w:r>
      <w:r w:rsidRPr="00CB07C3">
        <w:t>368</w:t>
      </w:r>
      <w:r w:rsidR="00E30553" w:rsidRPr="00CB07C3">
        <w:t>, properly construed.</w:t>
      </w:r>
      <w:r w:rsidR="00084085" w:rsidRPr="00CB07C3">
        <w:t xml:space="preserve">  </w:t>
      </w:r>
      <w:r w:rsidR="00E30553" w:rsidRPr="00CB07C3">
        <w:t xml:space="preserve">On any interpretation of the </w:t>
      </w:r>
      <w:r w:rsidRPr="00CB07C3">
        <w:t>first and second decisions, the Deputy President declin</w:t>
      </w:r>
      <w:r w:rsidR="002E6E38" w:rsidRPr="00CB07C3">
        <w:t xml:space="preserve">ed to </w:t>
      </w:r>
      <w:r w:rsidR="00E30553" w:rsidRPr="00CB07C3">
        <w:t xml:space="preserve">deal with the particular dispute to which </w:t>
      </w:r>
      <w:r w:rsidR="002E6E38" w:rsidRPr="00CB07C3">
        <w:t>s </w:t>
      </w:r>
      <w:r w:rsidRPr="00CB07C3">
        <w:t xml:space="preserve">368 </w:t>
      </w:r>
      <w:r w:rsidR="00E30553" w:rsidRPr="00CB07C3">
        <w:t xml:space="preserve">is directed, </w:t>
      </w:r>
      <w:r w:rsidRPr="00CB07C3">
        <w:t>becaus</w:t>
      </w:r>
      <w:r w:rsidR="008C7513" w:rsidRPr="00CB07C3">
        <w:t xml:space="preserve">e she </w:t>
      </w:r>
      <w:r w:rsidR="00E30553" w:rsidRPr="00CB07C3">
        <w:t>was not satisfied that she had the authority to do so</w:t>
      </w:r>
      <w:r w:rsidR="002E6E38" w:rsidRPr="00CB07C3">
        <w:t>.</w:t>
      </w:r>
    </w:p>
    <w:p w14:paraId="5A553875" w14:textId="25A24549" w:rsidR="00FF36A3" w:rsidRPr="00CB07C3" w:rsidRDefault="00BD2479" w:rsidP="000C1DD1">
      <w:pPr>
        <w:pStyle w:val="ParaNumbering"/>
      </w:pPr>
      <w:r w:rsidRPr="00CB07C3">
        <w:t xml:space="preserve">The submission that the </w:t>
      </w:r>
      <w:r w:rsidR="00E30553" w:rsidRPr="00CB07C3">
        <w:t>power to determine a person’s</w:t>
      </w:r>
      <w:r w:rsidRPr="00CB07C3">
        <w:t xml:space="preserve"> entitlement</w:t>
      </w:r>
      <w:r w:rsidR="00D62988" w:rsidRPr="00CB07C3">
        <w:t xml:space="preserve"> to make an application </w:t>
      </w:r>
      <w:r w:rsidR="00E30553" w:rsidRPr="00CB07C3">
        <w:t xml:space="preserve">to the FWC </w:t>
      </w:r>
      <w:r w:rsidR="00D62988" w:rsidRPr="00CB07C3">
        <w:t>under s </w:t>
      </w:r>
      <w:r w:rsidR="009C5A54" w:rsidRPr="00CB07C3">
        <w:t>365</w:t>
      </w:r>
      <w:r w:rsidR="00D62988" w:rsidRPr="00CB07C3">
        <w:t xml:space="preserve"> of the FW </w:t>
      </w:r>
      <w:r w:rsidR="009C5A54" w:rsidRPr="00CB07C3">
        <w:t>Act</w:t>
      </w:r>
      <w:r w:rsidRPr="00CB07C3">
        <w:t xml:space="preserve"> is </w:t>
      </w:r>
      <w:r w:rsidR="00D62988" w:rsidRPr="00CB07C3">
        <w:t>“deferred”</w:t>
      </w:r>
      <w:r w:rsidR="00E30553" w:rsidRPr="00CB07C3">
        <w:t xml:space="preserve"> exclusively</w:t>
      </w:r>
      <w:r w:rsidRPr="00CB07C3">
        <w:t xml:space="preserve"> to this Court or the Federal Circuit Court </w:t>
      </w:r>
      <w:r w:rsidR="00D62988" w:rsidRPr="00CB07C3">
        <w:t>under s </w:t>
      </w:r>
      <w:r w:rsidRPr="00CB07C3">
        <w:t>370 of</w:t>
      </w:r>
      <w:r w:rsidR="00D62988" w:rsidRPr="00CB07C3">
        <w:t xml:space="preserve"> the </w:t>
      </w:r>
      <w:r w:rsidR="00415098" w:rsidRPr="00CB07C3">
        <w:t>FW </w:t>
      </w:r>
      <w:r w:rsidR="00D62988" w:rsidRPr="00CB07C3">
        <w:t>Act cannot be accepted.  Section </w:t>
      </w:r>
      <w:r w:rsidRPr="00CB07C3">
        <w:t>370 is to</w:t>
      </w:r>
      <w:r w:rsidR="009C5A54" w:rsidRPr="00CB07C3">
        <w:t xml:space="preserve"> be</w:t>
      </w:r>
      <w:r w:rsidRPr="00CB07C3">
        <w:t xml:space="preserve"> interpreted against the background that the FWC may determine the question of a person’s entitlement</w:t>
      </w:r>
      <w:r w:rsidR="008C7513" w:rsidRPr="00CB07C3">
        <w:t xml:space="preserve"> to make an application to it</w:t>
      </w:r>
      <w:r w:rsidR="009C5A54" w:rsidRPr="00CB07C3">
        <w:t>,</w:t>
      </w:r>
      <w:r w:rsidRPr="00CB07C3">
        <w:t xml:space="preserve"> although </w:t>
      </w:r>
      <w:r w:rsidR="006A3143" w:rsidRPr="00CB07C3">
        <w:t>not conclusively</w:t>
      </w:r>
      <w:r w:rsidRPr="00CB07C3">
        <w:t>.</w:t>
      </w:r>
      <w:r w:rsidR="009C5A54" w:rsidRPr="00CB07C3">
        <w:t xml:space="preserve">  </w:t>
      </w:r>
      <w:r w:rsidR="00FF36A3" w:rsidRPr="00CB07C3">
        <w:t>Whilst Mr</w:t>
      </w:r>
      <w:r w:rsidR="00D2193F" w:rsidRPr="00CB07C3">
        <w:t> </w:t>
      </w:r>
      <w:r w:rsidR="00FF36A3" w:rsidRPr="00CB07C3">
        <w:t>Milford is correct to state that this Court has the power to determine whether a person is entitled to make an</w:t>
      </w:r>
      <w:r w:rsidR="00D62988" w:rsidRPr="00CB07C3">
        <w:t xml:space="preserve"> application to </w:t>
      </w:r>
      <w:r w:rsidR="00D62988" w:rsidRPr="00CB07C3">
        <w:lastRenderedPageBreak/>
        <w:t>the FWC under s </w:t>
      </w:r>
      <w:r w:rsidR="00FF36A3" w:rsidRPr="00CB07C3">
        <w:t>365</w:t>
      </w:r>
      <w:r w:rsidR="00D62988" w:rsidRPr="00CB07C3">
        <w:t xml:space="preserve"> of the FW </w:t>
      </w:r>
      <w:r w:rsidR="00FF36A3" w:rsidRPr="00CB07C3">
        <w:t>Act, it does not follow that the FWC</w:t>
      </w:r>
      <w:r w:rsidR="00E30553" w:rsidRPr="00CB07C3">
        <w:t xml:space="preserve"> is precluded from making decisions about the limits of its own powers in cases (such as the present) where there is a genuine challenge to those limits.</w:t>
      </w:r>
    </w:p>
    <w:p w14:paraId="399955E3" w14:textId="59BFB3AC" w:rsidR="00D3281C" w:rsidRPr="00CB07C3" w:rsidRDefault="00D3281C" w:rsidP="00D3281C">
      <w:pPr>
        <w:pStyle w:val="ParaNumbering"/>
      </w:pPr>
      <w:r w:rsidRPr="00CB07C3">
        <w:t xml:space="preserve">As has been mentioned, the </w:t>
      </w:r>
      <w:r w:rsidR="00D62988" w:rsidRPr="00CB07C3">
        <w:t>FW </w:t>
      </w:r>
      <w:r w:rsidR="009C5A54" w:rsidRPr="00CB07C3">
        <w:t xml:space="preserve">Act establishes </w:t>
      </w:r>
      <w:r w:rsidR="008C7513" w:rsidRPr="00CB07C3">
        <w:t xml:space="preserve">multiple </w:t>
      </w:r>
      <w:r w:rsidR="009C5A54" w:rsidRPr="00CB07C3">
        <w:t xml:space="preserve">alternate pathways for an applicant and prospective litigant, the appropriate pathway depending </w:t>
      </w:r>
      <w:r w:rsidR="00D2193F" w:rsidRPr="00CB07C3">
        <w:t xml:space="preserve">upon </w:t>
      </w:r>
      <w:r w:rsidR="009C5A54" w:rsidRPr="00CB07C3">
        <w:t xml:space="preserve">whether or not the person is entitled to </w:t>
      </w:r>
      <w:r w:rsidR="002324D2" w:rsidRPr="00CB07C3">
        <w:t>make an application to the FWC</w:t>
      </w:r>
      <w:r w:rsidR="00D62988" w:rsidRPr="00CB07C3">
        <w:t xml:space="preserve"> under s </w:t>
      </w:r>
      <w:r w:rsidR="009C5A54" w:rsidRPr="00CB07C3">
        <w:t>365</w:t>
      </w:r>
      <w:r w:rsidR="00D62988" w:rsidRPr="00CB07C3">
        <w:t xml:space="preserve"> of the FW Act.  </w:t>
      </w:r>
      <w:r w:rsidR="008C7513" w:rsidRPr="00CB07C3">
        <w:t>The</w:t>
      </w:r>
      <w:r w:rsidR="009C5A54" w:rsidRPr="00CB07C3">
        <w:t xml:space="preserve"> opening words to s</w:t>
      </w:r>
      <w:r w:rsidR="00D62988" w:rsidRPr="00CB07C3">
        <w:t> </w:t>
      </w:r>
      <w:r w:rsidR="006A3143" w:rsidRPr="00CB07C3">
        <w:t>368</w:t>
      </w:r>
      <w:r w:rsidR="00D62988" w:rsidRPr="00CB07C3">
        <w:t xml:space="preserve"> of the FW </w:t>
      </w:r>
      <w:r w:rsidR="009C5A54" w:rsidRPr="00CB07C3">
        <w:t xml:space="preserve">Act </w:t>
      </w:r>
      <w:r w:rsidR="008C7513" w:rsidRPr="00CB07C3">
        <w:t xml:space="preserve">would be rendered </w:t>
      </w:r>
      <w:r w:rsidR="009C5A54" w:rsidRPr="00CB07C3">
        <w:t>useless if the FWC were bound to deal with an application that the applicant had no entitlement to make</w:t>
      </w:r>
      <w:r w:rsidR="008C7513" w:rsidRPr="00CB07C3">
        <w:t>,</w:t>
      </w:r>
      <w:r w:rsidR="009C5A54" w:rsidRPr="00CB07C3">
        <w:t xml:space="preserve"> or that did not accord wit</w:t>
      </w:r>
      <w:r w:rsidR="00D62988" w:rsidRPr="00CB07C3">
        <w:t>h the express requirement in s </w:t>
      </w:r>
      <w:r w:rsidR="009C5A54" w:rsidRPr="00CB07C3">
        <w:t>366(1).</w:t>
      </w:r>
      <w:r w:rsidR="00786C97" w:rsidRPr="00CB07C3">
        <w:t xml:space="preserve">  </w:t>
      </w:r>
      <w:r w:rsidR="00643DCA" w:rsidRPr="00CB07C3">
        <w:t>It is true</w:t>
      </w:r>
      <w:r w:rsidRPr="00CB07C3">
        <w:t xml:space="preserve"> that a </w:t>
      </w:r>
      <w:r w:rsidR="00415098" w:rsidRPr="00CB07C3">
        <w:t>c</w:t>
      </w:r>
      <w:r w:rsidRPr="00CB07C3">
        <w:t>ourt may decline to recognise</w:t>
      </w:r>
      <w:r w:rsidR="00786C97" w:rsidRPr="00CB07C3">
        <w:t xml:space="preserve"> an “application” </w:t>
      </w:r>
      <w:r w:rsidRPr="00CB07C3">
        <w:t>or resulting certificate as</w:t>
      </w:r>
      <w:r w:rsidR="00786C97" w:rsidRPr="00CB07C3">
        <w:t xml:space="preserve"> valid when determining an objection to competency of </w:t>
      </w:r>
      <w:r w:rsidRPr="00CB07C3">
        <w:t xml:space="preserve">a legal </w:t>
      </w:r>
      <w:r w:rsidR="00786C97" w:rsidRPr="00CB07C3">
        <w:t>proceeding</w:t>
      </w:r>
      <w:r w:rsidR="00943D5D" w:rsidRPr="00CB07C3">
        <w:t xml:space="preserve"> under s 370 of the FW </w:t>
      </w:r>
      <w:r w:rsidRPr="00CB07C3">
        <w:t xml:space="preserve">Act: see by comparison </w:t>
      </w:r>
      <w:r w:rsidRPr="00CB07C3">
        <w:rPr>
          <w:i/>
        </w:rPr>
        <w:t xml:space="preserve">Forbes v </w:t>
      </w:r>
      <w:proofErr w:type="spellStart"/>
      <w:r w:rsidRPr="00CB07C3">
        <w:rPr>
          <w:i/>
        </w:rPr>
        <w:t>Petbarn</w:t>
      </w:r>
      <w:proofErr w:type="spellEnd"/>
      <w:r w:rsidRPr="00CB07C3">
        <w:rPr>
          <w:i/>
        </w:rPr>
        <w:t xml:space="preserve"> Pty Ltd</w:t>
      </w:r>
      <w:r w:rsidRPr="00CB07C3">
        <w:t xml:space="preserve"> [2018] FCA 256 at [65] to [66].  However, there is nothing in the text, context or purpose of the FW</w:t>
      </w:r>
      <w:r w:rsidR="006B0DC5" w:rsidRPr="00CB07C3">
        <w:t> </w:t>
      </w:r>
      <w:r w:rsidRPr="00CB07C3">
        <w:t>Act evincing an intention that the first opportunity for a respondent to challenge the authority of the FWC to deal with a dispute should be by way of collateral attack on the validity of a certificate after it has been compelled to participate in the FWC’s processes and after court</w:t>
      </w:r>
      <w:r w:rsidR="00943D5D" w:rsidRPr="00CB07C3">
        <w:t xml:space="preserve"> proceedings have commenced.</w:t>
      </w:r>
    </w:p>
    <w:p w14:paraId="6EC72B8D" w14:textId="2A6F6DF1" w:rsidR="006A6C2C" w:rsidRDefault="006A6C2C" w:rsidP="006A6C2C">
      <w:pPr>
        <w:pStyle w:val="Heading2"/>
      </w:pPr>
      <w:r>
        <w:t xml:space="preserve">The decision in </w:t>
      </w:r>
      <w:r>
        <w:rPr>
          <w:i/>
        </w:rPr>
        <w:t>Hewitt</w:t>
      </w:r>
    </w:p>
    <w:bookmarkEnd w:id="23"/>
    <w:p w14:paraId="678EFF01" w14:textId="6CB9792B" w:rsidR="006A6C2C" w:rsidRDefault="00E055D3" w:rsidP="00943D5D">
      <w:pPr>
        <w:pStyle w:val="ParaNumbering"/>
      </w:pPr>
      <w:r>
        <w:t xml:space="preserve">Before concluding, something must be said of the reasoning in </w:t>
      </w:r>
      <w:r>
        <w:rPr>
          <w:i/>
        </w:rPr>
        <w:t>Hewitt</w:t>
      </w:r>
      <w:r>
        <w:t xml:space="preserve"> and the critical steps in the reasoning of the Full Bench in that case.  </w:t>
      </w:r>
      <w:r w:rsidR="00890A98">
        <w:t>The</w:t>
      </w:r>
      <w:r>
        <w:t xml:space="preserve"> reasoning </w:t>
      </w:r>
      <w:r w:rsidR="006A6C2C">
        <w:t>is</w:t>
      </w:r>
      <w:r>
        <w:t xml:space="preserve"> disapproved to the extent that it is inconsistent with the conclusions of this Court.</w:t>
      </w:r>
    </w:p>
    <w:p w14:paraId="550CC475" w14:textId="529E3938" w:rsidR="00E055D3" w:rsidRDefault="00C66624" w:rsidP="004F3BBA">
      <w:pPr>
        <w:pStyle w:val="ParaNumbering"/>
        <w:keepNext/>
      </w:pPr>
      <w:r>
        <w:t xml:space="preserve">In its concluding paragraphs, the Full </w:t>
      </w:r>
      <w:r w:rsidR="00326E5E">
        <w:t>Bench</w:t>
      </w:r>
      <w:r>
        <w:t xml:space="preserve"> in </w:t>
      </w:r>
      <w:r w:rsidRPr="00084085">
        <w:rPr>
          <w:i/>
        </w:rPr>
        <w:t xml:space="preserve">Hewitt </w:t>
      </w:r>
      <w:r>
        <w:t xml:space="preserve">identified an anomaly it perceived would arise should arguments of the kind advanced by Coles in this case be accepted.  </w:t>
      </w:r>
      <w:r w:rsidR="00D3281C">
        <w:t xml:space="preserve">It should be emphasised that Counsel for Mr Milford did not rely on the anomaly perceived by the Full Bench, nor did Counsel seek to explain its meaning. </w:t>
      </w:r>
      <w:r w:rsidR="00943D5D">
        <w:t xml:space="preserve"> </w:t>
      </w:r>
      <w:r w:rsidR="006A6C2C">
        <w:t>It is</w:t>
      </w:r>
      <w:r w:rsidR="000A46E9">
        <w:t xml:space="preserve"> nonetheless</w:t>
      </w:r>
      <w:r w:rsidR="00084085">
        <w:t xml:space="preserve"> </w:t>
      </w:r>
      <w:r w:rsidR="007B0BC4">
        <w:t>appropriate</w:t>
      </w:r>
      <w:r w:rsidR="006A6C2C">
        <w:t xml:space="preserve"> to </w:t>
      </w:r>
      <w:r w:rsidR="00890A98">
        <w:t>comment on</w:t>
      </w:r>
      <w:r w:rsidR="006A6C2C">
        <w:t xml:space="preserve"> </w:t>
      </w:r>
      <w:r w:rsidR="00D3281C">
        <w:t xml:space="preserve">the </w:t>
      </w:r>
      <w:r w:rsidR="006A6C2C">
        <w:t>anomaly</w:t>
      </w:r>
      <w:r w:rsidR="00890A98">
        <w:t xml:space="preserve"> to underscore the error</w:t>
      </w:r>
      <w:r w:rsidR="00084085">
        <w:t>s</w:t>
      </w:r>
      <w:r w:rsidR="00890A98">
        <w:t xml:space="preserve"> of the Full Bench in </w:t>
      </w:r>
      <w:r w:rsidR="00084085">
        <w:t>this matter</w:t>
      </w:r>
      <w:r w:rsidR="006A6C2C">
        <w:t xml:space="preserve">.  </w:t>
      </w:r>
      <w:r>
        <w:t xml:space="preserve">The reasoning </w:t>
      </w:r>
      <w:r w:rsidR="007B0BC4">
        <w:t xml:space="preserve">in relation to the perceived anomaly </w:t>
      </w:r>
      <w:r>
        <w:t>commences (at [46]) as follows:</w:t>
      </w:r>
    </w:p>
    <w:p w14:paraId="392FBDB7" w14:textId="1BB26997" w:rsidR="00C66624" w:rsidRPr="00CD0D63" w:rsidRDefault="00E97822" w:rsidP="002E6E38">
      <w:pPr>
        <w:pStyle w:val="Quote1"/>
      </w:pPr>
      <w:bookmarkStart w:id="24" w:name="PastedTemp76"/>
      <w:r w:rsidRPr="00CD0D63">
        <w:t xml:space="preserve">Let us assume that the Commission must make a determination that the </w:t>
      </w:r>
      <w:r w:rsidR="00784A66" w:rsidRPr="00CD0D63">
        <w:t>applicant has been ‘</w:t>
      </w:r>
      <w:r w:rsidRPr="00CD0D63">
        <w:t>dismissed</w:t>
      </w:r>
      <w:r w:rsidR="00784A66" w:rsidRPr="00CD0D63">
        <w:t>’</w:t>
      </w:r>
      <w:r w:rsidRPr="00CD0D63">
        <w:t xml:space="preserve"> from their employment (within the meaning of s</w:t>
      </w:r>
      <w:r w:rsidR="00784A66" w:rsidRPr="00CD0D63">
        <w:t> </w:t>
      </w:r>
      <w:r w:rsidRPr="00CD0D63">
        <w:t>365) before the Commission can conduct a conference.</w:t>
      </w:r>
      <w:r w:rsidR="00784A66" w:rsidRPr="00CD0D63">
        <w:t xml:space="preserve"> </w:t>
      </w:r>
    </w:p>
    <w:p w14:paraId="4C623BDD" w14:textId="06BD58CB" w:rsidR="00C66624" w:rsidRPr="00CD0D63" w:rsidRDefault="00D62988" w:rsidP="00D62988">
      <w:pPr>
        <w:pStyle w:val="ParaNumbering"/>
        <w:keepNext/>
      </w:pPr>
      <w:r w:rsidRPr="00CD0D63">
        <w:t>The Full Bench continued:</w:t>
      </w:r>
    </w:p>
    <w:p w14:paraId="0C0EBF94" w14:textId="4E15B6C6" w:rsidR="00C66624" w:rsidRPr="00CD0D63" w:rsidRDefault="00E97822" w:rsidP="002E6E38">
      <w:pPr>
        <w:pStyle w:val="Quote1"/>
      </w:pPr>
      <w:r w:rsidRPr="00CD0D63">
        <w:t xml:space="preserve">If we further assume that in a particular case the Commission determines that the applicant was </w:t>
      </w:r>
      <w:r w:rsidRPr="00CD0D63">
        <w:rPr>
          <w:i/>
        </w:rPr>
        <w:t>not</w:t>
      </w:r>
      <w:r w:rsidRPr="00CD0D63">
        <w:t xml:space="preserve"> dismissed and accordingly does not conduct a conference or issue a certificate (as happened in this matter at first instance), what happens next?</w:t>
      </w:r>
      <w:r w:rsidR="00784A66" w:rsidRPr="00CD0D63">
        <w:t xml:space="preserve"> </w:t>
      </w:r>
    </w:p>
    <w:p w14:paraId="52F3E4AE" w14:textId="427A0490" w:rsidR="00C66624" w:rsidRPr="00CB07C3" w:rsidRDefault="00890A98" w:rsidP="00C66624">
      <w:pPr>
        <w:pStyle w:val="ParaNumbering"/>
      </w:pPr>
      <w:r w:rsidRPr="00CB07C3">
        <w:lastRenderedPageBreak/>
        <w:t>The correct answer is as follows.</w:t>
      </w:r>
      <w:r w:rsidR="00C66624" w:rsidRPr="00CB07C3">
        <w:t xml:space="preserve">  The applicant may proceed with a non-dismissal application depending on the circumstances of the case</w:t>
      </w:r>
      <w:r w:rsidR="0075687E" w:rsidRPr="00CB07C3">
        <w:t xml:space="preserve"> and </w:t>
      </w:r>
      <w:r w:rsidR="000A46E9" w:rsidRPr="00CB07C3">
        <w:t xml:space="preserve">on </w:t>
      </w:r>
      <w:r w:rsidR="0075687E" w:rsidRPr="00CB07C3">
        <w:t xml:space="preserve">whether he or she is prepared to accept the FWC’s determination </w:t>
      </w:r>
      <w:r w:rsidRPr="00CB07C3">
        <w:t>on</w:t>
      </w:r>
      <w:r w:rsidR="0075687E" w:rsidRPr="00CB07C3">
        <w:t xml:space="preserve"> the question</w:t>
      </w:r>
      <w:r w:rsidRPr="00CB07C3">
        <w:t xml:space="preserve"> of whether there was a dismissal</w:t>
      </w:r>
      <w:r w:rsidR="00C66624" w:rsidRPr="00CB07C3">
        <w:t xml:space="preserve">.  </w:t>
      </w:r>
      <w:r w:rsidRPr="00CB07C3">
        <w:t>However</w:t>
      </w:r>
      <w:r w:rsidR="00C66624" w:rsidRPr="00CB07C3">
        <w:t>, the determination that there has been no dismissal (even if upheld on appeal to the Full Bench) is not authoritative i</w:t>
      </w:r>
      <w:r w:rsidR="00D76346" w:rsidRPr="00CB07C3">
        <w:t xml:space="preserve">n the sense of being final. </w:t>
      </w:r>
      <w:r w:rsidR="00C66624" w:rsidRPr="00CB07C3">
        <w:t xml:space="preserve"> If </w:t>
      </w:r>
      <w:r w:rsidR="006B0DC5" w:rsidRPr="00CB07C3">
        <w:t xml:space="preserve">the </w:t>
      </w:r>
      <w:r w:rsidRPr="00CB07C3">
        <w:t>FWC errs in determining a question upon which its authority depends, it will commit</w:t>
      </w:r>
      <w:r w:rsidR="00C66624" w:rsidRPr="00CB07C3">
        <w:t xml:space="preserve"> jurisdictional error by wrongfully </w:t>
      </w:r>
      <w:r w:rsidR="0075687E" w:rsidRPr="00CB07C3">
        <w:t>denying that</w:t>
      </w:r>
      <w:r w:rsidR="00C66624" w:rsidRPr="00CB07C3">
        <w:t xml:space="preserve"> it has no authority to “</w:t>
      </w:r>
      <w:r w:rsidR="00D76346" w:rsidRPr="00CB07C3">
        <w:t>deal with the dispute” under s </w:t>
      </w:r>
      <w:r w:rsidR="00C66624" w:rsidRPr="00CB07C3">
        <w:t>368</w:t>
      </w:r>
      <w:r w:rsidR="00D76346" w:rsidRPr="00CB07C3">
        <w:t xml:space="preserve"> of the FW </w:t>
      </w:r>
      <w:r w:rsidR="00C66624" w:rsidRPr="00CB07C3">
        <w:t xml:space="preserve">Act.  An affected applicant in such a case may apply to this Court for relief, just as Coles has done in respect </w:t>
      </w:r>
      <w:r w:rsidR="003D5B63" w:rsidRPr="00CB07C3">
        <w:t>of an alleged wrongful assumption of jurisdiction.</w:t>
      </w:r>
    </w:p>
    <w:p w14:paraId="3B7DB82E" w14:textId="4F82910A" w:rsidR="003D5B63" w:rsidRPr="00C66624" w:rsidRDefault="003D5B63" w:rsidP="00D76346">
      <w:pPr>
        <w:pStyle w:val="ParaNumbering"/>
        <w:keepNext/>
      </w:pPr>
      <w:r>
        <w:t>The Full Bench continued:</w:t>
      </w:r>
    </w:p>
    <w:p w14:paraId="4D66FB67" w14:textId="002AB36C" w:rsidR="00784A66" w:rsidRPr="00CD0D63" w:rsidRDefault="00E97822" w:rsidP="003D5B63">
      <w:pPr>
        <w:pStyle w:val="Quote1"/>
        <w:ind w:left="1440"/>
      </w:pPr>
      <w:r w:rsidRPr="00CD0D63">
        <w:t xml:space="preserve">On the face of </w:t>
      </w:r>
      <w:r w:rsidR="00784A66" w:rsidRPr="00CD0D63">
        <w:t>it there would be no bar to Ms </w:t>
      </w:r>
      <w:r w:rsidRPr="00CD0D63">
        <w:t>Hewitt making a general protections application to the Federal Court or the Federal Circuit Court seeking remedial orders under Pt 4-1 of the Act.</w:t>
      </w:r>
      <w:r w:rsidR="00784A66" w:rsidRPr="00CD0D63">
        <w:t xml:space="preserve"> </w:t>
      </w:r>
      <w:r w:rsidR="00D76346" w:rsidRPr="00CD0D63">
        <w:t xml:space="preserve"> </w:t>
      </w:r>
      <w:r w:rsidRPr="00CD0D63">
        <w:t xml:space="preserve">Such an application could be made because the prohibition in </w:t>
      </w:r>
      <w:r w:rsidR="00784A66" w:rsidRPr="00CD0D63">
        <w:t>s </w:t>
      </w:r>
      <w:r w:rsidRPr="00CD0D63">
        <w:t>371(1)(a) against making a court application without a s</w:t>
      </w:r>
      <w:r w:rsidR="00784A66" w:rsidRPr="00CD0D63">
        <w:t> </w:t>
      </w:r>
      <w:r w:rsidRPr="00CD0D63">
        <w:t xml:space="preserve">369 certificate only applies to </w:t>
      </w:r>
      <w:r w:rsidR="00784A66" w:rsidRPr="00CD0D63">
        <w:t>‘</w:t>
      </w:r>
      <w:r w:rsidRPr="00CD0D63">
        <w:t>a person who is entitled to apply under s 365</w:t>
      </w:r>
      <w:r w:rsidR="00784A66" w:rsidRPr="00CD0D63">
        <w:t>’</w:t>
      </w:r>
      <w:r w:rsidRPr="00CD0D63">
        <w:t>.</w:t>
      </w:r>
      <w:r w:rsidR="00784A66" w:rsidRPr="00CD0D63">
        <w:t xml:space="preserve"> </w:t>
      </w:r>
      <w:r w:rsidR="00D76346" w:rsidRPr="00CD0D63">
        <w:t xml:space="preserve"> </w:t>
      </w:r>
      <w:r w:rsidRPr="00CD0D63">
        <w:t xml:space="preserve">This prohibition </w:t>
      </w:r>
      <w:r w:rsidR="00784A66" w:rsidRPr="00CD0D63">
        <w:t>would not apply to Ms </w:t>
      </w:r>
      <w:r w:rsidRPr="00CD0D63">
        <w:t>Hewitt because she wa</w:t>
      </w:r>
      <w:r w:rsidR="00784A66" w:rsidRPr="00CD0D63">
        <w:t>s not entitled to apply under s </w:t>
      </w:r>
      <w:r w:rsidRPr="00CD0D63">
        <w:t>365</w:t>
      </w:r>
      <w:r w:rsidR="00784A66" w:rsidRPr="00CD0D63">
        <w:t xml:space="preserve"> as she had not been ‘</w:t>
      </w:r>
      <w:r w:rsidRPr="00CD0D63">
        <w:t>dismissed</w:t>
      </w:r>
      <w:r w:rsidR="00784A66" w:rsidRPr="00CD0D63">
        <w:t>’</w:t>
      </w:r>
      <w:r w:rsidRPr="00CD0D63">
        <w:t xml:space="preserve"> from her employment. </w:t>
      </w:r>
      <w:r w:rsidR="00D76346" w:rsidRPr="00CD0D63">
        <w:t xml:space="preserve"> </w:t>
      </w:r>
      <w:r w:rsidRPr="00CD0D63">
        <w:t>But what might happen next?</w:t>
      </w:r>
    </w:p>
    <w:p w14:paraId="0DD60987" w14:textId="3806866D" w:rsidR="0075687E" w:rsidRPr="00CB07C3" w:rsidRDefault="003D5B63" w:rsidP="003D5B63">
      <w:pPr>
        <w:pStyle w:val="ParaNumbering"/>
      </w:pPr>
      <w:r w:rsidRPr="00CB07C3">
        <w:t xml:space="preserve">Since </w:t>
      </w:r>
      <w:r w:rsidRPr="00CB07C3">
        <w:rPr>
          <w:i/>
        </w:rPr>
        <w:t>Hewitt</w:t>
      </w:r>
      <w:r w:rsidRPr="00CB07C3">
        <w:t xml:space="preserve"> was decided</w:t>
      </w:r>
      <w:r w:rsidR="00D76346" w:rsidRPr="00CB07C3">
        <w:t xml:space="preserve"> the prohibition contained in s </w:t>
      </w:r>
      <w:r w:rsidRPr="00CB07C3">
        <w:t>371(1)(a) and the power</w:t>
      </w:r>
      <w:r w:rsidR="00D76346" w:rsidRPr="00CB07C3">
        <w:t xml:space="preserve"> to issue a certificate under s </w:t>
      </w:r>
      <w:r w:rsidRPr="00CB07C3">
        <w:t>369 are no</w:t>
      </w:r>
      <w:r w:rsidR="0075687E" w:rsidRPr="00CB07C3">
        <w:t>w</w:t>
      </w:r>
      <w:r w:rsidRPr="00CB07C3">
        <w:t xml:space="preserve"> contained </w:t>
      </w:r>
      <w:r w:rsidR="0075687E" w:rsidRPr="00CB07C3">
        <w:t xml:space="preserve">(in relevantly the same terms) </w:t>
      </w:r>
      <w:r w:rsidR="00D76346" w:rsidRPr="00CB07C3">
        <w:t>in s </w:t>
      </w:r>
      <w:r w:rsidRPr="00CB07C3">
        <w:t>370</w:t>
      </w:r>
      <w:r w:rsidR="00D76346" w:rsidRPr="00CB07C3">
        <w:t xml:space="preserve"> and s </w:t>
      </w:r>
      <w:r w:rsidRPr="00CB07C3">
        <w:t>368(3) respectively (</w:t>
      </w:r>
      <w:r w:rsidR="00B24764" w:rsidRPr="00CB07C3">
        <w:t>see [20</w:t>
      </w:r>
      <w:r w:rsidRPr="00CB07C3">
        <w:t xml:space="preserve">] and </w:t>
      </w:r>
      <w:r w:rsidR="00B24764" w:rsidRPr="00CB07C3">
        <w:t>[18</w:t>
      </w:r>
      <w:r w:rsidRPr="00CB07C3">
        <w:t>] above).  The phrase “general protections court application” was defined then (as now) as an applic</w:t>
      </w:r>
      <w:r w:rsidR="00D76346" w:rsidRPr="00CB07C3">
        <w:t xml:space="preserve">ation to a court under </w:t>
      </w:r>
      <w:proofErr w:type="spellStart"/>
      <w:r w:rsidR="00D76346" w:rsidRPr="00CB07C3">
        <w:t>Div</w:t>
      </w:r>
      <w:proofErr w:type="spellEnd"/>
      <w:r w:rsidR="00D76346" w:rsidRPr="00CB07C3">
        <w:t> 2 of Pt </w:t>
      </w:r>
      <w:r w:rsidRPr="00CB07C3">
        <w:t>4-1 for orders in re</w:t>
      </w:r>
      <w:r w:rsidR="00D76346" w:rsidRPr="00CB07C3">
        <w:t>lation to a contravention of Pt </w:t>
      </w:r>
      <w:r w:rsidRPr="00CB07C3">
        <w:t>3-1.  The proposition that a pe</w:t>
      </w:r>
      <w:r w:rsidR="00D76346" w:rsidRPr="00CB07C3">
        <w:t xml:space="preserve">rson who was determined by the </w:t>
      </w:r>
      <w:r w:rsidRPr="00CB07C3">
        <w:t>FWC not to be a p</w:t>
      </w:r>
      <w:r w:rsidR="00D76346" w:rsidRPr="00CB07C3">
        <w:t>erson entitled to apply under s </w:t>
      </w:r>
      <w:r w:rsidRPr="00CB07C3">
        <w:t xml:space="preserve">365 </w:t>
      </w:r>
      <w:r w:rsidR="0075687E" w:rsidRPr="00CB07C3">
        <w:t>could</w:t>
      </w:r>
      <w:r w:rsidRPr="00CB07C3">
        <w:t xml:space="preserve"> </w:t>
      </w:r>
      <w:r w:rsidR="000A46E9" w:rsidRPr="00CB07C3">
        <w:t xml:space="preserve">as a matter of practical reality succeed on an application </w:t>
      </w:r>
      <w:r w:rsidR="00D76346" w:rsidRPr="00CB07C3">
        <w:t xml:space="preserve">for relief under Pt 4-1 of the FW Act </w:t>
      </w:r>
      <w:r w:rsidR="000A46E9" w:rsidRPr="00CB07C3">
        <w:t>in relation to a contravention of Pt</w:t>
      </w:r>
      <w:r w:rsidR="0031774D" w:rsidRPr="00CB07C3">
        <w:t> </w:t>
      </w:r>
      <w:r w:rsidR="000A46E9" w:rsidRPr="00CB07C3">
        <w:t xml:space="preserve">3-1 involving dismissal </w:t>
      </w:r>
      <w:r w:rsidR="00D76346" w:rsidRPr="00CB07C3">
        <w:t xml:space="preserve">is a peculiar one.  </w:t>
      </w:r>
      <w:r w:rsidR="000A46E9" w:rsidRPr="00CB07C3">
        <w:t>W</w:t>
      </w:r>
      <w:r w:rsidR="00890A98" w:rsidRPr="00CB07C3">
        <w:t xml:space="preserve">hat is the person to plead?  </w:t>
      </w:r>
      <w:r w:rsidRPr="00CB07C3">
        <w:t xml:space="preserve">To avoid a successful objection to the competency of such an application, it would be necessary for the litigant to show that </w:t>
      </w:r>
      <w:r w:rsidR="006D19A9" w:rsidRPr="00CB07C3">
        <w:t>the prohibition in s </w:t>
      </w:r>
      <w:r w:rsidR="00890A98" w:rsidRPr="00CB07C3">
        <w:t xml:space="preserve">370 does not apply.  </w:t>
      </w:r>
      <w:r w:rsidRPr="00CB07C3">
        <w:t xml:space="preserve">Such a contention would involve a denial </w:t>
      </w:r>
      <w:r w:rsidR="0075687E" w:rsidRPr="00CB07C3">
        <w:t>by the applicant</w:t>
      </w:r>
      <w:r w:rsidR="0075687E" w:rsidRPr="00CB07C3">
        <w:rPr>
          <w:i/>
        </w:rPr>
        <w:t xml:space="preserve"> </w:t>
      </w:r>
      <w:r w:rsidRPr="00CB07C3">
        <w:t>that</w:t>
      </w:r>
      <w:r w:rsidR="000A46E9" w:rsidRPr="00CB07C3">
        <w:t xml:space="preserve"> he or she </w:t>
      </w:r>
      <w:r w:rsidR="00F2551F" w:rsidRPr="00CB07C3">
        <w:t>is a person who is</w:t>
      </w:r>
      <w:r w:rsidR="000A46E9" w:rsidRPr="00CB07C3">
        <w:t xml:space="preserve"> entit</w:t>
      </w:r>
      <w:r w:rsidR="00943D5D" w:rsidRPr="00CB07C3">
        <w:t>led to apply to the FWC under s </w:t>
      </w:r>
      <w:r w:rsidR="000A46E9" w:rsidRPr="00CB07C3">
        <w:t>365 and so deny</w:t>
      </w:r>
      <w:r w:rsidRPr="00CB07C3">
        <w:t xml:space="preserve"> the </w:t>
      </w:r>
      <w:r w:rsidR="002421AE" w:rsidRPr="00CB07C3">
        <w:t xml:space="preserve">objective </w:t>
      </w:r>
      <w:r w:rsidR="00D76346" w:rsidRPr="00CB07C3">
        <w:t xml:space="preserve">circumstance </w:t>
      </w:r>
      <w:r w:rsidR="00084085" w:rsidRPr="00CB07C3">
        <w:t xml:space="preserve">of his </w:t>
      </w:r>
      <w:r w:rsidR="0031774D" w:rsidRPr="00CB07C3">
        <w:t xml:space="preserve">or her </w:t>
      </w:r>
      <w:r w:rsidR="00084085" w:rsidRPr="00CB07C3">
        <w:t xml:space="preserve">dismissal </w:t>
      </w:r>
      <w:r w:rsidR="00D76346" w:rsidRPr="00CB07C3">
        <w:t>in s </w:t>
      </w:r>
      <w:r w:rsidRPr="00CB07C3">
        <w:t>365(1)(a)</w:t>
      </w:r>
      <w:r w:rsidR="00890A98" w:rsidRPr="00CB07C3">
        <w:t xml:space="preserve">.  Taking that </w:t>
      </w:r>
      <w:r w:rsidR="0075687E" w:rsidRPr="00CB07C3">
        <w:t xml:space="preserve">position </w:t>
      </w:r>
      <w:r w:rsidR="00890A98" w:rsidRPr="00CB07C3">
        <w:t xml:space="preserve">would be </w:t>
      </w:r>
      <w:r w:rsidR="0075687E" w:rsidRPr="00CB07C3">
        <w:t xml:space="preserve">fatal to the substantive </w:t>
      </w:r>
      <w:r w:rsidR="000A46E9" w:rsidRPr="00CB07C3">
        <w:t>allegation that he or she had been dismissed for a prohibited reason</w:t>
      </w:r>
      <w:r w:rsidR="00D76346" w:rsidRPr="00CB07C3">
        <w:t>.</w:t>
      </w:r>
      <w:r w:rsidR="000A46E9" w:rsidRPr="00CB07C3">
        <w:t xml:space="preserve">  </w:t>
      </w:r>
      <w:r w:rsidR="00F2551F" w:rsidRPr="00CB07C3">
        <w:t>The scenario posited by the Full Ben</w:t>
      </w:r>
      <w:r w:rsidR="00943D5D" w:rsidRPr="00CB07C3">
        <w:t xml:space="preserve">ch could not sensibly arise.  </w:t>
      </w:r>
      <w:r w:rsidR="00F2551F" w:rsidRPr="00CB07C3">
        <w:t>It certainly does not arise as a consequenc</w:t>
      </w:r>
      <w:r w:rsidR="00943D5D" w:rsidRPr="00CB07C3">
        <w:t>e of the construction of the FW </w:t>
      </w:r>
      <w:r w:rsidR="00F2551F" w:rsidRPr="00CB07C3">
        <w:t>Act articulated in these reasons.</w:t>
      </w:r>
    </w:p>
    <w:p w14:paraId="7395A64D" w14:textId="1EADD457" w:rsidR="0075687E" w:rsidRDefault="0075687E" w:rsidP="009E74D2">
      <w:pPr>
        <w:pStyle w:val="Heading1"/>
      </w:pPr>
      <w:bookmarkStart w:id="25" w:name="PastedTemp81"/>
      <w:r>
        <w:lastRenderedPageBreak/>
        <w:t>RELIEF</w:t>
      </w:r>
    </w:p>
    <w:bookmarkEnd w:id="25"/>
    <w:bookmarkEnd w:id="24"/>
    <w:p w14:paraId="3FA1DBC6" w14:textId="1EFFA2E7" w:rsidR="005704C3" w:rsidRDefault="00F2551F" w:rsidP="005704C3">
      <w:pPr>
        <w:pStyle w:val="ParaNumbering"/>
        <w:keepNext/>
      </w:pPr>
      <w:r>
        <w:t>Coles seek</w:t>
      </w:r>
      <w:r w:rsidR="00132654">
        <w:t>s</w:t>
      </w:r>
      <w:r>
        <w:t xml:space="preserve"> relief in the following terms</w:t>
      </w:r>
      <w:r w:rsidR="005704C3">
        <w:t>:</w:t>
      </w:r>
    </w:p>
    <w:p w14:paraId="3F79064F" w14:textId="77777777" w:rsidR="005704C3" w:rsidRPr="00CD0D63" w:rsidRDefault="005704C3" w:rsidP="005704C3">
      <w:pPr>
        <w:pStyle w:val="Quote1"/>
        <w:ind w:left="1440" w:hanging="703"/>
      </w:pPr>
      <w:r w:rsidRPr="00CD0D63">
        <w:t>1.</w:t>
      </w:r>
      <w:r w:rsidRPr="00CD0D63">
        <w:tab/>
        <w:t xml:space="preserve">A writ in the nature of certiorari directed to the Fair Work Commission that the decision made by the Full Bench of the Fair Work Commission on 26 November 2019 in </w:t>
      </w:r>
      <w:r w:rsidRPr="00CD0D63">
        <w:rPr>
          <w:i/>
        </w:rPr>
        <w:t>Cameron Milford v Coles Supply Chain Pty Ltd</w:t>
      </w:r>
      <w:r w:rsidRPr="00CD0D63">
        <w:t xml:space="preserve"> [2019] FWCFB 7658 (in Matter No. C2019/4735) be quashed;</w:t>
      </w:r>
    </w:p>
    <w:p w14:paraId="20F3D433" w14:textId="311E6900" w:rsidR="005704C3" w:rsidRPr="00CD0D63" w:rsidRDefault="005704C3" w:rsidP="005704C3">
      <w:pPr>
        <w:pStyle w:val="Quote1"/>
        <w:ind w:left="1440" w:hanging="703"/>
      </w:pPr>
      <w:r w:rsidRPr="00CD0D63">
        <w:t>2.</w:t>
      </w:r>
      <w:r w:rsidRPr="00CD0D63">
        <w:tab/>
        <w:t xml:space="preserve">A writ in the nature of prohibition to the Fair Work Commission preventing it from hearing and deciding the applications in Matter No. C2018/4297 and Matter No. to </w:t>
      </w:r>
      <w:r w:rsidR="001D7832" w:rsidRPr="00CD0D63">
        <w:t xml:space="preserve">[sic] </w:t>
      </w:r>
      <w:r w:rsidRPr="00CD0D63">
        <w:t xml:space="preserve">C2019/7695 in reliance on the Full Bench’s decision in </w:t>
      </w:r>
      <w:r w:rsidRPr="00CD0D63">
        <w:rPr>
          <w:i/>
        </w:rPr>
        <w:t xml:space="preserve">Cameron Milford v Coles Supply Chain Pty Ltd </w:t>
      </w:r>
      <w:r w:rsidRPr="00CD0D63">
        <w:t>[2019] FWCFB 7658;</w:t>
      </w:r>
    </w:p>
    <w:p w14:paraId="452077A7" w14:textId="77777777" w:rsidR="005704C3" w:rsidRPr="00CD0D63" w:rsidRDefault="005704C3" w:rsidP="005704C3">
      <w:pPr>
        <w:pStyle w:val="Quote1"/>
        <w:ind w:left="1440" w:hanging="703"/>
      </w:pPr>
      <w:r w:rsidRPr="00CD0D63">
        <w:t>3.</w:t>
      </w:r>
      <w:r w:rsidRPr="00CD0D63">
        <w:tab/>
        <w:t>An order in the nature of mandamus requiring the Fair Work Commission to hear and determine the proceedings according to law;</w:t>
      </w:r>
    </w:p>
    <w:p w14:paraId="099B1451" w14:textId="77777777" w:rsidR="005704C3" w:rsidRPr="00CD0D63" w:rsidRDefault="005704C3" w:rsidP="005704C3">
      <w:pPr>
        <w:pStyle w:val="Quote1"/>
        <w:ind w:left="1440" w:hanging="703"/>
      </w:pPr>
      <w:r w:rsidRPr="00CD0D63">
        <w:t>4.</w:t>
      </w:r>
      <w:r w:rsidRPr="00CD0D63">
        <w:tab/>
        <w:t xml:space="preserve">A Declaration that, on a proper construction of section 366(1) of the </w:t>
      </w:r>
      <w:r w:rsidRPr="00CD0D63">
        <w:rPr>
          <w:i/>
        </w:rPr>
        <w:t xml:space="preserve">Fair Work Act 2009 </w:t>
      </w:r>
      <w:r w:rsidRPr="00CD0D63">
        <w:t>(</w:t>
      </w:r>
      <w:proofErr w:type="spellStart"/>
      <w:r w:rsidRPr="00CD0D63">
        <w:t>Cth</w:t>
      </w:r>
      <w:proofErr w:type="spellEnd"/>
      <w:r w:rsidRPr="00CD0D63">
        <w:t>):</w:t>
      </w:r>
    </w:p>
    <w:p w14:paraId="1D672851" w14:textId="77777777" w:rsidR="005704C3" w:rsidRPr="00CD0D63" w:rsidRDefault="005704C3" w:rsidP="005704C3">
      <w:pPr>
        <w:pStyle w:val="Quote2"/>
        <w:ind w:left="2160" w:hanging="720"/>
      </w:pPr>
      <w:r w:rsidRPr="00CD0D63">
        <w:t>a.</w:t>
      </w:r>
      <w:r w:rsidRPr="00CD0D63">
        <w:tab/>
        <w:t>the Fair Work Commission is required to determine the date on which a dismissal took effect; and</w:t>
      </w:r>
    </w:p>
    <w:p w14:paraId="19826A71" w14:textId="77777777" w:rsidR="005704C3" w:rsidRPr="00CD0D63" w:rsidRDefault="005704C3" w:rsidP="005704C3">
      <w:pPr>
        <w:pStyle w:val="Quote2"/>
        <w:ind w:left="2160" w:hanging="720"/>
      </w:pPr>
      <w:r w:rsidRPr="00CD0D63">
        <w:t>b.</w:t>
      </w:r>
      <w:r w:rsidRPr="00CD0D63">
        <w:tab/>
        <w:t>the determination by the Fair Work Commission as to the date on which a dismissal took effect is not limited to the date of dismissal as pleaded in a relevant application made to it.</w:t>
      </w:r>
    </w:p>
    <w:p w14:paraId="3B3A41AD" w14:textId="77777777" w:rsidR="005704C3" w:rsidRPr="00CD0D63" w:rsidRDefault="005704C3" w:rsidP="005704C3">
      <w:pPr>
        <w:pStyle w:val="Quote1"/>
        <w:ind w:left="1440" w:hanging="703"/>
      </w:pPr>
      <w:r w:rsidRPr="00CD0D63">
        <w:t>5.</w:t>
      </w:r>
      <w:r w:rsidRPr="00CD0D63">
        <w:tab/>
        <w:t xml:space="preserve">A Declaration that, on a proper application of section 366(1) of the </w:t>
      </w:r>
      <w:r w:rsidRPr="00CD0D63">
        <w:rPr>
          <w:i/>
        </w:rPr>
        <w:t>Fair Work Act 2009</w:t>
      </w:r>
      <w:r w:rsidRPr="00CD0D63">
        <w:t xml:space="preserve"> (</w:t>
      </w:r>
      <w:proofErr w:type="spellStart"/>
      <w:r w:rsidRPr="00CD0D63">
        <w:t>Cth</w:t>
      </w:r>
      <w:proofErr w:type="spellEnd"/>
      <w:r w:rsidRPr="00CD0D63">
        <w:t>), Mr Cameron Milford’s dismissal from his employment with Coles Supply Chain Pty Ltd took effect on either 13 June 2016 or 1 July 2016.</w:t>
      </w:r>
    </w:p>
    <w:p w14:paraId="0A7C9AE8" w14:textId="0A3ECD62" w:rsidR="005704C3" w:rsidRDefault="00084085" w:rsidP="006D19A9">
      <w:pPr>
        <w:pStyle w:val="ParaNumbering"/>
        <w:keepNext/>
      </w:pPr>
      <w:r>
        <w:t>It is</w:t>
      </w:r>
      <w:r w:rsidR="00F2551F">
        <w:t xml:space="preserve"> appropriate to grant relief in terms </w:t>
      </w:r>
      <w:r w:rsidR="00F2551F" w:rsidRPr="009D5404">
        <w:t xml:space="preserve">of </w:t>
      </w:r>
      <w:r w:rsidR="001964EE" w:rsidRPr="006842DA">
        <w:t xml:space="preserve">orders in the nature of </w:t>
      </w:r>
      <w:r w:rsidRPr="009D5404">
        <w:t>writ</w:t>
      </w:r>
      <w:r w:rsidR="001964EE" w:rsidRPr="006842DA">
        <w:t>s</w:t>
      </w:r>
      <w:r w:rsidRPr="009D5404">
        <w:t xml:space="preserve"> </w:t>
      </w:r>
      <w:r>
        <w:t>of certiorari and mandamus</w:t>
      </w:r>
      <w:r w:rsidR="00F2551F">
        <w:t xml:space="preserve">.  </w:t>
      </w:r>
      <w:r w:rsidR="005704C3">
        <w:t xml:space="preserve">There </w:t>
      </w:r>
      <w:r w:rsidR="00F2551F">
        <w:t xml:space="preserve">will </w:t>
      </w:r>
      <w:r w:rsidR="005704C3">
        <w:t>be orders in the nature of the constitutional writs in respect of the Full Bench decision as follows:</w:t>
      </w:r>
    </w:p>
    <w:p w14:paraId="44DDDD85" w14:textId="7DE0E62C" w:rsidR="005704C3" w:rsidRPr="00051B41" w:rsidRDefault="005704C3" w:rsidP="005704C3">
      <w:pPr>
        <w:pStyle w:val="ListNo1"/>
        <w:numPr>
          <w:ilvl w:val="0"/>
          <w:numId w:val="39"/>
        </w:numPr>
      </w:pPr>
      <w:r>
        <w:t xml:space="preserve">an order in the nature of certiorari </w:t>
      </w:r>
      <w:r w:rsidRPr="00051B41">
        <w:t>directed to the F</w:t>
      </w:r>
      <w:r w:rsidR="00051B41" w:rsidRPr="00051B41">
        <w:t>WC</w:t>
      </w:r>
      <w:r w:rsidRPr="00051B41">
        <w:t xml:space="preserve"> quashing the decisi</w:t>
      </w:r>
      <w:r w:rsidR="006D19A9" w:rsidRPr="00051B41">
        <w:t>on of the Full Bench made on 26 </w:t>
      </w:r>
      <w:r w:rsidRPr="00051B41">
        <w:t xml:space="preserve">November 2019 in the </w:t>
      </w:r>
      <w:r w:rsidR="006D19A9" w:rsidRPr="00051B41">
        <w:t>purported disposition of the Mr </w:t>
      </w:r>
      <w:r w:rsidRPr="00051B41">
        <w:t>Milford’s appeal;</w:t>
      </w:r>
    </w:p>
    <w:p w14:paraId="0E880432" w14:textId="3ADD4987" w:rsidR="005704C3" w:rsidRPr="009F235D" w:rsidRDefault="005704C3" w:rsidP="00D009BE">
      <w:pPr>
        <w:pStyle w:val="ListNo1"/>
        <w:numPr>
          <w:ilvl w:val="0"/>
          <w:numId w:val="39"/>
        </w:numPr>
      </w:pPr>
      <w:r w:rsidRPr="00051B41">
        <w:t xml:space="preserve">an order in the nature of mandamus requiring the </w:t>
      </w:r>
      <w:r w:rsidR="00051B41" w:rsidRPr="00051B41">
        <w:t>F</w:t>
      </w:r>
      <w:r w:rsidRPr="00051B41">
        <w:t>WC (constituted</w:t>
      </w:r>
      <w:r>
        <w:t xml:space="preserve"> of a Full </w:t>
      </w:r>
      <w:r w:rsidR="006D19A9">
        <w:t>Bench) to hear and determine Mr </w:t>
      </w:r>
      <w:r>
        <w:t>Milford’s</w:t>
      </w:r>
      <w:r w:rsidR="00084085">
        <w:t xml:space="preserve"> application f</w:t>
      </w:r>
      <w:r w:rsidR="00943D5D">
        <w:t>or permission to appeal under s 604(1) of the FW </w:t>
      </w:r>
      <w:r w:rsidR="00084085">
        <w:t>Act</w:t>
      </w:r>
      <w:r>
        <w:t xml:space="preserve"> </w:t>
      </w:r>
      <w:r w:rsidR="006D19A9">
        <w:t>in accordance with the law</w:t>
      </w:r>
      <w:r w:rsidR="00084085">
        <w:t>.</w:t>
      </w:r>
    </w:p>
    <w:p w14:paraId="56E49B4B" w14:textId="7BAC809E" w:rsidR="005704C3" w:rsidRPr="00CB07C3" w:rsidRDefault="005704C3" w:rsidP="005704C3">
      <w:pPr>
        <w:pStyle w:val="ParaNumbering"/>
      </w:pPr>
      <w:r w:rsidRPr="00CB07C3">
        <w:t xml:space="preserve">The Court has the power to make a </w:t>
      </w:r>
      <w:r w:rsidR="006D19A9" w:rsidRPr="00CB07C3">
        <w:t>declaration of right under to s </w:t>
      </w:r>
      <w:r w:rsidRPr="00CB07C3">
        <w:t xml:space="preserve">21 of the Federal Court of Australia Act in relation to matters in respect of which it has original jurisdiction.  In addition to the jurisdiction </w:t>
      </w:r>
      <w:r w:rsidR="006D19A9" w:rsidRPr="00CB07C3">
        <w:t xml:space="preserve">conferred on </w:t>
      </w:r>
      <w:r w:rsidR="00F2551F" w:rsidRPr="00CB07C3">
        <w:t xml:space="preserve">the </w:t>
      </w:r>
      <w:r w:rsidR="006D19A9" w:rsidRPr="00CB07C3">
        <w:t>Court under s </w:t>
      </w:r>
      <w:r w:rsidRPr="00CB07C3">
        <w:t>39B</w:t>
      </w:r>
      <w:r w:rsidR="006D19A9" w:rsidRPr="00CB07C3">
        <w:t xml:space="preserve"> of the Judiciary Act, s </w:t>
      </w:r>
      <w:r w:rsidRPr="00CB07C3">
        <w:t>562</w:t>
      </w:r>
      <w:r w:rsidR="006D19A9" w:rsidRPr="00CB07C3">
        <w:t xml:space="preserve"> of the FW </w:t>
      </w:r>
      <w:r w:rsidRPr="00CB07C3">
        <w:t>Act confers jurisdiction on the Court “in relation to any matter (whether civil or cri</w:t>
      </w:r>
      <w:r w:rsidR="006D19A9" w:rsidRPr="00CB07C3">
        <w:t>minal) arising under this Act”.</w:t>
      </w:r>
      <w:r w:rsidR="00943D5D" w:rsidRPr="00CB07C3">
        <w:t xml:space="preserve">  </w:t>
      </w:r>
      <w:r w:rsidR="00F2551F" w:rsidRPr="00CB07C3">
        <w:t>The power to make a declaration of right is discretionary.</w:t>
      </w:r>
    </w:p>
    <w:p w14:paraId="2A6EC233" w14:textId="67673852" w:rsidR="003E2B5E" w:rsidRDefault="005704C3" w:rsidP="005704C3">
      <w:pPr>
        <w:pStyle w:val="ParaNumbering"/>
      </w:pPr>
      <w:r>
        <w:lastRenderedPageBreak/>
        <w:t>It is neither necessary nor appropriate to make a declaration in the terms</w:t>
      </w:r>
      <w:r w:rsidR="00084085">
        <w:t xml:space="preserve"> that Coles</w:t>
      </w:r>
      <w:r>
        <w:t xml:space="preserve"> </w:t>
      </w:r>
      <w:r w:rsidR="00084085">
        <w:t xml:space="preserve">seeks </w:t>
      </w:r>
      <w:r>
        <w:t xml:space="preserve">for three reasons.  First, the declaration is not cast in terms that declare the rights as between the parties to this proceeding.  Second, the proposition that the FWC must in all cases </w:t>
      </w:r>
      <w:r w:rsidR="0061433A">
        <w:t>“</w:t>
      </w:r>
      <w:r>
        <w:t>determine</w:t>
      </w:r>
      <w:r w:rsidR="0061433A">
        <w:t>”</w:t>
      </w:r>
      <w:r>
        <w:t xml:space="preserve"> the date on which a dismissal took ef</w:t>
      </w:r>
      <w:r w:rsidR="006D19A9">
        <w:t>fect is not entirely correct.</w:t>
      </w:r>
      <w:r w:rsidR="0061433A">
        <w:t xml:space="preserve"> </w:t>
      </w:r>
      <w:r w:rsidR="006D19A9">
        <w:t xml:space="preserve"> </w:t>
      </w:r>
      <w:r>
        <w:t>There may be cases when the date of dismissal alleged by the applicant is</w:t>
      </w:r>
      <w:r w:rsidR="00F2551F">
        <w:t xml:space="preserve"> undisputedly</w:t>
      </w:r>
      <w:r>
        <w:t xml:space="preserve"> outside the statutory timeframe in any event.  The question of whether the dismissal may have taken effect on a date earlier still may </w:t>
      </w:r>
      <w:r w:rsidR="00983800">
        <w:t xml:space="preserve">be immaterial, depending </w:t>
      </w:r>
      <w:r>
        <w:t xml:space="preserve">on the facts of the particular case.  </w:t>
      </w:r>
      <w:r w:rsidR="00F2551F">
        <w:t>A declaration by this Court should not preclude the possi</w:t>
      </w:r>
      <w:r w:rsidR="00943D5D">
        <w:t>bility of such a case arising.</w:t>
      </w:r>
    </w:p>
    <w:p w14:paraId="27072026" w14:textId="70367074" w:rsidR="003E2B5E" w:rsidRDefault="00F2551F" w:rsidP="005704C3">
      <w:pPr>
        <w:pStyle w:val="ParaNumbering"/>
      </w:pPr>
      <w:r>
        <w:t xml:space="preserve">In an appropriate case, it may also be permissible for the </w:t>
      </w:r>
      <w:r w:rsidR="00084085">
        <w:t xml:space="preserve">FWC </w:t>
      </w:r>
      <w:r>
        <w:t>to determine that the employment came to an end on a particular date without deciding whether or not the applicant was “d</w:t>
      </w:r>
      <w:r w:rsidR="00943D5D">
        <w:t>ismissed” with the meaning of s 386 of the FW </w:t>
      </w:r>
      <w:r>
        <w:t xml:space="preserve">Act.  </w:t>
      </w:r>
      <w:r w:rsidR="003E2B5E">
        <w:t>In such a case it may be permissible to refuse to grant an extension of time even assuming, for the employee’s benefit, that</w:t>
      </w:r>
      <w:r w:rsidR="00943D5D">
        <w:t xml:space="preserve"> there was indeed a dismissal.</w:t>
      </w:r>
    </w:p>
    <w:p w14:paraId="3A9FDD85" w14:textId="018D9900" w:rsidR="005704C3" w:rsidRDefault="005704C3" w:rsidP="005704C3">
      <w:pPr>
        <w:pStyle w:val="ParaNumbering"/>
      </w:pPr>
      <w:r>
        <w:t>Third, the proposition in [4(b)] is cast in terms that are not readily comprehensible, except to a person who has had the benefit of readin</w:t>
      </w:r>
      <w:r w:rsidR="006D19A9">
        <w:t xml:space="preserve">g these reasons for judgment.  </w:t>
      </w:r>
      <w:r>
        <w:t>Th</w:t>
      </w:r>
      <w:r w:rsidR="006D19A9">
        <w:t>e proper construction of the FW </w:t>
      </w:r>
      <w:r>
        <w:t xml:space="preserve">Act </w:t>
      </w:r>
      <w:r w:rsidR="003E2B5E">
        <w:t>should be apparent in</w:t>
      </w:r>
      <w:r>
        <w:t xml:space="preserve"> these reasons</w:t>
      </w:r>
      <w:r w:rsidR="003E2B5E">
        <w:t>.  An</w:t>
      </w:r>
      <w:r w:rsidR="00983800">
        <w:t xml:space="preserve"> order in the </w:t>
      </w:r>
      <w:r>
        <w:t xml:space="preserve">nature of mandamus </w:t>
      </w:r>
      <w:r w:rsidR="00983800">
        <w:t xml:space="preserve">will be </w:t>
      </w:r>
      <w:r>
        <w:t>sufficient to ensure that the rights of the parties will be determined</w:t>
      </w:r>
      <w:r w:rsidR="00983800">
        <w:t xml:space="preserve"> by the FWC</w:t>
      </w:r>
      <w:r>
        <w:t xml:space="preserve"> in accordance w</w:t>
      </w:r>
      <w:r w:rsidR="006D19A9">
        <w:t xml:space="preserve">ith </w:t>
      </w:r>
      <w:r w:rsidR="003E2B5E">
        <w:t>that construction</w:t>
      </w:r>
      <w:r w:rsidR="006D19A9">
        <w:t>.</w:t>
      </w:r>
    </w:p>
    <w:p w14:paraId="22020039" w14:textId="5FA67FA0" w:rsidR="005704C3" w:rsidRDefault="005704C3" w:rsidP="00983800">
      <w:pPr>
        <w:pStyle w:val="ParaNumbering"/>
      </w:pPr>
      <w:r>
        <w:t xml:space="preserve">A declaration in the terms sought </w:t>
      </w:r>
      <w:r w:rsidR="00983800">
        <w:t>in</w:t>
      </w:r>
      <w:r>
        <w:t xml:space="preserve"> [5] should not be made.  The grounds of review advanced on this application have not presented any occasion for </w:t>
      </w:r>
      <w:r w:rsidR="006D19A9">
        <w:t>this Court to determine that Mr </w:t>
      </w:r>
      <w:r>
        <w:t>Milford was in fact dismissed from his employment, nor as to the date upon whic</w:t>
      </w:r>
      <w:r w:rsidR="006D19A9">
        <w:t xml:space="preserve">h </w:t>
      </w:r>
      <w:r w:rsidR="003E2B5E">
        <w:t xml:space="preserve">any such </w:t>
      </w:r>
      <w:r w:rsidR="006D19A9">
        <w:t xml:space="preserve">dismissal took effect.  </w:t>
      </w:r>
      <w:r w:rsidR="00C32C5D">
        <w:t>Th</w:t>
      </w:r>
      <w:r w:rsidR="009D5404">
        <w:t>ey</w:t>
      </w:r>
      <w:r w:rsidR="00C32C5D">
        <w:t xml:space="preserve"> </w:t>
      </w:r>
      <w:r w:rsidR="009D5404">
        <w:t>are</w:t>
      </w:r>
      <w:r w:rsidR="00C32C5D">
        <w:t xml:space="preserve"> question</w:t>
      </w:r>
      <w:r w:rsidR="009D5404">
        <w:t>s</w:t>
      </w:r>
      <w:r w:rsidR="00C32C5D">
        <w:t xml:space="preserve"> s </w:t>
      </w:r>
      <w:r w:rsidR="00051B41">
        <w:t>365</w:t>
      </w:r>
      <w:r w:rsidR="00943D5D">
        <w:t xml:space="preserve"> and s </w:t>
      </w:r>
      <w:r w:rsidR="00C32C5D">
        <w:t>366 of the FW </w:t>
      </w:r>
      <w:r w:rsidR="00084085">
        <w:t xml:space="preserve">Act require the FWC to decide.  Once the Full Bench’s decision is quashed, then </w:t>
      </w:r>
      <w:r w:rsidR="00C32C5D">
        <w:t>unless the Full Bench grants Mr </w:t>
      </w:r>
      <w:r w:rsidR="00084085">
        <w:t>Milford permission to appeal, the Deputy President’s decision will bind the parties unless it is affe</w:t>
      </w:r>
      <w:r w:rsidR="00C32C5D">
        <w:t xml:space="preserve">cted by jurisdictional error.  </w:t>
      </w:r>
      <w:r>
        <w:t xml:space="preserve">The parties’ cases in respect of those questions may be advanced on the remitted </w:t>
      </w:r>
      <w:r w:rsidR="006F2E41">
        <w:t xml:space="preserve">application for permission to </w:t>
      </w:r>
      <w:r>
        <w:t xml:space="preserve">appeal and </w:t>
      </w:r>
      <w:r w:rsidR="006F2E41">
        <w:t xml:space="preserve">then (should permission be granted) </w:t>
      </w:r>
      <w:r>
        <w:t>determined on their factual and legal merits</w:t>
      </w:r>
      <w:r w:rsidR="00983800">
        <w:t>, depending on the grounds and contentions that are pressed by the parties</w:t>
      </w:r>
      <w:r w:rsidR="006D19A9">
        <w:t xml:space="preserve">.  </w:t>
      </w:r>
      <w:r>
        <w:t xml:space="preserve">To the extent that it is unclear whether the Deputy President made any finding in relation to whether there was or was not a dismissal, it is for the parties to </w:t>
      </w:r>
      <w:r w:rsidR="0061433A">
        <w:t xml:space="preserve">determine </w:t>
      </w:r>
      <w:r>
        <w:t>the relief that can or should be sought</w:t>
      </w:r>
      <w:r w:rsidR="00983800">
        <w:t xml:space="preserve"> in relation to that uncertainty</w:t>
      </w:r>
      <w:r>
        <w:t>.</w:t>
      </w:r>
    </w:p>
    <w:p w14:paraId="117B00C8" w14:textId="77777777" w:rsidR="00051B41" w:rsidRDefault="00051B41" w:rsidP="00051B41">
      <w:pPr>
        <w:pStyle w:val="NoNum"/>
      </w:pPr>
    </w:p>
    <w:p w14:paraId="41CF5A6E" w14:textId="11466D15" w:rsidR="005704C3" w:rsidRPr="00CB07C3" w:rsidRDefault="005704C3" w:rsidP="00983800">
      <w:pPr>
        <w:pStyle w:val="ParaNumbering"/>
      </w:pPr>
      <w:r w:rsidRPr="00CB07C3">
        <w:lastRenderedPageBreak/>
        <w:t>There will be no order as to costs, neither party asserting that there is a proper bas</w:t>
      </w:r>
      <w:r w:rsidR="006D19A9" w:rsidRPr="00CB07C3">
        <w:t>is to make an award under s </w:t>
      </w:r>
      <w:r w:rsidRPr="00CB07C3">
        <w:t>570</w:t>
      </w:r>
      <w:r w:rsidR="006D19A9" w:rsidRPr="00CB07C3">
        <w:t xml:space="preserve"> of the FW </w:t>
      </w:r>
      <w:r w:rsidRPr="00CB07C3">
        <w:t>Act.</w:t>
      </w:r>
    </w:p>
    <w:p w14:paraId="75305383" w14:textId="77777777" w:rsidR="00CB07C3" w:rsidRDefault="00CB07C3" w:rsidP="00CB07C3">
      <w:pPr>
        <w:pStyle w:val="BodyText"/>
      </w:pPr>
      <w:bookmarkStart w:id="26" w:name="Certification"/>
    </w:p>
    <w:tbl>
      <w:tblPr>
        <w:tblW w:w="0" w:type="auto"/>
        <w:tblLook w:val="04A0" w:firstRow="1" w:lastRow="0" w:firstColumn="1" w:lastColumn="0" w:noHBand="0" w:noVBand="1"/>
      </w:tblPr>
      <w:tblGrid>
        <w:gridCol w:w="3794"/>
      </w:tblGrid>
      <w:tr w:rsidR="00CB07C3" w:rsidRPr="00CB07C3" w14:paraId="68A2E241" w14:textId="77777777">
        <w:tc>
          <w:tcPr>
            <w:tcW w:w="3794" w:type="dxa"/>
            <w:shd w:val="clear" w:color="auto" w:fill="auto"/>
          </w:tcPr>
          <w:p w14:paraId="5A00B815" w14:textId="37E9AEF5" w:rsidR="00CB07C3" w:rsidRPr="00CB07C3" w:rsidRDefault="00CB07C3" w:rsidP="00CB07C3">
            <w:pPr>
              <w:pStyle w:val="Normal1linespace"/>
            </w:pPr>
            <w:r w:rsidRPr="00CB07C3">
              <w:t xml:space="preserve">I certify that the preceding </w:t>
            </w:r>
            <w:bookmarkStart w:id="27" w:name="NumberWord"/>
            <w:r>
              <w:t>eighty-nine</w:t>
            </w:r>
            <w:bookmarkEnd w:id="27"/>
            <w:r w:rsidRPr="00CB07C3">
              <w:t xml:space="preserve"> (</w:t>
            </w:r>
            <w:bookmarkStart w:id="28" w:name="NumberNumeral"/>
            <w:r>
              <w:t>89</w:t>
            </w:r>
            <w:bookmarkEnd w:id="28"/>
            <w:r w:rsidRPr="00CB07C3">
              <w:t xml:space="preserve">) numbered </w:t>
            </w:r>
            <w:bookmarkStart w:id="29" w:name="CertPara"/>
            <w:r>
              <w:t>paragraphs are</w:t>
            </w:r>
            <w:bookmarkEnd w:id="29"/>
            <w:r w:rsidRPr="00CB07C3">
              <w:t xml:space="preserve"> a true copy of the Reasons for Judgment of </w:t>
            </w:r>
            <w:bookmarkStart w:id="30" w:name="bkHonourable"/>
            <w:r w:rsidRPr="00CB07C3">
              <w:t xml:space="preserve">the Honourable </w:t>
            </w:r>
            <w:bookmarkStart w:id="31" w:name="Justice"/>
            <w:bookmarkEnd w:id="30"/>
            <w:r>
              <w:t>Justices Rares, Collier and Charlesworth</w:t>
            </w:r>
            <w:bookmarkEnd w:id="31"/>
            <w:r w:rsidRPr="00CB07C3">
              <w:t>.</w:t>
            </w:r>
          </w:p>
        </w:tc>
      </w:tr>
    </w:tbl>
    <w:p w14:paraId="4BCED5A4" w14:textId="77777777" w:rsidR="00CB07C3" w:rsidRDefault="00CB07C3" w:rsidP="00CB07C3">
      <w:pPr>
        <w:pStyle w:val="BodyText"/>
      </w:pPr>
    </w:p>
    <w:p w14:paraId="2C864E25" w14:textId="77777777" w:rsidR="00CB07C3" w:rsidRDefault="00CB07C3" w:rsidP="00CB07C3">
      <w:pPr>
        <w:pStyle w:val="BodyText"/>
      </w:pPr>
    </w:p>
    <w:p w14:paraId="3770A4CE" w14:textId="77777777" w:rsidR="00CB07C3" w:rsidRDefault="00CB07C3" w:rsidP="00CB07C3">
      <w:pPr>
        <w:pStyle w:val="BodyText"/>
      </w:pPr>
      <w:r>
        <w:t>Associate:</w:t>
      </w:r>
      <w:bookmarkStart w:id="32" w:name="_GoBack"/>
      <w:bookmarkEnd w:id="32"/>
    </w:p>
    <w:p w14:paraId="776F319F" w14:textId="50564DBF" w:rsidR="00CB07C3" w:rsidRDefault="00CB07C3" w:rsidP="00CB07C3">
      <w:pPr>
        <w:pStyle w:val="BodyText"/>
      </w:pPr>
    </w:p>
    <w:p w14:paraId="7FCFA934" w14:textId="4E919447" w:rsidR="00CB07C3" w:rsidRDefault="00CB07C3" w:rsidP="00CB07C3">
      <w:pPr>
        <w:pStyle w:val="BodyText"/>
        <w:tabs>
          <w:tab w:val="left" w:pos="1134"/>
        </w:tabs>
      </w:pPr>
      <w:r>
        <w:t>Dated:</w:t>
      </w:r>
      <w:r>
        <w:tab/>
      </w:r>
      <w:bookmarkStart w:id="33" w:name="CertifyDated"/>
      <w:r>
        <w:t>11 September 2020</w:t>
      </w:r>
      <w:bookmarkEnd w:id="33"/>
    </w:p>
    <w:bookmarkEnd w:id="26"/>
    <w:p w14:paraId="50273B85" w14:textId="773863E8" w:rsidR="009E74D2" w:rsidRDefault="009E74D2" w:rsidP="00CB07C3">
      <w:pPr>
        <w:pStyle w:val="BodyText"/>
      </w:pPr>
    </w:p>
    <w:sectPr w:rsidR="009E74D2" w:rsidSect="00A84FD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4B5B" w14:textId="77777777" w:rsidR="00CB07C3" w:rsidRDefault="00CB07C3">
      <w:pPr>
        <w:spacing w:line="20" w:lineRule="exact"/>
      </w:pPr>
    </w:p>
    <w:p w14:paraId="63D288CB" w14:textId="77777777" w:rsidR="00CB07C3" w:rsidRDefault="00CB07C3"/>
    <w:p w14:paraId="1ED6D06E" w14:textId="77777777" w:rsidR="00CB07C3" w:rsidRDefault="00CB07C3"/>
  </w:endnote>
  <w:endnote w:type="continuationSeparator" w:id="0">
    <w:p w14:paraId="495AECCE" w14:textId="77777777" w:rsidR="00CB07C3" w:rsidRDefault="00CB07C3">
      <w:r>
        <w:t xml:space="preserve"> </w:t>
      </w:r>
    </w:p>
    <w:p w14:paraId="403B7DD1" w14:textId="77777777" w:rsidR="00CB07C3" w:rsidRDefault="00CB07C3"/>
    <w:p w14:paraId="455692BE" w14:textId="77777777" w:rsidR="00CB07C3" w:rsidRDefault="00CB07C3"/>
  </w:endnote>
  <w:endnote w:type="continuationNotice" w:id="1">
    <w:p w14:paraId="6372E3B7" w14:textId="77777777" w:rsidR="00CB07C3" w:rsidRDefault="00CB07C3">
      <w:r>
        <w:t xml:space="preserve"> </w:t>
      </w:r>
    </w:p>
    <w:p w14:paraId="4996CDF4" w14:textId="77777777" w:rsidR="00CB07C3" w:rsidRDefault="00CB07C3"/>
    <w:p w14:paraId="3967E7C0" w14:textId="77777777" w:rsidR="00CB07C3" w:rsidRDefault="00CB0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F470A" w14:textId="699FAAB0" w:rsidR="00CB07C3" w:rsidRPr="00C47B9D" w:rsidRDefault="00CB07C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CD1F042" wp14:editId="6CFAD57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56D95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C989AF591524D429A7581C1C813398D"/>
        </w:placeholder>
        <w:dataBinding w:prefixMappings="xmlns:ns0='http://schemas.globalmacros.com/FCA'" w:xpath="/ns0:root[1]/ns0:Name[1]" w:storeItemID="{687E7CCB-4AA5-44E7-B148-17BA2B6F57C0}"/>
        <w:text w:multiLine="1"/>
      </w:sdtPr>
      <w:sdtEndPr/>
      <w:sdtContent>
        <w:r w:rsidR="002132B8">
          <w:rPr>
            <w:bCs/>
            <w:sz w:val="18"/>
            <w:szCs w:val="18"/>
          </w:rPr>
          <w:t xml:space="preserve">Coles Supply Chain Pty Ltd v Milford [2020] FCAFC 152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3F4A">
      <w:rPr>
        <w:bCs/>
        <w:noProof/>
        <w:sz w:val="20"/>
      </w:rPr>
      <w:t>ii</w:t>
    </w:r>
    <w:r w:rsidRPr="00EA7F6D">
      <w:rPr>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C6BE" w14:textId="5A3C7178" w:rsidR="00CB07C3" w:rsidRPr="00C47B9D" w:rsidRDefault="00CB07C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6DDC06A0" wp14:editId="2CF7249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A137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3A764EB1FB946628E1351EC24E4EDDC"/>
        </w:placeholder>
        <w:dataBinding w:prefixMappings="xmlns:ns0='http://schemas.globalmacros.com/FCA'" w:xpath="/ns0:root[1]/ns0:Name[1]" w:storeItemID="{687E7CCB-4AA5-44E7-B148-17BA2B6F57C0}"/>
        <w:text w:multiLine="1"/>
      </w:sdtPr>
      <w:sdtEndPr/>
      <w:sdtContent>
        <w:r w:rsidR="002132B8">
          <w:rPr>
            <w:bCs/>
            <w:sz w:val="18"/>
            <w:szCs w:val="18"/>
          </w:rPr>
          <w:t xml:space="preserve">Coles Supply Chain Pty Ltd v Milford [2020] FCAFC 152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3F4A">
      <w:rPr>
        <w:bCs/>
        <w:noProof/>
        <w:sz w:val="20"/>
      </w:rPr>
      <w:t>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260C" w14:textId="71B1ADA1" w:rsidR="00CB07C3" w:rsidRPr="00C47B9D" w:rsidRDefault="00CB07C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204336BB" wp14:editId="4D976C2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99B7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A2B953CE6F947B385E902E99B536079"/>
        </w:placeholder>
        <w:dataBinding w:prefixMappings="xmlns:ns0='http://schemas.globalmacros.com/FCA'" w:xpath="/ns0:root[1]/ns0:Name[1]" w:storeItemID="{687E7CCB-4AA5-44E7-B148-17BA2B6F57C0}"/>
        <w:text w:multiLine="1"/>
      </w:sdtPr>
      <w:sdtEndPr/>
      <w:sdtContent>
        <w:r w:rsidR="002132B8">
          <w:rPr>
            <w:bCs/>
            <w:sz w:val="18"/>
            <w:szCs w:val="18"/>
          </w:rPr>
          <w:t xml:space="preserve">Coles Supply Chain Pty Ltd v Milford [2020] FCAFC 152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7F0D">
      <w:rPr>
        <w:bCs/>
        <w:noProof/>
        <w:sz w:val="20"/>
      </w:rPr>
      <w:t>22</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4125" w14:textId="46403C39" w:rsidR="00CB07C3" w:rsidRPr="00C47B9D" w:rsidRDefault="00CB07C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451D64FE" wp14:editId="13B8470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FCAA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FB99C267CBB4A8991AAE8E9B841CE63"/>
        </w:placeholder>
        <w:dataBinding w:prefixMappings="xmlns:ns0='http://schemas.globalmacros.com/FCA'" w:xpath="/ns0:root[1]/ns0:Name[1]" w:storeItemID="{687E7CCB-4AA5-44E7-B148-17BA2B6F57C0}"/>
        <w:text w:multiLine="1"/>
      </w:sdtPr>
      <w:sdtEndPr/>
      <w:sdtContent>
        <w:r w:rsidR="002132B8">
          <w:rPr>
            <w:bCs/>
            <w:sz w:val="18"/>
            <w:szCs w:val="18"/>
          </w:rPr>
          <w:t xml:space="preserve">Coles Supply Chain Pty Ltd v Milford [2020] FCAFC 152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B3F4A">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93A0" w14:textId="77777777" w:rsidR="00CB07C3" w:rsidRDefault="00CB07C3"/>
    <w:p w14:paraId="0E6A362C" w14:textId="77777777" w:rsidR="00CB07C3" w:rsidRDefault="00CB07C3"/>
    <w:p w14:paraId="1BACEFAF" w14:textId="77777777" w:rsidR="00CB07C3" w:rsidRDefault="00CB07C3"/>
  </w:footnote>
  <w:footnote w:type="continuationSeparator" w:id="0">
    <w:p w14:paraId="76D24D72" w14:textId="77777777" w:rsidR="00CB07C3" w:rsidRDefault="00CB07C3">
      <w:r>
        <w:continuationSeparator/>
      </w:r>
    </w:p>
    <w:p w14:paraId="7CF1FBBB" w14:textId="77777777" w:rsidR="00CB07C3" w:rsidRDefault="00CB07C3"/>
    <w:p w14:paraId="6A5335BC" w14:textId="77777777" w:rsidR="00CB07C3" w:rsidRDefault="00CB07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2BFC" w14:textId="77777777" w:rsidR="00CB07C3" w:rsidRDefault="00CB07C3">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3F2C" w14:textId="77777777" w:rsidR="00CB07C3" w:rsidRDefault="00CB07C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3398" w14:textId="77777777" w:rsidR="00CB07C3" w:rsidRDefault="00CB07C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96871" w14:textId="77777777" w:rsidR="00CB07C3" w:rsidRDefault="00CB07C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5F86" w14:textId="77777777" w:rsidR="00CB07C3" w:rsidRDefault="00CB07C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4"/>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num>
  <w:num w:numId="42">
    <w:abstractNumId w:val="14"/>
  </w:num>
  <w:num w:numId="43">
    <w:abstractNumId w:val="14"/>
  </w:num>
  <w:num w:numId="44">
    <w:abstractNumId w:val="14"/>
    <w:lvlOverride w:ilvl="0">
      <w:startOverride w:val="70"/>
    </w:lvlOverride>
  </w:num>
  <w:num w:numId="45">
    <w:abstractNumId w:val="14"/>
  </w:num>
  <w:num w:numId="46">
    <w:abstractNumId w:val="14"/>
  </w:num>
  <w:num w:numId="47">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Cameron Milford v Coles Supply Chain Pty Ltd [2019] FWCFB 7658"/>
    <w:docVar w:name="Applicant" w:val="Coles Supply Chain Pty Ltd"/>
    <w:docVar w:name="CounselParties" w:val="Responde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gnword-docGUID" w:val="{2C44DCB0-5F7D-47F0-96C7-D33D36813CEB}"/>
    <w:docVar w:name="dgnword-eventsink" w:val="382168808"/>
    <w:docVar w:name="Division" w:val="General Division of the FCA"/>
    <w:docVar w:name="DocCreated" w:val="True"/>
    <w:docVar w:name="FileNumbers" w:val="QUD 793 of 2019"/>
    <w:docVar w:name="grpRadioJudges" w:val="Justices"/>
    <w:docVar w:name="Initiators" w:val="(and another named in the Schedule)"/>
    <w:docVar w:name="Judgdate" w:val="11 September 2020"/>
    <w:docVar w:name="Judge" w:val="Rares, Collier and Charlesworth"/>
    <w:docVar w:name="lstEntryList" w:val="-1"/>
    <w:docVar w:name="myEntryList" w:val="Counsel for the Applicant=Mr B Rauf|Solicitor for the Applicant=Herbert Smith Freehills|Counsel for the First Respondent=Mr A Crowe QC with Mr M Walker |Solicitor for the First Respondent=LawRight|Counsel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False"/>
    <w:docVar w:name="RadioJustices" w:val="True"/>
    <w:docVar w:name="RESAndAnother" w:val="True"/>
    <w:docVar w:name="RESAndOthers" w:val="False"/>
    <w:docVar w:name="Respondent" w:val="Cameron Milford|Fair Work Commission"/>
    <w:docVar w:name="ResState" w:val="Queensland"/>
    <w:docVar w:name="SubArea" w:val="[none]"/>
  </w:docVars>
  <w:rsids>
    <w:rsidRoot w:val="00B80B7D"/>
    <w:rsid w:val="00000747"/>
    <w:rsid w:val="000050B1"/>
    <w:rsid w:val="000067D5"/>
    <w:rsid w:val="000115C5"/>
    <w:rsid w:val="0001469E"/>
    <w:rsid w:val="00015993"/>
    <w:rsid w:val="000204D4"/>
    <w:rsid w:val="00021CCB"/>
    <w:rsid w:val="00022289"/>
    <w:rsid w:val="0002563E"/>
    <w:rsid w:val="0002714B"/>
    <w:rsid w:val="00027398"/>
    <w:rsid w:val="0003201A"/>
    <w:rsid w:val="0003207A"/>
    <w:rsid w:val="000322CE"/>
    <w:rsid w:val="00032F9F"/>
    <w:rsid w:val="00041C07"/>
    <w:rsid w:val="00045BB7"/>
    <w:rsid w:val="0005035D"/>
    <w:rsid w:val="00051B41"/>
    <w:rsid w:val="00055719"/>
    <w:rsid w:val="0005641B"/>
    <w:rsid w:val="0006196A"/>
    <w:rsid w:val="00081497"/>
    <w:rsid w:val="00084085"/>
    <w:rsid w:val="00085255"/>
    <w:rsid w:val="00094009"/>
    <w:rsid w:val="000955E3"/>
    <w:rsid w:val="00095D7E"/>
    <w:rsid w:val="000A229A"/>
    <w:rsid w:val="000A2E76"/>
    <w:rsid w:val="000A46E9"/>
    <w:rsid w:val="000A4807"/>
    <w:rsid w:val="000A4BE4"/>
    <w:rsid w:val="000A675B"/>
    <w:rsid w:val="000C023E"/>
    <w:rsid w:val="000C1DD1"/>
    <w:rsid w:val="000C3C9C"/>
    <w:rsid w:val="000C5195"/>
    <w:rsid w:val="000C62EF"/>
    <w:rsid w:val="000D2137"/>
    <w:rsid w:val="000D3FD2"/>
    <w:rsid w:val="000D4B2E"/>
    <w:rsid w:val="000E06BC"/>
    <w:rsid w:val="000E3FC8"/>
    <w:rsid w:val="000E7BAE"/>
    <w:rsid w:val="000F133D"/>
    <w:rsid w:val="000F627A"/>
    <w:rsid w:val="000F774B"/>
    <w:rsid w:val="0010536B"/>
    <w:rsid w:val="0011145C"/>
    <w:rsid w:val="001128BD"/>
    <w:rsid w:val="0011419D"/>
    <w:rsid w:val="00114B02"/>
    <w:rsid w:val="001226C0"/>
    <w:rsid w:val="00126EC8"/>
    <w:rsid w:val="0012731C"/>
    <w:rsid w:val="00132054"/>
    <w:rsid w:val="00132654"/>
    <w:rsid w:val="00134964"/>
    <w:rsid w:val="001351B9"/>
    <w:rsid w:val="00137740"/>
    <w:rsid w:val="00145E0C"/>
    <w:rsid w:val="00155CD2"/>
    <w:rsid w:val="0015745E"/>
    <w:rsid w:val="001727A4"/>
    <w:rsid w:val="0017376C"/>
    <w:rsid w:val="001738AB"/>
    <w:rsid w:val="001765E0"/>
    <w:rsid w:val="00177759"/>
    <w:rsid w:val="00180BB3"/>
    <w:rsid w:val="00185E6B"/>
    <w:rsid w:val="00187BBC"/>
    <w:rsid w:val="001932F3"/>
    <w:rsid w:val="001964EE"/>
    <w:rsid w:val="001A2B40"/>
    <w:rsid w:val="001A4309"/>
    <w:rsid w:val="001A46AE"/>
    <w:rsid w:val="001A6C52"/>
    <w:rsid w:val="001B0289"/>
    <w:rsid w:val="001B1053"/>
    <w:rsid w:val="001B14AC"/>
    <w:rsid w:val="001B2CD9"/>
    <w:rsid w:val="001B7940"/>
    <w:rsid w:val="001C171A"/>
    <w:rsid w:val="001C37CA"/>
    <w:rsid w:val="001C4085"/>
    <w:rsid w:val="001D4303"/>
    <w:rsid w:val="001D6746"/>
    <w:rsid w:val="001D7832"/>
    <w:rsid w:val="001E3B49"/>
    <w:rsid w:val="001E4A05"/>
    <w:rsid w:val="001E7388"/>
    <w:rsid w:val="001F13DD"/>
    <w:rsid w:val="001F2473"/>
    <w:rsid w:val="001F2DBC"/>
    <w:rsid w:val="001F73E8"/>
    <w:rsid w:val="0020262C"/>
    <w:rsid w:val="00211A3E"/>
    <w:rsid w:val="002132B8"/>
    <w:rsid w:val="00215BCA"/>
    <w:rsid w:val="00217AC4"/>
    <w:rsid w:val="00221461"/>
    <w:rsid w:val="00224537"/>
    <w:rsid w:val="002279E6"/>
    <w:rsid w:val="002324D2"/>
    <w:rsid w:val="00235956"/>
    <w:rsid w:val="00237EB3"/>
    <w:rsid w:val="002421AE"/>
    <w:rsid w:val="00243E5E"/>
    <w:rsid w:val="00247C9A"/>
    <w:rsid w:val="0025160C"/>
    <w:rsid w:val="002535D0"/>
    <w:rsid w:val="002539B3"/>
    <w:rsid w:val="00256336"/>
    <w:rsid w:val="00256A3F"/>
    <w:rsid w:val="00257C3E"/>
    <w:rsid w:val="002602C2"/>
    <w:rsid w:val="00262FCA"/>
    <w:rsid w:val="002666C9"/>
    <w:rsid w:val="00270136"/>
    <w:rsid w:val="00270FD7"/>
    <w:rsid w:val="00273625"/>
    <w:rsid w:val="00274F5B"/>
    <w:rsid w:val="00280836"/>
    <w:rsid w:val="00282E1A"/>
    <w:rsid w:val="002840F1"/>
    <w:rsid w:val="00284451"/>
    <w:rsid w:val="0029113B"/>
    <w:rsid w:val="002934C0"/>
    <w:rsid w:val="0029764C"/>
    <w:rsid w:val="002A1B50"/>
    <w:rsid w:val="002B0E91"/>
    <w:rsid w:val="002B132C"/>
    <w:rsid w:val="002B234A"/>
    <w:rsid w:val="002B3F23"/>
    <w:rsid w:val="002B4CA3"/>
    <w:rsid w:val="002B4EB5"/>
    <w:rsid w:val="002B6779"/>
    <w:rsid w:val="002B71C0"/>
    <w:rsid w:val="002B7A34"/>
    <w:rsid w:val="002C31AD"/>
    <w:rsid w:val="002C7385"/>
    <w:rsid w:val="002D276F"/>
    <w:rsid w:val="002D2DBB"/>
    <w:rsid w:val="002D37D8"/>
    <w:rsid w:val="002D54A6"/>
    <w:rsid w:val="002E5BF9"/>
    <w:rsid w:val="002E6418"/>
    <w:rsid w:val="002E6A7A"/>
    <w:rsid w:val="002E6E38"/>
    <w:rsid w:val="002F1E49"/>
    <w:rsid w:val="002F4E9C"/>
    <w:rsid w:val="00302F4E"/>
    <w:rsid w:val="003111E8"/>
    <w:rsid w:val="0031256C"/>
    <w:rsid w:val="003139C8"/>
    <w:rsid w:val="00314D6C"/>
    <w:rsid w:val="0031555F"/>
    <w:rsid w:val="00316D2A"/>
    <w:rsid w:val="0031774D"/>
    <w:rsid w:val="00321987"/>
    <w:rsid w:val="00321DF9"/>
    <w:rsid w:val="00322A7C"/>
    <w:rsid w:val="00322EEC"/>
    <w:rsid w:val="00323061"/>
    <w:rsid w:val="00325FD0"/>
    <w:rsid w:val="00326E5E"/>
    <w:rsid w:val="00327E68"/>
    <w:rsid w:val="00335C62"/>
    <w:rsid w:val="003402D3"/>
    <w:rsid w:val="00343ABC"/>
    <w:rsid w:val="003463FE"/>
    <w:rsid w:val="00347D41"/>
    <w:rsid w:val="003554B3"/>
    <w:rsid w:val="00356632"/>
    <w:rsid w:val="00357C7E"/>
    <w:rsid w:val="003653B6"/>
    <w:rsid w:val="00366C21"/>
    <w:rsid w:val="00374CC4"/>
    <w:rsid w:val="003774B2"/>
    <w:rsid w:val="00380F2D"/>
    <w:rsid w:val="0038228C"/>
    <w:rsid w:val="003845A9"/>
    <w:rsid w:val="00385032"/>
    <w:rsid w:val="003850C9"/>
    <w:rsid w:val="00386683"/>
    <w:rsid w:val="0038782F"/>
    <w:rsid w:val="00390883"/>
    <w:rsid w:val="003922F8"/>
    <w:rsid w:val="00395129"/>
    <w:rsid w:val="00395B24"/>
    <w:rsid w:val="003A2D38"/>
    <w:rsid w:val="003A41C8"/>
    <w:rsid w:val="003A72B6"/>
    <w:rsid w:val="003A7ECC"/>
    <w:rsid w:val="003B2C72"/>
    <w:rsid w:val="003B58B4"/>
    <w:rsid w:val="003C1333"/>
    <w:rsid w:val="003C20FF"/>
    <w:rsid w:val="003C550A"/>
    <w:rsid w:val="003C6055"/>
    <w:rsid w:val="003C764B"/>
    <w:rsid w:val="003D2650"/>
    <w:rsid w:val="003D560C"/>
    <w:rsid w:val="003D5B63"/>
    <w:rsid w:val="003D5C00"/>
    <w:rsid w:val="003E0799"/>
    <w:rsid w:val="003E2B5E"/>
    <w:rsid w:val="003E3154"/>
    <w:rsid w:val="003E41C2"/>
    <w:rsid w:val="003E5874"/>
    <w:rsid w:val="003E72D3"/>
    <w:rsid w:val="003F193E"/>
    <w:rsid w:val="003F242C"/>
    <w:rsid w:val="003F34F1"/>
    <w:rsid w:val="003F4CE1"/>
    <w:rsid w:val="004004BF"/>
    <w:rsid w:val="004027C1"/>
    <w:rsid w:val="00407AF9"/>
    <w:rsid w:val="00407FD7"/>
    <w:rsid w:val="004104B6"/>
    <w:rsid w:val="00411AE8"/>
    <w:rsid w:val="00413B74"/>
    <w:rsid w:val="00415098"/>
    <w:rsid w:val="004260DC"/>
    <w:rsid w:val="00433F25"/>
    <w:rsid w:val="004342F3"/>
    <w:rsid w:val="00435C5F"/>
    <w:rsid w:val="00436155"/>
    <w:rsid w:val="00441E98"/>
    <w:rsid w:val="00450F3A"/>
    <w:rsid w:val="004532F7"/>
    <w:rsid w:val="00453974"/>
    <w:rsid w:val="004562A9"/>
    <w:rsid w:val="00464D51"/>
    <w:rsid w:val="00472027"/>
    <w:rsid w:val="004804CF"/>
    <w:rsid w:val="00484962"/>
    <w:rsid w:val="00484F6D"/>
    <w:rsid w:val="00484FB7"/>
    <w:rsid w:val="0048554D"/>
    <w:rsid w:val="0049338A"/>
    <w:rsid w:val="0049368F"/>
    <w:rsid w:val="0049417F"/>
    <w:rsid w:val="00496D41"/>
    <w:rsid w:val="004A6602"/>
    <w:rsid w:val="004B3EFA"/>
    <w:rsid w:val="004B76FB"/>
    <w:rsid w:val="004C182F"/>
    <w:rsid w:val="004C2A87"/>
    <w:rsid w:val="004C3922"/>
    <w:rsid w:val="004C4A92"/>
    <w:rsid w:val="004C4D7B"/>
    <w:rsid w:val="004C4ED3"/>
    <w:rsid w:val="004C667B"/>
    <w:rsid w:val="004C7ECD"/>
    <w:rsid w:val="004D2EA5"/>
    <w:rsid w:val="004D32A6"/>
    <w:rsid w:val="004D53E5"/>
    <w:rsid w:val="004D54D5"/>
    <w:rsid w:val="004D56AC"/>
    <w:rsid w:val="004E6331"/>
    <w:rsid w:val="004E6DC4"/>
    <w:rsid w:val="004F21C1"/>
    <w:rsid w:val="004F3BBA"/>
    <w:rsid w:val="004F6F99"/>
    <w:rsid w:val="004F7667"/>
    <w:rsid w:val="00501A12"/>
    <w:rsid w:val="0050309C"/>
    <w:rsid w:val="0051327C"/>
    <w:rsid w:val="0051346D"/>
    <w:rsid w:val="00513EAE"/>
    <w:rsid w:val="0051434F"/>
    <w:rsid w:val="00516806"/>
    <w:rsid w:val="0052098C"/>
    <w:rsid w:val="00525A49"/>
    <w:rsid w:val="005262D1"/>
    <w:rsid w:val="00527BF7"/>
    <w:rsid w:val="00530876"/>
    <w:rsid w:val="00533787"/>
    <w:rsid w:val="00534B91"/>
    <w:rsid w:val="00534EBB"/>
    <w:rsid w:val="00535613"/>
    <w:rsid w:val="005359EB"/>
    <w:rsid w:val="0054254A"/>
    <w:rsid w:val="005430FB"/>
    <w:rsid w:val="0054500B"/>
    <w:rsid w:val="005466B5"/>
    <w:rsid w:val="00554314"/>
    <w:rsid w:val="00561250"/>
    <w:rsid w:val="00561359"/>
    <w:rsid w:val="00562829"/>
    <w:rsid w:val="005629B3"/>
    <w:rsid w:val="005704C3"/>
    <w:rsid w:val="005724F6"/>
    <w:rsid w:val="00573AC4"/>
    <w:rsid w:val="005801FC"/>
    <w:rsid w:val="00585BA9"/>
    <w:rsid w:val="00587359"/>
    <w:rsid w:val="00595016"/>
    <w:rsid w:val="00597AAE"/>
    <w:rsid w:val="005A101D"/>
    <w:rsid w:val="005A222C"/>
    <w:rsid w:val="005A4DF8"/>
    <w:rsid w:val="005A78C8"/>
    <w:rsid w:val="005B1426"/>
    <w:rsid w:val="005C0A8E"/>
    <w:rsid w:val="005C1767"/>
    <w:rsid w:val="005C185C"/>
    <w:rsid w:val="005C238D"/>
    <w:rsid w:val="005C42EF"/>
    <w:rsid w:val="005C5B4A"/>
    <w:rsid w:val="005D0B8F"/>
    <w:rsid w:val="005D19FA"/>
    <w:rsid w:val="005D33C9"/>
    <w:rsid w:val="005E02F5"/>
    <w:rsid w:val="005E0510"/>
    <w:rsid w:val="005E176E"/>
    <w:rsid w:val="005E218E"/>
    <w:rsid w:val="005E35A0"/>
    <w:rsid w:val="005F0D1B"/>
    <w:rsid w:val="005F1865"/>
    <w:rsid w:val="005F3A6E"/>
    <w:rsid w:val="006007BD"/>
    <w:rsid w:val="006013C8"/>
    <w:rsid w:val="0060270D"/>
    <w:rsid w:val="00604611"/>
    <w:rsid w:val="00611586"/>
    <w:rsid w:val="0061160B"/>
    <w:rsid w:val="00612D26"/>
    <w:rsid w:val="00612E86"/>
    <w:rsid w:val="0061433A"/>
    <w:rsid w:val="00615855"/>
    <w:rsid w:val="006163B0"/>
    <w:rsid w:val="00620DA8"/>
    <w:rsid w:val="00621887"/>
    <w:rsid w:val="00624520"/>
    <w:rsid w:val="006256E8"/>
    <w:rsid w:val="006271F5"/>
    <w:rsid w:val="00632300"/>
    <w:rsid w:val="00632BB7"/>
    <w:rsid w:val="00635B36"/>
    <w:rsid w:val="00636871"/>
    <w:rsid w:val="00640EE1"/>
    <w:rsid w:val="00640F4E"/>
    <w:rsid w:val="006410CA"/>
    <w:rsid w:val="00641AEA"/>
    <w:rsid w:val="00643DCA"/>
    <w:rsid w:val="00643DE0"/>
    <w:rsid w:val="0064437D"/>
    <w:rsid w:val="00644E85"/>
    <w:rsid w:val="00647634"/>
    <w:rsid w:val="00652C52"/>
    <w:rsid w:val="00653AAD"/>
    <w:rsid w:val="0066063F"/>
    <w:rsid w:val="006611C6"/>
    <w:rsid w:val="00662BB0"/>
    <w:rsid w:val="00663878"/>
    <w:rsid w:val="00667773"/>
    <w:rsid w:val="00670743"/>
    <w:rsid w:val="00670D9E"/>
    <w:rsid w:val="00680A85"/>
    <w:rsid w:val="00681ADF"/>
    <w:rsid w:val="0068223F"/>
    <w:rsid w:val="006842DA"/>
    <w:rsid w:val="006857BF"/>
    <w:rsid w:val="00690EE2"/>
    <w:rsid w:val="00693854"/>
    <w:rsid w:val="00694BEB"/>
    <w:rsid w:val="00695503"/>
    <w:rsid w:val="006A0E20"/>
    <w:rsid w:val="006A24E3"/>
    <w:rsid w:val="006A3143"/>
    <w:rsid w:val="006A5695"/>
    <w:rsid w:val="006A6789"/>
    <w:rsid w:val="006A6C2C"/>
    <w:rsid w:val="006B0439"/>
    <w:rsid w:val="006B0DC5"/>
    <w:rsid w:val="006B3904"/>
    <w:rsid w:val="006B5B7D"/>
    <w:rsid w:val="006B606F"/>
    <w:rsid w:val="006C5B46"/>
    <w:rsid w:val="006C6E39"/>
    <w:rsid w:val="006D0ECF"/>
    <w:rsid w:val="006D10EF"/>
    <w:rsid w:val="006D19A9"/>
    <w:rsid w:val="006D3D5B"/>
    <w:rsid w:val="006D4C92"/>
    <w:rsid w:val="006D4EB6"/>
    <w:rsid w:val="006D7C4E"/>
    <w:rsid w:val="006E35BF"/>
    <w:rsid w:val="006E5E29"/>
    <w:rsid w:val="006E7850"/>
    <w:rsid w:val="006F2E41"/>
    <w:rsid w:val="006F46D6"/>
    <w:rsid w:val="006F75CD"/>
    <w:rsid w:val="007028D9"/>
    <w:rsid w:val="00705EDC"/>
    <w:rsid w:val="00707218"/>
    <w:rsid w:val="00710D04"/>
    <w:rsid w:val="00712B1D"/>
    <w:rsid w:val="00712E6F"/>
    <w:rsid w:val="007138E1"/>
    <w:rsid w:val="00713DD7"/>
    <w:rsid w:val="007148DC"/>
    <w:rsid w:val="00715751"/>
    <w:rsid w:val="007171BA"/>
    <w:rsid w:val="00717616"/>
    <w:rsid w:val="007207D4"/>
    <w:rsid w:val="00721962"/>
    <w:rsid w:val="00722C19"/>
    <w:rsid w:val="0072637E"/>
    <w:rsid w:val="007325D9"/>
    <w:rsid w:val="0073583B"/>
    <w:rsid w:val="007360CA"/>
    <w:rsid w:val="0074667B"/>
    <w:rsid w:val="007470BD"/>
    <w:rsid w:val="0075687E"/>
    <w:rsid w:val="00756D24"/>
    <w:rsid w:val="00760EC0"/>
    <w:rsid w:val="007711BD"/>
    <w:rsid w:val="0077227F"/>
    <w:rsid w:val="007769E8"/>
    <w:rsid w:val="00777AFB"/>
    <w:rsid w:val="0078003A"/>
    <w:rsid w:val="007801E0"/>
    <w:rsid w:val="00780771"/>
    <w:rsid w:val="007834FF"/>
    <w:rsid w:val="00784A66"/>
    <w:rsid w:val="00786C97"/>
    <w:rsid w:val="007929CF"/>
    <w:rsid w:val="00795DB8"/>
    <w:rsid w:val="007A13C9"/>
    <w:rsid w:val="007A2BF4"/>
    <w:rsid w:val="007A49E7"/>
    <w:rsid w:val="007A6F28"/>
    <w:rsid w:val="007B03C6"/>
    <w:rsid w:val="007B0BC4"/>
    <w:rsid w:val="007B0DB1"/>
    <w:rsid w:val="007B5673"/>
    <w:rsid w:val="007B7238"/>
    <w:rsid w:val="007B76FF"/>
    <w:rsid w:val="007C3BF6"/>
    <w:rsid w:val="007C67B3"/>
    <w:rsid w:val="007C7DF3"/>
    <w:rsid w:val="007D0FD2"/>
    <w:rsid w:val="007D12A0"/>
    <w:rsid w:val="007D2EF8"/>
    <w:rsid w:val="007D561F"/>
    <w:rsid w:val="007D7FD2"/>
    <w:rsid w:val="007E13D9"/>
    <w:rsid w:val="007E2AEC"/>
    <w:rsid w:val="007E41BE"/>
    <w:rsid w:val="007E4DB6"/>
    <w:rsid w:val="007E4FF0"/>
    <w:rsid w:val="007E6733"/>
    <w:rsid w:val="007E7CD4"/>
    <w:rsid w:val="007F12AC"/>
    <w:rsid w:val="007F4501"/>
    <w:rsid w:val="007F60DF"/>
    <w:rsid w:val="00801800"/>
    <w:rsid w:val="00801861"/>
    <w:rsid w:val="00801B5B"/>
    <w:rsid w:val="008026C9"/>
    <w:rsid w:val="008216E7"/>
    <w:rsid w:val="00821F95"/>
    <w:rsid w:val="00825BE6"/>
    <w:rsid w:val="008276B4"/>
    <w:rsid w:val="00827F0D"/>
    <w:rsid w:val="00831927"/>
    <w:rsid w:val="00837288"/>
    <w:rsid w:val="00841BD3"/>
    <w:rsid w:val="0084273D"/>
    <w:rsid w:val="00842E88"/>
    <w:rsid w:val="00844E3F"/>
    <w:rsid w:val="00845A83"/>
    <w:rsid w:val="00846BB9"/>
    <w:rsid w:val="008649D5"/>
    <w:rsid w:val="0087086F"/>
    <w:rsid w:val="008712B7"/>
    <w:rsid w:val="008712BB"/>
    <w:rsid w:val="0088181B"/>
    <w:rsid w:val="008830E7"/>
    <w:rsid w:val="00890A98"/>
    <w:rsid w:val="00890EDE"/>
    <w:rsid w:val="00892B38"/>
    <w:rsid w:val="008A077C"/>
    <w:rsid w:val="008A1741"/>
    <w:rsid w:val="008A2484"/>
    <w:rsid w:val="008A52F3"/>
    <w:rsid w:val="008A57EF"/>
    <w:rsid w:val="008B05D9"/>
    <w:rsid w:val="008B40A8"/>
    <w:rsid w:val="008C1853"/>
    <w:rsid w:val="008C26D9"/>
    <w:rsid w:val="008C6CDF"/>
    <w:rsid w:val="008C6D50"/>
    <w:rsid w:val="008C7167"/>
    <w:rsid w:val="008C7503"/>
    <w:rsid w:val="008C7513"/>
    <w:rsid w:val="008D1617"/>
    <w:rsid w:val="008D330F"/>
    <w:rsid w:val="008D48C1"/>
    <w:rsid w:val="008D5C5D"/>
    <w:rsid w:val="008E00B4"/>
    <w:rsid w:val="008E33FF"/>
    <w:rsid w:val="008E5BDB"/>
    <w:rsid w:val="008E6315"/>
    <w:rsid w:val="008F07FC"/>
    <w:rsid w:val="008F11E0"/>
    <w:rsid w:val="008F3EA7"/>
    <w:rsid w:val="008F78BC"/>
    <w:rsid w:val="008F7B63"/>
    <w:rsid w:val="008F7D6A"/>
    <w:rsid w:val="00901C86"/>
    <w:rsid w:val="00903603"/>
    <w:rsid w:val="009054CB"/>
    <w:rsid w:val="00905CDF"/>
    <w:rsid w:val="00911F8D"/>
    <w:rsid w:val="00912F94"/>
    <w:rsid w:val="009171BC"/>
    <w:rsid w:val="0092497E"/>
    <w:rsid w:val="0092590B"/>
    <w:rsid w:val="00925BF3"/>
    <w:rsid w:val="00925E36"/>
    <w:rsid w:val="00925E60"/>
    <w:rsid w:val="009264B3"/>
    <w:rsid w:val="009365E0"/>
    <w:rsid w:val="00942BA2"/>
    <w:rsid w:val="009432B7"/>
    <w:rsid w:val="00943D5D"/>
    <w:rsid w:val="00944C86"/>
    <w:rsid w:val="00945992"/>
    <w:rsid w:val="00947C02"/>
    <w:rsid w:val="00950613"/>
    <w:rsid w:val="00950BE6"/>
    <w:rsid w:val="00957DE8"/>
    <w:rsid w:val="009609AA"/>
    <w:rsid w:val="00960ECB"/>
    <w:rsid w:val="0096157A"/>
    <w:rsid w:val="009615D6"/>
    <w:rsid w:val="00962244"/>
    <w:rsid w:val="00966843"/>
    <w:rsid w:val="00967855"/>
    <w:rsid w:val="00974709"/>
    <w:rsid w:val="00976020"/>
    <w:rsid w:val="00976F60"/>
    <w:rsid w:val="00980736"/>
    <w:rsid w:val="00981A39"/>
    <w:rsid w:val="00982D56"/>
    <w:rsid w:val="00983800"/>
    <w:rsid w:val="00983DBF"/>
    <w:rsid w:val="00987097"/>
    <w:rsid w:val="00990EEC"/>
    <w:rsid w:val="00991123"/>
    <w:rsid w:val="00991CAB"/>
    <w:rsid w:val="009A3A9C"/>
    <w:rsid w:val="009B046C"/>
    <w:rsid w:val="009B13FA"/>
    <w:rsid w:val="009B1E2D"/>
    <w:rsid w:val="009B4659"/>
    <w:rsid w:val="009B753B"/>
    <w:rsid w:val="009C59FB"/>
    <w:rsid w:val="009C5A54"/>
    <w:rsid w:val="009C5FB7"/>
    <w:rsid w:val="009C6F3B"/>
    <w:rsid w:val="009D1467"/>
    <w:rsid w:val="009D4B10"/>
    <w:rsid w:val="009D5404"/>
    <w:rsid w:val="009E4FA6"/>
    <w:rsid w:val="009E74D2"/>
    <w:rsid w:val="009E7D93"/>
    <w:rsid w:val="009F03DB"/>
    <w:rsid w:val="009F2E3A"/>
    <w:rsid w:val="009F3C34"/>
    <w:rsid w:val="009F462C"/>
    <w:rsid w:val="009F5C33"/>
    <w:rsid w:val="00A026F0"/>
    <w:rsid w:val="00A03EAC"/>
    <w:rsid w:val="00A04DBB"/>
    <w:rsid w:val="00A07EA0"/>
    <w:rsid w:val="00A11CA6"/>
    <w:rsid w:val="00A1470B"/>
    <w:rsid w:val="00A20C49"/>
    <w:rsid w:val="00A22932"/>
    <w:rsid w:val="00A269CA"/>
    <w:rsid w:val="00A27D21"/>
    <w:rsid w:val="00A336EE"/>
    <w:rsid w:val="00A33F46"/>
    <w:rsid w:val="00A3427E"/>
    <w:rsid w:val="00A358BA"/>
    <w:rsid w:val="00A359AC"/>
    <w:rsid w:val="00A40F83"/>
    <w:rsid w:val="00A410FB"/>
    <w:rsid w:val="00A41413"/>
    <w:rsid w:val="00A431E6"/>
    <w:rsid w:val="00A436E8"/>
    <w:rsid w:val="00A43A8B"/>
    <w:rsid w:val="00A44ACA"/>
    <w:rsid w:val="00A45FB1"/>
    <w:rsid w:val="00A46CCC"/>
    <w:rsid w:val="00A47109"/>
    <w:rsid w:val="00A47996"/>
    <w:rsid w:val="00A51CFE"/>
    <w:rsid w:val="00A5204D"/>
    <w:rsid w:val="00A56CDD"/>
    <w:rsid w:val="00A60247"/>
    <w:rsid w:val="00A61605"/>
    <w:rsid w:val="00A65417"/>
    <w:rsid w:val="00A65F97"/>
    <w:rsid w:val="00A76C13"/>
    <w:rsid w:val="00A84FD0"/>
    <w:rsid w:val="00A9148E"/>
    <w:rsid w:val="00A92E79"/>
    <w:rsid w:val="00A950B6"/>
    <w:rsid w:val="00A95D45"/>
    <w:rsid w:val="00AA0223"/>
    <w:rsid w:val="00AA7449"/>
    <w:rsid w:val="00AB27E4"/>
    <w:rsid w:val="00AB41C1"/>
    <w:rsid w:val="00AB4CF2"/>
    <w:rsid w:val="00AB6CCA"/>
    <w:rsid w:val="00AB7C3C"/>
    <w:rsid w:val="00AC223F"/>
    <w:rsid w:val="00AC33B1"/>
    <w:rsid w:val="00AD10E2"/>
    <w:rsid w:val="00AD12A8"/>
    <w:rsid w:val="00AD4A6D"/>
    <w:rsid w:val="00AE023F"/>
    <w:rsid w:val="00AF3141"/>
    <w:rsid w:val="00AF3577"/>
    <w:rsid w:val="00AF35F9"/>
    <w:rsid w:val="00AF3C90"/>
    <w:rsid w:val="00AF5404"/>
    <w:rsid w:val="00AF6B58"/>
    <w:rsid w:val="00B0424C"/>
    <w:rsid w:val="00B05652"/>
    <w:rsid w:val="00B05C7D"/>
    <w:rsid w:val="00B065F0"/>
    <w:rsid w:val="00B15D57"/>
    <w:rsid w:val="00B16347"/>
    <w:rsid w:val="00B17D6E"/>
    <w:rsid w:val="00B23BB7"/>
    <w:rsid w:val="00B2435E"/>
    <w:rsid w:val="00B24764"/>
    <w:rsid w:val="00B26B28"/>
    <w:rsid w:val="00B27541"/>
    <w:rsid w:val="00B346C3"/>
    <w:rsid w:val="00B35046"/>
    <w:rsid w:val="00B4005C"/>
    <w:rsid w:val="00B4227E"/>
    <w:rsid w:val="00B4471C"/>
    <w:rsid w:val="00B451A6"/>
    <w:rsid w:val="00B47418"/>
    <w:rsid w:val="00B47781"/>
    <w:rsid w:val="00B508B4"/>
    <w:rsid w:val="00B56D6E"/>
    <w:rsid w:val="00B64347"/>
    <w:rsid w:val="00B653C5"/>
    <w:rsid w:val="00B65DC6"/>
    <w:rsid w:val="00B67AC2"/>
    <w:rsid w:val="00B722DE"/>
    <w:rsid w:val="00B729BF"/>
    <w:rsid w:val="00B751E3"/>
    <w:rsid w:val="00B75BA6"/>
    <w:rsid w:val="00B76C44"/>
    <w:rsid w:val="00B80B7D"/>
    <w:rsid w:val="00B8184A"/>
    <w:rsid w:val="00B82283"/>
    <w:rsid w:val="00B828D8"/>
    <w:rsid w:val="00B83F87"/>
    <w:rsid w:val="00B87CDC"/>
    <w:rsid w:val="00B910C1"/>
    <w:rsid w:val="00B95FE9"/>
    <w:rsid w:val="00BA2220"/>
    <w:rsid w:val="00BA2CA4"/>
    <w:rsid w:val="00BA2EFA"/>
    <w:rsid w:val="00BA3DBC"/>
    <w:rsid w:val="00BA707A"/>
    <w:rsid w:val="00BB1AFB"/>
    <w:rsid w:val="00BB27AE"/>
    <w:rsid w:val="00BB2DA2"/>
    <w:rsid w:val="00BB460D"/>
    <w:rsid w:val="00BB56DC"/>
    <w:rsid w:val="00BD2479"/>
    <w:rsid w:val="00BE183D"/>
    <w:rsid w:val="00BF5D7A"/>
    <w:rsid w:val="00C01C2E"/>
    <w:rsid w:val="00C02D33"/>
    <w:rsid w:val="00C04B53"/>
    <w:rsid w:val="00C07A40"/>
    <w:rsid w:val="00C1232C"/>
    <w:rsid w:val="00C164A4"/>
    <w:rsid w:val="00C16ED0"/>
    <w:rsid w:val="00C17897"/>
    <w:rsid w:val="00C279AC"/>
    <w:rsid w:val="00C27C6B"/>
    <w:rsid w:val="00C32C5D"/>
    <w:rsid w:val="00C3594D"/>
    <w:rsid w:val="00C36442"/>
    <w:rsid w:val="00C400CE"/>
    <w:rsid w:val="00C410FD"/>
    <w:rsid w:val="00C457DE"/>
    <w:rsid w:val="00C4672E"/>
    <w:rsid w:val="00C46FA1"/>
    <w:rsid w:val="00C47DD3"/>
    <w:rsid w:val="00C53562"/>
    <w:rsid w:val="00C539FB"/>
    <w:rsid w:val="00C62208"/>
    <w:rsid w:val="00C656E0"/>
    <w:rsid w:val="00C66624"/>
    <w:rsid w:val="00C66E57"/>
    <w:rsid w:val="00C71EF4"/>
    <w:rsid w:val="00C74150"/>
    <w:rsid w:val="00C74160"/>
    <w:rsid w:val="00C74E87"/>
    <w:rsid w:val="00C75594"/>
    <w:rsid w:val="00C76204"/>
    <w:rsid w:val="00C85982"/>
    <w:rsid w:val="00CA0466"/>
    <w:rsid w:val="00CA246D"/>
    <w:rsid w:val="00CA50D9"/>
    <w:rsid w:val="00CB07C3"/>
    <w:rsid w:val="00CB3054"/>
    <w:rsid w:val="00CB5636"/>
    <w:rsid w:val="00CC29DF"/>
    <w:rsid w:val="00CC3EE5"/>
    <w:rsid w:val="00CD0D63"/>
    <w:rsid w:val="00CE031B"/>
    <w:rsid w:val="00CE425C"/>
    <w:rsid w:val="00CE58AC"/>
    <w:rsid w:val="00CF077E"/>
    <w:rsid w:val="00CF5A80"/>
    <w:rsid w:val="00CF6B8E"/>
    <w:rsid w:val="00CF7CD6"/>
    <w:rsid w:val="00D009BE"/>
    <w:rsid w:val="00D045EE"/>
    <w:rsid w:val="00D05091"/>
    <w:rsid w:val="00D10260"/>
    <w:rsid w:val="00D10CA6"/>
    <w:rsid w:val="00D10F21"/>
    <w:rsid w:val="00D134CF"/>
    <w:rsid w:val="00D1573B"/>
    <w:rsid w:val="00D2193F"/>
    <w:rsid w:val="00D24806"/>
    <w:rsid w:val="00D307DA"/>
    <w:rsid w:val="00D3281C"/>
    <w:rsid w:val="00D34040"/>
    <w:rsid w:val="00D34E69"/>
    <w:rsid w:val="00D36C78"/>
    <w:rsid w:val="00D375EE"/>
    <w:rsid w:val="00D40D39"/>
    <w:rsid w:val="00D51574"/>
    <w:rsid w:val="00D55AE8"/>
    <w:rsid w:val="00D56056"/>
    <w:rsid w:val="00D601C0"/>
    <w:rsid w:val="00D6085F"/>
    <w:rsid w:val="00D62699"/>
    <w:rsid w:val="00D62988"/>
    <w:rsid w:val="00D75413"/>
    <w:rsid w:val="00D76346"/>
    <w:rsid w:val="00D778E9"/>
    <w:rsid w:val="00D812BF"/>
    <w:rsid w:val="00D82620"/>
    <w:rsid w:val="00D84369"/>
    <w:rsid w:val="00D85707"/>
    <w:rsid w:val="00D96D72"/>
    <w:rsid w:val="00D9725F"/>
    <w:rsid w:val="00DA01B1"/>
    <w:rsid w:val="00DA11A2"/>
    <w:rsid w:val="00DA14ED"/>
    <w:rsid w:val="00DA26D6"/>
    <w:rsid w:val="00DB2EF1"/>
    <w:rsid w:val="00DB3DE1"/>
    <w:rsid w:val="00DB3F4A"/>
    <w:rsid w:val="00DB5DA0"/>
    <w:rsid w:val="00DB716C"/>
    <w:rsid w:val="00DC5C85"/>
    <w:rsid w:val="00DC7C5D"/>
    <w:rsid w:val="00DD4236"/>
    <w:rsid w:val="00DD44F1"/>
    <w:rsid w:val="00DD5556"/>
    <w:rsid w:val="00DD6957"/>
    <w:rsid w:val="00DD6E7A"/>
    <w:rsid w:val="00DE07CE"/>
    <w:rsid w:val="00DE11DD"/>
    <w:rsid w:val="00DE3067"/>
    <w:rsid w:val="00DF3EEE"/>
    <w:rsid w:val="00DF75E1"/>
    <w:rsid w:val="00E027BC"/>
    <w:rsid w:val="00E055D3"/>
    <w:rsid w:val="00E07307"/>
    <w:rsid w:val="00E10F0D"/>
    <w:rsid w:val="00E14EA5"/>
    <w:rsid w:val="00E2070E"/>
    <w:rsid w:val="00E21133"/>
    <w:rsid w:val="00E2327E"/>
    <w:rsid w:val="00E266EF"/>
    <w:rsid w:val="00E30553"/>
    <w:rsid w:val="00E44FB8"/>
    <w:rsid w:val="00E47428"/>
    <w:rsid w:val="00E47A0F"/>
    <w:rsid w:val="00E54E0D"/>
    <w:rsid w:val="00E55FBC"/>
    <w:rsid w:val="00E56C8E"/>
    <w:rsid w:val="00E5716B"/>
    <w:rsid w:val="00E57F1F"/>
    <w:rsid w:val="00E66B9F"/>
    <w:rsid w:val="00E70A6A"/>
    <w:rsid w:val="00E710D6"/>
    <w:rsid w:val="00E73DA4"/>
    <w:rsid w:val="00E76E45"/>
    <w:rsid w:val="00E777C9"/>
    <w:rsid w:val="00E81DA6"/>
    <w:rsid w:val="00E832AE"/>
    <w:rsid w:val="00E84212"/>
    <w:rsid w:val="00E9086C"/>
    <w:rsid w:val="00E90AAA"/>
    <w:rsid w:val="00E91A0F"/>
    <w:rsid w:val="00E94A71"/>
    <w:rsid w:val="00E94CBF"/>
    <w:rsid w:val="00E97822"/>
    <w:rsid w:val="00EA03CE"/>
    <w:rsid w:val="00EA16D7"/>
    <w:rsid w:val="00EA23E5"/>
    <w:rsid w:val="00EA2F0E"/>
    <w:rsid w:val="00EA4E2E"/>
    <w:rsid w:val="00EB2417"/>
    <w:rsid w:val="00EB2CCB"/>
    <w:rsid w:val="00EB7A25"/>
    <w:rsid w:val="00EC0F3E"/>
    <w:rsid w:val="00EC57A7"/>
    <w:rsid w:val="00EC6D43"/>
    <w:rsid w:val="00ED0817"/>
    <w:rsid w:val="00ED56E1"/>
    <w:rsid w:val="00ED7DD9"/>
    <w:rsid w:val="00EE445B"/>
    <w:rsid w:val="00EF3113"/>
    <w:rsid w:val="00EF3F84"/>
    <w:rsid w:val="00EF5EF0"/>
    <w:rsid w:val="00F1011D"/>
    <w:rsid w:val="00F103AC"/>
    <w:rsid w:val="00F176AC"/>
    <w:rsid w:val="00F2551F"/>
    <w:rsid w:val="00F26F28"/>
    <w:rsid w:val="00F271EF"/>
    <w:rsid w:val="00F27714"/>
    <w:rsid w:val="00F3276E"/>
    <w:rsid w:val="00F33D3C"/>
    <w:rsid w:val="00F37A91"/>
    <w:rsid w:val="00F37EB0"/>
    <w:rsid w:val="00F408A0"/>
    <w:rsid w:val="00F45CF5"/>
    <w:rsid w:val="00F47DB0"/>
    <w:rsid w:val="00F50C3F"/>
    <w:rsid w:val="00F50E34"/>
    <w:rsid w:val="00F50F31"/>
    <w:rsid w:val="00F53EF7"/>
    <w:rsid w:val="00F54BF2"/>
    <w:rsid w:val="00F57121"/>
    <w:rsid w:val="00F775AC"/>
    <w:rsid w:val="00F92355"/>
    <w:rsid w:val="00F93963"/>
    <w:rsid w:val="00F94291"/>
    <w:rsid w:val="00FA298A"/>
    <w:rsid w:val="00FA5B66"/>
    <w:rsid w:val="00FA6F3C"/>
    <w:rsid w:val="00FB30EB"/>
    <w:rsid w:val="00FB7982"/>
    <w:rsid w:val="00FC0734"/>
    <w:rsid w:val="00FC0928"/>
    <w:rsid w:val="00FC0FC5"/>
    <w:rsid w:val="00FC588F"/>
    <w:rsid w:val="00FC6879"/>
    <w:rsid w:val="00FD21CF"/>
    <w:rsid w:val="00FD35D1"/>
    <w:rsid w:val="00FE1B30"/>
    <w:rsid w:val="00FE55C5"/>
    <w:rsid w:val="00FE5CB4"/>
    <w:rsid w:val="00FE7B44"/>
    <w:rsid w:val="00FF00BF"/>
    <w:rsid w:val="00FF36A3"/>
    <w:rsid w:val="00FF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2B6F3A3"/>
  <w15:docId w15:val="{4F58B7A3-0834-4606-94F8-D514E687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777AFB"/>
    <w:pPr>
      <w:autoSpaceDE w:val="0"/>
      <w:autoSpaceDN w:val="0"/>
      <w:adjustRightInd w:val="0"/>
    </w:pPr>
    <w:rPr>
      <w:color w:val="000000"/>
      <w:sz w:val="24"/>
      <w:szCs w:val="24"/>
    </w:rPr>
  </w:style>
  <w:style w:type="paragraph" w:customStyle="1" w:styleId="subsection">
    <w:name w:val="subsection"/>
    <w:basedOn w:val="Normal"/>
    <w:rsid w:val="00FE5CB4"/>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FE5CB4"/>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FE5CB4"/>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990EEC"/>
    <w:pPr>
      <w:spacing w:before="100" w:beforeAutospacing="1" w:after="100" w:afterAutospacing="1" w:line="240" w:lineRule="auto"/>
      <w:jc w:val="left"/>
    </w:pPr>
    <w:rPr>
      <w:rFonts w:eastAsia="Times New Roman"/>
      <w:szCs w:val="24"/>
      <w:lang w:eastAsia="en-AU"/>
    </w:rPr>
  </w:style>
  <w:style w:type="paragraph" w:customStyle="1" w:styleId="subsection2">
    <w:name w:val="subsection2"/>
    <w:basedOn w:val="Normal"/>
    <w:rsid w:val="00534B91"/>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4817">
      <w:bodyDiv w:val="1"/>
      <w:marLeft w:val="0"/>
      <w:marRight w:val="0"/>
      <w:marTop w:val="0"/>
      <w:marBottom w:val="0"/>
      <w:divBdr>
        <w:top w:val="none" w:sz="0" w:space="0" w:color="auto"/>
        <w:left w:val="none" w:sz="0" w:space="0" w:color="auto"/>
        <w:bottom w:val="none" w:sz="0" w:space="0" w:color="auto"/>
        <w:right w:val="none" w:sz="0" w:space="0" w:color="auto"/>
      </w:divBdr>
    </w:div>
    <w:div w:id="448204456">
      <w:bodyDiv w:val="1"/>
      <w:marLeft w:val="0"/>
      <w:marRight w:val="0"/>
      <w:marTop w:val="0"/>
      <w:marBottom w:val="0"/>
      <w:divBdr>
        <w:top w:val="none" w:sz="0" w:space="0" w:color="auto"/>
        <w:left w:val="none" w:sz="0" w:space="0" w:color="auto"/>
        <w:bottom w:val="none" w:sz="0" w:space="0" w:color="auto"/>
        <w:right w:val="none" w:sz="0" w:space="0" w:color="auto"/>
      </w:divBdr>
    </w:div>
    <w:div w:id="705645024">
      <w:bodyDiv w:val="1"/>
      <w:marLeft w:val="0"/>
      <w:marRight w:val="0"/>
      <w:marTop w:val="0"/>
      <w:marBottom w:val="0"/>
      <w:divBdr>
        <w:top w:val="none" w:sz="0" w:space="0" w:color="auto"/>
        <w:left w:val="none" w:sz="0" w:space="0" w:color="auto"/>
        <w:bottom w:val="none" w:sz="0" w:space="0" w:color="auto"/>
        <w:right w:val="none" w:sz="0" w:space="0" w:color="auto"/>
      </w:divBdr>
    </w:div>
    <w:div w:id="1045759465">
      <w:bodyDiv w:val="1"/>
      <w:marLeft w:val="0"/>
      <w:marRight w:val="0"/>
      <w:marTop w:val="0"/>
      <w:marBottom w:val="0"/>
      <w:divBdr>
        <w:top w:val="none" w:sz="0" w:space="0" w:color="auto"/>
        <w:left w:val="none" w:sz="0" w:space="0" w:color="auto"/>
        <w:bottom w:val="none" w:sz="0" w:space="0" w:color="auto"/>
        <w:right w:val="none" w:sz="0" w:space="0" w:color="auto"/>
      </w:divBdr>
      <w:divsChild>
        <w:div w:id="1586918179">
          <w:marLeft w:val="0"/>
          <w:marRight w:val="0"/>
          <w:marTop w:val="0"/>
          <w:marBottom w:val="0"/>
          <w:divBdr>
            <w:top w:val="none" w:sz="0" w:space="0" w:color="auto"/>
            <w:left w:val="none" w:sz="0" w:space="0" w:color="auto"/>
            <w:bottom w:val="none" w:sz="0" w:space="0" w:color="auto"/>
            <w:right w:val="none" w:sz="0" w:space="0" w:color="auto"/>
          </w:divBdr>
          <w:divsChild>
            <w:div w:id="19267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6746">
      <w:bodyDiv w:val="1"/>
      <w:marLeft w:val="0"/>
      <w:marRight w:val="0"/>
      <w:marTop w:val="0"/>
      <w:marBottom w:val="0"/>
      <w:divBdr>
        <w:top w:val="none" w:sz="0" w:space="0" w:color="auto"/>
        <w:left w:val="none" w:sz="0" w:space="0" w:color="auto"/>
        <w:bottom w:val="none" w:sz="0" w:space="0" w:color="auto"/>
        <w:right w:val="none" w:sz="0" w:space="0" w:color="auto"/>
      </w:divBdr>
    </w:div>
    <w:div w:id="1233854417">
      <w:bodyDiv w:val="1"/>
      <w:marLeft w:val="0"/>
      <w:marRight w:val="0"/>
      <w:marTop w:val="0"/>
      <w:marBottom w:val="0"/>
      <w:divBdr>
        <w:top w:val="none" w:sz="0" w:space="0" w:color="auto"/>
        <w:left w:val="none" w:sz="0" w:space="0" w:color="auto"/>
        <w:bottom w:val="none" w:sz="0" w:space="0" w:color="auto"/>
        <w:right w:val="none" w:sz="0" w:space="0" w:color="auto"/>
      </w:divBdr>
    </w:div>
    <w:div w:id="20749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50ABEE550742AC929FD8BAECFE8A54"/>
        <w:category>
          <w:name w:val="General"/>
          <w:gallery w:val="placeholder"/>
        </w:category>
        <w:types>
          <w:type w:val="bbPlcHdr"/>
        </w:types>
        <w:behaviors>
          <w:behavior w:val="content"/>
        </w:behaviors>
        <w:guid w:val="{ED33FA8B-9697-4744-8C3D-0B25989A9347}"/>
      </w:docPartPr>
      <w:docPartBody>
        <w:p w:rsidR="00C6304E" w:rsidRDefault="00C6304E">
          <w:pPr>
            <w:pStyle w:val="EE50ABEE550742AC929FD8BAECFE8A54"/>
          </w:pPr>
          <w:r>
            <w:rPr>
              <w:rStyle w:val="PlaceholderText"/>
            </w:rPr>
            <w:t>MNC Text</w:t>
          </w:r>
        </w:p>
      </w:docPartBody>
    </w:docPart>
    <w:docPart>
      <w:docPartPr>
        <w:name w:val="1C989AF591524D429A7581C1C813398D"/>
        <w:category>
          <w:name w:val="General"/>
          <w:gallery w:val="placeholder"/>
        </w:category>
        <w:types>
          <w:type w:val="bbPlcHdr"/>
        </w:types>
        <w:behaviors>
          <w:behavior w:val="content"/>
        </w:behaviors>
        <w:guid w:val="{9410AC45-5EC2-4DB2-9A59-3552E20E7F8A}"/>
      </w:docPartPr>
      <w:docPartBody>
        <w:p w:rsidR="00C6304E" w:rsidRDefault="00C6304E">
          <w:pPr>
            <w:pStyle w:val="1C989AF591524D429A7581C1C813398D"/>
          </w:pPr>
          <w:r w:rsidRPr="005C44BE">
            <w:rPr>
              <w:rStyle w:val="PlaceholderText"/>
            </w:rPr>
            <w:t>Click or tap here to enter text.</w:t>
          </w:r>
        </w:p>
      </w:docPartBody>
    </w:docPart>
    <w:docPart>
      <w:docPartPr>
        <w:name w:val="63A764EB1FB946628E1351EC24E4EDDC"/>
        <w:category>
          <w:name w:val="General"/>
          <w:gallery w:val="placeholder"/>
        </w:category>
        <w:types>
          <w:type w:val="bbPlcHdr"/>
        </w:types>
        <w:behaviors>
          <w:behavior w:val="content"/>
        </w:behaviors>
        <w:guid w:val="{C5868EA6-D93F-4EBF-8D1E-D0FE2EC8B30D}"/>
      </w:docPartPr>
      <w:docPartBody>
        <w:p w:rsidR="00C6304E" w:rsidRDefault="00C6304E">
          <w:pPr>
            <w:pStyle w:val="63A764EB1FB946628E1351EC24E4EDDC"/>
          </w:pPr>
          <w:r w:rsidRPr="005C44BE">
            <w:rPr>
              <w:rStyle w:val="PlaceholderText"/>
            </w:rPr>
            <w:t>Click or tap here to enter text.</w:t>
          </w:r>
        </w:p>
      </w:docPartBody>
    </w:docPart>
    <w:docPart>
      <w:docPartPr>
        <w:name w:val="AA2B953CE6F947B385E902E99B536079"/>
        <w:category>
          <w:name w:val="General"/>
          <w:gallery w:val="placeholder"/>
        </w:category>
        <w:types>
          <w:type w:val="bbPlcHdr"/>
        </w:types>
        <w:behaviors>
          <w:behavior w:val="content"/>
        </w:behaviors>
        <w:guid w:val="{C3790310-BE9E-4F22-A89B-619E256DBF0B}"/>
      </w:docPartPr>
      <w:docPartBody>
        <w:p w:rsidR="00C6304E" w:rsidRDefault="00C6304E">
          <w:pPr>
            <w:pStyle w:val="AA2B953CE6F947B385E902E99B536079"/>
          </w:pPr>
          <w:r w:rsidRPr="005C44BE">
            <w:rPr>
              <w:rStyle w:val="PlaceholderText"/>
            </w:rPr>
            <w:t>Click or tap here to enter text.</w:t>
          </w:r>
        </w:p>
      </w:docPartBody>
    </w:docPart>
    <w:docPart>
      <w:docPartPr>
        <w:name w:val="CFB99C267CBB4A8991AAE8E9B841CE63"/>
        <w:category>
          <w:name w:val="General"/>
          <w:gallery w:val="placeholder"/>
        </w:category>
        <w:types>
          <w:type w:val="bbPlcHdr"/>
        </w:types>
        <w:behaviors>
          <w:behavior w:val="content"/>
        </w:behaviors>
        <w:guid w:val="{E07DE3B7-1F03-43BF-A4E1-C52E24059294}"/>
      </w:docPartPr>
      <w:docPartBody>
        <w:p w:rsidR="00C6304E" w:rsidRDefault="00C6304E">
          <w:pPr>
            <w:pStyle w:val="CFB99C267CBB4A8991AAE8E9B841CE6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287"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4E"/>
    <w:rsid w:val="000708B9"/>
    <w:rsid w:val="001B70C2"/>
    <w:rsid w:val="00290E73"/>
    <w:rsid w:val="002B3944"/>
    <w:rsid w:val="002E45EC"/>
    <w:rsid w:val="0042641E"/>
    <w:rsid w:val="007777F9"/>
    <w:rsid w:val="007D3FF0"/>
    <w:rsid w:val="00B27A3D"/>
    <w:rsid w:val="00BE084C"/>
    <w:rsid w:val="00C52ED8"/>
    <w:rsid w:val="00C6304E"/>
    <w:rsid w:val="00CB11F5"/>
    <w:rsid w:val="00D709B4"/>
    <w:rsid w:val="00DA2A75"/>
    <w:rsid w:val="00E75350"/>
    <w:rsid w:val="00EA6DD9"/>
    <w:rsid w:val="00F15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50ABEE550742AC929FD8BAECFE8A54">
    <w:name w:val="EE50ABEE550742AC929FD8BAECFE8A54"/>
  </w:style>
  <w:style w:type="paragraph" w:customStyle="1" w:styleId="1C989AF591524D429A7581C1C813398D">
    <w:name w:val="1C989AF591524D429A7581C1C813398D"/>
  </w:style>
  <w:style w:type="paragraph" w:customStyle="1" w:styleId="63A764EB1FB946628E1351EC24E4EDDC">
    <w:name w:val="63A764EB1FB946628E1351EC24E4EDDC"/>
  </w:style>
  <w:style w:type="paragraph" w:customStyle="1" w:styleId="AA2B953CE6F947B385E902E99B536079">
    <w:name w:val="AA2B953CE6F947B385E902E99B536079"/>
  </w:style>
  <w:style w:type="paragraph" w:customStyle="1" w:styleId="CFB99C267CBB4A8991AAE8E9B841CE63">
    <w:name w:val="CFB99C267CBB4A8991AAE8E9B841C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Coles Supply Chain Pty Ltd v Milford [2020] FCAFC 152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27</Pages>
  <Words>11237</Words>
  <Characters>53223</Characters>
  <Application>Microsoft Office Word</Application>
  <DocSecurity>0</DocSecurity>
  <Lines>933</Lines>
  <Paragraphs>323</Paragraphs>
  <ScaleCrop>false</ScaleCrop>
  <HeadingPairs>
    <vt:vector size="2" baseType="variant">
      <vt:variant>
        <vt:lpstr>Title</vt:lpstr>
      </vt:variant>
      <vt:variant>
        <vt:i4>1</vt:i4>
      </vt:variant>
    </vt:vector>
  </HeadingPairs>
  <TitlesOfParts>
    <vt:vector size="1" baseType="lpstr">
      <vt:lpstr>Coles Supply Chain Pty Ltd v Milford [2020] FCAFC 152</vt:lpstr>
    </vt:vector>
  </TitlesOfParts>
  <Company>Federal Court of Australia</Company>
  <LinksUpToDate>false</LinksUpToDate>
  <CharactersWithSpaces>64137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Coles Supply Chain Pty Ltd v Milford [2020] FCAFC 152</dc:title>
  <dc:creator>Federal Court of Australia</dc:creator>
  <cp:lastModifiedBy>Federal Court of Australia</cp:lastModifiedBy>
  <cp:revision>4</cp:revision>
  <cp:lastPrinted>2020-09-04T04:41:00Z</cp:lastPrinted>
  <dcterms:created xsi:type="dcterms:W3CDTF">2020-09-11T04:39:00Z</dcterms:created>
  <dcterms:modified xsi:type="dcterms:W3CDTF">2020-09-11T04:40:00Z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27</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Cameron Milford v Coles Supply Chain Pty Ltd [2019] FWCFB 7658</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