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12A6D">
      <w:pPr>
        <w:pStyle w:val="MediaNeutralStyle"/>
      </w:pPr>
      <w:bookmarkStart w:id="0" w:name="MNC"/>
      <w:r>
        <w:t>Australian Securities &amp; Investments Commission v AM</w:t>
      </w:r>
      <w:r w:rsidR="006442E2">
        <w:t>P Financial Planning Pty Ltd</w:t>
      </w:r>
      <w:r w:rsidR="00505A9F">
        <w:t xml:space="preserve"> </w:t>
      </w:r>
      <w:r w:rsidR="00996FE7">
        <w:t xml:space="preserve">(No 2) </w:t>
      </w:r>
      <w:r w:rsidR="00505A9F">
        <w:t>[20</w:t>
      </w:r>
      <w:r w:rsidR="00353B79">
        <w:t>20</w:t>
      </w:r>
      <w:r w:rsidR="00182B93">
        <w:t xml:space="preserve">] FCA </w:t>
      </w:r>
      <w:r w:rsidR="00D531F3">
        <w:t>69</w:t>
      </w:r>
      <w:r>
        <w:t xml:space="preserve"> </w:t>
      </w:r>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512A6D" w:rsidTr="006A5340">
        <w:tc>
          <w:tcPr>
            <w:tcW w:w="3084" w:type="dxa"/>
            <w:shd w:val="clear" w:color="auto" w:fill="auto"/>
          </w:tcPr>
          <w:p w:rsidR="00512A6D" w:rsidRDefault="002A2C2F" w:rsidP="00E73959">
            <w:pPr>
              <w:pStyle w:val="Normal1linespace"/>
              <w:widowControl w:val="0"/>
              <w:jc w:val="left"/>
            </w:pPr>
            <w:r>
              <w:t>File number</w:t>
            </w:r>
            <w:r w:rsidR="00512A6D">
              <w:t>:</w:t>
            </w:r>
          </w:p>
        </w:tc>
        <w:tc>
          <w:tcPr>
            <w:tcW w:w="5989" w:type="dxa"/>
            <w:shd w:val="clear" w:color="auto" w:fill="auto"/>
          </w:tcPr>
          <w:p w:rsidR="00512A6D" w:rsidRPr="00512A6D" w:rsidRDefault="00B10E26" w:rsidP="00F9477A">
            <w:pPr>
              <w:pStyle w:val="Normal1linespace"/>
              <w:jc w:val="left"/>
            </w:pPr>
            <w:fldSimple w:instr=" REF  FileNo  \* MERGEFORMAT " w:fldLock="1">
              <w:r w:rsidR="00512A6D" w:rsidRPr="00512A6D">
                <w:t>NSD</w:t>
              </w:r>
              <w:r w:rsidR="00F9477A">
                <w:t xml:space="preserve"> </w:t>
              </w:r>
              <w:r w:rsidR="00512A6D" w:rsidRPr="00512A6D">
                <w:t>1124 of 201</w:t>
              </w:r>
              <w:r w:rsidR="00F9477A">
                <w:t>8</w:t>
              </w:r>
            </w:fldSimple>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Normal1linespace"/>
              <w:widowControl w:val="0"/>
              <w:jc w:val="left"/>
            </w:pPr>
          </w:p>
        </w:tc>
      </w:tr>
      <w:tr w:rsidR="00512A6D" w:rsidTr="006A5340">
        <w:tc>
          <w:tcPr>
            <w:tcW w:w="3084" w:type="dxa"/>
            <w:shd w:val="clear" w:color="auto" w:fill="auto"/>
          </w:tcPr>
          <w:p w:rsidR="00512A6D" w:rsidRDefault="002A2C2F" w:rsidP="00E73959">
            <w:pPr>
              <w:pStyle w:val="Normal1linespace"/>
              <w:widowControl w:val="0"/>
              <w:jc w:val="left"/>
            </w:pPr>
            <w:r>
              <w:t>Judge</w:t>
            </w:r>
            <w:r w:rsidR="00512A6D">
              <w:t>:</w:t>
            </w:r>
          </w:p>
        </w:tc>
        <w:tc>
          <w:tcPr>
            <w:tcW w:w="5989" w:type="dxa"/>
            <w:shd w:val="clear" w:color="auto" w:fill="auto"/>
          </w:tcPr>
          <w:p w:rsidR="00512A6D" w:rsidRDefault="00512A6D" w:rsidP="00E73959">
            <w:pPr>
              <w:pStyle w:val="Normal1linespace"/>
              <w:widowControl w:val="0"/>
              <w:jc w:val="left"/>
              <w:rPr>
                <w:b/>
              </w:rPr>
            </w:pPr>
            <w:r w:rsidRPr="00512A6D">
              <w:rPr>
                <w:b/>
              </w:rPr>
              <w:fldChar w:fldCharType="begin" w:fldLock="1"/>
            </w:r>
            <w:r w:rsidRPr="00512A6D">
              <w:rPr>
                <w:b/>
              </w:rPr>
              <w:instrText xml:space="preserve"> REF  Judge  \* MERGEFORMAT </w:instrText>
            </w:r>
            <w:r w:rsidRPr="00512A6D">
              <w:rPr>
                <w:b/>
              </w:rPr>
              <w:fldChar w:fldCharType="separate"/>
            </w:r>
            <w:r w:rsidRPr="00512A6D">
              <w:rPr>
                <w:b/>
                <w:caps/>
                <w:szCs w:val="24"/>
              </w:rPr>
              <w:t>LEE J</w:t>
            </w:r>
            <w:r w:rsidRPr="00512A6D">
              <w:rPr>
                <w:b/>
              </w:rPr>
              <w:fldChar w:fldCharType="end"/>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Normal1linespace"/>
              <w:widowControl w:val="0"/>
              <w:jc w:val="left"/>
            </w:pPr>
          </w:p>
        </w:tc>
      </w:tr>
      <w:tr w:rsidR="00512A6D" w:rsidTr="006A5340">
        <w:tc>
          <w:tcPr>
            <w:tcW w:w="3084" w:type="dxa"/>
            <w:shd w:val="clear" w:color="auto" w:fill="auto"/>
          </w:tcPr>
          <w:p w:rsidR="00512A6D" w:rsidRDefault="00512A6D" w:rsidP="00E73959">
            <w:pPr>
              <w:pStyle w:val="Normal1linespace"/>
              <w:widowControl w:val="0"/>
              <w:jc w:val="left"/>
            </w:pPr>
            <w:r>
              <w:t>Date of judgment:</w:t>
            </w:r>
          </w:p>
        </w:tc>
        <w:tc>
          <w:tcPr>
            <w:tcW w:w="5989" w:type="dxa"/>
            <w:shd w:val="clear" w:color="auto" w:fill="auto"/>
          </w:tcPr>
          <w:p w:rsidR="00512A6D" w:rsidRDefault="00212611" w:rsidP="00E73959">
            <w:pPr>
              <w:pStyle w:val="Normal1linespace"/>
              <w:widowControl w:val="0"/>
              <w:jc w:val="left"/>
            </w:pPr>
            <w:bookmarkStart w:id="1" w:name="JudgmentDate"/>
            <w:bookmarkEnd w:id="1"/>
            <w:r>
              <w:t xml:space="preserve">5 February </w:t>
            </w:r>
            <w:r w:rsidR="00875926">
              <w:t>2020</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692EC5" w:rsidP="00E73959">
            <w:pPr>
              <w:pStyle w:val="Normal1linespace"/>
              <w:widowControl w:val="0"/>
              <w:jc w:val="left"/>
            </w:pPr>
            <w:r>
              <w:t xml:space="preserve"> </w:t>
            </w:r>
          </w:p>
        </w:tc>
      </w:tr>
      <w:tr w:rsidR="00512A6D" w:rsidTr="006A5340">
        <w:tc>
          <w:tcPr>
            <w:tcW w:w="3084" w:type="dxa"/>
            <w:shd w:val="clear" w:color="auto" w:fill="auto"/>
          </w:tcPr>
          <w:p w:rsidR="00512A6D" w:rsidRDefault="00512A6D" w:rsidP="00E73959">
            <w:pPr>
              <w:pStyle w:val="Normal1linespace"/>
              <w:widowControl w:val="0"/>
              <w:jc w:val="left"/>
            </w:pPr>
            <w:r>
              <w:t>Catchwords:</w:t>
            </w:r>
          </w:p>
        </w:tc>
        <w:tc>
          <w:tcPr>
            <w:tcW w:w="5989" w:type="dxa"/>
            <w:shd w:val="clear" w:color="auto" w:fill="auto"/>
          </w:tcPr>
          <w:p w:rsidR="00512A6D" w:rsidRPr="000C0EAC" w:rsidRDefault="009D2E00" w:rsidP="000C0EAC">
            <w:pPr>
              <w:autoSpaceDE w:val="0"/>
              <w:autoSpaceDN w:val="0"/>
              <w:adjustRightInd w:val="0"/>
              <w:spacing w:line="240" w:lineRule="auto"/>
              <w:jc w:val="left"/>
              <w:rPr>
                <w:szCs w:val="24"/>
                <w:lang w:eastAsia="en-AU"/>
              </w:rPr>
            </w:pPr>
            <w:r>
              <w:rPr>
                <w:b/>
              </w:rPr>
              <w:t>CORPORATIONS</w:t>
            </w:r>
            <w:r w:rsidR="00D90851">
              <w:t xml:space="preserve"> </w:t>
            </w:r>
            <w:r w:rsidR="00D90851" w:rsidRPr="00D90851">
              <w:t>–</w:t>
            </w:r>
            <w:r w:rsidR="00D90851">
              <w:t xml:space="preserve"> financial advice </w:t>
            </w:r>
            <w:r w:rsidR="00726092" w:rsidRPr="00D90851">
              <w:t>–</w:t>
            </w:r>
            <w:r w:rsidR="000826CA">
              <w:t xml:space="preserve"> </w:t>
            </w:r>
            <w:r w:rsidR="000704B8">
              <w:t xml:space="preserve">“best interests obligations” </w:t>
            </w:r>
            <w:r w:rsidR="000704B8" w:rsidRPr="00D90851">
              <w:t>–</w:t>
            </w:r>
            <w:r w:rsidR="000704B8">
              <w:t xml:space="preserve"> </w:t>
            </w:r>
            <w:proofErr w:type="spellStart"/>
            <w:r w:rsidR="000C0EAC">
              <w:t>ss</w:t>
            </w:r>
            <w:proofErr w:type="spellEnd"/>
            <w:r w:rsidR="000C0EAC">
              <w:t xml:space="preserve"> 961B, 961G and 961J of the </w:t>
            </w:r>
            <w:r w:rsidR="000C0EAC">
              <w:rPr>
                <w:i/>
              </w:rPr>
              <w:t xml:space="preserve">Corporations Act 2001 </w:t>
            </w:r>
            <w:r w:rsidR="000C0EAC">
              <w:t>(</w:t>
            </w:r>
            <w:proofErr w:type="spellStart"/>
            <w:r w:rsidR="000C0EAC">
              <w:t>Cth</w:t>
            </w:r>
            <w:proofErr w:type="spellEnd"/>
            <w:r w:rsidR="000C0EAC">
              <w:t>)</w:t>
            </w:r>
            <w:r w:rsidR="00726092">
              <w:t xml:space="preserve"> where</w:t>
            </w:r>
            <w:r w:rsidR="000C0EAC">
              <w:t xml:space="preserve"> six</w:t>
            </w:r>
            <w:r w:rsidR="00726092">
              <w:t xml:space="preserve"> representatives of defendant licensee </w:t>
            </w:r>
            <w:r w:rsidR="000C0EAC">
              <w:t xml:space="preserve">breached </w:t>
            </w:r>
            <w:proofErr w:type="spellStart"/>
            <w:r w:rsidR="000704B8">
              <w:t>ss</w:t>
            </w:r>
            <w:proofErr w:type="spellEnd"/>
            <w:r w:rsidR="000704B8">
              <w:t xml:space="preserve"> 961B, 961G and 961J </w:t>
            </w:r>
            <w:r w:rsidR="006F6FAF">
              <w:t xml:space="preserve">(part of the best interests obligations) </w:t>
            </w:r>
            <w:r w:rsidR="00726092">
              <w:t xml:space="preserve">by </w:t>
            </w:r>
            <w:r w:rsidR="00726092">
              <w:rPr>
                <w:szCs w:val="24"/>
                <w:lang w:eastAsia="en-AU"/>
              </w:rPr>
              <w:t>providing advice to</w:t>
            </w:r>
            <w:r w:rsidR="000C0EAC">
              <w:rPr>
                <w:szCs w:val="24"/>
                <w:lang w:eastAsia="en-AU"/>
              </w:rPr>
              <w:t xml:space="preserve"> 40</w:t>
            </w:r>
            <w:r w:rsidR="00726092">
              <w:rPr>
                <w:szCs w:val="24"/>
                <w:lang w:eastAsia="en-AU"/>
              </w:rPr>
              <w:t xml:space="preserve"> client</w:t>
            </w:r>
            <w:r w:rsidR="000C0EAC">
              <w:rPr>
                <w:szCs w:val="24"/>
                <w:lang w:eastAsia="en-AU"/>
              </w:rPr>
              <w:t>s</w:t>
            </w:r>
            <w:r w:rsidR="00726092">
              <w:rPr>
                <w:szCs w:val="24"/>
                <w:lang w:eastAsia="en-AU"/>
              </w:rPr>
              <w:t xml:space="preserve"> </w:t>
            </w:r>
            <w:r w:rsidR="00411919">
              <w:rPr>
                <w:szCs w:val="24"/>
                <w:lang w:eastAsia="en-AU"/>
              </w:rPr>
              <w:t>to generate</w:t>
            </w:r>
            <w:r w:rsidR="000C0EAC">
              <w:rPr>
                <w:szCs w:val="24"/>
                <w:lang w:eastAsia="en-AU"/>
              </w:rPr>
              <w:t xml:space="preserve"> </w:t>
            </w:r>
            <w:r w:rsidR="00726092">
              <w:rPr>
                <w:szCs w:val="24"/>
                <w:lang w:eastAsia="en-AU"/>
              </w:rPr>
              <w:t>higher commissions</w:t>
            </w:r>
            <w:r w:rsidR="000C0EAC">
              <w:rPr>
                <w:szCs w:val="24"/>
                <w:lang w:eastAsia="en-AU"/>
              </w:rPr>
              <w:t xml:space="preserve"> (“churning”) </w:t>
            </w:r>
            <w:r w:rsidR="000C0EAC" w:rsidRPr="00D90851">
              <w:t>–</w:t>
            </w:r>
            <w:r w:rsidR="000C0EAC">
              <w:t xml:space="preserve"> </w:t>
            </w:r>
            <w:r w:rsidR="000C0EAC" w:rsidRPr="000C0EAC">
              <w:rPr>
                <w:szCs w:val="24"/>
                <w:lang w:eastAsia="en-AU"/>
              </w:rPr>
              <w:t xml:space="preserve">where </w:t>
            </w:r>
            <w:r w:rsidR="000A6AE4">
              <w:rPr>
                <w:szCs w:val="24"/>
                <w:lang w:eastAsia="en-AU"/>
              </w:rPr>
              <w:t>some contravening conduct</w:t>
            </w:r>
            <w:r w:rsidR="000C0EAC" w:rsidRPr="000C0EAC">
              <w:rPr>
                <w:szCs w:val="24"/>
                <w:lang w:eastAsia="en-AU"/>
              </w:rPr>
              <w:t xml:space="preserve"> </w:t>
            </w:r>
            <w:r w:rsidR="000C0EAC">
              <w:rPr>
                <w:szCs w:val="24"/>
                <w:lang w:eastAsia="en-AU"/>
              </w:rPr>
              <w:t xml:space="preserve">by representatives </w:t>
            </w:r>
            <w:r w:rsidR="00DC4F45">
              <w:rPr>
                <w:szCs w:val="24"/>
                <w:lang w:eastAsia="en-AU"/>
              </w:rPr>
              <w:t xml:space="preserve">belatedly </w:t>
            </w:r>
            <w:r w:rsidR="000C0EAC" w:rsidRPr="000C0EAC">
              <w:rPr>
                <w:szCs w:val="24"/>
                <w:lang w:eastAsia="en-AU"/>
              </w:rPr>
              <w:t>admitted</w:t>
            </w:r>
            <w:r w:rsidR="000C0EAC">
              <w:rPr>
                <w:szCs w:val="24"/>
                <w:lang w:eastAsia="en-AU"/>
              </w:rPr>
              <w:t xml:space="preserve"> by defendant licensee</w:t>
            </w:r>
          </w:p>
          <w:p w:rsidR="00726092" w:rsidRDefault="00726092" w:rsidP="00726092">
            <w:pPr>
              <w:pStyle w:val="Normal1linespace"/>
              <w:widowControl w:val="0"/>
              <w:jc w:val="left"/>
              <w:rPr>
                <w:b/>
              </w:rPr>
            </w:pPr>
          </w:p>
          <w:p w:rsidR="00726092" w:rsidRDefault="00726092" w:rsidP="00726092">
            <w:pPr>
              <w:pStyle w:val="Normal1linespace"/>
              <w:widowControl w:val="0"/>
              <w:jc w:val="left"/>
            </w:pPr>
            <w:r>
              <w:rPr>
                <w:b/>
              </w:rPr>
              <w:t>CORPORATIONS</w:t>
            </w:r>
            <w:r>
              <w:t xml:space="preserve"> </w:t>
            </w:r>
            <w:r w:rsidRPr="00D90851">
              <w:t>–</w:t>
            </w:r>
            <w:r>
              <w:t xml:space="preserve"> financial advice </w:t>
            </w:r>
            <w:r w:rsidRPr="00500664">
              <w:t>–</w:t>
            </w:r>
            <w:r>
              <w:t xml:space="preserve"> </w:t>
            </w:r>
            <w:r w:rsidRPr="00726092">
              <w:t xml:space="preserve">obligation of financial services licensee under s 961L of </w:t>
            </w:r>
            <w:r w:rsidRPr="00726092">
              <w:rPr>
                <w:i/>
              </w:rPr>
              <w:t>Corporations Act 2001</w:t>
            </w:r>
            <w:r w:rsidRPr="00726092">
              <w:t xml:space="preserve"> (</w:t>
            </w:r>
            <w:proofErr w:type="spellStart"/>
            <w:r w:rsidRPr="00726092">
              <w:t>Cth</w:t>
            </w:r>
            <w:proofErr w:type="spellEnd"/>
            <w:r w:rsidRPr="00726092">
              <w:t>) to take reasonable steps to ensure that its representatives comply</w:t>
            </w:r>
            <w:r>
              <w:t xml:space="preserve"> with </w:t>
            </w:r>
            <w:proofErr w:type="spellStart"/>
            <w:r w:rsidR="000704B8">
              <w:t>ss</w:t>
            </w:r>
            <w:proofErr w:type="spellEnd"/>
            <w:r w:rsidR="000704B8">
              <w:t xml:space="preserve"> 961B, 961G and 961J </w:t>
            </w:r>
            <w:r w:rsidR="005A06EB">
              <w:t xml:space="preserve"> </w:t>
            </w:r>
            <w:r w:rsidR="000C0EAC" w:rsidRPr="00500664">
              <w:t>–</w:t>
            </w:r>
            <w:r w:rsidR="000C0EAC">
              <w:t xml:space="preserve"> whether defendant licensee committed two, six, 18 or 120 contraventions of s 961L</w:t>
            </w:r>
          </w:p>
          <w:p w:rsidR="00726092" w:rsidRDefault="00726092" w:rsidP="00726092">
            <w:pPr>
              <w:pStyle w:val="Normal1linespace"/>
              <w:widowControl w:val="0"/>
              <w:jc w:val="left"/>
            </w:pPr>
          </w:p>
          <w:p w:rsidR="00726092" w:rsidRDefault="00726092" w:rsidP="00E60CC4">
            <w:pPr>
              <w:pStyle w:val="Normal1linespace"/>
              <w:widowControl w:val="0"/>
              <w:jc w:val="left"/>
            </w:pPr>
            <w:r w:rsidRPr="00726092">
              <w:rPr>
                <w:b/>
              </w:rPr>
              <w:t>PRACTICE AND PROCEDURE</w:t>
            </w:r>
            <w:r w:rsidRPr="00726092">
              <w:t xml:space="preserve"> </w:t>
            </w:r>
            <w:r w:rsidRPr="00D90851">
              <w:t>–</w:t>
            </w:r>
            <w:r w:rsidR="00E60CC4">
              <w:t xml:space="preserve"> pleadings </w:t>
            </w:r>
            <w:r w:rsidR="00E60CC4" w:rsidRPr="00D90851">
              <w:t>–</w:t>
            </w:r>
            <w:r w:rsidR="00E60CC4">
              <w:t xml:space="preserve"> procedural fairness </w:t>
            </w:r>
            <w:r w:rsidR="00E60CC4" w:rsidRPr="00D90851">
              <w:t>–</w:t>
            </w:r>
            <w:r w:rsidR="00BE1A88">
              <w:t xml:space="preserve"> </w:t>
            </w:r>
            <w:r w:rsidR="00E60CC4">
              <w:t>whether it is open to Court to find</w:t>
            </w:r>
            <w:r>
              <w:t xml:space="preserve"> </w:t>
            </w:r>
            <w:r w:rsidR="000C0EAC">
              <w:t>number of contraventions not contended for until time of hearing</w:t>
            </w:r>
          </w:p>
          <w:p w:rsidR="00B22E4B" w:rsidRDefault="00B22E4B" w:rsidP="00E60CC4">
            <w:pPr>
              <w:pStyle w:val="Normal1linespace"/>
              <w:widowControl w:val="0"/>
              <w:jc w:val="left"/>
            </w:pPr>
          </w:p>
          <w:p w:rsidR="00B22E4B" w:rsidRDefault="00B22E4B" w:rsidP="00E60CC4">
            <w:pPr>
              <w:pStyle w:val="Normal1linespace"/>
              <w:widowControl w:val="0"/>
              <w:jc w:val="left"/>
            </w:pPr>
            <w:r w:rsidRPr="00726092">
              <w:rPr>
                <w:b/>
              </w:rPr>
              <w:t>PRACTICE AND PROCEDURE</w:t>
            </w:r>
            <w:r w:rsidRPr="006A5340">
              <w:t xml:space="preserve"> </w:t>
            </w:r>
            <w:r w:rsidRPr="00D90851">
              <w:t>–</w:t>
            </w:r>
            <w:r>
              <w:t xml:space="preserve"> declarations </w:t>
            </w:r>
            <w:r w:rsidRPr="00D90851">
              <w:t>–</w:t>
            </w:r>
            <w:r w:rsidR="005106BE">
              <w:t> </w:t>
            </w:r>
            <w:r>
              <w:t xml:space="preserve">sufficient utility </w:t>
            </w:r>
            <w:r w:rsidRPr="00D90851">
              <w:t>–</w:t>
            </w:r>
            <w:r w:rsidR="005106BE">
              <w:t xml:space="preserve"> where declarations of contraventions of s 912A(1) will not form basis </w:t>
            </w:r>
            <w:r w:rsidR="006D275E">
              <w:t>for</w:t>
            </w:r>
            <w:r w:rsidR="005106BE">
              <w:t xml:space="preserve"> pecuniary penalties </w:t>
            </w:r>
            <w:r w:rsidR="005106BE" w:rsidRPr="00D90851">
              <w:t>–</w:t>
            </w:r>
            <w:r w:rsidR="005106BE">
              <w:t xml:space="preserve"> whether there is a </w:t>
            </w:r>
            <w:r w:rsidR="005106BE" w:rsidRPr="00BD2C76">
              <w:t>public interest</w:t>
            </w:r>
            <w:r w:rsidR="005106BE">
              <w:t xml:space="preserve"> in</w:t>
            </w:r>
            <w:r w:rsidR="005106BE" w:rsidRPr="00BD2C76">
              <w:t xml:space="preserve"> declaring that a person </w:t>
            </w:r>
            <w:r w:rsidR="005106BE">
              <w:t>who has engaged</w:t>
            </w:r>
            <w:r w:rsidR="005106BE" w:rsidRPr="00BD2C76">
              <w:t xml:space="preserve"> in certain conduct has contravened the law</w:t>
            </w:r>
            <w:r w:rsidR="0058704F">
              <w:t xml:space="preserve"> </w:t>
            </w:r>
            <w:r w:rsidR="0058704F" w:rsidRPr="00D90851">
              <w:t>–</w:t>
            </w:r>
            <w:r w:rsidR="0058704F">
              <w:t xml:space="preserve"> importance of the Court’s reasons in indicating Court’s disapprobation</w:t>
            </w:r>
          </w:p>
          <w:p w:rsidR="00BE1A88" w:rsidRDefault="00BE1A88" w:rsidP="00E60CC4">
            <w:pPr>
              <w:pStyle w:val="Normal1linespace"/>
              <w:widowControl w:val="0"/>
              <w:jc w:val="left"/>
            </w:pPr>
          </w:p>
          <w:p w:rsidR="00BE1A88" w:rsidRPr="00726092" w:rsidRDefault="00BE1A88" w:rsidP="00E60CC4">
            <w:pPr>
              <w:pStyle w:val="Normal1linespace"/>
              <w:widowControl w:val="0"/>
              <w:jc w:val="left"/>
              <w:rPr>
                <w:b/>
              </w:rPr>
            </w:pPr>
            <w:r w:rsidRPr="00726092">
              <w:rPr>
                <w:b/>
              </w:rPr>
              <w:t>PRACTICE AND PROCEDURE</w:t>
            </w:r>
            <w:r w:rsidRPr="00726092">
              <w:t xml:space="preserve"> </w:t>
            </w:r>
            <w:r w:rsidRPr="00D90851">
              <w:t>–</w:t>
            </w:r>
            <w:r>
              <w:t xml:space="preserve"> contravening companies selecting large accounting firms to conduct remediation programmes </w:t>
            </w:r>
            <w:r w:rsidRPr="00D90851">
              <w:t>–</w:t>
            </w:r>
            <w:r>
              <w:t xml:space="preserve"> presentation of </w:t>
            </w:r>
            <w:r w:rsidRPr="00BE1A88">
              <w:rPr>
                <w:i/>
              </w:rPr>
              <w:t>fait accompli</w:t>
            </w:r>
            <w:r>
              <w:t xml:space="preserve"> to Court </w:t>
            </w:r>
            <w:r w:rsidRPr="00D90851">
              <w:t>–</w:t>
            </w:r>
            <w:r>
              <w:t xml:space="preserve"> dangers of subconscious partisanship and selection bias</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Normal1linespace"/>
              <w:widowControl w:val="0"/>
              <w:jc w:val="left"/>
            </w:pPr>
          </w:p>
        </w:tc>
      </w:tr>
      <w:tr w:rsidR="00512A6D" w:rsidTr="006A5340">
        <w:tc>
          <w:tcPr>
            <w:tcW w:w="3084" w:type="dxa"/>
            <w:shd w:val="clear" w:color="auto" w:fill="auto"/>
          </w:tcPr>
          <w:p w:rsidR="00512A6D" w:rsidRDefault="00512A6D" w:rsidP="00E73959">
            <w:pPr>
              <w:pStyle w:val="Normal1linespace"/>
              <w:widowControl w:val="0"/>
              <w:jc w:val="left"/>
            </w:pPr>
            <w:r>
              <w:t>Legislation:</w:t>
            </w:r>
          </w:p>
        </w:tc>
        <w:tc>
          <w:tcPr>
            <w:tcW w:w="5989" w:type="dxa"/>
            <w:shd w:val="clear" w:color="auto" w:fill="auto"/>
          </w:tcPr>
          <w:p w:rsidR="00931A41" w:rsidRDefault="00931A41" w:rsidP="00E73959">
            <w:pPr>
              <w:pStyle w:val="CasesLegislationAppealFrom"/>
              <w:spacing w:after="60"/>
            </w:pPr>
            <w:bookmarkStart w:id="2" w:name="Legislation"/>
            <w:r>
              <w:rPr>
                <w:i/>
              </w:rPr>
              <w:t xml:space="preserve">Corporations Act 2001 </w:t>
            </w:r>
            <w:r>
              <w:t>(</w:t>
            </w:r>
            <w:proofErr w:type="spellStart"/>
            <w:r>
              <w:t>Cth</w:t>
            </w:r>
            <w:proofErr w:type="spellEnd"/>
            <w:r>
              <w:t xml:space="preserve">) </w:t>
            </w:r>
            <w:proofErr w:type="spellStart"/>
            <w:r>
              <w:t>ss</w:t>
            </w:r>
            <w:proofErr w:type="spellEnd"/>
            <w:r>
              <w:t xml:space="preserve"> </w:t>
            </w:r>
            <w:r w:rsidR="00D91D07">
              <w:t xml:space="preserve">912A, </w:t>
            </w:r>
            <w:r>
              <w:t xml:space="preserve">912D, 961B, </w:t>
            </w:r>
            <w:r w:rsidR="00AD2456">
              <w:t xml:space="preserve">961G, </w:t>
            </w:r>
            <w:r w:rsidR="00D91D07">
              <w:t xml:space="preserve">961H, </w:t>
            </w:r>
            <w:r w:rsidR="00AD2456">
              <w:t xml:space="preserve">961J, </w:t>
            </w:r>
            <w:r>
              <w:t xml:space="preserve">961L, 1101B, </w:t>
            </w:r>
            <w:r w:rsidR="00C836A5">
              <w:t xml:space="preserve">1317G, </w:t>
            </w:r>
            <w:r>
              <w:t>1317E</w:t>
            </w:r>
          </w:p>
          <w:p w:rsidR="002E7C40" w:rsidRDefault="002E7C40" w:rsidP="00E73959">
            <w:pPr>
              <w:pStyle w:val="CasesLegislationAppealFrom"/>
              <w:spacing w:after="60"/>
            </w:pPr>
            <w:r w:rsidRPr="002E7C40">
              <w:rPr>
                <w:i/>
              </w:rPr>
              <w:lastRenderedPageBreak/>
              <w:t>Corporations Amendment (Further Future of Financial Advice Measures) Act 2012</w:t>
            </w:r>
            <w:r>
              <w:rPr>
                <w:i/>
              </w:rPr>
              <w:t xml:space="preserve"> </w:t>
            </w:r>
            <w:r>
              <w:t>(</w:t>
            </w:r>
            <w:proofErr w:type="spellStart"/>
            <w:r>
              <w:t>Cth</w:t>
            </w:r>
            <w:proofErr w:type="spellEnd"/>
            <w:r>
              <w:t>)</w:t>
            </w:r>
          </w:p>
          <w:p w:rsidR="00AD2456" w:rsidRPr="00AD2456" w:rsidRDefault="00AD2456" w:rsidP="00E73959">
            <w:pPr>
              <w:pStyle w:val="CasesLegislationAppealFrom"/>
              <w:spacing w:after="60"/>
            </w:pPr>
            <w:r>
              <w:rPr>
                <w:i/>
              </w:rPr>
              <w:t xml:space="preserve">Evidence Act 1995 </w:t>
            </w:r>
            <w:r>
              <w:t>(</w:t>
            </w:r>
            <w:proofErr w:type="spellStart"/>
            <w:r>
              <w:t>Cth</w:t>
            </w:r>
            <w:proofErr w:type="spellEnd"/>
            <w:r>
              <w:t>) s 140</w:t>
            </w:r>
          </w:p>
          <w:p w:rsidR="00512A6D" w:rsidRDefault="00931A41" w:rsidP="00E73959">
            <w:pPr>
              <w:pStyle w:val="CasesLegislationAppealFrom"/>
              <w:spacing w:after="60"/>
            </w:pPr>
            <w:r>
              <w:rPr>
                <w:i/>
              </w:rPr>
              <w:t xml:space="preserve">Federal Court of Australia Act 1976 </w:t>
            </w:r>
            <w:r>
              <w:t>(</w:t>
            </w:r>
            <w:proofErr w:type="spellStart"/>
            <w:r>
              <w:t>Cth</w:t>
            </w:r>
            <w:proofErr w:type="spellEnd"/>
            <w:r>
              <w:t>) s 21</w:t>
            </w:r>
            <w:r w:rsidR="00512A6D">
              <w:t xml:space="preserve"> </w:t>
            </w:r>
            <w:bookmarkEnd w:id="2"/>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Normal1linespace"/>
              <w:widowControl w:val="0"/>
              <w:jc w:val="left"/>
            </w:pPr>
          </w:p>
        </w:tc>
      </w:tr>
      <w:tr w:rsidR="00512A6D" w:rsidTr="006A5340">
        <w:tc>
          <w:tcPr>
            <w:tcW w:w="3084" w:type="dxa"/>
            <w:shd w:val="clear" w:color="auto" w:fill="auto"/>
          </w:tcPr>
          <w:p w:rsidR="00512A6D" w:rsidRDefault="00512A6D" w:rsidP="00E73959">
            <w:pPr>
              <w:pStyle w:val="Normal1linespace"/>
              <w:widowControl w:val="0"/>
              <w:jc w:val="left"/>
            </w:pPr>
            <w:r>
              <w:t>Cases cited:</w:t>
            </w:r>
          </w:p>
        </w:tc>
        <w:tc>
          <w:tcPr>
            <w:tcW w:w="5989" w:type="dxa"/>
            <w:shd w:val="clear" w:color="auto" w:fill="auto"/>
          </w:tcPr>
          <w:p w:rsidR="007624FF" w:rsidRDefault="007624FF" w:rsidP="00E73959">
            <w:pPr>
              <w:pStyle w:val="CasesLegislationAppealFrom"/>
              <w:spacing w:after="60"/>
            </w:pPr>
            <w:bookmarkStart w:id="3" w:name="Cases_Cited"/>
            <w:proofErr w:type="spellStart"/>
            <w:r w:rsidRPr="005147FA">
              <w:rPr>
                <w:i/>
              </w:rPr>
              <w:t>Advan</w:t>
            </w:r>
            <w:proofErr w:type="spellEnd"/>
            <w:r w:rsidRPr="005147FA">
              <w:rPr>
                <w:i/>
              </w:rPr>
              <w:t xml:space="preserve"> Investments Pty Ltd v Dean Gleeson Motor Sales Pty Ltd</w:t>
            </w:r>
            <w:r w:rsidRPr="005147FA">
              <w:t xml:space="preserve"> [2003] VSC 201</w:t>
            </w:r>
          </w:p>
          <w:p w:rsidR="007744A3" w:rsidRDefault="007744A3" w:rsidP="00E73959">
            <w:pPr>
              <w:pStyle w:val="CasesLegislationAppealFrom"/>
              <w:spacing w:after="60"/>
            </w:pPr>
            <w:r w:rsidRPr="008E65E7">
              <w:rPr>
                <w:i/>
              </w:rPr>
              <w:t xml:space="preserve">Ainsworth v Criminal Justice Commission </w:t>
            </w:r>
            <w:r>
              <w:t xml:space="preserve">[1992] HCA 10; </w:t>
            </w:r>
            <w:r w:rsidRPr="008E65E7">
              <w:t>(1992) 175 CLR 564</w:t>
            </w:r>
          </w:p>
          <w:p w:rsidR="007744A3" w:rsidRDefault="007744A3" w:rsidP="00E73959">
            <w:pPr>
              <w:pStyle w:val="CasesLegislationAppealFrom"/>
              <w:spacing w:after="60"/>
              <w:rPr>
                <w:i/>
                <w:iCs/>
              </w:rPr>
            </w:pPr>
            <w:r w:rsidRPr="00670FA4">
              <w:rPr>
                <w:i/>
              </w:rPr>
              <w:t>Athens v Randwick City Council</w:t>
            </w:r>
            <w:r>
              <w:t xml:space="preserve"> [2005] NSWCA 317</w:t>
            </w:r>
            <w:r w:rsidR="00B71FAA">
              <w:t>;</w:t>
            </w:r>
            <w:r w:rsidRPr="00670FA4">
              <w:rPr>
                <w:i/>
              </w:rPr>
              <w:t xml:space="preserve"> </w:t>
            </w:r>
            <w:r w:rsidRPr="00670FA4">
              <w:t>(2005) 64 NSWLR 58</w:t>
            </w:r>
          </w:p>
          <w:p w:rsidR="00C836A5" w:rsidRDefault="00C836A5" w:rsidP="00E73959">
            <w:pPr>
              <w:pStyle w:val="CasesLegislationAppealFrom"/>
              <w:spacing w:after="60"/>
            </w:pPr>
            <w:r w:rsidRPr="00FB64B6">
              <w:rPr>
                <w:i/>
                <w:iCs/>
              </w:rPr>
              <w:t xml:space="preserve">Australian Building and Construction Commissioner v Construction, Forestry, Mining and Energy Union </w:t>
            </w:r>
            <w:r w:rsidR="00EE27BE">
              <w:rPr>
                <w:iCs/>
              </w:rPr>
              <w:t xml:space="preserve">[2017] FCAFC 113; </w:t>
            </w:r>
            <w:r w:rsidRPr="00CF787E">
              <w:t>(2017) 254 FCR 68</w:t>
            </w:r>
          </w:p>
          <w:p w:rsidR="00C836A5" w:rsidRDefault="00C836A5" w:rsidP="00E73959">
            <w:pPr>
              <w:pStyle w:val="CasesLegislationAppealFrom"/>
              <w:spacing w:after="60"/>
            </w:pPr>
            <w:r>
              <w:rPr>
                <w:i/>
              </w:rPr>
              <w:t>A</w:t>
            </w:r>
            <w:r w:rsidRPr="00090556">
              <w:rPr>
                <w:i/>
              </w:rPr>
              <w:t>ustralian Competition and Consumer Commission v ACM Group Limited (No 3)</w:t>
            </w:r>
            <w:r>
              <w:t xml:space="preserve"> [2018] FCA 2059</w:t>
            </w:r>
          </w:p>
          <w:p w:rsidR="0044519B" w:rsidRDefault="0044519B" w:rsidP="00E73959">
            <w:pPr>
              <w:pStyle w:val="CasesLegislationAppealFrom"/>
              <w:spacing w:after="60"/>
            </w:pPr>
            <w:r w:rsidRPr="00F408DB">
              <w:rPr>
                <w:i/>
              </w:rPr>
              <w:t>Australian Competition and Consumer Commission v Coles Supermarkets Australia Pty Ltd</w:t>
            </w:r>
            <w:r w:rsidRPr="00F408DB">
              <w:t xml:space="preserve"> [2015] FCA 330; </w:t>
            </w:r>
            <w:r>
              <w:t xml:space="preserve">(2015) </w:t>
            </w:r>
            <w:r w:rsidRPr="00F408DB">
              <w:t>327 ALR 540</w:t>
            </w:r>
          </w:p>
          <w:p w:rsidR="007744A3" w:rsidRDefault="007744A3" w:rsidP="00E73959">
            <w:pPr>
              <w:pStyle w:val="CasesLegislationAppealFrom"/>
              <w:spacing w:after="60"/>
            </w:pPr>
            <w:r w:rsidRPr="007D2BAB">
              <w:rPr>
                <w:i/>
              </w:rPr>
              <w:t>Australian Competition &amp; Consumer Commission v Francis</w:t>
            </w:r>
            <w:r w:rsidRPr="003529DD">
              <w:t xml:space="preserve"> [2004] FCA 487; </w:t>
            </w:r>
            <w:r>
              <w:t xml:space="preserve">(2004) </w:t>
            </w:r>
            <w:r w:rsidRPr="003529DD">
              <w:t>142 FCR 1</w:t>
            </w:r>
          </w:p>
          <w:p w:rsidR="007744A3" w:rsidRDefault="007744A3" w:rsidP="00E73959">
            <w:pPr>
              <w:pStyle w:val="CasesLegislationAppealFrom"/>
              <w:spacing w:after="60"/>
              <w:rPr>
                <w:i/>
              </w:rPr>
            </w:pPr>
            <w:r w:rsidRPr="00860290">
              <w:rPr>
                <w:i/>
              </w:rPr>
              <w:t xml:space="preserve">Australian Competition and Consumer Commission v </w:t>
            </w:r>
            <w:proofErr w:type="spellStart"/>
            <w:r w:rsidRPr="00860290">
              <w:rPr>
                <w:i/>
              </w:rPr>
              <w:t>Goldy</w:t>
            </w:r>
            <w:proofErr w:type="spellEnd"/>
            <w:r w:rsidRPr="00860290">
              <w:rPr>
                <w:i/>
              </w:rPr>
              <w:t xml:space="preserve"> Motors Pty Ltd</w:t>
            </w:r>
            <w:r>
              <w:t xml:space="preserve"> [2000] FCA 1885</w:t>
            </w:r>
          </w:p>
          <w:p w:rsidR="00FC365A" w:rsidRDefault="00FC365A" w:rsidP="00E73959">
            <w:pPr>
              <w:pStyle w:val="CasesLegislationAppealFrom"/>
              <w:spacing w:after="60"/>
            </w:pPr>
            <w:r w:rsidRPr="0043107D">
              <w:rPr>
                <w:i/>
              </w:rPr>
              <w:t xml:space="preserve">Australian Competition and Consumer Commission v </w:t>
            </w:r>
            <w:proofErr w:type="spellStart"/>
            <w:r w:rsidRPr="0043107D">
              <w:rPr>
                <w:i/>
              </w:rPr>
              <w:t>Meriton</w:t>
            </w:r>
            <w:proofErr w:type="spellEnd"/>
            <w:r w:rsidRPr="0043107D">
              <w:rPr>
                <w:i/>
              </w:rPr>
              <w:t xml:space="preserve"> Property Services Pty Ltd (No 2) </w:t>
            </w:r>
            <w:r w:rsidRPr="0043107D">
              <w:t>[2018] FCA 112</w:t>
            </w:r>
          </w:p>
          <w:p w:rsidR="00875926" w:rsidRDefault="00875926" w:rsidP="00E73959">
            <w:pPr>
              <w:pStyle w:val="CasesLegislationAppealFrom"/>
              <w:spacing w:after="60"/>
            </w:pPr>
            <w:r w:rsidRPr="00F408DB">
              <w:rPr>
                <w:i/>
              </w:rPr>
              <w:t>Australian Competition and Consumer Commis</w:t>
            </w:r>
            <w:r>
              <w:rPr>
                <w:i/>
              </w:rPr>
              <w:t>sion</w:t>
            </w:r>
            <w:r w:rsidRPr="006675AF">
              <w:rPr>
                <w:i/>
              </w:rPr>
              <w:t xml:space="preserve"> v Woolworths Ltd</w:t>
            </w:r>
            <w:r>
              <w:t xml:space="preserve"> [2016] FCA 44</w:t>
            </w:r>
          </w:p>
          <w:p w:rsidR="007744A3" w:rsidRDefault="007744A3" w:rsidP="00E73959">
            <w:pPr>
              <w:pStyle w:val="CasesLegislationAppealFrom"/>
              <w:spacing w:after="60"/>
              <w:rPr>
                <w:i/>
              </w:rPr>
            </w:pPr>
            <w:r w:rsidRPr="00F2131A">
              <w:rPr>
                <w:i/>
              </w:rPr>
              <w:t xml:space="preserve">Australian Securities and Investments Commission v Australian Lending Centre Pty Ltd (No 3) </w:t>
            </w:r>
            <w:r w:rsidRPr="002C7E37">
              <w:t>[2012] FCA 43</w:t>
            </w:r>
            <w:r>
              <w:t>; (2012) 213 FCR 380</w:t>
            </w:r>
          </w:p>
          <w:p w:rsidR="00511A73" w:rsidRDefault="00511A73" w:rsidP="00E73959">
            <w:pPr>
              <w:pStyle w:val="CasesLegislationAppealFrom"/>
              <w:spacing w:after="60"/>
            </w:pPr>
            <w:r w:rsidRPr="007B7568">
              <w:rPr>
                <w:i/>
              </w:rPr>
              <w:t>Australian Securities and Investments Commission v</w:t>
            </w:r>
            <w:r>
              <w:t xml:space="preserve"> </w:t>
            </w:r>
            <w:proofErr w:type="spellStart"/>
            <w:r w:rsidRPr="00D2130A">
              <w:rPr>
                <w:i/>
              </w:rPr>
              <w:t>Cassimatis</w:t>
            </w:r>
            <w:proofErr w:type="spellEnd"/>
            <w:r>
              <w:t xml:space="preserve"> (No 8) [2016] FCA 1023</w:t>
            </w:r>
          </w:p>
          <w:p w:rsidR="00B82057" w:rsidRPr="00FC365A" w:rsidRDefault="00FC365A" w:rsidP="00E73959">
            <w:pPr>
              <w:pStyle w:val="CasesLegislationAppealFrom"/>
              <w:spacing w:after="60"/>
              <w:rPr>
                <w:i/>
              </w:rPr>
            </w:pPr>
            <w:r w:rsidRPr="007B7568">
              <w:rPr>
                <w:i/>
              </w:rPr>
              <w:t>Australian Securities and Investments Commission</w:t>
            </w:r>
            <w:r>
              <w:t xml:space="preserve"> </w:t>
            </w:r>
            <w:r w:rsidRPr="001B0645">
              <w:rPr>
                <w:i/>
              </w:rPr>
              <w:t>v Dover Financial Advisers Pty Ltd</w:t>
            </w:r>
            <w:r>
              <w:t xml:space="preserve"> [2019] FCA 1932</w:t>
            </w:r>
          </w:p>
          <w:p w:rsidR="00D91D07" w:rsidRDefault="00D91D07" w:rsidP="00E73959">
            <w:pPr>
              <w:pStyle w:val="CasesLegislationAppealFrom"/>
              <w:spacing w:after="60"/>
            </w:pPr>
            <w:r w:rsidRPr="00E57167">
              <w:rPr>
                <w:i/>
              </w:rPr>
              <w:t>Australian Securities and Investments Commission v Financial Circle</w:t>
            </w:r>
            <w:r>
              <w:t xml:space="preserve"> [2018</w:t>
            </w:r>
            <w:r w:rsidR="00D83566">
              <w:t>] FCA 1644; (2018) 131 ACSR 484</w:t>
            </w:r>
          </w:p>
          <w:p w:rsidR="000B17C8" w:rsidRDefault="000B17C8" w:rsidP="00E73959">
            <w:pPr>
              <w:pStyle w:val="CasesLegislationAppealFrom"/>
              <w:spacing w:after="60"/>
            </w:pPr>
            <w:r w:rsidRPr="00C96B05">
              <w:rPr>
                <w:i/>
              </w:rPr>
              <w:t>Australian Securities and Investments Commission v Golden Financial Group Pty Ltd (No 2)</w:t>
            </w:r>
            <w:r>
              <w:t xml:space="preserve"> [2017] FCA 1267</w:t>
            </w:r>
          </w:p>
          <w:p w:rsidR="00C836A5" w:rsidRDefault="00C836A5" w:rsidP="00E73959">
            <w:pPr>
              <w:pStyle w:val="CasesLegislationAppealFrom"/>
              <w:spacing w:after="60"/>
            </w:pPr>
            <w:r w:rsidRPr="00F60611">
              <w:rPr>
                <w:i/>
              </w:rPr>
              <w:t xml:space="preserve">Australian Securities and Investments Commission v </w:t>
            </w:r>
            <w:proofErr w:type="spellStart"/>
            <w:r w:rsidRPr="00F60611">
              <w:rPr>
                <w:i/>
              </w:rPr>
              <w:t>Hellicar</w:t>
            </w:r>
            <w:proofErr w:type="spellEnd"/>
            <w:r w:rsidRPr="00F60611">
              <w:t xml:space="preserve"> [2012] HCA 17; (2012) 247 CLR 345</w:t>
            </w:r>
          </w:p>
          <w:p w:rsidR="00511A73" w:rsidRDefault="00511A73" w:rsidP="00E73959">
            <w:pPr>
              <w:pStyle w:val="CasesLegislationAppealFrom"/>
              <w:spacing w:after="60"/>
            </w:pPr>
            <w:r w:rsidRPr="007B7568">
              <w:rPr>
                <w:i/>
              </w:rPr>
              <w:t>Australian Securities and Investments Commission</w:t>
            </w:r>
            <w:r>
              <w:t xml:space="preserve"> v </w:t>
            </w:r>
            <w:r w:rsidRPr="00D2130A">
              <w:rPr>
                <w:i/>
              </w:rPr>
              <w:t>Maxwell</w:t>
            </w:r>
            <w:r>
              <w:t xml:space="preserve"> [2006] NSWSC 1052</w:t>
            </w:r>
          </w:p>
          <w:p w:rsidR="007744A3" w:rsidRDefault="007744A3" w:rsidP="00E73959">
            <w:pPr>
              <w:pStyle w:val="CasesLegislationAppealFrom"/>
              <w:spacing w:after="60"/>
            </w:pPr>
            <w:r w:rsidRPr="007D2BAB">
              <w:rPr>
                <w:i/>
              </w:rPr>
              <w:t>Australian Securities and Investments Commission v McDougall</w:t>
            </w:r>
            <w:r>
              <w:t xml:space="preserve"> [2006] FCA 427;</w:t>
            </w:r>
            <w:r w:rsidRPr="00BD2C76">
              <w:t xml:space="preserve"> (2006) 229 ALR 158</w:t>
            </w:r>
          </w:p>
          <w:p w:rsidR="00D83566" w:rsidRDefault="00D83566" w:rsidP="00E73959">
            <w:pPr>
              <w:pStyle w:val="CasesLegislationAppealFrom"/>
              <w:spacing w:after="60"/>
              <w:rPr>
                <w:i/>
              </w:rPr>
            </w:pPr>
            <w:r w:rsidRPr="007B7568">
              <w:rPr>
                <w:i/>
              </w:rPr>
              <w:lastRenderedPageBreak/>
              <w:t xml:space="preserve">Australian Securities and Investments Commission v NSG </w:t>
            </w:r>
          </w:p>
          <w:p w:rsidR="00D83566" w:rsidRDefault="00D83566" w:rsidP="00E73959">
            <w:pPr>
              <w:pStyle w:val="CasesLegislationAppealFrom"/>
              <w:spacing w:after="60"/>
            </w:pPr>
            <w:r w:rsidRPr="007B7568">
              <w:rPr>
                <w:i/>
              </w:rPr>
              <w:t>Services Pty Ltd</w:t>
            </w:r>
            <w:r w:rsidRPr="00E57167">
              <w:t xml:space="preserve"> </w:t>
            </w:r>
            <w:r>
              <w:t>[2017] FCA 345; (2017) 122 ACSR 47</w:t>
            </w:r>
          </w:p>
          <w:p w:rsidR="00D83566" w:rsidRDefault="00D83566" w:rsidP="00E73959">
            <w:pPr>
              <w:pStyle w:val="CasesLegislationAppealFrom"/>
              <w:spacing w:after="60"/>
            </w:pPr>
            <w:r w:rsidRPr="007B7568">
              <w:rPr>
                <w:i/>
              </w:rPr>
              <w:t>Australian Securities and Investments Commission v Wealth &amp; Risk Management Pty Ltd (No 2)</w:t>
            </w:r>
            <w:r w:rsidRPr="00E57167">
              <w:t xml:space="preserve"> </w:t>
            </w:r>
            <w:r w:rsidR="003A4DE8">
              <w:t xml:space="preserve">[2018] FCA 59; </w:t>
            </w:r>
            <w:r w:rsidRPr="00E57167">
              <w:t>(2018) 124 ACSR 351</w:t>
            </w:r>
          </w:p>
          <w:p w:rsidR="008110BA" w:rsidRDefault="008110BA" w:rsidP="00E73959">
            <w:pPr>
              <w:pStyle w:val="CasesLegislationAppealFrom"/>
              <w:spacing w:after="60"/>
            </w:pPr>
            <w:r w:rsidRPr="001B0645">
              <w:rPr>
                <w:i/>
              </w:rPr>
              <w:t>Australian Securities and Investments Commission v Westpac Banking Corporation (No 3)</w:t>
            </w:r>
            <w:r>
              <w:t xml:space="preserve"> [2018] FCA 1701; (2018) 131 ACSR 585</w:t>
            </w:r>
          </w:p>
          <w:p w:rsidR="00C836A5" w:rsidRDefault="00C836A5" w:rsidP="00E73959">
            <w:pPr>
              <w:pStyle w:val="CasesLegislationAppealFrom"/>
              <w:spacing w:after="60"/>
            </w:pPr>
            <w:r w:rsidRPr="00EE40A8">
              <w:rPr>
                <w:i/>
              </w:rPr>
              <w:t>Australian Securities and Investments Commission v Westpac Banking Corporation</w:t>
            </w:r>
            <w:r w:rsidRPr="00EE40A8">
              <w:t xml:space="preserve"> [2019] FCA 2147</w:t>
            </w:r>
          </w:p>
          <w:p w:rsidR="00FC365A" w:rsidRDefault="00FC365A" w:rsidP="00E73959">
            <w:pPr>
              <w:pStyle w:val="CasesLegislationAppealFrom"/>
              <w:spacing w:after="60"/>
              <w:rPr>
                <w:i/>
              </w:rPr>
            </w:pPr>
            <w:r w:rsidRPr="007B7568">
              <w:rPr>
                <w:i/>
              </w:rPr>
              <w:t>Australian Securities and Investments Commission</w:t>
            </w:r>
            <w:r>
              <w:t xml:space="preserve"> </w:t>
            </w:r>
            <w:r w:rsidRPr="001B0645">
              <w:rPr>
                <w:i/>
              </w:rPr>
              <w:t>v Westpac Securities Administration Limited</w:t>
            </w:r>
            <w:r>
              <w:t xml:space="preserve"> [2019] FCAFC 187</w:t>
            </w:r>
          </w:p>
          <w:p w:rsidR="00AD2456" w:rsidRDefault="00AD2456" w:rsidP="00E73959">
            <w:pPr>
              <w:pStyle w:val="CasesLegislationAppealFrom"/>
              <w:spacing w:after="60"/>
            </w:pPr>
            <w:proofErr w:type="spellStart"/>
            <w:r w:rsidRPr="00EC76F8">
              <w:rPr>
                <w:i/>
              </w:rPr>
              <w:t>Banque</w:t>
            </w:r>
            <w:proofErr w:type="spellEnd"/>
            <w:r w:rsidRPr="00EC76F8">
              <w:rPr>
                <w:i/>
              </w:rPr>
              <w:t xml:space="preserve"> Commerciale SA, </w:t>
            </w:r>
            <w:proofErr w:type="spellStart"/>
            <w:r w:rsidRPr="00EC76F8">
              <w:rPr>
                <w:i/>
              </w:rPr>
              <w:t>En</w:t>
            </w:r>
            <w:proofErr w:type="spellEnd"/>
            <w:r w:rsidRPr="00EC76F8">
              <w:rPr>
                <w:i/>
              </w:rPr>
              <w:t xml:space="preserve"> Liquidation v </w:t>
            </w:r>
            <w:proofErr w:type="spellStart"/>
            <w:r w:rsidRPr="00EC76F8">
              <w:rPr>
                <w:i/>
              </w:rPr>
              <w:t>Akhil</w:t>
            </w:r>
            <w:proofErr w:type="spellEnd"/>
            <w:r w:rsidRPr="00EC76F8">
              <w:rPr>
                <w:i/>
              </w:rPr>
              <w:t xml:space="preserve"> Holdings Ltd</w:t>
            </w:r>
            <w:r w:rsidRPr="00055645">
              <w:t xml:space="preserve"> </w:t>
            </w:r>
            <w:r w:rsidRPr="00AD2456">
              <w:t>[1990] HCA 11</w:t>
            </w:r>
            <w:r>
              <w:t>;</w:t>
            </w:r>
            <w:r w:rsidRPr="00AD2456">
              <w:t xml:space="preserve"> </w:t>
            </w:r>
            <w:r w:rsidRPr="00055645">
              <w:t>(1990) 169 CLR 279</w:t>
            </w:r>
          </w:p>
          <w:p w:rsidR="003E36D1" w:rsidRDefault="003E36D1" w:rsidP="00E73959">
            <w:pPr>
              <w:pStyle w:val="CasesLegislationAppealFrom"/>
              <w:spacing w:after="60"/>
            </w:pPr>
            <w:proofErr w:type="spellStart"/>
            <w:r w:rsidRPr="007A6184">
              <w:rPr>
                <w:i/>
              </w:rPr>
              <w:t>Carr</w:t>
            </w:r>
            <w:proofErr w:type="spellEnd"/>
            <w:r w:rsidRPr="007A6184">
              <w:rPr>
                <w:i/>
              </w:rPr>
              <w:t xml:space="preserve"> v Western Australia</w:t>
            </w:r>
            <w:r>
              <w:t xml:space="preserve"> [2007] HCA 47; </w:t>
            </w:r>
            <w:r w:rsidR="00FC365A">
              <w:t xml:space="preserve">(2007) </w:t>
            </w:r>
            <w:r>
              <w:t>232 CLR 138</w:t>
            </w:r>
          </w:p>
          <w:p w:rsidR="00B82057" w:rsidRDefault="00B82057" w:rsidP="00E73959">
            <w:pPr>
              <w:pStyle w:val="CasesLegislationAppealFrom"/>
              <w:spacing w:after="60"/>
            </w:pPr>
            <w:r w:rsidRPr="00AE143D">
              <w:rPr>
                <w:i/>
              </w:rPr>
              <w:t>Commonwealth v Director, Fair Work Building Industry Inspectorate</w:t>
            </w:r>
            <w:r w:rsidRPr="003D74BB">
              <w:t xml:space="preserve"> [2015] HCA 46;</w:t>
            </w:r>
            <w:r>
              <w:t xml:space="preserve"> (2015)</w:t>
            </w:r>
            <w:r w:rsidRPr="003D74BB">
              <w:t xml:space="preserve"> 258 CLR 482</w:t>
            </w:r>
          </w:p>
          <w:p w:rsidR="00CC356F" w:rsidRDefault="00CC356F" w:rsidP="00E73959">
            <w:pPr>
              <w:pStyle w:val="CasesLegislationAppealFrom"/>
              <w:spacing w:after="60"/>
            </w:pPr>
            <w:r w:rsidRPr="00781A5E">
              <w:rPr>
                <w:i/>
              </w:rPr>
              <w:t>Construction, Forestry, Mining and Energy Union v Cahill</w:t>
            </w:r>
            <w:r w:rsidRPr="0016197B">
              <w:t xml:space="preserve"> [2010] FCAFC 39</w:t>
            </w:r>
          </w:p>
          <w:p w:rsidR="007744A3" w:rsidRDefault="007744A3" w:rsidP="00E73959">
            <w:pPr>
              <w:pStyle w:val="CasesLegislationAppealFrom"/>
              <w:spacing w:after="60"/>
            </w:pPr>
            <w:r w:rsidRPr="007D2BAB">
              <w:rPr>
                <w:i/>
              </w:rPr>
              <w:t xml:space="preserve">Construction, Forestry, Mining and Energy Union v De Martin &amp; </w:t>
            </w:r>
            <w:proofErr w:type="spellStart"/>
            <w:r w:rsidRPr="007D2BAB">
              <w:rPr>
                <w:i/>
              </w:rPr>
              <w:t>Gasparini</w:t>
            </w:r>
            <w:proofErr w:type="spellEnd"/>
            <w:r w:rsidRPr="007D2BAB">
              <w:rPr>
                <w:i/>
              </w:rPr>
              <w:t xml:space="preserve"> Pty Limited (No 3)</w:t>
            </w:r>
            <w:r w:rsidRPr="00872304">
              <w:t xml:space="preserve"> [2018] FCA 1395</w:t>
            </w:r>
          </w:p>
          <w:p w:rsidR="000B17C8" w:rsidRDefault="000B17C8" w:rsidP="00E73959">
            <w:pPr>
              <w:pStyle w:val="CasesLegislationAppealFrom"/>
              <w:spacing w:after="60"/>
              <w:rPr>
                <w:i/>
              </w:rPr>
            </w:pPr>
            <w:r w:rsidRPr="007223C0">
              <w:rPr>
                <w:i/>
              </w:rPr>
              <w:t>CSR Ltd v Eddy</w:t>
            </w:r>
            <w:r>
              <w:rPr>
                <w:i/>
              </w:rPr>
              <w:t xml:space="preserve"> </w:t>
            </w:r>
            <w:r>
              <w:t>[2005] HCA 64; (2005) 226 CLR 1</w:t>
            </w:r>
          </w:p>
          <w:p w:rsidR="00AD2456" w:rsidRDefault="00AD2456" w:rsidP="00E73959">
            <w:pPr>
              <w:pStyle w:val="CasesLegislationAppealFrom"/>
              <w:spacing w:after="60"/>
            </w:pPr>
            <w:r w:rsidRPr="00297EC5">
              <w:rPr>
                <w:i/>
              </w:rPr>
              <w:t xml:space="preserve">Dare v </w:t>
            </w:r>
            <w:proofErr w:type="spellStart"/>
            <w:r w:rsidRPr="00297EC5">
              <w:rPr>
                <w:i/>
              </w:rPr>
              <w:t>Pulham</w:t>
            </w:r>
            <w:proofErr w:type="spellEnd"/>
            <w:r w:rsidRPr="00297EC5">
              <w:t xml:space="preserve"> [1982] HCA 70; (1982) 148 CLR 658</w:t>
            </w:r>
          </w:p>
          <w:p w:rsidR="00FC365A" w:rsidRDefault="00FC365A" w:rsidP="00E73959">
            <w:pPr>
              <w:pStyle w:val="CasesLegislationAppealFrom"/>
              <w:spacing w:after="60"/>
            </w:pPr>
            <w:r w:rsidRPr="007A6184">
              <w:rPr>
                <w:i/>
              </w:rPr>
              <w:t>Director of Public Prosecutions v Merriman</w:t>
            </w:r>
            <w:r>
              <w:t xml:space="preserve"> [1973] AC 584</w:t>
            </w:r>
          </w:p>
          <w:p w:rsidR="007624FF" w:rsidRDefault="007624FF" w:rsidP="00E73959">
            <w:pPr>
              <w:pStyle w:val="CasesLegislationAppealFrom"/>
              <w:spacing w:after="60"/>
            </w:pPr>
            <w:proofErr w:type="spellStart"/>
            <w:r w:rsidRPr="00DF482D">
              <w:rPr>
                <w:i/>
              </w:rPr>
              <w:t>Gjergja</w:t>
            </w:r>
            <w:proofErr w:type="spellEnd"/>
            <w:r w:rsidRPr="00DF482D">
              <w:rPr>
                <w:i/>
              </w:rPr>
              <w:t xml:space="preserve"> &amp; Atco Controls Pty Ltd v Cooper</w:t>
            </w:r>
            <w:r w:rsidRPr="003F78F0">
              <w:t xml:space="preserve"> [1987] VR</w:t>
            </w:r>
            <w:r>
              <w:t xml:space="preserve"> 167</w:t>
            </w:r>
          </w:p>
          <w:p w:rsidR="007744A3" w:rsidRDefault="007744A3" w:rsidP="00E73959">
            <w:pPr>
              <w:pStyle w:val="CasesLegislationAppealFrom"/>
              <w:spacing w:after="60"/>
            </w:pPr>
            <w:proofErr w:type="spellStart"/>
            <w:r w:rsidRPr="0098501F">
              <w:rPr>
                <w:i/>
              </w:rPr>
              <w:t>Ibeneweka</w:t>
            </w:r>
            <w:proofErr w:type="spellEnd"/>
            <w:r w:rsidRPr="0098501F">
              <w:rPr>
                <w:i/>
              </w:rPr>
              <w:t xml:space="preserve"> v </w:t>
            </w:r>
            <w:proofErr w:type="spellStart"/>
            <w:r w:rsidRPr="0098501F">
              <w:rPr>
                <w:i/>
              </w:rPr>
              <w:t>Egbuna</w:t>
            </w:r>
            <w:proofErr w:type="spellEnd"/>
            <w:r w:rsidRPr="0098501F">
              <w:rPr>
                <w:i/>
              </w:rPr>
              <w:t xml:space="preserve"> </w:t>
            </w:r>
            <w:r>
              <w:t>[1964] 1 WLR 219</w:t>
            </w:r>
          </w:p>
          <w:p w:rsidR="00B82057" w:rsidRDefault="00B82057" w:rsidP="00E73959">
            <w:pPr>
              <w:pStyle w:val="CasesLegislationAppealFrom"/>
              <w:spacing w:after="60"/>
            </w:pPr>
            <w:r w:rsidRPr="00EC76F8">
              <w:rPr>
                <w:i/>
              </w:rPr>
              <w:t xml:space="preserve">Invensys Australia Superannuation Fund Pty Ltd v </w:t>
            </w:r>
            <w:proofErr w:type="spellStart"/>
            <w:r w:rsidRPr="00EC76F8">
              <w:rPr>
                <w:i/>
              </w:rPr>
              <w:t>Austrac</w:t>
            </w:r>
            <w:proofErr w:type="spellEnd"/>
            <w:r w:rsidRPr="00EC76F8">
              <w:rPr>
                <w:i/>
              </w:rPr>
              <w:t xml:space="preserve"> Investments Limited</w:t>
            </w:r>
            <w:r w:rsidRPr="00B05266">
              <w:t xml:space="preserve"> </w:t>
            </w:r>
            <w:r w:rsidR="00DB67FE">
              <w:t xml:space="preserve">[2006] VSC 112; </w:t>
            </w:r>
            <w:r w:rsidRPr="00B05266">
              <w:t>(2006) 15 VR 87</w:t>
            </w:r>
          </w:p>
          <w:p w:rsidR="00EE27BE" w:rsidRDefault="00EE27BE" w:rsidP="00E73959">
            <w:pPr>
              <w:pStyle w:val="CasesLegislationAppealFrom"/>
              <w:spacing w:after="60"/>
            </w:pPr>
            <w:proofErr w:type="spellStart"/>
            <w:r w:rsidRPr="0077772A">
              <w:rPr>
                <w:i/>
              </w:rPr>
              <w:t>Markarian</w:t>
            </w:r>
            <w:proofErr w:type="spellEnd"/>
            <w:r w:rsidRPr="00EE27BE">
              <w:rPr>
                <w:i/>
              </w:rPr>
              <w:t xml:space="preserve"> v The Queen </w:t>
            </w:r>
            <w:r>
              <w:t>[2005] HCA 25; (2005) 228 CLR 357</w:t>
            </w:r>
          </w:p>
          <w:p w:rsidR="007624FF" w:rsidRDefault="007624FF" w:rsidP="00E73959">
            <w:pPr>
              <w:pStyle w:val="CasesLegislationAppealFrom"/>
              <w:spacing w:after="60"/>
            </w:pPr>
            <w:r w:rsidRPr="00C3338E">
              <w:rPr>
                <w:i/>
              </w:rPr>
              <w:t>NW Frozen Foods Pty Ltd v Australian Competition and Consumer Commission</w:t>
            </w:r>
            <w:r>
              <w:t xml:space="preserve"> </w:t>
            </w:r>
            <w:r w:rsidRPr="007624FF">
              <w:t>[1996] FCA 1134</w:t>
            </w:r>
            <w:r>
              <w:t>;</w:t>
            </w:r>
            <w:r w:rsidRPr="007624FF">
              <w:t xml:space="preserve"> </w:t>
            </w:r>
            <w:r>
              <w:t>(1996)</w:t>
            </w:r>
            <w:r w:rsidRPr="00C3338E">
              <w:t xml:space="preserve"> 71 FCR </w:t>
            </w:r>
            <w:r>
              <w:t>285</w:t>
            </w:r>
          </w:p>
          <w:p w:rsidR="00DA5C9A" w:rsidRDefault="00DA5C9A" w:rsidP="00E73959">
            <w:pPr>
              <w:pStyle w:val="CasesLegislationAppealFrom"/>
              <w:spacing w:after="60"/>
            </w:pPr>
            <w:r w:rsidRPr="0056441E">
              <w:rPr>
                <w:i/>
              </w:rPr>
              <w:t>Panganiban and Australian Securities and Investments Commission</w:t>
            </w:r>
            <w:r w:rsidRPr="00DA5C9A">
              <w:t xml:space="preserve"> [2017] AATA 1026</w:t>
            </w:r>
          </w:p>
          <w:p w:rsidR="00875926" w:rsidRDefault="00875926" w:rsidP="00E73959">
            <w:pPr>
              <w:pStyle w:val="CasesLegislationAppealFrom"/>
              <w:spacing w:after="60"/>
            </w:pPr>
            <w:r w:rsidRPr="00A33882">
              <w:rPr>
                <w:i/>
              </w:rPr>
              <w:t xml:space="preserve">Precision Plastics Pty Limited v </w:t>
            </w:r>
            <w:proofErr w:type="spellStart"/>
            <w:r w:rsidRPr="00A33882">
              <w:rPr>
                <w:i/>
              </w:rPr>
              <w:t>Demir</w:t>
            </w:r>
            <w:proofErr w:type="spellEnd"/>
            <w:r>
              <w:rPr>
                <w:i/>
              </w:rPr>
              <w:t xml:space="preserve"> </w:t>
            </w:r>
            <w:r>
              <w:t xml:space="preserve">[1975] HCA 27; </w:t>
            </w:r>
            <w:r w:rsidRPr="00A33882">
              <w:t>(19</w:t>
            </w:r>
            <w:r>
              <w:t>75) 132 CLR 362</w:t>
            </w:r>
          </w:p>
          <w:p w:rsidR="00FC365A" w:rsidRDefault="00FC365A" w:rsidP="00E73959">
            <w:pPr>
              <w:pStyle w:val="CasesLegislationAppealFrom"/>
              <w:spacing w:after="60"/>
              <w:rPr>
                <w:i/>
              </w:rPr>
            </w:pPr>
            <w:r w:rsidRPr="007A6184">
              <w:rPr>
                <w:i/>
              </w:rPr>
              <w:t xml:space="preserve">R v Industrial </w:t>
            </w:r>
            <w:r w:rsidR="00E305F4">
              <w:rPr>
                <w:i/>
              </w:rPr>
              <w:t xml:space="preserve">Appeals Court; Ex parte </w:t>
            </w:r>
            <w:proofErr w:type="spellStart"/>
            <w:r w:rsidR="00E305F4">
              <w:rPr>
                <w:i/>
              </w:rPr>
              <w:t>Barelli’</w:t>
            </w:r>
            <w:r w:rsidRPr="007A6184">
              <w:rPr>
                <w:i/>
              </w:rPr>
              <w:t>s</w:t>
            </w:r>
            <w:proofErr w:type="spellEnd"/>
            <w:r w:rsidRPr="007A6184">
              <w:rPr>
                <w:i/>
              </w:rPr>
              <w:t xml:space="preserve"> Bakeries Pty Ltd</w:t>
            </w:r>
            <w:r>
              <w:t xml:space="preserve"> [1965] VR 615</w:t>
            </w:r>
          </w:p>
          <w:p w:rsidR="00511A73" w:rsidRDefault="00AD2456" w:rsidP="00E73959">
            <w:pPr>
              <w:pStyle w:val="CasesLegislationAppealFrom"/>
              <w:spacing w:after="60"/>
            </w:pPr>
            <w:r w:rsidRPr="00B32226">
              <w:rPr>
                <w:i/>
              </w:rPr>
              <w:t>Vines v Australian Securities and Investments Commission</w:t>
            </w:r>
            <w:r>
              <w:t xml:space="preserve"> [200</w:t>
            </w:r>
            <w:r w:rsidR="00FC365A">
              <w:t>7] NSWCA 75; (2007) 73 NSWLR 45</w:t>
            </w:r>
          </w:p>
          <w:p w:rsidR="00511A73" w:rsidRDefault="00511A73" w:rsidP="00E73959">
            <w:pPr>
              <w:pStyle w:val="CasesLegislationAppealFrom"/>
              <w:spacing w:after="60"/>
            </w:pPr>
          </w:p>
          <w:p w:rsidR="00F00FC9" w:rsidRDefault="00692EC5" w:rsidP="00CC356F">
            <w:pPr>
              <w:pStyle w:val="CasesLegislationAppealFrom"/>
              <w:spacing w:after="60"/>
            </w:pPr>
            <w:r>
              <w:t xml:space="preserve">Revised </w:t>
            </w:r>
            <w:r w:rsidR="00CC356F">
              <w:t>e</w:t>
            </w:r>
            <w:r>
              <w:t xml:space="preserve">xplanatory </w:t>
            </w:r>
            <w:r w:rsidR="00CC356F">
              <w:t>m</w:t>
            </w:r>
            <w:r>
              <w:t>emorandum to the Corporations Amendment (Further Future of Financial Advice Measures) Bill 2012 (</w:t>
            </w:r>
            <w:proofErr w:type="spellStart"/>
            <w:r>
              <w:t>Cth</w:t>
            </w:r>
            <w:proofErr w:type="spellEnd"/>
            <w:r>
              <w:t>)</w:t>
            </w:r>
          </w:p>
          <w:p w:rsidR="00512A6D" w:rsidRPr="00F00FC9" w:rsidRDefault="00F00FC9" w:rsidP="00F00FC9">
            <w:pPr>
              <w:autoSpaceDE w:val="0"/>
              <w:autoSpaceDN w:val="0"/>
              <w:spacing w:line="240" w:lineRule="auto"/>
              <w:rPr>
                <w:sz w:val="22"/>
                <w:lang w:eastAsia="en-AU"/>
              </w:rPr>
            </w:pPr>
            <w:r>
              <w:rPr>
                <w:szCs w:val="24"/>
              </w:rPr>
              <w:t>Victorian Law Reform Commission, Civil Justice Review: Report, 2008 </w:t>
            </w:r>
            <w:r>
              <w:rPr>
                <w:rFonts w:ascii="Segoe UI" w:hAnsi="Segoe UI" w:cs="Segoe UI"/>
                <w:color w:val="000000"/>
                <w:sz w:val="20"/>
              </w:rPr>
              <w:t xml:space="preserve"> </w:t>
            </w:r>
            <w:r w:rsidR="00512A6D">
              <w:t xml:space="preserve"> </w:t>
            </w:r>
            <w:bookmarkEnd w:id="3"/>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Date of hearing:</w:t>
            </w:r>
          </w:p>
        </w:tc>
        <w:tc>
          <w:tcPr>
            <w:tcW w:w="5989" w:type="dxa"/>
            <w:shd w:val="clear" w:color="auto" w:fill="auto"/>
          </w:tcPr>
          <w:p w:rsidR="00512A6D" w:rsidRDefault="00FA5BEE" w:rsidP="00E73959">
            <w:pPr>
              <w:pStyle w:val="CasesLegislationAppealFrom"/>
              <w:spacing w:after="60"/>
            </w:pPr>
            <w:r>
              <w:t>19, 20 June, 26 July</w:t>
            </w:r>
            <w:r w:rsidR="00A15CD1">
              <w:t>, 1 October</w:t>
            </w:r>
            <w:r>
              <w:t xml:space="preserve"> 2019</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Registry:</w:t>
            </w:r>
          </w:p>
        </w:tc>
        <w:tc>
          <w:tcPr>
            <w:tcW w:w="5989" w:type="dxa"/>
            <w:shd w:val="clear" w:color="auto" w:fill="auto"/>
          </w:tcPr>
          <w:p w:rsidR="00512A6D" w:rsidRDefault="00512A6D" w:rsidP="00E73959">
            <w:pPr>
              <w:pStyle w:val="CasesLegislationAppealFrom"/>
              <w:spacing w:after="60"/>
            </w:pPr>
            <w:r>
              <w:t>New South Wales</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Division:</w:t>
            </w:r>
          </w:p>
        </w:tc>
        <w:tc>
          <w:tcPr>
            <w:tcW w:w="5989" w:type="dxa"/>
            <w:shd w:val="clear" w:color="auto" w:fill="auto"/>
          </w:tcPr>
          <w:p w:rsidR="00512A6D" w:rsidRDefault="00512A6D" w:rsidP="00E73959">
            <w:pPr>
              <w:pStyle w:val="CasesLegislationAppealFrom"/>
              <w:spacing w:after="60"/>
            </w:pPr>
            <w:r>
              <w:t>General Division</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National Practice Area:</w:t>
            </w:r>
          </w:p>
        </w:tc>
        <w:tc>
          <w:tcPr>
            <w:tcW w:w="5989" w:type="dxa"/>
            <w:shd w:val="clear" w:color="auto" w:fill="auto"/>
          </w:tcPr>
          <w:p w:rsidR="00512A6D" w:rsidRDefault="00512A6D" w:rsidP="00E73959">
            <w:pPr>
              <w:pStyle w:val="CasesLegislationAppealFrom"/>
              <w:spacing w:after="60"/>
            </w:pPr>
            <w:r>
              <w:t>Commercial and Corporations</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2F4B7E" w:rsidTr="006A5340">
        <w:tc>
          <w:tcPr>
            <w:tcW w:w="3084" w:type="dxa"/>
            <w:shd w:val="clear" w:color="auto" w:fill="auto"/>
          </w:tcPr>
          <w:p w:rsidR="002F4B7E" w:rsidRDefault="002F4B7E" w:rsidP="002F4B7E">
            <w:pPr>
              <w:pStyle w:val="CasesLegislationAppealFrom"/>
              <w:spacing w:after="60"/>
            </w:pPr>
            <w:r>
              <w:t>Sub-area:</w:t>
            </w:r>
          </w:p>
        </w:tc>
        <w:tc>
          <w:tcPr>
            <w:tcW w:w="5989" w:type="dxa"/>
            <w:shd w:val="clear" w:color="auto" w:fill="auto"/>
          </w:tcPr>
          <w:p w:rsidR="002F4B7E" w:rsidRDefault="002F4B7E" w:rsidP="002F4B7E">
            <w:pPr>
              <w:pStyle w:val="CasesLegislationAppealFrom"/>
              <w:spacing w:after="60"/>
            </w:pPr>
            <w:r w:rsidRPr="002F4B7E">
              <w:t>Regulator and Consumer Protectio</w:t>
            </w:r>
            <w:r>
              <w:t>n</w:t>
            </w:r>
          </w:p>
        </w:tc>
      </w:tr>
      <w:tr w:rsidR="002F4B7E" w:rsidTr="006A5340">
        <w:tc>
          <w:tcPr>
            <w:tcW w:w="3084" w:type="dxa"/>
            <w:shd w:val="clear" w:color="auto" w:fill="auto"/>
          </w:tcPr>
          <w:p w:rsidR="002F4B7E" w:rsidRDefault="002F4B7E" w:rsidP="00E73959">
            <w:pPr>
              <w:pStyle w:val="Normal1linespace"/>
              <w:widowControl w:val="0"/>
              <w:jc w:val="left"/>
            </w:pPr>
          </w:p>
        </w:tc>
        <w:tc>
          <w:tcPr>
            <w:tcW w:w="5989" w:type="dxa"/>
            <w:shd w:val="clear" w:color="auto" w:fill="auto"/>
          </w:tcPr>
          <w:p w:rsidR="002F4B7E" w:rsidRDefault="002F4B7E"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Category:</w:t>
            </w:r>
          </w:p>
        </w:tc>
        <w:tc>
          <w:tcPr>
            <w:tcW w:w="5989" w:type="dxa"/>
            <w:shd w:val="clear" w:color="auto" w:fill="auto"/>
          </w:tcPr>
          <w:p w:rsidR="00512A6D" w:rsidRDefault="00512A6D" w:rsidP="00E73959">
            <w:pPr>
              <w:pStyle w:val="CasesLegislationAppealFrom"/>
              <w:spacing w:after="60"/>
            </w:pPr>
            <w:r>
              <w:t>Catchwords</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Number of paragraphs:</w:t>
            </w:r>
          </w:p>
        </w:tc>
        <w:tc>
          <w:tcPr>
            <w:tcW w:w="5989" w:type="dxa"/>
            <w:shd w:val="clear" w:color="auto" w:fill="auto"/>
          </w:tcPr>
          <w:p w:rsidR="00512A6D" w:rsidRDefault="00301CCB" w:rsidP="00E73959">
            <w:pPr>
              <w:pStyle w:val="CasesLegislationAppealFrom"/>
              <w:spacing w:after="60"/>
            </w:pPr>
            <w:r>
              <w:t>263</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512A6D" w:rsidTr="006A5340">
        <w:tc>
          <w:tcPr>
            <w:tcW w:w="3084" w:type="dxa"/>
            <w:shd w:val="clear" w:color="auto" w:fill="auto"/>
          </w:tcPr>
          <w:p w:rsidR="00512A6D" w:rsidRDefault="00512A6D" w:rsidP="00E73959">
            <w:pPr>
              <w:pStyle w:val="Normal1linespace"/>
              <w:widowControl w:val="0"/>
              <w:jc w:val="left"/>
            </w:pPr>
            <w:r>
              <w:t xml:space="preserve">Counsel for the </w:t>
            </w:r>
            <w:r w:rsidR="00DB67FE">
              <w:t>Plaintiff</w:t>
            </w:r>
            <w:r>
              <w:t>:</w:t>
            </w:r>
          </w:p>
        </w:tc>
        <w:tc>
          <w:tcPr>
            <w:tcW w:w="5989" w:type="dxa"/>
            <w:shd w:val="clear" w:color="auto" w:fill="auto"/>
          </w:tcPr>
          <w:p w:rsidR="00512A6D" w:rsidRDefault="0040254D" w:rsidP="00E73959">
            <w:pPr>
              <w:pStyle w:val="CasesLegislationAppealFrom"/>
              <w:spacing w:after="60"/>
            </w:pPr>
            <w:r>
              <w:t>Dr</w:t>
            </w:r>
            <w:r w:rsidR="0015383B">
              <w:t xml:space="preserve"> S Pritchard SC</w:t>
            </w:r>
            <w:r w:rsidR="007703D4">
              <w:t xml:space="preserve"> with Mr J Hewitt &amp; Ms S</w:t>
            </w:r>
            <w:r w:rsidR="0015383B">
              <w:t xml:space="preserve"> Patterson</w:t>
            </w:r>
          </w:p>
        </w:tc>
      </w:tr>
      <w:tr w:rsidR="00512A6D" w:rsidTr="006A5340">
        <w:tc>
          <w:tcPr>
            <w:tcW w:w="3084" w:type="dxa"/>
            <w:shd w:val="clear" w:color="auto" w:fill="auto"/>
          </w:tcPr>
          <w:p w:rsidR="00512A6D" w:rsidRDefault="00512A6D" w:rsidP="00E73959">
            <w:pPr>
              <w:pStyle w:val="Normal1linespace"/>
              <w:widowControl w:val="0"/>
              <w:jc w:val="left"/>
            </w:pPr>
          </w:p>
        </w:tc>
        <w:tc>
          <w:tcPr>
            <w:tcW w:w="5989" w:type="dxa"/>
            <w:shd w:val="clear" w:color="auto" w:fill="auto"/>
          </w:tcPr>
          <w:p w:rsidR="00512A6D" w:rsidRDefault="00512A6D" w:rsidP="00E73959">
            <w:pPr>
              <w:pStyle w:val="CasesLegislationAppealFrom"/>
              <w:spacing w:after="60"/>
            </w:pPr>
          </w:p>
        </w:tc>
      </w:tr>
      <w:tr w:rsidR="00DB67FE" w:rsidTr="006A5340">
        <w:tc>
          <w:tcPr>
            <w:tcW w:w="3084" w:type="dxa"/>
            <w:shd w:val="clear" w:color="auto" w:fill="auto"/>
          </w:tcPr>
          <w:p w:rsidR="00DB67FE" w:rsidRDefault="00DB67FE" w:rsidP="00DB67FE">
            <w:pPr>
              <w:pStyle w:val="Normal1linespace"/>
              <w:widowControl w:val="0"/>
              <w:jc w:val="left"/>
            </w:pPr>
            <w:r>
              <w:t>Solicitor for the Plaintiff:</w:t>
            </w:r>
          </w:p>
        </w:tc>
        <w:tc>
          <w:tcPr>
            <w:tcW w:w="5989" w:type="dxa"/>
            <w:shd w:val="clear" w:color="auto" w:fill="auto"/>
          </w:tcPr>
          <w:p w:rsidR="00DB67FE" w:rsidRDefault="00DB67FE" w:rsidP="00DB67FE">
            <w:pPr>
              <w:pStyle w:val="CasesLegislationAppealFrom"/>
              <w:spacing w:after="60"/>
            </w:pPr>
            <w:r w:rsidRPr="00DB67FE">
              <w:t>Australian Securities &amp; Investments Commission</w:t>
            </w:r>
          </w:p>
        </w:tc>
      </w:tr>
      <w:tr w:rsidR="00DB67FE" w:rsidTr="006A5340">
        <w:tc>
          <w:tcPr>
            <w:tcW w:w="3084" w:type="dxa"/>
            <w:shd w:val="clear" w:color="auto" w:fill="auto"/>
          </w:tcPr>
          <w:p w:rsidR="00DB67FE" w:rsidRDefault="00DB67FE" w:rsidP="00DB67FE">
            <w:pPr>
              <w:pStyle w:val="Normal1linespace"/>
              <w:widowControl w:val="0"/>
              <w:jc w:val="left"/>
            </w:pPr>
          </w:p>
        </w:tc>
        <w:tc>
          <w:tcPr>
            <w:tcW w:w="5989" w:type="dxa"/>
            <w:shd w:val="clear" w:color="auto" w:fill="auto"/>
          </w:tcPr>
          <w:p w:rsidR="00DB67FE" w:rsidRDefault="00DB67FE" w:rsidP="00DB67FE">
            <w:pPr>
              <w:pStyle w:val="CasesLegislationAppealFrom"/>
              <w:spacing w:after="60"/>
            </w:pPr>
          </w:p>
        </w:tc>
      </w:tr>
      <w:tr w:rsidR="00DB67FE" w:rsidTr="006A5340">
        <w:tc>
          <w:tcPr>
            <w:tcW w:w="3084" w:type="dxa"/>
            <w:shd w:val="clear" w:color="auto" w:fill="auto"/>
          </w:tcPr>
          <w:p w:rsidR="00DB67FE" w:rsidRDefault="00DB67FE" w:rsidP="00DB67FE">
            <w:pPr>
              <w:pStyle w:val="Normal1linespace"/>
              <w:widowControl w:val="0"/>
              <w:jc w:val="left"/>
            </w:pPr>
            <w:r>
              <w:t>Counsel for the Defendant:</w:t>
            </w:r>
          </w:p>
        </w:tc>
        <w:tc>
          <w:tcPr>
            <w:tcW w:w="5989" w:type="dxa"/>
            <w:shd w:val="clear" w:color="auto" w:fill="auto"/>
          </w:tcPr>
          <w:p w:rsidR="00DB67FE" w:rsidRDefault="00DB67FE" w:rsidP="00DB67FE">
            <w:pPr>
              <w:pStyle w:val="CasesLegislationAppealFrom"/>
              <w:spacing w:after="60"/>
            </w:pPr>
            <w:r>
              <w:t xml:space="preserve">Ms E A Collins SC with Mr I J M Ahmed &amp; </w:t>
            </w:r>
            <w:r w:rsidR="000704B8">
              <w:t xml:space="preserve">Ms </w:t>
            </w:r>
            <w:r>
              <w:t>K N Pham</w:t>
            </w:r>
          </w:p>
        </w:tc>
      </w:tr>
      <w:tr w:rsidR="00DB67FE" w:rsidTr="006A5340">
        <w:tc>
          <w:tcPr>
            <w:tcW w:w="3084" w:type="dxa"/>
            <w:shd w:val="clear" w:color="auto" w:fill="auto"/>
          </w:tcPr>
          <w:p w:rsidR="00DB67FE" w:rsidRDefault="00DB67FE" w:rsidP="00DB67FE">
            <w:pPr>
              <w:pStyle w:val="Normal1linespace"/>
              <w:widowControl w:val="0"/>
              <w:jc w:val="left"/>
            </w:pPr>
          </w:p>
        </w:tc>
        <w:tc>
          <w:tcPr>
            <w:tcW w:w="5989" w:type="dxa"/>
            <w:shd w:val="clear" w:color="auto" w:fill="auto"/>
          </w:tcPr>
          <w:p w:rsidR="00DB67FE" w:rsidRDefault="00DB67FE" w:rsidP="00DB67FE">
            <w:pPr>
              <w:pStyle w:val="CasesLegislationAppealFrom"/>
              <w:spacing w:after="60"/>
            </w:pPr>
          </w:p>
        </w:tc>
      </w:tr>
      <w:tr w:rsidR="00DB67FE" w:rsidTr="006A5340">
        <w:tc>
          <w:tcPr>
            <w:tcW w:w="3084" w:type="dxa"/>
            <w:shd w:val="clear" w:color="auto" w:fill="auto"/>
          </w:tcPr>
          <w:p w:rsidR="00DB67FE" w:rsidRDefault="00DB67FE" w:rsidP="00DB67FE">
            <w:pPr>
              <w:pStyle w:val="Normal1linespace"/>
              <w:widowControl w:val="0"/>
              <w:jc w:val="left"/>
            </w:pPr>
            <w:r>
              <w:t xml:space="preserve">Solicitor for the Defendant </w:t>
            </w:r>
          </w:p>
        </w:tc>
        <w:tc>
          <w:tcPr>
            <w:tcW w:w="5989" w:type="dxa"/>
            <w:shd w:val="clear" w:color="auto" w:fill="auto"/>
          </w:tcPr>
          <w:p w:rsidR="00DB67FE" w:rsidRDefault="00DB67FE" w:rsidP="00DB67FE">
            <w:pPr>
              <w:pStyle w:val="CasesLegislationAppealFrom"/>
              <w:spacing w:after="60"/>
            </w:pPr>
            <w:r>
              <w:t xml:space="preserve">Clayton </w:t>
            </w:r>
            <w:proofErr w:type="spellStart"/>
            <w:r>
              <w:t>Utz</w:t>
            </w:r>
            <w:proofErr w:type="spellEnd"/>
          </w:p>
        </w:tc>
      </w:tr>
    </w:tbl>
    <w:p w:rsidR="00512A6D" w:rsidRPr="00512A6D" w:rsidRDefault="00512A6D" w:rsidP="00512A6D">
      <w:pPr>
        <w:pStyle w:val="Normal1linespace"/>
      </w:pPr>
    </w:p>
    <w:p w:rsidR="00C3620B" w:rsidRDefault="00F21E14">
      <w:pPr>
        <w:spacing w:line="240" w:lineRule="auto"/>
        <w:jc w:val="left"/>
        <w:rPr>
          <w:sz w:val="28"/>
          <w:szCs w:val="28"/>
        </w:rPr>
        <w:sectPr w:rsidR="00C3620B" w:rsidSect="00A04AF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40" w:bottom="1440" w:left="1440" w:header="851" w:footer="851" w:gutter="0"/>
          <w:pgNumType w:fmt="lowerRoman" w:start="1"/>
          <w:cols w:space="720"/>
          <w:noEndnote/>
          <w:titlePg/>
          <w:docGrid w:linePitch="326"/>
        </w:sectPr>
      </w:pPr>
      <w:r>
        <w:rPr>
          <w:sz w:val="28"/>
          <w:szCs w:val="28"/>
        </w:rPr>
        <w:br w:type="page"/>
      </w:r>
    </w:p>
    <w:p w:rsidR="00F21E14" w:rsidRDefault="00F21E14">
      <w:pPr>
        <w:spacing w:line="240" w:lineRule="auto"/>
        <w:jc w:val="left"/>
        <w:rPr>
          <w:b/>
          <w:sz w:val="28"/>
          <w:szCs w:val="28"/>
        </w:rPr>
      </w:pPr>
    </w:p>
    <w:p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12A6D" w:rsidP="00B10E26">
            <w:pPr>
              <w:pStyle w:val="NormalHeadings"/>
              <w:jc w:val="right"/>
            </w:pPr>
            <w:bookmarkStart w:id="4" w:name="FileNo"/>
            <w:r>
              <w:t>NSD</w:t>
            </w:r>
            <w:r w:rsidR="006A5340">
              <w:t xml:space="preserve"> </w:t>
            </w:r>
            <w:r>
              <w:t>1124 of 201</w:t>
            </w:r>
            <w:bookmarkEnd w:id="4"/>
            <w:r w:rsidR="00B10E26">
              <w:t>8</w:t>
            </w:r>
          </w:p>
        </w:tc>
      </w:tr>
      <w:tr w:rsidR="00A76C13" w:rsidTr="00E73959">
        <w:tc>
          <w:tcPr>
            <w:tcW w:w="9242" w:type="dxa"/>
            <w:gridSpan w:val="3"/>
          </w:tcPr>
          <w:p w:rsidR="00A76C13" w:rsidRPr="00A76C13" w:rsidRDefault="00512A6D" w:rsidP="00512A6D">
            <w:pPr>
              <w:pStyle w:val="NormalHeadings"/>
              <w:jc w:val="left"/>
            </w:pPr>
            <w:bookmarkStart w:id="5" w:name="InTheMatterOf"/>
            <w:r>
              <w:t xml:space="preserve"> </w:t>
            </w:r>
            <w:bookmarkEnd w:id="5"/>
          </w:p>
        </w:tc>
      </w:tr>
      <w:tr w:rsidR="00A46CCC" w:rsidTr="00E73959">
        <w:trPr>
          <w:trHeight w:val="386"/>
        </w:trPr>
        <w:tc>
          <w:tcPr>
            <w:tcW w:w="2376" w:type="dxa"/>
          </w:tcPr>
          <w:p w:rsidR="00A46CCC" w:rsidRDefault="00A46CCC" w:rsidP="00E73959">
            <w:pPr>
              <w:pStyle w:val="NormalHeadings"/>
              <w:jc w:val="left"/>
              <w:rPr>
                <w:caps/>
                <w:szCs w:val="24"/>
              </w:rPr>
            </w:pPr>
            <w:bookmarkStart w:id="6" w:name="Parties"/>
            <w:r>
              <w:rPr>
                <w:caps/>
                <w:szCs w:val="24"/>
              </w:rPr>
              <w:t>BETWEEN:</w:t>
            </w:r>
          </w:p>
        </w:tc>
        <w:tc>
          <w:tcPr>
            <w:tcW w:w="6866" w:type="dxa"/>
            <w:gridSpan w:val="2"/>
          </w:tcPr>
          <w:p w:rsidR="00512A6D" w:rsidRDefault="00512A6D" w:rsidP="00512A6D">
            <w:pPr>
              <w:pStyle w:val="NormalHeadings"/>
              <w:jc w:val="left"/>
            </w:pPr>
            <w:bookmarkStart w:id="7" w:name="Applicant"/>
            <w:r>
              <w:t>AUSTRALIAN SECURITIES &amp; INVESTMENTS COMMISSION</w:t>
            </w:r>
          </w:p>
          <w:p w:rsidR="00512A6D" w:rsidRDefault="00512A6D" w:rsidP="00512A6D">
            <w:pPr>
              <w:pStyle w:val="PartyType"/>
            </w:pPr>
            <w:r>
              <w:t>Plaintiff</w:t>
            </w:r>
          </w:p>
          <w:bookmarkEnd w:id="7"/>
          <w:p w:rsidR="00A46CCC" w:rsidRPr="006555B4" w:rsidRDefault="00A46CCC" w:rsidP="00E73959">
            <w:pPr>
              <w:pStyle w:val="NormalHeadings"/>
              <w:jc w:val="left"/>
            </w:pPr>
          </w:p>
        </w:tc>
      </w:tr>
      <w:tr w:rsidR="00A46CCC" w:rsidTr="00E73959">
        <w:trPr>
          <w:trHeight w:val="386"/>
        </w:trPr>
        <w:tc>
          <w:tcPr>
            <w:tcW w:w="2376" w:type="dxa"/>
          </w:tcPr>
          <w:p w:rsidR="00A46CCC" w:rsidRDefault="00A46CCC" w:rsidP="00E73959">
            <w:pPr>
              <w:pStyle w:val="NormalHeadings"/>
              <w:jc w:val="left"/>
              <w:rPr>
                <w:caps/>
                <w:szCs w:val="24"/>
              </w:rPr>
            </w:pPr>
            <w:r>
              <w:rPr>
                <w:caps/>
                <w:szCs w:val="24"/>
              </w:rPr>
              <w:t>AND:</w:t>
            </w:r>
          </w:p>
        </w:tc>
        <w:tc>
          <w:tcPr>
            <w:tcW w:w="6866" w:type="dxa"/>
            <w:gridSpan w:val="2"/>
          </w:tcPr>
          <w:p w:rsidR="00512A6D" w:rsidRDefault="00512A6D" w:rsidP="00512A6D">
            <w:pPr>
              <w:pStyle w:val="NormalHeadings"/>
              <w:jc w:val="left"/>
            </w:pPr>
            <w:bookmarkStart w:id="8" w:name="Respondent"/>
            <w:r>
              <w:t>AMP FINANCIAL PLANNING PTY LTD</w:t>
            </w:r>
          </w:p>
          <w:p w:rsidR="00512A6D" w:rsidRDefault="00512A6D" w:rsidP="00512A6D">
            <w:pPr>
              <w:pStyle w:val="PartyType"/>
            </w:pPr>
            <w:r>
              <w:t>Defendant</w:t>
            </w:r>
          </w:p>
          <w:bookmarkEnd w:id="8"/>
          <w:p w:rsidR="00A46CCC" w:rsidRPr="006555B4" w:rsidRDefault="00A46CCC" w:rsidP="00E73959">
            <w:pPr>
              <w:pStyle w:val="NormalHeadings"/>
              <w:jc w:val="left"/>
            </w:pPr>
          </w:p>
        </w:tc>
      </w:tr>
    </w:tbl>
    <w:p w:rsidR="00395B24" w:rsidRDefault="00395B24">
      <w:pPr>
        <w:pStyle w:val="NormalHeadings"/>
      </w:pPr>
      <w:bookmarkStart w:id="9" w:name="CrossClaimPosition"/>
      <w:bookmarkEnd w:id="6"/>
      <w:bookmarkEnd w:id="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12A6D">
            <w:pPr>
              <w:pStyle w:val="NormalHeadings"/>
              <w:spacing w:after="120"/>
              <w:jc w:val="left"/>
              <w:rPr>
                <w:caps/>
                <w:szCs w:val="24"/>
              </w:rPr>
            </w:pPr>
            <w:bookmarkStart w:id="10" w:name="JudgeText"/>
            <w:r>
              <w:rPr>
                <w:caps/>
                <w:szCs w:val="24"/>
              </w:rPr>
              <w:t>JUDGE</w:t>
            </w:r>
            <w:bookmarkEnd w:id="10"/>
            <w:r w:rsidR="002C7385">
              <w:rPr>
                <w:caps/>
                <w:szCs w:val="24"/>
              </w:rPr>
              <w:t>:</w:t>
            </w:r>
          </w:p>
        </w:tc>
        <w:tc>
          <w:tcPr>
            <w:tcW w:w="6866" w:type="dxa"/>
          </w:tcPr>
          <w:p w:rsidR="00395B24" w:rsidRDefault="00512A6D">
            <w:pPr>
              <w:pStyle w:val="NormalHeadings"/>
              <w:jc w:val="left"/>
              <w:rPr>
                <w:caps/>
                <w:szCs w:val="24"/>
              </w:rPr>
            </w:pPr>
            <w:bookmarkStart w:id="11" w:name="Judge"/>
            <w:r>
              <w:rPr>
                <w:caps/>
                <w:szCs w:val="24"/>
              </w:rPr>
              <w:t>LEE J</w:t>
            </w:r>
            <w:bookmarkEnd w:id="1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12611">
            <w:pPr>
              <w:pStyle w:val="NormalHeadings"/>
              <w:jc w:val="left"/>
              <w:rPr>
                <w:caps/>
                <w:szCs w:val="24"/>
              </w:rPr>
            </w:pPr>
            <w:bookmarkStart w:id="12" w:name="Judgment_Dated"/>
            <w:bookmarkEnd w:id="12"/>
            <w:r>
              <w:t>5 FEBRUARY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B3C7B" w:rsidP="003B3C7B">
      <w:pPr>
        <w:pStyle w:val="Order1"/>
        <w:numPr>
          <w:ilvl w:val="0"/>
          <w:numId w:val="0"/>
        </w:numPr>
        <w:ind w:left="720" w:hanging="720"/>
      </w:pPr>
      <w:bookmarkStart w:id="13" w:name="Order_Start_Text"/>
      <w:bookmarkEnd w:id="13"/>
      <w:r>
        <w:t>1.</w:t>
      </w:r>
      <w:r>
        <w:tab/>
      </w:r>
      <w:r w:rsidR="003A15C7">
        <w:t>On or by 12 February 2020</w:t>
      </w:r>
      <w:r w:rsidR="004F3486" w:rsidRPr="004F3486">
        <w:t xml:space="preserve">, </w:t>
      </w:r>
      <w:r w:rsidR="002620FB" w:rsidRPr="002620FB">
        <w:t>the parties provide to the Court</w:t>
      </w:r>
      <w:r w:rsidR="005A623F">
        <w:t xml:space="preserve"> an agreed minute </w:t>
      </w:r>
      <w:r w:rsidR="002620FB" w:rsidRPr="002620FB">
        <w:t>of order reflecting these reasons for judgment or, in the absence of agreement, competing minutes of order identifying the orders for which the parties contend.</w:t>
      </w:r>
    </w:p>
    <w:p w:rsidR="002620FB" w:rsidRDefault="003B3C7B" w:rsidP="003B3C7B">
      <w:pPr>
        <w:pStyle w:val="Order1"/>
        <w:numPr>
          <w:ilvl w:val="0"/>
          <w:numId w:val="0"/>
        </w:numPr>
        <w:ind w:left="720" w:hanging="720"/>
      </w:pPr>
      <w:r>
        <w:t>2.</w:t>
      </w:r>
      <w:r>
        <w:tab/>
      </w:r>
      <w:r w:rsidR="002620FB" w:rsidRPr="002620FB">
        <w:t>In the event orders cannot be agreed, the proceeding is to be listed on a date to be notified by the Associate to Justice Lee for the purposes of the Court receiving the submissions of the parties as to the competing orders.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A04AF6" w:rsidRDefault="00F21E14">
      <w:pPr>
        <w:spacing w:line="240" w:lineRule="auto"/>
        <w:jc w:val="left"/>
        <w:sectPr w:rsidR="00A04AF6" w:rsidSect="00A04AF6">
          <w:endnotePr>
            <w:numFmt w:val="decimal"/>
          </w:endnotePr>
          <w:pgSz w:w="11907" w:h="16840" w:code="9"/>
          <w:pgMar w:top="1418" w:right="1440" w:bottom="1440" w:left="1440" w:header="851" w:footer="851" w:gutter="0"/>
          <w:pgNumType w:fmt="lowerRoman" w:start="1"/>
          <w:cols w:space="720"/>
          <w:noEndnote/>
          <w:titlePg/>
          <w:docGrid w:linePitch="326"/>
        </w:sectPr>
      </w:pPr>
      <w:r>
        <w:br w:type="page"/>
      </w:r>
    </w:p>
    <w:p w:rsidR="008D0750" w:rsidRPr="00045BB7" w:rsidRDefault="008D0750" w:rsidP="008D0750">
      <w:pPr>
        <w:pStyle w:val="NormalHeadings"/>
        <w:spacing w:line="480" w:lineRule="auto"/>
        <w:jc w:val="center"/>
        <w:rPr>
          <w:sz w:val="28"/>
          <w:szCs w:val="28"/>
        </w:rPr>
      </w:pPr>
      <w:r w:rsidRPr="00045BB7">
        <w:rPr>
          <w:sz w:val="28"/>
          <w:szCs w:val="28"/>
        </w:rPr>
        <w:lastRenderedPageBreak/>
        <w:t>REASONS FOR JUDGMENT</w:t>
      </w:r>
    </w:p>
    <w:p w:rsidR="008D0750" w:rsidRPr="008D0750" w:rsidRDefault="008D0750" w:rsidP="008D0750">
      <w:pPr>
        <w:pStyle w:val="NormalHeadings"/>
        <w:spacing w:line="360" w:lineRule="auto"/>
        <w:jc w:val="left"/>
        <w:rPr>
          <w:sz w:val="26"/>
          <w:szCs w:val="26"/>
        </w:rPr>
      </w:pPr>
      <w:r>
        <w:rPr>
          <w:sz w:val="26"/>
          <w:szCs w:val="26"/>
        </w:rPr>
        <w:t>LEE J</w:t>
      </w:r>
      <w:r w:rsidRPr="00EA03CE">
        <w:rPr>
          <w:sz w:val="26"/>
          <w:szCs w:val="26"/>
        </w:rPr>
        <w:t>:</w:t>
      </w:r>
    </w:p>
    <w:tbl>
      <w:tblPr>
        <w:tblW w:w="9291" w:type="dxa"/>
        <w:tblLook w:val="01E0" w:firstRow="1" w:lastRow="1" w:firstColumn="1" w:lastColumn="1" w:noHBand="0" w:noVBand="0"/>
      </w:tblPr>
      <w:tblGrid>
        <w:gridCol w:w="8291"/>
        <w:gridCol w:w="1000"/>
      </w:tblGrid>
      <w:tr w:rsidR="003B4EFA" w:rsidRPr="00D326DB" w:rsidTr="003B4EFA">
        <w:tc>
          <w:tcPr>
            <w:tcW w:w="8291" w:type="dxa"/>
            <w:shd w:val="clear" w:color="auto" w:fill="auto"/>
          </w:tcPr>
          <w:bookmarkStart w:id="14" w:name="PTOC"/>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_Ref22827381 \h </w:instrText>
            </w:r>
            <w:r>
              <w:rPr>
                <w:lang w:eastAsia="en-AU"/>
              </w:rPr>
            </w:r>
            <w:r>
              <w:rPr>
                <w:lang w:eastAsia="en-AU"/>
              </w:rPr>
              <w:fldChar w:fldCharType="separate"/>
            </w:r>
            <w:r w:rsidR="003B3C7B" w:rsidRPr="00CF2B89">
              <w:rPr>
                <w:caps w:val="0"/>
              </w:rPr>
              <w:t xml:space="preserve">A </w:t>
            </w:r>
            <w:r w:rsidR="003B3C7B" w:rsidRPr="00CF2B89">
              <w:rPr>
                <w:caps w:val="0"/>
              </w:rPr>
              <w:tab/>
            </w:r>
            <w:r w:rsidR="003B3C7B">
              <w:rPr>
                <w:caps w:val="0"/>
              </w:rPr>
              <w:t>PRELIMINARY OBSERVATIONS: A FAILURE OF COMPLIANCE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_Ref30603894 \h </w:instrText>
            </w:r>
            <w:r>
              <w:rPr>
                <w:lang w:eastAsia="en-AU"/>
              </w:rPr>
            </w:r>
            <w:r>
              <w:rPr>
                <w:lang w:eastAsia="en-AU"/>
              </w:rPr>
              <w:fldChar w:fldCharType="separate"/>
            </w:r>
            <w:r w:rsidR="003B3C7B" w:rsidRPr="009B3347">
              <w:rPr>
                <w:caps w:val="0"/>
              </w:rPr>
              <w:t>B</w:t>
            </w:r>
            <w:r w:rsidR="003B3C7B" w:rsidRPr="009B3347">
              <w:rPr>
                <w:caps w:val="0"/>
              </w:rPr>
              <w:tab/>
            </w:r>
            <w:r w:rsidR="003B3C7B">
              <w:rPr>
                <w:caps w:val="0"/>
              </w:rPr>
              <w:t>ENFORCEMENT ACTION BY ASIC</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[23]</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_Ref30603895 \h </w:instrText>
            </w:r>
            <w:r>
              <w:rPr>
                <w:lang w:eastAsia="en-AU"/>
              </w:rPr>
            </w:r>
            <w:r>
              <w:rPr>
                <w:lang w:eastAsia="en-AU"/>
              </w:rPr>
              <w:fldChar w:fldCharType="separate"/>
            </w:r>
            <w:r w:rsidR="00E469CA">
              <w:t>B.1</w:t>
            </w:r>
            <w:r w:rsidR="00E469CA">
              <w:tab/>
              <w:t>ASIC investigation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[23]</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_Ref30603896 \h </w:instrText>
            </w:r>
            <w:r>
              <w:rPr>
                <w:lang w:eastAsia="en-AU"/>
              </w:rPr>
            </w:r>
            <w:r>
              <w:rPr>
                <w:lang w:eastAsia="en-AU"/>
              </w:rPr>
              <w:fldChar w:fldCharType="separate"/>
            </w:r>
            <w:r w:rsidR="00E469CA">
              <w:t>B.2</w:t>
            </w:r>
            <w:r w:rsidR="00E469CA">
              <w:tab/>
              <w:t>Commencement of the proceeding</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[29]</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_Ref11661437 \h </w:instrText>
            </w:r>
            <w:r>
              <w:rPr>
                <w:lang w:eastAsia="en-AU"/>
              </w:rPr>
            </w:r>
            <w:r>
              <w:rPr>
                <w:lang w:eastAsia="en-AU"/>
              </w:rPr>
              <w:fldChar w:fldCharType="separate"/>
            </w:r>
            <w:r w:rsidR="003B3C7B">
              <w:rPr>
                <w:caps w:val="0"/>
              </w:rPr>
              <w:t>C</w:t>
            </w:r>
            <w:r w:rsidR="003B3C7B">
              <w:rPr>
                <w:caps w:val="0"/>
              </w:rPr>
              <w:tab/>
              <w:t>AGREED FACTUAL BACKGROUND</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[38]</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_Ref11661438 \h </w:instrText>
            </w:r>
            <w:r>
              <w:rPr>
                <w:lang w:eastAsia="en-AU"/>
              </w:rPr>
            </w:r>
            <w:r>
              <w:rPr>
                <w:lang w:eastAsia="en-AU"/>
              </w:rPr>
              <w:fldChar w:fldCharType="separate"/>
            </w:r>
            <w:r w:rsidR="00E469CA">
              <w:t>C</w:t>
            </w:r>
            <w:r w:rsidR="00E469CA" w:rsidRPr="00AD0031">
              <w:t>.1</w:t>
            </w:r>
            <w:r w:rsidR="00E469CA" w:rsidRPr="00AD0031">
              <w:tab/>
              <w:t>AMPFP’s Business and the AMP Group</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[39]</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_Ref22827382 \h </w:instrText>
            </w:r>
            <w:r>
              <w:rPr>
                <w:lang w:eastAsia="en-AU"/>
              </w:rPr>
            </w:r>
            <w:r>
              <w:rPr>
                <w:lang w:eastAsia="en-AU"/>
              </w:rPr>
              <w:fldChar w:fldCharType="separate"/>
            </w:r>
            <w:r w:rsidR="00E469CA">
              <w:t>C.2</w:t>
            </w:r>
            <w:r w:rsidR="00E469CA">
              <w:tab/>
              <w:t>Rewriting Conduct</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[45]</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_Ref29821114 \h </w:instrText>
            </w:r>
            <w:r>
              <w:rPr>
                <w:lang w:eastAsia="en-AU"/>
              </w:rPr>
            </w:r>
            <w:r>
              <w:rPr>
                <w:lang w:eastAsia="en-AU"/>
              </w:rPr>
              <w:fldChar w:fldCharType="separate"/>
            </w:r>
            <w:r w:rsidR="003B3C7B">
              <w:rPr>
                <w:caps w:val="0"/>
              </w:rPr>
              <w:t xml:space="preserve">D </w:t>
            </w:r>
            <w:r w:rsidR="003B3C7B">
              <w:rPr>
                <w:caps w:val="0"/>
              </w:rPr>
              <w:tab/>
              <w:t>RELEVANT STATUTORY NORMS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[46]</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_Ref29821115 \h </w:instrText>
            </w:r>
            <w:r>
              <w:rPr>
                <w:lang w:eastAsia="en-AU"/>
              </w:rPr>
            </w:r>
            <w:r>
              <w:rPr>
                <w:lang w:eastAsia="en-AU"/>
              </w:rPr>
              <w:fldChar w:fldCharType="separate"/>
            </w:r>
            <w:r w:rsidR="00E469CA">
              <w:t xml:space="preserve">D.1 </w:t>
            </w:r>
            <w:r w:rsidR="00E469CA">
              <w:tab/>
              <w:t>Section 961L</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[47]</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_Ref11662341 \h </w:instrText>
            </w:r>
            <w:r>
              <w:rPr>
                <w:lang w:eastAsia="en-AU"/>
              </w:rPr>
            </w:r>
            <w:r>
              <w:rPr>
                <w:lang w:eastAsia="en-AU"/>
              </w:rPr>
              <w:fldChar w:fldCharType="separate"/>
            </w:r>
            <w:r w:rsidR="00E469CA" w:rsidRPr="009A6F06">
              <w:t xml:space="preserve">D.2 </w:t>
            </w:r>
            <w:r w:rsidR="00E469CA" w:rsidRPr="009A6F06">
              <w:tab/>
              <w:t>Section 912A(1)</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[51]</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_Ref11662342 \h </w:instrText>
            </w:r>
            <w:r>
              <w:rPr>
                <w:lang w:eastAsia="en-AU"/>
              </w:rPr>
            </w:r>
            <w:r>
              <w:rPr>
                <w:lang w:eastAsia="en-AU"/>
              </w:rPr>
              <w:fldChar w:fldCharType="separate"/>
            </w:r>
            <w:r w:rsidR="00E469CA" w:rsidRPr="009A6F06">
              <w:t xml:space="preserve">D.3 </w:t>
            </w:r>
            <w:r w:rsidR="00E469CA" w:rsidRPr="009A6F06">
              <w:tab/>
              <w:t>Section 961B</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[52]</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_Ref14884579 \h </w:instrText>
            </w:r>
            <w:r>
              <w:rPr>
                <w:lang w:eastAsia="en-AU"/>
              </w:rPr>
            </w:r>
            <w:r>
              <w:rPr>
                <w:lang w:eastAsia="en-AU"/>
              </w:rPr>
              <w:fldChar w:fldCharType="separate"/>
            </w:r>
            <w:r w:rsidR="00E469CA" w:rsidRPr="009A6F06">
              <w:t xml:space="preserve">D.4 </w:t>
            </w:r>
            <w:r w:rsidR="00E469CA" w:rsidRPr="009A6F06">
              <w:tab/>
              <w:t>Section 961G</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[53]</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_Ref11662344 \h </w:instrText>
            </w:r>
            <w:r>
              <w:rPr>
                <w:lang w:eastAsia="en-AU"/>
              </w:rPr>
            </w:r>
            <w:r>
              <w:rPr>
                <w:lang w:eastAsia="en-AU"/>
              </w:rPr>
              <w:fldChar w:fldCharType="separate"/>
            </w:r>
            <w:r w:rsidR="00E469CA" w:rsidRPr="009A6F06">
              <w:t xml:space="preserve">D.5 </w:t>
            </w:r>
            <w:r w:rsidR="00E469CA" w:rsidRPr="009A6F06">
              <w:tab/>
              <w:t>Section 961J</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[54]</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_Ref22827384 \h </w:instrText>
            </w:r>
            <w:r>
              <w:rPr>
                <w:lang w:eastAsia="en-AU"/>
              </w:rPr>
            </w:r>
            <w:r>
              <w:rPr>
                <w:lang w:eastAsia="en-AU"/>
              </w:rPr>
              <w:fldChar w:fldCharType="separate"/>
            </w:r>
            <w:proofErr w:type="spellStart"/>
            <w:r w:rsidR="003B3C7B">
              <w:rPr>
                <w:caps w:val="0"/>
              </w:rPr>
              <w:t>E</w:t>
            </w:r>
            <w:proofErr w:type="spellEnd"/>
            <w:r w:rsidR="003B3C7B">
              <w:rPr>
                <w:caps w:val="0"/>
              </w:rPr>
              <w:tab/>
              <w:t>AGREED OPINIONS OF THE EXPERTS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[55]</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_Ref29821116 \h </w:instrText>
            </w:r>
            <w:r>
              <w:rPr>
                <w:lang w:eastAsia="en-AU"/>
              </w:rPr>
            </w:r>
            <w:r>
              <w:rPr>
                <w:lang w:eastAsia="en-AU"/>
              </w:rPr>
              <w:fldChar w:fldCharType="separate"/>
            </w:r>
            <w:r w:rsidR="00E469CA" w:rsidRPr="00506DAB">
              <w:t>E.1</w:t>
            </w:r>
            <w:r w:rsidR="00E469CA" w:rsidRPr="00506DAB">
              <w:tab/>
              <w:t>The Questions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[55]</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_Ref22827385 \h </w:instrText>
            </w:r>
            <w:r>
              <w:rPr>
                <w:lang w:eastAsia="en-AU"/>
              </w:rPr>
            </w:r>
            <w:r>
              <w:rPr>
                <w:lang w:eastAsia="en-AU"/>
              </w:rPr>
              <w:fldChar w:fldCharType="separate"/>
            </w:r>
            <w:r w:rsidR="00E469CA" w:rsidRPr="009A6F06">
              <w:t>E</w:t>
            </w:r>
            <w:r w:rsidR="00E469CA">
              <w:t>.2</w:t>
            </w:r>
            <w:r w:rsidR="00E469CA" w:rsidRPr="009A6F06">
              <w:tab/>
              <w:t>Steps in relation to Panganiban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[56]</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_Ref29821117 \h </w:instrText>
            </w:r>
            <w:r>
              <w:rPr>
                <w:lang w:eastAsia="en-AU"/>
              </w:rPr>
            </w:r>
            <w:r>
              <w:rPr>
                <w:lang w:eastAsia="en-AU"/>
              </w:rPr>
              <w:fldChar w:fldCharType="separate"/>
            </w:r>
            <w:r w:rsidR="00E469CA">
              <w:t>E.3</w:t>
            </w:r>
            <w:r w:rsidR="00E469CA" w:rsidRPr="009A6F06">
              <w:tab/>
              <w:t xml:space="preserve">Steps in relation to </w:t>
            </w:r>
            <w:r w:rsidR="00E469CA">
              <w:t>O</w:t>
            </w:r>
            <w:r w:rsidR="00E469CA" w:rsidRPr="009A6F06">
              <w:t>ther Authorised Representatives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[63]</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_Ref14865730 \h </w:instrText>
            </w:r>
            <w:r>
              <w:rPr>
                <w:lang w:eastAsia="en-AU"/>
              </w:rPr>
            </w:r>
            <w:r>
              <w:rPr>
                <w:lang w:eastAsia="en-AU"/>
              </w:rPr>
              <w:fldChar w:fldCharType="separate"/>
            </w:r>
            <w:r w:rsidR="003B3C7B">
              <w:rPr>
                <w:caps w:val="0"/>
              </w:rPr>
              <w:t>F</w:t>
            </w:r>
            <w:r w:rsidR="003B3C7B" w:rsidRPr="002141BD">
              <w:rPr>
                <w:caps w:val="0"/>
              </w:rPr>
              <w:t xml:space="preserve"> </w:t>
            </w:r>
            <w:r w:rsidR="003B3C7B" w:rsidRPr="002141BD">
              <w:rPr>
                <w:caps w:val="0"/>
              </w:rPr>
              <w:tab/>
            </w:r>
            <w:r w:rsidR="003B3C7B">
              <w:rPr>
                <w:caps w:val="0"/>
              </w:rPr>
              <w:t>SCOPE OF DISPUTES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[66]</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_Ref22827387 \h </w:instrText>
            </w:r>
            <w:r>
              <w:rPr>
                <w:lang w:eastAsia="en-AU"/>
              </w:rPr>
            </w:r>
            <w:r>
              <w:rPr>
                <w:lang w:eastAsia="en-AU"/>
              </w:rPr>
              <w:fldChar w:fldCharType="separate"/>
            </w:r>
            <w:r w:rsidR="003B3C7B">
              <w:rPr>
                <w:caps w:val="0"/>
              </w:rPr>
              <w:t>G</w:t>
            </w:r>
            <w:r w:rsidR="003B3C7B">
              <w:rPr>
                <w:caps w:val="0"/>
              </w:rPr>
              <w:tab/>
              <w:t>FINDINGS AS TO THE REMAINING DISPUTED ISSUES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[68]</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_Ref22827388 \h </w:instrText>
            </w:r>
            <w:r>
              <w:rPr>
                <w:lang w:eastAsia="en-AU"/>
              </w:rPr>
            </w:r>
            <w:r>
              <w:rPr>
                <w:lang w:eastAsia="en-AU"/>
              </w:rPr>
              <w:fldChar w:fldCharType="separate"/>
            </w:r>
            <w:r w:rsidR="00E469CA">
              <w:t xml:space="preserve">G.1 </w:t>
            </w:r>
            <w:r w:rsidR="00E469CA">
              <w:tab/>
              <w:t>Did AMPFP have reason to believe that the Rewriting Conduct was “common”?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[68]</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_Ref30603898 \h </w:instrText>
            </w:r>
            <w:r>
              <w:rPr>
                <w:lang w:eastAsia="en-AU"/>
              </w:rPr>
            </w:r>
            <w:r>
              <w:rPr>
                <w:lang w:eastAsia="en-AU"/>
              </w:rPr>
              <w:fldChar w:fldCharType="separate"/>
            </w:r>
            <w:r w:rsidR="00E469CA">
              <w:t>I</w:t>
            </w:r>
            <w:r w:rsidR="00E469CA">
              <w:tab/>
            </w:r>
            <w:r w:rsidR="00E469CA" w:rsidRPr="00105EC3">
              <w:t xml:space="preserve">ASIC </w:t>
            </w:r>
            <w:r w:rsidR="00E469CA">
              <w:t>s</w:t>
            </w:r>
            <w:r w:rsidR="00E469CA" w:rsidRPr="00105EC3">
              <w:t>ubmissions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[69]</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_Ref30603899 \h </w:instrText>
            </w:r>
            <w:r>
              <w:rPr>
                <w:lang w:eastAsia="en-AU"/>
              </w:rPr>
            </w:r>
            <w:r>
              <w:rPr>
                <w:lang w:eastAsia="en-AU"/>
              </w:rPr>
              <w:fldChar w:fldCharType="separate"/>
            </w:r>
            <w:r w:rsidR="00E469CA">
              <w:t>II</w:t>
            </w:r>
            <w:r w:rsidR="00E469CA">
              <w:tab/>
            </w:r>
            <w:r w:rsidR="00E469CA" w:rsidRPr="00105EC3">
              <w:t xml:space="preserve">AMPFP </w:t>
            </w:r>
            <w:r w:rsidR="00E469CA">
              <w:t>s</w:t>
            </w:r>
            <w:r w:rsidR="00E469CA" w:rsidRPr="00105EC3">
              <w:t>ubmissions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[72]</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_Ref30603900 \h </w:instrText>
            </w:r>
            <w:r>
              <w:rPr>
                <w:lang w:eastAsia="en-AU"/>
              </w:rPr>
            </w:r>
            <w:r>
              <w:rPr>
                <w:lang w:eastAsia="en-AU"/>
              </w:rPr>
              <w:fldChar w:fldCharType="separate"/>
            </w:r>
            <w:r w:rsidR="00E469CA">
              <w:t>III</w:t>
            </w:r>
            <w:r w:rsidR="00E469CA">
              <w:tab/>
              <w:t>Conclusions as to commonality of conduct and knowledge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[78]</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_Ref22827389 \h </w:instrText>
            </w:r>
            <w:r>
              <w:rPr>
                <w:lang w:eastAsia="en-AU"/>
              </w:rPr>
            </w:r>
            <w:r>
              <w:rPr>
                <w:lang w:eastAsia="en-AU"/>
              </w:rPr>
              <w:fldChar w:fldCharType="separate"/>
            </w:r>
            <w:r w:rsidR="00E469CA">
              <w:t xml:space="preserve">G.2. </w:t>
            </w:r>
            <w:r w:rsidR="00E469CA">
              <w:tab/>
              <w:t>How many contraventions of s 961L?</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[89]</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_Ref30603901 \h </w:instrText>
            </w:r>
            <w:r>
              <w:rPr>
                <w:lang w:eastAsia="en-AU"/>
              </w:rPr>
            </w:r>
            <w:r>
              <w:rPr>
                <w:lang w:eastAsia="en-AU"/>
              </w:rPr>
              <w:fldChar w:fldCharType="separate"/>
            </w:r>
            <w:r w:rsidR="00E469CA">
              <w:t xml:space="preserve">I </w:t>
            </w:r>
            <w:r w:rsidR="00E469CA">
              <w:tab/>
              <w:t>The competing contentions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[90]</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_Ref30603902 \h </w:instrText>
            </w:r>
            <w:r>
              <w:rPr>
                <w:lang w:eastAsia="en-AU"/>
              </w:rPr>
            </w:r>
            <w:r>
              <w:rPr>
                <w:lang w:eastAsia="en-AU"/>
              </w:rPr>
              <w:fldChar w:fldCharType="separate"/>
            </w:r>
            <w:r w:rsidR="00E469CA">
              <w:t xml:space="preserve">II </w:t>
            </w:r>
            <w:r w:rsidR="00E469CA">
              <w:tab/>
              <w:t>A preliminary issue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[92]</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_Ref14854789 \h </w:instrText>
            </w:r>
            <w:r>
              <w:rPr>
                <w:lang w:eastAsia="en-AU"/>
              </w:rPr>
            </w:r>
            <w:r>
              <w:rPr>
                <w:lang w:eastAsia="en-AU"/>
              </w:rPr>
              <w:fldChar w:fldCharType="separate"/>
            </w:r>
            <w:r w:rsidR="00E469CA" w:rsidRPr="000053E9">
              <w:t>III</w:t>
            </w:r>
            <w:r w:rsidR="00E469CA" w:rsidRPr="000053E9">
              <w:tab/>
              <w:t xml:space="preserve">Three </w:t>
            </w:r>
            <w:r w:rsidR="00E469CA">
              <w:t>o</w:t>
            </w:r>
            <w:r w:rsidR="00E469CA" w:rsidRPr="000053E9">
              <w:t xml:space="preserve">bservations as to the </w:t>
            </w:r>
            <w:r w:rsidR="00E469CA">
              <w:t>c</w:t>
            </w:r>
            <w:r w:rsidR="00E469CA" w:rsidRPr="000053E9">
              <w:t>onstruction of s 961L</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[104]</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lastRenderedPageBreak/>
              <w:fldChar w:fldCharType="begin" w:fldLock="1"/>
            </w:r>
            <w:r>
              <w:rPr>
                <w:lang w:eastAsia="en-AU"/>
              </w:rPr>
              <w:instrText xml:space="preserve"> REF _Ref29821121 \h </w:instrText>
            </w:r>
            <w:r>
              <w:rPr>
                <w:lang w:eastAsia="en-AU"/>
              </w:rPr>
            </w:r>
            <w:r>
              <w:rPr>
                <w:lang w:eastAsia="en-AU"/>
              </w:rPr>
              <w:fldChar w:fldCharType="separate"/>
            </w:r>
            <w:r w:rsidR="00E469CA" w:rsidRPr="000053E9">
              <w:t xml:space="preserve">IV </w:t>
            </w:r>
            <w:r w:rsidR="00E469CA" w:rsidRPr="000053E9">
              <w:tab/>
              <w:t xml:space="preserve">Prior </w:t>
            </w:r>
            <w:r w:rsidR="00E469CA">
              <w:t>a</w:t>
            </w:r>
            <w:r w:rsidR="00E469CA" w:rsidRPr="000053E9">
              <w:t>uthority on s 961L</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[108]</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_Ref30603903 \h </w:instrText>
            </w:r>
            <w:r>
              <w:rPr>
                <w:lang w:eastAsia="en-AU"/>
              </w:rPr>
            </w:r>
            <w:r>
              <w:rPr>
                <w:lang w:eastAsia="en-AU"/>
              </w:rPr>
              <w:fldChar w:fldCharType="separate"/>
            </w:r>
            <w:r w:rsidR="00E469CA" w:rsidRPr="000053E9">
              <w:t>V</w:t>
            </w:r>
            <w:r w:rsidR="00E469CA" w:rsidRPr="000053E9">
              <w:tab/>
              <w:t xml:space="preserve">Consideration of ASIC’s </w:t>
            </w:r>
            <w:r w:rsidR="00E469CA">
              <w:t>p</w:t>
            </w:r>
            <w:r w:rsidR="00E469CA" w:rsidRPr="000053E9">
              <w:t xml:space="preserve">rimary </w:t>
            </w:r>
            <w:r w:rsidR="00E469CA">
              <w:t>c</w:t>
            </w:r>
            <w:r w:rsidR="00E469CA" w:rsidRPr="000053E9">
              <w:t>ase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[115]</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_Ref30603904 \h </w:instrText>
            </w:r>
            <w:r>
              <w:rPr>
                <w:lang w:eastAsia="en-AU"/>
              </w:rPr>
            </w:r>
            <w:r>
              <w:rPr>
                <w:lang w:eastAsia="en-AU"/>
              </w:rPr>
              <w:fldChar w:fldCharType="separate"/>
            </w:r>
            <w:r w:rsidR="00E469CA" w:rsidRPr="007A6184">
              <w:t>V</w:t>
            </w:r>
            <w:r w:rsidR="00E469CA">
              <w:t>I</w:t>
            </w:r>
            <w:r w:rsidR="00E469CA" w:rsidRPr="007A6184">
              <w:tab/>
              <w:t xml:space="preserve">Consideration of AMPFP’s </w:t>
            </w:r>
            <w:r w:rsidR="00E469CA">
              <w:t>c</w:t>
            </w:r>
            <w:r w:rsidR="00E469CA" w:rsidRPr="007A6184">
              <w:t xml:space="preserve">ase: </w:t>
            </w:r>
            <w:r w:rsidR="00E469CA">
              <w:t>t</w:t>
            </w:r>
            <w:r w:rsidR="00E469CA" w:rsidRPr="007A6184">
              <w:t xml:space="preserve">wo </w:t>
            </w:r>
            <w:r w:rsidR="00E469CA">
              <w:t>c</w:t>
            </w:r>
            <w:r w:rsidR="00E469CA" w:rsidRPr="007A6184">
              <w:t>ontraventions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[126]</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_Ref30603905 \h </w:instrText>
            </w:r>
            <w:r>
              <w:rPr>
                <w:lang w:eastAsia="en-AU"/>
              </w:rPr>
            </w:r>
            <w:r>
              <w:rPr>
                <w:lang w:eastAsia="en-AU"/>
              </w:rPr>
              <w:fldChar w:fldCharType="separate"/>
            </w:r>
            <w:r w:rsidR="00E469CA" w:rsidRPr="007A6184">
              <w:t>V</w:t>
            </w:r>
            <w:r w:rsidR="00E469CA">
              <w:t>II</w:t>
            </w:r>
            <w:r w:rsidR="00E469CA">
              <w:tab/>
              <w:t>ASIC</w:t>
            </w:r>
            <w:r w:rsidR="00E469CA" w:rsidRPr="007A6184">
              <w:t xml:space="preserve">’s </w:t>
            </w:r>
            <w:r w:rsidR="00E469CA">
              <w:t>alternatives</w:t>
            </w:r>
            <w:r w:rsidR="00E469CA" w:rsidRPr="007A6184">
              <w:t>:</w:t>
            </w:r>
            <w:r w:rsidR="00E469CA">
              <w:t xml:space="preserve"> six or 18 c</w:t>
            </w:r>
            <w:r w:rsidR="00E469CA" w:rsidRPr="007A6184">
              <w:t>ontraventions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[134]</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_Ref29821125 \h </w:instrText>
            </w:r>
            <w:r>
              <w:rPr>
                <w:lang w:eastAsia="en-AU"/>
              </w:rPr>
            </w:r>
            <w:r>
              <w:rPr>
                <w:lang w:eastAsia="en-AU"/>
              </w:rPr>
              <w:fldChar w:fldCharType="separate"/>
            </w:r>
            <w:r w:rsidR="00E469CA">
              <w:t>G.3</w:t>
            </w:r>
            <w:r w:rsidR="00E469CA">
              <w:tab/>
              <w:t xml:space="preserve">Follow on declarations: contraventions of </w:t>
            </w:r>
            <w:proofErr w:type="spellStart"/>
            <w:r w:rsidR="00E469CA">
              <w:t>ss</w:t>
            </w:r>
            <w:proofErr w:type="spellEnd"/>
            <w:r w:rsidR="00E469CA">
              <w:t xml:space="preserve"> 912A(1)(a), (c) and (ca)</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[142]</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_Ref11661447 \h </w:instrText>
            </w:r>
            <w:r>
              <w:rPr>
                <w:lang w:eastAsia="en-AU"/>
              </w:rPr>
            </w:r>
            <w:r>
              <w:rPr>
                <w:lang w:eastAsia="en-AU"/>
              </w:rPr>
              <w:fldChar w:fldCharType="separate"/>
            </w:r>
            <w:r w:rsidR="003B3C7B">
              <w:rPr>
                <w:caps w:val="0"/>
              </w:rPr>
              <w:t xml:space="preserve">H </w:t>
            </w:r>
            <w:r w:rsidR="003B3C7B">
              <w:rPr>
                <w:caps w:val="0"/>
              </w:rPr>
              <w:tab/>
              <w:t>PENALTIES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[154]</w:t>
            </w:r>
          </w:p>
        </w:tc>
      </w:tr>
      <w:tr w:rsidR="003B4EFA" w:rsidRPr="00D326DB" w:rsidTr="003B4EFA">
        <w:tc>
          <w:tcPr>
            <w:tcW w:w="8291" w:type="dxa"/>
            <w:shd w:val="clear" w:color="auto" w:fill="auto"/>
          </w:tcPr>
          <w:p w:rsidR="003B4EFA" w:rsidRPr="003B4EFA" w:rsidRDefault="003B4EFA" w:rsidP="003B4EFA">
            <w:pPr>
              <w:pStyle w:val="FTOC2"/>
              <w:tabs>
                <w:tab w:val="clear" w:pos="9072"/>
              </w:tabs>
              <w:rPr>
                <w:lang w:eastAsia="en-AU"/>
              </w:rPr>
            </w:pPr>
            <w:r>
              <w:rPr>
                <w:lang w:eastAsia="en-AU"/>
              </w:rPr>
              <w:fldChar w:fldCharType="begin" w:fldLock="1"/>
            </w:r>
            <w:r>
              <w:rPr>
                <w:lang w:eastAsia="en-AU"/>
              </w:rPr>
              <w:instrText xml:space="preserve"> REF _Ref30603906 \h </w:instrText>
            </w:r>
            <w:r>
              <w:rPr>
                <w:lang w:eastAsia="en-AU"/>
              </w:rPr>
            </w:r>
            <w:r>
              <w:rPr>
                <w:lang w:eastAsia="en-AU"/>
              </w:rPr>
              <w:fldChar w:fldCharType="separate"/>
            </w:r>
            <w:r w:rsidR="00E469CA">
              <w:t>H.1</w:t>
            </w:r>
            <w:r w:rsidR="00E469CA" w:rsidRPr="00CF787E">
              <w:t xml:space="preserve"> </w:t>
            </w:r>
            <w:r w:rsidR="00E469CA">
              <w:tab/>
            </w:r>
            <w:r w:rsidR="00E469CA" w:rsidRPr="00CF787E">
              <w:t xml:space="preserve">Pecuniary </w:t>
            </w:r>
            <w:r w:rsidR="00E469CA">
              <w:t>p</w:t>
            </w:r>
            <w:r w:rsidR="00E469CA" w:rsidRPr="00CF787E">
              <w:t>enalties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[154]</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_Ref30603907 \h </w:instrText>
            </w:r>
            <w:r>
              <w:rPr>
                <w:lang w:eastAsia="en-AU"/>
              </w:rPr>
            </w:r>
            <w:r>
              <w:rPr>
                <w:lang w:eastAsia="en-AU"/>
              </w:rPr>
              <w:fldChar w:fldCharType="separate"/>
            </w:r>
            <w:r w:rsidR="00E469CA">
              <w:t>I</w:t>
            </w:r>
            <w:r w:rsidR="00E469CA">
              <w:tab/>
              <w:t>Introduction and relevant principles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[154]</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_Ref22827392 \h </w:instrText>
            </w:r>
            <w:r>
              <w:rPr>
                <w:lang w:eastAsia="en-AU"/>
              </w:rPr>
            </w:r>
            <w:r>
              <w:rPr>
                <w:lang w:eastAsia="en-AU"/>
              </w:rPr>
              <w:fldChar w:fldCharType="separate"/>
            </w:r>
            <w:r w:rsidR="00E469CA">
              <w:t>II</w:t>
            </w:r>
            <w:r w:rsidR="00E469CA">
              <w:tab/>
              <w:t>Objective factors that concern the seriousness of the contraventions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[162]</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_Ref29821127 \h </w:instrText>
            </w:r>
            <w:r>
              <w:rPr>
                <w:lang w:eastAsia="en-AU"/>
              </w:rPr>
            </w:r>
            <w:r>
              <w:rPr>
                <w:lang w:eastAsia="en-AU"/>
              </w:rPr>
              <w:fldChar w:fldCharType="separate"/>
            </w:r>
            <w:r w:rsidR="00E469CA">
              <w:t>The extent to which the contravention was the result of deliberate, covert or reckless conduct, as opposed to negligence or</w:t>
            </w:r>
            <w:r w:rsidR="00E469CA">
              <w:rPr>
                <w:spacing w:val="-3"/>
              </w:rPr>
              <w:t xml:space="preserve"> </w:t>
            </w:r>
            <w:r w:rsidR="00E469CA">
              <w:t>carelessness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[164]</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_Ref22827394 \h </w:instrText>
            </w:r>
            <w:r>
              <w:rPr>
                <w:lang w:eastAsia="en-AU"/>
              </w:rPr>
            </w:r>
            <w:r>
              <w:rPr>
                <w:lang w:eastAsia="en-AU"/>
              </w:rPr>
              <w:fldChar w:fldCharType="separate"/>
            </w:r>
            <w:r w:rsidR="00E469CA">
              <w:t>Whether the contravention comprised isolated conduct, or was systematic or occurred over a period of time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[169]</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_Ref29821128 \h </w:instrText>
            </w:r>
            <w:r>
              <w:rPr>
                <w:lang w:eastAsia="en-AU"/>
              </w:rPr>
            </w:r>
            <w:r>
              <w:rPr>
                <w:lang w:eastAsia="en-AU"/>
              </w:rPr>
              <w:fldChar w:fldCharType="separate"/>
            </w:r>
            <w:r w:rsidR="00E469CA">
              <w:t>Seniority of the officers responsible for the contravention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[171]</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_Ref22827396 \h </w:instrText>
            </w:r>
            <w:r>
              <w:rPr>
                <w:lang w:eastAsia="en-AU"/>
              </w:rPr>
            </w:r>
            <w:r>
              <w:rPr>
                <w:lang w:eastAsia="en-AU"/>
              </w:rPr>
              <w:fldChar w:fldCharType="separate"/>
            </w:r>
            <w:r w:rsidR="00E469CA">
              <w:t>The existence, within the corporation, of compliance systems and whether there was a culture of compliance at the corporation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[175]</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_Ref29821129 \h </w:instrText>
            </w:r>
            <w:r>
              <w:rPr>
                <w:lang w:eastAsia="en-AU"/>
              </w:rPr>
            </w:r>
            <w:r>
              <w:rPr>
                <w:lang w:eastAsia="en-AU"/>
              </w:rPr>
              <w:fldChar w:fldCharType="separate"/>
            </w:r>
            <w:r w:rsidR="00E469CA">
              <w:t>The</w:t>
            </w:r>
            <w:r w:rsidR="00E469CA">
              <w:rPr>
                <w:spacing w:val="-9"/>
              </w:rPr>
              <w:t xml:space="preserve"> </w:t>
            </w:r>
            <w:r w:rsidR="00E469CA">
              <w:t>impact</w:t>
            </w:r>
            <w:r w:rsidR="00E469CA">
              <w:rPr>
                <w:spacing w:val="-8"/>
              </w:rPr>
              <w:t xml:space="preserve"> </w:t>
            </w:r>
            <w:r w:rsidR="00E469CA">
              <w:t>or</w:t>
            </w:r>
            <w:r w:rsidR="00E469CA">
              <w:rPr>
                <w:spacing w:val="-9"/>
              </w:rPr>
              <w:t xml:space="preserve"> </w:t>
            </w:r>
            <w:r w:rsidR="00E469CA">
              <w:t>consequences</w:t>
            </w:r>
            <w:r w:rsidR="00E469CA">
              <w:rPr>
                <w:spacing w:val="-8"/>
              </w:rPr>
              <w:t xml:space="preserve"> </w:t>
            </w:r>
            <w:r w:rsidR="00E469CA">
              <w:t>of</w:t>
            </w:r>
            <w:r w:rsidR="00E469CA">
              <w:rPr>
                <w:spacing w:val="-9"/>
              </w:rPr>
              <w:t xml:space="preserve"> </w:t>
            </w:r>
            <w:r w:rsidR="00E469CA">
              <w:t>the</w:t>
            </w:r>
            <w:r w:rsidR="00E469CA">
              <w:rPr>
                <w:spacing w:val="-9"/>
              </w:rPr>
              <w:t xml:space="preserve"> </w:t>
            </w:r>
            <w:r w:rsidR="00E469CA">
              <w:t>contravention</w:t>
            </w:r>
            <w:r w:rsidR="00E469CA">
              <w:rPr>
                <w:spacing w:val="-9"/>
              </w:rPr>
              <w:t xml:space="preserve"> </w:t>
            </w:r>
            <w:r w:rsidR="00E469CA">
              <w:t>on</w:t>
            </w:r>
            <w:r w:rsidR="00E469CA">
              <w:rPr>
                <w:spacing w:val="-9"/>
              </w:rPr>
              <w:t xml:space="preserve"> </w:t>
            </w:r>
            <w:r w:rsidR="00E469CA">
              <w:t>the</w:t>
            </w:r>
            <w:r w:rsidR="00E469CA">
              <w:rPr>
                <w:spacing w:val="-9"/>
              </w:rPr>
              <w:t xml:space="preserve"> </w:t>
            </w:r>
            <w:r w:rsidR="00E469CA">
              <w:t>market</w:t>
            </w:r>
            <w:r w:rsidR="00E469CA">
              <w:rPr>
                <w:spacing w:val="-8"/>
              </w:rPr>
              <w:t xml:space="preserve"> </w:t>
            </w:r>
            <w:r w:rsidR="00E469CA">
              <w:t>or</w:t>
            </w:r>
            <w:r w:rsidR="00E469CA">
              <w:rPr>
                <w:spacing w:val="-9"/>
              </w:rPr>
              <w:t xml:space="preserve"> </w:t>
            </w:r>
            <w:r w:rsidR="00E469CA">
              <w:t>innocent</w:t>
            </w:r>
            <w:r w:rsidR="00E469CA">
              <w:rPr>
                <w:spacing w:val="-8"/>
              </w:rPr>
              <w:t xml:space="preserve"> </w:t>
            </w:r>
            <w:r w:rsidR="00E469CA">
              <w:t>third parties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[179]</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_Ref22827398 \h </w:instrText>
            </w:r>
            <w:r>
              <w:rPr>
                <w:lang w:eastAsia="en-AU"/>
              </w:rPr>
            </w:r>
            <w:r>
              <w:rPr>
                <w:lang w:eastAsia="en-AU"/>
              </w:rPr>
              <w:fldChar w:fldCharType="separate"/>
            </w:r>
            <w:r w:rsidR="00E469CA">
              <w:t>T</w:t>
            </w:r>
            <w:r w:rsidR="00E469CA" w:rsidRPr="00663D42">
              <w:t>he extent of any profit or benefit derived as a result of the contravention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[181]</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_Ref29821130 \h </w:instrText>
            </w:r>
            <w:r>
              <w:rPr>
                <w:lang w:eastAsia="en-AU"/>
              </w:rPr>
            </w:r>
            <w:r>
              <w:rPr>
                <w:lang w:eastAsia="en-AU"/>
              </w:rPr>
              <w:fldChar w:fldCharType="separate"/>
            </w:r>
            <w:r w:rsidR="00E469CA">
              <w:t>III</w:t>
            </w:r>
            <w:r w:rsidR="00E469CA">
              <w:tab/>
              <w:t>Subjective factors that concern the particular circumstances of AMPFP</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[182]</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_Ref29821131 \h </w:instrText>
            </w:r>
            <w:r>
              <w:rPr>
                <w:lang w:eastAsia="en-AU"/>
              </w:rPr>
            </w:r>
            <w:r>
              <w:rPr>
                <w:lang w:eastAsia="en-AU"/>
              </w:rPr>
              <w:fldChar w:fldCharType="separate"/>
            </w:r>
            <w:r w:rsidR="00E469CA">
              <w:t>T</w:t>
            </w:r>
            <w:r w:rsidR="00E469CA" w:rsidRPr="00FD6608">
              <w:t>he size and financial posit</w:t>
            </w:r>
            <w:r w:rsidR="00E469CA">
              <w:t>ion of the contravening company</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[182]</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_Ref22827400 \h </w:instrText>
            </w:r>
            <w:r>
              <w:rPr>
                <w:lang w:eastAsia="en-AU"/>
              </w:rPr>
            </w:r>
            <w:r>
              <w:rPr>
                <w:lang w:eastAsia="en-AU"/>
              </w:rPr>
              <w:fldChar w:fldCharType="separate"/>
            </w:r>
            <w:r w:rsidR="00E469CA">
              <w:t>Whether the company has been found to have engaged in similar conduct in the past</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[187]</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_Ref22827401 \h </w:instrText>
            </w:r>
            <w:r>
              <w:rPr>
                <w:lang w:eastAsia="en-AU"/>
              </w:rPr>
            </w:r>
            <w:r>
              <w:rPr>
                <w:lang w:eastAsia="en-AU"/>
              </w:rPr>
              <w:fldChar w:fldCharType="separate"/>
            </w:r>
            <w:r w:rsidR="00E469CA">
              <w:t>W</w:t>
            </w:r>
            <w:r w:rsidR="00E469CA" w:rsidRPr="00166364">
              <w:t>hether the company has improved or modified its compliance systems since the contravention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[188]</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_Ref22827402 \h </w:instrText>
            </w:r>
            <w:r>
              <w:rPr>
                <w:lang w:eastAsia="en-AU"/>
              </w:rPr>
            </w:r>
            <w:r>
              <w:rPr>
                <w:lang w:eastAsia="en-AU"/>
              </w:rPr>
              <w:fldChar w:fldCharType="separate"/>
            </w:r>
            <w:r w:rsidR="00E469CA">
              <w:t>W</w:t>
            </w:r>
            <w:r w:rsidR="00E469CA" w:rsidRPr="00166364">
              <w:t>hether the company (through its senior officers) has demo</w:t>
            </w:r>
            <w:r w:rsidR="00E469CA">
              <w:t>nstrated contrition and remorse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[192]</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_Ref22827403 \h </w:instrText>
            </w:r>
            <w:r>
              <w:rPr>
                <w:lang w:eastAsia="en-AU"/>
              </w:rPr>
            </w:r>
            <w:r>
              <w:rPr>
                <w:lang w:eastAsia="en-AU"/>
              </w:rPr>
              <w:fldChar w:fldCharType="separate"/>
            </w:r>
            <w:r w:rsidR="00E469CA">
              <w:t>W</w:t>
            </w:r>
            <w:r w:rsidR="00E469CA" w:rsidRPr="00166364">
              <w:t>hether the company had disgorged any profit or benefit received as a result of the contravention, or made reparation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[197]</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_Ref29821132 \h </w:instrText>
            </w:r>
            <w:r>
              <w:rPr>
                <w:lang w:eastAsia="en-AU"/>
              </w:rPr>
            </w:r>
            <w:r>
              <w:rPr>
                <w:lang w:eastAsia="en-AU"/>
              </w:rPr>
              <w:fldChar w:fldCharType="separate"/>
            </w:r>
            <w:r w:rsidR="00E469CA">
              <w:t>Whether the company has cooperated with and assisted the relevant regulatory authority in the investigation and prosecution of the contravention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[199]</w:t>
            </w:r>
          </w:p>
        </w:tc>
      </w:tr>
      <w:tr w:rsidR="003B4EFA" w:rsidRPr="00D326DB" w:rsidTr="003B4EFA">
        <w:tc>
          <w:tcPr>
            <w:tcW w:w="8291" w:type="dxa"/>
            <w:shd w:val="clear" w:color="auto" w:fill="auto"/>
          </w:tcPr>
          <w:p w:rsidR="003B4EFA" w:rsidRPr="003B4EFA" w:rsidRDefault="003B4EFA" w:rsidP="003B4EFA">
            <w:pPr>
              <w:pStyle w:val="FTOC4"/>
              <w:tabs>
                <w:tab w:val="clear" w:pos="9072"/>
              </w:tabs>
              <w:rPr>
                <w:i w:val="0"/>
                <w:lang w:eastAsia="en-AU"/>
              </w:rPr>
            </w:pPr>
            <w:r>
              <w:rPr>
                <w:lang w:eastAsia="en-AU"/>
              </w:rPr>
              <w:fldChar w:fldCharType="begin" w:fldLock="1"/>
            </w:r>
            <w:r>
              <w:rPr>
                <w:lang w:eastAsia="en-AU"/>
              </w:rPr>
              <w:instrText xml:space="preserve"> REF _Ref31789169 \h </w:instrText>
            </w:r>
            <w:r>
              <w:rPr>
                <w:lang w:eastAsia="en-AU"/>
              </w:rPr>
            </w:r>
            <w:r>
              <w:rPr>
                <w:lang w:eastAsia="en-AU"/>
              </w:rPr>
              <w:fldChar w:fldCharType="separate"/>
            </w:r>
            <w:r w:rsidR="00E469CA" w:rsidRPr="004A3FF8">
              <w:t>Whether the company has suffered any extra-curial punishment or detriment arising from the finding that it had contravened the law</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[201]</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lastRenderedPageBreak/>
              <w:fldChar w:fldCharType="begin" w:fldLock="1"/>
            </w:r>
            <w:r>
              <w:rPr>
                <w:lang w:eastAsia="en-AU"/>
              </w:rPr>
              <w:instrText xml:space="preserve"> REF _Ref22827404 \h </w:instrText>
            </w:r>
            <w:r>
              <w:rPr>
                <w:lang w:eastAsia="en-AU"/>
              </w:rPr>
            </w:r>
            <w:r>
              <w:rPr>
                <w:lang w:eastAsia="en-AU"/>
              </w:rPr>
              <w:fldChar w:fldCharType="separate"/>
            </w:r>
            <w:r w:rsidR="00E469CA">
              <w:t>IV</w:t>
            </w:r>
            <w:r w:rsidR="00E469CA">
              <w:tab/>
              <w:t>Are any difficulties AMPFP had in detecting Rewriting Conduct that contravened the relevant best interests obligations material matters affecting the assessment of penalty?</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[202]</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_Ref30603908 \h </w:instrText>
            </w:r>
            <w:r>
              <w:rPr>
                <w:lang w:eastAsia="en-AU"/>
              </w:rPr>
            </w:r>
            <w:r>
              <w:rPr>
                <w:lang w:eastAsia="en-AU"/>
              </w:rPr>
              <w:fldChar w:fldCharType="separate"/>
            </w:r>
            <w:r w:rsidR="00E469CA" w:rsidRPr="00034C41">
              <w:t>V</w:t>
            </w:r>
            <w:r w:rsidR="00E469CA" w:rsidRPr="00034C41">
              <w:tab/>
            </w:r>
            <w:r w:rsidR="00E469CA">
              <w:t>Further matters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[206]</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_Ref29821134 \h </w:instrText>
            </w:r>
            <w:r>
              <w:rPr>
                <w:lang w:eastAsia="en-AU"/>
              </w:rPr>
            </w:r>
            <w:r>
              <w:rPr>
                <w:lang w:eastAsia="en-AU"/>
              </w:rPr>
              <w:fldChar w:fldCharType="separate"/>
            </w:r>
            <w:r w:rsidR="00E469CA">
              <w:t>VI</w:t>
            </w:r>
            <w:r w:rsidR="00E469CA">
              <w:tab/>
              <w:t>Pecuniary penalty</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[212]</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_Ref22827406 \h </w:instrText>
            </w:r>
            <w:r>
              <w:rPr>
                <w:lang w:eastAsia="en-AU"/>
              </w:rPr>
            </w:r>
            <w:r>
              <w:rPr>
                <w:lang w:eastAsia="en-AU"/>
              </w:rPr>
              <w:fldChar w:fldCharType="separate"/>
            </w:r>
            <w:r w:rsidR="003B3C7B">
              <w:rPr>
                <w:caps w:val="0"/>
              </w:rPr>
              <w:t xml:space="preserve">H.2 </w:t>
            </w:r>
            <w:r w:rsidR="003B3C7B">
              <w:rPr>
                <w:caps w:val="0"/>
              </w:rPr>
              <w:tab/>
              <w:t>ORDERS UNDER SECTION 1101B</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[236]</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_Ref29821135 \h </w:instrText>
            </w:r>
            <w:r>
              <w:rPr>
                <w:lang w:eastAsia="en-AU"/>
              </w:rPr>
            </w:r>
            <w:r>
              <w:rPr>
                <w:lang w:eastAsia="en-AU"/>
              </w:rPr>
              <w:fldChar w:fldCharType="separate"/>
            </w:r>
            <w:r w:rsidR="00E469CA">
              <w:t>I</w:t>
            </w:r>
            <w:r w:rsidR="00E469CA">
              <w:tab/>
              <w:t>The Court’s power under s 1101B</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[236]</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_Ref29821136 \h </w:instrText>
            </w:r>
            <w:r>
              <w:rPr>
                <w:lang w:eastAsia="en-AU"/>
              </w:rPr>
            </w:r>
            <w:r>
              <w:rPr>
                <w:lang w:eastAsia="en-AU"/>
              </w:rPr>
              <w:fldChar w:fldCharType="separate"/>
            </w:r>
            <w:r w:rsidR="00E469CA">
              <w:t>II</w:t>
            </w:r>
            <w:r w:rsidR="00E469CA">
              <w:tab/>
              <w:t>Development of AMPFP’s position on a remediation programme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[239]</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_Ref22827407 \h </w:instrText>
            </w:r>
            <w:r>
              <w:rPr>
                <w:lang w:eastAsia="en-AU"/>
              </w:rPr>
            </w:r>
            <w:r>
              <w:rPr>
                <w:lang w:eastAsia="en-AU"/>
              </w:rPr>
              <w:fldChar w:fldCharType="separate"/>
            </w:r>
            <w:r w:rsidR="00E469CA">
              <w:t>III</w:t>
            </w:r>
            <w:r w:rsidR="00E469CA">
              <w:tab/>
              <w:t>Backward-looking: review and remediation programme</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[244]</w:t>
            </w:r>
          </w:p>
        </w:tc>
      </w:tr>
      <w:tr w:rsidR="003B4EFA" w:rsidRPr="00D326DB" w:rsidTr="003B4EFA">
        <w:tc>
          <w:tcPr>
            <w:tcW w:w="8291" w:type="dxa"/>
            <w:shd w:val="clear" w:color="auto" w:fill="auto"/>
          </w:tcPr>
          <w:p w:rsidR="003B4EFA" w:rsidRPr="003B4EFA" w:rsidRDefault="003B4EFA" w:rsidP="003B4EFA">
            <w:pPr>
              <w:pStyle w:val="FTOC3"/>
              <w:tabs>
                <w:tab w:val="clear" w:pos="9072"/>
              </w:tabs>
              <w:rPr>
                <w:i w:val="0"/>
                <w:lang w:eastAsia="en-AU"/>
              </w:rPr>
            </w:pPr>
            <w:r>
              <w:rPr>
                <w:lang w:eastAsia="en-AU"/>
              </w:rPr>
              <w:fldChar w:fldCharType="begin" w:fldLock="1"/>
            </w:r>
            <w:r>
              <w:rPr>
                <w:lang w:eastAsia="en-AU"/>
              </w:rPr>
              <w:instrText xml:space="preserve"> REF _Ref22827408 \h </w:instrText>
            </w:r>
            <w:r>
              <w:rPr>
                <w:lang w:eastAsia="en-AU"/>
              </w:rPr>
            </w:r>
            <w:r>
              <w:rPr>
                <w:lang w:eastAsia="en-AU"/>
              </w:rPr>
              <w:fldChar w:fldCharType="separate"/>
            </w:r>
            <w:r w:rsidR="00E469CA">
              <w:t>IV</w:t>
            </w:r>
            <w:r w:rsidR="00E469CA">
              <w:tab/>
              <w:t>Forward-looking: compliance plan</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[256]</w:t>
            </w:r>
          </w:p>
        </w:tc>
      </w:tr>
      <w:tr w:rsidR="003B4EFA" w:rsidRPr="00D326DB" w:rsidTr="003B4EFA">
        <w:tc>
          <w:tcPr>
            <w:tcW w:w="8291" w:type="dxa"/>
            <w:shd w:val="clear" w:color="auto" w:fill="auto"/>
          </w:tcPr>
          <w:p w:rsidR="003B4EFA" w:rsidRPr="003B4EFA" w:rsidRDefault="003B4EFA" w:rsidP="003B4EFA">
            <w:pPr>
              <w:pStyle w:val="FTOC1"/>
              <w:tabs>
                <w:tab w:val="clear" w:pos="9072"/>
              </w:tabs>
              <w:rPr>
                <w:lang w:eastAsia="en-AU"/>
              </w:rPr>
            </w:pPr>
            <w:r>
              <w:rPr>
                <w:lang w:eastAsia="en-AU"/>
              </w:rPr>
              <w:fldChar w:fldCharType="begin" w:fldLock="1"/>
            </w:r>
            <w:r>
              <w:rPr>
                <w:lang w:eastAsia="en-AU"/>
              </w:rPr>
              <w:instrText xml:space="preserve"> REF _Ref22827409 \h </w:instrText>
            </w:r>
            <w:r>
              <w:rPr>
                <w:lang w:eastAsia="en-AU"/>
              </w:rPr>
            </w:r>
            <w:r>
              <w:rPr>
                <w:lang w:eastAsia="en-AU"/>
              </w:rPr>
              <w:fldChar w:fldCharType="separate"/>
            </w:r>
            <w:r w:rsidR="003B3C7B">
              <w:rPr>
                <w:caps w:val="0"/>
              </w:rPr>
              <w:t xml:space="preserve">I </w:t>
            </w:r>
            <w:r w:rsidR="003B3C7B">
              <w:rPr>
                <w:caps w:val="0"/>
              </w:rPr>
              <w:tab/>
              <w:t>CONCLUSION AND ORDERS</w:t>
            </w:r>
            <w:r>
              <w:rPr>
                <w:lang w:eastAsia="en-AU"/>
              </w:rPr>
              <w:fldChar w:fldCharType="end"/>
            </w:r>
          </w:p>
        </w:tc>
        <w:tc>
          <w:tcPr>
            <w:tcW w:w="1000" w:type="dxa"/>
            <w:shd w:val="clear" w:color="auto" w:fill="auto"/>
            <w:vAlign w:val="bottom"/>
          </w:tcPr>
          <w:p w:rsidR="003B4EFA" w:rsidRDefault="003B4EFA">
            <w:pPr>
              <w:jc w:val="right"/>
              <w:rPr>
                <w:szCs w:val="24"/>
              </w:rPr>
            </w:pPr>
            <w:r>
              <w:rPr>
                <w:szCs w:val="24"/>
              </w:rPr>
              <w:t>[263]</w:t>
            </w:r>
          </w:p>
        </w:tc>
      </w:tr>
      <w:bookmarkEnd w:id="14"/>
    </w:tbl>
    <w:p w:rsidR="007D2BAB" w:rsidRDefault="007D2BAB" w:rsidP="00045BB7">
      <w:pPr>
        <w:pStyle w:val="NormalHeadings"/>
        <w:spacing w:line="480" w:lineRule="auto"/>
        <w:jc w:val="center"/>
        <w:rPr>
          <w:sz w:val="28"/>
          <w:szCs w:val="28"/>
        </w:rPr>
      </w:pPr>
    </w:p>
    <w:p w:rsidR="00854490" w:rsidRPr="00124929" w:rsidRDefault="003B3C7B" w:rsidP="00854490">
      <w:pPr>
        <w:pStyle w:val="Heading1"/>
        <w:rPr>
          <w:i/>
        </w:rPr>
      </w:pPr>
      <w:bookmarkStart w:id="15" w:name="_Ref14854776"/>
      <w:bookmarkStart w:id="16" w:name="_Ref22827381"/>
      <w:r w:rsidRPr="00CF2B89">
        <w:rPr>
          <w:caps w:val="0"/>
        </w:rPr>
        <w:t xml:space="preserve">A </w:t>
      </w:r>
      <w:r w:rsidRPr="00CF2B89">
        <w:rPr>
          <w:caps w:val="0"/>
        </w:rPr>
        <w:tab/>
      </w:r>
      <w:bookmarkEnd w:id="15"/>
      <w:r>
        <w:rPr>
          <w:caps w:val="0"/>
        </w:rPr>
        <w:t>PRELIMINARY OBSERVATIONS: A FAILURE OF COMPLIANCE</w:t>
      </w:r>
      <w:bookmarkEnd w:id="16"/>
      <w:r w:rsidRPr="00124929">
        <w:rPr>
          <w:i/>
          <w:caps w:val="0"/>
        </w:rPr>
        <w:t xml:space="preserve"> </w:t>
      </w:r>
    </w:p>
    <w:p w:rsidR="00631863" w:rsidRDefault="003B3C7B" w:rsidP="003B3C7B">
      <w:pPr>
        <w:pStyle w:val="ParaNumbering"/>
        <w:numPr>
          <w:ilvl w:val="0"/>
          <w:numId w:val="0"/>
        </w:numPr>
        <w:tabs>
          <w:tab w:val="left" w:pos="720"/>
        </w:tabs>
        <w:ind w:hanging="720"/>
      </w:pPr>
      <w:r>
        <w:rPr>
          <w:sz w:val="20"/>
        </w:rPr>
        <w:t>1</w:t>
      </w:r>
      <w:r>
        <w:rPr>
          <w:sz w:val="20"/>
        </w:rPr>
        <w:tab/>
      </w:r>
      <w:r w:rsidR="00631863">
        <w:t>During the course of</w:t>
      </w:r>
      <w:r w:rsidR="007D4842">
        <w:t xml:space="preserve"> oral submissions</w:t>
      </w:r>
      <w:r w:rsidR="00631863">
        <w:t>, the defendant</w:t>
      </w:r>
      <w:r w:rsidR="0002129C">
        <w:t>,</w:t>
      </w:r>
      <w:r w:rsidR="00270ADC">
        <w:t xml:space="preserve"> AMP Financial Planning Pty Ltd</w:t>
      </w:r>
      <w:r w:rsidR="00631863">
        <w:t xml:space="preserve"> (</w:t>
      </w:r>
      <w:r w:rsidR="00631863" w:rsidRPr="00456A66">
        <w:rPr>
          <w:b/>
        </w:rPr>
        <w:t>AMPFP</w:t>
      </w:r>
      <w:r w:rsidR="00631863">
        <w:t>)</w:t>
      </w:r>
      <w:r w:rsidR="0002129C">
        <w:t>,</w:t>
      </w:r>
      <w:r w:rsidR="00631863">
        <w:t xml:space="preserve"> </w:t>
      </w:r>
      <w:r w:rsidR="008577BD">
        <w:t xml:space="preserve">contended that there was </w:t>
      </w:r>
      <w:r w:rsidR="00A321AE">
        <w:t xml:space="preserve">insufficient evidence </w:t>
      </w:r>
      <w:r w:rsidR="008577BD">
        <w:t xml:space="preserve">for the Court </w:t>
      </w:r>
      <w:r w:rsidR="00A321AE">
        <w:t>to find</w:t>
      </w:r>
      <w:r w:rsidR="00631863">
        <w:t xml:space="preserve"> that there was </w:t>
      </w:r>
      <w:r w:rsidR="008577BD">
        <w:t>a deficient</w:t>
      </w:r>
      <w:r w:rsidR="00631863">
        <w:t xml:space="preserve"> </w:t>
      </w:r>
      <w:r w:rsidR="006F045B">
        <w:t>“</w:t>
      </w:r>
      <w:r w:rsidR="00631863">
        <w:t>culture of compliance</w:t>
      </w:r>
      <w:r w:rsidR="006F045B">
        <w:t>”</w:t>
      </w:r>
      <w:r w:rsidR="00631863">
        <w:t xml:space="preserve"> withi</w:t>
      </w:r>
      <w:r w:rsidR="006F045B">
        <w:t xml:space="preserve">n AMPFP </w:t>
      </w:r>
      <w:r w:rsidR="00A321AE">
        <w:t>at material times</w:t>
      </w:r>
      <w:r w:rsidR="00815B08">
        <w:t xml:space="preserve">. </w:t>
      </w:r>
      <w:r w:rsidR="006F045B">
        <w:t>Despite this</w:t>
      </w:r>
      <w:r w:rsidR="00A321AE">
        <w:t xml:space="preserve"> submission</w:t>
      </w:r>
      <w:r w:rsidR="006F045B">
        <w:t xml:space="preserve">, </w:t>
      </w:r>
      <w:r w:rsidR="006A421A">
        <w:t>AMPFP</w:t>
      </w:r>
      <w:r w:rsidR="006F045B">
        <w:t xml:space="preserve"> </w:t>
      </w:r>
      <w:r w:rsidR="00631863">
        <w:t xml:space="preserve">was </w:t>
      </w:r>
      <w:r w:rsidR="006F045B">
        <w:t xml:space="preserve">chary in contending “positively” that </w:t>
      </w:r>
      <w:r w:rsidR="00631863">
        <w:t>a</w:t>
      </w:r>
      <w:r w:rsidR="006F045B">
        <w:t>n adequate</w:t>
      </w:r>
      <w:r w:rsidR="00631863">
        <w:t xml:space="preserve"> </w:t>
      </w:r>
      <w:r w:rsidR="00A321AE">
        <w:t xml:space="preserve">compliance </w:t>
      </w:r>
      <w:r w:rsidR="00631863">
        <w:t>culture</w:t>
      </w:r>
      <w:r w:rsidR="006F045B">
        <w:t xml:space="preserve"> existed</w:t>
      </w:r>
      <w:r w:rsidR="00631863">
        <w:t>.</w:t>
      </w:r>
      <w:r w:rsidR="00A552EE">
        <w:t xml:space="preserve"> </w:t>
      </w:r>
      <w:r w:rsidR="00A321AE">
        <w:t>For reasons that will become obvious, AMPFP</w:t>
      </w:r>
      <w:r w:rsidR="00F839BD">
        <w:t xml:space="preserve"> w</w:t>
      </w:r>
      <w:r w:rsidR="00C70621">
        <w:t>as right to be hesitant</w:t>
      </w:r>
      <w:r w:rsidR="00A321AE">
        <w:t>.</w:t>
      </w:r>
      <w:r w:rsidR="005A06EB">
        <w:t xml:space="preserve"> </w:t>
      </w:r>
    </w:p>
    <w:p w:rsidR="00AA3062" w:rsidRDefault="003B3C7B" w:rsidP="003B3C7B">
      <w:pPr>
        <w:pStyle w:val="ParaNumbering"/>
        <w:numPr>
          <w:ilvl w:val="0"/>
          <w:numId w:val="0"/>
        </w:numPr>
        <w:tabs>
          <w:tab w:val="left" w:pos="720"/>
        </w:tabs>
        <w:ind w:hanging="720"/>
      </w:pPr>
      <w:r>
        <w:rPr>
          <w:sz w:val="20"/>
        </w:rPr>
        <w:t>2</w:t>
      </w:r>
      <w:r>
        <w:rPr>
          <w:sz w:val="20"/>
        </w:rPr>
        <w:tab/>
      </w:r>
      <w:r w:rsidR="006F045B">
        <w:t>A</w:t>
      </w:r>
      <w:r w:rsidR="00AA3062" w:rsidRPr="00AA3062">
        <w:t xml:space="preserve"> </w:t>
      </w:r>
      <w:r w:rsidR="006F045B">
        <w:t>“</w:t>
      </w:r>
      <w:r w:rsidR="00AA3062" w:rsidRPr="00AA3062">
        <w:t>culture of compliance</w:t>
      </w:r>
      <w:r w:rsidR="006F045B">
        <w:t>”</w:t>
      </w:r>
      <w:r w:rsidR="00AA3062" w:rsidRPr="00AA3062">
        <w:t xml:space="preserve"> is </w:t>
      </w:r>
      <w:r w:rsidR="00815B08">
        <w:t xml:space="preserve">an amorphous concept. </w:t>
      </w:r>
      <w:r w:rsidR="006F045B">
        <w:t xml:space="preserve">But whatever it </w:t>
      </w:r>
      <w:r w:rsidR="00A321AE">
        <w:t xml:space="preserve">actually </w:t>
      </w:r>
      <w:r w:rsidR="006F045B">
        <w:t>means</w:t>
      </w:r>
      <w:r w:rsidR="000A6AE4">
        <w:t>,</w:t>
      </w:r>
      <w:r w:rsidR="006F045B">
        <w:t xml:space="preserve"> it </w:t>
      </w:r>
      <w:r w:rsidR="000A6AE4">
        <w:t>must transcend simply putting in place</w:t>
      </w:r>
      <w:r w:rsidR="000B13EB">
        <w:t xml:space="preserve"> </w:t>
      </w:r>
      <w:r w:rsidR="00DC4F45">
        <w:t xml:space="preserve">expensive </w:t>
      </w:r>
      <w:r w:rsidR="00F969BB">
        <w:t>“systems”</w:t>
      </w:r>
      <w:r w:rsidR="00C0571C">
        <w:t>;</w:t>
      </w:r>
      <w:r w:rsidR="000B13EB">
        <w:t xml:space="preserve"> </w:t>
      </w:r>
      <w:r w:rsidR="00C70621">
        <w:t>or</w:t>
      </w:r>
      <w:r w:rsidR="00AA3062" w:rsidRPr="00AA3062">
        <w:t xml:space="preserve"> </w:t>
      </w:r>
      <w:r w:rsidR="00C0571C">
        <w:t xml:space="preserve">it </w:t>
      </w:r>
      <w:r w:rsidR="000A6AE4">
        <w:t xml:space="preserve">must be more than </w:t>
      </w:r>
      <w:r w:rsidR="007D4842">
        <w:t xml:space="preserve">persons, </w:t>
      </w:r>
      <w:r w:rsidR="00AA3062" w:rsidRPr="00AA3062">
        <w:t>whos</w:t>
      </w:r>
      <w:r w:rsidR="00AA3062">
        <w:t>e titles include terms such as “governance” and “compliance”</w:t>
      </w:r>
      <w:r w:rsidR="007D4842">
        <w:t>,</w:t>
      </w:r>
      <w:r w:rsidR="00F969BB" w:rsidRPr="00F969BB">
        <w:t xml:space="preserve"> </w:t>
      </w:r>
      <w:r w:rsidR="00F969BB">
        <w:t>declaiming platitudes</w:t>
      </w:r>
      <w:r w:rsidR="00815B08">
        <w:t xml:space="preserve">. </w:t>
      </w:r>
      <w:r w:rsidR="00AA3062" w:rsidRPr="00AA3062">
        <w:t>One mig</w:t>
      </w:r>
      <w:r w:rsidR="00AA3062">
        <w:t>ht question the point</w:t>
      </w:r>
      <w:r w:rsidR="00511206">
        <w:t xml:space="preserve"> of such </w:t>
      </w:r>
      <w:r w:rsidR="00DC4F45">
        <w:t>structures</w:t>
      </w:r>
      <w:r w:rsidR="00F871B3">
        <w:t xml:space="preserve"> and roles</w:t>
      </w:r>
      <w:r w:rsidR="008577BD">
        <w:t xml:space="preserve"> in a company</w:t>
      </w:r>
      <w:r w:rsidR="00AA3062" w:rsidRPr="00AA3062">
        <w:t xml:space="preserve">, if the corporate will to </w:t>
      </w:r>
      <w:r w:rsidR="00AA3062">
        <w:t xml:space="preserve">do the right thing is absent. </w:t>
      </w:r>
      <w:r w:rsidR="00511206">
        <w:t>For generations</w:t>
      </w:r>
      <w:r w:rsidR="00AA3062">
        <w:t xml:space="preserve">, </w:t>
      </w:r>
      <w:r w:rsidR="00511206">
        <w:t xml:space="preserve">many </w:t>
      </w:r>
      <w:r w:rsidR="00AA3062" w:rsidRPr="00AA3062">
        <w:t xml:space="preserve">successful financial institutions </w:t>
      </w:r>
      <w:r w:rsidR="00511206">
        <w:t>did not need</w:t>
      </w:r>
      <w:r w:rsidR="00411919">
        <w:t xml:space="preserve"> </w:t>
      </w:r>
      <w:r w:rsidR="00AA3062">
        <w:t>“values</w:t>
      </w:r>
      <w:r w:rsidR="00AA3062" w:rsidRPr="00AA3062">
        <w:t xml:space="preserve"> statements</w:t>
      </w:r>
      <w:r w:rsidR="00902FC8">
        <w:t>”</w:t>
      </w:r>
      <w:r w:rsidR="00AA3062" w:rsidRPr="00AA3062">
        <w:t xml:space="preserve"> </w:t>
      </w:r>
      <w:r w:rsidR="00511206">
        <w:t>setting out bromides</w:t>
      </w:r>
      <w:r w:rsidR="00F839BD">
        <w:t xml:space="preserve">; nor was it thought necessary to have </w:t>
      </w:r>
      <w:r w:rsidR="00AA3062" w:rsidRPr="00AA3062">
        <w:t xml:space="preserve">an array of </w:t>
      </w:r>
      <w:r w:rsidR="00A552EE">
        <w:t>compliance executives</w:t>
      </w:r>
      <w:r w:rsidR="00DC4F45">
        <w:t xml:space="preserve"> with </w:t>
      </w:r>
      <w:r w:rsidR="00057642">
        <w:t>highfalutin</w:t>
      </w:r>
      <w:r w:rsidR="00DC4F45">
        <w:t xml:space="preserve"> titles</w:t>
      </w:r>
      <w:r w:rsidR="00A552EE">
        <w:t>;</w:t>
      </w:r>
      <w:r w:rsidR="00AA3062" w:rsidRPr="00AA3062">
        <w:t xml:space="preserve"> </w:t>
      </w:r>
      <w:r w:rsidR="00470690">
        <w:t>th</w:t>
      </w:r>
      <w:r w:rsidR="00F871B3">
        <w:t>ose responsible</w:t>
      </w:r>
      <w:r w:rsidR="00470690">
        <w:t xml:space="preserve"> simply</w:t>
      </w:r>
      <w:r w:rsidR="00AA3062" w:rsidRPr="00AA3062">
        <w:t xml:space="preserve"> </w:t>
      </w:r>
      <w:r w:rsidR="006F045B">
        <w:t xml:space="preserve">ensured their </w:t>
      </w:r>
      <w:r w:rsidR="00A321AE">
        <w:t xml:space="preserve">employees or </w:t>
      </w:r>
      <w:r w:rsidR="006F045B">
        <w:t xml:space="preserve">representatives </w:t>
      </w:r>
      <w:r w:rsidR="00470690">
        <w:t>dealt</w:t>
      </w:r>
      <w:r w:rsidR="00AA3062">
        <w:t xml:space="preserve"> with customers </w:t>
      </w:r>
      <w:r w:rsidR="00A552EE">
        <w:t>in a manner reflecting</w:t>
      </w:r>
      <w:r w:rsidR="00470690">
        <w:t xml:space="preserve"> an</w:t>
      </w:r>
      <w:r w:rsidR="00AA3062" w:rsidRPr="00AA3062">
        <w:t xml:space="preserve"> instinctive institutional commitment to playing with a straight</w:t>
      </w:r>
      <w:r w:rsidR="00815B08">
        <w:t xml:space="preserve"> bat. </w:t>
      </w:r>
      <w:r w:rsidR="0052083A">
        <w:t>At bottom, as I will explain, t</w:t>
      </w:r>
      <w:r w:rsidR="00AA3062" w:rsidRPr="00AA3062">
        <w:t xml:space="preserve">his penalty proceeding </w:t>
      </w:r>
      <w:r w:rsidR="00A552EE">
        <w:t xml:space="preserve">reflects a </w:t>
      </w:r>
      <w:r w:rsidR="00C0571C">
        <w:t xml:space="preserve">lamentable </w:t>
      </w:r>
      <w:r w:rsidR="00A552EE">
        <w:t xml:space="preserve">failure of </w:t>
      </w:r>
      <w:r w:rsidR="0052083A">
        <w:t xml:space="preserve">corporate </w:t>
      </w:r>
      <w:r w:rsidR="00A552EE">
        <w:t xml:space="preserve">will </w:t>
      </w:r>
      <w:r w:rsidR="00A956F3">
        <w:t xml:space="preserve">to take the necessary steps to prevent </w:t>
      </w:r>
      <w:r w:rsidR="00C771AE">
        <w:t xml:space="preserve">greedy and unlawful </w:t>
      </w:r>
      <w:r w:rsidR="00C0571C">
        <w:t>conduct taking place,</w:t>
      </w:r>
      <w:r w:rsidR="00A956F3">
        <w:t xml:space="preserve"> and a</w:t>
      </w:r>
      <w:r w:rsidR="00AA3062" w:rsidRPr="00AA3062">
        <w:t xml:space="preserve"> </w:t>
      </w:r>
      <w:r w:rsidR="00166656">
        <w:t xml:space="preserve">further </w:t>
      </w:r>
      <w:r w:rsidR="00AA3062" w:rsidRPr="00AA3062">
        <w:t>failur</w:t>
      </w:r>
      <w:r w:rsidR="0002129C">
        <w:t>e to adopt a swift and proper</w:t>
      </w:r>
      <w:r w:rsidR="00AA3062" w:rsidRPr="00AA3062">
        <w:t xml:space="preserve"> </w:t>
      </w:r>
      <w:r w:rsidR="00C0571C">
        <w:t>remedial response</w:t>
      </w:r>
      <w:r w:rsidR="00AA3062" w:rsidRPr="00AA3062">
        <w:t>.</w:t>
      </w:r>
      <w:r w:rsidR="00F40047">
        <w:t xml:space="preserve"> </w:t>
      </w:r>
    </w:p>
    <w:p w:rsidR="00854490" w:rsidRDefault="003B3C7B" w:rsidP="003B3C7B">
      <w:pPr>
        <w:pStyle w:val="ParaNumbering"/>
        <w:numPr>
          <w:ilvl w:val="0"/>
          <w:numId w:val="0"/>
        </w:numPr>
        <w:tabs>
          <w:tab w:val="left" w:pos="720"/>
        </w:tabs>
        <w:ind w:hanging="720"/>
      </w:pPr>
      <w:r>
        <w:rPr>
          <w:sz w:val="20"/>
        </w:rPr>
        <w:lastRenderedPageBreak/>
        <w:t>3</w:t>
      </w:r>
      <w:r>
        <w:rPr>
          <w:sz w:val="20"/>
        </w:rPr>
        <w:tab/>
      </w:r>
      <w:r w:rsidR="00854490">
        <w:t>By September 2014</w:t>
      </w:r>
      <w:r w:rsidR="00A956F3">
        <w:t>,</w:t>
      </w:r>
      <w:r w:rsidR="00854490">
        <w:t xml:space="preserve"> Rommel Panganiban had been providing financial product advice as an authorised representative of </w:t>
      </w:r>
      <w:r w:rsidR="00A956F3">
        <w:t xml:space="preserve">AMPFP </w:t>
      </w:r>
      <w:r w:rsidR="00362AD5">
        <w:t xml:space="preserve">for some time. </w:t>
      </w:r>
      <w:r w:rsidR="00854490">
        <w:t>During at l</w:t>
      </w:r>
      <w:r w:rsidR="00414B6E">
        <w:t>east some of that period, he</w:t>
      </w:r>
      <w:r w:rsidR="00854490">
        <w:t xml:space="preserve"> engaged in conduct which, to any </w:t>
      </w:r>
      <w:r w:rsidR="00F871B3">
        <w:t>right-thinking</w:t>
      </w:r>
      <w:r w:rsidR="00F24CAA">
        <w:t xml:space="preserve"> person, was morally indefensible</w:t>
      </w:r>
      <w:r w:rsidR="00400941">
        <w:t xml:space="preserve">. </w:t>
      </w:r>
      <w:r w:rsidR="00F839BD">
        <w:t xml:space="preserve">Persons within AMPFP knew about the conduct and yet did not </w:t>
      </w:r>
      <w:r w:rsidR="0002129C">
        <w:t xml:space="preserve">take, or even attempt to take, </w:t>
      </w:r>
      <w:r w:rsidR="00C70621">
        <w:t>immediate steps to stop it</w:t>
      </w:r>
      <w:r w:rsidR="00400941">
        <w:t xml:space="preserve">. </w:t>
      </w:r>
      <w:r w:rsidR="00F839BD">
        <w:t>This occurred notwithstanding</w:t>
      </w:r>
      <w:r w:rsidR="0002129C">
        <w:t xml:space="preserve"> that some within AMPFP had a sufficient moral compass to recognise the conduct was wrong and</w:t>
      </w:r>
      <w:r w:rsidR="00854490">
        <w:t xml:space="preserve">, as AMPFP now accepts, the conduct amounted to a serious breach of the law. </w:t>
      </w:r>
    </w:p>
    <w:p w:rsidR="00854490" w:rsidRDefault="003B3C7B" w:rsidP="003B3C7B">
      <w:pPr>
        <w:pStyle w:val="ParaNumbering"/>
        <w:numPr>
          <w:ilvl w:val="0"/>
          <w:numId w:val="0"/>
        </w:numPr>
        <w:tabs>
          <w:tab w:val="left" w:pos="720"/>
        </w:tabs>
        <w:ind w:hanging="720"/>
      </w:pPr>
      <w:bookmarkStart w:id="17" w:name="_Ref29994446"/>
      <w:r>
        <w:rPr>
          <w:sz w:val="20"/>
        </w:rPr>
        <w:t>4</w:t>
      </w:r>
      <w:r>
        <w:rPr>
          <w:sz w:val="20"/>
        </w:rPr>
        <w:tab/>
      </w:r>
      <w:r w:rsidR="00A956F3">
        <w:t xml:space="preserve">What </w:t>
      </w:r>
      <w:r w:rsidR="00854490">
        <w:t xml:space="preserve">Panganiban was doing, repeatedly, was </w:t>
      </w:r>
      <w:r w:rsidR="00732E05">
        <w:t>engaging</w:t>
      </w:r>
      <w:r w:rsidR="00854659">
        <w:t xml:space="preserve"> in a form of</w:t>
      </w:r>
      <w:r w:rsidR="00400941">
        <w:t xml:space="preserve"> “churning”. </w:t>
      </w:r>
      <w:r w:rsidR="00854490">
        <w:t xml:space="preserve">He was advising his clients to apply for </w:t>
      </w:r>
      <w:r w:rsidR="00854490" w:rsidRPr="00A9629B">
        <w:t>new</w:t>
      </w:r>
      <w:r w:rsidR="00854490">
        <w:t xml:space="preserve"> </w:t>
      </w:r>
      <w:r w:rsidR="00854490" w:rsidRPr="00AB66E5">
        <w:t>insurance products issued by AMP Life</w:t>
      </w:r>
      <w:r w:rsidR="00854490">
        <w:t xml:space="preserve"> Limited (</w:t>
      </w:r>
      <w:r w:rsidR="00854490" w:rsidRPr="00C849F0">
        <w:rPr>
          <w:b/>
        </w:rPr>
        <w:t>AMP</w:t>
      </w:r>
      <w:r w:rsidR="00854490">
        <w:rPr>
          <w:b/>
        </w:rPr>
        <w:t xml:space="preserve"> Life</w:t>
      </w:r>
      <w:r w:rsidR="001B537B">
        <w:t xml:space="preserve">). </w:t>
      </w:r>
      <w:r w:rsidR="00854490">
        <w:t xml:space="preserve">With one apparent exception, his conduct involved a practice of </w:t>
      </w:r>
      <w:r w:rsidR="00732E05">
        <w:t>cancelling</w:t>
      </w:r>
      <w:r w:rsidR="00854490">
        <w:t xml:space="preserve"> the client’s existing insurance. Hence, rather than advising his clients to transfer their existing cover (or</w:t>
      </w:r>
      <w:r w:rsidR="006C44D1">
        <w:t>,</w:t>
      </w:r>
      <w:r w:rsidR="00854490">
        <w:t xml:space="preserve"> for existing AMP Life insureds</w:t>
      </w:r>
      <w:r w:rsidR="006C44D1">
        <w:t>,</w:t>
      </w:r>
      <w:r w:rsidR="00854490">
        <w:t xml:space="preserve"> </w:t>
      </w:r>
      <w:r w:rsidR="006C44D1">
        <w:t xml:space="preserve">advising them </w:t>
      </w:r>
      <w:r w:rsidR="00854490">
        <w:t>to retain the</w:t>
      </w:r>
      <w:r w:rsidR="00854659">
        <w:t xml:space="preserve">ir existing cover), </w:t>
      </w:r>
      <w:r w:rsidR="00854490">
        <w:t xml:space="preserve">he arranged for his clients to sign </w:t>
      </w:r>
      <w:r w:rsidR="00F52C31">
        <w:t xml:space="preserve">cancellation </w:t>
      </w:r>
      <w:r w:rsidR="00854490">
        <w:t>letters and</w:t>
      </w:r>
      <w:r w:rsidR="00F52C31">
        <w:t xml:space="preserve"> then</w:t>
      </w:r>
      <w:r w:rsidR="00854490">
        <w:t xml:space="preserve">, some days later, arranged </w:t>
      </w:r>
      <w:r w:rsidR="00F52C31">
        <w:t>for</w:t>
      </w:r>
      <w:r w:rsidR="00854490">
        <w:t xml:space="preserve"> an application for new insurance</w:t>
      </w:r>
      <w:r w:rsidR="00F52C31">
        <w:t xml:space="preserve"> to be submitted to AMP Life</w:t>
      </w:r>
      <w:r w:rsidR="00854490">
        <w:t xml:space="preserve">, which stated that the client did not have other AMP Life insurance </w:t>
      </w:r>
      <w:r w:rsidR="00414B6E">
        <w:t xml:space="preserve">in force </w:t>
      </w:r>
      <w:r w:rsidR="00854490">
        <w:t>or was not eligible for insurance transfer.</w:t>
      </w:r>
      <w:bookmarkEnd w:id="17"/>
      <w:r w:rsidR="00854490">
        <w:t xml:space="preserve"> </w:t>
      </w:r>
      <w:r w:rsidR="00E56B6A">
        <w:t xml:space="preserve">In these reasons, I refer to </w:t>
      </w:r>
      <w:r w:rsidR="00902FC8">
        <w:t>this</w:t>
      </w:r>
      <w:r w:rsidR="00E56B6A">
        <w:t xml:space="preserve"> delinquency as </w:t>
      </w:r>
      <w:r w:rsidR="00E56B6A">
        <w:rPr>
          <w:b/>
        </w:rPr>
        <w:t>Rewriting Conduct</w:t>
      </w:r>
      <w:r w:rsidR="00E56B6A">
        <w:t>.</w:t>
      </w:r>
    </w:p>
    <w:p w:rsidR="00854490" w:rsidRDefault="003B3C7B" w:rsidP="003B3C7B">
      <w:pPr>
        <w:pStyle w:val="ParaNumbering"/>
        <w:numPr>
          <w:ilvl w:val="0"/>
          <w:numId w:val="0"/>
        </w:numPr>
        <w:tabs>
          <w:tab w:val="left" w:pos="720"/>
        </w:tabs>
        <w:ind w:hanging="720"/>
      </w:pPr>
      <w:r>
        <w:rPr>
          <w:sz w:val="20"/>
        </w:rPr>
        <w:t>5</w:t>
      </w:r>
      <w:r>
        <w:rPr>
          <w:sz w:val="20"/>
        </w:rPr>
        <w:tab/>
      </w:r>
      <w:r w:rsidR="00854490">
        <w:t xml:space="preserve">The </w:t>
      </w:r>
      <w:r w:rsidR="00F52C31">
        <w:t>motivation</w:t>
      </w:r>
      <w:r w:rsidR="00854490">
        <w:t xml:space="preserve"> </w:t>
      </w:r>
      <w:r w:rsidR="00F24CAA">
        <w:t xml:space="preserve">for this conduct </w:t>
      </w:r>
      <w:r w:rsidR="00854490">
        <w:t>is as obv</w:t>
      </w:r>
      <w:r w:rsidR="00F24CAA">
        <w:t>ious as it i</w:t>
      </w:r>
      <w:r w:rsidR="00854490">
        <w:t xml:space="preserve">s unworthy: </w:t>
      </w:r>
      <w:r w:rsidR="00854490">
        <w:rPr>
          <w:rStyle w:val="null1"/>
        </w:rPr>
        <w:t xml:space="preserve">by </w:t>
      </w:r>
      <w:r w:rsidR="00854490">
        <w:t>exposing his clients to the attendant risks and other disadvantages of his conduct</w:t>
      </w:r>
      <w:r w:rsidR="00A956F3">
        <w:rPr>
          <w:rStyle w:val="null1"/>
        </w:rPr>
        <w:t xml:space="preserve">, </w:t>
      </w:r>
      <w:r w:rsidR="00854490">
        <w:rPr>
          <w:rStyle w:val="null1"/>
        </w:rPr>
        <w:t xml:space="preserve">Panganiban was entitled to a </w:t>
      </w:r>
      <w:r w:rsidR="00270ADC">
        <w:rPr>
          <w:rStyle w:val="null1"/>
        </w:rPr>
        <w:t xml:space="preserve">substantially </w:t>
      </w:r>
      <w:r w:rsidR="00854490">
        <w:rPr>
          <w:rStyle w:val="null1"/>
        </w:rPr>
        <w:t>higher co</w:t>
      </w:r>
      <w:r w:rsidR="00F24CAA">
        <w:rPr>
          <w:rStyle w:val="null1"/>
        </w:rPr>
        <w:t>mmission</w:t>
      </w:r>
      <w:r w:rsidR="00854490">
        <w:rPr>
          <w:rStyle w:val="null1"/>
        </w:rPr>
        <w:t>.</w:t>
      </w:r>
    </w:p>
    <w:p w:rsidR="006C44D1" w:rsidRDefault="003B3C7B" w:rsidP="003B3C7B">
      <w:pPr>
        <w:pStyle w:val="ParaNumbering"/>
        <w:numPr>
          <w:ilvl w:val="0"/>
          <w:numId w:val="0"/>
        </w:numPr>
        <w:tabs>
          <w:tab w:val="left" w:pos="720"/>
        </w:tabs>
        <w:ind w:hanging="720"/>
      </w:pPr>
      <w:r>
        <w:rPr>
          <w:sz w:val="20"/>
        </w:rPr>
        <w:t>6</w:t>
      </w:r>
      <w:r>
        <w:rPr>
          <w:sz w:val="20"/>
        </w:rPr>
        <w:tab/>
      </w:r>
      <w:r w:rsidR="0002129C">
        <w:t xml:space="preserve">AMPFP has admitted </w:t>
      </w:r>
      <w:r w:rsidR="00854490">
        <w:t>that at all material times during the period from July 2013 to September 2014</w:t>
      </w:r>
      <w:r w:rsidR="00F871B3">
        <w:t>,</w:t>
      </w:r>
      <w:r w:rsidR="00854490">
        <w:t xml:space="preserve"> it ought r</w:t>
      </w:r>
      <w:r w:rsidR="00A956F3">
        <w:t xml:space="preserve">easonably to have known that </w:t>
      </w:r>
      <w:r w:rsidR="00854490">
        <w:t xml:space="preserve">Panganiban had engaged in this </w:t>
      </w:r>
      <w:r w:rsidR="00F14DB6">
        <w:t xml:space="preserve">wrongful </w:t>
      </w:r>
      <w:r w:rsidR="00400941">
        <w:t xml:space="preserve">conduct. </w:t>
      </w:r>
      <w:r w:rsidR="0002129C">
        <w:t>Given the evidence canvassed below, such an admission was inevitable.</w:t>
      </w:r>
      <w:r w:rsidR="005A06EB">
        <w:t xml:space="preserve"> </w:t>
      </w:r>
      <w:r w:rsidR="00854490">
        <w:t>Bu</w:t>
      </w:r>
      <w:r w:rsidR="006C41B0">
        <w:t xml:space="preserve">t </w:t>
      </w:r>
      <w:r w:rsidR="006C44D1">
        <w:t xml:space="preserve">let us </w:t>
      </w:r>
      <w:r w:rsidR="0002129C">
        <w:t xml:space="preserve">presently </w:t>
      </w:r>
      <w:r w:rsidR="006C44D1">
        <w:t xml:space="preserve">leave </w:t>
      </w:r>
      <w:r w:rsidR="00CE00BB">
        <w:t>to one side</w:t>
      </w:r>
      <w:r w:rsidR="0002129C">
        <w:t xml:space="preserve"> </w:t>
      </w:r>
      <w:proofErr w:type="spellStart"/>
      <w:r w:rsidR="009153CD">
        <w:t>laggardly</w:t>
      </w:r>
      <w:proofErr w:type="spellEnd"/>
      <w:r w:rsidR="006C44D1">
        <w:t xml:space="preserve"> recognition of lapses made in the </w:t>
      </w:r>
      <w:r w:rsidR="007D4842">
        <w:t>wake of</w:t>
      </w:r>
      <w:r w:rsidR="00400941">
        <w:t xml:space="preserve"> regulatory scrutiny. </w:t>
      </w:r>
      <w:r w:rsidR="006C44D1">
        <w:t xml:space="preserve">To adapt a </w:t>
      </w:r>
      <w:r w:rsidR="00F14DB6">
        <w:t>quo</w:t>
      </w:r>
      <w:r w:rsidR="00D15672">
        <w:t xml:space="preserve">tation often misattributed to C S </w:t>
      </w:r>
      <w:r w:rsidR="00F14DB6">
        <w:t>Lewis</w:t>
      </w:r>
      <w:r w:rsidR="0002129C">
        <w:t>: governance</w:t>
      </w:r>
      <w:r w:rsidR="006C44D1" w:rsidRPr="006C44D1">
        <w:t xml:space="preserve"> is </w:t>
      </w:r>
      <w:r w:rsidR="00F14DB6">
        <w:t xml:space="preserve">taking steps to ensure </w:t>
      </w:r>
      <w:r w:rsidR="006C44D1" w:rsidRPr="006C44D1">
        <w:t xml:space="preserve">the right thing </w:t>
      </w:r>
      <w:r w:rsidR="00F14DB6">
        <w:t>is done</w:t>
      </w:r>
      <w:r w:rsidR="00A956F3">
        <w:t>,</w:t>
      </w:r>
      <w:r w:rsidR="00F14DB6">
        <w:t xml:space="preserve"> </w:t>
      </w:r>
      <w:r w:rsidR="006C44D1" w:rsidRPr="006C44D1">
        <w:t xml:space="preserve">even when no one </w:t>
      </w:r>
      <w:r w:rsidR="00F14DB6">
        <w:t xml:space="preserve">else </w:t>
      </w:r>
      <w:r w:rsidR="006C44D1" w:rsidRPr="006C44D1">
        <w:t>is watching.</w:t>
      </w:r>
      <w:r w:rsidR="00F14DB6">
        <w:t xml:space="preserve"> </w:t>
      </w:r>
      <w:r w:rsidR="006C44D1">
        <w:t>W</w:t>
      </w:r>
      <w:r w:rsidR="006C41B0">
        <w:t>hat actually happened</w:t>
      </w:r>
      <w:r w:rsidR="006C44D1">
        <w:t xml:space="preserve"> contemporaneously</w:t>
      </w:r>
      <w:r w:rsidR="00400941">
        <w:t xml:space="preserve">? </w:t>
      </w:r>
      <w:r w:rsidR="00470690">
        <w:t>How did the powers-</w:t>
      </w:r>
      <w:r w:rsidR="000F5D7F">
        <w:t>th</w:t>
      </w:r>
      <w:r w:rsidR="00470690">
        <w:t xml:space="preserve">at-be </w:t>
      </w:r>
      <w:r w:rsidR="006553C5">
        <w:t>within</w:t>
      </w:r>
      <w:r w:rsidR="00470690">
        <w:t xml:space="preserve"> AMPFP </w:t>
      </w:r>
      <w:r w:rsidR="00F14DB6">
        <w:t xml:space="preserve">react </w:t>
      </w:r>
      <w:r w:rsidR="006553C5">
        <w:t>when they</w:t>
      </w:r>
      <w:r w:rsidR="006C41B0">
        <w:t xml:space="preserve"> </w:t>
      </w:r>
      <w:r w:rsidR="00F14DB6">
        <w:t xml:space="preserve">first became aware </w:t>
      </w:r>
      <w:r w:rsidR="0052083A">
        <w:t>something was amiss</w:t>
      </w:r>
      <w:r w:rsidR="006C41B0">
        <w:t>?</w:t>
      </w:r>
      <w:r w:rsidR="00F40047">
        <w:t xml:space="preserve"> </w:t>
      </w:r>
    </w:p>
    <w:p w:rsidR="00854490" w:rsidRDefault="003B3C7B" w:rsidP="003B3C7B">
      <w:pPr>
        <w:pStyle w:val="ParaNumbering"/>
        <w:numPr>
          <w:ilvl w:val="0"/>
          <w:numId w:val="0"/>
        </w:numPr>
        <w:tabs>
          <w:tab w:val="left" w:pos="720"/>
        </w:tabs>
        <w:ind w:hanging="720"/>
      </w:pPr>
      <w:r>
        <w:rPr>
          <w:sz w:val="20"/>
        </w:rPr>
        <w:t>7</w:t>
      </w:r>
      <w:r>
        <w:rPr>
          <w:sz w:val="20"/>
        </w:rPr>
        <w:tab/>
      </w:r>
      <w:r w:rsidR="00854490">
        <w:t>The evidence discloses the following timeline</w:t>
      </w:r>
      <w:r w:rsidR="0091261D">
        <w:t xml:space="preserve"> leading up to AMPFP </w:t>
      </w:r>
      <w:r w:rsidR="006C44D1">
        <w:t xml:space="preserve">eventually </w:t>
      </w:r>
      <w:r w:rsidR="0091261D">
        <w:t>taking ste</w:t>
      </w:r>
      <w:r w:rsidR="00A956F3">
        <w:t xml:space="preserve">ps to prevent the conduct of </w:t>
      </w:r>
      <w:r w:rsidR="0091261D">
        <w:t>Panganiban continuing</w:t>
      </w:r>
      <w:r w:rsidR="00854490">
        <w:t>:</w:t>
      </w:r>
    </w:p>
    <w:p w:rsidR="00854490" w:rsidRPr="00C5797A" w:rsidRDefault="003B3C7B" w:rsidP="003B3C7B">
      <w:pPr>
        <w:pStyle w:val="ListNo1"/>
        <w:numPr>
          <w:ilvl w:val="0"/>
          <w:numId w:val="0"/>
        </w:numPr>
        <w:tabs>
          <w:tab w:val="left" w:pos="720"/>
        </w:tabs>
        <w:ind w:left="720" w:hanging="720"/>
        <w:rPr>
          <w:rStyle w:val="DeltaViewInsertion"/>
          <w:color w:val="auto"/>
          <w:u w:val="none"/>
        </w:rPr>
      </w:pPr>
      <w:r w:rsidRPr="00C5797A">
        <w:rPr>
          <w:rStyle w:val="DeltaViewInsertion"/>
          <w:color w:val="auto"/>
          <w:u w:val="none"/>
        </w:rPr>
        <w:t>(1)</w:t>
      </w:r>
      <w:r w:rsidRPr="00C5797A">
        <w:rPr>
          <w:rStyle w:val="DeltaViewInsertion"/>
          <w:color w:val="auto"/>
          <w:u w:val="none"/>
        </w:rPr>
        <w:tab/>
      </w:r>
      <w:r w:rsidR="00854490">
        <w:t xml:space="preserve">In </w:t>
      </w:r>
      <w:r w:rsidR="00854490" w:rsidRPr="003E709C">
        <w:t>December 2012, a Senior Underwriter for AMP Life</w:t>
      </w:r>
      <w:r w:rsidR="00854490">
        <w:t xml:space="preserve">, Mr Todd </w:t>
      </w:r>
      <w:proofErr w:type="spellStart"/>
      <w:r w:rsidR="00854490">
        <w:t>Traynor</w:t>
      </w:r>
      <w:proofErr w:type="spellEnd"/>
      <w:r w:rsidR="00854490">
        <w:t>,</w:t>
      </w:r>
      <w:r w:rsidR="00854490" w:rsidRPr="003E709C">
        <w:t xml:space="preserve"> </w:t>
      </w:r>
      <w:r w:rsidR="00C5797A">
        <w:t xml:space="preserve">who had been dealing with an application for insurance submitted on behalf of one of </w:t>
      </w:r>
      <w:r w:rsidR="00C5797A">
        <w:lastRenderedPageBreak/>
        <w:t xml:space="preserve">Panganiban’s clients, </w:t>
      </w:r>
      <w:r w:rsidR="00854490" w:rsidRPr="003E709C">
        <w:t xml:space="preserve">sent an email to a Product Manager for AMP Life, in which </w:t>
      </w:r>
      <w:r w:rsidR="00C5797A">
        <w:t xml:space="preserve">Mr </w:t>
      </w:r>
      <w:proofErr w:type="spellStart"/>
      <w:r w:rsidR="00C5797A">
        <w:t>Traynor</w:t>
      </w:r>
      <w:proofErr w:type="spellEnd"/>
      <w:r w:rsidR="00C5797A" w:rsidRPr="003E709C">
        <w:t xml:space="preserve"> </w:t>
      </w:r>
      <w:r w:rsidR="00854490" w:rsidRPr="003E709C">
        <w:t xml:space="preserve">recounted a conversation with </w:t>
      </w:r>
      <w:r w:rsidR="00A956F3">
        <w:t>Pangan</w:t>
      </w:r>
      <w:r w:rsidR="00854490" w:rsidRPr="003E709C">
        <w:t xml:space="preserve">iban </w:t>
      </w:r>
      <w:r w:rsidR="00C5797A">
        <w:t>and re</w:t>
      </w:r>
      <w:r w:rsidR="00CE00BB">
        <w:t xml:space="preserve">quested advice as to whether </w:t>
      </w:r>
      <w:r w:rsidR="00C5797A">
        <w:t xml:space="preserve">Panganiban would be entitled to full commission </w:t>
      </w:r>
      <w:r w:rsidR="00854490" w:rsidRPr="003E709C">
        <w:t xml:space="preserve">because the client was cancelling rather than transferring cover; in response, the Product Manager </w:t>
      </w:r>
      <w:r w:rsidR="00C5797A">
        <w:t xml:space="preserve">(after stating that she had spoken with her manager) </w:t>
      </w:r>
      <w:r w:rsidR="00854490" w:rsidRPr="003E709C">
        <w:t>said that “unfortunately we have no way to stop” the conduct occurring and confirmed th</w:t>
      </w:r>
      <w:r w:rsidR="00F948D8">
        <w:t>at full commission was payable</w:t>
      </w:r>
      <w:r w:rsidR="0091261D">
        <w:t xml:space="preserve"> to </w:t>
      </w:r>
      <w:r w:rsidR="00A956F3">
        <w:t>Pangan</w:t>
      </w:r>
      <w:r w:rsidR="0091261D" w:rsidRPr="003E709C">
        <w:t>iban</w:t>
      </w:r>
      <w:r w:rsidR="0092783D">
        <w:t>, although admitted that there was “no reason to do this” and offered to notify the “dealer group” of the practice</w:t>
      </w:r>
      <w:r w:rsidR="008F2A72">
        <w:t>.</w:t>
      </w:r>
    </w:p>
    <w:p w:rsidR="00002283" w:rsidRDefault="003B3C7B" w:rsidP="003B3C7B">
      <w:pPr>
        <w:pStyle w:val="ListNo1"/>
        <w:numPr>
          <w:ilvl w:val="0"/>
          <w:numId w:val="0"/>
        </w:numPr>
        <w:tabs>
          <w:tab w:val="left" w:pos="720"/>
        </w:tabs>
        <w:ind w:left="720" w:hanging="720"/>
      </w:pPr>
      <w:r>
        <w:t>(2)</w:t>
      </w:r>
      <w:r>
        <w:tab/>
      </w:r>
      <w:r w:rsidR="00002283" w:rsidRPr="00002283">
        <w:t>In February 2013, AMP’s Planner Supervision team (responsible for investigating adviser issues) was forwarded details of 11 randomly selected applications for insurance made by Panganiban on behalf of his clients; the email from Mr Matthew Buckler (Team Manager, New Business) indicated that the applications were “very suspicious”</w:t>
      </w:r>
      <w:r w:rsidR="008F2A72">
        <w:t>.</w:t>
      </w:r>
    </w:p>
    <w:p w:rsidR="00854490" w:rsidRPr="009B4D15" w:rsidRDefault="003B3C7B" w:rsidP="003B3C7B">
      <w:pPr>
        <w:pStyle w:val="ListNo1"/>
        <w:numPr>
          <w:ilvl w:val="0"/>
          <w:numId w:val="0"/>
        </w:numPr>
        <w:tabs>
          <w:tab w:val="left" w:pos="720"/>
        </w:tabs>
        <w:ind w:left="720" w:hanging="720"/>
      </w:pPr>
      <w:r w:rsidRPr="009B4D15">
        <w:t>(3)</w:t>
      </w:r>
      <w:r w:rsidRPr="009B4D15">
        <w:tab/>
      </w:r>
      <w:r w:rsidR="00854490" w:rsidRPr="009B4D15">
        <w:t>In around February 2013, Ms Jane Gregory, a Planner Supervision consultant within the Planner Risk and Compliance area, commenced an investigatio</w:t>
      </w:r>
      <w:r w:rsidR="00854659">
        <w:t xml:space="preserve">n into </w:t>
      </w:r>
      <w:r w:rsidR="00A956F3">
        <w:t>Pangan</w:t>
      </w:r>
      <w:r w:rsidR="00854659">
        <w:t>iban’</w:t>
      </w:r>
      <w:r w:rsidR="00854490">
        <w:t xml:space="preserve">s conduct </w:t>
      </w:r>
      <w:r w:rsidR="00854490" w:rsidRPr="009B4D15">
        <w:t xml:space="preserve">and forwarded information to Fraud Risk, </w:t>
      </w:r>
      <w:r w:rsidR="00F871B3" w:rsidRPr="009B4D15">
        <w:t>AMP;</w:t>
      </w:r>
      <w:r w:rsidR="00F871B3">
        <w:t xml:space="preserve"> shortly</w:t>
      </w:r>
      <w:r w:rsidR="00854490">
        <w:t xml:space="preserve"> thereafter</w:t>
      </w:r>
      <w:r w:rsidR="00414B6E">
        <w:t>,</w:t>
      </w:r>
      <w:r w:rsidR="0092783D">
        <w:t xml:space="preserve"> in March 2013</w:t>
      </w:r>
      <w:r w:rsidR="00854490">
        <w:t xml:space="preserve">, </w:t>
      </w:r>
      <w:r w:rsidR="00854490" w:rsidRPr="009B4D15">
        <w:t xml:space="preserve">Ms Gregory had a conversation with Mr </w:t>
      </w:r>
      <w:proofErr w:type="spellStart"/>
      <w:r w:rsidR="00854490" w:rsidRPr="009B4D15">
        <w:t>Traynor</w:t>
      </w:r>
      <w:proofErr w:type="spellEnd"/>
      <w:r w:rsidR="00854490" w:rsidRPr="009B4D15">
        <w:t xml:space="preserve"> </w:t>
      </w:r>
      <w:r w:rsidR="00854490">
        <w:t xml:space="preserve">which was </w:t>
      </w:r>
      <w:r w:rsidR="00854490" w:rsidRPr="009B4D15">
        <w:t xml:space="preserve">recorded </w:t>
      </w:r>
      <w:r w:rsidR="0091261D">
        <w:t>in Ms Gregory’</w:t>
      </w:r>
      <w:r w:rsidR="00854490">
        <w:t>s</w:t>
      </w:r>
      <w:r w:rsidR="00854490" w:rsidRPr="009B4D15">
        <w:t xml:space="preserve"> </w:t>
      </w:r>
      <w:r w:rsidR="00854490">
        <w:t xml:space="preserve">contemporaneous </w:t>
      </w:r>
      <w:r w:rsidR="00854490" w:rsidRPr="009B4D15">
        <w:t xml:space="preserve">note </w:t>
      </w:r>
      <w:r w:rsidR="00854490">
        <w:t>as follows</w:t>
      </w:r>
      <w:r w:rsidR="00854490" w:rsidRPr="009B4D15">
        <w:t>:</w:t>
      </w:r>
    </w:p>
    <w:p w:rsidR="00854490" w:rsidRPr="009B4D15" w:rsidRDefault="00854490" w:rsidP="00854659">
      <w:pPr>
        <w:pStyle w:val="Quote3"/>
        <w:ind w:left="1440"/>
      </w:pPr>
      <w:r w:rsidRPr="009B4D15">
        <w:t xml:space="preserve">[Mr </w:t>
      </w:r>
      <w:proofErr w:type="spellStart"/>
      <w:r w:rsidRPr="009B4D15">
        <w:t>Traynor</w:t>
      </w:r>
      <w:proofErr w:type="spellEnd"/>
      <w:r w:rsidRPr="009B4D15">
        <w:t xml:space="preserve">] advised that a planner is able to transfer the insurance from the FLS to FS on a like for like or decrease basis without any underwriting however no commission is paid. </w:t>
      </w:r>
    </w:p>
    <w:p w:rsidR="00854490" w:rsidRPr="009B4D15" w:rsidRDefault="00854490" w:rsidP="00854659">
      <w:pPr>
        <w:pStyle w:val="Quote3"/>
        <w:ind w:left="1440"/>
      </w:pPr>
      <w:r w:rsidRPr="009B4D15">
        <w:t>However there is nothing stopping a planner cancelling the client</w:t>
      </w:r>
      <w:r w:rsidR="001C3CC9">
        <w:t>’</w:t>
      </w:r>
      <w:r w:rsidRPr="009B4D15">
        <w:t xml:space="preserve">s insurance in the FLS and submitting a new insurance application within the FS, however this would be fully underwritten but the planner would receive 100% commission. </w:t>
      </w:r>
    </w:p>
    <w:p w:rsidR="00854490" w:rsidRDefault="00854490" w:rsidP="00854659">
      <w:pPr>
        <w:pStyle w:val="Quote3"/>
        <w:ind w:left="1440"/>
      </w:pPr>
      <w:r w:rsidRPr="0091261D">
        <w:rPr>
          <w:b/>
        </w:rPr>
        <w:t>He commented that this seems to be a common scenario and one that he has questioned</w:t>
      </w:r>
      <w:r w:rsidR="001C3CC9">
        <w:t xml:space="preserve"> –</w:t>
      </w:r>
      <w:r w:rsidRPr="009B4D15">
        <w:t xml:space="preserve"> </w:t>
      </w:r>
      <w:r w:rsidR="001C3CC9">
        <w:t>i</w:t>
      </w:r>
      <w:r w:rsidRPr="009B4D15">
        <w:t xml:space="preserve">.e. why cancel the existing insurance &amp; underwrite if a straight transfer would avoid the underwriting. However the product team have confirmed that a planner is able to do this as long as the client is </w:t>
      </w:r>
      <w:r w:rsidR="0091261D">
        <w:t>happy to be underwritten again.</w:t>
      </w:r>
    </w:p>
    <w:p w:rsidR="0091261D" w:rsidRPr="0091261D" w:rsidRDefault="0091261D" w:rsidP="00854659">
      <w:pPr>
        <w:pStyle w:val="Quote3"/>
        <w:ind w:left="1440"/>
      </w:pPr>
      <w:r w:rsidRPr="0091261D">
        <w:t>(emphasis added)</w:t>
      </w:r>
    </w:p>
    <w:p w:rsidR="00854490" w:rsidRDefault="003B3C7B" w:rsidP="003B3C7B">
      <w:pPr>
        <w:pStyle w:val="ListNo1"/>
        <w:numPr>
          <w:ilvl w:val="0"/>
          <w:numId w:val="0"/>
        </w:numPr>
        <w:tabs>
          <w:tab w:val="left" w:pos="720"/>
        </w:tabs>
        <w:ind w:left="720" w:hanging="720"/>
      </w:pPr>
      <w:r>
        <w:t>(4)</w:t>
      </w:r>
      <w:r>
        <w:tab/>
      </w:r>
      <w:r w:rsidR="00854490" w:rsidRPr="00B4177A">
        <w:t>On 13 March 2013, Ms Gregory sent an email to those undertaking the fraud investigation recounting her call wi</w:t>
      </w:r>
      <w:r w:rsidR="004A4230">
        <w:t xml:space="preserve">th Mr </w:t>
      </w:r>
      <w:proofErr w:type="spellStart"/>
      <w:r w:rsidR="004A4230">
        <w:t>Traynor</w:t>
      </w:r>
      <w:proofErr w:type="spellEnd"/>
      <w:r w:rsidR="004A4230">
        <w:t xml:space="preserve"> and noting there “</w:t>
      </w:r>
      <w:r w:rsidR="00854490" w:rsidRPr="00B4177A">
        <w:t>is a motivator for a planner to do the cancellation” but subsequen</w:t>
      </w:r>
      <w:r w:rsidR="00F24CAA">
        <w:t>tly the fraud investigation was completed with a finding</w:t>
      </w:r>
      <w:r w:rsidR="00854490" w:rsidRPr="00B4177A">
        <w:t xml:space="preserve"> that no element of fraud had been identified: but a further review by the Planner Supervision team was recommended</w:t>
      </w:r>
      <w:r w:rsidR="0091261D">
        <w:t>,</w:t>
      </w:r>
      <w:r w:rsidR="00854490" w:rsidRPr="00B4177A">
        <w:t xml:space="preserve"> which was then conducted </w:t>
      </w:r>
      <w:r w:rsidR="00854490" w:rsidRPr="00B4177A">
        <w:lastRenderedPageBreak/>
        <w:t>by Ms Gregory who sp</w:t>
      </w:r>
      <w:r w:rsidR="004A4230">
        <w:t>oke to Mr Murray Fogarty (AMPFP’s Head of Financial Planning</w:t>
      </w:r>
      <w:r w:rsidR="00854490" w:rsidRPr="00B4177A">
        <w:t>), up</w:t>
      </w:r>
      <w:r w:rsidR="008F2A72">
        <w:t>dating him on the investigation.</w:t>
      </w:r>
    </w:p>
    <w:p w:rsidR="00854490" w:rsidRDefault="003B3C7B" w:rsidP="003B3C7B">
      <w:pPr>
        <w:pStyle w:val="ListNo1"/>
        <w:numPr>
          <w:ilvl w:val="0"/>
          <w:numId w:val="0"/>
        </w:numPr>
        <w:tabs>
          <w:tab w:val="left" w:pos="720"/>
        </w:tabs>
        <w:ind w:left="720" w:hanging="720"/>
      </w:pPr>
      <w:r>
        <w:t>(5)</w:t>
      </w:r>
      <w:r>
        <w:tab/>
      </w:r>
      <w:r w:rsidR="00854490" w:rsidRPr="00B4177A">
        <w:t xml:space="preserve">During the same period, </w:t>
      </w:r>
      <w:r w:rsidR="00A956F3">
        <w:t>Pangan</w:t>
      </w:r>
      <w:r w:rsidR="00854490" w:rsidRPr="00B4177A">
        <w:t>iba</w:t>
      </w:r>
      <w:r w:rsidR="00B55D8A">
        <w:t>n was audited as “part of AMPFP’</w:t>
      </w:r>
      <w:r w:rsidR="00854490" w:rsidRPr="00B4177A">
        <w:t>s regular program[me] of conducting audits of its Authorised Representatives</w:t>
      </w:r>
      <w:r w:rsidR="00F871B3" w:rsidRPr="00B4177A">
        <w:t>”; and</w:t>
      </w:r>
      <w:r w:rsidR="00854490" w:rsidRPr="00B4177A">
        <w:t xml:space="preserve"> he was given</w:t>
      </w:r>
      <w:r w:rsidR="007D4842">
        <w:t xml:space="preserve"> – remarkable as it seems –</w:t>
      </w:r>
      <w:r w:rsidR="00854490" w:rsidRPr="00B4177A">
        <w:t xml:space="preserve"> “a green 4” rating (the </w:t>
      </w:r>
      <w:r w:rsidR="008F2A72">
        <w:t>second highest rating possible).</w:t>
      </w:r>
    </w:p>
    <w:p w:rsidR="00854490" w:rsidRDefault="003B3C7B" w:rsidP="003B3C7B">
      <w:pPr>
        <w:pStyle w:val="ListNo1"/>
        <w:numPr>
          <w:ilvl w:val="0"/>
          <w:numId w:val="0"/>
        </w:numPr>
        <w:tabs>
          <w:tab w:val="left" w:pos="720"/>
        </w:tabs>
        <w:ind w:left="720" w:hanging="720"/>
      </w:pPr>
      <w:r>
        <w:t>(6)</w:t>
      </w:r>
      <w:r>
        <w:tab/>
      </w:r>
      <w:r w:rsidR="00854490">
        <w:t>By mid-June 2013</w:t>
      </w:r>
      <w:r w:rsidR="00854490" w:rsidRPr="00B4177A">
        <w:t xml:space="preserve">, Ms Gregory </w:t>
      </w:r>
      <w:r w:rsidR="00854490">
        <w:t>had informed Mr</w:t>
      </w:r>
      <w:r w:rsidR="00854490" w:rsidRPr="00B4177A">
        <w:t xml:space="preserve"> Peter Bennett (Enterprise Risk Manager, AMP Advice)</w:t>
      </w:r>
      <w:r w:rsidR="00854490">
        <w:t xml:space="preserve"> that</w:t>
      </w:r>
      <w:r w:rsidR="00F948D8">
        <w:t>:</w:t>
      </w:r>
      <w:r w:rsidR="00FF2098">
        <w:t xml:space="preserve"> (a)</w:t>
      </w:r>
      <w:r w:rsidR="00854490">
        <w:t xml:space="preserve"> </w:t>
      </w:r>
      <w:r w:rsidR="00854490" w:rsidRPr="002F7434">
        <w:t xml:space="preserve">“[w]e seem to be encouraging this behaviour with our current commission model i.e. 100% on commencement of a new plan but 0% on an internal insurance transfer”; </w:t>
      </w:r>
      <w:r w:rsidR="00FF2098">
        <w:t>(b) her</w:t>
      </w:r>
      <w:r w:rsidR="00854490" w:rsidRPr="002F7434">
        <w:t xml:space="preserve"> inquiries to date confirmed “</w:t>
      </w:r>
      <w:r w:rsidR="00FF2098">
        <w:t xml:space="preserve">that this is acceptable” and she </w:t>
      </w:r>
      <w:r w:rsidR="00854490" w:rsidRPr="002F7434">
        <w:t xml:space="preserve">had not been able to provide a policy “which outlines that this is not acceptable”; </w:t>
      </w:r>
      <w:r w:rsidR="00FF2098">
        <w:t xml:space="preserve">(c) she had been told by </w:t>
      </w:r>
      <w:r w:rsidR="00854490" w:rsidRPr="002F7434">
        <w:t>New Business</w:t>
      </w:r>
      <w:r w:rsidR="00FF2098">
        <w:t xml:space="preserve"> “</w:t>
      </w:r>
      <w:r w:rsidR="00854490" w:rsidRPr="002F7434">
        <w:t>that this practice is wide spread”;</w:t>
      </w:r>
      <w:r w:rsidR="00F40047">
        <w:t xml:space="preserve"> </w:t>
      </w:r>
      <w:r w:rsidR="00FF2098">
        <w:t>and</w:t>
      </w:r>
      <w:r w:rsidR="008F2A72">
        <w:t xml:space="preserve"> she</w:t>
      </w:r>
      <w:r w:rsidR="00854490" w:rsidRPr="002F7434">
        <w:t xml:space="preserve"> sought Mr Bennett’s opinion “on whether this should be raised</w:t>
      </w:r>
      <w:r w:rsidR="0091261D">
        <w:t xml:space="preserve"> further as a licensee incident”</w:t>
      </w:r>
      <w:r w:rsidR="008F2A72">
        <w:t>.</w:t>
      </w:r>
    </w:p>
    <w:p w:rsidR="00854490" w:rsidRDefault="003B3C7B" w:rsidP="003B3C7B">
      <w:pPr>
        <w:pStyle w:val="ListNo1"/>
        <w:numPr>
          <w:ilvl w:val="0"/>
          <w:numId w:val="0"/>
        </w:numPr>
        <w:tabs>
          <w:tab w:val="left" w:pos="720"/>
        </w:tabs>
        <w:ind w:left="720" w:hanging="720"/>
      </w:pPr>
      <w:r>
        <w:t>(7)</w:t>
      </w:r>
      <w:r>
        <w:tab/>
      </w:r>
      <w:r w:rsidR="00854490" w:rsidRPr="005271E5">
        <w:t xml:space="preserve">Ms Gregory, who had </w:t>
      </w:r>
      <w:r w:rsidR="00166656">
        <w:t xml:space="preserve">at least </w:t>
      </w:r>
      <w:r w:rsidR="00854490" w:rsidRPr="005271E5">
        <w:t xml:space="preserve">shown </w:t>
      </w:r>
      <w:r w:rsidR="00854659">
        <w:t xml:space="preserve">some degree of </w:t>
      </w:r>
      <w:r w:rsidR="00854490" w:rsidRPr="005271E5">
        <w:t xml:space="preserve">diligence, was </w:t>
      </w:r>
      <w:r w:rsidR="00F24CAA">
        <w:t xml:space="preserve">then </w:t>
      </w:r>
      <w:r w:rsidR="00854490" w:rsidRPr="005271E5">
        <w:t>moved to a different role within AMP but</w:t>
      </w:r>
      <w:r w:rsidR="00052B9C">
        <w:t>,</w:t>
      </w:r>
      <w:r w:rsidR="00854490" w:rsidRPr="005271E5">
        <w:t xml:space="preserve"> </w:t>
      </w:r>
      <w:r w:rsidR="00854490">
        <w:t>o</w:t>
      </w:r>
      <w:r w:rsidR="00854490" w:rsidRPr="005271E5">
        <w:t xml:space="preserve">n 19 June 2013, Mr Bennett forwarded the </w:t>
      </w:r>
      <w:r w:rsidR="00854490">
        <w:t>communications from her</w:t>
      </w:r>
      <w:r w:rsidR="00854490" w:rsidRPr="005271E5">
        <w:t xml:space="preserve"> to Ms Robyn West (Manager Policy, Profes</w:t>
      </w:r>
      <w:r w:rsidR="00854490">
        <w:t xml:space="preserve">sional Standards and Strategy) noting </w:t>
      </w:r>
      <w:r w:rsidR="00854490" w:rsidRPr="005271E5">
        <w:t>Mr Bennett</w:t>
      </w:r>
      <w:r w:rsidR="00854490">
        <w:t>’s concern as to “churning” and then, following a number of emails and discu</w:t>
      </w:r>
      <w:r w:rsidR="00E74442">
        <w:t>ssions, nothing really happened</w:t>
      </w:r>
      <w:r w:rsidR="00854490">
        <w:t xml:space="preserve"> (notwithstanding </w:t>
      </w:r>
      <w:r w:rsidR="00A956F3">
        <w:t>Pangan</w:t>
      </w:r>
      <w:r w:rsidR="00F24CAA">
        <w:t>iban</w:t>
      </w:r>
      <w:r w:rsidR="008F2A72">
        <w:t xml:space="preserve"> was continuing his activities).</w:t>
      </w:r>
    </w:p>
    <w:p w:rsidR="00985F86" w:rsidRDefault="003B3C7B" w:rsidP="003B3C7B">
      <w:pPr>
        <w:pStyle w:val="ListNo1"/>
        <w:numPr>
          <w:ilvl w:val="0"/>
          <w:numId w:val="0"/>
        </w:numPr>
        <w:tabs>
          <w:tab w:val="left" w:pos="720"/>
        </w:tabs>
        <w:ind w:left="720" w:hanging="720"/>
      </w:pPr>
      <w:r>
        <w:t>(8)</w:t>
      </w:r>
      <w:r>
        <w:tab/>
      </w:r>
      <w:r w:rsidR="007D4842">
        <w:t>Then, in October 2013,</w:t>
      </w:r>
      <w:r w:rsidR="00002283">
        <w:t xml:space="preserve"> </w:t>
      </w:r>
      <w:r w:rsidR="00985F86" w:rsidRPr="00985F86">
        <w:t xml:space="preserve">Mr Buckler (who </w:t>
      </w:r>
      <w:r w:rsidR="00002283">
        <w:t xml:space="preserve">it will be recalled </w:t>
      </w:r>
      <w:r w:rsidR="00985F86" w:rsidRPr="00985F86">
        <w:t xml:space="preserve">had been raising his concerns about Panganiban since February that year) </w:t>
      </w:r>
      <w:r w:rsidR="00A4446D">
        <w:t>emailed</w:t>
      </w:r>
      <w:r w:rsidR="00985F86" w:rsidRPr="00985F86">
        <w:t xml:space="preserve"> Mr David Pearson (Head of New Business &amp; Underwriting) </w:t>
      </w:r>
      <w:r w:rsidR="007D4842">
        <w:t xml:space="preserve">noting </w:t>
      </w:r>
      <w:r w:rsidR="00985F86" w:rsidRPr="00985F86">
        <w:t>that he had an issue with Panganiban “always cancel[ling] existing insurance before he applies for new insurance” a</w:t>
      </w:r>
      <w:r w:rsidR="00002283">
        <w:t>nd getting paid 100% commission; h</w:t>
      </w:r>
      <w:r w:rsidR="00985F86" w:rsidRPr="00985F86">
        <w:t>e repeated these concerns to other higher-ups at AMPFP</w:t>
      </w:r>
      <w:r w:rsidR="00C7177F">
        <w:t xml:space="preserve"> (including Ms Natalie </w:t>
      </w:r>
      <w:proofErr w:type="spellStart"/>
      <w:r w:rsidR="00C7177F">
        <w:t>Gatley</w:t>
      </w:r>
      <w:proofErr w:type="spellEnd"/>
      <w:r w:rsidR="00C7177F">
        <w:t>, Manager Retail Risk Product Operations)</w:t>
      </w:r>
      <w:r w:rsidR="00985F86" w:rsidRPr="00985F86">
        <w:t xml:space="preserve"> later in</w:t>
      </w:r>
      <w:r w:rsidR="00853CB3">
        <w:t xml:space="preserve"> the month</w:t>
      </w:r>
      <w:r w:rsidR="00A4446D">
        <w:t>,</w:t>
      </w:r>
      <w:r w:rsidR="00853CB3">
        <w:t xml:space="preserve"> and in November 2013; i</w:t>
      </w:r>
      <w:r w:rsidR="00853CB3" w:rsidRPr="00853CB3">
        <w:t xml:space="preserve">n one such email, he extracted an </w:t>
      </w:r>
      <w:r w:rsidR="00853CB3">
        <w:t xml:space="preserve">earlier </w:t>
      </w:r>
      <w:r w:rsidR="00853CB3" w:rsidRPr="00853CB3">
        <w:t xml:space="preserve">email he had received from Mr </w:t>
      </w:r>
      <w:proofErr w:type="spellStart"/>
      <w:r w:rsidR="00853CB3" w:rsidRPr="00853CB3">
        <w:t>Traynor</w:t>
      </w:r>
      <w:proofErr w:type="spellEnd"/>
      <w:r w:rsidR="00853CB3" w:rsidRPr="00853CB3">
        <w:t xml:space="preserve"> </w:t>
      </w:r>
      <w:r w:rsidR="00853CB3" w:rsidRPr="002A5DB9">
        <w:rPr>
          <w:i/>
        </w:rPr>
        <w:t>as early as late 2012</w:t>
      </w:r>
      <w:r w:rsidR="00853CB3" w:rsidRPr="00853CB3">
        <w:t xml:space="preserve"> alerting him to Panganiban’s behaviour, which conta</w:t>
      </w:r>
      <w:r w:rsidR="00853CB3">
        <w:t xml:space="preserve">ined </w:t>
      </w:r>
      <w:r w:rsidR="00942415">
        <w:t>the following statement “[t]</w:t>
      </w:r>
      <w:r w:rsidR="00853CB3" w:rsidRPr="00853CB3">
        <w:t>hey should NOT be allowed to do this as it is not right by the client BUT as per below u</w:t>
      </w:r>
      <w:r w:rsidR="00853CB3">
        <w:t>nfortunately nothing we can do”</w:t>
      </w:r>
      <w:r w:rsidR="00002283">
        <w:t>; o</w:t>
      </w:r>
      <w:r w:rsidR="00985F86" w:rsidRPr="00985F86">
        <w:t>ne of the higher-ups responded by requesting the name of the advisor and further information, both which Mr Buckler provided</w:t>
      </w:r>
      <w:r w:rsidR="00853CB3">
        <w:t>,</w:t>
      </w:r>
      <w:r w:rsidR="00002283" w:rsidRPr="00002283">
        <w:t xml:space="preserve"> </w:t>
      </w:r>
      <w:r w:rsidR="00002283">
        <w:t>but t</w:t>
      </w:r>
      <w:r w:rsidR="00002283" w:rsidRPr="00985F86">
        <w:t>here</w:t>
      </w:r>
      <w:r w:rsidR="00002283">
        <w:t xml:space="preserve"> is no evide</w:t>
      </w:r>
      <w:r w:rsidR="008F2A72">
        <w:t xml:space="preserve">nce of any substantive </w:t>
      </w:r>
      <w:r w:rsidR="00A4446D">
        <w:t xml:space="preserve">or prompt </w:t>
      </w:r>
      <w:r w:rsidR="008F2A72">
        <w:t>response.</w:t>
      </w:r>
    </w:p>
    <w:p w:rsidR="00985F86" w:rsidRPr="00985F86" w:rsidRDefault="003B3C7B" w:rsidP="003B3C7B">
      <w:pPr>
        <w:pStyle w:val="ListNo1"/>
        <w:numPr>
          <w:ilvl w:val="0"/>
          <w:numId w:val="0"/>
        </w:numPr>
        <w:tabs>
          <w:tab w:val="left" w:pos="720"/>
        </w:tabs>
        <w:ind w:left="720" w:hanging="720"/>
      </w:pPr>
      <w:r w:rsidRPr="00985F86">
        <w:lastRenderedPageBreak/>
        <w:t>(9)</w:t>
      </w:r>
      <w:r w:rsidRPr="00985F86">
        <w:tab/>
      </w:r>
      <w:r w:rsidR="00985F86" w:rsidRPr="00985F86">
        <w:t xml:space="preserve">Fast forwarding to mid-June 2014, concerns were again raised about Panganiban; notwithstanding this, </w:t>
      </w:r>
      <w:r w:rsidR="00DF3C35">
        <w:t>bizarrely</w:t>
      </w:r>
      <w:r w:rsidR="00985F86" w:rsidRPr="00985F86">
        <w:t>, in August 2014, the regularly-scheduled audit of Panganiban gave him</w:t>
      </w:r>
      <w:r w:rsidR="00942415">
        <w:t xml:space="preserve"> a “B”</w:t>
      </w:r>
      <w:r w:rsidR="00985F86" w:rsidRPr="00985F86">
        <w:t xml:space="preserve"> rating (the second highest of the five possible). One might interrupt the narrative to remark that the mind boggles to envisage what </w:t>
      </w:r>
      <w:r w:rsidR="008F2A72">
        <w:t>one needed to do to get an “E”.</w:t>
      </w:r>
    </w:p>
    <w:p w:rsidR="00A05850" w:rsidRDefault="003B3C7B" w:rsidP="003B3C7B">
      <w:pPr>
        <w:pStyle w:val="ListNo1"/>
        <w:numPr>
          <w:ilvl w:val="0"/>
          <w:numId w:val="0"/>
        </w:numPr>
        <w:tabs>
          <w:tab w:val="left" w:pos="720"/>
        </w:tabs>
        <w:ind w:left="720" w:hanging="720"/>
      </w:pPr>
      <w:r>
        <w:t>(10)</w:t>
      </w:r>
      <w:r>
        <w:tab/>
      </w:r>
      <w:r w:rsidR="00B30A26">
        <w:t xml:space="preserve">Eventually, </w:t>
      </w:r>
      <w:r w:rsidR="00854490">
        <w:t xml:space="preserve">Mr </w:t>
      </w:r>
      <w:r w:rsidR="00854490" w:rsidRPr="00AD3D0B">
        <w:t xml:space="preserve">James </w:t>
      </w:r>
      <w:proofErr w:type="spellStart"/>
      <w:r w:rsidR="00854490" w:rsidRPr="00AD3D0B">
        <w:t>Coroneos</w:t>
      </w:r>
      <w:proofErr w:type="spellEnd"/>
      <w:r w:rsidR="00854490" w:rsidRPr="00AD3D0B">
        <w:t>,</w:t>
      </w:r>
      <w:r w:rsidR="00BF013C">
        <w:t xml:space="preserve"> an “Advice Governance Manager”, </w:t>
      </w:r>
      <w:r w:rsidR="00854490" w:rsidRPr="00AD3D0B">
        <w:t xml:space="preserve">became involved </w:t>
      </w:r>
      <w:r w:rsidR="00382F40">
        <w:t>in the investigation</w:t>
      </w:r>
      <w:r w:rsidR="00810D52">
        <w:t>,</w:t>
      </w:r>
      <w:r w:rsidR="00382F40">
        <w:t xml:space="preserve"> </w:t>
      </w:r>
      <w:r w:rsidR="000077A4">
        <w:t>and</w:t>
      </w:r>
      <w:r w:rsidR="00854490" w:rsidRPr="00AD3D0B">
        <w:t xml:space="preserve"> </w:t>
      </w:r>
      <w:r w:rsidR="00E30A3F">
        <w:t>o</w:t>
      </w:r>
      <w:r w:rsidR="00B55D8A">
        <w:t>n 12 September 2014</w:t>
      </w:r>
      <w:r w:rsidR="00A05850">
        <w:t xml:space="preserve"> </w:t>
      </w:r>
      <w:r w:rsidR="00E30A3F">
        <w:t>he</w:t>
      </w:r>
      <w:r w:rsidR="00B30A26" w:rsidRPr="00B30A26">
        <w:t xml:space="preserve"> </w:t>
      </w:r>
      <w:r w:rsidR="00B30A26">
        <w:t xml:space="preserve">met with Mr Sam </w:t>
      </w:r>
      <w:proofErr w:type="spellStart"/>
      <w:r w:rsidR="00B30A26">
        <w:t>Nad</w:t>
      </w:r>
      <w:r w:rsidR="007744A3">
        <w:t>d</w:t>
      </w:r>
      <w:r w:rsidR="00B30A26">
        <w:t>a</w:t>
      </w:r>
      <w:r w:rsidR="007744A3">
        <w:t>f</w:t>
      </w:r>
      <w:proofErr w:type="spellEnd"/>
      <w:r w:rsidR="00B30A26">
        <w:t xml:space="preserve">, the principal of Panganiban’s employer, and Panganiban (together with </w:t>
      </w:r>
      <w:r w:rsidR="00E30A3F">
        <w:t xml:space="preserve">Mr </w:t>
      </w:r>
      <w:r w:rsidR="00A05850">
        <w:t xml:space="preserve">Fogarty and Ms </w:t>
      </w:r>
      <w:proofErr w:type="spellStart"/>
      <w:r w:rsidR="000077A4">
        <w:t>Anjum</w:t>
      </w:r>
      <w:proofErr w:type="spellEnd"/>
      <w:r w:rsidR="000077A4">
        <w:t xml:space="preserve"> </w:t>
      </w:r>
      <w:r w:rsidR="00A05850">
        <w:t>Singh</w:t>
      </w:r>
      <w:r w:rsidR="00B30A26">
        <w:t>, a “</w:t>
      </w:r>
      <w:r w:rsidR="00E30A3F">
        <w:t>Business Partnership Manager</w:t>
      </w:r>
      <w:r w:rsidR="00B30A26">
        <w:t>”); a</w:t>
      </w:r>
      <w:r w:rsidR="00454D7B">
        <w:t xml:space="preserve"> file note recorded Panganiban’s attempts to justify his conduct, his fears about losing his job and </w:t>
      </w:r>
      <w:r w:rsidR="00A4446D">
        <w:t>how this would</w:t>
      </w:r>
      <w:r w:rsidR="00454D7B">
        <w:t xml:space="preserve"> impact </w:t>
      </w:r>
      <w:r w:rsidR="00A4446D">
        <w:t>up</w:t>
      </w:r>
      <w:r w:rsidR="00454D7B">
        <w:t>on his family</w:t>
      </w:r>
      <w:r w:rsidR="00A4446D">
        <w:t xml:space="preserve">; in the course of discussions, </w:t>
      </w:r>
      <w:r w:rsidR="00810D52">
        <w:t>on at least two occasions</w:t>
      </w:r>
      <w:r w:rsidR="00DF3C35">
        <w:t>,</w:t>
      </w:r>
      <w:r w:rsidR="00810D52">
        <w:t xml:space="preserve"> </w:t>
      </w:r>
      <w:r w:rsidR="00A4446D">
        <w:t>Panganiban</w:t>
      </w:r>
      <w:r w:rsidR="00DF3C35">
        <w:t xml:space="preserve"> showed sufficient </w:t>
      </w:r>
      <w:r w:rsidR="00DF751B">
        <w:t>self-awareness</w:t>
      </w:r>
      <w:r w:rsidR="00B30A26">
        <w:t xml:space="preserve"> </w:t>
      </w:r>
      <w:r w:rsidR="00DF3C35">
        <w:t xml:space="preserve">to admit </w:t>
      </w:r>
      <w:r w:rsidR="00B30A26">
        <w:t>that</w:t>
      </w:r>
      <w:r w:rsidR="00454D7B">
        <w:t xml:space="preserve"> “stupidity and greed” </w:t>
      </w:r>
      <w:r w:rsidR="00B30A26">
        <w:t>w</w:t>
      </w:r>
      <w:r w:rsidR="00454D7B">
        <w:t xml:space="preserve">as </w:t>
      </w:r>
      <w:r w:rsidR="00B30A26">
        <w:t>an a</w:t>
      </w:r>
      <w:r w:rsidR="00DF3C35">
        <w:t>pt description</w:t>
      </w:r>
      <w:r w:rsidR="00A4446D">
        <w:t xml:space="preserve"> of his behaviour.</w:t>
      </w:r>
      <w:r w:rsidR="00DA5C9A">
        <w:t xml:space="preserve"> </w:t>
      </w:r>
    </w:p>
    <w:p w:rsidR="000077A4" w:rsidRDefault="003B3C7B" w:rsidP="003B3C7B">
      <w:pPr>
        <w:pStyle w:val="ListNo1"/>
        <w:numPr>
          <w:ilvl w:val="0"/>
          <w:numId w:val="0"/>
        </w:numPr>
        <w:tabs>
          <w:tab w:val="left" w:pos="720"/>
        </w:tabs>
        <w:ind w:left="720" w:hanging="720"/>
      </w:pPr>
      <w:r>
        <w:t>(11)</w:t>
      </w:r>
      <w:r>
        <w:tab/>
      </w:r>
      <w:r w:rsidR="000077A4">
        <w:t xml:space="preserve">Finally, </w:t>
      </w:r>
      <w:r w:rsidR="00DF3C35">
        <w:t xml:space="preserve">well after two-and-a-half years after Mr </w:t>
      </w:r>
      <w:proofErr w:type="spellStart"/>
      <w:r w:rsidR="00DF3C35">
        <w:t>Traynor</w:t>
      </w:r>
      <w:proofErr w:type="spellEnd"/>
      <w:r w:rsidR="00DF3C35">
        <w:t xml:space="preserve"> first remarked the conduct of Panganiban was contrary to the interests of clients and ought not to be tolerated, </w:t>
      </w:r>
      <w:r w:rsidR="000077A4">
        <w:t xml:space="preserve">on 15 September 2014, Panganiban’s </w:t>
      </w:r>
      <w:r w:rsidR="000077A4" w:rsidRPr="00AD3D0B">
        <w:t>Authorised Representative status was</w:t>
      </w:r>
      <w:r w:rsidR="00382F40">
        <w:t xml:space="preserve"> formally</w:t>
      </w:r>
      <w:r w:rsidR="000077A4" w:rsidRPr="00AD3D0B">
        <w:t xml:space="preserve"> revoked by AMPFP</w:t>
      </w:r>
      <w:r w:rsidR="000077A4">
        <w:t>.</w:t>
      </w:r>
    </w:p>
    <w:p w:rsidR="0091261D" w:rsidRDefault="003B3C7B" w:rsidP="003B3C7B">
      <w:pPr>
        <w:pStyle w:val="ParaNumbering"/>
        <w:numPr>
          <w:ilvl w:val="0"/>
          <w:numId w:val="0"/>
        </w:numPr>
        <w:tabs>
          <w:tab w:val="left" w:pos="720"/>
        </w:tabs>
        <w:ind w:hanging="720"/>
      </w:pPr>
      <w:r>
        <w:rPr>
          <w:sz w:val="20"/>
        </w:rPr>
        <w:t>8</w:t>
      </w:r>
      <w:r>
        <w:rPr>
          <w:sz w:val="20"/>
        </w:rPr>
        <w:tab/>
      </w:r>
      <w:r w:rsidR="00854490">
        <w:t xml:space="preserve">Enter the </w:t>
      </w:r>
      <w:bookmarkStart w:id="18" w:name="_Ref10547496"/>
      <w:r w:rsidR="00854490">
        <w:t>“</w:t>
      </w:r>
      <w:r w:rsidR="00362AD5">
        <w:t xml:space="preserve">Issues Panel”. </w:t>
      </w:r>
      <w:r w:rsidR="00854490" w:rsidRPr="00AD3D0B">
        <w:t xml:space="preserve">This Panel was made up of </w:t>
      </w:r>
      <w:r w:rsidR="00854490">
        <w:t>what were described by the parties as “</w:t>
      </w:r>
      <w:r w:rsidR="00854490" w:rsidRPr="00AD3D0B">
        <w:t>a number of key voting stakeholders</w:t>
      </w:r>
      <w:r w:rsidR="00854490">
        <w:t>”</w:t>
      </w:r>
      <w:r w:rsidR="00854490" w:rsidRPr="00AD3D0B">
        <w:t xml:space="preserve"> </w:t>
      </w:r>
      <w:r w:rsidR="0091261D">
        <w:t xml:space="preserve">(sic) </w:t>
      </w:r>
      <w:r w:rsidR="00854490" w:rsidRPr="00AD3D0B">
        <w:t>includ</w:t>
      </w:r>
      <w:r w:rsidR="00854490">
        <w:t xml:space="preserve">ing, among others, </w:t>
      </w:r>
      <w:r w:rsidR="00854490" w:rsidRPr="00AD3D0B">
        <w:t>the Head of Advice Compliance;</w:t>
      </w:r>
      <w:r w:rsidR="00854490">
        <w:t xml:space="preserve"> </w:t>
      </w:r>
      <w:r w:rsidR="00854490" w:rsidRPr="00AD3D0B">
        <w:t>the Director, Client Solutions and Advice Services;</w:t>
      </w:r>
      <w:r w:rsidR="00854490">
        <w:t xml:space="preserve"> and </w:t>
      </w:r>
      <w:r w:rsidR="00854490" w:rsidRPr="00AD3D0B">
        <w:t>the National Manager Advice Governance</w:t>
      </w:r>
      <w:r w:rsidR="00F40047">
        <w:t xml:space="preserve">. </w:t>
      </w:r>
      <w:r w:rsidR="00854490">
        <w:t>It also had “</w:t>
      </w:r>
      <w:r w:rsidR="00854490" w:rsidRPr="00AD3D0B">
        <w:t>non-voting Business Advisory members</w:t>
      </w:r>
      <w:r w:rsidR="00854490">
        <w:t xml:space="preserve">” </w:t>
      </w:r>
      <w:r w:rsidR="00854490" w:rsidRPr="00AD3D0B">
        <w:t>that included</w:t>
      </w:r>
      <w:r w:rsidR="00854490">
        <w:t xml:space="preserve"> the </w:t>
      </w:r>
      <w:r w:rsidR="00A4446D">
        <w:t>“</w:t>
      </w:r>
      <w:r w:rsidR="00854490">
        <w:t>Head of Legal</w:t>
      </w:r>
      <w:r w:rsidR="00A4446D">
        <w:t>”</w:t>
      </w:r>
      <w:r w:rsidR="00854490" w:rsidRPr="00AD3D0B">
        <w:t>.</w:t>
      </w:r>
      <w:r w:rsidR="00854490">
        <w:t xml:space="preserve"> </w:t>
      </w:r>
    </w:p>
    <w:bookmarkEnd w:id="18"/>
    <w:p w:rsidR="00854659" w:rsidRPr="00C902A2" w:rsidRDefault="003B3C7B" w:rsidP="003B3C7B">
      <w:pPr>
        <w:pStyle w:val="ParaNumbering"/>
        <w:numPr>
          <w:ilvl w:val="0"/>
          <w:numId w:val="0"/>
        </w:numPr>
        <w:tabs>
          <w:tab w:val="left" w:pos="720"/>
        </w:tabs>
        <w:ind w:hanging="720"/>
      </w:pPr>
      <w:r w:rsidRPr="00C902A2">
        <w:rPr>
          <w:sz w:val="20"/>
        </w:rPr>
        <w:t>9</w:t>
      </w:r>
      <w:r w:rsidRPr="00C902A2">
        <w:rPr>
          <w:sz w:val="20"/>
        </w:rPr>
        <w:tab/>
      </w:r>
      <w:r w:rsidR="00854659" w:rsidRPr="00CB01DD">
        <w:t xml:space="preserve">On 30 September 2014, a </w:t>
      </w:r>
      <w:r w:rsidR="0091261D">
        <w:t>“</w:t>
      </w:r>
      <w:r w:rsidR="00854659" w:rsidRPr="00CB01DD">
        <w:t>Special Issues Panel Meeting</w:t>
      </w:r>
      <w:r w:rsidR="0091261D">
        <w:t>”</w:t>
      </w:r>
      <w:r w:rsidR="00854659" w:rsidRPr="00CB01DD">
        <w:t xml:space="preserve"> was </w:t>
      </w:r>
      <w:r w:rsidR="00BF013C">
        <w:t>convened</w:t>
      </w:r>
      <w:r w:rsidR="00854659" w:rsidRPr="00CB01DD">
        <w:t xml:space="preserve"> for the purpose of considering issues arising from </w:t>
      </w:r>
      <w:r w:rsidR="00A956F3">
        <w:t>Pangan</w:t>
      </w:r>
      <w:r w:rsidR="00BF013C">
        <w:t xml:space="preserve">iban’s conduct. </w:t>
      </w:r>
      <w:r w:rsidR="00187C31">
        <w:t xml:space="preserve">The attendees were: </w:t>
      </w:r>
      <w:r w:rsidR="00BF013C">
        <w:t>Ms Ann Turner (Head of Advice and Bank Legal</w:t>
      </w:r>
      <w:r w:rsidR="00187C31">
        <w:t xml:space="preserve"> </w:t>
      </w:r>
      <w:r w:rsidR="00187C31" w:rsidRPr="00D90851">
        <w:t>–</w:t>
      </w:r>
      <w:r w:rsidR="00187C31">
        <w:t xml:space="preserve"> </w:t>
      </w:r>
      <w:r w:rsidR="000704B8">
        <w:t>an obscure title</w:t>
      </w:r>
      <w:r w:rsidR="00187C31">
        <w:t>,</w:t>
      </w:r>
      <w:r w:rsidR="000704B8">
        <w:t xml:space="preserve"> but I assume it refers to AMPFP’s most senior in-house solicitor</w:t>
      </w:r>
      <w:r w:rsidR="00BF013C">
        <w:t>)</w:t>
      </w:r>
      <w:r w:rsidR="00854659" w:rsidRPr="00CB01DD">
        <w:t xml:space="preserve">, </w:t>
      </w:r>
      <w:r w:rsidR="00BF013C" w:rsidRPr="005F2289">
        <w:rPr>
          <w:rFonts w:cs="Arial"/>
          <w:color w:val="000000" w:themeColor="text1"/>
        </w:rPr>
        <w:t xml:space="preserve">Ms </w:t>
      </w:r>
      <w:r w:rsidR="00BF013C" w:rsidRPr="005F2289">
        <w:t xml:space="preserve">Claudia </w:t>
      </w:r>
      <w:proofErr w:type="spellStart"/>
      <w:r w:rsidR="00BF013C" w:rsidRPr="005F2289">
        <w:t>Firmansjah</w:t>
      </w:r>
      <w:proofErr w:type="spellEnd"/>
      <w:r w:rsidR="00BF013C" w:rsidRPr="005F2289">
        <w:t xml:space="preserve"> (AMP’s National Advice Governance Manager</w:t>
      </w:r>
      <w:r w:rsidR="00402345">
        <w:t>)</w:t>
      </w:r>
      <w:r w:rsidR="00854659" w:rsidRPr="00CB01DD">
        <w:t xml:space="preserve">, </w:t>
      </w:r>
      <w:r w:rsidR="000077A4">
        <w:t>Ms </w:t>
      </w:r>
      <w:r w:rsidR="00854659" w:rsidRPr="00CB01DD">
        <w:t>Singh</w:t>
      </w:r>
      <w:r w:rsidR="00BF013C">
        <w:t xml:space="preserve"> (Business Partnership Manager)</w:t>
      </w:r>
      <w:r w:rsidR="00854659" w:rsidRPr="00CB01DD">
        <w:t xml:space="preserve">, </w:t>
      </w:r>
      <w:r w:rsidR="00BF013C">
        <w:t>Mr Chris Scott (National Manager Advisory Services and Quality Advice)</w:t>
      </w:r>
      <w:r w:rsidR="00854659" w:rsidRPr="00CB01DD">
        <w:t xml:space="preserve">, </w:t>
      </w:r>
      <w:r w:rsidR="00BF013C">
        <w:t xml:space="preserve">Mr Gerard </w:t>
      </w:r>
      <w:proofErr w:type="spellStart"/>
      <w:r w:rsidR="00BF013C">
        <w:t>Mithen</w:t>
      </w:r>
      <w:proofErr w:type="spellEnd"/>
      <w:r w:rsidR="00BF013C">
        <w:t xml:space="preserve"> (Senior Manager ERM) and Mr </w:t>
      </w:r>
      <w:proofErr w:type="spellStart"/>
      <w:r w:rsidR="00854659" w:rsidRPr="00CB01DD">
        <w:t>C</w:t>
      </w:r>
      <w:r w:rsidR="00187C31">
        <w:t>oroneos</w:t>
      </w:r>
      <w:proofErr w:type="spellEnd"/>
      <w:r w:rsidR="00F40047">
        <w:t xml:space="preserve">. </w:t>
      </w:r>
      <w:r w:rsidR="00854659" w:rsidRPr="00CB01DD">
        <w:t xml:space="preserve">The minutes of that meeting </w:t>
      </w:r>
      <w:r w:rsidR="00F839BD">
        <w:t xml:space="preserve">reveal Mr Scott noting </w:t>
      </w:r>
      <w:r w:rsidR="00C902A2">
        <w:t xml:space="preserve">there was “evidence of </w:t>
      </w:r>
      <w:r w:rsidR="00854659" w:rsidRPr="00C902A2">
        <w:t>churning within the one product</w:t>
      </w:r>
      <w:r w:rsidR="00C902A2" w:rsidRPr="00C902A2">
        <w:t xml:space="preserve">” </w:t>
      </w:r>
      <w:r w:rsidR="00C902A2">
        <w:t xml:space="preserve">with Mr </w:t>
      </w:r>
      <w:proofErr w:type="spellStart"/>
      <w:r w:rsidR="00C902A2">
        <w:t>Mithen</w:t>
      </w:r>
      <w:proofErr w:type="spellEnd"/>
      <w:r w:rsidR="00C902A2">
        <w:t xml:space="preserve"> </w:t>
      </w:r>
      <w:r w:rsidR="00F871B3">
        <w:t>asking</w:t>
      </w:r>
      <w:r w:rsidR="00671574">
        <w:t>:</w:t>
      </w:r>
      <w:r w:rsidR="00C902A2">
        <w:t xml:space="preserve"> “a</w:t>
      </w:r>
      <w:r w:rsidR="00854659" w:rsidRPr="00C902A2">
        <w:t>re we satisfied in the audit program</w:t>
      </w:r>
      <w:r w:rsidR="00C902A2" w:rsidRPr="00C902A2">
        <w:t>me”</w:t>
      </w:r>
      <w:r w:rsidR="00C70621">
        <w:t>?</w:t>
      </w:r>
      <w:r w:rsidR="00F40047">
        <w:t xml:space="preserve"> </w:t>
      </w:r>
      <w:r w:rsidR="00C902A2">
        <w:t>After the participants agreed “</w:t>
      </w:r>
      <w:r w:rsidR="00854659" w:rsidRPr="00C902A2">
        <w:t>there would be more time required to assess significance</w:t>
      </w:r>
      <w:r w:rsidR="00C902A2" w:rsidRPr="00C902A2">
        <w:t xml:space="preserve">”, Mr </w:t>
      </w:r>
      <w:r w:rsidR="00C902A2" w:rsidRPr="00C902A2">
        <w:lastRenderedPageBreak/>
        <w:t>Scott asked</w:t>
      </w:r>
      <w:r w:rsidR="00F30AE6">
        <w:t xml:space="preserve"> </w:t>
      </w:r>
      <w:r w:rsidR="00854659" w:rsidRPr="00C902A2">
        <w:t>if t</w:t>
      </w:r>
      <w:r w:rsidR="00B76B4D">
        <w:t xml:space="preserve">here were </w:t>
      </w:r>
      <w:r w:rsidR="00F30AE6">
        <w:t>“</w:t>
      </w:r>
      <w:r w:rsidR="00B76B4D">
        <w:t>any obvious learnings</w:t>
      </w:r>
      <w:r w:rsidR="00F52C31">
        <w:t xml:space="preserve"> </w:t>
      </w:r>
      <w:r w:rsidR="00854659" w:rsidRPr="00C902A2">
        <w:t>from this</w:t>
      </w:r>
      <w:r w:rsidR="00F30AE6">
        <w:t>”</w:t>
      </w:r>
      <w:r w:rsidR="00854659" w:rsidRPr="00C902A2">
        <w:t xml:space="preserve"> and added that it was </w:t>
      </w:r>
      <w:r w:rsidR="00F30AE6">
        <w:t>“</w:t>
      </w:r>
      <w:r w:rsidR="00854659" w:rsidRPr="00C902A2">
        <w:t>positive that the sales areas were consistent in their response</w:t>
      </w:r>
      <w:r w:rsidR="00C902A2" w:rsidRPr="00C902A2">
        <w:t>”</w:t>
      </w:r>
      <w:r w:rsidR="00854659" w:rsidRPr="00C902A2">
        <w:t>.</w:t>
      </w:r>
    </w:p>
    <w:p w:rsidR="00854490" w:rsidRPr="00854490" w:rsidRDefault="003B3C7B" w:rsidP="003B3C7B">
      <w:pPr>
        <w:pStyle w:val="ParaNumbering"/>
        <w:numPr>
          <w:ilvl w:val="0"/>
          <w:numId w:val="0"/>
        </w:numPr>
        <w:tabs>
          <w:tab w:val="left" w:pos="720"/>
        </w:tabs>
        <w:ind w:hanging="720"/>
      </w:pPr>
      <w:r w:rsidRPr="00854490">
        <w:rPr>
          <w:sz w:val="20"/>
        </w:rPr>
        <w:t>10</w:t>
      </w:r>
      <w:r w:rsidRPr="00854490">
        <w:rPr>
          <w:sz w:val="20"/>
        </w:rPr>
        <w:tab/>
      </w:r>
      <w:r w:rsidR="00854490" w:rsidRPr="007E4892">
        <w:t xml:space="preserve">On 1 October 2014, a </w:t>
      </w:r>
      <w:r w:rsidR="00C902A2">
        <w:t xml:space="preserve">second </w:t>
      </w:r>
      <w:r w:rsidR="00854490">
        <w:t xml:space="preserve">meeting was held </w:t>
      </w:r>
      <w:r w:rsidR="00854490" w:rsidRPr="007E4892">
        <w:t xml:space="preserve">“to discuss if the matter [of </w:t>
      </w:r>
      <w:r w:rsidR="00A956F3">
        <w:t>Pangan</w:t>
      </w:r>
      <w:r w:rsidR="00854490" w:rsidRPr="007E4892">
        <w:t xml:space="preserve">iban] was reportable to </w:t>
      </w:r>
      <w:r w:rsidR="009A0F8A">
        <w:t xml:space="preserve">[the Australian Securities </w:t>
      </w:r>
      <w:r w:rsidR="000704B8">
        <w:t xml:space="preserve">&amp; </w:t>
      </w:r>
      <w:r w:rsidR="009A0F8A">
        <w:t>Investment Commission (</w:t>
      </w:r>
      <w:r w:rsidR="009A0F8A">
        <w:rPr>
          <w:b/>
        </w:rPr>
        <w:t>ASIC</w:t>
      </w:r>
      <w:r w:rsidR="009A0F8A">
        <w:t>)]</w:t>
      </w:r>
      <w:r w:rsidR="00362AD5">
        <w:t xml:space="preserve"> as a significant breach”. </w:t>
      </w:r>
      <w:r w:rsidR="00854490" w:rsidRPr="007E4892">
        <w:t xml:space="preserve">The minutes </w:t>
      </w:r>
      <w:r w:rsidR="00854490">
        <w:t>record one attendee observing</w:t>
      </w:r>
      <w:r w:rsidR="00854490" w:rsidRPr="007E4892">
        <w:t xml:space="preserve"> that </w:t>
      </w:r>
      <w:r w:rsidR="00FB2777">
        <w:t xml:space="preserve">the </w:t>
      </w:r>
      <w:r w:rsidR="00854490" w:rsidRPr="007E4892">
        <w:t xml:space="preserve">issue of </w:t>
      </w:r>
      <w:r w:rsidR="00A956F3">
        <w:t>Pangan</w:t>
      </w:r>
      <w:r w:rsidR="00854490" w:rsidRPr="007E4892">
        <w:t xml:space="preserve">iban’s conduct in cancelling insurance had been raised with the licensee (that is, AMPFP) in the past, and another observed that </w:t>
      </w:r>
      <w:r w:rsidR="00A956F3">
        <w:t>Pangan</w:t>
      </w:r>
      <w:r w:rsidR="00854490" w:rsidRPr="007E4892">
        <w:t>iban was “clearly writing a bucket load of business and it was possible there was a reluctance (on the Licensee’s behalf) to reprimand a productive adviser” and that AMPFP had failed to g</w:t>
      </w:r>
      <w:r w:rsidR="00F40047">
        <w:t xml:space="preserve">et to the heart of the matter. </w:t>
      </w:r>
      <w:r w:rsidR="00854490">
        <w:t>Another</w:t>
      </w:r>
      <w:r w:rsidR="00854490" w:rsidRPr="00C902A2">
        <w:rPr>
          <w:bCs/>
          <w:kern w:val="32"/>
          <w:szCs w:val="24"/>
        </w:rPr>
        <w:t xml:space="preserve"> attendee expressed the view that “[t]here are too many clients not to report”, and that all attendees agreed that the matter should be reported to ASIC “due to the length of time taken to get here (issue identified and adviser behaviour stopped)”. </w:t>
      </w:r>
    </w:p>
    <w:p w:rsidR="00854490" w:rsidRPr="00854490" w:rsidRDefault="003B3C7B" w:rsidP="003B3C7B">
      <w:pPr>
        <w:pStyle w:val="ParaNumbering"/>
        <w:numPr>
          <w:ilvl w:val="0"/>
          <w:numId w:val="0"/>
        </w:numPr>
        <w:tabs>
          <w:tab w:val="left" w:pos="720"/>
        </w:tabs>
        <w:ind w:hanging="720"/>
      </w:pPr>
      <w:r w:rsidRPr="00854490">
        <w:rPr>
          <w:sz w:val="20"/>
        </w:rPr>
        <w:t>11</w:t>
      </w:r>
      <w:r w:rsidRPr="00854490">
        <w:rPr>
          <w:sz w:val="20"/>
        </w:rPr>
        <w:tab/>
      </w:r>
      <w:r w:rsidR="00854490" w:rsidRPr="005F2289">
        <w:rPr>
          <w:rFonts w:cs="Arial"/>
          <w:color w:val="000000" w:themeColor="text1"/>
        </w:rPr>
        <w:t xml:space="preserve">The following day, Ms </w:t>
      </w:r>
      <w:proofErr w:type="spellStart"/>
      <w:r w:rsidR="00DF751B">
        <w:t>Firmansjah</w:t>
      </w:r>
      <w:proofErr w:type="spellEnd"/>
      <w:r w:rsidR="00854490" w:rsidRPr="005F2289">
        <w:t xml:space="preserve"> sent an email to M</w:t>
      </w:r>
      <w:r w:rsidR="004A4230">
        <w:t>r Simon Wallace, who was AMP’s D</w:t>
      </w:r>
      <w:r w:rsidR="00854490" w:rsidRPr="005F2289">
        <w:t xml:space="preserve">irector of Client </w:t>
      </w:r>
      <w:r w:rsidR="00F40047">
        <w:t xml:space="preserve">Solutions and Advice Services. </w:t>
      </w:r>
      <w:r w:rsidR="00854490" w:rsidRPr="005F2289">
        <w:t>In that email, Ms </w:t>
      </w:r>
      <w:proofErr w:type="spellStart"/>
      <w:r w:rsidR="00854490" w:rsidRPr="005F2289">
        <w:t>Firmansjah</w:t>
      </w:r>
      <w:proofErr w:type="spellEnd"/>
      <w:r w:rsidR="00854490" w:rsidRPr="005F2289">
        <w:t xml:space="preserve"> set out a summary of the “matter” relating to </w:t>
      </w:r>
      <w:r w:rsidR="00A956F3">
        <w:t>Pangan</w:t>
      </w:r>
      <w:r w:rsidR="00854490" w:rsidRPr="005F2289">
        <w:t>iban, and th</w:t>
      </w:r>
      <w:r w:rsidR="00F40047">
        <w:t xml:space="preserve">e recommendation of the Panel. </w:t>
      </w:r>
      <w:r w:rsidR="00854490" w:rsidRPr="005F2289">
        <w:t>Ms </w:t>
      </w:r>
      <w:proofErr w:type="spellStart"/>
      <w:r w:rsidR="00854490" w:rsidRPr="005F2289">
        <w:t>Firmansjah</w:t>
      </w:r>
      <w:proofErr w:type="spellEnd"/>
      <w:r w:rsidR="00854490" w:rsidRPr="005F2289">
        <w:t xml:space="preserve"> set out a history of </w:t>
      </w:r>
      <w:r w:rsidR="00F14DB6">
        <w:t xml:space="preserve">events concerning </w:t>
      </w:r>
      <w:r w:rsidR="00A956F3">
        <w:t>Pangan</w:t>
      </w:r>
      <w:r w:rsidR="00F14DB6">
        <w:t>iban</w:t>
      </w:r>
      <w:r w:rsidR="00854490" w:rsidRPr="005F2289">
        <w:t xml:space="preserve"> in 2013 and 2014. Then, under the heading “Recommendation”, she stated that the Panel “is of the view that the </w:t>
      </w:r>
      <w:r w:rsidR="00854490">
        <w:t xml:space="preserve">matter is reportable” </w:t>
      </w:r>
      <w:r w:rsidR="00F14DB6">
        <w:t xml:space="preserve">to ASIC </w:t>
      </w:r>
      <w:r w:rsidR="00854490">
        <w:t>because, in summary: (a) the response</w:t>
      </w:r>
      <w:r w:rsidR="00854490" w:rsidRPr="005F2289">
        <w:t xml:space="preserve"> to the issue being raised in February 2013 </w:t>
      </w:r>
      <w:r w:rsidR="00854490">
        <w:t>was</w:t>
      </w:r>
      <w:r w:rsidR="00854490" w:rsidRPr="005F2289">
        <w:t xml:space="preserve"> not “timely, effective and thorough”</w:t>
      </w:r>
      <w:r w:rsidR="00854490">
        <w:t xml:space="preserve">; (b) </w:t>
      </w:r>
      <w:r w:rsidR="00854490" w:rsidRPr="005F2289">
        <w:t>there was a “gap in effectiveness” in being able to “identify and bring to an end any undesirable actions by an adviser”, and the implications from the large volume of cancelled policies “was overlooked until recently”;</w:t>
      </w:r>
      <w:r w:rsidR="00854490">
        <w:t xml:space="preserve"> and (c) </w:t>
      </w:r>
      <w:r w:rsidR="00854490" w:rsidRPr="005F2289">
        <w:t>there was a high volume of transactions where clients were not covered during cancellation and there was no continuity of cover, and in some instances clients had “lesser terms”, in the form of loadings and exclusions, compared to their original policy, with the result that there “may” be cases where clients are disadvantaged and the number of policies involved is “quite high”.</w:t>
      </w:r>
      <w:r w:rsidR="00F40047">
        <w:t xml:space="preserve"> </w:t>
      </w:r>
      <w:r w:rsidR="00854490">
        <w:t xml:space="preserve">This email was copied to Mr </w:t>
      </w:r>
      <w:proofErr w:type="spellStart"/>
      <w:r w:rsidR="00854490">
        <w:t>Coroneos</w:t>
      </w:r>
      <w:proofErr w:type="spellEnd"/>
      <w:r w:rsidR="00C902A2">
        <w:t xml:space="preserve">, Ms </w:t>
      </w:r>
      <w:r w:rsidR="00854490">
        <w:t>Turner</w:t>
      </w:r>
      <w:r w:rsidR="00C902A2">
        <w:t xml:space="preserve">, Mr </w:t>
      </w:r>
      <w:r w:rsidR="00854490">
        <w:t>Scott</w:t>
      </w:r>
      <w:r w:rsidR="00C902A2">
        <w:t xml:space="preserve"> and Mr </w:t>
      </w:r>
      <w:proofErr w:type="spellStart"/>
      <w:r w:rsidR="00854490">
        <w:t>Mithen</w:t>
      </w:r>
      <w:proofErr w:type="spellEnd"/>
      <w:r w:rsidR="00854490">
        <w:t>.</w:t>
      </w:r>
      <w:r w:rsidR="005A06EB">
        <w:t xml:space="preserve"> </w:t>
      </w:r>
    </w:p>
    <w:p w:rsidR="0091261D" w:rsidRDefault="003B3C7B" w:rsidP="003B3C7B">
      <w:pPr>
        <w:pStyle w:val="ParaNumbering"/>
        <w:numPr>
          <w:ilvl w:val="0"/>
          <w:numId w:val="0"/>
        </w:numPr>
        <w:tabs>
          <w:tab w:val="left" w:pos="720"/>
        </w:tabs>
        <w:ind w:hanging="720"/>
      </w:pPr>
      <w:r>
        <w:rPr>
          <w:sz w:val="20"/>
        </w:rPr>
        <w:t>12</w:t>
      </w:r>
      <w:r>
        <w:rPr>
          <w:sz w:val="20"/>
        </w:rPr>
        <w:tab/>
      </w:r>
      <w:r w:rsidR="00F871B3">
        <w:t>Belatedly, but a</w:t>
      </w:r>
      <w:r w:rsidR="00F14DB6">
        <w:t>t least insofar as the Issues Panel is concerned, s</w:t>
      </w:r>
      <w:r w:rsidR="0091261D">
        <w:t>o far, so good.</w:t>
      </w:r>
      <w:r w:rsidR="00F40047">
        <w:t xml:space="preserve"> </w:t>
      </w:r>
      <w:r w:rsidR="00F871B3">
        <w:t xml:space="preserve">Leaving aside questions of legal obligation, </w:t>
      </w:r>
      <w:r w:rsidR="009153CD">
        <w:t xml:space="preserve">although </w:t>
      </w:r>
      <w:r w:rsidR="0091261D">
        <w:t>tardy</w:t>
      </w:r>
      <w:r w:rsidR="00F14DB6">
        <w:t xml:space="preserve">, the proposed course now fastened upon was </w:t>
      </w:r>
      <w:r w:rsidR="00F871B3">
        <w:t xml:space="preserve">part of </w:t>
      </w:r>
      <w:r w:rsidR="0091261D">
        <w:t xml:space="preserve">an appropriate </w:t>
      </w:r>
      <w:r w:rsidR="00F14DB6">
        <w:t xml:space="preserve">and responsible </w:t>
      </w:r>
      <w:r w:rsidR="0091261D">
        <w:t>remedial respo</w:t>
      </w:r>
      <w:r w:rsidR="00F14DB6">
        <w:t>nse</w:t>
      </w:r>
      <w:r w:rsidR="00433CAD">
        <w:t xml:space="preserve"> and should</w:t>
      </w:r>
      <w:r w:rsidR="00671574">
        <w:t xml:space="preserve"> have </w:t>
      </w:r>
      <w:r w:rsidR="00A4446D">
        <w:t>prompted</w:t>
      </w:r>
      <w:r w:rsidR="00671574">
        <w:t xml:space="preserve"> a thorough investigation as to the </w:t>
      </w:r>
      <w:r w:rsidR="00166656">
        <w:t xml:space="preserve">real </w:t>
      </w:r>
      <w:r w:rsidR="00671574">
        <w:t>extent of wrongdoing t</w:t>
      </w:r>
      <w:r w:rsidR="00166656">
        <w:t>hat was necessary to</w:t>
      </w:r>
      <w:r w:rsidR="00671574">
        <w:t xml:space="preserve"> report</w:t>
      </w:r>
      <w:r w:rsidR="0091261D">
        <w:t>.</w:t>
      </w:r>
      <w:r w:rsidR="005A06EB">
        <w:t xml:space="preserve"> </w:t>
      </w:r>
      <w:r w:rsidR="00B42BFD">
        <w:t>But the story was not over.</w:t>
      </w:r>
    </w:p>
    <w:p w:rsidR="00854490" w:rsidRDefault="003B3C7B" w:rsidP="003B3C7B">
      <w:pPr>
        <w:pStyle w:val="ParaNumbering"/>
        <w:numPr>
          <w:ilvl w:val="0"/>
          <w:numId w:val="0"/>
        </w:numPr>
        <w:tabs>
          <w:tab w:val="left" w:pos="720"/>
        </w:tabs>
        <w:ind w:hanging="720"/>
      </w:pPr>
      <w:r>
        <w:rPr>
          <w:sz w:val="20"/>
        </w:rPr>
        <w:lastRenderedPageBreak/>
        <w:t>13</w:t>
      </w:r>
      <w:r>
        <w:rPr>
          <w:sz w:val="20"/>
        </w:rPr>
        <w:tab/>
      </w:r>
      <w:r w:rsidR="00854490">
        <w:t xml:space="preserve">What then happened is unexplained </w:t>
      </w:r>
      <w:r w:rsidR="00362AD5">
        <w:t xml:space="preserve">on the evidence. </w:t>
      </w:r>
      <w:r w:rsidR="00854490" w:rsidRPr="005F2289">
        <w:t>Notwithstanding th</w:t>
      </w:r>
      <w:r w:rsidR="00F14DB6">
        <w:t>e</w:t>
      </w:r>
      <w:r w:rsidR="00854490">
        <w:t xml:space="preserve"> recommendation of the </w:t>
      </w:r>
      <w:r w:rsidR="00F14DB6">
        <w:t xml:space="preserve">Issues </w:t>
      </w:r>
      <w:r w:rsidR="00854490" w:rsidRPr="005F2289">
        <w:t xml:space="preserve">Panel, </w:t>
      </w:r>
      <w:r w:rsidR="00854490">
        <w:t>it</w:t>
      </w:r>
      <w:r w:rsidR="00362AD5">
        <w:t xml:space="preserve"> met again on 16 October 2014. </w:t>
      </w:r>
      <w:r w:rsidR="00C902A2">
        <w:t>But this time the attendees changed.</w:t>
      </w:r>
      <w:r w:rsidR="00F40047">
        <w:t xml:space="preserve"> </w:t>
      </w:r>
      <w:r w:rsidR="00301460">
        <w:t>Indeed</w:t>
      </w:r>
      <w:r w:rsidR="00666383">
        <w:t xml:space="preserve">, </w:t>
      </w:r>
      <w:r w:rsidR="00E86CA8">
        <w:t xml:space="preserve">Mr </w:t>
      </w:r>
      <w:r w:rsidR="00C902A2">
        <w:t xml:space="preserve">Michael </w:t>
      </w:r>
      <w:proofErr w:type="spellStart"/>
      <w:r w:rsidR="00E86CA8">
        <w:t>Guggenheimer</w:t>
      </w:r>
      <w:proofErr w:type="spellEnd"/>
      <w:r w:rsidR="00D035B7">
        <w:t>, the Managing</w:t>
      </w:r>
      <w:r w:rsidR="00C902A2">
        <w:t xml:space="preserve"> Director of AMPFP</w:t>
      </w:r>
      <w:r w:rsidR="00F40047">
        <w:t>,</w:t>
      </w:r>
      <w:r w:rsidR="00C902A2">
        <w:t xml:space="preserve"> </w:t>
      </w:r>
      <w:r w:rsidR="00402345">
        <w:t>attended</w:t>
      </w:r>
      <w:r w:rsidR="00E86CA8">
        <w:t xml:space="preserve">, </w:t>
      </w:r>
      <w:r w:rsidR="00402345">
        <w:t xml:space="preserve">as did a number of </w:t>
      </w:r>
      <w:r w:rsidR="00F14DB6">
        <w:t xml:space="preserve">other </w:t>
      </w:r>
      <w:r w:rsidR="00402345">
        <w:t>senior persons being</w:t>
      </w:r>
      <w:r w:rsidR="006C41B0">
        <w:t>:</w:t>
      </w:r>
      <w:r w:rsidR="00402345">
        <w:t xml:space="preserve"> Mr </w:t>
      </w:r>
      <w:proofErr w:type="spellStart"/>
      <w:r w:rsidR="00402345">
        <w:t>Helmich</w:t>
      </w:r>
      <w:proofErr w:type="spellEnd"/>
      <w:r w:rsidR="00402345">
        <w:t xml:space="preserve"> (Director Financial Planning, Advice &amp; Service), </w:t>
      </w:r>
      <w:r w:rsidR="00E86CA8">
        <w:t xml:space="preserve">Mr </w:t>
      </w:r>
      <w:r w:rsidR="00402345">
        <w:t xml:space="preserve">Simon </w:t>
      </w:r>
      <w:r w:rsidR="00E86CA8">
        <w:t>Wallace</w:t>
      </w:r>
      <w:r w:rsidR="00402345">
        <w:t xml:space="preserve"> (Director, Client Solutions and Advice Services)</w:t>
      </w:r>
      <w:r w:rsidR="00E86CA8">
        <w:t xml:space="preserve">, </w:t>
      </w:r>
      <w:r w:rsidR="00402345">
        <w:t xml:space="preserve">Mr Murray Fogarty (Head of Financial Planning) and Ms </w:t>
      </w:r>
      <w:proofErr w:type="spellStart"/>
      <w:r w:rsidR="00402345">
        <w:t>Marilena</w:t>
      </w:r>
      <w:proofErr w:type="spellEnd"/>
      <w:r w:rsidR="00402345">
        <w:t xml:space="preserve"> </w:t>
      </w:r>
      <w:proofErr w:type="spellStart"/>
      <w:r w:rsidR="00402345">
        <w:t>Cozzolino</w:t>
      </w:r>
      <w:proofErr w:type="spellEnd"/>
      <w:r w:rsidR="00402345">
        <w:t xml:space="preserve"> (Executive Legal Counsel). </w:t>
      </w:r>
      <w:r w:rsidR="009C3D91">
        <w:t>How this last attendee’s role related to</w:t>
      </w:r>
      <w:r w:rsidR="00A4446D">
        <w:t xml:space="preserve"> that of Ms Turner was not explained</w:t>
      </w:r>
      <w:r w:rsidR="009C3D91">
        <w:t>.</w:t>
      </w:r>
      <w:r w:rsidR="005A06EB">
        <w:t xml:space="preserve"> </w:t>
      </w:r>
      <w:r w:rsidR="00E86CA8">
        <w:t xml:space="preserve">Ms </w:t>
      </w:r>
      <w:proofErr w:type="spellStart"/>
      <w:r w:rsidR="00E86CA8">
        <w:t>Firmansjah</w:t>
      </w:r>
      <w:proofErr w:type="spellEnd"/>
      <w:r w:rsidR="00402345">
        <w:t>, (who had sent the email to Mr Wallace an</w:t>
      </w:r>
      <w:r w:rsidR="00732E05">
        <w:t>d</w:t>
      </w:r>
      <w:r w:rsidR="00402345">
        <w:t xml:space="preserve"> others referring to the recommendations</w:t>
      </w:r>
      <w:r w:rsidR="00666383">
        <w:t xml:space="preserve"> of the earlier </w:t>
      </w:r>
      <w:r w:rsidR="00402345">
        <w:t>Panel) was also present</w:t>
      </w:r>
      <w:r w:rsidR="00DC5FA8">
        <w:t>.</w:t>
      </w:r>
      <w:r w:rsidR="00B42BFD">
        <w:t xml:space="preserve"> </w:t>
      </w:r>
    </w:p>
    <w:p w:rsidR="00B42BFD" w:rsidRPr="00854490" w:rsidRDefault="003B3C7B" w:rsidP="003B3C7B">
      <w:pPr>
        <w:pStyle w:val="ParaNumbering"/>
        <w:numPr>
          <w:ilvl w:val="0"/>
          <w:numId w:val="0"/>
        </w:numPr>
        <w:tabs>
          <w:tab w:val="left" w:pos="720"/>
        </w:tabs>
        <w:ind w:hanging="720"/>
      </w:pPr>
      <w:r w:rsidRPr="00854490">
        <w:rPr>
          <w:sz w:val="20"/>
        </w:rPr>
        <w:t>14</w:t>
      </w:r>
      <w:r w:rsidRPr="00854490">
        <w:rPr>
          <w:sz w:val="20"/>
        </w:rPr>
        <w:tab/>
      </w:r>
      <w:r w:rsidR="00A4446D">
        <w:t>All or most of the p</w:t>
      </w:r>
      <w:r w:rsidR="006553C5">
        <w:t>articipants in the further meeting were persons</w:t>
      </w:r>
      <w:r w:rsidR="00B42BFD">
        <w:t xml:space="preserve"> at the </w:t>
      </w:r>
      <w:r w:rsidR="009B3347">
        <w:t xml:space="preserve">very </w:t>
      </w:r>
      <w:r w:rsidR="00B42BFD">
        <w:t>top of the organisat</w:t>
      </w:r>
      <w:r w:rsidR="00057642">
        <w:t xml:space="preserve">ion – they had </w:t>
      </w:r>
      <w:r w:rsidR="0096739F">
        <w:t>important responsibilities</w:t>
      </w:r>
      <w:r w:rsidR="00F40047">
        <w:t xml:space="preserve">. </w:t>
      </w:r>
      <w:r w:rsidR="00B42BFD">
        <w:t xml:space="preserve">What did this reconstituted </w:t>
      </w:r>
      <w:r w:rsidR="0096739F">
        <w:t xml:space="preserve">Issues </w:t>
      </w:r>
      <w:r w:rsidR="00B42BFD">
        <w:t>Panel do?</w:t>
      </w:r>
    </w:p>
    <w:p w:rsidR="006553C5" w:rsidRDefault="003B3C7B" w:rsidP="003B3C7B">
      <w:pPr>
        <w:pStyle w:val="ParaNumbering"/>
        <w:numPr>
          <w:ilvl w:val="0"/>
          <w:numId w:val="0"/>
        </w:numPr>
        <w:tabs>
          <w:tab w:val="left" w:pos="720"/>
        </w:tabs>
        <w:ind w:hanging="720"/>
      </w:pPr>
      <w:r>
        <w:rPr>
          <w:sz w:val="20"/>
        </w:rPr>
        <w:t>15</w:t>
      </w:r>
      <w:r>
        <w:rPr>
          <w:sz w:val="20"/>
        </w:rPr>
        <w:tab/>
      </w:r>
      <w:r w:rsidR="00854490" w:rsidRPr="005F2289">
        <w:t xml:space="preserve">Draft minutes of this meeting record that the purpose of the meeting was to </w:t>
      </w:r>
      <w:r w:rsidR="00854490">
        <w:t xml:space="preserve">again </w:t>
      </w:r>
      <w:r w:rsidR="00854490" w:rsidRPr="005F2289">
        <w:t xml:space="preserve">consider, in relation to </w:t>
      </w:r>
      <w:r w:rsidR="00A956F3">
        <w:t>Pangan</w:t>
      </w:r>
      <w:r w:rsidR="00854490" w:rsidRPr="005F2289">
        <w:t>iban’s conduct, if there w</w:t>
      </w:r>
      <w:r w:rsidR="000704B8">
        <w:t>ere</w:t>
      </w:r>
      <w:r w:rsidR="00854490" w:rsidRPr="005F2289">
        <w:t xml:space="preserve"> a “licensee breach” and if so whether th</w:t>
      </w:r>
      <w:r w:rsidR="00362AD5">
        <w:t>e breach was “significant”.</w:t>
      </w:r>
      <w:r w:rsidR="00F40047">
        <w:t xml:space="preserve"> </w:t>
      </w:r>
      <w:r w:rsidR="006553C5">
        <w:t xml:space="preserve">This was important because s 912D of </w:t>
      </w:r>
      <w:r w:rsidR="005110D0" w:rsidRPr="00CF787E">
        <w:t xml:space="preserve">the </w:t>
      </w:r>
      <w:r w:rsidR="005110D0" w:rsidRPr="00CF787E">
        <w:rPr>
          <w:i/>
          <w:iCs/>
        </w:rPr>
        <w:t xml:space="preserve">Corporations Act 2001 </w:t>
      </w:r>
      <w:r w:rsidR="005110D0" w:rsidRPr="00CF787E">
        <w:t>(</w:t>
      </w:r>
      <w:proofErr w:type="spellStart"/>
      <w:r w:rsidR="005110D0" w:rsidRPr="00CF787E">
        <w:rPr>
          <w:i/>
        </w:rPr>
        <w:t>Cth</w:t>
      </w:r>
      <w:proofErr w:type="spellEnd"/>
      <w:r w:rsidR="005110D0" w:rsidRPr="00CF787E">
        <w:rPr>
          <w:i/>
        </w:rPr>
        <w:t>)</w:t>
      </w:r>
      <w:r w:rsidR="005110D0" w:rsidRPr="00CF787E">
        <w:t xml:space="preserve"> (</w:t>
      </w:r>
      <w:r w:rsidR="005110D0" w:rsidRPr="00CF787E">
        <w:rPr>
          <w:b/>
          <w:bCs/>
        </w:rPr>
        <w:t>Ac</w:t>
      </w:r>
      <w:r w:rsidR="005110D0">
        <w:rPr>
          <w:b/>
          <w:bCs/>
        </w:rPr>
        <w:t>t</w:t>
      </w:r>
      <w:r w:rsidR="005110D0">
        <w:t xml:space="preserve">) </w:t>
      </w:r>
      <w:r w:rsidR="005B787C" w:rsidRPr="005B787C">
        <w:t>oblig</w:t>
      </w:r>
      <w:r w:rsidR="005B787C">
        <w:t>ed</w:t>
      </w:r>
      <w:r w:rsidR="005B787C" w:rsidRPr="005B787C">
        <w:t xml:space="preserve"> an</w:t>
      </w:r>
      <w:r w:rsidR="00301CCB">
        <w:t xml:space="preserve"> Australian financial services</w:t>
      </w:r>
      <w:r w:rsidR="005B787C" w:rsidRPr="005B787C">
        <w:t xml:space="preserve"> licensee to report to ASIC </w:t>
      </w:r>
      <w:r w:rsidR="005B787C">
        <w:t>significant</w:t>
      </w:r>
      <w:r w:rsidR="005B787C" w:rsidRPr="005B787C">
        <w:t xml:space="preserve"> breac</w:t>
      </w:r>
      <w:r w:rsidR="005B787C">
        <w:t>hes (or likely breaches) of its</w:t>
      </w:r>
      <w:r w:rsidR="005B787C" w:rsidRPr="005B787C">
        <w:t xml:space="preserve"> obligations under the financial services laws.</w:t>
      </w:r>
      <w:r w:rsidR="00F40047">
        <w:t xml:space="preserve"> </w:t>
      </w:r>
      <w:r w:rsidR="005B787C">
        <w:t>The term “significant” was not defined in the Act</w:t>
      </w:r>
      <w:r w:rsidR="00C05147">
        <w:t>,</w:t>
      </w:r>
      <w:r w:rsidR="005B787C">
        <w:t xml:space="preserve"> but Regulatory Guide 78 </w:t>
      </w:r>
      <w:r w:rsidR="005B787C" w:rsidRPr="005B787C">
        <w:rPr>
          <w:i/>
        </w:rPr>
        <w:t>Breach Reporting by AFS Licensees</w:t>
      </w:r>
      <w:r w:rsidR="009A6F06">
        <w:t>, published in February 2014</w:t>
      </w:r>
      <w:r w:rsidR="005B787C">
        <w:t xml:space="preserve"> provided examples of breaches which might be regarded as being significant. </w:t>
      </w:r>
    </w:p>
    <w:p w:rsidR="00854490" w:rsidRPr="004A4230" w:rsidRDefault="003B3C7B" w:rsidP="003B3C7B">
      <w:pPr>
        <w:pStyle w:val="ParaNumbering"/>
        <w:numPr>
          <w:ilvl w:val="0"/>
          <w:numId w:val="0"/>
        </w:numPr>
        <w:tabs>
          <w:tab w:val="left" w:pos="720"/>
        </w:tabs>
        <w:ind w:hanging="720"/>
      </w:pPr>
      <w:r w:rsidRPr="004A4230">
        <w:rPr>
          <w:sz w:val="20"/>
        </w:rPr>
        <w:t>16</w:t>
      </w:r>
      <w:r w:rsidRPr="004A4230">
        <w:rPr>
          <w:sz w:val="20"/>
        </w:rPr>
        <w:tab/>
      </w:r>
      <w:r w:rsidR="00C70621">
        <w:t>W</w:t>
      </w:r>
      <w:r w:rsidR="005B787C">
        <w:t xml:space="preserve">hat the minutes of the </w:t>
      </w:r>
      <w:r w:rsidR="0096739F">
        <w:t xml:space="preserve">reconstituted Issues </w:t>
      </w:r>
      <w:r w:rsidR="00854490" w:rsidRPr="005F2289">
        <w:t xml:space="preserve">Panel </w:t>
      </w:r>
      <w:r w:rsidR="00F871B3">
        <w:t xml:space="preserve">record is that it was </w:t>
      </w:r>
      <w:r w:rsidR="00854490" w:rsidRPr="005F2289">
        <w:t xml:space="preserve">agreed that “the matter is not a breach” and </w:t>
      </w:r>
      <w:r w:rsidR="00582DFD">
        <w:t>hence</w:t>
      </w:r>
      <w:r w:rsidR="00854490" w:rsidRPr="005F2289">
        <w:t xml:space="preserve"> was not reportable, and that the </w:t>
      </w:r>
      <w:r w:rsidR="00854490">
        <w:t xml:space="preserve">recorded </w:t>
      </w:r>
      <w:r w:rsidR="00854490" w:rsidRPr="005F2289">
        <w:t>reasons for this position were as follows:</w:t>
      </w:r>
      <w:r w:rsidR="00854490">
        <w:t xml:space="preserve"> (a) </w:t>
      </w:r>
      <w:r w:rsidR="00854490" w:rsidRPr="00440CB2">
        <w:t>“due process” was followed in the 2013 “investigation” and the matter was closed in 2013 based on the “assessment and findings at that time”;</w:t>
      </w:r>
      <w:r w:rsidR="00854490">
        <w:t xml:space="preserve"> (b) </w:t>
      </w:r>
      <w:r w:rsidR="00854490" w:rsidRPr="00440CB2">
        <w:t xml:space="preserve">the 2014 investigation had resulted in </w:t>
      </w:r>
      <w:r w:rsidR="00A956F3">
        <w:t>Pangan</w:t>
      </w:r>
      <w:r w:rsidR="003A595E">
        <w:t>iban being terminated;</w:t>
      </w:r>
      <w:r w:rsidR="00854490" w:rsidRPr="00440CB2">
        <w:t xml:space="preserve"> and </w:t>
      </w:r>
      <w:r w:rsidR="003A595E">
        <w:t xml:space="preserve">(c) </w:t>
      </w:r>
      <w:r w:rsidR="00854490" w:rsidRPr="00440CB2">
        <w:t>he would be reported to ASIC as a “bad apple”.</w:t>
      </w:r>
      <w:r w:rsidR="00854490">
        <w:t xml:space="preserve"> </w:t>
      </w:r>
    </w:p>
    <w:p w:rsidR="00B30A26" w:rsidRPr="00B30A26" w:rsidRDefault="003B3C7B" w:rsidP="003B3C7B">
      <w:pPr>
        <w:pStyle w:val="ParaNumbering"/>
        <w:numPr>
          <w:ilvl w:val="0"/>
          <w:numId w:val="0"/>
        </w:numPr>
        <w:tabs>
          <w:tab w:val="left" w:pos="720"/>
        </w:tabs>
        <w:ind w:hanging="720"/>
      </w:pPr>
      <w:r w:rsidRPr="00B30A26">
        <w:rPr>
          <w:sz w:val="20"/>
        </w:rPr>
        <w:t>17</w:t>
      </w:r>
      <w:r w:rsidRPr="00B30A26">
        <w:rPr>
          <w:sz w:val="20"/>
        </w:rPr>
        <w:tab/>
      </w:r>
      <w:r w:rsidR="00362AD5">
        <w:t xml:space="preserve">This </w:t>
      </w:r>
      <w:r w:rsidR="00702035">
        <w:t>“</w:t>
      </w:r>
      <w:r w:rsidR="00166656">
        <w:t>bad apple</w:t>
      </w:r>
      <w:r w:rsidR="003A595E">
        <w:t>”</w:t>
      </w:r>
      <w:r w:rsidR="00166656">
        <w:t xml:space="preserve"> </w:t>
      </w:r>
      <w:r w:rsidR="006C41B0">
        <w:t>reporting then occurred</w:t>
      </w:r>
      <w:r w:rsidR="00362AD5">
        <w:t>.</w:t>
      </w:r>
      <w:r w:rsidR="00854490">
        <w:t xml:space="preserve"> </w:t>
      </w:r>
      <w:r w:rsidR="00854490" w:rsidRPr="00440CB2">
        <w:t xml:space="preserve">On 3 November 2014, AMPFP </w:t>
      </w:r>
      <w:r w:rsidR="00854490">
        <w:t xml:space="preserve">provided a “bad apple” letter </w:t>
      </w:r>
      <w:r w:rsidR="00854490" w:rsidRPr="00440CB2">
        <w:t>to ASIC</w:t>
      </w:r>
      <w:r w:rsidR="00F40047">
        <w:t xml:space="preserve">. </w:t>
      </w:r>
      <w:r w:rsidR="00BE31E3">
        <w:t>Curiously, i</w:t>
      </w:r>
      <w:r w:rsidR="00F332E4">
        <w:t xml:space="preserve">t </w:t>
      </w:r>
      <w:r w:rsidR="004E213B">
        <w:t>did not mention Panganiban by name.</w:t>
      </w:r>
      <w:r w:rsidR="00F40047">
        <w:t xml:space="preserve"> </w:t>
      </w:r>
      <w:r w:rsidR="00482CB8">
        <w:t>Also</w:t>
      </w:r>
      <w:r w:rsidR="00902FC8">
        <w:t>,</w:t>
      </w:r>
      <w:r w:rsidR="00482CB8">
        <w:t xml:space="preserve"> </w:t>
      </w:r>
      <w:r w:rsidR="00902FC8">
        <w:t>tellingly</w:t>
      </w:r>
      <w:r w:rsidR="00482CB8">
        <w:t xml:space="preserve">, the letter omitted to mention the approximated scale of Panganiban’s conduct, which in an internal email from Mr </w:t>
      </w:r>
      <w:proofErr w:type="spellStart"/>
      <w:r w:rsidR="00482CB8">
        <w:t>Coroneos</w:t>
      </w:r>
      <w:proofErr w:type="spellEnd"/>
      <w:r w:rsidR="00482CB8">
        <w:t xml:space="preserve"> sent a few days prior was es</w:t>
      </w:r>
      <w:r w:rsidR="00F40047">
        <w:t xml:space="preserve">timated to affect 161 clients. </w:t>
      </w:r>
      <w:r w:rsidR="004E213B">
        <w:t xml:space="preserve">It </w:t>
      </w:r>
      <w:r w:rsidR="00F332E4">
        <w:t xml:space="preserve">was addressed to Mr Trevor Clarke of ASIC and </w:t>
      </w:r>
      <w:r w:rsidR="004E213B">
        <w:t xml:space="preserve">was </w:t>
      </w:r>
      <w:r w:rsidR="009B7A0F">
        <w:t xml:space="preserve">sent by Mr </w:t>
      </w:r>
      <w:r w:rsidR="00F332E4">
        <w:t>Wallace</w:t>
      </w:r>
      <w:r w:rsidR="009B7A0F">
        <w:t xml:space="preserve"> (who, it will be recalled</w:t>
      </w:r>
      <w:r w:rsidR="00F332E4">
        <w:t xml:space="preserve">, </w:t>
      </w:r>
      <w:r w:rsidR="009B7A0F">
        <w:t>had received</w:t>
      </w:r>
      <w:r w:rsidR="009B7A0F" w:rsidRPr="009B7A0F">
        <w:t xml:space="preserve"> Ms </w:t>
      </w:r>
      <w:proofErr w:type="spellStart"/>
      <w:r w:rsidR="009B7A0F" w:rsidRPr="009B7A0F">
        <w:t>Firmansjah</w:t>
      </w:r>
      <w:r w:rsidR="009B7A0F">
        <w:t>’s</w:t>
      </w:r>
      <w:proofErr w:type="spellEnd"/>
      <w:r w:rsidR="009B7A0F">
        <w:t xml:space="preserve"> </w:t>
      </w:r>
      <w:r w:rsidR="009B7A0F" w:rsidRPr="009B7A0F">
        <w:t xml:space="preserve">summary of the recommendation of the </w:t>
      </w:r>
      <w:r w:rsidR="007939C0">
        <w:t xml:space="preserve">first Issues Panel </w:t>
      </w:r>
      <w:r w:rsidR="009B7A0F">
        <w:t xml:space="preserve">and </w:t>
      </w:r>
      <w:r w:rsidR="009B7A0F">
        <w:lastRenderedPageBreak/>
        <w:t xml:space="preserve">attended the </w:t>
      </w:r>
      <w:r w:rsidR="00902FC8">
        <w:t>r</w:t>
      </w:r>
      <w:r w:rsidR="007B2AE9">
        <w:t xml:space="preserve">econstituted Issues </w:t>
      </w:r>
      <w:r w:rsidR="007B2AE9" w:rsidRPr="005F2289">
        <w:t xml:space="preserve">Panel </w:t>
      </w:r>
      <w:r w:rsidR="009B7A0F">
        <w:t>meeting)</w:t>
      </w:r>
      <w:r w:rsidR="00F40047">
        <w:t xml:space="preserve">. </w:t>
      </w:r>
      <w:r w:rsidR="003A595E">
        <w:t xml:space="preserve">There may have been some prior dealings </w:t>
      </w:r>
      <w:r w:rsidR="00DF3C35">
        <w:t xml:space="preserve">or communications </w:t>
      </w:r>
      <w:r w:rsidR="003A595E">
        <w:t xml:space="preserve">between </w:t>
      </w:r>
      <w:r w:rsidR="009B7A0F">
        <w:t xml:space="preserve">Mr Wallace </w:t>
      </w:r>
      <w:r w:rsidR="003A595E">
        <w:t xml:space="preserve">and </w:t>
      </w:r>
      <w:r w:rsidR="00F332E4">
        <w:t>Mr Clarke</w:t>
      </w:r>
      <w:r w:rsidR="003A595E">
        <w:t xml:space="preserve"> but there was no evidence adduced of them</w:t>
      </w:r>
      <w:r w:rsidR="00301CCB">
        <w:t xml:space="preserve"> and it probably does not matter</w:t>
      </w:r>
      <w:r w:rsidR="003A595E">
        <w:t xml:space="preserve">: all that is apparent from the letter is that Mr Wallace was </w:t>
      </w:r>
      <w:r w:rsidR="00702035">
        <w:t>sufficiently familiar</w:t>
      </w:r>
      <w:r w:rsidR="00BE31E3">
        <w:t xml:space="preserve"> </w:t>
      </w:r>
      <w:r w:rsidR="003A595E">
        <w:t xml:space="preserve">with Mr Clarke </w:t>
      </w:r>
      <w:r w:rsidR="00BE31E3">
        <w:t xml:space="preserve">to </w:t>
      </w:r>
      <w:r w:rsidR="00433CAD">
        <w:t>adopt the salutation</w:t>
      </w:r>
      <w:r w:rsidR="009A6F06">
        <w:t xml:space="preserve"> </w:t>
      </w:r>
      <w:r w:rsidR="00433CAD">
        <w:t>“Dear Trevor”</w:t>
      </w:r>
      <w:r w:rsidR="003A595E">
        <w:t>.</w:t>
      </w:r>
      <w:r w:rsidR="005A06EB">
        <w:t xml:space="preserve"> </w:t>
      </w:r>
      <w:r w:rsidR="003A595E">
        <w:t>In any event,</w:t>
      </w:r>
      <w:r w:rsidR="00B30A26">
        <w:t xml:space="preserve"> </w:t>
      </w:r>
      <w:r w:rsidR="009A6F06">
        <w:t>he wrote to him</w:t>
      </w:r>
      <w:r w:rsidR="009B7A0F">
        <w:t xml:space="preserve"> </w:t>
      </w:r>
      <w:r w:rsidR="00F332E4">
        <w:t>in the following terms:</w:t>
      </w:r>
    </w:p>
    <w:p w:rsidR="00F332E4" w:rsidRDefault="00F332E4" w:rsidP="00F332E4">
      <w:pPr>
        <w:pStyle w:val="Quote1"/>
      </w:pPr>
      <w:r>
        <w:rPr>
          <w:b/>
        </w:rPr>
        <w:t>Re:</w:t>
      </w:r>
      <w:r w:rsidR="00F40047">
        <w:rPr>
          <w:b/>
        </w:rPr>
        <w:t xml:space="preserve"> </w:t>
      </w:r>
      <w:r>
        <w:rPr>
          <w:b/>
        </w:rPr>
        <w:t>Issue of concern with a former authorised representative</w:t>
      </w:r>
    </w:p>
    <w:p w:rsidR="00F332E4" w:rsidRDefault="009B7A0F" w:rsidP="00F332E4">
      <w:pPr>
        <w:pStyle w:val="Quote1"/>
      </w:pPr>
      <w:r>
        <w:t>[</w:t>
      </w:r>
      <w:r w:rsidR="00F332E4">
        <w:t>AM</w:t>
      </w:r>
      <w:r>
        <w:t xml:space="preserve">PFP] </w:t>
      </w:r>
      <w:r w:rsidR="00F332E4">
        <w:t>has identified a matter of concern in relation to a former authorised representative.</w:t>
      </w:r>
      <w:r w:rsidR="00F40047">
        <w:t xml:space="preserve"> </w:t>
      </w:r>
      <w:r w:rsidR="00F332E4">
        <w:t xml:space="preserve">We consider the matter serious and wish to bring the details to the attention of </w:t>
      </w:r>
      <w:r>
        <w:t>[ASIC]</w:t>
      </w:r>
      <w:r w:rsidR="001C2C4D">
        <w:t xml:space="preserve"> as to how we are resolving this identified matter and whether the individual should be able to represent a licensee in the future to provide financial services.</w:t>
      </w:r>
    </w:p>
    <w:p w:rsidR="001C2C4D" w:rsidRDefault="001C2C4D" w:rsidP="00F332E4">
      <w:pPr>
        <w:pStyle w:val="Quote1"/>
      </w:pPr>
      <w:r>
        <w:t>The individual concerned was terminated as an authorised representative of AMPFP in September 20</w:t>
      </w:r>
      <w:r w:rsidR="007637EB">
        <w:t>14 for cancelling in-force AMP i</w:t>
      </w:r>
      <w:r>
        <w:t>nsurance cover for a number of clients and replacing it within a fortnight via a new application for AMP insurance cover.</w:t>
      </w:r>
    </w:p>
    <w:p w:rsidR="001C2C4D" w:rsidRDefault="001C2C4D" w:rsidP="00F332E4">
      <w:pPr>
        <w:pStyle w:val="Quote1"/>
      </w:pPr>
      <w:r>
        <w:t>AMPFP is in the process of undertaking an analysis on identified clients.</w:t>
      </w:r>
      <w:r w:rsidR="00F40047">
        <w:t xml:space="preserve"> </w:t>
      </w:r>
      <w:r>
        <w:t>On completion of this analysis, we intend to contact impacted clients to highlight any areas of concern found as a result of the analysis.</w:t>
      </w:r>
      <w:r w:rsidR="00F40047">
        <w:t xml:space="preserve"> </w:t>
      </w:r>
      <w:r>
        <w:t>AMPFP will also provide an invitation for the impacted clients to come for a review of their circumstances at no cost to them.</w:t>
      </w:r>
      <w:r w:rsidR="00F40047">
        <w:t xml:space="preserve"> </w:t>
      </w:r>
      <w:r>
        <w:t>The clients’ current circumstances will guide the most appropriate remedial actions.</w:t>
      </w:r>
    </w:p>
    <w:p w:rsidR="001C2C4D" w:rsidRDefault="001C2C4D" w:rsidP="00F332E4">
      <w:pPr>
        <w:pStyle w:val="Quote1"/>
      </w:pPr>
      <w:r>
        <w:t>The seriousness of this matter leads AMPFP to be concerned that this former authorised representative should not be in a position to continue to advise clients on their personal financial situation.</w:t>
      </w:r>
    </w:p>
    <w:p w:rsidR="001C2C4D" w:rsidRDefault="001C2C4D" w:rsidP="00F332E4">
      <w:pPr>
        <w:pStyle w:val="Quote1"/>
      </w:pPr>
      <w:r>
        <w:t>For this reason, we will report this authorised representative’s conduct to ASIC as per its guidance on ‘tip offs information of concern and reports of misconduct’.</w:t>
      </w:r>
    </w:p>
    <w:p w:rsidR="001C2C4D" w:rsidRDefault="001C2C4D" w:rsidP="00F332E4">
      <w:pPr>
        <w:pStyle w:val="Quote1"/>
      </w:pPr>
      <w:r>
        <w:t>Please contact me directly on [</w:t>
      </w:r>
      <w:r w:rsidR="009B7A0F">
        <w:t xml:space="preserve">… </w:t>
      </w:r>
      <w:r>
        <w:t>] or email [</w:t>
      </w:r>
      <w:r w:rsidR="009B7A0F">
        <w:t>…</w:t>
      </w:r>
      <w:r>
        <w:t xml:space="preserve"> ] if you have further questions.</w:t>
      </w:r>
    </w:p>
    <w:p w:rsidR="001C2C4D" w:rsidRDefault="001C2C4D" w:rsidP="00F332E4">
      <w:pPr>
        <w:pStyle w:val="Quote1"/>
      </w:pPr>
      <w:r>
        <w:t>Yours sincerely,</w:t>
      </w:r>
    </w:p>
    <w:p w:rsidR="001C2C4D" w:rsidRDefault="001C2C4D" w:rsidP="00F332E4">
      <w:pPr>
        <w:pStyle w:val="Quote1"/>
      </w:pPr>
    </w:p>
    <w:p w:rsidR="001C2C4D" w:rsidRDefault="001C2C4D" w:rsidP="007637EB">
      <w:pPr>
        <w:pStyle w:val="Quote1"/>
        <w:spacing w:after="0"/>
        <w:rPr>
          <w:b/>
        </w:rPr>
      </w:pPr>
      <w:r>
        <w:rPr>
          <w:b/>
        </w:rPr>
        <w:t>Simon Wallace</w:t>
      </w:r>
    </w:p>
    <w:p w:rsidR="007637EB" w:rsidRPr="007637EB" w:rsidRDefault="007637EB" w:rsidP="00F332E4">
      <w:pPr>
        <w:pStyle w:val="Quote1"/>
      </w:pPr>
      <w:r w:rsidRPr="007637EB">
        <w:t>Director, Client Solutions and Advice Services</w:t>
      </w:r>
    </w:p>
    <w:p w:rsidR="00A24942" w:rsidRDefault="003B3C7B" w:rsidP="003B3C7B">
      <w:pPr>
        <w:pStyle w:val="ParaNumbering"/>
        <w:numPr>
          <w:ilvl w:val="0"/>
          <w:numId w:val="0"/>
        </w:numPr>
        <w:tabs>
          <w:tab w:val="left" w:pos="720"/>
        </w:tabs>
        <w:ind w:hanging="720"/>
      </w:pPr>
      <w:r>
        <w:rPr>
          <w:sz w:val="20"/>
        </w:rPr>
        <w:t>18</w:t>
      </w:r>
      <w:r>
        <w:rPr>
          <w:sz w:val="20"/>
        </w:rPr>
        <w:tab/>
      </w:r>
      <w:r w:rsidR="00A52A90">
        <w:t>The use of the idiom “b</w:t>
      </w:r>
      <w:r w:rsidR="00C11E98" w:rsidRPr="00C11E98">
        <w:t>ad apple</w:t>
      </w:r>
      <w:r w:rsidR="00A52A90">
        <w:t xml:space="preserve">” by </w:t>
      </w:r>
      <w:r w:rsidR="0026113A">
        <w:t xml:space="preserve">the </w:t>
      </w:r>
      <w:r w:rsidR="00A52A90">
        <w:t xml:space="preserve">reconstituted Issues </w:t>
      </w:r>
      <w:r w:rsidR="00A52A90" w:rsidRPr="005F2289">
        <w:t>Panel</w:t>
      </w:r>
      <w:r w:rsidR="00F40047">
        <w:t xml:space="preserve"> </w:t>
      </w:r>
      <w:r w:rsidR="004E5D94">
        <w:t xml:space="preserve">to describe this letter </w:t>
      </w:r>
      <w:r w:rsidR="005B1A3E">
        <w:t xml:space="preserve">seems to me </w:t>
      </w:r>
      <w:r w:rsidR="00F40047">
        <w:t xml:space="preserve">significant. </w:t>
      </w:r>
      <w:r w:rsidR="00A52A90">
        <w:t>When adopted, idioms, derived from proverbs</w:t>
      </w:r>
      <w:r w:rsidR="00902FC8">
        <w:t>,</w:t>
      </w:r>
      <w:r w:rsidR="00A52A90">
        <w:t xml:space="preserve"> c</w:t>
      </w:r>
      <w:r w:rsidR="00C11E98" w:rsidRPr="00C11E98">
        <w:t>onvey a concise idea</w:t>
      </w:r>
      <w:r w:rsidR="00A52A90">
        <w:t xml:space="preserve"> graphically, and the idea is given force by the use of </w:t>
      </w:r>
      <w:r w:rsidR="00C11E98" w:rsidRPr="00C11E98">
        <w:t>metaphorical figure of speech</w:t>
      </w:r>
      <w:r w:rsidR="00A52A90">
        <w:t xml:space="preserve">. What the reconstituted Issues Panel was seeking to do was to convey </w:t>
      </w:r>
      <w:r w:rsidR="004E5D94">
        <w:t xml:space="preserve">to ASIC </w:t>
      </w:r>
      <w:r w:rsidR="00A52A90">
        <w:t>the notion that having recognised an isolated problem</w:t>
      </w:r>
      <w:r w:rsidR="00B368E5">
        <w:t xml:space="preserve"> (the bad apple)</w:t>
      </w:r>
      <w:r w:rsidR="00A52A90">
        <w:t>, action was being taken to ensure it did not pollute or spread more widely</w:t>
      </w:r>
      <w:r w:rsidR="00B368E5">
        <w:t xml:space="preserve"> (to the barrel of otherwise good apples)</w:t>
      </w:r>
      <w:r w:rsidR="00A52A90">
        <w:t xml:space="preserve">. The letter </w:t>
      </w:r>
      <w:r w:rsidR="00B368E5">
        <w:t xml:space="preserve">was aptly named and was </w:t>
      </w:r>
      <w:r w:rsidR="00A52A90">
        <w:t xml:space="preserve">sent </w:t>
      </w:r>
      <w:r w:rsidR="00B368E5">
        <w:t xml:space="preserve">to </w:t>
      </w:r>
      <w:r w:rsidR="00A52A90">
        <w:t>convey t</w:t>
      </w:r>
      <w:r w:rsidR="00B368E5">
        <w:t>he</w:t>
      </w:r>
      <w:r w:rsidR="00A52A90">
        <w:t xml:space="preserve"> notion settled upon by the reconstituted Issues </w:t>
      </w:r>
      <w:r w:rsidR="00A52A90" w:rsidRPr="005F2289">
        <w:t>Panel</w:t>
      </w:r>
      <w:r w:rsidR="00F40047">
        <w:t xml:space="preserve">. </w:t>
      </w:r>
      <w:r w:rsidR="00FB2A20">
        <w:t>On the evidence before me, i</w:t>
      </w:r>
      <w:r w:rsidR="00A52A90">
        <w:t xml:space="preserve">n the absence of </w:t>
      </w:r>
      <w:r w:rsidR="00103373">
        <w:t xml:space="preserve">a proper and thorough </w:t>
      </w:r>
      <w:r w:rsidR="00A52A90">
        <w:t xml:space="preserve">investigation, there was no basis, </w:t>
      </w:r>
      <w:r w:rsidR="00A52A90">
        <w:lastRenderedPageBreak/>
        <w:t xml:space="preserve">let alone </w:t>
      </w:r>
      <w:r w:rsidR="005B1A3E">
        <w:t xml:space="preserve">a reasonable basis, for the </w:t>
      </w:r>
      <w:r w:rsidR="00A52A90">
        <w:t>idea to be conveyed to ASIC</w:t>
      </w:r>
      <w:r w:rsidR="005B1A3E">
        <w:t xml:space="preserve"> that there was an isolated “bad apple”</w:t>
      </w:r>
      <w:r w:rsidR="00A52A90">
        <w:t>.</w:t>
      </w:r>
      <w:r w:rsidR="00F40047">
        <w:t xml:space="preserve"> </w:t>
      </w:r>
    </w:p>
    <w:p w:rsidR="00A24942" w:rsidRDefault="003B3C7B" w:rsidP="003B3C7B">
      <w:pPr>
        <w:pStyle w:val="ParaNumbering"/>
        <w:numPr>
          <w:ilvl w:val="0"/>
          <w:numId w:val="0"/>
        </w:numPr>
        <w:tabs>
          <w:tab w:val="left" w:pos="720"/>
        </w:tabs>
        <w:ind w:hanging="720"/>
      </w:pPr>
      <w:r>
        <w:rPr>
          <w:sz w:val="20"/>
        </w:rPr>
        <w:t>19</w:t>
      </w:r>
      <w:r>
        <w:rPr>
          <w:sz w:val="20"/>
        </w:rPr>
        <w:tab/>
      </w:r>
      <w:r w:rsidR="00A24942">
        <w:t>Returning to the conduct of AMPFP back in October 2014, senior counsel for AMPFP submitted that the reconstituted Issues Panel</w:t>
      </w:r>
      <w:r w:rsidR="00A24942" w:rsidRPr="005F2289">
        <w:t xml:space="preserve"> </w:t>
      </w:r>
      <w:r w:rsidR="00A24942">
        <w:t>that met on 16 October</w:t>
      </w:r>
      <w:r w:rsidR="00F86EEB">
        <w:t xml:space="preserve"> 2014 simply “missed the point”. A</w:t>
      </w:r>
      <w:r w:rsidR="00A24942">
        <w:t xml:space="preserve">s I observed during the course of the hearing, a more realistic conclusion </w:t>
      </w:r>
      <w:r w:rsidR="009153CD">
        <w:t>is</w:t>
      </w:r>
      <w:r w:rsidR="00A24942">
        <w:t xml:space="preserve"> that they understood the point, and they understood it with a crystal-clear clarity</w:t>
      </w:r>
      <w:r w:rsidR="00F40047">
        <w:t xml:space="preserve">. </w:t>
      </w:r>
      <w:r w:rsidR="00A24942">
        <w:t>This was not “missing the point”; it was evidently an exercise in damage control.</w:t>
      </w:r>
    </w:p>
    <w:p w:rsidR="00A24942" w:rsidRDefault="003B3C7B" w:rsidP="003B3C7B">
      <w:pPr>
        <w:pStyle w:val="ParaNumbering"/>
        <w:numPr>
          <w:ilvl w:val="0"/>
          <w:numId w:val="0"/>
        </w:numPr>
        <w:tabs>
          <w:tab w:val="left" w:pos="720"/>
        </w:tabs>
        <w:ind w:hanging="720"/>
      </w:pPr>
      <w:r>
        <w:rPr>
          <w:sz w:val="20"/>
        </w:rPr>
        <w:t>20</w:t>
      </w:r>
      <w:r>
        <w:rPr>
          <w:sz w:val="20"/>
        </w:rPr>
        <w:tab/>
      </w:r>
      <w:r w:rsidR="005B1A3E">
        <w:t xml:space="preserve">It was </w:t>
      </w:r>
      <w:r w:rsidR="00341917">
        <w:t>evidently obvious</w:t>
      </w:r>
      <w:r w:rsidR="005B1A3E">
        <w:t xml:space="preserve"> to the first Issues Panel that there was a </w:t>
      </w:r>
      <w:r w:rsidR="005B1A3E" w:rsidRPr="005B1A3E">
        <w:t>“gap in effectiveness” in being able to “identify and bring to an end any undesirable actions by an adviser”</w:t>
      </w:r>
      <w:r w:rsidR="005B1A3E">
        <w:t>.  In these circumstances,</w:t>
      </w:r>
      <w:r w:rsidR="005B1A3E" w:rsidRPr="005B1A3E">
        <w:t xml:space="preserve"> </w:t>
      </w:r>
      <w:r w:rsidR="005B1A3E">
        <w:t xml:space="preserve">and given the first Issues Panel was of the view </w:t>
      </w:r>
      <w:r w:rsidR="00A24942">
        <w:t>“</w:t>
      </w:r>
      <w:r w:rsidR="00A24942" w:rsidRPr="005F2289">
        <w:t xml:space="preserve">that the </w:t>
      </w:r>
      <w:r w:rsidR="00A24942">
        <w:t xml:space="preserve">matter </w:t>
      </w:r>
      <w:r w:rsidR="001212F4">
        <w:t>[was]</w:t>
      </w:r>
      <w:r w:rsidR="00A24942">
        <w:t xml:space="preserve"> reportable” to ASIC under s 912D </w:t>
      </w:r>
      <w:r w:rsidR="003E277B">
        <w:t>and recommended accordingly, and yet</w:t>
      </w:r>
      <w:r w:rsidR="00A24942">
        <w:t xml:space="preserve"> it was apparently thought, by those at the top of the organisation, that it was appropriate to revisit this </w:t>
      </w:r>
      <w:r w:rsidR="003E277B">
        <w:t>course</w:t>
      </w:r>
      <w:r w:rsidR="00A24942">
        <w:t>, it might be said that this incident raise</w:t>
      </w:r>
      <w:r w:rsidR="00810D52">
        <w:t xml:space="preserve">s some important </w:t>
      </w:r>
      <w:r w:rsidR="00A24942">
        <w:t>questions.</w:t>
      </w:r>
    </w:p>
    <w:p w:rsidR="00A24942" w:rsidRPr="00E73959" w:rsidRDefault="003B3C7B" w:rsidP="003B3C7B">
      <w:pPr>
        <w:pStyle w:val="ParaNumbering"/>
        <w:numPr>
          <w:ilvl w:val="0"/>
          <w:numId w:val="0"/>
        </w:numPr>
        <w:tabs>
          <w:tab w:val="left" w:pos="720"/>
        </w:tabs>
        <w:ind w:hanging="720"/>
      </w:pPr>
      <w:r w:rsidRPr="00E73959">
        <w:rPr>
          <w:sz w:val="20"/>
        </w:rPr>
        <w:t>21</w:t>
      </w:r>
      <w:r w:rsidRPr="00E73959">
        <w:rPr>
          <w:sz w:val="20"/>
        </w:rPr>
        <w:tab/>
      </w:r>
      <w:r w:rsidR="00A24942">
        <w:t>But I must not go beyond the is</w:t>
      </w:r>
      <w:r w:rsidR="00F40047">
        <w:t xml:space="preserve">sues as framed by the parties. </w:t>
      </w:r>
      <w:r w:rsidR="00A24942">
        <w:t>It is important to stress that ASIC does not ask me to make findings that this conduct amounted to any breach of s 912D.</w:t>
      </w:r>
      <w:r w:rsidR="00F40047">
        <w:t xml:space="preserve"> </w:t>
      </w:r>
      <w:r w:rsidR="00A24942">
        <w:t>Given the possible consequences that can fl</w:t>
      </w:r>
      <w:r w:rsidR="004E5D94">
        <w:t>ow from a breach of this</w:t>
      </w:r>
      <w:r w:rsidR="00A24942">
        <w:t xml:space="preserve"> statutory norm, it is inappropriate for me to draw a legal conclusion as to whether there was, in fact, an obligation to re</w:t>
      </w:r>
      <w:r w:rsidR="00F40047">
        <w:t xml:space="preserve">port in </w:t>
      </w:r>
      <w:r w:rsidR="00511B6B">
        <w:t xml:space="preserve">accordance with the section in </w:t>
      </w:r>
      <w:r w:rsidR="00F40047">
        <w:t xml:space="preserve">all the circumstances. </w:t>
      </w:r>
      <w:r w:rsidR="00A77B70">
        <w:t xml:space="preserve">In fairness to all concerned, there may be </w:t>
      </w:r>
      <w:r w:rsidR="00341917">
        <w:t xml:space="preserve">additional </w:t>
      </w:r>
      <w:r w:rsidR="00A77B70">
        <w:t xml:space="preserve">evidence that bears upon the conduct of those concerned that was not adduced because it was </w:t>
      </w:r>
      <w:r w:rsidR="00341917">
        <w:t xml:space="preserve">thought by the parties to this proceeding </w:t>
      </w:r>
      <w:r w:rsidR="00511B6B">
        <w:t>as</w:t>
      </w:r>
      <w:r w:rsidR="00341917">
        <w:t xml:space="preserve"> </w:t>
      </w:r>
      <w:r w:rsidR="00511B6B">
        <w:t xml:space="preserve">being </w:t>
      </w:r>
      <w:r w:rsidR="00341917">
        <w:t>ir</w:t>
      </w:r>
      <w:r w:rsidR="00A77B70">
        <w:t>relevant to the facts in issue in this case.</w:t>
      </w:r>
      <w:r w:rsidR="005A06EB">
        <w:t xml:space="preserve"> </w:t>
      </w:r>
      <w:r w:rsidR="00A24942">
        <w:t xml:space="preserve">But two things are pellucid: </w:t>
      </w:r>
      <w:r w:rsidR="00A24942" w:rsidRPr="00586455">
        <w:rPr>
          <w:i/>
        </w:rPr>
        <w:t>first</w:t>
      </w:r>
      <w:r w:rsidR="00A24942">
        <w:t>, far from minimising the conduct of Panganiban as a “bad apple”, as AMPFP now accept</w:t>
      </w:r>
      <w:r w:rsidR="001212F4">
        <w:t>s</w:t>
      </w:r>
      <w:r w:rsidR="00A24942">
        <w:t xml:space="preserve">, it should have taken steps (indeed at a stage far earlier than at the stage of the </w:t>
      </w:r>
      <w:r w:rsidR="00103373">
        <w:t xml:space="preserve">first </w:t>
      </w:r>
      <w:r w:rsidR="00A24942">
        <w:t xml:space="preserve">Issues Panel) to determine the extent and seriousness of </w:t>
      </w:r>
      <w:r w:rsidR="00B974AE">
        <w:t xml:space="preserve">the </w:t>
      </w:r>
      <w:r w:rsidR="00A24942">
        <w:t>Rewriting Conduct with a view to identifying evidence of such behaviour in the wider representative network and assessed what changes were needed to improve existing controls to prevent and detect such conduct.</w:t>
      </w:r>
    </w:p>
    <w:p w:rsidR="00A24942" w:rsidRDefault="003B3C7B" w:rsidP="003B3C7B">
      <w:pPr>
        <w:pStyle w:val="ParaNumbering"/>
        <w:numPr>
          <w:ilvl w:val="0"/>
          <w:numId w:val="0"/>
        </w:numPr>
        <w:tabs>
          <w:tab w:val="left" w:pos="720"/>
        </w:tabs>
        <w:ind w:hanging="720"/>
      </w:pPr>
      <w:r>
        <w:rPr>
          <w:sz w:val="20"/>
        </w:rPr>
        <w:t>22</w:t>
      </w:r>
      <w:r>
        <w:rPr>
          <w:sz w:val="20"/>
        </w:rPr>
        <w:tab/>
      </w:r>
      <w:r w:rsidR="00A24942" w:rsidRPr="00586455">
        <w:rPr>
          <w:i/>
        </w:rPr>
        <w:t>Secondly</w:t>
      </w:r>
      <w:r w:rsidR="00A24942">
        <w:t xml:space="preserve">, given the state of the evidence, the submission of AMPFP that I should be satisfied </w:t>
      </w:r>
      <w:r w:rsidR="00A24942" w:rsidRPr="0096739F">
        <w:t xml:space="preserve">that this conduct of the reconstituted Issues Panel is explicable as </w:t>
      </w:r>
      <w:r w:rsidR="00A24942">
        <w:t xml:space="preserve">simply </w:t>
      </w:r>
      <w:r w:rsidR="00A24942" w:rsidRPr="0096739F">
        <w:t xml:space="preserve">“missing the point” </w:t>
      </w:r>
      <w:r w:rsidR="00A24942">
        <w:t xml:space="preserve">is one I emphatically </w:t>
      </w:r>
      <w:r w:rsidR="00F40047">
        <w:t xml:space="preserve">reject. </w:t>
      </w:r>
      <w:r w:rsidR="00A24942">
        <w:t xml:space="preserve">As it is, these </w:t>
      </w:r>
      <w:r w:rsidR="00A77B70">
        <w:t>singular</w:t>
      </w:r>
      <w:r w:rsidR="00433CAD">
        <w:t xml:space="preserve"> circumstances are </w:t>
      </w:r>
      <w:r w:rsidR="00A24942">
        <w:t xml:space="preserve">relevant to the submission made by ASIC </w:t>
      </w:r>
      <w:r w:rsidR="00A24942" w:rsidRPr="0096739F">
        <w:t xml:space="preserve">that during this period AMPFP </w:t>
      </w:r>
      <w:r w:rsidR="00A24942">
        <w:t>did not have an adequate</w:t>
      </w:r>
      <w:r w:rsidR="00A24942" w:rsidRPr="0096739F">
        <w:t xml:space="preserve"> </w:t>
      </w:r>
      <w:r w:rsidR="00B11041">
        <w:t>“</w:t>
      </w:r>
      <w:r w:rsidR="00A24942" w:rsidRPr="0096739F">
        <w:t>culture of c</w:t>
      </w:r>
      <w:r w:rsidR="00A24942">
        <w:t>ompliance</w:t>
      </w:r>
      <w:r w:rsidR="00B11041">
        <w:t>”</w:t>
      </w:r>
      <w:r w:rsidR="00A24942">
        <w:t>, which is a submission that should be accepted.</w:t>
      </w:r>
      <w:r w:rsidR="005A06EB">
        <w:t xml:space="preserve"> </w:t>
      </w:r>
      <w:r w:rsidR="00433CAD">
        <w:t xml:space="preserve">It is also relevant to note that even </w:t>
      </w:r>
      <w:r w:rsidR="00433CAD">
        <w:lastRenderedPageBreak/>
        <w:t>when senior management at the highest level became involved, the necessary steps were not undertaken by AMPFP, and there remained a failure to take reasonable steps to ensure Rewriting Conduct did not continue to occur in the broader network.</w:t>
      </w:r>
    </w:p>
    <w:p w:rsidR="00FC3B16" w:rsidRDefault="003B3C7B" w:rsidP="00E63726">
      <w:pPr>
        <w:pStyle w:val="Heading1"/>
      </w:pPr>
      <w:bookmarkStart w:id="19" w:name="_Ref29821113"/>
      <w:bookmarkStart w:id="20" w:name="_Ref30603894"/>
      <w:r w:rsidRPr="009B3347">
        <w:rPr>
          <w:caps w:val="0"/>
        </w:rPr>
        <w:t>B</w:t>
      </w:r>
      <w:r w:rsidRPr="009B3347">
        <w:rPr>
          <w:caps w:val="0"/>
        </w:rPr>
        <w:tab/>
      </w:r>
      <w:bookmarkEnd w:id="19"/>
      <w:r>
        <w:rPr>
          <w:caps w:val="0"/>
        </w:rPr>
        <w:t>ENFORCEMENT ACTION BY ASIC</w:t>
      </w:r>
      <w:bookmarkEnd w:id="20"/>
    </w:p>
    <w:p w:rsidR="00593DC1" w:rsidRDefault="00593DC1" w:rsidP="007D2BAB">
      <w:pPr>
        <w:pStyle w:val="Heading2"/>
      </w:pPr>
      <w:bookmarkStart w:id="21" w:name="_Ref30603895"/>
      <w:r>
        <w:t>B.1</w:t>
      </w:r>
      <w:r>
        <w:tab/>
        <w:t>ASIC investigation</w:t>
      </w:r>
      <w:bookmarkEnd w:id="21"/>
    </w:p>
    <w:p w:rsidR="00CE7B77" w:rsidRDefault="003B3C7B" w:rsidP="003B3C7B">
      <w:pPr>
        <w:pStyle w:val="ParaNumbering"/>
        <w:numPr>
          <w:ilvl w:val="0"/>
          <w:numId w:val="0"/>
        </w:numPr>
        <w:tabs>
          <w:tab w:val="left" w:pos="720"/>
        </w:tabs>
        <w:ind w:hanging="720"/>
      </w:pPr>
      <w:r>
        <w:rPr>
          <w:sz w:val="20"/>
        </w:rPr>
        <w:t>23</w:t>
      </w:r>
      <w:r>
        <w:rPr>
          <w:sz w:val="20"/>
        </w:rPr>
        <w:tab/>
      </w:r>
      <w:r w:rsidR="00CE7B77">
        <w:t>There was no direct</w:t>
      </w:r>
      <w:r w:rsidR="003E277B">
        <w:t xml:space="preserve"> evidence of what ASIC immediately </w:t>
      </w:r>
      <w:r w:rsidR="00CE7B77">
        <w:t>did or did not do with the “bad apple” letter. Despite this, it is possible to infer there were some relevant communications between AMPFP and ASIC</w:t>
      </w:r>
      <w:r w:rsidR="00E53395">
        <w:t xml:space="preserve"> shortly after the dispatch of the letter</w:t>
      </w:r>
      <w:r w:rsidR="00CE7B77">
        <w:t xml:space="preserve">, because in evidence is a later internal email from Mr </w:t>
      </w:r>
      <w:proofErr w:type="spellStart"/>
      <w:r w:rsidR="00CE7B77">
        <w:t>Coroneos</w:t>
      </w:r>
      <w:proofErr w:type="spellEnd"/>
      <w:r w:rsidR="00CE7B77">
        <w:t xml:space="preserve"> dated 14 November 2014:</w:t>
      </w:r>
    </w:p>
    <w:p w:rsidR="00CE7B77" w:rsidRDefault="00CE7B77" w:rsidP="00CE7B77">
      <w:pPr>
        <w:pStyle w:val="Quote1"/>
      </w:pPr>
      <w:r>
        <w:t>As mentioned, the time frame will not be as tight given we now have a definitive number for our initial response to ASIC.</w:t>
      </w:r>
      <w:r w:rsidR="00F40047">
        <w:t xml:space="preserve"> </w:t>
      </w:r>
      <w:r>
        <w:t>It would be appreciated if you could please provide the additional client information by the end of the month.</w:t>
      </w:r>
      <w:r w:rsidR="00F40047">
        <w:t xml:space="preserve"> </w:t>
      </w:r>
      <w:r>
        <w:t>As soon as I know what ASIC has requested, I will let you know as this may influence the timeframe and ease the pressure on your team.</w:t>
      </w:r>
    </w:p>
    <w:p w:rsidR="00CE7B77" w:rsidRDefault="003B3C7B" w:rsidP="003B3C7B">
      <w:pPr>
        <w:pStyle w:val="ParaNumbering"/>
        <w:numPr>
          <w:ilvl w:val="0"/>
          <w:numId w:val="0"/>
        </w:numPr>
        <w:tabs>
          <w:tab w:val="left" w:pos="720"/>
        </w:tabs>
        <w:ind w:hanging="720"/>
      </w:pPr>
      <w:r>
        <w:rPr>
          <w:sz w:val="20"/>
        </w:rPr>
        <w:t>24</w:t>
      </w:r>
      <w:r>
        <w:rPr>
          <w:sz w:val="20"/>
        </w:rPr>
        <w:tab/>
      </w:r>
      <w:r w:rsidR="00CE7B77">
        <w:t>However, leaving aside this Delphic communication, and d</w:t>
      </w:r>
      <w:r w:rsidR="00CE7B77" w:rsidRPr="00D94436">
        <w:t xml:space="preserve">espite AMPFP calling Mr </w:t>
      </w:r>
      <w:proofErr w:type="spellStart"/>
      <w:r w:rsidR="00CE7B77" w:rsidRPr="00D94436">
        <w:t>Coroneos</w:t>
      </w:r>
      <w:proofErr w:type="spellEnd"/>
      <w:r w:rsidR="00CE7B77" w:rsidRPr="00D94436">
        <w:t xml:space="preserve"> and Ms </w:t>
      </w:r>
      <w:proofErr w:type="spellStart"/>
      <w:r w:rsidR="00CE7B77" w:rsidRPr="00D94436">
        <w:t>Firmansjah</w:t>
      </w:r>
      <w:proofErr w:type="spellEnd"/>
      <w:r w:rsidR="00CE7B77" w:rsidRPr="00D94436">
        <w:t xml:space="preserve">, </w:t>
      </w:r>
      <w:r w:rsidR="00E53395">
        <w:t xml:space="preserve">the </w:t>
      </w:r>
      <w:r w:rsidR="00CE7B77">
        <w:t xml:space="preserve">extent of any </w:t>
      </w:r>
      <w:r w:rsidR="00A77B70">
        <w:t xml:space="preserve">immediate </w:t>
      </w:r>
      <w:r w:rsidR="00CE7B77">
        <w:t xml:space="preserve">investigation by ASIC to follow up the “bad apple” letter directly is not entirely clear. That said, the following can be gleaned </w:t>
      </w:r>
      <w:r w:rsidR="00810D52">
        <w:t xml:space="preserve">by piecing together </w:t>
      </w:r>
      <w:r w:rsidR="00CE7B77">
        <w:t>what is in evidence</w:t>
      </w:r>
      <w:r w:rsidR="003E277B">
        <w:t xml:space="preserve"> as to subsequent events</w:t>
      </w:r>
      <w:r w:rsidR="00CE7B77">
        <w:t>.</w:t>
      </w:r>
    </w:p>
    <w:p w:rsidR="00CE7B77" w:rsidRDefault="003B3C7B" w:rsidP="003B3C7B">
      <w:pPr>
        <w:pStyle w:val="ParaNumbering"/>
        <w:numPr>
          <w:ilvl w:val="0"/>
          <w:numId w:val="0"/>
        </w:numPr>
        <w:tabs>
          <w:tab w:val="left" w:pos="720"/>
        </w:tabs>
        <w:ind w:hanging="720"/>
      </w:pPr>
      <w:r>
        <w:rPr>
          <w:sz w:val="20"/>
        </w:rPr>
        <w:t>25</w:t>
      </w:r>
      <w:r>
        <w:rPr>
          <w:sz w:val="20"/>
        </w:rPr>
        <w:tab/>
      </w:r>
      <w:r w:rsidR="00CE7B77">
        <w:t xml:space="preserve">From about early February 2015, AMPFP received a number of statutory notices from ASIC seeking information about Panganiban’s conduct and whether any other advisors had engaged in the same conduct. </w:t>
      </w:r>
      <w:r w:rsidR="00E53395">
        <w:t xml:space="preserve">Between 2015 and 2016, </w:t>
      </w:r>
      <w:r w:rsidR="00CE7B77">
        <w:t xml:space="preserve">Mr </w:t>
      </w:r>
      <w:proofErr w:type="spellStart"/>
      <w:r w:rsidR="00CE7B77">
        <w:t>Coroneos</w:t>
      </w:r>
      <w:proofErr w:type="spellEnd"/>
      <w:r w:rsidR="00CE7B77">
        <w:t xml:space="preserve"> was tasked by Ms </w:t>
      </w:r>
      <w:proofErr w:type="spellStart"/>
      <w:r w:rsidR="00CE7B77">
        <w:t>Firmansjah</w:t>
      </w:r>
      <w:proofErr w:type="spellEnd"/>
      <w:r w:rsidR="00CE7B77">
        <w:t xml:space="preserve"> with responding to the notices, including gathering the relevant informat</w:t>
      </w:r>
      <w:r w:rsidR="00E53395">
        <w:t>ion and drafting the responses</w:t>
      </w:r>
      <w:r w:rsidR="00CE7B77">
        <w:t xml:space="preserve">. </w:t>
      </w:r>
    </w:p>
    <w:p w:rsidR="00CE7B77" w:rsidRDefault="003B3C7B" w:rsidP="003B3C7B">
      <w:pPr>
        <w:pStyle w:val="ParaNumbering"/>
        <w:numPr>
          <w:ilvl w:val="0"/>
          <w:numId w:val="0"/>
        </w:numPr>
        <w:tabs>
          <w:tab w:val="left" w:pos="720"/>
        </w:tabs>
        <w:ind w:hanging="720"/>
      </w:pPr>
      <w:r>
        <w:rPr>
          <w:sz w:val="20"/>
        </w:rPr>
        <w:t>26</w:t>
      </w:r>
      <w:r>
        <w:rPr>
          <w:sz w:val="20"/>
        </w:rPr>
        <w:tab/>
      </w:r>
      <w:r w:rsidR="00CE7B77">
        <w:t>Importantly, in August 2015, it seems that ASIC</w:t>
      </w:r>
      <w:r w:rsidR="00810D52">
        <w:t xml:space="preserve"> </w:t>
      </w:r>
      <w:r w:rsidR="00CE7B77">
        <w:t xml:space="preserve">considered the possibility that </w:t>
      </w:r>
      <w:r w:rsidR="00B974AE">
        <w:t xml:space="preserve">the </w:t>
      </w:r>
      <w:r w:rsidR="00CE7B77">
        <w:t>Rewriting Conduct at AMPFP may go beyond Panganiban</w:t>
      </w:r>
      <w:r w:rsidR="00B11041">
        <w:t>,</w:t>
      </w:r>
      <w:r w:rsidR="00CE7B77">
        <w:t xml:space="preserve"> as it issued a notice </w:t>
      </w:r>
      <w:r w:rsidR="00CE7B77" w:rsidRPr="002F56D6">
        <w:t>seeking, among other things, the names and details of all representatives who had engaged in what it des</w:t>
      </w:r>
      <w:r w:rsidR="00CE7B77">
        <w:t>cribed as “the conduct,”</w:t>
      </w:r>
      <w:r w:rsidR="00CE7B77" w:rsidRPr="002F56D6">
        <w:t xml:space="preserve"> namely </w:t>
      </w:r>
      <w:r w:rsidR="00CE7B77">
        <w:t>“</w:t>
      </w:r>
      <w:r w:rsidR="00CE7B77" w:rsidRPr="002F56D6">
        <w:t>the provision of financial services to retail clients which resulted in insurance benefits held within an AMP superannuation product</w:t>
      </w:r>
      <w:r w:rsidR="00CE7B77">
        <w:t xml:space="preserve"> being cancelled and ‘rewritten’</w:t>
      </w:r>
      <w:r w:rsidR="00CE7B77" w:rsidRPr="002F56D6">
        <w:t xml:space="preserve"> rather than an interna</w:t>
      </w:r>
      <w:r w:rsidR="00CE7B77">
        <w:t>l insurance transfer occurring”.</w:t>
      </w:r>
    </w:p>
    <w:p w:rsidR="00CE7B77" w:rsidRDefault="003B3C7B" w:rsidP="003B3C7B">
      <w:pPr>
        <w:pStyle w:val="ParaNumbering"/>
        <w:numPr>
          <w:ilvl w:val="0"/>
          <w:numId w:val="0"/>
        </w:numPr>
        <w:tabs>
          <w:tab w:val="left" w:pos="720"/>
        </w:tabs>
        <w:ind w:hanging="720"/>
      </w:pPr>
      <w:r>
        <w:rPr>
          <w:sz w:val="20"/>
        </w:rPr>
        <w:t>27</w:t>
      </w:r>
      <w:r>
        <w:rPr>
          <w:sz w:val="20"/>
        </w:rPr>
        <w:tab/>
      </w:r>
      <w:r w:rsidR="00CE7B77">
        <w:t>In its responses to the August 2015 notice, AMPFP held fast to its position (</w:t>
      </w:r>
      <w:r w:rsidR="00B11041">
        <w:t xml:space="preserve">purportedly </w:t>
      </w:r>
      <w:r w:rsidR="00CE7B77">
        <w:t xml:space="preserve">based on its internal investigations supervised by Mr </w:t>
      </w:r>
      <w:proofErr w:type="spellStart"/>
      <w:r w:rsidR="00CE7B77">
        <w:t>Coroneos</w:t>
      </w:r>
      <w:proofErr w:type="spellEnd"/>
      <w:r w:rsidR="00CE7B77">
        <w:t>) that there was no evidence that other advisers had engaged in Rewriting Conduct.</w:t>
      </w:r>
      <w:r w:rsidR="00F40047">
        <w:t xml:space="preserve"> </w:t>
      </w:r>
      <w:r w:rsidR="00CE7B77">
        <w:t xml:space="preserve">In doubling-down on the “bad apple” assertion, to </w:t>
      </w:r>
      <w:r w:rsidR="00CE7B77">
        <w:lastRenderedPageBreak/>
        <w:t xml:space="preserve">quote from the conclusion of AMPFP’s 1 October 2015 response letter: “[AMPFP] concluded that Rommel Panganiban’s behaviour was an isolated and unique case”. </w:t>
      </w:r>
    </w:p>
    <w:p w:rsidR="00CE7B77" w:rsidRPr="007D2BAB" w:rsidRDefault="003B3C7B" w:rsidP="003B3C7B">
      <w:pPr>
        <w:pStyle w:val="ParaNumbering"/>
        <w:numPr>
          <w:ilvl w:val="0"/>
          <w:numId w:val="0"/>
        </w:numPr>
        <w:tabs>
          <w:tab w:val="left" w:pos="720"/>
        </w:tabs>
        <w:ind w:hanging="720"/>
      </w:pPr>
      <w:r w:rsidRPr="007D2BAB">
        <w:rPr>
          <w:sz w:val="20"/>
        </w:rPr>
        <w:t>28</w:t>
      </w:r>
      <w:r w:rsidRPr="007D2BAB">
        <w:rPr>
          <w:sz w:val="20"/>
        </w:rPr>
        <w:tab/>
      </w:r>
      <w:r w:rsidR="00CE7B77">
        <w:t xml:space="preserve">In August 2016, ASIC made a banning order which prohibited </w:t>
      </w:r>
      <w:r w:rsidR="00FB0D4F">
        <w:t>Panganiban</w:t>
      </w:r>
      <w:r w:rsidR="00CE7B77">
        <w:t xml:space="preserve"> from </w:t>
      </w:r>
      <w:r w:rsidR="00193B7A">
        <w:t>providing financial services. J</w:t>
      </w:r>
      <w:r w:rsidR="00CE7B77">
        <w:t>ust under a year later</w:t>
      </w:r>
      <w:r w:rsidR="00E53395">
        <w:t>,</w:t>
      </w:r>
      <w:r w:rsidR="00FB0D4F">
        <w:t xml:space="preserve"> in July 2017</w:t>
      </w:r>
      <w:r w:rsidR="00CE7B77">
        <w:t>,</w:t>
      </w:r>
      <w:r w:rsidR="00FB0D4F">
        <w:t xml:space="preserve"> that </w:t>
      </w:r>
      <w:r w:rsidR="00CE7B77">
        <w:t xml:space="preserve">banning order was affirmed by the Administrative Appeals Tribunal: </w:t>
      </w:r>
      <w:r w:rsidR="00CE7B77" w:rsidRPr="007D2BAB">
        <w:rPr>
          <w:i/>
        </w:rPr>
        <w:t>Panganiban and Australian Securities and Investments Commission</w:t>
      </w:r>
      <w:r w:rsidR="00CE7B77" w:rsidRPr="00DA5C9A">
        <w:t xml:space="preserve"> [2017] AATA 1026</w:t>
      </w:r>
      <w:r w:rsidR="00FB0D4F">
        <w:t>.</w:t>
      </w:r>
      <w:r w:rsidR="000E6F09">
        <w:t xml:space="preserve"> It was also about this time that AMPFP provided its response to what would appear to be the final statutory notice issued by ASIC in June 2017.</w:t>
      </w:r>
    </w:p>
    <w:p w:rsidR="00593DC1" w:rsidRDefault="00593DC1" w:rsidP="007D2BAB">
      <w:pPr>
        <w:pStyle w:val="Heading2"/>
      </w:pPr>
      <w:bookmarkStart w:id="22" w:name="_Ref30603896"/>
      <w:r>
        <w:t>B.2</w:t>
      </w:r>
      <w:r>
        <w:tab/>
      </w:r>
      <w:r w:rsidR="00CE7B77">
        <w:t>Commencement of the proceeding</w:t>
      </w:r>
      <w:bookmarkEnd w:id="22"/>
    </w:p>
    <w:p w:rsidR="00CE7B77" w:rsidRDefault="003B3C7B" w:rsidP="003B3C7B">
      <w:pPr>
        <w:pStyle w:val="ParaNumbering"/>
        <w:numPr>
          <w:ilvl w:val="0"/>
          <w:numId w:val="0"/>
        </w:numPr>
        <w:tabs>
          <w:tab w:val="left" w:pos="720"/>
        </w:tabs>
        <w:ind w:hanging="720"/>
      </w:pPr>
      <w:r>
        <w:rPr>
          <w:sz w:val="20"/>
        </w:rPr>
        <w:t>29</w:t>
      </w:r>
      <w:r>
        <w:rPr>
          <w:sz w:val="20"/>
        </w:rPr>
        <w:tab/>
      </w:r>
      <w:r w:rsidR="00810D52">
        <w:t xml:space="preserve">Despite AMPFP’s “conclusion”, </w:t>
      </w:r>
      <w:r w:rsidR="00A7578E">
        <w:t xml:space="preserve">commendably, </w:t>
      </w:r>
      <w:r w:rsidR="00810D52">
        <w:t>ASIC appears to h</w:t>
      </w:r>
      <w:r w:rsidR="00F83FD5">
        <w:t>ave shown some persistence and by</w:t>
      </w:r>
      <w:r w:rsidR="00CE7B77">
        <w:t xml:space="preserve"> June 2018, when this proceeding was commenced, ASIC had reached a different view</w:t>
      </w:r>
      <w:r w:rsidR="00E75886">
        <w:t xml:space="preserve"> to that held by AMPFP</w:t>
      </w:r>
      <w:r w:rsidR="00CE7B77">
        <w:t xml:space="preserve"> as to whether </w:t>
      </w:r>
      <w:r w:rsidR="002B664D">
        <w:t xml:space="preserve">the </w:t>
      </w:r>
      <w:r w:rsidR="00CE7B77">
        <w:t>Rewriting Conduct was isolated to Pangan</w:t>
      </w:r>
      <w:r w:rsidR="00A7578E">
        <w:t>iban:</w:t>
      </w:r>
      <w:r w:rsidR="00CE7B77">
        <w:t xml:space="preserve"> its statement of claim </w:t>
      </w:r>
      <w:r w:rsidR="00963D18">
        <w:t>(</w:t>
      </w:r>
      <w:r w:rsidR="00963D18" w:rsidRPr="00963D18">
        <w:rPr>
          <w:b/>
        </w:rPr>
        <w:t>SOC</w:t>
      </w:r>
      <w:r w:rsidR="00963D18">
        <w:t xml:space="preserve">) </w:t>
      </w:r>
      <w:r w:rsidR="00CE7B77">
        <w:t xml:space="preserve">alleged that five other authorised representatives engaged in Rewriting Conduct </w:t>
      </w:r>
      <w:r w:rsidR="00CE7B77" w:rsidRPr="00C16F8B">
        <w:t xml:space="preserve">in contravention of </w:t>
      </w:r>
      <w:proofErr w:type="spellStart"/>
      <w:r w:rsidR="00AF6BC0">
        <w:t>ss</w:t>
      </w:r>
      <w:proofErr w:type="spellEnd"/>
      <w:r w:rsidR="00AF6BC0">
        <w:t xml:space="preserve"> 961B, 961G and 961J (</w:t>
      </w:r>
      <w:r w:rsidR="00AF6BC0">
        <w:rPr>
          <w:b/>
        </w:rPr>
        <w:t>relevant best interests obligations</w:t>
      </w:r>
      <w:r w:rsidR="00AF6BC0">
        <w:t>)</w:t>
      </w:r>
      <w:r w:rsidR="00CE7B77" w:rsidRPr="00C16F8B">
        <w:t xml:space="preserve"> in relation to advice provided to 10 clients (</w:t>
      </w:r>
      <w:r w:rsidR="00CE7B77" w:rsidRPr="00F2131A">
        <w:rPr>
          <w:b/>
        </w:rPr>
        <w:t>Clients 31-40</w:t>
      </w:r>
      <w:r w:rsidR="00CE7B77" w:rsidRPr="00C16F8B">
        <w:t>)</w:t>
      </w:r>
      <w:r w:rsidR="00CE7B77">
        <w:t>. These authorised representatives were Mr James McCarthy, Mr </w:t>
      </w:r>
      <w:proofErr w:type="spellStart"/>
      <w:r w:rsidR="00CE7B77">
        <w:t>Darron</w:t>
      </w:r>
      <w:proofErr w:type="spellEnd"/>
      <w:r w:rsidR="00CE7B77">
        <w:t xml:space="preserve"> Mink, Mr Geoffrey Needs, Mr David Fong and Mr Calvin Barlow.</w:t>
      </w:r>
    </w:p>
    <w:p w:rsidR="00B11041" w:rsidRDefault="003B3C7B" w:rsidP="003B3C7B">
      <w:pPr>
        <w:pStyle w:val="ParaNumbering"/>
        <w:numPr>
          <w:ilvl w:val="0"/>
          <w:numId w:val="0"/>
        </w:numPr>
        <w:tabs>
          <w:tab w:val="left" w:pos="720"/>
        </w:tabs>
        <w:ind w:hanging="720"/>
      </w:pPr>
      <w:r>
        <w:rPr>
          <w:sz w:val="20"/>
        </w:rPr>
        <w:t>30</w:t>
      </w:r>
      <w:r>
        <w:rPr>
          <w:sz w:val="20"/>
        </w:rPr>
        <w:tab/>
      </w:r>
      <w:r w:rsidR="008201E6">
        <w:t xml:space="preserve">ASIC </w:t>
      </w:r>
      <w:r w:rsidR="00963D18">
        <w:t>further alleged</w:t>
      </w:r>
      <w:r w:rsidR="008201E6" w:rsidRPr="00CF787E">
        <w:t xml:space="preserve"> contraventions</w:t>
      </w:r>
      <w:r w:rsidR="008201E6" w:rsidRPr="00CF787E">
        <w:rPr>
          <w:spacing w:val="-11"/>
        </w:rPr>
        <w:t xml:space="preserve"> </w:t>
      </w:r>
      <w:r w:rsidR="008201E6" w:rsidRPr="00CF787E">
        <w:t>by</w:t>
      </w:r>
      <w:r w:rsidR="008201E6" w:rsidRPr="00CF787E">
        <w:rPr>
          <w:spacing w:val="-13"/>
        </w:rPr>
        <w:t xml:space="preserve"> </w:t>
      </w:r>
      <w:r w:rsidR="008201E6" w:rsidRPr="00CF787E">
        <w:t>AMP</w:t>
      </w:r>
      <w:r w:rsidR="008201E6">
        <w:t xml:space="preserve">FP </w:t>
      </w:r>
      <w:r w:rsidR="008201E6" w:rsidRPr="00CF787E">
        <w:t>of</w:t>
      </w:r>
      <w:r w:rsidR="008201E6" w:rsidRPr="00CF787E">
        <w:rPr>
          <w:spacing w:val="-12"/>
        </w:rPr>
        <w:t xml:space="preserve"> </w:t>
      </w:r>
      <w:r w:rsidR="008201E6" w:rsidRPr="00CF787E">
        <w:t>s</w:t>
      </w:r>
      <w:r w:rsidR="008201E6" w:rsidRPr="00CF787E">
        <w:rPr>
          <w:spacing w:val="-9"/>
        </w:rPr>
        <w:t xml:space="preserve"> </w:t>
      </w:r>
      <w:r w:rsidR="008201E6" w:rsidRPr="00CF787E">
        <w:t>961L of the</w:t>
      </w:r>
      <w:r w:rsidR="008201E6">
        <w:t xml:space="preserve"> Act</w:t>
      </w:r>
      <w:r w:rsidR="00E26DD7">
        <w:t xml:space="preserve">: in relation to its failures </w:t>
      </w:r>
      <w:r w:rsidR="00E26DD7" w:rsidRPr="00A7578E">
        <w:t xml:space="preserve">to take reasonable steps to ensure </w:t>
      </w:r>
      <w:r w:rsidR="00E26DD7">
        <w:t>Panganiban’s compli</w:t>
      </w:r>
      <w:r w:rsidR="005523F6">
        <w:t>a</w:t>
      </w:r>
      <w:r w:rsidR="00E26DD7">
        <w:t>nt behaviour, the contravening conduct is said to occur between 1 July 2013 and prior to September 2014; and in relation to its failures</w:t>
      </w:r>
      <w:r w:rsidR="00E26DD7" w:rsidRPr="00A7578E">
        <w:t xml:space="preserve"> to take reasonable steps to ensure t</w:t>
      </w:r>
      <w:r w:rsidR="00E26DD7">
        <w:t>hat authorised representatives other than Panganiban</w:t>
      </w:r>
      <w:r w:rsidR="00E26DD7" w:rsidRPr="00A7578E">
        <w:t xml:space="preserve"> </w:t>
      </w:r>
      <w:r w:rsidR="00E26DD7">
        <w:t>(</w:t>
      </w:r>
      <w:r w:rsidR="00E26DD7">
        <w:rPr>
          <w:b/>
        </w:rPr>
        <w:t>Other Authorised Representatives</w:t>
      </w:r>
      <w:r w:rsidR="00E26DD7">
        <w:t xml:space="preserve">) engaged in compliant behaviour, </w:t>
      </w:r>
      <w:r w:rsidR="003E277B">
        <w:t xml:space="preserve">these failures occurred </w:t>
      </w:r>
      <w:r w:rsidR="008201E6">
        <w:t>during the period 1 July 2013 to 30 June 2015 (</w:t>
      </w:r>
      <w:r w:rsidR="008201E6">
        <w:rPr>
          <w:b/>
        </w:rPr>
        <w:t>Relevant Period</w:t>
      </w:r>
      <w:r w:rsidR="008201E6">
        <w:t>).</w:t>
      </w:r>
      <w:r w:rsidR="008201E6">
        <w:rPr>
          <w:spacing w:val="-5"/>
        </w:rPr>
        <w:t xml:space="preserve"> </w:t>
      </w:r>
      <w:r w:rsidR="00E26DD7">
        <w:t>The s 961L</w:t>
      </w:r>
      <w:r w:rsidR="008201E6" w:rsidRPr="002B52EE">
        <w:t xml:space="preserve"> norm</w:t>
      </w:r>
      <w:r w:rsidR="008201E6">
        <w:t>, set out in Section D.1 below,</w:t>
      </w:r>
      <w:r w:rsidR="008201E6" w:rsidRPr="002B52EE">
        <w:t xml:space="preserve"> required AMPF</w:t>
      </w:r>
      <w:r w:rsidR="0096277E">
        <w:t>P</w:t>
      </w:r>
      <w:r w:rsidR="008201E6" w:rsidRPr="002B52EE">
        <w:t xml:space="preserve"> </w:t>
      </w:r>
      <w:r w:rsidR="008201E6">
        <w:t xml:space="preserve">to take reasonable steps to ensure that authorised representatives complied with </w:t>
      </w:r>
      <w:r w:rsidR="00AF6BC0">
        <w:t xml:space="preserve">the relevant </w:t>
      </w:r>
      <w:r w:rsidR="008201E6">
        <w:t>best interests obligations</w:t>
      </w:r>
      <w:r w:rsidR="00963D18" w:rsidRPr="00963D18">
        <w:t xml:space="preserve"> in relation to insurance products (</w:t>
      </w:r>
      <w:r w:rsidR="00963D18" w:rsidRPr="00963D18">
        <w:rPr>
          <w:b/>
        </w:rPr>
        <w:t>AMP Life Products</w:t>
      </w:r>
      <w:r w:rsidR="00963D18" w:rsidRPr="00963D18">
        <w:t>) issued by AMP Life, including insurance products with death cover, total and permanent disablement cover, trauma cover and income protection cover</w:t>
      </w:r>
      <w:r w:rsidR="008201E6">
        <w:t>.</w:t>
      </w:r>
      <w:r w:rsidR="00F40047">
        <w:t xml:space="preserve"> </w:t>
      </w:r>
      <w:r w:rsidR="008201E6">
        <w:t>ASIC</w:t>
      </w:r>
      <w:r w:rsidR="008201E6">
        <w:rPr>
          <w:spacing w:val="-4"/>
        </w:rPr>
        <w:t xml:space="preserve"> </w:t>
      </w:r>
      <w:r w:rsidR="008201E6">
        <w:t>also</w:t>
      </w:r>
      <w:r w:rsidR="008201E6">
        <w:rPr>
          <w:spacing w:val="-4"/>
        </w:rPr>
        <w:t xml:space="preserve"> </w:t>
      </w:r>
      <w:r w:rsidR="00963D18">
        <w:t>alleged</w:t>
      </w:r>
      <w:r w:rsidR="008201E6">
        <w:rPr>
          <w:spacing w:val="-5"/>
        </w:rPr>
        <w:t xml:space="preserve"> </w:t>
      </w:r>
      <w:r w:rsidR="008201E6">
        <w:t>AMPFP</w:t>
      </w:r>
      <w:r w:rsidR="008201E6">
        <w:rPr>
          <w:spacing w:val="-4"/>
        </w:rPr>
        <w:t xml:space="preserve"> </w:t>
      </w:r>
      <w:r w:rsidR="008201E6">
        <w:t>contravened</w:t>
      </w:r>
      <w:r w:rsidR="008201E6">
        <w:rPr>
          <w:spacing w:val="-5"/>
        </w:rPr>
        <w:t xml:space="preserve"> </w:t>
      </w:r>
      <w:r w:rsidR="008201E6">
        <w:t>s</w:t>
      </w:r>
      <w:r w:rsidR="008201E6">
        <w:rPr>
          <w:spacing w:val="-5"/>
        </w:rPr>
        <w:t xml:space="preserve"> </w:t>
      </w:r>
      <w:r w:rsidR="008201E6">
        <w:t>912A(1)</w:t>
      </w:r>
      <w:r w:rsidR="008201E6">
        <w:rPr>
          <w:spacing w:val="-6"/>
        </w:rPr>
        <w:t xml:space="preserve"> </w:t>
      </w:r>
      <w:r w:rsidR="008201E6">
        <w:t>of</w:t>
      </w:r>
      <w:r w:rsidR="008201E6">
        <w:rPr>
          <w:spacing w:val="-6"/>
        </w:rPr>
        <w:t xml:space="preserve"> </w:t>
      </w:r>
      <w:r w:rsidR="008201E6">
        <w:t>the</w:t>
      </w:r>
      <w:r w:rsidR="008201E6">
        <w:rPr>
          <w:spacing w:val="-5"/>
        </w:rPr>
        <w:t xml:space="preserve"> </w:t>
      </w:r>
      <w:r w:rsidR="008201E6">
        <w:t>Act</w:t>
      </w:r>
      <w:r w:rsidR="00A46A7D">
        <w:t>, being set out in Section D.2 below</w:t>
      </w:r>
      <w:r w:rsidR="008201E6">
        <w:t xml:space="preserve">. </w:t>
      </w:r>
    </w:p>
    <w:p w:rsidR="008201E6" w:rsidRDefault="003B3C7B" w:rsidP="003B3C7B">
      <w:pPr>
        <w:pStyle w:val="ParaNumbering"/>
        <w:numPr>
          <w:ilvl w:val="0"/>
          <w:numId w:val="0"/>
        </w:numPr>
        <w:tabs>
          <w:tab w:val="left" w:pos="720"/>
        </w:tabs>
        <w:ind w:hanging="720"/>
      </w:pPr>
      <w:r>
        <w:rPr>
          <w:sz w:val="20"/>
        </w:rPr>
        <w:t>31</w:t>
      </w:r>
      <w:r>
        <w:rPr>
          <w:sz w:val="20"/>
        </w:rPr>
        <w:tab/>
      </w:r>
      <w:r w:rsidR="008201E6">
        <w:t>A range of relief is sought by ASIC. This includes declarations pursuant to s 1317E(1) of the Act in respect of AMPFP’s contraventions of s 961L of the Act and declarations pursuant to s 21 of t</w:t>
      </w:r>
      <w:r w:rsidR="008201E6" w:rsidRPr="00CF787E">
        <w:t xml:space="preserve">he </w:t>
      </w:r>
      <w:r w:rsidR="008201E6" w:rsidRPr="00CF787E">
        <w:rPr>
          <w:i/>
        </w:rPr>
        <w:t>Federal Court of Australia Act 1976</w:t>
      </w:r>
      <w:r w:rsidR="008201E6" w:rsidRPr="00CF787E">
        <w:t xml:space="preserve"> (</w:t>
      </w:r>
      <w:proofErr w:type="spellStart"/>
      <w:r w:rsidR="008201E6" w:rsidRPr="00CF787E">
        <w:t>Cth</w:t>
      </w:r>
      <w:proofErr w:type="spellEnd"/>
      <w:r w:rsidR="008201E6" w:rsidRPr="00CF787E">
        <w:t>) (</w:t>
      </w:r>
      <w:r w:rsidR="008201E6" w:rsidRPr="00CF787E">
        <w:rPr>
          <w:b/>
        </w:rPr>
        <w:t>Federal Court Ac</w:t>
      </w:r>
      <w:r w:rsidR="008201E6">
        <w:rPr>
          <w:b/>
        </w:rPr>
        <w:t>t</w:t>
      </w:r>
      <w:r w:rsidR="008201E6">
        <w:t xml:space="preserve">) in respect of </w:t>
      </w:r>
      <w:r w:rsidR="008201E6">
        <w:lastRenderedPageBreak/>
        <w:t>AMPFP’s contraventions of s 912A of the Act. The imposition of pecuniary penalties pursuant to s 1317G(1E) of the Act and orders pursuant to s 1101B(1) of the Act are also sought.</w:t>
      </w:r>
      <w:r w:rsidR="00F40047">
        <w:t xml:space="preserve"> </w:t>
      </w:r>
    </w:p>
    <w:p w:rsidR="00A67C75" w:rsidRDefault="003B3C7B" w:rsidP="003B3C7B">
      <w:pPr>
        <w:pStyle w:val="ParaNumbering"/>
        <w:numPr>
          <w:ilvl w:val="0"/>
          <w:numId w:val="0"/>
        </w:numPr>
        <w:tabs>
          <w:tab w:val="left" w:pos="720"/>
        </w:tabs>
        <w:ind w:hanging="720"/>
      </w:pPr>
      <w:r>
        <w:rPr>
          <w:sz w:val="20"/>
        </w:rPr>
        <w:t>32</w:t>
      </w:r>
      <w:r>
        <w:rPr>
          <w:sz w:val="20"/>
        </w:rPr>
        <w:tab/>
      </w:r>
      <w:r w:rsidR="00A67C75">
        <w:t>AMPFP filed its defence on 18 September 2018.</w:t>
      </w:r>
      <w:r w:rsidR="007753F0">
        <w:t xml:space="preserve"> It admitted </w:t>
      </w:r>
      <w:r w:rsidR="007753F0" w:rsidRPr="007753F0">
        <w:t>the c</w:t>
      </w:r>
      <w:r w:rsidR="007753F0">
        <w:t xml:space="preserve">ontravention alleged in </w:t>
      </w:r>
      <w:r w:rsidR="007753F0" w:rsidRPr="007753F0">
        <w:t xml:space="preserve">the </w:t>
      </w:r>
      <w:r w:rsidR="00963D18">
        <w:t>SOC</w:t>
      </w:r>
      <w:r w:rsidR="00B11041" w:rsidRPr="00B11041">
        <w:t xml:space="preserve"> </w:t>
      </w:r>
      <w:r w:rsidR="00B11041">
        <w:t>at [24]</w:t>
      </w:r>
      <w:r w:rsidR="007753F0" w:rsidRPr="007753F0">
        <w:t>, namely tha</w:t>
      </w:r>
      <w:r w:rsidR="007753F0">
        <w:t xml:space="preserve">t during the Relevant Period </w:t>
      </w:r>
      <w:r w:rsidR="007753F0" w:rsidRPr="007753F0">
        <w:t xml:space="preserve">prior to September 2014, in contravention </w:t>
      </w:r>
      <w:r w:rsidR="00B63CBE">
        <w:t>of s 961</w:t>
      </w:r>
      <w:r w:rsidR="007753F0">
        <w:t>L of the Act, AMPFP fa</w:t>
      </w:r>
      <w:r w:rsidR="007753F0" w:rsidRPr="007753F0">
        <w:t>iled to take rea</w:t>
      </w:r>
      <w:r w:rsidR="007753F0">
        <w:t xml:space="preserve">sonable steps to ensure that </w:t>
      </w:r>
      <w:r w:rsidR="007753F0" w:rsidRPr="007753F0">
        <w:t xml:space="preserve">Panganiban complied with </w:t>
      </w:r>
      <w:proofErr w:type="spellStart"/>
      <w:r w:rsidR="007753F0" w:rsidRPr="007753F0">
        <w:t>ss</w:t>
      </w:r>
      <w:proofErr w:type="spellEnd"/>
      <w:r w:rsidR="007753F0">
        <w:t xml:space="preserve"> </w:t>
      </w:r>
      <w:r w:rsidR="007753F0" w:rsidRPr="007753F0">
        <w:t>961</w:t>
      </w:r>
      <w:r w:rsidR="007753F0">
        <w:t>B, 961</w:t>
      </w:r>
      <w:r w:rsidR="007753F0" w:rsidRPr="007753F0">
        <w:t xml:space="preserve">G and 961J of the </w:t>
      </w:r>
      <w:r w:rsidR="007753F0">
        <w:t xml:space="preserve">Act. It further admitted the </w:t>
      </w:r>
      <w:r w:rsidR="007753F0" w:rsidRPr="007753F0">
        <w:t>con</w:t>
      </w:r>
      <w:r w:rsidR="007753F0">
        <w:t>traventions alleged in the SOC</w:t>
      </w:r>
      <w:r w:rsidR="00B11041">
        <w:t xml:space="preserve"> at [27], [28] and [29]</w:t>
      </w:r>
      <w:r w:rsidR="007753F0">
        <w:t>, insofar</w:t>
      </w:r>
      <w:r w:rsidR="007753F0" w:rsidRPr="007753F0">
        <w:t xml:space="preserve"> as thos</w:t>
      </w:r>
      <w:r w:rsidR="007753F0">
        <w:t>e paragraphs alleged that</w:t>
      </w:r>
      <w:r w:rsidR="007753F0" w:rsidRPr="007753F0">
        <w:t xml:space="preserve"> AMPFP had contravened </w:t>
      </w:r>
      <w:proofErr w:type="spellStart"/>
      <w:r w:rsidR="007753F0" w:rsidRPr="007753F0">
        <w:t>s</w:t>
      </w:r>
      <w:r w:rsidR="007753F0">
        <w:t>s</w:t>
      </w:r>
      <w:proofErr w:type="spellEnd"/>
      <w:r w:rsidR="007753F0">
        <w:t xml:space="preserve"> 912A(1)(a), </w:t>
      </w:r>
      <w:r w:rsidR="007753F0" w:rsidRPr="007753F0">
        <w:t>912A(1)(c), an</w:t>
      </w:r>
      <w:r w:rsidR="007753F0">
        <w:t xml:space="preserve">d 912A(1)(ca) in relation to </w:t>
      </w:r>
      <w:r w:rsidR="007753F0" w:rsidRPr="007753F0">
        <w:t>Panganiban</w:t>
      </w:r>
      <w:r w:rsidR="00AB0C62">
        <w:t xml:space="preserve">. </w:t>
      </w:r>
      <w:r w:rsidR="00963D18">
        <w:t>What AMPFP disputed</w:t>
      </w:r>
      <w:r w:rsidR="00AB0C62">
        <w:t xml:space="preserve">, however, </w:t>
      </w:r>
      <w:r w:rsidR="00A7578E">
        <w:t>was</w:t>
      </w:r>
      <w:r w:rsidR="00AB0C62">
        <w:t xml:space="preserve"> </w:t>
      </w:r>
      <w:r w:rsidR="00A7578E">
        <w:t>that it had</w:t>
      </w:r>
      <w:r w:rsidR="00AB0C62">
        <w:t xml:space="preserve"> </w:t>
      </w:r>
      <w:r w:rsidR="00A7578E" w:rsidRPr="00A7578E">
        <w:t xml:space="preserve">failed to take reasonable steps to ensure </w:t>
      </w:r>
      <w:r w:rsidR="00A7578E" w:rsidRPr="00F60B5A">
        <w:t>t</w:t>
      </w:r>
      <w:r w:rsidR="00857407" w:rsidRPr="00F60B5A">
        <w:t xml:space="preserve">hat </w:t>
      </w:r>
      <w:r w:rsidR="00F60B5A" w:rsidRPr="00F60B5A">
        <w:t xml:space="preserve">the </w:t>
      </w:r>
      <w:r w:rsidR="00A7578E" w:rsidRPr="00F60B5A">
        <w:t xml:space="preserve">Other Authorised Representatives, complied with </w:t>
      </w:r>
      <w:proofErr w:type="spellStart"/>
      <w:r w:rsidR="00A7578E" w:rsidRPr="00F60B5A">
        <w:t>ss</w:t>
      </w:r>
      <w:proofErr w:type="spellEnd"/>
      <w:r w:rsidR="00A7578E" w:rsidRPr="00F60B5A">
        <w:t xml:space="preserve"> 961B, 961G and 961J of the</w:t>
      </w:r>
      <w:r w:rsidR="00A7578E" w:rsidRPr="007753F0">
        <w:t xml:space="preserve"> </w:t>
      </w:r>
      <w:r w:rsidR="00A7578E">
        <w:t>Act</w:t>
      </w:r>
      <w:r w:rsidR="00AB0C62">
        <w:t>.</w:t>
      </w:r>
    </w:p>
    <w:p w:rsidR="00CE7B77" w:rsidRDefault="003B3C7B" w:rsidP="003B3C7B">
      <w:pPr>
        <w:pStyle w:val="ParaNumbering"/>
        <w:numPr>
          <w:ilvl w:val="0"/>
          <w:numId w:val="0"/>
        </w:numPr>
        <w:tabs>
          <w:tab w:val="left" w:pos="720"/>
        </w:tabs>
        <w:ind w:hanging="720"/>
      </w:pPr>
      <w:bookmarkStart w:id="23" w:name="_Ref30601821"/>
      <w:r>
        <w:rPr>
          <w:sz w:val="20"/>
        </w:rPr>
        <w:t>33</w:t>
      </w:r>
      <w:r>
        <w:rPr>
          <w:sz w:val="20"/>
        </w:rPr>
        <w:tab/>
      </w:r>
      <w:r w:rsidR="00CE7B77">
        <w:t xml:space="preserve">As late as March 2019, when AMPFP filed </w:t>
      </w:r>
      <w:r w:rsidR="00A67C75">
        <w:t xml:space="preserve">and served </w:t>
      </w:r>
      <w:r w:rsidR="00CE7B77">
        <w:t xml:space="preserve">its evidence, AMPFP’s position </w:t>
      </w:r>
      <w:r w:rsidR="00A67C75">
        <w:t>had not changed</w:t>
      </w:r>
      <w:r w:rsidR="00CE7B77">
        <w:t xml:space="preserve">. Ms </w:t>
      </w:r>
      <w:proofErr w:type="spellStart"/>
      <w:r w:rsidR="00CE7B77">
        <w:t>Firmansjah’s</w:t>
      </w:r>
      <w:proofErr w:type="spellEnd"/>
      <w:r w:rsidR="00CE7B77">
        <w:t xml:space="preserve"> </w:t>
      </w:r>
      <w:r w:rsidR="00B11041">
        <w:t xml:space="preserve">sworn </w:t>
      </w:r>
      <w:r w:rsidR="00CE7B77">
        <w:t xml:space="preserve">evidence was that she was not aware of anything to suggest that </w:t>
      </w:r>
      <w:r w:rsidR="009F1132">
        <w:t xml:space="preserve">the </w:t>
      </w:r>
      <w:r w:rsidR="00CE7B77">
        <w:t>Rewriting Conduct was widespread</w:t>
      </w:r>
      <w:r w:rsidR="00F83FD5">
        <w:t>,</w:t>
      </w:r>
      <w:r w:rsidR="00CE7B77">
        <w:t xml:space="preserve"> nor did she see or become aware of any cases of other advisers engaging in Rewriting Conduct. Similarly, Mr </w:t>
      </w:r>
      <w:proofErr w:type="spellStart"/>
      <w:r w:rsidR="00CE7B77">
        <w:t>Coroneos</w:t>
      </w:r>
      <w:proofErr w:type="spellEnd"/>
      <w:r w:rsidR="00CE7B77">
        <w:t xml:space="preserve"> said that, since the investigation, he had not come across any advisers that engaged in Rewriting Conduct.</w:t>
      </w:r>
      <w:bookmarkEnd w:id="23"/>
    </w:p>
    <w:p w:rsidR="008201E6" w:rsidRDefault="003B3C7B" w:rsidP="003B3C7B">
      <w:pPr>
        <w:pStyle w:val="ParaNumbering"/>
        <w:numPr>
          <w:ilvl w:val="0"/>
          <w:numId w:val="0"/>
        </w:numPr>
        <w:tabs>
          <w:tab w:val="left" w:pos="720"/>
        </w:tabs>
        <w:ind w:hanging="720"/>
      </w:pPr>
      <w:r>
        <w:rPr>
          <w:sz w:val="20"/>
        </w:rPr>
        <w:t>34</w:t>
      </w:r>
      <w:r>
        <w:rPr>
          <w:sz w:val="20"/>
        </w:rPr>
        <w:tab/>
      </w:r>
      <w:r w:rsidR="008201E6">
        <w:t>By a letter from its</w:t>
      </w:r>
      <w:r w:rsidR="008201E6" w:rsidRPr="00DA1957">
        <w:t xml:space="preserve"> solicitors, Clayton </w:t>
      </w:r>
      <w:proofErr w:type="spellStart"/>
      <w:r w:rsidR="008201E6" w:rsidRPr="00DA1957">
        <w:t>Utz</w:t>
      </w:r>
      <w:proofErr w:type="spellEnd"/>
      <w:r w:rsidR="008201E6" w:rsidRPr="00DA1957">
        <w:t>, dated 16 May 2019</w:t>
      </w:r>
      <w:r w:rsidR="006D44B4">
        <w:t xml:space="preserve"> and marked as Exhibit A</w:t>
      </w:r>
      <w:r w:rsidR="008201E6" w:rsidRPr="00DA1957">
        <w:t>, AMPFP advised ASIC that all of the alleged contraven</w:t>
      </w:r>
      <w:r w:rsidR="006D44B4">
        <w:t xml:space="preserve">tions of the Act are admitted. </w:t>
      </w:r>
      <w:r w:rsidR="008201E6" w:rsidRPr="00DA1957">
        <w:t xml:space="preserve">In particular, AMPFP admitted that it contravened, inter alia, s 961L of the Act </w:t>
      </w:r>
      <w:r w:rsidR="008201E6">
        <w:t>during the Relevant Period</w:t>
      </w:r>
      <w:r w:rsidR="00005083">
        <w:t xml:space="preserve"> in that</w:t>
      </w:r>
      <w:r w:rsidR="00005083" w:rsidRPr="00005083">
        <w:t xml:space="preserve"> </w:t>
      </w:r>
      <w:r w:rsidR="00005083">
        <w:t xml:space="preserve">it failed to take </w:t>
      </w:r>
      <w:r w:rsidR="00005083" w:rsidRPr="00A7578E">
        <w:t>reasonable steps to ensure t</w:t>
      </w:r>
      <w:r w:rsidR="00005083">
        <w:t>hat Other Authorised Representatives complied with</w:t>
      </w:r>
      <w:r w:rsidR="00005083" w:rsidRPr="007753F0">
        <w:t xml:space="preserve"> </w:t>
      </w:r>
      <w:proofErr w:type="spellStart"/>
      <w:r w:rsidR="00005083" w:rsidRPr="007753F0">
        <w:t>ss</w:t>
      </w:r>
      <w:proofErr w:type="spellEnd"/>
      <w:r w:rsidR="00005083">
        <w:t xml:space="preserve"> </w:t>
      </w:r>
      <w:r w:rsidR="00005083" w:rsidRPr="007753F0">
        <w:t>961</w:t>
      </w:r>
      <w:r w:rsidR="00005083">
        <w:t>B, 961</w:t>
      </w:r>
      <w:r w:rsidR="00005083" w:rsidRPr="007753F0">
        <w:t xml:space="preserve">G and 961J of the </w:t>
      </w:r>
      <w:r w:rsidR="00005083">
        <w:t>Act.</w:t>
      </w:r>
      <w:r w:rsidR="00CE40E8">
        <w:t xml:space="preserve"> </w:t>
      </w:r>
      <w:r w:rsidR="00AB0C62">
        <w:t xml:space="preserve">This </w:t>
      </w:r>
      <w:r w:rsidR="00B11041" w:rsidRPr="00B11041">
        <w:t xml:space="preserve">volte-face </w:t>
      </w:r>
      <w:r w:rsidR="00963D18">
        <w:t>took place after service of</w:t>
      </w:r>
      <w:r w:rsidR="00AB0C62">
        <w:t xml:space="preserve"> a Joint Expert Report (</w:t>
      </w:r>
      <w:r w:rsidR="00AB0C62">
        <w:rPr>
          <w:b/>
        </w:rPr>
        <w:t>JER</w:t>
      </w:r>
      <w:r w:rsidR="00AB0C62">
        <w:t>), discussed at</w:t>
      </w:r>
      <w:r w:rsidR="003301A8">
        <w:t xml:space="preserve"> Section E</w:t>
      </w:r>
      <w:r w:rsidR="00AB0C62">
        <w:t xml:space="preserve"> below</w:t>
      </w:r>
      <w:r w:rsidR="004219AC">
        <w:t>; indeed, in Exhibit A, AMPFP’s solicitors made plain that the further admissions were made “(</w:t>
      </w:r>
      <w:proofErr w:type="spellStart"/>
      <w:r w:rsidR="004219AC">
        <w:t>i</w:t>
      </w:r>
      <w:proofErr w:type="spellEnd"/>
      <w:r w:rsidR="004219AC">
        <w:t>)</w:t>
      </w:r>
      <w:r w:rsidR="004219AC" w:rsidRPr="004219AC">
        <w:t xml:space="preserve">n the light of the conclusions expressed in the </w:t>
      </w:r>
      <w:r w:rsidR="004219AC">
        <w:t>[JER]”</w:t>
      </w:r>
      <w:r w:rsidR="00AB0C62">
        <w:t>.</w:t>
      </w:r>
    </w:p>
    <w:p w:rsidR="00CE7B77" w:rsidRDefault="003B3C7B" w:rsidP="003B3C7B">
      <w:pPr>
        <w:pStyle w:val="ParaNumbering"/>
        <w:numPr>
          <w:ilvl w:val="0"/>
          <w:numId w:val="0"/>
        </w:numPr>
        <w:tabs>
          <w:tab w:val="left" w:pos="720"/>
        </w:tabs>
        <w:ind w:hanging="720"/>
      </w:pPr>
      <w:bookmarkStart w:id="24" w:name="_Ref30603556"/>
      <w:r>
        <w:rPr>
          <w:sz w:val="20"/>
        </w:rPr>
        <w:t>35</w:t>
      </w:r>
      <w:r>
        <w:rPr>
          <w:sz w:val="20"/>
        </w:rPr>
        <w:tab/>
      </w:r>
      <w:r w:rsidR="00CE7B77">
        <w:t xml:space="preserve">Based on the admissions made in May 2019 by AMPFP in relation to Clients 31-40 and </w:t>
      </w:r>
      <w:r w:rsidR="004219AC">
        <w:t>it</w:t>
      </w:r>
      <w:r w:rsidR="00E80841">
        <w:t>s</w:t>
      </w:r>
      <w:r w:rsidR="004219AC">
        <w:t xml:space="preserve"> conduct in </w:t>
      </w:r>
      <w:r w:rsidR="004219AC" w:rsidRPr="007F2592">
        <w:t xml:space="preserve">relation to </w:t>
      </w:r>
      <w:r w:rsidR="00CE7B77" w:rsidRPr="007F2592">
        <w:t>the Other Authoris</w:t>
      </w:r>
      <w:r w:rsidR="00A67C75" w:rsidRPr="007F2592">
        <w:t>ed Representatives</w:t>
      </w:r>
      <w:r w:rsidR="00CE7B77" w:rsidRPr="007F2592">
        <w:t>, AMPPF’s initial and repeated assertion</w:t>
      </w:r>
      <w:r w:rsidR="00A7578E" w:rsidRPr="007F2592">
        <w:t xml:space="preserve"> as to the ambit of the impugned conduct</w:t>
      </w:r>
      <w:r w:rsidR="00CE7B77" w:rsidRPr="007F2592">
        <w:t xml:space="preserve"> was shown to be wrong. In an</w:t>
      </w:r>
      <w:r w:rsidR="00CE7B77">
        <w:t xml:space="preserve"> affidavit filed in June 2019, the evidence of Ms Sarah Britt, Head of Advice Compliance, was </w:t>
      </w:r>
      <w:r w:rsidR="004219AC">
        <w:t xml:space="preserve">now </w:t>
      </w:r>
      <w:r w:rsidR="00CE7B77">
        <w:t xml:space="preserve">that she had not seen any evidence of Rewriting Conduct other than by Panganiban </w:t>
      </w:r>
      <w:r w:rsidR="00CE7B77">
        <w:rPr>
          <w:i/>
        </w:rPr>
        <w:t>and in respect of Clients 31-40</w:t>
      </w:r>
      <w:r w:rsidR="00F953E5">
        <w:t>,</w:t>
      </w:r>
      <w:r w:rsidR="00A7578E">
        <w:t xml:space="preserve"> by a subset of </w:t>
      </w:r>
      <w:r w:rsidR="00A46A7D">
        <w:t>five</w:t>
      </w:r>
      <w:r w:rsidR="00A7578E">
        <w:t xml:space="preserve"> of the Other Authorised Representatives identified at [29] above</w:t>
      </w:r>
      <w:r w:rsidR="00CE7B77">
        <w:t>. She further stated that she accepted that there may be instances of yet to be detected Rewriting Conduct across AMPFP’s network.</w:t>
      </w:r>
      <w:bookmarkEnd w:id="24"/>
    </w:p>
    <w:p w:rsidR="008A3DF5" w:rsidRDefault="003B3C7B" w:rsidP="003B3C7B">
      <w:pPr>
        <w:pStyle w:val="ParaNumbering"/>
        <w:numPr>
          <w:ilvl w:val="0"/>
          <w:numId w:val="0"/>
        </w:numPr>
        <w:tabs>
          <w:tab w:val="left" w:pos="720"/>
        </w:tabs>
        <w:ind w:hanging="720"/>
      </w:pPr>
      <w:r>
        <w:rPr>
          <w:sz w:val="20"/>
        </w:rPr>
        <w:lastRenderedPageBreak/>
        <w:t>36</w:t>
      </w:r>
      <w:r>
        <w:rPr>
          <w:sz w:val="20"/>
        </w:rPr>
        <w:tab/>
      </w:r>
      <w:r w:rsidR="00B11041">
        <w:t xml:space="preserve">I </w:t>
      </w:r>
      <w:r w:rsidR="003766CF">
        <w:t xml:space="preserve">confess to being perturbed by </w:t>
      </w:r>
      <w:r w:rsidR="00CE7B77">
        <w:t xml:space="preserve">the doggedness of AMPFP in maintaining that </w:t>
      </w:r>
      <w:r w:rsidR="00E13420">
        <w:t xml:space="preserve">the </w:t>
      </w:r>
      <w:r w:rsidR="00CE7B77">
        <w:t xml:space="preserve">Rewriting Conduct was isolated to </w:t>
      </w:r>
      <w:r w:rsidR="004219AC">
        <w:t xml:space="preserve">the “bad apple” </w:t>
      </w:r>
      <w:r w:rsidR="00CE7B77">
        <w:t>Panganiban in circumstances whe</w:t>
      </w:r>
      <w:r w:rsidR="00A7578E">
        <w:t xml:space="preserve">n insufficient investigation had been undertaken to provide a secure (and hence </w:t>
      </w:r>
      <w:r w:rsidR="00CE7B77">
        <w:t>reasonable</w:t>
      </w:r>
      <w:r w:rsidR="003766CF">
        <w:t>)</w:t>
      </w:r>
      <w:r w:rsidR="00CE7B77">
        <w:t xml:space="preserve"> foundation to do so.</w:t>
      </w:r>
      <w:r w:rsidR="005A06EB">
        <w:t xml:space="preserve"> </w:t>
      </w:r>
      <w:r w:rsidR="00CE7B77">
        <w:t>In part</w:t>
      </w:r>
      <w:r w:rsidR="004F1880">
        <w:t>,</w:t>
      </w:r>
      <w:r w:rsidR="00CE7B77">
        <w:t xml:space="preserve"> this position of “holding the line” may have been </w:t>
      </w:r>
      <w:r w:rsidR="004F1880">
        <w:t xml:space="preserve">a consequence of the </w:t>
      </w:r>
      <w:r w:rsidR="005A3946">
        <w:t xml:space="preserve">fact that the </w:t>
      </w:r>
      <w:r w:rsidR="00CE7B77">
        <w:t>investigatory efforts</w:t>
      </w:r>
      <w:r w:rsidR="00302222">
        <w:t xml:space="preserve"> which</w:t>
      </w:r>
      <w:r w:rsidR="00CE7B77">
        <w:t xml:space="preserve"> AMPFP relied on in support of its position were beset with flaws that impeded their effectiveness (see</w:t>
      </w:r>
      <w:r w:rsidR="00302222">
        <w:t xml:space="preserve"> [</w:t>
      </w:r>
      <w:r w:rsidR="00CE7B77">
        <w:fldChar w:fldCharType="begin" w:fldLock="1"/>
      </w:r>
      <w:r w:rsidR="00CE7B77">
        <w:instrText xml:space="preserve"> REF _Ref30081174 \r \h </w:instrText>
      </w:r>
      <w:r w:rsidR="00CE7B77">
        <w:fldChar w:fldCharType="separate"/>
      </w:r>
      <w:r w:rsidR="00E469CA">
        <w:t>63</w:t>
      </w:r>
      <w:r w:rsidR="00CE7B77">
        <w:fldChar w:fldCharType="end"/>
      </w:r>
      <w:r w:rsidR="00CE7B77">
        <w:fldChar w:fldCharType="begin" w:fldLock="1"/>
      </w:r>
      <w:r w:rsidR="00CE7B77">
        <w:instrText xml:space="preserve"> REF _Ref30081175 \r \h </w:instrText>
      </w:r>
      <w:r w:rsidR="00CE7B77">
        <w:fldChar w:fldCharType="separate"/>
      </w:r>
      <w:r w:rsidR="00E469CA">
        <w:t>(2)</w:t>
      </w:r>
      <w:r w:rsidR="00CE7B77">
        <w:fldChar w:fldCharType="end"/>
      </w:r>
      <w:r w:rsidR="00302222">
        <w:t>]</w:t>
      </w:r>
      <w:r w:rsidR="00CE7B77">
        <w:t xml:space="preserve"> below)</w:t>
      </w:r>
      <w:r w:rsidR="00302222">
        <w:t>,</w:t>
      </w:r>
      <w:r w:rsidR="00CE7B77">
        <w:t xml:space="preserve"> and will only be </w:t>
      </w:r>
      <w:r w:rsidR="004F1880">
        <w:t>completed thoroughly</w:t>
      </w:r>
      <w:r w:rsidR="003766CF">
        <w:t xml:space="preserve"> pursuant</w:t>
      </w:r>
      <w:r w:rsidR="005A06EB">
        <w:t xml:space="preserve"> </w:t>
      </w:r>
      <w:r w:rsidR="003766CF">
        <w:t xml:space="preserve">to s 1101B </w:t>
      </w:r>
      <w:r w:rsidR="00CE7B77">
        <w:t>orders to be m</w:t>
      </w:r>
      <w:r w:rsidR="003766CF">
        <w:t>ade by this Court</w:t>
      </w:r>
      <w:r w:rsidR="00CE7B77">
        <w:t>.</w:t>
      </w:r>
    </w:p>
    <w:p w:rsidR="00F03BB1" w:rsidRDefault="003B3C7B" w:rsidP="003B3C7B">
      <w:pPr>
        <w:pStyle w:val="ParaNumbering"/>
        <w:numPr>
          <w:ilvl w:val="0"/>
          <w:numId w:val="0"/>
        </w:numPr>
        <w:tabs>
          <w:tab w:val="left" w:pos="720"/>
        </w:tabs>
        <w:ind w:hanging="720"/>
      </w:pPr>
      <w:bookmarkStart w:id="25" w:name="_Ref30078490"/>
      <w:r>
        <w:rPr>
          <w:sz w:val="20"/>
        </w:rPr>
        <w:t>37</w:t>
      </w:r>
      <w:r>
        <w:rPr>
          <w:sz w:val="20"/>
        </w:rPr>
        <w:tab/>
      </w:r>
      <w:r w:rsidR="00F03BB1">
        <w:t>I will address the question</w:t>
      </w:r>
      <w:r w:rsidR="008F64A4">
        <w:t xml:space="preserve">s that remain in the proceeding </w:t>
      </w:r>
      <w:r w:rsidR="00F03BB1">
        <w:t>under the following headings:</w:t>
      </w:r>
      <w:bookmarkEnd w:id="25"/>
      <w:r w:rsidR="00F03BB1">
        <w:t xml:space="preserve"> </w:t>
      </w:r>
    </w:p>
    <w:p w:rsidR="00F03BB1"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AD0031" w:rsidRPr="004F1880">
        <w:rPr>
          <w:b/>
        </w:rPr>
        <w:t xml:space="preserve">Section </w:t>
      </w:r>
      <w:r w:rsidR="002E7C40" w:rsidRPr="004F1880">
        <w:rPr>
          <w:b/>
        </w:rPr>
        <w:t>C</w:t>
      </w:r>
      <w:r w:rsidR="00F03BB1" w:rsidRPr="004F1880">
        <w:rPr>
          <w:b/>
        </w:rPr>
        <w:tab/>
      </w:r>
      <w:r w:rsidR="002E7C40" w:rsidRPr="004F1880">
        <w:rPr>
          <w:b/>
          <w:caps/>
        </w:rPr>
        <w:t>AGREED FACTUAL BACKGROUND</w:t>
      </w:r>
    </w:p>
    <w:p w:rsidR="00F03BB1"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F03BB1" w:rsidRPr="004F1880">
        <w:rPr>
          <w:b/>
        </w:rPr>
        <w:t xml:space="preserve">Section </w:t>
      </w:r>
      <w:r w:rsidR="002E7C40" w:rsidRPr="004F1880">
        <w:rPr>
          <w:b/>
        </w:rPr>
        <w:t>D</w:t>
      </w:r>
      <w:r w:rsidR="00F03BB1" w:rsidRPr="004F1880">
        <w:rPr>
          <w:b/>
        </w:rPr>
        <w:t xml:space="preserve"> </w:t>
      </w:r>
      <w:r w:rsidR="00F03BB1" w:rsidRPr="004F1880">
        <w:rPr>
          <w:b/>
        </w:rPr>
        <w:tab/>
      </w:r>
      <w:r w:rsidR="002E7C40" w:rsidRPr="004F1880">
        <w:rPr>
          <w:b/>
          <w:caps/>
        </w:rPr>
        <w:t>RELEVANT STATUTORY NORMS</w:t>
      </w:r>
    </w:p>
    <w:p w:rsidR="00F03BB1"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AD0031" w:rsidRPr="004F1880">
        <w:rPr>
          <w:b/>
        </w:rPr>
        <w:t xml:space="preserve">Section </w:t>
      </w:r>
      <w:r w:rsidR="002E7C40" w:rsidRPr="004F1880">
        <w:rPr>
          <w:b/>
        </w:rPr>
        <w:t>E</w:t>
      </w:r>
      <w:r w:rsidR="00F03BB1" w:rsidRPr="004F1880">
        <w:rPr>
          <w:b/>
        </w:rPr>
        <w:t xml:space="preserve"> </w:t>
      </w:r>
      <w:r w:rsidR="00F03BB1" w:rsidRPr="004F1880">
        <w:rPr>
          <w:b/>
        </w:rPr>
        <w:tab/>
      </w:r>
      <w:r w:rsidR="002E7C40" w:rsidRPr="004F1880">
        <w:rPr>
          <w:b/>
        </w:rPr>
        <w:t>AGREED OPINIONS OF THE EXPERTS</w:t>
      </w:r>
    </w:p>
    <w:p w:rsidR="00F03BB1"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AD0031" w:rsidRPr="004F1880">
        <w:rPr>
          <w:b/>
        </w:rPr>
        <w:t xml:space="preserve">Section </w:t>
      </w:r>
      <w:r w:rsidR="002E7C40" w:rsidRPr="004F1880">
        <w:rPr>
          <w:b/>
        </w:rPr>
        <w:t>F</w:t>
      </w:r>
      <w:r w:rsidR="00F03BB1" w:rsidRPr="004F1880">
        <w:rPr>
          <w:b/>
        </w:rPr>
        <w:tab/>
      </w:r>
      <w:r w:rsidR="002E7C40" w:rsidRPr="004F1880">
        <w:rPr>
          <w:b/>
          <w:caps/>
        </w:rPr>
        <w:t>SCOPE OF DISPUTES</w:t>
      </w:r>
    </w:p>
    <w:p w:rsidR="00F03BB1"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AD0031" w:rsidRPr="004F1880">
        <w:rPr>
          <w:b/>
        </w:rPr>
        <w:t xml:space="preserve">Section </w:t>
      </w:r>
      <w:r w:rsidR="002E7C40" w:rsidRPr="004F1880">
        <w:rPr>
          <w:b/>
        </w:rPr>
        <w:t>G</w:t>
      </w:r>
      <w:r w:rsidR="00F03BB1" w:rsidRPr="004F1880">
        <w:rPr>
          <w:b/>
        </w:rPr>
        <w:tab/>
      </w:r>
      <w:r w:rsidR="002E7C40" w:rsidRPr="004F1880">
        <w:rPr>
          <w:b/>
          <w:caps/>
        </w:rPr>
        <w:t>FINDINGS AS TO THE REMAINING DISPUTED ISSUES</w:t>
      </w:r>
    </w:p>
    <w:p w:rsidR="00F03BB1"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AD0031" w:rsidRPr="004F1880">
        <w:rPr>
          <w:b/>
        </w:rPr>
        <w:t xml:space="preserve">Section </w:t>
      </w:r>
      <w:r w:rsidR="002E7C40" w:rsidRPr="004F1880">
        <w:rPr>
          <w:b/>
        </w:rPr>
        <w:t>H</w:t>
      </w:r>
      <w:r w:rsidR="00F03BB1" w:rsidRPr="004F1880">
        <w:rPr>
          <w:b/>
        </w:rPr>
        <w:tab/>
      </w:r>
      <w:r w:rsidR="002E7C40" w:rsidRPr="004F1880">
        <w:rPr>
          <w:b/>
          <w:caps/>
        </w:rPr>
        <w:t>PENALTIES</w:t>
      </w:r>
    </w:p>
    <w:p w:rsidR="006247EF" w:rsidRPr="004F1880" w:rsidRDefault="003B3C7B" w:rsidP="003B3C7B">
      <w:pPr>
        <w:pStyle w:val="FCBullets"/>
        <w:numPr>
          <w:ilvl w:val="0"/>
          <w:numId w:val="0"/>
        </w:numPr>
        <w:tabs>
          <w:tab w:val="left" w:pos="720"/>
        </w:tabs>
        <w:ind w:left="720" w:hanging="720"/>
        <w:rPr>
          <w:b/>
        </w:rPr>
      </w:pPr>
      <w:r w:rsidRPr="004F1880">
        <w:rPr>
          <w:rFonts w:ascii="Symbol" w:hAnsi="Symbol"/>
        </w:rPr>
        <w:t></w:t>
      </w:r>
      <w:r w:rsidRPr="004F1880">
        <w:rPr>
          <w:rFonts w:ascii="Symbol" w:hAnsi="Symbol"/>
        </w:rPr>
        <w:tab/>
      </w:r>
      <w:r w:rsidR="002E7C40" w:rsidRPr="004F1880">
        <w:rPr>
          <w:b/>
        </w:rPr>
        <w:t>Section I</w:t>
      </w:r>
      <w:r w:rsidR="00F03BB1" w:rsidRPr="004F1880">
        <w:rPr>
          <w:b/>
        </w:rPr>
        <w:tab/>
      </w:r>
      <w:r w:rsidR="002E7C40" w:rsidRPr="004F1880">
        <w:rPr>
          <w:b/>
          <w:caps/>
        </w:rPr>
        <w:t>CONCLUSION AND ORDERS</w:t>
      </w:r>
    </w:p>
    <w:p w:rsidR="00AD0031" w:rsidRDefault="003B3C7B" w:rsidP="00666B34">
      <w:pPr>
        <w:pStyle w:val="Heading1"/>
        <w:spacing w:line="276" w:lineRule="auto"/>
        <w:rPr>
          <w:caps w:val="0"/>
        </w:rPr>
      </w:pPr>
      <w:bookmarkStart w:id="26" w:name="_Ref11661437"/>
      <w:r>
        <w:rPr>
          <w:caps w:val="0"/>
        </w:rPr>
        <w:t>C</w:t>
      </w:r>
      <w:r>
        <w:rPr>
          <w:caps w:val="0"/>
        </w:rPr>
        <w:tab/>
        <w:t>AGREED FACTUAL BACKGROUND</w:t>
      </w:r>
      <w:bookmarkEnd w:id="26"/>
      <w:r>
        <w:rPr>
          <w:caps w:val="0"/>
        </w:rPr>
        <w:t xml:space="preserve"> </w:t>
      </w:r>
    </w:p>
    <w:p w:rsidR="007B30B5" w:rsidRPr="007B30B5" w:rsidRDefault="003B3C7B" w:rsidP="003B3C7B">
      <w:pPr>
        <w:pStyle w:val="ParaNumbering"/>
        <w:numPr>
          <w:ilvl w:val="0"/>
          <w:numId w:val="0"/>
        </w:numPr>
        <w:tabs>
          <w:tab w:val="left" w:pos="720"/>
        </w:tabs>
        <w:ind w:hanging="720"/>
      </w:pPr>
      <w:r w:rsidRPr="007B30B5">
        <w:rPr>
          <w:sz w:val="20"/>
        </w:rPr>
        <w:t>38</w:t>
      </w:r>
      <w:r w:rsidRPr="007B30B5">
        <w:rPr>
          <w:sz w:val="20"/>
        </w:rPr>
        <w:tab/>
      </w:r>
      <w:r w:rsidR="002371DB">
        <w:t xml:space="preserve">While </w:t>
      </w:r>
      <w:r w:rsidR="008F64A4">
        <w:t>I have summarised some</w:t>
      </w:r>
      <w:r w:rsidR="002948A6">
        <w:t xml:space="preserve"> of the agreed factual background in my</w:t>
      </w:r>
      <w:r w:rsidR="00F02B11">
        <w:t xml:space="preserve"> preliminary observations</w:t>
      </w:r>
      <w:r w:rsidR="002371DB">
        <w:t xml:space="preserve">, </w:t>
      </w:r>
      <w:r w:rsidR="002B52EE">
        <w:t>it is useful to turn initially to findings as to</w:t>
      </w:r>
      <w:r w:rsidR="008F64A4">
        <w:t xml:space="preserve"> </w:t>
      </w:r>
      <w:r w:rsidR="00963D18">
        <w:t xml:space="preserve">uncontroversial </w:t>
      </w:r>
      <w:r w:rsidR="002371DB">
        <w:t xml:space="preserve">factual matters </w:t>
      </w:r>
      <w:r w:rsidR="008F64A4">
        <w:t>that</w:t>
      </w:r>
      <w:r w:rsidR="006D18B6">
        <w:t xml:space="preserve"> </w:t>
      </w:r>
      <w:r w:rsidR="008F64A4">
        <w:t>should be recorded</w:t>
      </w:r>
      <w:r w:rsidR="006D18B6">
        <w:t>.</w:t>
      </w:r>
    </w:p>
    <w:p w:rsidR="00AD0031" w:rsidRDefault="009A6F06" w:rsidP="00666B34">
      <w:pPr>
        <w:pStyle w:val="Heading2"/>
        <w:spacing w:line="276" w:lineRule="auto"/>
      </w:pPr>
      <w:bookmarkStart w:id="27" w:name="_Ref11661438"/>
      <w:r>
        <w:t>C</w:t>
      </w:r>
      <w:r w:rsidR="00AD0031" w:rsidRPr="00AD0031">
        <w:t>.1</w:t>
      </w:r>
      <w:r w:rsidR="00AD0031" w:rsidRPr="00AD0031">
        <w:tab/>
        <w:t>AMPFP’s Business and the AMP Group</w:t>
      </w:r>
      <w:bookmarkEnd w:id="27"/>
      <w:r w:rsidR="00AD0031" w:rsidRPr="00AD0031">
        <w:t xml:space="preserve"> </w:t>
      </w:r>
      <w:r w:rsidR="00AD0031" w:rsidRPr="00AD0031">
        <w:tab/>
      </w:r>
    </w:p>
    <w:p w:rsidR="006D18B6" w:rsidRDefault="003B3C7B" w:rsidP="003B3C7B">
      <w:pPr>
        <w:pStyle w:val="ParaNumbering"/>
        <w:numPr>
          <w:ilvl w:val="0"/>
          <w:numId w:val="0"/>
        </w:numPr>
        <w:tabs>
          <w:tab w:val="left" w:pos="720"/>
        </w:tabs>
        <w:ind w:hanging="720"/>
      </w:pPr>
      <w:r>
        <w:rPr>
          <w:sz w:val="20"/>
        </w:rPr>
        <w:t>39</w:t>
      </w:r>
      <w:r>
        <w:rPr>
          <w:sz w:val="20"/>
        </w:rPr>
        <w:tab/>
      </w:r>
      <w:r w:rsidR="006D18B6" w:rsidRPr="0086382C">
        <w:t>In 2011, AMP and AXA Asia Pacific Holdings Ltd (</w:t>
      </w:r>
      <w:r w:rsidR="006D18B6" w:rsidRPr="00F02B11">
        <w:rPr>
          <w:b/>
        </w:rPr>
        <w:t>AXA</w:t>
      </w:r>
      <w:r w:rsidR="006D18B6" w:rsidRPr="0086382C">
        <w:t xml:space="preserve">) merged by way of a scheme of arrangement under which AXA was acquired by AMP. After the merger between AMP and AXA, there was a </w:t>
      </w:r>
      <w:r w:rsidR="0071749C">
        <w:t>“</w:t>
      </w:r>
      <w:r w:rsidR="006D18B6" w:rsidRPr="0086382C">
        <w:t>harmonisation</w:t>
      </w:r>
      <w:r w:rsidR="0071749C">
        <w:t>”</w:t>
      </w:r>
      <w:r w:rsidR="006D18B6" w:rsidRPr="0086382C">
        <w:t xml:space="preserve"> process to bring the two parts of the organisation together.</w:t>
      </w:r>
      <w:r w:rsidR="00F40047">
        <w:t xml:space="preserve"> </w:t>
      </w:r>
      <w:r w:rsidR="006D18B6" w:rsidRPr="0086382C">
        <w:t>For the years 2012 and 2013, AMP had two major divisions reporting to the CEO. These were AMP Financial Services and AMP Capital. All of the activities relating to both the issuance of products (life insurance, superannuation, retail investment, wrap products and the like) and licensees, planners and advice were under the AMP Financial Services division</w:t>
      </w:r>
      <w:r w:rsidR="002E7C40">
        <w:t xml:space="preserve">. </w:t>
      </w:r>
      <w:r w:rsidR="006D18B6">
        <w:t>For the year ended 31 December 2014</w:t>
      </w:r>
      <w:r w:rsidR="0071749C">
        <w:t>,</w:t>
      </w:r>
      <w:r w:rsidR="006D18B6">
        <w:t xml:space="preserve"> the major divisions of AMP that reported to the CEO were Insurance </w:t>
      </w:r>
      <w:r w:rsidR="006D18B6">
        <w:lastRenderedPageBreak/>
        <w:t xml:space="preserve">and Superannuation, Advice and Banking </w:t>
      </w:r>
      <w:r w:rsidR="006D18B6" w:rsidRPr="0086382C">
        <w:t>and AMP Capital. By this restructure (from 2013 to 2014)</w:t>
      </w:r>
      <w:r w:rsidR="0071749C">
        <w:t>,</w:t>
      </w:r>
      <w:r w:rsidR="006D18B6" w:rsidRPr="0086382C">
        <w:t xml:space="preserve"> AMP separated </w:t>
      </w:r>
      <w:r w:rsidR="0071749C">
        <w:t>“</w:t>
      </w:r>
      <w:r w:rsidR="006D18B6" w:rsidRPr="0086382C">
        <w:t>product</w:t>
      </w:r>
      <w:r w:rsidR="0071749C">
        <w:t>”</w:t>
      </w:r>
      <w:r w:rsidR="006D18B6" w:rsidRPr="0086382C">
        <w:t xml:space="preserve"> activities from </w:t>
      </w:r>
      <w:r w:rsidR="0071749C">
        <w:t>“</w:t>
      </w:r>
      <w:r w:rsidR="006D18B6" w:rsidRPr="0086382C">
        <w:t>advice</w:t>
      </w:r>
      <w:r w:rsidR="0071749C">
        <w:t>”</w:t>
      </w:r>
      <w:r w:rsidR="006D18B6" w:rsidRPr="0086382C">
        <w:t xml:space="preserve"> activities.</w:t>
      </w:r>
    </w:p>
    <w:p w:rsidR="009025DF" w:rsidRDefault="003B3C7B" w:rsidP="003B3C7B">
      <w:pPr>
        <w:pStyle w:val="ParaNumbering"/>
        <w:numPr>
          <w:ilvl w:val="0"/>
          <w:numId w:val="0"/>
        </w:numPr>
        <w:tabs>
          <w:tab w:val="left" w:pos="720"/>
        </w:tabs>
        <w:ind w:hanging="720"/>
      </w:pPr>
      <w:r>
        <w:rPr>
          <w:sz w:val="20"/>
        </w:rPr>
        <w:t>40</w:t>
      </w:r>
      <w:r>
        <w:rPr>
          <w:sz w:val="20"/>
        </w:rPr>
        <w:tab/>
      </w:r>
      <w:r w:rsidR="002141BD">
        <w:t>AMPFP</w:t>
      </w:r>
      <w:r w:rsidR="002141BD">
        <w:rPr>
          <w:spacing w:val="-13"/>
        </w:rPr>
        <w:t xml:space="preserve"> </w:t>
      </w:r>
      <w:r w:rsidR="002141BD">
        <w:t>is</w:t>
      </w:r>
      <w:r w:rsidR="002141BD">
        <w:rPr>
          <w:spacing w:val="-13"/>
        </w:rPr>
        <w:t xml:space="preserve"> </w:t>
      </w:r>
      <w:r w:rsidR="002141BD">
        <w:t>part</w:t>
      </w:r>
      <w:r w:rsidR="002141BD">
        <w:rPr>
          <w:spacing w:val="-14"/>
        </w:rPr>
        <w:t xml:space="preserve"> </w:t>
      </w:r>
      <w:r w:rsidR="002141BD">
        <w:t>of</w:t>
      </w:r>
      <w:r w:rsidR="002141BD">
        <w:rPr>
          <w:spacing w:val="-14"/>
        </w:rPr>
        <w:t xml:space="preserve"> </w:t>
      </w:r>
      <w:r w:rsidR="002141BD">
        <w:t>the</w:t>
      </w:r>
      <w:r w:rsidR="002141BD">
        <w:rPr>
          <w:spacing w:val="-14"/>
        </w:rPr>
        <w:t xml:space="preserve"> </w:t>
      </w:r>
      <w:r w:rsidR="002141BD">
        <w:t>AMP</w:t>
      </w:r>
      <w:r w:rsidR="002141BD">
        <w:rPr>
          <w:spacing w:val="-13"/>
        </w:rPr>
        <w:t xml:space="preserve"> </w:t>
      </w:r>
      <w:r w:rsidR="002141BD">
        <w:t>Group</w:t>
      </w:r>
      <w:r w:rsidR="002141BD">
        <w:rPr>
          <w:spacing w:val="-14"/>
        </w:rPr>
        <w:t xml:space="preserve"> </w:t>
      </w:r>
      <w:r w:rsidR="002141BD">
        <w:t>which</w:t>
      </w:r>
      <w:r w:rsidR="002141BD">
        <w:rPr>
          <w:spacing w:val="-13"/>
        </w:rPr>
        <w:t xml:space="preserve"> </w:t>
      </w:r>
      <w:r w:rsidR="002141BD">
        <w:t>includes</w:t>
      </w:r>
      <w:r w:rsidR="002141BD">
        <w:rPr>
          <w:spacing w:val="-14"/>
        </w:rPr>
        <w:t xml:space="preserve"> </w:t>
      </w:r>
      <w:r w:rsidR="002141BD">
        <w:t>AMP</w:t>
      </w:r>
      <w:r w:rsidR="002141BD">
        <w:rPr>
          <w:spacing w:val="-10"/>
        </w:rPr>
        <w:t xml:space="preserve"> </w:t>
      </w:r>
      <w:r w:rsidR="00B216C2">
        <w:t>Life</w:t>
      </w:r>
      <w:r w:rsidR="002141BD">
        <w:t>.</w:t>
      </w:r>
      <w:r w:rsidR="002141BD">
        <w:rPr>
          <w:spacing w:val="-13"/>
        </w:rPr>
        <w:t xml:space="preserve"> </w:t>
      </w:r>
      <w:r w:rsidR="002141BD">
        <w:t>During the Relevant Pe</w:t>
      </w:r>
      <w:r w:rsidR="005235BF">
        <w:t>riod, AMPFP held an Australian Financial Services L</w:t>
      </w:r>
      <w:r w:rsidR="002141BD">
        <w:t xml:space="preserve">icence </w:t>
      </w:r>
      <w:r w:rsidR="007B30B5">
        <w:t>(</w:t>
      </w:r>
      <w:r w:rsidR="007B30B5">
        <w:rPr>
          <w:b/>
        </w:rPr>
        <w:t>AFSL</w:t>
      </w:r>
      <w:r w:rsidR="007B30B5">
        <w:t>)</w:t>
      </w:r>
      <w:r w:rsidR="007B30B5" w:rsidRPr="007B30B5">
        <w:t xml:space="preserve"> </w:t>
      </w:r>
      <w:r w:rsidR="002141BD">
        <w:t>granted pursuant</w:t>
      </w:r>
      <w:r w:rsidR="002141BD">
        <w:rPr>
          <w:spacing w:val="-8"/>
        </w:rPr>
        <w:t xml:space="preserve"> </w:t>
      </w:r>
      <w:r w:rsidR="002141BD">
        <w:t>to</w:t>
      </w:r>
      <w:r w:rsidR="002141BD">
        <w:rPr>
          <w:spacing w:val="-8"/>
        </w:rPr>
        <w:t xml:space="preserve"> </w:t>
      </w:r>
      <w:r w:rsidR="002141BD">
        <w:t>s</w:t>
      </w:r>
      <w:r w:rsidR="002141BD">
        <w:rPr>
          <w:spacing w:val="-8"/>
        </w:rPr>
        <w:t xml:space="preserve"> </w:t>
      </w:r>
      <w:r w:rsidR="002141BD">
        <w:t>913B</w:t>
      </w:r>
      <w:r w:rsidR="002141BD">
        <w:rPr>
          <w:spacing w:val="-10"/>
        </w:rPr>
        <w:t xml:space="preserve"> </w:t>
      </w:r>
      <w:r w:rsidR="002141BD">
        <w:t>of</w:t>
      </w:r>
      <w:r w:rsidR="002141BD">
        <w:rPr>
          <w:spacing w:val="-9"/>
        </w:rPr>
        <w:t xml:space="preserve"> </w:t>
      </w:r>
      <w:r w:rsidR="002141BD">
        <w:t>the</w:t>
      </w:r>
      <w:r w:rsidR="002141BD">
        <w:rPr>
          <w:spacing w:val="-7"/>
        </w:rPr>
        <w:t xml:space="preserve"> </w:t>
      </w:r>
      <w:r w:rsidR="002141BD">
        <w:t>Act</w:t>
      </w:r>
      <w:r w:rsidR="002141BD">
        <w:rPr>
          <w:spacing w:val="-8"/>
        </w:rPr>
        <w:t xml:space="preserve"> </w:t>
      </w:r>
      <w:r w:rsidR="002141BD">
        <w:t>and</w:t>
      </w:r>
      <w:r w:rsidR="002141BD">
        <w:rPr>
          <w:spacing w:val="-6"/>
        </w:rPr>
        <w:t xml:space="preserve"> </w:t>
      </w:r>
      <w:r w:rsidR="002E7C40">
        <w:t xml:space="preserve">authorised representatives </w:t>
      </w:r>
      <w:r w:rsidR="002141BD">
        <w:t>provide</w:t>
      </w:r>
      <w:r w:rsidR="00BF18D9">
        <w:t>d</w:t>
      </w:r>
      <w:r w:rsidR="002141BD">
        <w:t xml:space="preserve"> personal</w:t>
      </w:r>
      <w:r w:rsidR="002141BD">
        <w:rPr>
          <w:spacing w:val="-11"/>
        </w:rPr>
        <w:t xml:space="preserve"> </w:t>
      </w:r>
      <w:r w:rsidR="002141BD">
        <w:t>advice</w:t>
      </w:r>
      <w:r w:rsidR="002141BD">
        <w:rPr>
          <w:spacing w:val="-13"/>
        </w:rPr>
        <w:t xml:space="preserve"> </w:t>
      </w:r>
      <w:r w:rsidR="002141BD">
        <w:t>to</w:t>
      </w:r>
      <w:r w:rsidR="002141BD">
        <w:rPr>
          <w:spacing w:val="-13"/>
        </w:rPr>
        <w:t xml:space="preserve"> </w:t>
      </w:r>
      <w:r w:rsidR="002141BD">
        <w:t>retail</w:t>
      </w:r>
      <w:r w:rsidR="002141BD">
        <w:rPr>
          <w:spacing w:val="-13"/>
        </w:rPr>
        <w:t xml:space="preserve"> </w:t>
      </w:r>
      <w:r w:rsidR="002141BD">
        <w:t>clients</w:t>
      </w:r>
      <w:r w:rsidR="002141BD">
        <w:rPr>
          <w:spacing w:val="-13"/>
        </w:rPr>
        <w:t xml:space="preserve"> </w:t>
      </w:r>
      <w:r w:rsidR="002141BD">
        <w:t>on</w:t>
      </w:r>
      <w:r w:rsidR="002141BD">
        <w:rPr>
          <w:spacing w:val="-13"/>
        </w:rPr>
        <w:t xml:space="preserve"> </w:t>
      </w:r>
      <w:r w:rsidR="002141BD">
        <w:t>behalf</w:t>
      </w:r>
      <w:r w:rsidR="002141BD">
        <w:rPr>
          <w:spacing w:val="-12"/>
        </w:rPr>
        <w:t xml:space="preserve"> </w:t>
      </w:r>
      <w:r w:rsidR="002141BD">
        <w:t>of</w:t>
      </w:r>
      <w:r w:rsidR="002141BD">
        <w:rPr>
          <w:spacing w:val="-12"/>
        </w:rPr>
        <w:t xml:space="preserve"> </w:t>
      </w:r>
      <w:r w:rsidR="00B216C2">
        <w:t>AMPFP</w:t>
      </w:r>
      <w:r w:rsidR="002141BD">
        <w:t>.</w:t>
      </w:r>
      <w:r w:rsidR="00F40047">
        <w:rPr>
          <w:spacing w:val="-13"/>
        </w:rPr>
        <w:t xml:space="preserve"> </w:t>
      </w:r>
      <w:r w:rsidR="002141BD">
        <w:t>Division</w:t>
      </w:r>
      <w:r w:rsidR="002141BD">
        <w:rPr>
          <w:spacing w:val="-13"/>
        </w:rPr>
        <w:t xml:space="preserve"> </w:t>
      </w:r>
      <w:r w:rsidR="002141BD">
        <w:t>2</w:t>
      </w:r>
      <w:r w:rsidR="002141BD">
        <w:rPr>
          <w:spacing w:val="-13"/>
        </w:rPr>
        <w:t xml:space="preserve"> </w:t>
      </w:r>
      <w:r w:rsidR="002141BD">
        <w:t>of</w:t>
      </w:r>
      <w:r w:rsidR="002141BD">
        <w:rPr>
          <w:spacing w:val="-14"/>
        </w:rPr>
        <w:t xml:space="preserve"> </w:t>
      </w:r>
      <w:r w:rsidR="00D21327">
        <w:t>Pt</w:t>
      </w:r>
      <w:r w:rsidR="002141BD">
        <w:rPr>
          <w:spacing w:val="-14"/>
        </w:rPr>
        <w:t xml:space="preserve"> </w:t>
      </w:r>
      <w:r w:rsidR="002141BD">
        <w:t>7.7A of the Act (w</w:t>
      </w:r>
      <w:r w:rsidR="006A0301">
        <w:t>hich includes</w:t>
      </w:r>
      <w:r w:rsidR="00AF6BC0">
        <w:t xml:space="preserve"> the relevant </w:t>
      </w:r>
      <w:r w:rsidR="006A0301">
        <w:t>best interest</w:t>
      </w:r>
      <w:r w:rsidR="00A46A7D">
        <w:t>s</w:t>
      </w:r>
      <w:r w:rsidR="002141BD">
        <w:t xml:space="preserve"> obligations) applied to the advice as of 1 July 2013. As noted above, the </w:t>
      </w:r>
      <w:r w:rsidR="002E7C40">
        <w:t xml:space="preserve">authorised representatives </w:t>
      </w:r>
      <w:r w:rsidR="002141BD">
        <w:t>provided advice to clients in relation to AMP Life Products</w:t>
      </w:r>
      <w:r w:rsidR="002E7C40">
        <w:t>.</w:t>
      </w:r>
    </w:p>
    <w:p w:rsidR="00620FD8" w:rsidRDefault="003B3C7B" w:rsidP="003B3C7B">
      <w:pPr>
        <w:pStyle w:val="ParaNumbering"/>
        <w:numPr>
          <w:ilvl w:val="0"/>
          <w:numId w:val="0"/>
        </w:numPr>
        <w:tabs>
          <w:tab w:val="left" w:pos="720"/>
        </w:tabs>
        <w:ind w:hanging="720"/>
      </w:pPr>
      <w:r>
        <w:rPr>
          <w:sz w:val="20"/>
        </w:rPr>
        <w:t>41</w:t>
      </w:r>
      <w:r>
        <w:rPr>
          <w:sz w:val="20"/>
        </w:rPr>
        <w:tab/>
      </w:r>
      <w:r w:rsidR="00BF18D9">
        <w:t>AMPFP had</w:t>
      </w:r>
      <w:r w:rsidR="002141BD">
        <w:t xml:space="preserve"> a network of</w:t>
      </w:r>
      <w:r w:rsidR="00B641A4">
        <w:t xml:space="preserve"> </w:t>
      </w:r>
      <w:r w:rsidR="00BF18D9">
        <w:t xml:space="preserve">1,600 </w:t>
      </w:r>
      <w:r w:rsidR="002E7C40">
        <w:t>authorised representatives</w:t>
      </w:r>
      <w:r w:rsidR="00B641A4">
        <w:t xml:space="preserve"> </w:t>
      </w:r>
      <w:r w:rsidR="00BF18D9">
        <w:t>at</w:t>
      </w:r>
      <w:r w:rsidR="002141BD">
        <w:t xml:space="preserve"> </w:t>
      </w:r>
      <w:r w:rsidR="005235BF">
        <w:t>material</w:t>
      </w:r>
      <w:r w:rsidR="00BF18D9">
        <w:t xml:space="preserve"> times and </w:t>
      </w:r>
      <w:r w:rsidR="00B641A4">
        <w:t>“</w:t>
      </w:r>
      <w:r w:rsidR="002141BD">
        <w:t>AMP aligned</w:t>
      </w:r>
      <w:r w:rsidR="00B641A4">
        <w:t>”</w:t>
      </w:r>
      <w:r w:rsidR="002141BD">
        <w:t xml:space="preserve"> advisers made applications to AMP Life for </w:t>
      </w:r>
      <w:r w:rsidR="000E5D29">
        <w:t>approximately</w:t>
      </w:r>
      <w:r w:rsidR="002141BD">
        <w:t xml:space="preserve"> 20,000 insurance policies in each year</w:t>
      </w:r>
      <w:r w:rsidR="0086382C">
        <w:t>.</w:t>
      </w:r>
    </w:p>
    <w:p w:rsidR="00620FD8" w:rsidRDefault="003B3C7B" w:rsidP="003B3C7B">
      <w:pPr>
        <w:pStyle w:val="ParaNumbering"/>
        <w:numPr>
          <w:ilvl w:val="0"/>
          <w:numId w:val="0"/>
        </w:numPr>
        <w:tabs>
          <w:tab w:val="left" w:pos="720"/>
        </w:tabs>
        <w:ind w:hanging="720"/>
      </w:pPr>
      <w:r>
        <w:rPr>
          <w:sz w:val="20"/>
        </w:rPr>
        <w:t>42</w:t>
      </w:r>
      <w:r>
        <w:rPr>
          <w:sz w:val="20"/>
        </w:rPr>
        <w:tab/>
      </w:r>
      <w:r w:rsidR="000E5D29">
        <w:t xml:space="preserve">As would by now be clear, AMPFP does not </w:t>
      </w:r>
      <w:r w:rsidR="00620FD8">
        <w:t>issue insurance or other products. The products that AMPF</w:t>
      </w:r>
      <w:r w:rsidR="00B216C2">
        <w:t>P</w:t>
      </w:r>
      <w:r w:rsidR="002E7C40">
        <w:t>’s</w:t>
      </w:r>
      <w:r w:rsidR="00B216C2">
        <w:t xml:space="preserve"> </w:t>
      </w:r>
      <w:r w:rsidR="002E7C40">
        <w:t>a</w:t>
      </w:r>
      <w:r w:rsidR="00B216C2">
        <w:t xml:space="preserve">uthorised </w:t>
      </w:r>
      <w:r w:rsidR="002E7C40">
        <w:t>r</w:t>
      </w:r>
      <w:r w:rsidR="00B216C2">
        <w:t>epresentatives could</w:t>
      </w:r>
      <w:r w:rsidR="00620FD8">
        <w:t xml:space="preserve"> recommend to clients are from a number of product issuers, and are not limited to AMP products. The Planner Supervision team (subsequently called Advice Governance, and more recently, Advice Compliance) is within the same division of the group as AMPFP, Wealth</w:t>
      </w:r>
      <w:r w:rsidR="00620FD8">
        <w:rPr>
          <w:spacing w:val="-15"/>
        </w:rPr>
        <w:t xml:space="preserve"> </w:t>
      </w:r>
      <w:r w:rsidR="00620FD8">
        <w:t>Management.</w:t>
      </w:r>
    </w:p>
    <w:p w:rsidR="00620FD8" w:rsidRPr="009025DF" w:rsidRDefault="003B3C7B" w:rsidP="003B3C7B">
      <w:pPr>
        <w:pStyle w:val="ParaNumbering"/>
        <w:numPr>
          <w:ilvl w:val="0"/>
          <w:numId w:val="0"/>
        </w:numPr>
        <w:tabs>
          <w:tab w:val="left" w:pos="720"/>
        </w:tabs>
        <w:ind w:hanging="720"/>
      </w:pPr>
      <w:r w:rsidRPr="009025DF">
        <w:rPr>
          <w:sz w:val="20"/>
        </w:rPr>
        <w:t>43</w:t>
      </w:r>
      <w:r w:rsidRPr="009025DF">
        <w:rPr>
          <w:sz w:val="20"/>
        </w:rPr>
        <w:tab/>
      </w:r>
      <w:r w:rsidR="00620FD8">
        <w:t>AMP Life</w:t>
      </w:r>
      <w:r w:rsidR="000E5D29">
        <w:t>, however,</w:t>
      </w:r>
      <w:r w:rsidR="00620FD8">
        <w:t xml:space="preserve"> provides wealth management products and life insurance products to clients. It does so by designing and issuing those products itself.</w:t>
      </w:r>
      <w:r w:rsidR="00B216C2">
        <w:t xml:space="preserve"> It is AMP Life (not AMPFP) which</w:t>
      </w:r>
      <w:r w:rsidR="00620FD8">
        <w:t xml:space="preserve"> is responsible for setting the transfer rules in relation to products that it issues. The Product, New Business and Underwriting teams are part of AMP Life. AMP Life was responsible for setting</w:t>
      </w:r>
      <w:r w:rsidR="00620FD8" w:rsidRPr="002141BD">
        <w:rPr>
          <w:spacing w:val="-17"/>
        </w:rPr>
        <w:t xml:space="preserve"> </w:t>
      </w:r>
      <w:r w:rsidR="00620FD8">
        <w:t>the commissions that are payable in respect of its products, and does so on an industry-wide basis (that is</w:t>
      </w:r>
      <w:r w:rsidR="00B641A4">
        <w:t>,</w:t>
      </w:r>
      <w:r w:rsidR="00620FD8">
        <w:t xml:space="preserve"> without regard to whether the person recommending its product is an AMPFP authorised representative or an authorised representative of some other financial adviser).</w:t>
      </w:r>
      <w:bookmarkStart w:id="28" w:name="_bookmark6"/>
      <w:bookmarkEnd w:id="28"/>
    </w:p>
    <w:p w:rsidR="00666B34" w:rsidRPr="00620FD8" w:rsidRDefault="003B3C7B" w:rsidP="003B3C7B">
      <w:pPr>
        <w:pStyle w:val="ParaNumbering"/>
        <w:numPr>
          <w:ilvl w:val="0"/>
          <w:numId w:val="0"/>
        </w:numPr>
        <w:tabs>
          <w:tab w:val="left" w:pos="720"/>
        </w:tabs>
        <w:ind w:hanging="720"/>
        <w:rPr>
          <w:color w:val="000000"/>
          <w:sz w:val="22"/>
          <w:szCs w:val="22"/>
          <w:vertAlign w:val="superscript"/>
        </w:rPr>
      </w:pPr>
      <w:r w:rsidRPr="00620FD8">
        <w:rPr>
          <w:color w:val="000000"/>
          <w:sz w:val="20"/>
        </w:rPr>
        <w:t>44</w:t>
      </w:r>
      <w:r w:rsidRPr="00620FD8">
        <w:rPr>
          <w:color w:val="000000"/>
          <w:sz w:val="20"/>
        </w:rPr>
        <w:tab/>
      </w:r>
      <w:r w:rsidR="002141BD">
        <w:t>The relationship between AMPFP and AMP Life</w:t>
      </w:r>
      <w:r w:rsidR="005720D3">
        <w:t>,</w:t>
      </w:r>
      <w:r w:rsidR="002141BD">
        <w:t xml:space="preserve"> </w:t>
      </w:r>
      <w:r w:rsidR="005720D3">
        <w:t>inso</w:t>
      </w:r>
      <w:r w:rsidR="002141BD">
        <w:t>far as it concerns the sale of AMP Life products</w:t>
      </w:r>
      <w:r w:rsidR="005720D3">
        <w:t>,</w:t>
      </w:r>
      <w:r w:rsidR="002141BD">
        <w:t xml:space="preserve"> is governed by contract. AM</w:t>
      </w:r>
      <w:r w:rsidR="003077CA">
        <w:t xml:space="preserve">PFP in turn contracts with its </w:t>
      </w:r>
      <w:r w:rsidR="002E7C40">
        <w:t>authorised representatives</w:t>
      </w:r>
      <w:r w:rsidR="002141BD">
        <w:t xml:space="preserve">, and also corporate authorised representatives (such as </w:t>
      </w:r>
      <w:proofErr w:type="spellStart"/>
      <w:r w:rsidR="002141BD">
        <w:t>Benidion</w:t>
      </w:r>
      <w:proofErr w:type="spellEnd"/>
      <w:r w:rsidR="002141BD">
        <w:t xml:space="preserve"> Financial Services Pty Ltd</w:t>
      </w:r>
      <w:r w:rsidR="00D846F8">
        <w:t xml:space="preserve"> (</w:t>
      </w:r>
      <w:proofErr w:type="spellStart"/>
      <w:r w:rsidR="00D846F8">
        <w:rPr>
          <w:b/>
        </w:rPr>
        <w:t>Benidion</w:t>
      </w:r>
      <w:proofErr w:type="spellEnd"/>
      <w:r w:rsidR="00D846F8">
        <w:t>)</w:t>
      </w:r>
      <w:r w:rsidR="002141BD">
        <w:t xml:space="preserve">, </w:t>
      </w:r>
      <w:r w:rsidR="00A956F3">
        <w:t>Pangan</w:t>
      </w:r>
      <w:r w:rsidR="002141BD">
        <w:t xml:space="preserve">iban’s employer). </w:t>
      </w:r>
    </w:p>
    <w:p w:rsidR="003C32F0" w:rsidRDefault="009A6F06" w:rsidP="003C32F0">
      <w:pPr>
        <w:pStyle w:val="Heading2"/>
      </w:pPr>
      <w:bookmarkStart w:id="29" w:name="_Ref22827382"/>
      <w:r>
        <w:lastRenderedPageBreak/>
        <w:t>C</w:t>
      </w:r>
      <w:r w:rsidR="00E947B2">
        <w:t>.2</w:t>
      </w:r>
      <w:r w:rsidR="003C32F0">
        <w:tab/>
        <w:t>Rewriting Conduct</w:t>
      </w:r>
      <w:bookmarkEnd w:id="29"/>
    </w:p>
    <w:p w:rsidR="003C32F0" w:rsidRDefault="003B3C7B" w:rsidP="003B3C7B">
      <w:pPr>
        <w:pStyle w:val="ParaNumbering"/>
        <w:numPr>
          <w:ilvl w:val="0"/>
          <w:numId w:val="0"/>
        </w:numPr>
        <w:tabs>
          <w:tab w:val="left" w:pos="720"/>
        </w:tabs>
        <w:ind w:hanging="720"/>
      </w:pPr>
      <w:r>
        <w:rPr>
          <w:sz w:val="20"/>
        </w:rPr>
        <w:t>45</w:t>
      </w:r>
      <w:r>
        <w:rPr>
          <w:sz w:val="20"/>
        </w:rPr>
        <w:tab/>
      </w:r>
      <w:r w:rsidR="00E85E13">
        <w:t xml:space="preserve">I have provided </w:t>
      </w:r>
      <w:r w:rsidR="00F02B11">
        <w:t>(</w:t>
      </w:r>
      <w:r w:rsidR="00E85E13">
        <w:t>at</w:t>
      </w:r>
      <w:r w:rsidR="00F02B11">
        <w:t xml:space="preserve"> [</w:t>
      </w:r>
      <w:r w:rsidR="002E7C40">
        <w:fldChar w:fldCharType="begin" w:fldLock="1"/>
      </w:r>
      <w:r w:rsidR="002E7C40">
        <w:instrText xml:space="preserve"> REF _Ref29994446 \r \h </w:instrText>
      </w:r>
      <w:r w:rsidR="002E7C40">
        <w:fldChar w:fldCharType="separate"/>
      </w:r>
      <w:r w:rsidR="00E469CA">
        <w:t>4</w:t>
      </w:r>
      <w:r w:rsidR="002E7C40">
        <w:fldChar w:fldCharType="end"/>
      </w:r>
      <w:r w:rsidR="00F02B11">
        <w:t>] above)</w:t>
      </w:r>
      <w:r w:rsidR="002D4112">
        <w:t xml:space="preserve"> a concise </w:t>
      </w:r>
      <w:r w:rsidR="00E85E13">
        <w:t xml:space="preserve">definition of </w:t>
      </w:r>
      <w:r w:rsidR="00E56B6A">
        <w:t>Rewriting Conduct</w:t>
      </w:r>
      <w:r w:rsidR="00E85E13">
        <w:t xml:space="preserve">, </w:t>
      </w:r>
      <w:r w:rsidR="00F02B11">
        <w:t>but</w:t>
      </w:r>
      <w:r w:rsidR="00B641A4">
        <w:t xml:space="preserve"> a more complete</w:t>
      </w:r>
      <w:r w:rsidR="00E85E13">
        <w:t xml:space="preserve"> definition was agreed by the parties</w:t>
      </w:r>
      <w:r w:rsidR="00B216C2">
        <w:t>.</w:t>
      </w:r>
      <w:r w:rsidR="00F40047">
        <w:t xml:space="preserve"> </w:t>
      </w:r>
      <w:r w:rsidR="00B216C2">
        <w:t xml:space="preserve">It was </w:t>
      </w:r>
      <w:r w:rsidR="003C32F0" w:rsidRPr="003C32F0">
        <w:t xml:space="preserve">the provision of advice by an authorised representative of AMPFP to a client in circumstances where: </w:t>
      </w:r>
    </w:p>
    <w:p w:rsidR="003C32F0" w:rsidRDefault="003B3C7B" w:rsidP="003B3C7B">
      <w:pPr>
        <w:pStyle w:val="ListNo2"/>
        <w:numPr>
          <w:ilvl w:val="0"/>
          <w:numId w:val="0"/>
        </w:numPr>
        <w:tabs>
          <w:tab w:val="left" w:pos="1440"/>
        </w:tabs>
        <w:ind w:left="1440" w:hanging="720"/>
      </w:pPr>
      <w:r>
        <w:t>(a)</w:t>
      </w:r>
      <w:r>
        <w:tab/>
      </w:r>
      <w:r w:rsidR="003C32F0">
        <w:t>t</w:t>
      </w:r>
      <w:r w:rsidR="003C32F0" w:rsidRPr="003C32F0">
        <w:t>he client had insurance cover in the form of an existing AMP Life Pr</w:t>
      </w:r>
      <w:r w:rsidR="00B216C2">
        <w:t>oduct (</w:t>
      </w:r>
      <w:r w:rsidR="003C32F0" w:rsidRPr="00B216C2">
        <w:rPr>
          <w:b/>
        </w:rPr>
        <w:t>existing cover</w:t>
      </w:r>
      <w:r w:rsidR="003C32F0">
        <w:t xml:space="preserve">); </w:t>
      </w:r>
    </w:p>
    <w:p w:rsidR="003C32F0" w:rsidRDefault="003B3C7B" w:rsidP="003B3C7B">
      <w:pPr>
        <w:pStyle w:val="ListNo2"/>
        <w:numPr>
          <w:ilvl w:val="0"/>
          <w:numId w:val="0"/>
        </w:numPr>
        <w:tabs>
          <w:tab w:val="left" w:pos="1440"/>
        </w:tabs>
        <w:ind w:left="1440" w:hanging="720"/>
      </w:pPr>
      <w:r>
        <w:t>(b)</w:t>
      </w:r>
      <w:r>
        <w:tab/>
      </w:r>
      <w:r w:rsidR="003C32F0" w:rsidRPr="003C32F0">
        <w:t>the client replaced or sought to replace the existing cover by applying for insurance cover in the form of a re</w:t>
      </w:r>
      <w:r w:rsidR="003C32F0">
        <w:t xml:space="preserve">placement AMP Life Product; </w:t>
      </w:r>
    </w:p>
    <w:p w:rsidR="003C32F0" w:rsidRDefault="003B3C7B" w:rsidP="003B3C7B">
      <w:pPr>
        <w:pStyle w:val="ListNo2"/>
        <w:numPr>
          <w:ilvl w:val="0"/>
          <w:numId w:val="0"/>
        </w:numPr>
        <w:tabs>
          <w:tab w:val="left" w:pos="1440"/>
        </w:tabs>
        <w:ind w:left="1440" w:hanging="720"/>
      </w:pPr>
      <w:r>
        <w:t>(c)</w:t>
      </w:r>
      <w:r>
        <w:tab/>
      </w:r>
      <w:r w:rsidR="003C32F0" w:rsidRPr="003C32F0">
        <w:t xml:space="preserve">there was a requirement for underwriting in respect of the replacement AMP Life Product; </w:t>
      </w:r>
    </w:p>
    <w:p w:rsidR="003C32F0" w:rsidRDefault="003B3C7B" w:rsidP="003B3C7B">
      <w:pPr>
        <w:pStyle w:val="ListNo2"/>
        <w:numPr>
          <w:ilvl w:val="0"/>
          <w:numId w:val="0"/>
        </w:numPr>
        <w:tabs>
          <w:tab w:val="left" w:pos="1440"/>
        </w:tabs>
        <w:ind w:left="1440" w:hanging="720"/>
      </w:pPr>
      <w:r>
        <w:t>(d)</w:t>
      </w:r>
      <w:r>
        <w:tab/>
      </w:r>
      <w:r w:rsidR="003C32F0" w:rsidRPr="003C32F0">
        <w:t xml:space="preserve">either: </w:t>
      </w:r>
    </w:p>
    <w:p w:rsidR="003C32F0" w:rsidRDefault="003B3C7B" w:rsidP="003B3C7B">
      <w:pPr>
        <w:pStyle w:val="ListNo3"/>
        <w:numPr>
          <w:ilvl w:val="0"/>
          <w:numId w:val="0"/>
        </w:numPr>
        <w:tabs>
          <w:tab w:val="left" w:pos="2160"/>
        </w:tabs>
        <w:ind w:left="2160" w:hanging="720"/>
      </w:pPr>
      <w:r>
        <w:t>(</w:t>
      </w:r>
      <w:proofErr w:type="spellStart"/>
      <w:r>
        <w:t>i</w:t>
      </w:r>
      <w:proofErr w:type="spellEnd"/>
      <w:r>
        <w:t>)</w:t>
      </w:r>
      <w:r>
        <w:tab/>
      </w:r>
      <w:r w:rsidR="003C32F0" w:rsidRPr="003C32F0">
        <w:t>the existing cover w</w:t>
      </w:r>
      <w:r w:rsidR="003C32F0">
        <w:t xml:space="preserve">as cancelled or lapsed; or </w:t>
      </w:r>
    </w:p>
    <w:p w:rsidR="003C32F0" w:rsidRDefault="003B3C7B" w:rsidP="003B3C7B">
      <w:pPr>
        <w:pStyle w:val="ListNo3"/>
        <w:numPr>
          <w:ilvl w:val="0"/>
          <w:numId w:val="0"/>
        </w:numPr>
        <w:tabs>
          <w:tab w:val="left" w:pos="2160"/>
        </w:tabs>
        <w:ind w:left="2160" w:hanging="720"/>
      </w:pPr>
      <w:r>
        <w:t>(ii)</w:t>
      </w:r>
      <w:r>
        <w:tab/>
      </w:r>
      <w:r w:rsidR="003C32F0" w:rsidRPr="003C32F0">
        <w:t xml:space="preserve">the existing cover was ultimately neither cancelled nor lapsed but it was recommended that the client replace or seek to replace the existing cover; </w:t>
      </w:r>
    </w:p>
    <w:p w:rsidR="003C32F0" w:rsidRDefault="003B3C7B" w:rsidP="003B3C7B">
      <w:pPr>
        <w:pStyle w:val="ListNo2"/>
        <w:numPr>
          <w:ilvl w:val="0"/>
          <w:numId w:val="0"/>
        </w:numPr>
        <w:tabs>
          <w:tab w:val="left" w:pos="1440"/>
        </w:tabs>
        <w:ind w:left="1440" w:hanging="720"/>
      </w:pPr>
      <w:r>
        <w:t>(e)</w:t>
      </w:r>
      <w:r>
        <w:tab/>
      </w:r>
      <w:r w:rsidR="003C32F0" w:rsidRPr="003C32F0">
        <w:t xml:space="preserve">transfer from the existing cover to the new cover was available; and </w:t>
      </w:r>
    </w:p>
    <w:p w:rsidR="003C32F0" w:rsidRPr="003C32F0" w:rsidRDefault="003B3C7B" w:rsidP="003B3C7B">
      <w:pPr>
        <w:pStyle w:val="ListNo2"/>
        <w:numPr>
          <w:ilvl w:val="0"/>
          <w:numId w:val="0"/>
        </w:numPr>
        <w:tabs>
          <w:tab w:val="left" w:pos="1440"/>
        </w:tabs>
        <w:ind w:left="1440" w:hanging="720"/>
      </w:pPr>
      <w:r w:rsidRPr="003C32F0">
        <w:t>(f)</w:t>
      </w:r>
      <w:r w:rsidRPr="003C32F0">
        <w:tab/>
      </w:r>
      <w:r w:rsidR="003C32F0" w:rsidRPr="003C32F0">
        <w:t>the authorised representative failed to advise the client to undergo transfer in circumstances where transfer was available.</w:t>
      </w:r>
    </w:p>
    <w:p w:rsidR="00DE40D9" w:rsidRDefault="003B3C7B" w:rsidP="00666B34">
      <w:pPr>
        <w:pStyle w:val="Heading1"/>
        <w:spacing w:line="276" w:lineRule="auto"/>
        <w:rPr>
          <w:caps w:val="0"/>
        </w:rPr>
      </w:pPr>
      <w:bookmarkStart w:id="30" w:name="_Ref11661442"/>
      <w:bookmarkStart w:id="31" w:name="_Ref29821114"/>
      <w:r>
        <w:rPr>
          <w:caps w:val="0"/>
        </w:rPr>
        <w:t xml:space="preserve">D </w:t>
      </w:r>
      <w:r>
        <w:rPr>
          <w:caps w:val="0"/>
        </w:rPr>
        <w:tab/>
      </w:r>
      <w:bookmarkEnd w:id="30"/>
      <w:r>
        <w:rPr>
          <w:caps w:val="0"/>
        </w:rPr>
        <w:t>RELEVANT STATUTORY NORMS</w:t>
      </w:r>
      <w:bookmarkEnd w:id="31"/>
      <w:r>
        <w:rPr>
          <w:caps w:val="0"/>
        </w:rPr>
        <w:t xml:space="preserve"> </w:t>
      </w:r>
    </w:p>
    <w:p w:rsidR="00487B72" w:rsidRPr="00487B72" w:rsidRDefault="003B3C7B" w:rsidP="003B3C7B">
      <w:pPr>
        <w:pStyle w:val="ParaNumbering"/>
        <w:numPr>
          <w:ilvl w:val="0"/>
          <w:numId w:val="0"/>
        </w:numPr>
        <w:tabs>
          <w:tab w:val="left" w:pos="720"/>
        </w:tabs>
        <w:ind w:hanging="720"/>
      </w:pPr>
      <w:r w:rsidRPr="00487B72">
        <w:rPr>
          <w:sz w:val="20"/>
        </w:rPr>
        <w:t>46</w:t>
      </w:r>
      <w:r w:rsidRPr="00487B72">
        <w:rPr>
          <w:sz w:val="20"/>
        </w:rPr>
        <w:tab/>
      </w:r>
      <w:r w:rsidR="002666BD">
        <w:t xml:space="preserve">As noted above, </w:t>
      </w:r>
      <w:r w:rsidR="004219AC">
        <w:t>the contravening conduct is</w:t>
      </w:r>
      <w:r w:rsidR="00F31307">
        <w:t xml:space="preserve"> </w:t>
      </w:r>
      <w:r w:rsidR="001973C8">
        <w:t xml:space="preserve">now </w:t>
      </w:r>
      <w:r w:rsidR="004219AC">
        <w:t>agreed</w:t>
      </w:r>
      <w:r w:rsidR="001973C8">
        <w:t xml:space="preserve">; however, </w:t>
      </w:r>
      <w:r w:rsidR="004672A9">
        <w:t>the number of con</w:t>
      </w:r>
      <w:r w:rsidR="00501954">
        <w:t xml:space="preserve">traventions is hotly disputed. </w:t>
      </w:r>
      <w:r w:rsidR="009025DF">
        <w:t>T</w:t>
      </w:r>
      <w:r w:rsidR="00974AC1">
        <w:t xml:space="preserve">he determination of the number of </w:t>
      </w:r>
      <w:r w:rsidR="00501954">
        <w:t xml:space="preserve">contraventions </w:t>
      </w:r>
      <w:r w:rsidR="00974AC1">
        <w:t xml:space="preserve">requires </w:t>
      </w:r>
      <w:r w:rsidR="00B216C2">
        <w:t>close</w:t>
      </w:r>
      <w:r w:rsidR="00974AC1">
        <w:t xml:space="preserve"> analysis of the relevant statutory </w:t>
      </w:r>
      <w:r w:rsidR="00B216C2">
        <w:t>norms</w:t>
      </w:r>
      <w:r w:rsidR="001973C8">
        <w:t>;</w:t>
      </w:r>
      <w:r w:rsidR="00974AC1">
        <w:t xml:space="preserve"> </w:t>
      </w:r>
      <w:r w:rsidR="00B216C2">
        <w:t>I</w:t>
      </w:r>
      <w:r w:rsidR="002666BD">
        <w:t xml:space="preserve"> will turn to this task later in this judgment</w:t>
      </w:r>
      <w:r w:rsidR="001973C8">
        <w:t>,</w:t>
      </w:r>
      <w:r w:rsidR="002666BD">
        <w:t xml:space="preserve"> bu</w:t>
      </w:r>
      <w:r w:rsidR="000E5D29">
        <w:t>t</w:t>
      </w:r>
      <w:r w:rsidR="00F953E5">
        <w:t xml:space="preserve"> it</w:t>
      </w:r>
      <w:r w:rsidR="000E5D29">
        <w:t xml:space="preserve"> is useful </w:t>
      </w:r>
      <w:r w:rsidR="00487B72">
        <w:t xml:space="preserve">for me </w:t>
      </w:r>
      <w:r w:rsidR="002666BD">
        <w:t xml:space="preserve">at this point </w:t>
      </w:r>
      <w:r w:rsidR="00487B72">
        <w:t>to se</w:t>
      </w:r>
      <w:r w:rsidR="004672A9">
        <w:t xml:space="preserve">t out </w:t>
      </w:r>
      <w:r w:rsidR="000E5D29">
        <w:t>the relevant</w:t>
      </w:r>
      <w:r w:rsidR="004672A9">
        <w:t xml:space="preserve"> </w:t>
      </w:r>
      <w:r w:rsidR="004219AC">
        <w:t xml:space="preserve">(and </w:t>
      </w:r>
      <w:r w:rsidR="00B216C2">
        <w:t>interrelating</w:t>
      </w:r>
      <w:r w:rsidR="004219AC">
        <w:t>)</w:t>
      </w:r>
      <w:r w:rsidR="00B216C2">
        <w:t xml:space="preserve"> </w:t>
      </w:r>
      <w:r w:rsidR="004672A9">
        <w:t>provision</w:t>
      </w:r>
      <w:r w:rsidR="000E5D29">
        <w:t>s</w:t>
      </w:r>
      <w:r w:rsidR="008363D7">
        <w:rPr>
          <w:i/>
        </w:rPr>
        <w:t>.</w:t>
      </w:r>
    </w:p>
    <w:p w:rsidR="00212F9A" w:rsidRDefault="009A6F06" w:rsidP="009A6F06">
      <w:pPr>
        <w:pStyle w:val="Heading2"/>
      </w:pPr>
      <w:bookmarkStart w:id="32" w:name="_Ref11661443"/>
      <w:bookmarkStart w:id="33" w:name="_Ref29821115"/>
      <w:r>
        <w:t>D</w:t>
      </w:r>
      <w:r w:rsidR="00DE40D9">
        <w:t xml:space="preserve">.1 </w:t>
      </w:r>
      <w:r w:rsidR="00DE40D9">
        <w:tab/>
      </w:r>
      <w:bookmarkStart w:id="34" w:name="_Ref11662340"/>
      <w:bookmarkEnd w:id="32"/>
      <w:r w:rsidR="00212F9A">
        <w:t>Section 961L</w:t>
      </w:r>
      <w:bookmarkEnd w:id="33"/>
      <w:bookmarkEnd w:id="34"/>
    </w:p>
    <w:p w:rsidR="00D127BC" w:rsidRDefault="003B3C7B" w:rsidP="003B3C7B">
      <w:pPr>
        <w:pStyle w:val="ParaNumbering"/>
        <w:numPr>
          <w:ilvl w:val="0"/>
          <w:numId w:val="0"/>
        </w:numPr>
        <w:tabs>
          <w:tab w:val="left" w:pos="720"/>
        </w:tabs>
        <w:ind w:hanging="720"/>
      </w:pPr>
      <w:r>
        <w:rPr>
          <w:sz w:val="20"/>
        </w:rPr>
        <w:t>47</w:t>
      </w:r>
      <w:r>
        <w:rPr>
          <w:sz w:val="20"/>
        </w:rPr>
        <w:tab/>
      </w:r>
      <w:r w:rsidR="00D127BC">
        <w:t>Section 961L of the Act is in the following terms:</w:t>
      </w:r>
    </w:p>
    <w:p w:rsidR="00D127BC" w:rsidRDefault="00D127BC" w:rsidP="00D127BC">
      <w:pPr>
        <w:pStyle w:val="Quote1"/>
      </w:pPr>
      <w:r>
        <w:t>A financial services licensee must take reasonable steps to ensure that representatives of the licensee comply with sections 961B, 961G, 961H and 961J.</w:t>
      </w:r>
    </w:p>
    <w:p w:rsidR="00D127BC" w:rsidRDefault="003B3C7B" w:rsidP="003B3C7B">
      <w:pPr>
        <w:pStyle w:val="ParaNumbering"/>
        <w:numPr>
          <w:ilvl w:val="0"/>
          <w:numId w:val="0"/>
        </w:numPr>
        <w:tabs>
          <w:tab w:val="left" w:pos="720"/>
        </w:tabs>
        <w:ind w:hanging="720"/>
      </w:pPr>
      <w:r>
        <w:rPr>
          <w:sz w:val="20"/>
        </w:rPr>
        <w:t>48</w:t>
      </w:r>
      <w:r>
        <w:rPr>
          <w:sz w:val="20"/>
        </w:rPr>
        <w:tab/>
      </w:r>
      <w:r w:rsidR="00434BBF">
        <w:t>Section 961L is in P</w:t>
      </w:r>
      <w:r w:rsidR="00D127BC" w:rsidRPr="00D127BC">
        <w:t>t 7.7A of the Act which was intr</w:t>
      </w:r>
      <w:r w:rsidR="00B216C2">
        <w:t>oduced by the</w:t>
      </w:r>
      <w:r w:rsidR="00E63726" w:rsidRPr="00E63726">
        <w:t xml:space="preserve"> </w:t>
      </w:r>
      <w:r w:rsidR="002E7C40" w:rsidRPr="002E7C40">
        <w:rPr>
          <w:i/>
        </w:rPr>
        <w:t>Corporations Amendment (Further Future of Financial Advice Measures) Act 2012</w:t>
      </w:r>
      <w:r w:rsidR="002E7C40">
        <w:rPr>
          <w:i/>
        </w:rPr>
        <w:t xml:space="preserve"> </w:t>
      </w:r>
      <w:r w:rsidR="002E7C40">
        <w:t>(</w:t>
      </w:r>
      <w:proofErr w:type="spellStart"/>
      <w:r w:rsidR="002E7C40">
        <w:t>Cth</w:t>
      </w:r>
      <w:proofErr w:type="spellEnd"/>
      <w:r w:rsidR="002E7C40">
        <w:t>)</w:t>
      </w:r>
      <w:r w:rsidR="00D127BC">
        <w:t>.</w:t>
      </w:r>
    </w:p>
    <w:p w:rsidR="003815F3" w:rsidRDefault="003B3C7B" w:rsidP="003B3C7B">
      <w:pPr>
        <w:pStyle w:val="ParaNumbering"/>
        <w:numPr>
          <w:ilvl w:val="0"/>
          <w:numId w:val="0"/>
        </w:numPr>
        <w:tabs>
          <w:tab w:val="left" w:pos="720"/>
        </w:tabs>
        <w:ind w:hanging="720"/>
      </w:pPr>
      <w:r>
        <w:rPr>
          <w:sz w:val="20"/>
        </w:rPr>
        <w:lastRenderedPageBreak/>
        <w:t>49</w:t>
      </w:r>
      <w:r>
        <w:rPr>
          <w:sz w:val="20"/>
        </w:rPr>
        <w:tab/>
      </w:r>
      <w:r w:rsidR="003815F3">
        <w:t xml:space="preserve">I note that </w:t>
      </w:r>
      <w:r w:rsidR="0011723F">
        <w:t xml:space="preserve">a </w:t>
      </w:r>
      <w:r w:rsidR="003815F3">
        <w:t xml:space="preserve">“representative” of </w:t>
      </w:r>
      <w:r w:rsidR="009772C9">
        <w:t>the</w:t>
      </w:r>
      <w:r w:rsidR="003815F3">
        <w:t xml:space="preserve"> financial services licensee is</w:t>
      </w:r>
      <w:r w:rsidR="00434BBF">
        <w:t>, for the purposes of P</w:t>
      </w:r>
      <w:r w:rsidR="003815F3">
        <w:t>t 7.7A, defined by s 960 as h</w:t>
      </w:r>
      <w:r w:rsidR="00434BBF">
        <w:t>aving the same meaning as in P</w:t>
      </w:r>
      <w:r w:rsidR="003815F3">
        <w:t>t 7.6, defined in s 910A as follows:</w:t>
      </w:r>
    </w:p>
    <w:p w:rsidR="003815F3" w:rsidRDefault="00434BBF" w:rsidP="00F2131A">
      <w:pPr>
        <w:pStyle w:val="Quote1"/>
      </w:pPr>
      <w:r>
        <w:t>“</w:t>
      </w:r>
      <w:r w:rsidR="003815F3" w:rsidRPr="003815F3">
        <w:t>representative</w:t>
      </w:r>
      <w:r>
        <w:t>”</w:t>
      </w:r>
      <w:r w:rsidR="003815F3" w:rsidRPr="003815F3">
        <w:t xml:space="preserve"> of a person means: </w:t>
      </w:r>
    </w:p>
    <w:p w:rsidR="003815F3" w:rsidRDefault="003815F3" w:rsidP="0012268E">
      <w:pPr>
        <w:pStyle w:val="Quote2"/>
      </w:pPr>
      <w:r w:rsidRPr="003815F3">
        <w:t xml:space="preserve">(a) if the person is a financial services licensee: </w:t>
      </w:r>
    </w:p>
    <w:p w:rsidR="003815F3" w:rsidRDefault="003815F3" w:rsidP="0012268E">
      <w:pPr>
        <w:pStyle w:val="Quote3"/>
      </w:pPr>
      <w:r w:rsidRPr="003815F3">
        <w:t>(</w:t>
      </w:r>
      <w:proofErr w:type="spellStart"/>
      <w:r w:rsidRPr="003815F3">
        <w:t>i</w:t>
      </w:r>
      <w:proofErr w:type="spellEnd"/>
      <w:r w:rsidRPr="003815F3">
        <w:t xml:space="preserve">) an authorised representative of the licensee; or </w:t>
      </w:r>
    </w:p>
    <w:p w:rsidR="003815F3" w:rsidRDefault="003815F3" w:rsidP="0012268E">
      <w:pPr>
        <w:pStyle w:val="Quote3"/>
      </w:pPr>
      <w:r w:rsidRPr="003815F3">
        <w:t xml:space="preserve">(ii) an employee or director of the licensee; or </w:t>
      </w:r>
    </w:p>
    <w:p w:rsidR="003815F3" w:rsidRDefault="003815F3" w:rsidP="0012268E">
      <w:pPr>
        <w:pStyle w:val="Quote3"/>
      </w:pPr>
      <w:r w:rsidRPr="003815F3">
        <w:t xml:space="preserve">(iii) an employee or director of a related </w:t>
      </w:r>
      <w:r>
        <w:t xml:space="preserve">body corporate of the licensee; </w:t>
      </w:r>
      <w:r w:rsidRPr="003815F3">
        <w:t xml:space="preserve">or </w:t>
      </w:r>
    </w:p>
    <w:p w:rsidR="003815F3" w:rsidRDefault="003815F3" w:rsidP="0012268E">
      <w:pPr>
        <w:pStyle w:val="Quote3"/>
      </w:pPr>
      <w:r w:rsidRPr="003815F3">
        <w:t xml:space="preserve">(iv) any other person acting on behalf of the licensee; or </w:t>
      </w:r>
    </w:p>
    <w:p w:rsidR="003815F3" w:rsidRDefault="003815F3" w:rsidP="0012268E">
      <w:pPr>
        <w:pStyle w:val="Quote2"/>
      </w:pPr>
      <w:r w:rsidRPr="003815F3">
        <w:t xml:space="preserve">(b) in any other case: </w:t>
      </w:r>
    </w:p>
    <w:p w:rsidR="003815F3" w:rsidRDefault="003815F3" w:rsidP="0012268E">
      <w:pPr>
        <w:pStyle w:val="Quote3"/>
      </w:pPr>
      <w:r w:rsidRPr="003815F3">
        <w:t>(</w:t>
      </w:r>
      <w:proofErr w:type="spellStart"/>
      <w:r w:rsidRPr="003815F3">
        <w:t>i</w:t>
      </w:r>
      <w:proofErr w:type="spellEnd"/>
      <w:r w:rsidRPr="003815F3">
        <w:t xml:space="preserve">) an employee or director of the person; or </w:t>
      </w:r>
    </w:p>
    <w:p w:rsidR="003815F3" w:rsidRDefault="003815F3" w:rsidP="0012268E">
      <w:pPr>
        <w:pStyle w:val="Quote3"/>
      </w:pPr>
      <w:r w:rsidRPr="003815F3">
        <w:t xml:space="preserve">(ii) an employee or director of a related body corporate of the person; or </w:t>
      </w:r>
    </w:p>
    <w:p w:rsidR="003815F3" w:rsidRDefault="003815F3" w:rsidP="0012268E">
      <w:pPr>
        <w:pStyle w:val="Quote3"/>
      </w:pPr>
      <w:r w:rsidRPr="003815F3">
        <w:t>(iii) any other person acting on behalf of the person.</w:t>
      </w:r>
    </w:p>
    <w:p w:rsidR="003815F3" w:rsidRDefault="003B3C7B" w:rsidP="003B3C7B">
      <w:pPr>
        <w:pStyle w:val="ParaNumbering"/>
        <w:numPr>
          <w:ilvl w:val="0"/>
          <w:numId w:val="0"/>
        </w:numPr>
        <w:tabs>
          <w:tab w:val="left" w:pos="720"/>
        </w:tabs>
        <w:ind w:hanging="720"/>
      </w:pPr>
      <w:r>
        <w:rPr>
          <w:sz w:val="20"/>
        </w:rPr>
        <w:t>50</w:t>
      </w:r>
      <w:r>
        <w:rPr>
          <w:sz w:val="20"/>
        </w:rPr>
        <w:tab/>
      </w:r>
      <w:r w:rsidR="003815F3">
        <w:t xml:space="preserve">As authorised representatives of AMPFP, Panganiban and the </w:t>
      </w:r>
      <w:r w:rsidR="00692966">
        <w:t>O</w:t>
      </w:r>
      <w:r w:rsidR="003815F3">
        <w:t xml:space="preserve">ther </w:t>
      </w:r>
      <w:r w:rsidR="00692966">
        <w:t>A</w:t>
      </w:r>
      <w:r w:rsidR="003815F3">
        <w:t xml:space="preserve">uthorised </w:t>
      </w:r>
      <w:r w:rsidR="00692966">
        <w:t>R</w:t>
      </w:r>
      <w:r w:rsidR="003815F3">
        <w:t>epresentatives are “representatives”</w:t>
      </w:r>
      <w:r w:rsidR="009772C9">
        <w:t xml:space="preserve"> of the financial services licensee</w:t>
      </w:r>
      <w:r w:rsidR="003815F3">
        <w:t xml:space="preserve"> by combined operation of </w:t>
      </w:r>
      <w:proofErr w:type="spellStart"/>
      <w:r w:rsidR="00016FE9">
        <w:t>s</w:t>
      </w:r>
      <w:r w:rsidR="003815F3">
        <w:t>s</w:t>
      </w:r>
      <w:proofErr w:type="spellEnd"/>
      <w:r w:rsidR="003815F3">
        <w:t xml:space="preserve"> 960 and 910A of the Act.</w:t>
      </w:r>
    </w:p>
    <w:p w:rsidR="00212F9A" w:rsidRPr="009A6F06" w:rsidRDefault="009A6F06" w:rsidP="00E63726">
      <w:pPr>
        <w:pStyle w:val="Heading2"/>
      </w:pPr>
      <w:bookmarkStart w:id="35" w:name="_Ref11662341"/>
      <w:r w:rsidRPr="009A6F06">
        <w:t xml:space="preserve">D.2 </w:t>
      </w:r>
      <w:r w:rsidRPr="009A6F06">
        <w:tab/>
        <w:t xml:space="preserve">Section </w:t>
      </w:r>
      <w:r w:rsidR="00212F9A" w:rsidRPr="009A6F06">
        <w:t>912A(1)</w:t>
      </w:r>
      <w:bookmarkEnd w:id="35"/>
    </w:p>
    <w:p w:rsidR="00D127BC" w:rsidRDefault="003B3C7B" w:rsidP="003B3C7B">
      <w:pPr>
        <w:pStyle w:val="ParaNumbering"/>
        <w:numPr>
          <w:ilvl w:val="0"/>
          <w:numId w:val="0"/>
        </w:numPr>
        <w:tabs>
          <w:tab w:val="left" w:pos="720"/>
        </w:tabs>
        <w:ind w:hanging="720"/>
      </w:pPr>
      <w:r>
        <w:rPr>
          <w:sz w:val="20"/>
        </w:rPr>
        <w:t>51</w:t>
      </w:r>
      <w:r>
        <w:rPr>
          <w:sz w:val="20"/>
        </w:rPr>
        <w:tab/>
      </w:r>
      <w:r w:rsidR="00D127BC">
        <w:t>Section 912A(1) of the Act is in the following terms:</w:t>
      </w:r>
    </w:p>
    <w:p w:rsidR="00D127BC" w:rsidRDefault="00757169" w:rsidP="0012268E">
      <w:pPr>
        <w:pStyle w:val="Quote1"/>
      </w:pPr>
      <w:r>
        <w:t xml:space="preserve">(1) </w:t>
      </w:r>
      <w:r w:rsidR="00D127BC">
        <w:t xml:space="preserve">A financial services licensee must: </w:t>
      </w:r>
    </w:p>
    <w:p w:rsidR="00D127BC" w:rsidRDefault="00757169" w:rsidP="0012268E">
      <w:pPr>
        <w:pStyle w:val="Quote2"/>
      </w:pPr>
      <w:r>
        <w:t xml:space="preserve">(a) </w:t>
      </w:r>
      <w:r w:rsidR="00D127BC">
        <w:t>do all things necessary to ensure that the financial services covered by the licence are provided efficie</w:t>
      </w:r>
      <w:r>
        <w:t xml:space="preserve">ntly, honestly and fairly; and </w:t>
      </w:r>
    </w:p>
    <w:p w:rsidR="00D127BC" w:rsidRDefault="00757169" w:rsidP="0012268E">
      <w:pPr>
        <w:pStyle w:val="Quote2"/>
      </w:pPr>
      <w:r>
        <w:t xml:space="preserve">(aa) </w:t>
      </w:r>
      <w:r w:rsidR="00D127BC">
        <w:t>have in place adequate arrangements for the management of conflicts of interest that may arise wholly, or partially, in relation to activities undertaken by the licensee or a representative of the licensee in the provision of financial services as part of the financial services business of the licensee or the representat</w:t>
      </w:r>
      <w:r>
        <w:t xml:space="preserve">ive; and </w:t>
      </w:r>
    </w:p>
    <w:p w:rsidR="00D127BC" w:rsidRDefault="00757169" w:rsidP="0012268E">
      <w:pPr>
        <w:pStyle w:val="Quote2"/>
      </w:pPr>
      <w:r>
        <w:t>(b)</w:t>
      </w:r>
      <w:r w:rsidR="00D127BC">
        <w:t xml:space="preserve"> comply with the </w:t>
      </w:r>
      <w:r>
        <w:t xml:space="preserve">conditions on the licence; and </w:t>
      </w:r>
    </w:p>
    <w:p w:rsidR="00D127BC" w:rsidRDefault="00757169" w:rsidP="0012268E">
      <w:pPr>
        <w:pStyle w:val="Quote2"/>
      </w:pPr>
      <w:r>
        <w:t xml:space="preserve">(c) </w:t>
      </w:r>
      <w:r w:rsidR="00D127BC">
        <w:t>comply with th</w:t>
      </w:r>
      <w:r>
        <w:t xml:space="preserve">e financial services laws; and </w:t>
      </w:r>
    </w:p>
    <w:p w:rsidR="00D127BC" w:rsidRDefault="00757169" w:rsidP="0012268E">
      <w:pPr>
        <w:pStyle w:val="Quote2"/>
      </w:pPr>
      <w:r>
        <w:t xml:space="preserve">(ca) </w:t>
      </w:r>
      <w:r w:rsidR="00D127BC">
        <w:t>take reasonable steps to ensure that its representatives comply with th</w:t>
      </w:r>
      <w:r>
        <w:t xml:space="preserve">e financial services laws; and </w:t>
      </w:r>
    </w:p>
    <w:p w:rsidR="00D127BC" w:rsidRDefault="00757169" w:rsidP="0012268E">
      <w:pPr>
        <w:pStyle w:val="Quote2"/>
      </w:pPr>
      <w:r>
        <w:t>(</w:t>
      </w:r>
      <w:proofErr w:type="spellStart"/>
      <w:r>
        <w:t>cb</w:t>
      </w:r>
      <w:proofErr w:type="spellEnd"/>
      <w:r>
        <w:t xml:space="preserve">) </w:t>
      </w:r>
      <w:r w:rsidR="00D127BC">
        <w:t>if the licensee is the operator of an Australian passport fund, or a person with responsibilities in relation to an Australian passport fund, comply with the law of each host economy for the fund; a</w:t>
      </w:r>
      <w:r>
        <w:t xml:space="preserve">nd </w:t>
      </w:r>
    </w:p>
    <w:p w:rsidR="00D127BC" w:rsidRDefault="00757169" w:rsidP="0012268E">
      <w:pPr>
        <w:pStyle w:val="Quote2"/>
      </w:pPr>
      <w:r>
        <w:t xml:space="preserve">(d) </w:t>
      </w:r>
      <w:r w:rsidR="00D127BC">
        <w:t xml:space="preserve">subject to subsection (4)--have available adequate resources (including </w:t>
      </w:r>
      <w:r w:rsidR="00D127BC">
        <w:lastRenderedPageBreak/>
        <w:t>financial, technological and human resources) to provide the financial services covered by the licence and to carry out</w:t>
      </w:r>
      <w:r>
        <w:t xml:space="preserve"> supervisory arrangements; and </w:t>
      </w:r>
    </w:p>
    <w:p w:rsidR="00D127BC" w:rsidRDefault="00757169" w:rsidP="0012268E">
      <w:pPr>
        <w:pStyle w:val="Quote2"/>
      </w:pPr>
      <w:r>
        <w:t>(e)</w:t>
      </w:r>
      <w:r w:rsidR="00D127BC">
        <w:t xml:space="preserve"> maintain the competence to provide</w:t>
      </w:r>
      <w:r>
        <w:t xml:space="preserve"> those financial services; and </w:t>
      </w:r>
    </w:p>
    <w:p w:rsidR="00D127BC" w:rsidRDefault="00757169" w:rsidP="0012268E">
      <w:pPr>
        <w:pStyle w:val="Quote2"/>
      </w:pPr>
      <w:r>
        <w:t xml:space="preserve">(f) </w:t>
      </w:r>
      <w:r w:rsidR="00D127BC">
        <w:t>ensure that its representatives are adequately trained (including by complying with section 921D), and are competent, to provide those fi</w:t>
      </w:r>
      <w:r>
        <w:t xml:space="preserve">nancial services; and </w:t>
      </w:r>
    </w:p>
    <w:p w:rsidR="00D127BC" w:rsidRDefault="00757169" w:rsidP="0012268E">
      <w:pPr>
        <w:pStyle w:val="Quote2"/>
      </w:pPr>
      <w:r>
        <w:t>(g)</w:t>
      </w:r>
      <w:r w:rsidR="00D127BC">
        <w:t xml:space="preserve"> if those financial services are provided</w:t>
      </w:r>
      <w:r>
        <w:t xml:space="preserve"> to persons as retail clients: </w:t>
      </w:r>
    </w:p>
    <w:p w:rsidR="00D127BC" w:rsidRDefault="00757169" w:rsidP="0012268E">
      <w:pPr>
        <w:pStyle w:val="Quote3"/>
      </w:pPr>
      <w:r>
        <w:t>(</w:t>
      </w:r>
      <w:proofErr w:type="spellStart"/>
      <w:r>
        <w:t>i</w:t>
      </w:r>
      <w:proofErr w:type="spellEnd"/>
      <w:r>
        <w:t>)</w:t>
      </w:r>
      <w:r w:rsidR="00D127BC">
        <w:t xml:space="preserve"> have a dispute resolution system comp</w:t>
      </w:r>
      <w:r>
        <w:t xml:space="preserve">lying with subsection (2); and </w:t>
      </w:r>
    </w:p>
    <w:p w:rsidR="00D127BC" w:rsidRDefault="00757169" w:rsidP="0012268E">
      <w:pPr>
        <w:pStyle w:val="Quote3"/>
      </w:pPr>
      <w:r>
        <w:t xml:space="preserve">(ii) </w:t>
      </w:r>
      <w:r w:rsidR="00D127BC">
        <w:t>give ASIC the information specified in any instrum</w:t>
      </w:r>
      <w:r>
        <w:t xml:space="preserve">ent under subsection (2A); and </w:t>
      </w:r>
    </w:p>
    <w:p w:rsidR="00D127BC" w:rsidRDefault="00757169" w:rsidP="0012268E">
      <w:pPr>
        <w:pStyle w:val="Quote2"/>
      </w:pPr>
      <w:r>
        <w:t>(h)</w:t>
      </w:r>
      <w:r w:rsidR="00D127BC">
        <w:t xml:space="preserve"> subject to subsection (5)--have adequat</w:t>
      </w:r>
      <w:r>
        <w:t xml:space="preserve">e risk management systems; and </w:t>
      </w:r>
    </w:p>
    <w:p w:rsidR="00D127BC" w:rsidRPr="00D127BC" w:rsidRDefault="00757169" w:rsidP="0012268E">
      <w:pPr>
        <w:pStyle w:val="Quote2"/>
      </w:pPr>
      <w:r>
        <w:t>(j)</w:t>
      </w:r>
      <w:r w:rsidR="00D127BC">
        <w:t xml:space="preserve"> comply with any other obligations that are prescribed by regulations made for the purposes of this paragraph.</w:t>
      </w:r>
    </w:p>
    <w:p w:rsidR="00212F9A" w:rsidRPr="009A6F06" w:rsidRDefault="009A6F06" w:rsidP="00E63726">
      <w:pPr>
        <w:pStyle w:val="Heading2"/>
        <w:rPr>
          <w:i/>
        </w:rPr>
      </w:pPr>
      <w:bookmarkStart w:id="36" w:name="_Ref11662342"/>
      <w:r w:rsidRPr="009A6F06">
        <w:t>D.3</w:t>
      </w:r>
      <w:r w:rsidR="0012550D" w:rsidRPr="009A6F06">
        <w:t xml:space="preserve"> </w:t>
      </w:r>
      <w:r w:rsidR="00E41BC2" w:rsidRPr="009A6F06">
        <w:tab/>
      </w:r>
      <w:r w:rsidR="00212F9A" w:rsidRPr="009A6F06">
        <w:t>Section 961B</w:t>
      </w:r>
      <w:bookmarkEnd w:id="36"/>
    </w:p>
    <w:p w:rsidR="00757169" w:rsidRPr="009150B6" w:rsidRDefault="003B3C7B" w:rsidP="003B3C7B">
      <w:pPr>
        <w:pStyle w:val="ParaNumbering"/>
        <w:numPr>
          <w:ilvl w:val="0"/>
          <w:numId w:val="0"/>
        </w:numPr>
        <w:tabs>
          <w:tab w:val="left" w:pos="720"/>
        </w:tabs>
        <w:ind w:hanging="720"/>
      </w:pPr>
      <w:r w:rsidRPr="009150B6">
        <w:rPr>
          <w:sz w:val="20"/>
        </w:rPr>
        <w:t>52</w:t>
      </w:r>
      <w:r w:rsidRPr="009150B6">
        <w:rPr>
          <w:sz w:val="20"/>
        </w:rPr>
        <w:tab/>
      </w:r>
      <w:r w:rsidR="00757169" w:rsidRPr="009150B6">
        <w:t>Section 961B of the Act is in the following terms:</w:t>
      </w:r>
    </w:p>
    <w:p w:rsidR="00757169" w:rsidRPr="009150B6" w:rsidRDefault="00757169" w:rsidP="00757169">
      <w:pPr>
        <w:pStyle w:val="Quote1"/>
      </w:pPr>
      <w:r w:rsidRPr="009150B6">
        <w:t>(1)</w:t>
      </w:r>
      <w:r w:rsidR="00F40047">
        <w:t xml:space="preserve"> </w:t>
      </w:r>
      <w:r w:rsidRPr="009150B6">
        <w:t>The provider must act in the best interests of the client in relation to the advice.</w:t>
      </w:r>
    </w:p>
    <w:p w:rsidR="00757169" w:rsidRPr="009150B6" w:rsidRDefault="00757169" w:rsidP="00757169">
      <w:pPr>
        <w:pStyle w:val="Quote1"/>
      </w:pPr>
      <w:r w:rsidRPr="009150B6">
        <w:t>(2)</w:t>
      </w:r>
      <w:r w:rsidR="00F40047">
        <w:t xml:space="preserve"> </w:t>
      </w:r>
      <w:r w:rsidRPr="009150B6">
        <w:t>The provider satisfies the duty in subsection (1), if the provider proves that the provider has done each of the following:</w:t>
      </w:r>
    </w:p>
    <w:p w:rsidR="00757169" w:rsidRPr="009150B6" w:rsidRDefault="00757169" w:rsidP="003B4EFA">
      <w:pPr>
        <w:pStyle w:val="Quote2"/>
      </w:pPr>
      <w:r w:rsidRPr="009150B6">
        <w:t>(a)</w:t>
      </w:r>
      <w:r w:rsidR="00F40047">
        <w:t xml:space="preserve"> </w:t>
      </w:r>
      <w:r w:rsidRPr="009150B6">
        <w:t>identified the objectives, financial situation and needs of the client that were disclosed to the provider by the client through instructions;</w:t>
      </w:r>
    </w:p>
    <w:p w:rsidR="00757169" w:rsidRPr="009150B6" w:rsidRDefault="00757169" w:rsidP="003B4EFA">
      <w:pPr>
        <w:pStyle w:val="Quote2"/>
      </w:pPr>
      <w:r w:rsidRPr="009150B6">
        <w:t>(b)</w:t>
      </w:r>
      <w:r w:rsidR="00F40047">
        <w:t xml:space="preserve"> </w:t>
      </w:r>
      <w:r w:rsidRPr="009150B6">
        <w:t>identified:</w:t>
      </w:r>
    </w:p>
    <w:p w:rsidR="00757169" w:rsidRPr="009150B6" w:rsidRDefault="00757169" w:rsidP="003B4EFA">
      <w:pPr>
        <w:pStyle w:val="Quote3"/>
      </w:pPr>
      <w:r w:rsidRPr="009150B6">
        <w:t>(</w:t>
      </w:r>
      <w:proofErr w:type="spellStart"/>
      <w:r w:rsidRPr="009150B6">
        <w:t>i</w:t>
      </w:r>
      <w:proofErr w:type="spellEnd"/>
      <w:r w:rsidRPr="009150B6">
        <w:t>)</w:t>
      </w:r>
      <w:r w:rsidR="00F40047">
        <w:t xml:space="preserve"> </w:t>
      </w:r>
      <w:r w:rsidRPr="009150B6">
        <w:t>the subject matter of the advice that has been sought by the client (whether explicitly or implicitly); and</w:t>
      </w:r>
    </w:p>
    <w:p w:rsidR="00757169" w:rsidRPr="009150B6" w:rsidRDefault="00757169" w:rsidP="003B4EFA">
      <w:pPr>
        <w:pStyle w:val="Quote3"/>
      </w:pPr>
      <w:r w:rsidRPr="009150B6">
        <w:t>(ii)</w:t>
      </w:r>
      <w:r w:rsidR="00F40047">
        <w:t xml:space="preserve"> </w:t>
      </w:r>
      <w:r w:rsidRPr="009150B6">
        <w:t>the objectives, financial situation and needs of the client that would reasonably be considered as relevant to advice sought on that subject matter (the client’s relevant circumstances);</w:t>
      </w:r>
    </w:p>
    <w:p w:rsidR="00757169" w:rsidRPr="009150B6" w:rsidRDefault="00757169" w:rsidP="003B4EFA">
      <w:pPr>
        <w:pStyle w:val="Quote2"/>
      </w:pPr>
      <w:r w:rsidRPr="009150B6">
        <w:t>(c)</w:t>
      </w:r>
      <w:r w:rsidR="00F40047">
        <w:t xml:space="preserve"> </w:t>
      </w:r>
      <w:r w:rsidRPr="009150B6">
        <w:t>where it was reasonably apparent that information relating to the client’s relevant circumstances was incomplete or inaccurate, made reasonable inquiries to obtain complete and accurate information;</w:t>
      </w:r>
    </w:p>
    <w:p w:rsidR="00757169" w:rsidRPr="009150B6" w:rsidRDefault="00757169" w:rsidP="003B4EFA">
      <w:pPr>
        <w:pStyle w:val="Quote2"/>
      </w:pPr>
      <w:r w:rsidRPr="009150B6">
        <w:t>(d)</w:t>
      </w:r>
      <w:r w:rsidR="00F40047">
        <w:t xml:space="preserve"> </w:t>
      </w:r>
      <w:r w:rsidRPr="009150B6">
        <w:t>assessed whether the provider has the expertise required to provide the client advice on the subject matter sought and, if not, declined to provide the advice;</w:t>
      </w:r>
    </w:p>
    <w:p w:rsidR="00757169" w:rsidRPr="009150B6" w:rsidRDefault="00757169" w:rsidP="003B4EFA">
      <w:pPr>
        <w:pStyle w:val="Quote2"/>
      </w:pPr>
      <w:r w:rsidRPr="009150B6">
        <w:t>(e)</w:t>
      </w:r>
      <w:r w:rsidR="00F40047">
        <w:t xml:space="preserve"> </w:t>
      </w:r>
      <w:r w:rsidRPr="009150B6">
        <w:t>if, in considering the subject matter of the advice sought, it would be reasonable to consider recommending a financial product:</w:t>
      </w:r>
    </w:p>
    <w:p w:rsidR="00757169" w:rsidRPr="009150B6" w:rsidRDefault="00757169" w:rsidP="003B4EFA">
      <w:pPr>
        <w:pStyle w:val="Quote3"/>
      </w:pPr>
      <w:r w:rsidRPr="009150B6">
        <w:t>(</w:t>
      </w:r>
      <w:proofErr w:type="spellStart"/>
      <w:r w:rsidRPr="009150B6">
        <w:t>i</w:t>
      </w:r>
      <w:proofErr w:type="spellEnd"/>
      <w:r w:rsidRPr="009150B6">
        <w:t>)</w:t>
      </w:r>
      <w:r w:rsidR="00F40047">
        <w:t xml:space="preserve"> </w:t>
      </w:r>
      <w:r w:rsidRPr="009150B6">
        <w:t>conducted a reasonable investigation into the financial products that might achieve those of the objectives and meet those of the needs of the client that would reasonably be considered as relevant to advice on that subject matter; and</w:t>
      </w:r>
    </w:p>
    <w:p w:rsidR="00757169" w:rsidRPr="009150B6" w:rsidRDefault="00757169" w:rsidP="003B4EFA">
      <w:pPr>
        <w:pStyle w:val="Quote3"/>
      </w:pPr>
      <w:r w:rsidRPr="009150B6">
        <w:lastRenderedPageBreak/>
        <w:t>(ii)</w:t>
      </w:r>
      <w:r w:rsidR="00F40047">
        <w:t xml:space="preserve"> </w:t>
      </w:r>
      <w:r w:rsidRPr="009150B6">
        <w:t>assessed the information gathered in the investigation;</w:t>
      </w:r>
    </w:p>
    <w:p w:rsidR="00757169" w:rsidRPr="009150B6" w:rsidRDefault="00757169" w:rsidP="003B4EFA">
      <w:pPr>
        <w:pStyle w:val="Quote2"/>
      </w:pPr>
      <w:r w:rsidRPr="009150B6">
        <w:t>(f)</w:t>
      </w:r>
      <w:r w:rsidR="00F40047">
        <w:t xml:space="preserve"> </w:t>
      </w:r>
      <w:r w:rsidRPr="009150B6">
        <w:t>based all judgements in advising the client on the client’s relevant circumstances;</w:t>
      </w:r>
    </w:p>
    <w:p w:rsidR="00757169" w:rsidRPr="009150B6" w:rsidRDefault="00757169" w:rsidP="003B4EFA">
      <w:pPr>
        <w:pStyle w:val="Quote2"/>
      </w:pPr>
      <w:r w:rsidRPr="009150B6">
        <w:t>(g)</w:t>
      </w:r>
      <w:r w:rsidR="00F40047">
        <w:t xml:space="preserve"> </w:t>
      </w:r>
      <w:r w:rsidRPr="009150B6">
        <w:t>taken any other step that, at the time the advice is provided, would reasonably be regarded as being in the best interests of the client, given the client’s relevant circumstances.</w:t>
      </w:r>
    </w:p>
    <w:p w:rsidR="00757169" w:rsidRPr="003B4EFA" w:rsidRDefault="00757169" w:rsidP="003B4EFA">
      <w:pPr>
        <w:pStyle w:val="Quote2"/>
        <w:rPr>
          <w:sz w:val="20"/>
        </w:rPr>
      </w:pPr>
      <w:r w:rsidRPr="003B4EFA">
        <w:rPr>
          <w:sz w:val="20"/>
        </w:rPr>
        <w:t>Note:</w:t>
      </w:r>
      <w:r w:rsidRPr="003B4EFA">
        <w:rPr>
          <w:sz w:val="20"/>
        </w:rPr>
        <w:tab/>
        <w:t xml:space="preserve"> The matters that must be proved under subsection (2) relate to the subject matter of the advice sought by the client and the circumstances of the client relevant to that subject matter (the client’s relevant circumstances). That subject matter and the client’s relevant circumstances may be broad or narrow, and so the subsection anticipates that a client may seek scaled advice and that the inquiries made by the provider will be tailored to the advice sought.</w:t>
      </w:r>
    </w:p>
    <w:p w:rsidR="00757169" w:rsidRPr="009150B6" w:rsidRDefault="00757169" w:rsidP="00757169">
      <w:pPr>
        <w:pStyle w:val="Quote1"/>
        <w:rPr>
          <w:i/>
        </w:rPr>
      </w:pPr>
      <w:r w:rsidRPr="009150B6">
        <w:rPr>
          <w:i/>
        </w:rPr>
        <w:t>Advice given by Australian ADIs—best interests duty satisfied if certain steps are taken</w:t>
      </w:r>
    </w:p>
    <w:p w:rsidR="00757169" w:rsidRPr="009150B6" w:rsidRDefault="00757169" w:rsidP="003B4EFA">
      <w:pPr>
        <w:pStyle w:val="Quote1"/>
      </w:pPr>
      <w:r w:rsidRPr="009150B6">
        <w:t>(3)</w:t>
      </w:r>
      <w:r w:rsidR="00F40047">
        <w:t xml:space="preserve"> </w:t>
      </w:r>
      <w:r w:rsidRPr="009150B6">
        <w:t>If:</w:t>
      </w:r>
    </w:p>
    <w:p w:rsidR="00757169" w:rsidRPr="009150B6" w:rsidRDefault="00757169" w:rsidP="003B4EFA">
      <w:pPr>
        <w:pStyle w:val="Quote2"/>
      </w:pPr>
      <w:r w:rsidRPr="009150B6">
        <w:t>(a)</w:t>
      </w:r>
      <w:r w:rsidR="00F40047">
        <w:t xml:space="preserve"> </w:t>
      </w:r>
      <w:r w:rsidRPr="009150B6">
        <w:t>the provider is:</w:t>
      </w:r>
    </w:p>
    <w:p w:rsidR="00757169" w:rsidRPr="009150B6" w:rsidRDefault="00757169" w:rsidP="003B4EFA">
      <w:pPr>
        <w:pStyle w:val="Quote3"/>
      </w:pPr>
      <w:r w:rsidRPr="009150B6">
        <w:t>(</w:t>
      </w:r>
      <w:proofErr w:type="spellStart"/>
      <w:r w:rsidRPr="009150B6">
        <w:t>i</w:t>
      </w:r>
      <w:proofErr w:type="spellEnd"/>
      <w:r w:rsidRPr="009150B6">
        <w:t>)</w:t>
      </w:r>
      <w:r w:rsidR="00F40047">
        <w:t xml:space="preserve"> </w:t>
      </w:r>
      <w:r w:rsidRPr="009150B6">
        <w:t>an agent or employee of an Australian ADI; or</w:t>
      </w:r>
    </w:p>
    <w:p w:rsidR="00757169" w:rsidRPr="009150B6" w:rsidRDefault="00757169" w:rsidP="003B4EFA">
      <w:pPr>
        <w:pStyle w:val="Quote3"/>
      </w:pPr>
      <w:r w:rsidRPr="009150B6">
        <w:t>(ii)</w:t>
      </w:r>
      <w:r w:rsidR="00F40047">
        <w:t xml:space="preserve"> </w:t>
      </w:r>
      <w:r w:rsidRPr="009150B6">
        <w:t>otherwise acting by arrangement with an Australian ADI under the name of the Australian ADI; and</w:t>
      </w:r>
    </w:p>
    <w:p w:rsidR="00757169" w:rsidRPr="009150B6" w:rsidRDefault="00757169" w:rsidP="003B4EFA">
      <w:pPr>
        <w:pStyle w:val="Quote2"/>
      </w:pPr>
      <w:r w:rsidRPr="009150B6">
        <w:t>(b)</w:t>
      </w:r>
      <w:r w:rsidR="00F40047">
        <w:t xml:space="preserve"> </w:t>
      </w:r>
      <w:r w:rsidRPr="009150B6">
        <w:t>the subject matter of the advice sought by the client relates only to the following:</w:t>
      </w:r>
    </w:p>
    <w:p w:rsidR="00757169" w:rsidRPr="009150B6" w:rsidRDefault="00757169" w:rsidP="003B4EFA">
      <w:pPr>
        <w:pStyle w:val="Quote3"/>
      </w:pPr>
      <w:r w:rsidRPr="009150B6">
        <w:t>(</w:t>
      </w:r>
      <w:proofErr w:type="spellStart"/>
      <w:r w:rsidRPr="009150B6">
        <w:t>i</w:t>
      </w:r>
      <w:proofErr w:type="spellEnd"/>
      <w:r w:rsidRPr="009150B6">
        <w:t>)</w:t>
      </w:r>
      <w:r w:rsidR="00F40047">
        <w:t xml:space="preserve"> </w:t>
      </w:r>
      <w:r w:rsidRPr="009150B6">
        <w:t>a basic banking product;</w:t>
      </w:r>
    </w:p>
    <w:p w:rsidR="00757169" w:rsidRPr="009150B6" w:rsidRDefault="00757169" w:rsidP="003B4EFA">
      <w:pPr>
        <w:pStyle w:val="Quote3"/>
      </w:pPr>
      <w:r w:rsidRPr="009150B6">
        <w:t>(ii)</w:t>
      </w:r>
      <w:r w:rsidR="00F40047">
        <w:t xml:space="preserve"> </w:t>
      </w:r>
      <w:r w:rsidRPr="009150B6">
        <w:t>a general insurance product;</w:t>
      </w:r>
    </w:p>
    <w:p w:rsidR="00757169" w:rsidRPr="009150B6" w:rsidRDefault="00757169" w:rsidP="003B4EFA">
      <w:pPr>
        <w:pStyle w:val="Quote3"/>
      </w:pPr>
      <w:r w:rsidRPr="009150B6">
        <w:t>(iii)</w:t>
      </w:r>
      <w:r w:rsidR="00F40047">
        <w:t xml:space="preserve"> </w:t>
      </w:r>
      <w:r w:rsidRPr="009150B6">
        <w:t>consumer credit insurance;</w:t>
      </w:r>
    </w:p>
    <w:p w:rsidR="00757169" w:rsidRPr="009150B6" w:rsidRDefault="00757169" w:rsidP="003B4EFA">
      <w:pPr>
        <w:pStyle w:val="Quote3"/>
      </w:pPr>
      <w:r w:rsidRPr="009150B6">
        <w:t>(iv)</w:t>
      </w:r>
      <w:r w:rsidR="00F40047">
        <w:t xml:space="preserve"> </w:t>
      </w:r>
      <w:r w:rsidRPr="009150B6">
        <w:t>a combination of any of those products;</w:t>
      </w:r>
    </w:p>
    <w:p w:rsidR="00757169" w:rsidRPr="009150B6" w:rsidRDefault="00757169" w:rsidP="003B4EFA">
      <w:pPr>
        <w:pStyle w:val="Quote2"/>
      </w:pPr>
      <w:r w:rsidRPr="009150B6">
        <w:t>the provider satisfies the duty in subsection (1) in relation to the advice given in relation to the basic banking product and the general insurance product if the provider takes the steps mentioned in paragraphs (2)(a), (b) and (c).</w:t>
      </w:r>
    </w:p>
    <w:p w:rsidR="00757169" w:rsidRPr="009150B6" w:rsidRDefault="00757169" w:rsidP="00757169">
      <w:pPr>
        <w:pStyle w:val="Quote1"/>
        <w:rPr>
          <w:i/>
        </w:rPr>
      </w:pPr>
      <w:r w:rsidRPr="009150B6">
        <w:rPr>
          <w:i/>
        </w:rPr>
        <w:t>General insurance products—best interests duty satisfied if certain steps are taken</w:t>
      </w:r>
    </w:p>
    <w:p w:rsidR="00757169" w:rsidRPr="009150B6" w:rsidRDefault="00757169" w:rsidP="00757169">
      <w:pPr>
        <w:pStyle w:val="Quote1"/>
      </w:pPr>
      <w:r w:rsidRPr="009150B6">
        <w:t>(4)</w:t>
      </w:r>
      <w:r w:rsidR="00F40047">
        <w:t xml:space="preserve"> </w:t>
      </w:r>
      <w:r w:rsidRPr="009150B6">
        <w:t>To the extent that the subject matter of the advice sought by the client is a general insurance product, the provider satisfies the duty in subsection (1) if the provider takes the steps mentioned in paragraphs (2)(a), (b) and (c).</w:t>
      </w:r>
    </w:p>
    <w:p w:rsidR="00757169" w:rsidRPr="009150B6" w:rsidRDefault="00757169" w:rsidP="00757169">
      <w:pPr>
        <w:pStyle w:val="Quote1"/>
        <w:rPr>
          <w:i/>
        </w:rPr>
      </w:pPr>
      <w:r w:rsidRPr="009150B6">
        <w:rPr>
          <w:i/>
        </w:rPr>
        <w:t>Regulations</w:t>
      </w:r>
    </w:p>
    <w:p w:rsidR="00757169" w:rsidRPr="009150B6" w:rsidRDefault="00757169" w:rsidP="00757169">
      <w:pPr>
        <w:pStyle w:val="Quote1"/>
      </w:pPr>
      <w:r w:rsidRPr="009150B6">
        <w:t>(5)</w:t>
      </w:r>
      <w:r w:rsidR="00F40047">
        <w:t xml:space="preserve"> </w:t>
      </w:r>
      <w:r w:rsidRPr="009150B6">
        <w:t>The regulations may prescribe:</w:t>
      </w:r>
    </w:p>
    <w:p w:rsidR="00757169" w:rsidRPr="009150B6" w:rsidRDefault="00757169" w:rsidP="003B4EFA">
      <w:pPr>
        <w:pStyle w:val="Quote2"/>
      </w:pPr>
      <w:r w:rsidRPr="009150B6">
        <w:t>(a)</w:t>
      </w:r>
      <w:r w:rsidR="00F40047">
        <w:t xml:space="preserve"> </w:t>
      </w:r>
      <w:r w:rsidRPr="009150B6">
        <w:t>a step, in addition to or substitution for the steps mentioned in subsection (2), that the provider must, in prescribed circumstances, prove that the provider has taken, to satisfy the duty in subsection (1); or</w:t>
      </w:r>
    </w:p>
    <w:p w:rsidR="00757169" w:rsidRPr="009150B6" w:rsidRDefault="00757169" w:rsidP="003B4EFA">
      <w:pPr>
        <w:pStyle w:val="Quote2"/>
      </w:pPr>
      <w:r w:rsidRPr="009150B6">
        <w:t>(b)</w:t>
      </w:r>
      <w:r w:rsidR="00F40047">
        <w:t xml:space="preserve"> </w:t>
      </w:r>
      <w:r w:rsidRPr="009150B6">
        <w:t>that the provider is not required, in prescribed circumstances, to prove that the provider has taken a step mentioned in subsection (2), to satisfy the duty in subsection (1); or</w:t>
      </w:r>
    </w:p>
    <w:p w:rsidR="00212F9A" w:rsidRPr="009150B6" w:rsidRDefault="00757169" w:rsidP="003B4EFA">
      <w:pPr>
        <w:pStyle w:val="Quote2"/>
      </w:pPr>
      <w:r w:rsidRPr="009150B6">
        <w:lastRenderedPageBreak/>
        <w:t>(c)</w:t>
      </w:r>
      <w:r w:rsidR="00F40047">
        <w:t xml:space="preserve"> </w:t>
      </w:r>
      <w:r w:rsidRPr="009150B6">
        <w:t>circumstances in which the duty in subsection (1) does not apply.</w:t>
      </w:r>
    </w:p>
    <w:p w:rsidR="00E712D8" w:rsidRPr="009A6F06" w:rsidRDefault="009A6F06" w:rsidP="00E63726">
      <w:pPr>
        <w:pStyle w:val="Heading2"/>
        <w:rPr>
          <w:i/>
        </w:rPr>
      </w:pPr>
      <w:bookmarkStart w:id="37" w:name="_Ref14884579"/>
      <w:r w:rsidRPr="009A6F06">
        <w:t>D.4</w:t>
      </w:r>
      <w:r w:rsidR="00E712D8" w:rsidRPr="009A6F06">
        <w:t xml:space="preserve"> </w:t>
      </w:r>
      <w:r w:rsidR="00E712D8" w:rsidRPr="009A6F06">
        <w:tab/>
        <w:t>Section 961G</w:t>
      </w:r>
      <w:bookmarkEnd w:id="37"/>
    </w:p>
    <w:p w:rsidR="00245EF9" w:rsidRPr="009150B6" w:rsidRDefault="003B3C7B" w:rsidP="003B3C7B">
      <w:pPr>
        <w:pStyle w:val="ParaNumbering"/>
        <w:numPr>
          <w:ilvl w:val="0"/>
          <w:numId w:val="0"/>
        </w:numPr>
        <w:tabs>
          <w:tab w:val="left" w:pos="720"/>
        </w:tabs>
        <w:ind w:hanging="720"/>
      </w:pPr>
      <w:r w:rsidRPr="009150B6">
        <w:rPr>
          <w:sz w:val="20"/>
        </w:rPr>
        <w:t>53</w:t>
      </w:r>
      <w:r w:rsidRPr="009150B6">
        <w:rPr>
          <w:sz w:val="20"/>
        </w:rPr>
        <w:tab/>
      </w:r>
      <w:r w:rsidR="00245EF9" w:rsidRPr="009150B6">
        <w:t>Section 961G of the Act is in the following terms:</w:t>
      </w:r>
    </w:p>
    <w:p w:rsidR="00245EF9" w:rsidRPr="009150B6" w:rsidRDefault="00245EF9" w:rsidP="00245EF9">
      <w:pPr>
        <w:pStyle w:val="Quote1"/>
        <w:rPr>
          <w:lang w:val="en-US" w:eastAsia="en-AU"/>
        </w:rPr>
      </w:pPr>
      <w:r w:rsidRPr="009150B6">
        <w:t>The provider must only provide the advice to the client if it would be reasonable to conclude that the advice is appropriate to the client, had the provider satisfied the duty under section 961B to act in the best interests of the client.</w:t>
      </w:r>
    </w:p>
    <w:p w:rsidR="00245EF9" w:rsidRPr="009150B6" w:rsidRDefault="00245EF9" w:rsidP="00B23139">
      <w:pPr>
        <w:pStyle w:val="Quote1"/>
        <w:rPr>
          <w:sz w:val="20"/>
          <w:lang w:val="en-US"/>
        </w:rPr>
      </w:pPr>
      <w:r w:rsidRPr="009150B6">
        <w:rPr>
          <w:sz w:val="20"/>
        </w:rPr>
        <w:t xml:space="preserve">Note: </w:t>
      </w:r>
      <w:r w:rsidRPr="009150B6">
        <w:rPr>
          <w:sz w:val="20"/>
        </w:rPr>
        <w:tab/>
        <w:t>A responsible licensee or an authorised representative may contravene a civil penalty provision if a provider fails to comply with this section (see sections 961K and 961Q). The provider may be subject to a banning order (see section 920A).</w:t>
      </w:r>
    </w:p>
    <w:p w:rsidR="00212F9A" w:rsidRPr="009A6F06" w:rsidRDefault="009A6F06" w:rsidP="00E63726">
      <w:pPr>
        <w:pStyle w:val="Heading2"/>
        <w:rPr>
          <w:i/>
        </w:rPr>
      </w:pPr>
      <w:bookmarkStart w:id="38" w:name="_Ref11662344"/>
      <w:r w:rsidRPr="009A6F06">
        <w:t>D.5</w:t>
      </w:r>
      <w:r w:rsidR="00E41BC2" w:rsidRPr="009A6F06">
        <w:t xml:space="preserve"> </w:t>
      </w:r>
      <w:r w:rsidR="00E41BC2" w:rsidRPr="009A6F06">
        <w:tab/>
      </w:r>
      <w:r w:rsidR="00212F9A" w:rsidRPr="009A6F06">
        <w:t>Section 961J</w:t>
      </w:r>
      <w:bookmarkEnd w:id="38"/>
    </w:p>
    <w:p w:rsidR="00245EF9" w:rsidRPr="009150B6" w:rsidRDefault="003B3C7B" w:rsidP="003B3C7B">
      <w:pPr>
        <w:pStyle w:val="ParaNumbering"/>
        <w:numPr>
          <w:ilvl w:val="0"/>
          <w:numId w:val="0"/>
        </w:numPr>
        <w:tabs>
          <w:tab w:val="left" w:pos="720"/>
        </w:tabs>
        <w:ind w:hanging="720"/>
      </w:pPr>
      <w:r w:rsidRPr="009150B6">
        <w:rPr>
          <w:sz w:val="20"/>
        </w:rPr>
        <w:t>54</w:t>
      </w:r>
      <w:r w:rsidRPr="009150B6">
        <w:rPr>
          <w:sz w:val="20"/>
        </w:rPr>
        <w:tab/>
      </w:r>
      <w:r w:rsidR="00245EF9" w:rsidRPr="009150B6">
        <w:t>Section 961J of the Act is in the following terms:</w:t>
      </w:r>
    </w:p>
    <w:p w:rsidR="00245EF9" w:rsidRPr="009150B6" w:rsidRDefault="00245EF9" w:rsidP="00245EF9">
      <w:pPr>
        <w:pStyle w:val="Quote1"/>
      </w:pPr>
      <w:r w:rsidRPr="009150B6">
        <w:t>(1) If the provider knows, or reasonably ought to know, that there is a conflict between the interests of the client and the interests of:</w:t>
      </w:r>
    </w:p>
    <w:p w:rsidR="00245EF9" w:rsidRPr="009150B6" w:rsidRDefault="00245EF9" w:rsidP="003B4EFA">
      <w:pPr>
        <w:pStyle w:val="Quote2"/>
      </w:pPr>
      <w:r w:rsidRPr="009150B6">
        <w:t>(a) the provider; or</w:t>
      </w:r>
    </w:p>
    <w:p w:rsidR="00245EF9" w:rsidRPr="009150B6" w:rsidRDefault="00245EF9" w:rsidP="003B4EFA">
      <w:pPr>
        <w:pStyle w:val="Quote2"/>
      </w:pPr>
      <w:r w:rsidRPr="009150B6">
        <w:t>(b) an associate of the provider; or</w:t>
      </w:r>
    </w:p>
    <w:p w:rsidR="00245EF9" w:rsidRPr="009150B6" w:rsidRDefault="00245EF9" w:rsidP="003B4EFA">
      <w:pPr>
        <w:pStyle w:val="Quote2"/>
      </w:pPr>
      <w:r w:rsidRPr="009150B6">
        <w:t>(c) a financial services licensee of whom the provider is a representative; or</w:t>
      </w:r>
    </w:p>
    <w:p w:rsidR="00245EF9" w:rsidRPr="009150B6" w:rsidRDefault="00245EF9" w:rsidP="003B4EFA">
      <w:pPr>
        <w:pStyle w:val="Quote2"/>
      </w:pPr>
      <w:r w:rsidRPr="009150B6">
        <w:t>(d) an associate of a financial services licensee of whom the provider is a representative; or</w:t>
      </w:r>
    </w:p>
    <w:p w:rsidR="00245EF9" w:rsidRPr="009150B6" w:rsidRDefault="00245EF9" w:rsidP="003B4EFA">
      <w:pPr>
        <w:pStyle w:val="Quote2"/>
      </w:pPr>
      <w:r w:rsidRPr="009150B6">
        <w:t>(e) an authorised representative who has authorised the provider, under subsection 916B(3), to provide a specified financial service or financial services on behalf of a financial services licensee; or</w:t>
      </w:r>
    </w:p>
    <w:p w:rsidR="00245EF9" w:rsidRPr="009150B6" w:rsidRDefault="00245EF9" w:rsidP="003B4EFA">
      <w:pPr>
        <w:pStyle w:val="Quote2"/>
      </w:pPr>
      <w:r w:rsidRPr="009150B6">
        <w:t>(f) an associate of an authorised representative who has authorised the provider, under subsection 916B(3), to provide a specified financial service or financial services on behalf of a financial services licensee;</w:t>
      </w:r>
    </w:p>
    <w:p w:rsidR="00245EF9" w:rsidRPr="009150B6" w:rsidRDefault="00245EF9" w:rsidP="00245EF9">
      <w:pPr>
        <w:pStyle w:val="Quote1"/>
      </w:pPr>
      <w:r w:rsidRPr="009150B6">
        <w:t>the provider must give priority to the client’s interests when giving the advice.</w:t>
      </w:r>
    </w:p>
    <w:p w:rsidR="00245EF9" w:rsidRPr="009150B6" w:rsidRDefault="00245EF9" w:rsidP="00245EF9">
      <w:pPr>
        <w:pStyle w:val="Quote1"/>
        <w:rPr>
          <w:sz w:val="20"/>
        </w:rPr>
      </w:pPr>
      <w:r w:rsidRPr="009150B6">
        <w:rPr>
          <w:sz w:val="20"/>
        </w:rPr>
        <w:t xml:space="preserve">Note: </w:t>
      </w:r>
      <w:r w:rsidRPr="009150B6">
        <w:rPr>
          <w:sz w:val="20"/>
        </w:rPr>
        <w:tab/>
        <w:t>A responsible licensee or an authorised representative may contravene a civil penalty provision if a provider fails to comply with this section (see sections 961K and 961Q). The provider may be subject to a banning order (see section 920A).</w:t>
      </w:r>
    </w:p>
    <w:p w:rsidR="00245EF9" w:rsidRPr="009150B6" w:rsidRDefault="00245EF9" w:rsidP="00245EF9">
      <w:pPr>
        <w:pStyle w:val="Quote1"/>
      </w:pPr>
      <w:r w:rsidRPr="009150B6">
        <w:t>(2) If:</w:t>
      </w:r>
    </w:p>
    <w:p w:rsidR="00245EF9" w:rsidRPr="009150B6" w:rsidRDefault="00245EF9" w:rsidP="003B4EFA">
      <w:pPr>
        <w:pStyle w:val="Quote2"/>
      </w:pPr>
      <w:r w:rsidRPr="009150B6">
        <w:t>(a) the provider is:</w:t>
      </w:r>
    </w:p>
    <w:p w:rsidR="00245EF9" w:rsidRPr="009150B6" w:rsidRDefault="00245EF9" w:rsidP="003B4EFA">
      <w:pPr>
        <w:pStyle w:val="Quote3"/>
      </w:pPr>
      <w:r w:rsidRPr="009150B6">
        <w:t>(</w:t>
      </w:r>
      <w:proofErr w:type="spellStart"/>
      <w:r w:rsidRPr="009150B6">
        <w:t>i</w:t>
      </w:r>
      <w:proofErr w:type="spellEnd"/>
      <w:r w:rsidRPr="009150B6">
        <w:t>) an agent or employee of an Australian ADI; or</w:t>
      </w:r>
    </w:p>
    <w:p w:rsidR="00245EF9" w:rsidRPr="009150B6" w:rsidRDefault="00245EF9" w:rsidP="003B4EFA">
      <w:pPr>
        <w:pStyle w:val="Quote3"/>
      </w:pPr>
      <w:r w:rsidRPr="009150B6">
        <w:t>(ii) otherwise acting by arrangement with an Australian ADI under the name of the Australian ADI; and</w:t>
      </w:r>
    </w:p>
    <w:p w:rsidR="00245EF9" w:rsidRPr="009150B6" w:rsidRDefault="00245EF9" w:rsidP="003B4EFA">
      <w:pPr>
        <w:pStyle w:val="Quote2"/>
      </w:pPr>
      <w:r w:rsidRPr="009150B6">
        <w:t>(b) the subject matter of the advice sought by the client relates only to the following:</w:t>
      </w:r>
    </w:p>
    <w:p w:rsidR="00245EF9" w:rsidRPr="009150B6" w:rsidRDefault="00245EF9" w:rsidP="003B4EFA">
      <w:pPr>
        <w:pStyle w:val="Quote3"/>
      </w:pPr>
      <w:r w:rsidRPr="009150B6">
        <w:t>(</w:t>
      </w:r>
      <w:proofErr w:type="spellStart"/>
      <w:r w:rsidRPr="009150B6">
        <w:t>i</w:t>
      </w:r>
      <w:proofErr w:type="spellEnd"/>
      <w:r w:rsidRPr="009150B6">
        <w:t>) a basic banking product;</w:t>
      </w:r>
    </w:p>
    <w:p w:rsidR="00245EF9" w:rsidRPr="009150B6" w:rsidRDefault="00245EF9" w:rsidP="003B4EFA">
      <w:pPr>
        <w:pStyle w:val="Quote3"/>
      </w:pPr>
      <w:r w:rsidRPr="009150B6">
        <w:t>(ii) a general insurance product;</w:t>
      </w:r>
    </w:p>
    <w:p w:rsidR="00245EF9" w:rsidRPr="009150B6" w:rsidRDefault="00245EF9" w:rsidP="003B4EFA">
      <w:pPr>
        <w:pStyle w:val="Quote3"/>
      </w:pPr>
      <w:r w:rsidRPr="009150B6">
        <w:lastRenderedPageBreak/>
        <w:t>(iii) consumer credit insurance;</w:t>
      </w:r>
    </w:p>
    <w:p w:rsidR="00245EF9" w:rsidRPr="009150B6" w:rsidRDefault="00245EF9" w:rsidP="003B4EFA">
      <w:pPr>
        <w:pStyle w:val="Quote3"/>
      </w:pPr>
      <w:r w:rsidRPr="009150B6">
        <w:t>(iv) a combination of any of those products;</w:t>
      </w:r>
    </w:p>
    <w:p w:rsidR="00245EF9" w:rsidRPr="009150B6" w:rsidRDefault="00245EF9" w:rsidP="00245EF9">
      <w:pPr>
        <w:pStyle w:val="Quote1"/>
      </w:pPr>
      <w:r w:rsidRPr="009150B6">
        <w:t>subsection (1) does not apply to the extent that the advice relates to a basic banking product or a general insurance product or a combination of those 2 products.</w:t>
      </w:r>
    </w:p>
    <w:p w:rsidR="003138E2" w:rsidRPr="00B23139" w:rsidRDefault="00245EF9" w:rsidP="00B23139">
      <w:pPr>
        <w:pStyle w:val="Quote1"/>
      </w:pPr>
      <w:r w:rsidRPr="009150B6">
        <w:t>(3) Subsection (1) does not apply to the extent that the subject matter of the advice sought by the client is a general insurance product.</w:t>
      </w:r>
    </w:p>
    <w:p w:rsidR="001F7893" w:rsidRDefault="003B3C7B" w:rsidP="001F7893">
      <w:pPr>
        <w:pStyle w:val="Heading1"/>
      </w:pPr>
      <w:bookmarkStart w:id="39" w:name="_Ref22827384"/>
      <w:bookmarkStart w:id="40" w:name="_Ref14854783"/>
      <w:bookmarkStart w:id="41" w:name="_Ref11661450"/>
      <w:proofErr w:type="spellStart"/>
      <w:r>
        <w:rPr>
          <w:caps w:val="0"/>
        </w:rPr>
        <w:t>E</w:t>
      </w:r>
      <w:proofErr w:type="spellEnd"/>
      <w:r>
        <w:rPr>
          <w:caps w:val="0"/>
        </w:rPr>
        <w:tab/>
        <w:t>AGREED OPINIONS OF THE EXPERTS</w:t>
      </w:r>
      <w:bookmarkEnd w:id="39"/>
    </w:p>
    <w:p w:rsidR="00506DAB" w:rsidRPr="00506DAB" w:rsidRDefault="00506DAB" w:rsidP="00E63726">
      <w:pPr>
        <w:pStyle w:val="Heading2"/>
        <w:rPr>
          <w:color w:val="000000"/>
        </w:rPr>
      </w:pPr>
      <w:bookmarkStart w:id="42" w:name="_Ref29821116"/>
      <w:r w:rsidRPr="00506DAB">
        <w:t>E.1</w:t>
      </w:r>
      <w:r w:rsidRPr="00506DAB">
        <w:tab/>
        <w:t>The Questions</w:t>
      </w:r>
      <w:bookmarkEnd w:id="42"/>
      <w:r w:rsidRPr="00506DAB">
        <w:t xml:space="preserve"> </w:t>
      </w:r>
    </w:p>
    <w:p w:rsidR="00616EB4" w:rsidRPr="00506DAB" w:rsidRDefault="003B3C7B" w:rsidP="003B3C7B">
      <w:pPr>
        <w:pStyle w:val="ParaNumbering"/>
        <w:numPr>
          <w:ilvl w:val="0"/>
          <w:numId w:val="0"/>
        </w:numPr>
        <w:tabs>
          <w:tab w:val="left" w:pos="720"/>
        </w:tabs>
        <w:ind w:hanging="720"/>
        <w:rPr>
          <w:color w:val="000000"/>
        </w:rPr>
      </w:pPr>
      <w:bookmarkStart w:id="43" w:name="_Ref30600184"/>
      <w:r w:rsidRPr="00506DAB">
        <w:rPr>
          <w:color w:val="000000"/>
          <w:sz w:val="20"/>
        </w:rPr>
        <w:t>55</w:t>
      </w:r>
      <w:r w:rsidRPr="00506DAB">
        <w:rPr>
          <w:color w:val="000000"/>
          <w:sz w:val="20"/>
        </w:rPr>
        <w:tab/>
      </w:r>
      <w:r w:rsidR="0000248F">
        <w:t xml:space="preserve">Following </w:t>
      </w:r>
      <w:r w:rsidR="004219AC">
        <w:t xml:space="preserve">the service of competing opinion </w:t>
      </w:r>
      <w:r w:rsidR="0000248F">
        <w:t>evidence</w:t>
      </w:r>
      <w:r w:rsidR="004219AC">
        <w:t xml:space="preserve"> of experts</w:t>
      </w:r>
      <w:r w:rsidR="0000248F">
        <w:t xml:space="preserve">, </w:t>
      </w:r>
      <w:r w:rsidR="004219AC">
        <w:t xml:space="preserve">which in some respects did not engage with one another, </w:t>
      </w:r>
      <w:r w:rsidR="001973C8">
        <w:t>the JER</w:t>
      </w:r>
      <w:r w:rsidR="00913A69">
        <w:t xml:space="preserve"> </w:t>
      </w:r>
      <w:r w:rsidR="003A12FF">
        <w:t>was</w:t>
      </w:r>
      <w:r w:rsidR="001F7893">
        <w:t xml:space="preserve"> prepared </w:t>
      </w:r>
      <w:r w:rsidR="0000248F">
        <w:t xml:space="preserve">pursuant to orders of </w:t>
      </w:r>
      <w:r w:rsidR="00501954">
        <w:t>the Court</w:t>
      </w:r>
      <w:r w:rsidR="004219AC">
        <w:t xml:space="preserve"> by reference to questions settled by the Court</w:t>
      </w:r>
      <w:r w:rsidR="00501954">
        <w:t>.</w:t>
      </w:r>
      <w:r w:rsidR="005A06EB">
        <w:t xml:space="preserve"> </w:t>
      </w:r>
      <w:r w:rsidR="004219AC">
        <w:t>The</w:t>
      </w:r>
      <w:r w:rsidR="001F7893">
        <w:t xml:space="preserve"> authors </w:t>
      </w:r>
      <w:r w:rsidR="004219AC">
        <w:t xml:space="preserve">of the JER </w:t>
      </w:r>
      <w:r w:rsidR="001F7893">
        <w:t>provide</w:t>
      </w:r>
      <w:r w:rsidR="000E5D29">
        <w:t>d</w:t>
      </w:r>
      <w:r w:rsidR="001F7893">
        <w:t xml:space="preserve"> their opinions on the following questions:</w:t>
      </w:r>
      <w:r w:rsidR="00506DAB">
        <w:t xml:space="preserve"> </w:t>
      </w:r>
      <w:r w:rsidR="00506DAB">
        <w:rPr>
          <w:i/>
        </w:rPr>
        <w:t>f</w:t>
      </w:r>
      <w:r w:rsidR="00F02B11" w:rsidRPr="00506DAB">
        <w:rPr>
          <w:i/>
        </w:rPr>
        <w:t>irst</w:t>
      </w:r>
      <w:r w:rsidR="001F7893">
        <w:t>, w</w:t>
      </w:r>
      <w:r w:rsidR="001F7893" w:rsidRPr="00BE1CA6">
        <w:t xml:space="preserve">hat steps </w:t>
      </w:r>
      <w:r w:rsidR="003A12FF">
        <w:t>was it reasonable to expect AMPFP</w:t>
      </w:r>
      <w:r w:rsidR="001F7893" w:rsidRPr="00BE1CA6">
        <w:t xml:space="preserve"> to have taken in the </w:t>
      </w:r>
      <w:r w:rsidR="003A12FF">
        <w:t>Relevant Period</w:t>
      </w:r>
      <w:r w:rsidR="001F7893" w:rsidRPr="00BE1CA6">
        <w:t xml:space="preserve"> to ensure that its representatives complied with </w:t>
      </w:r>
      <w:proofErr w:type="spellStart"/>
      <w:r w:rsidR="001F7893" w:rsidRPr="00BE1CA6">
        <w:t>ss</w:t>
      </w:r>
      <w:proofErr w:type="spellEnd"/>
      <w:r w:rsidR="001F7893" w:rsidRPr="00BE1CA6">
        <w:t xml:space="preserve"> 961B, 961G, and 961J of the </w:t>
      </w:r>
      <w:r w:rsidR="00F02B11">
        <w:t>Act</w:t>
      </w:r>
      <w:r w:rsidR="001F7893" w:rsidRPr="00BE1CA6">
        <w:t>?</w:t>
      </w:r>
      <w:r w:rsidR="00F40047">
        <w:t xml:space="preserve"> </w:t>
      </w:r>
      <w:r w:rsidR="001F7893" w:rsidRPr="00506DAB">
        <w:rPr>
          <w:i/>
        </w:rPr>
        <w:t>Secondly</w:t>
      </w:r>
      <w:r w:rsidR="00501954">
        <w:t xml:space="preserve">, </w:t>
      </w:r>
      <w:r w:rsidR="001F7893">
        <w:t xml:space="preserve">were </w:t>
      </w:r>
      <w:r w:rsidR="001F7893" w:rsidRPr="00BE1CA6">
        <w:t>the steps that AMPFP took in the Relevant Period reasonable steps for AMPFP to have taken in that time period to ensure compliance by its representati</w:t>
      </w:r>
      <w:r w:rsidR="00F02B11">
        <w:t xml:space="preserve">ves with </w:t>
      </w:r>
      <w:proofErr w:type="spellStart"/>
      <w:r w:rsidR="00F02B11">
        <w:t>ss</w:t>
      </w:r>
      <w:proofErr w:type="spellEnd"/>
      <w:r w:rsidR="00F02B11">
        <w:t xml:space="preserve"> 961B, 961G and 961J?</w:t>
      </w:r>
      <w:bookmarkEnd w:id="43"/>
    </w:p>
    <w:p w:rsidR="001F7893" w:rsidRPr="009A6F06" w:rsidRDefault="009A6F06" w:rsidP="00E63726">
      <w:pPr>
        <w:pStyle w:val="Heading2"/>
        <w:rPr>
          <w:i/>
        </w:rPr>
      </w:pPr>
      <w:bookmarkStart w:id="44" w:name="_Ref22827385"/>
      <w:r w:rsidRPr="009A6F06">
        <w:t>E</w:t>
      </w:r>
      <w:r w:rsidR="00506DAB">
        <w:t>.2</w:t>
      </w:r>
      <w:r w:rsidR="005924B6" w:rsidRPr="009A6F06">
        <w:tab/>
      </w:r>
      <w:r w:rsidR="001F7893" w:rsidRPr="009A6F06">
        <w:t xml:space="preserve">Steps in relation to </w:t>
      </w:r>
      <w:r w:rsidR="00A956F3" w:rsidRPr="009A6F06">
        <w:t>Pangan</w:t>
      </w:r>
      <w:r w:rsidR="001F7893" w:rsidRPr="009A6F06">
        <w:t>iban</w:t>
      </w:r>
      <w:bookmarkEnd w:id="44"/>
    </w:p>
    <w:p w:rsidR="00501954" w:rsidRDefault="003B3C7B" w:rsidP="003B3C7B">
      <w:pPr>
        <w:pStyle w:val="ParaNumbering"/>
        <w:numPr>
          <w:ilvl w:val="0"/>
          <w:numId w:val="0"/>
        </w:numPr>
        <w:tabs>
          <w:tab w:val="left" w:pos="720"/>
        </w:tabs>
        <w:ind w:hanging="720"/>
      </w:pPr>
      <w:bookmarkStart w:id="45" w:name="_Ref25592701"/>
      <w:r>
        <w:rPr>
          <w:sz w:val="20"/>
        </w:rPr>
        <w:t>56</w:t>
      </w:r>
      <w:r>
        <w:rPr>
          <w:sz w:val="20"/>
        </w:rPr>
        <w:tab/>
      </w:r>
      <w:r w:rsidR="001F7893">
        <w:t xml:space="preserve">In relation to </w:t>
      </w:r>
      <w:r w:rsidR="00A956F3">
        <w:t>Pangan</w:t>
      </w:r>
      <w:r w:rsidR="001F7893">
        <w:t>iban</w:t>
      </w:r>
      <w:r w:rsidR="004672A9">
        <w:t>,</w:t>
      </w:r>
      <w:r w:rsidR="001F7893">
        <w:t xml:space="preserve"> AMPFP agreed with the following su</w:t>
      </w:r>
      <w:r w:rsidR="001973C8">
        <w:t xml:space="preserve">mmary of the JER </w:t>
      </w:r>
      <w:r w:rsidR="001F7893">
        <w:t>contained in ASIC’s written su</w:t>
      </w:r>
      <w:r w:rsidR="00607AD6">
        <w:t>bmissions</w:t>
      </w:r>
      <w:r w:rsidR="003F4125">
        <w:t>.</w:t>
      </w:r>
      <w:r w:rsidR="003E3704" w:rsidRPr="00E73141">
        <w:t xml:space="preserve"> </w:t>
      </w:r>
    </w:p>
    <w:p w:rsidR="001F7893" w:rsidRDefault="003B3C7B" w:rsidP="003B3C7B">
      <w:pPr>
        <w:pStyle w:val="ParaNumbering"/>
        <w:numPr>
          <w:ilvl w:val="0"/>
          <w:numId w:val="0"/>
        </w:numPr>
        <w:tabs>
          <w:tab w:val="left" w:pos="720"/>
        </w:tabs>
        <w:ind w:hanging="720"/>
      </w:pPr>
      <w:r>
        <w:rPr>
          <w:sz w:val="20"/>
        </w:rPr>
        <w:t>57</w:t>
      </w:r>
      <w:r>
        <w:rPr>
          <w:sz w:val="20"/>
        </w:rPr>
        <w:tab/>
      </w:r>
      <w:r w:rsidR="001F7893" w:rsidRPr="00E73141">
        <w:t xml:space="preserve">There is agreement between the experts as to the steps AMPFP should have taken in the Relevant Period to ensure that </w:t>
      </w:r>
      <w:r w:rsidR="00A956F3">
        <w:t>Pangan</w:t>
      </w:r>
      <w:r w:rsidR="001F7893" w:rsidRPr="00E73141">
        <w:t xml:space="preserve">iban did not engage in Rewriting </w:t>
      </w:r>
      <w:r w:rsidR="00501954">
        <w:t>C</w:t>
      </w:r>
      <w:r w:rsidR="001F7893" w:rsidRPr="00E73141">
        <w:t>onduct in contravention of</w:t>
      </w:r>
      <w:r w:rsidR="001F7893">
        <w:t xml:space="preserve"> the </w:t>
      </w:r>
      <w:r w:rsidR="00AF6BC0">
        <w:t xml:space="preserve">relevant </w:t>
      </w:r>
      <w:r w:rsidR="001F7893">
        <w:t>best interests obligations:</w:t>
      </w:r>
      <w:bookmarkEnd w:id="45"/>
    </w:p>
    <w:p w:rsidR="001F7893" w:rsidRDefault="003B3C7B" w:rsidP="003B3C7B">
      <w:pPr>
        <w:pStyle w:val="ListNo1"/>
        <w:numPr>
          <w:ilvl w:val="0"/>
          <w:numId w:val="0"/>
        </w:numPr>
        <w:tabs>
          <w:tab w:val="left" w:pos="720"/>
        </w:tabs>
        <w:ind w:left="720" w:hanging="720"/>
      </w:pPr>
      <w:r>
        <w:t>(1)</w:t>
      </w:r>
      <w:r>
        <w:tab/>
      </w:r>
      <w:r w:rsidR="001F7893">
        <w:t>at and from 1 July 2013</w:t>
      </w:r>
      <w:r w:rsidR="004672A9">
        <w:t>,</w:t>
      </w:r>
      <w:r w:rsidR="001F7893">
        <w:t xml:space="preserve"> AMPFP should have temporarily suspended </w:t>
      </w:r>
      <w:r w:rsidR="00A956F3">
        <w:t>Pangan</w:t>
      </w:r>
      <w:r w:rsidR="001F7893">
        <w:t xml:space="preserve">iban’s authorisation until such time as </w:t>
      </w:r>
      <w:r w:rsidR="004672A9">
        <w:t>“</w:t>
      </w:r>
      <w:r w:rsidR="001F7893">
        <w:t>a more fulsome</w:t>
      </w:r>
      <w:r w:rsidR="004672A9">
        <w:t>”</w:t>
      </w:r>
      <w:r w:rsidR="004E7057">
        <w:t xml:space="preserve"> </w:t>
      </w:r>
      <w:r w:rsidR="001F7893">
        <w:t>in</w:t>
      </w:r>
      <w:r w:rsidR="000E5D29">
        <w:t>vestigation could be undertaken; i</w:t>
      </w:r>
      <w:r w:rsidR="001F7893">
        <w:t xml:space="preserve">n suspending the authorisation, AMPFP should have placed weight on addressing the potentially significant risks to </w:t>
      </w:r>
      <w:r w:rsidR="00A956F3">
        <w:t>Pangan</w:t>
      </w:r>
      <w:r w:rsidR="001F7893">
        <w:t>iban’s clients of any condu</w:t>
      </w:r>
      <w:r w:rsidR="002371DB">
        <w:t>ct in which he may have engaged;</w:t>
      </w:r>
    </w:p>
    <w:p w:rsidR="001F7893" w:rsidRDefault="003B3C7B" w:rsidP="003B3C7B">
      <w:pPr>
        <w:pStyle w:val="ListNo1"/>
        <w:numPr>
          <w:ilvl w:val="0"/>
          <w:numId w:val="0"/>
        </w:numPr>
        <w:tabs>
          <w:tab w:val="left" w:pos="720"/>
        </w:tabs>
        <w:ind w:left="720" w:hanging="720"/>
      </w:pPr>
      <w:r>
        <w:t>(2)</w:t>
      </w:r>
      <w:r>
        <w:tab/>
      </w:r>
      <w:r w:rsidR="001F7893" w:rsidRPr="001B63B8">
        <w:t xml:space="preserve">in line with an effective issue management and escalation process for an advice licensee, AMPFP should have ensured that the Rewriting Conduct concerns were escalated to a sufficient level of seniority within AMP and/or AMPFP in a timely manner, so that the issues were appropriately considered and actions taken to ensure </w:t>
      </w:r>
      <w:r w:rsidR="001F7893" w:rsidRPr="001B63B8">
        <w:lastRenderedPageBreak/>
        <w:t xml:space="preserve">Rewriting Conduct that was non-compliant with the </w:t>
      </w:r>
      <w:r w:rsidR="00AF6BC0">
        <w:t xml:space="preserve">relevant </w:t>
      </w:r>
      <w:r w:rsidR="001F7893" w:rsidRPr="001B63B8">
        <w:t>best interests obligations ceased;</w:t>
      </w:r>
    </w:p>
    <w:p w:rsidR="001F7893" w:rsidRDefault="003B3C7B" w:rsidP="003B3C7B">
      <w:pPr>
        <w:pStyle w:val="ListNo1"/>
        <w:numPr>
          <w:ilvl w:val="0"/>
          <w:numId w:val="0"/>
        </w:numPr>
        <w:tabs>
          <w:tab w:val="left" w:pos="720"/>
        </w:tabs>
        <w:ind w:left="720" w:hanging="720"/>
      </w:pPr>
      <w:r>
        <w:t>(3)</w:t>
      </w:r>
      <w:r>
        <w:tab/>
      </w:r>
      <w:r w:rsidR="001F7893" w:rsidRPr="001B63B8">
        <w:t xml:space="preserve">AMPFP should have undertaken </w:t>
      </w:r>
      <w:r w:rsidR="004672A9">
        <w:t>“</w:t>
      </w:r>
      <w:r w:rsidR="001F7893" w:rsidRPr="001B63B8">
        <w:t>a fulsome investigation</w:t>
      </w:r>
      <w:r w:rsidR="004672A9">
        <w:t>”</w:t>
      </w:r>
      <w:r w:rsidR="001F7893" w:rsidRPr="001B63B8">
        <w:t xml:space="preserve"> involving file reviews to determine the extent of </w:t>
      </w:r>
      <w:r w:rsidR="00A956F3">
        <w:t>Pangan</w:t>
      </w:r>
      <w:r w:rsidR="001F7893" w:rsidRPr="001B63B8">
        <w:t xml:space="preserve">iban’s Rewriting Conduct and non-compliance with the </w:t>
      </w:r>
      <w:r w:rsidR="00AF6BC0">
        <w:t>relevant</w:t>
      </w:r>
      <w:r w:rsidR="00AF6BC0" w:rsidRPr="001B63B8">
        <w:t xml:space="preserve"> </w:t>
      </w:r>
      <w:r w:rsidR="001F7893" w:rsidRPr="001B63B8">
        <w:t xml:space="preserve">best </w:t>
      </w:r>
      <w:r w:rsidR="000E5D29">
        <w:t>interests obligations; i</w:t>
      </w:r>
      <w:r w:rsidR="001F7893" w:rsidRPr="001B63B8">
        <w:t>t would have been reasonable at the time for AMPFP to have conducted an initial investigation of a sample of files (in the order of six files) related to th</w:t>
      </w:r>
      <w:r w:rsidR="000E5D29">
        <w:t>e provision of insurance advice; h</w:t>
      </w:r>
      <w:r w:rsidR="001F7893" w:rsidRPr="001B63B8">
        <w:t xml:space="preserve">ad an issue been identified in one or more </w:t>
      </w:r>
      <w:r w:rsidR="004672A9">
        <w:t>of the sample a more extensive “deep dive”</w:t>
      </w:r>
      <w:r w:rsidR="001F7893" w:rsidRPr="001B63B8">
        <w:t xml:space="preserve"> (involving between 20 and 30 files) should have been conducted</w:t>
      </w:r>
      <w:r w:rsidR="000E5D29">
        <w:t>;</w:t>
      </w:r>
    </w:p>
    <w:p w:rsidR="001F7893" w:rsidRDefault="003B3C7B" w:rsidP="003B3C7B">
      <w:pPr>
        <w:pStyle w:val="ListNo1"/>
        <w:numPr>
          <w:ilvl w:val="0"/>
          <w:numId w:val="0"/>
        </w:numPr>
        <w:tabs>
          <w:tab w:val="left" w:pos="720"/>
        </w:tabs>
        <w:ind w:left="720" w:hanging="720"/>
      </w:pPr>
      <w:r>
        <w:t>(4)</w:t>
      </w:r>
      <w:r>
        <w:tab/>
      </w:r>
      <w:r w:rsidR="001F7893" w:rsidRPr="001B63B8">
        <w:t>based on the out</w:t>
      </w:r>
      <w:r w:rsidR="00322D9A">
        <w:t>come of the investigation</w:t>
      </w:r>
      <w:r w:rsidR="004672A9">
        <w:t>,</w:t>
      </w:r>
      <w:r w:rsidR="001F7893" w:rsidRPr="001B63B8">
        <w:t xml:space="preserve"> a subsequent decision regarding his future as a representative</w:t>
      </w:r>
      <w:r w:rsidR="000E5D29">
        <w:t xml:space="preserve"> of AMPFP should have been made;</w:t>
      </w:r>
      <w:r w:rsidR="001F7893" w:rsidRPr="001B63B8">
        <w:t xml:space="preserve"> AMPFP should have ensured that any findings of the investigation were formally communicated</w:t>
      </w:r>
      <w:r w:rsidR="00F40047">
        <w:t xml:space="preserve"> </w:t>
      </w:r>
      <w:r w:rsidR="001F7893">
        <w:t xml:space="preserve">to </w:t>
      </w:r>
      <w:r w:rsidR="00A956F3">
        <w:t>Pangan</w:t>
      </w:r>
      <w:r w:rsidR="001F7893">
        <w:t xml:space="preserve">iban and Mr </w:t>
      </w:r>
      <w:proofErr w:type="spellStart"/>
      <w:r w:rsidR="001F7893">
        <w:t>Naddaf</w:t>
      </w:r>
      <w:proofErr w:type="spellEnd"/>
      <w:r w:rsidR="001F7893">
        <w:t xml:space="preserve">, the principal of </w:t>
      </w:r>
      <w:proofErr w:type="spellStart"/>
      <w:r w:rsidR="001F7893">
        <w:t>Benidion</w:t>
      </w:r>
      <w:proofErr w:type="spellEnd"/>
      <w:r w:rsidR="001F7893">
        <w:t>, to ensure there was no misunderstanding of the facts, the conclusions and the actions to be taken;</w:t>
      </w:r>
    </w:p>
    <w:p w:rsidR="001F7893" w:rsidRDefault="003B3C7B" w:rsidP="003B3C7B">
      <w:pPr>
        <w:pStyle w:val="ListNo1"/>
        <w:numPr>
          <w:ilvl w:val="0"/>
          <w:numId w:val="0"/>
        </w:numPr>
        <w:tabs>
          <w:tab w:val="left" w:pos="720"/>
        </w:tabs>
        <w:ind w:left="720" w:hanging="720"/>
      </w:pPr>
      <w:r>
        <w:t>(5)</w:t>
      </w:r>
      <w:r>
        <w:tab/>
      </w:r>
      <w:r w:rsidR="001F7893" w:rsidRPr="001B63B8">
        <w:t xml:space="preserve">if, subsequent to the investigation and consideration of the outcomes of the investigation by appropriate AMPFP personnel, AMPFP decided to maintain </w:t>
      </w:r>
      <w:r w:rsidR="00A956F3">
        <w:t>Pangan</w:t>
      </w:r>
      <w:r w:rsidR="001F7893" w:rsidRPr="001B63B8">
        <w:t xml:space="preserve">iban as a representative, AMPFP should have ensured his commitment to ongoing compliance was obtained in writing and that </w:t>
      </w:r>
      <w:r w:rsidR="00A956F3">
        <w:t>Pangan</w:t>
      </w:r>
      <w:r w:rsidR="001F7893" w:rsidRPr="001B63B8">
        <w:t>iban was aware of, and accepted, the consequences of any further Rewriting Conduct being identified;</w:t>
      </w:r>
    </w:p>
    <w:p w:rsidR="001F7893" w:rsidRDefault="003B3C7B" w:rsidP="003B3C7B">
      <w:pPr>
        <w:pStyle w:val="ListNo1"/>
        <w:numPr>
          <w:ilvl w:val="0"/>
          <w:numId w:val="0"/>
        </w:numPr>
        <w:tabs>
          <w:tab w:val="left" w:pos="720"/>
        </w:tabs>
        <w:ind w:left="720" w:hanging="720"/>
      </w:pPr>
      <w:r>
        <w:t>(6)</w:t>
      </w:r>
      <w:r>
        <w:tab/>
      </w:r>
      <w:r w:rsidR="001F7893" w:rsidRPr="001B63B8">
        <w:t xml:space="preserve">if AMPFP decided to maintain </w:t>
      </w:r>
      <w:r w:rsidR="00A956F3">
        <w:t>Pangan</w:t>
      </w:r>
      <w:r w:rsidR="001F7893" w:rsidRPr="001B63B8">
        <w:t xml:space="preserve">iban as a representative, AMPFP should have had processes in place to support </w:t>
      </w:r>
      <w:r w:rsidR="00A956F3">
        <w:t>Pangan</w:t>
      </w:r>
      <w:r w:rsidR="001F7893" w:rsidRPr="001B63B8">
        <w:t>iban’s remediation and minimise the likeliho</w:t>
      </w:r>
      <w:r w:rsidR="000E5D29">
        <w:t>od of any future non-compliance;</w:t>
      </w:r>
      <w:r w:rsidR="001F7893" w:rsidRPr="001B63B8">
        <w:t xml:space="preserve"> AMPFP should have ensured that </w:t>
      </w:r>
      <w:r w:rsidR="00A956F3">
        <w:t>Pangan</w:t>
      </w:r>
      <w:r w:rsidR="001F7893" w:rsidRPr="001B63B8">
        <w:t>iban was appropriately re-trained with training targeted at addressing advice concerns identified, and appropriately monitored and supervised (such as through regular, tailored vetting and auditing targeted at addressing advice concerns identified) commensurate with the risk that existed in relation to his Rewriting Conduct; and</w:t>
      </w:r>
    </w:p>
    <w:p w:rsidR="001F7893" w:rsidRDefault="003B3C7B" w:rsidP="003B3C7B">
      <w:pPr>
        <w:pStyle w:val="ListNo1"/>
        <w:numPr>
          <w:ilvl w:val="0"/>
          <w:numId w:val="0"/>
        </w:numPr>
        <w:tabs>
          <w:tab w:val="left" w:pos="720"/>
        </w:tabs>
        <w:ind w:left="720" w:hanging="720"/>
      </w:pPr>
      <w:r>
        <w:t>(7)</w:t>
      </w:r>
      <w:r>
        <w:tab/>
      </w:r>
      <w:r w:rsidR="001F7893">
        <w:t xml:space="preserve">in line with an effective issues management and escalation process for an advice licensee, the fact of the investigation into </w:t>
      </w:r>
      <w:r w:rsidR="00A956F3">
        <w:t>Pangan</w:t>
      </w:r>
      <w:r w:rsidR="001F7893">
        <w:t xml:space="preserve">iban’s conduct and its outcomes should have been entered into AMPFP’s incident management database. </w:t>
      </w:r>
    </w:p>
    <w:p w:rsidR="001F7893" w:rsidRDefault="003B3C7B" w:rsidP="003B3C7B">
      <w:pPr>
        <w:pStyle w:val="ParaNumbering"/>
        <w:numPr>
          <w:ilvl w:val="0"/>
          <w:numId w:val="0"/>
        </w:numPr>
        <w:tabs>
          <w:tab w:val="left" w:pos="720"/>
        </w:tabs>
        <w:ind w:hanging="720"/>
      </w:pPr>
      <w:r>
        <w:rPr>
          <w:sz w:val="20"/>
        </w:rPr>
        <w:t>58</w:t>
      </w:r>
      <w:r>
        <w:rPr>
          <w:sz w:val="20"/>
        </w:rPr>
        <w:tab/>
      </w:r>
      <w:r w:rsidR="001F7893" w:rsidRPr="00E73141">
        <w:t xml:space="preserve">There is also agreement between the experts that AMPFP failed to take the necessary steps to ensure that </w:t>
      </w:r>
      <w:r w:rsidR="00A956F3">
        <w:t>Pangan</w:t>
      </w:r>
      <w:r w:rsidR="001F7893" w:rsidRPr="00E73141">
        <w:t>iban did not engage in Rewriting Conduct and complied with the</w:t>
      </w:r>
      <w:r w:rsidR="00AF6BC0" w:rsidRPr="00AF6BC0">
        <w:t xml:space="preserve"> </w:t>
      </w:r>
      <w:r w:rsidR="00AF6BC0">
        <w:t>relevant</w:t>
      </w:r>
      <w:r w:rsidR="001F7893" w:rsidRPr="00E73141">
        <w:t xml:space="preserve"> best interests obligations</w:t>
      </w:r>
      <w:r w:rsidR="001F7893">
        <w:t>:</w:t>
      </w:r>
    </w:p>
    <w:p w:rsidR="001F7893" w:rsidRDefault="003B3C7B" w:rsidP="003B3C7B">
      <w:pPr>
        <w:pStyle w:val="ListNo1"/>
        <w:numPr>
          <w:ilvl w:val="0"/>
          <w:numId w:val="0"/>
        </w:numPr>
        <w:tabs>
          <w:tab w:val="left" w:pos="720"/>
        </w:tabs>
        <w:ind w:left="720" w:hanging="720"/>
      </w:pPr>
      <w:r>
        <w:lastRenderedPageBreak/>
        <w:t>(1)</w:t>
      </w:r>
      <w:r>
        <w:tab/>
      </w:r>
      <w:r w:rsidR="001F7893">
        <w:t xml:space="preserve">AMPFP did not suspend </w:t>
      </w:r>
      <w:r w:rsidR="00A956F3">
        <w:t>Pangan</w:t>
      </w:r>
      <w:r w:rsidR="001F7893">
        <w:t xml:space="preserve">iban’s authorisation </w:t>
      </w:r>
      <w:r w:rsidR="000E5D29">
        <w:t>temporarily on and after 1 July 2013; i</w:t>
      </w:r>
      <w:r w:rsidR="001F7893">
        <w:t xml:space="preserve">t should have temporarily suspended </w:t>
      </w:r>
      <w:r w:rsidR="00A956F3">
        <w:t>Pangan</w:t>
      </w:r>
      <w:r w:rsidR="001F7893">
        <w:t xml:space="preserve">iban’s authorisation until such time as </w:t>
      </w:r>
      <w:r w:rsidR="004672A9">
        <w:t>“</w:t>
      </w:r>
      <w:r w:rsidR="001F7893">
        <w:t>a more fulsome investigation</w:t>
      </w:r>
      <w:r w:rsidR="004672A9">
        <w:t>”</w:t>
      </w:r>
      <w:r w:rsidR="000E5D29">
        <w:t xml:space="preserve"> could be undertaken;</w:t>
      </w:r>
      <w:r w:rsidR="001F7893">
        <w:t xml:space="preserve"> </w:t>
      </w:r>
      <w:r w:rsidR="00A956F3">
        <w:t>Pangan</w:t>
      </w:r>
      <w:r w:rsidR="001F7893">
        <w:t xml:space="preserve">iban’s authorisation was only revoked on 15 September 2014 after the investigation of his conduct undertaken between June and early </w:t>
      </w:r>
      <w:r w:rsidR="000E5D29">
        <w:t>September 2014; n</w:t>
      </w:r>
      <w:r w:rsidR="001F7893" w:rsidRPr="00E73141">
        <w:t>o such action was taken in 2013, after the Gregory investigation</w:t>
      </w:r>
      <w:r w:rsidR="001F7893">
        <w:t>;</w:t>
      </w:r>
    </w:p>
    <w:p w:rsidR="001F7893" w:rsidRDefault="003B3C7B" w:rsidP="003B3C7B">
      <w:pPr>
        <w:pStyle w:val="ListNo1"/>
        <w:numPr>
          <w:ilvl w:val="0"/>
          <w:numId w:val="0"/>
        </w:numPr>
        <w:tabs>
          <w:tab w:val="left" w:pos="720"/>
        </w:tabs>
        <w:ind w:left="720" w:hanging="720"/>
      </w:pPr>
      <w:r>
        <w:t>(2)</w:t>
      </w:r>
      <w:r>
        <w:tab/>
      </w:r>
      <w:r w:rsidR="001F7893">
        <w:t xml:space="preserve">AMPFP did not, by July 2013, escalate </w:t>
      </w:r>
      <w:r w:rsidR="00A956F3">
        <w:t>Pangan</w:t>
      </w:r>
      <w:r w:rsidR="001F7893">
        <w:t>iban’s conduct to an appropriate level of seniority within AMPFP to ensure that appropriate action was taken and his non-com</w:t>
      </w:r>
      <w:r w:rsidR="000E5D29">
        <w:t>pliant Rewriting Conduct ceased; t</w:t>
      </w:r>
      <w:r w:rsidR="001F7893">
        <w:t xml:space="preserve">he concerns were only escalated to appropriate senior management in September 2014 after which </w:t>
      </w:r>
      <w:r w:rsidR="00A956F3">
        <w:t>Pangan</w:t>
      </w:r>
      <w:r w:rsidR="001F7893">
        <w:t>iban’s Rewriting Conduct was referred to a special meeting of the Issues Panel in accordance with the Advice Issues Management and Escalation Process;</w:t>
      </w:r>
    </w:p>
    <w:p w:rsidR="001F7893" w:rsidRDefault="003B3C7B" w:rsidP="003B3C7B">
      <w:pPr>
        <w:pStyle w:val="ListNo1"/>
        <w:numPr>
          <w:ilvl w:val="0"/>
          <w:numId w:val="0"/>
        </w:numPr>
        <w:tabs>
          <w:tab w:val="left" w:pos="720"/>
        </w:tabs>
        <w:ind w:left="720" w:hanging="720"/>
      </w:pPr>
      <w:r>
        <w:t>(3)</w:t>
      </w:r>
      <w:r>
        <w:tab/>
      </w:r>
      <w:r w:rsidR="001F7893">
        <w:t xml:space="preserve">AMPFP did not undertake the staged review of files to determine the extent of </w:t>
      </w:r>
      <w:r w:rsidR="00A956F3">
        <w:t>Pangan</w:t>
      </w:r>
      <w:r w:rsidR="001F7893">
        <w:t>iban’s Rewriting Conduct and non-compliance with</w:t>
      </w:r>
      <w:r w:rsidR="000E5D29">
        <w:t xml:space="preserve"> the</w:t>
      </w:r>
      <w:r w:rsidR="00AF6BC0" w:rsidRPr="00AF6BC0">
        <w:t xml:space="preserve"> </w:t>
      </w:r>
      <w:r w:rsidR="00AF6BC0">
        <w:t>relevant</w:t>
      </w:r>
      <w:r w:rsidR="000E5D29">
        <w:t xml:space="preserve"> best interests obligations; i</w:t>
      </w:r>
      <w:r w:rsidR="001F7893">
        <w:t>n 2013, no review other than the review of six fil</w:t>
      </w:r>
      <w:r w:rsidR="000E5D29">
        <w:t>es by Ms Gregory was undertaken; a</w:t>
      </w:r>
      <w:r w:rsidR="001F7893">
        <w:t xml:space="preserve"> review of six files was undertaken by Mr Nathan Vo only in early September 2014</w:t>
      </w:r>
      <w:r w:rsidR="000E5D29">
        <w:t xml:space="preserve"> and a</w:t>
      </w:r>
      <w:r w:rsidR="001F7893">
        <w:t xml:space="preserve"> more extensive review was only undertaken in late 2014 after </w:t>
      </w:r>
      <w:r w:rsidR="00A956F3">
        <w:t>Pangan</w:t>
      </w:r>
      <w:r w:rsidR="001F7893">
        <w:t>iban’s authorisation had been revoked</w:t>
      </w:r>
      <w:r w:rsidR="004672A9">
        <w:t>;</w:t>
      </w:r>
      <w:r w:rsidR="001F7893">
        <w:t xml:space="preserve"> </w:t>
      </w:r>
      <w:r w:rsidR="000E5D29">
        <w:t>and</w:t>
      </w:r>
    </w:p>
    <w:p w:rsidR="001F7893" w:rsidRDefault="003B3C7B" w:rsidP="003B3C7B">
      <w:pPr>
        <w:pStyle w:val="ListNo1"/>
        <w:numPr>
          <w:ilvl w:val="0"/>
          <w:numId w:val="0"/>
        </w:numPr>
        <w:tabs>
          <w:tab w:val="left" w:pos="720"/>
        </w:tabs>
        <w:ind w:left="720" w:hanging="720"/>
      </w:pPr>
      <w:r>
        <w:t>(4)</w:t>
      </w:r>
      <w:r>
        <w:tab/>
      </w:r>
      <w:r w:rsidR="001F7893">
        <w:t>as a result of</w:t>
      </w:r>
      <w:r w:rsidR="00322D9A">
        <w:t xml:space="preserve"> AMPFP’s failure to undertake (3</w:t>
      </w:r>
      <w:r w:rsidR="001F7893">
        <w:t xml:space="preserve">) above, AMPFP did not take </w:t>
      </w:r>
      <w:r w:rsidR="004672A9">
        <w:t xml:space="preserve">adequate </w:t>
      </w:r>
      <w:r w:rsidR="000E5D29">
        <w:t>steps; t</w:t>
      </w:r>
      <w:r w:rsidR="001F7893">
        <w:t>his is because those steps are consequential to and dependent on the conclusions formed</w:t>
      </w:r>
      <w:r w:rsidR="00322D9A">
        <w:t xml:space="preserve"> from the undertaking of step (3</w:t>
      </w:r>
      <w:r w:rsidR="001F7893">
        <w:t>) above</w:t>
      </w:r>
      <w:r w:rsidR="000E5D29">
        <w:t>.</w:t>
      </w:r>
      <w:r w:rsidR="001F7893">
        <w:t xml:space="preserve"> </w:t>
      </w:r>
    </w:p>
    <w:p w:rsidR="001F7893" w:rsidRDefault="003B3C7B" w:rsidP="003B3C7B">
      <w:pPr>
        <w:pStyle w:val="ParaNumbering"/>
        <w:numPr>
          <w:ilvl w:val="0"/>
          <w:numId w:val="0"/>
        </w:numPr>
        <w:tabs>
          <w:tab w:val="left" w:pos="720"/>
        </w:tabs>
        <w:ind w:hanging="720"/>
      </w:pPr>
      <w:bookmarkStart w:id="46" w:name="_Ref25593538"/>
      <w:r>
        <w:rPr>
          <w:sz w:val="20"/>
        </w:rPr>
        <w:t>59</w:t>
      </w:r>
      <w:r>
        <w:rPr>
          <w:sz w:val="20"/>
        </w:rPr>
        <w:tab/>
      </w:r>
      <w:r w:rsidR="001F7893" w:rsidRPr="001F7893">
        <w:t xml:space="preserve">In addition, AMPFP failed to take the following action to prevent </w:t>
      </w:r>
      <w:r w:rsidR="00A956F3">
        <w:t>Pangan</w:t>
      </w:r>
      <w:r w:rsidR="001F7893" w:rsidRPr="001F7893">
        <w:t>iban engaging in Rewriting Conduct</w:t>
      </w:r>
      <w:r w:rsidR="001F7893">
        <w:t>:</w:t>
      </w:r>
      <w:bookmarkEnd w:id="46"/>
    </w:p>
    <w:p w:rsidR="001F7893" w:rsidRDefault="003B3C7B" w:rsidP="003B3C7B">
      <w:pPr>
        <w:pStyle w:val="ListNo1"/>
        <w:numPr>
          <w:ilvl w:val="0"/>
          <w:numId w:val="0"/>
        </w:numPr>
        <w:tabs>
          <w:tab w:val="left" w:pos="720"/>
        </w:tabs>
        <w:ind w:left="720" w:hanging="720"/>
      </w:pPr>
      <w:r>
        <w:t>(1)</w:t>
      </w:r>
      <w:r>
        <w:tab/>
      </w:r>
      <w:r w:rsidR="001F7893">
        <w:t xml:space="preserve">AMPFP failed to communicate appropriately with </w:t>
      </w:r>
      <w:r w:rsidR="00A956F3">
        <w:t>Pangan</w:t>
      </w:r>
      <w:r w:rsidR="001F7893">
        <w:t xml:space="preserve">iban or impose any consequences on </w:t>
      </w:r>
      <w:r w:rsidR="00A956F3">
        <w:t>Pangan</w:t>
      </w:r>
      <w:r w:rsidR="001F7893">
        <w:t>iban as and from 1 July 2013 or su</w:t>
      </w:r>
      <w:r w:rsidR="000E5D29">
        <w:t>bsequently until September 2014 and t</w:t>
      </w:r>
      <w:r w:rsidR="001F7893">
        <w:t xml:space="preserve">here was no other direct warning or caution given to </w:t>
      </w:r>
      <w:r w:rsidR="00A956F3">
        <w:t>Pangan</w:t>
      </w:r>
      <w:r w:rsidR="001F7893">
        <w:t>iban until September 2014</w:t>
      </w:r>
      <w:r w:rsidR="004672A9">
        <w:t>;</w:t>
      </w:r>
      <w:r w:rsidR="001F7893">
        <w:t xml:space="preserve"> </w:t>
      </w:r>
    </w:p>
    <w:p w:rsidR="00156EE4" w:rsidRDefault="003B3C7B" w:rsidP="003B3C7B">
      <w:pPr>
        <w:pStyle w:val="ListNo1"/>
        <w:numPr>
          <w:ilvl w:val="0"/>
          <w:numId w:val="0"/>
        </w:numPr>
        <w:tabs>
          <w:tab w:val="left" w:pos="720"/>
        </w:tabs>
        <w:ind w:left="720" w:hanging="720"/>
      </w:pPr>
      <w:bookmarkStart w:id="47" w:name="_Ref25593539"/>
      <w:r>
        <w:t>(2)</w:t>
      </w:r>
      <w:r>
        <w:tab/>
      </w:r>
      <w:r w:rsidR="001F7893">
        <w:t>AMPFP failed to act in a timely way</w:t>
      </w:r>
      <w:r w:rsidR="000E5D29">
        <w:t xml:space="preserve"> and </w:t>
      </w:r>
      <w:r w:rsidR="001F7893">
        <w:t xml:space="preserve">acted with a lack of urgency in the 2013 Investigation in addressing </w:t>
      </w:r>
      <w:r w:rsidR="00A956F3">
        <w:t>Pangan</w:t>
      </w:r>
      <w:r w:rsidR="001F7893">
        <w:t>iban’s Rewriting Conduct</w:t>
      </w:r>
      <w:r w:rsidR="000E5D29">
        <w:t>; o</w:t>
      </w:r>
      <w:r w:rsidR="001F7893">
        <w:t xml:space="preserve">nce a suspicion was raised in September 2014 that </w:t>
      </w:r>
      <w:r w:rsidR="00A956F3">
        <w:t>Pangan</w:t>
      </w:r>
      <w:r w:rsidR="001F7893">
        <w:t>iban was continuing to</w:t>
      </w:r>
      <w:r w:rsidR="001F7893" w:rsidRPr="001F7893">
        <w:t xml:space="preserve"> </w:t>
      </w:r>
      <w:r w:rsidR="001F7893">
        <w:t xml:space="preserve">engage in Rewriting Conduct, timely steps were </w:t>
      </w:r>
      <w:r w:rsidR="000E5D29">
        <w:t xml:space="preserve">then </w:t>
      </w:r>
      <w:r w:rsidR="001F7893">
        <w:t>taken</w:t>
      </w:r>
      <w:r w:rsidR="000E5D29">
        <w:t xml:space="preserve"> but u</w:t>
      </w:r>
      <w:r w:rsidR="001F7893">
        <w:t xml:space="preserve">ntil that time, </w:t>
      </w:r>
      <w:r w:rsidR="00A956F3">
        <w:t>Pangan</w:t>
      </w:r>
      <w:r w:rsidR="001F7893">
        <w:t xml:space="preserve">iban continued to </w:t>
      </w:r>
      <w:r w:rsidR="001F7893">
        <w:lastRenderedPageBreak/>
        <w:t>engage in Rewriting Conduct, subjecting his clients to the Rewriting Risks</w:t>
      </w:r>
      <w:r w:rsidR="008D1492">
        <w:t xml:space="preserve">, </w:t>
      </w:r>
      <w:r w:rsidR="00E148EA">
        <w:t>such risks being</w:t>
      </w:r>
      <w:r w:rsidR="00156EE4">
        <w:t xml:space="preserve"> defined at [1</w:t>
      </w:r>
      <w:r w:rsidR="008D1492">
        <w:t xml:space="preserve">4] of the </w:t>
      </w:r>
      <w:r w:rsidR="00B63CBE">
        <w:t>statement of claim</w:t>
      </w:r>
      <w:r w:rsidR="008D1492">
        <w:t xml:space="preserve"> as</w:t>
      </w:r>
      <w:r w:rsidR="00156EE4">
        <w:t>:</w:t>
      </w:r>
      <w:bookmarkEnd w:id="47"/>
    </w:p>
    <w:p w:rsidR="00156EE4" w:rsidRDefault="003B3C7B" w:rsidP="003B3C7B">
      <w:pPr>
        <w:pStyle w:val="ListNo2"/>
        <w:numPr>
          <w:ilvl w:val="0"/>
          <w:numId w:val="0"/>
        </w:numPr>
        <w:tabs>
          <w:tab w:val="left" w:pos="1440"/>
        </w:tabs>
        <w:ind w:left="1440" w:hanging="720"/>
      </w:pPr>
      <w:r>
        <w:t>(a)</w:t>
      </w:r>
      <w:r>
        <w:tab/>
      </w:r>
      <w:r w:rsidR="00156EE4" w:rsidRPr="00156EE4">
        <w:t>the risk of being left uninsured for a period of time, or of otherwise not being paid for an insurable event when prior to the Rewriting the client had existing cover for t</w:t>
      </w:r>
      <w:r w:rsidR="00156EE4">
        <w:t>he insurable event (</w:t>
      </w:r>
      <w:r w:rsidR="00156EE4" w:rsidRPr="00156EE4">
        <w:rPr>
          <w:b/>
        </w:rPr>
        <w:t>Event Risk</w:t>
      </w:r>
      <w:r w:rsidR="00156EE4">
        <w:t>)</w:t>
      </w:r>
      <w:r w:rsidR="00A168D4">
        <w:t>;</w:t>
      </w:r>
    </w:p>
    <w:p w:rsidR="00682B48" w:rsidRDefault="003B3C7B" w:rsidP="003B3C7B">
      <w:pPr>
        <w:pStyle w:val="ListNo2"/>
        <w:numPr>
          <w:ilvl w:val="0"/>
          <w:numId w:val="0"/>
        </w:numPr>
        <w:tabs>
          <w:tab w:val="left" w:pos="1440"/>
        </w:tabs>
        <w:ind w:left="1440" w:hanging="720"/>
      </w:pPr>
      <w:r>
        <w:t>(b)</w:t>
      </w:r>
      <w:r>
        <w:tab/>
      </w:r>
      <w:r w:rsidR="00156EE4" w:rsidRPr="00156EE4">
        <w:t>the inconvenience of going through the insurance underwriting process in respect of the replacement AMP Life Product, and the risks of going through that process which included</w:t>
      </w:r>
      <w:r w:rsidR="00156EE4">
        <w:t xml:space="preserve"> t</w:t>
      </w:r>
      <w:r w:rsidR="00156EE4" w:rsidRPr="00156EE4">
        <w:t>he</w:t>
      </w:r>
      <w:r w:rsidR="00682B48">
        <w:t xml:space="preserve"> following:</w:t>
      </w:r>
      <w:r w:rsidR="00156EE4" w:rsidRPr="00156EE4">
        <w:t xml:space="preserve"> </w:t>
      </w:r>
    </w:p>
    <w:p w:rsidR="00682B48" w:rsidRDefault="003B3C7B" w:rsidP="003B3C7B">
      <w:pPr>
        <w:pStyle w:val="ListNo3"/>
        <w:numPr>
          <w:ilvl w:val="0"/>
          <w:numId w:val="0"/>
        </w:numPr>
        <w:tabs>
          <w:tab w:val="left" w:pos="2160"/>
        </w:tabs>
        <w:ind w:left="2160" w:hanging="720"/>
      </w:pPr>
      <w:r>
        <w:t>(</w:t>
      </w:r>
      <w:proofErr w:type="spellStart"/>
      <w:r>
        <w:t>i</w:t>
      </w:r>
      <w:proofErr w:type="spellEnd"/>
      <w:r>
        <w:t>)</w:t>
      </w:r>
      <w:r>
        <w:tab/>
      </w:r>
      <w:r w:rsidR="00682B48">
        <w:t xml:space="preserve">the </w:t>
      </w:r>
      <w:r w:rsidR="00156EE4" w:rsidRPr="00156EE4">
        <w:t>risk that replacement insurance cover might be refused</w:t>
      </w:r>
      <w:r w:rsidR="00682B48">
        <w:t>;</w:t>
      </w:r>
      <w:r w:rsidR="00156EE4">
        <w:t xml:space="preserve"> and </w:t>
      </w:r>
    </w:p>
    <w:p w:rsidR="00682B48" w:rsidRDefault="003B3C7B" w:rsidP="003B3C7B">
      <w:pPr>
        <w:pStyle w:val="ListNo3"/>
        <w:numPr>
          <w:ilvl w:val="0"/>
          <w:numId w:val="0"/>
        </w:numPr>
        <w:tabs>
          <w:tab w:val="left" w:pos="2160"/>
        </w:tabs>
        <w:ind w:left="2160" w:hanging="720"/>
      </w:pPr>
      <w:r>
        <w:t>(ii)</w:t>
      </w:r>
      <w:r>
        <w:tab/>
      </w:r>
      <w:r w:rsidR="00156EE4" w:rsidRPr="00156EE4">
        <w:t>the risk that the replacement AMP Life Product might be offered on terms less favourable to the insured than those of the existing insurance cover (including, for example, new loadings or exclusions)</w:t>
      </w:r>
      <w:r w:rsidR="00682B48">
        <w:t>,</w:t>
      </w:r>
    </w:p>
    <w:p w:rsidR="001F7893" w:rsidRDefault="00156EE4" w:rsidP="00682B48">
      <w:pPr>
        <w:pStyle w:val="ListNo3"/>
        <w:numPr>
          <w:ilvl w:val="0"/>
          <w:numId w:val="0"/>
        </w:numPr>
        <w:ind w:left="1440"/>
      </w:pPr>
      <w:r>
        <w:t>(</w:t>
      </w:r>
      <w:r w:rsidRPr="00682B48">
        <w:rPr>
          <w:b/>
        </w:rPr>
        <w:t>Underwriting Risk</w:t>
      </w:r>
      <w:r>
        <w:t>);</w:t>
      </w:r>
    </w:p>
    <w:p w:rsidR="00156EE4" w:rsidRDefault="003B3C7B" w:rsidP="003B3C7B">
      <w:pPr>
        <w:pStyle w:val="ListNo2"/>
        <w:numPr>
          <w:ilvl w:val="0"/>
          <w:numId w:val="0"/>
        </w:numPr>
        <w:tabs>
          <w:tab w:val="left" w:pos="1440"/>
        </w:tabs>
        <w:ind w:left="1440" w:hanging="720"/>
      </w:pPr>
      <w:r>
        <w:t>(c)</w:t>
      </w:r>
      <w:r>
        <w:tab/>
      </w:r>
      <w:r w:rsidR="0028123C" w:rsidRPr="0028123C">
        <w:t>the risk that a 13 month exclusion perio</w:t>
      </w:r>
      <w:r w:rsidR="00322D9A">
        <w:t xml:space="preserve">d for suicide might recommence </w:t>
      </w:r>
      <w:r w:rsidR="0028123C" w:rsidRPr="0028123C">
        <w:t>upon the commencement of the replace</w:t>
      </w:r>
      <w:r w:rsidR="0028123C">
        <w:t>ment AMP Life Product (</w:t>
      </w:r>
      <w:r w:rsidR="0028123C" w:rsidRPr="0028123C">
        <w:rPr>
          <w:b/>
        </w:rPr>
        <w:t>13 Month Suicide Exclusion Risk</w:t>
      </w:r>
      <w:r w:rsidR="0028123C" w:rsidRPr="0028123C">
        <w:t>);</w:t>
      </w:r>
    </w:p>
    <w:p w:rsidR="0028123C" w:rsidRDefault="003B3C7B" w:rsidP="003B3C7B">
      <w:pPr>
        <w:pStyle w:val="ListNo2"/>
        <w:numPr>
          <w:ilvl w:val="0"/>
          <w:numId w:val="0"/>
        </w:numPr>
        <w:tabs>
          <w:tab w:val="left" w:pos="1440"/>
        </w:tabs>
        <w:ind w:left="1440" w:hanging="720"/>
      </w:pPr>
      <w:r>
        <w:t>(d)</w:t>
      </w:r>
      <w:r>
        <w:tab/>
      </w:r>
      <w:r w:rsidR="0028123C" w:rsidRPr="0028123C">
        <w:t xml:space="preserve">the risk that the three-year period for avoidance of an insurance policy by an insurer by reason of innocent misrepresentation by the insured (pursuant to s 29(3) of the </w:t>
      </w:r>
      <w:r w:rsidR="0028123C" w:rsidRPr="0066478B">
        <w:rPr>
          <w:i/>
        </w:rPr>
        <w:t>Insurance Contracts Act 1984</w:t>
      </w:r>
      <w:r w:rsidR="0028123C" w:rsidRPr="0028123C">
        <w:t xml:space="preserve"> (</w:t>
      </w:r>
      <w:proofErr w:type="spellStart"/>
      <w:r w:rsidR="0028123C" w:rsidRPr="0028123C">
        <w:t>Cth</w:t>
      </w:r>
      <w:proofErr w:type="spellEnd"/>
      <w:r w:rsidR="0028123C" w:rsidRPr="0028123C">
        <w:t xml:space="preserve">)) recommenced upon the commencement of </w:t>
      </w:r>
      <w:r w:rsidR="0066478B" w:rsidRPr="0028123C">
        <w:t>the replacement</w:t>
      </w:r>
      <w:r w:rsidR="0028123C" w:rsidRPr="0028123C">
        <w:t xml:space="preserve"> AMP Life Product (</w:t>
      </w:r>
      <w:r w:rsidR="0028123C" w:rsidRPr="0066478B">
        <w:rPr>
          <w:b/>
        </w:rPr>
        <w:t>3-year Non-Fraudulent Non-Disclosure Risk</w:t>
      </w:r>
      <w:r w:rsidR="0066478B">
        <w:t>);</w:t>
      </w:r>
    </w:p>
    <w:p w:rsidR="006C0277" w:rsidRDefault="003B3C7B" w:rsidP="003B3C7B">
      <w:pPr>
        <w:pStyle w:val="ListNo1"/>
        <w:numPr>
          <w:ilvl w:val="0"/>
          <w:numId w:val="0"/>
        </w:numPr>
        <w:tabs>
          <w:tab w:val="left" w:pos="720"/>
        </w:tabs>
        <w:ind w:left="720" w:hanging="720"/>
      </w:pPr>
      <w:r>
        <w:t>(3)</w:t>
      </w:r>
      <w:r>
        <w:tab/>
      </w:r>
      <w:r w:rsidR="001F7893">
        <w:t xml:space="preserve">AMPFP failed to put in place any specific monitoring and supervision of </w:t>
      </w:r>
      <w:r w:rsidR="00A956F3">
        <w:t>Pangan</w:t>
      </w:r>
      <w:r w:rsidR="001F7893">
        <w:t>iban’s advice to clients that would have detected his ongoing Rewriting Conduct</w:t>
      </w:r>
      <w:r w:rsidR="000E5D29">
        <w:t>; d</w:t>
      </w:r>
      <w:r w:rsidR="001F7893">
        <w:t xml:space="preserve">uring 2013 and 2014 </w:t>
      </w:r>
      <w:r w:rsidR="00A956F3">
        <w:t>Pangan</w:t>
      </w:r>
      <w:r w:rsidR="001F7893">
        <w:t>iban had been the subject of regular annual audits</w:t>
      </w:r>
      <w:r w:rsidR="000E5D29">
        <w:t xml:space="preserve"> and i</w:t>
      </w:r>
      <w:r w:rsidR="001F7893">
        <w:t>n both instances, he was aw</w:t>
      </w:r>
      <w:r w:rsidR="000E5D29">
        <w:t>arded the second highest rating; t</w:t>
      </w:r>
      <w:r w:rsidR="001F7893">
        <w:t>he lack of tailoring of the audit programme to specifically identify Rewriting Conduct was deficient.</w:t>
      </w:r>
    </w:p>
    <w:p w:rsidR="00607AD6" w:rsidRDefault="003B3C7B" w:rsidP="003B3C7B">
      <w:pPr>
        <w:pStyle w:val="ParaNumbering"/>
        <w:numPr>
          <w:ilvl w:val="0"/>
          <w:numId w:val="0"/>
        </w:numPr>
        <w:tabs>
          <w:tab w:val="left" w:pos="720"/>
        </w:tabs>
        <w:ind w:hanging="720"/>
      </w:pPr>
      <w:r>
        <w:rPr>
          <w:sz w:val="20"/>
        </w:rPr>
        <w:t>60</w:t>
      </w:r>
      <w:r>
        <w:rPr>
          <w:sz w:val="20"/>
        </w:rPr>
        <w:tab/>
      </w:r>
      <w:r w:rsidR="004672A9">
        <w:t>Before going further</w:t>
      </w:r>
      <w:r w:rsidR="0000248F">
        <w:t>,</w:t>
      </w:r>
      <w:r w:rsidR="004672A9">
        <w:t xml:space="preserve"> </w:t>
      </w:r>
      <w:r w:rsidR="00607AD6">
        <w:t>I should make two</w:t>
      </w:r>
      <w:r w:rsidR="004672A9">
        <w:t xml:space="preserve"> observation</w:t>
      </w:r>
      <w:r w:rsidR="00607AD6">
        <w:t>s</w:t>
      </w:r>
      <w:r w:rsidR="004672A9" w:rsidRPr="004672A9">
        <w:t>.</w:t>
      </w:r>
      <w:r w:rsidR="00F40047">
        <w:t xml:space="preserve"> </w:t>
      </w:r>
    </w:p>
    <w:p w:rsidR="004672A9" w:rsidRDefault="003B3C7B" w:rsidP="003B3C7B">
      <w:pPr>
        <w:pStyle w:val="ParaNumbering"/>
        <w:numPr>
          <w:ilvl w:val="0"/>
          <w:numId w:val="0"/>
        </w:numPr>
        <w:tabs>
          <w:tab w:val="left" w:pos="720"/>
        </w:tabs>
        <w:ind w:hanging="720"/>
      </w:pPr>
      <w:r>
        <w:rPr>
          <w:sz w:val="20"/>
        </w:rPr>
        <w:t>61</w:t>
      </w:r>
      <w:r>
        <w:rPr>
          <w:sz w:val="20"/>
        </w:rPr>
        <w:tab/>
      </w:r>
      <w:r w:rsidR="00607AD6" w:rsidRPr="00607AD6">
        <w:rPr>
          <w:i/>
        </w:rPr>
        <w:t>First</w:t>
      </w:r>
      <w:r w:rsidR="00607AD6">
        <w:t>, a</w:t>
      </w:r>
      <w:r w:rsidR="00251A1C">
        <w:t xml:space="preserve">s can </w:t>
      </w:r>
      <w:r w:rsidR="004672A9">
        <w:t>be seen, t</w:t>
      </w:r>
      <w:r w:rsidR="004672A9" w:rsidRPr="004672A9">
        <w:t>her</w:t>
      </w:r>
      <w:r w:rsidR="00826744">
        <w:t>e are several uses of the word “fulsome” (or the phrase “more fulsome”</w:t>
      </w:r>
      <w:r w:rsidR="004672A9" w:rsidRPr="004672A9">
        <w:t>) throughout the JER.</w:t>
      </w:r>
      <w:r w:rsidR="00F40047">
        <w:t xml:space="preserve"> </w:t>
      </w:r>
      <w:r w:rsidR="004672A9" w:rsidRPr="004672A9">
        <w:t>The word fulsome, properly used, has p</w:t>
      </w:r>
      <w:r w:rsidR="00AE17E6">
        <w:t>ejorative connotations meaning overabundant or excessively lavish</w:t>
      </w:r>
      <w:r w:rsidR="00322D9A">
        <w:t>. T</w:t>
      </w:r>
      <w:r w:rsidR="004672A9" w:rsidRPr="004672A9">
        <w:t xml:space="preserve">he experts </w:t>
      </w:r>
      <w:r w:rsidR="00E4102F">
        <w:t>did not use</w:t>
      </w:r>
      <w:r w:rsidR="004672A9" w:rsidRPr="004672A9">
        <w:t xml:space="preserve"> the word in this sense but </w:t>
      </w:r>
      <w:r w:rsidR="004672A9" w:rsidRPr="004672A9">
        <w:lastRenderedPageBreak/>
        <w:t xml:space="preserve">rather </w:t>
      </w:r>
      <w:r w:rsidR="00E4102F">
        <w:t>were</w:t>
      </w:r>
      <w:r w:rsidR="00826744">
        <w:t xml:space="preserve"> using it in the sense of “fully developed” or “complete”</w:t>
      </w:r>
      <w:r w:rsidR="00E4102F">
        <w:t>,</w:t>
      </w:r>
      <w:r w:rsidR="004672A9" w:rsidRPr="004672A9">
        <w:t xml:space="preserve"> and </w:t>
      </w:r>
      <w:r w:rsidR="00A826E3">
        <w:t xml:space="preserve">were </w:t>
      </w:r>
      <w:r w:rsidR="004672A9" w:rsidRPr="004672A9">
        <w:t xml:space="preserve">therefore </w:t>
      </w:r>
      <w:r w:rsidR="00826744">
        <w:t xml:space="preserve">expressing the view that </w:t>
      </w:r>
      <w:r w:rsidR="004672A9" w:rsidRPr="004672A9">
        <w:t>the steps taken were inch</w:t>
      </w:r>
      <w:r w:rsidR="00AE17E6">
        <w:t>oate or</w:t>
      </w:r>
      <w:r w:rsidR="004672A9" w:rsidRPr="004672A9">
        <w:t xml:space="preserve"> incomplete.</w:t>
      </w:r>
      <w:r w:rsidR="00607AD6">
        <w:t xml:space="preserve"> </w:t>
      </w:r>
    </w:p>
    <w:p w:rsidR="00607AD6" w:rsidRPr="004672A9" w:rsidRDefault="003B3C7B" w:rsidP="003B3C7B">
      <w:pPr>
        <w:pStyle w:val="ParaNumbering"/>
        <w:numPr>
          <w:ilvl w:val="0"/>
          <w:numId w:val="0"/>
        </w:numPr>
        <w:tabs>
          <w:tab w:val="left" w:pos="720"/>
        </w:tabs>
        <w:ind w:hanging="720"/>
      </w:pPr>
      <w:r w:rsidRPr="004672A9">
        <w:rPr>
          <w:sz w:val="20"/>
        </w:rPr>
        <w:t>62</w:t>
      </w:r>
      <w:r w:rsidRPr="004672A9">
        <w:rPr>
          <w:sz w:val="20"/>
        </w:rPr>
        <w:tab/>
      </w:r>
      <w:r w:rsidR="00607AD6">
        <w:rPr>
          <w:i/>
        </w:rPr>
        <w:t>Secondly,</w:t>
      </w:r>
      <w:r w:rsidR="00607AD6">
        <w:t xml:space="preserve"> </w:t>
      </w:r>
      <w:r w:rsidR="0000248F">
        <w:t xml:space="preserve">and more importantly, </w:t>
      </w:r>
      <w:r w:rsidR="00607AD6">
        <w:t>although t</w:t>
      </w:r>
      <w:r w:rsidR="00607AD6" w:rsidRPr="00607AD6">
        <w:t xml:space="preserve">here is agreement between the experts </w:t>
      </w:r>
      <w:r w:rsidR="00607AD6">
        <w:t xml:space="preserve">(and now the parties) </w:t>
      </w:r>
      <w:r w:rsidR="00607AD6" w:rsidRPr="00607AD6">
        <w:t xml:space="preserve">as to the steps AMPFP should have taken in the Relevant Period to ensure that Panganiban did not engage in Rewriting </w:t>
      </w:r>
      <w:r w:rsidR="00D65FAB">
        <w:t>C</w:t>
      </w:r>
      <w:r w:rsidR="00D65FAB" w:rsidRPr="00607AD6">
        <w:t xml:space="preserve">onduct </w:t>
      </w:r>
      <w:r w:rsidR="00607AD6" w:rsidRPr="00607AD6">
        <w:t xml:space="preserve">in contravention of the </w:t>
      </w:r>
      <w:r w:rsidR="00AF6BC0">
        <w:t>relevant</w:t>
      </w:r>
      <w:r w:rsidR="00AF6BC0" w:rsidRPr="00607AD6">
        <w:t xml:space="preserve"> </w:t>
      </w:r>
      <w:r w:rsidR="00607AD6" w:rsidRPr="00607AD6">
        <w:t xml:space="preserve">best </w:t>
      </w:r>
      <w:r w:rsidR="00DC4748" w:rsidRPr="00607AD6">
        <w:t>interests</w:t>
      </w:r>
      <w:r w:rsidR="00607AD6" w:rsidRPr="00607AD6">
        <w:t xml:space="preserve"> obligations</w:t>
      </w:r>
      <w:r w:rsidR="00607AD6">
        <w:t xml:space="preserve">, I must confess I find </w:t>
      </w:r>
      <w:r w:rsidR="00F71DDB">
        <w:t>aspect</w:t>
      </w:r>
      <w:r w:rsidR="00322D9A">
        <w:t>s</w:t>
      </w:r>
      <w:r w:rsidR="00607AD6">
        <w:t xml:space="preserve"> of the agreement to be somewhat troublesome.</w:t>
      </w:r>
      <w:r w:rsidR="00F40047">
        <w:t xml:space="preserve"> </w:t>
      </w:r>
      <w:r w:rsidR="00607AD6">
        <w:t xml:space="preserve">It strikes me as </w:t>
      </w:r>
      <w:r w:rsidR="00322D9A">
        <w:t xml:space="preserve">particularly </w:t>
      </w:r>
      <w:r w:rsidR="00607AD6">
        <w:t>odd that following a proper investigation as suggested</w:t>
      </w:r>
      <w:r w:rsidR="00F71DDB">
        <w:t>,</w:t>
      </w:r>
      <w:r w:rsidR="00607AD6">
        <w:t xml:space="preserve"> </w:t>
      </w:r>
      <w:r w:rsidR="00E2659C">
        <w:t>in the counterfactual</w:t>
      </w:r>
      <w:r w:rsidR="0000248F">
        <w:t>,</w:t>
      </w:r>
      <w:r w:rsidR="00E2659C">
        <w:t xml:space="preserve"> </w:t>
      </w:r>
      <w:r w:rsidR="00607AD6">
        <w:t xml:space="preserve">AMPFP </w:t>
      </w:r>
      <w:r w:rsidR="00DC4748">
        <w:t xml:space="preserve">could rationally have </w:t>
      </w:r>
      <w:r w:rsidR="00607AD6">
        <w:t xml:space="preserve">decided to maintain </w:t>
      </w:r>
      <w:r w:rsidR="00DC4748">
        <w:t>Panganiban as a representative (and hence put “</w:t>
      </w:r>
      <w:r w:rsidR="00607AD6">
        <w:t>processes</w:t>
      </w:r>
      <w:r w:rsidR="003A12FF">
        <w:t xml:space="preserve"> in place to support Panganiban’</w:t>
      </w:r>
      <w:r w:rsidR="00607AD6">
        <w:t>s remediation and minimise the likelihood of any future non-compliance</w:t>
      </w:r>
      <w:r w:rsidR="00DC4748">
        <w:t>”)</w:t>
      </w:r>
      <w:r w:rsidR="00607AD6">
        <w:t>.</w:t>
      </w:r>
      <w:r w:rsidR="00F40047">
        <w:t xml:space="preserve"> </w:t>
      </w:r>
      <w:r w:rsidR="00DC4748">
        <w:t xml:space="preserve">Uninstructed by expert opinion, I would have thought </w:t>
      </w:r>
      <w:r w:rsidR="00A168D4">
        <w:t xml:space="preserve">it was obvious that </w:t>
      </w:r>
      <w:r w:rsidR="00DC4748">
        <w:t xml:space="preserve">any organisation anxious to </w:t>
      </w:r>
      <w:r w:rsidR="00DC4748" w:rsidRPr="00BE1CA6">
        <w:t>ensure compliance by its representati</w:t>
      </w:r>
      <w:r w:rsidR="00DC4748">
        <w:t xml:space="preserve">ves with </w:t>
      </w:r>
      <w:proofErr w:type="spellStart"/>
      <w:r w:rsidR="00DC4748">
        <w:t>ss</w:t>
      </w:r>
      <w:proofErr w:type="spellEnd"/>
      <w:r w:rsidR="00DC4748">
        <w:t xml:space="preserve"> 961B, 961G and 961J</w:t>
      </w:r>
      <w:r w:rsidR="00F71DDB">
        <w:t>,</w:t>
      </w:r>
      <w:r w:rsidR="00DC4748">
        <w:t xml:space="preserve"> would not have touched </w:t>
      </w:r>
      <w:r w:rsidR="00607AD6">
        <w:t>Panganiban</w:t>
      </w:r>
      <w:r w:rsidR="00DC4748">
        <w:t xml:space="preserve"> with a punt pole once it was apprised </w:t>
      </w:r>
      <w:r w:rsidR="00F71DDB">
        <w:t xml:space="preserve">fully </w:t>
      </w:r>
      <w:r w:rsidR="0000248F">
        <w:t xml:space="preserve">of his </w:t>
      </w:r>
      <w:r w:rsidR="00DC4748">
        <w:t>conduct.</w:t>
      </w:r>
      <w:r w:rsidR="00F40047">
        <w:t xml:space="preserve"> </w:t>
      </w:r>
      <w:r w:rsidR="00E2659C">
        <w:t xml:space="preserve">He was evidently a man unsuited to hold a position of trust. </w:t>
      </w:r>
      <w:r w:rsidR="001973C8">
        <w:t xml:space="preserve">This belated recognition </w:t>
      </w:r>
      <w:r w:rsidR="00A168D4">
        <w:t xml:space="preserve">came </w:t>
      </w:r>
      <w:r w:rsidR="001973C8">
        <w:t>even to AMPFP by</w:t>
      </w:r>
      <w:r w:rsidR="00A168D4">
        <w:t xml:space="preserve"> the time of the </w:t>
      </w:r>
      <w:r w:rsidR="001973C8">
        <w:t xml:space="preserve">despatch of the </w:t>
      </w:r>
      <w:r w:rsidR="00A168D4">
        <w:t>“bad apple” letter.</w:t>
      </w:r>
      <w:r w:rsidR="00F40047">
        <w:t xml:space="preserve"> </w:t>
      </w:r>
      <w:r w:rsidR="00E2659C">
        <w:t>Redemption is a wonderfu</w:t>
      </w:r>
      <w:r w:rsidR="0000248F">
        <w:t xml:space="preserve">l </w:t>
      </w:r>
      <w:r w:rsidR="00F05FE7">
        <w:t xml:space="preserve">thing, but surely preceding </w:t>
      </w:r>
      <w:r w:rsidR="00AF343A">
        <w:t>redemption</w:t>
      </w:r>
      <w:r w:rsidR="00E2659C">
        <w:t xml:space="preserve"> should be </w:t>
      </w:r>
      <w:r w:rsidR="00AF343A">
        <w:t xml:space="preserve">the visiting of consequences </w:t>
      </w:r>
      <w:r w:rsidR="00E2659C">
        <w:t xml:space="preserve">proportionate to the nature </w:t>
      </w:r>
      <w:r w:rsidR="00AE17E6">
        <w:t xml:space="preserve">and scale </w:t>
      </w:r>
      <w:r w:rsidR="00E2659C">
        <w:t>of the wrongdoing.</w:t>
      </w:r>
      <w:r w:rsidR="00F40047">
        <w:t xml:space="preserve"> </w:t>
      </w:r>
      <w:r w:rsidR="00A168D4">
        <w:t xml:space="preserve">My </w:t>
      </w:r>
      <w:r w:rsidR="00DC4748">
        <w:t xml:space="preserve">view </w:t>
      </w:r>
      <w:r w:rsidR="00A168D4">
        <w:t xml:space="preserve">in this regard </w:t>
      </w:r>
      <w:r w:rsidR="00DC4748">
        <w:t>does not</w:t>
      </w:r>
      <w:r w:rsidR="00A30079">
        <w:t>, however,</w:t>
      </w:r>
      <w:r w:rsidR="00A30079" w:rsidRPr="00A30079">
        <w:t xml:space="preserve"> </w:t>
      </w:r>
      <w:r w:rsidR="00A30079">
        <w:t>accord</w:t>
      </w:r>
      <w:r w:rsidR="00DC4748">
        <w:t xml:space="preserve"> with the </w:t>
      </w:r>
      <w:r w:rsidR="00F71DDB">
        <w:t xml:space="preserve">joint </w:t>
      </w:r>
      <w:r w:rsidR="00A168D4">
        <w:t>expert opinion and</w:t>
      </w:r>
      <w:r w:rsidR="00DC4748">
        <w:t xml:space="preserve"> </w:t>
      </w:r>
      <w:r w:rsidR="00A168D4">
        <w:t>although</w:t>
      </w:r>
      <w:r w:rsidR="00E2659C">
        <w:t xml:space="preserve"> I will </w:t>
      </w:r>
      <w:r w:rsidR="00A168D4">
        <w:t xml:space="preserve">generally </w:t>
      </w:r>
      <w:r w:rsidR="00E2659C">
        <w:t>accept the expert</w:t>
      </w:r>
      <w:r w:rsidR="00DC4748">
        <w:t xml:space="preserve"> evidence</w:t>
      </w:r>
      <w:r w:rsidR="00A168D4">
        <w:t>,</w:t>
      </w:r>
      <w:r w:rsidR="00DC4748">
        <w:t xml:space="preserve"> </w:t>
      </w:r>
      <w:r w:rsidR="00A168D4">
        <w:t xml:space="preserve">I cannot accept </w:t>
      </w:r>
      <w:r w:rsidR="00DC4748">
        <w:t xml:space="preserve">the implicit </w:t>
      </w:r>
      <w:r w:rsidR="00A168D4">
        <w:t xml:space="preserve">(and </w:t>
      </w:r>
      <w:r w:rsidR="00E2659C">
        <w:t xml:space="preserve">surprising) </w:t>
      </w:r>
      <w:r w:rsidR="00DC4748">
        <w:t>submission of ASIC</w:t>
      </w:r>
      <w:r w:rsidR="00A30079">
        <w:t xml:space="preserve">, by its unqualified embrace of </w:t>
      </w:r>
      <w:r w:rsidR="00B24DFC">
        <w:t xml:space="preserve">the </w:t>
      </w:r>
      <w:r w:rsidR="00A30079">
        <w:t>findings of the JER,</w:t>
      </w:r>
      <w:r w:rsidR="00DC4748">
        <w:t xml:space="preserve"> that “retraining” </w:t>
      </w:r>
      <w:r w:rsidR="00E2659C">
        <w:t xml:space="preserve">and “monitoring” </w:t>
      </w:r>
      <w:r w:rsidR="00DC4748">
        <w:t xml:space="preserve">someone like Panganiban </w:t>
      </w:r>
      <w:r w:rsidR="00DC4748" w:rsidRPr="00AE17E6">
        <w:rPr>
          <w:i/>
        </w:rPr>
        <w:t>could</w:t>
      </w:r>
      <w:r w:rsidR="00DC4748">
        <w:t xml:space="preserve"> have been an appropriate</w:t>
      </w:r>
      <w:r w:rsidR="00E2659C">
        <w:t xml:space="preserve"> </w:t>
      </w:r>
      <w:r w:rsidR="00DC4748">
        <w:t>remedial response</w:t>
      </w:r>
      <w:r w:rsidR="00E2659C">
        <w:t xml:space="preserve"> following a proper investigation which revealed the true facts</w:t>
      </w:r>
      <w:r w:rsidR="00DC4748">
        <w:t>.</w:t>
      </w:r>
      <w:r w:rsidR="00F40047">
        <w:t xml:space="preserve"> </w:t>
      </w:r>
      <w:r w:rsidR="00A168D4">
        <w:t>The rejection of this aspect of the expert evidence is not, however, determinative of any of the remaining contested issues; nor is it material to the fixing of an appropriate penalty.</w:t>
      </w:r>
      <w:r w:rsidR="005A06EB">
        <w:t xml:space="preserve"> </w:t>
      </w:r>
    </w:p>
    <w:p w:rsidR="004672A9" w:rsidRPr="009A6F06" w:rsidRDefault="00506DAB" w:rsidP="00E63726">
      <w:pPr>
        <w:pStyle w:val="Heading2"/>
      </w:pPr>
      <w:bookmarkStart w:id="48" w:name="_Ref29821117"/>
      <w:r>
        <w:t>E.3</w:t>
      </w:r>
      <w:r w:rsidR="005924B6" w:rsidRPr="009A6F06">
        <w:tab/>
      </w:r>
      <w:r w:rsidR="004672A9" w:rsidRPr="009A6F06">
        <w:t xml:space="preserve">Steps in relation to </w:t>
      </w:r>
      <w:r w:rsidR="00F90987">
        <w:t>O</w:t>
      </w:r>
      <w:r w:rsidR="00F90987" w:rsidRPr="009A6F06">
        <w:t xml:space="preserve">ther </w:t>
      </w:r>
      <w:r w:rsidR="004672A9" w:rsidRPr="009A6F06">
        <w:t>Authorised Representatives</w:t>
      </w:r>
      <w:bookmarkEnd w:id="48"/>
      <w:r w:rsidR="004672A9" w:rsidRPr="009A6F06">
        <w:t xml:space="preserve"> </w:t>
      </w:r>
    </w:p>
    <w:p w:rsidR="00622BF4" w:rsidRPr="00E73959" w:rsidRDefault="003B3C7B" w:rsidP="003B3C7B">
      <w:pPr>
        <w:pStyle w:val="ParaNumbering"/>
        <w:numPr>
          <w:ilvl w:val="0"/>
          <w:numId w:val="0"/>
        </w:numPr>
        <w:tabs>
          <w:tab w:val="left" w:pos="720"/>
        </w:tabs>
        <w:ind w:hanging="720"/>
      </w:pPr>
      <w:bookmarkStart w:id="49" w:name="_Ref30081174"/>
      <w:r w:rsidRPr="00E73959">
        <w:rPr>
          <w:sz w:val="20"/>
        </w:rPr>
        <w:t>63</w:t>
      </w:r>
      <w:r w:rsidRPr="00E73959">
        <w:rPr>
          <w:sz w:val="20"/>
        </w:rPr>
        <w:tab/>
      </w:r>
      <w:r w:rsidR="00565E89">
        <w:t>ASIC submits, and I accept, that t</w:t>
      </w:r>
      <w:r w:rsidR="00622BF4">
        <w:t xml:space="preserve">here was </w:t>
      </w:r>
      <w:r w:rsidR="00565E89">
        <w:t xml:space="preserve">agreement </w:t>
      </w:r>
      <w:r w:rsidR="00622BF4">
        <w:t>between</w:t>
      </w:r>
      <w:r w:rsidR="00622BF4">
        <w:rPr>
          <w:spacing w:val="-9"/>
        </w:rPr>
        <w:t xml:space="preserve"> </w:t>
      </w:r>
      <w:r w:rsidR="00622BF4">
        <w:t>the</w:t>
      </w:r>
      <w:r w:rsidR="00622BF4">
        <w:rPr>
          <w:spacing w:val="-9"/>
        </w:rPr>
        <w:t xml:space="preserve"> </w:t>
      </w:r>
      <w:r w:rsidR="00622BF4">
        <w:t>experts</w:t>
      </w:r>
      <w:r w:rsidR="00622BF4">
        <w:rPr>
          <w:spacing w:val="-11"/>
        </w:rPr>
        <w:t xml:space="preserve"> </w:t>
      </w:r>
      <w:r w:rsidR="00622BF4">
        <w:t>as</w:t>
      </w:r>
      <w:r w:rsidR="00622BF4">
        <w:rPr>
          <w:spacing w:val="-11"/>
        </w:rPr>
        <w:t xml:space="preserve"> </w:t>
      </w:r>
      <w:r w:rsidR="00622BF4">
        <w:t>to</w:t>
      </w:r>
      <w:r w:rsidR="00622BF4">
        <w:rPr>
          <w:spacing w:val="-6"/>
        </w:rPr>
        <w:t xml:space="preserve"> </w:t>
      </w:r>
      <w:r w:rsidR="00622BF4">
        <w:t>the</w:t>
      </w:r>
      <w:r w:rsidR="00622BF4">
        <w:rPr>
          <w:spacing w:val="-12"/>
        </w:rPr>
        <w:t xml:space="preserve"> </w:t>
      </w:r>
      <w:r w:rsidR="00622BF4">
        <w:t>steps</w:t>
      </w:r>
      <w:r w:rsidR="00622BF4">
        <w:rPr>
          <w:spacing w:val="-11"/>
        </w:rPr>
        <w:t xml:space="preserve"> </w:t>
      </w:r>
      <w:r w:rsidR="00622BF4">
        <w:t>AMPFP</w:t>
      </w:r>
      <w:r w:rsidR="00622BF4">
        <w:rPr>
          <w:spacing w:val="-7"/>
        </w:rPr>
        <w:t xml:space="preserve"> </w:t>
      </w:r>
      <w:r w:rsidR="00622BF4">
        <w:t>should</w:t>
      </w:r>
      <w:r w:rsidR="00622BF4">
        <w:rPr>
          <w:spacing w:val="-9"/>
        </w:rPr>
        <w:t xml:space="preserve"> </w:t>
      </w:r>
      <w:r w:rsidR="00622BF4">
        <w:t>have</w:t>
      </w:r>
      <w:r w:rsidR="00622BF4">
        <w:rPr>
          <w:spacing w:val="-12"/>
        </w:rPr>
        <w:t xml:space="preserve"> </w:t>
      </w:r>
      <w:r w:rsidR="00622BF4">
        <w:t xml:space="preserve">taken in the Relevant Period to ensure that </w:t>
      </w:r>
      <w:r w:rsidR="00AB0C62">
        <w:t xml:space="preserve">Other </w:t>
      </w:r>
      <w:r w:rsidR="00622BF4">
        <w:t>Authorised Representatives did not engage in Rewriting Conduct in contravention of t</w:t>
      </w:r>
      <w:r w:rsidR="00AB0C62">
        <w:t xml:space="preserve">he </w:t>
      </w:r>
      <w:r w:rsidR="00AF6BC0">
        <w:t xml:space="preserve">relevant </w:t>
      </w:r>
      <w:r w:rsidR="00AB0C62">
        <w:t xml:space="preserve">best interests obligations. </w:t>
      </w:r>
      <w:r w:rsidR="00622BF4">
        <w:t>The JER states that</w:t>
      </w:r>
      <w:r w:rsidR="00622BF4" w:rsidRPr="00622BF4">
        <w:rPr>
          <w:spacing w:val="-13"/>
        </w:rPr>
        <w:t xml:space="preserve"> </w:t>
      </w:r>
      <w:r w:rsidR="00622BF4">
        <w:t>those</w:t>
      </w:r>
      <w:r w:rsidR="00622BF4" w:rsidRPr="00622BF4">
        <w:rPr>
          <w:spacing w:val="-14"/>
        </w:rPr>
        <w:t xml:space="preserve"> </w:t>
      </w:r>
      <w:r w:rsidR="00622BF4">
        <w:t>steps</w:t>
      </w:r>
      <w:r w:rsidR="00622BF4" w:rsidRPr="00622BF4">
        <w:rPr>
          <w:spacing w:val="-13"/>
        </w:rPr>
        <w:t xml:space="preserve"> </w:t>
      </w:r>
      <w:r w:rsidR="00622BF4">
        <w:t>were</w:t>
      </w:r>
      <w:r w:rsidR="00622BF4" w:rsidRPr="00622BF4">
        <w:rPr>
          <w:spacing w:val="-15"/>
        </w:rPr>
        <w:t xml:space="preserve"> </w:t>
      </w:r>
      <w:r w:rsidR="00622BF4">
        <w:t>as</w:t>
      </w:r>
      <w:r w:rsidR="00622BF4" w:rsidRPr="00622BF4">
        <w:rPr>
          <w:spacing w:val="-11"/>
        </w:rPr>
        <w:t xml:space="preserve"> </w:t>
      </w:r>
      <w:r w:rsidR="00622BF4">
        <w:t>follows:</w:t>
      </w:r>
      <w:bookmarkEnd w:id="49"/>
    </w:p>
    <w:p w:rsidR="00622BF4" w:rsidRPr="00E73959" w:rsidRDefault="003B3C7B" w:rsidP="003B3C7B">
      <w:pPr>
        <w:pStyle w:val="ListNo1"/>
        <w:numPr>
          <w:ilvl w:val="0"/>
          <w:numId w:val="0"/>
        </w:numPr>
        <w:tabs>
          <w:tab w:val="left" w:pos="720"/>
        </w:tabs>
        <w:ind w:left="720" w:hanging="720"/>
      </w:pPr>
      <w:r w:rsidRPr="00E73959">
        <w:t>(1)</w:t>
      </w:r>
      <w:r w:rsidRPr="00E73959">
        <w:tab/>
      </w:r>
      <w:r w:rsidR="00622BF4">
        <w:t xml:space="preserve">concurrently with the further investigation of the conduct of </w:t>
      </w:r>
      <w:r w:rsidR="00A956F3">
        <w:t>Pangan</w:t>
      </w:r>
      <w:r w:rsidR="00622BF4">
        <w:t>iban</w:t>
      </w:r>
      <w:r w:rsidR="00F953E5">
        <w:t>,</w:t>
      </w:r>
      <w:r w:rsidR="00826744">
        <w:t xml:space="preserve"> AMPFP should have</w:t>
      </w:r>
      <w:r w:rsidR="00622BF4">
        <w:t>:</w:t>
      </w:r>
    </w:p>
    <w:p w:rsidR="00622BF4" w:rsidRPr="00E73959" w:rsidRDefault="003B3C7B" w:rsidP="003B3C7B">
      <w:pPr>
        <w:pStyle w:val="ListNo2"/>
        <w:numPr>
          <w:ilvl w:val="0"/>
          <w:numId w:val="0"/>
        </w:numPr>
        <w:tabs>
          <w:tab w:val="left" w:pos="1440"/>
        </w:tabs>
        <w:ind w:left="1440" w:hanging="720"/>
      </w:pPr>
      <w:r w:rsidRPr="00E73959">
        <w:lastRenderedPageBreak/>
        <w:t>(a)</w:t>
      </w:r>
      <w:r w:rsidRPr="00E73959">
        <w:tab/>
      </w:r>
      <w:r w:rsidR="00622BF4">
        <w:t>issued a policy (or other communication) to its representative network requiring a representative to process a transaction as a transfer where a transfer</w:t>
      </w:r>
      <w:r w:rsidR="00622BF4" w:rsidRPr="00506DAB">
        <w:rPr>
          <w:spacing w:val="-12"/>
        </w:rPr>
        <w:t xml:space="preserve"> </w:t>
      </w:r>
      <w:r w:rsidR="00622BF4">
        <w:t>was</w:t>
      </w:r>
      <w:r w:rsidR="00622BF4" w:rsidRPr="00506DAB">
        <w:rPr>
          <w:spacing w:val="-13"/>
        </w:rPr>
        <w:t xml:space="preserve"> </w:t>
      </w:r>
      <w:r w:rsidR="00622BF4">
        <w:t>possible,</w:t>
      </w:r>
      <w:r w:rsidR="00622BF4" w:rsidRPr="00506DAB">
        <w:rPr>
          <w:spacing w:val="-14"/>
        </w:rPr>
        <w:t xml:space="preserve"> </w:t>
      </w:r>
      <w:r w:rsidR="00622BF4">
        <w:t>unless</w:t>
      </w:r>
      <w:r w:rsidR="00622BF4" w:rsidRPr="00506DAB">
        <w:rPr>
          <w:spacing w:val="-13"/>
        </w:rPr>
        <w:t xml:space="preserve"> </w:t>
      </w:r>
      <w:r w:rsidR="00622BF4">
        <w:t>the</w:t>
      </w:r>
      <w:r w:rsidR="00622BF4" w:rsidRPr="00506DAB">
        <w:rPr>
          <w:spacing w:val="-14"/>
        </w:rPr>
        <w:t xml:space="preserve"> </w:t>
      </w:r>
      <w:r w:rsidR="00622BF4">
        <w:t>representative</w:t>
      </w:r>
      <w:r w:rsidR="00622BF4" w:rsidRPr="00506DAB">
        <w:rPr>
          <w:spacing w:val="-14"/>
        </w:rPr>
        <w:t xml:space="preserve"> </w:t>
      </w:r>
      <w:r w:rsidR="00622BF4">
        <w:t>could</w:t>
      </w:r>
      <w:r w:rsidR="00622BF4" w:rsidRPr="00506DAB">
        <w:rPr>
          <w:spacing w:val="-13"/>
        </w:rPr>
        <w:t xml:space="preserve"> </w:t>
      </w:r>
      <w:r w:rsidR="00622BF4">
        <w:t>clearly</w:t>
      </w:r>
      <w:r w:rsidR="00622BF4" w:rsidRPr="00506DAB">
        <w:rPr>
          <w:spacing w:val="-18"/>
        </w:rPr>
        <w:t xml:space="preserve"> </w:t>
      </w:r>
      <w:r w:rsidR="00622BF4">
        <w:t>demonstrate that the Rewriting Conduct would have been in the client’s best</w:t>
      </w:r>
      <w:r w:rsidR="00622BF4" w:rsidRPr="00506DAB">
        <w:rPr>
          <w:spacing w:val="-42"/>
        </w:rPr>
        <w:t xml:space="preserve"> </w:t>
      </w:r>
      <w:r w:rsidR="00622BF4">
        <w:t xml:space="preserve">interests and would meet the </w:t>
      </w:r>
      <w:r w:rsidR="00AF6BC0">
        <w:t xml:space="preserve">relevant </w:t>
      </w:r>
      <w:r w:rsidR="00622BF4">
        <w:t>best interests</w:t>
      </w:r>
      <w:r w:rsidR="00622BF4" w:rsidRPr="00506DAB">
        <w:rPr>
          <w:spacing w:val="1"/>
        </w:rPr>
        <w:t xml:space="preserve"> </w:t>
      </w:r>
      <w:r w:rsidR="00622BF4">
        <w:t>obligations;</w:t>
      </w:r>
    </w:p>
    <w:p w:rsidR="00622BF4" w:rsidRPr="00E73959" w:rsidRDefault="003B3C7B" w:rsidP="003B3C7B">
      <w:pPr>
        <w:pStyle w:val="ListNo2"/>
        <w:numPr>
          <w:ilvl w:val="0"/>
          <w:numId w:val="0"/>
        </w:numPr>
        <w:tabs>
          <w:tab w:val="left" w:pos="1440"/>
        </w:tabs>
        <w:ind w:left="1440" w:hanging="720"/>
      </w:pPr>
      <w:r w:rsidRPr="00E73959">
        <w:t>(b)</w:t>
      </w:r>
      <w:r w:rsidRPr="00E73959">
        <w:tab/>
      </w:r>
      <w:r w:rsidR="00622BF4">
        <w:t>revised training to representatives to reflect these policy changes or communications;</w:t>
      </w:r>
      <w:r w:rsidR="00622BF4" w:rsidRPr="00506DAB">
        <w:t xml:space="preserve"> </w:t>
      </w:r>
      <w:r w:rsidR="00622BF4">
        <w:t>and</w:t>
      </w:r>
    </w:p>
    <w:p w:rsidR="00622BF4" w:rsidRDefault="003B3C7B" w:rsidP="003B3C7B">
      <w:pPr>
        <w:pStyle w:val="ListNo2"/>
        <w:numPr>
          <w:ilvl w:val="0"/>
          <w:numId w:val="0"/>
        </w:numPr>
        <w:tabs>
          <w:tab w:val="left" w:pos="1440"/>
        </w:tabs>
        <w:ind w:left="1440" w:hanging="720"/>
      </w:pPr>
      <w:r>
        <w:t>(c)</w:t>
      </w:r>
      <w:r>
        <w:tab/>
      </w:r>
      <w:r w:rsidR="00622BF4">
        <w:t xml:space="preserve">reviewed and revised its monitoring and supervision </w:t>
      </w:r>
      <w:r w:rsidR="00826744">
        <w:t xml:space="preserve">programme </w:t>
      </w:r>
      <w:r w:rsidR="00622BF4">
        <w:t>to ensure that</w:t>
      </w:r>
      <w:r w:rsidR="00622BF4">
        <w:rPr>
          <w:spacing w:val="-13"/>
        </w:rPr>
        <w:t xml:space="preserve"> </w:t>
      </w:r>
      <w:r w:rsidR="00622BF4">
        <w:t>it</w:t>
      </w:r>
      <w:r w:rsidR="00622BF4">
        <w:rPr>
          <w:spacing w:val="-13"/>
        </w:rPr>
        <w:t xml:space="preserve"> </w:t>
      </w:r>
      <w:r w:rsidR="00622BF4">
        <w:t>was</w:t>
      </w:r>
      <w:r w:rsidR="00622BF4">
        <w:rPr>
          <w:spacing w:val="-13"/>
        </w:rPr>
        <w:t xml:space="preserve"> </w:t>
      </w:r>
      <w:r w:rsidR="00622BF4">
        <w:t>designed</w:t>
      </w:r>
      <w:r w:rsidR="00622BF4">
        <w:rPr>
          <w:spacing w:val="-13"/>
        </w:rPr>
        <w:t xml:space="preserve"> </w:t>
      </w:r>
      <w:r w:rsidR="00622BF4">
        <w:t>to</w:t>
      </w:r>
      <w:r w:rsidR="00622BF4">
        <w:rPr>
          <w:spacing w:val="-13"/>
        </w:rPr>
        <w:t xml:space="preserve"> </w:t>
      </w:r>
      <w:r w:rsidR="00622BF4">
        <w:t>detect</w:t>
      </w:r>
      <w:r w:rsidR="00622BF4">
        <w:rPr>
          <w:spacing w:val="-13"/>
        </w:rPr>
        <w:t xml:space="preserve"> </w:t>
      </w:r>
      <w:r w:rsidR="00622BF4">
        <w:t>Rewriting</w:t>
      </w:r>
      <w:r w:rsidR="00622BF4">
        <w:rPr>
          <w:spacing w:val="-15"/>
        </w:rPr>
        <w:t xml:space="preserve"> </w:t>
      </w:r>
      <w:r w:rsidR="00622BF4">
        <w:t>Conduct</w:t>
      </w:r>
      <w:r w:rsidR="00622BF4">
        <w:rPr>
          <w:spacing w:val="-13"/>
        </w:rPr>
        <w:t xml:space="preserve"> </w:t>
      </w:r>
      <w:r w:rsidR="00622BF4">
        <w:t>that</w:t>
      </w:r>
      <w:r w:rsidR="00622BF4">
        <w:rPr>
          <w:spacing w:val="-13"/>
        </w:rPr>
        <w:t xml:space="preserve"> </w:t>
      </w:r>
      <w:r w:rsidR="00622BF4">
        <w:t>did</w:t>
      </w:r>
      <w:r w:rsidR="00622BF4">
        <w:rPr>
          <w:spacing w:val="-13"/>
        </w:rPr>
        <w:t xml:space="preserve"> </w:t>
      </w:r>
      <w:r w:rsidR="00622BF4">
        <w:t>not</w:t>
      </w:r>
      <w:r w:rsidR="00622BF4">
        <w:rPr>
          <w:spacing w:val="-13"/>
        </w:rPr>
        <w:t xml:space="preserve"> </w:t>
      </w:r>
      <w:r w:rsidR="00622BF4">
        <w:t>comply</w:t>
      </w:r>
      <w:r w:rsidR="00622BF4">
        <w:rPr>
          <w:spacing w:val="-21"/>
        </w:rPr>
        <w:t xml:space="preserve"> </w:t>
      </w:r>
      <w:r w:rsidR="00622BF4">
        <w:t xml:space="preserve">with the </w:t>
      </w:r>
      <w:r w:rsidR="00AF6BC0">
        <w:t xml:space="preserve">relevant </w:t>
      </w:r>
      <w:r w:rsidR="00622BF4">
        <w:t>best interests obligations;</w:t>
      </w:r>
    </w:p>
    <w:p w:rsidR="00622BF4" w:rsidRPr="00E73959" w:rsidRDefault="003B3C7B" w:rsidP="003B3C7B">
      <w:pPr>
        <w:pStyle w:val="ListNo1"/>
        <w:numPr>
          <w:ilvl w:val="0"/>
          <w:numId w:val="0"/>
        </w:numPr>
        <w:tabs>
          <w:tab w:val="left" w:pos="720"/>
        </w:tabs>
        <w:ind w:left="720" w:hanging="720"/>
      </w:pPr>
      <w:bookmarkStart w:id="50" w:name="_Ref30081175"/>
      <w:r w:rsidRPr="00E73959">
        <w:t>(2)</w:t>
      </w:r>
      <w:r w:rsidRPr="00E73959">
        <w:tab/>
      </w:r>
      <w:r w:rsidR="00506DAB">
        <w:t>in addition</w:t>
      </w:r>
      <w:r w:rsidR="00622BF4">
        <w:t>, AMPFP should have made reasonable efforts to brief an Internal Supervisory/Compliance function to take the following steps to determine the extent and seriousness of Rewriting Conduct:</w:t>
      </w:r>
      <w:bookmarkEnd w:id="50"/>
    </w:p>
    <w:p w:rsidR="00622BF4" w:rsidRPr="00E73959" w:rsidRDefault="003B3C7B" w:rsidP="003B3C7B">
      <w:pPr>
        <w:pStyle w:val="ListNo2"/>
        <w:numPr>
          <w:ilvl w:val="0"/>
          <w:numId w:val="0"/>
        </w:numPr>
        <w:tabs>
          <w:tab w:val="left" w:pos="1440"/>
        </w:tabs>
        <w:ind w:left="1440" w:hanging="720"/>
      </w:pPr>
      <w:bookmarkStart w:id="51" w:name="_bookmark12"/>
      <w:bookmarkEnd w:id="51"/>
      <w:r w:rsidRPr="00E73959">
        <w:t>(a)</w:t>
      </w:r>
      <w:r w:rsidRPr="00E73959">
        <w:tab/>
      </w:r>
      <w:r w:rsidR="00622BF4">
        <w:t>analysed available data, with a view to identifying whether there was evidence of possible Rewriting Conduct in t</w:t>
      </w:r>
      <w:r w:rsidR="00826744">
        <w:t>he wider representative network; t</w:t>
      </w:r>
      <w:r w:rsidR="00622BF4">
        <w:t>his should have been supplemented by discussions with the Internal Supervisory/Compliance function and audit staff about any Rewriting Conduct which may have been identified through other monitoring and assurance</w:t>
      </w:r>
      <w:r w:rsidR="00622BF4" w:rsidRPr="00506DAB">
        <w:t xml:space="preserve"> </w:t>
      </w:r>
      <w:r w:rsidR="00622BF4">
        <w:t>activity;</w:t>
      </w:r>
    </w:p>
    <w:p w:rsidR="00622BF4" w:rsidRPr="00E73959" w:rsidRDefault="003B3C7B" w:rsidP="003B3C7B">
      <w:pPr>
        <w:pStyle w:val="ListNo2"/>
        <w:numPr>
          <w:ilvl w:val="0"/>
          <w:numId w:val="0"/>
        </w:numPr>
        <w:tabs>
          <w:tab w:val="left" w:pos="1440"/>
        </w:tabs>
        <w:ind w:left="1440" w:hanging="720"/>
      </w:pPr>
      <w:bookmarkStart w:id="52" w:name="_bookmark13"/>
      <w:bookmarkEnd w:id="52"/>
      <w:r w:rsidRPr="00E73959">
        <w:t>(b)</w:t>
      </w:r>
      <w:r w:rsidRPr="00E73959">
        <w:tab/>
      </w:r>
      <w:r w:rsidR="00622BF4">
        <w:t xml:space="preserve">if the analysis identified a number of clients of a number of representatives who may have been the subject of Rewriting Conduct, conducted an in-depth review of relevant client files to assess whether conduct was not compliant with the </w:t>
      </w:r>
      <w:r w:rsidR="00AF6BC0">
        <w:t xml:space="preserve">relevant </w:t>
      </w:r>
      <w:r w:rsidR="00622BF4">
        <w:t>best interests obligations, the seriousness</w:t>
      </w:r>
      <w:r w:rsidR="00622BF4" w:rsidRPr="00506DAB">
        <w:t xml:space="preserve"> </w:t>
      </w:r>
      <w:r w:rsidR="00622BF4">
        <w:t>of</w:t>
      </w:r>
      <w:r w:rsidR="00622BF4" w:rsidRPr="00506DAB">
        <w:t xml:space="preserve"> </w:t>
      </w:r>
      <w:r w:rsidR="00622BF4">
        <w:t>that</w:t>
      </w:r>
      <w:r w:rsidR="00622BF4" w:rsidRPr="00506DAB">
        <w:t xml:space="preserve"> </w:t>
      </w:r>
      <w:r w:rsidR="00622BF4">
        <w:t>conduct</w:t>
      </w:r>
      <w:r w:rsidR="00622BF4" w:rsidRPr="00506DAB">
        <w:t xml:space="preserve"> </w:t>
      </w:r>
      <w:r w:rsidR="00622BF4">
        <w:t>and</w:t>
      </w:r>
      <w:r w:rsidR="00622BF4" w:rsidRPr="00506DAB">
        <w:t xml:space="preserve"> </w:t>
      </w:r>
      <w:r w:rsidR="00622BF4">
        <w:t>to</w:t>
      </w:r>
      <w:r w:rsidR="00622BF4" w:rsidRPr="00506DAB">
        <w:t xml:space="preserve"> </w:t>
      </w:r>
      <w:r w:rsidR="00622BF4">
        <w:t>confirm</w:t>
      </w:r>
      <w:r w:rsidR="00622BF4" w:rsidRPr="00506DAB">
        <w:t xml:space="preserve"> </w:t>
      </w:r>
      <w:r w:rsidR="00622BF4">
        <w:t>the</w:t>
      </w:r>
      <w:r w:rsidR="00622BF4" w:rsidRPr="00506DAB">
        <w:t xml:space="preserve"> </w:t>
      </w:r>
      <w:r w:rsidR="00622BF4">
        <w:t>root</w:t>
      </w:r>
      <w:r w:rsidR="00622BF4" w:rsidRPr="00506DAB">
        <w:t xml:space="preserve"> </w:t>
      </w:r>
      <w:r w:rsidR="00622BF4">
        <w:t>causes</w:t>
      </w:r>
      <w:r w:rsidR="00622BF4" w:rsidRPr="00506DAB">
        <w:t xml:space="preserve"> </w:t>
      </w:r>
      <w:r w:rsidR="00622BF4">
        <w:t>of</w:t>
      </w:r>
      <w:r w:rsidR="00622BF4" w:rsidRPr="00506DAB">
        <w:t xml:space="preserve"> </w:t>
      </w:r>
      <w:r w:rsidR="00622BF4">
        <w:t>the</w:t>
      </w:r>
      <w:r w:rsidR="00622BF4" w:rsidRPr="00506DAB">
        <w:t xml:space="preserve"> </w:t>
      </w:r>
      <w:r w:rsidR="00622BF4">
        <w:t>conduct; and</w:t>
      </w:r>
    </w:p>
    <w:p w:rsidR="00622BF4" w:rsidRPr="00E73959" w:rsidRDefault="003B3C7B" w:rsidP="003B3C7B">
      <w:pPr>
        <w:pStyle w:val="ListNo2"/>
        <w:numPr>
          <w:ilvl w:val="0"/>
          <w:numId w:val="0"/>
        </w:numPr>
        <w:tabs>
          <w:tab w:val="left" w:pos="1440"/>
        </w:tabs>
        <w:ind w:left="1440" w:hanging="720"/>
      </w:pPr>
      <w:r w:rsidRPr="00E73959">
        <w:t>(c)</w:t>
      </w:r>
      <w:r w:rsidRPr="00E73959">
        <w:tab/>
      </w:r>
      <w:r w:rsidR="00622BF4">
        <w:t>assessed the effectiveness of existing controls to prevent and detect</w:t>
      </w:r>
      <w:r w:rsidR="00622BF4" w:rsidRPr="00506DAB">
        <w:t xml:space="preserve"> </w:t>
      </w:r>
      <w:r w:rsidR="00622BF4">
        <w:t>non-</w:t>
      </w:r>
      <w:r w:rsidR="00826744">
        <w:t xml:space="preserve"> compliant Rewriting Conduct and t</w:t>
      </w:r>
      <w:r w:rsidR="00622BF4">
        <w:t>he outcomes of this assessment should have informed the need for any changes to improve existing controls to prevent and detect future non-compliant Rewriting</w:t>
      </w:r>
      <w:r w:rsidR="00622BF4">
        <w:rPr>
          <w:spacing w:val="-2"/>
        </w:rPr>
        <w:t xml:space="preserve"> </w:t>
      </w:r>
      <w:r w:rsidR="00622BF4">
        <w:t>Conduct.</w:t>
      </w:r>
    </w:p>
    <w:p w:rsidR="00622BF4" w:rsidRPr="00E73959" w:rsidRDefault="003B3C7B" w:rsidP="003B3C7B">
      <w:pPr>
        <w:pStyle w:val="ListNo1"/>
        <w:numPr>
          <w:ilvl w:val="0"/>
          <w:numId w:val="0"/>
        </w:numPr>
        <w:tabs>
          <w:tab w:val="left" w:pos="720"/>
        </w:tabs>
        <w:ind w:left="720" w:hanging="720"/>
      </w:pPr>
      <w:bookmarkStart w:id="53" w:name="_bookmark14"/>
      <w:bookmarkEnd w:id="53"/>
      <w:r w:rsidRPr="00E73959">
        <w:t>(3)</w:t>
      </w:r>
      <w:r w:rsidRPr="00E73959">
        <w:tab/>
      </w:r>
      <w:r w:rsidR="00622BF4">
        <w:t>AMPFP</w:t>
      </w:r>
      <w:r w:rsidR="00622BF4">
        <w:rPr>
          <w:spacing w:val="-6"/>
        </w:rPr>
        <w:t xml:space="preserve"> </w:t>
      </w:r>
      <w:r w:rsidR="00622BF4">
        <w:t>should</w:t>
      </w:r>
      <w:r w:rsidR="00622BF4">
        <w:rPr>
          <w:spacing w:val="-6"/>
        </w:rPr>
        <w:t xml:space="preserve"> </w:t>
      </w:r>
      <w:r w:rsidR="00622BF4">
        <w:t>then</w:t>
      </w:r>
      <w:r w:rsidR="00622BF4">
        <w:rPr>
          <w:spacing w:val="-7"/>
        </w:rPr>
        <w:t xml:space="preserve"> </w:t>
      </w:r>
      <w:r w:rsidR="00622BF4">
        <w:t>have</w:t>
      </w:r>
      <w:r w:rsidR="00622BF4">
        <w:rPr>
          <w:spacing w:val="-7"/>
        </w:rPr>
        <w:t xml:space="preserve"> </w:t>
      </w:r>
      <w:r w:rsidR="00622BF4">
        <w:t>escalated</w:t>
      </w:r>
      <w:r w:rsidR="00622BF4">
        <w:rPr>
          <w:spacing w:val="-6"/>
        </w:rPr>
        <w:t xml:space="preserve"> </w:t>
      </w:r>
      <w:r w:rsidR="00622BF4">
        <w:t>the</w:t>
      </w:r>
      <w:r w:rsidR="00622BF4">
        <w:rPr>
          <w:spacing w:val="-7"/>
        </w:rPr>
        <w:t xml:space="preserve"> </w:t>
      </w:r>
      <w:r w:rsidR="00622BF4">
        <w:t>outcomes</w:t>
      </w:r>
      <w:r w:rsidR="00622BF4">
        <w:rPr>
          <w:spacing w:val="-4"/>
        </w:rPr>
        <w:t xml:space="preserve"> </w:t>
      </w:r>
      <w:r w:rsidR="00622BF4">
        <w:t>of</w:t>
      </w:r>
      <w:r w:rsidR="00622BF4">
        <w:rPr>
          <w:spacing w:val="-7"/>
        </w:rPr>
        <w:t xml:space="preserve"> </w:t>
      </w:r>
      <w:r w:rsidR="00622BF4">
        <w:t>the</w:t>
      </w:r>
      <w:r w:rsidR="00622BF4">
        <w:rPr>
          <w:spacing w:val="-7"/>
        </w:rPr>
        <w:t xml:space="preserve"> </w:t>
      </w:r>
      <w:r w:rsidR="00622BF4">
        <w:t>investigation</w:t>
      </w:r>
      <w:r w:rsidR="00622BF4">
        <w:rPr>
          <w:spacing w:val="-6"/>
        </w:rPr>
        <w:t xml:space="preserve"> </w:t>
      </w:r>
      <w:r w:rsidR="00622BF4">
        <w:t>described above</w:t>
      </w:r>
      <w:r w:rsidR="00622BF4">
        <w:rPr>
          <w:spacing w:val="-7"/>
        </w:rPr>
        <w:t xml:space="preserve"> </w:t>
      </w:r>
      <w:r w:rsidR="00622BF4">
        <w:t>to</w:t>
      </w:r>
      <w:r w:rsidR="00622BF4">
        <w:rPr>
          <w:spacing w:val="-6"/>
        </w:rPr>
        <w:t xml:space="preserve"> </w:t>
      </w:r>
      <w:r w:rsidR="00622BF4">
        <w:t>an</w:t>
      </w:r>
      <w:r w:rsidR="00622BF4">
        <w:rPr>
          <w:spacing w:val="-6"/>
        </w:rPr>
        <w:t xml:space="preserve"> </w:t>
      </w:r>
      <w:r w:rsidR="00622BF4">
        <w:t>appropriately</w:t>
      </w:r>
      <w:r w:rsidR="00622BF4">
        <w:rPr>
          <w:spacing w:val="-9"/>
        </w:rPr>
        <w:t xml:space="preserve"> </w:t>
      </w:r>
      <w:r w:rsidR="00622BF4">
        <w:t>accountable</w:t>
      </w:r>
      <w:r w:rsidR="00622BF4">
        <w:rPr>
          <w:spacing w:val="-7"/>
        </w:rPr>
        <w:t xml:space="preserve"> </w:t>
      </w:r>
      <w:r w:rsidR="00622BF4">
        <w:t>Committee</w:t>
      </w:r>
      <w:r w:rsidR="00622BF4">
        <w:rPr>
          <w:spacing w:val="-8"/>
        </w:rPr>
        <w:t xml:space="preserve"> </w:t>
      </w:r>
      <w:r w:rsidR="00622BF4">
        <w:t>with</w:t>
      </w:r>
      <w:r w:rsidR="00622BF4">
        <w:rPr>
          <w:spacing w:val="-6"/>
        </w:rPr>
        <w:t xml:space="preserve"> </w:t>
      </w:r>
      <w:r w:rsidR="00622BF4">
        <w:t>recommendations</w:t>
      </w:r>
      <w:r w:rsidR="00622BF4">
        <w:rPr>
          <w:spacing w:val="-6"/>
        </w:rPr>
        <w:t xml:space="preserve"> </w:t>
      </w:r>
      <w:r w:rsidR="00622BF4">
        <w:t>about steps</w:t>
      </w:r>
      <w:r w:rsidR="00622BF4">
        <w:rPr>
          <w:spacing w:val="-11"/>
        </w:rPr>
        <w:t xml:space="preserve"> </w:t>
      </w:r>
      <w:r w:rsidR="00622BF4">
        <w:t>to</w:t>
      </w:r>
      <w:r w:rsidR="00622BF4">
        <w:rPr>
          <w:spacing w:val="-11"/>
        </w:rPr>
        <w:t xml:space="preserve"> </w:t>
      </w:r>
      <w:r w:rsidR="00622BF4">
        <w:t>address</w:t>
      </w:r>
      <w:r w:rsidR="00622BF4">
        <w:rPr>
          <w:spacing w:val="-11"/>
        </w:rPr>
        <w:t xml:space="preserve"> </w:t>
      </w:r>
      <w:r w:rsidR="00622BF4">
        <w:t>the</w:t>
      </w:r>
      <w:r w:rsidR="00622BF4">
        <w:rPr>
          <w:spacing w:val="-12"/>
        </w:rPr>
        <w:t xml:space="preserve"> </w:t>
      </w:r>
      <w:r w:rsidR="00622BF4">
        <w:t>issues</w:t>
      </w:r>
      <w:r w:rsidR="00622BF4">
        <w:rPr>
          <w:spacing w:val="-9"/>
        </w:rPr>
        <w:t xml:space="preserve"> </w:t>
      </w:r>
      <w:r w:rsidR="00826744">
        <w:t>identified; t</w:t>
      </w:r>
      <w:r w:rsidR="00622BF4">
        <w:t>he</w:t>
      </w:r>
      <w:r w:rsidR="00622BF4">
        <w:rPr>
          <w:spacing w:val="-12"/>
        </w:rPr>
        <w:t xml:space="preserve"> </w:t>
      </w:r>
      <w:r w:rsidR="00622BF4">
        <w:t>Committee</w:t>
      </w:r>
      <w:r w:rsidR="00622BF4">
        <w:rPr>
          <w:spacing w:val="-12"/>
        </w:rPr>
        <w:t xml:space="preserve"> </w:t>
      </w:r>
      <w:r w:rsidR="00622BF4">
        <w:t>should</w:t>
      </w:r>
      <w:r w:rsidR="00622BF4">
        <w:rPr>
          <w:spacing w:val="-11"/>
        </w:rPr>
        <w:t xml:space="preserve"> </w:t>
      </w:r>
      <w:r w:rsidR="00622BF4">
        <w:t>have</w:t>
      </w:r>
      <w:r w:rsidR="00622BF4">
        <w:rPr>
          <w:spacing w:val="-12"/>
        </w:rPr>
        <w:t xml:space="preserve"> </w:t>
      </w:r>
      <w:r w:rsidR="00622BF4">
        <w:t>been</w:t>
      </w:r>
      <w:r w:rsidR="00622BF4">
        <w:rPr>
          <w:spacing w:val="-11"/>
        </w:rPr>
        <w:t xml:space="preserve"> </w:t>
      </w:r>
      <w:r w:rsidR="00622BF4">
        <w:t>apprised of the number of representatives found to have engaged in the conduct and the seriousness</w:t>
      </w:r>
      <w:r w:rsidR="00622BF4">
        <w:rPr>
          <w:spacing w:val="-11"/>
        </w:rPr>
        <w:t xml:space="preserve"> </w:t>
      </w:r>
      <w:r w:rsidR="00622BF4">
        <w:t>of</w:t>
      </w:r>
      <w:r w:rsidR="00622BF4">
        <w:rPr>
          <w:spacing w:val="-9"/>
        </w:rPr>
        <w:t xml:space="preserve"> </w:t>
      </w:r>
      <w:r w:rsidR="00622BF4">
        <w:t>any</w:t>
      </w:r>
      <w:r w:rsidR="00622BF4">
        <w:rPr>
          <w:spacing w:val="-16"/>
        </w:rPr>
        <w:t xml:space="preserve"> </w:t>
      </w:r>
      <w:r w:rsidR="00622BF4">
        <w:lastRenderedPageBreak/>
        <w:t>conduct</w:t>
      </w:r>
      <w:r w:rsidR="00622BF4">
        <w:rPr>
          <w:spacing w:val="-11"/>
        </w:rPr>
        <w:t xml:space="preserve"> </w:t>
      </w:r>
      <w:r w:rsidR="00622BF4">
        <w:t>identified</w:t>
      </w:r>
      <w:r w:rsidR="00826744">
        <w:t xml:space="preserve"> and, b</w:t>
      </w:r>
      <w:r w:rsidR="00622BF4">
        <w:t>ased</w:t>
      </w:r>
      <w:r w:rsidR="00622BF4">
        <w:rPr>
          <w:spacing w:val="-11"/>
        </w:rPr>
        <w:t xml:space="preserve"> </w:t>
      </w:r>
      <w:r w:rsidR="00622BF4">
        <w:t>on</w:t>
      </w:r>
      <w:r w:rsidR="00622BF4">
        <w:rPr>
          <w:spacing w:val="-9"/>
        </w:rPr>
        <w:t xml:space="preserve"> </w:t>
      </w:r>
      <w:r w:rsidR="00622BF4">
        <w:t>the</w:t>
      </w:r>
      <w:r w:rsidR="00622BF4">
        <w:rPr>
          <w:spacing w:val="-12"/>
        </w:rPr>
        <w:t xml:space="preserve"> </w:t>
      </w:r>
      <w:r w:rsidR="00622BF4">
        <w:t>recommendations</w:t>
      </w:r>
      <w:r w:rsidR="00622BF4">
        <w:rPr>
          <w:spacing w:val="-11"/>
        </w:rPr>
        <w:t xml:space="preserve"> </w:t>
      </w:r>
      <w:r w:rsidR="00622BF4">
        <w:t>made,</w:t>
      </w:r>
      <w:r w:rsidR="00622BF4">
        <w:rPr>
          <w:spacing w:val="-11"/>
        </w:rPr>
        <w:t xml:space="preserve"> </w:t>
      </w:r>
      <w:r w:rsidR="00622BF4">
        <w:t xml:space="preserve">the Committee should then have directed appropriate action </w:t>
      </w:r>
      <w:r w:rsidR="00415F0B">
        <w:t xml:space="preserve">to </w:t>
      </w:r>
      <w:r w:rsidR="00622BF4">
        <w:t>be taken;</w:t>
      </w:r>
    </w:p>
    <w:p w:rsidR="00622BF4" w:rsidRPr="00E73959" w:rsidRDefault="003B3C7B" w:rsidP="003B3C7B">
      <w:pPr>
        <w:pStyle w:val="ListNo1"/>
        <w:numPr>
          <w:ilvl w:val="0"/>
          <w:numId w:val="0"/>
        </w:numPr>
        <w:tabs>
          <w:tab w:val="left" w:pos="720"/>
        </w:tabs>
        <w:ind w:left="720" w:hanging="720"/>
      </w:pPr>
      <w:bookmarkStart w:id="54" w:name="_bookmark15"/>
      <w:bookmarkEnd w:id="54"/>
      <w:r w:rsidRPr="00E73959">
        <w:t>(4)</w:t>
      </w:r>
      <w:r w:rsidRPr="00E73959">
        <w:tab/>
      </w:r>
      <w:r w:rsidR="00622BF4">
        <w:t>appropriate action should have reflected both the extent and seriousness of any Rewriting Conduct identified across the representative network</w:t>
      </w:r>
      <w:r w:rsidR="00622BF4" w:rsidRPr="008E34C4">
        <w:t>, the risks to</w:t>
      </w:r>
      <w:r w:rsidR="00622BF4" w:rsidRPr="008E34C4">
        <w:rPr>
          <w:spacing w:val="-34"/>
        </w:rPr>
        <w:t xml:space="preserve"> </w:t>
      </w:r>
      <w:r w:rsidR="00622BF4" w:rsidRPr="008E34C4">
        <w:t>the licensee,</w:t>
      </w:r>
      <w:r w:rsidR="00622BF4">
        <w:t xml:space="preserve"> and the root</w:t>
      </w:r>
      <w:r w:rsidR="00826744">
        <w:t xml:space="preserve"> cause of the Rewriting Conduct; a</w:t>
      </w:r>
      <w:r w:rsidR="00622BF4">
        <w:t xml:space="preserve"> range of appropriate actions could have been considered including:</w:t>
      </w:r>
    </w:p>
    <w:p w:rsidR="00622BF4" w:rsidRPr="00E73959" w:rsidRDefault="003B3C7B" w:rsidP="003B3C7B">
      <w:pPr>
        <w:pStyle w:val="ListNo2"/>
        <w:numPr>
          <w:ilvl w:val="0"/>
          <w:numId w:val="0"/>
        </w:numPr>
        <w:tabs>
          <w:tab w:val="left" w:pos="1440"/>
        </w:tabs>
        <w:ind w:left="1440" w:hanging="720"/>
      </w:pPr>
      <w:r w:rsidRPr="00E73959">
        <w:t>(a)</w:t>
      </w:r>
      <w:r w:rsidRPr="00E73959">
        <w:tab/>
      </w:r>
      <w:r w:rsidR="00622BF4">
        <w:t>reviewing</w:t>
      </w:r>
      <w:r w:rsidR="00622BF4" w:rsidRPr="00506DAB">
        <w:rPr>
          <w:spacing w:val="25"/>
        </w:rPr>
        <w:t xml:space="preserve"> </w:t>
      </w:r>
      <w:r w:rsidR="00622BF4">
        <w:t>the</w:t>
      </w:r>
      <w:r w:rsidR="00622BF4" w:rsidRPr="00506DAB">
        <w:rPr>
          <w:spacing w:val="27"/>
        </w:rPr>
        <w:t xml:space="preserve"> </w:t>
      </w:r>
      <w:r w:rsidR="00622BF4">
        <w:t>incentives</w:t>
      </w:r>
      <w:r w:rsidR="00622BF4" w:rsidRPr="00506DAB">
        <w:rPr>
          <w:spacing w:val="28"/>
        </w:rPr>
        <w:t xml:space="preserve"> </w:t>
      </w:r>
      <w:r w:rsidR="00622BF4">
        <w:t>framework</w:t>
      </w:r>
      <w:r w:rsidR="00622BF4" w:rsidRPr="00506DAB">
        <w:rPr>
          <w:spacing w:val="27"/>
        </w:rPr>
        <w:t xml:space="preserve"> </w:t>
      </w:r>
      <w:r w:rsidR="00622BF4">
        <w:t>to</w:t>
      </w:r>
      <w:r w:rsidR="00622BF4" w:rsidRPr="00506DAB">
        <w:rPr>
          <w:spacing w:val="28"/>
        </w:rPr>
        <w:t xml:space="preserve"> </w:t>
      </w:r>
      <w:r w:rsidR="00622BF4">
        <w:t>address</w:t>
      </w:r>
      <w:r w:rsidR="00622BF4" w:rsidRPr="00506DAB">
        <w:rPr>
          <w:spacing w:val="28"/>
        </w:rPr>
        <w:t xml:space="preserve"> </w:t>
      </w:r>
      <w:r w:rsidR="00622BF4">
        <w:t>the</w:t>
      </w:r>
      <w:r w:rsidR="00622BF4" w:rsidRPr="00506DAB">
        <w:rPr>
          <w:spacing w:val="27"/>
        </w:rPr>
        <w:t xml:space="preserve"> </w:t>
      </w:r>
      <w:r w:rsidR="00622BF4">
        <w:t>differences</w:t>
      </w:r>
      <w:r w:rsidR="00622BF4" w:rsidRPr="00506DAB">
        <w:rPr>
          <w:spacing w:val="28"/>
        </w:rPr>
        <w:t xml:space="preserve"> </w:t>
      </w:r>
      <w:r w:rsidR="00622BF4">
        <w:t xml:space="preserve">in </w:t>
      </w:r>
      <w:r w:rsidR="00F124EA">
        <w:t>omissions</w:t>
      </w:r>
      <w:r w:rsidR="00622BF4">
        <w:t>;</w:t>
      </w:r>
    </w:p>
    <w:p w:rsidR="00622BF4" w:rsidRPr="00E73959" w:rsidRDefault="003B3C7B" w:rsidP="003B3C7B">
      <w:pPr>
        <w:pStyle w:val="ListNo2"/>
        <w:numPr>
          <w:ilvl w:val="0"/>
          <w:numId w:val="0"/>
        </w:numPr>
        <w:tabs>
          <w:tab w:val="left" w:pos="1440"/>
        </w:tabs>
        <w:ind w:left="1440" w:hanging="720"/>
      </w:pPr>
      <w:r w:rsidRPr="00E73959">
        <w:t>(b)</w:t>
      </w:r>
      <w:r w:rsidRPr="00E73959">
        <w:tab/>
      </w:r>
      <w:r w:rsidR="00622BF4">
        <w:t>developing plans and implementing any changes required to improve existing</w:t>
      </w:r>
      <w:r w:rsidR="00622BF4" w:rsidRPr="00506DAB">
        <w:rPr>
          <w:spacing w:val="-13"/>
        </w:rPr>
        <w:t xml:space="preserve"> </w:t>
      </w:r>
      <w:r w:rsidR="00622BF4">
        <w:t>controls</w:t>
      </w:r>
      <w:r w:rsidR="00622BF4" w:rsidRPr="00506DAB">
        <w:rPr>
          <w:spacing w:val="-11"/>
        </w:rPr>
        <w:t xml:space="preserve"> </w:t>
      </w:r>
      <w:r w:rsidR="00622BF4">
        <w:t>to</w:t>
      </w:r>
      <w:r w:rsidR="00622BF4" w:rsidRPr="00506DAB">
        <w:rPr>
          <w:spacing w:val="-11"/>
        </w:rPr>
        <w:t xml:space="preserve"> </w:t>
      </w:r>
      <w:r w:rsidR="00622BF4">
        <w:t>prevent</w:t>
      </w:r>
      <w:r w:rsidR="00622BF4" w:rsidRPr="00506DAB">
        <w:rPr>
          <w:spacing w:val="-11"/>
        </w:rPr>
        <w:t xml:space="preserve"> </w:t>
      </w:r>
      <w:r w:rsidR="00622BF4">
        <w:t>and</w:t>
      </w:r>
      <w:r w:rsidR="00622BF4" w:rsidRPr="00506DAB">
        <w:rPr>
          <w:spacing w:val="-11"/>
        </w:rPr>
        <w:t xml:space="preserve"> </w:t>
      </w:r>
      <w:r w:rsidR="00622BF4">
        <w:t>detect</w:t>
      </w:r>
      <w:r w:rsidR="00622BF4" w:rsidRPr="00506DAB">
        <w:rPr>
          <w:spacing w:val="-11"/>
        </w:rPr>
        <w:t xml:space="preserve"> </w:t>
      </w:r>
      <w:r w:rsidR="00622BF4">
        <w:t>non-compliant</w:t>
      </w:r>
      <w:r w:rsidR="00622BF4" w:rsidRPr="00506DAB">
        <w:rPr>
          <w:spacing w:val="-11"/>
        </w:rPr>
        <w:t xml:space="preserve"> </w:t>
      </w:r>
      <w:r w:rsidR="00622BF4">
        <w:t>Rewriting</w:t>
      </w:r>
      <w:r w:rsidR="00622BF4" w:rsidRPr="00506DAB">
        <w:rPr>
          <w:spacing w:val="-13"/>
        </w:rPr>
        <w:t xml:space="preserve"> </w:t>
      </w:r>
      <w:r w:rsidR="00622BF4">
        <w:t>Conduct based on th</w:t>
      </w:r>
      <w:r w:rsidR="00826744">
        <w:t>e outcomes of</w:t>
      </w:r>
      <w:r w:rsidR="00F40047">
        <w:t xml:space="preserve"> </w:t>
      </w:r>
      <w:r w:rsidR="00826744">
        <w:t>the</w:t>
      </w:r>
      <w:r w:rsidR="00F40047">
        <w:t xml:space="preserve"> </w:t>
      </w:r>
      <w:r w:rsidR="00826744">
        <w:t>assessment</w:t>
      </w:r>
      <w:r w:rsidR="00622BF4">
        <w:t>; and</w:t>
      </w:r>
    </w:p>
    <w:p w:rsidR="00622BF4" w:rsidRPr="00E73959" w:rsidRDefault="003B3C7B" w:rsidP="003B3C7B">
      <w:pPr>
        <w:pStyle w:val="ListNo2"/>
        <w:numPr>
          <w:ilvl w:val="0"/>
          <w:numId w:val="0"/>
        </w:numPr>
        <w:tabs>
          <w:tab w:val="left" w:pos="1440"/>
        </w:tabs>
        <w:ind w:left="1440" w:hanging="720"/>
      </w:pPr>
      <w:r w:rsidRPr="00E73959">
        <w:t>(c)</w:t>
      </w:r>
      <w:r w:rsidRPr="00E73959">
        <w:tab/>
      </w:r>
      <w:r w:rsidR="00622BF4">
        <w:t>discussing with the product provider (AMP Life) possible changes to its Transfer Policies and underwriting/new business application processes to detect Rewriting Conduct and performing further checks to assess whether</w:t>
      </w:r>
      <w:r w:rsidR="00622BF4" w:rsidRPr="00506DAB">
        <w:rPr>
          <w:spacing w:val="-8"/>
        </w:rPr>
        <w:t xml:space="preserve"> </w:t>
      </w:r>
      <w:r w:rsidR="00622BF4">
        <w:t>those</w:t>
      </w:r>
      <w:r w:rsidR="00622BF4" w:rsidRPr="00506DAB">
        <w:rPr>
          <w:spacing w:val="-5"/>
        </w:rPr>
        <w:t xml:space="preserve"> </w:t>
      </w:r>
      <w:r w:rsidR="00622BF4">
        <w:t>transactions</w:t>
      </w:r>
      <w:r w:rsidR="00622BF4" w:rsidRPr="00506DAB">
        <w:rPr>
          <w:spacing w:val="-7"/>
        </w:rPr>
        <w:t xml:space="preserve"> </w:t>
      </w:r>
      <w:r w:rsidR="00622BF4">
        <w:t>should</w:t>
      </w:r>
      <w:r w:rsidR="00622BF4" w:rsidRPr="00506DAB">
        <w:rPr>
          <w:spacing w:val="-7"/>
        </w:rPr>
        <w:t xml:space="preserve"> </w:t>
      </w:r>
      <w:r w:rsidR="00622BF4">
        <w:t>be</w:t>
      </w:r>
      <w:r w:rsidR="00622BF4" w:rsidRPr="00506DAB">
        <w:rPr>
          <w:spacing w:val="-8"/>
        </w:rPr>
        <w:t xml:space="preserve"> </w:t>
      </w:r>
      <w:r w:rsidR="00622BF4">
        <w:t>processed</w:t>
      </w:r>
      <w:r w:rsidR="00622BF4" w:rsidRPr="00506DAB">
        <w:rPr>
          <w:spacing w:val="-8"/>
        </w:rPr>
        <w:t xml:space="preserve"> </w:t>
      </w:r>
      <w:r w:rsidR="00622BF4">
        <w:t>as</w:t>
      </w:r>
      <w:r w:rsidR="00622BF4" w:rsidRPr="00506DAB">
        <w:rPr>
          <w:spacing w:val="-5"/>
        </w:rPr>
        <w:t xml:space="preserve"> </w:t>
      </w:r>
      <w:r w:rsidR="005C5A4B">
        <w:t>t</w:t>
      </w:r>
      <w:r w:rsidR="00622BF4">
        <w:t>ransfers</w:t>
      </w:r>
      <w:r w:rsidR="00622BF4" w:rsidRPr="00506DAB">
        <w:rPr>
          <w:spacing w:val="-8"/>
        </w:rPr>
        <w:t xml:space="preserve"> </w:t>
      </w:r>
      <w:r w:rsidR="00622BF4">
        <w:t>instead;</w:t>
      </w:r>
      <w:r w:rsidR="00622BF4" w:rsidRPr="00506DAB">
        <w:rPr>
          <w:spacing w:val="-7"/>
        </w:rPr>
        <w:t xml:space="preserve"> </w:t>
      </w:r>
      <w:r w:rsidR="00622BF4">
        <w:t>and</w:t>
      </w:r>
    </w:p>
    <w:p w:rsidR="00622BF4" w:rsidRPr="00E73959" w:rsidRDefault="003B3C7B" w:rsidP="003B3C7B">
      <w:pPr>
        <w:pStyle w:val="ListNo2"/>
        <w:numPr>
          <w:ilvl w:val="0"/>
          <w:numId w:val="0"/>
        </w:numPr>
        <w:tabs>
          <w:tab w:val="left" w:pos="1440"/>
        </w:tabs>
        <w:ind w:left="1440" w:hanging="720"/>
      </w:pPr>
      <w:r w:rsidRPr="00E73959">
        <w:t>(d)</w:t>
      </w:r>
      <w:r w:rsidRPr="00E73959">
        <w:tab/>
      </w:r>
      <w:r w:rsidR="00622BF4">
        <w:t xml:space="preserve">taking </w:t>
      </w:r>
      <w:r w:rsidR="00AE17E6">
        <w:t>appropriate</w:t>
      </w:r>
      <w:r w:rsidR="00622BF4">
        <w:t xml:space="preserve"> actions in relation to any other representatives guided</w:t>
      </w:r>
      <w:r w:rsidR="00622BF4" w:rsidRPr="00506DAB">
        <w:rPr>
          <w:spacing w:val="-7"/>
        </w:rPr>
        <w:t xml:space="preserve"> </w:t>
      </w:r>
      <w:r w:rsidR="00622BF4">
        <w:t>by</w:t>
      </w:r>
      <w:r w:rsidR="00622BF4" w:rsidRPr="00506DAB">
        <w:rPr>
          <w:spacing w:val="-9"/>
        </w:rPr>
        <w:t xml:space="preserve"> </w:t>
      </w:r>
      <w:r w:rsidR="00622BF4">
        <w:t>a</w:t>
      </w:r>
      <w:r w:rsidR="00622BF4" w:rsidRPr="00506DAB">
        <w:rPr>
          <w:spacing w:val="-7"/>
        </w:rPr>
        <w:t xml:space="preserve"> </w:t>
      </w:r>
      <w:r w:rsidR="00622BF4">
        <w:t>consideration</w:t>
      </w:r>
      <w:r w:rsidR="00622BF4" w:rsidRPr="00506DAB">
        <w:rPr>
          <w:spacing w:val="-6"/>
        </w:rPr>
        <w:t xml:space="preserve"> </w:t>
      </w:r>
      <w:r w:rsidR="00622BF4">
        <w:t>of</w:t>
      </w:r>
      <w:r w:rsidR="00622BF4" w:rsidRPr="00506DAB">
        <w:rPr>
          <w:spacing w:val="-7"/>
        </w:rPr>
        <w:t xml:space="preserve"> </w:t>
      </w:r>
      <w:r w:rsidR="00622BF4">
        <w:t>the</w:t>
      </w:r>
      <w:r w:rsidR="00622BF4" w:rsidRPr="00506DAB">
        <w:rPr>
          <w:spacing w:val="-7"/>
        </w:rPr>
        <w:t xml:space="preserve"> </w:t>
      </w:r>
      <w:r w:rsidR="00622BF4">
        <w:t>root</w:t>
      </w:r>
      <w:r w:rsidR="00622BF4" w:rsidRPr="00506DAB">
        <w:rPr>
          <w:spacing w:val="-4"/>
        </w:rPr>
        <w:t xml:space="preserve"> </w:t>
      </w:r>
      <w:r w:rsidR="00622BF4">
        <w:t>cause</w:t>
      </w:r>
      <w:r w:rsidR="00622BF4" w:rsidRPr="00506DAB">
        <w:rPr>
          <w:spacing w:val="-5"/>
        </w:rPr>
        <w:t xml:space="preserve"> </w:t>
      </w:r>
      <w:r w:rsidR="00622BF4">
        <w:t>of</w:t>
      </w:r>
      <w:r w:rsidR="00622BF4" w:rsidRPr="00506DAB">
        <w:rPr>
          <w:spacing w:val="-5"/>
        </w:rPr>
        <w:t xml:space="preserve"> </w:t>
      </w:r>
      <w:r w:rsidR="00622BF4">
        <w:t>the</w:t>
      </w:r>
      <w:r w:rsidR="00622BF4" w:rsidRPr="00506DAB">
        <w:rPr>
          <w:spacing w:val="-7"/>
        </w:rPr>
        <w:t xml:space="preserve"> </w:t>
      </w:r>
      <w:r w:rsidR="00622BF4">
        <w:t>Rewriting</w:t>
      </w:r>
      <w:r w:rsidR="00622BF4" w:rsidRPr="00506DAB">
        <w:rPr>
          <w:spacing w:val="-6"/>
        </w:rPr>
        <w:t xml:space="preserve"> </w:t>
      </w:r>
      <w:r w:rsidR="00622BF4">
        <w:t>Conduct</w:t>
      </w:r>
      <w:r w:rsidR="00622BF4" w:rsidRPr="00506DAB">
        <w:rPr>
          <w:spacing w:val="-3"/>
        </w:rPr>
        <w:t xml:space="preserve"> </w:t>
      </w:r>
      <w:r w:rsidR="00622BF4">
        <w:t>such that:</w:t>
      </w:r>
    </w:p>
    <w:p w:rsidR="00622BF4" w:rsidRPr="00E73959" w:rsidRDefault="003B3C7B" w:rsidP="003B3C7B">
      <w:pPr>
        <w:pStyle w:val="ListNo3"/>
        <w:numPr>
          <w:ilvl w:val="0"/>
          <w:numId w:val="0"/>
        </w:numPr>
        <w:tabs>
          <w:tab w:val="left" w:pos="2160"/>
        </w:tabs>
        <w:ind w:left="2160" w:hanging="720"/>
      </w:pPr>
      <w:r w:rsidRPr="00E73959">
        <w:t>(</w:t>
      </w:r>
      <w:proofErr w:type="spellStart"/>
      <w:r w:rsidRPr="00E73959">
        <w:t>i</w:t>
      </w:r>
      <w:proofErr w:type="spellEnd"/>
      <w:r w:rsidRPr="00E73959">
        <w:t>)</w:t>
      </w:r>
      <w:r w:rsidRPr="00E73959">
        <w:tab/>
      </w:r>
      <w:r w:rsidR="00622BF4">
        <w:t>had the root cause of the conduct been the opportunity to engage in Rewriting Conduct (facilitated by the Insurance Transfer Policies and processes) and the incentive to do so (facilitated by the lower commissions paid in relation to insurance transfers), remedial action should have addressed both the Transfer Policy and the incentive framework;</w:t>
      </w:r>
    </w:p>
    <w:p w:rsidR="00622BF4" w:rsidRPr="00E73959" w:rsidRDefault="003B3C7B" w:rsidP="003B3C7B">
      <w:pPr>
        <w:pStyle w:val="ListNo3"/>
        <w:numPr>
          <w:ilvl w:val="0"/>
          <w:numId w:val="0"/>
        </w:numPr>
        <w:tabs>
          <w:tab w:val="left" w:pos="2160"/>
        </w:tabs>
        <w:ind w:left="2160" w:hanging="720"/>
      </w:pPr>
      <w:r w:rsidRPr="00E73959">
        <w:t>(ii)</w:t>
      </w:r>
      <w:r w:rsidRPr="00E73959">
        <w:tab/>
      </w:r>
      <w:r w:rsidR="00622BF4">
        <w:t xml:space="preserve">had the root cause of the conduct been the Transfer Policy alone, action would have not addressed the incentive framework, and focussed on the other </w:t>
      </w:r>
      <w:r w:rsidR="00506DAB">
        <w:t xml:space="preserve">actions described </w:t>
      </w:r>
      <w:r w:rsidR="00622BF4">
        <w:t>above.</w:t>
      </w:r>
    </w:p>
    <w:p w:rsidR="00826744" w:rsidRDefault="003B3C7B" w:rsidP="003B3C7B">
      <w:pPr>
        <w:pStyle w:val="ParaNumbering"/>
        <w:numPr>
          <w:ilvl w:val="0"/>
          <w:numId w:val="0"/>
        </w:numPr>
        <w:tabs>
          <w:tab w:val="left" w:pos="720"/>
        </w:tabs>
        <w:ind w:hanging="720"/>
      </w:pPr>
      <w:r>
        <w:rPr>
          <w:sz w:val="20"/>
        </w:rPr>
        <w:t>64</w:t>
      </w:r>
      <w:r>
        <w:rPr>
          <w:sz w:val="20"/>
        </w:rPr>
        <w:tab/>
      </w:r>
      <w:r w:rsidR="00826744">
        <w:t>The experts agree that AMPFP took none of the steps set out in the previous paragraph, to address the risk of non-compliant Rewriting Conduct by other AMPFP representatives. In particular, AMPFP failed to take the following steps:</w:t>
      </w:r>
    </w:p>
    <w:p w:rsidR="00826744" w:rsidRDefault="003B3C7B" w:rsidP="003B3C7B">
      <w:pPr>
        <w:pStyle w:val="ListNo1"/>
        <w:numPr>
          <w:ilvl w:val="0"/>
          <w:numId w:val="0"/>
        </w:numPr>
        <w:tabs>
          <w:tab w:val="left" w:pos="720"/>
        </w:tabs>
        <w:ind w:left="720" w:hanging="720"/>
      </w:pPr>
      <w:r>
        <w:t>(1)</w:t>
      </w:r>
      <w:r>
        <w:tab/>
      </w:r>
      <w:r w:rsidR="00826744">
        <w:t>issue a policy or communication to its network of representatives in relation to Rewriting Conduct;</w:t>
      </w:r>
    </w:p>
    <w:p w:rsidR="00826744" w:rsidRDefault="003B3C7B" w:rsidP="003B3C7B">
      <w:pPr>
        <w:pStyle w:val="ListNo1"/>
        <w:numPr>
          <w:ilvl w:val="0"/>
          <w:numId w:val="0"/>
        </w:numPr>
        <w:tabs>
          <w:tab w:val="left" w:pos="720"/>
        </w:tabs>
        <w:ind w:left="720" w:hanging="720"/>
      </w:pPr>
      <w:r>
        <w:t>(2)</w:t>
      </w:r>
      <w:r>
        <w:tab/>
      </w:r>
      <w:r w:rsidR="00826744">
        <w:t>revise and provide training to its representatives in relation to Rewriting Conduct;</w:t>
      </w:r>
    </w:p>
    <w:p w:rsidR="00826744" w:rsidRDefault="003B3C7B" w:rsidP="003B3C7B">
      <w:pPr>
        <w:pStyle w:val="ListNo1"/>
        <w:numPr>
          <w:ilvl w:val="0"/>
          <w:numId w:val="0"/>
        </w:numPr>
        <w:tabs>
          <w:tab w:val="left" w:pos="720"/>
        </w:tabs>
        <w:ind w:left="720" w:hanging="720"/>
      </w:pPr>
      <w:r>
        <w:lastRenderedPageBreak/>
        <w:t>(3)</w:t>
      </w:r>
      <w:r>
        <w:tab/>
      </w:r>
      <w:r w:rsidR="00826744">
        <w:t>review and revise its monitoring and supervision programme to address Rewriting Conduct; or</w:t>
      </w:r>
    </w:p>
    <w:p w:rsidR="00826744" w:rsidRDefault="003B3C7B" w:rsidP="003B3C7B">
      <w:pPr>
        <w:pStyle w:val="ListNo1"/>
        <w:numPr>
          <w:ilvl w:val="0"/>
          <w:numId w:val="0"/>
        </w:numPr>
        <w:tabs>
          <w:tab w:val="left" w:pos="720"/>
        </w:tabs>
        <w:ind w:left="720" w:hanging="720"/>
      </w:pPr>
      <w:r>
        <w:t>(4)</w:t>
      </w:r>
      <w:r>
        <w:tab/>
      </w:r>
      <w:r w:rsidR="00826744">
        <w:t>conduct further investigation and analysis of rewriting conduct across its network of representatives, and assessed existing controls.</w:t>
      </w:r>
    </w:p>
    <w:p w:rsidR="00826744" w:rsidRDefault="003B3C7B" w:rsidP="003B3C7B">
      <w:pPr>
        <w:pStyle w:val="ParaNumbering"/>
        <w:numPr>
          <w:ilvl w:val="0"/>
          <w:numId w:val="0"/>
        </w:numPr>
        <w:tabs>
          <w:tab w:val="left" w:pos="720"/>
        </w:tabs>
        <w:ind w:hanging="720"/>
      </w:pPr>
      <w:r>
        <w:rPr>
          <w:sz w:val="20"/>
        </w:rPr>
        <w:t>65</w:t>
      </w:r>
      <w:r>
        <w:rPr>
          <w:sz w:val="20"/>
        </w:rPr>
        <w:tab/>
      </w:r>
      <w:r w:rsidR="00145802">
        <w:t xml:space="preserve">Again, I </w:t>
      </w:r>
      <w:r w:rsidR="00A30079">
        <w:t xml:space="preserve">have </w:t>
      </w:r>
      <w:r w:rsidR="00145802">
        <w:t xml:space="preserve">reservations </w:t>
      </w:r>
      <w:r w:rsidR="00322D9A">
        <w:t xml:space="preserve">about </w:t>
      </w:r>
      <w:r w:rsidR="00A30079">
        <w:t xml:space="preserve">an aspect of </w:t>
      </w:r>
      <w:r w:rsidR="00322D9A">
        <w:t>this evidence</w:t>
      </w:r>
      <w:r w:rsidR="004671C0">
        <w:t>,</w:t>
      </w:r>
      <w:r w:rsidR="00322D9A">
        <w:t xml:space="preserve"> as </w:t>
      </w:r>
      <w:r w:rsidR="00145802">
        <w:t>I would have thought it ought t</w:t>
      </w:r>
      <w:r w:rsidR="00203FF7">
        <w:t>o have been plain</w:t>
      </w:r>
      <w:r w:rsidR="00145802">
        <w:t xml:space="preserve"> that once informed of conduct as obviously inappropriate as the Rewriting Conduct, efforts should have been made to stamp it out with celerity without the nece</w:t>
      </w:r>
      <w:r w:rsidR="00F05FE7">
        <w:t xml:space="preserve">ssity to go through </w:t>
      </w:r>
      <w:r w:rsidR="003E277B">
        <w:t xml:space="preserve">all </w:t>
      </w:r>
      <w:r w:rsidR="00F05FE7">
        <w:t xml:space="preserve">the </w:t>
      </w:r>
      <w:r w:rsidR="00145802">
        <w:t>bureaucratic processes envisaged by the experts.</w:t>
      </w:r>
      <w:r w:rsidR="00F40047">
        <w:t xml:space="preserve"> </w:t>
      </w:r>
      <w:r w:rsidR="00145802">
        <w:t>But</w:t>
      </w:r>
      <w:r w:rsidR="00506DAB">
        <w:t xml:space="preserve">, subject to this reservation, </w:t>
      </w:r>
      <w:r w:rsidR="00A22CB1">
        <w:t xml:space="preserve">I </w:t>
      </w:r>
      <w:r w:rsidR="00A30079">
        <w:t xml:space="preserve">generally </w:t>
      </w:r>
      <w:r w:rsidR="00322D9A">
        <w:t>accept</w:t>
      </w:r>
      <w:r w:rsidR="00A30079">
        <w:t xml:space="preserve"> </w:t>
      </w:r>
      <w:r w:rsidR="00145802">
        <w:t>the evidence contained in the JER.</w:t>
      </w:r>
      <w:r w:rsidR="005A06EB">
        <w:t xml:space="preserve"> </w:t>
      </w:r>
    </w:p>
    <w:p w:rsidR="00933F6D" w:rsidRPr="002C1A87" w:rsidRDefault="003B3C7B" w:rsidP="00933F6D">
      <w:pPr>
        <w:pStyle w:val="Heading1"/>
        <w:spacing w:line="276" w:lineRule="auto"/>
        <w:rPr>
          <w:caps w:val="0"/>
        </w:rPr>
      </w:pPr>
      <w:bookmarkStart w:id="55" w:name="_Ref11661441"/>
      <w:bookmarkStart w:id="56" w:name="_Ref14865730"/>
      <w:r>
        <w:rPr>
          <w:caps w:val="0"/>
        </w:rPr>
        <w:t>F</w:t>
      </w:r>
      <w:r w:rsidRPr="002141BD">
        <w:rPr>
          <w:caps w:val="0"/>
        </w:rPr>
        <w:t xml:space="preserve"> </w:t>
      </w:r>
      <w:r w:rsidRPr="002141BD">
        <w:rPr>
          <w:caps w:val="0"/>
        </w:rPr>
        <w:tab/>
      </w:r>
      <w:bookmarkEnd w:id="55"/>
      <w:r>
        <w:rPr>
          <w:caps w:val="0"/>
        </w:rPr>
        <w:t>SCOPE OF DISPUTES</w:t>
      </w:r>
      <w:bookmarkEnd w:id="56"/>
    </w:p>
    <w:p w:rsidR="00933F6D" w:rsidRPr="00B82124" w:rsidRDefault="003B3C7B" w:rsidP="003B3C7B">
      <w:pPr>
        <w:pStyle w:val="ParaNumbering"/>
        <w:numPr>
          <w:ilvl w:val="0"/>
          <w:numId w:val="0"/>
        </w:numPr>
        <w:tabs>
          <w:tab w:val="left" w:pos="720"/>
        </w:tabs>
        <w:ind w:hanging="720"/>
      </w:pPr>
      <w:r w:rsidRPr="00B82124">
        <w:rPr>
          <w:sz w:val="20"/>
        </w:rPr>
        <w:t>66</w:t>
      </w:r>
      <w:r w:rsidRPr="00B82124">
        <w:rPr>
          <w:sz w:val="20"/>
        </w:rPr>
        <w:tab/>
      </w:r>
      <w:r w:rsidR="00933F6D" w:rsidRPr="00AE17E6">
        <w:t>I do not propose to</w:t>
      </w:r>
      <w:r w:rsidR="00AE17E6" w:rsidRPr="00AE17E6">
        <w:t xml:space="preserve"> dilate</w:t>
      </w:r>
      <w:r w:rsidR="00933F6D" w:rsidRPr="00AE17E6">
        <w:t xml:space="preserve"> </w:t>
      </w:r>
      <w:r w:rsidR="00963D18">
        <w:t xml:space="preserve">further </w:t>
      </w:r>
      <w:r w:rsidR="000F3A7D">
        <w:t>up</w:t>
      </w:r>
      <w:r w:rsidR="00933F6D" w:rsidRPr="00AE17E6">
        <w:t>o</w:t>
      </w:r>
      <w:r w:rsidR="00F05FE7">
        <w:t>n factual or legal matters that</w:t>
      </w:r>
      <w:r w:rsidR="00933F6D" w:rsidRPr="00AE17E6">
        <w:t xml:space="preserve"> are agreed.</w:t>
      </w:r>
      <w:r w:rsidR="00F40047">
        <w:t xml:space="preserve"> </w:t>
      </w:r>
      <w:r w:rsidR="00AE17E6">
        <w:t>T</w:t>
      </w:r>
      <w:r w:rsidR="00933F6D" w:rsidRPr="00AE17E6">
        <w:t>he</w:t>
      </w:r>
      <w:r w:rsidR="000F3A7D">
        <w:t xml:space="preserve"> remaining issues fa</w:t>
      </w:r>
      <w:r w:rsidR="00145802">
        <w:t xml:space="preserve">ll broadly into four categories: </w:t>
      </w:r>
      <w:r w:rsidR="00145802">
        <w:rPr>
          <w:i/>
        </w:rPr>
        <w:t>f</w:t>
      </w:r>
      <w:r w:rsidR="00933F6D" w:rsidRPr="00145802">
        <w:rPr>
          <w:i/>
        </w:rPr>
        <w:t>irst</w:t>
      </w:r>
      <w:r w:rsidR="00933F6D" w:rsidRPr="00145802">
        <w:t>,</w:t>
      </w:r>
      <w:r w:rsidR="00933F6D" w:rsidRPr="00145802">
        <w:rPr>
          <w:i/>
        </w:rPr>
        <w:t xml:space="preserve"> </w:t>
      </w:r>
      <w:r w:rsidR="00933F6D" w:rsidRPr="00145802">
        <w:t>some factual matters advanced by AMPFP,</w:t>
      </w:r>
      <w:r w:rsidR="00714B26">
        <w:t xml:space="preserve"> most importantly the question of whether</w:t>
      </w:r>
      <w:r w:rsidR="00714B26" w:rsidRPr="00714B26">
        <w:rPr>
          <w:szCs w:val="24"/>
        </w:rPr>
        <w:t>, as at 1 July 2013, AMPFP had reason to believe that the Rewriting Conduct was common or widespread</w:t>
      </w:r>
      <w:r w:rsidR="00933F6D" w:rsidRPr="00145802">
        <w:t xml:space="preserve"> </w:t>
      </w:r>
      <w:r w:rsidR="00714B26">
        <w:t xml:space="preserve">(but extending to other issues I will deal with separately such as </w:t>
      </w:r>
      <w:r w:rsidR="00933F6D" w:rsidRPr="00145802">
        <w:t>evidence as to its systems, an investigation into</w:t>
      </w:r>
      <w:r w:rsidR="00D90517">
        <w:t xml:space="preserve"> </w:t>
      </w:r>
      <w:r w:rsidR="00933F6D" w:rsidRPr="00145802">
        <w:t xml:space="preserve">Rewriting Conduct it conducted in 2015-2016, and the difficulties of identifying </w:t>
      </w:r>
      <w:r w:rsidR="00145802">
        <w:t>Rewriting Conduct</w:t>
      </w:r>
      <w:r w:rsidR="00714B26">
        <w:t>)</w:t>
      </w:r>
      <w:r w:rsidR="00145802">
        <w:t xml:space="preserve">; </w:t>
      </w:r>
      <w:r w:rsidR="00145802">
        <w:rPr>
          <w:i/>
        </w:rPr>
        <w:t>s</w:t>
      </w:r>
      <w:r w:rsidR="00933F6D" w:rsidRPr="00145802">
        <w:rPr>
          <w:i/>
        </w:rPr>
        <w:t xml:space="preserve">econdly, </w:t>
      </w:r>
      <w:r w:rsidR="00145802" w:rsidRPr="00145802">
        <w:t>a</w:t>
      </w:r>
      <w:r w:rsidR="00933F6D" w:rsidRPr="00145802">
        <w:rPr>
          <w:i/>
        </w:rPr>
        <w:t xml:space="preserve"> </w:t>
      </w:r>
      <w:r w:rsidR="00933F6D" w:rsidRPr="00145802">
        <w:t>legal issue as to the proper construction of s 961L and the number of contraventions that arise</w:t>
      </w:r>
      <w:r w:rsidR="00145802">
        <w:t xml:space="preserve">; </w:t>
      </w:r>
      <w:r w:rsidR="00145802" w:rsidRPr="00145802">
        <w:rPr>
          <w:i/>
        </w:rPr>
        <w:t>thirdly</w:t>
      </w:r>
      <w:r w:rsidR="00145802">
        <w:t xml:space="preserve">, the </w:t>
      </w:r>
      <w:r w:rsidR="00933F6D" w:rsidRPr="00145802">
        <w:t>appropriat</w:t>
      </w:r>
      <w:r w:rsidR="000F3A7D" w:rsidRPr="00145802">
        <w:t>e pecuniary penalty</w:t>
      </w:r>
      <w:r w:rsidR="00145802">
        <w:t xml:space="preserve">; and </w:t>
      </w:r>
      <w:r w:rsidR="00145802">
        <w:rPr>
          <w:i/>
        </w:rPr>
        <w:t>f</w:t>
      </w:r>
      <w:r w:rsidR="00933F6D" w:rsidRPr="00145802">
        <w:rPr>
          <w:i/>
        </w:rPr>
        <w:t xml:space="preserve">ourthly, </w:t>
      </w:r>
      <w:r w:rsidR="00933F6D" w:rsidRPr="00145802">
        <w:t xml:space="preserve">the appropriateness of some aspects of the compliance plan that ASIC seeks </w:t>
      </w:r>
      <w:r w:rsidR="000F3A7D" w:rsidRPr="00145802">
        <w:t xml:space="preserve">pursuant to s 1101B of the Act (although </w:t>
      </w:r>
      <w:r w:rsidR="00933F6D" w:rsidRPr="00145802">
        <w:t xml:space="preserve">AMPFP </w:t>
      </w:r>
      <w:r w:rsidR="000F3A7D" w:rsidRPr="00145802">
        <w:t xml:space="preserve">now </w:t>
      </w:r>
      <w:r w:rsidR="00933F6D" w:rsidRPr="00145802">
        <w:t>consents to most of the compliance orders sought by ASIC</w:t>
      </w:r>
      <w:r w:rsidR="000F3A7D" w:rsidRPr="00145802">
        <w:t>)</w:t>
      </w:r>
      <w:r w:rsidR="00266836">
        <w:t>.</w:t>
      </w:r>
    </w:p>
    <w:p w:rsidR="00B82124" w:rsidRPr="00145802" w:rsidRDefault="003B3C7B" w:rsidP="003B3C7B">
      <w:pPr>
        <w:pStyle w:val="ParaNumbering"/>
        <w:numPr>
          <w:ilvl w:val="0"/>
          <w:numId w:val="0"/>
        </w:numPr>
        <w:tabs>
          <w:tab w:val="left" w:pos="720"/>
        </w:tabs>
        <w:ind w:hanging="720"/>
        <w:rPr>
          <w:szCs w:val="24"/>
        </w:rPr>
      </w:pPr>
      <w:r w:rsidRPr="00145802">
        <w:rPr>
          <w:sz w:val="20"/>
        </w:rPr>
        <w:t>67</w:t>
      </w:r>
      <w:r w:rsidRPr="00145802">
        <w:rPr>
          <w:sz w:val="20"/>
        </w:rPr>
        <w:tab/>
      </w:r>
      <w:r w:rsidR="00B82124">
        <w:t xml:space="preserve">I will deal with each of these </w:t>
      </w:r>
      <w:r w:rsidR="00506DAB">
        <w:t xml:space="preserve">four </w:t>
      </w:r>
      <w:r w:rsidR="00B82124">
        <w:t>topics in turn.</w:t>
      </w:r>
    </w:p>
    <w:p w:rsidR="00A97743" w:rsidRDefault="003B3C7B" w:rsidP="00A97743">
      <w:pPr>
        <w:pStyle w:val="Heading1"/>
        <w:spacing w:line="276" w:lineRule="auto"/>
        <w:ind w:left="720" w:hanging="720"/>
        <w:rPr>
          <w:caps w:val="0"/>
        </w:rPr>
      </w:pPr>
      <w:bookmarkStart w:id="57" w:name="_Ref22827387"/>
      <w:r>
        <w:rPr>
          <w:caps w:val="0"/>
        </w:rPr>
        <w:t>G</w:t>
      </w:r>
      <w:r>
        <w:rPr>
          <w:caps w:val="0"/>
        </w:rPr>
        <w:tab/>
        <w:t>FINDINGS AS TO THE REMAINING DISPUTED ISSUES</w:t>
      </w:r>
      <w:bookmarkEnd w:id="40"/>
      <w:bookmarkEnd w:id="57"/>
    </w:p>
    <w:p w:rsidR="008162DE" w:rsidRDefault="009A6F06" w:rsidP="008162DE">
      <w:pPr>
        <w:pStyle w:val="Heading2"/>
      </w:pPr>
      <w:bookmarkStart w:id="58" w:name="_Ref22827388"/>
      <w:bookmarkStart w:id="59" w:name="_Ref14854784"/>
      <w:r>
        <w:t>G</w:t>
      </w:r>
      <w:r w:rsidR="001F7893">
        <w:t>.</w:t>
      </w:r>
      <w:r w:rsidR="00B47D6A">
        <w:t>1</w:t>
      </w:r>
      <w:r w:rsidR="00124929">
        <w:t xml:space="preserve"> </w:t>
      </w:r>
      <w:bookmarkEnd w:id="41"/>
      <w:r w:rsidR="00E41BC2">
        <w:tab/>
      </w:r>
      <w:r w:rsidR="0081536A">
        <w:t>D</w:t>
      </w:r>
      <w:r w:rsidR="00AE19D6">
        <w:t>id AM</w:t>
      </w:r>
      <w:r w:rsidR="00371A8F">
        <w:t>P</w:t>
      </w:r>
      <w:r w:rsidR="00AE19D6">
        <w:t xml:space="preserve">FP have reason to believe </w:t>
      </w:r>
      <w:r w:rsidR="006D2B86">
        <w:t>that the</w:t>
      </w:r>
      <w:r w:rsidR="00AE19D6">
        <w:t xml:space="preserve"> Rewriting Conduct was </w:t>
      </w:r>
      <w:r w:rsidR="0081536A">
        <w:t>“common”</w:t>
      </w:r>
      <w:r w:rsidR="00AE19D6">
        <w:t>?</w:t>
      </w:r>
      <w:bookmarkEnd w:id="58"/>
    </w:p>
    <w:p w:rsidR="002B5955" w:rsidRPr="009150B6" w:rsidRDefault="003B3C7B" w:rsidP="003B3C7B">
      <w:pPr>
        <w:pStyle w:val="ParaNumbering"/>
        <w:numPr>
          <w:ilvl w:val="0"/>
          <w:numId w:val="0"/>
        </w:numPr>
        <w:tabs>
          <w:tab w:val="left" w:pos="720"/>
        </w:tabs>
        <w:ind w:hanging="720"/>
      </w:pPr>
      <w:r w:rsidRPr="009150B6">
        <w:rPr>
          <w:sz w:val="20"/>
        </w:rPr>
        <w:t>68</w:t>
      </w:r>
      <w:r w:rsidRPr="009150B6">
        <w:rPr>
          <w:sz w:val="20"/>
        </w:rPr>
        <w:tab/>
      </w:r>
      <w:r w:rsidR="00EF4894">
        <w:t xml:space="preserve">A matter </w:t>
      </w:r>
      <w:r w:rsidR="00297B10" w:rsidRPr="009150B6">
        <w:t xml:space="preserve">I raised at the first day of </w:t>
      </w:r>
      <w:r w:rsidR="00453DED" w:rsidRPr="009150B6">
        <w:t>hearing was whether</w:t>
      </w:r>
      <w:r w:rsidR="00EF4894">
        <w:t>,</w:t>
      </w:r>
      <w:r w:rsidR="00453DED" w:rsidRPr="009150B6">
        <w:t xml:space="preserve"> as at 1 Jul</w:t>
      </w:r>
      <w:r w:rsidR="001D29B0" w:rsidRPr="009150B6">
        <w:t>y</w:t>
      </w:r>
      <w:r w:rsidR="00453DED" w:rsidRPr="009150B6">
        <w:t xml:space="preserve"> 2013, AMPFP had reason to believe that </w:t>
      </w:r>
      <w:r w:rsidR="006D2B86">
        <w:t xml:space="preserve">the </w:t>
      </w:r>
      <w:r w:rsidR="00453DED" w:rsidRPr="009150B6">
        <w:t xml:space="preserve">Rewriting Conduct was common or </w:t>
      </w:r>
      <w:r w:rsidR="00297B10" w:rsidRPr="009150B6">
        <w:t>widespread.</w:t>
      </w:r>
      <w:r w:rsidR="00F40047">
        <w:t xml:space="preserve"> </w:t>
      </w:r>
      <w:r w:rsidR="00A22CB1">
        <w:t>Although connected, t</w:t>
      </w:r>
      <w:r w:rsidR="001D29B0" w:rsidRPr="009150B6">
        <w:t>his is a question logically separate to that of whether</w:t>
      </w:r>
      <w:r w:rsidR="008E34C4">
        <w:t xml:space="preserve"> the</w:t>
      </w:r>
      <w:r w:rsidR="001D29B0" w:rsidRPr="009150B6">
        <w:t xml:space="preserve"> Rewriting Conduct was, </w:t>
      </w:r>
      <w:r w:rsidR="00A30079">
        <w:rPr>
          <w:i/>
        </w:rPr>
        <w:t>as a matter of</w:t>
      </w:r>
      <w:r w:rsidR="001D29B0" w:rsidRPr="00A30079">
        <w:rPr>
          <w:i/>
        </w:rPr>
        <w:t xml:space="preserve"> fac</w:t>
      </w:r>
      <w:r w:rsidR="0081536A" w:rsidRPr="00A30079">
        <w:rPr>
          <w:i/>
        </w:rPr>
        <w:t>t</w:t>
      </w:r>
      <w:r w:rsidR="0081536A">
        <w:t>, widespread as at 1 July 2013</w:t>
      </w:r>
      <w:r w:rsidR="00A30079">
        <w:t xml:space="preserve"> (which latter fact ASIC did not seek to prove, notwithstanding </w:t>
      </w:r>
      <w:r w:rsidR="00A065F3">
        <w:t xml:space="preserve">consideration as to </w:t>
      </w:r>
      <w:r w:rsidR="00A30079">
        <w:t>whether</w:t>
      </w:r>
      <w:r w:rsidR="00A30079" w:rsidRPr="00A30079">
        <w:rPr>
          <w:szCs w:val="24"/>
        </w:rPr>
        <w:t xml:space="preserve"> </w:t>
      </w:r>
      <w:r w:rsidR="00A30079">
        <w:rPr>
          <w:szCs w:val="24"/>
        </w:rPr>
        <w:t xml:space="preserve">the </w:t>
      </w:r>
      <w:r w:rsidR="00251A1C">
        <w:rPr>
          <w:szCs w:val="24"/>
        </w:rPr>
        <w:t xml:space="preserve">conduct </w:t>
      </w:r>
      <w:r w:rsidR="00A30079" w:rsidRPr="00A30079">
        <w:rPr>
          <w:szCs w:val="24"/>
        </w:rPr>
        <w:t xml:space="preserve">was systematic </w:t>
      </w:r>
      <w:r w:rsidR="0088725C">
        <w:rPr>
          <w:szCs w:val="24"/>
        </w:rPr>
        <w:t>might be regarded as</w:t>
      </w:r>
      <w:r w:rsidR="00A065F3">
        <w:rPr>
          <w:szCs w:val="24"/>
        </w:rPr>
        <w:t xml:space="preserve"> </w:t>
      </w:r>
      <w:r w:rsidR="00A30079">
        <w:rPr>
          <w:szCs w:val="24"/>
        </w:rPr>
        <w:t>a factor relevant to the objective seriousness of the contraventions).</w:t>
      </w:r>
    </w:p>
    <w:p w:rsidR="00105EC3" w:rsidRPr="00105EC3" w:rsidRDefault="005924B6" w:rsidP="00E63726">
      <w:pPr>
        <w:pStyle w:val="Heading3"/>
      </w:pPr>
      <w:bookmarkStart w:id="60" w:name="_Ref29821118"/>
      <w:bookmarkStart w:id="61" w:name="_Ref30603898"/>
      <w:r>
        <w:lastRenderedPageBreak/>
        <w:t>I</w:t>
      </w:r>
      <w:r>
        <w:tab/>
      </w:r>
      <w:r w:rsidR="00105EC3" w:rsidRPr="00105EC3">
        <w:t xml:space="preserve">ASIC </w:t>
      </w:r>
      <w:bookmarkEnd w:id="60"/>
      <w:r w:rsidR="00DA23A3">
        <w:t>s</w:t>
      </w:r>
      <w:r w:rsidR="00DA23A3" w:rsidRPr="00105EC3">
        <w:t>ubmissions</w:t>
      </w:r>
      <w:bookmarkEnd w:id="61"/>
      <w:r w:rsidR="00DA23A3" w:rsidRPr="00105EC3">
        <w:t xml:space="preserve"> </w:t>
      </w:r>
    </w:p>
    <w:p w:rsidR="00F66F31" w:rsidRPr="00F66F31" w:rsidRDefault="003B3C7B" w:rsidP="003B3C7B">
      <w:pPr>
        <w:pStyle w:val="ParaNumbering"/>
        <w:numPr>
          <w:ilvl w:val="0"/>
          <w:numId w:val="0"/>
        </w:numPr>
        <w:tabs>
          <w:tab w:val="left" w:pos="720"/>
        </w:tabs>
        <w:ind w:hanging="720"/>
        <w:rPr>
          <w:szCs w:val="24"/>
        </w:rPr>
      </w:pPr>
      <w:r w:rsidRPr="00F66F31">
        <w:rPr>
          <w:sz w:val="20"/>
        </w:rPr>
        <w:t>69</w:t>
      </w:r>
      <w:r w:rsidRPr="00F66F31">
        <w:rPr>
          <w:sz w:val="20"/>
        </w:rPr>
        <w:tab/>
      </w:r>
      <w:r w:rsidR="00B82124">
        <w:rPr>
          <w:szCs w:val="24"/>
        </w:rPr>
        <w:t xml:space="preserve">ASIC </w:t>
      </w:r>
      <w:r w:rsidR="002B5955" w:rsidRPr="009150B6">
        <w:rPr>
          <w:szCs w:val="24"/>
        </w:rPr>
        <w:t>contended</w:t>
      </w:r>
      <w:r w:rsidR="00B82124">
        <w:rPr>
          <w:szCs w:val="24"/>
        </w:rPr>
        <w:t xml:space="preserve"> </w:t>
      </w:r>
      <w:r w:rsidR="008162DE" w:rsidRPr="009150B6">
        <w:rPr>
          <w:szCs w:val="24"/>
        </w:rPr>
        <w:t xml:space="preserve">that as at 1 July 2013, AMPFP had reason to believe that </w:t>
      </w:r>
      <w:r w:rsidR="006D2B86">
        <w:rPr>
          <w:szCs w:val="24"/>
        </w:rPr>
        <w:t xml:space="preserve">the </w:t>
      </w:r>
      <w:r w:rsidR="008162DE" w:rsidRPr="009150B6">
        <w:rPr>
          <w:szCs w:val="24"/>
        </w:rPr>
        <w:t>Rewriting Conduct was “common” or “widespread”.</w:t>
      </w:r>
      <w:r w:rsidR="00F40047">
        <w:rPr>
          <w:szCs w:val="24"/>
        </w:rPr>
        <w:t xml:space="preserve"> </w:t>
      </w:r>
      <w:r w:rsidR="00F66F31">
        <w:rPr>
          <w:szCs w:val="24"/>
        </w:rPr>
        <w:t>P</w:t>
      </w:r>
      <w:r w:rsidR="00F66F31" w:rsidRPr="00F66F31">
        <w:rPr>
          <w:szCs w:val="24"/>
        </w:rPr>
        <w:t xml:space="preserve">rior to 1 July 2013, the conversation between Mr </w:t>
      </w:r>
      <w:proofErr w:type="spellStart"/>
      <w:r w:rsidR="00F66F31" w:rsidRPr="00F66F31">
        <w:rPr>
          <w:szCs w:val="24"/>
        </w:rPr>
        <w:t>Traynor</w:t>
      </w:r>
      <w:proofErr w:type="spellEnd"/>
      <w:r w:rsidR="00F66F31" w:rsidRPr="00F66F31">
        <w:rPr>
          <w:szCs w:val="24"/>
        </w:rPr>
        <w:t xml:space="preserve"> </w:t>
      </w:r>
      <w:r w:rsidR="006D2B86">
        <w:rPr>
          <w:szCs w:val="24"/>
        </w:rPr>
        <w:t>and</w:t>
      </w:r>
      <w:r w:rsidR="00F66F31" w:rsidRPr="00F66F31">
        <w:rPr>
          <w:szCs w:val="24"/>
        </w:rPr>
        <w:t xml:space="preserve"> Mr Gregory </w:t>
      </w:r>
      <w:r w:rsidR="00F66F31">
        <w:rPr>
          <w:szCs w:val="24"/>
        </w:rPr>
        <w:t xml:space="preserve">took place </w:t>
      </w:r>
      <w:r w:rsidR="00F66F31" w:rsidRPr="00F66F31">
        <w:rPr>
          <w:szCs w:val="24"/>
        </w:rPr>
        <w:t>(</w:t>
      </w:r>
      <w:r w:rsidR="00F66F31">
        <w:rPr>
          <w:szCs w:val="24"/>
        </w:rPr>
        <w:t xml:space="preserve">as </w:t>
      </w:r>
      <w:r w:rsidR="00F66F31" w:rsidRPr="00F66F31">
        <w:rPr>
          <w:szCs w:val="24"/>
        </w:rPr>
        <w:t>evidenced by t</w:t>
      </w:r>
      <w:r w:rsidR="00F66F31">
        <w:rPr>
          <w:szCs w:val="24"/>
        </w:rPr>
        <w:t>he file note of 7 March 2013).</w:t>
      </w:r>
      <w:r w:rsidR="00F40047">
        <w:rPr>
          <w:szCs w:val="24"/>
        </w:rPr>
        <w:t xml:space="preserve"> </w:t>
      </w:r>
      <w:r w:rsidR="00F66F31">
        <w:rPr>
          <w:szCs w:val="24"/>
        </w:rPr>
        <w:t xml:space="preserve">Read literally, Mr </w:t>
      </w:r>
      <w:proofErr w:type="spellStart"/>
      <w:r w:rsidR="00F66F31">
        <w:rPr>
          <w:szCs w:val="24"/>
        </w:rPr>
        <w:t>Traynor’</w:t>
      </w:r>
      <w:r w:rsidR="00F66F31" w:rsidRPr="00F66F31">
        <w:rPr>
          <w:szCs w:val="24"/>
        </w:rPr>
        <w:t>s</w:t>
      </w:r>
      <w:proofErr w:type="spellEnd"/>
      <w:r w:rsidR="00F66F31" w:rsidRPr="00F66F31">
        <w:rPr>
          <w:szCs w:val="24"/>
        </w:rPr>
        <w:t xml:space="preserve"> comments were not confined </w:t>
      </w:r>
      <w:r w:rsidR="00F66F31">
        <w:rPr>
          <w:szCs w:val="24"/>
        </w:rPr>
        <w:t>only to his views of Panganiban’</w:t>
      </w:r>
      <w:r w:rsidR="00F66F31" w:rsidRPr="00F66F31">
        <w:rPr>
          <w:szCs w:val="24"/>
        </w:rPr>
        <w:t xml:space="preserve">s conduct, </w:t>
      </w:r>
      <w:r w:rsidR="00F66F31">
        <w:rPr>
          <w:szCs w:val="24"/>
        </w:rPr>
        <w:t>as Ms Gregory’</w:t>
      </w:r>
      <w:r w:rsidR="00F66F31" w:rsidRPr="00F66F31">
        <w:rPr>
          <w:szCs w:val="24"/>
        </w:rPr>
        <w:t xml:space="preserve">s note of the conversation records Mr </w:t>
      </w:r>
      <w:proofErr w:type="spellStart"/>
      <w:r w:rsidR="00F66F31" w:rsidRPr="00F66F31">
        <w:rPr>
          <w:szCs w:val="24"/>
        </w:rPr>
        <w:t>Traynor</w:t>
      </w:r>
      <w:proofErr w:type="spellEnd"/>
      <w:r w:rsidR="00F66F31">
        <w:rPr>
          <w:szCs w:val="24"/>
        </w:rPr>
        <w:t xml:space="preserve"> advising what “a planner”</w:t>
      </w:r>
      <w:r w:rsidR="00F66F31" w:rsidRPr="00F66F31">
        <w:rPr>
          <w:szCs w:val="24"/>
        </w:rPr>
        <w:t xml:space="preserve"> is able to do in order to obtain 100% commission and </w:t>
      </w:r>
      <w:r w:rsidR="00F66F31">
        <w:rPr>
          <w:szCs w:val="24"/>
        </w:rPr>
        <w:t>notes his comment tha</w:t>
      </w:r>
      <w:r w:rsidR="00B47D6A">
        <w:rPr>
          <w:szCs w:val="24"/>
        </w:rPr>
        <w:t>t this is “a common scenario”</w:t>
      </w:r>
      <w:r w:rsidR="00F66F31">
        <w:rPr>
          <w:szCs w:val="24"/>
        </w:rPr>
        <w:t>.</w:t>
      </w:r>
      <w:r w:rsidR="00F40047">
        <w:rPr>
          <w:szCs w:val="24"/>
        </w:rPr>
        <w:t xml:space="preserve"> </w:t>
      </w:r>
      <w:r w:rsidR="00F66F31">
        <w:rPr>
          <w:szCs w:val="24"/>
        </w:rPr>
        <w:t>This is consistent with the use of the plural “planners” in Ms Gregory’</w:t>
      </w:r>
      <w:r w:rsidR="00F66F31" w:rsidRPr="00F66F31">
        <w:rPr>
          <w:szCs w:val="24"/>
        </w:rPr>
        <w:t xml:space="preserve">s </w:t>
      </w:r>
      <w:r w:rsidR="00D16985">
        <w:rPr>
          <w:szCs w:val="24"/>
        </w:rPr>
        <w:t xml:space="preserve">later </w:t>
      </w:r>
      <w:r w:rsidR="00F66F31" w:rsidRPr="00F66F31">
        <w:rPr>
          <w:szCs w:val="24"/>
        </w:rPr>
        <w:t xml:space="preserve">email to Emma Lawson, </w:t>
      </w:r>
      <w:r w:rsidR="00F66F31">
        <w:rPr>
          <w:szCs w:val="24"/>
        </w:rPr>
        <w:t xml:space="preserve">and when, on 17 June 2013, </w:t>
      </w:r>
      <w:r w:rsidR="00F66F31" w:rsidRPr="00F66F31">
        <w:rPr>
          <w:szCs w:val="24"/>
        </w:rPr>
        <w:t>Ms Gregory emailed Mr Bennett, after describing her investigation of a planner (presuma</w:t>
      </w:r>
      <w:r w:rsidR="00F66F31">
        <w:rPr>
          <w:szCs w:val="24"/>
        </w:rPr>
        <w:t>bly Panganiban) she wrote that “</w:t>
      </w:r>
      <w:r w:rsidR="00F66F31" w:rsidRPr="00F66F31">
        <w:rPr>
          <w:szCs w:val="24"/>
        </w:rPr>
        <w:t>New Business have told me that this practice is wide spread</w:t>
      </w:r>
      <w:r w:rsidR="00F66F31">
        <w:rPr>
          <w:szCs w:val="24"/>
        </w:rPr>
        <w:t>”</w:t>
      </w:r>
      <w:r w:rsidR="007222D7">
        <w:rPr>
          <w:szCs w:val="24"/>
        </w:rPr>
        <w:t xml:space="preserve"> (</w:t>
      </w:r>
      <w:r w:rsidR="007222D7" w:rsidRPr="00F2131A">
        <w:rPr>
          <w:b/>
          <w:szCs w:val="24"/>
        </w:rPr>
        <w:t>Gregory Email</w:t>
      </w:r>
      <w:r w:rsidR="007222D7">
        <w:rPr>
          <w:szCs w:val="24"/>
        </w:rPr>
        <w:t>)</w:t>
      </w:r>
      <w:r w:rsidR="00F66F31" w:rsidRPr="00F66F31">
        <w:rPr>
          <w:szCs w:val="24"/>
        </w:rPr>
        <w:t>.</w:t>
      </w:r>
      <w:r w:rsidR="00F40047">
        <w:rPr>
          <w:szCs w:val="24"/>
        </w:rPr>
        <w:t xml:space="preserve"> </w:t>
      </w:r>
      <w:r w:rsidR="00F965CA">
        <w:rPr>
          <w:szCs w:val="24"/>
        </w:rPr>
        <w:t xml:space="preserve">This </w:t>
      </w:r>
      <w:r w:rsidR="00F05FE7">
        <w:rPr>
          <w:szCs w:val="24"/>
        </w:rPr>
        <w:t>was a somewhat</w:t>
      </w:r>
      <w:r w:rsidR="00F66F31">
        <w:rPr>
          <w:szCs w:val="24"/>
        </w:rPr>
        <w:t xml:space="preserve"> unusual</w:t>
      </w:r>
      <w:r w:rsidR="00F05FE7">
        <w:rPr>
          <w:szCs w:val="24"/>
        </w:rPr>
        <w:t>ly phrased</w:t>
      </w:r>
      <w:r w:rsidR="00F66F31">
        <w:rPr>
          <w:szCs w:val="24"/>
        </w:rPr>
        <w:t xml:space="preserve"> comment </w:t>
      </w:r>
      <w:r w:rsidR="00F66F31" w:rsidRPr="00F66F31">
        <w:rPr>
          <w:szCs w:val="24"/>
        </w:rPr>
        <w:t>if she had meant to confine her comments to Panganiban.</w:t>
      </w:r>
      <w:r w:rsidR="007222D7">
        <w:rPr>
          <w:szCs w:val="24"/>
        </w:rPr>
        <w:t xml:space="preserve"> I will return to the Gregory Email</w:t>
      </w:r>
      <w:r w:rsidR="00BA372A">
        <w:rPr>
          <w:szCs w:val="24"/>
        </w:rPr>
        <w:t xml:space="preserve"> later, when I consider the issue of whether the contraventions were </w:t>
      </w:r>
      <w:r w:rsidR="00BA372A">
        <w:t>the result of deliberate, covert or reckless conduct, as opposed to negligence or</w:t>
      </w:r>
      <w:r w:rsidR="00BA372A">
        <w:rPr>
          <w:spacing w:val="-3"/>
        </w:rPr>
        <w:t xml:space="preserve"> </w:t>
      </w:r>
      <w:r w:rsidR="00BA372A">
        <w:t>carelessness</w:t>
      </w:r>
      <w:r w:rsidR="00BA372A">
        <w:rPr>
          <w:szCs w:val="24"/>
        </w:rPr>
        <w:t>.</w:t>
      </w:r>
    </w:p>
    <w:p w:rsidR="00F66F31" w:rsidRPr="00F66F31" w:rsidRDefault="003B3C7B" w:rsidP="003B3C7B">
      <w:pPr>
        <w:pStyle w:val="ParaNumbering"/>
        <w:numPr>
          <w:ilvl w:val="0"/>
          <w:numId w:val="0"/>
        </w:numPr>
        <w:tabs>
          <w:tab w:val="left" w:pos="720"/>
        </w:tabs>
        <w:ind w:hanging="720"/>
        <w:rPr>
          <w:szCs w:val="24"/>
        </w:rPr>
      </w:pPr>
      <w:r w:rsidRPr="00F66F31">
        <w:rPr>
          <w:sz w:val="20"/>
        </w:rPr>
        <w:t>70</w:t>
      </w:r>
      <w:r w:rsidRPr="00F66F31">
        <w:rPr>
          <w:sz w:val="20"/>
        </w:rPr>
        <w:tab/>
      </w:r>
      <w:r w:rsidR="00105EC3">
        <w:rPr>
          <w:szCs w:val="24"/>
        </w:rPr>
        <w:t>With respect to AMPFP’</w:t>
      </w:r>
      <w:r w:rsidR="00F05FE7">
        <w:rPr>
          <w:szCs w:val="24"/>
        </w:rPr>
        <w:t xml:space="preserve">s </w:t>
      </w:r>
      <w:r w:rsidR="007F07F3">
        <w:rPr>
          <w:szCs w:val="24"/>
        </w:rPr>
        <w:t xml:space="preserve">submission </w:t>
      </w:r>
      <w:r w:rsidR="00F05FE7">
        <w:rPr>
          <w:szCs w:val="24"/>
        </w:rPr>
        <w:t>that</w:t>
      </w:r>
      <w:r w:rsidR="00F66F31" w:rsidRPr="00F66F31">
        <w:rPr>
          <w:szCs w:val="24"/>
        </w:rPr>
        <w:t xml:space="preserve"> Ms </w:t>
      </w:r>
      <w:proofErr w:type="spellStart"/>
      <w:r w:rsidR="00F66F31" w:rsidRPr="00F66F31">
        <w:rPr>
          <w:szCs w:val="24"/>
        </w:rPr>
        <w:t>Firmansjah</w:t>
      </w:r>
      <w:proofErr w:type="spellEnd"/>
      <w:r w:rsidR="00F66F31" w:rsidRPr="00F66F31">
        <w:rPr>
          <w:szCs w:val="24"/>
        </w:rPr>
        <w:t xml:space="preserve">, Mr </w:t>
      </w:r>
      <w:proofErr w:type="spellStart"/>
      <w:r w:rsidR="00F05FE7">
        <w:rPr>
          <w:szCs w:val="24"/>
        </w:rPr>
        <w:t>Coroneos</w:t>
      </w:r>
      <w:proofErr w:type="spellEnd"/>
      <w:r w:rsidR="00F05FE7">
        <w:rPr>
          <w:szCs w:val="24"/>
        </w:rPr>
        <w:t xml:space="preserve"> and Ms Britt </w:t>
      </w:r>
      <w:r w:rsidR="00F66F31" w:rsidRPr="00F66F31">
        <w:rPr>
          <w:szCs w:val="24"/>
        </w:rPr>
        <w:t xml:space="preserve">had never seen Rewriting Conduct </w:t>
      </w:r>
      <w:r w:rsidR="00F05FE7">
        <w:rPr>
          <w:szCs w:val="24"/>
        </w:rPr>
        <w:t xml:space="preserve">(outside </w:t>
      </w:r>
      <w:r w:rsidR="00F66F31" w:rsidRPr="00F66F31">
        <w:rPr>
          <w:szCs w:val="24"/>
        </w:rPr>
        <w:t>the advisers named i</w:t>
      </w:r>
      <w:r w:rsidR="00105EC3">
        <w:rPr>
          <w:szCs w:val="24"/>
        </w:rPr>
        <w:t>n this proceeding</w:t>
      </w:r>
      <w:r w:rsidR="00F05FE7">
        <w:rPr>
          <w:szCs w:val="24"/>
        </w:rPr>
        <w:t>)</w:t>
      </w:r>
      <w:r w:rsidR="00105EC3">
        <w:rPr>
          <w:szCs w:val="24"/>
        </w:rPr>
        <w:t>, ASIC’</w:t>
      </w:r>
      <w:r w:rsidR="00F66F31" w:rsidRPr="00F66F31">
        <w:rPr>
          <w:szCs w:val="24"/>
        </w:rPr>
        <w:t xml:space="preserve">s submission </w:t>
      </w:r>
      <w:r w:rsidR="00105EC3">
        <w:rPr>
          <w:szCs w:val="24"/>
        </w:rPr>
        <w:t xml:space="preserve">is </w:t>
      </w:r>
      <w:r w:rsidR="00F66F31" w:rsidRPr="00F66F31">
        <w:rPr>
          <w:szCs w:val="24"/>
        </w:rPr>
        <w:t xml:space="preserve">that the evidence of Ms </w:t>
      </w:r>
      <w:proofErr w:type="spellStart"/>
      <w:r w:rsidR="00F66F31" w:rsidRPr="00F66F31">
        <w:rPr>
          <w:szCs w:val="24"/>
        </w:rPr>
        <w:t>Firmansjah</w:t>
      </w:r>
      <w:proofErr w:type="spellEnd"/>
      <w:r w:rsidR="00F66F31" w:rsidRPr="00F66F31">
        <w:rPr>
          <w:szCs w:val="24"/>
        </w:rPr>
        <w:t xml:space="preserve"> and Mr </w:t>
      </w:r>
      <w:proofErr w:type="spellStart"/>
      <w:r w:rsidR="00F66F31" w:rsidRPr="00F66F31">
        <w:rPr>
          <w:szCs w:val="24"/>
        </w:rPr>
        <w:t>Coroneos</w:t>
      </w:r>
      <w:proofErr w:type="spellEnd"/>
      <w:r w:rsidR="00F66F31" w:rsidRPr="00F66F31">
        <w:rPr>
          <w:szCs w:val="24"/>
        </w:rPr>
        <w:t xml:space="preserve"> i</w:t>
      </w:r>
      <w:r w:rsidR="00F965CA">
        <w:rPr>
          <w:szCs w:val="24"/>
        </w:rPr>
        <w:t>s confined to conduct which is “</w:t>
      </w:r>
      <w:r w:rsidR="00F66F31" w:rsidRPr="00F66F31">
        <w:rPr>
          <w:szCs w:val="24"/>
        </w:rPr>
        <w:t>si</w:t>
      </w:r>
      <w:r w:rsidR="00F965CA">
        <w:rPr>
          <w:szCs w:val="24"/>
        </w:rPr>
        <w:t>milar to the Panganiban conduct”</w:t>
      </w:r>
      <w:r w:rsidR="00F66F31" w:rsidRPr="00F66F31">
        <w:rPr>
          <w:szCs w:val="24"/>
        </w:rPr>
        <w:t xml:space="preserve"> and does not address Rewriting Conduct similar to the conduct in relation to Clients 31-40, and that the evidence of Ms Britt addresses only her understanding as to the present prevalence of Rewriting Conduct and does not address the prevalence of Rewriting Conduct as at 1 July 2013 or at any other time during the period from 1 July 2013 to 30 June 2015.</w:t>
      </w:r>
    </w:p>
    <w:p w:rsidR="008162DE" w:rsidRPr="009150B6" w:rsidRDefault="003B3C7B" w:rsidP="003B3C7B">
      <w:pPr>
        <w:pStyle w:val="ParaNumbering"/>
        <w:numPr>
          <w:ilvl w:val="0"/>
          <w:numId w:val="0"/>
        </w:numPr>
        <w:tabs>
          <w:tab w:val="left" w:pos="720"/>
        </w:tabs>
        <w:ind w:hanging="720"/>
        <w:rPr>
          <w:szCs w:val="24"/>
        </w:rPr>
      </w:pPr>
      <w:r w:rsidRPr="009150B6">
        <w:rPr>
          <w:sz w:val="20"/>
        </w:rPr>
        <w:t>71</w:t>
      </w:r>
      <w:r w:rsidRPr="009150B6">
        <w:rPr>
          <w:sz w:val="20"/>
        </w:rPr>
        <w:tab/>
      </w:r>
      <w:r w:rsidR="008162DE" w:rsidRPr="009150B6">
        <w:rPr>
          <w:szCs w:val="24"/>
        </w:rPr>
        <w:t xml:space="preserve">Further, </w:t>
      </w:r>
      <w:r w:rsidR="00105EC3">
        <w:rPr>
          <w:szCs w:val="24"/>
        </w:rPr>
        <w:t>ASIC submit</w:t>
      </w:r>
      <w:r w:rsidR="006D2B86">
        <w:rPr>
          <w:szCs w:val="24"/>
        </w:rPr>
        <w:t>s</w:t>
      </w:r>
      <w:r w:rsidR="00105EC3">
        <w:rPr>
          <w:szCs w:val="24"/>
        </w:rPr>
        <w:t xml:space="preserve"> </w:t>
      </w:r>
      <w:r w:rsidR="008162DE" w:rsidRPr="009150B6">
        <w:rPr>
          <w:szCs w:val="24"/>
        </w:rPr>
        <w:t xml:space="preserve">the evidence of Ms Britt (including at </w:t>
      </w:r>
      <w:r w:rsidR="00F965CA">
        <w:rPr>
          <w:szCs w:val="24"/>
        </w:rPr>
        <w:t>[</w:t>
      </w:r>
      <w:r w:rsidR="008162DE" w:rsidRPr="009150B6">
        <w:rPr>
          <w:szCs w:val="24"/>
        </w:rPr>
        <w:t>33</w:t>
      </w:r>
      <w:r w:rsidR="00F965CA">
        <w:rPr>
          <w:szCs w:val="24"/>
        </w:rPr>
        <w:t>]</w:t>
      </w:r>
      <w:r w:rsidR="008162DE" w:rsidRPr="009150B6">
        <w:rPr>
          <w:szCs w:val="24"/>
        </w:rPr>
        <w:t xml:space="preserve"> </w:t>
      </w:r>
      <w:r w:rsidR="008E34C4">
        <w:rPr>
          <w:szCs w:val="24"/>
        </w:rPr>
        <w:t xml:space="preserve">of her affidavit, </w:t>
      </w:r>
      <w:r w:rsidR="008162DE" w:rsidRPr="009150B6">
        <w:rPr>
          <w:szCs w:val="24"/>
        </w:rPr>
        <w:t>where Ms Britt gives evidence that her understanding is that “Non-Compliant Rewriting Conduct is not common, or widespread”) addresses only her understanding as to the present prevalence of Rewriting Conduct and does not address the prevalence of Rewriting Conduct as at</w:t>
      </w:r>
      <w:r w:rsidR="008162DE" w:rsidRPr="009150B6">
        <w:rPr>
          <w:spacing w:val="-20"/>
          <w:szCs w:val="24"/>
        </w:rPr>
        <w:t xml:space="preserve"> </w:t>
      </w:r>
      <w:r w:rsidR="008162DE" w:rsidRPr="009150B6">
        <w:rPr>
          <w:szCs w:val="24"/>
        </w:rPr>
        <w:t>1 July 2013 or at any other time during the period from 1 July 2013 to 30 June 2015. Ms Br</w:t>
      </w:r>
      <w:r w:rsidR="00F965CA">
        <w:rPr>
          <w:szCs w:val="24"/>
        </w:rPr>
        <w:t>itt’s evidence (at [</w:t>
      </w:r>
      <w:r w:rsidR="008162DE" w:rsidRPr="009150B6">
        <w:rPr>
          <w:szCs w:val="24"/>
        </w:rPr>
        <w:t>33</w:t>
      </w:r>
      <w:r w:rsidR="00F965CA">
        <w:rPr>
          <w:szCs w:val="24"/>
        </w:rPr>
        <w:t>]</w:t>
      </w:r>
      <w:r w:rsidR="008162DE" w:rsidRPr="009150B6">
        <w:rPr>
          <w:szCs w:val="24"/>
        </w:rPr>
        <w:t>) is that “there may be instances of yet to be detected Non-Compliant Rewriting Conduct … across AMPFP’s</w:t>
      </w:r>
      <w:r w:rsidR="008162DE" w:rsidRPr="009150B6">
        <w:rPr>
          <w:spacing w:val="-9"/>
          <w:szCs w:val="24"/>
        </w:rPr>
        <w:t xml:space="preserve"> </w:t>
      </w:r>
      <w:r w:rsidR="008162DE" w:rsidRPr="009150B6">
        <w:rPr>
          <w:szCs w:val="24"/>
        </w:rPr>
        <w:t>network”.</w:t>
      </w:r>
    </w:p>
    <w:p w:rsidR="00105EC3" w:rsidRPr="00105EC3" w:rsidRDefault="005924B6" w:rsidP="00D41286">
      <w:pPr>
        <w:pStyle w:val="Heading3"/>
      </w:pPr>
      <w:bookmarkStart w:id="62" w:name="_Ref29821119"/>
      <w:bookmarkStart w:id="63" w:name="_Ref30603899"/>
      <w:r>
        <w:lastRenderedPageBreak/>
        <w:t>II</w:t>
      </w:r>
      <w:r>
        <w:tab/>
      </w:r>
      <w:r w:rsidR="00105EC3" w:rsidRPr="00105EC3">
        <w:t xml:space="preserve">AMPFP </w:t>
      </w:r>
      <w:bookmarkEnd w:id="62"/>
      <w:r w:rsidR="00DA23A3">
        <w:t>s</w:t>
      </w:r>
      <w:r w:rsidR="00DA23A3" w:rsidRPr="00105EC3">
        <w:t>ubmissions</w:t>
      </w:r>
      <w:bookmarkEnd w:id="63"/>
      <w:r w:rsidR="00DA23A3" w:rsidRPr="00105EC3">
        <w:t xml:space="preserve"> </w:t>
      </w:r>
    </w:p>
    <w:p w:rsidR="008162DE" w:rsidRPr="00B82124" w:rsidRDefault="003B3C7B" w:rsidP="003B3C7B">
      <w:pPr>
        <w:pStyle w:val="ParaNumbering"/>
        <w:numPr>
          <w:ilvl w:val="0"/>
          <w:numId w:val="0"/>
        </w:numPr>
        <w:tabs>
          <w:tab w:val="left" w:pos="720"/>
        </w:tabs>
        <w:ind w:hanging="720"/>
        <w:rPr>
          <w:szCs w:val="24"/>
        </w:rPr>
      </w:pPr>
      <w:r w:rsidRPr="00B82124">
        <w:rPr>
          <w:sz w:val="20"/>
        </w:rPr>
        <w:t>72</w:t>
      </w:r>
      <w:r w:rsidRPr="00B82124">
        <w:rPr>
          <w:sz w:val="20"/>
        </w:rPr>
        <w:tab/>
      </w:r>
      <w:r w:rsidR="0092519D">
        <w:rPr>
          <w:szCs w:val="24"/>
        </w:rPr>
        <w:t>As might be expected</w:t>
      </w:r>
      <w:r w:rsidR="002B5955" w:rsidRPr="009150B6">
        <w:rPr>
          <w:szCs w:val="24"/>
        </w:rPr>
        <w:t xml:space="preserve">, </w:t>
      </w:r>
      <w:r w:rsidR="008162DE" w:rsidRPr="009150B6">
        <w:rPr>
          <w:szCs w:val="24"/>
        </w:rPr>
        <w:t>A</w:t>
      </w:r>
      <w:r w:rsidR="002B5955" w:rsidRPr="009150B6">
        <w:rPr>
          <w:szCs w:val="24"/>
        </w:rPr>
        <w:t>MPFP submitted</w:t>
      </w:r>
      <w:r w:rsidR="0095289C">
        <w:rPr>
          <w:szCs w:val="24"/>
        </w:rPr>
        <w:t xml:space="preserve"> that given ASIC </w:t>
      </w:r>
      <w:r w:rsidR="00251A1C">
        <w:rPr>
          <w:szCs w:val="24"/>
        </w:rPr>
        <w:t xml:space="preserve">has not attempted to prove </w:t>
      </w:r>
      <w:r w:rsidR="008162DE" w:rsidRPr="009150B6">
        <w:rPr>
          <w:szCs w:val="24"/>
        </w:rPr>
        <w:t>that Rewriting Conduct was in fact “common” or “widespread”</w:t>
      </w:r>
      <w:r w:rsidR="00A22CB1">
        <w:rPr>
          <w:szCs w:val="24"/>
        </w:rPr>
        <w:t>, there</w:t>
      </w:r>
      <w:r w:rsidR="0095289C">
        <w:rPr>
          <w:szCs w:val="24"/>
        </w:rPr>
        <w:t xml:space="preserve"> could be no basis for finding AMPFP</w:t>
      </w:r>
      <w:r w:rsidR="008162DE" w:rsidRPr="009150B6">
        <w:rPr>
          <w:szCs w:val="24"/>
        </w:rPr>
        <w:t xml:space="preserve"> had reason to believe that such conduc</w:t>
      </w:r>
      <w:r w:rsidR="00B82124">
        <w:rPr>
          <w:szCs w:val="24"/>
        </w:rPr>
        <w:t>t was “common” or “wide</w:t>
      </w:r>
      <w:r w:rsidR="0095289C">
        <w:rPr>
          <w:szCs w:val="24"/>
        </w:rPr>
        <w:t>spread”</w:t>
      </w:r>
      <w:r w:rsidR="002B5955" w:rsidRPr="00B82124">
        <w:rPr>
          <w:szCs w:val="24"/>
        </w:rPr>
        <w:t>.</w:t>
      </w:r>
      <w:r w:rsidR="00F40047">
        <w:rPr>
          <w:szCs w:val="24"/>
        </w:rPr>
        <w:t xml:space="preserve"> </w:t>
      </w:r>
      <w:r w:rsidR="0095289C">
        <w:rPr>
          <w:szCs w:val="24"/>
        </w:rPr>
        <w:t>In this regard a number of submissions were made.</w:t>
      </w:r>
    </w:p>
    <w:p w:rsidR="008162DE" w:rsidRPr="0095289C" w:rsidRDefault="003B3C7B" w:rsidP="003B3C7B">
      <w:pPr>
        <w:pStyle w:val="ParaNumbering"/>
        <w:numPr>
          <w:ilvl w:val="0"/>
          <w:numId w:val="0"/>
        </w:numPr>
        <w:tabs>
          <w:tab w:val="left" w:pos="720"/>
        </w:tabs>
        <w:ind w:hanging="720"/>
        <w:rPr>
          <w:szCs w:val="24"/>
        </w:rPr>
      </w:pPr>
      <w:r w:rsidRPr="0095289C">
        <w:rPr>
          <w:sz w:val="20"/>
        </w:rPr>
        <w:t>73</w:t>
      </w:r>
      <w:r w:rsidRPr="0095289C">
        <w:rPr>
          <w:sz w:val="20"/>
        </w:rPr>
        <w:tab/>
      </w:r>
      <w:r w:rsidR="008162DE" w:rsidRPr="009150B6">
        <w:rPr>
          <w:i/>
          <w:szCs w:val="24"/>
        </w:rPr>
        <w:t>First</w:t>
      </w:r>
      <w:r w:rsidR="008162DE" w:rsidRPr="009150B6">
        <w:rPr>
          <w:szCs w:val="24"/>
        </w:rPr>
        <w:t xml:space="preserve">, </w:t>
      </w:r>
      <w:r w:rsidR="0095289C" w:rsidRPr="0095289C">
        <w:rPr>
          <w:szCs w:val="24"/>
        </w:rPr>
        <w:t xml:space="preserve">AMPFP </w:t>
      </w:r>
      <w:r w:rsidR="0095289C">
        <w:rPr>
          <w:szCs w:val="24"/>
        </w:rPr>
        <w:t>contend</w:t>
      </w:r>
      <w:r w:rsidR="00203FF7">
        <w:rPr>
          <w:szCs w:val="24"/>
        </w:rPr>
        <w:t>s</w:t>
      </w:r>
      <w:r w:rsidR="0095289C">
        <w:rPr>
          <w:szCs w:val="24"/>
        </w:rPr>
        <w:t xml:space="preserve"> that any </w:t>
      </w:r>
      <w:r w:rsidR="008162DE" w:rsidRPr="0095289C">
        <w:rPr>
          <w:szCs w:val="24"/>
        </w:rPr>
        <w:t xml:space="preserve">finding </w:t>
      </w:r>
      <w:r w:rsidR="0095289C">
        <w:rPr>
          <w:szCs w:val="24"/>
        </w:rPr>
        <w:t xml:space="preserve">of knowledge </w:t>
      </w:r>
      <w:r w:rsidR="008162DE" w:rsidRPr="0095289C">
        <w:rPr>
          <w:szCs w:val="24"/>
        </w:rPr>
        <w:t>would be inconsist</w:t>
      </w:r>
      <w:r w:rsidR="000F3A7D" w:rsidRPr="0095289C">
        <w:rPr>
          <w:szCs w:val="24"/>
        </w:rPr>
        <w:t>ent with the JER</w:t>
      </w:r>
      <w:r w:rsidR="008162DE" w:rsidRPr="0095289C">
        <w:rPr>
          <w:szCs w:val="24"/>
        </w:rPr>
        <w:t xml:space="preserve"> at [40]</w:t>
      </w:r>
      <w:r w:rsidR="00865412">
        <w:rPr>
          <w:szCs w:val="24"/>
        </w:rPr>
        <w:t>,</w:t>
      </w:r>
      <w:r w:rsidR="0095289C" w:rsidRPr="0095289C">
        <w:rPr>
          <w:szCs w:val="24"/>
        </w:rPr>
        <w:t xml:space="preserve"> which AISC embraced, the premise of which was</w:t>
      </w:r>
      <w:r w:rsidR="008162DE" w:rsidRPr="0095289C">
        <w:rPr>
          <w:szCs w:val="24"/>
        </w:rPr>
        <w:t xml:space="preserve"> that it was necessary to carry out a further investigation </w:t>
      </w:r>
      <w:r w:rsidR="008162DE" w:rsidRPr="0095289C">
        <w:rPr>
          <w:i/>
          <w:szCs w:val="24"/>
        </w:rPr>
        <w:t xml:space="preserve">to see </w:t>
      </w:r>
      <w:r w:rsidR="008162DE" w:rsidRPr="0095289C">
        <w:rPr>
          <w:szCs w:val="24"/>
        </w:rPr>
        <w:t xml:space="preserve">whether Rewriting Conduct was more widespread. This necessarily presupposes that it was not known whether Rewriting Conduct </w:t>
      </w:r>
      <w:r w:rsidR="0095289C">
        <w:rPr>
          <w:szCs w:val="24"/>
        </w:rPr>
        <w:t>was widespread</w:t>
      </w:r>
      <w:r w:rsidR="00F05FE7" w:rsidRPr="0095289C">
        <w:rPr>
          <w:szCs w:val="24"/>
        </w:rPr>
        <w:t>.</w:t>
      </w:r>
    </w:p>
    <w:p w:rsidR="008162DE" w:rsidRPr="00B82124" w:rsidRDefault="003B3C7B" w:rsidP="003B3C7B">
      <w:pPr>
        <w:pStyle w:val="ParaNumbering"/>
        <w:numPr>
          <w:ilvl w:val="0"/>
          <w:numId w:val="0"/>
        </w:numPr>
        <w:tabs>
          <w:tab w:val="left" w:pos="720"/>
        </w:tabs>
        <w:ind w:hanging="720"/>
        <w:rPr>
          <w:szCs w:val="24"/>
        </w:rPr>
      </w:pPr>
      <w:r w:rsidRPr="00B82124">
        <w:rPr>
          <w:sz w:val="20"/>
        </w:rPr>
        <w:t>74</w:t>
      </w:r>
      <w:r w:rsidRPr="00B82124">
        <w:rPr>
          <w:sz w:val="20"/>
        </w:rPr>
        <w:tab/>
      </w:r>
      <w:r w:rsidR="008162DE" w:rsidRPr="009150B6">
        <w:rPr>
          <w:i/>
          <w:szCs w:val="24"/>
        </w:rPr>
        <w:t>Secondly</w:t>
      </w:r>
      <w:r w:rsidR="008162DE" w:rsidRPr="009150B6">
        <w:rPr>
          <w:szCs w:val="24"/>
        </w:rPr>
        <w:t>, any notion that</w:t>
      </w:r>
      <w:r w:rsidR="006D2B86">
        <w:rPr>
          <w:szCs w:val="24"/>
        </w:rPr>
        <w:t xml:space="preserve"> </w:t>
      </w:r>
      <w:r w:rsidR="008162DE" w:rsidRPr="009150B6">
        <w:rPr>
          <w:szCs w:val="24"/>
        </w:rPr>
        <w:t xml:space="preserve">Rewriting Conduct may </w:t>
      </w:r>
      <w:r w:rsidR="00EF4894">
        <w:rPr>
          <w:szCs w:val="24"/>
        </w:rPr>
        <w:t xml:space="preserve">have </w:t>
      </w:r>
      <w:r w:rsidR="008162DE" w:rsidRPr="009150B6">
        <w:rPr>
          <w:szCs w:val="24"/>
        </w:rPr>
        <w:t>be</w:t>
      </w:r>
      <w:r w:rsidR="00EF4894">
        <w:rPr>
          <w:szCs w:val="24"/>
        </w:rPr>
        <w:t>en</w:t>
      </w:r>
      <w:r w:rsidR="008162DE" w:rsidRPr="009150B6">
        <w:rPr>
          <w:szCs w:val="24"/>
        </w:rPr>
        <w:t xml:space="preserve"> widespread </w:t>
      </w:r>
      <w:r w:rsidR="00251A1C">
        <w:rPr>
          <w:szCs w:val="24"/>
        </w:rPr>
        <w:t xml:space="preserve">is alleged to </w:t>
      </w:r>
      <w:r w:rsidR="008162DE" w:rsidRPr="009150B6">
        <w:rPr>
          <w:szCs w:val="24"/>
        </w:rPr>
        <w:t xml:space="preserve">stem from an exchange between Ms Gregory and Mr </w:t>
      </w:r>
      <w:proofErr w:type="spellStart"/>
      <w:r w:rsidR="008162DE" w:rsidRPr="009150B6">
        <w:rPr>
          <w:szCs w:val="24"/>
        </w:rPr>
        <w:t>Traynor</w:t>
      </w:r>
      <w:proofErr w:type="spellEnd"/>
      <w:r w:rsidR="008162DE" w:rsidRPr="009150B6">
        <w:rPr>
          <w:szCs w:val="24"/>
        </w:rPr>
        <w:t xml:space="preserve"> in early 2013, in which Mr </w:t>
      </w:r>
      <w:proofErr w:type="spellStart"/>
      <w:r w:rsidR="008162DE" w:rsidRPr="009150B6">
        <w:rPr>
          <w:szCs w:val="24"/>
        </w:rPr>
        <w:t>Traynor</w:t>
      </w:r>
      <w:proofErr w:type="spellEnd"/>
      <w:r w:rsidR="008162DE" w:rsidRPr="009150B6">
        <w:rPr>
          <w:szCs w:val="24"/>
        </w:rPr>
        <w:t xml:space="preserve"> referred to a “common scenario” in respect of the conduct in which </w:t>
      </w:r>
      <w:r w:rsidR="00A956F3">
        <w:rPr>
          <w:szCs w:val="24"/>
        </w:rPr>
        <w:t>Pangan</w:t>
      </w:r>
      <w:r w:rsidR="008162DE" w:rsidRPr="009150B6">
        <w:rPr>
          <w:szCs w:val="24"/>
        </w:rPr>
        <w:t>iban engaged</w:t>
      </w:r>
      <w:r w:rsidR="0081536A">
        <w:rPr>
          <w:szCs w:val="24"/>
        </w:rPr>
        <w:t xml:space="preserve">. Mr </w:t>
      </w:r>
      <w:proofErr w:type="spellStart"/>
      <w:r w:rsidR="0081536A">
        <w:rPr>
          <w:szCs w:val="24"/>
        </w:rPr>
        <w:t>Traynor</w:t>
      </w:r>
      <w:proofErr w:type="spellEnd"/>
      <w:r w:rsidR="0081536A">
        <w:rPr>
          <w:szCs w:val="24"/>
        </w:rPr>
        <w:t xml:space="preserve"> was alleged </w:t>
      </w:r>
      <w:r w:rsidR="00B82124">
        <w:rPr>
          <w:szCs w:val="24"/>
        </w:rPr>
        <w:t xml:space="preserve">to be </w:t>
      </w:r>
      <w:r w:rsidR="008162DE" w:rsidRPr="009150B6">
        <w:rPr>
          <w:szCs w:val="24"/>
        </w:rPr>
        <w:t>unavailable to give evi</w:t>
      </w:r>
      <w:r w:rsidR="0081536A">
        <w:rPr>
          <w:szCs w:val="24"/>
        </w:rPr>
        <w:t xml:space="preserve">dence </w:t>
      </w:r>
      <w:r w:rsidR="008162DE" w:rsidRPr="009150B6">
        <w:rPr>
          <w:szCs w:val="24"/>
        </w:rPr>
        <w:t xml:space="preserve">as to what he meant, but it is </w:t>
      </w:r>
      <w:r w:rsidR="00B82124">
        <w:rPr>
          <w:szCs w:val="24"/>
        </w:rPr>
        <w:t xml:space="preserve">contended that it </w:t>
      </w:r>
      <w:r w:rsidR="008E34C4">
        <w:rPr>
          <w:szCs w:val="24"/>
        </w:rPr>
        <w:t xml:space="preserve">is </w:t>
      </w:r>
      <w:r w:rsidR="008162DE" w:rsidRPr="009150B6">
        <w:rPr>
          <w:szCs w:val="24"/>
        </w:rPr>
        <w:t xml:space="preserve">likely that these comments related only to </w:t>
      </w:r>
      <w:r w:rsidR="00A956F3">
        <w:rPr>
          <w:szCs w:val="24"/>
        </w:rPr>
        <w:t>Pangan</w:t>
      </w:r>
      <w:r w:rsidR="008162DE" w:rsidRPr="009150B6">
        <w:rPr>
          <w:szCs w:val="24"/>
        </w:rPr>
        <w:t>iban’s conduct</w:t>
      </w:r>
      <w:r w:rsidR="008162DE" w:rsidRPr="009150B6">
        <w:rPr>
          <w:spacing w:val="-12"/>
          <w:szCs w:val="24"/>
        </w:rPr>
        <w:t xml:space="preserve"> </w:t>
      </w:r>
      <w:r w:rsidR="008162DE" w:rsidRPr="009150B6">
        <w:rPr>
          <w:szCs w:val="24"/>
        </w:rPr>
        <w:t>because:</w:t>
      </w:r>
      <w:r w:rsidR="00B82124">
        <w:rPr>
          <w:szCs w:val="24"/>
        </w:rPr>
        <w:t xml:space="preserve"> (a) </w:t>
      </w:r>
      <w:r w:rsidR="008162DE" w:rsidRPr="00B82124">
        <w:rPr>
          <w:szCs w:val="24"/>
        </w:rPr>
        <w:t xml:space="preserve">Mr </w:t>
      </w:r>
      <w:proofErr w:type="spellStart"/>
      <w:r w:rsidR="008162DE" w:rsidRPr="00B82124">
        <w:rPr>
          <w:szCs w:val="24"/>
        </w:rPr>
        <w:t>Traynor</w:t>
      </w:r>
      <w:proofErr w:type="spellEnd"/>
      <w:r w:rsidR="008162DE" w:rsidRPr="00B82124">
        <w:rPr>
          <w:szCs w:val="24"/>
        </w:rPr>
        <w:t xml:space="preserve"> was </w:t>
      </w:r>
      <w:r w:rsidR="00A956F3" w:rsidRPr="00B82124">
        <w:rPr>
          <w:szCs w:val="24"/>
        </w:rPr>
        <w:t>Pangan</w:t>
      </w:r>
      <w:r w:rsidR="008162DE" w:rsidRPr="00B82124">
        <w:rPr>
          <w:szCs w:val="24"/>
        </w:rPr>
        <w:t>iban’s dedicated underwrite</w:t>
      </w:r>
      <w:r w:rsidR="0081536A">
        <w:rPr>
          <w:szCs w:val="24"/>
        </w:rPr>
        <w:t>r</w:t>
      </w:r>
      <w:r w:rsidR="00B82124">
        <w:rPr>
          <w:szCs w:val="24"/>
        </w:rPr>
        <w:t xml:space="preserve"> (o</w:t>
      </w:r>
      <w:r w:rsidR="008162DE" w:rsidRPr="00B82124">
        <w:rPr>
          <w:szCs w:val="24"/>
        </w:rPr>
        <w:t xml:space="preserve">f the 29 clients of </w:t>
      </w:r>
      <w:r w:rsidR="00A956F3" w:rsidRPr="00B82124">
        <w:rPr>
          <w:szCs w:val="24"/>
        </w:rPr>
        <w:t>Pangan</w:t>
      </w:r>
      <w:r w:rsidR="008162DE" w:rsidRPr="00B82124">
        <w:rPr>
          <w:szCs w:val="24"/>
        </w:rPr>
        <w:t xml:space="preserve">iban (Clients 1-30) in respect of whom it is possible to identify the relevant underwriter, Mr </w:t>
      </w:r>
      <w:proofErr w:type="spellStart"/>
      <w:r w:rsidR="008162DE" w:rsidRPr="00B82124">
        <w:rPr>
          <w:szCs w:val="24"/>
        </w:rPr>
        <w:t>Traynor</w:t>
      </w:r>
      <w:proofErr w:type="spellEnd"/>
      <w:r w:rsidR="008162DE" w:rsidRPr="00B82124">
        <w:rPr>
          <w:szCs w:val="24"/>
        </w:rPr>
        <w:t xml:space="preserve"> was the underwriter for 26 of those clients</w:t>
      </w:r>
      <w:r w:rsidR="00C04335">
        <w:rPr>
          <w:szCs w:val="24"/>
        </w:rPr>
        <w:t>)</w:t>
      </w:r>
      <w:r w:rsidR="00B82124" w:rsidRPr="00B82124">
        <w:rPr>
          <w:szCs w:val="24"/>
        </w:rPr>
        <w:t xml:space="preserve">; (b) </w:t>
      </w:r>
      <w:r w:rsidR="00B82124">
        <w:rPr>
          <w:szCs w:val="24"/>
        </w:rPr>
        <w:t>t</w:t>
      </w:r>
      <w:r w:rsidR="008162DE" w:rsidRPr="00B82124">
        <w:rPr>
          <w:szCs w:val="24"/>
        </w:rPr>
        <w:t xml:space="preserve">here is nothing in any document to suggest that Mr </w:t>
      </w:r>
      <w:proofErr w:type="spellStart"/>
      <w:r w:rsidR="008162DE" w:rsidRPr="00B82124">
        <w:rPr>
          <w:szCs w:val="24"/>
        </w:rPr>
        <w:t>Traynor</w:t>
      </w:r>
      <w:proofErr w:type="spellEnd"/>
      <w:r w:rsidR="008162DE" w:rsidRPr="00B82124">
        <w:rPr>
          <w:szCs w:val="24"/>
        </w:rPr>
        <w:t xml:space="preserve"> ever saw any adviser other than </w:t>
      </w:r>
      <w:r w:rsidR="00A956F3" w:rsidRPr="00B82124">
        <w:rPr>
          <w:szCs w:val="24"/>
        </w:rPr>
        <w:t>Pangan</w:t>
      </w:r>
      <w:r w:rsidR="008162DE" w:rsidRPr="00B82124">
        <w:rPr>
          <w:szCs w:val="24"/>
        </w:rPr>
        <w:t>iban engaging in Rewriting Conduct</w:t>
      </w:r>
      <w:r w:rsidR="00B82124">
        <w:rPr>
          <w:szCs w:val="24"/>
        </w:rPr>
        <w:t xml:space="preserve">; </w:t>
      </w:r>
      <w:r w:rsidR="00A22CB1">
        <w:rPr>
          <w:szCs w:val="24"/>
        </w:rPr>
        <w:t xml:space="preserve">and </w:t>
      </w:r>
      <w:r w:rsidR="00B82124">
        <w:rPr>
          <w:szCs w:val="24"/>
        </w:rPr>
        <w:t>(c) i</w:t>
      </w:r>
      <w:r w:rsidR="008162DE" w:rsidRPr="00B82124">
        <w:rPr>
          <w:szCs w:val="24"/>
        </w:rPr>
        <w:t xml:space="preserve">n the conversation he had with Ms Gregory, Mr </w:t>
      </w:r>
      <w:proofErr w:type="spellStart"/>
      <w:r w:rsidR="008162DE" w:rsidRPr="00B82124">
        <w:rPr>
          <w:szCs w:val="24"/>
        </w:rPr>
        <w:t>Traynor</w:t>
      </w:r>
      <w:proofErr w:type="spellEnd"/>
      <w:r w:rsidR="008162DE" w:rsidRPr="00B82124">
        <w:rPr>
          <w:szCs w:val="24"/>
        </w:rPr>
        <w:t xml:space="preserve"> referred to the fact that he had qu</w:t>
      </w:r>
      <w:r w:rsidR="00B82124">
        <w:rPr>
          <w:szCs w:val="24"/>
        </w:rPr>
        <w:t>estioned this “common scenario” and t</w:t>
      </w:r>
      <w:r w:rsidR="008162DE" w:rsidRPr="00B82124">
        <w:rPr>
          <w:szCs w:val="24"/>
        </w:rPr>
        <w:t xml:space="preserve">his </w:t>
      </w:r>
      <w:r w:rsidR="00701537">
        <w:rPr>
          <w:szCs w:val="24"/>
        </w:rPr>
        <w:t>was a</w:t>
      </w:r>
      <w:r w:rsidR="008162DE" w:rsidRPr="00B82124">
        <w:rPr>
          <w:szCs w:val="24"/>
        </w:rPr>
        <w:t xml:space="preserve"> reference to an email Mr </w:t>
      </w:r>
      <w:proofErr w:type="spellStart"/>
      <w:r w:rsidR="008162DE" w:rsidRPr="00B82124">
        <w:rPr>
          <w:szCs w:val="24"/>
        </w:rPr>
        <w:t>Traynor</w:t>
      </w:r>
      <w:proofErr w:type="spellEnd"/>
      <w:r w:rsidR="008162DE" w:rsidRPr="00B82124">
        <w:rPr>
          <w:szCs w:val="24"/>
        </w:rPr>
        <w:t xml:space="preserve"> sent to the AMP Life Product team in December 2012 in which he raised an issue as to </w:t>
      </w:r>
      <w:r w:rsidR="00A956F3" w:rsidRPr="00B82124">
        <w:rPr>
          <w:i/>
          <w:szCs w:val="24"/>
        </w:rPr>
        <w:t>Pangan</w:t>
      </w:r>
      <w:r w:rsidR="008162DE" w:rsidRPr="00B82124">
        <w:rPr>
          <w:i/>
          <w:szCs w:val="24"/>
        </w:rPr>
        <w:t xml:space="preserve">iban’s </w:t>
      </w:r>
      <w:r w:rsidR="008162DE" w:rsidRPr="00B82124">
        <w:rPr>
          <w:szCs w:val="24"/>
        </w:rPr>
        <w:t>conduct, not the conduct of any other adviser.</w:t>
      </w:r>
    </w:p>
    <w:p w:rsidR="008162DE" w:rsidRPr="009150B6" w:rsidRDefault="003B3C7B" w:rsidP="003B3C7B">
      <w:pPr>
        <w:pStyle w:val="ParaNumbering"/>
        <w:numPr>
          <w:ilvl w:val="0"/>
          <w:numId w:val="0"/>
        </w:numPr>
        <w:tabs>
          <w:tab w:val="left" w:pos="720"/>
        </w:tabs>
        <w:ind w:hanging="720"/>
        <w:rPr>
          <w:szCs w:val="24"/>
        </w:rPr>
      </w:pPr>
      <w:bookmarkStart w:id="64" w:name="_Ref30602556"/>
      <w:r w:rsidRPr="009150B6">
        <w:rPr>
          <w:sz w:val="20"/>
        </w:rPr>
        <w:t>75</w:t>
      </w:r>
      <w:r w:rsidRPr="009150B6">
        <w:rPr>
          <w:sz w:val="20"/>
        </w:rPr>
        <w:tab/>
      </w:r>
      <w:r w:rsidR="008162DE" w:rsidRPr="009150B6">
        <w:rPr>
          <w:i/>
          <w:szCs w:val="24"/>
        </w:rPr>
        <w:t>Thirdly</w:t>
      </w:r>
      <w:r w:rsidR="008162DE" w:rsidRPr="009150B6">
        <w:rPr>
          <w:szCs w:val="24"/>
        </w:rPr>
        <w:t xml:space="preserve">, Ms </w:t>
      </w:r>
      <w:proofErr w:type="spellStart"/>
      <w:r w:rsidR="008162DE" w:rsidRPr="009150B6">
        <w:rPr>
          <w:szCs w:val="24"/>
        </w:rPr>
        <w:t>Firmansjah</w:t>
      </w:r>
      <w:proofErr w:type="spellEnd"/>
      <w:r w:rsidR="008162DE" w:rsidRPr="009150B6">
        <w:rPr>
          <w:szCs w:val="24"/>
        </w:rPr>
        <w:t xml:space="preserve">, Mr </w:t>
      </w:r>
      <w:proofErr w:type="spellStart"/>
      <w:r w:rsidR="008162DE" w:rsidRPr="009150B6">
        <w:rPr>
          <w:szCs w:val="24"/>
        </w:rPr>
        <w:t>Coroneos</w:t>
      </w:r>
      <w:proofErr w:type="spellEnd"/>
      <w:r w:rsidR="008162DE" w:rsidRPr="009150B6">
        <w:rPr>
          <w:szCs w:val="24"/>
        </w:rPr>
        <w:t xml:space="preserve"> and Ms Britt (all </w:t>
      </w:r>
      <w:r w:rsidR="00B82124">
        <w:rPr>
          <w:szCs w:val="24"/>
        </w:rPr>
        <w:t xml:space="preserve">of whom are </w:t>
      </w:r>
      <w:r w:rsidR="008162DE" w:rsidRPr="009150B6">
        <w:rPr>
          <w:szCs w:val="24"/>
        </w:rPr>
        <w:t>within Advice Governance) gave unchallenged evidence that they have n</w:t>
      </w:r>
      <w:r w:rsidR="00F05FE7">
        <w:rPr>
          <w:szCs w:val="24"/>
        </w:rPr>
        <w:t xml:space="preserve">ever seen conduct </w:t>
      </w:r>
      <w:r w:rsidR="008162DE" w:rsidRPr="009150B6">
        <w:rPr>
          <w:szCs w:val="24"/>
        </w:rPr>
        <w:t xml:space="preserve">like </w:t>
      </w:r>
      <w:r w:rsidR="00F05FE7">
        <w:rPr>
          <w:szCs w:val="24"/>
        </w:rPr>
        <w:t xml:space="preserve">that engaged in by </w:t>
      </w:r>
      <w:r w:rsidR="00A956F3">
        <w:rPr>
          <w:szCs w:val="24"/>
        </w:rPr>
        <w:t>Pangan</w:t>
      </w:r>
      <w:r w:rsidR="00F05FE7">
        <w:rPr>
          <w:szCs w:val="24"/>
        </w:rPr>
        <w:t>iban</w:t>
      </w:r>
      <w:r w:rsidR="008162DE" w:rsidRPr="009150B6">
        <w:rPr>
          <w:szCs w:val="24"/>
        </w:rPr>
        <w:t xml:space="preserve"> outside of the ad</w:t>
      </w:r>
      <w:r w:rsidR="00936E82">
        <w:rPr>
          <w:szCs w:val="24"/>
        </w:rPr>
        <w:t>visers named in this proceeding</w:t>
      </w:r>
      <w:r w:rsidR="00B82124">
        <w:rPr>
          <w:szCs w:val="24"/>
        </w:rPr>
        <w:t>; f</w:t>
      </w:r>
      <w:r w:rsidR="008162DE" w:rsidRPr="009150B6">
        <w:rPr>
          <w:szCs w:val="24"/>
        </w:rPr>
        <w:t>urther, Ms Britt gave unchallenged evidence that based on her understanding of the data analytic techniques that had been deployed and her role in Advice Compliance, her understanding was that</w:t>
      </w:r>
      <w:r w:rsidR="00F40047">
        <w:rPr>
          <w:szCs w:val="24"/>
        </w:rPr>
        <w:t xml:space="preserve"> </w:t>
      </w:r>
      <w:r w:rsidR="008162DE" w:rsidRPr="009150B6">
        <w:rPr>
          <w:szCs w:val="24"/>
        </w:rPr>
        <w:t xml:space="preserve">Rewriting Conduct (whether of the kind in which </w:t>
      </w:r>
      <w:r w:rsidR="00A956F3">
        <w:rPr>
          <w:szCs w:val="24"/>
        </w:rPr>
        <w:t>Pangan</w:t>
      </w:r>
      <w:r w:rsidR="008162DE" w:rsidRPr="009150B6">
        <w:rPr>
          <w:szCs w:val="24"/>
        </w:rPr>
        <w:t>iban engaged or not) was not widespread</w:t>
      </w:r>
      <w:r w:rsidR="007F07F3">
        <w:rPr>
          <w:szCs w:val="24"/>
        </w:rPr>
        <w:t>.</w:t>
      </w:r>
      <w:bookmarkEnd w:id="64"/>
    </w:p>
    <w:p w:rsidR="008162DE" w:rsidRPr="009150B6" w:rsidRDefault="003B3C7B" w:rsidP="003B3C7B">
      <w:pPr>
        <w:pStyle w:val="ParaNumbering"/>
        <w:numPr>
          <w:ilvl w:val="0"/>
          <w:numId w:val="0"/>
        </w:numPr>
        <w:tabs>
          <w:tab w:val="left" w:pos="720"/>
        </w:tabs>
        <w:ind w:hanging="720"/>
        <w:rPr>
          <w:szCs w:val="24"/>
        </w:rPr>
      </w:pPr>
      <w:r w:rsidRPr="009150B6">
        <w:rPr>
          <w:sz w:val="20"/>
        </w:rPr>
        <w:t>76</w:t>
      </w:r>
      <w:r w:rsidRPr="009150B6">
        <w:rPr>
          <w:sz w:val="20"/>
        </w:rPr>
        <w:tab/>
      </w:r>
      <w:r w:rsidR="008162DE" w:rsidRPr="009150B6">
        <w:rPr>
          <w:i/>
          <w:szCs w:val="24"/>
        </w:rPr>
        <w:t>Fourthly</w:t>
      </w:r>
      <w:r w:rsidR="008162DE" w:rsidRPr="009150B6">
        <w:rPr>
          <w:szCs w:val="24"/>
        </w:rPr>
        <w:t xml:space="preserve">, in 2015 and 2016, </w:t>
      </w:r>
      <w:r w:rsidR="00B82124">
        <w:rPr>
          <w:szCs w:val="24"/>
        </w:rPr>
        <w:t xml:space="preserve">it is submitted that </w:t>
      </w:r>
      <w:r w:rsidR="008162DE" w:rsidRPr="009150B6">
        <w:rPr>
          <w:szCs w:val="24"/>
        </w:rPr>
        <w:t>AMPF</w:t>
      </w:r>
      <w:r w:rsidR="00F05FE7">
        <w:rPr>
          <w:szCs w:val="24"/>
        </w:rPr>
        <w:t xml:space="preserve">P </w:t>
      </w:r>
      <w:r w:rsidR="008162DE" w:rsidRPr="009150B6">
        <w:rPr>
          <w:szCs w:val="24"/>
        </w:rPr>
        <w:t xml:space="preserve">undertook an exercise </w:t>
      </w:r>
      <w:r w:rsidR="001973C8">
        <w:rPr>
          <w:szCs w:val="24"/>
        </w:rPr>
        <w:t xml:space="preserve">which was alleged by AMPFP to constitute an </w:t>
      </w:r>
      <w:r w:rsidR="008162DE" w:rsidRPr="009150B6">
        <w:rPr>
          <w:szCs w:val="24"/>
        </w:rPr>
        <w:t xml:space="preserve">attempt to identify those clients who may have been subject to systemic Rewriting Conduct. The conclusion from that exercise was that systemic Rewriting </w:t>
      </w:r>
      <w:r w:rsidR="008162DE" w:rsidRPr="009150B6">
        <w:rPr>
          <w:szCs w:val="24"/>
        </w:rPr>
        <w:lastRenderedPageBreak/>
        <w:t xml:space="preserve">Conduct of the kind in which </w:t>
      </w:r>
      <w:r w:rsidR="00A956F3">
        <w:rPr>
          <w:szCs w:val="24"/>
        </w:rPr>
        <w:t>Pangan</w:t>
      </w:r>
      <w:r w:rsidR="008162DE" w:rsidRPr="009150B6">
        <w:rPr>
          <w:szCs w:val="24"/>
        </w:rPr>
        <w:t xml:space="preserve">iban engaged was not widespread. It was from that exercise that all of the instances of Rewriting Conduct in this case outside </w:t>
      </w:r>
      <w:r w:rsidR="00A956F3">
        <w:rPr>
          <w:szCs w:val="24"/>
        </w:rPr>
        <w:t>Pangan</w:t>
      </w:r>
      <w:r w:rsidR="008162DE" w:rsidRPr="009150B6">
        <w:rPr>
          <w:szCs w:val="24"/>
        </w:rPr>
        <w:t xml:space="preserve">iban were identified, in circumstances where during the Relevant Period there were approximately 20,000 applications by AMPFP advisers for insurance each year. The fact that only limited examples of such conduct were identified is </w:t>
      </w:r>
      <w:r w:rsidR="001973C8">
        <w:rPr>
          <w:szCs w:val="24"/>
        </w:rPr>
        <w:t xml:space="preserve">submitted to be </w:t>
      </w:r>
      <w:r w:rsidR="008162DE" w:rsidRPr="009150B6">
        <w:rPr>
          <w:szCs w:val="24"/>
        </w:rPr>
        <w:t>an indication that such conduct was not widespread.</w:t>
      </w:r>
    </w:p>
    <w:p w:rsidR="008162DE" w:rsidRPr="009150B6" w:rsidRDefault="003B3C7B" w:rsidP="003B3C7B">
      <w:pPr>
        <w:pStyle w:val="ParaNumbering"/>
        <w:numPr>
          <w:ilvl w:val="0"/>
          <w:numId w:val="0"/>
        </w:numPr>
        <w:tabs>
          <w:tab w:val="left" w:pos="720"/>
        </w:tabs>
        <w:ind w:hanging="720"/>
        <w:rPr>
          <w:szCs w:val="24"/>
        </w:rPr>
      </w:pPr>
      <w:r w:rsidRPr="009150B6">
        <w:rPr>
          <w:sz w:val="20"/>
        </w:rPr>
        <w:t>77</w:t>
      </w:r>
      <w:r w:rsidRPr="009150B6">
        <w:rPr>
          <w:sz w:val="20"/>
        </w:rPr>
        <w:tab/>
      </w:r>
      <w:r w:rsidR="008162DE" w:rsidRPr="009150B6">
        <w:rPr>
          <w:i/>
          <w:szCs w:val="24"/>
        </w:rPr>
        <w:t>Fifthly</w:t>
      </w:r>
      <w:r w:rsidR="008162DE" w:rsidRPr="009150B6">
        <w:rPr>
          <w:szCs w:val="24"/>
        </w:rPr>
        <w:t xml:space="preserve">, it is an agreed fact that the nature of </w:t>
      </w:r>
      <w:r w:rsidR="00A956F3">
        <w:rPr>
          <w:szCs w:val="24"/>
        </w:rPr>
        <w:t>Pangan</w:t>
      </w:r>
      <w:r w:rsidR="008162DE" w:rsidRPr="009150B6">
        <w:rPr>
          <w:szCs w:val="24"/>
        </w:rPr>
        <w:t>iban’s Rewriting Conduct involved a practice of active cancellation of existing insurance</w:t>
      </w:r>
      <w:r w:rsidR="008162DE" w:rsidRPr="00165D83">
        <w:rPr>
          <w:szCs w:val="24"/>
        </w:rPr>
        <w:t>, which was different to the Rewriti</w:t>
      </w:r>
      <w:r w:rsidR="00B82124" w:rsidRPr="00165D83">
        <w:rPr>
          <w:szCs w:val="24"/>
        </w:rPr>
        <w:t xml:space="preserve">ng Conduct of the </w:t>
      </w:r>
      <w:r w:rsidR="00F90987" w:rsidRPr="00165D83">
        <w:t>Other Authorised Representatives</w:t>
      </w:r>
      <w:r w:rsidR="00F90987" w:rsidRPr="00165D83">
        <w:rPr>
          <w:szCs w:val="24"/>
        </w:rPr>
        <w:t>.</w:t>
      </w:r>
      <w:r w:rsidR="008162DE" w:rsidRPr="00165D83">
        <w:rPr>
          <w:szCs w:val="24"/>
        </w:rPr>
        <w:t xml:space="preserve"> The</w:t>
      </w:r>
      <w:r w:rsidR="008162DE" w:rsidRPr="009150B6">
        <w:rPr>
          <w:szCs w:val="24"/>
        </w:rPr>
        <w:t xml:space="preserve"> relevance of this matter is that to the extent that ASIC relies on Mr </w:t>
      </w:r>
      <w:proofErr w:type="spellStart"/>
      <w:r w:rsidR="008162DE" w:rsidRPr="009150B6">
        <w:rPr>
          <w:szCs w:val="24"/>
        </w:rPr>
        <w:t>Traynor’s</w:t>
      </w:r>
      <w:proofErr w:type="spellEnd"/>
      <w:r w:rsidR="008162DE" w:rsidRPr="009150B6">
        <w:rPr>
          <w:szCs w:val="24"/>
        </w:rPr>
        <w:t xml:space="preserve"> description of </w:t>
      </w:r>
      <w:r w:rsidR="00A956F3">
        <w:rPr>
          <w:szCs w:val="24"/>
        </w:rPr>
        <w:t>Pangan</w:t>
      </w:r>
      <w:r w:rsidR="008162DE" w:rsidRPr="009150B6">
        <w:rPr>
          <w:szCs w:val="24"/>
        </w:rPr>
        <w:t xml:space="preserve">iban’s conduct as a common scenario (and Ms Gregory’s repetition of it), that was </w:t>
      </w:r>
      <w:r w:rsidR="00B82124">
        <w:rPr>
          <w:szCs w:val="24"/>
        </w:rPr>
        <w:t xml:space="preserve">said to be </w:t>
      </w:r>
      <w:r w:rsidR="008162DE" w:rsidRPr="009150B6">
        <w:rPr>
          <w:szCs w:val="24"/>
        </w:rPr>
        <w:t xml:space="preserve">a reference only to </w:t>
      </w:r>
      <w:r w:rsidR="00A956F3">
        <w:rPr>
          <w:szCs w:val="24"/>
        </w:rPr>
        <w:t>Pangan</w:t>
      </w:r>
      <w:r w:rsidR="008162DE" w:rsidRPr="009150B6">
        <w:rPr>
          <w:szCs w:val="24"/>
        </w:rPr>
        <w:t>iban’s conduct, not Rewriting Conduct generally.</w:t>
      </w:r>
    </w:p>
    <w:p w:rsidR="00105EC3" w:rsidRPr="00105EC3" w:rsidRDefault="005924B6" w:rsidP="00E63726">
      <w:pPr>
        <w:pStyle w:val="Heading3"/>
      </w:pPr>
      <w:bookmarkStart w:id="65" w:name="_Ref29821120"/>
      <w:bookmarkStart w:id="66" w:name="_Ref30603900"/>
      <w:r>
        <w:t>III</w:t>
      </w:r>
      <w:r>
        <w:tab/>
        <w:t xml:space="preserve">Conclusions as to </w:t>
      </w:r>
      <w:r w:rsidR="001E67B1">
        <w:t xml:space="preserve">commonality </w:t>
      </w:r>
      <w:r>
        <w:t xml:space="preserve">of </w:t>
      </w:r>
      <w:r w:rsidR="001E67B1">
        <w:t xml:space="preserve">conduct </w:t>
      </w:r>
      <w:r>
        <w:t xml:space="preserve">and </w:t>
      </w:r>
      <w:bookmarkEnd w:id="65"/>
      <w:r w:rsidR="001E67B1">
        <w:t>knowledge</w:t>
      </w:r>
      <w:bookmarkEnd w:id="66"/>
      <w:r w:rsidR="001E67B1" w:rsidRPr="00105EC3">
        <w:t xml:space="preserve"> </w:t>
      </w:r>
    </w:p>
    <w:p w:rsidR="00C24593" w:rsidRPr="00C24593" w:rsidRDefault="003B3C7B" w:rsidP="003B3C7B">
      <w:pPr>
        <w:pStyle w:val="ParaNumbering"/>
        <w:numPr>
          <w:ilvl w:val="0"/>
          <w:numId w:val="0"/>
        </w:numPr>
        <w:tabs>
          <w:tab w:val="left" w:pos="720"/>
        </w:tabs>
        <w:ind w:hanging="720"/>
      </w:pPr>
      <w:bookmarkStart w:id="67" w:name="_Ref25919146"/>
      <w:r w:rsidRPr="00C24593">
        <w:rPr>
          <w:sz w:val="20"/>
        </w:rPr>
        <w:t>78</w:t>
      </w:r>
      <w:r w:rsidRPr="00C24593">
        <w:rPr>
          <w:sz w:val="20"/>
        </w:rPr>
        <w:tab/>
      </w:r>
      <w:r w:rsidR="00251A1C">
        <w:t xml:space="preserve">I have </w:t>
      </w:r>
      <w:r w:rsidR="0081536A">
        <w:t xml:space="preserve">a feeling of disquiet in relation to this </w:t>
      </w:r>
      <w:r w:rsidR="0095289C">
        <w:t xml:space="preserve">contested </w:t>
      </w:r>
      <w:r w:rsidR="0081536A">
        <w:t>issue</w:t>
      </w:r>
      <w:r w:rsidR="0095289C">
        <w:t xml:space="preserve"> of knowledge</w:t>
      </w:r>
      <w:r w:rsidR="00C24593">
        <w:rPr>
          <w:szCs w:val="24"/>
        </w:rPr>
        <w:t>.</w:t>
      </w:r>
    </w:p>
    <w:p w:rsidR="00E059C2" w:rsidRPr="00E059C2" w:rsidRDefault="003B3C7B" w:rsidP="003B3C7B">
      <w:pPr>
        <w:pStyle w:val="ParaNumbering"/>
        <w:numPr>
          <w:ilvl w:val="0"/>
          <w:numId w:val="0"/>
        </w:numPr>
        <w:tabs>
          <w:tab w:val="left" w:pos="720"/>
        </w:tabs>
        <w:ind w:hanging="720"/>
      </w:pPr>
      <w:r w:rsidRPr="00E059C2">
        <w:rPr>
          <w:sz w:val="20"/>
        </w:rPr>
        <w:t>79</w:t>
      </w:r>
      <w:r w:rsidRPr="00E059C2">
        <w:rPr>
          <w:sz w:val="20"/>
        </w:rPr>
        <w:tab/>
      </w:r>
      <w:r w:rsidR="00C24593">
        <w:rPr>
          <w:szCs w:val="24"/>
        </w:rPr>
        <w:t xml:space="preserve">On this topic, </w:t>
      </w:r>
      <w:r w:rsidR="00EF4894">
        <w:rPr>
          <w:szCs w:val="24"/>
        </w:rPr>
        <w:t>as both parties recognised</w:t>
      </w:r>
      <w:r w:rsidR="00E059C2">
        <w:t xml:space="preserve">, </w:t>
      </w:r>
      <w:r w:rsidR="0081536A">
        <w:t xml:space="preserve">Mr </w:t>
      </w:r>
      <w:proofErr w:type="spellStart"/>
      <w:r w:rsidR="0081536A">
        <w:t>Traynor’s</w:t>
      </w:r>
      <w:proofErr w:type="spellEnd"/>
      <w:r w:rsidR="0081536A">
        <w:t xml:space="preserve"> email</w:t>
      </w:r>
      <w:r w:rsidR="00251A1C">
        <w:t>s</w:t>
      </w:r>
      <w:r w:rsidR="0081536A">
        <w:t xml:space="preserve"> </w:t>
      </w:r>
      <w:r w:rsidR="00251A1C">
        <w:t>were</w:t>
      </w:r>
      <w:r w:rsidR="00C24593">
        <w:t xml:space="preserve"> of signal</w:t>
      </w:r>
      <w:r w:rsidR="005658DB">
        <w:t xml:space="preserve"> importance. </w:t>
      </w:r>
      <w:r w:rsidR="00E059C2">
        <w:t xml:space="preserve">He was not called. There was </w:t>
      </w:r>
      <w:r w:rsidR="00075EA7">
        <w:t>a supposed explanation, being second-</w:t>
      </w:r>
      <w:r w:rsidR="00E059C2">
        <w:t>hand hearsay evidence from a solicitor</w:t>
      </w:r>
      <w:r w:rsidR="00EF4894">
        <w:t xml:space="preserve"> for AMPFP</w:t>
      </w:r>
      <w:r w:rsidR="00E059C2">
        <w:t>, Mr Slater</w:t>
      </w:r>
      <w:r w:rsidR="00A22CB1">
        <w:t>,</w:t>
      </w:r>
      <w:r w:rsidR="00E059C2">
        <w:t xml:space="preserve"> which noted:</w:t>
      </w:r>
      <w:bookmarkEnd w:id="67"/>
      <w:r w:rsidR="00E059C2">
        <w:t xml:space="preserve"> </w:t>
      </w:r>
    </w:p>
    <w:p w:rsidR="00E059C2" w:rsidRPr="00E059C2" w:rsidRDefault="00E059C2" w:rsidP="00E059C2">
      <w:pPr>
        <w:pStyle w:val="Quote1"/>
      </w:pPr>
      <w:r w:rsidRPr="00E059C2">
        <w:t xml:space="preserve">During </w:t>
      </w:r>
      <w:r>
        <w:t xml:space="preserve">the course of these proceedings, </w:t>
      </w:r>
      <w:r w:rsidRPr="00E059C2">
        <w:t>I made inquiries of Ms Larissa Baker Cook (General</w:t>
      </w:r>
      <w:r>
        <w:t xml:space="preserve"> Counse</w:t>
      </w:r>
      <w:r w:rsidRPr="00E059C2">
        <w:t>l</w:t>
      </w:r>
      <w:r>
        <w:t>,</w:t>
      </w:r>
      <w:r w:rsidRPr="00E059C2">
        <w:t xml:space="preserve"> Dispute Resolution and Regulatory Engagement at AMP) as to the availability of Mr </w:t>
      </w:r>
      <w:proofErr w:type="spellStart"/>
      <w:r w:rsidRPr="00E059C2">
        <w:t>Traynor</w:t>
      </w:r>
      <w:proofErr w:type="spellEnd"/>
      <w:r w:rsidRPr="00E059C2">
        <w:t xml:space="preserve"> to gi</w:t>
      </w:r>
      <w:r>
        <w:t>ve evidence in these proceeding</w:t>
      </w:r>
      <w:r w:rsidRPr="00E059C2">
        <w:t>s</w:t>
      </w:r>
      <w:r>
        <w:t>.</w:t>
      </w:r>
      <w:r w:rsidRPr="00E059C2">
        <w:t xml:space="preserve"> In response to those inquiries, I was informed that it has not been possible to contact Mr </w:t>
      </w:r>
      <w:proofErr w:type="spellStart"/>
      <w:r w:rsidRPr="00E059C2">
        <w:t>Traynor</w:t>
      </w:r>
      <w:proofErr w:type="spellEnd"/>
      <w:r w:rsidRPr="00E059C2">
        <w:t xml:space="preserve"> about the subject matter of these proceedings and that Mr </w:t>
      </w:r>
      <w:proofErr w:type="spellStart"/>
      <w:r w:rsidRPr="00E059C2">
        <w:t>Traynor</w:t>
      </w:r>
      <w:proofErr w:type="spellEnd"/>
      <w:r w:rsidRPr="00E059C2">
        <w:t xml:space="preserve"> was not in a sufficient state of health to give evidence.</w:t>
      </w:r>
    </w:p>
    <w:p w:rsidR="00075EA7" w:rsidRPr="00075EA7" w:rsidRDefault="003B3C7B" w:rsidP="003B3C7B">
      <w:pPr>
        <w:pStyle w:val="ParaNumbering"/>
        <w:numPr>
          <w:ilvl w:val="0"/>
          <w:numId w:val="0"/>
        </w:numPr>
        <w:tabs>
          <w:tab w:val="left" w:pos="720"/>
        </w:tabs>
        <w:ind w:hanging="720"/>
      </w:pPr>
      <w:r w:rsidRPr="00075EA7">
        <w:rPr>
          <w:sz w:val="20"/>
        </w:rPr>
        <w:t>80</w:t>
      </w:r>
      <w:r w:rsidRPr="00075EA7">
        <w:rPr>
          <w:sz w:val="20"/>
        </w:rPr>
        <w:tab/>
      </w:r>
      <w:r w:rsidR="00E059C2">
        <w:rPr>
          <w:szCs w:val="24"/>
        </w:rPr>
        <w:t>It was further said</w:t>
      </w:r>
      <w:r w:rsidR="00075EA7">
        <w:rPr>
          <w:szCs w:val="24"/>
        </w:rPr>
        <w:t xml:space="preserve">, again by way of second-hand hearsay, </w:t>
      </w:r>
      <w:r w:rsidR="00E059C2">
        <w:rPr>
          <w:szCs w:val="24"/>
        </w:rPr>
        <w:t xml:space="preserve">that Mr </w:t>
      </w:r>
      <w:proofErr w:type="spellStart"/>
      <w:r w:rsidR="00E059C2">
        <w:rPr>
          <w:szCs w:val="24"/>
        </w:rPr>
        <w:t>Traynor</w:t>
      </w:r>
      <w:proofErr w:type="spellEnd"/>
      <w:r w:rsidR="00075EA7">
        <w:rPr>
          <w:szCs w:val="24"/>
        </w:rPr>
        <w:t>:</w:t>
      </w:r>
    </w:p>
    <w:p w:rsidR="00075EA7" w:rsidRPr="00075EA7" w:rsidRDefault="00075EA7" w:rsidP="00075EA7">
      <w:pPr>
        <w:pStyle w:val="Quote1"/>
      </w:pPr>
      <w:r>
        <w:rPr>
          <w:szCs w:val="24"/>
        </w:rPr>
        <w:t xml:space="preserve">… </w:t>
      </w:r>
      <w:r w:rsidRPr="00075EA7">
        <w:rPr>
          <w:szCs w:val="24"/>
        </w:rPr>
        <w:t>was not required to attend any interview due to his absence from work, which was due to a medical</w:t>
      </w:r>
      <w:r>
        <w:rPr>
          <w:szCs w:val="24"/>
        </w:rPr>
        <w:t xml:space="preserve"> </w:t>
      </w:r>
      <w:r w:rsidRPr="00075EA7">
        <w:rPr>
          <w:szCs w:val="24"/>
        </w:rPr>
        <w:t>condition and that ASIC had been advised of this condition during the course of that investigation</w:t>
      </w:r>
      <w:r>
        <w:rPr>
          <w:szCs w:val="24"/>
        </w:rPr>
        <w:t>.</w:t>
      </w:r>
    </w:p>
    <w:p w:rsidR="0092519D" w:rsidRPr="0092519D" w:rsidRDefault="003B3C7B" w:rsidP="003B3C7B">
      <w:pPr>
        <w:pStyle w:val="ParaNumbering"/>
        <w:numPr>
          <w:ilvl w:val="0"/>
          <w:numId w:val="0"/>
        </w:numPr>
        <w:tabs>
          <w:tab w:val="left" w:pos="720"/>
        </w:tabs>
        <w:ind w:hanging="720"/>
      </w:pPr>
      <w:r w:rsidRPr="0092519D">
        <w:rPr>
          <w:sz w:val="20"/>
        </w:rPr>
        <w:t>81</w:t>
      </w:r>
      <w:r w:rsidRPr="0092519D">
        <w:rPr>
          <w:sz w:val="20"/>
        </w:rPr>
        <w:tab/>
      </w:r>
      <w:r w:rsidR="00EF4894">
        <w:rPr>
          <w:szCs w:val="24"/>
        </w:rPr>
        <w:t>Despite its deficiencies, t</w:t>
      </w:r>
      <w:r w:rsidR="00877793">
        <w:rPr>
          <w:szCs w:val="24"/>
        </w:rPr>
        <w:t>h</w:t>
      </w:r>
      <w:r w:rsidR="00504841">
        <w:rPr>
          <w:szCs w:val="24"/>
        </w:rPr>
        <w:t xml:space="preserve">ere was no objection to this evidence maintained </w:t>
      </w:r>
      <w:r w:rsidR="00105EC3">
        <w:rPr>
          <w:szCs w:val="24"/>
        </w:rPr>
        <w:t xml:space="preserve">by ASIC </w:t>
      </w:r>
      <w:r w:rsidR="00504841">
        <w:rPr>
          <w:szCs w:val="24"/>
        </w:rPr>
        <w:t>and notwithstanding what I</w:t>
      </w:r>
      <w:r w:rsidR="00EF4894">
        <w:rPr>
          <w:szCs w:val="24"/>
        </w:rPr>
        <w:t xml:space="preserve"> consider to be its </w:t>
      </w:r>
      <w:r w:rsidR="00504841">
        <w:rPr>
          <w:szCs w:val="24"/>
        </w:rPr>
        <w:t xml:space="preserve">less than compelling nature, there was no suggestion made that any inference should be drawn by reason of a failure of AMPFP to call Mr </w:t>
      </w:r>
      <w:proofErr w:type="spellStart"/>
      <w:r w:rsidR="00504841">
        <w:rPr>
          <w:szCs w:val="24"/>
        </w:rPr>
        <w:t>Traynor</w:t>
      </w:r>
      <w:proofErr w:type="spellEnd"/>
      <w:r w:rsidR="00105EC3">
        <w:rPr>
          <w:szCs w:val="24"/>
        </w:rPr>
        <w:t xml:space="preserve">; nor did ASIC </w:t>
      </w:r>
      <w:r w:rsidR="00504841">
        <w:rPr>
          <w:szCs w:val="24"/>
        </w:rPr>
        <w:t>subpoena him and call him in its case.</w:t>
      </w:r>
      <w:r w:rsidR="00F40047">
        <w:rPr>
          <w:szCs w:val="24"/>
        </w:rPr>
        <w:t xml:space="preserve"> </w:t>
      </w:r>
      <w:r w:rsidR="00504841">
        <w:rPr>
          <w:szCs w:val="24"/>
        </w:rPr>
        <w:t>Accordingly</w:t>
      </w:r>
      <w:r w:rsidR="00D16985">
        <w:rPr>
          <w:szCs w:val="24"/>
        </w:rPr>
        <w:t>,</w:t>
      </w:r>
      <w:r w:rsidR="00504841">
        <w:rPr>
          <w:szCs w:val="24"/>
        </w:rPr>
        <w:t xml:space="preserve"> I am </w:t>
      </w:r>
      <w:r w:rsidR="0095289C">
        <w:rPr>
          <w:szCs w:val="24"/>
        </w:rPr>
        <w:t xml:space="preserve">only </w:t>
      </w:r>
      <w:r w:rsidR="00504841">
        <w:rPr>
          <w:szCs w:val="24"/>
        </w:rPr>
        <w:t xml:space="preserve">left to speculate as to what Mr </w:t>
      </w:r>
      <w:proofErr w:type="spellStart"/>
      <w:r w:rsidR="00504841">
        <w:rPr>
          <w:szCs w:val="24"/>
        </w:rPr>
        <w:t>Traynor</w:t>
      </w:r>
      <w:proofErr w:type="spellEnd"/>
      <w:r w:rsidR="00504841">
        <w:rPr>
          <w:szCs w:val="24"/>
        </w:rPr>
        <w:t xml:space="preserve"> meant and what he knew.</w:t>
      </w:r>
      <w:r w:rsidR="005A06EB">
        <w:rPr>
          <w:szCs w:val="24"/>
        </w:rPr>
        <w:t xml:space="preserve"> </w:t>
      </w:r>
    </w:p>
    <w:p w:rsidR="0092519D" w:rsidRPr="0092519D" w:rsidRDefault="003B3C7B" w:rsidP="003B3C7B">
      <w:pPr>
        <w:pStyle w:val="ParaNumbering"/>
        <w:numPr>
          <w:ilvl w:val="0"/>
          <w:numId w:val="0"/>
        </w:numPr>
        <w:tabs>
          <w:tab w:val="left" w:pos="720"/>
        </w:tabs>
        <w:ind w:hanging="720"/>
      </w:pPr>
      <w:r w:rsidRPr="0092519D">
        <w:rPr>
          <w:sz w:val="20"/>
        </w:rPr>
        <w:t>82</w:t>
      </w:r>
      <w:r w:rsidRPr="0092519D">
        <w:rPr>
          <w:sz w:val="20"/>
        </w:rPr>
        <w:tab/>
      </w:r>
      <w:r w:rsidR="00D16985">
        <w:rPr>
          <w:szCs w:val="24"/>
        </w:rPr>
        <w:t xml:space="preserve">The recipient of his email, </w:t>
      </w:r>
      <w:r w:rsidR="0092519D">
        <w:rPr>
          <w:szCs w:val="24"/>
        </w:rPr>
        <w:t>Ms Gregory</w:t>
      </w:r>
      <w:r w:rsidR="001E67B1">
        <w:rPr>
          <w:szCs w:val="24"/>
        </w:rPr>
        <w:t>,</w:t>
      </w:r>
      <w:r w:rsidR="0092519D">
        <w:rPr>
          <w:szCs w:val="24"/>
        </w:rPr>
        <w:t xml:space="preserve"> gave evidence in chief, </w:t>
      </w:r>
      <w:r w:rsidR="00D16985">
        <w:rPr>
          <w:szCs w:val="24"/>
        </w:rPr>
        <w:t xml:space="preserve">which </w:t>
      </w:r>
      <w:r w:rsidR="0092519D">
        <w:rPr>
          <w:szCs w:val="24"/>
        </w:rPr>
        <w:t>includ</w:t>
      </w:r>
      <w:r w:rsidR="00FA439A">
        <w:rPr>
          <w:szCs w:val="24"/>
        </w:rPr>
        <w:t>ed</w:t>
      </w:r>
      <w:r w:rsidR="0092519D">
        <w:rPr>
          <w:szCs w:val="24"/>
        </w:rPr>
        <w:t xml:space="preserve"> the following: </w:t>
      </w:r>
    </w:p>
    <w:p w:rsidR="0092519D" w:rsidRPr="0092519D" w:rsidRDefault="0092519D" w:rsidP="0092519D">
      <w:pPr>
        <w:pStyle w:val="Quote1"/>
      </w:pPr>
      <w:r w:rsidRPr="0092519D">
        <w:lastRenderedPageBreak/>
        <w:t xml:space="preserve">On 7 March 2013, I called Todd </w:t>
      </w:r>
      <w:proofErr w:type="spellStart"/>
      <w:r w:rsidRPr="0092519D">
        <w:t>Traynor</w:t>
      </w:r>
      <w:proofErr w:type="spellEnd"/>
      <w:r w:rsidRPr="0092519D">
        <w:t xml:space="preserve"> who was an underwriter with AMP in order to obtain further information in relation to Mr Panganiban</w:t>
      </w:r>
      <w:r w:rsidR="00D16985">
        <w:t>..</w:t>
      </w:r>
      <w:r w:rsidRPr="0092519D">
        <w:t>. While I no longer recall the conversation, I have no reason to doubt that the file note is accurate. In that file</w:t>
      </w:r>
      <w:r w:rsidR="00D16985">
        <w:t xml:space="preserve"> </w:t>
      </w:r>
      <w:r w:rsidRPr="0092519D">
        <w:t xml:space="preserve">note, I have recorded that Mr </w:t>
      </w:r>
      <w:proofErr w:type="spellStart"/>
      <w:r w:rsidRPr="0092519D">
        <w:t>Traynor</w:t>
      </w:r>
      <w:proofErr w:type="spellEnd"/>
      <w:r w:rsidRPr="0092519D">
        <w:t xml:space="preserve"> has </w:t>
      </w:r>
      <w:r w:rsidR="00D16985">
        <w:t>said that this appears to be a “common scenario”</w:t>
      </w:r>
      <w:r w:rsidRPr="0092519D">
        <w:t xml:space="preserve">. I do not now recall whether Mr </w:t>
      </w:r>
      <w:proofErr w:type="spellStart"/>
      <w:r w:rsidRPr="0092519D">
        <w:t>Traynor</w:t>
      </w:r>
      <w:proofErr w:type="spellEnd"/>
      <w:r w:rsidRPr="0092519D">
        <w:t xml:space="preserve"> identified how he formed this view or whether he indicated that such a view related to Mr Panganiban or was also in relation to other financial advisers.</w:t>
      </w:r>
    </w:p>
    <w:p w:rsidR="00D16985" w:rsidRPr="00D16985" w:rsidRDefault="003B3C7B" w:rsidP="003B3C7B">
      <w:pPr>
        <w:pStyle w:val="ParaNumbering"/>
        <w:numPr>
          <w:ilvl w:val="0"/>
          <w:numId w:val="0"/>
        </w:numPr>
        <w:tabs>
          <w:tab w:val="left" w:pos="720"/>
        </w:tabs>
        <w:ind w:hanging="720"/>
      </w:pPr>
      <w:r w:rsidRPr="00D16985">
        <w:rPr>
          <w:sz w:val="20"/>
        </w:rPr>
        <w:t>83</w:t>
      </w:r>
      <w:r w:rsidRPr="00D16985">
        <w:rPr>
          <w:sz w:val="20"/>
        </w:rPr>
        <w:tab/>
      </w:r>
      <w:r w:rsidR="00D16985">
        <w:rPr>
          <w:szCs w:val="24"/>
        </w:rPr>
        <w:t xml:space="preserve">She gave further evidence as follows: </w:t>
      </w:r>
    </w:p>
    <w:p w:rsidR="00D16985" w:rsidRPr="00D16985" w:rsidRDefault="00D16985" w:rsidP="00D16985">
      <w:pPr>
        <w:pStyle w:val="Quote1"/>
      </w:pPr>
      <w:r w:rsidRPr="00D16985">
        <w:t>On 17 June 2013 I sent an email to Peter Bennett who was in ERM</w:t>
      </w:r>
      <w:r>
        <w:t>…</w:t>
      </w:r>
      <w:r w:rsidR="00F40047">
        <w:t xml:space="preserve"> </w:t>
      </w:r>
      <w:r w:rsidRPr="00D16985">
        <w:t>I did so because I considered that it was necessary to escalate the matter to a licensee level so that a determination could be made as to whether there were any licensee concerns. In that email I noted th</w:t>
      </w:r>
      <w:r w:rsidR="00877793">
        <w:t>at “</w:t>
      </w:r>
      <w:r w:rsidRPr="00D16985">
        <w:t xml:space="preserve">New Business have told me that </w:t>
      </w:r>
      <w:r w:rsidR="00877793">
        <w:t>this practice is wide spread...”</w:t>
      </w:r>
      <w:r w:rsidRPr="00D16985">
        <w:t xml:space="preserve">. In that statement I was referring to my discussion with Mr </w:t>
      </w:r>
      <w:proofErr w:type="spellStart"/>
      <w:r w:rsidRPr="00D16985">
        <w:t>Traynor</w:t>
      </w:r>
      <w:proofErr w:type="spellEnd"/>
      <w:r w:rsidRPr="00D16985">
        <w:t>, rather than any conversation I had with someone in the New Business team. As I have noted above, I did no</w:t>
      </w:r>
      <w:r>
        <w:t xml:space="preserve">t know the basis for Mr </w:t>
      </w:r>
      <w:proofErr w:type="spellStart"/>
      <w:r>
        <w:t>Traynor’</w:t>
      </w:r>
      <w:r w:rsidRPr="00D16985">
        <w:t>s</w:t>
      </w:r>
      <w:proofErr w:type="spellEnd"/>
      <w:r w:rsidRPr="00D16985">
        <w:t xml:space="preserve"> statement. I had not seen such a practice before Mr Panganiban came to my attention.</w:t>
      </w:r>
      <w:r>
        <w:t xml:space="preserve"> </w:t>
      </w:r>
    </w:p>
    <w:p w:rsidR="00AF1F29" w:rsidRPr="00936E82" w:rsidRDefault="003B3C7B" w:rsidP="003B3C7B">
      <w:pPr>
        <w:pStyle w:val="ParaNumbering"/>
        <w:numPr>
          <w:ilvl w:val="0"/>
          <w:numId w:val="0"/>
        </w:numPr>
        <w:tabs>
          <w:tab w:val="left" w:pos="720"/>
        </w:tabs>
        <w:ind w:hanging="720"/>
        <w:rPr>
          <w:szCs w:val="24"/>
        </w:rPr>
      </w:pPr>
      <w:r w:rsidRPr="00936E82">
        <w:rPr>
          <w:sz w:val="20"/>
        </w:rPr>
        <w:t>84</w:t>
      </w:r>
      <w:r w:rsidRPr="00936E82">
        <w:rPr>
          <w:sz w:val="20"/>
        </w:rPr>
        <w:tab/>
      </w:r>
      <w:r w:rsidR="00D16985">
        <w:rPr>
          <w:szCs w:val="24"/>
        </w:rPr>
        <w:t>Th</w:t>
      </w:r>
      <w:r w:rsidR="00F965CA">
        <w:rPr>
          <w:szCs w:val="24"/>
        </w:rPr>
        <w:t>ere was no cross-examination</w:t>
      </w:r>
      <w:r w:rsidR="00D16985">
        <w:rPr>
          <w:szCs w:val="24"/>
        </w:rPr>
        <w:t>.</w:t>
      </w:r>
      <w:r w:rsidR="00F40047">
        <w:t xml:space="preserve"> </w:t>
      </w:r>
      <w:r w:rsidR="00504841" w:rsidRPr="00D16985">
        <w:rPr>
          <w:szCs w:val="24"/>
        </w:rPr>
        <w:t>Additionally there was no</w:t>
      </w:r>
      <w:r w:rsidR="00B82124" w:rsidRPr="00D16985">
        <w:rPr>
          <w:szCs w:val="24"/>
        </w:rPr>
        <w:t xml:space="preserve"> exploration of, and challenge to, the evidence in chief of </w:t>
      </w:r>
      <w:r w:rsidR="0081536A" w:rsidRPr="00D16985">
        <w:rPr>
          <w:szCs w:val="24"/>
        </w:rPr>
        <w:t xml:space="preserve">Ms </w:t>
      </w:r>
      <w:proofErr w:type="spellStart"/>
      <w:r w:rsidR="0081536A" w:rsidRPr="00D16985">
        <w:rPr>
          <w:szCs w:val="24"/>
        </w:rPr>
        <w:t>Firmansjah</w:t>
      </w:r>
      <w:proofErr w:type="spellEnd"/>
      <w:r w:rsidR="0081536A" w:rsidRPr="00D16985">
        <w:rPr>
          <w:szCs w:val="24"/>
        </w:rPr>
        <w:t xml:space="preserve">, Mr </w:t>
      </w:r>
      <w:proofErr w:type="spellStart"/>
      <w:r w:rsidR="0081536A" w:rsidRPr="00D16985">
        <w:rPr>
          <w:szCs w:val="24"/>
        </w:rPr>
        <w:t>Coroneos</w:t>
      </w:r>
      <w:proofErr w:type="spellEnd"/>
      <w:r w:rsidR="0081536A" w:rsidRPr="00D16985">
        <w:rPr>
          <w:szCs w:val="24"/>
        </w:rPr>
        <w:t xml:space="preserve"> </w:t>
      </w:r>
      <w:r w:rsidR="005E50E3">
        <w:rPr>
          <w:szCs w:val="24"/>
        </w:rPr>
        <w:t>or</w:t>
      </w:r>
      <w:r w:rsidR="0081536A" w:rsidRPr="00D16985">
        <w:rPr>
          <w:szCs w:val="24"/>
        </w:rPr>
        <w:t xml:space="preserve"> Ms Britt</w:t>
      </w:r>
      <w:r w:rsidR="00D16985">
        <w:rPr>
          <w:szCs w:val="24"/>
        </w:rPr>
        <w:t>.</w:t>
      </w:r>
      <w:r w:rsidR="00936E82">
        <w:rPr>
          <w:szCs w:val="24"/>
        </w:rPr>
        <w:t xml:space="preserve"> Regarding AMPFP’s submission that they each </w:t>
      </w:r>
      <w:r w:rsidR="00936E82" w:rsidRPr="009150B6">
        <w:rPr>
          <w:szCs w:val="24"/>
        </w:rPr>
        <w:t>gave unchallenged evidence that they have n</w:t>
      </w:r>
      <w:r w:rsidR="00936E82">
        <w:rPr>
          <w:szCs w:val="24"/>
        </w:rPr>
        <w:t xml:space="preserve">ever seen conduct </w:t>
      </w:r>
      <w:r w:rsidR="00936E82" w:rsidRPr="009150B6">
        <w:rPr>
          <w:szCs w:val="24"/>
        </w:rPr>
        <w:t xml:space="preserve">like </w:t>
      </w:r>
      <w:r w:rsidR="00936E82">
        <w:rPr>
          <w:szCs w:val="24"/>
        </w:rPr>
        <w:t>that engaged in by Panganiban</w:t>
      </w:r>
      <w:r w:rsidR="00936E82" w:rsidRPr="009150B6">
        <w:rPr>
          <w:szCs w:val="24"/>
        </w:rPr>
        <w:t xml:space="preserve"> outside of the ad</w:t>
      </w:r>
      <w:r w:rsidR="00936E82">
        <w:rPr>
          <w:szCs w:val="24"/>
        </w:rPr>
        <w:t>visers named in this proceeding, this was not entirely a</w:t>
      </w:r>
      <w:r w:rsidR="00B02120">
        <w:rPr>
          <w:szCs w:val="24"/>
        </w:rPr>
        <w:t xml:space="preserve">ccurate. As I have explained </w:t>
      </w:r>
      <w:r w:rsidR="00936E82">
        <w:rPr>
          <w:szCs w:val="24"/>
        </w:rPr>
        <w:t xml:space="preserve">above, the evidence of Mr </w:t>
      </w:r>
      <w:proofErr w:type="spellStart"/>
      <w:r w:rsidR="00936E82">
        <w:rPr>
          <w:szCs w:val="24"/>
        </w:rPr>
        <w:t>Coroneos</w:t>
      </w:r>
      <w:proofErr w:type="spellEnd"/>
      <w:r w:rsidR="00936E82">
        <w:rPr>
          <w:szCs w:val="24"/>
        </w:rPr>
        <w:t xml:space="preserve"> and Ms </w:t>
      </w:r>
      <w:proofErr w:type="spellStart"/>
      <w:r w:rsidR="00936E82">
        <w:rPr>
          <w:szCs w:val="24"/>
        </w:rPr>
        <w:t>Firmansjah</w:t>
      </w:r>
      <w:proofErr w:type="spellEnd"/>
      <w:r w:rsidR="00936E82">
        <w:rPr>
          <w:szCs w:val="24"/>
        </w:rPr>
        <w:t xml:space="preserve"> was that they had not observed Rewriting Conduct out</w:t>
      </w:r>
      <w:r w:rsidR="00B02120">
        <w:rPr>
          <w:szCs w:val="24"/>
        </w:rPr>
        <w:t>side of Panganiban. Notably</w:t>
      </w:r>
      <w:r w:rsidR="00936E82">
        <w:rPr>
          <w:szCs w:val="24"/>
        </w:rPr>
        <w:t xml:space="preserve">, </w:t>
      </w:r>
      <w:r w:rsidR="0088725C">
        <w:rPr>
          <w:szCs w:val="24"/>
        </w:rPr>
        <w:t xml:space="preserve">superficially consistent but subtlety </w:t>
      </w:r>
      <w:r w:rsidR="00936E82">
        <w:rPr>
          <w:szCs w:val="24"/>
        </w:rPr>
        <w:t xml:space="preserve">different </w:t>
      </w:r>
      <w:r w:rsidR="00251A1C">
        <w:rPr>
          <w:szCs w:val="24"/>
        </w:rPr>
        <w:t xml:space="preserve">evidence was adduced </w:t>
      </w:r>
      <w:r w:rsidR="00936E82">
        <w:rPr>
          <w:szCs w:val="24"/>
        </w:rPr>
        <w:t>by AMPFP th</w:t>
      </w:r>
      <w:r w:rsidR="00DD5F5B">
        <w:rPr>
          <w:szCs w:val="24"/>
        </w:rPr>
        <w:t>rough Ms Britt after the making</w:t>
      </w:r>
      <w:r w:rsidR="00936E82">
        <w:rPr>
          <w:szCs w:val="24"/>
        </w:rPr>
        <w:t xml:space="preserve"> of admissions in May 2019 following service of the JER. </w:t>
      </w:r>
      <w:r w:rsidR="00A065F3">
        <w:rPr>
          <w:szCs w:val="24"/>
        </w:rPr>
        <w:t>Such</w:t>
      </w:r>
      <w:r w:rsidR="00B02120">
        <w:rPr>
          <w:szCs w:val="24"/>
        </w:rPr>
        <w:t xml:space="preserve"> </w:t>
      </w:r>
      <w:r w:rsidR="00A065F3">
        <w:rPr>
          <w:szCs w:val="24"/>
        </w:rPr>
        <w:t>inconsistencies were</w:t>
      </w:r>
      <w:r w:rsidR="00997523">
        <w:rPr>
          <w:szCs w:val="24"/>
        </w:rPr>
        <w:t xml:space="preserve"> unexplored.</w:t>
      </w:r>
    </w:p>
    <w:p w:rsidR="005658DB" w:rsidRPr="005658DB" w:rsidRDefault="003B3C7B" w:rsidP="003B3C7B">
      <w:pPr>
        <w:pStyle w:val="ParaNumbering"/>
        <w:numPr>
          <w:ilvl w:val="0"/>
          <w:numId w:val="0"/>
        </w:numPr>
        <w:tabs>
          <w:tab w:val="left" w:pos="720"/>
        </w:tabs>
        <w:ind w:hanging="720"/>
      </w:pPr>
      <w:r w:rsidRPr="005658DB">
        <w:rPr>
          <w:sz w:val="20"/>
        </w:rPr>
        <w:t>85</w:t>
      </w:r>
      <w:r w:rsidRPr="005658DB">
        <w:rPr>
          <w:sz w:val="20"/>
        </w:rPr>
        <w:tab/>
      </w:r>
      <w:r w:rsidR="00C24593">
        <w:rPr>
          <w:szCs w:val="24"/>
        </w:rPr>
        <w:t>AMPFP</w:t>
      </w:r>
      <w:r w:rsidR="00862F75">
        <w:rPr>
          <w:szCs w:val="24"/>
        </w:rPr>
        <w:t>’s</w:t>
      </w:r>
      <w:r w:rsidR="00C24593">
        <w:rPr>
          <w:szCs w:val="24"/>
        </w:rPr>
        <w:t xml:space="preserve"> </w:t>
      </w:r>
      <w:r w:rsidR="00334EA2">
        <w:rPr>
          <w:szCs w:val="24"/>
        </w:rPr>
        <w:t xml:space="preserve">submission that by embracing the JER, </w:t>
      </w:r>
      <w:r w:rsidR="005658DB">
        <w:rPr>
          <w:szCs w:val="24"/>
        </w:rPr>
        <w:t>ASIC accept</w:t>
      </w:r>
      <w:r w:rsidR="00334EA2">
        <w:rPr>
          <w:szCs w:val="24"/>
        </w:rPr>
        <w:t>ed</w:t>
      </w:r>
      <w:r w:rsidR="005658DB">
        <w:rPr>
          <w:szCs w:val="24"/>
        </w:rPr>
        <w:t xml:space="preserve"> that it </w:t>
      </w:r>
      <w:r w:rsidR="005658DB" w:rsidRPr="009150B6">
        <w:rPr>
          <w:szCs w:val="24"/>
        </w:rPr>
        <w:t xml:space="preserve">was </w:t>
      </w:r>
      <w:r w:rsidR="005658DB">
        <w:rPr>
          <w:szCs w:val="24"/>
        </w:rPr>
        <w:t xml:space="preserve">apparently </w:t>
      </w:r>
      <w:r w:rsidR="005658DB" w:rsidRPr="009150B6">
        <w:rPr>
          <w:szCs w:val="24"/>
        </w:rPr>
        <w:t xml:space="preserve">necessary to </w:t>
      </w:r>
      <w:r w:rsidR="005658DB">
        <w:rPr>
          <w:szCs w:val="24"/>
        </w:rPr>
        <w:t xml:space="preserve">investigate to ascertain </w:t>
      </w:r>
      <w:r w:rsidR="005658DB" w:rsidRPr="009150B6">
        <w:rPr>
          <w:szCs w:val="24"/>
        </w:rPr>
        <w:t xml:space="preserve">whether </w:t>
      </w:r>
      <w:r w:rsidR="005658DB">
        <w:rPr>
          <w:szCs w:val="24"/>
        </w:rPr>
        <w:t xml:space="preserve">Rewriting Conduct was </w:t>
      </w:r>
      <w:r w:rsidR="005658DB" w:rsidRPr="009150B6">
        <w:rPr>
          <w:szCs w:val="24"/>
        </w:rPr>
        <w:t>widespread</w:t>
      </w:r>
      <w:r w:rsidR="00334EA2">
        <w:rPr>
          <w:szCs w:val="24"/>
        </w:rPr>
        <w:t>, has</w:t>
      </w:r>
      <w:r w:rsidR="00A22CB1">
        <w:rPr>
          <w:szCs w:val="24"/>
        </w:rPr>
        <w:t xml:space="preserve"> little substance.</w:t>
      </w:r>
      <w:r w:rsidR="00F40047">
        <w:rPr>
          <w:szCs w:val="24"/>
        </w:rPr>
        <w:t xml:space="preserve"> </w:t>
      </w:r>
      <w:r w:rsidR="00EF4894">
        <w:rPr>
          <w:szCs w:val="24"/>
        </w:rPr>
        <w:t xml:space="preserve">How </w:t>
      </w:r>
      <w:r w:rsidR="007D40E3">
        <w:rPr>
          <w:szCs w:val="24"/>
        </w:rPr>
        <w:t xml:space="preserve">it </w:t>
      </w:r>
      <w:r w:rsidR="00EF4894">
        <w:rPr>
          <w:szCs w:val="24"/>
        </w:rPr>
        <w:t>was within the</w:t>
      </w:r>
      <w:r w:rsidR="00334EA2">
        <w:rPr>
          <w:szCs w:val="24"/>
        </w:rPr>
        <w:t xml:space="preserve"> experts’ knowledge to draw conclusions</w:t>
      </w:r>
      <w:r w:rsidR="00EF4894">
        <w:rPr>
          <w:szCs w:val="24"/>
        </w:rPr>
        <w:t xml:space="preserve">, even implicitly, about the </w:t>
      </w:r>
      <w:r w:rsidR="00334EA2">
        <w:rPr>
          <w:szCs w:val="24"/>
        </w:rPr>
        <w:t xml:space="preserve">fact of the </w:t>
      </w:r>
      <w:r w:rsidR="00EF4894">
        <w:rPr>
          <w:szCs w:val="24"/>
        </w:rPr>
        <w:t>extent of AMPFP’s knowledge</w:t>
      </w:r>
      <w:r w:rsidR="00A22CB1">
        <w:rPr>
          <w:szCs w:val="24"/>
        </w:rPr>
        <w:t>,</w:t>
      </w:r>
      <w:r w:rsidR="00EF4894">
        <w:rPr>
          <w:szCs w:val="24"/>
        </w:rPr>
        <w:t xml:space="preserve"> was not really explained.</w:t>
      </w:r>
      <w:r w:rsidR="00F40047">
        <w:rPr>
          <w:szCs w:val="24"/>
        </w:rPr>
        <w:t xml:space="preserve"> </w:t>
      </w:r>
      <w:r w:rsidR="00A22CB1">
        <w:rPr>
          <w:szCs w:val="24"/>
        </w:rPr>
        <w:t xml:space="preserve">The experts were not acting in an inquisitorial fashion ascertaining precisely what AMPFP knew and when it knew it. </w:t>
      </w:r>
      <w:r w:rsidR="00FF7C7E">
        <w:rPr>
          <w:szCs w:val="24"/>
        </w:rPr>
        <w:t>Nor is there much substance in AMPFP’s reliance on its later internal investigations because of the limitations of those investigations, which I will deal with below.</w:t>
      </w:r>
    </w:p>
    <w:p w:rsidR="00105EC3" w:rsidRPr="005A760E" w:rsidRDefault="003B3C7B" w:rsidP="003B3C7B">
      <w:pPr>
        <w:pStyle w:val="ParaNumbering"/>
        <w:numPr>
          <w:ilvl w:val="0"/>
          <w:numId w:val="0"/>
        </w:numPr>
        <w:tabs>
          <w:tab w:val="left" w:pos="720"/>
        </w:tabs>
        <w:ind w:hanging="720"/>
        <w:rPr>
          <w:szCs w:val="24"/>
        </w:rPr>
      </w:pPr>
      <w:r w:rsidRPr="005A760E">
        <w:rPr>
          <w:sz w:val="20"/>
        </w:rPr>
        <w:t>86</w:t>
      </w:r>
      <w:r w:rsidRPr="005A760E">
        <w:rPr>
          <w:sz w:val="20"/>
        </w:rPr>
        <w:tab/>
      </w:r>
      <w:r w:rsidR="00A22CB1">
        <w:rPr>
          <w:szCs w:val="24"/>
        </w:rPr>
        <w:t>More relevantly</w:t>
      </w:r>
      <w:r w:rsidR="00F965CA">
        <w:rPr>
          <w:szCs w:val="24"/>
        </w:rPr>
        <w:t xml:space="preserve">, </w:t>
      </w:r>
      <w:r w:rsidR="00334EA2">
        <w:rPr>
          <w:szCs w:val="24"/>
        </w:rPr>
        <w:t xml:space="preserve">however, </w:t>
      </w:r>
      <w:r w:rsidR="00C75BAE">
        <w:rPr>
          <w:szCs w:val="24"/>
        </w:rPr>
        <w:t xml:space="preserve">there was no evidence as to why </w:t>
      </w:r>
      <w:r w:rsidR="00C75BAE" w:rsidRPr="00C75BAE">
        <w:rPr>
          <w:szCs w:val="24"/>
        </w:rPr>
        <w:t>Mr Buckler</w:t>
      </w:r>
      <w:r w:rsidR="00C75BAE">
        <w:rPr>
          <w:szCs w:val="24"/>
        </w:rPr>
        <w:t xml:space="preserve">’s </w:t>
      </w:r>
      <w:r w:rsidR="005A760E">
        <w:rPr>
          <w:szCs w:val="24"/>
        </w:rPr>
        <w:t xml:space="preserve">evident </w:t>
      </w:r>
      <w:r w:rsidR="00C75BAE">
        <w:rPr>
          <w:szCs w:val="24"/>
        </w:rPr>
        <w:t>concerns</w:t>
      </w:r>
      <w:r w:rsidR="005A760E">
        <w:rPr>
          <w:szCs w:val="24"/>
        </w:rPr>
        <w:t>,</w:t>
      </w:r>
      <w:r w:rsidR="00C75BAE">
        <w:rPr>
          <w:szCs w:val="24"/>
        </w:rPr>
        <w:t xml:space="preserve"> </w:t>
      </w:r>
      <w:r w:rsidR="005A760E">
        <w:rPr>
          <w:szCs w:val="24"/>
        </w:rPr>
        <w:t>as early as February</w:t>
      </w:r>
      <w:r w:rsidR="005A760E" w:rsidRPr="005A760E">
        <w:rPr>
          <w:szCs w:val="24"/>
        </w:rPr>
        <w:t xml:space="preserve"> 2013, </w:t>
      </w:r>
      <w:r w:rsidR="005A760E">
        <w:rPr>
          <w:szCs w:val="24"/>
        </w:rPr>
        <w:t xml:space="preserve">were not followed up; it will be recalled he had been sent an earlier </w:t>
      </w:r>
      <w:r w:rsidR="001D45C3" w:rsidRPr="005A760E">
        <w:rPr>
          <w:szCs w:val="24"/>
        </w:rPr>
        <w:t>email from</w:t>
      </w:r>
      <w:r w:rsidR="00C75BAE" w:rsidRPr="005A760E">
        <w:rPr>
          <w:szCs w:val="24"/>
        </w:rPr>
        <w:t xml:space="preserve"> Mr </w:t>
      </w:r>
      <w:proofErr w:type="spellStart"/>
      <w:r w:rsidR="00C75BAE" w:rsidRPr="005A760E">
        <w:rPr>
          <w:szCs w:val="24"/>
        </w:rPr>
        <w:t>Traynor</w:t>
      </w:r>
      <w:proofErr w:type="spellEnd"/>
      <w:r w:rsidR="00C75BAE" w:rsidRPr="005A760E">
        <w:rPr>
          <w:szCs w:val="24"/>
        </w:rPr>
        <w:t xml:space="preserve"> </w:t>
      </w:r>
      <w:r w:rsidR="001D45C3" w:rsidRPr="005A760E">
        <w:rPr>
          <w:szCs w:val="24"/>
        </w:rPr>
        <w:t>saying “</w:t>
      </w:r>
      <w:r w:rsidR="00C75BAE" w:rsidRPr="005A760E">
        <w:rPr>
          <w:i/>
          <w:szCs w:val="24"/>
        </w:rPr>
        <w:t xml:space="preserve">[t]hey </w:t>
      </w:r>
      <w:r w:rsidR="00C75BAE" w:rsidRPr="005A760E">
        <w:rPr>
          <w:szCs w:val="24"/>
        </w:rPr>
        <w:t>should NOT be allowed to do this as it is not right by the client BUT as per below u</w:t>
      </w:r>
      <w:r w:rsidR="001D45C3" w:rsidRPr="005A760E">
        <w:rPr>
          <w:szCs w:val="24"/>
        </w:rPr>
        <w:t>nfortunately not</w:t>
      </w:r>
      <w:r w:rsidR="00FA439A">
        <w:rPr>
          <w:szCs w:val="24"/>
        </w:rPr>
        <w:t>hing we can do” (emphasis added</w:t>
      </w:r>
      <w:r w:rsidR="001D45C3" w:rsidRPr="005A760E">
        <w:rPr>
          <w:szCs w:val="24"/>
        </w:rPr>
        <w:t>).</w:t>
      </w:r>
      <w:r w:rsidR="005A06EB">
        <w:rPr>
          <w:szCs w:val="24"/>
        </w:rPr>
        <w:t xml:space="preserve"> </w:t>
      </w:r>
      <w:r w:rsidR="001D45C3" w:rsidRPr="005A760E">
        <w:rPr>
          <w:szCs w:val="24"/>
        </w:rPr>
        <w:t xml:space="preserve">Further, </w:t>
      </w:r>
      <w:r w:rsidR="00F965CA" w:rsidRPr="005A760E">
        <w:rPr>
          <w:szCs w:val="24"/>
        </w:rPr>
        <w:t>Ms Gregory was not cross-examined on precisely why she formed the view “</w:t>
      </w:r>
      <w:r w:rsidR="00F965CA" w:rsidRPr="00D16985">
        <w:t xml:space="preserve">that it was necessary </w:t>
      </w:r>
      <w:r w:rsidR="00F965CA" w:rsidRPr="00D16985">
        <w:lastRenderedPageBreak/>
        <w:t>to escalate the matter to a licensee level</w:t>
      </w:r>
      <w:r w:rsidR="00F965CA">
        <w:t xml:space="preserve">”, which would seem to me to indicate that she </w:t>
      </w:r>
      <w:r w:rsidR="009C7168">
        <w:t xml:space="preserve">might have </w:t>
      </w:r>
      <w:r w:rsidR="00F965CA">
        <w:t xml:space="preserve">considered, partly on the basis of what had been communicated by Mr </w:t>
      </w:r>
      <w:proofErr w:type="spellStart"/>
      <w:r w:rsidR="00F965CA">
        <w:t>Traynor</w:t>
      </w:r>
      <w:proofErr w:type="spellEnd"/>
      <w:r w:rsidR="00F965CA">
        <w:t xml:space="preserve">, that it was of </w:t>
      </w:r>
      <w:bookmarkStart w:id="68" w:name="_GoBack"/>
      <w:bookmarkEnd w:id="68"/>
      <w:r w:rsidR="00F965CA">
        <w:t>sufficient significance to be reported</w:t>
      </w:r>
      <w:r w:rsidR="00C24593">
        <w:t xml:space="preserve"> (a view later shared by the initially constituted Issues Panel)</w:t>
      </w:r>
      <w:r w:rsidR="00F965CA">
        <w:t>.</w:t>
      </w:r>
      <w:r w:rsidR="005A06EB">
        <w:t xml:space="preserve"> </w:t>
      </w:r>
      <w:r w:rsidR="00F40047">
        <w:t xml:space="preserve"> </w:t>
      </w:r>
    </w:p>
    <w:p w:rsidR="00C24593" w:rsidRPr="00C24593" w:rsidRDefault="003B3C7B" w:rsidP="003B3C7B">
      <w:pPr>
        <w:pStyle w:val="ParaNumbering"/>
        <w:numPr>
          <w:ilvl w:val="0"/>
          <w:numId w:val="0"/>
        </w:numPr>
        <w:tabs>
          <w:tab w:val="left" w:pos="720"/>
        </w:tabs>
        <w:ind w:hanging="720"/>
        <w:rPr>
          <w:szCs w:val="24"/>
        </w:rPr>
      </w:pPr>
      <w:bookmarkStart w:id="69" w:name="_Ref25919157"/>
      <w:r w:rsidRPr="00C24593">
        <w:rPr>
          <w:sz w:val="20"/>
        </w:rPr>
        <w:t>87</w:t>
      </w:r>
      <w:r w:rsidRPr="00C24593">
        <w:rPr>
          <w:sz w:val="20"/>
        </w:rPr>
        <w:tab/>
      </w:r>
      <w:r w:rsidR="00C24593" w:rsidRPr="00C24593">
        <w:rPr>
          <w:szCs w:val="24"/>
        </w:rPr>
        <w:t>All the affidavit evidence, as ASIC correctl</w:t>
      </w:r>
      <w:r w:rsidR="0088725C">
        <w:rPr>
          <w:szCs w:val="24"/>
        </w:rPr>
        <w:t>y submits, was evidently fine</w:t>
      </w:r>
      <w:r w:rsidR="00C24593" w:rsidRPr="00C24593">
        <w:rPr>
          <w:szCs w:val="24"/>
        </w:rPr>
        <w:t>ly drafted but taken together, on the state of the evidence as a whole, there is no secure basis upon which I can reach a level of rea</w:t>
      </w:r>
      <w:r w:rsidR="001D45C3">
        <w:rPr>
          <w:szCs w:val="24"/>
        </w:rPr>
        <w:t>sonable satisfaction to make a</w:t>
      </w:r>
      <w:r w:rsidR="00C24593" w:rsidRPr="00C24593">
        <w:rPr>
          <w:szCs w:val="24"/>
        </w:rPr>
        <w:t xml:space="preserve"> finding in accordance with s 140 of the </w:t>
      </w:r>
      <w:r w:rsidR="00C24593" w:rsidRPr="00C24593">
        <w:rPr>
          <w:i/>
          <w:szCs w:val="24"/>
        </w:rPr>
        <w:t>Evidence Act 1995</w:t>
      </w:r>
      <w:r w:rsidR="00C24593" w:rsidRPr="00C24593">
        <w:rPr>
          <w:szCs w:val="24"/>
        </w:rPr>
        <w:t xml:space="preserve"> (</w:t>
      </w:r>
      <w:proofErr w:type="spellStart"/>
      <w:r w:rsidR="00C24593" w:rsidRPr="00C24593">
        <w:rPr>
          <w:szCs w:val="24"/>
        </w:rPr>
        <w:t>Cth</w:t>
      </w:r>
      <w:proofErr w:type="spellEnd"/>
      <w:r w:rsidR="00C24593" w:rsidRPr="00C24593">
        <w:rPr>
          <w:szCs w:val="24"/>
        </w:rPr>
        <w:t xml:space="preserve">) that </w:t>
      </w:r>
      <w:r w:rsidR="007A6DF6">
        <w:rPr>
          <w:szCs w:val="24"/>
        </w:rPr>
        <w:t xml:space="preserve">senior management of </w:t>
      </w:r>
      <w:r w:rsidR="00C24593" w:rsidRPr="00C24593">
        <w:rPr>
          <w:szCs w:val="24"/>
        </w:rPr>
        <w:t>AMPFP had reason to believe that</w:t>
      </w:r>
      <w:r w:rsidR="00061E10">
        <w:rPr>
          <w:szCs w:val="24"/>
        </w:rPr>
        <w:t xml:space="preserve"> the</w:t>
      </w:r>
      <w:r w:rsidR="00C24593" w:rsidRPr="00C24593">
        <w:rPr>
          <w:szCs w:val="24"/>
        </w:rPr>
        <w:t xml:space="preserve"> Rewriting Conduct was common or widespread in June 2013 (although </w:t>
      </w:r>
      <w:r w:rsidR="00A22CB1">
        <w:rPr>
          <w:szCs w:val="24"/>
        </w:rPr>
        <w:t xml:space="preserve">I </w:t>
      </w:r>
      <w:r w:rsidR="00B02120">
        <w:rPr>
          <w:szCs w:val="24"/>
        </w:rPr>
        <w:t xml:space="preserve">wish to </w:t>
      </w:r>
      <w:r w:rsidR="005A760E">
        <w:rPr>
          <w:szCs w:val="24"/>
        </w:rPr>
        <w:t>emphasise</w:t>
      </w:r>
      <w:r w:rsidR="00183B41">
        <w:rPr>
          <w:szCs w:val="24"/>
        </w:rPr>
        <w:t xml:space="preserve"> </w:t>
      </w:r>
      <w:r w:rsidR="00A22CB1">
        <w:rPr>
          <w:szCs w:val="24"/>
        </w:rPr>
        <w:t xml:space="preserve">that </w:t>
      </w:r>
      <w:r w:rsidR="00C24593" w:rsidRPr="00C24593">
        <w:rPr>
          <w:szCs w:val="24"/>
        </w:rPr>
        <w:t xml:space="preserve">this does not equate to a finding that I am satisfied that this was not the case). </w:t>
      </w:r>
    </w:p>
    <w:p w:rsidR="00B82124" w:rsidRPr="00627BDF" w:rsidRDefault="003B3C7B" w:rsidP="003B3C7B">
      <w:pPr>
        <w:pStyle w:val="ParaNumbering"/>
        <w:numPr>
          <w:ilvl w:val="0"/>
          <w:numId w:val="0"/>
        </w:numPr>
        <w:tabs>
          <w:tab w:val="left" w:pos="720"/>
        </w:tabs>
        <w:ind w:hanging="720"/>
        <w:rPr>
          <w:szCs w:val="24"/>
        </w:rPr>
      </w:pPr>
      <w:r w:rsidRPr="00627BDF">
        <w:rPr>
          <w:sz w:val="20"/>
        </w:rPr>
        <w:t>88</w:t>
      </w:r>
      <w:r w:rsidRPr="00627BDF">
        <w:rPr>
          <w:sz w:val="20"/>
        </w:rPr>
        <w:tab/>
      </w:r>
      <w:r w:rsidR="00504841" w:rsidRPr="00F965CA">
        <w:t xml:space="preserve">I </w:t>
      </w:r>
      <w:r w:rsidR="00F965CA">
        <w:t xml:space="preserve">hasten to add </w:t>
      </w:r>
      <w:r w:rsidR="00C24593">
        <w:t xml:space="preserve">that in making this finding </w:t>
      </w:r>
      <w:r w:rsidR="00F965CA">
        <w:t xml:space="preserve">I </w:t>
      </w:r>
      <w:r w:rsidR="00504841" w:rsidRPr="00F965CA">
        <w:t xml:space="preserve">am not being </w:t>
      </w:r>
      <w:r w:rsidR="00C24593">
        <w:t xml:space="preserve">critical of the way ASIC’s </w:t>
      </w:r>
      <w:r w:rsidR="00504841" w:rsidRPr="00F965CA">
        <w:t>case was r</w:t>
      </w:r>
      <w:r w:rsidR="00D16985" w:rsidRPr="00F965CA">
        <w:t>un</w:t>
      </w:r>
      <w:r w:rsidR="00C24593">
        <w:t xml:space="preserve">. </w:t>
      </w:r>
      <w:r w:rsidR="00BF6F3B">
        <w:t xml:space="preserve">Experienced </w:t>
      </w:r>
      <w:r w:rsidR="00B02120">
        <w:t xml:space="preserve">and highly competent </w:t>
      </w:r>
      <w:r w:rsidR="00BF6F3B">
        <w:t>counsel</w:t>
      </w:r>
      <w:r w:rsidR="00105EC3">
        <w:t xml:space="preserve"> </w:t>
      </w:r>
      <w:r w:rsidR="00B02120">
        <w:t xml:space="preserve">advanced ASIC’s case with </w:t>
      </w:r>
      <w:r w:rsidR="004C03DE">
        <w:t xml:space="preserve">skill. </w:t>
      </w:r>
      <w:r w:rsidR="00B02120">
        <w:t>In no</w:t>
      </w:r>
      <w:r w:rsidR="007F0143">
        <w:t>t exploring and testing some</w:t>
      </w:r>
      <w:r w:rsidR="004C03DE">
        <w:t xml:space="preserve"> curious</w:t>
      </w:r>
      <w:r w:rsidR="00B02120">
        <w:t xml:space="preserve"> aspects of AMPFP’s evidence, they </w:t>
      </w:r>
      <w:r w:rsidR="00105EC3">
        <w:t>were no doubt acting on</w:t>
      </w:r>
      <w:r w:rsidR="00F965CA" w:rsidRPr="00F965CA">
        <w:t xml:space="preserve"> instructions from ASIC.</w:t>
      </w:r>
      <w:r w:rsidR="00F40047">
        <w:t xml:space="preserve"> </w:t>
      </w:r>
      <w:r w:rsidR="004C03DE">
        <w:t>Perhaps it was thought by ASIC that it does not matter a great deal because a penalty at the higher end of the range is required to be imposed to achieve the ends of specific and general deterrence, irrespective</w:t>
      </w:r>
      <w:r w:rsidR="00B91305">
        <w:t xml:space="preserve"> as to whether AMPFP had </w:t>
      </w:r>
      <w:r w:rsidR="00FF7C7E">
        <w:t xml:space="preserve">or should have had knowledge, as at June 2013, </w:t>
      </w:r>
      <w:r w:rsidR="004C03DE">
        <w:t xml:space="preserve">as to how widespread the conduct might have been (and actually was). </w:t>
      </w:r>
      <w:r w:rsidR="0088725C">
        <w:t xml:space="preserve">It may have also </w:t>
      </w:r>
      <w:r w:rsidR="00FF7C7E">
        <w:t xml:space="preserve">been </w:t>
      </w:r>
      <w:r w:rsidR="0088725C">
        <w:t>thought</w:t>
      </w:r>
      <w:r w:rsidR="00FF7C7E">
        <w:t xml:space="preserve"> </w:t>
      </w:r>
      <w:r w:rsidR="0088725C">
        <w:t xml:space="preserve">that the essence of at least some of the contraventions was not taking steps to investigate and then address </w:t>
      </w:r>
      <w:r w:rsidR="0088725C" w:rsidRPr="0088725C">
        <w:t>th</w:t>
      </w:r>
      <w:r w:rsidR="00FF7C7E">
        <w:t xml:space="preserve">e extent and seriousness of </w:t>
      </w:r>
      <w:r w:rsidR="0088725C" w:rsidRPr="0088725C">
        <w:t xml:space="preserve">Rewriting Conduct, </w:t>
      </w:r>
      <w:r w:rsidR="00FF7C7E">
        <w:t xml:space="preserve">irrespective of whether it had reason to believe, as at June 2013, it </w:t>
      </w:r>
      <w:r w:rsidR="00FF7C7E">
        <w:rPr>
          <w:szCs w:val="24"/>
        </w:rPr>
        <w:t xml:space="preserve">was </w:t>
      </w:r>
      <w:r w:rsidR="00FF7C7E" w:rsidRPr="00C24593">
        <w:rPr>
          <w:szCs w:val="24"/>
        </w:rPr>
        <w:t>widespread</w:t>
      </w:r>
      <w:r w:rsidR="00FF7C7E">
        <w:rPr>
          <w:szCs w:val="24"/>
        </w:rPr>
        <w:t xml:space="preserve">. </w:t>
      </w:r>
      <w:r w:rsidR="00FF7C7E" w:rsidRPr="00C24593">
        <w:rPr>
          <w:szCs w:val="24"/>
        </w:rPr>
        <w:t xml:space="preserve"> </w:t>
      </w:r>
      <w:r w:rsidR="00AC0562">
        <w:rPr>
          <w:szCs w:val="24"/>
        </w:rPr>
        <w:t>It is further relevant that the knowledge of the seriousness of the Rewriting Conduct problem, and its possible causes, evolved in the manner I have explained after June 2013, up until the emergence of the Issues Panel.  But having noted these matters</w:t>
      </w:r>
      <w:r w:rsidR="00F965CA" w:rsidRPr="00F965CA">
        <w:t xml:space="preserve">, </w:t>
      </w:r>
      <w:r w:rsidR="00105EC3">
        <w:t>as a consequence of the way ASIC has approached this aspect of the case</w:t>
      </w:r>
      <w:r w:rsidR="00AC0562">
        <w:t xml:space="preserve"> as to early knowledge of AMPFP</w:t>
      </w:r>
      <w:r w:rsidR="00105EC3">
        <w:t xml:space="preserve">, </w:t>
      </w:r>
      <w:r w:rsidR="00D16985" w:rsidRPr="00F965CA">
        <w:t xml:space="preserve">I </w:t>
      </w:r>
      <w:r w:rsidR="00105EC3">
        <w:t xml:space="preserve">am left </w:t>
      </w:r>
      <w:r w:rsidR="005924B6">
        <w:t>looking through a glass darkly.</w:t>
      </w:r>
      <w:r w:rsidR="00F40047">
        <w:t xml:space="preserve"> </w:t>
      </w:r>
      <w:r w:rsidR="005924B6">
        <w:t xml:space="preserve">I can </w:t>
      </w:r>
      <w:r w:rsidR="00105EC3">
        <w:t xml:space="preserve">only speculate </w:t>
      </w:r>
      <w:r w:rsidR="00504841" w:rsidRPr="00F965CA">
        <w:t xml:space="preserve">as to </w:t>
      </w:r>
      <w:r w:rsidR="00E43BEC" w:rsidRPr="00F965CA">
        <w:t>how wide</w:t>
      </w:r>
      <w:r w:rsidR="00105EC3">
        <w:t>spread the Rewriting C</w:t>
      </w:r>
      <w:r w:rsidR="00E43BEC" w:rsidRPr="00F965CA">
        <w:t>ondu</w:t>
      </w:r>
      <w:r w:rsidR="00FF7C7E">
        <w:t xml:space="preserve">ct actually was in mid-2013 </w:t>
      </w:r>
      <w:r w:rsidR="00D16985" w:rsidRPr="00F965CA">
        <w:t>and</w:t>
      </w:r>
      <w:r w:rsidR="00F965CA">
        <w:t>, in particular,</w:t>
      </w:r>
      <w:r w:rsidR="00D16985" w:rsidRPr="00F965CA">
        <w:t xml:space="preserve"> </w:t>
      </w:r>
      <w:r w:rsidR="00504841" w:rsidRPr="00F965CA">
        <w:t xml:space="preserve">what </w:t>
      </w:r>
      <w:r w:rsidR="00F965CA">
        <w:t xml:space="preserve">those responsible within </w:t>
      </w:r>
      <w:r w:rsidR="00504841" w:rsidRPr="00F965CA">
        <w:t xml:space="preserve">AMPFP actually knew </w:t>
      </w:r>
      <w:r w:rsidR="007F640B">
        <w:t xml:space="preserve">or should have known </w:t>
      </w:r>
      <w:r w:rsidR="00504841" w:rsidRPr="00F965CA">
        <w:t xml:space="preserve">about the extent of </w:t>
      </w:r>
      <w:r w:rsidR="00E43BEC" w:rsidRPr="00F965CA">
        <w:t>such conduct</w:t>
      </w:r>
      <w:r w:rsidR="00504841" w:rsidRPr="00F965CA">
        <w:t>.</w:t>
      </w:r>
      <w:r w:rsidR="00105EC3">
        <w:t xml:space="preserve"> </w:t>
      </w:r>
      <w:r w:rsidR="00877793">
        <w:t>But speculation is not proof</w:t>
      </w:r>
      <w:r w:rsidR="00E43BEC" w:rsidRPr="00F965CA">
        <w:t>.</w:t>
      </w:r>
      <w:bookmarkEnd w:id="69"/>
      <w:r w:rsidR="00E43BEC" w:rsidRPr="00F965CA">
        <w:t xml:space="preserve"> </w:t>
      </w:r>
      <w:r w:rsidR="00FF7C7E">
        <w:t xml:space="preserve"> A</w:t>
      </w:r>
      <w:r w:rsidR="00627BDF">
        <w:t xml:space="preserve">t the end of the day, </w:t>
      </w:r>
      <w:r w:rsidR="0045795F">
        <w:t xml:space="preserve">as will be explained in the context of </w:t>
      </w:r>
      <w:r w:rsidR="00627BDF">
        <w:t xml:space="preserve">determining penalty, </w:t>
      </w:r>
      <w:r w:rsidR="0045795F">
        <w:t>irrespective of ASIC’s failure to prove that as at 1 July 2013</w:t>
      </w:r>
      <w:r w:rsidR="0045795F" w:rsidRPr="0045795F">
        <w:t xml:space="preserve"> AMPFP had reason to believe that th</w:t>
      </w:r>
      <w:r w:rsidR="0045795F">
        <w:t>e Rewriting Conduct was common,</w:t>
      </w:r>
      <w:r w:rsidR="0045795F" w:rsidRPr="0045795F">
        <w:t xml:space="preserve"> </w:t>
      </w:r>
      <w:r w:rsidR="00627BDF">
        <w:t xml:space="preserve">what really matters is that </w:t>
      </w:r>
      <w:r w:rsidR="0045795F">
        <w:t>during the Relevant Period, and the latter part of that period in particular, it signally failed</w:t>
      </w:r>
      <w:r w:rsidR="00627BDF">
        <w:t xml:space="preserve"> </w:t>
      </w:r>
      <w:r w:rsidR="00627BDF" w:rsidRPr="00627BDF">
        <w:rPr>
          <w:szCs w:val="24"/>
        </w:rPr>
        <w:t>to determine the extent and seriousness of the Rewriting Conduct in the wider rep</w:t>
      </w:r>
      <w:r w:rsidR="0045795F">
        <w:rPr>
          <w:szCs w:val="24"/>
        </w:rPr>
        <w:t>resentative network and assess</w:t>
      </w:r>
      <w:r w:rsidR="00627BDF" w:rsidRPr="00627BDF">
        <w:rPr>
          <w:szCs w:val="24"/>
        </w:rPr>
        <w:t xml:space="preserve"> what changes were needed.</w:t>
      </w:r>
    </w:p>
    <w:p w:rsidR="00DE40D9" w:rsidRDefault="009A6F06" w:rsidP="00124929">
      <w:pPr>
        <w:pStyle w:val="Heading2"/>
        <w:rPr>
          <w:caps/>
        </w:rPr>
      </w:pPr>
      <w:bookmarkStart w:id="70" w:name="_Ref22827389"/>
      <w:r>
        <w:lastRenderedPageBreak/>
        <w:t>G</w:t>
      </w:r>
      <w:r w:rsidR="001F7893">
        <w:t>.</w:t>
      </w:r>
      <w:r w:rsidR="008162DE">
        <w:t xml:space="preserve">2. </w:t>
      </w:r>
      <w:r w:rsidR="008162DE">
        <w:tab/>
      </w:r>
      <w:r w:rsidR="00E92987">
        <w:t xml:space="preserve">How </w:t>
      </w:r>
      <w:r w:rsidR="00914FBC">
        <w:t>m</w:t>
      </w:r>
      <w:r w:rsidR="00E92987">
        <w:t xml:space="preserve">any </w:t>
      </w:r>
      <w:r w:rsidR="00914FBC">
        <w:t>c</w:t>
      </w:r>
      <w:r w:rsidR="00E92987">
        <w:t>ontraventions</w:t>
      </w:r>
      <w:r w:rsidR="00E24C45">
        <w:t xml:space="preserve"> of s 961L</w:t>
      </w:r>
      <w:r w:rsidR="006045FD">
        <w:t>?</w:t>
      </w:r>
      <w:bookmarkEnd w:id="59"/>
      <w:bookmarkEnd w:id="70"/>
      <w:r w:rsidR="00E92987">
        <w:t xml:space="preserve"> </w:t>
      </w:r>
    </w:p>
    <w:p w:rsidR="00FA5BEE" w:rsidRDefault="003B3C7B" w:rsidP="003B3C7B">
      <w:pPr>
        <w:pStyle w:val="ParaNumbering"/>
        <w:numPr>
          <w:ilvl w:val="0"/>
          <w:numId w:val="0"/>
        </w:numPr>
        <w:tabs>
          <w:tab w:val="left" w:pos="720"/>
        </w:tabs>
        <w:ind w:hanging="720"/>
      </w:pPr>
      <w:r>
        <w:rPr>
          <w:sz w:val="20"/>
        </w:rPr>
        <w:t>89</w:t>
      </w:r>
      <w:r>
        <w:rPr>
          <w:sz w:val="20"/>
        </w:rPr>
        <w:tab/>
      </w:r>
      <w:r w:rsidR="007F640B">
        <w:t>T</w:t>
      </w:r>
      <w:r w:rsidR="00255776">
        <w:t>he</w:t>
      </w:r>
      <w:r w:rsidR="007F640B">
        <w:t xml:space="preserve"> second contested issue </w:t>
      </w:r>
      <w:r w:rsidR="00255776">
        <w:t>is a dispute</w:t>
      </w:r>
      <w:r w:rsidR="00255776">
        <w:rPr>
          <w:spacing w:val="5"/>
        </w:rPr>
        <w:t xml:space="preserve"> </w:t>
      </w:r>
      <w:r w:rsidR="00255776">
        <w:t>between the</w:t>
      </w:r>
      <w:r w:rsidR="00255776" w:rsidRPr="00255776">
        <w:rPr>
          <w:spacing w:val="-7"/>
        </w:rPr>
        <w:t xml:space="preserve"> </w:t>
      </w:r>
      <w:r w:rsidR="00255776">
        <w:t>parties</w:t>
      </w:r>
      <w:r w:rsidR="00255776" w:rsidRPr="00255776">
        <w:rPr>
          <w:spacing w:val="-4"/>
        </w:rPr>
        <w:t xml:space="preserve"> </w:t>
      </w:r>
      <w:r w:rsidR="00255776">
        <w:t>as</w:t>
      </w:r>
      <w:r w:rsidR="00255776" w:rsidRPr="00255776">
        <w:rPr>
          <w:spacing w:val="-6"/>
        </w:rPr>
        <w:t xml:space="preserve"> </w:t>
      </w:r>
      <w:r w:rsidR="00255776">
        <w:t>to</w:t>
      </w:r>
      <w:r w:rsidR="00255776" w:rsidRPr="00255776">
        <w:rPr>
          <w:spacing w:val="-6"/>
        </w:rPr>
        <w:t xml:space="preserve"> </w:t>
      </w:r>
      <w:r w:rsidR="00255776">
        <w:t>how</w:t>
      </w:r>
      <w:r w:rsidR="00255776" w:rsidRPr="00255776">
        <w:rPr>
          <w:spacing w:val="-7"/>
        </w:rPr>
        <w:t xml:space="preserve"> </w:t>
      </w:r>
      <w:r w:rsidR="00255776">
        <w:t>many</w:t>
      </w:r>
      <w:r w:rsidR="00255776" w:rsidRPr="00255776">
        <w:rPr>
          <w:spacing w:val="-9"/>
        </w:rPr>
        <w:t xml:space="preserve"> </w:t>
      </w:r>
      <w:r w:rsidR="00255776">
        <w:t>contraventions</w:t>
      </w:r>
      <w:r w:rsidR="00255776" w:rsidRPr="00255776">
        <w:rPr>
          <w:spacing w:val="-6"/>
        </w:rPr>
        <w:t xml:space="preserve"> </w:t>
      </w:r>
      <w:r w:rsidR="00E24C45">
        <w:rPr>
          <w:spacing w:val="-6"/>
        </w:rPr>
        <w:t>of s</w:t>
      </w:r>
      <w:r w:rsidR="00E24C45">
        <w:t xml:space="preserve"> 961L </w:t>
      </w:r>
      <w:r w:rsidR="00255776">
        <w:t>were</w:t>
      </w:r>
      <w:r w:rsidR="00255776" w:rsidRPr="00255776">
        <w:rPr>
          <w:spacing w:val="-5"/>
        </w:rPr>
        <w:t xml:space="preserve"> </w:t>
      </w:r>
      <w:r w:rsidR="00255776">
        <w:t>committed</w:t>
      </w:r>
      <w:r w:rsidR="00255776" w:rsidRPr="00255776">
        <w:rPr>
          <w:spacing w:val="-7"/>
        </w:rPr>
        <w:t xml:space="preserve"> </w:t>
      </w:r>
      <w:r w:rsidR="00255776">
        <w:t>by</w:t>
      </w:r>
      <w:r w:rsidR="00255776" w:rsidRPr="00255776">
        <w:rPr>
          <w:spacing w:val="-11"/>
        </w:rPr>
        <w:t xml:space="preserve"> </w:t>
      </w:r>
      <w:r w:rsidR="00255776">
        <w:t>AMPFP</w:t>
      </w:r>
      <w:r w:rsidR="00255776" w:rsidRPr="00255776">
        <w:rPr>
          <w:spacing w:val="-3"/>
        </w:rPr>
        <w:t xml:space="preserve"> </w:t>
      </w:r>
      <w:r w:rsidR="00255776">
        <w:t>as</w:t>
      </w:r>
      <w:r w:rsidR="00255776" w:rsidRPr="00255776">
        <w:rPr>
          <w:spacing w:val="-6"/>
        </w:rPr>
        <w:t xml:space="preserve"> </w:t>
      </w:r>
      <w:r w:rsidR="00255776">
        <w:t>a</w:t>
      </w:r>
      <w:r w:rsidR="00255776" w:rsidRPr="00255776">
        <w:rPr>
          <w:spacing w:val="-3"/>
        </w:rPr>
        <w:t xml:space="preserve"> </w:t>
      </w:r>
      <w:r w:rsidR="00255776">
        <w:t>result</w:t>
      </w:r>
      <w:r w:rsidR="00255776" w:rsidRPr="00255776">
        <w:rPr>
          <w:spacing w:val="-5"/>
        </w:rPr>
        <w:t xml:space="preserve"> </w:t>
      </w:r>
      <w:r w:rsidR="00255776">
        <w:t>of</w:t>
      </w:r>
      <w:r w:rsidR="00255776" w:rsidRPr="00255776">
        <w:rPr>
          <w:spacing w:val="-7"/>
        </w:rPr>
        <w:t xml:space="preserve"> </w:t>
      </w:r>
      <w:r w:rsidR="009C0429">
        <w:t>its admitted conduct</w:t>
      </w:r>
      <w:r w:rsidR="007F640B">
        <w:t>.</w:t>
      </w:r>
      <w:r w:rsidR="00F40047">
        <w:t xml:space="preserve"> </w:t>
      </w:r>
      <w:r w:rsidR="007F640B">
        <w:t>It is this issue</w:t>
      </w:r>
      <w:r w:rsidR="00862F75">
        <w:t xml:space="preserve"> to</w:t>
      </w:r>
      <w:r w:rsidR="00183B41">
        <w:t xml:space="preserve"> </w:t>
      </w:r>
      <w:r w:rsidR="00877793">
        <w:t>which I now turn</w:t>
      </w:r>
      <w:r w:rsidR="005429EE">
        <w:t xml:space="preserve">. </w:t>
      </w:r>
    </w:p>
    <w:p w:rsidR="00FA5BEE" w:rsidRDefault="00124929" w:rsidP="00124929">
      <w:pPr>
        <w:pStyle w:val="Heading3"/>
      </w:pPr>
      <w:bookmarkStart w:id="71" w:name="_Ref14854785"/>
      <w:bookmarkStart w:id="72" w:name="_Ref30603901"/>
      <w:r>
        <w:t>I</w:t>
      </w:r>
      <w:r w:rsidR="00E41BC2">
        <w:t xml:space="preserve"> </w:t>
      </w:r>
      <w:r w:rsidR="00E41BC2">
        <w:tab/>
      </w:r>
      <w:r w:rsidR="00EA5FBD">
        <w:t xml:space="preserve">The </w:t>
      </w:r>
      <w:r w:rsidR="00DA23A3">
        <w:t xml:space="preserve">competing </w:t>
      </w:r>
      <w:bookmarkEnd w:id="71"/>
      <w:r w:rsidR="007D40E3">
        <w:t>contentions</w:t>
      </w:r>
      <w:bookmarkEnd w:id="72"/>
    </w:p>
    <w:p w:rsidR="00FA5BEE" w:rsidRDefault="003B3C7B" w:rsidP="003B3C7B">
      <w:pPr>
        <w:pStyle w:val="ParaNumbering"/>
        <w:numPr>
          <w:ilvl w:val="0"/>
          <w:numId w:val="0"/>
        </w:numPr>
        <w:tabs>
          <w:tab w:val="clear" w:pos="8811"/>
          <w:tab w:val="left" w:pos="1582"/>
        </w:tabs>
        <w:ind w:hanging="720"/>
      </w:pPr>
      <w:r>
        <w:rPr>
          <w:sz w:val="20"/>
        </w:rPr>
        <w:t>90</w:t>
      </w:r>
      <w:r>
        <w:rPr>
          <w:sz w:val="20"/>
        </w:rPr>
        <w:tab/>
      </w:r>
      <w:r w:rsidR="007F640B">
        <w:t xml:space="preserve">Following the hearing, in </w:t>
      </w:r>
      <w:r w:rsidR="00FA5BEE">
        <w:t xml:space="preserve">submissions filed on 9 July 2019, ASIC </w:t>
      </w:r>
      <w:r w:rsidR="007F640B">
        <w:t>contended that the following approaches were open to the Court in</w:t>
      </w:r>
      <w:r w:rsidR="00FA5BEE">
        <w:t xml:space="preserve"> determining the number of contraventions of s 961L:</w:t>
      </w:r>
    </w:p>
    <w:p w:rsidR="00F47DC0" w:rsidRDefault="003B3C7B" w:rsidP="003B3C7B">
      <w:pPr>
        <w:pStyle w:val="ListNo1"/>
        <w:numPr>
          <w:ilvl w:val="0"/>
          <w:numId w:val="0"/>
        </w:numPr>
        <w:tabs>
          <w:tab w:val="left" w:pos="720"/>
        </w:tabs>
        <w:ind w:left="720" w:hanging="720"/>
      </w:pPr>
      <w:r>
        <w:t>(1)</w:t>
      </w:r>
      <w:r>
        <w:tab/>
      </w:r>
      <w:r w:rsidR="00F47DC0">
        <w:t xml:space="preserve">ASIC’s primary case, being that </w:t>
      </w:r>
      <w:r w:rsidR="00F47DC0" w:rsidRPr="00803EE9">
        <w:t xml:space="preserve">AMPFP committed </w:t>
      </w:r>
      <w:r w:rsidR="00F47DC0" w:rsidRPr="00F47DC0">
        <w:t>120 contraventions</w:t>
      </w:r>
      <w:r w:rsidR="00F47DC0" w:rsidRPr="00803EE9">
        <w:t xml:space="preserve"> of s 961L on the basis that there </w:t>
      </w:r>
      <w:r w:rsidR="00F47DC0">
        <w:t>was a separate contravention</w:t>
      </w:r>
      <w:r w:rsidR="00F47DC0" w:rsidRPr="00803EE9">
        <w:t xml:space="preserve"> of s 961L for each</w:t>
      </w:r>
      <w:r w:rsidR="00C66215">
        <w:t xml:space="preserve"> underlying</w:t>
      </w:r>
      <w:r w:rsidR="00F47DC0" w:rsidRPr="00803EE9">
        <w:t xml:space="preserve"> contravention of </w:t>
      </w:r>
      <w:proofErr w:type="spellStart"/>
      <w:r w:rsidR="00F47DC0" w:rsidRPr="00803EE9">
        <w:t>ss</w:t>
      </w:r>
      <w:proofErr w:type="spellEnd"/>
      <w:r w:rsidR="00F47DC0" w:rsidRPr="00803EE9">
        <w:t xml:space="preserve"> 961B, 961G and 961J in respect of the advice provided to each of </w:t>
      </w:r>
      <w:r w:rsidR="00F47DC0">
        <w:t>the 40 clients</w:t>
      </w:r>
      <w:r w:rsidR="00F47DC0" w:rsidRPr="00803EE9">
        <w:t xml:space="preserve"> identified on the </w:t>
      </w:r>
      <w:r w:rsidR="00F47DC0">
        <w:t>s</w:t>
      </w:r>
      <w:r w:rsidR="00F47DC0" w:rsidRPr="00803EE9">
        <w:t xml:space="preserve">chedules to the </w:t>
      </w:r>
      <w:r w:rsidR="00F47DC0">
        <w:t>s</w:t>
      </w:r>
      <w:r w:rsidR="00F47DC0" w:rsidRPr="00803EE9">
        <w:t xml:space="preserve">tatement of </w:t>
      </w:r>
      <w:r w:rsidR="00F47DC0">
        <w:t>c</w:t>
      </w:r>
      <w:r w:rsidR="00F47DC0" w:rsidRPr="00803EE9">
        <w:t xml:space="preserve">laim in circumstances where AMPFP failed to take reasonable steps to ensure that each of the six </w:t>
      </w:r>
      <w:r w:rsidR="00862F75">
        <w:t xml:space="preserve">identified </w:t>
      </w:r>
      <w:r w:rsidR="00F47DC0">
        <w:t>authorised representatives</w:t>
      </w:r>
      <w:r w:rsidR="00F47DC0" w:rsidRPr="00803EE9">
        <w:t xml:space="preserve"> </w:t>
      </w:r>
      <w:r w:rsidR="00F47DC0" w:rsidRPr="009011C2">
        <w:t xml:space="preserve">complied with each of the </w:t>
      </w:r>
      <w:r w:rsidR="00F47DC0">
        <w:t>three</w:t>
      </w:r>
      <w:r w:rsidR="00AF6BC0">
        <w:t xml:space="preserve"> relevant </w:t>
      </w:r>
      <w:r w:rsidR="00F47DC0" w:rsidRPr="009011C2">
        <w:t xml:space="preserve">best interests obligations (being </w:t>
      </w:r>
      <w:proofErr w:type="spellStart"/>
      <w:r w:rsidR="00F47DC0" w:rsidRPr="009011C2">
        <w:t>ss</w:t>
      </w:r>
      <w:proofErr w:type="spellEnd"/>
      <w:r w:rsidR="00F47DC0" w:rsidRPr="009011C2">
        <w:t xml:space="preserve"> 961B, 961G and 961J);</w:t>
      </w:r>
    </w:p>
    <w:p w:rsidR="00FA5BEE" w:rsidRDefault="003B3C7B" w:rsidP="003B3C7B">
      <w:pPr>
        <w:pStyle w:val="ListNo1"/>
        <w:numPr>
          <w:ilvl w:val="0"/>
          <w:numId w:val="0"/>
        </w:numPr>
        <w:tabs>
          <w:tab w:val="left" w:pos="720"/>
        </w:tabs>
        <w:ind w:left="720" w:hanging="720"/>
      </w:pPr>
      <w:r>
        <w:t>(2)</w:t>
      </w:r>
      <w:r>
        <w:tab/>
      </w:r>
      <w:r w:rsidR="00AE1C2D">
        <w:t>i</w:t>
      </w:r>
      <w:r w:rsidR="00AE1C2D" w:rsidRPr="00803EE9">
        <w:t xml:space="preserve">n </w:t>
      </w:r>
      <w:r w:rsidR="00FA5BEE" w:rsidRPr="00803EE9">
        <w:t xml:space="preserve">the alternative, AMPFP committed </w:t>
      </w:r>
      <w:r w:rsidR="00FA5BEE" w:rsidRPr="007E4E72">
        <w:rPr>
          <w:b/>
          <w:i/>
        </w:rPr>
        <w:t>18 contraventions</w:t>
      </w:r>
      <w:r w:rsidR="00FA5BEE" w:rsidRPr="00803EE9">
        <w:t xml:space="preserve"> of s 961L on the basis that AMPFP failed to take reasonable steps to ensure </w:t>
      </w:r>
      <w:r w:rsidR="0076211A">
        <w:t xml:space="preserve">that </w:t>
      </w:r>
      <w:r w:rsidR="00D4529D" w:rsidRPr="00803EE9">
        <w:t xml:space="preserve">each of the six </w:t>
      </w:r>
      <w:r w:rsidR="00862F75">
        <w:t xml:space="preserve">identified </w:t>
      </w:r>
      <w:r w:rsidR="00D4529D">
        <w:t>authorised representatives</w:t>
      </w:r>
      <w:r w:rsidR="00FA5BEE" w:rsidRPr="00803EE9">
        <w:t xml:space="preserve"> complied with each of </w:t>
      </w:r>
      <w:r w:rsidR="00FA5BEE">
        <w:t xml:space="preserve">the </w:t>
      </w:r>
      <w:r w:rsidR="007E4E72">
        <w:t xml:space="preserve">three </w:t>
      </w:r>
      <w:r w:rsidR="00AF6BC0">
        <w:t>relevant</w:t>
      </w:r>
      <w:r w:rsidR="00AF6BC0" w:rsidRPr="00646511">
        <w:t xml:space="preserve"> </w:t>
      </w:r>
      <w:r w:rsidR="00FA5BEE" w:rsidRPr="00646511">
        <w:t>best interests obligations</w:t>
      </w:r>
      <w:r w:rsidR="00FA5BEE">
        <w:t>; or</w:t>
      </w:r>
    </w:p>
    <w:p w:rsidR="00FA5BEE" w:rsidRDefault="003B3C7B" w:rsidP="003B3C7B">
      <w:pPr>
        <w:pStyle w:val="ListNo1"/>
        <w:numPr>
          <w:ilvl w:val="0"/>
          <w:numId w:val="0"/>
        </w:numPr>
        <w:tabs>
          <w:tab w:val="left" w:pos="720"/>
        </w:tabs>
        <w:ind w:left="720" w:hanging="720"/>
      </w:pPr>
      <w:r>
        <w:t>(3)</w:t>
      </w:r>
      <w:r>
        <w:tab/>
      </w:r>
      <w:r w:rsidR="00AE1C2D">
        <w:t>i</w:t>
      </w:r>
      <w:r w:rsidR="00AE1C2D" w:rsidRPr="00803EE9">
        <w:t xml:space="preserve">n </w:t>
      </w:r>
      <w:r w:rsidR="00FA5BEE" w:rsidRPr="00803EE9">
        <w:t xml:space="preserve">the </w:t>
      </w:r>
      <w:r w:rsidR="00B30939">
        <w:t xml:space="preserve">further </w:t>
      </w:r>
      <w:r w:rsidR="00FA5BEE" w:rsidRPr="00803EE9">
        <w:t xml:space="preserve">alternative, AMPFP committed </w:t>
      </w:r>
      <w:r w:rsidR="00FA5BEE" w:rsidRPr="007E4E72">
        <w:rPr>
          <w:b/>
          <w:i/>
        </w:rPr>
        <w:t>six contraventions</w:t>
      </w:r>
      <w:r w:rsidR="00FA5BEE" w:rsidRPr="00803EE9">
        <w:t xml:space="preserve"> of s 961L on the basis that AMPFP failed to take a set of steps referable to </w:t>
      </w:r>
      <w:r w:rsidR="00A956F3">
        <w:t>Pangan</w:t>
      </w:r>
      <w:r w:rsidR="00FA5BEE" w:rsidRPr="00803EE9">
        <w:t xml:space="preserve">iban’s contraventions of </w:t>
      </w:r>
      <w:r w:rsidR="00FA5BEE">
        <w:t xml:space="preserve">the </w:t>
      </w:r>
      <w:r w:rsidR="007E4E72">
        <w:t xml:space="preserve">three </w:t>
      </w:r>
      <w:r w:rsidR="00FA5BEE" w:rsidRPr="00646511">
        <w:t>best interests obligations</w:t>
      </w:r>
      <w:r w:rsidR="00FA5BEE" w:rsidRPr="00803EE9">
        <w:t xml:space="preserve"> </w:t>
      </w:r>
      <w:r w:rsidR="00FA5BEE" w:rsidRPr="00D2133E">
        <w:t xml:space="preserve">and a distinct set of steps </w:t>
      </w:r>
      <w:r w:rsidR="000E7FD2" w:rsidRPr="00803EE9">
        <w:t>to ensure that</w:t>
      </w:r>
      <w:r w:rsidR="00995CD4">
        <w:t xml:space="preserve"> </w:t>
      </w:r>
      <w:r w:rsidR="0076211A">
        <w:t>Other Au</w:t>
      </w:r>
      <w:r w:rsidR="009E5DB6">
        <w:t>thorised R</w:t>
      </w:r>
      <w:r w:rsidR="000E7FD2">
        <w:t>epresentatives</w:t>
      </w:r>
      <w:r w:rsidR="000E7FD2" w:rsidRPr="00803EE9">
        <w:t xml:space="preserve"> complied with each of </w:t>
      </w:r>
      <w:r w:rsidR="000E7FD2">
        <w:t xml:space="preserve">the three </w:t>
      </w:r>
      <w:r w:rsidR="00AF6BC0">
        <w:t>relevant</w:t>
      </w:r>
      <w:r w:rsidR="00AF6BC0" w:rsidRPr="00646511">
        <w:t xml:space="preserve"> </w:t>
      </w:r>
      <w:r w:rsidR="000E7FD2" w:rsidRPr="00646511">
        <w:t>best interests obligations</w:t>
      </w:r>
      <w:r w:rsidR="00D2133E">
        <w:t xml:space="preserve">. </w:t>
      </w:r>
    </w:p>
    <w:p w:rsidR="00EA5FBD" w:rsidRDefault="003B3C7B" w:rsidP="003B3C7B">
      <w:pPr>
        <w:pStyle w:val="ParaNumbering"/>
        <w:numPr>
          <w:ilvl w:val="0"/>
          <w:numId w:val="0"/>
        </w:numPr>
        <w:tabs>
          <w:tab w:val="left" w:pos="720"/>
        </w:tabs>
        <w:ind w:hanging="720"/>
      </w:pPr>
      <w:r>
        <w:rPr>
          <w:sz w:val="20"/>
        </w:rPr>
        <w:t>91</w:t>
      </w:r>
      <w:r>
        <w:rPr>
          <w:sz w:val="20"/>
        </w:rPr>
        <w:tab/>
      </w:r>
      <w:r w:rsidR="00FA5BEE">
        <w:t xml:space="preserve">AMPFP submits that it committed </w:t>
      </w:r>
      <w:r w:rsidR="00FA5BEE" w:rsidRPr="007E4E72">
        <w:rPr>
          <w:b/>
          <w:i/>
        </w:rPr>
        <w:t>two contraventions</w:t>
      </w:r>
      <w:r w:rsidR="00FA5BEE">
        <w:t xml:space="preserve"> of </w:t>
      </w:r>
      <w:r w:rsidR="007F640B">
        <w:t>s </w:t>
      </w:r>
      <w:r w:rsidR="00FA5BEE">
        <w:t>961L of the Act, rather than the six, 18 or 120 contraventions for which ASIC contends.</w:t>
      </w:r>
      <w:r w:rsidR="00F40047">
        <w:t xml:space="preserve"> </w:t>
      </w:r>
    </w:p>
    <w:p w:rsidR="00FA5BEE" w:rsidRDefault="006858E6" w:rsidP="006858E6">
      <w:pPr>
        <w:pStyle w:val="Heading3"/>
      </w:pPr>
      <w:bookmarkStart w:id="73" w:name="_Ref14854787"/>
      <w:bookmarkStart w:id="74" w:name="_Ref30603902"/>
      <w:r>
        <w:t>I</w:t>
      </w:r>
      <w:r w:rsidR="00124929">
        <w:t>I</w:t>
      </w:r>
      <w:r w:rsidR="00E41BC2">
        <w:t xml:space="preserve"> </w:t>
      </w:r>
      <w:r w:rsidR="00E41BC2">
        <w:tab/>
      </w:r>
      <w:r>
        <w:t xml:space="preserve">A </w:t>
      </w:r>
      <w:r w:rsidR="00DA23A3">
        <w:t>preliminar</w:t>
      </w:r>
      <w:bookmarkEnd w:id="73"/>
      <w:r w:rsidR="00F90987">
        <w:t>y issue</w:t>
      </w:r>
      <w:bookmarkEnd w:id="74"/>
    </w:p>
    <w:p w:rsidR="006858E6" w:rsidRDefault="003B3C7B" w:rsidP="003B3C7B">
      <w:pPr>
        <w:pStyle w:val="ParaNumbering"/>
        <w:numPr>
          <w:ilvl w:val="0"/>
          <w:numId w:val="0"/>
        </w:numPr>
        <w:tabs>
          <w:tab w:val="left" w:pos="720"/>
        </w:tabs>
        <w:ind w:hanging="720"/>
      </w:pPr>
      <w:r>
        <w:rPr>
          <w:sz w:val="20"/>
        </w:rPr>
        <w:t>92</w:t>
      </w:r>
      <w:r>
        <w:rPr>
          <w:sz w:val="20"/>
        </w:rPr>
        <w:tab/>
      </w:r>
      <w:r w:rsidR="006858E6">
        <w:t>Before considering these alternative contentions, it is convenient to turn first to a preliminary issue</w:t>
      </w:r>
      <w:r w:rsidR="00B32226">
        <w:t>,</w:t>
      </w:r>
      <w:r w:rsidR="006858E6" w:rsidRPr="006858E6">
        <w:t xml:space="preserve"> </w:t>
      </w:r>
      <w:r w:rsidR="00B32226">
        <w:t>being the submission of AMPFP that</w:t>
      </w:r>
      <w:r w:rsidR="006858E6">
        <w:t xml:space="preserve"> it is not open to the Court to find that there were 18 contraventions by AMPFP of s 961L. </w:t>
      </w:r>
    </w:p>
    <w:p w:rsidR="00EA5FBD" w:rsidRDefault="003B3C7B" w:rsidP="003B3C7B">
      <w:pPr>
        <w:pStyle w:val="ParaNumbering"/>
        <w:numPr>
          <w:ilvl w:val="0"/>
          <w:numId w:val="0"/>
        </w:numPr>
        <w:tabs>
          <w:tab w:val="left" w:pos="720"/>
        </w:tabs>
        <w:ind w:hanging="720"/>
      </w:pPr>
      <w:bookmarkStart w:id="75" w:name="_Ref30147120"/>
      <w:r>
        <w:rPr>
          <w:sz w:val="20"/>
        </w:rPr>
        <w:t>93</w:t>
      </w:r>
      <w:r>
        <w:rPr>
          <w:sz w:val="20"/>
        </w:rPr>
        <w:tab/>
      </w:r>
      <w:r w:rsidR="00B32226">
        <w:t>AMPFP</w:t>
      </w:r>
      <w:r w:rsidR="00B02120">
        <w:t xml:space="preserve"> stresses that</w:t>
      </w:r>
      <w:r w:rsidR="00EA5FBD">
        <w:t xml:space="preserve"> the proceeding is to be determined on the basis of the case as pleaded and run</w:t>
      </w:r>
      <w:r w:rsidR="000E7FD2">
        <w:t xml:space="preserve"> noting </w:t>
      </w:r>
      <w:r w:rsidR="00B02120">
        <w:t>that i</w:t>
      </w:r>
      <w:r w:rsidR="00EA5FBD">
        <w:t>n a civil penalty context, close adherence</w:t>
      </w:r>
      <w:r w:rsidR="00B02120">
        <w:t xml:space="preserve"> to the pleadings is essential: </w:t>
      </w:r>
      <w:r w:rsidR="00EA5FBD">
        <w:t xml:space="preserve">see </w:t>
      </w:r>
      <w:r w:rsidR="00EA5FBD" w:rsidRPr="00B32226">
        <w:rPr>
          <w:i/>
        </w:rPr>
        <w:t xml:space="preserve">Vines </w:t>
      </w:r>
      <w:r w:rsidR="00EA5FBD" w:rsidRPr="00B32226">
        <w:rPr>
          <w:i/>
        </w:rPr>
        <w:lastRenderedPageBreak/>
        <w:t>v Australian Securities and Investments Commission</w:t>
      </w:r>
      <w:r w:rsidR="00EA5FBD">
        <w:t xml:space="preserve"> </w:t>
      </w:r>
      <w:r w:rsidR="00AD2456">
        <w:t xml:space="preserve">[2007] NSWCA 75; </w:t>
      </w:r>
      <w:r w:rsidR="00EA5FBD">
        <w:t>(2007) 73 NSWLR 451 at</w:t>
      </w:r>
      <w:r w:rsidR="00B01270">
        <w:t xml:space="preserve"> 458</w:t>
      </w:r>
      <w:r w:rsidR="00B02120">
        <w:t xml:space="preserve"> [55]</w:t>
      </w:r>
      <w:r w:rsidR="00EA5FBD">
        <w:t>.</w:t>
      </w:r>
      <w:r w:rsidR="00F40047">
        <w:t xml:space="preserve"> </w:t>
      </w:r>
      <w:r w:rsidR="00EA5FBD">
        <w:t xml:space="preserve">Here, </w:t>
      </w:r>
      <w:r w:rsidR="00B32226">
        <w:t xml:space="preserve">until the hearing, both parties </w:t>
      </w:r>
      <w:r w:rsidR="00EA5FBD">
        <w:t xml:space="preserve">conducted the case on the basis that there are two, six or 120 contraventions and </w:t>
      </w:r>
      <w:r w:rsidR="00B32226">
        <w:t xml:space="preserve">AMPFP submits it </w:t>
      </w:r>
      <w:r w:rsidR="00EA5FBD">
        <w:t xml:space="preserve">is now far too late for the Court </w:t>
      </w:r>
      <w:r w:rsidR="00B32226">
        <w:t xml:space="preserve">to be considering </w:t>
      </w:r>
      <w:r w:rsidR="00662746">
        <w:t>a</w:t>
      </w:r>
      <w:r w:rsidR="00B32226">
        <w:t xml:space="preserve"> different potential</w:t>
      </w:r>
      <w:r w:rsidR="00EA5FBD">
        <w:t xml:space="preserve"> number of contraventions, namely, the 18 contraventions raised by the Court for the first time at </w:t>
      </w:r>
      <w:r w:rsidR="00582164">
        <w:t xml:space="preserve">the </w:t>
      </w:r>
      <w:r w:rsidR="00EA5FBD">
        <w:t>hearing.</w:t>
      </w:r>
      <w:r w:rsidR="00F40047">
        <w:t xml:space="preserve"> </w:t>
      </w:r>
      <w:r w:rsidR="00EA5FBD">
        <w:t>AMPF</w:t>
      </w:r>
      <w:r w:rsidR="00DA23A3">
        <w:t>P</w:t>
      </w:r>
      <w:r w:rsidR="00EA5FBD">
        <w:t xml:space="preserve"> asserted that it would suffer </w:t>
      </w:r>
      <w:r w:rsidR="00B02120">
        <w:t xml:space="preserve">prejudice </w:t>
      </w:r>
      <w:r w:rsidR="00EA5FBD">
        <w:t>should the Court entertain an alternative case of 18 contraventions, because:</w:t>
      </w:r>
      <w:bookmarkEnd w:id="75"/>
    </w:p>
    <w:p w:rsidR="00EA5FBD" w:rsidRDefault="003B3C7B" w:rsidP="003B3C7B">
      <w:pPr>
        <w:pStyle w:val="ListNo1"/>
        <w:numPr>
          <w:ilvl w:val="0"/>
          <w:numId w:val="0"/>
        </w:numPr>
        <w:tabs>
          <w:tab w:val="left" w:pos="720"/>
        </w:tabs>
        <w:ind w:left="720" w:hanging="720"/>
      </w:pPr>
      <w:bookmarkStart w:id="76" w:name="_Ref30147150"/>
      <w:r>
        <w:t>(1)</w:t>
      </w:r>
      <w:r>
        <w:tab/>
      </w:r>
      <w:r w:rsidR="00EA5FBD">
        <w:t xml:space="preserve">AMPFP has made admissions of conduct alleged against </w:t>
      </w:r>
      <w:r w:rsidR="00582164">
        <w:t xml:space="preserve">it </w:t>
      </w:r>
      <w:r w:rsidR="00EA5FBD">
        <w:t>in the context of the pleaded case which involved forensic assessments and resulted in decisions which cannot now be undone, in the sense they have been publicly recognised by AMPFP as contraventions; this public recognition, evinced by the media articles comprising Exhibit F, cannot be remedied by an adjournment or withdrawal of admissions;</w:t>
      </w:r>
      <w:bookmarkEnd w:id="76"/>
    </w:p>
    <w:p w:rsidR="00EA5FBD" w:rsidRDefault="003B3C7B" w:rsidP="003B3C7B">
      <w:pPr>
        <w:pStyle w:val="ListNo1"/>
        <w:numPr>
          <w:ilvl w:val="0"/>
          <w:numId w:val="0"/>
        </w:numPr>
        <w:tabs>
          <w:tab w:val="left" w:pos="720"/>
        </w:tabs>
        <w:ind w:left="720" w:hanging="720"/>
      </w:pPr>
      <w:r>
        <w:t>(2)</w:t>
      </w:r>
      <w:r>
        <w:tab/>
      </w:r>
      <w:r w:rsidR="00EA5FBD">
        <w:t xml:space="preserve">the evidence that has been adduced that formed the basis for the admissions that were made has been directed to the case as pleaded and run by ASIC; this is made most clear through the JER; and </w:t>
      </w:r>
    </w:p>
    <w:p w:rsidR="00EA5FBD" w:rsidRDefault="003B3C7B" w:rsidP="003B3C7B">
      <w:pPr>
        <w:pStyle w:val="ListNo1"/>
        <w:numPr>
          <w:ilvl w:val="0"/>
          <w:numId w:val="0"/>
        </w:numPr>
        <w:tabs>
          <w:tab w:val="left" w:pos="720"/>
        </w:tabs>
        <w:ind w:left="720" w:hanging="720"/>
      </w:pPr>
      <w:r>
        <w:t>(3)</w:t>
      </w:r>
      <w:r>
        <w:tab/>
      </w:r>
      <w:r w:rsidR="00EA5FBD">
        <w:t>relying on Beach J</w:t>
      </w:r>
      <w:r w:rsidR="00C7177F">
        <w:t>’</w:t>
      </w:r>
      <w:r w:rsidR="00EA5FBD">
        <w:t xml:space="preserve">s observations in </w:t>
      </w:r>
      <w:r w:rsidR="00DA23A3" w:rsidRPr="001B0645">
        <w:rPr>
          <w:i/>
        </w:rPr>
        <w:t>Australian Securities and Investments Commission v Westpac Banking Corporation (No 3)</w:t>
      </w:r>
      <w:r w:rsidR="00DA23A3">
        <w:t xml:space="preserve"> [2018] FCA 1701; (2018) 131 ACSR 585</w:t>
      </w:r>
      <w:r w:rsidR="00D90851">
        <w:t xml:space="preserve"> at 606 [106]</w:t>
      </w:r>
      <w:r w:rsidR="00EA5FBD">
        <w:t>, there will be an inherent prejudice in circumstances where a departure is sought from the case as pleaded and conducted.</w:t>
      </w:r>
    </w:p>
    <w:p w:rsidR="00FA5BEE" w:rsidRDefault="003B3C7B" w:rsidP="003B3C7B">
      <w:pPr>
        <w:pStyle w:val="ParaNumbering"/>
        <w:numPr>
          <w:ilvl w:val="0"/>
          <w:numId w:val="0"/>
        </w:numPr>
        <w:tabs>
          <w:tab w:val="left" w:pos="720"/>
        </w:tabs>
        <w:ind w:hanging="720"/>
      </w:pPr>
      <w:r>
        <w:rPr>
          <w:sz w:val="20"/>
        </w:rPr>
        <w:t>94</w:t>
      </w:r>
      <w:r>
        <w:rPr>
          <w:sz w:val="20"/>
        </w:rPr>
        <w:tab/>
      </w:r>
      <w:r w:rsidR="000053E9">
        <w:t>For the reasons that follow, t</w:t>
      </w:r>
      <w:r w:rsidR="00B32226">
        <w:t>he</w:t>
      </w:r>
      <w:r w:rsidR="00B962A3">
        <w:t xml:space="preserve"> submission</w:t>
      </w:r>
      <w:r w:rsidR="000053E9">
        <w:t>s</w:t>
      </w:r>
      <w:r w:rsidR="00B962A3">
        <w:t xml:space="preserve"> </w:t>
      </w:r>
      <w:r w:rsidR="00B32226">
        <w:t xml:space="preserve">of AMPFP </w:t>
      </w:r>
      <w:r w:rsidR="000053E9">
        <w:t xml:space="preserve">in this regard </w:t>
      </w:r>
      <w:r w:rsidR="00B962A3">
        <w:t>should be rejected</w:t>
      </w:r>
      <w:r w:rsidR="00EF21DF">
        <w:t>.</w:t>
      </w:r>
    </w:p>
    <w:p w:rsidR="00FA5BEE" w:rsidRDefault="003B3C7B" w:rsidP="003B3C7B">
      <w:pPr>
        <w:pStyle w:val="ParaNumbering"/>
        <w:numPr>
          <w:ilvl w:val="0"/>
          <w:numId w:val="0"/>
        </w:numPr>
        <w:tabs>
          <w:tab w:val="left" w:pos="720"/>
        </w:tabs>
        <w:ind w:hanging="720"/>
      </w:pPr>
      <w:r>
        <w:rPr>
          <w:sz w:val="20"/>
        </w:rPr>
        <w:t>95</w:t>
      </w:r>
      <w:r>
        <w:rPr>
          <w:sz w:val="20"/>
        </w:rPr>
        <w:tab/>
      </w:r>
      <w:r w:rsidR="000053E9">
        <w:t>The starting point is that</w:t>
      </w:r>
      <w:r w:rsidR="00B02120">
        <w:t xml:space="preserve"> it is obviously correct that</w:t>
      </w:r>
      <w:r w:rsidR="000053E9">
        <w:t xml:space="preserve"> a</w:t>
      </w:r>
      <w:r w:rsidR="00FA5BEE">
        <w:t>dherence to pleadings is important and especiall</w:t>
      </w:r>
      <w:r w:rsidR="00D90851">
        <w:t xml:space="preserve">y so in </w:t>
      </w:r>
      <w:r w:rsidR="00862F75">
        <w:t xml:space="preserve">a </w:t>
      </w:r>
      <w:r w:rsidR="00D90851">
        <w:t xml:space="preserve">civil penalty context. </w:t>
      </w:r>
      <w:r w:rsidR="00FA5BEE">
        <w:t xml:space="preserve">However, one </w:t>
      </w:r>
      <w:r w:rsidR="00D81A6B">
        <w:t>must</w:t>
      </w:r>
      <w:r w:rsidR="00FA5BEE">
        <w:t xml:space="preserve"> not lose sight of the </w:t>
      </w:r>
      <w:r w:rsidR="00297EC5">
        <w:t xml:space="preserve">primary </w:t>
      </w:r>
      <w:r w:rsidR="00FA5BEE">
        <w:t xml:space="preserve">purpose </w:t>
      </w:r>
      <w:r w:rsidR="00D81A6B">
        <w:t>of</w:t>
      </w:r>
      <w:r w:rsidR="00FA5BEE">
        <w:t xml:space="preserve"> pleadings</w:t>
      </w:r>
      <w:r w:rsidR="00B02120">
        <w:t>:</w:t>
      </w:r>
      <w:r w:rsidR="00D81A6B">
        <w:t xml:space="preserve"> </w:t>
      </w:r>
      <w:r w:rsidR="00B02120">
        <w:t xml:space="preserve">to </w:t>
      </w:r>
      <w:r w:rsidR="00FA5BEE">
        <w:t xml:space="preserve">ensure procedural fairness </w:t>
      </w:r>
      <w:r w:rsidR="00D81A6B">
        <w:t xml:space="preserve">is provided to an opposing party </w:t>
      </w:r>
      <w:r w:rsidR="00297EC5">
        <w:t xml:space="preserve">by </w:t>
      </w:r>
      <w:r w:rsidR="00297EC5" w:rsidRPr="00297EC5">
        <w:t>furnish</w:t>
      </w:r>
      <w:r w:rsidR="00297EC5">
        <w:t>ing</w:t>
      </w:r>
      <w:r w:rsidR="00297EC5" w:rsidRPr="00297EC5">
        <w:t xml:space="preserve"> a statement of the case sufficiently clear to allow the other part</w:t>
      </w:r>
      <w:r w:rsidR="00830C04">
        <w:t>y a fair opportunity to meet it:</w:t>
      </w:r>
      <w:r w:rsidR="00297EC5">
        <w:t xml:space="preserve"> </w:t>
      </w:r>
      <w:r w:rsidR="00297EC5" w:rsidRPr="00297EC5">
        <w:rPr>
          <w:i/>
        </w:rPr>
        <w:t xml:space="preserve">Dare v </w:t>
      </w:r>
      <w:proofErr w:type="spellStart"/>
      <w:r w:rsidR="00297EC5" w:rsidRPr="00297EC5">
        <w:rPr>
          <w:i/>
        </w:rPr>
        <w:t>Pulham</w:t>
      </w:r>
      <w:proofErr w:type="spellEnd"/>
      <w:r w:rsidR="00297EC5" w:rsidRPr="00297EC5">
        <w:t xml:space="preserve"> [1982] HCA 70; (1982) 148 CLR 658 at 664 </w:t>
      </w:r>
      <w:r w:rsidR="00F54D8C">
        <w:t xml:space="preserve">[6] </w:t>
      </w:r>
      <w:r w:rsidR="00297EC5">
        <w:t xml:space="preserve">and </w:t>
      </w:r>
      <w:proofErr w:type="spellStart"/>
      <w:r w:rsidR="00FA5BEE" w:rsidRPr="00EC76F8">
        <w:rPr>
          <w:i/>
        </w:rPr>
        <w:t>Banque</w:t>
      </w:r>
      <w:proofErr w:type="spellEnd"/>
      <w:r w:rsidR="00FA5BEE" w:rsidRPr="00EC76F8">
        <w:rPr>
          <w:i/>
        </w:rPr>
        <w:t xml:space="preserve"> Commerciale SA, </w:t>
      </w:r>
      <w:proofErr w:type="spellStart"/>
      <w:r w:rsidR="00FA5BEE" w:rsidRPr="00EC76F8">
        <w:rPr>
          <w:i/>
        </w:rPr>
        <w:t>En</w:t>
      </w:r>
      <w:proofErr w:type="spellEnd"/>
      <w:r w:rsidR="00FA5BEE" w:rsidRPr="00EC76F8">
        <w:rPr>
          <w:i/>
        </w:rPr>
        <w:t xml:space="preserve"> Liquidation v </w:t>
      </w:r>
      <w:proofErr w:type="spellStart"/>
      <w:r w:rsidR="00FA5BEE" w:rsidRPr="00EC76F8">
        <w:rPr>
          <w:i/>
        </w:rPr>
        <w:t>Akhil</w:t>
      </w:r>
      <w:proofErr w:type="spellEnd"/>
      <w:r w:rsidR="00FA5BEE" w:rsidRPr="00EC76F8">
        <w:rPr>
          <w:i/>
        </w:rPr>
        <w:t xml:space="preserve"> Holdings Ltd</w:t>
      </w:r>
      <w:r w:rsidR="00FA5BEE" w:rsidRPr="00055645">
        <w:t xml:space="preserve"> </w:t>
      </w:r>
      <w:r w:rsidR="00F54D8C" w:rsidRPr="00AD2456">
        <w:t>[1990] HCA 11</w:t>
      </w:r>
      <w:r w:rsidR="00F54D8C">
        <w:t>;</w:t>
      </w:r>
      <w:r w:rsidR="00F54D8C" w:rsidRPr="00055645">
        <w:t xml:space="preserve"> </w:t>
      </w:r>
      <w:r w:rsidR="00FA5BEE" w:rsidRPr="00055645">
        <w:t>(1990) 169 CLR 279 at 286</w:t>
      </w:r>
      <w:r w:rsidR="00F54D8C">
        <w:t xml:space="preserve"> [18]</w:t>
      </w:r>
      <w:r w:rsidR="00FA5BEE">
        <w:t>.</w:t>
      </w:r>
    </w:p>
    <w:p w:rsidR="005A18FB" w:rsidRDefault="003B3C7B" w:rsidP="003B3C7B">
      <w:pPr>
        <w:pStyle w:val="ParaNumbering"/>
        <w:numPr>
          <w:ilvl w:val="0"/>
          <w:numId w:val="0"/>
        </w:numPr>
        <w:tabs>
          <w:tab w:val="left" w:pos="720"/>
        </w:tabs>
        <w:ind w:hanging="720"/>
      </w:pPr>
      <w:r>
        <w:rPr>
          <w:sz w:val="20"/>
        </w:rPr>
        <w:t>96</w:t>
      </w:r>
      <w:r>
        <w:rPr>
          <w:sz w:val="20"/>
        </w:rPr>
        <w:tab/>
      </w:r>
      <w:r w:rsidR="00FA5BEE">
        <w:t xml:space="preserve">On any view of things, AMPFP came prepared to meet a case alleging, at its highest, 120 contraventions </w:t>
      </w:r>
      <w:r w:rsidR="00FA5BEE" w:rsidRPr="00B912D7">
        <w:t>of s 961L arising out of each and every instance of advice being</w:t>
      </w:r>
      <w:r w:rsidR="00FA5BEE">
        <w:t xml:space="preserve"> provided to a client </w:t>
      </w:r>
      <w:r w:rsidR="00D90851">
        <w:t xml:space="preserve">identified in the schedules to the </w:t>
      </w:r>
      <w:r w:rsidR="00AE1C2D">
        <w:t>SOC</w:t>
      </w:r>
      <w:r w:rsidR="00D90851">
        <w:t xml:space="preserve"> </w:t>
      </w:r>
      <w:r w:rsidR="00FA5BEE">
        <w:t xml:space="preserve">by </w:t>
      </w:r>
      <w:r w:rsidR="00A956F3">
        <w:t>Pangan</w:t>
      </w:r>
      <w:r w:rsidR="00FA5BEE">
        <w:t xml:space="preserve">iban and </w:t>
      </w:r>
      <w:r w:rsidR="00165D83">
        <w:t xml:space="preserve">five of </w:t>
      </w:r>
      <w:r w:rsidR="00FA5BEE">
        <w:t xml:space="preserve">the </w:t>
      </w:r>
      <w:r w:rsidR="00F90987">
        <w:t>Other Authorised Representatives</w:t>
      </w:r>
      <w:r w:rsidR="00FA5BEE">
        <w:t xml:space="preserve"> in a manner non-compliant with the </w:t>
      </w:r>
      <w:r w:rsidR="00AF6BC0">
        <w:t>relevant</w:t>
      </w:r>
      <w:r w:rsidR="00AF6BC0" w:rsidRPr="00646511">
        <w:t xml:space="preserve"> </w:t>
      </w:r>
      <w:r w:rsidR="00FA5BEE" w:rsidRPr="00646511">
        <w:t>best interests obligations</w:t>
      </w:r>
      <w:r w:rsidR="00FA5BEE">
        <w:t>.</w:t>
      </w:r>
      <w:r w:rsidR="00F40047">
        <w:t xml:space="preserve"> </w:t>
      </w:r>
      <w:r w:rsidR="00D81A6B">
        <w:t>This primary submission of ASIC</w:t>
      </w:r>
      <w:r w:rsidR="0066055E">
        <w:t xml:space="preserve"> wa</w:t>
      </w:r>
      <w:r w:rsidR="00FA5BEE">
        <w:t xml:space="preserve">s </w:t>
      </w:r>
      <w:r w:rsidR="0066055E">
        <w:t xml:space="preserve">known to </w:t>
      </w:r>
      <w:r w:rsidR="00FA5BEE">
        <w:t xml:space="preserve">AMPFP </w:t>
      </w:r>
      <w:r w:rsidR="00D81A6B">
        <w:t>w</w:t>
      </w:r>
      <w:bookmarkStart w:id="77" w:name="_Ref16690214"/>
      <w:r w:rsidR="00B410A4">
        <w:t xml:space="preserve">hen it came to the admissions ultimately made by </w:t>
      </w:r>
      <w:r w:rsidR="00B02120">
        <w:t>way of letter dated 16 May 2019</w:t>
      </w:r>
      <w:r w:rsidR="000053E9">
        <w:t xml:space="preserve">. </w:t>
      </w:r>
      <w:r w:rsidR="00EF49B3">
        <w:t xml:space="preserve">In this regard, it is worth focussing on the precise </w:t>
      </w:r>
      <w:r w:rsidR="00EF49B3">
        <w:lastRenderedPageBreak/>
        <w:t>form of the admissions made.</w:t>
      </w:r>
      <w:r w:rsidR="00F40047">
        <w:t xml:space="preserve"> </w:t>
      </w:r>
      <w:r w:rsidR="00EF21DF">
        <w:t>T</w:t>
      </w:r>
      <w:r w:rsidR="00CA4C4E">
        <w:t xml:space="preserve">he terms of </w:t>
      </w:r>
      <w:r w:rsidR="000E7FD2">
        <w:t>this</w:t>
      </w:r>
      <w:r w:rsidR="00AD2456">
        <w:t xml:space="preserve"> letter </w:t>
      </w:r>
      <w:r w:rsidR="000E7FD2">
        <w:t>(Exhibit A)</w:t>
      </w:r>
      <w:r w:rsidR="00CA4C4E">
        <w:t xml:space="preserve"> </w:t>
      </w:r>
      <w:r w:rsidR="00EF21DF">
        <w:t xml:space="preserve">are instructive </w:t>
      </w:r>
      <w:r w:rsidR="00CA4C4E">
        <w:t>(with my emphasis):</w:t>
      </w:r>
      <w:bookmarkEnd w:id="77"/>
    </w:p>
    <w:p w:rsidR="00CA4C4E" w:rsidRDefault="00CA4C4E" w:rsidP="00CA4C4E">
      <w:pPr>
        <w:pStyle w:val="Quote1"/>
      </w:pPr>
      <w:r w:rsidRPr="00CA4C4E">
        <w:t xml:space="preserve">In the light of the conclusions expressed in the </w:t>
      </w:r>
      <w:r w:rsidR="00EF49B3">
        <w:t>[JER]</w:t>
      </w:r>
      <w:r w:rsidRPr="00CA4C4E">
        <w:t>, we are instructed that AMPFP will now also admit to the pleaded contravention of s</w:t>
      </w:r>
      <w:r>
        <w:t> 96</w:t>
      </w:r>
      <w:r w:rsidR="00EF49B3">
        <w:t>1</w:t>
      </w:r>
      <w:r>
        <w:t>L</w:t>
      </w:r>
      <w:r w:rsidRPr="00CA4C4E">
        <w:t xml:space="preserve"> of the </w:t>
      </w:r>
      <w:r w:rsidR="00EF21DF">
        <w:t>[Act]</w:t>
      </w:r>
      <w:r w:rsidRPr="00CA4C4E">
        <w:t xml:space="preserve"> </w:t>
      </w:r>
      <w:r w:rsidRPr="0066055E">
        <w:rPr>
          <w:b/>
        </w:rPr>
        <w:t>concerning rewriting conduct</w:t>
      </w:r>
      <w:r w:rsidRPr="00CA4C4E">
        <w:t xml:space="preserve"> in [25] of the </w:t>
      </w:r>
      <w:r w:rsidR="00B63CBE">
        <w:t>statement of claim</w:t>
      </w:r>
      <w:r w:rsidRPr="00CA4C4E">
        <w:t>, na</w:t>
      </w:r>
      <w:r>
        <w:t>mely, that dur</w:t>
      </w:r>
      <w:r w:rsidRPr="00CA4C4E">
        <w:t>ing the Relevan</w:t>
      </w:r>
      <w:r>
        <w:t>t Period, in contravention of s </w:t>
      </w:r>
      <w:r w:rsidR="00EF21DF">
        <w:t>961</w:t>
      </w:r>
      <w:r w:rsidRPr="00CA4C4E">
        <w:t>L of the Act, AMPFP failed to</w:t>
      </w:r>
      <w:r w:rsidR="00EF49B3">
        <w:t xml:space="preserve"> take </w:t>
      </w:r>
      <w:r w:rsidRPr="00CA4C4E">
        <w:t>reasonable steps to ensure that Autho</w:t>
      </w:r>
      <w:r w:rsidR="00EF49B3">
        <w:t>rised Representatives (other th</w:t>
      </w:r>
      <w:r w:rsidRPr="00CA4C4E">
        <w:t xml:space="preserve">an </w:t>
      </w:r>
      <w:r w:rsidR="00A956F3">
        <w:t>Pangan</w:t>
      </w:r>
      <w:r w:rsidRPr="00CA4C4E">
        <w:t xml:space="preserve">iban) complied with </w:t>
      </w:r>
      <w:proofErr w:type="spellStart"/>
      <w:r w:rsidRPr="00CA4C4E">
        <w:t>ss</w:t>
      </w:r>
      <w:proofErr w:type="spellEnd"/>
      <w:r>
        <w:t> </w:t>
      </w:r>
      <w:r w:rsidRPr="00CA4C4E">
        <w:t>961 B, 961G and 961J of the Act</w:t>
      </w:r>
      <w:r w:rsidR="00E50448">
        <w:t>.</w:t>
      </w:r>
    </w:p>
    <w:p w:rsidR="00EF21DF" w:rsidRDefault="003B3C7B" w:rsidP="003B3C7B">
      <w:pPr>
        <w:pStyle w:val="ParaNumbering"/>
        <w:numPr>
          <w:ilvl w:val="0"/>
          <w:numId w:val="0"/>
        </w:numPr>
        <w:tabs>
          <w:tab w:val="left" w:pos="720"/>
        </w:tabs>
        <w:ind w:hanging="720"/>
      </w:pPr>
      <w:r>
        <w:rPr>
          <w:sz w:val="20"/>
        </w:rPr>
        <w:t>97</w:t>
      </w:r>
      <w:r>
        <w:rPr>
          <w:sz w:val="20"/>
        </w:rPr>
        <w:tab/>
      </w:r>
      <w:r w:rsidR="00E50448">
        <w:t xml:space="preserve">Although AMPFP might </w:t>
      </w:r>
      <w:r w:rsidR="00403237">
        <w:t>emphasise</w:t>
      </w:r>
      <w:r w:rsidR="00E50448">
        <w:t xml:space="preserve"> </w:t>
      </w:r>
      <w:r w:rsidR="00403237">
        <w:t>the u</w:t>
      </w:r>
      <w:r w:rsidR="00AE143D">
        <w:t>se of the definite article</w:t>
      </w:r>
      <w:r w:rsidR="00403237">
        <w:t xml:space="preserve"> in relation to the pleaded contravention of s 961L</w:t>
      </w:r>
      <w:r w:rsidR="00321578">
        <w:t xml:space="preserve"> as suggesting an admission only with respect to a single contravention</w:t>
      </w:r>
      <w:r w:rsidR="00403237">
        <w:t xml:space="preserve">, when one continues to read the sentence, it becomes clear it is an admission “concerning rewriting </w:t>
      </w:r>
      <w:r w:rsidR="00403237" w:rsidRPr="0066055E">
        <w:rPr>
          <w:b/>
        </w:rPr>
        <w:t>conduct</w:t>
      </w:r>
      <w:r w:rsidR="00403237">
        <w:t xml:space="preserve">” </w:t>
      </w:r>
      <w:r w:rsidR="00321578">
        <w:t xml:space="preserve">(as pleaded </w:t>
      </w:r>
      <w:r w:rsidR="00BF6F3B">
        <w:t xml:space="preserve">in </w:t>
      </w:r>
      <w:r w:rsidR="00BF6F3B" w:rsidRPr="00830C04">
        <w:t xml:space="preserve">the </w:t>
      </w:r>
      <w:r w:rsidR="00B63CBE">
        <w:t>statement of claim</w:t>
      </w:r>
      <w:r w:rsidR="00BF6F3B">
        <w:t xml:space="preserve"> at [25</w:t>
      </w:r>
      <w:r w:rsidR="00321578">
        <w:t>])</w:t>
      </w:r>
      <w:r w:rsidR="00403237">
        <w:t>.</w:t>
      </w:r>
      <w:r w:rsidR="00F40047">
        <w:t xml:space="preserve"> </w:t>
      </w:r>
      <w:r w:rsidR="00B02120">
        <w:t xml:space="preserve">It is this </w:t>
      </w:r>
      <w:r w:rsidR="00B02120" w:rsidRPr="00B02120">
        <w:rPr>
          <w:i/>
        </w:rPr>
        <w:t>conduct</w:t>
      </w:r>
      <w:r w:rsidR="007D2C68">
        <w:t xml:space="preserve"> which constitutes the essential facts or elements giving rise</w:t>
      </w:r>
      <w:r w:rsidR="00931171">
        <w:t xml:space="preserve"> to </w:t>
      </w:r>
      <w:r w:rsidR="00830C04">
        <w:t>potentially multiple contraventions</w:t>
      </w:r>
      <w:r w:rsidR="00807097">
        <w:t>.</w:t>
      </w:r>
    </w:p>
    <w:p w:rsidR="00203740" w:rsidRDefault="003B3C7B" w:rsidP="003B3C7B">
      <w:pPr>
        <w:pStyle w:val="ParaNumbering"/>
        <w:numPr>
          <w:ilvl w:val="0"/>
          <w:numId w:val="0"/>
        </w:numPr>
        <w:tabs>
          <w:tab w:val="left" w:pos="720"/>
        </w:tabs>
        <w:ind w:hanging="720"/>
      </w:pPr>
      <w:r>
        <w:rPr>
          <w:sz w:val="20"/>
        </w:rPr>
        <w:t>98</w:t>
      </w:r>
      <w:r>
        <w:rPr>
          <w:sz w:val="20"/>
        </w:rPr>
        <w:tab/>
      </w:r>
      <w:r w:rsidR="00EF49B3">
        <w:t xml:space="preserve">Importantly, </w:t>
      </w:r>
      <w:r w:rsidR="00830C04">
        <w:t xml:space="preserve">in </w:t>
      </w:r>
      <w:r w:rsidR="00830C04" w:rsidRPr="00830C04">
        <w:t>admit</w:t>
      </w:r>
      <w:r w:rsidR="00830C04">
        <w:t>ting</w:t>
      </w:r>
      <w:r w:rsidR="00830C04" w:rsidRPr="00830C04">
        <w:t xml:space="preserve"> </w:t>
      </w:r>
      <w:r w:rsidR="007E4E72">
        <w:t>the conduct referred to in</w:t>
      </w:r>
      <w:r w:rsidR="00830C04">
        <w:t xml:space="preserve"> </w:t>
      </w:r>
      <w:r w:rsidR="00830C04" w:rsidRPr="00830C04">
        <w:t xml:space="preserve">the </w:t>
      </w:r>
      <w:r w:rsidR="00B63CBE">
        <w:t>statement of claim</w:t>
      </w:r>
      <w:r w:rsidR="00BF6F3B">
        <w:t xml:space="preserve"> at [25]</w:t>
      </w:r>
      <w:r w:rsidR="00830C04">
        <w:t>, which senior counsel accepted was the effect of the letter dated 16 May 2019, what was being admitted by AMPF was that</w:t>
      </w:r>
      <w:r w:rsidR="00EF21DF">
        <w:t xml:space="preserve">: </w:t>
      </w:r>
    </w:p>
    <w:p w:rsidR="00203740" w:rsidRDefault="00203740" w:rsidP="00203740">
      <w:pPr>
        <w:pStyle w:val="Quote1"/>
      </w:pPr>
      <w:r>
        <w:t xml:space="preserve">During the Relevant Period, in contravention of s 961L of the Act, AMPFP failed to take reasonable steps to ensure that Authorised Representatives (other than Mr Panganiban) complied with </w:t>
      </w:r>
      <w:proofErr w:type="spellStart"/>
      <w:r>
        <w:t>ss</w:t>
      </w:r>
      <w:proofErr w:type="spellEnd"/>
      <w:r>
        <w:t xml:space="preserve"> 9618, 961G and 961J of the Act.</w:t>
      </w:r>
    </w:p>
    <w:p w:rsidR="00203740" w:rsidRDefault="00203740" w:rsidP="00203740">
      <w:pPr>
        <w:pStyle w:val="Quote1"/>
        <w:ind w:left="3600"/>
      </w:pPr>
      <w:r>
        <w:t>Particulars</w:t>
      </w:r>
    </w:p>
    <w:p w:rsidR="00203740" w:rsidRDefault="00203740" w:rsidP="00203740">
      <w:pPr>
        <w:pStyle w:val="Quote1"/>
      </w:pPr>
      <w:r>
        <w:t>(</w:t>
      </w:r>
      <w:proofErr w:type="spellStart"/>
      <w:r>
        <w:t>i</w:t>
      </w:r>
      <w:proofErr w:type="spellEnd"/>
      <w:r>
        <w:t>) AMPFP failed to take reasonable steps:</w:t>
      </w:r>
    </w:p>
    <w:p w:rsidR="00203740" w:rsidRDefault="00203740" w:rsidP="00203740">
      <w:pPr>
        <w:pStyle w:val="Quote1"/>
        <w:ind w:left="1440"/>
      </w:pPr>
      <w:r>
        <w:t xml:space="preserve">(A) to determine whether, among the Authorised Representatives who provided financial product advice to retail clients about AMP Life Products, there were others (in addition to Mr Panganiban) who had engaged, or were engaging, in Rewriting Conduct in contravention of </w:t>
      </w:r>
      <w:proofErr w:type="spellStart"/>
      <w:r>
        <w:t>ss</w:t>
      </w:r>
      <w:proofErr w:type="spellEnd"/>
      <w:r>
        <w:t xml:space="preserve"> 9618, 961G and 961J of the Act; and</w:t>
      </w:r>
    </w:p>
    <w:p w:rsidR="00203740" w:rsidRDefault="00203740" w:rsidP="00203740">
      <w:pPr>
        <w:pStyle w:val="Quote1"/>
        <w:ind w:left="1440"/>
      </w:pPr>
      <w:r>
        <w:t>(B) to determine how common or widespread any such conduct was and what reasonable steps should be taken in order to ensure that it ceased;</w:t>
      </w:r>
    </w:p>
    <w:p w:rsidR="00203740" w:rsidRDefault="00203740" w:rsidP="00203740">
      <w:pPr>
        <w:pStyle w:val="Quote1"/>
        <w:ind w:left="1440"/>
      </w:pPr>
      <w:r>
        <w:t>(C) to then take the steps identified in (B);</w:t>
      </w:r>
    </w:p>
    <w:p w:rsidR="00203740" w:rsidRDefault="00203740" w:rsidP="00203740">
      <w:pPr>
        <w:pStyle w:val="Quote1"/>
      </w:pPr>
      <w:r>
        <w:t xml:space="preserve">(ii) AMPFP failed to take reasonable steps to remove (or to request AMP Life remove) the incentive created by the Commission Model for Authorised Representatives to engage in Rewriting Conduct in contravention of </w:t>
      </w:r>
      <w:proofErr w:type="spellStart"/>
      <w:r>
        <w:t>ss</w:t>
      </w:r>
      <w:proofErr w:type="spellEnd"/>
      <w:r>
        <w:t xml:space="preserve"> 961B, 961G and 961J of the Act;</w:t>
      </w:r>
    </w:p>
    <w:p w:rsidR="00203740" w:rsidRDefault="00203740" w:rsidP="00203740">
      <w:pPr>
        <w:pStyle w:val="Quote1"/>
      </w:pPr>
      <w:r>
        <w:t xml:space="preserve">(iii) AMPFP failed to take reasonable steps to implement appropriate policies and procedures designed to ensure that Authorised Representatives did not engage in Rewriting Conduct in contravention of </w:t>
      </w:r>
      <w:proofErr w:type="spellStart"/>
      <w:r>
        <w:t>ss</w:t>
      </w:r>
      <w:proofErr w:type="spellEnd"/>
      <w:r>
        <w:t xml:space="preserve"> 961B, 961G and 961J of the Act;</w:t>
      </w:r>
    </w:p>
    <w:p w:rsidR="00EF21DF" w:rsidRDefault="00203740" w:rsidP="00203740">
      <w:pPr>
        <w:pStyle w:val="Quote1"/>
      </w:pPr>
      <w:r>
        <w:t>(iv) AMPFP failed to take reasonable steps to consider whether the Rewriting Conduct engaged in by Mr Panganiban had disclosed weaknesses in AMPFP’s compliance systems and to then take reasonable steps to remedy those weaknesses.</w:t>
      </w:r>
    </w:p>
    <w:p w:rsidR="00FA5BEE" w:rsidRDefault="003B3C7B" w:rsidP="003B3C7B">
      <w:pPr>
        <w:pStyle w:val="ParaNumbering"/>
        <w:numPr>
          <w:ilvl w:val="0"/>
          <w:numId w:val="0"/>
        </w:numPr>
        <w:tabs>
          <w:tab w:val="left" w:pos="720"/>
        </w:tabs>
        <w:ind w:hanging="720"/>
      </w:pPr>
      <w:r>
        <w:rPr>
          <w:sz w:val="20"/>
        </w:rPr>
        <w:lastRenderedPageBreak/>
        <w:t>99</w:t>
      </w:r>
      <w:r>
        <w:rPr>
          <w:sz w:val="20"/>
        </w:rPr>
        <w:tab/>
      </w:r>
      <w:r w:rsidR="00FA5BEE">
        <w:t xml:space="preserve">While </w:t>
      </w:r>
      <w:r w:rsidR="00FA5BEE" w:rsidRPr="003D74BB">
        <w:t>in civil proceedings there is generally very considerable scope for the parties to agree on the facts and upon consequences</w:t>
      </w:r>
      <w:r w:rsidR="00825685">
        <w:t xml:space="preserve">, this is subject to the court being </w:t>
      </w:r>
      <w:r w:rsidR="00772FAC">
        <w:t>“</w:t>
      </w:r>
      <w:r w:rsidR="00825685">
        <w:t>sufficient</w:t>
      </w:r>
      <w:r w:rsidR="00772FAC">
        <w:t>ly</w:t>
      </w:r>
      <w:r w:rsidR="00825685">
        <w:t xml:space="preserve"> persuaded of the accuracy of the parties’ agreement as to facts and consequences</w:t>
      </w:r>
      <w:r w:rsidR="00772FAC">
        <w:t>”</w:t>
      </w:r>
      <w:r w:rsidR="00E563D1">
        <w:t xml:space="preserve">: </w:t>
      </w:r>
      <w:r w:rsidR="00FA5BEE">
        <w:t xml:space="preserve">see </w:t>
      </w:r>
      <w:r w:rsidR="00FA5BEE" w:rsidRPr="00AE143D">
        <w:rPr>
          <w:i/>
        </w:rPr>
        <w:t>Commonwealth v Director, Fair Work Building Industry Inspectorate</w:t>
      </w:r>
      <w:r w:rsidR="00FA5BEE" w:rsidRPr="003D74BB">
        <w:t xml:space="preserve"> [2015] HCA 46;</w:t>
      </w:r>
      <w:r w:rsidR="00B82057">
        <w:t xml:space="preserve"> (2015)</w:t>
      </w:r>
      <w:r w:rsidR="00FA5BEE" w:rsidRPr="003D74BB">
        <w:t xml:space="preserve"> 258 CLR 482</w:t>
      </w:r>
      <w:r w:rsidR="00FA5BEE">
        <w:t xml:space="preserve"> at</w:t>
      </w:r>
      <w:r w:rsidR="00B82057">
        <w:t xml:space="preserve"> 507</w:t>
      </w:r>
      <w:r w:rsidR="00FA5BEE">
        <w:t xml:space="preserve"> [57]</w:t>
      </w:r>
      <w:r w:rsidR="00825685">
        <w:t xml:space="preserve">, and [58] </w:t>
      </w:r>
      <w:r w:rsidR="00F32117">
        <w:t>(</w:t>
      </w:r>
      <w:r w:rsidR="00825685" w:rsidRPr="00825685">
        <w:t xml:space="preserve">French CJ, </w:t>
      </w:r>
      <w:proofErr w:type="spellStart"/>
      <w:r w:rsidR="00825685" w:rsidRPr="00825685">
        <w:t>Kiefel</w:t>
      </w:r>
      <w:proofErr w:type="spellEnd"/>
      <w:r w:rsidR="00825685" w:rsidRPr="00825685">
        <w:t>, Bell, Nettle and Gordon JJ</w:t>
      </w:r>
      <w:r w:rsidR="00F32117">
        <w:t>)</w:t>
      </w:r>
      <w:r w:rsidR="00D90851">
        <w:t xml:space="preserve">. </w:t>
      </w:r>
      <w:r w:rsidR="00772FAC">
        <w:t xml:space="preserve">This means that the </w:t>
      </w:r>
      <w:r w:rsidR="00FA5BEE">
        <w:t>task of determining the number of contraventions arising on the established facts is one properly for the determination of the Court, not the parties (</w:t>
      </w:r>
      <w:r w:rsidR="000E7FD2">
        <w:t>n</w:t>
      </w:r>
      <w:r w:rsidR="00FA5BEE">
        <w:t>or their experts), subject to the need to afford procedural fair</w:t>
      </w:r>
      <w:r w:rsidR="00EF49B3">
        <w:t xml:space="preserve">ness by giving the parties </w:t>
      </w:r>
      <w:r w:rsidR="00FA5BEE">
        <w:t xml:space="preserve">notice that the Court is </w:t>
      </w:r>
      <w:r w:rsidR="00952F5C">
        <w:t>contemplating a conclusion that had not been the subject of submissions</w:t>
      </w:r>
      <w:r w:rsidR="00EF49B3">
        <w:t xml:space="preserve"> and inviting the parties to make</w:t>
      </w:r>
      <w:r w:rsidR="0043107D">
        <w:t xml:space="preserve"> submissions or (if relevant) to</w:t>
      </w:r>
      <w:r w:rsidR="00EF49B3">
        <w:t xml:space="preserve"> adduce further evidence relevant to the question</w:t>
      </w:r>
      <w:r w:rsidR="00FA5BEE">
        <w:t>.</w:t>
      </w:r>
      <w:r w:rsidR="00F40047">
        <w:t xml:space="preserve"> </w:t>
      </w:r>
      <w:r w:rsidR="00952F5C">
        <w:t>I</w:t>
      </w:r>
      <w:r w:rsidR="00EF49B3">
        <w:t>n this regard, I</w:t>
      </w:r>
      <w:r w:rsidR="00952F5C">
        <w:t xml:space="preserve"> respectfully agree with </w:t>
      </w:r>
      <w:r w:rsidR="00FA5BEE">
        <w:t>Moshinsky J</w:t>
      </w:r>
      <w:r w:rsidR="00DF55BE">
        <w:t>’s observations</w:t>
      </w:r>
      <w:r w:rsidR="00FA5BEE">
        <w:t xml:space="preserve"> in </w:t>
      </w:r>
      <w:r w:rsidR="0043107D" w:rsidRPr="0043107D">
        <w:rPr>
          <w:i/>
        </w:rPr>
        <w:t xml:space="preserve">Australian Competition and Consumer Commission v </w:t>
      </w:r>
      <w:proofErr w:type="spellStart"/>
      <w:r w:rsidR="0043107D" w:rsidRPr="0043107D">
        <w:rPr>
          <w:i/>
        </w:rPr>
        <w:t>Meriton</w:t>
      </w:r>
      <w:proofErr w:type="spellEnd"/>
      <w:r w:rsidR="0043107D" w:rsidRPr="0043107D">
        <w:rPr>
          <w:i/>
        </w:rPr>
        <w:t xml:space="preserve"> Property Services Pty Ltd (No 2) </w:t>
      </w:r>
      <w:r w:rsidR="0043107D" w:rsidRPr="0043107D">
        <w:t>[2018] FCA 1125</w:t>
      </w:r>
      <w:r w:rsidR="0043107D" w:rsidRPr="0043107D">
        <w:rPr>
          <w:i/>
        </w:rPr>
        <w:t xml:space="preserve"> </w:t>
      </w:r>
      <w:r w:rsidR="00EF49B3">
        <w:t>at [66], albeit in the context of an agreed penalty hearing</w:t>
      </w:r>
      <w:r w:rsidR="00FA5BEE">
        <w:t>:</w:t>
      </w:r>
    </w:p>
    <w:p w:rsidR="00FA5BEE" w:rsidRDefault="0043107D" w:rsidP="00FA5BEE">
      <w:pPr>
        <w:pStyle w:val="Quote1"/>
      </w:pPr>
      <w:r>
        <w:t xml:space="preserve">… </w:t>
      </w:r>
      <w:r w:rsidR="00FA5BEE" w:rsidRPr="00485E49">
        <w:t>the Court is not constrained by the agreement of the parties as to the amount of the proposed penalty or by the parties’ agreement as to the number of contraventions. It is open to the Court to form a different view (subject, of course, to giving the parties appropriate notice). This is because the Court needs to be satisfied that the proposed penalty is an appropriate penalty and that the statement of agreed facts provides a proper basis upon which to proceed. By parity of reasoning, even in an adversarial context, the Court is not necessarily constrained by the positions adopted by the parties as to the amount of a penalty or the number of contraventions. Of course, this is subject to the proceeding being conducted fairly and appropriate notice being given if the Court is minded to depart from the basis upon which the parties have proceeded</w:t>
      </w:r>
      <w:r w:rsidR="00FA5BEE">
        <w:t>…</w:t>
      </w:r>
    </w:p>
    <w:p w:rsidR="0043107D" w:rsidRDefault="003B3C7B" w:rsidP="003B3C7B">
      <w:pPr>
        <w:pStyle w:val="ParaNumbering"/>
        <w:numPr>
          <w:ilvl w:val="0"/>
          <w:numId w:val="0"/>
        </w:numPr>
        <w:tabs>
          <w:tab w:val="left" w:pos="720"/>
        </w:tabs>
        <w:ind w:hanging="720"/>
      </w:pPr>
      <w:r>
        <w:rPr>
          <w:sz w:val="20"/>
        </w:rPr>
        <w:t>100</w:t>
      </w:r>
      <w:r>
        <w:rPr>
          <w:sz w:val="20"/>
        </w:rPr>
        <w:tab/>
      </w:r>
      <w:r w:rsidR="0043107D">
        <w:t>Consistently with the approach explained by his Honour, procedural fairness was provided; indeed, it might be said, it was provided in spades. When the possibility of 18 contraventions of s 961L was first flagged on the second day of the hearing, AMPFP was afforded the opportunity to apply for an adjournmen</w:t>
      </w:r>
      <w:r w:rsidR="00FB4A77">
        <w:t>t, adduce further evidence and/</w:t>
      </w:r>
      <w:r w:rsidR="0043107D">
        <w:t xml:space="preserve">or to make </w:t>
      </w:r>
      <w:r w:rsidR="0077105C">
        <w:t xml:space="preserve">an </w:t>
      </w:r>
      <w:r w:rsidR="0043107D">
        <w:t>application to withdraw any</w:t>
      </w:r>
      <w:r w:rsidR="00830C04">
        <w:t xml:space="preserve"> admissions it had </w:t>
      </w:r>
      <w:r w:rsidR="0043107D">
        <w:t>made</w:t>
      </w:r>
      <w:r w:rsidR="007E4E72">
        <w:t>.</w:t>
      </w:r>
      <w:r w:rsidR="00F40047">
        <w:t xml:space="preserve"> </w:t>
      </w:r>
      <w:r w:rsidR="007E4E72">
        <w:t>The following exchange occurred</w:t>
      </w:r>
      <w:r w:rsidR="0043107D">
        <w:t xml:space="preserve"> (at T114.9-115.10): </w:t>
      </w:r>
    </w:p>
    <w:p w:rsidR="0043107D" w:rsidRDefault="0043107D" w:rsidP="0043107D">
      <w:pPr>
        <w:pStyle w:val="Quote1"/>
      </w:pPr>
      <w:r>
        <w:t>HIS HONOUR: … I don</w:t>
      </w:r>
      <w:r w:rsidR="00227368">
        <w:t>’</w:t>
      </w:r>
      <w:r>
        <w:t xml:space="preserve">t want to cause any unfairness whatsoever to your client, and … the more I look at it, the more I think </w:t>
      </w:r>
      <w:r w:rsidR="007E4E72">
        <w:t xml:space="preserve">[18 contraventions is] </w:t>
      </w:r>
      <w:r>
        <w:t>at least an available way of going. Now, if that</w:t>
      </w:r>
      <w:r w:rsidR="00227368">
        <w:t>’</w:t>
      </w:r>
      <w:r>
        <w:t>s the case, I don</w:t>
      </w:r>
      <w:r w:rsidR="00227368">
        <w:t>’</w:t>
      </w:r>
      <w:r>
        <w:t>t want to put your client in a situation where it… suffers any unfairness whatsoever…. if you take instructions and establish to my satisfaction that you propose to put on further evidence in order to meet such [a ch</w:t>
      </w:r>
      <w:r w:rsidR="00227368">
        <w:t>aracterisation] - I must say, I’</w:t>
      </w:r>
      <w:r>
        <w:t xml:space="preserve">m a little confused as to what evidence will be relevant to this, given the nature of the underlying facts, but if you tell me that you made forensic decisions about evidence on the basis that </w:t>
      </w:r>
      <w:r w:rsidR="00227368">
        <w:t>–</w:t>
      </w:r>
      <w:r>
        <w:t xml:space="preserve"> notwithstanding a case of 120 contraventions was open; notwithstanding a case of two contraventions was open; and notwithstanding a case of si</w:t>
      </w:r>
      <w:r w:rsidR="00227368">
        <w:t>x contraventions was open – you’</w:t>
      </w:r>
      <w:r>
        <w:t xml:space="preserve">re not in a position to meet a case of 18 contraventions from an evidentiary point of view, then I would give you the opportunity of having an adjournment to put further material that </w:t>
      </w:r>
      <w:r w:rsidR="00227368">
        <w:t xml:space="preserve">you wish to </w:t>
      </w:r>
      <w:r w:rsidR="00227368">
        <w:lastRenderedPageBreak/>
        <w:t>put forward, if you’</w:t>
      </w:r>
      <w:r>
        <w:t>re following instructions a</w:t>
      </w:r>
      <w:r w:rsidR="00227368">
        <w:t>nd considering the matter, that’</w:t>
      </w:r>
      <w:r>
        <w:t>s a submission you put, and reserve the issue of costs of the adjournment, but - - -</w:t>
      </w:r>
    </w:p>
    <w:p w:rsidR="0043107D" w:rsidRDefault="00227368" w:rsidP="0043107D">
      <w:pPr>
        <w:pStyle w:val="Quote1"/>
      </w:pPr>
      <w:r>
        <w:t>MS COLLINS: I will take – it’</w:t>
      </w:r>
      <w:r w:rsidR="0043107D">
        <w:t>s an important matter, of course, and I will take instructions on it, but can I just say this first. I can</w:t>
      </w:r>
      <w:r>
        <w:t>’</w:t>
      </w:r>
      <w:r w:rsidR="0043107D">
        <w:t>t unscramble the egg. We admitted to contraventions as set out in the joint expert report. As I will take your Honour through, there is nothing in the joint expert report which distinguishes between a failure on my client to take reasonable steps to ensure compliance with, for instance, 961B and 961G. We made an assessment about the strength of the case based upon the NSG line of authority, which is an assessment, obviously, we will have to live with, but we would - it's a matter, with respect, that can be cured by an adjournment because it's just - - -</w:t>
      </w:r>
    </w:p>
    <w:p w:rsidR="0043107D" w:rsidRDefault="0043107D" w:rsidP="0043107D">
      <w:pPr>
        <w:pStyle w:val="Quote1"/>
      </w:pPr>
      <w:r>
        <w:t>HIS HONOUR: Well, it would be either cured by an adjournment or cured by withdr</w:t>
      </w:r>
      <w:r w:rsidR="00227368">
        <w:t>awal of admissions then, wouldn’</w:t>
      </w:r>
      <w:r>
        <w:t>t it?</w:t>
      </w:r>
    </w:p>
    <w:p w:rsidR="0043107D" w:rsidRDefault="0043107D" w:rsidP="0043107D">
      <w:pPr>
        <w:pStyle w:val="Quote1"/>
      </w:pPr>
      <w:r>
        <w:t>MS COLLINS: Can I take instructions?</w:t>
      </w:r>
    </w:p>
    <w:p w:rsidR="0043107D" w:rsidRDefault="0043107D" w:rsidP="0043107D">
      <w:pPr>
        <w:pStyle w:val="Quote1"/>
      </w:pPr>
      <w:r>
        <w:t>HIS HONOUR: Well, it must be, mustn</w:t>
      </w:r>
      <w:r w:rsidR="00227368">
        <w:t>’</w:t>
      </w:r>
      <w:r>
        <w:t>t it?</w:t>
      </w:r>
    </w:p>
    <w:p w:rsidR="0043107D" w:rsidRDefault="0043107D" w:rsidP="0043107D">
      <w:pPr>
        <w:pStyle w:val="Quote1"/>
      </w:pPr>
      <w:r>
        <w:t>MS COLLINS: Well - - -</w:t>
      </w:r>
    </w:p>
    <w:p w:rsidR="0043107D" w:rsidRDefault="0043107D" w:rsidP="0043107D">
      <w:pPr>
        <w:pStyle w:val="Quote1"/>
      </w:pPr>
      <w:r>
        <w:t>HIS HONOUR: You</w:t>
      </w:r>
      <w:r w:rsidR="00227368">
        <w:t>’</w:t>
      </w:r>
      <w:r>
        <w:t>re saying to me that you can meet a case for</w:t>
      </w:r>
      <w:r w:rsidR="00227368">
        <w:t xml:space="preserve"> 120 contraventions but you can’</w:t>
      </w:r>
      <w:r>
        <w:t>t meet a case</w:t>
      </w:r>
      <w:r w:rsidR="00227368">
        <w:t xml:space="preserve"> of 18, and because of that you’</w:t>
      </w:r>
      <w:r>
        <w:t>ve raised two issues. One, you said you may have adduced further evidence; secondly, you may not have made admissions. If senior counsel tells me seriously that they would have put o</w:t>
      </w:r>
      <w:r w:rsidR="00227368">
        <w:t>n further evidence, they wouldn’</w:t>
      </w:r>
      <w:r>
        <w:t>t have made admissions that they make, given the nature of the admissions made in this case, then I will accept that at face value.</w:t>
      </w:r>
      <w:r w:rsidR="00F40047">
        <w:t xml:space="preserve"> </w:t>
      </w:r>
    </w:p>
    <w:p w:rsidR="0043107D" w:rsidRDefault="0043107D" w:rsidP="0043107D">
      <w:pPr>
        <w:pStyle w:val="Quote1"/>
      </w:pPr>
      <w:r>
        <w:t>MS COLLINS: Well, obviously I will need to get instructions about that, bu</w:t>
      </w:r>
      <w:r w:rsidR="00227368">
        <w:t>t the first and primary point I’</w:t>
      </w:r>
      <w:r>
        <w:t>m pu</w:t>
      </w:r>
      <w:r w:rsidR="00227368">
        <w:t>tting to your Honour is that it’</w:t>
      </w:r>
      <w:r>
        <w:t xml:space="preserve">s too late in the day to take up a blue pencil and redraft ASICs case. Redraft the way in </w:t>
      </w:r>
      <w:r w:rsidR="00227368">
        <w:t>which ASIC has put its case. It’</w:t>
      </w:r>
      <w:r>
        <w:t>s just too late. It would be too late in a c</w:t>
      </w:r>
      <w:r w:rsidR="00227368">
        <w:t>ivil case, with respect, and it’</w:t>
      </w:r>
      <w:r>
        <w:t>s particularly too late in a civil penalty proceeding.</w:t>
      </w:r>
    </w:p>
    <w:p w:rsidR="00FA5BEE" w:rsidRDefault="003B3C7B" w:rsidP="003B3C7B">
      <w:pPr>
        <w:pStyle w:val="ParaNumbering"/>
        <w:numPr>
          <w:ilvl w:val="0"/>
          <w:numId w:val="0"/>
        </w:numPr>
        <w:tabs>
          <w:tab w:val="left" w:pos="720"/>
        </w:tabs>
        <w:ind w:hanging="720"/>
      </w:pPr>
      <w:r>
        <w:rPr>
          <w:sz w:val="20"/>
        </w:rPr>
        <w:t>101</w:t>
      </w:r>
      <w:r>
        <w:rPr>
          <w:sz w:val="20"/>
        </w:rPr>
        <w:tab/>
      </w:r>
      <w:r w:rsidR="00FA5BEE">
        <w:t xml:space="preserve">Later, </w:t>
      </w:r>
      <w:r w:rsidR="00F244C6">
        <w:t xml:space="preserve">after obtaining </w:t>
      </w:r>
      <w:r w:rsidR="005747A9">
        <w:t xml:space="preserve">the </w:t>
      </w:r>
      <w:r w:rsidR="00F244C6">
        <w:t xml:space="preserve">foreshadowed instructions </w:t>
      </w:r>
      <w:r w:rsidR="00FA5BEE">
        <w:t>following the luncheon adjournment</w:t>
      </w:r>
      <w:r w:rsidR="00F244C6">
        <w:t>, senior counsel</w:t>
      </w:r>
      <w:r w:rsidR="00E60CC4">
        <w:t xml:space="preserve"> (at T171.5-12)</w:t>
      </w:r>
      <w:r w:rsidR="00F244C6">
        <w:t xml:space="preserve"> informed the Court of the following</w:t>
      </w:r>
      <w:r w:rsidR="00FA5BEE">
        <w:t>:</w:t>
      </w:r>
    </w:p>
    <w:p w:rsidR="00FA5BEE" w:rsidRDefault="00FA5BEE" w:rsidP="00FA5BEE">
      <w:pPr>
        <w:pStyle w:val="Quote1"/>
      </w:pPr>
      <w:r w:rsidRPr="004F603F">
        <w:t xml:space="preserve">MS COLLINS: So I’m instructed we </w:t>
      </w:r>
      <w:r>
        <w:t xml:space="preserve">don’t seek an adjournment and </w:t>
      </w:r>
      <w:r w:rsidRPr="004F603F">
        <w:t>our position is that an adjournment wouldn’t cure what we say the prejudice is if ASIC are allowed to, effectively, put forward a case that’s contradictory – or, sorry, which is outside the realms of the case that h</w:t>
      </w:r>
      <w:r>
        <w:t xml:space="preserve">as been foreshadowed to date. </w:t>
      </w:r>
    </w:p>
    <w:p w:rsidR="00FA5BEE" w:rsidRDefault="00FA5BEE" w:rsidP="00FA5BEE">
      <w:pPr>
        <w:pStyle w:val="Quote1"/>
      </w:pPr>
      <w:r w:rsidRPr="004F603F">
        <w:t xml:space="preserve">HIS HONOUR: Okay. </w:t>
      </w:r>
    </w:p>
    <w:p w:rsidR="00FA5BEE" w:rsidRDefault="00FA5BEE" w:rsidP="00FA5BEE">
      <w:pPr>
        <w:pStyle w:val="Quote1"/>
      </w:pPr>
      <w:r w:rsidRPr="004F603F">
        <w:t>MS COLLINS: So that’s our position.</w:t>
      </w:r>
    </w:p>
    <w:p w:rsidR="002E2187" w:rsidRDefault="003B3C7B" w:rsidP="003B3C7B">
      <w:pPr>
        <w:pStyle w:val="ParaNumbering"/>
        <w:numPr>
          <w:ilvl w:val="0"/>
          <w:numId w:val="0"/>
        </w:numPr>
        <w:tabs>
          <w:tab w:val="left" w:pos="720"/>
        </w:tabs>
        <w:ind w:hanging="720"/>
      </w:pPr>
      <w:r>
        <w:rPr>
          <w:sz w:val="20"/>
        </w:rPr>
        <w:t>102</w:t>
      </w:r>
      <w:r>
        <w:rPr>
          <w:sz w:val="20"/>
        </w:rPr>
        <w:tab/>
      </w:r>
      <w:r w:rsidR="007F6227">
        <w:t>A</w:t>
      </w:r>
      <w:r w:rsidR="00ED2518">
        <w:t xml:space="preserve">t the resumed hearing on 26 July 2019, </w:t>
      </w:r>
      <w:r w:rsidR="007F6227">
        <w:t>when the issue of prejudice was again pressed by AMPFP</w:t>
      </w:r>
      <w:r w:rsidR="00227DE9">
        <w:t>,</w:t>
      </w:r>
      <w:r w:rsidR="007F6227">
        <w:t xml:space="preserve"> and following the tender of </w:t>
      </w:r>
      <w:r w:rsidR="00F31D85">
        <w:t>Exhibit F</w:t>
      </w:r>
      <w:r w:rsidR="00033C18">
        <w:t xml:space="preserve"> (discussed at </w:t>
      </w:r>
      <w:r w:rsidR="005747A9">
        <w:t>[</w:t>
      </w:r>
      <w:r w:rsidR="00033C18">
        <w:fldChar w:fldCharType="begin" w:fldLock="1"/>
      </w:r>
      <w:r w:rsidR="00033C18">
        <w:instrText xml:space="preserve"> REF _Ref30147120 \r \h </w:instrText>
      </w:r>
      <w:r w:rsidR="00033C18">
        <w:fldChar w:fldCharType="separate"/>
      </w:r>
      <w:r w:rsidR="00E469CA">
        <w:t>93</w:t>
      </w:r>
      <w:r w:rsidR="00033C18">
        <w:fldChar w:fldCharType="end"/>
      </w:r>
      <w:r w:rsidR="00033C18">
        <w:fldChar w:fldCharType="begin" w:fldLock="1"/>
      </w:r>
      <w:r w:rsidR="00033C18">
        <w:instrText xml:space="preserve"> REF _Ref30147150 \r \h </w:instrText>
      </w:r>
      <w:r w:rsidR="00033C18">
        <w:fldChar w:fldCharType="separate"/>
      </w:r>
      <w:r w:rsidR="00E469CA">
        <w:t>(1)</w:t>
      </w:r>
      <w:r w:rsidR="00033C18">
        <w:fldChar w:fldCharType="end"/>
      </w:r>
      <w:r w:rsidR="005747A9">
        <w:t>]</w:t>
      </w:r>
      <w:r w:rsidR="00033C18">
        <w:t xml:space="preserve"> above)</w:t>
      </w:r>
      <w:r w:rsidR="00F31D85">
        <w:t xml:space="preserve">, it was made </w:t>
      </w:r>
      <w:r w:rsidR="007F6227">
        <w:t>clear</w:t>
      </w:r>
      <w:r w:rsidR="00987850">
        <w:t xml:space="preserve"> on several occasions</w:t>
      </w:r>
      <w:r w:rsidR="007F6227">
        <w:t xml:space="preserve"> </w:t>
      </w:r>
      <w:r w:rsidR="007E4E72">
        <w:t>that</w:t>
      </w:r>
      <w:r w:rsidR="00AC0562">
        <w:t xml:space="preserve"> despite the force of Ms Collins’ submissions</w:t>
      </w:r>
      <w:r w:rsidR="00033C18">
        <w:t>,</w:t>
      </w:r>
      <w:r w:rsidR="007E4E72">
        <w:t xml:space="preserve"> upon reflection</w:t>
      </w:r>
      <w:r w:rsidR="00033C18">
        <w:t>,</w:t>
      </w:r>
      <w:r w:rsidR="007E4E72">
        <w:t xml:space="preserve"> I was experiencing some difficulty</w:t>
      </w:r>
      <w:r w:rsidR="00227DE9">
        <w:t xml:space="preserve"> in </w:t>
      </w:r>
      <w:r w:rsidR="00FB4A77">
        <w:t>accepting</w:t>
      </w:r>
      <w:r w:rsidR="00227DE9">
        <w:t xml:space="preserve"> </w:t>
      </w:r>
      <w:r w:rsidR="007E30A1">
        <w:t>AMP</w:t>
      </w:r>
      <w:r w:rsidR="00F31D85">
        <w:t>FP</w:t>
      </w:r>
      <w:r w:rsidR="00003494">
        <w:t xml:space="preserve">’s contentions as to prejudice </w:t>
      </w:r>
      <w:r w:rsidR="00F31D85">
        <w:t xml:space="preserve">in the absence of evidence explaining </w:t>
      </w:r>
      <w:r w:rsidR="00227DE9">
        <w:t>how AMPF</w:t>
      </w:r>
      <w:r w:rsidR="00033C18">
        <w:t>P</w:t>
      </w:r>
      <w:r w:rsidR="00F31D85">
        <w:t xml:space="preserve"> might have conducted the</w:t>
      </w:r>
      <w:r w:rsidR="00033C18">
        <w:t>ir</w:t>
      </w:r>
      <w:r w:rsidR="00F31D85">
        <w:t xml:space="preserve"> case differently in the counterfactual</w:t>
      </w:r>
      <w:r w:rsidR="00227DE9">
        <w:t xml:space="preserve"> </w:t>
      </w:r>
      <w:r w:rsidR="002D67B2">
        <w:t>(</w:t>
      </w:r>
      <w:r w:rsidR="00227DE9">
        <w:t>where the prospect of 18 contraventions</w:t>
      </w:r>
      <w:r w:rsidR="002D67B2">
        <w:t xml:space="preserve"> had be</w:t>
      </w:r>
      <w:r w:rsidR="00227DE9">
        <w:t>e</w:t>
      </w:r>
      <w:r w:rsidR="002D67B2">
        <w:t>n</w:t>
      </w:r>
      <w:r w:rsidR="00227DE9">
        <w:t xml:space="preserve"> </w:t>
      </w:r>
      <w:r w:rsidR="00604691">
        <w:t>raised</w:t>
      </w:r>
      <w:r w:rsidR="00227DE9">
        <w:t xml:space="preserve"> in advance of the </w:t>
      </w:r>
      <w:r w:rsidR="00604691">
        <w:lastRenderedPageBreak/>
        <w:t>hearing</w:t>
      </w:r>
      <w:r w:rsidR="002D67B2">
        <w:t>)</w:t>
      </w:r>
      <w:r w:rsidR="005A18FB">
        <w:t xml:space="preserve">. </w:t>
      </w:r>
      <w:r w:rsidR="007F6227">
        <w:t>After a short adjournment to</w:t>
      </w:r>
      <w:r w:rsidR="00AC0562">
        <w:t xml:space="preserve"> enable senior counsel</w:t>
      </w:r>
      <w:r w:rsidR="007F6227">
        <w:t xml:space="preserve"> to take instructions</w:t>
      </w:r>
      <w:r w:rsidR="005A18FB">
        <w:t xml:space="preserve"> on the point</w:t>
      </w:r>
      <w:r w:rsidR="007F6227">
        <w:t xml:space="preserve">, it was confirmed that AMPFP did not </w:t>
      </w:r>
      <w:r w:rsidR="00203FF7">
        <w:t xml:space="preserve">propose </w:t>
      </w:r>
      <w:r w:rsidR="007F6227">
        <w:t xml:space="preserve">to </w:t>
      </w:r>
      <w:r w:rsidR="00F31D85">
        <w:t>adduce any evidence</w:t>
      </w:r>
      <w:r w:rsidR="00003494">
        <w:t xml:space="preserve"> from its solicitor or any other person responsible for giving instructions</w:t>
      </w:r>
      <w:r w:rsidR="007F6227">
        <w:t>.</w:t>
      </w:r>
      <w:r w:rsidR="00033C18">
        <w:t xml:space="preserve"> </w:t>
      </w:r>
      <w:r w:rsidR="00F244C6">
        <w:t>Senior counsel</w:t>
      </w:r>
      <w:r w:rsidR="00AC0562">
        <w:t>, with her customary candour, did not contend (</w:t>
      </w:r>
      <w:r w:rsidR="00F244C6">
        <w:t>after having had the opportunity of taking instructions</w:t>
      </w:r>
      <w:r w:rsidR="00AC0562">
        <w:t>)</w:t>
      </w:r>
      <w:r w:rsidR="00F244C6">
        <w:t xml:space="preserve"> that some </w:t>
      </w:r>
      <w:r w:rsidR="002D67B2" w:rsidRPr="00FB4A77">
        <w:rPr>
          <w:i/>
        </w:rPr>
        <w:t>specific</w:t>
      </w:r>
      <w:r w:rsidR="002D67B2">
        <w:t xml:space="preserve"> </w:t>
      </w:r>
      <w:r w:rsidR="00F244C6">
        <w:t xml:space="preserve">different course </w:t>
      </w:r>
      <w:r w:rsidR="00F244C6" w:rsidRPr="00003494">
        <w:t xml:space="preserve">would </w:t>
      </w:r>
      <w:r w:rsidR="00FB4A77">
        <w:t xml:space="preserve">or may </w:t>
      </w:r>
      <w:r w:rsidR="00F244C6">
        <w:t>have been taken by AMPFP if the possibility of 18 contraven</w:t>
      </w:r>
      <w:r w:rsidR="00033C18">
        <w:t xml:space="preserve">tions had been raised earlier. </w:t>
      </w:r>
      <w:r w:rsidR="00F244C6">
        <w:t>Given what had been conveyed in the JER</w:t>
      </w:r>
      <w:r w:rsidR="00033C18">
        <w:t>,</w:t>
      </w:r>
      <w:r w:rsidR="00F244C6">
        <w:t xml:space="preserve"> that is hardly unsurprising. That evidence, if accepted, made AMPFP’s resistance to a finding it had engaged in </w:t>
      </w:r>
      <w:r w:rsidR="00626273">
        <w:t xml:space="preserve">the underlying </w:t>
      </w:r>
      <w:r w:rsidR="00F244C6">
        <w:t>contravening conduct at best</w:t>
      </w:r>
      <w:r w:rsidR="002D67B2">
        <w:t>,</w:t>
      </w:r>
      <w:r w:rsidR="00F244C6">
        <w:t xml:space="preserve"> highly problematical and at worst</w:t>
      </w:r>
      <w:r w:rsidR="002D67B2">
        <w:t>,</w:t>
      </w:r>
      <w:r w:rsidR="00F244C6">
        <w:t xml:space="preserve"> untenable.</w:t>
      </w:r>
      <w:r w:rsidR="00F40047">
        <w:t xml:space="preserve"> </w:t>
      </w:r>
    </w:p>
    <w:p w:rsidR="00FA5BEE" w:rsidRDefault="003B3C7B" w:rsidP="003B3C7B">
      <w:pPr>
        <w:pStyle w:val="ParaNumbering"/>
        <w:numPr>
          <w:ilvl w:val="0"/>
          <w:numId w:val="0"/>
        </w:numPr>
        <w:tabs>
          <w:tab w:val="left" w:pos="720"/>
        </w:tabs>
        <w:ind w:hanging="720"/>
      </w:pPr>
      <w:r>
        <w:rPr>
          <w:sz w:val="20"/>
        </w:rPr>
        <w:t>103</w:t>
      </w:r>
      <w:r>
        <w:rPr>
          <w:sz w:val="20"/>
        </w:rPr>
        <w:tab/>
      </w:r>
      <w:r w:rsidR="00686146">
        <w:t>L</w:t>
      </w:r>
      <w:r w:rsidR="00003494">
        <w:t>ooked at</w:t>
      </w:r>
      <w:r w:rsidR="00EE4E2D">
        <w:t xml:space="preserve"> </w:t>
      </w:r>
      <w:r w:rsidR="00003494">
        <w:t xml:space="preserve">realistically, the position </w:t>
      </w:r>
      <w:r w:rsidR="002E2187">
        <w:t xml:space="preserve">following service of the JER </w:t>
      </w:r>
      <w:r w:rsidR="00003494">
        <w:t xml:space="preserve">was that </w:t>
      </w:r>
      <w:r w:rsidR="00F244C6">
        <w:t xml:space="preserve">the admissions as to contravening conduct </w:t>
      </w:r>
      <w:r w:rsidR="00686146">
        <w:t xml:space="preserve">were, in a practical sense, </w:t>
      </w:r>
      <w:r w:rsidR="00003494">
        <w:t>forensically necessary</w:t>
      </w:r>
      <w:r w:rsidR="002E2187">
        <w:t>,</w:t>
      </w:r>
      <w:r w:rsidR="00003494">
        <w:t xml:space="preserve"> irrespective as to whether this meant there w</w:t>
      </w:r>
      <w:r w:rsidR="00033C18">
        <w:t xml:space="preserve">ere two or 120 contraventions. </w:t>
      </w:r>
      <w:r w:rsidR="00604691">
        <w:t>I reach that conclusion with more confidence in the absence of</w:t>
      </w:r>
      <w:r w:rsidR="00FB4A77">
        <w:t xml:space="preserve"> any</w:t>
      </w:r>
      <w:r w:rsidR="00604691">
        <w:t xml:space="preserve"> </w:t>
      </w:r>
      <w:r w:rsidR="00FB4A77">
        <w:t xml:space="preserve">sworn </w:t>
      </w:r>
      <w:r w:rsidR="00604691">
        <w:t>evidence fro</w:t>
      </w:r>
      <w:r w:rsidR="00033C18">
        <w:t xml:space="preserve">m AMPFP to the contrary. </w:t>
      </w:r>
      <w:r w:rsidR="00745BF5">
        <w:t>Put</w:t>
      </w:r>
      <w:r w:rsidR="00686146">
        <w:t xml:space="preserve"> another way, i</w:t>
      </w:r>
      <w:r w:rsidR="00003494">
        <w:t xml:space="preserve">n the absence of </w:t>
      </w:r>
      <w:r w:rsidR="00604691">
        <w:t xml:space="preserve">any </w:t>
      </w:r>
      <w:r w:rsidR="00003494">
        <w:t xml:space="preserve">evidence, I am unpersuaded of any realistic (as opposed to entirely theoretical) prospect that AMPFP would </w:t>
      </w:r>
      <w:r w:rsidR="00686146">
        <w:t>not have made</w:t>
      </w:r>
      <w:r w:rsidR="007710CD">
        <w:t xml:space="preserve"> the</w:t>
      </w:r>
      <w:r w:rsidR="00686146">
        <w:t xml:space="preserve"> admissions it made </w:t>
      </w:r>
      <w:r w:rsidR="00003494">
        <w:t xml:space="preserve">or might </w:t>
      </w:r>
      <w:r w:rsidR="00686146">
        <w:t xml:space="preserve">otherwise </w:t>
      </w:r>
      <w:r w:rsidR="00003494">
        <w:t>have conducted its case differently in</w:t>
      </w:r>
      <w:r w:rsidR="00686146">
        <w:t xml:space="preserve"> the counterfactual.</w:t>
      </w:r>
      <w:r w:rsidR="00F40047">
        <w:t xml:space="preserve"> </w:t>
      </w:r>
      <w:r w:rsidR="00686146">
        <w:t>G</w:t>
      </w:r>
      <w:r w:rsidR="00003494">
        <w:t>iven the opportunities afforded to AMPFP to make further submissions, adduce further evidence</w:t>
      </w:r>
      <w:r w:rsidR="002E2187">
        <w:t>,</w:t>
      </w:r>
      <w:r w:rsidR="00003494">
        <w:t xml:space="preserve"> or seek leave to withd</w:t>
      </w:r>
      <w:r w:rsidR="002D67B2">
        <w:t>raw any admission</w:t>
      </w:r>
      <w:r w:rsidR="00954F84">
        <w:t>s</w:t>
      </w:r>
      <w:r w:rsidR="002D67B2">
        <w:t>,</w:t>
      </w:r>
      <w:r w:rsidR="0066055E">
        <w:t xml:space="preserve"> it is </w:t>
      </w:r>
      <w:r w:rsidR="00003494">
        <w:t>open for</w:t>
      </w:r>
      <w:r w:rsidR="00FA5BEE">
        <w:t xml:space="preserve"> the Court to entertain </w:t>
      </w:r>
      <w:r w:rsidR="00003494">
        <w:t>the prospect that on proper analysis</w:t>
      </w:r>
      <w:r w:rsidR="00FA5BEE">
        <w:t xml:space="preserve"> that </w:t>
      </w:r>
      <w:r w:rsidR="00003494">
        <w:t>were</w:t>
      </w:r>
      <w:r w:rsidR="00FA5BEE">
        <w:t xml:space="preserve"> 18 contraventions of s 961L.</w:t>
      </w:r>
      <w:r w:rsidR="00F40047">
        <w:t xml:space="preserve"> </w:t>
      </w:r>
    </w:p>
    <w:p w:rsidR="00FA5BEE" w:rsidRPr="000053E9" w:rsidRDefault="000053E9" w:rsidP="00E63726">
      <w:pPr>
        <w:pStyle w:val="Heading3"/>
      </w:pPr>
      <w:bookmarkStart w:id="78" w:name="_Ref14854789"/>
      <w:bookmarkStart w:id="79" w:name="_Ref14884276"/>
      <w:bookmarkStart w:id="80" w:name="_Ref14884927"/>
      <w:r w:rsidRPr="000053E9">
        <w:t>III</w:t>
      </w:r>
      <w:r w:rsidRPr="000053E9">
        <w:tab/>
        <w:t xml:space="preserve">Three </w:t>
      </w:r>
      <w:r w:rsidR="00033C18">
        <w:t>o</w:t>
      </w:r>
      <w:r w:rsidR="00033C18" w:rsidRPr="000053E9">
        <w:t xml:space="preserve">bservations </w:t>
      </w:r>
      <w:r w:rsidRPr="000053E9">
        <w:t xml:space="preserve">as to the </w:t>
      </w:r>
      <w:r w:rsidR="00033C18">
        <w:t>c</w:t>
      </w:r>
      <w:r w:rsidR="00033C18" w:rsidRPr="000053E9">
        <w:t xml:space="preserve">onstruction </w:t>
      </w:r>
      <w:r w:rsidR="00FA5BEE" w:rsidRPr="000053E9">
        <w:t>of s 961L</w:t>
      </w:r>
      <w:bookmarkEnd w:id="78"/>
      <w:bookmarkEnd w:id="79"/>
      <w:bookmarkEnd w:id="80"/>
      <w:r w:rsidR="00124929" w:rsidRPr="000053E9">
        <w:t xml:space="preserve"> </w:t>
      </w:r>
    </w:p>
    <w:p w:rsidR="00C156CB" w:rsidRDefault="003B3C7B" w:rsidP="003B3C7B">
      <w:pPr>
        <w:pStyle w:val="ParaNumbering"/>
        <w:numPr>
          <w:ilvl w:val="0"/>
          <w:numId w:val="0"/>
        </w:numPr>
        <w:tabs>
          <w:tab w:val="left" w:pos="720"/>
        </w:tabs>
        <w:ind w:hanging="720"/>
      </w:pPr>
      <w:r>
        <w:rPr>
          <w:sz w:val="20"/>
        </w:rPr>
        <w:t>104</w:t>
      </w:r>
      <w:r>
        <w:rPr>
          <w:sz w:val="20"/>
        </w:rPr>
        <w:tab/>
      </w:r>
      <w:r w:rsidR="000053E9">
        <w:t>T</w:t>
      </w:r>
      <w:r w:rsidR="008474E2">
        <w:t xml:space="preserve">hree </w:t>
      </w:r>
      <w:r w:rsidR="00952F5C">
        <w:t xml:space="preserve">things can be said about </w:t>
      </w:r>
      <w:r w:rsidR="000053E9">
        <w:t xml:space="preserve">s 961L </w:t>
      </w:r>
      <w:r w:rsidR="008474E2">
        <w:t>by way of preliminary observation</w:t>
      </w:r>
      <w:r w:rsidR="00952F5C">
        <w:t>.</w:t>
      </w:r>
      <w:r w:rsidR="00F40047">
        <w:t xml:space="preserve"> </w:t>
      </w:r>
    </w:p>
    <w:p w:rsidR="00C156CB" w:rsidRDefault="003B3C7B" w:rsidP="003B3C7B">
      <w:pPr>
        <w:pStyle w:val="ParaNumbering"/>
        <w:numPr>
          <w:ilvl w:val="0"/>
          <w:numId w:val="0"/>
        </w:numPr>
        <w:tabs>
          <w:tab w:val="left" w:pos="720"/>
        </w:tabs>
        <w:ind w:hanging="720"/>
      </w:pPr>
      <w:r>
        <w:rPr>
          <w:sz w:val="20"/>
        </w:rPr>
        <w:t>105</w:t>
      </w:r>
      <w:r>
        <w:rPr>
          <w:sz w:val="20"/>
        </w:rPr>
        <w:tab/>
      </w:r>
      <w:r w:rsidR="00C156CB" w:rsidRPr="00907474">
        <w:rPr>
          <w:i/>
        </w:rPr>
        <w:t>First</w:t>
      </w:r>
      <w:r w:rsidR="0008403E">
        <w:t>, the word “ensure” is forward-</w:t>
      </w:r>
      <w:r w:rsidR="00C156CB" w:rsidRPr="00B05266">
        <w:t xml:space="preserve">looking. It </w:t>
      </w:r>
      <w:r w:rsidR="008262CE">
        <w:t>is directed to t</w:t>
      </w:r>
      <w:r w:rsidR="00C156CB" w:rsidRPr="00B05266">
        <w:t xml:space="preserve">he taking of steps </w:t>
      </w:r>
      <w:r w:rsidR="008262CE">
        <w:t>to achieve</w:t>
      </w:r>
      <w:r w:rsidR="00C156CB" w:rsidRPr="00B05266">
        <w:t xml:space="preserve"> compliance with certain stat</w:t>
      </w:r>
      <w:r w:rsidR="00C156CB">
        <w:t xml:space="preserve">utory norms (including the </w:t>
      </w:r>
      <w:r w:rsidR="00AF6BC0">
        <w:t xml:space="preserve">relevant </w:t>
      </w:r>
      <w:r w:rsidR="00C156CB">
        <w:t>best</w:t>
      </w:r>
      <w:r w:rsidR="00C156CB" w:rsidRPr="00B05266">
        <w:t xml:space="preserve"> </w:t>
      </w:r>
      <w:r w:rsidR="00C156CB">
        <w:t>interest</w:t>
      </w:r>
      <w:r w:rsidR="00C156CB" w:rsidRPr="00B05266">
        <w:t>s obligations) before any particular instance of non-compliance has arisen.</w:t>
      </w:r>
      <w:r w:rsidR="00C156CB" w:rsidRPr="00B05266" w:rsidDel="00B05266">
        <w:t xml:space="preserve"> </w:t>
      </w:r>
      <w:r w:rsidR="00C156CB">
        <w:t xml:space="preserve">Although the seriousness of the obligation is amplified by the use of the word “ensure” (see </w:t>
      </w:r>
      <w:r w:rsidR="00C156CB" w:rsidRPr="00EC76F8">
        <w:rPr>
          <w:i/>
        </w:rPr>
        <w:t xml:space="preserve">Invensys Australia Superannuation Fund Pty Ltd v </w:t>
      </w:r>
      <w:proofErr w:type="spellStart"/>
      <w:r w:rsidR="00C156CB" w:rsidRPr="00EC76F8">
        <w:rPr>
          <w:i/>
        </w:rPr>
        <w:t>Austrac</w:t>
      </w:r>
      <w:proofErr w:type="spellEnd"/>
      <w:r w:rsidR="00C156CB" w:rsidRPr="00EC76F8">
        <w:rPr>
          <w:i/>
        </w:rPr>
        <w:t xml:space="preserve"> Investments Limited</w:t>
      </w:r>
      <w:r w:rsidR="00C156CB" w:rsidRPr="00B05266">
        <w:t xml:space="preserve"> </w:t>
      </w:r>
      <w:r w:rsidR="00DB67FE">
        <w:t>[2006] VSC 112;</w:t>
      </w:r>
      <w:r w:rsidR="00DB67FE" w:rsidRPr="00B05266">
        <w:t xml:space="preserve"> </w:t>
      </w:r>
      <w:r w:rsidR="00C156CB" w:rsidRPr="00B05266">
        <w:t>(2006) 15 VR 87</w:t>
      </w:r>
      <w:r w:rsidR="002C7E37">
        <w:t xml:space="preserve"> </w:t>
      </w:r>
      <w:r w:rsidR="00DB67FE">
        <w:t xml:space="preserve">at 108 [105] </w:t>
      </w:r>
      <w:r w:rsidR="002C7E37">
        <w:t>(Byrne J)</w:t>
      </w:r>
      <w:r w:rsidR="00C156CB">
        <w:t xml:space="preserve">), </w:t>
      </w:r>
      <w:r w:rsidR="00C156CB" w:rsidRPr="00B05266">
        <w:t>the onerousness of the standard is moderated by the requirement to take “reasonable steps</w:t>
      </w:r>
      <w:r w:rsidR="00C156CB">
        <w:t>”.</w:t>
      </w:r>
      <w:r w:rsidR="00F40047">
        <w:t xml:space="preserve"> </w:t>
      </w:r>
      <w:r w:rsidR="00C156CB">
        <w:t xml:space="preserve">Such language of “reasonable steps” is redolent of defences to liability employed in the </w:t>
      </w:r>
      <w:r w:rsidR="00C156CB" w:rsidRPr="00907474">
        <w:t>Act (</w:t>
      </w:r>
      <w:r w:rsidR="00C156CB">
        <w:t xml:space="preserve">such as the safe harbour provisions in </w:t>
      </w:r>
      <w:proofErr w:type="spellStart"/>
      <w:r w:rsidR="00AE08A7">
        <w:t>Ch</w:t>
      </w:r>
      <w:proofErr w:type="spellEnd"/>
      <w:r w:rsidR="00C156CB">
        <w:t xml:space="preserve"> 5) and other legislation, although in this case the absence of reasonable steps is </w:t>
      </w:r>
      <w:r w:rsidR="00461A35">
        <w:t xml:space="preserve">itself </w:t>
      </w:r>
      <w:r w:rsidR="00C156CB">
        <w:t>an element of any contravention.</w:t>
      </w:r>
    </w:p>
    <w:p w:rsidR="00C156CB" w:rsidRDefault="003B3C7B" w:rsidP="003B3C7B">
      <w:pPr>
        <w:pStyle w:val="ParaNumbering"/>
        <w:numPr>
          <w:ilvl w:val="0"/>
          <w:numId w:val="0"/>
        </w:numPr>
        <w:tabs>
          <w:tab w:val="left" w:pos="720"/>
        </w:tabs>
        <w:ind w:hanging="720"/>
      </w:pPr>
      <w:bookmarkStart w:id="81" w:name="_Ref17274040"/>
      <w:r>
        <w:rPr>
          <w:sz w:val="20"/>
        </w:rPr>
        <w:t>106</w:t>
      </w:r>
      <w:r>
        <w:rPr>
          <w:sz w:val="20"/>
        </w:rPr>
        <w:tab/>
      </w:r>
      <w:r w:rsidR="00C156CB" w:rsidRPr="00907474">
        <w:rPr>
          <w:i/>
        </w:rPr>
        <w:t>Secondly</w:t>
      </w:r>
      <w:r w:rsidR="00C156CB">
        <w:t xml:space="preserve">, the text of s 961L makes </w:t>
      </w:r>
      <w:r w:rsidR="00AC01B3">
        <w:t xml:space="preserve">its focus </w:t>
      </w:r>
      <w:r w:rsidR="00C156CB">
        <w:t>the</w:t>
      </w:r>
      <w:r w:rsidR="00C156CB" w:rsidRPr="006F7B7E">
        <w:t xml:space="preserve"> conduct of the licensee, not the </w:t>
      </w:r>
      <w:r w:rsidR="00C156CB">
        <w:t>representative</w:t>
      </w:r>
      <w:r w:rsidR="00C156CB" w:rsidRPr="006F7B7E">
        <w:t>, and whether the licens</w:t>
      </w:r>
      <w:r w:rsidR="00C156CB">
        <w:t>e</w:t>
      </w:r>
      <w:r w:rsidR="00AC01B3">
        <w:t>e has taken “reasonable steps” (</w:t>
      </w:r>
      <w:r w:rsidR="00C156CB">
        <w:t xml:space="preserve">albeit </w:t>
      </w:r>
      <w:r w:rsidR="00AC01B3">
        <w:t>the</w:t>
      </w:r>
      <w:r w:rsidR="006B2EF6">
        <w:t xml:space="preserve">se steps are directed at the </w:t>
      </w:r>
      <w:r w:rsidR="006B2EF6">
        <w:lastRenderedPageBreak/>
        <w:t>conduc</w:t>
      </w:r>
      <w:r w:rsidR="00C156CB">
        <w:t>t</w:t>
      </w:r>
      <w:r w:rsidR="006B2EF6">
        <w:t xml:space="preserve"> of their representatives</w:t>
      </w:r>
      <w:r w:rsidR="00AC01B3">
        <w:t>)</w:t>
      </w:r>
      <w:r w:rsidR="00C156CB">
        <w:t xml:space="preserve">. </w:t>
      </w:r>
      <w:r w:rsidR="006B2EF6">
        <w:t>Critically, t</w:t>
      </w:r>
      <w:r w:rsidR="00C156CB" w:rsidRPr="00B61BD1">
        <w:t xml:space="preserve">here is nothing in the text of s 961L that makes a contravention of </w:t>
      </w:r>
      <w:r w:rsidR="00C156CB">
        <w:t xml:space="preserve">the </w:t>
      </w:r>
      <w:r w:rsidR="00AE1C2D">
        <w:t xml:space="preserve">relevant </w:t>
      </w:r>
      <w:r w:rsidR="00C156CB" w:rsidRPr="00646511">
        <w:t>best interests obligations</w:t>
      </w:r>
      <w:r w:rsidR="005A06EB">
        <w:t xml:space="preserve"> </w:t>
      </w:r>
      <w:r w:rsidR="00C156CB" w:rsidRPr="00B61BD1">
        <w:t>a pre-re</w:t>
      </w:r>
      <w:r w:rsidR="00C156CB">
        <w:t>quisite to a contravention of s </w:t>
      </w:r>
      <w:r w:rsidR="00C156CB" w:rsidRPr="00B61BD1">
        <w:t xml:space="preserve">961L. Indeed, </w:t>
      </w:r>
      <w:r w:rsidR="00AC01B3">
        <w:t xml:space="preserve">it was common ground between the parties that </w:t>
      </w:r>
      <w:r w:rsidR="00C156CB" w:rsidRPr="00B61BD1">
        <w:t xml:space="preserve">a contravention of s 961L may arise even if there has been no contravention of </w:t>
      </w:r>
      <w:r w:rsidR="00C156CB">
        <w:t>the</w:t>
      </w:r>
      <w:r w:rsidR="00AE1C2D">
        <w:t xml:space="preserve"> relevant</w:t>
      </w:r>
      <w:r w:rsidR="00C156CB">
        <w:t xml:space="preserve"> </w:t>
      </w:r>
      <w:r w:rsidR="00C156CB" w:rsidRPr="00646511">
        <w:t>best interests obligations</w:t>
      </w:r>
      <w:r w:rsidR="00C156CB" w:rsidRPr="00B61BD1">
        <w:t>.</w:t>
      </w:r>
      <w:bookmarkEnd w:id="81"/>
      <w:r w:rsidR="003815F3">
        <w:t xml:space="preserve"> </w:t>
      </w:r>
      <w:r w:rsidR="00AC01B3">
        <w:t xml:space="preserve">This is easily imagined: a licensee could run a “bucket shop” without taking any reasonable steps to put </w:t>
      </w:r>
      <w:r w:rsidR="001A7460">
        <w:t xml:space="preserve">in place </w:t>
      </w:r>
      <w:r w:rsidR="00AC01B3">
        <w:t xml:space="preserve">adequate safeguards but may, by luck, have </w:t>
      </w:r>
      <w:r w:rsidR="00FC078A">
        <w:t>conscientious</w:t>
      </w:r>
      <w:r w:rsidR="00AC01B3">
        <w:t xml:space="preserve"> rep</w:t>
      </w:r>
      <w:r w:rsidR="003815F3">
        <w:t xml:space="preserve">resentatives who do their job. </w:t>
      </w:r>
      <w:r w:rsidR="00AC01B3">
        <w:t>This would not inoculate the licensee fr</w:t>
      </w:r>
      <w:r w:rsidR="003815F3">
        <w:t xml:space="preserve">om liability. </w:t>
      </w:r>
      <w:r w:rsidR="008262CE">
        <w:t>Of course, the con</w:t>
      </w:r>
      <w:r w:rsidR="00AC01B3">
        <w:t xml:space="preserve">verse may also be the case, and the provision </w:t>
      </w:r>
      <w:r w:rsidR="0066055E">
        <w:t>does not</w:t>
      </w:r>
      <w:r w:rsidR="00AC01B3">
        <w:t xml:space="preserve"> visit liability on a conscientious licensee, who has done all that cou</w:t>
      </w:r>
      <w:r w:rsidR="009359EE">
        <w:t xml:space="preserve">ld reasonably be expected, by reason of a </w:t>
      </w:r>
      <w:r w:rsidR="00AC01B3">
        <w:t>representative unexpectedly going rogue.</w:t>
      </w:r>
      <w:r w:rsidR="00F40047">
        <w:t xml:space="preserve"> </w:t>
      </w:r>
    </w:p>
    <w:p w:rsidR="00C156CB" w:rsidRDefault="003B3C7B" w:rsidP="003B3C7B">
      <w:pPr>
        <w:pStyle w:val="ParaNumbering"/>
        <w:numPr>
          <w:ilvl w:val="0"/>
          <w:numId w:val="0"/>
        </w:numPr>
        <w:tabs>
          <w:tab w:val="left" w:pos="720"/>
        </w:tabs>
        <w:ind w:hanging="720"/>
      </w:pPr>
      <w:bookmarkStart w:id="82" w:name="_Ref14429461"/>
      <w:r>
        <w:rPr>
          <w:sz w:val="20"/>
        </w:rPr>
        <w:t>107</w:t>
      </w:r>
      <w:r>
        <w:rPr>
          <w:sz w:val="20"/>
        </w:rPr>
        <w:tab/>
      </w:r>
      <w:r w:rsidR="00C156CB" w:rsidRPr="00907474">
        <w:rPr>
          <w:i/>
        </w:rPr>
        <w:t>Thirdly</w:t>
      </w:r>
      <w:r w:rsidR="00C156CB">
        <w:t xml:space="preserve">, the </w:t>
      </w:r>
      <w:r w:rsidR="00AF6BC0">
        <w:t>relevant</w:t>
      </w:r>
      <w:r w:rsidR="00AF6BC0" w:rsidRPr="00646511">
        <w:t xml:space="preserve"> </w:t>
      </w:r>
      <w:r w:rsidR="00C156CB" w:rsidRPr="00646511">
        <w:t>best interests obligations</w:t>
      </w:r>
      <w:r w:rsidR="00C156CB">
        <w:t xml:space="preserve"> to which s 961L refers fall under separate subdivision head</w:t>
      </w:r>
      <w:r w:rsidR="00E95E02">
        <w:t>ings and each prescribe distinct</w:t>
      </w:r>
      <w:r w:rsidR="00C156CB">
        <w:t xml:space="preserve"> statutory norms of conduct for the providers of financial advice, broadly summarised as:</w:t>
      </w:r>
      <w:bookmarkEnd w:id="82"/>
      <w:r w:rsidR="008474E2">
        <w:t xml:space="preserve"> (a) </w:t>
      </w:r>
      <w:r w:rsidR="00C156CB">
        <w:t>acting in the best interests of the client (s 961B);</w:t>
      </w:r>
      <w:r w:rsidR="008474E2">
        <w:t xml:space="preserve"> (b) </w:t>
      </w:r>
      <w:r w:rsidR="00C156CB">
        <w:t>providing advice only where it</w:t>
      </w:r>
      <w:r w:rsidR="008474E2">
        <w:t xml:space="preserve"> is appropriate to the client (s </w:t>
      </w:r>
      <w:r w:rsidR="00C156CB">
        <w:t>961G);</w:t>
      </w:r>
      <w:r w:rsidR="008474E2">
        <w:t xml:space="preserve"> (c) </w:t>
      </w:r>
      <w:r w:rsidR="00C156CB">
        <w:t>warning clients that advice is based on incomplete or inaccurate information (s 961H, not being in issue in this case);</w:t>
      </w:r>
      <w:r w:rsidR="006B2EF6">
        <w:t xml:space="preserve"> and</w:t>
      </w:r>
      <w:r w:rsidR="008474E2">
        <w:t xml:space="preserve"> (d) </w:t>
      </w:r>
      <w:r w:rsidR="00C156CB">
        <w:t>giving priority to the client’s interests when giving the advice (s 961J).</w:t>
      </w:r>
      <w:r w:rsidR="00F40047">
        <w:t xml:space="preserve"> </w:t>
      </w:r>
      <w:r w:rsidR="00626273">
        <w:t xml:space="preserve">Although the obligations relate to one another and breach of one may, depending upon the circumstances, amount to a breach of another, their particular content and focus differs. </w:t>
      </w:r>
    </w:p>
    <w:p w:rsidR="00C156CB" w:rsidRPr="000053E9" w:rsidRDefault="000053E9" w:rsidP="00E63726">
      <w:pPr>
        <w:pStyle w:val="Heading3"/>
      </w:pPr>
      <w:bookmarkStart w:id="83" w:name="_Ref29821121"/>
      <w:r w:rsidRPr="000053E9">
        <w:t xml:space="preserve">IV </w:t>
      </w:r>
      <w:r w:rsidRPr="000053E9">
        <w:tab/>
        <w:t xml:space="preserve">Prior </w:t>
      </w:r>
      <w:r w:rsidR="00781AC2">
        <w:t>a</w:t>
      </w:r>
      <w:r w:rsidR="00781AC2" w:rsidRPr="000053E9">
        <w:t xml:space="preserve">uthority </w:t>
      </w:r>
      <w:r w:rsidRPr="000053E9">
        <w:t>on s 961L</w:t>
      </w:r>
      <w:bookmarkEnd w:id="83"/>
    </w:p>
    <w:p w:rsidR="000053E9" w:rsidRDefault="003B3C7B" w:rsidP="003B3C7B">
      <w:pPr>
        <w:pStyle w:val="ParaNumbering"/>
        <w:numPr>
          <w:ilvl w:val="0"/>
          <w:numId w:val="0"/>
        </w:numPr>
        <w:tabs>
          <w:tab w:val="left" w:pos="720"/>
        </w:tabs>
        <w:ind w:hanging="720"/>
      </w:pPr>
      <w:r>
        <w:rPr>
          <w:sz w:val="20"/>
        </w:rPr>
        <w:t>108</w:t>
      </w:r>
      <w:r>
        <w:rPr>
          <w:sz w:val="20"/>
        </w:rPr>
        <w:tab/>
      </w:r>
      <w:r w:rsidR="000053E9">
        <w:t>As noted above, ASIC’s primary case is that each and every time Panganiban (or any</w:t>
      </w:r>
      <w:r w:rsidR="008F0641">
        <w:t xml:space="preserve"> </w:t>
      </w:r>
      <w:r w:rsidR="000E7FD2">
        <w:t>other representative</w:t>
      </w:r>
      <w:r w:rsidR="000053E9" w:rsidRPr="003D5168">
        <w:t>) i</w:t>
      </w:r>
      <w:r w:rsidR="000053E9">
        <w:t xml:space="preserve">s found to have contravened </w:t>
      </w:r>
      <w:proofErr w:type="spellStart"/>
      <w:r w:rsidR="000053E9">
        <w:t>ss</w:t>
      </w:r>
      <w:proofErr w:type="spellEnd"/>
      <w:r w:rsidR="000053E9">
        <w:t xml:space="preserve"> 961B, 961G or 961J, and it can be established that AMPFP failed to take reasonable steps to ensure compliance, AMPFP contravened s 961L. As a consequence, and with reference to the provision of advice to 40 clients by </w:t>
      </w:r>
      <w:r w:rsidR="00781AC2">
        <w:t xml:space="preserve">AMPFP’s authorised </w:t>
      </w:r>
      <w:r w:rsidR="000053E9">
        <w:t>representatives, ASIC contends that AMPFP</w:t>
      </w:r>
      <w:r w:rsidR="00781AC2">
        <w:t>’</w:t>
      </w:r>
      <w:r w:rsidR="000053E9">
        <w:t>s conduct can properly be characterised as involving 120 contraventions of s 961L.</w:t>
      </w:r>
    </w:p>
    <w:p w:rsidR="000053E9" w:rsidRDefault="003B3C7B" w:rsidP="003B3C7B">
      <w:pPr>
        <w:pStyle w:val="ParaNumbering"/>
        <w:numPr>
          <w:ilvl w:val="0"/>
          <w:numId w:val="0"/>
        </w:numPr>
        <w:tabs>
          <w:tab w:val="left" w:pos="720"/>
        </w:tabs>
        <w:ind w:hanging="720"/>
      </w:pPr>
      <w:bookmarkStart w:id="84" w:name="_Ref30665243"/>
      <w:r>
        <w:rPr>
          <w:sz w:val="20"/>
        </w:rPr>
        <w:t>109</w:t>
      </w:r>
      <w:r>
        <w:rPr>
          <w:sz w:val="20"/>
        </w:rPr>
        <w:tab/>
      </w:r>
      <w:r w:rsidR="00C96B05">
        <w:t xml:space="preserve">ASIC’s primary submission </w:t>
      </w:r>
      <w:r w:rsidR="000053E9">
        <w:t>has some support in the case law.</w:t>
      </w:r>
      <w:r w:rsidR="00F40047">
        <w:t xml:space="preserve"> </w:t>
      </w:r>
      <w:r w:rsidR="000053E9">
        <w:t>I</w:t>
      </w:r>
      <w:r w:rsidR="00E57167">
        <w:t>n particular, ASIC pointed to O’Callaghan J’</w:t>
      </w:r>
      <w:r w:rsidR="000053E9">
        <w:t xml:space="preserve">s observations in </w:t>
      </w:r>
      <w:r w:rsidR="000053E9" w:rsidRPr="00E57167">
        <w:rPr>
          <w:i/>
        </w:rPr>
        <w:t>Australian Securities and Investments Commission v Financial Circle</w:t>
      </w:r>
      <w:r w:rsidR="000053E9">
        <w:t xml:space="preserve"> [2018] FCA 1644; (2018) 131 ACSR 484 at</w:t>
      </w:r>
      <w:r w:rsidR="00D83566">
        <w:t xml:space="preserve"> 523</w:t>
      </w:r>
      <w:r w:rsidR="000053E9">
        <w:t xml:space="preserve"> [215] where his Honour noted:</w:t>
      </w:r>
      <w:bookmarkEnd w:id="84"/>
    </w:p>
    <w:p w:rsidR="000053E9" w:rsidRDefault="000053E9" w:rsidP="00E57167">
      <w:pPr>
        <w:pStyle w:val="Quote1"/>
      </w:pPr>
      <w:r>
        <w:t xml:space="preserve">In relation to s 961L of the [Act], a separate contravention arises on each occasion that an Adviser, in respect of each client, contravenes </w:t>
      </w:r>
      <w:proofErr w:type="spellStart"/>
      <w:r>
        <w:t>ss</w:t>
      </w:r>
      <w:proofErr w:type="spellEnd"/>
      <w:r>
        <w:t xml:space="preserve"> 961B, 961G and 961J in circumstances where Financial Circle failed to take reasonable steps to ensure its Advisors compliance with those provisions: </w:t>
      </w:r>
      <w:r w:rsidRPr="00C96B05">
        <w:rPr>
          <w:i/>
        </w:rPr>
        <w:t>Australian Securities and Investments Commission v Golden Financial Group Pty Ltd (No 2)</w:t>
      </w:r>
      <w:r>
        <w:t xml:space="preserve"> [2017] FCA 1267.</w:t>
      </w:r>
    </w:p>
    <w:p w:rsidR="002525F4" w:rsidRDefault="003B3C7B" w:rsidP="003B3C7B">
      <w:pPr>
        <w:pStyle w:val="ParaNumbering"/>
        <w:numPr>
          <w:ilvl w:val="0"/>
          <w:numId w:val="0"/>
        </w:numPr>
        <w:tabs>
          <w:tab w:val="left" w:pos="720"/>
        </w:tabs>
        <w:ind w:hanging="720"/>
      </w:pPr>
      <w:r>
        <w:rPr>
          <w:sz w:val="20"/>
        </w:rPr>
        <w:lastRenderedPageBreak/>
        <w:t>110</w:t>
      </w:r>
      <w:r>
        <w:rPr>
          <w:sz w:val="20"/>
        </w:rPr>
        <w:tab/>
      </w:r>
      <w:r w:rsidR="00E57167" w:rsidRPr="00E57167">
        <w:t xml:space="preserve">This was an approach consistent with that taken in </w:t>
      </w:r>
      <w:r w:rsidR="00E57167" w:rsidRPr="007B7568">
        <w:rPr>
          <w:i/>
        </w:rPr>
        <w:t>Australian Securities and Investments Commission v NSG Services Pty Ltd</w:t>
      </w:r>
      <w:r w:rsidR="00E57167" w:rsidRPr="00E57167">
        <w:t xml:space="preserve"> </w:t>
      </w:r>
      <w:r w:rsidR="007B7568">
        <w:t xml:space="preserve">[2017] FCA 345; (2017) 122 ACSR 47, </w:t>
      </w:r>
      <w:r w:rsidR="00D83566">
        <w:t>where Moshinsky </w:t>
      </w:r>
      <w:r w:rsidR="00E57167" w:rsidRPr="00E57167">
        <w:t xml:space="preserve">J </w:t>
      </w:r>
      <w:r w:rsidR="007B7568">
        <w:t xml:space="preserve">at </w:t>
      </w:r>
      <w:r w:rsidR="00D83566">
        <w:t xml:space="preserve">53 </w:t>
      </w:r>
      <w:r w:rsidR="007B7568">
        <w:t xml:space="preserve">[20] found </w:t>
      </w:r>
      <w:r w:rsidR="00AE1C2D">
        <w:t>the licensee</w:t>
      </w:r>
      <w:r w:rsidR="007B7568">
        <w:t xml:space="preserve"> breached s 961L </w:t>
      </w:r>
      <w:r w:rsidR="007B7568" w:rsidRPr="007B7568">
        <w:t>by failing to take reasonable steps to ensure its representatives</w:t>
      </w:r>
      <w:r w:rsidR="008F0641">
        <w:t>,</w:t>
      </w:r>
      <w:r w:rsidR="007B7568" w:rsidRPr="007B7568">
        <w:t xml:space="preserve"> in providing advice to thei</w:t>
      </w:r>
      <w:r w:rsidR="00D83566">
        <w:t>r clients</w:t>
      </w:r>
      <w:r w:rsidR="008F0641">
        <w:t xml:space="preserve">, </w:t>
      </w:r>
      <w:r w:rsidR="008F0641" w:rsidRPr="007B7568">
        <w:t>complied</w:t>
      </w:r>
      <w:r w:rsidR="00D83566">
        <w:t xml:space="preserve"> with </w:t>
      </w:r>
      <w:proofErr w:type="spellStart"/>
      <w:r w:rsidR="00D83566">
        <w:t>ss</w:t>
      </w:r>
      <w:proofErr w:type="spellEnd"/>
      <w:r w:rsidR="00D83566">
        <w:t> </w:t>
      </w:r>
      <w:r w:rsidR="007B7568" w:rsidRPr="007B7568">
        <w:t>961B(1) an</w:t>
      </w:r>
      <w:r w:rsidR="007B7568">
        <w:t xml:space="preserve">d 961G and then </w:t>
      </w:r>
      <w:r w:rsidR="007B7568" w:rsidRPr="00E57167">
        <w:t>(</w:t>
      </w:r>
      <w:r w:rsidR="007B7568">
        <w:t xml:space="preserve">at [76], </w:t>
      </w:r>
      <w:r w:rsidR="006B32B8">
        <w:t>Orders 5 to 20)</w:t>
      </w:r>
      <w:r w:rsidR="007B7568" w:rsidRPr="00E57167">
        <w:t xml:space="preserve"> </w:t>
      </w:r>
      <w:r w:rsidR="00E57167" w:rsidRPr="00E57167">
        <w:t xml:space="preserve">made separate declarations of contravention of s 961L in respect of each underlying contravention of </w:t>
      </w:r>
      <w:proofErr w:type="spellStart"/>
      <w:r w:rsidR="00E57167" w:rsidRPr="00E57167">
        <w:t>ss</w:t>
      </w:r>
      <w:proofErr w:type="spellEnd"/>
      <w:r w:rsidR="00E57167" w:rsidRPr="00E57167">
        <w:t xml:space="preserve"> 961B and 961G for each separate piece of advice</w:t>
      </w:r>
      <w:r w:rsidR="007B7568">
        <w:t>. Similarly, i</w:t>
      </w:r>
      <w:r w:rsidR="00E57167" w:rsidRPr="00E57167">
        <w:t xml:space="preserve">n </w:t>
      </w:r>
      <w:r w:rsidR="00E57167" w:rsidRPr="007B7568">
        <w:rPr>
          <w:i/>
        </w:rPr>
        <w:t>Australian Securities and Investments Commission v Wealth &amp; Risk Management Pty Ltd (No 2)</w:t>
      </w:r>
      <w:r w:rsidR="00E57167" w:rsidRPr="00E57167">
        <w:t xml:space="preserve"> </w:t>
      </w:r>
      <w:r w:rsidR="00D83566">
        <w:t xml:space="preserve">[2018] FCA 59; </w:t>
      </w:r>
      <w:r w:rsidR="00E57167" w:rsidRPr="00E57167">
        <w:t>(2018) 124 ACSR 351</w:t>
      </w:r>
      <w:r w:rsidR="007B7568">
        <w:t xml:space="preserve">, </w:t>
      </w:r>
      <w:r w:rsidR="007B7568" w:rsidRPr="00E57167">
        <w:t>Moshinsky J</w:t>
      </w:r>
      <w:r w:rsidR="007B7568">
        <w:t xml:space="preserve"> concluded that </w:t>
      </w:r>
      <w:r w:rsidR="002525F4">
        <w:t xml:space="preserve">a licensee </w:t>
      </w:r>
      <w:r w:rsidR="007B7568">
        <w:t xml:space="preserve">failed to take reasonable steps to ensure the financial services covered by its licence were provided efficiently, honestly and fairly, in contravention of </w:t>
      </w:r>
      <w:proofErr w:type="spellStart"/>
      <w:r w:rsidR="007B7568">
        <w:t>ss</w:t>
      </w:r>
      <w:proofErr w:type="spellEnd"/>
      <w:r w:rsidR="007B7568">
        <w:t xml:space="preserve"> 961L and 912A(1)(a) (given serious deficiencies in taking substantive steps, measures, processes or procedures of the kind that appropriate practice would require of an A</w:t>
      </w:r>
      <w:r w:rsidR="002525F4">
        <w:t>FSL</w:t>
      </w:r>
      <w:r w:rsidR="007B7568">
        <w:t xml:space="preserve">: at </w:t>
      </w:r>
      <w:r w:rsidR="00D83566">
        <w:t xml:space="preserve">373 </w:t>
      </w:r>
      <w:r w:rsidR="007B7568">
        <w:t>[113]).</w:t>
      </w:r>
      <w:r w:rsidR="00F40047">
        <w:t xml:space="preserve"> </w:t>
      </w:r>
      <w:r w:rsidR="007B7568">
        <w:t>But in framing relief, his Honour</w:t>
      </w:r>
      <w:r w:rsidR="002525F4">
        <w:t>,</w:t>
      </w:r>
      <w:r w:rsidR="007B7568">
        <w:t xml:space="preserve"> at</w:t>
      </w:r>
      <w:r w:rsidR="00D83566">
        <w:t xml:space="preserve"> 377</w:t>
      </w:r>
      <w:r w:rsidR="007B7568">
        <w:t xml:space="preserve"> [138], </w:t>
      </w:r>
      <w:r w:rsidR="00E57167" w:rsidRPr="00E57167">
        <w:t xml:space="preserve">made declarations </w:t>
      </w:r>
      <w:r w:rsidR="002525F4">
        <w:t>of breach</w:t>
      </w:r>
      <w:r w:rsidR="00D83566">
        <w:t>es of s </w:t>
      </w:r>
      <w:r w:rsidR="002525F4">
        <w:t xml:space="preserve">961L </w:t>
      </w:r>
      <w:r w:rsidR="002525F4" w:rsidRPr="002525F4">
        <w:t xml:space="preserve">in respect of each </w:t>
      </w:r>
      <w:r w:rsidR="002525F4">
        <w:t xml:space="preserve">relevant client </w:t>
      </w:r>
      <w:r w:rsidR="002525F4" w:rsidRPr="002525F4">
        <w:t xml:space="preserve">by </w:t>
      </w:r>
      <w:r w:rsidR="002525F4">
        <w:t>reference to the licensee’s failure</w:t>
      </w:r>
      <w:r w:rsidR="002525F4" w:rsidRPr="002525F4">
        <w:t xml:space="preserve"> to take reasonable steps to ensure that its authorised representative complied with s 961G of the Act</w:t>
      </w:r>
      <w:r w:rsidR="00EF1FCE">
        <w:t>.</w:t>
      </w:r>
      <w:r w:rsidR="002525F4">
        <w:t xml:space="preserve"> </w:t>
      </w:r>
    </w:p>
    <w:p w:rsidR="002525F4" w:rsidRDefault="003B3C7B" w:rsidP="003B3C7B">
      <w:pPr>
        <w:pStyle w:val="ParaNumbering"/>
        <w:numPr>
          <w:ilvl w:val="0"/>
          <w:numId w:val="0"/>
        </w:numPr>
        <w:tabs>
          <w:tab w:val="left" w:pos="720"/>
        </w:tabs>
        <w:ind w:hanging="720"/>
      </w:pPr>
      <w:r>
        <w:rPr>
          <w:sz w:val="20"/>
        </w:rPr>
        <w:t>111</w:t>
      </w:r>
      <w:r>
        <w:rPr>
          <w:sz w:val="20"/>
        </w:rPr>
        <w:tab/>
      </w:r>
      <w:r w:rsidR="002525F4">
        <w:t>A</w:t>
      </w:r>
      <w:r w:rsidR="00EF1FCE">
        <w:t>s might be expected, A</w:t>
      </w:r>
      <w:r w:rsidR="002525F4">
        <w:t xml:space="preserve">SIC places considerable weight on </w:t>
      </w:r>
      <w:r w:rsidR="00EF1FCE" w:rsidRPr="00EF1FCE">
        <w:rPr>
          <w:i/>
        </w:rPr>
        <w:t>Financial Circle</w:t>
      </w:r>
      <w:r w:rsidR="00EF1FCE">
        <w:t xml:space="preserve"> not</w:t>
      </w:r>
      <w:r w:rsidR="000E7FD2">
        <w:t>withstanding the relevant part</w:t>
      </w:r>
      <w:r w:rsidR="00EF1FCE">
        <w:t xml:space="preserve"> of </w:t>
      </w:r>
      <w:r w:rsidR="002525F4">
        <w:t>his Honour</w:t>
      </w:r>
      <w:r w:rsidR="00EF1FCE">
        <w:t>’</w:t>
      </w:r>
      <w:r w:rsidR="007223C0">
        <w:t>s judgment</w:t>
      </w:r>
      <w:r w:rsidR="00EF1FCE">
        <w:t xml:space="preserve"> (extracted</w:t>
      </w:r>
      <w:r w:rsidR="00686F1B">
        <w:t xml:space="preserve"> at </w:t>
      </w:r>
      <w:r w:rsidR="00AB433E">
        <w:t>[</w:t>
      </w:r>
      <w:r w:rsidR="00686F1B">
        <w:fldChar w:fldCharType="begin" w:fldLock="1"/>
      </w:r>
      <w:r w:rsidR="00686F1B">
        <w:instrText xml:space="preserve"> REF _Ref30665243 \r \h </w:instrText>
      </w:r>
      <w:r w:rsidR="00686F1B">
        <w:fldChar w:fldCharType="separate"/>
      </w:r>
      <w:r w:rsidR="00E469CA">
        <w:t>109</w:t>
      </w:r>
      <w:r w:rsidR="00686F1B">
        <w:fldChar w:fldCharType="end"/>
      </w:r>
      <w:r w:rsidR="00AB433E">
        <w:t>]</w:t>
      </w:r>
      <w:r w:rsidR="000E7FD2">
        <w:t xml:space="preserve"> above) was delivered following no</w:t>
      </w:r>
      <w:r w:rsidR="002525F4">
        <w:t xml:space="preserve"> </w:t>
      </w:r>
      <w:r w:rsidR="00EF1FCE">
        <w:t>argument</w:t>
      </w:r>
      <w:r w:rsidR="000E7FD2">
        <w:t xml:space="preserve"> or dispute on the point</w:t>
      </w:r>
      <w:r w:rsidR="007223C0">
        <w:t xml:space="preserve"> and, </w:t>
      </w:r>
      <w:r w:rsidR="000E7FD2">
        <w:t xml:space="preserve">wholly </w:t>
      </w:r>
      <w:r w:rsidR="007223C0">
        <w:t xml:space="preserve">unsurprisingly in this context, without </w:t>
      </w:r>
      <w:r w:rsidR="000E7FD2">
        <w:t>any</w:t>
      </w:r>
      <w:r w:rsidR="007223C0">
        <w:t xml:space="preserve"> detailed reasoning</w:t>
      </w:r>
      <w:r w:rsidR="00EF1FCE">
        <w:t>.</w:t>
      </w:r>
      <w:r w:rsidR="00781AC2">
        <w:t xml:space="preserve"> </w:t>
      </w:r>
      <w:r w:rsidR="007223C0">
        <w:t xml:space="preserve">It was a case where the </w:t>
      </w:r>
      <w:r w:rsidR="002525F4">
        <w:t xml:space="preserve">civil penalties </w:t>
      </w:r>
      <w:r w:rsidR="007223C0">
        <w:t>sought by ASIC were unopposed, at which the d</w:t>
      </w:r>
      <w:r w:rsidR="002525F4">
        <w:t>efendant did not appear, and at which t</w:t>
      </w:r>
      <w:r w:rsidR="007223C0">
        <w:t>here was no contradictor</w:t>
      </w:r>
      <w:r w:rsidR="002525F4">
        <w:t xml:space="preserve">. </w:t>
      </w:r>
      <w:r w:rsidR="007223C0">
        <w:t>Essentially t</w:t>
      </w:r>
      <w:r w:rsidR="002525F4">
        <w:t>he same positi</w:t>
      </w:r>
      <w:r w:rsidR="007223C0">
        <w:t xml:space="preserve">on applies in respect of </w:t>
      </w:r>
      <w:r w:rsidR="002525F4" w:rsidRPr="007223C0">
        <w:rPr>
          <w:i/>
        </w:rPr>
        <w:t>Golden Financial Group Pty Ltd</w:t>
      </w:r>
      <w:r w:rsidR="000B17C8">
        <w:rPr>
          <w:i/>
        </w:rPr>
        <w:t xml:space="preserve"> </w:t>
      </w:r>
      <w:r w:rsidR="000B17C8">
        <w:t xml:space="preserve">(the authority relied on by O’Callaghan J in </w:t>
      </w:r>
      <w:r w:rsidR="000B17C8">
        <w:rPr>
          <w:i/>
        </w:rPr>
        <w:t>Financial Circle</w:t>
      </w:r>
      <w:r w:rsidR="000B17C8">
        <w:t>)</w:t>
      </w:r>
      <w:r w:rsidR="002525F4">
        <w:t xml:space="preserve"> </w:t>
      </w:r>
      <w:r w:rsidR="007223C0">
        <w:t xml:space="preserve">and </w:t>
      </w:r>
      <w:r w:rsidR="002525F4" w:rsidRPr="007223C0">
        <w:rPr>
          <w:i/>
        </w:rPr>
        <w:t>Wealth &amp; Risk Management Pty Ltd (No 2)</w:t>
      </w:r>
      <w:r w:rsidR="002525F4">
        <w:t>.</w:t>
      </w:r>
      <w:r w:rsidR="00F326B9">
        <w:t xml:space="preserve"> Although there was some argument before Moshinsky J in </w:t>
      </w:r>
      <w:r w:rsidR="00F326B9">
        <w:rPr>
          <w:i/>
        </w:rPr>
        <w:t>NSG Services</w:t>
      </w:r>
      <w:r w:rsidR="00F326B9">
        <w:t xml:space="preserve"> </w:t>
      </w:r>
      <w:r w:rsidR="00F326B9" w:rsidRPr="00F326B9">
        <w:t>as to the requirements necessary to establish a contravention of s 961L</w:t>
      </w:r>
      <w:r w:rsidR="00F326B9">
        <w:t>, his Honour ultimately found that it was unnecessary to resolve the point (see 56 [39]).</w:t>
      </w:r>
      <w:r w:rsidR="00F326B9" w:rsidRPr="00F326B9">
        <w:t xml:space="preserve"> </w:t>
      </w:r>
    </w:p>
    <w:p w:rsidR="002525F4" w:rsidRDefault="003B3C7B" w:rsidP="003B3C7B">
      <w:pPr>
        <w:pStyle w:val="ParaNumbering"/>
        <w:numPr>
          <w:ilvl w:val="0"/>
          <w:numId w:val="0"/>
        </w:numPr>
        <w:tabs>
          <w:tab w:val="left" w:pos="720"/>
        </w:tabs>
        <w:ind w:hanging="720"/>
      </w:pPr>
      <w:r>
        <w:rPr>
          <w:sz w:val="20"/>
        </w:rPr>
        <w:t>112</w:t>
      </w:r>
      <w:r>
        <w:rPr>
          <w:sz w:val="20"/>
        </w:rPr>
        <w:tab/>
      </w:r>
      <w:r w:rsidR="002525F4">
        <w:t xml:space="preserve">The </w:t>
      </w:r>
      <w:r w:rsidR="007223C0">
        <w:t xml:space="preserve">parties informed me that </w:t>
      </w:r>
      <w:r w:rsidR="000C13B8">
        <w:t xml:space="preserve">this </w:t>
      </w:r>
      <w:r w:rsidR="002525F4">
        <w:t xml:space="preserve">is the first occasion on which a </w:t>
      </w:r>
      <w:r w:rsidR="001E525C">
        <w:t>c</w:t>
      </w:r>
      <w:r w:rsidR="002525F4">
        <w:t>ourt has been required to deal with the issue of the number of contraventions arising under s 961L in a contested hearing.</w:t>
      </w:r>
      <w:r w:rsidR="00941534">
        <w:t xml:space="preserve"> </w:t>
      </w:r>
      <w:r w:rsidR="007223C0">
        <w:t xml:space="preserve">In determining this issue, I am unconstrained by the previous cases cited by ASIC consistently with the well-established principle </w:t>
      </w:r>
      <w:r w:rsidR="002525F4">
        <w:t xml:space="preserve">that a court is not </w:t>
      </w:r>
      <w:r w:rsidR="007223C0">
        <w:t>required to give deference to</w:t>
      </w:r>
      <w:r w:rsidR="002525F4">
        <w:t xml:space="preserve"> a proposition </w:t>
      </w:r>
      <w:r w:rsidR="007223C0">
        <w:t xml:space="preserve">(even in </w:t>
      </w:r>
      <w:r w:rsidR="002525F4">
        <w:t>an otherwise binding decision</w:t>
      </w:r>
      <w:r w:rsidR="007223C0">
        <w:t>)</w:t>
      </w:r>
      <w:r w:rsidR="002525F4">
        <w:t xml:space="preserve"> in circumstance</w:t>
      </w:r>
      <w:r w:rsidR="00477660">
        <w:t>s</w:t>
      </w:r>
      <w:r w:rsidR="002525F4">
        <w:t xml:space="preserve"> where the proposition was agreed or assumed without being the subject of argument or judicial consideration. That is true even where the conceded proposition forms part of the ratio of the previous decision. To this effect, </w:t>
      </w:r>
      <w:r w:rsidR="002525F4">
        <w:lastRenderedPageBreak/>
        <w:t xml:space="preserve">in </w:t>
      </w:r>
      <w:r w:rsidR="002525F4" w:rsidRPr="007223C0">
        <w:rPr>
          <w:i/>
        </w:rPr>
        <w:t>CSR Ltd v Eddy</w:t>
      </w:r>
      <w:r w:rsidR="002525F4">
        <w:t xml:space="preserve"> </w:t>
      </w:r>
      <w:r w:rsidR="00941534">
        <w:t xml:space="preserve">[2005] HCA 64; </w:t>
      </w:r>
      <w:r w:rsidR="002525F4">
        <w:t xml:space="preserve">(2005) 226 CLR 1 at </w:t>
      </w:r>
      <w:r w:rsidR="000B17C8">
        <w:t xml:space="preserve">11 </w:t>
      </w:r>
      <w:r w:rsidR="002525F4">
        <w:t xml:space="preserve">[13], Gleeson CJ, </w:t>
      </w:r>
      <w:proofErr w:type="spellStart"/>
      <w:r w:rsidR="002525F4">
        <w:t>Gummow</w:t>
      </w:r>
      <w:proofErr w:type="spellEnd"/>
      <w:r w:rsidR="002525F4">
        <w:t xml:space="preserve"> and </w:t>
      </w:r>
      <w:proofErr w:type="spellStart"/>
      <w:r w:rsidR="002525F4">
        <w:t>Heydon</w:t>
      </w:r>
      <w:proofErr w:type="spellEnd"/>
      <w:r w:rsidR="002525F4">
        <w:t xml:space="preserve"> JJ noted:</w:t>
      </w:r>
    </w:p>
    <w:p w:rsidR="002525F4" w:rsidRDefault="002525F4" w:rsidP="007223C0">
      <w:pPr>
        <w:pStyle w:val="Quote1"/>
      </w:pPr>
      <w:r>
        <w:t xml:space="preserve">[w]here a proposition of law is incorporated into the reasoning of a particular court, that proposition, even if it forms part of the ratio </w:t>
      </w:r>
      <w:proofErr w:type="spellStart"/>
      <w:r>
        <w:t>decidendi</w:t>
      </w:r>
      <w:proofErr w:type="spellEnd"/>
      <w:r>
        <w:t>, is not binding on later courts if the particular court merely assumed its correctness without argument.</w:t>
      </w:r>
    </w:p>
    <w:p w:rsidR="002525F4" w:rsidRDefault="003B3C7B" w:rsidP="003B3C7B">
      <w:pPr>
        <w:pStyle w:val="ParaNumbering"/>
        <w:numPr>
          <w:ilvl w:val="0"/>
          <w:numId w:val="0"/>
        </w:numPr>
        <w:tabs>
          <w:tab w:val="left" w:pos="720"/>
        </w:tabs>
        <w:ind w:hanging="720"/>
      </w:pPr>
      <w:r>
        <w:rPr>
          <w:sz w:val="20"/>
        </w:rPr>
        <w:t>113</w:t>
      </w:r>
      <w:r>
        <w:rPr>
          <w:sz w:val="20"/>
        </w:rPr>
        <w:tab/>
      </w:r>
      <w:r w:rsidR="007223C0">
        <w:t>T</w:t>
      </w:r>
      <w:r w:rsidR="002525F4">
        <w:t xml:space="preserve">he fact that </w:t>
      </w:r>
      <w:r w:rsidR="002525F4" w:rsidRPr="007223C0">
        <w:rPr>
          <w:i/>
        </w:rPr>
        <w:t>Financial Circle</w:t>
      </w:r>
      <w:r w:rsidR="002525F4">
        <w:t xml:space="preserve"> was a civil penalty decision </w:t>
      </w:r>
      <w:r w:rsidR="007223C0">
        <w:t xml:space="preserve">does not </w:t>
      </w:r>
      <w:r w:rsidR="002525F4">
        <w:t>prevent a</w:t>
      </w:r>
      <w:r w:rsidR="007223C0">
        <w:t xml:space="preserve">pplication of this principle </w:t>
      </w:r>
      <w:r w:rsidR="000C13B8" w:rsidRPr="00D90851">
        <w:t>–</w:t>
      </w:r>
      <w:r w:rsidR="000C13B8">
        <w:t xml:space="preserve"> </w:t>
      </w:r>
      <w:r w:rsidR="007223C0">
        <w:t xml:space="preserve">as is evident from </w:t>
      </w:r>
      <w:r w:rsidR="007223C0" w:rsidRPr="007B7568">
        <w:rPr>
          <w:i/>
        </w:rPr>
        <w:t>Australian Securities and Investments Commission v</w:t>
      </w:r>
      <w:r w:rsidR="002525F4">
        <w:t xml:space="preserve"> </w:t>
      </w:r>
      <w:proofErr w:type="spellStart"/>
      <w:r w:rsidR="002525F4" w:rsidRPr="00D2130A">
        <w:rPr>
          <w:i/>
        </w:rPr>
        <w:t>Cassimatis</w:t>
      </w:r>
      <w:proofErr w:type="spellEnd"/>
      <w:r w:rsidR="002525F4">
        <w:t xml:space="preserve"> (No 8) [2016] FCA 1023</w:t>
      </w:r>
      <w:r w:rsidR="000C13B8">
        <w:t>,</w:t>
      </w:r>
      <w:r w:rsidR="007223C0">
        <w:t xml:space="preserve"> where Edelman J </w:t>
      </w:r>
      <w:r w:rsidR="002525F4">
        <w:t xml:space="preserve">was asked to apply principles from </w:t>
      </w:r>
      <w:r w:rsidR="007223C0">
        <w:t>an</w:t>
      </w:r>
      <w:r w:rsidR="002525F4">
        <w:t xml:space="preserve"> earlier </w:t>
      </w:r>
      <w:r w:rsidR="007223C0">
        <w:t xml:space="preserve">civil penalty </w:t>
      </w:r>
      <w:r w:rsidR="002525F4">
        <w:t xml:space="preserve">decision in </w:t>
      </w:r>
      <w:r w:rsidR="007223C0" w:rsidRPr="007B7568">
        <w:rPr>
          <w:i/>
        </w:rPr>
        <w:t>Australian Securities and Investments Commission</w:t>
      </w:r>
      <w:r w:rsidR="002525F4">
        <w:t xml:space="preserve"> v </w:t>
      </w:r>
      <w:r w:rsidR="002525F4" w:rsidRPr="00D2130A">
        <w:rPr>
          <w:i/>
        </w:rPr>
        <w:t>Maxwell</w:t>
      </w:r>
      <w:r w:rsidR="002525F4">
        <w:t xml:space="preserve"> [2006] NSWSC 1052</w:t>
      </w:r>
      <w:r w:rsidR="007223C0">
        <w:t>.</w:t>
      </w:r>
      <w:r w:rsidR="00F40047">
        <w:t xml:space="preserve"> </w:t>
      </w:r>
      <w:r w:rsidR="007223C0">
        <w:t xml:space="preserve">In rejecting this invitation, </w:t>
      </w:r>
      <w:r w:rsidR="002525F4">
        <w:t xml:space="preserve">his </w:t>
      </w:r>
      <w:r w:rsidR="00D2130A">
        <w:t xml:space="preserve">Honour noted </w:t>
      </w:r>
      <w:r w:rsidR="00D2130A" w:rsidRPr="00D2130A">
        <w:rPr>
          <w:i/>
        </w:rPr>
        <w:t>Maxwell</w:t>
      </w:r>
      <w:r w:rsidR="002525F4">
        <w:t xml:space="preserve"> was not a binding autho</w:t>
      </w:r>
      <w:r w:rsidR="00D2130A">
        <w:t>rity by reason of the principle</w:t>
      </w:r>
      <w:r w:rsidR="002525F4">
        <w:t xml:space="preserve"> identified above. </w:t>
      </w:r>
    </w:p>
    <w:p w:rsidR="00D2130A" w:rsidRDefault="003B3C7B" w:rsidP="003B3C7B">
      <w:pPr>
        <w:pStyle w:val="ParaNumbering"/>
        <w:numPr>
          <w:ilvl w:val="0"/>
          <w:numId w:val="0"/>
        </w:numPr>
        <w:tabs>
          <w:tab w:val="left" w:pos="720"/>
        </w:tabs>
        <w:ind w:hanging="720"/>
      </w:pPr>
      <w:r>
        <w:rPr>
          <w:sz w:val="20"/>
        </w:rPr>
        <w:t>114</w:t>
      </w:r>
      <w:r>
        <w:rPr>
          <w:sz w:val="20"/>
        </w:rPr>
        <w:tab/>
      </w:r>
      <w:r w:rsidR="00D2130A">
        <w:t>It follows</w:t>
      </w:r>
      <w:r w:rsidR="00D33C4C">
        <w:t xml:space="preserve"> </w:t>
      </w:r>
      <w:r w:rsidR="00F9435F">
        <w:t xml:space="preserve">that </w:t>
      </w:r>
      <w:r w:rsidR="00C156CB">
        <w:t xml:space="preserve">comity </w:t>
      </w:r>
      <w:r w:rsidR="00D33C4C">
        <w:t>considerations do not oblige</w:t>
      </w:r>
      <w:r w:rsidR="00C156CB">
        <w:t xml:space="preserve"> me to form the view that </w:t>
      </w:r>
      <w:r w:rsidR="00D2130A">
        <w:t xml:space="preserve">these previous cases were </w:t>
      </w:r>
      <w:r w:rsidR="00C156CB">
        <w:t>plainly wrong</w:t>
      </w:r>
      <w:r w:rsidR="00D2130A">
        <w:t xml:space="preserve"> before depart</w:t>
      </w:r>
      <w:r w:rsidR="000C13B8">
        <w:t>ing</w:t>
      </w:r>
      <w:r w:rsidR="00D2130A">
        <w:t xml:space="preserve"> from the</w:t>
      </w:r>
      <w:r w:rsidR="00FB4A77">
        <w:t>m</w:t>
      </w:r>
      <w:r w:rsidR="00D2130A">
        <w:t>.</w:t>
      </w:r>
    </w:p>
    <w:p w:rsidR="00EA5FBD" w:rsidRPr="000053E9" w:rsidRDefault="000053E9" w:rsidP="00E63726">
      <w:pPr>
        <w:pStyle w:val="Heading3"/>
      </w:pPr>
      <w:bookmarkStart w:id="85" w:name="_Ref29821122"/>
      <w:bookmarkStart w:id="86" w:name="_Ref30603903"/>
      <w:r w:rsidRPr="000053E9">
        <w:t>V</w:t>
      </w:r>
      <w:r w:rsidRPr="000053E9">
        <w:tab/>
      </w:r>
      <w:r w:rsidR="00EA5FBD" w:rsidRPr="000053E9">
        <w:t xml:space="preserve">Consideration of ASIC’s </w:t>
      </w:r>
      <w:r w:rsidR="00941534">
        <w:t>p</w:t>
      </w:r>
      <w:r w:rsidR="00EA5FBD" w:rsidRPr="000053E9">
        <w:t xml:space="preserve">rimary </w:t>
      </w:r>
      <w:bookmarkEnd w:id="85"/>
      <w:r w:rsidR="00941534">
        <w:t>c</w:t>
      </w:r>
      <w:r w:rsidR="00941534" w:rsidRPr="000053E9">
        <w:t>ase</w:t>
      </w:r>
      <w:bookmarkEnd w:id="86"/>
    </w:p>
    <w:p w:rsidR="00EA5FBD" w:rsidRDefault="003B3C7B" w:rsidP="003B3C7B">
      <w:pPr>
        <w:pStyle w:val="ParaNumbering"/>
        <w:numPr>
          <w:ilvl w:val="0"/>
          <w:numId w:val="0"/>
        </w:numPr>
        <w:tabs>
          <w:tab w:val="left" w:pos="720"/>
        </w:tabs>
        <w:ind w:hanging="720"/>
      </w:pPr>
      <w:r>
        <w:rPr>
          <w:sz w:val="20"/>
        </w:rPr>
        <w:t>115</w:t>
      </w:r>
      <w:r>
        <w:rPr>
          <w:sz w:val="20"/>
        </w:rPr>
        <w:tab/>
      </w:r>
      <w:r w:rsidR="00400278">
        <w:t>At</w:t>
      </w:r>
      <w:r w:rsidR="00EA5FBD">
        <w:t xml:space="preserve"> its highest, ASIC submitted that proper consideration of text, structure and purpose of the provision supports the existence of a separate contravention of s 961L on each occasion that a</w:t>
      </w:r>
      <w:r w:rsidR="00941534">
        <w:t xml:space="preserve"> representative</w:t>
      </w:r>
      <w:r w:rsidR="00EA5FBD">
        <w:t xml:space="preserve">, in respect of each client, contravened </w:t>
      </w:r>
      <w:proofErr w:type="spellStart"/>
      <w:r w:rsidR="00EA5FBD">
        <w:t>ss</w:t>
      </w:r>
      <w:proofErr w:type="spellEnd"/>
      <w:r w:rsidR="00EA5FBD">
        <w:t xml:space="preserve"> 961B, 961G or 961J, in circumstances where the licensee failed to take reasonable steps to ensure that the </w:t>
      </w:r>
      <w:r w:rsidR="00941534">
        <w:t xml:space="preserve">representative </w:t>
      </w:r>
      <w:r w:rsidR="00EA5FBD">
        <w:t>complied with those provisions.</w:t>
      </w:r>
      <w:r w:rsidR="00F40047">
        <w:t xml:space="preserve"> </w:t>
      </w:r>
    </w:p>
    <w:p w:rsidR="00EA5FBD" w:rsidRDefault="003B3C7B" w:rsidP="003B3C7B">
      <w:pPr>
        <w:pStyle w:val="ParaNumbering"/>
        <w:numPr>
          <w:ilvl w:val="0"/>
          <w:numId w:val="0"/>
        </w:numPr>
        <w:tabs>
          <w:tab w:val="left" w:pos="720"/>
        </w:tabs>
        <w:ind w:hanging="720"/>
      </w:pPr>
      <w:r>
        <w:rPr>
          <w:sz w:val="20"/>
        </w:rPr>
        <w:t>116</w:t>
      </w:r>
      <w:r>
        <w:rPr>
          <w:sz w:val="20"/>
        </w:rPr>
        <w:tab/>
      </w:r>
      <w:r w:rsidR="00EA5FBD">
        <w:t xml:space="preserve">While ASIC accepted that it was not necessary to establish actual or proven contraventions of </w:t>
      </w:r>
      <w:proofErr w:type="spellStart"/>
      <w:r w:rsidR="00EA5FBD">
        <w:t>ss</w:t>
      </w:r>
      <w:proofErr w:type="spellEnd"/>
      <w:r w:rsidR="00EA5FBD">
        <w:t xml:space="preserve"> 961B, 961G and 961J as a precondition to a finding of</w:t>
      </w:r>
      <w:r w:rsidR="0072432A">
        <w:t xml:space="preserve"> </w:t>
      </w:r>
      <w:r w:rsidR="00EA5FBD">
        <w:t>contraventio</w:t>
      </w:r>
      <w:r w:rsidR="00511A73">
        <w:t xml:space="preserve">n of s 961L (referring to </w:t>
      </w:r>
      <w:r w:rsidR="00EA5FBD" w:rsidRPr="00511A73">
        <w:rPr>
          <w:i/>
        </w:rPr>
        <w:t xml:space="preserve">Financial Circle </w:t>
      </w:r>
      <w:r w:rsidR="00EA5FBD">
        <w:t xml:space="preserve">at </w:t>
      </w:r>
      <w:r w:rsidR="00941534">
        <w:t xml:space="preserve">508 </w:t>
      </w:r>
      <w:r w:rsidR="00EA5FBD">
        <w:t xml:space="preserve">[123]), proven contraventions of </w:t>
      </w:r>
      <w:proofErr w:type="spellStart"/>
      <w:r w:rsidR="00EA5FBD">
        <w:t>ss</w:t>
      </w:r>
      <w:proofErr w:type="spellEnd"/>
      <w:r w:rsidR="00EA5FBD">
        <w:t xml:space="preserve"> 961B, 961G and 961J not only provide evidence of a licensee failing to take reasonable steps for the purposes of establishing the s 961L contraventions, but the underlying breaches point to the number of contraventions of s 961L.</w:t>
      </w:r>
    </w:p>
    <w:p w:rsidR="00EA5FBD" w:rsidRDefault="003B3C7B" w:rsidP="003B3C7B">
      <w:pPr>
        <w:pStyle w:val="ParaNumbering"/>
        <w:numPr>
          <w:ilvl w:val="0"/>
          <w:numId w:val="0"/>
        </w:numPr>
        <w:tabs>
          <w:tab w:val="left" w:pos="720"/>
        </w:tabs>
        <w:ind w:hanging="720"/>
      </w:pPr>
      <w:r>
        <w:rPr>
          <w:sz w:val="20"/>
        </w:rPr>
        <w:t>117</w:t>
      </w:r>
      <w:r>
        <w:rPr>
          <w:sz w:val="20"/>
        </w:rPr>
        <w:tab/>
      </w:r>
      <w:r w:rsidR="00EA5FBD">
        <w:t xml:space="preserve">ASIC submitted there is nothing in the text of s 961L </w:t>
      </w:r>
      <w:r w:rsidR="00712F67">
        <w:t>which confines the obligation of</w:t>
      </w:r>
      <w:r w:rsidR="00EA5FBD">
        <w:t xml:space="preserve"> the licensee to putting in place a general compliance framework with general measures, processes and procedures to ensure compliance. Rather, s 961L requires the licensee to be alive to the possibility of non-compliance each and every time a representative provides advice and to calibrate the steps taken having regard to their knowledge of the particular circumstances.</w:t>
      </w:r>
      <w:r w:rsidR="00F40047">
        <w:t xml:space="preserve"> </w:t>
      </w:r>
      <w:r w:rsidR="00EA5FBD">
        <w:t xml:space="preserve">Ultimately what is required by the obligation to take </w:t>
      </w:r>
      <w:r w:rsidR="00B938E3">
        <w:t>“</w:t>
      </w:r>
      <w:r w:rsidR="00EA5FBD">
        <w:t>reasonable steps</w:t>
      </w:r>
      <w:r w:rsidR="00B938E3">
        <w:t>”</w:t>
      </w:r>
      <w:r w:rsidR="00EA5FBD">
        <w:t xml:space="preserve"> will vary depending </w:t>
      </w:r>
      <w:r w:rsidR="00EA5FBD">
        <w:lastRenderedPageBreak/>
        <w:t>on those circumstances.</w:t>
      </w:r>
      <w:r w:rsidR="00F40047">
        <w:t xml:space="preserve"> </w:t>
      </w:r>
      <w:r w:rsidR="00EA5FBD">
        <w:t>If the licensee is aware of the risk of non-compliance by a specific representative, the relevant steps are likely to be specific to that representative.</w:t>
      </w:r>
      <w:r w:rsidR="00F40047">
        <w:t xml:space="preserve"> </w:t>
      </w:r>
      <w:r w:rsidR="00EA5FBD">
        <w:t>If a risk of systemic non-compliance is identified, then it is likely that the necessary steps must address systems and processes.</w:t>
      </w:r>
    </w:p>
    <w:p w:rsidR="00EA5FBD" w:rsidRDefault="003B3C7B" w:rsidP="003B3C7B">
      <w:pPr>
        <w:pStyle w:val="ParaNumbering"/>
        <w:numPr>
          <w:ilvl w:val="0"/>
          <w:numId w:val="0"/>
        </w:numPr>
        <w:tabs>
          <w:tab w:val="left" w:pos="720"/>
        </w:tabs>
        <w:ind w:hanging="720"/>
      </w:pPr>
      <w:r>
        <w:rPr>
          <w:sz w:val="20"/>
        </w:rPr>
        <w:t>118</w:t>
      </w:r>
      <w:r>
        <w:rPr>
          <w:sz w:val="20"/>
        </w:rPr>
        <w:tab/>
      </w:r>
      <w:r w:rsidR="00EA5FBD">
        <w:t>In further support of its interp</w:t>
      </w:r>
      <w:r w:rsidR="00E63726">
        <w:t>retation by reference to s 961L’</w:t>
      </w:r>
      <w:r w:rsidR="00EA5FBD">
        <w:t xml:space="preserve">s purpose (insofar as it can be discerned from extrinsic materials), ASIC called in aid certain parts of the </w:t>
      </w:r>
      <w:r w:rsidR="00781AC2">
        <w:t>r</w:t>
      </w:r>
      <w:r w:rsidR="003E36D1">
        <w:t xml:space="preserve">evised </w:t>
      </w:r>
      <w:r w:rsidR="00781AC2">
        <w:t>e</w:t>
      </w:r>
      <w:r w:rsidR="00EA5FBD">
        <w:t xml:space="preserve">xplanatory </w:t>
      </w:r>
      <w:r w:rsidR="00781AC2">
        <w:t>m</w:t>
      </w:r>
      <w:r w:rsidR="00EA5FBD">
        <w:t xml:space="preserve">emorandum to the </w:t>
      </w:r>
      <w:r w:rsidR="003E36D1">
        <w:t>Corporations Amendment (Further Future of Financial Advice Measures) Bill 2012 (</w:t>
      </w:r>
      <w:r w:rsidR="003E36D1">
        <w:rPr>
          <w:b/>
        </w:rPr>
        <w:t>EM</w:t>
      </w:r>
      <w:r w:rsidR="003E36D1">
        <w:t>)</w:t>
      </w:r>
      <w:r w:rsidR="00EA5FBD">
        <w:t xml:space="preserve">, including: </w:t>
      </w:r>
    </w:p>
    <w:p w:rsidR="00EA5FBD" w:rsidRDefault="003B3C7B" w:rsidP="003B3C7B">
      <w:pPr>
        <w:pStyle w:val="ListNo1"/>
        <w:numPr>
          <w:ilvl w:val="0"/>
          <w:numId w:val="0"/>
        </w:numPr>
        <w:tabs>
          <w:tab w:val="left" w:pos="720"/>
        </w:tabs>
        <w:ind w:left="720" w:hanging="720"/>
      </w:pPr>
      <w:r>
        <w:t>(1)</w:t>
      </w:r>
      <w:r>
        <w:tab/>
      </w:r>
      <w:r w:rsidR="00EA5FBD">
        <w:t>paragraph 1.15 on page 8:</w:t>
      </w:r>
    </w:p>
    <w:p w:rsidR="00EA5FBD" w:rsidRDefault="00EA5FBD" w:rsidP="003C5FB0">
      <w:pPr>
        <w:pStyle w:val="Quote1"/>
      </w:pPr>
      <w:r>
        <w:t>Any penalties flowing from the breach of an obligation by an individual adviser will continue to flow through to the licensee or authorised representative, rather than the individual adviser, unless that individual is also the licensee or authorised representative.</w:t>
      </w:r>
    </w:p>
    <w:p w:rsidR="00EA5FBD" w:rsidRDefault="003B3C7B" w:rsidP="003B3C7B">
      <w:pPr>
        <w:pStyle w:val="ListNo1"/>
        <w:numPr>
          <w:ilvl w:val="0"/>
          <w:numId w:val="0"/>
        </w:numPr>
        <w:tabs>
          <w:tab w:val="left" w:pos="720"/>
        </w:tabs>
        <w:ind w:left="720" w:hanging="720"/>
      </w:pPr>
      <w:r>
        <w:t>(2)</w:t>
      </w:r>
      <w:r>
        <w:tab/>
      </w:r>
      <w:r w:rsidR="00EA5FBD">
        <w:t>paragraph 1.75, page 20, under the heading Licensee Obligations:</w:t>
      </w:r>
    </w:p>
    <w:p w:rsidR="00EA5FBD" w:rsidRDefault="00EA5FBD" w:rsidP="003C5FB0">
      <w:pPr>
        <w:pStyle w:val="Quote1"/>
      </w:pPr>
      <w:r>
        <w:t>Again, as previously noted, even though most of the obligations in division 2 are imposed on the individual that provides the advice, the penalties resulting from any breach flow through to the relevant licensee or authorised representative.</w:t>
      </w:r>
    </w:p>
    <w:p w:rsidR="00EA5FBD" w:rsidRDefault="003B3C7B" w:rsidP="003B3C7B">
      <w:pPr>
        <w:pStyle w:val="ListNo1"/>
        <w:numPr>
          <w:ilvl w:val="0"/>
          <w:numId w:val="0"/>
        </w:numPr>
        <w:tabs>
          <w:tab w:val="left" w:pos="720"/>
        </w:tabs>
        <w:ind w:left="720" w:hanging="720"/>
      </w:pPr>
      <w:r>
        <w:t>(3)</w:t>
      </w:r>
      <w:r>
        <w:tab/>
      </w:r>
      <w:r w:rsidR="00EA5FBD">
        <w:t>paragraph 1.79:</w:t>
      </w:r>
    </w:p>
    <w:p w:rsidR="00EA5FBD" w:rsidRDefault="00EA5FBD" w:rsidP="003C5FB0">
      <w:pPr>
        <w:pStyle w:val="Quote1"/>
      </w:pPr>
      <w:r>
        <w:t>As noted above, licensees also have a general obligation to take reasonable steps to ensure their representatives, including authorised representatives, comply with their obligations. The penalty for a licensee that breaches this obligation is the same as the penalty for the obligation that the licensee failed to take reasonable steps to ensure compliance.</w:t>
      </w:r>
    </w:p>
    <w:p w:rsidR="00EA5FBD" w:rsidRDefault="003B3C7B" w:rsidP="003B3C7B">
      <w:pPr>
        <w:pStyle w:val="ParaNumbering"/>
        <w:numPr>
          <w:ilvl w:val="0"/>
          <w:numId w:val="0"/>
        </w:numPr>
        <w:tabs>
          <w:tab w:val="left" w:pos="720"/>
        </w:tabs>
        <w:ind w:hanging="720"/>
      </w:pPr>
      <w:r>
        <w:rPr>
          <w:sz w:val="20"/>
        </w:rPr>
        <w:t>119</w:t>
      </w:r>
      <w:r>
        <w:rPr>
          <w:sz w:val="20"/>
        </w:rPr>
        <w:tab/>
      </w:r>
      <w:r w:rsidR="00EA5FBD">
        <w:t>It was ar</w:t>
      </w:r>
      <w:r w:rsidR="003C5FB0">
        <w:t>gued that this language of “flow through”</w:t>
      </w:r>
      <w:r w:rsidR="00EA5FBD">
        <w:t xml:space="preserve"> </w:t>
      </w:r>
      <w:r w:rsidR="00B938E3">
        <w:t xml:space="preserve">to the relevant licensee </w:t>
      </w:r>
      <w:r w:rsidR="00EA5FBD">
        <w:t xml:space="preserve">employed in the EM favours a construction of s 961L </w:t>
      </w:r>
      <w:r w:rsidR="00D25FA3">
        <w:t>which involves</w:t>
      </w:r>
      <w:r w:rsidR="00EA5FBD">
        <w:t xml:space="preserve"> a link between the breach of an obligation by an adviser and the breach of an obligation by the licensee.</w:t>
      </w:r>
    </w:p>
    <w:p w:rsidR="00EA5FBD" w:rsidRDefault="003B3C7B" w:rsidP="003B3C7B">
      <w:pPr>
        <w:pStyle w:val="ParaNumbering"/>
        <w:numPr>
          <w:ilvl w:val="0"/>
          <w:numId w:val="0"/>
        </w:numPr>
        <w:tabs>
          <w:tab w:val="left" w:pos="720"/>
        </w:tabs>
        <w:ind w:hanging="720"/>
      </w:pPr>
      <w:r>
        <w:rPr>
          <w:sz w:val="20"/>
        </w:rPr>
        <w:t>120</w:t>
      </w:r>
      <w:r>
        <w:rPr>
          <w:sz w:val="20"/>
        </w:rPr>
        <w:tab/>
      </w:r>
      <w:r w:rsidR="00EA5FBD">
        <w:t>In essence, AMPFP says that ASIC</w:t>
      </w:r>
      <w:r w:rsidR="00B938E3">
        <w:t>’</w:t>
      </w:r>
      <w:r w:rsidR="00EA5FBD">
        <w:t xml:space="preserve">s approach to construction is flawed because it involves injecting into the finding of </w:t>
      </w:r>
      <w:r w:rsidR="00241835">
        <w:t xml:space="preserve">a </w:t>
      </w:r>
      <w:r w:rsidR="00EA5FBD">
        <w:t>contravention of s 961L</w:t>
      </w:r>
      <w:r w:rsidR="00241835">
        <w:t>,</w:t>
      </w:r>
      <w:r w:rsidR="00EA5FBD">
        <w:t xml:space="preserve"> the conduct of an individual </w:t>
      </w:r>
      <w:r w:rsidR="00B938E3">
        <w:t xml:space="preserve">representative </w:t>
      </w:r>
      <w:r w:rsidR="00EA5FBD">
        <w:t>and thereby inappropriately diverts focus from the co</w:t>
      </w:r>
      <w:r w:rsidR="000C13B8">
        <w:t>nduct of the licensee.</w:t>
      </w:r>
      <w:r w:rsidR="005A06EB">
        <w:t xml:space="preserve"> </w:t>
      </w:r>
      <w:r w:rsidR="003C5FB0">
        <w:t>T</w:t>
      </w:r>
      <w:r w:rsidR="00EA5FBD">
        <w:t>he text of s 961L focus</w:t>
      </w:r>
      <w:r w:rsidR="00DA073F">
        <w:t>s</w:t>
      </w:r>
      <w:r w:rsidR="00EA5FBD">
        <w:t xml:space="preserve">es on the conduct of the licensee, not the </w:t>
      </w:r>
      <w:r w:rsidR="00B938E3">
        <w:t>representative</w:t>
      </w:r>
      <w:r w:rsidR="00EA5FBD">
        <w:t xml:space="preserve">, and </w:t>
      </w:r>
      <w:r w:rsidR="003C5FB0">
        <w:t>whether the licensee has taken “reasonable steps”</w:t>
      </w:r>
      <w:r w:rsidR="00EA5FBD">
        <w:t xml:space="preserve">; there is nothing in the text of s 961L that makes a contravention of the </w:t>
      </w:r>
      <w:r w:rsidR="00AF6BC0">
        <w:t xml:space="preserve">relevant </w:t>
      </w:r>
      <w:r w:rsidR="00EA5FBD">
        <w:t>best interests obligations of the Act a pre-requisi</w:t>
      </w:r>
      <w:r w:rsidR="000C13B8">
        <w:t>te to a contravention of s 961L</w:t>
      </w:r>
      <w:r w:rsidR="003C5FB0">
        <w:t>.</w:t>
      </w:r>
      <w:r w:rsidR="005A06EB">
        <w:t xml:space="preserve"> </w:t>
      </w:r>
      <w:r w:rsidR="003C5FB0">
        <w:t>It is further submitted that ASIC’</w:t>
      </w:r>
      <w:r w:rsidR="00EA5FBD">
        <w:t xml:space="preserve">s approach is contrary to the purpose of s 961L, which is prophylactic in nature, operating independently of any conduct of an adviser or underlying breach by that </w:t>
      </w:r>
      <w:r w:rsidR="00B938E3">
        <w:t>representative.</w:t>
      </w:r>
      <w:r w:rsidR="00F40047">
        <w:t xml:space="preserve"> </w:t>
      </w:r>
    </w:p>
    <w:p w:rsidR="00EA5FBD" w:rsidRDefault="003B3C7B" w:rsidP="003B3C7B">
      <w:pPr>
        <w:pStyle w:val="ParaNumbering"/>
        <w:numPr>
          <w:ilvl w:val="0"/>
          <w:numId w:val="0"/>
        </w:numPr>
        <w:tabs>
          <w:tab w:val="left" w:pos="720"/>
        </w:tabs>
        <w:ind w:hanging="720"/>
      </w:pPr>
      <w:r>
        <w:rPr>
          <w:sz w:val="20"/>
        </w:rPr>
        <w:lastRenderedPageBreak/>
        <w:t>121</w:t>
      </w:r>
      <w:r>
        <w:rPr>
          <w:sz w:val="20"/>
        </w:rPr>
        <w:tab/>
      </w:r>
      <w:r w:rsidR="003C5FB0">
        <w:t>AMPFP’s submissions should be generally accepted.</w:t>
      </w:r>
      <w:r w:rsidR="00F40047">
        <w:t xml:space="preserve"> </w:t>
      </w:r>
      <w:r w:rsidR="003C5FB0">
        <w:t>T</w:t>
      </w:r>
      <w:r w:rsidR="00EA5FBD">
        <w:t>he statutory context in which</w:t>
      </w:r>
      <w:r w:rsidR="003C5FB0">
        <w:t xml:space="preserve"> s 961L operates supports AMPFP’</w:t>
      </w:r>
      <w:r w:rsidR="00EA5FBD">
        <w:t>s approach in that s 96</w:t>
      </w:r>
      <w:r w:rsidR="003C5FB0">
        <w:t xml:space="preserve">1L can be contrasted </w:t>
      </w:r>
      <w:r w:rsidR="00872018">
        <w:t xml:space="preserve">with </w:t>
      </w:r>
      <w:r w:rsidR="003C5FB0">
        <w:t>so-called “look through”</w:t>
      </w:r>
      <w:r w:rsidR="00EA5FBD">
        <w:t xml:space="preserve"> provisions, such as s 961K, which impose liability on a licensee where its representatives (other than authorised representatives) engage in a breach of the best interest obligations; it was open to Parliament to cast s 961L in identical terms if it intended it to have that outcome (subject to a reasonableness qualification) and the fact that it did not is a strong indication that the approach for w</w:t>
      </w:r>
      <w:r w:rsidR="003C5FB0">
        <w:t>hich ASIC contends is incorrect.</w:t>
      </w:r>
      <w:r w:rsidR="005A06EB">
        <w:t xml:space="preserve"> </w:t>
      </w:r>
    </w:p>
    <w:p w:rsidR="003C5FB0" w:rsidRDefault="003B3C7B" w:rsidP="003B3C7B">
      <w:pPr>
        <w:pStyle w:val="ParaNumbering"/>
        <w:numPr>
          <w:ilvl w:val="0"/>
          <w:numId w:val="0"/>
        </w:numPr>
        <w:tabs>
          <w:tab w:val="left" w:pos="720"/>
        </w:tabs>
        <w:ind w:hanging="720"/>
      </w:pPr>
      <w:r>
        <w:rPr>
          <w:sz w:val="20"/>
        </w:rPr>
        <w:t>122</w:t>
      </w:r>
      <w:r>
        <w:rPr>
          <w:sz w:val="20"/>
        </w:rPr>
        <w:tab/>
      </w:r>
      <w:r w:rsidR="003C5FB0">
        <w:t>As for the extrinsic materials, I consider them to be more or less neutral and of no pa</w:t>
      </w:r>
      <w:r w:rsidR="00FD466B">
        <w:t>rticular assistance</w:t>
      </w:r>
      <w:r w:rsidR="003C5FB0">
        <w:t>. There can be no doubt the motherhood statements</w:t>
      </w:r>
      <w:r w:rsidR="00B938E3">
        <w:t xml:space="preserve"> at page 3</w:t>
      </w:r>
      <w:r w:rsidR="003C5FB0">
        <w:t xml:space="preserve"> </w:t>
      </w:r>
      <w:r w:rsidR="00B938E3">
        <w:t xml:space="preserve">of </w:t>
      </w:r>
      <w:r w:rsidR="003C5FB0">
        <w:t>the EM indicate that one of the purposes of the</w:t>
      </w:r>
      <w:r w:rsidR="0086752C">
        <w:t xml:space="preserve"> Future of Financial Advice (</w:t>
      </w:r>
      <w:r w:rsidR="003C5FB0" w:rsidRPr="0086752C">
        <w:rPr>
          <w:b/>
        </w:rPr>
        <w:t>FOFA</w:t>
      </w:r>
      <w:r w:rsidR="0086752C" w:rsidRPr="0086752C">
        <w:t>)</w:t>
      </w:r>
      <w:r w:rsidR="003C5FB0">
        <w:t xml:space="preserve"> reforms (of which s 961L is a part), was to build trust and confidence in the financial advice industry by requiring financial advisers to act in the best interests of their clients and to place the interests of their clients ahead of their own when providing personal advice to retail clien</w:t>
      </w:r>
      <w:r w:rsidR="00B938E3">
        <w:t>ts.</w:t>
      </w:r>
      <w:r w:rsidR="00F40047">
        <w:t xml:space="preserve"> </w:t>
      </w:r>
      <w:r w:rsidR="00B938E3">
        <w:t>It might be said that ASIC’</w:t>
      </w:r>
      <w:r w:rsidR="003C5FB0">
        <w:t xml:space="preserve">s preferred construction would further the purpose of the statute by reinforcing </w:t>
      </w:r>
      <w:r w:rsidR="00B938E3">
        <w:t xml:space="preserve">the new statutory obligations. </w:t>
      </w:r>
      <w:r w:rsidR="003C5FB0">
        <w:t>But legislation rarely pursues a single purpose at all costs (</w:t>
      </w:r>
      <w:proofErr w:type="spellStart"/>
      <w:r w:rsidR="003C5FB0" w:rsidRPr="007A6184">
        <w:rPr>
          <w:i/>
        </w:rPr>
        <w:t>Carr</w:t>
      </w:r>
      <w:proofErr w:type="spellEnd"/>
      <w:r w:rsidR="003C5FB0" w:rsidRPr="007A6184">
        <w:rPr>
          <w:i/>
        </w:rPr>
        <w:t xml:space="preserve"> v Western Australia</w:t>
      </w:r>
      <w:r w:rsidR="003C5FB0">
        <w:t xml:space="preserve"> [2007] HCA 47; </w:t>
      </w:r>
      <w:r w:rsidR="00FC365A">
        <w:t xml:space="preserve">(2007) </w:t>
      </w:r>
      <w:r w:rsidR="003C5FB0">
        <w:t>232 CLR 138 at</w:t>
      </w:r>
      <w:r w:rsidR="003E36D1">
        <w:t xml:space="preserve"> 143</w:t>
      </w:r>
      <w:r w:rsidR="00B938E3">
        <w:t xml:space="preserve"> [5] (</w:t>
      </w:r>
      <w:r w:rsidR="003C5FB0">
        <w:t>Gleeson CJ)</w:t>
      </w:r>
      <w:r w:rsidR="00B938E3">
        <w:t xml:space="preserve">). </w:t>
      </w:r>
      <w:r w:rsidR="003C5FB0">
        <w:t>I am not persuaded t</w:t>
      </w:r>
      <w:r w:rsidR="00E63726">
        <w:t>hat the use of the language of “</w:t>
      </w:r>
      <w:r w:rsidR="003C5FB0">
        <w:t>flow through</w:t>
      </w:r>
      <w:r w:rsidR="00E63726">
        <w:t>”</w:t>
      </w:r>
      <w:r w:rsidR="003C5FB0">
        <w:t xml:space="preserve"> in the relevant parts of the EM assi</w:t>
      </w:r>
      <w:r w:rsidR="00241835">
        <w:t>sts ASIC’</w:t>
      </w:r>
      <w:r w:rsidR="003C5FB0">
        <w:t>s con</w:t>
      </w:r>
      <w:r w:rsidR="000C13B8">
        <w:t>struction in any meaningful way</w:t>
      </w:r>
      <w:r w:rsidR="003C5FB0">
        <w:t>.</w:t>
      </w:r>
    </w:p>
    <w:p w:rsidR="007A6184" w:rsidRDefault="003B3C7B" w:rsidP="003B3C7B">
      <w:pPr>
        <w:pStyle w:val="ParaNumbering"/>
        <w:numPr>
          <w:ilvl w:val="0"/>
          <w:numId w:val="0"/>
        </w:numPr>
        <w:tabs>
          <w:tab w:val="left" w:pos="720"/>
        </w:tabs>
        <w:ind w:hanging="720"/>
      </w:pPr>
      <w:r>
        <w:rPr>
          <w:sz w:val="20"/>
        </w:rPr>
        <w:t>123</w:t>
      </w:r>
      <w:r>
        <w:rPr>
          <w:sz w:val="20"/>
        </w:rPr>
        <w:tab/>
      </w:r>
      <w:r w:rsidR="003C5FB0">
        <w:t>As explained above, the actual conduct to which s 961L is directed is the taking of reasonable steps by the licensee, not the provision of advice by representatives (being the conduct to which the best inter</w:t>
      </w:r>
      <w:r w:rsidR="00B938E3">
        <w:t xml:space="preserve">ests provisions are directed). </w:t>
      </w:r>
      <w:r w:rsidR="007A6184">
        <w:t>It necessarily follows that the process of determining whether a contravention has occurred is assessed independently as to whether there have been particular contraventions by representatives. Properly understood, what we are concerned with is a “failure to perform” norm.</w:t>
      </w:r>
      <w:r w:rsidR="00F40047">
        <w:t xml:space="preserve"> </w:t>
      </w:r>
    </w:p>
    <w:p w:rsidR="007A6184" w:rsidRDefault="003B3C7B" w:rsidP="003B3C7B">
      <w:pPr>
        <w:pStyle w:val="ParaNumbering"/>
        <w:numPr>
          <w:ilvl w:val="0"/>
          <w:numId w:val="0"/>
        </w:numPr>
        <w:tabs>
          <w:tab w:val="left" w:pos="720"/>
        </w:tabs>
        <w:ind w:hanging="720"/>
      </w:pPr>
      <w:r>
        <w:rPr>
          <w:sz w:val="20"/>
        </w:rPr>
        <w:t>124</w:t>
      </w:r>
      <w:r>
        <w:rPr>
          <w:sz w:val="20"/>
        </w:rPr>
        <w:tab/>
      </w:r>
      <w:r w:rsidR="00C85794">
        <w:t>For these reasons, ASIC’</w:t>
      </w:r>
      <w:r w:rsidR="007A6184">
        <w:t xml:space="preserve">s case that there was </w:t>
      </w:r>
      <w:r w:rsidR="0003304F">
        <w:t xml:space="preserve">a </w:t>
      </w:r>
      <w:r w:rsidR="007A6184">
        <w:t xml:space="preserve">separate contravention of s 961L on </w:t>
      </w:r>
      <w:r w:rsidR="0003304F">
        <w:t>each occasion</w:t>
      </w:r>
      <w:r w:rsidR="007A6184">
        <w:t xml:space="preserve"> that an adviser, in respect of each client, contravened the</w:t>
      </w:r>
      <w:r w:rsidR="00AF6BC0">
        <w:t xml:space="preserve"> relevant</w:t>
      </w:r>
      <w:r w:rsidR="007A6184">
        <w:t xml:space="preserve"> best interests obligations (where the licensee failed to take reasonable steps to ensure that the advisers complied with those provisions), must be rejected.</w:t>
      </w:r>
      <w:r w:rsidR="00F40047">
        <w:t xml:space="preserve"> </w:t>
      </w:r>
    </w:p>
    <w:p w:rsidR="007A6184" w:rsidRDefault="003B3C7B" w:rsidP="003B3C7B">
      <w:pPr>
        <w:pStyle w:val="ParaNumbering"/>
        <w:numPr>
          <w:ilvl w:val="0"/>
          <w:numId w:val="0"/>
        </w:numPr>
        <w:tabs>
          <w:tab w:val="left" w:pos="720"/>
        </w:tabs>
        <w:ind w:hanging="720"/>
      </w:pPr>
      <w:r>
        <w:rPr>
          <w:sz w:val="20"/>
        </w:rPr>
        <w:t>125</w:t>
      </w:r>
      <w:r>
        <w:rPr>
          <w:sz w:val="20"/>
        </w:rPr>
        <w:tab/>
      </w:r>
      <w:r w:rsidR="007A6184">
        <w:t>Having rejected ASIC</w:t>
      </w:r>
      <w:r w:rsidR="00B938E3">
        <w:t>’</w:t>
      </w:r>
      <w:r w:rsidR="007A6184">
        <w:t>s primary case of 120 contraventions of s 961L, it is necessary to consider the alternatives put forward by the parties: six or 18 contraventions (as contended for by ASIC) or two (as contended for by AMPFP).</w:t>
      </w:r>
      <w:r w:rsidR="00F40047">
        <w:t xml:space="preserve"> </w:t>
      </w:r>
    </w:p>
    <w:p w:rsidR="003C5FB0" w:rsidRPr="007A6184" w:rsidRDefault="007A6184" w:rsidP="00A02C45">
      <w:pPr>
        <w:pStyle w:val="Heading3"/>
      </w:pPr>
      <w:bookmarkStart w:id="87" w:name="_Ref29821123"/>
      <w:bookmarkStart w:id="88" w:name="_Ref30603904"/>
      <w:r w:rsidRPr="007A6184">
        <w:lastRenderedPageBreak/>
        <w:t>V</w:t>
      </w:r>
      <w:r w:rsidR="00A02C45">
        <w:t>I</w:t>
      </w:r>
      <w:r w:rsidRPr="007A6184">
        <w:tab/>
        <w:t xml:space="preserve">Consideration of AMPFP’s </w:t>
      </w:r>
      <w:r w:rsidR="00B938E3">
        <w:t>c</w:t>
      </w:r>
      <w:r w:rsidR="00B938E3" w:rsidRPr="007A6184">
        <w:t>ase</w:t>
      </w:r>
      <w:r w:rsidRPr="007A6184">
        <w:t xml:space="preserve">: </w:t>
      </w:r>
      <w:r w:rsidR="00B938E3">
        <w:t>t</w:t>
      </w:r>
      <w:r w:rsidR="00B938E3" w:rsidRPr="007A6184">
        <w:t xml:space="preserve">wo </w:t>
      </w:r>
      <w:bookmarkEnd w:id="87"/>
      <w:r w:rsidR="00B938E3">
        <w:t>c</w:t>
      </w:r>
      <w:r w:rsidR="00B938E3" w:rsidRPr="007A6184">
        <w:t>ontraventions</w:t>
      </w:r>
      <w:bookmarkEnd w:id="88"/>
    </w:p>
    <w:p w:rsidR="007A6184" w:rsidRDefault="003B3C7B" w:rsidP="003B3C7B">
      <w:pPr>
        <w:pStyle w:val="ParaNumbering"/>
        <w:numPr>
          <w:ilvl w:val="0"/>
          <w:numId w:val="0"/>
        </w:numPr>
        <w:tabs>
          <w:tab w:val="left" w:pos="720"/>
        </w:tabs>
        <w:ind w:hanging="720"/>
      </w:pPr>
      <w:r>
        <w:rPr>
          <w:sz w:val="20"/>
        </w:rPr>
        <w:t>126</w:t>
      </w:r>
      <w:r>
        <w:rPr>
          <w:sz w:val="20"/>
        </w:rPr>
        <w:tab/>
      </w:r>
      <w:r w:rsidR="00B938E3">
        <w:t>AMPFP’</w:t>
      </w:r>
      <w:r w:rsidR="00EA5FBD">
        <w:t xml:space="preserve">s approach of arguing for two contraventions is said to be consistent with the approach adopted to determining the number of offences in the criminal law, in which particular acts are connected in their circumstances and linked by a common purpose so as to </w:t>
      </w:r>
      <w:r w:rsidR="007A6184">
        <w:t>constitute a single offence:</w:t>
      </w:r>
      <w:r w:rsidR="00EA5FBD">
        <w:t xml:space="preserve"> </w:t>
      </w:r>
      <w:r w:rsidR="00EA5FBD" w:rsidRPr="007A6184">
        <w:rPr>
          <w:i/>
        </w:rPr>
        <w:t>Director of Public Prosecutions v Merriman</w:t>
      </w:r>
      <w:r w:rsidR="00EA5FBD">
        <w:t xml:space="preserve"> [</w:t>
      </w:r>
      <w:r w:rsidR="00B938E3">
        <w:t>1973] AC 584 at 607 (</w:t>
      </w:r>
      <w:proofErr w:type="spellStart"/>
      <w:r w:rsidR="007A6184">
        <w:t>Diplock</w:t>
      </w:r>
      <w:proofErr w:type="spellEnd"/>
      <w:r w:rsidR="007A6184">
        <w:t xml:space="preserve"> LJ</w:t>
      </w:r>
      <w:r w:rsidR="00B938E3">
        <w:t>)</w:t>
      </w:r>
      <w:r w:rsidR="007A6184">
        <w:t>.</w:t>
      </w:r>
    </w:p>
    <w:p w:rsidR="007A6184" w:rsidRPr="007A6184" w:rsidRDefault="003B3C7B" w:rsidP="003B3C7B">
      <w:pPr>
        <w:pStyle w:val="ParaNumbering"/>
        <w:numPr>
          <w:ilvl w:val="0"/>
          <w:numId w:val="0"/>
        </w:numPr>
        <w:tabs>
          <w:tab w:val="left" w:pos="720"/>
        </w:tabs>
        <w:ind w:hanging="720"/>
      </w:pPr>
      <w:r w:rsidRPr="007A6184">
        <w:rPr>
          <w:sz w:val="20"/>
        </w:rPr>
        <w:t>127</w:t>
      </w:r>
      <w:r w:rsidRPr="007A6184">
        <w:rPr>
          <w:sz w:val="20"/>
        </w:rPr>
        <w:tab/>
      </w:r>
      <w:r w:rsidR="007A6184">
        <w:t xml:space="preserve">It is submitted that </w:t>
      </w:r>
      <w:r w:rsidR="00B938E3">
        <w:t>ASIC’</w:t>
      </w:r>
      <w:r w:rsidR="00EA5FBD">
        <w:t xml:space="preserve">s pleaded case relies on two sets of circumstances giving rise to what are two contraventions of s 961L and makes no reference to repeated failures or contraventions; these circumstances are analogous to </w:t>
      </w:r>
      <w:r w:rsidR="000B628B">
        <w:t>how</w:t>
      </w:r>
      <w:r w:rsidR="00EA5FBD">
        <w:t xml:space="preserve"> an offence that involves a failure to engage in an act that persists over a period of time is properly characterised as a single crime</w:t>
      </w:r>
      <w:r w:rsidR="00FF7486">
        <w:t xml:space="preserve"> that persists from day to day: </w:t>
      </w:r>
      <w:r w:rsidR="00EA5FBD">
        <w:t xml:space="preserve">see </w:t>
      </w:r>
      <w:r w:rsidR="00EA5FBD" w:rsidRPr="007A6184">
        <w:rPr>
          <w:i/>
        </w:rPr>
        <w:t xml:space="preserve">R v Industrial Appeals Court; Ex parte </w:t>
      </w:r>
      <w:proofErr w:type="spellStart"/>
      <w:r w:rsidR="00EA5FBD" w:rsidRPr="007A6184">
        <w:rPr>
          <w:i/>
        </w:rPr>
        <w:t>Barelli</w:t>
      </w:r>
      <w:r w:rsidR="00E305F4">
        <w:rPr>
          <w:i/>
        </w:rPr>
        <w:t>’</w:t>
      </w:r>
      <w:r w:rsidR="00EA5FBD" w:rsidRPr="007A6184">
        <w:rPr>
          <w:i/>
        </w:rPr>
        <w:t>s</w:t>
      </w:r>
      <w:proofErr w:type="spellEnd"/>
      <w:r w:rsidR="00EA5FBD" w:rsidRPr="007A6184">
        <w:rPr>
          <w:i/>
        </w:rPr>
        <w:t xml:space="preserve"> Bakeries Pty Ltd</w:t>
      </w:r>
      <w:r w:rsidR="00EA5FBD">
        <w:t xml:space="preserve"> [1965] VR 615 a</w:t>
      </w:r>
      <w:r w:rsidR="009F2215">
        <w:t>t 620 (O’</w:t>
      </w:r>
      <w:r w:rsidR="00FF7486">
        <w:t>Bryan and Gillard JJ)</w:t>
      </w:r>
      <w:r w:rsidR="007A6184">
        <w:t>.</w:t>
      </w:r>
      <w:r w:rsidR="00F40047">
        <w:t xml:space="preserve"> </w:t>
      </w:r>
      <w:r w:rsidR="007A6184">
        <w:t xml:space="preserve">Consistently with this, </w:t>
      </w:r>
      <w:r w:rsidR="007A6184" w:rsidRPr="007A6184">
        <w:t>in this case, there are two sets of contraventions each linked by their circumstances (both temporally and in terms of the acts alleged to</w:t>
      </w:r>
      <w:r w:rsidR="007A6184">
        <w:t xml:space="preserve"> constitute the contraventions).</w:t>
      </w:r>
    </w:p>
    <w:p w:rsidR="007A6184" w:rsidRDefault="003B3C7B" w:rsidP="003B3C7B">
      <w:pPr>
        <w:pStyle w:val="ParaNumbering"/>
        <w:numPr>
          <w:ilvl w:val="0"/>
          <w:numId w:val="0"/>
        </w:numPr>
        <w:tabs>
          <w:tab w:val="left" w:pos="720"/>
        </w:tabs>
        <w:ind w:hanging="720"/>
      </w:pPr>
      <w:r>
        <w:rPr>
          <w:sz w:val="20"/>
        </w:rPr>
        <w:t>128</w:t>
      </w:r>
      <w:r>
        <w:rPr>
          <w:sz w:val="20"/>
        </w:rPr>
        <w:tab/>
      </w:r>
      <w:r w:rsidR="00053CCD">
        <w:t>Superficially, AMPFP’s approach has some attraction, but it does not survive close analysis.</w:t>
      </w:r>
      <w:r w:rsidR="00F40047">
        <w:t xml:space="preserve"> </w:t>
      </w:r>
      <w:r w:rsidR="00053CCD">
        <w:t xml:space="preserve">It is true that </w:t>
      </w:r>
      <w:r w:rsidR="007A6184">
        <w:t xml:space="preserve">ASIC has identified </w:t>
      </w:r>
      <w:r w:rsidR="007A6184" w:rsidRPr="000C13B8">
        <w:t>and pleaded two sets of circumstances</w:t>
      </w:r>
      <w:r w:rsidR="00053CCD" w:rsidRPr="000C13B8">
        <w:t xml:space="preserve"> that created failures to take “reasonable steps”</w:t>
      </w:r>
      <w:r w:rsidR="007A6184" w:rsidRPr="000C13B8">
        <w:t>.</w:t>
      </w:r>
      <w:r w:rsidR="00F40047" w:rsidRPr="000C13B8">
        <w:t xml:space="preserve"> </w:t>
      </w:r>
      <w:r w:rsidR="007A6184" w:rsidRPr="000C13B8">
        <w:t xml:space="preserve">The conduct by AMPFP relating to Panganiban was logically distinct from </w:t>
      </w:r>
      <w:r w:rsidR="000C13B8" w:rsidRPr="000C13B8">
        <w:t>AMPFP’s</w:t>
      </w:r>
      <w:r w:rsidR="007A6184" w:rsidRPr="000C13B8">
        <w:t xml:space="preserve"> </w:t>
      </w:r>
      <w:r w:rsidR="000C13B8" w:rsidRPr="000C13B8">
        <w:t>other contravening conduct</w:t>
      </w:r>
      <w:r w:rsidR="007A6184" w:rsidRPr="000C13B8">
        <w:t>. As explained</w:t>
      </w:r>
      <w:r w:rsidR="007A6184">
        <w:t xml:space="preserve"> above, the distinct steps identified by </w:t>
      </w:r>
      <w:r w:rsidR="00B938E3">
        <w:t>the experts</w:t>
      </w:r>
      <w:r w:rsidR="007A6184">
        <w:t xml:space="preserve"> </w:t>
      </w:r>
      <w:r w:rsidR="009677F2">
        <w:t xml:space="preserve">that </w:t>
      </w:r>
      <w:r w:rsidR="007A6184">
        <w:t xml:space="preserve">AMPFP should have taken (but failed to take) in respect of </w:t>
      </w:r>
      <w:r w:rsidR="00B938E3">
        <w:t xml:space="preserve">Panganiban’s </w:t>
      </w:r>
      <w:r w:rsidR="007A6184">
        <w:t xml:space="preserve">Rewriting Conduct, were different to the reasonable steps AMPFP should have taken (but failed to take) in relation to possible Rewriting Conduct by </w:t>
      </w:r>
      <w:r w:rsidR="004D5AB7">
        <w:t>Other Authorised Representatives</w:t>
      </w:r>
      <w:r w:rsidR="007A6184">
        <w:t>.</w:t>
      </w:r>
    </w:p>
    <w:p w:rsidR="007A6184" w:rsidRDefault="003B3C7B" w:rsidP="003B3C7B">
      <w:pPr>
        <w:pStyle w:val="ParaNumbering"/>
        <w:numPr>
          <w:ilvl w:val="0"/>
          <w:numId w:val="0"/>
        </w:numPr>
        <w:tabs>
          <w:tab w:val="left" w:pos="720"/>
        </w:tabs>
        <w:ind w:hanging="720"/>
      </w:pPr>
      <w:r>
        <w:rPr>
          <w:sz w:val="20"/>
        </w:rPr>
        <w:t>129</w:t>
      </w:r>
      <w:r>
        <w:rPr>
          <w:sz w:val="20"/>
        </w:rPr>
        <w:tab/>
      </w:r>
      <w:r w:rsidR="007A6184">
        <w:t>However, I am not persuaded by</w:t>
      </w:r>
      <w:r w:rsidR="00053CCD">
        <w:t xml:space="preserve"> the next step in the argument:</w:t>
      </w:r>
      <w:r w:rsidR="007A6184">
        <w:t xml:space="preserve"> </w:t>
      </w:r>
      <w:r w:rsidR="00B938E3">
        <w:t xml:space="preserve">AMPFP’s </w:t>
      </w:r>
      <w:r w:rsidR="007A6184">
        <w:t xml:space="preserve">submission that </w:t>
      </w:r>
      <w:r w:rsidR="0044044E">
        <w:t>given</w:t>
      </w:r>
      <w:r w:rsidR="007A6184">
        <w:t xml:space="preserve"> there were o</w:t>
      </w:r>
      <w:r w:rsidR="00053CCD">
        <w:t>nly two “sets”</w:t>
      </w:r>
      <w:r w:rsidR="007A6184">
        <w:t xml:space="preserve"> of circumstances that created failure</w:t>
      </w:r>
      <w:r w:rsidR="00053CCD">
        <w:t xml:space="preserve">s to take reasonable steps, </w:t>
      </w:r>
      <w:r w:rsidR="007A6184">
        <w:t>this leads axiomatically to the conclusion that there has been only</w:t>
      </w:r>
      <w:r w:rsidR="00B938E3">
        <w:t xml:space="preserve"> two contraventions of s 961L. </w:t>
      </w:r>
      <w:r w:rsidR="007A6184">
        <w:t xml:space="preserve">This is to oversimplify </w:t>
      </w:r>
      <w:r w:rsidR="00053CCD">
        <w:t>the position</w:t>
      </w:r>
      <w:r w:rsidR="007A6184">
        <w:t>.</w:t>
      </w:r>
    </w:p>
    <w:p w:rsidR="007A6184" w:rsidRDefault="003B3C7B" w:rsidP="003B3C7B">
      <w:pPr>
        <w:pStyle w:val="ParaNumbering"/>
        <w:numPr>
          <w:ilvl w:val="0"/>
          <w:numId w:val="0"/>
        </w:numPr>
        <w:tabs>
          <w:tab w:val="left" w:pos="720"/>
        </w:tabs>
        <w:ind w:hanging="720"/>
      </w:pPr>
      <w:r>
        <w:rPr>
          <w:sz w:val="20"/>
        </w:rPr>
        <w:t>130</w:t>
      </w:r>
      <w:r>
        <w:rPr>
          <w:sz w:val="20"/>
        </w:rPr>
        <w:tab/>
      </w:r>
      <w:r w:rsidR="007A6184">
        <w:t>As observed above, each of the best interests provisions prescribes a distinct statutory norm of conduct designed to protect the clients of financial advisors.</w:t>
      </w:r>
      <w:r w:rsidR="00F40047">
        <w:t xml:space="preserve"> </w:t>
      </w:r>
      <w:r w:rsidR="007A6184">
        <w:t>Indeed</w:t>
      </w:r>
      <w:r w:rsidR="0044044E">
        <w:t>,</w:t>
      </w:r>
      <w:r w:rsidR="007A6184">
        <w:t xml:space="preserve"> the distinct and protective nature of each norm has recently been emph</w:t>
      </w:r>
      <w:r w:rsidR="009B2BD4">
        <w:t>asised and discussed recently</w:t>
      </w:r>
      <w:r w:rsidR="007A6184">
        <w:t xml:space="preserve"> in </w:t>
      </w:r>
      <w:r w:rsidR="001B0645" w:rsidRPr="007B7568">
        <w:rPr>
          <w:i/>
        </w:rPr>
        <w:t>Australian Securities and Investments Commission</w:t>
      </w:r>
      <w:r w:rsidR="007A6184">
        <w:t xml:space="preserve"> </w:t>
      </w:r>
      <w:r w:rsidR="007A6184" w:rsidRPr="001B0645">
        <w:rPr>
          <w:i/>
        </w:rPr>
        <w:t>v Westpac Securities Administration Limited</w:t>
      </w:r>
      <w:r w:rsidR="00295A10">
        <w:t xml:space="preserve"> [2019] FCAFC 187</w:t>
      </w:r>
      <w:r w:rsidR="00AE1C2D">
        <w:t>,</w:t>
      </w:r>
      <w:r w:rsidR="000C0EAC">
        <w:t xml:space="preserve"> </w:t>
      </w:r>
      <w:r w:rsidR="001B0645" w:rsidRPr="007B7568">
        <w:rPr>
          <w:i/>
        </w:rPr>
        <w:t>Australian Securities and Investments Commission</w:t>
      </w:r>
      <w:r w:rsidR="007A6184">
        <w:t xml:space="preserve"> </w:t>
      </w:r>
      <w:r w:rsidR="007A6184" w:rsidRPr="001B0645">
        <w:rPr>
          <w:i/>
        </w:rPr>
        <w:t>v Dover Financial Advisers Pty Ltd</w:t>
      </w:r>
      <w:r w:rsidR="007A6184">
        <w:t xml:space="preserve"> [2019] FCA 1932</w:t>
      </w:r>
      <w:r w:rsidR="000C0EAC">
        <w:t xml:space="preserve"> and </w:t>
      </w:r>
      <w:r w:rsidR="000C0EAC" w:rsidRPr="00F2131A">
        <w:rPr>
          <w:i/>
        </w:rPr>
        <w:t>Australian Securities and Investments Commission v Westpac Banking Corporation</w:t>
      </w:r>
      <w:r w:rsidR="000C0EAC" w:rsidRPr="000C0EAC">
        <w:t xml:space="preserve"> [2019] FCA 2147</w:t>
      </w:r>
      <w:r w:rsidR="007A6184">
        <w:t>.</w:t>
      </w:r>
      <w:r w:rsidR="00F40047">
        <w:t xml:space="preserve"> </w:t>
      </w:r>
      <w:r w:rsidR="007A6184">
        <w:t>These separate norms of conduct are the</w:t>
      </w:r>
      <w:r w:rsidR="001B0645">
        <w:t xml:space="preserve"> reference </w:t>
      </w:r>
      <w:r w:rsidR="001B0645">
        <w:lastRenderedPageBreak/>
        <w:t xml:space="preserve">points by </w:t>
      </w:r>
      <w:r w:rsidR="007A6184">
        <w:t>which a licensee is obliged by s 961L to take steps to ensure compliance by its representatives.</w:t>
      </w:r>
      <w:r w:rsidR="00F40047">
        <w:t xml:space="preserve"> </w:t>
      </w:r>
      <w:r w:rsidR="001B0645">
        <w:t>Importantly, a</w:t>
      </w:r>
      <w:r w:rsidR="007A6184">
        <w:t xml:space="preserve">s ASIC correctly submitted, </w:t>
      </w:r>
      <w:r w:rsidR="001B0645">
        <w:t xml:space="preserve">quite </w:t>
      </w:r>
      <w:r w:rsidR="007A6184">
        <w:t>different reasonable steps might be required to ensure representatives comply with each of the</w:t>
      </w:r>
      <w:r w:rsidR="00DB2260">
        <w:t xml:space="preserve"> relevant</w:t>
      </w:r>
      <w:r w:rsidR="007A6184">
        <w:t xml:space="preserve"> best interests obligations. </w:t>
      </w:r>
    </w:p>
    <w:p w:rsidR="00D265E1" w:rsidRDefault="003B3C7B" w:rsidP="003B3C7B">
      <w:pPr>
        <w:pStyle w:val="ParaNumbering"/>
        <w:numPr>
          <w:ilvl w:val="0"/>
          <w:numId w:val="0"/>
        </w:numPr>
        <w:tabs>
          <w:tab w:val="left" w:pos="720"/>
        </w:tabs>
        <w:ind w:hanging="720"/>
      </w:pPr>
      <w:r>
        <w:rPr>
          <w:sz w:val="20"/>
        </w:rPr>
        <w:t>131</w:t>
      </w:r>
      <w:r>
        <w:rPr>
          <w:sz w:val="20"/>
        </w:rPr>
        <w:tab/>
      </w:r>
      <w:r w:rsidR="001B0645">
        <w:t>To adopt an example from ASIC’</w:t>
      </w:r>
      <w:r w:rsidR="007A6184">
        <w:t>s submissions, different reasonable steps might be required to ensure representatives comply with their obligation under s 96</w:t>
      </w:r>
      <w:r w:rsidR="001B0645">
        <w:t>1J to give priority to a client’</w:t>
      </w:r>
      <w:r w:rsidR="007A6184">
        <w:t xml:space="preserve">s interests where there is a conflict (such as by adjusting the Commission Model to remove any financial incentive for a representative to </w:t>
      </w:r>
      <w:r w:rsidR="001B0645">
        <w:t xml:space="preserve">prefer his </w:t>
      </w:r>
      <w:r w:rsidR="007A6184">
        <w:t>own interests) than those that might be required to ensure representatives comply with their obligation in</w:t>
      </w:r>
      <w:r w:rsidR="001B0645">
        <w:t xml:space="preserve"> s 961B to act in their clients’</w:t>
      </w:r>
      <w:r w:rsidR="007A6184">
        <w:t xml:space="preserve"> best interests (such as by implementing and enforcing a policy prohibiting Rewriting Conduct and ensuring training is provided to representatives regarding such a policy).</w:t>
      </w:r>
      <w:r w:rsidR="00F40047">
        <w:t xml:space="preserve"> </w:t>
      </w:r>
    </w:p>
    <w:p w:rsidR="00C36869" w:rsidRDefault="003B3C7B" w:rsidP="003B3C7B">
      <w:pPr>
        <w:pStyle w:val="ParaNumbering"/>
        <w:numPr>
          <w:ilvl w:val="0"/>
          <w:numId w:val="0"/>
        </w:numPr>
        <w:tabs>
          <w:tab w:val="left" w:pos="720"/>
        </w:tabs>
        <w:ind w:hanging="720"/>
      </w:pPr>
      <w:r>
        <w:rPr>
          <w:sz w:val="20"/>
        </w:rPr>
        <w:t>132</w:t>
      </w:r>
      <w:r>
        <w:rPr>
          <w:sz w:val="20"/>
        </w:rPr>
        <w:tab/>
      </w:r>
      <w:r w:rsidR="001B0645">
        <w:t xml:space="preserve">Despite not being constrained by prior authority, I am </w:t>
      </w:r>
      <w:r w:rsidR="007A6184">
        <w:t xml:space="preserve">fortified </w:t>
      </w:r>
      <w:r w:rsidR="001B0645">
        <w:t xml:space="preserve">by the fact </w:t>
      </w:r>
      <w:r w:rsidR="0001608B">
        <w:t>that each of Moshinsky</w:t>
      </w:r>
      <w:r w:rsidR="007A6184">
        <w:t xml:space="preserve"> </w:t>
      </w:r>
      <w:r w:rsidR="0001608B">
        <w:t xml:space="preserve">J </w:t>
      </w:r>
      <w:r w:rsidR="007A6184">
        <w:t>and O</w:t>
      </w:r>
      <w:r w:rsidR="00C36869">
        <w:t>’</w:t>
      </w:r>
      <w:r w:rsidR="007A6184">
        <w:t>Callaghan J</w:t>
      </w:r>
      <w:r w:rsidR="0001608B">
        <w:t xml:space="preserve"> </w:t>
      </w:r>
      <w:r w:rsidR="007A6184">
        <w:t xml:space="preserve">recognised that different reasonable steps might be required to ensure representatives comply with each of </w:t>
      </w:r>
      <w:r w:rsidR="00AF6BC0">
        <w:t xml:space="preserve">the relevant </w:t>
      </w:r>
      <w:r w:rsidR="007A6184">
        <w:t>best interests obligations</w:t>
      </w:r>
      <w:r w:rsidR="001B0645">
        <w:t xml:space="preserve">: </w:t>
      </w:r>
      <w:r w:rsidR="007A6184" w:rsidRPr="00D265E1">
        <w:rPr>
          <w:i/>
        </w:rPr>
        <w:t xml:space="preserve">NSG Services </w:t>
      </w:r>
      <w:r w:rsidR="007A6184">
        <w:t xml:space="preserve">and </w:t>
      </w:r>
      <w:r w:rsidR="007A6184" w:rsidRPr="00D265E1">
        <w:rPr>
          <w:i/>
        </w:rPr>
        <w:t>Golden Financial Group</w:t>
      </w:r>
      <w:r w:rsidR="007A6184">
        <w:t>.</w:t>
      </w:r>
      <w:r w:rsidR="00F40047">
        <w:t xml:space="preserve"> </w:t>
      </w:r>
      <w:r w:rsidR="007A6184">
        <w:t xml:space="preserve">In fact, in </w:t>
      </w:r>
      <w:r w:rsidR="007A6184" w:rsidRPr="00D265E1">
        <w:rPr>
          <w:i/>
        </w:rPr>
        <w:t>NSG Services</w:t>
      </w:r>
      <w:r w:rsidR="00FC365A">
        <w:t xml:space="preserve"> (at </w:t>
      </w:r>
      <w:r w:rsidR="00C36869">
        <w:t xml:space="preserve">53-54 </w:t>
      </w:r>
      <w:r w:rsidR="00FC365A">
        <w:t>[21]), Moshinsky </w:t>
      </w:r>
      <w:r w:rsidR="007A6184">
        <w:t xml:space="preserve">J </w:t>
      </w:r>
      <w:r w:rsidR="001B0645">
        <w:t xml:space="preserve">expressly </w:t>
      </w:r>
      <w:r w:rsidR="007A6184">
        <w:t xml:space="preserve">recognised the distinctness of the obligations (at least </w:t>
      </w:r>
      <w:r w:rsidR="00C36869">
        <w:t xml:space="preserve">in respect of </w:t>
      </w:r>
      <w:proofErr w:type="spellStart"/>
      <w:r w:rsidR="00C36869">
        <w:t>ss</w:t>
      </w:r>
      <w:proofErr w:type="spellEnd"/>
      <w:r w:rsidR="00C36869">
        <w:t xml:space="preserve"> 961B and 961G):</w:t>
      </w:r>
    </w:p>
    <w:p w:rsidR="00C36869" w:rsidRDefault="00C36869" w:rsidP="00F2131A">
      <w:pPr>
        <w:pStyle w:val="Quote1"/>
      </w:pPr>
      <w:r w:rsidRPr="00C36869">
        <w:t>It was common ground that, while s 961B is concerned with the process or procedure involved in providing advice that is in the best interests of the client, s 961G is concerned with the content or substance of that advice. At first blush, the text of s 961B does not appear to support the proposition that s 961B is concerned with the process or procedure involved in providing advice that is in the best interests of the client. However, support for this way of viewing the focus of s 961B is provided by the context in which it appears, including the language of s 961G, the legislative history, and the legislative materials (see, in particular, the revised explanatory memorandum to the Corporations Amendment (Further Future of Financial Advice Measures) Bill 2011 (</w:t>
      </w:r>
      <w:proofErr w:type="spellStart"/>
      <w:r w:rsidRPr="00C36869">
        <w:t>Cth</w:t>
      </w:r>
      <w:proofErr w:type="spellEnd"/>
      <w:r w:rsidRPr="00C36869">
        <w:t>) at [1.23], [1.24], [1.57]). It is unnecessary for present purposes to reach a concluded view on this issue.</w:t>
      </w:r>
    </w:p>
    <w:p w:rsidR="007A6184" w:rsidRDefault="003B3C7B" w:rsidP="003B3C7B">
      <w:pPr>
        <w:pStyle w:val="ParaNumbering"/>
        <w:numPr>
          <w:ilvl w:val="0"/>
          <w:numId w:val="0"/>
        </w:numPr>
        <w:tabs>
          <w:tab w:val="left" w:pos="720"/>
        </w:tabs>
        <w:ind w:hanging="720"/>
      </w:pPr>
      <w:r>
        <w:rPr>
          <w:sz w:val="20"/>
        </w:rPr>
        <w:t>133</w:t>
      </w:r>
      <w:r>
        <w:rPr>
          <w:sz w:val="20"/>
        </w:rPr>
        <w:tab/>
      </w:r>
      <w:r w:rsidR="001B0645">
        <w:t>If AMPFP’</w:t>
      </w:r>
      <w:r w:rsidR="007A6184">
        <w:t xml:space="preserve">s </w:t>
      </w:r>
      <w:r w:rsidR="001B0645">
        <w:t>approach w</w:t>
      </w:r>
      <w:r w:rsidR="00DB2260">
        <w:t>ere</w:t>
      </w:r>
      <w:r w:rsidR="001B0645">
        <w:t xml:space="preserve"> correct, it </w:t>
      </w:r>
      <w:r w:rsidR="000C13B8">
        <w:t>c</w:t>
      </w:r>
      <w:r w:rsidR="009C1A68">
        <w:t>ould lead to</w:t>
      </w:r>
      <w:r w:rsidR="007A6184">
        <w:t xml:space="preserve"> anomalous result</w:t>
      </w:r>
      <w:r w:rsidR="009C1A68">
        <w:t>s</w:t>
      </w:r>
      <w:r w:rsidR="007A6184">
        <w:t>.</w:t>
      </w:r>
      <w:r w:rsidR="00F40047">
        <w:t xml:space="preserve"> </w:t>
      </w:r>
      <w:r w:rsidR="007A6184">
        <w:t>Say the evidence was capable of supporting a failure by a licensee to take reasonable steps to ensure that a representative of the licensee complies only with s 961J (perhaps because a representative had fail</w:t>
      </w:r>
      <w:r w:rsidR="001B0645">
        <w:t>ed to give priority to a client’</w:t>
      </w:r>
      <w:r w:rsidR="007A6184">
        <w:t>s interests when giving advice and the licensee failed to establish a system of conflict identification and management, but was otherwise beyond reproach), then the result would be a contravention by the licensee of s 961L.</w:t>
      </w:r>
      <w:r w:rsidR="00F40047">
        <w:t xml:space="preserve"> </w:t>
      </w:r>
      <w:r w:rsidR="007A6184">
        <w:t xml:space="preserve">Alternatively, as is the case here, the evidence may establish a failure by a licensee to take reasonable steps to ensure that a representative of the licensee complies with multiple provisions which ground a </w:t>
      </w:r>
      <w:r w:rsidR="007A6184">
        <w:lastRenderedPageBreak/>
        <w:t>contravention of s 961L.</w:t>
      </w:r>
      <w:r w:rsidR="00F40047">
        <w:t xml:space="preserve"> </w:t>
      </w:r>
      <w:r w:rsidR="007A6184">
        <w:t>And yet, on AMPFP</w:t>
      </w:r>
      <w:r w:rsidR="00080B14">
        <w:t>’</w:t>
      </w:r>
      <w:r w:rsidR="007A6184">
        <w:t>s submission, that would still be a single contravention by the licensee of s 961L, notwithstanding the greater number of statutory norms contravened by representatives of the licensee and, by virtue of that fact, such an approach would direct focus away from the actual reasonable steps taken by the licensee which should have been directed to ensuring compliance with the differing requirements of the four distinct norms regulating the conduct of the authorised representative.</w:t>
      </w:r>
    </w:p>
    <w:p w:rsidR="007A6184" w:rsidRPr="001B0645" w:rsidRDefault="001B0645" w:rsidP="00C5422E">
      <w:pPr>
        <w:pStyle w:val="Heading3"/>
      </w:pPr>
      <w:bookmarkStart w:id="89" w:name="_Ref29821124"/>
      <w:bookmarkStart w:id="90" w:name="_Ref30603905"/>
      <w:r w:rsidRPr="007A6184">
        <w:t>V</w:t>
      </w:r>
      <w:r>
        <w:t>I</w:t>
      </w:r>
      <w:r w:rsidR="00C5422E">
        <w:t>I</w:t>
      </w:r>
      <w:r>
        <w:tab/>
        <w:t>ASIC</w:t>
      </w:r>
      <w:r w:rsidRPr="007A6184">
        <w:t xml:space="preserve">’s </w:t>
      </w:r>
      <w:r w:rsidR="00DE3384">
        <w:t>alternatives</w:t>
      </w:r>
      <w:r w:rsidRPr="007A6184">
        <w:t>:</w:t>
      </w:r>
      <w:r>
        <w:t xml:space="preserve"> </w:t>
      </w:r>
      <w:r w:rsidR="00DE3384">
        <w:t xml:space="preserve">six </w:t>
      </w:r>
      <w:r>
        <w:t xml:space="preserve">or 18 </w:t>
      </w:r>
      <w:bookmarkEnd w:id="89"/>
      <w:r w:rsidR="00DE3384">
        <w:t>c</w:t>
      </w:r>
      <w:r w:rsidR="00DE3384" w:rsidRPr="007A6184">
        <w:t>ontraventions</w:t>
      </w:r>
      <w:bookmarkEnd w:id="90"/>
    </w:p>
    <w:p w:rsidR="00EA5FBD" w:rsidRDefault="003B3C7B" w:rsidP="003B3C7B">
      <w:pPr>
        <w:pStyle w:val="ParaNumbering"/>
        <w:numPr>
          <w:ilvl w:val="0"/>
          <w:numId w:val="0"/>
        </w:numPr>
        <w:tabs>
          <w:tab w:val="left" w:pos="720"/>
        </w:tabs>
        <w:ind w:hanging="720"/>
      </w:pPr>
      <w:r>
        <w:rPr>
          <w:sz w:val="20"/>
        </w:rPr>
        <w:t>134</w:t>
      </w:r>
      <w:r>
        <w:rPr>
          <w:sz w:val="20"/>
        </w:rPr>
        <w:tab/>
      </w:r>
      <w:r w:rsidR="001B0645">
        <w:t>Part of</w:t>
      </w:r>
      <w:r w:rsidR="00DE3384">
        <w:t xml:space="preserve"> the</w:t>
      </w:r>
      <w:r w:rsidR="001B0645">
        <w:t xml:space="preserve"> argument advanced by AMPFP in opposition to ASIC’</w:t>
      </w:r>
      <w:r w:rsidR="00EA5FBD">
        <w:t>s alternative submission that there are six or 18 contraventions</w:t>
      </w:r>
      <w:r w:rsidR="001B0645">
        <w:t xml:space="preserve"> </w:t>
      </w:r>
      <w:r w:rsidR="00DE3384">
        <w:t>relates</w:t>
      </w:r>
      <w:r w:rsidR="001B0645">
        <w:t xml:space="preserve"> to the argument advanced as to why ASIC’s primary submission founde</w:t>
      </w:r>
      <w:r w:rsidR="007811C8">
        <w:t>re</w:t>
      </w:r>
      <w:r w:rsidR="001B0645">
        <w:t xml:space="preserve">d: that it is </w:t>
      </w:r>
      <w:r w:rsidR="00EA5FBD">
        <w:t xml:space="preserve">unsustainable because it seeks to shift focus impermissibly </w:t>
      </w:r>
      <w:r w:rsidR="00DA27D8">
        <w:t xml:space="preserve">away </w:t>
      </w:r>
      <w:r w:rsidR="00EA5FBD">
        <w:t>from the obligati</w:t>
      </w:r>
      <w:r w:rsidR="001B0645">
        <w:t>on o</w:t>
      </w:r>
      <w:r w:rsidR="00712F67">
        <w:t>f</w:t>
      </w:r>
      <w:r w:rsidR="001B0645">
        <w:t xml:space="preserve"> the licensee under s 961L.</w:t>
      </w:r>
    </w:p>
    <w:p w:rsidR="00EA5FBD" w:rsidRDefault="003B3C7B" w:rsidP="003B3C7B">
      <w:pPr>
        <w:pStyle w:val="ParaNumbering"/>
        <w:numPr>
          <w:ilvl w:val="0"/>
          <w:numId w:val="0"/>
        </w:numPr>
        <w:tabs>
          <w:tab w:val="left" w:pos="720"/>
        </w:tabs>
        <w:ind w:hanging="720"/>
      </w:pPr>
      <w:r>
        <w:rPr>
          <w:sz w:val="20"/>
        </w:rPr>
        <w:t>135</w:t>
      </w:r>
      <w:r>
        <w:rPr>
          <w:sz w:val="20"/>
        </w:rPr>
        <w:tab/>
      </w:r>
      <w:r w:rsidR="001B0645">
        <w:t>AMPFP further submits that the artificiality of ASIC’</w:t>
      </w:r>
      <w:r w:rsidR="00EA5FBD">
        <w:t xml:space="preserve">s approach is demonstrated by the fact that it seeks only one declaration in respect of s 912A(1)(ca) (being a similarly cast obligation on the licensee to take reasonable steps to ensure that its representatives comply with the financial services laws), but </w:t>
      </w:r>
      <w:r w:rsidR="001B0645">
        <w:t>multiple</w:t>
      </w:r>
      <w:r w:rsidR="00EA5FBD">
        <w:t xml:space="preserve"> declarations in respect of s 961L; </w:t>
      </w:r>
      <w:r w:rsidR="001B0645">
        <w:t>indeed AMPFP goes so far as to submit that ASIC’</w:t>
      </w:r>
      <w:r w:rsidR="00EA5FBD">
        <w:t xml:space="preserve">s approach appears to be an attempt to increase the number of contraventions so as </w:t>
      </w:r>
      <w:r w:rsidR="009C6DA8">
        <w:t xml:space="preserve">to increase the maximum penalty: </w:t>
      </w:r>
      <w:r w:rsidR="00EA5FBD">
        <w:t xml:space="preserve">see </w:t>
      </w:r>
      <w:r w:rsidR="00EA5FBD" w:rsidRPr="001B0645">
        <w:rPr>
          <w:i/>
        </w:rPr>
        <w:t>A</w:t>
      </w:r>
      <w:r w:rsidR="003529DD">
        <w:rPr>
          <w:i/>
        </w:rPr>
        <w:t>SIC</w:t>
      </w:r>
      <w:r w:rsidR="00EA5FBD" w:rsidRPr="001B0645">
        <w:rPr>
          <w:i/>
        </w:rPr>
        <w:t xml:space="preserve"> v Westpac Banking Corporation (No 3)</w:t>
      </w:r>
      <w:r w:rsidR="00EA5FBD">
        <w:t xml:space="preserve"> at</w:t>
      </w:r>
      <w:r w:rsidR="00C836A5">
        <w:t xml:space="preserve"> 608</w:t>
      </w:r>
      <w:r w:rsidR="009C6DA8">
        <w:t xml:space="preserve"> [116]</w:t>
      </w:r>
      <w:r w:rsidR="00EA5FBD">
        <w:t>.</w:t>
      </w:r>
      <w:r w:rsidR="00DE3384">
        <w:t xml:space="preserve"> I will return to s 912A later in these reasons.</w:t>
      </w:r>
    </w:p>
    <w:p w:rsidR="00DD4E7C" w:rsidRDefault="003B3C7B" w:rsidP="003B3C7B">
      <w:pPr>
        <w:pStyle w:val="ParaNumbering"/>
        <w:numPr>
          <w:ilvl w:val="0"/>
          <w:numId w:val="0"/>
        </w:numPr>
        <w:tabs>
          <w:tab w:val="left" w:pos="720"/>
        </w:tabs>
        <w:ind w:hanging="720"/>
      </w:pPr>
      <w:r>
        <w:rPr>
          <w:sz w:val="20"/>
        </w:rPr>
        <w:t>136</w:t>
      </w:r>
      <w:r>
        <w:rPr>
          <w:sz w:val="20"/>
        </w:rPr>
        <w:tab/>
      </w:r>
      <w:r w:rsidR="00684ED2">
        <w:t xml:space="preserve">Although I was initially attracted to the prospect of there being 18 contraventions, I have reached the conclusion that </w:t>
      </w:r>
      <w:r w:rsidR="00C85035">
        <w:t xml:space="preserve">there were </w:t>
      </w:r>
      <w:r w:rsidR="00B929AF">
        <w:t xml:space="preserve">six contraventions of s 961L by AMPFP, having failed to take reasonable steps to ensure compliance by six of its representatives </w:t>
      </w:r>
      <w:r w:rsidR="00853247">
        <w:t>with respect to</w:t>
      </w:r>
      <w:r w:rsidR="00B929AF">
        <w:t xml:space="preserve"> three separate statutory norms</w:t>
      </w:r>
      <w:r w:rsidR="00DD4E7C">
        <w:t xml:space="preserve">. </w:t>
      </w:r>
    </w:p>
    <w:p w:rsidR="00F70FB7" w:rsidRDefault="003B3C7B" w:rsidP="003B3C7B">
      <w:pPr>
        <w:pStyle w:val="ParaNumbering"/>
        <w:numPr>
          <w:ilvl w:val="0"/>
          <w:numId w:val="0"/>
        </w:numPr>
        <w:tabs>
          <w:tab w:val="left" w:pos="720"/>
        </w:tabs>
        <w:ind w:hanging="720"/>
      </w:pPr>
      <w:r>
        <w:rPr>
          <w:sz w:val="20"/>
        </w:rPr>
        <w:t>137</w:t>
      </w:r>
      <w:r>
        <w:rPr>
          <w:sz w:val="20"/>
        </w:rPr>
        <w:tab/>
      </w:r>
      <w:r w:rsidR="00C40171">
        <w:t>The essential reason</w:t>
      </w:r>
      <w:r w:rsidR="00BA1434">
        <w:t xml:space="preserve"> why I have fastened upon six contraventions has already been </w:t>
      </w:r>
      <w:r w:rsidR="00F70FB7">
        <w:t xml:space="preserve">partly </w:t>
      </w:r>
      <w:r w:rsidR="00BA1434">
        <w:t xml:space="preserve">explained in </w:t>
      </w:r>
      <w:r w:rsidR="00087CF4">
        <w:t>my</w:t>
      </w:r>
      <w:r w:rsidR="00F70FB7">
        <w:t xml:space="preserve"> </w:t>
      </w:r>
      <w:r w:rsidR="00BA1434">
        <w:t>rejecti</w:t>
      </w:r>
      <w:r w:rsidR="00087CF4">
        <w:t>on of</w:t>
      </w:r>
      <w:r w:rsidR="00BA1434">
        <w:t xml:space="preserve"> </w:t>
      </w:r>
      <w:r w:rsidR="00F70FB7">
        <w:t xml:space="preserve">ASIC’s primary case </w:t>
      </w:r>
      <w:r w:rsidR="00DE3384">
        <w:t xml:space="preserve">of there being 120 contraventions </w:t>
      </w:r>
      <w:r w:rsidR="00F70FB7">
        <w:t xml:space="preserve">and </w:t>
      </w:r>
      <w:r w:rsidR="00BA1434">
        <w:t>AMPFP’s submission</w:t>
      </w:r>
      <w:r w:rsidR="00374560">
        <w:t xml:space="preserve"> that</w:t>
      </w:r>
      <w:r w:rsidR="00BA1434">
        <w:t xml:space="preserve"> there were two contraventions.</w:t>
      </w:r>
      <w:r w:rsidR="00F70FB7">
        <w:t xml:space="preserve"> </w:t>
      </w:r>
    </w:p>
    <w:p w:rsidR="00F70FB7" w:rsidRDefault="003B3C7B" w:rsidP="003B3C7B">
      <w:pPr>
        <w:pStyle w:val="ParaNumbering"/>
        <w:numPr>
          <w:ilvl w:val="0"/>
          <w:numId w:val="0"/>
        </w:numPr>
        <w:tabs>
          <w:tab w:val="left" w:pos="720"/>
        </w:tabs>
        <w:ind w:hanging="720"/>
      </w:pPr>
      <w:r>
        <w:rPr>
          <w:sz w:val="20"/>
        </w:rPr>
        <w:t>138</w:t>
      </w:r>
      <w:r>
        <w:rPr>
          <w:sz w:val="20"/>
        </w:rPr>
        <w:tab/>
      </w:r>
      <w:r w:rsidR="00F70FB7">
        <w:t xml:space="preserve">Most importantly, the s 961L contraventions by AMPFP relating to Panganiban were clearly distinct from the </w:t>
      </w:r>
      <w:r w:rsidR="009C1A68">
        <w:t>other contraventions of s 961L.</w:t>
      </w:r>
      <w:r w:rsidR="005A06EB">
        <w:t xml:space="preserve"> </w:t>
      </w:r>
      <w:r w:rsidR="0044044E" w:rsidRPr="007D2BAB">
        <w:t>H</w:t>
      </w:r>
      <w:r w:rsidR="00F70FB7" w:rsidRPr="007D2BAB">
        <w:t>av</w:t>
      </w:r>
      <w:r w:rsidR="007811C8" w:rsidRPr="007D2BAB">
        <w:t>ing</w:t>
      </w:r>
      <w:r w:rsidR="00F70FB7" w:rsidRPr="007D2BAB">
        <w:t xml:space="preserve"> become aware of Panganiban’s conduct</w:t>
      </w:r>
      <w:r w:rsidR="0044044E" w:rsidRPr="007D2BAB">
        <w:t xml:space="preserve">, </w:t>
      </w:r>
      <w:r w:rsidR="00F70FB7" w:rsidRPr="007D2BAB">
        <w:t xml:space="preserve">it </w:t>
      </w:r>
      <w:r w:rsidR="0044044E" w:rsidRPr="007D2BAB">
        <w:t>was</w:t>
      </w:r>
      <w:r w:rsidR="00F70FB7" w:rsidRPr="007D2BAB">
        <w:t xml:space="preserve"> necessary </w:t>
      </w:r>
      <w:r w:rsidR="0044044E" w:rsidRPr="007D2BAB">
        <w:t xml:space="preserve">for AMPFP </w:t>
      </w:r>
      <w:r w:rsidR="00F70FB7" w:rsidRPr="007D2BAB">
        <w:t>to ascer</w:t>
      </w:r>
      <w:r w:rsidR="009C1A68">
        <w:t>tain the extent of breaches by O</w:t>
      </w:r>
      <w:r w:rsidR="00F70FB7" w:rsidRPr="007D2BAB">
        <w:t xml:space="preserve">ther </w:t>
      </w:r>
      <w:r w:rsidR="009C1A68">
        <w:t>Authorised R</w:t>
      </w:r>
      <w:r w:rsidR="00F70FB7" w:rsidRPr="007D2BAB">
        <w:t xml:space="preserve">epresentatives, </w:t>
      </w:r>
      <w:r w:rsidR="0044044E" w:rsidRPr="007D2BAB">
        <w:t>and the</w:t>
      </w:r>
      <w:r w:rsidR="00F70FB7" w:rsidRPr="007D2BAB">
        <w:t xml:space="preserve"> reasonable steps AMPFP should have taken (but failed to take) in respect of Panganiban’s conduct, </w:t>
      </w:r>
      <w:r w:rsidR="0044044E" w:rsidRPr="007D2BAB">
        <w:t>were distinct</w:t>
      </w:r>
      <w:r w:rsidR="00F70FB7" w:rsidRPr="007D2BAB">
        <w:t xml:space="preserve"> </w:t>
      </w:r>
      <w:r w:rsidR="003C637A">
        <w:t>from</w:t>
      </w:r>
      <w:r w:rsidR="00F70FB7" w:rsidRPr="007D2BAB">
        <w:t xml:space="preserve"> the reasonable steps AMPFP should have </w:t>
      </w:r>
      <w:r w:rsidR="00F70FB7" w:rsidRPr="007D2BAB">
        <w:lastRenderedPageBreak/>
        <w:t xml:space="preserve">taken (but failed to take) in relation to possible similar conduct by </w:t>
      </w:r>
      <w:r w:rsidR="009C1A68">
        <w:t>O</w:t>
      </w:r>
      <w:r w:rsidR="009C1A68" w:rsidRPr="007D2BAB">
        <w:t xml:space="preserve">ther </w:t>
      </w:r>
      <w:r w:rsidR="009C1A68">
        <w:t>Authorised R</w:t>
      </w:r>
      <w:r w:rsidR="009C1A68" w:rsidRPr="007D2BAB">
        <w:t>epresentatives</w:t>
      </w:r>
      <w:r w:rsidR="00F70FB7" w:rsidRPr="007D2BAB">
        <w:t>.</w:t>
      </w:r>
    </w:p>
    <w:p w:rsidR="00F70FB7" w:rsidRPr="00F70FB7" w:rsidRDefault="003B3C7B" w:rsidP="003B3C7B">
      <w:pPr>
        <w:pStyle w:val="ParaNumbering"/>
        <w:numPr>
          <w:ilvl w:val="0"/>
          <w:numId w:val="0"/>
        </w:numPr>
        <w:tabs>
          <w:tab w:val="left" w:pos="720"/>
        </w:tabs>
        <w:ind w:hanging="720"/>
      </w:pPr>
      <w:r w:rsidRPr="00F70FB7">
        <w:rPr>
          <w:sz w:val="20"/>
        </w:rPr>
        <w:t>139</w:t>
      </w:r>
      <w:r w:rsidRPr="00F70FB7">
        <w:rPr>
          <w:sz w:val="20"/>
        </w:rPr>
        <w:tab/>
      </w:r>
      <w:r w:rsidR="00F70FB7">
        <w:t xml:space="preserve">Further, separate contraventions arose in relation to the failures to take reasonable steps to ensure compliance with each of </w:t>
      </w:r>
      <w:proofErr w:type="spellStart"/>
      <w:r w:rsidR="00F70FB7">
        <w:t>ss</w:t>
      </w:r>
      <w:proofErr w:type="spellEnd"/>
      <w:r w:rsidR="00F70FB7">
        <w:t xml:space="preserve"> 961B, 961G and 961J.</w:t>
      </w:r>
      <w:r w:rsidR="00F40047">
        <w:t xml:space="preserve"> </w:t>
      </w:r>
      <w:r w:rsidR="00FD466B">
        <w:t xml:space="preserve"> </w:t>
      </w:r>
      <w:r w:rsidR="00F70FB7">
        <w:t>As ASIC correctly submits, in relation to a representative’</w:t>
      </w:r>
      <w:r w:rsidR="00F70FB7" w:rsidRPr="00F70FB7">
        <w:t xml:space="preserve">s contraventions of each of </w:t>
      </w:r>
      <w:proofErr w:type="spellStart"/>
      <w:r w:rsidR="00F70FB7" w:rsidRPr="00F70FB7">
        <w:t>ss</w:t>
      </w:r>
      <w:proofErr w:type="spellEnd"/>
      <w:r w:rsidR="00F70FB7" w:rsidRPr="00F70FB7">
        <w:t xml:space="preserve"> 961B, 961G and 961J, there was a separate contravention of s 961L corresponding to each of the separate underlying contraventions because those underlying obligations are distinct. It follows that distinct contrav</w:t>
      </w:r>
      <w:r w:rsidR="00F70FB7">
        <w:t>entions of s 961L have occurred</w:t>
      </w:r>
      <w:r w:rsidR="00F70FB7" w:rsidRPr="00F70FB7">
        <w:t>.</w:t>
      </w:r>
    </w:p>
    <w:p w:rsidR="00B929AF" w:rsidRDefault="003B3C7B" w:rsidP="003B3C7B">
      <w:pPr>
        <w:pStyle w:val="ParaNumbering"/>
        <w:numPr>
          <w:ilvl w:val="0"/>
          <w:numId w:val="0"/>
        </w:numPr>
        <w:tabs>
          <w:tab w:val="left" w:pos="720"/>
        </w:tabs>
        <w:ind w:hanging="720"/>
      </w:pPr>
      <w:r>
        <w:rPr>
          <w:sz w:val="20"/>
        </w:rPr>
        <w:t>140</w:t>
      </w:r>
      <w:r>
        <w:rPr>
          <w:sz w:val="20"/>
        </w:rPr>
        <w:tab/>
      </w:r>
      <w:r w:rsidR="00DD4E7C">
        <w:t>Accordingly</w:t>
      </w:r>
      <w:r w:rsidR="00B929AF">
        <w:t xml:space="preserve">, </w:t>
      </w:r>
      <w:r w:rsidR="00DD4E7C">
        <w:t xml:space="preserve">I conclude that AMPFP engaged in six contraventions which can be identified </w:t>
      </w:r>
      <w:r w:rsidR="00B929AF">
        <w:t>as follows:</w:t>
      </w:r>
    </w:p>
    <w:p w:rsidR="00B929AF" w:rsidRDefault="003B3C7B" w:rsidP="003B3C7B">
      <w:pPr>
        <w:pStyle w:val="ListNo1"/>
        <w:numPr>
          <w:ilvl w:val="0"/>
          <w:numId w:val="0"/>
        </w:numPr>
        <w:tabs>
          <w:tab w:val="left" w:pos="720"/>
        </w:tabs>
        <w:ind w:left="720" w:hanging="720"/>
      </w:pPr>
      <w:r>
        <w:t>(1)</w:t>
      </w:r>
      <w:r>
        <w:tab/>
      </w:r>
      <w:r w:rsidR="002344C9">
        <w:rPr>
          <w:i/>
        </w:rPr>
        <w:t>first</w:t>
      </w:r>
      <w:r w:rsidR="00380280" w:rsidRPr="00380280">
        <w:t>,</w:t>
      </w:r>
      <w:r w:rsidR="00774A41">
        <w:t xml:space="preserve"> d</w:t>
      </w:r>
      <w:r w:rsidR="00774A41" w:rsidRPr="00774A41">
        <w:t xml:space="preserve">uring the period 1 July 2013 to </w:t>
      </w:r>
      <w:r w:rsidR="00637AFF">
        <w:t xml:space="preserve">September </w:t>
      </w:r>
      <w:r w:rsidR="00774A41" w:rsidRPr="00774A41">
        <w:t>2014</w:t>
      </w:r>
      <w:r w:rsidR="00774A41">
        <w:t>,</w:t>
      </w:r>
      <w:r w:rsidR="00380280" w:rsidRPr="00774A41">
        <w:rPr>
          <w:i/>
        </w:rPr>
        <w:t xml:space="preserve"> </w:t>
      </w:r>
      <w:r w:rsidR="00B929AF">
        <w:t xml:space="preserve">one contravention of s 961L </w:t>
      </w:r>
      <w:r w:rsidR="007D6B8F">
        <w:t xml:space="preserve">for failing to take reasonable steps to ensure that </w:t>
      </w:r>
      <w:r w:rsidR="00A956F3">
        <w:t>Pangan</w:t>
      </w:r>
      <w:r w:rsidR="007D6B8F">
        <w:t>iban complied with</w:t>
      </w:r>
      <w:r w:rsidR="00B929AF">
        <w:t xml:space="preserve"> s 961B of the Act; </w:t>
      </w:r>
    </w:p>
    <w:p w:rsidR="00B929AF" w:rsidRDefault="003B3C7B" w:rsidP="003B3C7B">
      <w:pPr>
        <w:pStyle w:val="ListNo1"/>
        <w:numPr>
          <w:ilvl w:val="0"/>
          <w:numId w:val="0"/>
        </w:numPr>
        <w:tabs>
          <w:tab w:val="left" w:pos="720"/>
        </w:tabs>
        <w:ind w:left="720" w:hanging="720"/>
      </w:pPr>
      <w:r>
        <w:t>(2)</w:t>
      </w:r>
      <w:r>
        <w:tab/>
      </w:r>
      <w:r w:rsidR="00380280">
        <w:rPr>
          <w:i/>
        </w:rPr>
        <w:t>secondly</w:t>
      </w:r>
      <w:r w:rsidR="00380280" w:rsidRPr="00380280">
        <w:t>,</w:t>
      </w:r>
      <w:r w:rsidR="00380280">
        <w:rPr>
          <w:i/>
        </w:rPr>
        <w:t xml:space="preserve"> </w:t>
      </w:r>
      <w:r w:rsidR="00774A41">
        <w:t>d</w:t>
      </w:r>
      <w:r w:rsidR="00774A41" w:rsidRPr="00774A41">
        <w:t xml:space="preserve">uring the period 1 July 2013 </w:t>
      </w:r>
      <w:r w:rsidR="00637AFF" w:rsidRPr="00774A41">
        <w:t xml:space="preserve">to </w:t>
      </w:r>
      <w:r w:rsidR="00637AFF">
        <w:t xml:space="preserve">September </w:t>
      </w:r>
      <w:r w:rsidR="00637AFF" w:rsidRPr="00774A41">
        <w:t>2014</w:t>
      </w:r>
      <w:r w:rsidR="00774A41">
        <w:t xml:space="preserve">, </w:t>
      </w:r>
      <w:r w:rsidR="00C85035">
        <w:t xml:space="preserve">one contravention of s 961L </w:t>
      </w:r>
      <w:r w:rsidR="007D6B8F">
        <w:t xml:space="preserve">for failing to take reasonable steps to ensure that </w:t>
      </w:r>
      <w:r w:rsidR="00A956F3">
        <w:t>Pangan</w:t>
      </w:r>
      <w:r w:rsidR="007D6B8F">
        <w:t>iban complied</w:t>
      </w:r>
      <w:r w:rsidR="00B929AF">
        <w:t xml:space="preserve"> </w:t>
      </w:r>
      <w:r w:rsidR="00862F75">
        <w:t xml:space="preserve">with </w:t>
      </w:r>
      <w:r w:rsidR="00B929AF">
        <w:t xml:space="preserve">s 961G of the Act; </w:t>
      </w:r>
    </w:p>
    <w:p w:rsidR="00B929AF" w:rsidRDefault="003B3C7B" w:rsidP="003B3C7B">
      <w:pPr>
        <w:pStyle w:val="ListNo1"/>
        <w:numPr>
          <w:ilvl w:val="0"/>
          <w:numId w:val="0"/>
        </w:numPr>
        <w:tabs>
          <w:tab w:val="left" w:pos="720"/>
        </w:tabs>
        <w:ind w:left="720" w:hanging="720"/>
      </w:pPr>
      <w:r>
        <w:t>(3)</w:t>
      </w:r>
      <w:r>
        <w:tab/>
      </w:r>
      <w:r w:rsidR="00380280">
        <w:rPr>
          <w:i/>
        </w:rPr>
        <w:t>thirdly</w:t>
      </w:r>
      <w:r w:rsidR="00380280">
        <w:t xml:space="preserve">, </w:t>
      </w:r>
      <w:r w:rsidR="00774A41">
        <w:t>d</w:t>
      </w:r>
      <w:r w:rsidR="00774A41" w:rsidRPr="00774A41">
        <w:t xml:space="preserve">uring the period 1 July 2013 </w:t>
      </w:r>
      <w:r w:rsidR="00A732CF" w:rsidRPr="00774A41">
        <w:t xml:space="preserve">to </w:t>
      </w:r>
      <w:r w:rsidR="00A732CF">
        <w:t xml:space="preserve">September </w:t>
      </w:r>
      <w:r w:rsidR="00A732CF" w:rsidRPr="00774A41">
        <w:t>2014</w:t>
      </w:r>
      <w:r w:rsidR="00774A41">
        <w:t xml:space="preserve">, </w:t>
      </w:r>
      <w:r w:rsidR="00B929AF">
        <w:t xml:space="preserve">one contravention of s 961L </w:t>
      </w:r>
      <w:r w:rsidR="007D6B8F">
        <w:t xml:space="preserve">for failing to take reasonable steps to ensure that </w:t>
      </w:r>
      <w:r w:rsidR="00A956F3">
        <w:t>Pangan</w:t>
      </w:r>
      <w:r w:rsidR="007D6B8F">
        <w:t>iban complied</w:t>
      </w:r>
      <w:r w:rsidR="00862F75">
        <w:t xml:space="preserve"> with</w:t>
      </w:r>
      <w:r w:rsidR="00B929AF">
        <w:t xml:space="preserve"> s 961J of the Act; </w:t>
      </w:r>
    </w:p>
    <w:p w:rsidR="00B929AF" w:rsidRDefault="003B3C7B" w:rsidP="003B3C7B">
      <w:pPr>
        <w:pStyle w:val="ListNo1"/>
        <w:numPr>
          <w:ilvl w:val="0"/>
          <w:numId w:val="0"/>
        </w:numPr>
        <w:tabs>
          <w:tab w:val="left" w:pos="720"/>
        </w:tabs>
        <w:ind w:left="720" w:hanging="720"/>
      </w:pPr>
      <w:r>
        <w:t>(4)</w:t>
      </w:r>
      <w:r>
        <w:tab/>
      </w:r>
      <w:r w:rsidR="00380280" w:rsidRPr="00774A41">
        <w:rPr>
          <w:i/>
        </w:rPr>
        <w:t>fourthly</w:t>
      </w:r>
      <w:r w:rsidR="00380280">
        <w:t xml:space="preserve">, </w:t>
      </w:r>
      <w:r w:rsidR="00774A41">
        <w:t>d</w:t>
      </w:r>
      <w:r w:rsidR="00774A41" w:rsidRPr="00774A41">
        <w:t>uring the period 1 July 2013 to 30 June 2015</w:t>
      </w:r>
      <w:r w:rsidR="00774A41">
        <w:t xml:space="preserve">, </w:t>
      </w:r>
      <w:r w:rsidR="00B929AF">
        <w:t xml:space="preserve">one contravention of s 961L </w:t>
      </w:r>
      <w:r w:rsidR="007D6B8F">
        <w:t xml:space="preserve">for failing to take reasonable steps to ensure that </w:t>
      </w:r>
      <w:r w:rsidR="00F90987">
        <w:t>Other Authorised Representatives</w:t>
      </w:r>
      <w:r w:rsidR="007D6B8F">
        <w:t xml:space="preserve"> complied with </w:t>
      </w:r>
      <w:r w:rsidR="00B929AF">
        <w:t xml:space="preserve">s 961B of the Act; </w:t>
      </w:r>
    </w:p>
    <w:p w:rsidR="00B929AF" w:rsidRDefault="003B3C7B" w:rsidP="003B3C7B">
      <w:pPr>
        <w:pStyle w:val="ListNo1"/>
        <w:numPr>
          <w:ilvl w:val="0"/>
          <w:numId w:val="0"/>
        </w:numPr>
        <w:tabs>
          <w:tab w:val="left" w:pos="720"/>
        </w:tabs>
        <w:ind w:left="720" w:hanging="720"/>
      </w:pPr>
      <w:r>
        <w:t>(5)</w:t>
      </w:r>
      <w:r>
        <w:tab/>
      </w:r>
      <w:r w:rsidR="00380280" w:rsidRPr="00774A41">
        <w:rPr>
          <w:i/>
        </w:rPr>
        <w:t>fifthly</w:t>
      </w:r>
      <w:r w:rsidR="00380280">
        <w:t xml:space="preserve">, </w:t>
      </w:r>
      <w:r w:rsidR="00774A41">
        <w:t>d</w:t>
      </w:r>
      <w:r w:rsidR="00774A41" w:rsidRPr="00774A41">
        <w:t>uring the period 1 July 2013 to 30 June 2015</w:t>
      </w:r>
      <w:r w:rsidR="00774A41">
        <w:t xml:space="preserve">, </w:t>
      </w:r>
      <w:r w:rsidR="00B929AF">
        <w:t xml:space="preserve">one contravention of s 961L </w:t>
      </w:r>
      <w:r w:rsidR="007D6B8F">
        <w:t>for failing to take re</w:t>
      </w:r>
      <w:r w:rsidR="00B912D7">
        <w:t xml:space="preserve">asonable steps to ensure that </w:t>
      </w:r>
      <w:r w:rsidR="00F90987">
        <w:t>Other Authorised Representatives</w:t>
      </w:r>
      <w:r w:rsidR="00FD466B">
        <w:t xml:space="preserve"> complied with s 961G</w:t>
      </w:r>
      <w:r w:rsidR="007D6B8F">
        <w:t xml:space="preserve"> of the Act</w:t>
      </w:r>
      <w:r w:rsidR="00B929AF">
        <w:t xml:space="preserve">; and </w:t>
      </w:r>
    </w:p>
    <w:p w:rsidR="00A210BA" w:rsidRDefault="003B3C7B" w:rsidP="003B3C7B">
      <w:pPr>
        <w:pStyle w:val="ListNo1"/>
        <w:numPr>
          <w:ilvl w:val="0"/>
          <w:numId w:val="0"/>
        </w:numPr>
        <w:tabs>
          <w:tab w:val="left" w:pos="720"/>
        </w:tabs>
        <w:ind w:left="720" w:hanging="720"/>
      </w:pPr>
      <w:r>
        <w:t>(6)</w:t>
      </w:r>
      <w:r>
        <w:tab/>
      </w:r>
      <w:r w:rsidR="00380280" w:rsidRPr="00774A41">
        <w:rPr>
          <w:i/>
        </w:rPr>
        <w:t>sixthly</w:t>
      </w:r>
      <w:r w:rsidR="00380280">
        <w:t xml:space="preserve">, </w:t>
      </w:r>
      <w:r w:rsidR="00774A41">
        <w:t>d</w:t>
      </w:r>
      <w:r w:rsidR="00774A41" w:rsidRPr="00774A41">
        <w:t>uring the period 1 July 2013 to 30 June 2015</w:t>
      </w:r>
      <w:r w:rsidR="00774A41">
        <w:t xml:space="preserve">, </w:t>
      </w:r>
      <w:r w:rsidR="00B929AF">
        <w:t xml:space="preserve">one contravention of s 961L </w:t>
      </w:r>
      <w:r w:rsidR="007D6B8F">
        <w:t>for failing to take rea</w:t>
      </w:r>
      <w:r w:rsidR="00B912D7">
        <w:t>sonable steps to ensure that</w:t>
      </w:r>
      <w:r w:rsidR="007D6B8F">
        <w:t xml:space="preserve"> </w:t>
      </w:r>
      <w:r w:rsidR="00F90987">
        <w:t>Other Authorised Representatives</w:t>
      </w:r>
      <w:r w:rsidR="00FD466B">
        <w:t xml:space="preserve"> complied with s 961J</w:t>
      </w:r>
      <w:r w:rsidR="007D6B8F">
        <w:t xml:space="preserve"> of the Act</w:t>
      </w:r>
      <w:r w:rsidR="00FB0ED2">
        <w:t>.</w:t>
      </w:r>
    </w:p>
    <w:p w:rsidR="006B47A7" w:rsidRDefault="003B3C7B" w:rsidP="003B3C7B">
      <w:pPr>
        <w:pStyle w:val="ParaNumbering"/>
        <w:numPr>
          <w:ilvl w:val="0"/>
          <w:numId w:val="0"/>
        </w:numPr>
        <w:tabs>
          <w:tab w:val="left" w:pos="720"/>
        </w:tabs>
        <w:ind w:hanging="720"/>
      </w:pPr>
      <w:r>
        <w:rPr>
          <w:sz w:val="20"/>
        </w:rPr>
        <w:t>141</w:t>
      </w:r>
      <w:r>
        <w:rPr>
          <w:sz w:val="20"/>
        </w:rPr>
        <w:tab/>
      </w:r>
      <w:r w:rsidR="00445C82">
        <w:t>Noting the requirements of s 1317E(2)(d) of the Act, t</w:t>
      </w:r>
      <w:r w:rsidR="006B47A7">
        <w:t xml:space="preserve">he particular reasonable </w:t>
      </w:r>
      <w:r w:rsidR="00445C82">
        <w:t>steps that AMPFP omitted to take in respect of each contraven</w:t>
      </w:r>
      <w:r w:rsidR="00E22852">
        <w:t xml:space="preserve">tion will need to be specified in the revised </w:t>
      </w:r>
      <w:r w:rsidR="00E22852">
        <w:lastRenderedPageBreak/>
        <w:t>proposed orders to be brought in by the parties</w:t>
      </w:r>
      <w:r w:rsidR="00FB4A77">
        <w:t xml:space="preserve">, </w:t>
      </w:r>
      <w:r w:rsidR="00445C82">
        <w:t>by reference to th</w:t>
      </w:r>
      <w:r w:rsidR="00FB4A77">
        <w:t>ose parts of the evidence in th</w:t>
      </w:r>
      <w:r w:rsidR="00445C82">
        <w:t>e JER</w:t>
      </w:r>
      <w:r w:rsidR="00FB4A77">
        <w:t xml:space="preserve"> that I have accepted</w:t>
      </w:r>
      <w:r w:rsidR="00445C82">
        <w:t xml:space="preserve"> (as outlined at </w:t>
      </w:r>
      <w:r w:rsidR="00A67C75">
        <w:t xml:space="preserve">Section </w:t>
      </w:r>
      <w:r w:rsidR="00445C82">
        <w:t xml:space="preserve">E.2 and </w:t>
      </w:r>
      <w:r w:rsidR="00A67C75">
        <w:t xml:space="preserve">Section </w:t>
      </w:r>
      <w:r w:rsidR="00445C82">
        <w:t>E.3 above)</w:t>
      </w:r>
    </w:p>
    <w:p w:rsidR="00F124EA" w:rsidRDefault="00E24C45" w:rsidP="00F2131A">
      <w:pPr>
        <w:pStyle w:val="Heading2"/>
      </w:pPr>
      <w:bookmarkStart w:id="91" w:name="_Ref29821125"/>
      <w:r>
        <w:t>G.3</w:t>
      </w:r>
      <w:r w:rsidR="00F124EA">
        <w:tab/>
        <w:t xml:space="preserve">Follow on declarations: contraventions of </w:t>
      </w:r>
      <w:proofErr w:type="spellStart"/>
      <w:r w:rsidR="009F2873">
        <w:t>ss</w:t>
      </w:r>
      <w:proofErr w:type="spellEnd"/>
      <w:r w:rsidR="009F2873">
        <w:t xml:space="preserve"> </w:t>
      </w:r>
      <w:r w:rsidR="00F124EA">
        <w:t>912A(1)(a)</w:t>
      </w:r>
      <w:r w:rsidR="000A77DF">
        <w:t>, (c) and (ca)</w:t>
      </w:r>
      <w:bookmarkEnd w:id="91"/>
    </w:p>
    <w:p w:rsidR="000A77DF" w:rsidRDefault="003B3C7B" w:rsidP="003B3C7B">
      <w:pPr>
        <w:pStyle w:val="ParaNumbering"/>
        <w:numPr>
          <w:ilvl w:val="0"/>
          <w:numId w:val="0"/>
        </w:numPr>
        <w:tabs>
          <w:tab w:val="left" w:pos="720"/>
        </w:tabs>
        <w:ind w:hanging="720"/>
      </w:pPr>
      <w:r>
        <w:rPr>
          <w:sz w:val="20"/>
        </w:rPr>
        <w:t>142</w:t>
      </w:r>
      <w:r>
        <w:rPr>
          <w:sz w:val="20"/>
        </w:rPr>
        <w:tab/>
      </w:r>
      <w:r w:rsidR="00CA58FC">
        <w:t>Although c</w:t>
      </w:r>
      <w:r w:rsidR="000A77DF">
        <w:t>ontraventions of</w:t>
      </w:r>
      <w:r w:rsidR="00CA58FC">
        <w:t xml:space="preserve"> </w:t>
      </w:r>
      <w:proofErr w:type="spellStart"/>
      <w:r w:rsidR="00CA58FC">
        <w:t>ss</w:t>
      </w:r>
      <w:proofErr w:type="spellEnd"/>
      <w:r w:rsidR="00CA58FC">
        <w:t xml:space="preserve"> 912A(1)(a)</w:t>
      </w:r>
      <w:r w:rsidR="00860290">
        <w:t xml:space="preserve">, </w:t>
      </w:r>
      <w:r w:rsidR="00CA58FC">
        <w:t>(c) and (ca)</w:t>
      </w:r>
      <w:r w:rsidR="00537267">
        <w:t xml:space="preserve"> did not</w:t>
      </w:r>
      <w:r w:rsidR="003B48B9">
        <w:t xml:space="preserve">, at the time relevant to this proceeding, </w:t>
      </w:r>
      <w:r w:rsidR="00537267">
        <w:t>sound in civil penalties, ASIC nonetheless seeks declarations pursuant to s 21 of the</w:t>
      </w:r>
      <w:r w:rsidR="007811C8">
        <w:t xml:space="preserve"> Federal Court Act </w:t>
      </w:r>
      <w:r w:rsidR="00537267">
        <w:t xml:space="preserve">that </w:t>
      </w:r>
      <w:r w:rsidR="007B1832">
        <w:t xml:space="preserve">during </w:t>
      </w:r>
      <w:r w:rsidR="007B1832" w:rsidRPr="007B1832">
        <w:t>the period 1 July 2013 to 30 June 2015</w:t>
      </w:r>
      <w:r w:rsidR="00BF5250">
        <w:t xml:space="preserve">, </w:t>
      </w:r>
      <w:r w:rsidR="00537267">
        <w:t>AMPFP contravened each provision.</w:t>
      </w:r>
      <w:r w:rsidR="001A44E7">
        <w:t xml:space="preserve"> </w:t>
      </w:r>
    </w:p>
    <w:p w:rsidR="00EF1709" w:rsidRDefault="003B3C7B" w:rsidP="003B3C7B">
      <w:pPr>
        <w:pStyle w:val="ParaNumbering"/>
        <w:numPr>
          <w:ilvl w:val="0"/>
          <w:numId w:val="0"/>
        </w:numPr>
        <w:tabs>
          <w:tab w:val="left" w:pos="720"/>
        </w:tabs>
        <w:ind w:hanging="720"/>
      </w:pPr>
      <w:r>
        <w:rPr>
          <w:sz w:val="20"/>
        </w:rPr>
        <w:t>143</w:t>
      </w:r>
      <w:r>
        <w:rPr>
          <w:sz w:val="20"/>
        </w:rPr>
        <w:tab/>
      </w:r>
      <w:r w:rsidR="002C7E37">
        <w:t xml:space="preserve">I accept, as Perram J noted in </w:t>
      </w:r>
      <w:r w:rsidR="002C7E37" w:rsidRPr="00F2131A">
        <w:rPr>
          <w:i/>
        </w:rPr>
        <w:t xml:space="preserve">Australian Securities and Investments Commission v Australian Lending Centre Pty Ltd (No 3) </w:t>
      </w:r>
      <w:r w:rsidR="002C7E37" w:rsidRPr="002C7E37">
        <w:t>[2012] FCA 43</w:t>
      </w:r>
      <w:r w:rsidR="002C7E37">
        <w:t xml:space="preserve">; (2012) 213 FCR 380 at </w:t>
      </w:r>
      <w:r w:rsidR="00371A8F">
        <w:t xml:space="preserve">441 </w:t>
      </w:r>
      <w:r w:rsidR="005F3F13">
        <w:t>[271]</w:t>
      </w:r>
      <w:r w:rsidR="002C7E37">
        <w:t xml:space="preserve">, that pursuant to s 21 the Court has a general </w:t>
      </w:r>
      <w:r w:rsidR="00455E0B">
        <w:t xml:space="preserve">power </w:t>
      </w:r>
      <w:r w:rsidR="002C7E37">
        <w:t>to make a binding declaration of right even where no consequential relief is claimed.</w:t>
      </w:r>
      <w:r w:rsidR="00EF1709">
        <w:t xml:space="preserve"> </w:t>
      </w:r>
    </w:p>
    <w:p w:rsidR="00872304" w:rsidRDefault="003B3C7B" w:rsidP="003B3C7B">
      <w:pPr>
        <w:pStyle w:val="ParaNumbering"/>
        <w:numPr>
          <w:ilvl w:val="0"/>
          <w:numId w:val="0"/>
        </w:numPr>
        <w:tabs>
          <w:tab w:val="left" w:pos="720"/>
        </w:tabs>
        <w:ind w:hanging="720"/>
      </w:pPr>
      <w:r>
        <w:rPr>
          <w:sz w:val="20"/>
        </w:rPr>
        <w:t>144</w:t>
      </w:r>
      <w:r>
        <w:rPr>
          <w:sz w:val="20"/>
        </w:rPr>
        <w:tab/>
      </w:r>
      <w:r w:rsidR="003C4156">
        <w:t xml:space="preserve">Declarations should not, however, be </w:t>
      </w:r>
      <w:r w:rsidR="009C1A68">
        <w:t xml:space="preserve">spread around like </w:t>
      </w:r>
      <w:r w:rsidR="00FB4A77">
        <w:t>confetti</w:t>
      </w:r>
      <w:r w:rsidR="003C4156">
        <w:t xml:space="preserve">. </w:t>
      </w:r>
      <w:r w:rsidR="00872304">
        <w:t xml:space="preserve">As Wigney J observed in </w:t>
      </w:r>
      <w:r w:rsidR="00872304" w:rsidRPr="007D2BAB">
        <w:rPr>
          <w:i/>
        </w:rPr>
        <w:t xml:space="preserve">Construction, Forestry, Mining and Energy Union v De Martin &amp; </w:t>
      </w:r>
      <w:proofErr w:type="spellStart"/>
      <w:r w:rsidR="00872304" w:rsidRPr="007D2BAB">
        <w:rPr>
          <w:i/>
        </w:rPr>
        <w:t>Gasparini</w:t>
      </w:r>
      <w:proofErr w:type="spellEnd"/>
      <w:r w:rsidR="00872304" w:rsidRPr="007D2BAB">
        <w:rPr>
          <w:i/>
        </w:rPr>
        <w:t xml:space="preserve"> Pty Limited (No 3)</w:t>
      </w:r>
      <w:r w:rsidR="00872304" w:rsidRPr="00872304">
        <w:t xml:space="preserve"> [2018] FCA 1395</w:t>
      </w:r>
      <w:r w:rsidR="005F3F13">
        <w:t xml:space="preserve"> </w:t>
      </w:r>
      <w:r w:rsidR="0009176C">
        <w:t>at [74], t</w:t>
      </w:r>
      <w:r w:rsidR="0009176C" w:rsidRPr="0009176C">
        <w:t>he fact that the parties have agreed a declaration should be made does not relieve the Court of the obligation to satisfy itself that the making of such a declaration is appropriate</w:t>
      </w:r>
      <w:r w:rsidR="0009176C">
        <w:t>.</w:t>
      </w:r>
    </w:p>
    <w:p w:rsidR="007C68A5" w:rsidRDefault="003B3C7B" w:rsidP="003B3C7B">
      <w:pPr>
        <w:pStyle w:val="ParaNumbering"/>
        <w:numPr>
          <w:ilvl w:val="0"/>
          <w:numId w:val="0"/>
        </w:numPr>
        <w:tabs>
          <w:tab w:val="left" w:pos="720"/>
        </w:tabs>
        <w:ind w:hanging="720"/>
      </w:pPr>
      <w:r>
        <w:rPr>
          <w:sz w:val="20"/>
        </w:rPr>
        <w:t>145</w:t>
      </w:r>
      <w:r>
        <w:rPr>
          <w:sz w:val="20"/>
        </w:rPr>
        <w:tab/>
      </w:r>
      <w:r w:rsidR="003C4156">
        <w:t xml:space="preserve">In particular, </w:t>
      </w:r>
      <w:r w:rsidR="004B32D6">
        <w:t>a</w:t>
      </w:r>
      <w:r w:rsidR="004B32D6" w:rsidRPr="004B32D6">
        <w:t xml:space="preserve">s with all discretionary remedies, a ground for refusing declaratory relief is that no good purpose will be served </w:t>
      </w:r>
      <w:r w:rsidR="00E80BE5">
        <w:t>by granting it or that it lacks</w:t>
      </w:r>
      <w:r w:rsidR="004B32D6" w:rsidRPr="004B32D6">
        <w:t xml:space="preserve"> utility</w:t>
      </w:r>
      <w:r w:rsidR="003206A5">
        <w:t xml:space="preserve">: </w:t>
      </w:r>
      <w:r w:rsidR="004B32D6">
        <w:t xml:space="preserve">see </w:t>
      </w:r>
      <w:r w:rsidR="004B32D6">
        <w:rPr>
          <w:i/>
        </w:rPr>
        <w:t>Dillon v RBS Group (Australia</w:t>
      </w:r>
      <w:r w:rsidR="004B32D6">
        <w:t xml:space="preserve">) </w:t>
      </w:r>
      <w:r w:rsidR="004B32D6">
        <w:rPr>
          <w:i/>
        </w:rPr>
        <w:t xml:space="preserve">Pty Ltd </w:t>
      </w:r>
      <w:r w:rsidR="004B32D6">
        <w:t>[2017] FCA 896</w:t>
      </w:r>
      <w:r w:rsidR="00922104">
        <w:t>;</w:t>
      </w:r>
      <w:r w:rsidR="004B32D6">
        <w:t xml:space="preserve"> (2017) 252 FCR 150</w:t>
      </w:r>
      <w:r w:rsidR="004F16D9">
        <w:t xml:space="preserve"> at 158 [39] (Lee J)</w:t>
      </w:r>
      <w:r w:rsidR="008E65E7">
        <w:t xml:space="preserve"> and </w:t>
      </w:r>
      <w:r w:rsidR="008E65E7" w:rsidRPr="008E65E7">
        <w:rPr>
          <w:i/>
        </w:rPr>
        <w:t xml:space="preserve">Ainsworth v Criminal Justice Commission </w:t>
      </w:r>
      <w:r w:rsidR="008E65E7">
        <w:t xml:space="preserve">[1992] HCA 10; </w:t>
      </w:r>
      <w:r w:rsidR="008E65E7" w:rsidRPr="008E65E7">
        <w:t>(1992) 175 CLR 564</w:t>
      </w:r>
      <w:r w:rsidR="008E65E7">
        <w:t xml:space="preserve"> at </w:t>
      </w:r>
      <w:r w:rsidR="008E65E7" w:rsidRPr="008E65E7">
        <w:t xml:space="preserve">582 </w:t>
      </w:r>
      <w:r w:rsidR="008E65E7">
        <w:t>[38]</w:t>
      </w:r>
      <w:r w:rsidR="008E65E7" w:rsidRPr="008E65E7">
        <w:t xml:space="preserve"> (Mason CJ, Dawson, </w:t>
      </w:r>
      <w:proofErr w:type="spellStart"/>
      <w:r w:rsidR="008E65E7" w:rsidRPr="008E65E7">
        <w:t>Toohey</w:t>
      </w:r>
      <w:proofErr w:type="spellEnd"/>
      <w:r w:rsidR="008E65E7" w:rsidRPr="008E65E7">
        <w:t xml:space="preserve"> and </w:t>
      </w:r>
      <w:proofErr w:type="spellStart"/>
      <w:r w:rsidR="008E65E7" w:rsidRPr="008E65E7">
        <w:t>Gaudron</w:t>
      </w:r>
      <w:proofErr w:type="spellEnd"/>
      <w:r w:rsidR="008E65E7" w:rsidRPr="008E65E7">
        <w:t xml:space="preserve"> JJ)</w:t>
      </w:r>
      <w:r w:rsidR="004F16D9">
        <w:t>.</w:t>
      </w:r>
    </w:p>
    <w:p w:rsidR="00BD2C76" w:rsidRDefault="003B3C7B" w:rsidP="003B3C7B">
      <w:pPr>
        <w:pStyle w:val="ParaNumbering"/>
        <w:numPr>
          <w:ilvl w:val="0"/>
          <w:numId w:val="0"/>
        </w:numPr>
        <w:tabs>
          <w:tab w:val="left" w:pos="720"/>
        </w:tabs>
        <w:ind w:hanging="720"/>
      </w:pPr>
      <w:r>
        <w:rPr>
          <w:sz w:val="20"/>
        </w:rPr>
        <w:t>146</w:t>
      </w:r>
      <w:r>
        <w:rPr>
          <w:sz w:val="20"/>
        </w:rPr>
        <w:tab/>
      </w:r>
      <w:r w:rsidR="00BD2C76">
        <w:t xml:space="preserve">ASIC submits that </w:t>
      </w:r>
      <w:r w:rsidR="00BD2C76" w:rsidRPr="00BD2C76">
        <w:t xml:space="preserve">the authorities demonstrate that there is a public interest </w:t>
      </w:r>
      <w:r w:rsidR="007829C0">
        <w:t>in</w:t>
      </w:r>
      <w:r w:rsidR="00807DC8">
        <w:t xml:space="preserve"> declaring that by engaging in certain conduct </w:t>
      </w:r>
      <w:r w:rsidR="00BD2C76" w:rsidRPr="00BD2C76">
        <w:t>a person has contravened the law, and the declarations would thus have utility</w:t>
      </w:r>
      <w:r w:rsidR="00BD2C76">
        <w:t xml:space="preserve"> because</w:t>
      </w:r>
      <w:r w:rsidR="00E500B2">
        <w:t>:</w:t>
      </w:r>
      <w:r w:rsidR="00BD2C76">
        <w:t xml:space="preserve"> (a) </w:t>
      </w:r>
      <w:r w:rsidR="00BD2C76" w:rsidRPr="00BD2C76">
        <w:t xml:space="preserve">declarations sought by regulators may serve important law enforcement purposes, and </w:t>
      </w:r>
      <w:r w:rsidR="00E500B2">
        <w:t xml:space="preserve">(b) </w:t>
      </w:r>
      <w:r w:rsidR="00BD2C76" w:rsidRPr="00BD2C76">
        <w:t>the making of such declarations “does not simply record the outcome of enforcement proceedings; it may also be an appropriate way of marking the court’s disapprova</w:t>
      </w:r>
      <w:r w:rsidR="00BD2C76">
        <w:t xml:space="preserve">l of the contravening conduct” (see </w:t>
      </w:r>
      <w:r w:rsidR="00BD2C76" w:rsidRPr="007D2BAB">
        <w:rPr>
          <w:i/>
        </w:rPr>
        <w:t>Australian Securities and Investments Commission v McDougall</w:t>
      </w:r>
      <w:r w:rsidR="00BD2C76">
        <w:t xml:space="preserve"> [2006] FCA 427;</w:t>
      </w:r>
      <w:r w:rsidR="00BD2C76" w:rsidRPr="00BD2C76">
        <w:t xml:space="preserve"> (2006) 229 ALR 158 at </w:t>
      </w:r>
      <w:r w:rsidR="00346BEB">
        <w:t xml:space="preserve">170 </w:t>
      </w:r>
      <w:r w:rsidR="00BD2C76" w:rsidRPr="00BD2C76">
        <w:t>[55]</w:t>
      </w:r>
      <w:r w:rsidR="00A14063">
        <w:t xml:space="preserve"> </w:t>
      </w:r>
      <w:r w:rsidR="00F32117">
        <w:t>(</w:t>
      </w:r>
      <w:r w:rsidR="00BD2C76">
        <w:t>Young J</w:t>
      </w:r>
      <w:r w:rsidR="00F32117">
        <w:t>)</w:t>
      </w:r>
      <w:r w:rsidR="00BD2C76">
        <w:t>)</w:t>
      </w:r>
      <w:r w:rsidR="00E500B2">
        <w:t>; and (c</w:t>
      </w:r>
      <w:r w:rsidR="00860290">
        <w:t xml:space="preserve">) </w:t>
      </w:r>
      <w:r w:rsidR="00860290" w:rsidRPr="00860290">
        <w:t>the making of declarations may assist “perhaps in a small way” in clarifying the law (</w:t>
      </w:r>
      <w:r w:rsidR="00860290" w:rsidRPr="00860290">
        <w:rPr>
          <w:i/>
        </w:rPr>
        <w:t xml:space="preserve">Australian Competition and Consumer Commission v </w:t>
      </w:r>
      <w:proofErr w:type="spellStart"/>
      <w:r w:rsidR="00860290" w:rsidRPr="00860290">
        <w:rPr>
          <w:i/>
        </w:rPr>
        <w:t>Goldy</w:t>
      </w:r>
      <w:proofErr w:type="spellEnd"/>
      <w:r w:rsidR="00860290" w:rsidRPr="00860290">
        <w:rPr>
          <w:i/>
        </w:rPr>
        <w:t xml:space="preserve"> Motors Pty Ltd</w:t>
      </w:r>
      <w:r w:rsidR="00860290">
        <w:t xml:space="preserve"> [2000] FCA 1885</w:t>
      </w:r>
      <w:r w:rsidR="00860290" w:rsidRPr="00860290">
        <w:t xml:space="preserve"> </w:t>
      </w:r>
      <w:r w:rsidR="00860290" w:rsidRPr="00860290">
        <w:lastRenderedPageBreak/>
        <w:t>at [34]</w:t>
      </w:r>
      <w:r w:rsidR="00A14063">
        <w:t xml:space="preserve"> </w:t>
      </w:r>
      <w:r w:rsidR="00F32117">
        <w:t>(</w:t>
      </w:r>
      <w:proofErr w:type="spellStart"/>
      <w:r w:rsidR="00860290">
        <w:t>Carr</w:t>
      </w:r>
      <w:proofErr w:type="spellEnd"/>
      <w:r w:rsidR="00860290">
        <w:t> J</w:t>
      </w:r>
      <w:r w:rsidR="00A14063">
        <w:t>)</w:t>
      </w:r>
      <w:r w:rsidR="00F32117">
        <w:t>)</w:t>
      </w:r>
      <w:r w:rsidR="00860290" w:rsidRPr="00860290">
        <w:t xml:space="preserve">, by providing some </w:t>
      </w:r>
      <w:r w:rsidR="00F32117">
        <w:t>clarity</w:t>
      </w:r>
      <w:r w:rsidR="00860290" w:rsidRPr="00860290">
        <w:t xml:space="preserve"> as to how certain practices fit within a regulatory framework (</w:t>
      </w:r>
      <w:r w:rsidR="00860290" w:rsidRPr="00860290">
        <w:rPr>
          <w:i/>
        </w:rPr>
        <w:t>ASIC v Australian Lending Centre</w:t>
      </w:r>
      <w:r w:rsidR="00860290" w:rsidRPr="00860290">
        <w:t xml:space="preserve"> at</w:t>
      </w:r>
      <w:r w:rsidR="00807DC8">
        <w:t xml:space="preserve"> 441</w:t>
      </w:r>
      <w:r w:rsidR="00860290" w:rsidRPr="00860290">
        <w:t xml:space="preserve"> [272]).</w:t>
      </w:r>
    </w:p>
    <w:p w:rsidR="00860290" w:rsidRDefault="003B3C7B" w:rsidP="003B3C7B">
      <w:pPr>
        <w:pStyle w:val="ParaNumbering"/>
        <w:numPr>
          <w:ilvl w:val="0"/>
          <w:numId w:val="0"/>
        </w:numPr>
        <w:tabs>
          <w:tab w:val="left" w:pos="720"/>
        </w:tabs>
        <w:ind w:hanging="720"/>
      </w:pPr>
      <w:r>
        <w:rPr>
          <w:sz w:val="20"/>
        </w:rPr>
        <w:t>147</w:t>
      </w:r>
      <w:r>
        <w:rPr>
          <w:sz w:val="20"/>
        </w:rPr>
        <w:tab/>
      </w:r>
      <w:r w:rsidR="00860290" w:rsidRPr="00860290">
        <w:t xml:space="preserve">AMPFP admits </w:t>
      </w:r>
      <w:r w:rsidR="009C1A68">
        <w:t>contravening</w:t>
      </w:r>
      <w:r w:rsidR="00860290" w:rsidRPr="00860290">
        <w:t xml:space="preserve"> </w:t>
      </w:r>
      <w:proofErr w:type="spellStart"/>
      <w:r w:rsidR="008F1975">
        <w:t>ss</w:t>
      </w:r>
      <w:proofErr w:type="spellEnd"/>
      <w:r w:rsidR="008F1975">
        <w:t xml:space="preserve"> 912(1)(a),</w:t>
      </w:r>
      <w:r w:rsidR="00860290" w:rsidRPr="00860290">
        <w:t xml:space="preserve"> 912A(1)(c) and 912A(1)(ca) of the Act.</w:t>
      </w:r>
      <w:r w:rsidR="00860290">
        <w:t xml:space="preserve"> It does, h</w:t>
      </w:r>
      <w:r w:rsidR="006048D1">
        <w:t>owever, draw attention to what it</w:t>
      </w:r>
      <w:r w:rsidR="00860290">
        <w:t xml:space="preserve"> says is the artificiality of </w:t>
      </w:r>
      <w:r w:rsidR="006048D1">
        <w:t>A</w:t>
      </w:r>
      <w:r w:rsidR="006048D1" w:rsidRPr="006048D1">
        <w:t>SIC</w:t>
      </w:r>
      <w:r w:rsidR="006048D1">
        <w:t>’s approach to the number of contraventions</w:t>
      </w:r>
      <w:r w:rsidR="006048D1" w:rsidRPr="006048D1">
        <w:t xml:space="preserve"> of s 961L</w:t>
      </w:r>
      <w:r w:rsidR="006048D1">
        <w:t xml:space="preserve"> when</w:t>
      </w:r>
      <w:r w:rsidR="006048D1" w:rsidRPr="006048D1">
        <w:t xml:space="preserve"> compared to the </w:t>
      </w:r>
      <w:r w:rsidR="009C1A68">
        <w:t xml:space="preserve">one declaration </w:t>
      </w:r>
      <w:r w:rsidR="006048D1" w:rsidRPr="006048D1">
        <w:t>it se</w:t>
      </w:r>
      <w:r w:rsidR="006048D1">
        <w:t>eks in respect of s 912A(1)(ca), since that provision imposes an obligation that is essential</w:t>
      </w:r>
      <w:r w:rsidR="000569BC">
        <w:t>ly</w:t>
      </w:r>
      <w:r w:rsidR="0041536B">
        <w:t xml:space="preserve"> equivalent to s 961L: </w:t>
      </w:r>
      <w:r w:rsidR="006048D1">
        <w:t xml:space="preserve">see </w:t>
      </w:r>
      <w:r w:rsidR="006048D1">
        <w:rPr>
          <w:i/>
        </w:rPr>
        <w:t>NSG Services Pty Ltd</w:t>
      </w:r>
      <w:r w:rsidR="0024140B">
        <w:t xml:space="preserve"> </w:t>
      </w:r>
      <w:r w:rsidR="0041536B">
        <w:t>at 55 [31]</w:t>
      </w:r>
      <w:r w:rsidR="007E5951" w:rsidRPr="007E5951">
        <w:t>.</w:t>
      </w:r>
    </w:p>
    <w:p w:rsidR="00876533" w:rsidRDefault="003B3C7B" w:rsidP="003B3C7B">
      <w:pPr>
        <w:pStyle w:val="ParaNumbering"/>
        <w:numPr>
          <w:ilvl w:val="0"/>
          <w:numId w:val="0"/>
        </w:numPr>
        <w:tabs>
          <w:tab w:val="left" w:pos="720"/>
        </w:tabs>
        <w:ind w:hanging="720"/>
      </w:pPr>
      <w:r>
        <w:rPr>
          <w:sz w:val="20"/>
        </w:rPr>
        <w:t>148</w:t>
      </w:r>
      <w:r>
        <w:rPr>
          <w:sz w:val="20"/>
        </w:rPr>
        <w:tab/>
      </w:r>
      <w:r w:rsidR="00876533">
        <w:t xml:space="preserve">ASIC </w:t>
      </w:r>
      <w:r w:rsidR="00E500B2">
        <w:t>responded</w:t>
      </w:r>
      <w:r w:rsidR="00876533">
        <w:t xml:space="preserve"> that</w:t>
      </w:r>
      <w:r w:rsidR="00876533" w:rsidRPr="00232F85">
        <w:t xml:space="preserve"> the difference in the form of the declarations sought is exp</w:t>
      </w:r>
      <w:r w:rsidR="00E500B2">
        <w:t xml:space="preserve">lained, at least in </w:t>
      </w:r>
      <w:r w:rsidR="00876533" w:rsidRPr="00232F85">
        <w:t>part, by the fact that at the relevant time s 961L was a civil penalty provision whereas</w:t>
      </w:r>
      <w:r w:rsidR="00876533">
        <w:t xml:space="preserve"> s 961A(1) was not. </w:t>
      </w:r>
      <w:r w:rsidR="00876533" w:rsidRPr="00876533">
        <w:t>One of the consequences is that s 1317E(2) imposes specific requirements as to declarations of contravention of s 961L</w:t>
      </w:r>
      <w:r w:rsidR="00B83A9D">
        <w:t>,</w:t>
      </w:r>
      <w:r w:rsidR="00876533" w:rsidRPr="00876533">
        <w:t xml:space="preserve"> which are not applicable to declarations in relation to s 912A(1).</w:t>
      </w:r>
      <w:r w:rsidR="00876533">
        <w:t xml:space="preserve"> Which precisely of those requirements was relevant to this issue was not specified by ASIC.</w:t>
      </w:r>
    </w:p>
    <w:p w:rsidR="003529DD" w:rsidRDefault="003B3C7B" w:rsidP="003B3C7B">
      <w:pPr>
        <w:pStyle w:val="ParaNumbering"/>
        <w:numPr>
          <w:ilvl w:val="0"/>
          <w:numId w:val="0"/>
        </w:numPr>
        <w:tabs>
          <w:tab w:val="left" w:pos="720"/>
        </w:tabs>
        <w:ind w:hanging="720"/>
      </w:pPr>
      <w:r>
        <w:rPr>
          <w:sz w:val="20"/>
        </w:rPr>
        <w:t>149</w:t>
      </w:r>
      <w:r>
        <w:rPr>
          <w:sz w:val="20"/>
        </w:rPr>
        <w:tab/>
      </w:r>
      <w:r w:rsidR="00232F85">
        <w:t>There is force in AMPFP’s submission</w:t>
      </w:r>
      <w:r w:rsidR="0024765C">
        <w:t xml:space="preserve"> as to the less than ideal way in which the proposed declarations</w:t>
      </w:r>
      <w:r w:rsidR="0024765C" w:rsidRPr="0024765C">
        <w:t xml:space="preserve"> </w:t>
      </w:r>
      <w:r w:rsidR="0024765C" w:rsidRPr="00876533">
        <w:t>in relation to s 912A(1)</w:t>
      </w:r>
      <w:r w:rsidR="0024765C">
        <w:t xml:space="preserve"> are framed</w:t>
      </w:r>
      <w:r w:rsidR="00232F85">
        <w:t xml:space="preserve">, which </w:t>
      </w:r>
      <w:r w:rsidR="0024765C">
        <w:t xml:space="preserve">criticism has added force given </w:t>
      </w:r>
      <w:r w:rsidR="00232F85">
        <w:t>I have found there to be six contraventions of s 961L</w:t>
      </w:r>
      <w:r w:rsidR="00B83A9D">
        <w:t xml:space="preserve"> (and in respect of which I will make declarations)</w:t>
      </w:r>
      <w:r w:rsidR="00232F85">
        <w:t xml:space="preserve">. But there </w:t>
      </w:r>
      <w:r w:rsidR="00B83A9D">
        <w:t>remains the issue as to whether</w:t>
      </w:r>
      <w:r w:rsidR="00DB0924">
        <w:t xml:space="preserve"> </w:t>
      </w:r>
      <w:r w:rsidR="009C1A68">
        <w:t xml:space="preserve">any </w:t>
      </w:r>
      <w:r w:rsidR="00B83A9D">
        <w:t xml:space="preserve">additional </w:t>
      </w:r>
      <w:r w:rsidR="00283C03">
        <w:t>declaration</w:t>
      </w:r>
      <w:r w:rsidR="009C1A68">
        <w:t xml:space="preserve"> or declarations</w:t>
      </w:r>
      <w:r w:rsidR="00283C03" w:rsidRPr="00283C03">
        <w:t xml:space="preserve"> </w:t>
      </w:r>
      <w:r w:rsidR="00B83A9D">
        <w:t xml:space="preserve">will </w:t>
      </w:r>
      <w:r w:rsidR="00283C03" w:rsidRPr="00283C03">
        <w:t xml:space="preserve">produce some </w:t>
      </w:r>
      <w:r w:rsidR="00B83A9D">
        <w:t>real consequence.</w:t>
      </w:r>
    </w:p>
    <w:p w:rsidR="003529DD" w:rsidRDefault="003B3C7B" w:rsidP="003B3C7B">
      <w:pPr>
        <w:pStyle w:val="ParaNumbering"/>
        <w:numPr>
          <w:ilvl w:val="0"/>
          <w:numId w:val="0"/>
        </w:numPr>
        <w:tabs>
          <w:tab w:val="left" w:pos="720"/>
        </w:tabs>
        <w:ind w:hanging="720"/>
      </w:pPr>
      <w:r>
        <w:rPr>
          <w:sz w:val="20"/>
        </w:rPr>
        <w:t>150</w:t>
      </w:r>
      <w:r>
        <w:rPr>
          <w:sz w:val="20"/>
        </w:rPr>
        <w:tab/>
      </w:r>
      <w:r w:rsidR="0024765C">
        <w:t>T</w:t>
      </w:r>
      <w:r w:rsidR="003529DD">
        <w:t xml:space="preserve">here </w:t>
      </w:r>
      <w:r w:rsidR="0024765C">
        <w:t xml:space="preserve">are a number of </w:t>
      </w:r>
      <w:r w:rsidR="003529DD">
        <w:t xml:space="preserve">cases in which </w:t>
      </w:r>
      <w:r w:rsidR="00F7634D">
        <w:t>j</w:t>
      </w:r>
      <w:r w:rsidR="003529DD">
        <w:t xml:space="preserve">udges have made declarations of contraventions of s 912A(1), even though no pecuniary penalties </w:t>
      </w:r>
      <w:r w:rsidR="009C1A68">
        <w:t>are</w:t>
      </w:r>
      <w:r w:rsidR="003529DD">
        <w:t xml:space="preserve"> able to be imposed. </w:t>
      </w:r>
      <w:r w:rsidR="00283C03">
        <w:t xml:space="preserve">Indeed </w:t>
      </w:r>
      <w:r w:rsidR="003529DD">
        <w:t xml:space="preserve">I have referred to some of these </w:t>
      </w:r>
      <w:r w:rsidR="00283C03">
        <w:t xml:space="preserve">cases in these reasons (see, for example, </w:t>
      </w:r>
      <w:r w:rsidR="003529DD" w:rsidRPr="007014D4">
        <w:rPr>
          <w:i/>
        </w:rPr>
        <w:t>ASIC v Westpac (No 3)</w:t>
      </w:r>
      <w:r w:rsidR="00283C03">
        <w:t xml:space="preserve">). </w:t>
      </w:r>
      <w:r w:rsidR="00E500B2">
        <w:t>However</w:t>
      </w:r>
      <w:r w:rsidR="009C1A68">
        <w:t>,</w:t>
      </w:r>
      <w:r w:rsidR="00985E1A">
        <w:t xml:space="preserve"> the </w:t>
      </w:r>
      <w:r w:rsidR="009C1A68">
        <w:t xml:space="preserve">remedy sought is </w:t>
      </w:r>
      <w:r w:rsidR="00985E1A">
        <w:t>discretionary</w:t>
      </w:r>
      <w:r w:rsidR="0098501F">
        <w:t xml:space="preserve"> and </w:t>
      </w:r>
      <w:r w:rsidR="009C1A68">
        <w:t xml:space="preserve">the discretion is </w:t>
      </w:r>
      <w:r w:rsidR="0098501F">
        <w:t xml:space="preserve">one that ought not </w:t>
      </w:r>
      <w:r w:rsidR="0024765C">
        <w:t xml:space="preserve">to </w:t>
      </w:r>
      <w:r w:rsidR="0098501F">
        <w:t>be exercised</w:t>
      </w:r>
      <w:r w:rsidR="0098501F" w:rsidRPr="0098501F">
        <w:t xml:space="preserve"> </w:t>
      </w:r>
      <w:r w:rsidR="0098501F">
        <w:t xml:space="preserve">unless </w:t>
      </w:r>
      <w:r w:rsidR="0098501F" w:rsidRPr="0098501F">
        <w:t>circumsta</w:t>
      </w:r>
      <w:r w:rsidR="0024765C">
        <w:t xml:space="preserve">nces </w:t>
      </w:r>
      <w:r w:rsidR="0098501F">
        <w:t>call for it</w:t>
      </w:r>
      <w:r w:rsidR="0098501F" w:rsidRPr="0098501F">
        <w:t xml:space="preserve">: </w:t>
      </w:r>
      <w:proofErr w:type="spellStart"/>
      <w:r w:rsidR="0098501F" w:rsidRPr="0098501F">
        <w:rPr>
          <w:i/>
        </w:rPr>
        <w:t>Ibeneweka</w:t>
      </w:r>
      <w:proofErr w:type="spellEnd"/>
      <w:r w:rsidR="0098501F" w:rsidRPr="0098501F">
        <w:rPr>
          <w:i/>
        </w:rPr>
        <w:t xml:space="preserve"> v </w:t>
      </w:r>
      <w:proofErr w:type="spellStart"/>
      <w:r w:rsidR="0098501F" w:rsidRPr="0098501F">
        <w:rPr>
          <w:i/>
        </w:rPr>
        <w:t>Egbuna</w:t>
      </w:r>
      <w:proofErr w:type="spellEnd"/>
      <w:r w:rsidR="0098501F" w:rsidRPr="0098501F">
        <w:rPr>
          <w:i/>
        </w:rPr>
        <w:t xml:space="preserve"> </w:t>
      </w:r>
      <w:r w:rsidR="0098501F">
        <w:t>[1964] 1 WLR 219 at</w:t>
      </w:r>
      <w:r w:rsidR="0098501F" w:rsidRPr="0098501F">
        <w:t xml:space="preserve"> 224-225 (Viscount Radcliffe, Guest and Upjohn LLJ)</w:t>
      </w:r>
      <w:r w:rsidR="00985E1A">
        <w:t>.</w:t>
      </w:r>
    </w:p>
    <w:p w:rsidR="00283C03" w:rsidRDefault="003B3C7B" w:rsidP="003B3C7B">
      <w:pPr>
        <w:pStyle w:val="ParaNumbering"/>
        <w:numPr>
          <w:ilvl w:val="0"/>
          <w:numId w:val="0"/>
        </w:numPr>
        <w:tabs>
          <w:tab w:val="left" w:pos="720"/>
        </w:tabs>
        <w:ind w:hanging="720"/>
      </w:pPr>
      <w:r>
        <w:rPr>
          <w:sz w:val="20"/>
        </w:rPr>
        <w:t>151</w:t>
      </w:r>
      <w:r>
        <w:rPr>
          <w:sz w:val="20"/>
        </w:rPr>
        <w:tab/>
      </w:r>
      <w:r w:rsidR="00283C03">
        <w:t xml:space="preserve">To ASIC’s submission that there is a </w:t>
      </w:r>
      <w:r w:rsidR="00283C03" w:rsidRPr="00BD2C76">
        <w:t>public interest</w:t>
      </w:r>
      <w:r w:rsidR="00D8109C">
        <w:t xml:space="preserve"> in</w:t>
      </w:r>
      <w:r w:rsidR="00283C03" w:rsidRPr="00BD2C76">
        <w:t xml:space="preserve"> declaring that a person </w:t>
      </w:r>
      <w:r w:rsidR="005679A5">
        <w:t>who has engaged</w:t>
      </w:r>
      <w:r w:rsidR="00283C03" w:rsidRPr="00BD2C76">
        <w:t xml:space="preserve"> in certain conduct has contravened the law</w:t>
      </w:r>
      <w:r w:rsidR="00E500B2">
        <w:t>, I make this observation:</w:t>
      </w:r>
      <w:r w:rsidR="008D6F28">
        <w:t xml:space="preserve"> </w:t>
      </w:r>
      <w:r w:rsidR="00CD1A0F">
        <w:t>the</w:t>
      </w:r>
      <w:r w:rsidR="00B83A9D">
        <w:t xml:space="preserve"> findings in these reasons will be noted</w:t>
      </w:r>
      <w:r w:rsidR="00387AE3">
        <w:t>, at least by the parties</w:t>
      </w:r>
      <w:r w:rsidR="00CD1A0F">
        <w:t>.</w:t>
      </w:r>
      <w:r w:rsidR="0098501F">
        <w:t xml:space="preserve"> I have </w:t>
      </w:r>
      <w:r w:rsidR="00B83A9D">
        <w:t xml:space="preserve">made clear the Court’s disapprobation </w:t>
      </w:r>
      <w:r w:rsidR="0098501F">
        <w:t xml:space="preserve">of AMPFP’s </w:t>
      </w:r>
      <w:r w:rsidR="00B83A9D">
        <w:t xml:space="preserve">serious </w:t>
      </w:r>
      <w:r w:rsidR="0098501F">
        <w:t>contravening conduct</w:t>
      </w:r>
      <w:r w:rsidR="00B83A9D">
        <w:t xml:space="preserve"> and will impose penalties</w:t>
      </w:r>
      <w:r w:rsidR="0098501F">
        <w:t xml:space="preserve">. </w:t>
      </w:r>
      <w:r w:rsidR="00670FA4">
        <w:t>Reasons are not some kind of p</w:t>
      </w:r>
      <w:r w:rsidR="00B83A9D">
        <w:t>enumbral context surrounding</w:t>
      </w:r>
      <w:r w:rsidR="005679A5">
        <w:t xml:space="preserve"> an</w:t>
      </w:r>
      <w:r w:rsidR="00670FA4">
        <w:t xml:space="preserve"> order</w:t>
      </w:r>
      <w:r w:rsidR="00B83A9D">
        <w:t xml:space="preserve"> made</w:t>
      </w:r>
      <w:r w:rsidR="00670FA4">
        <w:t xml:space="preserve">; </w:t>
      </w:r>
      <w:r w:rsidR="00446FBF">
        <w:t>they are its source</w:t>
      </w:r>
      <w:r w:rsidR="00D90FE3">
        <w:t xml:space="preserve">: </w:t>
      </w:r>
      <w:r w:rsidR="00670FA4">
        <w:t xml:space="preserve">see </w:t>
      </w:r>
      <w:r w:rsidR="00670FA4" w:rsidRPr="00670FA4">
        <w:rPr>
          <w:i/>
        </w:rPr>
        <w:t>Athens v Randwick City Council</w:t>
      </w:r>
      <w:r w:rsidR="00670FA4">
        <w:t xml:space="preserve"> [2005] NSWCA 317</w:t>
      </w:r>
      <w:r w:rsidR="00540925">
        <w:t>;</w:t>
      </w:r>
      <w:r w:rsidR="00670FA4" w:rsidRPr="00670FA4">
        <w:rPr>
          <w:i/>
        </w:rPr>
        <w:t xml:space="preserve"> </w:t>
      </w:r>
      <w:r w:rsidR="00670FA4" w:rsidRPr="00670FA4">
        <w:t>(2005) 64 NSWLR 58</w:t>
      </w:r>
      <w:r w:rsidR="00670FA4">
        <w:t xml:space="preserve"> at 78 [129] (</w:t>
      </w:r>
      <w:proofErr w:type="spellStart"/>
      <w:r w:rsidR="00670FA4">
        <w:t>Santow</w:t>
      </w:r>
      <w:proofErr w:type="spellEnd"/>
      <w:r w:rsidR="00670FA4">
        <w:t> J, with whom</w:t>
      </w:r>
      <w:r w:rsidR="00670FA4" w:rsidRPr="00670FA4">
        <w:t xml:space="preserve"> Hodgson and Tobias JJA agreed</w:t>
      </w:r>
      <w:r w:rsidR="00670FA4">
        <w:t>).</w:t>
      </w:r>
      <w:r w:rsidR="0098501F">
        <w:t xml:space="preserve"> </w:t>
      </w:r>
      <w:r w:rsidR="00670FA4">
        <w:t xml:space="preserve">The reality is that both the Court’s disapproval of </w:t>
      </w:r>
      <w:r w:rsidR="00670FA4">
        <w:lastRenderedPageBreak/>
        <w:t xml:space="preserve">contravening conduct and clarification of the law </w:t>
      </w:r>
      <w:r w:rsidR="0098501F">
        <w:t xml:space="preserve">is much more likely to emerge from a perusal of </w:t>
      </w:r>
      <w:r w:rsidR="00B83A9D">
        <w:t>reasons than the bare terms of</w:t>
      </w:r>
      <w:r w:rsidR="0098501F">
        <w:t xml:space="preserve"> </w:t>
      </w:r>
      <w:r w:rsidR="00B83A9D">
        <w:t xml:space="preserve">essentially repetitive </w:t>
      </w:r>
      <w:r w:rsidR="0098501F">
        <w:t>declaration</w:t>
      </w:r>
      <w:r w:rsidR="00B83A9D">
        <w:t>s</w:t>
      </w:r>
      <w:r w:rsidR="0098501F">
        <w:t>.</w:t>
      </w:r>
    </w:p>
    <w:p w:rsidR="00922104" w:rsidRDefault="003B3C7B" w:rsidP="003B3C7B">
      <w:pPr>
        <w:pStyle w:val="ParaNumbering"/>
        <w:numPr>
          <w:ilvl w:val="0"/>
          <w:numId w:val="0"/>
        </w:numPr>
        <w:tabs>
          <w:tab w:val="left" w:pos="720"/>
        </w:tabs>
        <w:ind w:hanging="720"/>
      </w:pPr>
      <w:r>
        <w:rPr>
          <w:sz w:val="20"/>
        </w:rPr>
        <w:t>152</w:t>
      </w:r>
      <w:r>
        <w:rPr>
          <w:sz w:val="20"/>
        </w:rPr>
        <w:tab/>
      </w:r>
      <w:r w:rsidR="00B83A9D">
        <w:t>I</w:t>
      </w:r>
      <w:r w:rsidR="00387AE3">
        <w:t xml:space="preserve">n the absence of a cogent reason demonstrated by ASIC, there is no point in </w:t>
      </w:r>
      <w:r w:rsidR="00985E1A">
        <w:t xml:space="preserve">indulging </w:t>
      </w:r>
      <w:r w:rsidR="00283C03">
        <w:t xml:space="preserve">what was described by </w:t>
      </w:r>
      <w:proofErr w:type="spellStart"/>
      <w:r w:rsidR="00283C03">
        <w:t>Gray</w:t>
      </w:r>
      <w:proofErr w:type="spellEnd"/>
      <w:r w:rsidR="00283C03">
        <w:t xml:space="preserve"> J </w:t>
      </w:r>
      <w:r w:rsidR="0051091E">
        <w:t xml:space="preserve">as the “fetish” of </w:t>
      </w:r>
      <w:r w:rsidR="00445C82">
        <w:t>certain</w:t>
      </w:r>
      <w:r w:rsidR="0051091E">
        <w:t xml:space="preserve"> regulators see</w:t>
      </w:r>
      <w:r w:rsidR="00387AE3">
        <w:t xml:space="preserve">king, and the Court granting </w:t>
      </w:r>
      <w:r w:rsidR="0051091E">
        <w:t>declarat</w:t>
      </w:r>
      <w:r w:rsidR="00387AE3">
        <w:t>ory relief</w:t>
      </w:r>
      <w:r w:rsidR="0051091E">
        <w:t xml:space="preserve">, </w:t>
      </w:r>
      <w:r w:rsidR="00387AE3">
        <w:t>simply because</w:t>
      </w:r>
      <w:r w:rsidR="0051091E">
        <w:t xml:space="preserve"> the Court finds that a contravention has occurred: </w:t>
      </w:r>
      <w:r w:rsidR="003529DD" w:rsidRPr="007D2BAB">
        <w:rPr>
          <w:i/>
        </w:rPr>
        <w:t xml:space="preserve">Australian Competition </w:t>
      </w:r>
      <w:r w:rsidR="009400AB">
        <w:rPr>
          <w:i/>
        </w:rPr>
        <w:t>&amp;</w:t>
      </w:r>
      <w:r w:rsidR="003529DD" w:rsidRPr="007D2BAB">
        <w:rPr>
          <w:i/>
        </w:rPr>
        <w:t xml:space="preserve"> Consumer Commission v Francis</w:t>
      </w:r>
      <w:r w:rsidR="003529DD" w:rsidRPr="003529DD">
        <w:t xml:space="preserve"> [2004] FCA 487; </w:t>
      </w:r>
      <w:r w:rsidR="003529DD">
        <w:t xml:space="preserve">(2004) </w:t>
      </w:r>
      <w:r w:rsidR="003529DD" w:rsidRPr="003529DD">
        <w:t>142 FCR 1</w:t>
      </w:r>
      <w:r w:rsidR="0051091E">
        <w:t xml:space="preserve"> at 36 [110].</w:t>
      </w:r>
      <w:r w:rsidR="00445C82">
        <w:t xml:space="preserve"> </w:t>
      </w:r>
      <w:r w:rsidR="00387AE3">
        <w:t>T</w:t>
      </w:r>
      <w:r w:rsidR="00B83A9D">
        <w:t xml:space="preserve">his </w:t>
      </w:r>
      <w:r w:rsidR="00387AE3">
        <w:t xml:space="preserve">reluctance </w:t>
      </w:r>
      <w:r w:rsidR="00B83A9D">
        <w:t xml:space="preserve">is reinforced by </w:t>
      </w:r>
      <w:r w:rsidR="00387AE3">
        <w:t xml:space="preserve">my conclusions </w:t>
      </w:r>
      <w:r w:rsidR="00B83A9D">
        <w:t>that</w:t>
      </w:r>
      <w:r w:rsidR="007933E8">
        <w:t xml:space="preserve"> </w:t>
      </w:r>
      <w:r w:rsidR="0076500B">
        <w:t xml:space="preserve">the </w:t>
      </w:r>
      <w:r w:rsidR="00B83A9D">
        <w:t xml:space="preserve">proposed </w:t>
      </w:r>
      <w:r w:rsidR="0004743E">
        <w:t xml:space="preserve">s 912A(1) </w:t>
      </w:r>
      <w:r w:rsidR="0076500B">
        <w:t>declarations</w:t>
      </w:r>
      <w:r w:rsidR="0004743E">
        <w:t>: (a)</w:t>
      </w:r>
      <w:r w:rsidR="0076500B">
        <w:t xml:space="preserve"> </w:t>
      </w:r>
      <w:r w:rsidR="00B83A9D">
        <w:t xml:space="preserve">are </w:t>
      </w:r>
      <w:r w:rsidR="0076500B">
        <w:t xml:space="preserve">pitched at </w:t>
      </w:r>
      <w:r w:rsidR="00387AE3">
        <w:t>too</w:t>
      </w:r>
      <w:r w:rsidR="008D24AD">
        <w:t xml:space="preserve"> high </w:t>
      </w:r>
      <w:r w:rsidR="00387AE3">
        <w:t xml:space="preserve">a </w:t>
      </w:r>
      <w:r w:rsidR="008D24AD">
        <w:t xml:space="preserve">level of generality; </w:t>
      </w:r>
      <w:r w:rsidR="007933E8">
        <w:t xml:space="preserve">(b) </w:t>
      </w:r>
      <w:r w:rsidR="0076500B">
        <w:t>will not</w:t>
      </w:r>
      <w:r w:rsidR="00E26174">
        <w:t xml:space="preserve">, of course, form a basis upon which </w:t>
      </w:r>
      <w:r w:rsidR="0076500B">
        <w:t>pecuniary penalties</w:t>
      </w:r>
      <w:r w:rsidR="00E26174">
        <w:t xml:space="preserve"> will be imposed</w:t>
      </w:r>
      <w:r w:rsidR="008D24AD">
        <w:t xml:space="preserve">; and </w:t>
      </w:r>
      <w:r w:rsidR="007933E8">
        <w:t xml:space="preserve">(c) </w:t>
      </w:r>
      <w:r w:rsidR="008D24AD">
        <w:t>will not be relevant to any issue as to costs</w:t>
      </w:r>
      <w:r w:rsidR="00BE53D8">
        <w:t xml:space="preserve">. </w:t>
      </w:r>
    </w:p>
    <w:p w:rsidR="0016197B" w:rsidRPr="00F124EA" w:rsidRDefault="003B3C7B" w:rsidP="003B3C7B">
      <w:pPr>
        <w:pStyle w:val="ParaNumbering"/>
        <w:numPr>
          <w:ilvl w:val="0"/>
          <w:numId w:val="0"/>
        </w:numPr>
        <w:tabs>
          <w:tab w:val="left" w:pos="720"/>
        </w:tabs>
        <w:ind w:hanging="720"/>
      </w:pPr>
      <w:r w:rsidRPr="00F124EA">
        <w:rPr>
          <w:sz w:val="20"/>
        </w:rPr>
        <w:t>153</w:t>
      </w:r>
      <w:r w:rsidRPr="00F124EA">
        <w:rPr>
          <w:sz w:val="20"/>
        </w:rPr>
        <w:tab/>
      </w:r>
      <w:r w:rsidR="004F3B14">
        <w:t>However, i</w:t>
      </w:r>
      <w:r w:rsidR="00B22E4B">
        <w:t>n the light of the agreed facts and AMPFP’s admissions, I am prepared to make a finding that AMP</w:t>
      </w:r>
      <w:r w:rsidR="005106BE">
        <w:t>FP</w:t>
      </w:r>
      <w:r w:rsidR="004F3B14">
        <w:t xml:space="preserve"> </w:t>
      </w:r>
      <w:r w:rsidR="00B22E4B">
        <w:t>contravened each</w:t>
      </w:r>
      <w:r w:rsidR="004F3B14">
        <w:t xml:space="preserve"> of </w:t>
      </w:r>
      <w:proofErr w:type="spellStart"/>
      <w:r w:rsidR="004F3B14">
        <w:t>ss</w:t>
      </w:r>
      <w:proofErr w:type="spellEnd"/>
      <w:r w:rsidR="004F3B14">
        <w:t xml:space="preserve"> 912A(1)(a), (c) and (ca) in the manner explained in these reasons</w:t>
      </w:r>
      <w:r w:rsidR="00DD0945">
        <w:t>.</w:t>
      </w:r>
    </w:p>
    <w:p w:rsidR="00637A9B" w:rsidRDefault="003B3C7B" w:rsidP="00637A9B">
      <w:pPr>
        <w:pStyle w:val="Heading1"/>
        <w:spacing w:line="276" w:lineRule="auto"/>
        <w:rPr>
          <w:caps w:val="0"/>
        </w:rPr>
      </w:pPr>
      <w:bookmarkStart w:id="92" w:name="_Ref11661447"/>
      <w:r>
        <w:rPr>
          <w:caps w:val="0"/>
        </w:rPr>
        <w:t xml:space="preserve">H </w:t>
      </w:r>
      <w:r>
        <w:rPr>
          <w:caps w:val="0"/>
        </w:rPr>
        <w:tab/>
        <w:t>PENALTIES</w:t>
      </w:r>
      <w:bookmarkEnd w:id="92"/>
    </w:p>
    <w:p w:rsidR="00637A9B" w:rsidRDefault="00A0087F" w:rsidP="00637A9B">
      <w:pPr>
        <w:pStyle w:val="Heading2"/>
      </w:pPr>
      <w:bookmarkStart w:id="93" w:name="_Ref11661449"/>
      <w:bookmarkStart w:id="94" w:name="_Ref11758128"/>
      <w:bookmarkStart w:id="95" w:name="_Ref30603906"/>
      <w:r>
        <w:t>H</w:t>
      </w:r>
      <w:r w:rsidR="001F1266">
        <w:t>.</w:t>
      </w:r>
      <w:r w:rsidR="00EE4341">
        <w:t>1</w:t>
      </w:r>
      <w:r w:rsidR="00637A9B" w:rsidRPr="00CF787E">
        <w:t xml:space="preserve"> </w:t>
      </w:r>
      <w:bookmarkEnd w:id="93"/>
      <w:r w:rsidR="00E41BC2">
        <w:tab/>
      </w:r>
      <w:r w:rsidR="00637A9B" w:rsidRPr="00CF787E">
        <w:t xml:space="preserve">Pecuniary </w:t>
      </w:r>
      <w:bookmarkEnd w:id="94"/>
      <w:r w:rsidR="00593DC1">
        <w:t>p</w:t>
      </w:r>
      <w:r w:rsidR="00593DC1" w:rsidRPr="00CF787E">
        <w:t>enalties</w:t>
      </w:r>
      <w:bookmarkEnd w:id="95"/>
      <w:r w:rsidR="00593DC1">
        <w:t xml:space="preserve"> </w:t>
      </w:r>
    </w:p>
    <w:p w:rsidR="00637A9B" w:rsidRPr="00355964" w:rsidRDefault="00D41286" w:rsidP="00D41286">
      <w:pPr>
        <w:pStyle w:val="Heading3"/>
      </w:pPr>
      <w:bookmarkStart w:id="96" w:name="_Ref11758129"/>
      <w:bookmarkStart w:id="97" w:name="_Ref29821126"/>
      <w:bookmarkStart w:id="98" w:name="_Ref30603907"/>
      <w:r>
        <w:t>I</w:t>
      </w:r>
      <w:r w:rsidR="00E41BC2">
        <w:tab/>
      </w:r>
      <w:bookmarkEnd w:id="96"/>
      <w:r w:rsidR="00FB64B6">
        <w:t xml:space="preserve">Introduction and </w:t>
      </w:r>
      <w:r w:rsidR="00371A8F">
        <w:t xml:space="preserve">relevant </w:t>
      </w:r>
      <w:bookmarkEnd w:id="97"/>
      <w:r w:rsidR="00371A8F">
        <w:t>principles</w:t>
      </w:r>
      <w:bookmarkEnd w:id="98"/>
    </w:p>
    <w:p w:rsidR="00637A9B" w:rsidRDefault="003B3C7B" w:rsidP="003B3C7B">
      <w:pPr>
        <w:pStyle w:val="ParaNumbering"/>
        <w:numPr>
          <w:ilvl w:val="0"/>
          <w:numId w:val="0"/>
        </w:numPr>
        <w:tabs>
          <w:tab w:val="left" w:pos="720"/>
        </w:tabs>
        <w:ind w:hanging="720"/>
      </w:pPr>
      <w:r>
        <w:rPr>
          <w:sz w:val="20"/>
        </w:rPr>
        <w:t>154</w:t>
      </w:r>
      <w:r>
        <w:rPr>
          <w:sz w:val="20"/>
        </w:rPr>
        <w:tab/>
      </w:r>
      <w:r w:rsidR="00AE7A81">
        <w:t>At the time of each contravention, s</w:t>
      </w:r>
      <w:r w:rsidR="00637A9B">
        <w:t xml:space="preserve"> 1317G(1E) relevantly provided that a Court may order a person to pay to the Commonwealth a pecuniary penalty if a declaration of contravention has been made under s 1317E, and the contravention is of one of the provisions</w:t>
      </w:r>
      <w:r w:rsidR="00862F75">
        <w:t xml:space="preserve"> listed in s 1317G(1E)(b)(</w:t>
      </w:r>
      <w:proofErr w:type="spellStart"/>
      <w:r w:rsidR="00862F75">
        <w:t>i</w:t>
      </w:r>
      <w:proofErr w:type="spellEnd"/>
      <w:r w:rsidR="00862F75">
        <w:t>)-</w:t>
      </w:r>
      <w:r w:rsidR="00637A9B">
        <w:t>(xiv)</w:t>
      </w:r>
      <w:r w:rsidR="004576CC">
        <w:t>. Section</w:t>
      </w:r>
      <w:r w:rsidR="00637A9B">
        <w:t xml:space="preserve"> 961L of the Act w</w:t>
      </w:r>
      <w:r w:rsidR="00BF5250">
        <w:t>as listed in s 1317</w:t>
      </w:r>
      <w:r w:rsidR="00C836A5">
        <w:t>G</w:t>
      </w:r>
      <w:r w:rsidR="00BF5250">
        <w:t>(1E)(b)(ii)</w:t>
      </w:r>
      <w:r w:rsidR="00637A9B">
        <w:t>.</w:t>
      </w:r>
    </w:p>
    <w:p w:rsidR="00EE40A8" w:rsidRDefault="003B3C7B" w:rsidP="003B3C7B">
      <w:pPr>
        <w:pStyle w:val="ParaNumbering"/>
        <w:numPr>
          <w:ilvl w:val="0"/>
          <w:numId w:val="0"/>
        </w:numPr>
        <w:tabs>
          <w:tab w:val="left" w:pos="720"/>
        </w:tabs>
        <w:ind w:hanging="720"/>
      </w:pPr>
      <w:r>
        <w:rPr>
          <w:sz w:val="20"/>
        </w:rPr>
        <w:t>155</w:t>
      </w:r>
      <w:r>
        <w:rPr>
          <w:sz w:val="20"/>
        </w:rPr>
        <w:tab/>
      </w:r>
      <w:r w:rsidR="00637A9B">
        <w:t>Section 1317G(1F)(b) provided that the maximum pecuniary penalty for a corporation in relation to the contraventi</w:t>
      </w:r>
      <w:r w:rsidR="00BF5250">
        <w:t>on of a civil penalty provision</w:t>
      </w:r>
      <w:r w:rsidR="00637A9B">
        <w:t>, when imposed pursuant to s 1317G(1E), is $1 million.</w:t>
      </w:r>
      <w:r w:rsidR="00F40047">
        <w:t xml:space="preserve"> </w:t>
      </w:r>
      <w:r w:rsidR="00EE40A8">
        <w:t xml:space="preserve">Other than specifying this maximum amount, </w:t>
      </w:r>
      <w:r w:rsidR="00EE40A8" w:rsidRPr="00EE40A8">
        <w:t xml:space="preserve">the Act does not provide any express guidance in relation to the fixing of an appropriate pecuniary penalty. </w:t>
      </w:r>
    </w:p>
    <w:p w:rsidR="00EE40A8" w:rsidRDefault="003B3C7B" w:rsidP="003B3C7B">
      <w:pPr>
        <w:pStyle w:val="ParaNumbering"/>
        <w:numPr>
          <w:ilvl w:val="0"/>
          <w:numId w:val="0"/>
        </w:numPr>
        <w:tabs>
          <w:tab w:val="left" w:pos="720"/>
        </w:tabs>
        <w:ind w:hanging="720"/>
      </w:pPr>
      <w:r>
        <w:rPr>
          <w:sz w:val="20"/>
        </w:rPr>
        <w:t>156</w:t>
      </w:r>
      <w:r>
        <w:rPr>
          <w:sz w:val="20"/>
        </w:rPr>
        <w:tab/>
      </w:r>
      <w:r w:rsidR="00EE40A8">
        <w:t>T</w:t>
      </w:r>
      <w:r w:rsidR="00EE40A8" w:rsidRPr="00EE40A8">
        <w:t xml:space="preserve">he general principles in relation to the fixing of appropriate penalties </w:t>
      </w:r>
      <w:r w:rsidR="00FB64B6">
        <w:t xml:space="preserve">are </w:t>
      </w:r>
      <w:r w:rsidR="00EE40A8" w:rsidRPr="00EE40A8">
        <w:t>well-</w:t>
      </w:r>
      <w:r w:rsidR="00EE40A8">
        <w:t>known and hav</w:t>
      </w:r>
      <w:r w:rsidR="0016197B">
        <w:t xml:space="preserve">e been repeated in many cases. </w:t>
      </w:r>
      <w:r w:rsidR="00EE40A8">
        <w:t>I am relieved of the necessity to set</w:t>
      </w:r>
      <w:r w:rsidR="00862F75">
        <w:t xml:space="preserve"> out</w:t>
      </w:r>
      <w:r w:rsidR="00EE40A8">
        <w:t xml:space="preserve"> the principles at any length as a (with respect) useful and concise summary of the</w:t>
      </w:r>
      <w:r w:rsidR="00EE40A8" w:rsidRPr="00EE40A8">
        <w:t xml:space="preserve"> </w:t>
      </w:r>
      <w:r w:rsidR="00EE40A8">
        <w:t xml:space="preserve">applicable </w:t>
      </w:r>
      <w:r w:rsidR="00EE40A8" w:rsidRPr="00EE40A8">
        <w:t>principles</w:t>
      </w:r>
      <w:r w:rsidR="00EE40A8">
        <w:t xml:space="preserve"> as to the importance of deterrence, </w:t>
      </w:r>
      <w:r w:rsidR="00FB64B6">
        <w:t>the relevant</w:t>
      </w:r>
      <w:r w:rsidR="00EE40A8">
        <w:t xml:space="preserve"> factors</w:t>
      </w:r>
      <w:r w:rsidR="00FB64B6">
        <w:t xml:space="preserve"> generally</w:t>
      </w:r>
      <w:r w:rsidR="00EE40A8">
        <w:t>, instinctive synthesis, the r</w:t>
      </w:r>
      <w:r w:rsidR="00FB64B6">
        <w:t xml:space="preserve">elevance of the maximum penalty, the “course of conduct principle” and totality, </w:t>
      </w:r>
      <w:r w:rsidR="00EE40A8">
        <w:t xml:space="preserve">was recently provided by Wigney J in </w:t>
      </w:r>
      <w:r w:rsidR="00EE40A8" w:rsidRPr="00EE40A8">
        <w:rPr>
          <w:i/>
        </w:rPr>
        <w:t xml:space="preserve">Australian Securities and Investments Commission v Westpac Banking </w:t>
      </w:r>
      <w:r w:rsidR="00EE40A8" w:rsidRPr="00EE40A8">
        <w:rPr>
          <w:i/>
        </w:rPr>
        <w:lastRenderedPageBreak/>
        <w:t>Corporation</w:t>
      </w:r>
      <w:r w:rsidR="007744A3">
        <w:rPr>
          <w:i/>
        </w:rPr>
        <w:t xml:space="preserve"> </w:t>
      </w:r>
      <w:r w:rsidR="007D4643">
        <w:t>[2019] FCA 2147</w:t>
      </w:r>
      <w:r w:rsidR="00512879">
        <w:t xml:space="preserve"> </w:t>
      </w:r>
      <w:r w:rsidR="007D4643">
        <w:t>at [255]-</w:t>
      </w:r>
      <w:r w:rsidR="00EE40A8">
        <w:t>[272]</w:t>
      </w:r>
      <w:r w:rsidR="00FB64B6">
        <w:t xml:space="preserve">. </w:t>
      </w:r>
      <w:r w:rsidR="00EE40A8">
        <w:t xml:space="preserve">I adopt </w:t>
      </w:r>
      <w:r w:rsidR="00FB64B6">
        <w:t xml:space="preserve">his Honour’s summary </w:t>
      </w:r>
      <w:r w:rsidR="00EE40A8">
        <w:t>for present purposes without spilling further ink by setting it out in full.</w:t>
      </w:r>
    </w:p>
    <w:p w:rsidR="00FB64B6" w:rsidRDefault="003B3C7B" w:rsidP="003B3C7B">
      <w:pPr>
        <w:pStyle w:val="ParaNumbering"/>
        <w:numPr>
          <w:ilvl w:val="0"/>
          <w:numId w:val="0"/>
        </w:numPr>
        <w:tabs>
          <w:tab w:val="left" w:pos="720"/>
        </w:tabs>
        <w:ind w:hanging="720"/>
      </w:pPr>
      <w:r>
        <w:rPr>
          <w:sz w:val="20"/>
        </w:rPr>
        <w:t>157</w:t>
      </w:r>
      <w:r>
        <w:rPr>
          <w:sz w:val="20"/>
        </w:rPr>
        <w:tab/>
      </w:r>
      <w:r w:rsidR="00FB64B6">
        <w:t>It suffices to note three matters for present purposes.</w:t>
      </w:r>
    </w:p>
    <w:p w:rsidR="00FB64B6" w:rsidRDefault="003B3C7B" w:rsidP="003B3C7B">
      <w:pPr>
        <w:pStyle w:val="ParaNumbering"/>
        <w:numPr>
          <w:ilvl w:val="0"/>
          <w:numId w:val="0"/>
        </w:numPr>
        <w:tabs>
          <w:tab w:val="left" w:pos="720"/>
        </w:tabs>
        <w:ind w:hanging="720"/>
      </w:pPr>
      <w:r>
        <w:rPr>
          <w:sz w:val="20"/>
        </w:rPr>
        <w:t>158</w:t>
      </w:r>
      <w:r>
        <w:rPr>
          <w:sz w:val="20"/>
        </w:rPr>
        <w:tab/>
      </w:r>
      <w:r w:rsidR="00FB64B6" w:rsidRPr="00FB64B6">
        <w:rPr>
          <w:i/>
        </w:rPr>
        <w:t>First</w:t>
      </w:r>
      <w:r w:rsidR="00FB64B6">
        <w:t xml:space="preserve">, </w:t>
      </w:r>
      <w:r w:rsidR="00DA21AB">
        <w:t xml:space="preserve">and importantly in the present case, </w:t>
      </w:r>
      <w:r w:rsidR="00637A9B" w:rsidRPr="00CF787E">
        <w:t>the principal object of a pecuniary</w:t>
      </w:r>
      <w:r w:rsidR="00637A9B" w:rsidRPr="00FB64B6">
        <w:rPr>
          <w:spacing w:val="3"/>
        </w:rPr>
        <w:t xml:space="preserve"> </w:t>
      </w:r>
      <w:r w:rsidR="00637A9B" w:rsidRPr="00CF787E">
        <w:t>penalty</w:t>
      </w:r>
      <w:r w:rsidR="00637A9B" w:rsidRPr="00FB64B6">
        <w:rPr>
          <w:spacing w:val="3"/>
        </w:rPr>
        <w:t xml:space="preserve"> </w:t>
      </w:r>
      <w:r w:rsidR="00637A9B" w:rsidRPr="00CF787E">
        <w:t>is</w:t>
      </w:r>
      <w:r w:rsidR="00637A9B" w:rsidRPr="00FB64B6">
        <w:rPr>
          <w:spacing w:val="10"/>
        </w:rPr>
        <w:t xml:space="preserve"> </w:t>
      </w:r>
      <w:r w:rsidR="00637A9B" w:rsidRPr="00CF787E">
        <w:t>to</w:t>
      </w:r>
      <w:r w:rsidR="00637A9B" w:rsidRPr="00FB64B6">
        <w:rPr>
          <w:spacing w:val="8"/>
        </w:rPr>
        <w:t xml:space="preserve"> </w:t>
      </w:r>
      <w:r w:rsidR="00637A9B" w:rsidRPr="00CF787E">
        <w:t>put</w:t>
      </w:r>
      <w:r w:rsidR="00637A9B" w:rsidRPr="00FB64B6">
        <w:rPr>
          <w:spacing w:val="8"/>
        </w:rPr>
        <w:t xml:space="preserve"> </w:t>
      </w:r>
      <w:r w:rsidR="00637A9B" w:rsidRPr="00CF787E">
        <w:t>a</w:t>
      </w:r>
      <w:r w:rsidR="00637A9B" w:rsidRPr="00FB64B6">
        <w:rPr>
          <w:spacing w:val="7"/>
        </w:rPr>
        <w:t xml:space="preserve"> </w:t>
      </w:r>
      <w:r w:rsidR="00637A9B" w:rsidRPr="00CF787E">
        <w:t>price</w:t>
      </w:r>
      <w:r w:rsidR="00637A9B" w:rsidRPr="00FB64B6">
        <w:rPr>
          <w:spacing w:val="7"/>
        </w:rPr>
        <w:t xml:space="preserve"> </w:t>
      </w:r>
      <w:r w:rsidR="00637A9B" w:rsidRPr="00CF787E">
        <w:t>on</w:t>
      </w:r>
      <w:r w:rsidR="00637A9B" w:rsidRPr="00FB64B6">
        <w:rPr>
          <w:spacing w:val="8"/>
        </w:rPr>
        <w:t xml:space="preserve"> </w:t>
      </w:r>
      <w:r w:rsidR="00637A9B" w:rsidRPr="00CF787E">
        <w:t>a</w:t>
      </w:r>
      <w:r w:rsidR="00637A9B" w:rsidRPr="00FB64B6">
        <w:rPr>
          <w:spacing w:val="10"/>
        </w:rPr>
        <w:t xml:space="preserve"> </w:t>
      </w:r>
      <w:r w:rsidR="00637A9B" w:rsidRPr="00CF787E">
        <w:t>contravention</w:t>
      </w:r>
      <w:r w:rsidR="00637A9B" w:rsidRPr="00FB64B6">
        <w:rPr>
          <w:spacing w:val="8"/>
        </w:rPr>
        <w:t xml:space="preserve"> </w:t>
      </w:r>
      <w:r w:rsidR="00637A9B" w:rsidRPr="00CF787E">
        <w:t>that</w:t>
      </w:r>
      <w:r w:rsidR="00637A9B" w:rsidRPr="00FB64B6">
        <w:rPr>
          <w:spacing w:val="8"/>
        </w:rPr>
        <w:t xml:space="preserve"> </w:t>
      </w:r>
      <w:r w:rsidR="00637A9B" w:rsidRPr="00CF787E">
        <w:t>is</w:t>
      </w:r>
      <w:r w:rsidR="00637A9B" w:rsidRPr="00FB64B6">
        <w:rPr>
          <w:spacing w:val="10"/>
        </w:rPr>
        <w:t xml:space="preserve"> </w:t>
      </w:r>
      <w:r w:rsidR="00637A9B" w:rsidRPr="00CF787E">
        <w:t>sufficiently</w:t>
      </w:r>
      <w:r w:rsidR="00637A9B" w:rsidRPr="00FB64B6">
        <w:rPr>
          <w:spacing w:val="1"/>
        </w:rPr>
        <w:t xml:space="preserve"> </w:t>
      </w:r>
      <w:r w:rsidR="00637A9B" w:rsidRPr="00CF787E">
        <w:t>high</w:t>
      </w:r>
      <w:r w:rsidR="00637A9B" w:rsidRPr="00FB64B6">
        <w:rPr>
          <w:spacing w:val="8"/>
        </w:rPr>
        <w:t xml:space="preserve"> </w:t>
      </w:r>
      <w:r w:rsidR="00637A9B" w:rsidRPr="00CF787E">
        <w:t>to</w:t>
      </w:r>
      <w:r w:rsidR="00637A9B" w:rsidRPr="00FB64B6">
        <w:rPr>
          <w:spacing w:val="8"/>
        </w:rPr>
        <w:t xml:space="preserve"> </w:t>
      </w:r>
      <w:r w:rsidR="00637A9B" w:rsidRPr="00CF787E">
        <w:t xml:space="preserve">deter both the </w:t>
      </w:r>
      <w:proofErr w:type="spellStart"/>
      <w:r w:rsidR="00637A9B" w:rsidRPr="00CF787E">
        <w:t>contravenor</w:t>
      </w:r>
      <w:proofErr w:type="spellEnd"/>
      <w:r w:rsidR="00637A9B" w:rsidRPr="00CF787E">
        <w:t xml:space="preserve"> (specific deterrence) and others who might be tempted to contravene</w:t>
      </w:r>
      <w:r w:rsidR="00637A9B" w:rsidRPr="00FB64B6">
        <w:rPr>
          <w:spacing w:val="-14"/>
        </w:rPr>
        <w:t xml:space="preserve"> </w:t>
      </w:r>
      <w:r w:rsidR="00637A9B" w:rsidRPr="00CF787E">
        <w:t>(general</w:t>
      </w:r>
      <w:r w:rsidR="00637A9B" w:rsidRPr="00FB64B6">
        <w:rPr>
          <w:spacing w:val="-13"/>
        </w:rPr>
        <w:t xml:space="preserve"> </w:t>
      </w:r>
      <w:r w:rsidR="00FB64B6">
        <w:t>deterrence)</w:t>
      </w:r>
      <w:r w:rsidR="00C836A5">
        <w:t>; both spe</w:t>
      </w:r>
      <w:r w:rsidR="00DA21AB">
        <w:t>cific and general deterrence are</w:t>
      </w:r>
      <w:r w:rsidR="00C836A5">
        <w:t xml:space="preserve"> important</w:t>
      </w:r>
      <w:r w:rsidR="00DA21AB">
        <w:t xml:space="preserve">: see </w:t>
      </w:r>
      <w:r w:rsidR="00DA21AB" w:rsidRPr="00DA21AB">
        <w:rPr>
          <w:i/>
        </w:rPr>
        <w:t>Australian Building and Construction Commissioner v Construction, Forestry, Mining and Energy Union</w:t>
      </w:r>
      <w:r w:rsidR="00DA21AB" w:rsidRPr="00DA21AB">
        <w:t xml:space="preserve"> [2017] FCAFC 113; (2017) 254 FCR 68 at 88 [98] (</w:t>
      </w:r>
      <w:proofErr w:type="spellStart"/>
      <w:r w:rsidR="00DA21AB" w:rsidRPr="00DA21AB">
        <w:t>Dowsett</w:t>
      </w:r>
      <w:proofErr w:type="spellEnd"/>
      <w:r w:rsidR="00DA21AB" w:rsidRPr="00DA21AB">
        <w:t>, Greenwood and Wigney JJ)</w:t>
      </w:r>
      <w:r w:rsidR="00FB64B6">
        <w:t>.</w:t>
      </w:r>
    </w:p>
    <w:p w:rsidR="00FB64B6" w:rsidRDefault="003B3C7B" w:rsidP="003B3C7B">
      <w:pPr>
        <w:pStyle w:val="ParaNumbering"/>
        <w:numPr>
          <w:ilvl w:val="0"/>
          <w:numId w:val="0"/>
        </w:numPr>
        <w:tabs>
          <w:tab w:val="left" w:pos="720"/>
        </w:tabs>
        <w:ind w:hanging="720"/>
      </w:pPr>
      <w:r>
        <w:rPr>
          <w:sz w:val="20"/>
        </w:rPr>
        <w:t>159</w:t>
      </w:r>
      <w:r>
        <w:rPr>
          <w:sz w:val="20"/>
        </w:rPr>
        <w:tab/>
      </w:r>
      <w:r w:rsidR="00FB64B6" w:rsidRPr="00FB64B6">
        <w:rPr>
          <w:i/>
        </w:rPr>
        <w:t>Secondly</w:t>
      </w:r>
      <w:r w:rsidR="00FB64B6">
        <w:t>, t</w:t>
      </w:r>
      <w:r w:rsidR="00B92915">
        <w:t xml:space="preserve">he process of quantifying pecuniary penalties is an </w:t>
      </w:r>
      <w:r w:rsidR="00081D38">
        <w:t>in</w:t>
      </w:r>
      <w:r w:rsidR="00B92915">
        <w:t>exact science</w:t>
      </w:r>
      <w:r w:rsidR="00253054">
        <w:t xml:space="preserve">, </w:t>
      </w:r>
      <w:r w:rsidR="00081D38">
        <w:t xml:space="preserve">not subject to rigidity in approach but </w:t>
      </w:r>
      <w:r w:rsidR="00253054">
        <w:t xml:space="preserve">guided by well-accepted factors </w:t>
      </w:r>
      <w:r w:rsidR="00BF5250">
        <w:t>and a</w:t>
      </w:r>
      <w:r w:rsidR="00637A9B">
        <w:t xml:space="preserve"> </w:t>
      </w:r>
      <w:r w:rsidR="00BF5250">
        <w:t xml:space="preserve">large </w:t>
      </w:r>
      <w:r w:rsidR="00637A9B">
        <w:t xml:space="preserve">number of cases have identified the various factors or considerations </w:t>
      </w:r>
      <w:r w:rsidR="00081D38">
        <w:t xml:space="preserve">usually </w:t>
      </w:r>
      <w:r w:rsidR="00637A9B">
        <w:t>relevant to the assessment of a</w:t>
      </w:r>
      <w:r w:rsidR="00BF5250">
        <w:t>n appropriate pecuniary penalty</w:t>
      </w:r>
      <w:r w:rsidR="00FB64B6">
        <w:t>.</w:t>
      </w:r>
    </w:p>
    <w:p w:rsidR="00BF5250" w:rsidRDefault="003B3C7B" w:rsidP="003B3C7B">
      <w:pPr>
        <w:pStyle w:val="ParaNumbering"/>
        <w:numPr>
          <w:ilvl w:val="0"/>
          <w:numId w:val="0"/>
        </w:numPr>
        <w:tabs>
          <w:tab w:val="left" w:pos="720"/>
        </w:tabs>
        <w:ind w:hanging="720"/>
      </w:pPr>
      <w:r>
        <w:rPr>
          <w:sz w:val="20"/>
        </w:rPr>
        <w:t>160</w:t>
      </w:r>
      <w:r>
        <w:rPr>
          <w:sz w:val="20"/>
        </w:rPr>
        <w:tab/>
      </w:r>
      <w:r w:rsidR="00FB64B6" w:rsidRPr="00FB64B6">
        <w:rPr>
          <w:i/>
        </w:rPr>
        <w:t>Thirdly</w:t>
      </w:r>
      <w:r w:rsidR="00FB64B6">
        <w:t xml:space="preserve">, </w:t>
      </w:r>
      <w:r w:rsidR="00637A9B">
        <w:t>those various considerations or factors can be conveniently categorised according to whether they relate to the objective</w:t>
      </w:r>
      <w:r w:rsidR="00637A9B" w:rsidRPr="00FB64B6">
        <w:rPr>
          <w:spacing w:val="-7"/>
        </w:rPr>
        <w:t xml:space="preserve"> </w:t>
      </w:r>
      <w:r w:rsidR="00637A9B">
        <w:t>nature</w:t>
      </w:r>
      <w:r w:rsidR="00637A9B" w:rsidRPr="00FB64B6">
        <w:rPr>
          <w:spacing w:val="-7"/>
        </w:rPr>
        <w:t xml:space="preserve"> </w:t>
      </w:r>
      <w:r w:rsidR="00637A9B">
        <w:t>and</w:t>
      </w:r>
      <w:r w:rsidR="00637A9B" w:rsidRPr="00FB64B6">
        <w:rPr>
          <w:spacing w:val="-4"/>
        </w:rPr>
        <w:t xml:space="preserve"> </w:t>
      </w:r>
      <w:r w:rsidR="00637A9B">
        <w:t>seriousness</w:t>
      </w:r>
      <w:r w:rsidR="00637A9B" w:rsidRPr="00FB64B6">
        <w:rPr>
          <w:spacing w:val="-6"/>
        </w:rPr>
        <w:t xml:space="preserve"> </w:t>
      </w:r>
      <w:r w:rsidR="00637A9B">
        <w:t>of</w:t>
      </w:r>
      <w:r w:rsidR="00637A9B" w:rsidRPr="00FB64B6">
        <w:rPr>
          <w:spacing w:val="-7"/>
        </w:rPr>
        <w:t xml:space="preserve"> </w:t>
      </w:r>
      <w:r w:rsidR="00637A9B">
        <w:t>the</w:t>
      </w:r>
      <w:r w:rsidR="00637A9B" w:rsidRPr="00FB64B6">
        <w:rPr>
          <w:spacing w:val="-5"/>
        </w:rPr>
        <w:t xml:space="preserve"> </w:t>
      </w:r>
      <w:r w:rsidR="00637A9B">
        <w:t>contravention</w:t>
      </w:r>
      <w:r w:rsidR="00637A9B" w:rsidRPr="00FB64B6">
        <w:rPr>
          <w:spacing w:val="-6"/>
        </w:rPr>
        <w:t xml:space="preserve"> </w:t>
      </w:r>
      <w:r w:rsidR="00637A9B">
        <w:t>or</w:t>
      </w:r>
      <w:r w:rsidR="00637A9B" w:rsidRPr="00FB64B6">
        <w:rPr>
          <w:spacing w:val="-7"/>
        </w:rPr>
        <w:t xml:space="preserve"> </w:t>
      </w:r>
      <w:r w:rsidR="00637A9B">
        <w:t>to</w:t>
      </w:r>
      <w:r w:rsidR="00637A9B" w:rsidRPr="00FB64B6">
        <w:rPr>
          <w:spacing w:val="-6"/>
        </w:rPr>
        <w:t xml:space="preserve"> </w:t>
      </w:r>
      <w:r w:rsidR="00637A9B">
        <w:t>the</w:t>
      </w:r>
      <w:r w:rsidR="00637A9B" w:rsidRPr="00FB64B6">
        <w:rPr>
          <w:spacing w:val="-7"/>
        </w:rPr>
        <w:t xml:space="preserve"> </w:t>
      </w:r>
      <w:r w:rsidR="00637A9B">
        <w:t>particular</w:t>
      </w:r>
      <w:r w:rsidR="00637A9B" w:rsidRPr="00FB64B6">
        <w:rPr>
          <w:spacing w:val="-5"/>
        </w:rPr>
        <w:t xml:space="preserve"> </w:t>
      </w:r>
      <w:r w:rsidR="00637A9B">
        <w:t>circumstances of the respondent in</w:t>
      </w:r>
      <w:r w:rsidR="00BF5250">
        <w:t xml:space="preserve"> question</w:t>
      </w:r>
      <w:r w:rsidR="00FB64B6">
        <w:t>, with the</w:t>
      </w:r>
      <w:r w:rsidR="00637A9B">
        <w:t xml:space="preserve"> factors relating to the </w:t>
      </w:r>
      <w:r w:rsidR="00637A9B" w:rsidRPr="00FB64B6">
        <w:rPr>
          <w:i/>
        </w:rPr>
        <w:t>objective</w:t>
      </w:r>
      <w:r w:rsidR="00637A9B">
        <w:t xml:space="preserve"> nature and seriousn</w:t>
      </w:r>
      <w:r w:rsidR="00FB64B6">
        <w:t>ess of the contravention including</w:t>
      </w:r>
      <w:r w:rsidR="00637A9B">
        <w:t>:</w:t>
      </w:r>
      <w:r w:rsidR="00FB64B6">
        <w:t xml:space="preserve"> (a) </w:t>
      </w:r>
      <w:r w:rsidR="00637A9B">
        <w:t>the extent to which the contravention was the result of deliberate, covert or reckless conduct, as opposed to negligence or</w:t>
      </w:r>
      <w:r w:rsidR="00637A9B" w:rsidRPr="00FB64B6">
        <w:rPr>
          <w:spacing w:val="-3"/>
        </w:rPr>
        <w:t xml:space="preserve"> </w:t>
      </w:r>
      <w:r w:rsidR="00637A9B">
        <w:t>carelessness;</w:t>
      </w:r>
      <w:r w:rsidR="00FB64B6">
        <w:t xml:space="preserve"> (b) </w:t>
      </w:r>
      <w:r w:rsidR="00637A9B">
        <w:t>whether the contravention comprised isolated conduct, or was systematic or occurred over a period of time;</w:t>
      </w:r>
      <w:r w:rsidR="00FB64B6">
        <w:t xml:space="preserve"> (c) </w:t>
      </w:r>
      <w:r w:rsidR="00637A9B">
        <w:t>if the defendant is a corporation, the seniority of the officers responsible for the</w:t>
      </w:r>
      <w:r w:rsidR="00637A9B" w:rsidRPr="00FB64B6">
        <w:rPr>
          <w:spacing w:val="-1"/>
        </w:rPr>
        <w:t xml:space="preserve"> </w:t>
      </w:r>
      <w:r w:rsidR="00637A9B">
        <w:t>contravention;</w:t>
      </w:r>
      <w:r w:rsidR="00FB64B6">
        <w:t xml:space="preserve"> (d) </w:t>
      </w:r>
      <w:r w:rsidR="00637A9B">
        <w:t>the existence, within the corporation, of compliance systems and whether there was a culture of compliance at the corporation;</w:t>
      </w:r>
      <w:r w:rsidR="00637A9B" w:rsidRPr="00FB64B6">
        <w:rPr>
          <w:spacing w:val="-4"/>
        </w:rPr>
        <w:t xml:space="preserve"> </w:t>
      </w:r>
      <w:r w:rsidR="00A0135C">
        <w:t xml:space="preserve">(e) </w:t>
      </w:r>
      <w:r w:rsidR="00637A9B">
        <w:t>the</w:t>
      </w:r>
      <w:r w:rsidR="00637A9B" w:rsidRPr="00A0135C">
        <w:rPr>
          <w:spacing w:val="-9"/>
        </w:rPr>
        <w:t xml:space="preserve"> </w:t>
      </w:r>
      <w:r w:rsidR="00637A9B">
        <w:t>impact</w:t>
      </w:r>
      <w:r w:rsidR="00637A9B" w:rsidRPr="00A0135C">
        <w:rPr>
          <w:spacing w:val="-8"/>
        </w:rPr>
        <w:t xml:space="preserve"> </w:t>
      </w:r>
      <w:r w:rsidR="00637A9B">
        <w:t>or</w:t>
      </w:r>
      <w:r w:rsidR="00637A9B" w:rsidRPr="00A0135C">
        <w:rPr>
          <w:spacing w:val="-9"/>
        </w:rPr>
        <w:t xml:space="preserve"> </w:t>
      </w:r>
      <w:r w:rsidR="00637A9B">
        <w:t>consequences</w:t>
      </w:r>
      <w:r w:rsidR="00637A9B" w:rsidRPr="00A0135C">
        <w:rPr>
          <w:spacing w:val="-8"/>
        </w:rPr>
        <w:t xml:space="preserve"> </w:t>
      </w:r>
      <w:r w:rsidR="00637A9B">
        <w:t>of</w:t>
      </w:r>
      <w:r w:rsidR="00637A9B" w:rsidRPr="00A0135C">
        <w:rPr>
          <w:spacing w:val="-9"/>
        </w:rPr>
        <w:t xml:space="preserve"> </w:t>
      </w:r>
      <w:r w:rsidR="00637A9B">
        <w:t>the</w:t>
      </w:r>
      <w:r w:rsidR="00637A9B" w:rsidRPr="00A0135C">
        <w:rPr>
          <w:spacing w:val="-9"/>
        </w:rPr>
        <w:t xml:space="preserve"> </w:t>
      </w:r>
      <w:r w:rsidR="00637A9B">
        <w:t>contravention</w:t>
      </w:r>
      <w:r w:rsidR="00637A9B" w:rsidRPr="00A0135C">
        <w:rPr>
          <w:spacing w:val="-9"/>
        </w:rPr>
        <w:t xml:space="preserve"> </w:t>
      </w:r>
      <w:r w:rsidR="00637A9B">
        <w:t>on</w:t>
      </w:r>
      <w:r w:rsidR="00637A9B" w:rsidRPr="00A0135C">
        <w:rPr>
          <w:spacing w:val="-9"/>
        </w:rPr>
        <w:t xml:space="preserve"> </w:t>
      </w:r>
      <w:r w:rsidR="00637A9B">
        <w:t>the</w:t>
      </w:r>
      <w:r w:rsidR="00637A9B" w:rsidRPr="00A0135C">
        <w:rPr>
          <w:spacing w:val="-9"/>
        </w:rPr>
        <w:t xml:space="preserve"> </w:t>
      </w:r>
      <w:r w:rsidR="00637A9B">
        <w:t>market</w:t>
      </w:r>
      <w:r w:rsidR="00637A9B" w:rsidRPr="00A0135C">
        <w:rPr>
          <w:spacing w:val="-8"/>
        </w:rPr>
        <w:t xml:space="preserve"> </w:t>
      </w:r>
      <w:r w:rsidR="00637A9B">
        <w:t>or</w:t>
      </w:r>
      <w:r w:rsidR="00637A9B" w:rsidRPr="00A0135C">
        <w:rPr>
          <w:spacing w:val="-9"/>
        </w:rPr>
        <w:t xml:space="preserve"> </w:t>
      </w:r>
      <w:r w:rsidR="00637A9B">
        <w:t>innocent</w:t>
      </w:r>
      <w:r w:rsidR="00637A9B" w:rsidRPr="00A0135C">
        <w:rPr>
          <w:spacing w:val="-8"/>
        </w:rPr>
        <w:t xml:space="preserve"> </w:t>
      </w:r>
      <w:r w:rsidR="00637A9B">
        <w:t>third parties;</w:t>
      </w:r>
      <w:r w:rsidR="00637A9B" w:rsidRPr="00A0135C">
        <w:rPr>
          <w:spacing w:val="-1"/>
        </w:rPr>
        <w:t xml:space="preserve"> </w:t>
      </w:r>
      <w:r w:rsidR="00637A9B">
        <w:t>and</w:t>
      </w:r>
      <w:r w:rsidR="00A0135C">
        <w:t xml:space="preserve"> (f) </w:t>
      </w:r>
      <w:r w:rsidR="00637A9B">
        <w:t>the extent of any profit or benefit derived as a result of the</w:t>
      </w:r>
      <w:r w:rsidR="00637A9B" w:rsidRPr="00A0135C">
        <w:rPr>
          <w:spacing w:val="-12"/>
        </w:rPr>
        <w:t xml:space="preserve"> </w:t>
      </w:r>
      <w:r w:rsidR="00637A9B">
        <w:t>contravention.</w:t>
      </w:r>
      <w:r w:rsidR="00A0135C">
        <w:t xml:space="preserve"> While t</w:t>
      </w:r>
      <w:r w:rsidR="00BF5250">
        <w:t xml:space="preserve">he factors that concern the </w:t>
      </w:r>
      <w:r w:rsidR="00BF5250" w:rsidRPr="00A0135C">
        <w:rPr>
          <w:i/>
        </w:rPr>
        <w:t>particular circumstances</w:t>
      </w:r>
      <w:r w:rsidR="00BF5250">
        <w:t xml:space="preserve"> of the respondent </w:t>
      </w:r>
      <w:r w:rsidR="00A0135C">
        <w:t>include</w:t>
      </w:r>
      <w:r w:rsidR="00BF5250">
        <w:t>:</w:t>
      </w:r>
      <w:r w:rsidR="00A0135C">
        <w:t xml:space="preserve"> (a) </w:t>
      </w:r>
      <w:r w:rsidR="00BF5250">
        <w:t>the size and financial position of the contravening company;</w:t>
      </w:r>
      <w:r w:rsidR="00A0135C">
        <w:t xml:space="preserve"> (b) </w:t>
      </w:r>
      <w:r w:rsidR="00BF5250">
        <w:t>whether the company has been found to have engaged in similar conduct in the past;</w:t>
      </w:r>
      <w:r w:rsidR="00A0135C">
        <w:t xml:space="preserve"> (c) </w:t>
      </w:r>
      <w:r w:rsidR="00BF5250">
        <w:t>whether the company has improved or modified its compliance systems since the contravention;</w:t>
      </w:r>
      <w:r w:rsidR="00A0135C">
        <w:t xml:space="preserve"> (d) </w:t>
      </w:r>
      <w:r w:rsidR="00BF5250">
        <w:t>whether the company (through its senior officers) has demonstrated contrition and remorse;</w:t>
      </w:r>
      <w:r w:rsidR="00A0135C">
        <w:t xml:space="preserve"> (e) </w:t>
      </w:r>
      <w:r w:rsidR="00BF5250">
        <w:t>whether the company had disgorged any profit or benefit received as a result of the contravention, or made reparation;</w:t>
      </w:r>
      <w:r w:rsidR="00A0135C">
        <w:t xml:space="preserve"> (f) </w:t>
      </w:r>
      <w:r w:rsidR="00BF5250">
        <w:t xml:space="preserve">whether the company has cooperated with and assisted the relevant regulatory authority in the investigation and prosecution of the </w:t>
      </w:r>
      <w:r w:rsidR="00BF5250">
        <w:lastRenderedPageBreak/>
        <w:t>contravention; and</w:t>
      </w:r>
      <w:r w:rsidR="00A0135C">
        <w:t xml:space="preserve"> (g) </w:t>
      </w:r>
      <w:r w:rsidR="00BF5250">
        <w:t>whether the company has suffered any extra-curial punishment or detriment arising from the finding that it had contravened the law</w:t>
      </w:r>
      <w:r w:rsidR="00A0135C">
        <w:t xml:space="preserve">: see </w:t>
      </w:r>
      <w:r w:rsidR="00A0135C" w:rsidRPr="00FB64B6">
        <w:rPr>
          <w:i/>
          <w:iCs/>
        </w:rPr>
        <w:t>Australian Building and Construction Commissioner v Construction, Forestry, Mining and Energy Union</w:t>
      </w:r>
      <w:r w:rsidR="00A0135C">
        <w:rPr>
          <w:i/>
          <w:iCs/>
        </w:rPr>
        <w:t xml:space="preserve"> </w:t>
      </w:r>
      <w:r w:rsidR="00A0135C">
        <w:rPr>
          <w:iCs/>
        </w:rPr>
        <w:t>at</w:t>
      </w:r>
      <w:r w:rsidR="00C836A5">
        <w:rPr>
          <w:iCs/>
        </w:rPr>
        <w:t xml:space="preserve"> 89-90</w:t>
      </w:r>
      <w:r w:rsidR="00A0135C">
        <w:rPr>
          <w:iCs/>
        </w:rPr>
        <w:t xml:space="preserve"> [102]-[104]</w:t>
      </w:r>
      <w:r w:rsidR="00BF5250">
        <w:t>.</w:t>
      </w:r>
    </w:p>
    <w:p w:rsidR="00637A9B" w:rsidRDefault="003B3C7B" w:rsidP="003B3C7B">
      <w:pPr>
        <w:pStyle w:val="ParaNumbering"/>
        <w:numPr>
          <w:ilvl w:val="0"/>
          <w:numId w:val="0"/>
        </w:numPr>
        <w:tabs>
          <w:tab w:val="left" w:pos="720"/>
        </w:tabs>
        <w:ind w:hanging="720"/>
      </w:pPr>
      <w:r>
        <w:rPr>
          <w:sz w:val="20"/>
        </w:rPr>
        <w:t>161</w:t>
      </w:r>
      <w:r>
        <w:rPr>
          <w:sz w:val="20"/>
        </w:rPr>
        <w:tab/>
      </w:r>
      <w:r w:rsidR="00081D38">
        <w:t>While recognising that in approaching the discretion as to fixing an appropriate</w:t>
      </w:r>
      <w:r w:rsidR="00A97B02">
        <w:t xml:space="preserve"> penalty for each contravention</w:t>
      </w:r>
      <w:r w:rsidR="00081D38">
        <w:t xml:space="preserve"> it is necessary to have regard to </w:t>
      </w:r>
      <w:r w:rsidR="00F60611">
        <w:t xml:space="preserve">all </w:t>
      </w:r>
      <w:r w:rsidR="00081D38">
        <w:t>relevant factors and to disregard the irrelevant (and that the factors in one case may be inapplicable in another), i</w:t>
      </w:r>
      <w:r w:rsidR="00BF5250">
        <w:t xml:space="preserve">t is convenient to organise my </w:t>
      </w:r>
      <w:r w:rsidR="00F60611">
        <w:t>reasoning</w:t>
      </w:r>
      <w:r w:rsidR="00A0135C">
        <w:t xml:space="preserve"> by reference to the factors specified above</w:t>
      </w:r>
      <w:r w:rsidR="004D2781">
        <w:t>.</w:t>
      </w:r>
    </w:p>
    <w:p w:rsidR="00745978" w:rsidRDefault="00C5422E" w:rsidP="007C7E65">
      <w:pPr>
        <w:pStyle w:val="Heading3"/>
      </w:pPr>
      <w:bookmarkStart w:id="99" w:name="_Ref22827392"/>
      <w:r>
        <w:t>II</w:t>
      </w:r>
      <w:r w:rsidR="007C7E65">
        <w:tab/>
      </w:r>
      <w:r w:rsidR="0098241A">
        <w:t>Objective</w:t>
      </w:r>
      <w:r w:rsidR="008E3146">
        <w:t xml:space="preserve"> factors that concern the</w:t>
      </w:r>
      <w:r w:rsidR="0098241A">
        <w:t xml:space="preserve"> </w:t>
      </w:r>
      <w:r w:rsidR="00745978">
        <w:t>seriousness of the contraventions</w:t>
      </w:r>
      <w:bookmarkEnd w:id="99"/>
    </w:p>
    <w:p w:rsidR="00F6223B" w:rsidRDefault="003B3C7B" w:rsidP="003B3C7B">
      <w:pPr>
        <w:pStyle w:val="ParaNumbering"/>
        <w:numPr>
          <w:ilvl w:val="0"/>
          <w:numId w:val="0"/>
        </w:numPr>
        <w:tabs>
          <w:tab w:val="left" w:pos="720"/>
        </w:tabs>
        <w:ind w:hanging="720"/>
      </w:pPr>
      <w:bookmarkStart w:id="100" w:name="_Ref25758456"/>
      <w:bookmarkStart w:id="101" w:name="_Ref22827393"/>
      <w:r>
        <w:rPr>
          <w:sz w:val="20"/>
        </w:rPr>
        <w:t>162</w:t>
      </w:r>
      <w:r>
        <w:rPr>
          <w:sz w:val="20"/>
        </w:rPr>
        <w:tab/>
      </w:r>
      <w:r w:rsidR="00CC0AA8">
        <w:t>Before I embark on my analysis of the factors concern</w:t>
      </w:r>
      <w:r w:rsidR="0042175F">
        <w:t>ing objective</w:t>
      </w:r>
      <w:r w:rsidR="000C737E">
        <w:t xml:space="preserve"> seriousness, it </w:t>
      </w:r>
      <w:r w:rsidR="00F60611">
        <w:t xml:space="preserve">is necessary to </w:t>
      </w:r>
      <w:r w:rsidR="00DA21AB">
        <w:t>return to a point I touched upon above</w:t>
      </w:r>
      <w:r w:rsidR="00F60611">
        <w:t xml:space="preserve">. </w:t>
      </w:r>
      <w:bookmarkEnd w:id="100"/>
      <w:r w:rsidR="00F60611">
        <w:t>Pecuniary</w:t>
      </w:r>
      <w:r w:rsidR="00856903">
        <w:t xml:space="preserve"> penalties are </w:t>
      </w:r>
      <w:r w:rsidR="00F60611">
        <w:t>not</w:t>
      </w:r>
      <w:r w:rsidR="00726359">
        <w:t xml:space="preserve"> assessed in a vacuum</w:t>
      </w:r>
      <w:r w:rsidR="0016197B">
        <w:t xml:space="preserve">: </w:t>
      </w:r>
      <w:r w:rsidR="0016197B" w:rsidRPr="00F2131A">
        <w:rPr>
          <w:i/>
        </w:rPr>
        <w:t>Construction, Forestry, Mining and Energy Union v Cahill</w:t>
      </w:r>
      <w:r w:rsidR="0016197B" w:rsidRPr="0016197B">
        <w:t xml:space="preserve"> [2010] FCAFC 39</w:t>
      </w:r>
      <w:r w:rsidR="0016197B">
        <w:t xml:space="preserve"> at [42]. </w:t>
      </w:r>
      <w:r w:rsidR="00726359">
        <w:t>If they are to achieve their primary purpose of specific and general deterrence, they must</w:t>
      </w:r>
      <w:r w:rsidR="00856903">
        <w:t xml:space="preserve"> be informed by </w:t>
      </w:r>
      <w:r w:rsidR="00856903" w:rsidRPr="00057548">
        <w:rPr>
          <w:i/>
        </w:rPr>
        <w:t xml:space="preserve">all the relevant </w:t>
      </w:r>
      <w:r w:rsidR="00726359" w:rsidRPr="00057548">
        <w:rPr>
          <w:i/>
        </w:rPr>
        <w:t>circumstances</w:t>
      </w:r>
      <w:r w:rsidR="00726359">
        <w:t xml:space="preserve"> of the case</w:t>
      </w:r>
      <w:r w:rsidR="00C26BE1">
        <w:t>.</w:t>
      </w:r>
      <w:r w:rsidR="00F60611" w:rsidRPr="00F60611">
        <w:t xml:space="preserve"> </w:t>
      </w:r>
      <w:r w:rsidR="00F60611">
        <w:t xml:space="preserve">One of these circumstances, of course, is </w:t>
      </w:r>
      <w:r w:rsidR="00F60611" w:rsidRPr="00F60611">
        <w:t>whether the contravention</w:t>
      </w:r>
      <w:r w:rsidR="00F60611">
        <w:t xml:space="preserve">s with which I am </w:t>
      </w:r>
      <w:r w:rsidR="00BF0D5C">
        <w:t xml:space="preserve">concerned </w:t>
      </w:r>
      <w:r w:rsidR="00BF0D5C" w:rsidRPr="00F60611">
        <w:t>comprised</w:t>
      </w:r>
      <w:r w:rsidR="00D726DE">
        <w:t xml:space="preserve"> isolated conduct, or were</w:t>
      </w:r>
      <w:r w:rsidR="00F60611" w:rsidRPr="00F60611">
        <w:t xml:space="preserve"> systematic or occurred over a period of time</w:t>
      </w:r>
      <w:r w:rsidR="00F60611">
        <w:t>.</w:t>
      </w:r>
      <w:r w:rsidR="00CC356F">
        <w:t xml:space="preserve"> </w:t>
      </w:r>
      <w:r w:rsidR="00D726DE">
        <w:t xml:space="preserve">Needless to say, this </w:t>
      </w:r>
      <w:r w:rsidR="00DA21AB">
        <w:t xml:space="preserve">contextual </w:t>
      </w:r>
      <w:r w:rsidR="00D726DE">
        <w:t xml:space="preserve">consideration must not be confused with improperly imposing a penalty for conduct which might be thought to be similar to the </w:t>
      </w:r>
      <w:r w:rsidR="003552C4">
        <w:t>contravening</w:t>
      </w:r>
      <w:r w:rsidR="00D726DE">
        <w:t xml:space="preserve"> conduct</w:t>
      </w:r>
      <w:r w:rsidR="00823C42">
        <w:t>,</w:t>
      </w:r>
      <w:r w:rsidR="00D726DE">
        <w:t xml:space="preserve"> but</w:t>
      </w:r>
      <w:r w:rsidR="00823C42">
        <w:t xml:space="preserve"> which</w:t>
      </w:r>
      <w:r w:rsidR="00D43C28">
        <w:t xml:space="preserve"> is </w:t>
      </w:r>
      <w:proofErr w:type="spellStart"/>
      <w:r w:rsidR="00D43C28">
        <w:t>un</w:t>
      </w:r>
      <w:r w:rsidR="00D726DE">
        <w:t>pleaded</w:t>
      </w:r>
      <w:proofErr w:type="spellEnd"/>
      <w:r w:rsidR="00D726DE">
        <w:t xml:space="preserve"> and not fou</w:t>
      </w:r>
      <w:r w:rsidR="00CC356F">
        <w:t xml:space="preserve">nd to be contravening conduct. </w:t>
      </w:r>
      <w:r w:rsidR="00D726DE">
        <w:t>My ta</w:t>
      </w:r>
      <w:r w:rsidR="00D43C28">
        <w:t>sk</w:t>
      </w:r>
      <w:r w:rsidR="00D726DE">
        <w:t xml:space="preserve"> is </w:t>
      </w:r>
      <w:r w:rsidR="00D43C28">
        <w:t xml:space="preserve">to </w:t>
      </w:r>
      <w:r w:rsidR="00D726DE">
        <w:t xml:space="preserve">assess penalty </w:t>
      </w:r>
      <w:r w:rsidR="00D43C28" w:rsidRPr="00E36083">
        <w:rPr>
          <w:i/>
        </w:rPr>
        <w:t>only</w:t>
      </w:r>
      <w:r w:rsidR="00D43C28">
        <w:t xml:space="preserve"> </w:t>
      </w:r>
      <w:r w:rsidR="00D726DE">
        <w:t>for the</w:t>
      </w:r>
      <w:r w:rsidR="00D43C28">
        <w:t xml:space="preserve"> contraventions the subject of the proceeding and established on the evidence.</w:t>
      </w:r>
      <w:r w:rsidR="005A06EB">
        <w:t xml:space="preserve"> </w:t>
      </w:r>
    </w:p>
    <w:p w:rsidR="00BF0D5C" w:rsidRDefault="003B3C7B" w:rsidP="003B3C7B">
      <w:pPr>
        <w:pStyle w:val="ParaNumbering"/>
        <w:numPr>
          <w:ilvl w:val="0"/>
          <w:numId w:val="0"/>
        </w:numPr>
        <w:tabs>
          <w:tab w:val="left" w:pos="720"/>
        </w:tabs>
        <w:ind w:hanging="720"/>
      </w:pPr>
      <w:r>
        <w:rPr>
          <w:sz w:val="20"/>
        </w:rPr>
        <w:t>163</w:t>
      </w:r>
      <w:r>
        <w:rPr>
          <w:sz w:val="20"/>
        </w:rPr>
        <w:tab/>
      </w:r>
      <w:r w:rsidR="00DA21AB">
        <w:t>T</w:t>
      </w:r>
      <w:r w:rsidR="00D726DE">
        <w:t>he consideration of this factor and assessing its relevance to penalty</w:t>
      </w:r>
      <w:r w:rsidR="00F60611">
        <w:t xml:space="preserve"> causes a potential difficulty</w:t>
      </w:r>
      <w:r w:rsidR="00BF0D5C">
        <w:t xml:space="preserve">. </w:t>
      </w:r>
      <w:r w:rsidR="002D604D">
        <w:t xml:space="preserve">Having regard to the </w:t>
      </w:r>
      <w:r w:rsidR="00D221CE">
        <w:t xml:space="preserve">facts agreed and </w:t>
      </w:r>
      <w:r w:rsidR="0067194E">
        <w:t xml:space="preserve">the </w:t>
      </w:r>
      <w:r w:rsidR="00715BDA">
        <w:t>unchallenged evidence</w:t>
      </w:r>
      <w:r w:rsidR="00D221CE">
        <w:t xml:space="preserve">, </w:t>
      </w:r>
      <w:r w:rsidR="00702035">
        <w:t xml:space="preserve">as noted above, </w:t>
      </w:r>
      <w:r w:rsidR="000C6662">
        <w:t xml:space="preserve">I </w:t>
      </w:r>
      <w:r w:rsidR="000C737E">
        <w:t xml:space="preserve">do not know the true </w:t>
      </w:r>
      <w:r w:rsidR="0067194E">
        <w:t xml:space="preserve">extent </w:t>
      </w:r>
      <w:r w:rsidR="000C737E">
        <w:t>of the</w:t>
      </w:r>
      <w:r w:rsidR="00865F02">
        <w:t xml:space="preserve"> Rewriting Conduct</w:t>
      </w:r>
      <w:r w:rsidR="0067194E">
        <w:t xml:space="preserve"> and </w:t>
      </w:r>
      <w:r w:rsidR="000C6662">
        <w:t>the ex</w:t>
      </w:r>
      <w:r w:rsidR="00BF0D5C">
        <w:t>tent of AMPFP’s knowledge</w:t>
      </w:r>
      <w:r w:rsidR="004F3B14">
        <w:t xml:space="preserve"> at the beginning of </w:t>
      </w:r>
      <w:r w:rsidR="000C6662">
        <w:t>the Relevant Period</w:t>
      </w:r>
      <w:r w:rsidR="00CC0AA8">
        <w:t>.</w:t>
      </w:r>
      <w:r w:rsidR="00F60611">
        <w:t xml:space="preserve"> </w:t>
      </w:r>
      <w:r w:rsidR="00EB442C">
        <w:t xml:space="preserve">But </w:t>
      </w:r>
      <w:r w:rsidR="00F60611">
        <w:t xml:space="preserve">I </w:t>
      </w:r>
      <w:r w:rsidR="00EB442C">
        <w:t xml:space="preserve">must </w:t>
      </w:r>
      <w:r w:rsidR="00DA21AB">
        <w:t xml:space="preserve">put out of </w:t>
      </w:r>
      <w:r w:rsidR="00E124BB">
        <w:t xml:space="preserve">my </w:t>
      </w:r>
      <w:r w:rsidR="00DA21AB">
        <w:t xml:space="preserve">mind </w:t>
      </w:r>
      <w:r w:rsidR="006F5278">
        <w:t>any</w:t>
      </w:r>
      <w:r w:rsidR="00DA21AB">
        <w:t xml:space="preserve"> suspicion</w:t>
      </w:r>
      <w:r w:rsidR="006F5278">
        <w:t>s</w:t>
      </w:r>
      <w:r w:rsidR="00DA21AB">
        <w:t xml:space="preserve"> as to </w:t>
      </w:r>
      <w:r w:rsidR="00B03F5A">
        <w:t xml:space="preserve">early knowledge and </w:t>
      </w:r>
      <w:r w:rsidR="00DA21AB">
        <w:t xml:space="preserve">the true extent of Rewriting Conduct </w:t>
      </w:r>
      <w:r w:rsidR="006F5278">
        <w:t>(which has not been revealed in this proceeding)</w:t>
      </w:r>
      <w:r w:rsidR="00B03F5A">
        <w:t>.  Instead, I</w:t>
      </w:r>
      <w:r w:rsidR="006F5278">
        <w:t xml:space="preserve"> </w:t>
      </w:r>
      <w:r w:rsidR="00DA21AB">
        <w:t>must proceed on the basis of my findings as identified in</w:t>
      </w:r>
      <w:r w:rsidR="006F5278">
        <w:t xml:space="preserve"> [87] and [88] above</w:t>
      </w:r>
      <w:r w:rsidR="00F60611">
        <w:t>.</w:t>
      </w:r>
      <w:r w:rsidR="00F40047">
        <w:t xml:space="preserve"> </w:t>
      </w:r>
      <w:r w:rsidR="00DF5BF0">
        <w:t>With this in mind, I turn to the factors identified.</w:t>
      </w:r>
      <w:r w:rsidR="00BF0D5C">
        <w:t xml:space="preserve"> </w:t>
      </w:r>
    </w:p>
    <w:p w:rsidR="00745978" w:rsidRDefault="00745978" w:rsidP="007C7E65">
      <w:pPr>
        <w:pStyle w:val="Heading4"/>
      </w:pPr>
      <w:bookmarkStart w:id="102" w:name="_Ref29821127"/>
      <w:r>
        <w:t>The extent to which the contravention was the result of deliberate, covert or reckless conduct, as opposed to negligence or</w:t>
      </w:r>
      <w:r>
        <w:rPr>
          <w:spacing w:val="-3"/>
        </w:rPr>
        <w:t xml:space="preserve"> </w:t>
      </w:r>
      <w:r>
        <w:t>carelessness</w:t>
      </w:r>
      <w:bookmarkEnd w:id="101"/>
      <w:bookmarkEnd w:id="102"/>
    </w:p>
    <w:p w:rsidR="00BE675A" w:rsidRDefault="003B3C7B" w:rsidP="003B3C7B">
      <w:pPr>
        <w:pStyle w:val="ParaNumbering"/>
        <w:numPr>
          <w:ilvl w:val="0"/>
          <w:numId w:val="0"/>
        </w:numPr>
        <w:tabs>
          <w:tab w:val="left" w:pos="720"/>
        </w:tabs>
        <w:ind w:hanging="720"/>
      </w:pPr>
      <w:r>
        <w:rPr>
          <w:sz w:val="20"/>
        </w:rPr>
        <w:t>164</w:t>
      </w:r>
      <w:r>
        <w:rPr>
          <w:sz w:val="20"/>
        </w:rPr>
        <w:tab/>
      </w:r>
      <w:r w:rsidR="008F4071">
        <w:t xml:space="preserve">As </w:t>
      </w:r>
      <w:r w:rsidR="00745978">
        <w:t xml:space="preserve">s 961L </w:t>
      </w:r>
      <w:r w:rsidR="00745978" w:rsidRPr="00C70167">
        <w:t>imposes a positive obligation on licensees to take reasonable steps</w:t>
      </w:r>
      <w:r w:rsidR="00EB442C">
        <w:t>,</w:t>
      </w:r>
      <w:r w:rsidR="008F4071">
        <w:t xml:space="preserve"> it necessarily follows that </w:t>
      </w:r>
      <w:r w:rsidR="00745978">
        <w:t>contraventions of s </w:t>
      </w:r>
      <w:r w:rsidR="00745978" w:rsidRPr="00C70167">
        <w:t xml:space="preserve">961L may typically arise as a result of omissions, rather than </w:t>
      </w:r>
      <w:r w:rsidR="00745978" w:rsidRPr="00C70167">
        <w:lastRenderedPageBreak/>
        <w:t>as a</w:t>
      </w:r>
      <w:r w:rsidR="006D06CD">
        <w:t xml:space="preserve"> result of positive </w:t>
      </w:r>
      <w:r w:rsidR="00745978" w:rsidRPr="00C70167">
        <w:t>acts.</w:t>
      </w:r>
      <w:r w:rsidR="007222D7">
        <w:t xml:space="preserve"> </w:t>
      </w:r>
      <w:r w:rsidR="00CC0AA8">
        <w:t>These omissions</w:t>
      </w:r>
      <w:r w:rsidR="00B4045D">
        <w:t xml:space="preserve">, which are in relation to Panganiban and the </w:t>
      </w:r>
      <w:r w:rsidR="00F90987">
        <w:t>Other Authorised Representatives</w:t>
      </w:r>
      <w:r w:rsidR="00B4045D">
        <w:t>,</w:t>
      </w:r>
      <w:r w:rsidR="00EB442C">
        <w:t xml:space="preserve"> have been identified</w:t>
      </w:r>
      <w:r w:rsidR="00CC0AA8">
        <w:t xml:space="preserve"> in the JER and </w:t>
      </w:r>
      <w:r w:rsidR="00856903">
        <w:t xml:space="preserve">outlined </w:t>
      </w:r>
      <w:r w:rsidR="00B4045D">
        <w:t>at Part </w:t>
      </w:r>
      <w:r w:rsidR="007222D7">
        <w:t xml:space="preserve">E </w:t>
      </w:r>
      <w:r w:rsidR="00856903">
        <w:t>above.</w:t>
      </w:r>
      <w:r w:rsidR="00F40047">
        <w:t xml:space="preserve"> </w:t>
      </w:r>
      <w:r w:rsidR="00560841">
        <w:t xml:space="preserve">In summary, </w:t>
      </w:r>
      <w:r w:rsidR="00560841" w:rsidRPr="00560841">
        <w:t>AMPFP took some, but not all of the steps it would have been reasonable for it to take, to ensure compliance b</w:t>
      </w:r>
      <w:r w:rsidR="00DF4422">
        <w:t>y its representatives with the best interest obligations</w:t>
      </w:r>
      <w:r w:rsidR="00560841" w:rsidRPr="00560841">
        <w:t xml:space="preserve"> and related obligations</w:t>
      </w:r>
      <w:r w:rsidR="00DF4422">
        <w:t>. Specifically</w:t>
      </w:r>
      <w:r w:rsidR="0044044E">
        <w:t xml:space="preserve">, </w:t>
      </w:r>
      <w:r w:rsidR="00DF4422">
        <w:t xml:space="preserve">some key review measures were not in place </w:t>
      </w:r>
      <w:r w:rsidR="00DF4422" w:rsidRPr="00DF4422">
        <w:t>either before or shortly after 1 July 2013, increasing the risk of some representatives not being compliant with the</w:t>
      </w:r>
      <w:r w:rsidR="00AF6BC0" w:rsidRPr="00AF6BC0">
        <w:t xml:space="preserve"> </w:t>
      </w:r>
      <w:r w:rsidR="00AF6BC0">
        <w:t>relevant</w:t>
      </w:r>
      <w:r w:rsidR="00DF4422" w:rsidRPr="00DF4422">
        <w:t xml:space="preserve"> </w:t>
      </w:r>
      <w:r w:rsidR="00DF4422">
        <w:t>best interests obligations</w:t>
      </w:r>
      <w:r w:rsidR="00DF4422" w:rsidRPr="00DF4422">
        <w:t xml:space="preserve"> and related obligations during the early part of the Relevant Period</w:t>
      </w:r>
      <w:r w:rsidR="0044044E">
        <w:t>.</w:t>
      </w:r>
      <w:r w:rsidR="00F40047">
        <w:t xml:space="preserve"> </w:t>
      </w:r>
      <w:r w:rsidR="0044044E">
        <w:t xml:space="preserve">Further, </w:t>
      </w:r>
      <w:r w:rsidR="00BE675A">
        <w:t xml:space="preserve">of the response measures that were taken to address Panganiban’s Rewriting Conduct, those measures </w:t>
      </w:r>
      <w:r w:rsidR="006D06CD">
        <w:t xml:space="preserve">(to express it in terms generous to AMPFP) </w:t>
      </w:r>
      <w:r w:rsidR="00BE675A" w:rsidRPr="00BE675A">
        <w:t>were neither sufficiently comprehensive before September 2014, nor taken in a sufficiently timely way</w:t>
      </w:r>
      <w:r w:rsidR="00BE675A">
        <w:t>; and</w:t>
      </w:r>
      <w:r w:rsidR="0044044E">
        <w:t xml:space="preserve"> </w:t>
      </w:r>
      <w:r w:rsidR="00BE675A">
        <w:t>AMPFP took no response measures to respond to the risk of</w:t>
      </w:r>
      <w:r w:rsidR="00BE675A" w:rsidRPr="00BE675A">
        <w:t xml:space="preserve"> Rewriting Conduct engaged in by other AMPFP representatives</w:t>
      </w:r>
      <w:r w:rsidR="00F61388">
        <w:t xml:space="preserve"> even after September 2014 and during the balance of the Relevant Period</w:t>
      </w:r>
      <w:r w:rsidR="00BE675A">
        <w:t>.</w:t>
      </w:r>
    </w:p>
    <w:p w:rsidR="00745978" w:rsidRDefault="003B3C7B" w:rsidP="003B3C7B">
      <w:pPr>
        <w:pStyle w:val="ParaNumbering"/>
        <w:numPr>
          <w:ilvl w:val="0"/>
          <w:numId w:val="0"/>
        </w:numPr>
        <w:tabs>
          <w:tab w:val="left" w:pos="720"/>
        </w:tabs>
        <w:ind w:hanging="720"/>
      </w:pPr>
      <w:r>
        <w:rPr>
          <w:sz w:val="20"/>
        </w:rPr>
        <w:t>165</w:t>
      </w:r>
      <w:r>
        <w:rPr>
          <w:sz w:val="20"/>
        </w:rPr>
        <w:tab/>
      </w:r>
      <w:r w:rsidR="00745978">
        <w:t xml:space="preserve">AMPFP does not dispute </w:t>
      </w:r>
      <w:r w:rsidR="00F15089">
        <w:t xml:space="preserve">that </w:t>
      </w:r>
      <w:r w:rsidR="00823C42">
        <w:t xml:space="preserve">the </w:t>
      </w:r>
      <w:r w:rsidR="00F15089">
        <w:t>omissions</w:t>
      </w:r>
      <w:r w:rsidR="00745978">
        <w:t xml:space="preserve"> in this case were serious</w:t>
      </w:r>
      <w:r w:rsidR="00EB442C">
        <w:t xml:space="preserve"> but, as explained above, submits there is </w:t>
      </w:r>
      <w:r w:rsidR="00745978">
        <w:t xml:space="preserve">no </w:t>
      </w:r>
      <w:r w:rsidR="008F4071">
        <w:t xml:space="preserve">evidentiary </w:t>
      </w:r>
      <w:r w:rsidR="00745978">
        <w:t xml:space="preserve">basis to </w:t>
      </w:r>
      <w:r w:rsidR="008F4071">
        <w:t>conclude</w:t>
      </w:r>
      <w:r w:rsidR="00745978">
        <w:t xml:space="preserve"> that its conduct was deliberate, covert or systematic.</w:t>
      </w:r>
      <w:r w:rsidR="00F40047">
        <w:t xml:space="preserve"> </w:t>
      </w:r>
      <w:r w:rsidR="00745978">
        <w:t>It argues that the evidence establishes that AMPFP made a good faith attempt to comply with its statutory obligations.</w:t>
      </w:r>
    </w:p>
    <w:p w:rsidR="00745978" w:rsidRDefault="003B3C7B" w:rsidP="003B3C7B">
      <w:pPr>
        <w:pStyle w:val="ParaNumbering"/>
        <w:numPr>
          <w:ilvl w:val="0"/>
          <w:numId w:val="0"/>
        </w:numPr>
        <w:tabs>
          <w:tab w:val="left" w:pos="720"/>
        </w:tabs>
        <w:ind w:hanging="720"/>
      </w:pPr>
      <w:r>
        <w:rPr>
          <w:sz w:val="20"/>
        </w:rPr>
        <w:t>166</w:t>
      </w:r>
      <w:r>
        <w:rPr>
          <w:sz w:val="20"/>
        </w:rPr>
        <w:tab/>
      </w:r>
      <w:r w:rsidR="00745978">
        <w:t>As I have made clear</w:t>
      </w:r>
      <w:r w:rsidR="008F4071">
        <w:t xml:space="preserve"> above</w:t>
      </w:r>
      <w:r w:rsidR="00745978">
        <w:t xml:space="preserve">, </w:t>
      </w:r>
      <w:r w:rsidR="008F4071">
        <w:t>l</w:t>
      </w:r>
      <w:r w:rsidR="00745978">
        <w:t xml:space="preserve">ogically, contraventions of the best interests provisions can stand apart </w:t>
      </w:r>
      <w:r w:rsidR="007222D7">
        <w:t xml:space="preserve">from contraventions of s 961L. </w:t>
      </w:r>
      <w:r w:rsidR="00745978">
        <w:t xml:space="preserve">Therefore, it is important not to attribute the deliberateness and covertness of the Rewriting Conduct by </w:t>
      </w:r>
      <w:r w:rsidR="00A956F3">
        <w:t>Pangan</w:t>
      </w:r>
      <w:r w:rsidR="00745978">
        <w:t xml:space="preserve">iban </w:t>
      </w:r>
      <w:r w:rsidR="008F4071">
        <w:t>(</w:t>
      </w:r>
      <w:r w:rsidR="00745978">
        <w:t>and</w:t>
      </w:r>
      <w:r w:rsidR="008F4071">
        <w:t>, to the extent it was proved,</w:t>
      </w:r>
      <w:r w:rsidR="00745978">
        <w:t xml:space="preserve"> </w:t>
      </w:r>
      <w:r w:rsidR="00E124BB">
        <w:t xml:space="preserve">any of </w:t>
      </w:r>
      <w:r w:rsidR="00745978">
        <w:t xml:space="preserve">the </w:t>
      </w:r>
      <w:r w:rsidR="00F90987">
        <w:t>Other Authorised Representatives</w:t>
      </w:r>
      <w:r w:rsidR="008F4071">
        <w:t>)</w:t>
      </w:r>
      <w:r w:rsidR="00745978">
        <w:t xml:space="preserve"> to AMPFP’s own conduct giving rise to its six contraventions of s 961L.</w:t>
      </w:r>
      <w:r w:rsidR="00F40047">
        <w:t xml:space="preserve"> </w:t>
      </w:r>
      <w:r w:rsidR="00745978">
        <w:t xml:space="preserve">To that extent, I </w:t>
      </w:r>
      <w:r w:rsidR="008F4071">
        <w:t>do not</w:t>
      </w:r>
      <w:r w:rsidR="00745978">
        <w:t xml:space="preserve"> accept ASIC’s submission that </w:t>
      </w:r>
      <w:r w:rsidR="002E118E">
        <w:t xml:space="preserve">a </w:t>
      </w:r>
      <w:r w:rsidR="00745978">
        <w:t xml:space="preserve">matter relevant to assessment of penalty is the fact that </w:t>
      </w:r>
      <w:r w:rsidR="00A956F3" w:rsidRPr="008F4071">
        <w:rPr>
          <w:i/>
        </w:rPr>
        <w:t>Pangan</w:t>
      </w:r>
      <w:r w:rsidR="00745978" w:rsidRPr="008F4071">
        <w:rPr>
          <w:i/>
        </w:rPr>
        <w:t>iban’s</w:t>
      </w:r>
      <w:r w:rsidR="00745978">
        <w:t xml:space="preserve"> conduct was deliberate.</w:t>
      </w:r>
    </w:p>
    <w:p w:rsidR="005A19D6" w:rsidRDefault="003B3C7B" w:rsidP="003B3C7B">
      <w:pPr>
        <w:pStyle w:val="ParaNumbering"/>
        <w:numPr>
          <w:ilvl w:val="0"/>
          <w:numId w:val="0"/>
        </w:numPr>
        <w:tabs>
          <w:tab w:val="left" w:pos="720"/>
        </w:tabs>
        <w:ind w:hanging="720"/>
      </w:pPr>
      <w:r>
        <w:rPr>
          <w:sz w:val="20"/>
        </w:rPr>
        <w:t>167</w:t>
      </w:r>
      <w:r>
        <w:rPr>
          <w:sz w:val="20"/>
        </w:rPr>
        <w:tab/>
      </w:r>
      <w:r w:rsidR="00745978">
        <w:t>Ultimately, however, the contraventions, while not deliberate, cannot be regarded merely as a result o</w:t>
      </w:r>
      <w:r w:rsidR="00EB442C">
        <w:t>f inadvertence or c</w:t>
      </w:r>
      <w:r w:rsidR="007222D7">
        <w:t xml:space="preserve">arelessness. </w:t>
      </w:r>
      <w:r w:rsidR="00EB442C">
        <w:t xml:space="preserve">The lack of a prompt response to the Panganiban conduct </w:t>
      </w:r>
      <w:r w:rsidR="00E279AE">
        <w:t>was</w:t>
      </w:r>
      <w:r w:rsidR="00EB442C">
        <w:t xml:space="preserve"> </w:t>
      </w:r>
      <w:r w:rsidR="00745978">
        <w:t>the result</w:t>
      </w:r>
      <w:r w:rsidR="005A19D6">
        <w:t xml:space="preserve"> </w:t>
      </w:r>
      <w:r w:rsidR="00745978">
        <w:t xml:space="preserve">of </w:t>
      </w:r>
      <w:r w:rsidR="00EB442C">
        <w:t xml:space="preserve">passivity and </w:t>
      </w:r>
      <w:r w:rsidR="00745978">
        <w:t xml:space="preserve">inaction following identified misconduct in contravention of the </w:t>
      </w:r>
      <w:r w:rsidR="00AF6BC0">
        <w:t xml:space="preserve">relevant </w:t>
      </w:r>
      <w:r w:rsidR="00745978">
        <w:t>best interests obligations.</w:t>
      </w:r>
      <w:r w:rsidR="00F40047">
        <w:t xml:space="preserve"> </w:t>
      </w:r>
      <w:r w:rsidR="00715BDA">
        <w:t xml:space="preserve">Contrary to AMPFP’s submissions, I </w:t>
      </w:r>
      <w:r w:rsidR="00A93329">
        <w:t>reject the notion</w:t>
      </w:r>
      <w:r w:rsidR="00715BDA">
        <w:t xml:space="preserve"> </w:t>
      </w:r>
      <w:r w:rsidR="00B20230">
        <w:t xml:space="preserve">that </w:t>
      </w:r>
      <w:r w:rsidR="00715BDA">
        <w:t>the evidence establishes that AMPFP made a good faith attempt to comply with its statutory obligations.</w:t>
      </w:r>
      <w:r w:rsidR="00A93329">
        <w:t xml:space="preserve"> </w:t>
      </w:r>
      <w:r w:rsidR="00E279AE">
        <w:t>Although t</w:t>
      </w:r>
      <w:r w:rsidR="006D06CD">
        <w:t>here is no finding</w:t>
      </w:r>
      <w:r w:rsidR="00A93329">
        <w:t xml:space="preserve"> of dishonesty by those who should have taken prompt action,</w:t>
      </w:r>
      <w:r w:rsidR="00E279AE">
        <w:t xml:space="preserve"> </w:t>
      </w:r>
      <w:r w:rsidR="00A93329">
        <w:t>their</w:t>
      </w:r>
      <w:r w:rsidR="000826CA">
        <w:t xml:space="preserve"> </w:t>
      </w:r>
      <w:r w:rsidR="00A93329" w:rsidRPr="00A93329">
        <w:t>insouciance</w:t>
      </w:r>
      <w:r w:rsidR="00A93329">
        <w:t xml:space="preserve"> is striking. By way of example, when one has Mr </w:t>
      </w:r>
      <w:r w:rsidR="00C7177F">
        <w:t xml:space="preserve">Buckler telling </w:t>
      </w:r>
      <w:r w:rsidR="00A93329">
        <w:t xml:space="preserve">the </w:t>
      </w:r>
      <w:r w:rsidR="00A93329" w:rsidRPr="00A93329">
        <w:t>Head</w:t>
      </w:r>
      <w:r w:rsidR="00A93329">
        <w:t xml:space="preserve"> of New Business &amp; Underwriting</w:t>
      </w:r>
      <w:r w:rsidR="00C7177F">
        <w:t xml:space="preserve"> </w:t>
      </w:r>
      <w:r w:rsidR="00A93329">
        <w:t xml:space="preserve">early on that </w:t>
      </w:r>
      <w:r w:rsidR="00A93329" w:rsidRPr="00A93329">
        <w:t xml:space="preserve">Panganiban </w:t>
      </w:r>
      <w:r w:rsidR="00A93329">
        <w:t>is “</w:t>
      </w:r>
      <w:r w:rsidR="00A93329" w:rsidRPr="00A93329">
        <w:t>always cancel[ling] existing insurance befo</w:t>
      </w:r>
      <w:r w:rsidR="00A93329">
        <w:t>re he applies for new insurance”</w:t>
      </w:r>
      <w:r w:rsidR="00A93329" w:rsidRPr="00A93329">
        <w:t xml:space="preserve"> and getting paid 100% commission; </w:t>
      </w:r>
      <w:r w:rsidR="00A93329">
        <w:lastRenderedPageBreak/>
        <w:t xml:space="preserve">and later </w:t>
      </w:r>
      <w:r w:rsidR="00913545">
        <w:t>forwarding an email</w:t>
      </w:r>
      <w:r w:rsidR="00C7177F">
        <w:t xml:space="preserve"> to higher-ups including </w:t>
      </w:r>
      <w:r w:rsidR="00E9425F">
        <w:t>the</w:t>
      </w:r>
      <w:r w:rsidR="00C7177F">
        <w:t xml:space="preserve"> Manager of Retail Risk Product Operations</w:t>
      </w:r>
      <w:r w:rsidR="00913545">
        <w:t xml:space="preserve"> which recorded a comment</w:t>
      </w:r>
      <w:r w:rsidR="00B20230">
        <w:t xml:space="preserve"> “[t]</w:t>
      </w:r>
      <w:r w:rsidR="00A93329" w:rsidRPr="00A93329">
        <w:t>hey should NOT be allowed to do this as it is not right by the client BUT as per below unfortunately no</w:t>
      </w:r>
      <w:r w:rsidR="00A93329">
        <w:t>thing we can do”</w:t>
      </w:r>
      <w:r w:rsidR="00E279AE">
        <w:t>, one would have thoug</w:t>
      </w:r>
      <w:r w:rsidR="006D06CD">
        <w:t>ht alarm bells would have rung (</w:t>
      </w:r>
      <w:r w:rsidR="00E279AE">
        <w:t>indeed bellowed</w:t>
      </w:r>
      <w:r w:rsidR="006D06CD">
        <w:t>)</w:t>
      </w:r>
      <w:r w:rsidR="00E279AE">
        <w:t xml:space="preserve">; as it happens, the lack of an effective response is an illustration of </w:t>
      </w:r>
      <w:r w:rsidR="00A93329">
        <w:t>how badly things had gone wrong within the organisation.</w:t>
      </w:r>
      <w:r w:rsidR="005A06EB">
        <w:t xml:space="preserve"> </w:t>
      </w:r>
      <w:r w:rsidR="00715BDA">
        <w:t>A good faith attempt would have been adopting a prompt and thorough remedial response when the problem was first discovered.</w:t>
      </w:r>
    </w:p>
    <w:p w:rsidR="00CE5224" w:rsidRPr="00F15089" w:rsidRDefault="003B3C7B" w:rsidP="003B3C7B">
      <w:pPr>
        <w:pStyle w:val="ParaNumbering"/>
        <w:numPr>
          <w:ilvl w:val="0"/>
          <w:numId w:val="0"/>
        </w:numPr>
        <w:tabs>
          <w:tab w:val="left" w:pos="720"/>
        </w:tabs>
        <w:ind w:hanging="720"/>
      </w:pPr>
      <w:r w:rsidRPr="00F15089">
        <w:rPr>
          <w:sz w:val="20"/>
        </w:rPr>
        <w:t>168</w:t>
      </w:r>
      <w:r w:rsidRPr="00F15089">
        <w:rPr>
          <w:sz w:val="20"/>
        </w:rPr>
        <w:tab/>
      </w:r>
      <w:r w:rsidR="005A19D6">
        <w:t>Although I accept the lack of some key review measures being in place either before or shortly after 1 July 2013 was not deliberate or reckless, the failure, after the Gregory Email, to take response measures to address Panganiban</w:t>
      </w:r>
      <w:r w:rsidR="00BA372A">
        <w:t>’</w:t>
      </w:r>
      <w:r w:rsidR="005A19D6">
        <w:t>s Rewriting Conduct, and to respond to the risk of more widespread Rewriting Conduct</w:t>
      </w:r>
      <w:r w:rsidR="002E7ED4">
        <w:t>,</w:t>
      </w:r>
      <w:r w:rsidR="00307C25">
        <w:t xml:space="preserve"> i</w:t>
      </w:r>
      <w:r w:rsidR="005A19D6">
        <w:t xml:space="preserve">s </w:t>
      </w:r>
      <w:r w:rsidR="00307C25">
        <w:t>appropriately characterised as being reckless</w:t>
      </w:r>
      <w:r w:rsidR="005A19D6">
        <w:t>.</w:t>
      </w:r>
      <w:r w:rsidR="00BA372A">
        <w:t xml:space="preserve"> </w:t>
      </w:r>
      <w:r w:rsidR="002E7ED4">
        <w:t>More</w:t>
      </w:r>
      <w:r w:rsidR="005A19D6">
        <w:t xml:space="preserve"> </w:t>
      </w:r>
      <w:r w:rsidR="002E7ED4">
        <w:t xml:space="preserve">particularly, </w:t>
      </w:r>
      <w:r w:rsidR="00307C25">
        <w:t xml:space="preserve">what is recorded in the minutes of the “Special Issues Panel Meeting” held on 1 October 2014 as being a </w:t>
      </w:r>
      <w:r w:rsidR="002E7ED4">
        <w:t>“</w:t>
      </w:r>
      <w:r w:rsidR="00307C25">
        <w:t>possible</w:t>
      </w:r>
      <w:r w:rsidR="002E7ED4">
        <w:t>”</w:t>
      </w:r>
      <w:r w:rsidR="00307C25">
        <w:t xml:space="preserve"> explanation of what occurred is more likely than not to have been corr</w:t>
      </w:r>
      <w:r w:rsidR="00F732BD">
        <w:t>ect;</w:t>
      </w:r>
      <w:r w:rsidR="00307C25">
        <w:t xml:space="preserve"> that is, </w:t>
      </w:r>
      <w:r w:rsidR="00195028">
        <w:t>Panganiban’</w:t>
      </w:r>
      <w:r w:rsidR="00307C25">
        <w:t xml:space="preserve">s conduct in cancelling insurance had been raised with AMPFP </w:t>
      </w:r>
      <w:r w:rsidR="002E7ED4">
        <w:t>but Panganiban was “</w:t>
      </w:r>
      <w:r w:rsidR="00307C25">
        <w:t>clearly writing a bucket load of business” and “there wa</w:t>
      </w:r>
      <w:r w:rsidR="0090073B">
        <w:t>s a reluctance (on the Licensee’</w:t>
      </w:r>
      <w:r w:rsidR="00307C25">
        <w:t>s behalf) to reprimand a productive adviser”.</w:t>
      </w:r>
      <w:r w:rsidR="00F40047">
        <w:t xml:space="preserve"> </w:t>
      </w:r>
      <w:r w:rsidR="00307C25">
        <w:t xml:space="preserve">This conduct </w:t>
      </w:r>
      <w:r w:rsidR="00195028">
        <w:t xml:space="preserve">had consequences and </w:t>
      </w:r>
      <w:r w:rsidR="002E7ED4">
        <w:t>reflects very poorly on AMPFP</w:t>
      </w:r>
      <w:r w:rsidR="003E2B11" w:rsidRPr="003E2B11">
        <w:t>.</w:t>
      </w:r>
      <w:r w:rsidR="005A06EB">
        <w:t xml:space="preserve"> </w:t>
      </w:r>
      <w:r w:rsidR="00F61388">
        <w:t>What reflects even more poorly was the failure to take prompt and thorough steps</w:t>
      </w:r>
      <w:r w:rsidR="00F61388" w:rsidRPr="00F61388">
        <w:t xml:space="preserve"> to identifying whether there was evidence of possible Rewriting Conduct in the wider representative network</w:t>
      </w:r>
      <w:r w:rsidR="00F61388">
        <w:t xml:space="preserve"> when senior management became involved (notwithstanding I have not found there was </w:t>
      </w:r>
      <w:r w:rsidR="006D06CD">
        <w:t xml:space="preserve">actual </w:t>
      </w:r>
      <w:r w:rsidR="00F61388">
        <w:t>knowledge that the non-compliant conduct was widespread at that time).</w:t>
      </w:r>
      <w:r w:rsidR="005A06EB">
        <w:t xml:space="preserve"> </w:t>
      </w:r>
    </w:p>
    <w:p w:rsidR="00745978" w:rsidRDefault="00745978" w:rsidP="007C7E65">
      <w:pPr>
        <w:pStyle w:val="Heading4"/>
      </w:pPr>
      <w:bookmarkStart w:id="103" w:name="_Ref22827394"/>
      <w:r>
        <w:t>Whether the contravention comprised isolated conduct, or was systematic or occurred over a period of time</w:t>
      </w:r>
      <w:bookmarkEnd w:id="103"/>
    </w:p>
    <w:p w:rsidR="00195028" w:rsidRDefault="003B3C7B" w:rsidP="003B3C7B">
      <w:pPr>
        <w:pStyle w:val="ParaNumbering"/>
        <w:numPr>
          <w:ilvl w:val="0"/>
          <w:numId w:val="0"/>
        </w:numPr>
        <w:tabs>
          <w:tab w:val="left" w:pos="720"/>
        </w:tabs>
        <w:ind w:hanging="720"/>
      </w:pPr>
      <w:r>
        <w:rPr>
          <w:sz w:val="20"/>
        </w:rPr>
        <w:t>169</w:t>
      </w:r>
      <w:r>
        <w:rPr>
          <w:sz w:val="20"/>
        </w:rPr>
        <w:tab/>
      </w:r>
      <w:r w:rsidR="00D3460F">
        <w:t>I have found that</w:t>
      </w:r>
      <w:r w:rsidR="00745978">
        <w:t xml:space="preserve"> AMPFP committed six contraventions of s 961L </w:t>
      </w:r>
      <w:r w:rsidR="00E124BB">
        <w:t>and that t</w:t>
      </w:r>
      <w:r w:rsidR="00745978">
        <w:t xml:space="preserve">hese contraventions </w:t>
      </w:r>
      <w:r w:rsidR="00745978" w:rsidRPr="00E77B4A">
        <w:t>occurred over a period of two years, from 1 July 2013 to 30 June 2015</w:t>
      </w:r>
      <w:r w:rsidR="00FB4658">
        <w:t>.</w:t>
      </w:r>
      <w:r w:rsidR="00F40047">
        <w:t xml:space="preserve"> </w:t>
      </w:r>
      <w:r w:rsidR="00745978">
        <w:t xml:space="preserve">While AMPFP resisted any suggestion that its contraventions, essentially arising from failures to engage in particular conduct (that is, omissions) could be described as “systemic”, the contraventions </w:t>
      </w:r>
      <w:r w:rsidR="00195028">
        <w:t xml:space="preserve">on the evidence </w:t>
      </w:r>
      <w:r w:rsidR="00745978">
        <w:t xml:space="preserve">are nevertheless not isolated conduct but, as ASIC submitted, </w:t>
      </w:r>
      <w:r w:rsidR="00745978" w:rsidRPr="007F037E">
        <w:t>amounted to failures to put in place policies, procedures and practices directed to preventing recurring Rewriting Conduct that was not consistent with the</w:t>
      </w:r>
      <w:r w:rsidR="00AF6BC0">
        <w:t xml:space="preserve"> relevant</w:t>
      </w:r>
      <w:r w:rsidR="00745978" w:rsidRPr="007F037E">
        <w:t xml:space="preserve"> best interests obligations.</w:t>
      </w:r>
      <w:r w:rsidR="00F40047">
        <w:t xml:space="preserve"> </w:t>
      </w:r>
    </w:p>
    <w:p w:rsidR="008E3146" w:rsidRPr="00D04288" w:rsidRDefault="003B3C7B" w:rsidP="003B3C7B">
      <w:pPr>
        <w:pStyle w:val="ParaNumbering"/>
        <w:numPr>
          <w:ilvl w:val="0"/>
          <w:numId w:val="0"/>
        </w:numPr>
        <w:tabs>
          <w:tab w:val="left" w:pos="720"/>
        </w:tabs>
        <w:ind w:hanging="720"/>
      </w:pPr>
      <w:r w:rsidRPr="00D04288">
        <w:rPr>
          <w:sz w:val="20"/>
        </w:rPr>
        <w:t>170</w:t>
      </w:r>
      <w:r w:rsidRPr="00D04288">
        <w:rPr>
          <w:sz w:val="20"/>
        </w:rPr>
        <w:tab/>
      </w:r>
      <w:r w:rsidR="00195028">
        <w:t xml:space="preserve">I </w:t>
      </w:r>
      <w:r w:rsidR="00E124BB">
        <w:t>again emphasise</w:t>
      </w:r>
      <w:r w:rsidR="00195028">
        <w:t xml:space="preserve"> the </w:t>
      </w:r>
      <w:r w:rsidR="00E124BB">
        <w:t>necessity to</w:t>
      </w:r>
      <w:r w:rsidR="00195028">
        <w:t xml:space="preserve"> assess penalty in accordance with my finding that there is insufficient evidence to find that </w:t>
      </w:r>
      <w:r w:rsidR="00DC0E00">
        <w:t xml:space="preserve">the </w:t>
      </w:r>
      <w:r w:rsidR="00195028">
        <w:t xml:space="preserve">Rewriting Conduct was more widespread than the pleaded </w:t>
      </w:r>
      <w:r w:rsidR="00195028">
        <w:lastRenderedPageBreak/>
        <w:t>contraventions and m</w:t>
      </w:r>
      <w:r w:rsidR="00DC0E00">
        <w:t>y further finding that ASIC has</w:t>
      </w:r>
      <w:r w:rsidR="00195028">
        <w:t xml:space="preserve"> not proved that AMPFP had cause to believe it was more widespread</w:t>
      </w:r>
      <w:r w:rsidR="006D06CD">
        <w:t xml:space="preserve"> during </w:t>
      </w:r>
      <w:r w:rsidR="000D655B">
        <w:t>the entirety</w:t>
      </w:r>
      <w:r w:rsidR="006D06CD">
        <w:t xml:space="preserve"> of the Relevant Period</w:t>
      </w:r>
      <w:r w:rsidR="000D655B">
        <w:t xml:space="preserve"> commencing in 2013 (although, as I have explained, knowledge of the scale of the potential problem is evident from the recommendations of the first Issues Panel in 2014)</w:t>
      </w:r>
      <w:r w:rsidR="00195028">
        <w:t xml:space="preserve">. </w:t>
      </w:r>
    </w:p>
    <w:p w:rsidR="00745978" w:rsidRDefault="00745978" w:rsidP="007C7E65">
      <w:pPr>
        <w:pStyle w:val="Heading4"/>
      </w:pPr>
      <w:bookmarkStart w:id="104" w:name="_Ref22827395"/>
      <w:bookmarkStart w:id="105" w:name="_Ref29821128"/>
      <w:r>
        <w:t>Seniority of the officers responsible</w:t>
      </w:r>
      <w:bookmarkEnd w:id="104"/>
      <w:r w:rsidR="00813BC6">
        <w:t xml:space="preserve"> for the contravention</w:t>
      </w:r>
      <w:bookmarkEnd w:id="105"/>
    </w:p>
    <w:p w:rsidR="00745978" w:rsidRDefault="003B3C7B" w:rsidP="003B3C7B">
      <w:pPr>
        <w:pStyle w:val="ParaNumbering"/>
        <w:numPr>
          <w:ilvl w:val="0"/>
          <w:numId w:val="0"/>
        </w:numPr>
        <w:tabs>
          <w:tab w:val="left" w:pos="720"/>
        </w:tabs>
        <w:ind w:hanging="720"/>
      </w:pPr>
      <w:r>
        <w:rPr>
          <w:sz w:val="20"/>
        </w:rPr>
        <w:t>171</w:t>
      </w:r>
      <w:r>
        <w:rPr>
          <w:sz w:val="20"/>
        </w:rPr>
        <w:tab/>
      </w:r>
      <w:r w:rsidR="00745978">
        <w:t xml:space="preserve">AMPFP </w:t>
      </w:r>
      <w:r w:rsidR="003B48B9">
        <w:t>says that</w:t>
      </w:r>
      <w:r w:rsidR="00745978">
        <w:t xml:space="preserve"> </w:t>
      </w:r>
      <w:r w:rsidR="00745978" w:rsidRPr="00EF62F1">
        <w:t xml:space="preserve">there is no suggestion </w:t>
      </w:r>
      <w:r w:rsidR="00FB4658">
        <w:t xml:space="preserve">by ASIC </w:t>
      </w:r>
      <w:r w:rsidR="00745978" w:rsidRPr="00EF62F1">
        <w:t>that senior management of AMPFP, in the sense of those persons who were the directing mind and will of the corporation, were involved in the failures that led to the contraventions.</w:t>
      </w:r>
      <w:r w:rsidR="00F40047">
        <w:t xml:space="preserve"> </w:t>
      </w:r>
      <w:r w:rsidR="00745978" w:rsidRPr="00EF62F1">
        <w:t>To the extent that responsibility for the failures can be sheeted home to individuals, those failures were largely the result of people within the Planner Supervision and, its successor, Advice Governance teams</w:t>
      </w:r>
      <w:r w:rsidR="000E72E5">
        <w:t>,</w:t>
      </w:r>
      <w:r w:rsidR="00745978" w:rsidRPr="00EF62F1">
        <w:t xml:space="preserve"> making errors of judgment and the ERM team failing to foll</w:t>
      </w:r>
      <w:r w:rsidR="00FB4658">
        <w:t>ow-up on an issue raised</w:t>
      </w:r>
      <w:r w:rsidR="00745978" w:rsidRPr="00EF62F1">
        <w:t>. None of the people in those teams could properly be described as part of the senior management of AMPFP.</w:t>
      </w:r>
      <w:r w:rsidR="00F40047">
        <w:t xml:space="preserve"> </w:t>
      </w:r>
    </w:p>
    <w:p w:rsidR="009821E2" w:rsidRDefault="003B3C7B" w:rsidP="003B3C7B">
      <w:pPr>
        <w:pStyle w:val="ParaNumbering"/>
        <w:numPr>
          <w:ilvl w:val="0"/>
          <w:numId w:val="0"/>
        </w:numPr>
        <w:tabs>
          <w:tab w:val="left" w:pos="720"/>
        </w:tabs>
        <w:ind w:hanging="720"/>
      </w:pPr>
      <w:r>
        <w:rPr>
          <w:sz w:val="20"/>
        </w:rPr>
        <w:t>172</w:t>
      </w:r>
      <w:r>
        <w:rPr>
          <w:sz w:val="20"/>
        </w:rPr>
        <w:tab/>
      </w:r>
      <w:r w:rsidR="00745978">
        <w:t>Indeed, AMPFP submits the real failure was to escalate the matter to an appropriate level of seniority, rather than arising as a result of the conduct of senior management.</w:t>
      </w:r>
      <w:r w:rsidR="00F40047">
        <w:t xml:space="preserve"> </w:t>
      </w:r>
      <w:r w:rsidR="00745978">
        <w:t xml:space="preserve">Yet this is precisely the problem with AMPFP’s contraventions, at least after the discovery of the Rewriting Conduct by </w:t>
      </w:r>
      <w:r w:rsidR="00A956F3">
        <w:t>Pangan</w:t>
      </w:r>
      <w:r w:rsidR="00745978">
        <w:t>iban.</w:t>
      </w:r>
      <w:r w:rsidR="00F40047">
        <w:t xml:space="preserve"> </w:t>
      </w:r>
      <w:r w:rsidR="00E124BB">
        <w:t>T</w:t>
      </w:r>
      <w:r w:rsidR="00745978" w:rsidRPr="00606F16">
        <w:t xml:space="preserve">he fact that the issue of </w:t>
      </w:r>
      <w:r w:rsidR="00FB2C65">
        <w:t xml:space="preserve">the </w:t>
      </w:r>
      <w:r w:rsidR="000D655B">
        <w:t>Rewriting Conduct was not promptly</w:t>
      </w:r>
      <w:r w:rsidR="00745978" w:rsidRPr="00606F16">
        <w:t xml:space="preserve"> escala</w:t>
      </w:r>
      <w:r w:rsidR="00FB4658">
        <w:t xml:space="preserve">ted </w:t>
      </w:r>
      <w:r w:rsidR="00FB2C65">
        <w:t>to</w:t>
      </w:r>
      <w:r w:rsidR="00FB4658">
        <w:t xml:space="preserve"> a senior level brings into focus</w:t>
      </w:r>
      <w:r w:rsidR="00745978" w:rsidRPr="00606F16">
        <w:t xml:space="preserve"> the inadequ</w:t>
      </w:r>
      <w:r w:rsidR="00E124BB">
        <w:t>acy of AMPFP’s action</w:t>
      </w:r>
      <w:r w:rsidR="00745978" w:rsidRPr="00606F16">
        <w:t>s.</w:t>
      </w:r>
      <w:r w:rsidR="005A06EB">
        <w:t xml:space="preserve"> </w:t>
      </w:r>
    </w:p>
    <w:p w:rsidR="00AC76C4" w:rsidRDefault="003B3C7B" w:rsidP="003B3C7B">
      <w:pPr>
        <w:pStyle w:val="ParaNumbering"/>
        <w:numPr>
          <w:ilvl w:val="0"/>
          <w:numId w:val="0"/>
        </w:numPr>
        <w:tabs>
          <w:tab w:val="left" w:pos="720"/>
        </w:tabs>
        <w:ind w:hanging="720"/>
      </w:pPr>
      <w:r>
        <w:rPr>
          <w:sz w:val="20"/>
        </w:rPr>
        <w:t>173</w:t>
      </w:r>
      <w:r>
        <w:rPr>
          <w:sz w:val="20"/>
        </w:rPr>
        <w:tab/>
      </w:r>
      <w:r w:rsidR="009821E2">
        <w:t xml:space="preserve">What the </w:t>
      </w:r>
      <w:r w:rsidR="000826CA">
        <w:t xml:space="preserve">competing </w:t>
      </w:r>
      <w:r w:rsidR="009821E2">
        <w:t xml:space="preserve">submissions do not address is </w:t>
      </w:r>
      <w:r w:rsidR="00AC732B">
        <w:t xml:space="preserve">something somewhat different to the actual involvement of senior management in the contraventions: that is, </w:t>
      </w:r>
      <w:r w:rsidR="009821E2">
        <w:t>the conduct outlined at the beginning of these reasons.</w:t>
      </w:r>
      <w:r w:rsidR="00F40047">
        <w:t xml:space="preserve"> </w:t>
      </w:r>
      <w:r w:rsidR="00FA759B">
        <w:t xml:space="preserve">What occurred at the meeting of the </w:t>
      </w:r>
      <w:r w:rsidR="00A4757D">
        <w:t xml:space="preserve">reconstituted </w:t>
      </w:r>
      <w:r w:rsidR="009821E2">
        <w:t>Issue</w:t>
      </w:r>
      <w:r w:rsidR="006777DD">
        <w:t>s</w:t>
      </w:r>
      <w:r w:rsidR="009821E2">
        <w:t xml:space="preserve"> Panel gives me </w:t>
      </w:r>
      <w:r w:rsidR="00FA759B">
        <w:t xml:space="preserve">no </w:t>
      </w:r>
      <w:r w:rsidR="009821E2">
        <w:t>confidence</w:t>
      </w:r>
      <w:r w:rsidR="00FA759B">
        <w:t xml:space="preserve"> </w:t>
      </w:r>
      <w:r w:rsidR="00793833">
        <w:t xml:space="preserve">whatsoever </w:t>
      </w:r>
      <w:r w:rsidR="009821E2">
        <w:t xml:space="preserve">that if the matter had been raised at the highest levels of AMPFP </w:t>
      </w:r>
      <w:r w:rsidR="00FA759B">
        <w:t xml:space="preserve">earlier, the necessary </w:t>
      </w:r>
      <w:r w:rsidR="009821E2">
        <w:t xml:space="preserve">action </w:t>
      </w:r>
      <w:r w:rsidR="00FA759B">
        <w:t xml:space="preserve">to have stopped further Rewriting Conduct </w:t>
      </w:r>
      <w:r w:rsidR="009821E2">
        <w:t>would have been taken</w:t>
      </w:r>
      <w:r w:rsidR="00FA759B">
        <w:t xml:space="preserve"> promptly. </w:t>
      </w:r>
      <w:r w:rsidR="00AC76C4">
        <w:t xml:space="preserve">The response of the reconstituted Issues Panel, convened and attended by senior management (including no less </w:t>
      </w:r>
      <w:r w:rsidR="00F27534">
        <w:t>a person than</w:t>
      </w:r>
      <w:r w:rsidR="00DF60F8">
        <w:t xml:space="preserve"> Mr </w:t>
      </w:r>
      <w:proofErr w:type="spellStart"/>
      <w:r w:rsidR="00DF60F8">
        <w:t>Guggenheimer</w:t>
      </w:r>
      <w:proofErr w:type="spellEnd"/>
      <w:r w:rsidR="00DF60F8">
        <w:t>, the Managing</w:t>
      </w:r>
      <w:r w:rsidR="00AC76C4" w:rsidRPr="0050074E">
        <w:t xml:space="preserve"> Director</w:t>
      </w:r>
      <w:r w:rsidR="00001324">
        <w:t xml:space="preserve"> of AMPFP</w:t>
      </w:r>
      <w:r w:rsidR="00AC76C4" w:rsidRPr="0050074E">
        <w:t>)</w:t>
      </w:r>
      <w:r w:rsidR="00AC76C4">
        <w:t xml:space="preserve"> might be descr</w:t>
      </w:r>
      <w:r w:rsidR="00E1049C">
        <w:t xml:space="preserve">ibed in a number of ways, but whatever way one looks at </w:t>
      </w:r>
      <w:r w:rsidR="00E124BB">
        <w:t>it</w:t>
      </w:r>
      <w:r w:rsidR="00E1049C">
        <w:t>, it</w:t>
      </w:r>
      <w:r w:rsidR="00AC76C4">
        <w:t xml:space="preserve"> was not the reaction of senior managers who understood the true gravity of what had occurred and were committed to taking decisive action</w:t>
      </w:r>
      <w:r w:rsidR="00E124BB">
        <w:t xml:space="preserve"> including</w:t>
      </w:r>
      <w:r w:rsidR="00793833">
        <w:t xml:space="preserve"> investigating, with rigour, the </w:t>
      </w:r>
      <w:r w:rsidR="00F61388">
        <w:t xml:space="preserve">possible </w:t>
      </w:r>
      <w:r w:rsidR="00793833">
        <w:t>extent of the problem</w:t>
      </w:r>
      <w:r w:rsidR="000D655B">
        <w:t xml:space="preserve"> and acquiring</w:t>
      </w:r>
      <w:r w:rsidR="00F61388">
        <w:t xml:space="preserve"> </w:t>
      </w:r>
      <w:r w:rsidR="000D655B">
        <w:t xml:space="preserve">all </w:t>
      </w:r>
      <w:r w:rsidR="00F61388">
        <w:t>necessary knowledge</w:t>
      </w:r>
      <w:r w:rsidR="00AC76C4">
        <w:t>.</w:t>
      </w:r>
      <w:r w:rsidR="005A06EB">
        <w:t xml:space="preserve"> </w:t>
      </w:r>
    </w:p>
    <w:p w:rsidR="00745978" w:rsidRDefault="003B3C7B" w:rsidP="003B3C7B">
      <w:pPr>
        <w:pStyle w:val="ParaNumbering"/>
        <w:numPr>
          <w:ilvl w:val="0"/>
          <w:numId w:val="0"/>
        </w:numPr>
        <w:tabs>
          <w:tab w:val="left" w:pos="720"/>
        </w:tabs>
        <w:ind w:hanging="720"/>
      </w:pPr>
      <w:r>
        <w:rPr>
          <w:sz w:val="20"/>
        </w:rPr>
        <w:t>174</w:t>
      </w:r>
      <w:r>
        <w:rPr>
          <w:sz w:val="20"/>
        </w:rPr>
        <w:tab/>
      </w:r>
      <w:r w:rsidR="007040AC">
        <w:t xml:space="preserve">Moreover, </w:t>
      </w:r>
      <w:r w:rsidR="007929AE">
        <w:t xml:space="preserve">related to the last point, </w:t>
      </w:r>
      <w:r w:rsidR="007040AC">
        <w:t xml:space="preserve">the submissions do not distinguish between the different periods during which the contravening conduct occurred. As noted above, </w:t>
      </w:r>
      <w:r w:rsidR="007929AE">
        <w:t>as</w:t>
      </w:r>
      <w:r w:rsidR="007040AC" w:rsidRPr="007040AC">
        <w:t xml:space="preserve"> to </w:t>
      </w:r>
      <w:r w:rsidR="007929AE">
        <w:t>AMPFP’s</w:t>
      </w:r>
      <w:r w:rsidR="007040AC" w:rsidRPr="007040AC">
        <w:t xml:space="preserve"> failures to take reasonable ste</w:t>
      </w:r>
      <w:r w:rsidR="005523F6">
        <w:t>ps to ensure Panganiban’s compl</w:t>
      </w:r>
      <w:r w:rsidR="007040AC" w:rsidRPr="007040AC">
        <w:t>i</w:t>
      </w:r>
      <w:r w:rsidR="005523F6">
        <w:t>a</w:t>
      </w:r>
      <w:r w:rsidR="007040AC" w:rsidRPr="007040AC">
        <w:t xml:space="preserve">nt behaviour, the contravening </w:t>
      </w:r>
      <w:r w:rsidR="007040AC" w:rsidRPr="007040AC">
        <w:lastRenderedPageBreak/>
        <w:t>conduct occur</w:t>
      </w:r>
      <w:r w:rsidR="007929AE">
        <w:t>red</w:t>
      </w:r>
      <w:r w:rsidR="007040AC" w:rsidRPr="007040AC">
        <w:t xml:space="preserve"> between 1 July 2013 and prior to September 2014; </w:t>
      </w:r>
      <w:r w:rsidR="007040AC">
        <w:t xml:space="preserve">but there is </w:t>
      </w:r>
      <w:r w:rsidR="007929AE">
        <w:t xml:space="preserve">also </w:t>
      </w:r>
      <w:r w:rsidR="007040AC">
        <w:t xml:space="preserve">the balance of the Relevant Period </w:t>
      </w:r>
      <w:r w:rsidR="007040AC" w:rsidRPr="007040AC">
        <w:rPr>
          <w:i/>
        </w:rPr>
        <w:t>up to 30 June 2015</w:t>
      </w:r>
      <w:r w:rsidR="007040AC">
        <w:t>, wh</w:t>
      </w:r>
      <w:r w:rsidR="007929AE">
        <w:t xml:space="preserve">ich was the last part of the period during which </w:t>
      </w:r>
      <w:r w:rsidR="007040AC">
        <w:t>AMPFP failed</w:t>
      </w:r>
      <w:r w:rsidR="007040AC" w:rsidRPr="007040AC">
        <w:t xml:space="preserve"> to take reasonable steps to ensure that O</w:t>
      </w:r>
      <w:r w:rsidR="007040AC">
        <w:t>ther Authorised Representatives engaged in compliant behaviour</w:t>
      </w:r>
      <w:r w:rsidR="007929AE">
        <w:t xml:space="preserve"> </w:t>
      </w:r>
      <w:r w:rsidR="000826CA" w:rsidRPr="00D90851">
        <w:t>–</w:t>
      </w:r>
      <w:r w:rsidR="000826CA">
        <w:t xml:space="preserve"> </w:t>
      </w:r>
      <w:r w:rsidR="007929AE">
        <w:t>despite involvement by senior management after the Panganiban balloon went up.</w:t>
      </w:r>
      <w:r w:rsidR="005A06EB">
        <w:t xml:space="preserve"> </w:t>
      </w:r>
      <w:r w:rsidR="007929AE">
        <w:t xml:space="preserve">In relation to this latter period, </w:t>
      </w:r>
      <w:r w:rsidR="00AC732B">
        <w:t>senior management w</w:t>
      </w:r>
      <w:r w:rsidR="007929AE">
        <w:t>ere c</w:t>
      </w:r>
      <w:r w:rsidR="000826CA">
        <w:t>oncerned with damage control (by</w:t>
      </w:r>
      <w:r w:rsidR="007929AE">
        <w:t xml:space="preserve"> painting Panganiban as a “bad apple”</w:t>
      </w:r>
      <w:r w:rsidR="000826CA">
        <w:t>)</w:t>
      </w:r>
      <w:r w:rsidR="007929AE">
        <w:t xml:space="preserve"> and not taking the steps AMPFP was required to take up to 30 June 2015</w:t>
      </w:r>
      <w:r w:rsidR="004D5CA4">
        <w:t>.</w:t>
      </w:r>
      <w:r w:rsidR="004C2396">
        <w:t xml:space="preserve"> </w:t>
      </w:r>
    </w:p>
    <w:p w:rsidR="00745978" w:rsidRDefault="00745978" w:rsidP="007C7E65">
      <w:pPr>
        <w:pStyle w:val="Heading4"/>
      </w:pPr>
      <w:bookmarkStart w:id="106" w:name="_Ref22827396"/>
      <w:r>
        <w:t>The existence, within the corporation, of compliance systems and whether there was a culture of compliance at the corporation</w:t>
      </w:r>
      <w:bookmarkEnd w:id="106"/>
    </w:p>
    <w:p w:rsidR="00745978" w:rsidRDefault="003B3C7B" w:rsidP="003B3C7B">
      <w:pPr>
        <w:pStyle w:val="ParaNumbering"/>
        <w:numPr>
          <w:ilvl w:val="0"/>
          <w:numId w:val="0"/>
        </w:numPr>
        <w:tabs>
          <w:tab w:val="left" w:pos="720"/>
        </w:tabs>
        <w:ind w:hanging="720"/>
      </w:pPr>
      <w:r>
        <w:rPr>
          <w:sz w:val="20"/>
        </w:rPr>
        <w:t>175</w:t>
      </w:r>
      <w:r>
        <w:rPr>
          <w:sz w:val="20"/>
        </w:rPr>
        <w:tab/>
      </w:r>
      <w:r w:rsidR="00745978">
        <w:t>The parties are agreed that AMPFP had in place various compliance and risk manag</w:t>
      </w:r>
      <w:r w:rsidR="000162C2">
        <w:t>ement systems and processes</w:t>
      </w:r>
      <w:r w:rsidR="00E279AE">
        <w:t xml:space="preserve"> during the relevant period</w:t>
      </w:r>
      <w:r w:rsidR="00D7007E">
        <w:t xml:space="preserve">. </w:t>
      </w:r>
    </w:p>
    <w:p w:rsidR="00745978" w:rsidRDefault="003B3C7B" w:rsidP="003B3C7B">
      <w:pPr>
        <w:pStyle w:val="ParaNumbering"/>
        <w:numPr>
          <w:ilvl w:val="0"/>
          <w:numId w:val="0"/>
        </w:numPr>
        <w:tabs>
          <w:tab w:val="left" w:pos="720"/>
        </w:tabs>
        <w:ind w:hanging="720"/>
      </w:pPr>
      <w:r>
        <w:rPr>
          <w:sz w:val="20"/>
        </w:rPr>
        <w:t>176</w:t>
      </w:r>
      <w:r>
        <w:rPr>
          <w:sz w:val="20"/>
        </w:rPr>
        <w:tab/>
      </w:r>
      <w:r w:rsidR="00745978">
        <w:t>In its submission</w:t>
      </w:r>
      <w:r w:rsidR="000826CA">
        <w:t>s</w:t>
      </w:r>
      <w:r w:rsidR="00745978">
        <w:t>, both written and oral, AMPFP made much of its elaborate and costly compliance system.</w:t>
      </w:r>
      <w:r w:rsidR="00F40047">
        <w:t xml:space="preserve"> </w:t>
      </w:r>
      <w:r w:rsidR="00745978">
        <w:t xml:space="preserve">It says that </w:t>
      </w:r>
      <w:r w:rsidR="00745978" w:rsidRPr="00F42398">
        <w:t>by the end of August 2014, AMP had spent $48 million on its FOFA program</w:t>
      </w:r>
      <w:r w:rsidR="00FB4658">
        <w:t>me</w:t>
      </w:r>
      <w:r w:rsidR="00745978" w:rsidRPr="00F42398">
        <w:t>, and its anticipated total spend was approximately $50.5 million. Further, since at least early 2012, AMP had established a steering committee titled the FOFA &amp; Super Ready Steering Committee, which had obtained</w:t>
      </w:r>
      <w:r w:rsidR="00CF2C02">
        <w:t xml:space="preserve"> advice,</w:t>
      </w:r>
      <w:r w:rsidR="00745978" w:rsidRPr="00F42398">
        <w:t xml:space="preserve"> from time to time</w:t>
      </w:r>
      <w:r w:rsidR="00CF2C02">
        <w:t>,</w:t>
      </w:r>
      <w:r w:rsidR="00745978" w:rsidRPr="00F42398">
        <w:t xml:space="preserve"> from external consultants including PwC.</w:t>
      </w:r>
    </w:p>
    <w:p w:rsidR="00D7007E" w:rsidRDefault="003B3C7B" w:rsidP="003B3C7B">
      <w:pPr>
        <w:pStyle w:val="ParaNumbering"/>
        <w:numPr>
          <w:ilvl w:val="0"/>
          <w:numId w:val="0"/>
        </w:numPr>
        <w:tabs>
          <w:tab w:val="left" w:pos="720"/>
        </w:tabs>
        <w:ind w:hanging="720"/>
      </w:pPr>
      <w:r>
        <w:rPr>
          <w:sz w:val="20"/>
        </w:rPr>
        <w:t>177</w:t>
      </w:r>
      <w:r>
        <w:rPr>
          <w:sz w:val="20"/>
        </w:rPr>
        <w:tab/>
      </w:r>
      <w:r w:rsidR="00FB4658">
        <w:t xml:space="preserve">As may already be evident from the introduction to these reasons, </w:t>
      </w:r>
      <w:r w:rsidR="00745978">
        <w:t xml:space="preserve">I </w:t>
      </w:r>
      <w:r w:rsidR="00E124BB">
        <w:t xml:space="preserve">consider </w:t>
      </w:r>
      <w:r w:rsidR="00745978">
        <w:t xml:space="preserve">AMPFP </w:t>
      </w:r>
      <w:r w:rsidR="00AC76C4">
        <w:t xml:space="preserve">significantly </w:t>
      </w:r>
      <w:r w:rsidR="00745978">
        <w:t>overstates the significance of its complian</w:t>
      </w:r>
      <w:r w:rsidR="004C2396">
        <w:t xml:space="preserve">ce systems. </w:t>
      </w:r>
      <w:r w:rsidR="00745978">
        <w:t xml:space="preserve">These contraventions have arisen due to a </w:t>
      </w:r>
      <w:r w:rsidR="00AC732B">
        <w:t>want of</w:t>
      </w:r>
      <w:r w:rsidR="00FB4658">
        <w:t xml:space="preserve"> corporate will to ensure the adequate working </w:t>
      </w:r>
      <w:r w:rsidR="00745978">
        <w:t>of AMPFP’s exis</w:t>
      </w:r>
      <w:r w:rsidR="00FB4658">
        <w:t>ting compliance systems, however elaborate and costly they were.</w:t>
      </w:r>
      <w:r w:rsidR="00F40047">
        <w:t xml:space="preserve"> </w:t>
      </w:r>
      <w:r w:rsidR="00FB4658">
        <w:t>T</w:t>
      </w:r>
      <w:r w:rsidR="00745978" w:rsidRPr="00F42398">
        <w:t xml:space="preserve">he essence of AMPFP’s contraventions of s 961L lies in </w:t>
      </w:r>
      <w:r w:rsidR="0020205E">
        <w:t>its</w:t>
      </w:r>
      <w:r w:rsidR="00AC732B">
        <w:t xml:space="preserve"> failure</w:t>
      </w:r>
      <w:r w:rsidR="0020205E">
        <w:t xml:space="preserve">s to act </w:t>
      </w:r>
      <w:r w:rsidR="00AC732B">
        <w:t xml:space="preserve">and, insofar as the later </w:t>
      </w:r>
      <w:r w:rsidR="0020205E">
        <w:t>period of the contraventions is</w:t>
      </w:r>
      <w:r w:rsidR="00AC732B">
        <w:t xml:space="preserve"> concerned, a failure to act notwithstanding </w:t>
      </w:r>
      <w:r w:rsidR="00745978" w:rsidRPr="00F42398">
        <w:t>information about a p</w:t>
      </w:r>
      <w:r w:rsidR="0020205E">
        <w:t>articular kind of non-compliant conduct was</w:t>
      </w:r>
      <w:r w:rsidR="00745978" w:rsidRPr="00F42398">
        <w:t xml:space="preserve"> </w:t>
      </w:r>
      <w:r w:rsidR="0020205E">
        <w:t>available</w:t>
      </w:r>
      <w:r w:rsidR="00745978" w:rsidRPr="00F42398">
        <w:t xml:space="preserve">; that is, both to stop </w:t>
      </w:r>
      <w:r w:rsidR="00A956F3">
        <w:t>Pangan</w:t>
      </w:r>
      <w:r w:rsidR="0020205E">
        <w:t xml:space="preserve">iban </w:t>
      </w:r>
      <w:r w:rsidR="00AC732B">
        <w:t>from continuing to engage</w:t>
      </w:r>
      <w:r w:rsidR="00745978" w:rsidRPr="00F42398">
        <w:t xml:space="preserve"> in his repeated and serious misconduct, but also to </w:t>
      </w:r>
      <w:r w:rsidR="00FB4658">
        <w:t xml:space="preserve">take what seem to me to be basic and obvious steps to </w:t>
      </w:r>
      <w:r w:rsidR="00745978" w:rsidRPr="00F42398">
        <w:t xml:space="preserve">investigate </w:t>
      </w:r>
      <w:r w:rsidR="0020205E">
        <w:t xml:space="preserve">in a timely manner </w:t>
      </w:r>
      <w:r w:rsidR="00745978" w:rsidRPr="00F42398">
        <w:t>whether other representatives were engaged in similar conduct and to address the conduct that had come to the</w:t>
      </w:r>
      <w:r w:rsidR="00844661">
        <w:t xml:space="preserve"> attention of AMPFP’s employees.</w:t>
      </w:r>
    </w:p>
    <w:p w:rsidR="00745978" w:rsidRDefault="003B3C7B" w:rsidP="003B3C7B">
      <w:pPr>
        <w:pStyle w:val="ParaNumbering"/>
        <w:numPr>
          <w:ilvl w:val="0"/>
          <w:numId w:val="0"/>
        </w:numPr>
        <w:tabs>
          <w:tab w:val="left" w:pos="720"/>
        </w:tabs>
        <w:ind w:hanging="720"/>
      </w:pPr>
      <w:r>
        <w:rPr>
          <w:sz w:val="20"/>
        </w:rPr>
        <w:t>178</w:t>
      </w:r>
      <w:r>
        <w:rPr>
          <w:sz w:val="20"/>
        </w:rPr>
        <w:tab/>
      </w:r>
      <w:r w:rsidR="00745978">
        <w:t>This was not a case of a “rogue” falling through the narrow cracks of an otherwise</w:t>
      </w:r>
      <w:r w:rsidR="004C2396">
        <w:t xml:space="preserve"> well-built compliance system. </w:t>
      </w:r>
      <w:r w:rsidR="00A956F3">
        <w:t>Pangan</w:t>
      </w:r>
      <w:r w:rsidR="00745978">
        <w:t xml:space="preserve">iban, though </w:t>
      </w:r>
      <w:r w:rsidR="001D29B0">
        <w:t xml:space="preserve">undoubtedly </w:t>
      </w:r>
      <w:r w:rsidR="00FB4658">
        <w:t>a rogue</w:t>
      </w:r>
      <w:r w:rsidR="00745978">
        <w:t>, f</w:t>
      </w:r>
      <w:r w:rsidR="00FB4658">
        <w:t xml:space="preserve">ell through </w:t>
      </w:r>
      <w:r w:rsidR="00745978">
        <w:t xml:space="preserve">holes in what may well have been an expensive, but </w:t>
      </w:r>
      <w:r w:rsidR="0020205E">
        <w:t xml:space="preserve">was an </w:t>
      </w:r>
      <w:r w:rsidR="00C573E3">
        <w:t>inadequately operated</w:t>
      </w:r>
      <w:r w:rsidR="00FB4658">
        <w:t xml:space="preserve"> </w:t>
      </w:r>
      <w:r w:rsidR="004C2396">
        <w:t>compliance system.</w:t>
      </w:r>
      <w:r w:rsidR="005A06EB">
        <w:t xml:space="preserve"> </w:t>
      </w:r>
      <w:r w:rsidR="00E279AE">
        <w:t xml:space="preserve">The system </w:t>
      </w:r>
      <w:r w:rsidR="00E279AE">
        <w:lastRenderedPageBreak/>
        <w:t xml:space="preserve">was operating in a context </w:t>
      </w:r>
      <w:r w:rsidR="00F20A0C">
        <w:t>where</w:t>
      </w:r>
      <w:r w:rsidR="00E279AE">
        <w:t xml:space="preserve"> someone like the </w:t>
      </w:r>
      <w:r w:rsidR="00E279AE" w:rsidRPr="00E279AE">
        <w:t xml:space="preserve">Head </w:t>
      </w:r>
      <w:r w:rsidR="00E279AE">
        <w:t>of New Business &amp; Underwriting could be aware conduct was taking place which was “</w:t>
      </w:r>
      <w:r w:rsidR="00E279AE" w:rsidRPr="00E279AE">
        <w:t>not right by the client</w:t>
      </w:r>
      <w:r w:rsidR="00E279AE">
        <w:t>”</w:t>
      </w:r>
      <w:r w:rsidR="00E1049C">
        <w:t>,</w:t>
      </w:r>
      <w:r w:rsidR="00E279AE">
        <w:t xml:space="preserve"> but </w:t>
      </w:r>
      <w:r w:rsidR="00E1049C">
        <w:t xml:space="preserve">despaired </w:t>
      </w:r>
      <w:r w:rsidR="00F20A0C">
        <w:t xml:space="preserve">that </w:t>
      </w:r>
      <w:r w:rsidR="00E279AE">
        <w:t xml:space="preserve">there was </w:t>
      </w:r>
      <w:r w:rsidR="00F20A0C">
        <w:t>nothing</w:t>
      </w:r>
      <w:r w:rsidR="00E279AE">
        <w:t xml:space="preserve"> that could be done.</w:t>
      </w:r>
      <w:r w:rsidR="005A06EB">
        <w:t xml:space="preserve"> </w:t>
      </w:r>
      <w:r w:rsidR="00FB4658">
        <w:t xml:space="preserve">A system is only as good as those responsible for its operation and seeing </w:t>
      </w:r>
      <w:r w:rsidR="004C2396">
        <w:t xml:space="preserve">its requirements are enforced. </w:t>
      </w:r>
      <w:r w:rsidR="00FB4658">
        <w:t>The proof of the pudding about a lack of corporate w</w:t>
      </w:r>
      <w:r w:rsidR="00AC732B">
        <w:t xml:space="preserve">ill is demonstrated </w:t>
      </w:r>
      <w:r w:rsidR="00FB4658">
        <w:t>by the failure to act d</w:t>
      </w:r>
      <w:r w:rsidR="00F61388">
        <w:t>ecisively throughout the Relevant Period</w:t>
      </w:r>
      <w:r w:rsidR="00C72911">
        <w:t>.</w:t>
      </w:r>
    </w:p>
    <w:p w:rsidR="00745978" w:rsidRDefault="00813BC6" w:rsidP="007C7E65">
      <w:pPr>
        <w:pStyle w:val="Heading4"/>
      </w:pPr>
      <w:bookmarkStart w:id="107" w:name="_Ref29821129"/>
      <w:r>
        <w:t>The</w:t>
      </w:r>
      <w:r>
        <w:rPr>
          <w:spacing w:val="-9"/>
        </w:rPr>
        <w:t xml:space="preserve"> </w:t>
      </w:r>
      <w:r>
        <w:t>impact</w:t>
      </w:r>
      <w:r>
        <w:rPr>
          <w:spacing w:val="-8"/>
        </w:rPr>
        <w:t xml:space="preserve"> </w:t>
      </w:r>
      <w:r>
        <w:t>or</w:t>
      </w:r>
      <w:r>
        <w:rPr>
          <w:spacing w:val="-9"/>
        </w:rPr>
        <w:t xml:space="preserve"> </w:t>
      </w:r>
      <w:r>
        <w:t>consequences</w:t>
      </w:r>
      <w:r>
        <w:rPr>
          <w:spacing w:val="-8"/>
        </w:rPr>
        <w:t xml:space="preserve"> </w:t>
      </w:r>
      <w:r>
        <w:t>of</w:t>
      </w:r>
      <w:r>
        <w:rPr>
          <w:spacing w:val="-9"/>
        </w:rPr>
        <w:t xml:space="preserve"> </w:t>
      </w:r>
      <w:r>
        <w:t>the</w:t>
      </w:r>
      <w:r>
        <w:rPr>
          <w:spacing w:val="-9"/>
        </w:rPr>
        <w:t xml:space="preserve"> </w:t>
      </w:r>
      <w:r>
        <w:t>contravention</w:t>
      </w:r>
      <w:r>
        <w:rPr>
          <w:spacing w:val="-9"/>
        </w:rPr>
        <w:t xml:space="preserve"> </w:t>
      </w:r>
      <w:r>
        <w:t>on</w:t>
      </w:r>
      <w:r>
        <w:rPr>
          <w:spacing w:val="-9"/>
        </w:rPr>
        <w:t xml:space="preserve"> </w:t>
      </w:r>
      <w:r>
        <w:t>the</w:t>
      </w:r>
      <w:r>
        <w:rPr>
          <w:spacing w:val="-9"/>
        </w:rPr>
        <w:t xml:space="preserve"> </w:t>
      </w:r>
      <w:r>
        <w:t>market</w:t>
      </w:r>
      <w:r>
        <w:rPr>
          <w:spacing w:val="-8"/>
        </w:rPr>
        <w:t xml:space="preserve"> </w:t>
      </w:r>
      <w:r>
        <w:t>or</w:t>
      </w:r>
      <w:r>
        <w:rPr>
          <w:spacing w:val="-9"/>
        </w:rPr>
        <w:t xml:space="preserve"> </w:t>
      </w:r>
      <w:r>
        <w:t>innocent</w:t>
      </w:r>
      <w:r>
        <w:rPr>
          <w:spacing w:val="-8"/>
        </w:rPr>
        <w:t xml:space="preserve"> </w:t>
      </w:r>
      <w:r>
        <w:t>third parties</w:t>
      </w:r>
      <w:bookmarkEnd w:id="107"/>
    </w:p>
    <w:p w:rsidR="00745978" w:rsidRDefault="003B3C7B" w:rsidP="003B3C7B">
      <w:pPr>
        <w:pStyle w:val="ParaNumbering"/>
        <w:numPr>
          <w:ilvl w:val="0"/>
          <w:numId w:val="0"/>
        </w:numPr>
        <w:tabs>
          <w:tab w:val="left" w:pos="720"/>
        </w:tabs>
        <w:ind w:hanging="720"/>
      </w:pPr>
      <w:r>
        <w:rPr>
          <w:sz w:val="20"/>
        </w:rPr>
        <w:t>179</w:t>
      </w:r>
      <w:r>
        <w:rPr>
          <w:sz w:val="20"/>
        </w:rPr>
        <w:tab/>
      </w:r>
      <w:r w:rsidR="00E148EA">
        <w:t xml:space="preserve">ASIC submitted that the Rewriting Conduct </w:t>
      </w:r>
      <w:r w:rsidR="00E148EA" w:rsidRPr="00E148EA">
        <w:t>exposed clients</w:t>
      </w:r>
      <w:r w:rsidR="0066478B">
        <w:t xml:space="preserve"> </w:t>
      </w:r>
      <w:r w:rsidR="002B6FE8">
        <w:t xml:space="preserve">to the Rewriting Risks </w:t>
      </w:r>
      <w:r w:rsidR="004C2396">
        <w:t>outlined at</w:t>
      </w:r>
      <w:r w:rsidR="00AB433E">
        <w:t xml:space="preserve"> [</w:t>
      </w:r>
      <w:r w:rsidR="004C2396">
        <w:fldChar w:fldCharType="begin" w:fldLock="1"/>
      </w:r>
      <w:r w:rsidR="004C2396">
        <w:instrText xml:space="preserve"> REF _Ref25593538 \r \h </w:instrText>
      </w:r>
      <w:r w:rsidR="004C2396">
        <w:fldChar w:fldCharType="separate"/>
      </w:r>
      <w:r w:rsidR="00E469CA">
        <w:t>59</w:t>
      </w:r>
      <w:r w:rsidR="004C2396">
        <w:fldChar w:fldCharType="end"/>
      </w:r>
      <w:r w:rsidR="004C2396">
        <w:fldChar w:fldCharType="begin" w:fldLock="1"/>
      </w:r>
      <w:r w:rsidR="004C2396">
        <w:instrText xml:space="preserve"> REF _Ref25593539 \r \h </w:instrText>
      </w:r>
      <w:r w:rsidR="004C2396">
        <w:fldChar w:fldCharType="separate"/>
      </w:r>
      <w:r w:rsidR="00E469CA">
        <w:t>(2)</w:t>
      </w:r>
      <w:r w:rsidR="004C2396">
        <w:fldChar w:fldCharType="end"/>
      </w:r>
      <w:r w:rsidR="00AB433E">
        <w:t>]</w:t>
      </w:r>
      <w:r w:rsidR="00AC732B">
        <w:t xml:space="preserve"> </w:t>
      </w:r>
      <w:r w:rsidR="004C2396">
        <w:t xml:space="preserve">above </w:t>
      </w:r>
      <w:r w:rsidR="002B6FE8" w:rsidRPr="002B6FE8">
        <w:t>and that exposure of clients to those risks in itself caused detriment</w:t>
      </w:r>
      <w:r w:rsidR="002B6FE8">
        <w:t>.</w:t>
      </w:r>
      <w:r w:rsidR="00F40047">
        <w:t xml:space="preserve"> </w:t>
      </w:r>
      <w:r w:rsidR="00813BC6">
        <w:t xml:space="preserve">Here, </w:t>
      </w:r>
      <w:r w:rsidR="00F119BA">
        <w:t xml:space="preserve">ASIC sought to prove that </w:t>
      </w:r>
      <w:r w:rsidR="00813BC6">
        <w:t>AMPFP’s contraventions of s 961L related to 40 clients of its representatives and each was exposed to one or more of the Rewriting Risks.</w:t>
      </w:r>
      <w:r w:rsidR="00E9431F">
        <w:t xml:space="preserve"> </w:t>
      </w:r>
    </w:p>
    <w:p w:rsidR="00745978" w:rsidRDefault="003B3C7B" w:rsidP="003B3C7B">
      <w:pPr>
        <w:pStyle w:val="ParaNumbering"/>
        <w:numPr>
          <w:ilvl w:val="0"/>
          <w:numId w:val="0"/>
        </w:numPr>
        <w:tabs>
          <w:tab w:val="left" w:pos="720"/>
        </w:tabs>
        <w:ind w:hanging="720"/>
      </w:pPr>
      <w:r>
        <w:rPr>
          <w:sz w:val="20"/>
        </w:rPr>
        <w:t>180</w:t>
      </w:r>
      <w:r>
        <w:rPr>
          <w:sz w:val="20"/>
        </w:rPr>
        <w:tab/>
      </w:r>
      <w:r w:rsidR="00745978">
        <w:t>In terms of actual harm, the parties were agreed that the condu</w:t>
      </w:r>
      <w:r w:rsidR="00FB4658">
        <w:t xml:space="preserve">ct in fact resulted in harm and </w:t>
      </w:r>
      <w:r w:rsidR="00F20A0C">
        <w:t>Clients 16, 20, 36, 38 and 40</w:t>
      </w:r>
      <w:r w:rsidR="00745978">
        <w:t xml:space="preserve"> suffered as a result of the imposition of exclusions and/or loadings in respect of the relevant clients’ insurance policies.</w:t>
      </w:r>
      <w:r w:rsidR="00F40047">
        <w:t xml:space="preserve"> </w:t>
      </w:r>
      <w:r w:rsidR="00745978">
        <w:t>Th</w:t>
      </w:r>
      <w:r w:rsidR="00F119BA">
        <w:t xml:space="preserve">at said, </w:t>
      </w:r>
      <w:r w:rsidR="00745978">
        <w:t xml:space="preserve">the exposure of clients to </w:t>
      </w:r>
      <w:r w:rsidR="00A11963">
        <w:t xml:space="preserve">the </w:t>
      </w:r>
      <w:r w:rsidR="00E148EA">
        <w:t>R</w:t>
      </w:r>
      <w:r w:rsidR="00745978">
        <w:t xml:space="preserve">ewriting </w:t>
      </w:r>
      <w:r w:rsidR="00E148EA">
        <w:t>R</w:t>
      </w:r>
      <w:r w:rsidR="00745978">
        <w:t>isks is</w:t>
      </w:r>
      <w:r w:rsidR="008D1492">
        <w:t xml:space="preserve"> of itself</w:t>
      </w:r>
      <w:r w:rsidR="00B257F4">
        <w:t xml:space="preserve"> </w:t>
      </w:r>
      <w:r w:rsidR="00FB4658">
        <w:t xml:space="preserve">a </w:t>
      </w:r>
      <w:r w:rsidR="00745978">
        <w:t>detri</w:t>
      </w:r>
      <w:r w:rsidR="008D1492">
        <w:t>mental impact on third parties which must be taken into account.</w:t>
      </w:r>
      <w:r w:rsidR="005A06EB">
        <w:t xml:space="preserve"> </w:t>
      </w:r>
      <w:r w:rsidR="00F119BA">
        <w:t xml:space="preserve">Moreover, given the nature of the contraventions in relation to the Other Authorised Representatives and the limitations of investigations to date, the true extent of the Rewriting Conduct (and hence the </w:t>
      </w:r>
      <w:r w:rsidR="00DF751B">
        <w:t xml:space="preserve">extent of </w:t>
      </w:r>
      <w:r w:rsidR="00F119BA">
        <w:t xml:space="preserve">harm) is, as AMPFP accepted, </w:t>
      </w:r>
      <w:r w:rsidR="00DF751B">
        <w:t xml:space="preserve">presently </w:t>
      </w:r>
      <w:r w:rsidR="00F119BA">
        <w:t>unknown and may never be known</w:t>
      </w:r>
      <w:r w:rsidR="00DF751B">
        <w:t xml:space="preserve"> with any precision</w:t>
      </w:r>
      <w:r w:rsidR="00F119BA">
        <w:t xml:space="preserve">. </w:t>
      </w:r>
    </w:p>
    <w:p w:rsidR="00745978" w:rsidRDefault="00745978" w:rsidP="007C7E65">
      <w:pPr>
        <w:pStyle w:val="Heading4"/>
      </w:pPr>
      <w:bookmarkStart w:id="108" w:name="_Ref22827398"/>
      <w:r>
        <w:t>T</w:t>
      </w:r>
      <w:r w:rsidRPr="00663D42">
        <w:t>he extent of any profit or benefit derived as a result of the contravention</w:t>
      </w:r>
      <w:bookmarkEnd w:id="108"/>
    </w:p>
    <w:p w:rsidR="00745978" w:rsidRPr="00663D42" w:rsidRDefault="003B3C7B" w:rsidP="003B3C7B">
      <w:pPr>
        <w:pStyle w:val="ParaNumbering"/>
        <w:numPr>
          <w:ilvl w:val="0"/>
          <w:numId w:val="0"/>
        </w:numPr>
        <w:tabs>
          <w:tab w:val="left" w:pos="720"/>
        </w:tabs>
        <w:ind w:hanging="720"/>
      </w:pPr>
      <w:r w:rsidRPr="00663D42">
        <w:rPr>
          <w:sz w:val="20"/>
        </w:rPr>
        <w:t>181</w:t>
      </w:r>
      <w:r w:rsidRPr="00663D42">
        <w:rPr>
          <w:sz w:val="20"/>
        </w:rPr>
        <w:tab/>
      </w:r>
      <w:r w:rsidR="00FB4658">
        <w:t xml:space="preserve">Although </w:t>
      </w:r>
      <w:r w:rsidR="00745978">
        <w:t xml:space="preserve">the authorised representatives personally derived profit from </w:t>
      </w:r>
      <w:r w:rsidR="00DF4377">
        <w:t xml:space="preserve">the </w:t>
      </w:r>
      <w:r w:rsidR="00745978">
        <w:t xml:space="preserve">Rewriting Conduct (such profit being considerable in the case of </w:t>
      </w:r>
      <w:r w:rsidR="00A956F3">
        <w:t>Pangan</w:t>
      </w:r>
      <w:r w:rsidR="00745978">
        <w:t xml:space="preserve">iban), it is not accurate to say that AMPFP itself profited or benefited from the Rewriting Conduct in any </w:t>
      </w:r>
      <w:r w:rsidR="00090556" w:rsidRPr="00B257F4">
        <w:rPr>
          <w:i/>
        </w:rPr>
        <w:t xml:space="preserve">direct </w:t>
      </w:r>
      <w:r w:rsidR="00745978">
        <w:t>way</w:t>
      </w:r>
      <w:r w:rsidR="00090556">
        <w:t xml:space="preserve"> and ASIC makes no submission that it did. </w:t>
      </w:r>
      <w:r w:rsidR="00B257F4">
        <w:t>That said, as I have explained above, there is an obvious, albeit indirect commercial benefit in not reprimand</w:t>
      </w:r>
      <w:r w:rsidR="0020205E">
        <w:t xml:space="preserve">ing </w:t>
      </w:r>
      <w:r w:rsidR="00B257F4">
        <w:t>productive adviser</w:t>
      </w:r>
      <w:r w:rsidR="0020205E">
        <w:t>s, including at least one who was “</w:t>
      </w:r>
      <w:r w:rsidR="00B257F4">
        <w:t>writing a bucket load of business”.</w:t>
      </w:r>
      <w:r w:rsidR="00F40047">
        <w:t xml:space="preserve"> </w:t>
      </w:r>
    </w:p>
    <w:p w:rsidR="007568AD" w:rsidRDefault="007C7E65" w:rsidP="007568AD">
      <w:pPr>
        <w:pStyle w:val="Heading3"/>
      </w:pPr>
      <w:bookmarkStart w:id="109" w:name="_Ref29821130"/>
      <w:bookmarkStart w:id="110" w:name="_Ref22827399"/>
      <w:r>
        <w:t>I</w:t>
      </w:r>
      <w:r w:rsidR="00922104">
        <w:t>II</w:t>
      </w:r>
      <w:r w:rsidR="00745978">
        <w:tab/>
      </w:r>
      <w:r w:rsidR="007568AD">
        <w:t>Subjective factors that concern t</w:t>
      </w:r>
      <w:r w:rsidR="00813BC6">
        <w:t>he particular circumstances of AMPFP</w:t>
      </w:r>
      <w:bookmarkEnd w:id="109"/>
    </w:p>
    <w:p w:rsidR="00745978" w:rsidRDefault="00745978" w:rsidP="007568AD">
      <w:pPr>
        <w:pStyle w:val="Heading4"/>
      </w:pPr>
      <w:bookmarkStart w:id="111" w:name="_Ref29821131"/>
      <w:r>
        <w:t>T</w:t>
      </w:r>
      <w:r w:rsidRPr="00FD6608">
        <w:t>he size and financial posit</w:t>
      </w:r>
      <w:r>
        <w:t>ion of the contravening company</w:t>
      </w:r>
      <w:bookmarkEnd w:id="110"/>
      <w:bookmarkEnd w:id="111"/>
    </w:p>
    <w:p w:rsidR="0020205E" w:rsidRDefault="003B3C7B" w:rsidP="003B3C7B">
      <w:pPr>
        <w:pStyle w:val="ParaNumbering"/>
        <w:numPr>
          <w:ilvl w:val="0"/>
          <w:numId w:val="0"/>
        </w:numPr>
        <w:tabs>
          <w:tab w:val="left" w:pos="720"/>
        </w:tabs>
        <w:ind w:hanging="720"/>
      </w:pPr>
      <w:r>
        <w:rPr>
          <w:sz w:val="20"/>
        </w:rPr>
        <w:t>182</w:t>
      </w:r>
      <w:r>
        <w:rPr>
          <w:sz w:val="20"/>
        </w:rPr>
        <w:tab/>
      </w:r>
      <w:r w:rsidR="0020205E">
        <w:t xml:space="preserve">This is an important consideration. </w:t>
      </w:r>
    </w:p>
    <w:p w:rsidR="00745978" w:rsidRDefault="003B3C7B" w:rsidP="003B3C7B">
      <w:pPr>
        <w:pStyle w:val="ParaNumbering"/>
        <w:numPr>
          <w:ilvl w:val="0"/>
          <w:numId w:val="0"/>
        </w:numPr>
        <w:tabs>
          <w:tab w:val="left" w:pos="720"/>
        </w:tabs>
        <w:ind w:hanging="720"/>
      </w:pPr>
      <w:r>
        <w:rPr>
          <w:sz w:val="20"/>
        </w:rPr>
        <w:t>183</w:t>
      </w:r>
      <w:r>
        <w:rPr>
          <w:sz w:val="20"/>
        </w:rPr>
        <w:tab/>
      </w:r>
      <w:r w:rsidR="00745978">
        <w:t xml:space="preserve">As Beach J observed in </w:t>
      </w:r>
      <w:r w:rsidR="00BD2F9B" w:rsidRPr="00BD2F9B">
        <w:rPr>
          <w:i/>
        </w:rPr>
        <w:t>Australian Securities and Investments Commission</w:t>
      </w:r>
      <w:r w:rsidR="00745978" w:rsidRPr="00D840EB">
        <w:rPr>
          <w:i/>
        </w:rPr>
        <w:t xml:space="preserve"> v Westpac</w:t>
      </w:r>
      <w:r w:rsidR="00745978">
        <w:t xml:space="preserve"> </w:t>
      </w:r>
      <w:r w:rsidR="00C836A5">
        <w:rPr>
          <w:i/>
        </w:rPr>
        <w:t xml:space="preserve">(No 3) </w:t>
      </w:r>
      <w:r w:rsidR="00745978">
        <w:t xml:space="preserve">at </w:t>
      </w:r>
      <w:r w:rsidR="00C836A5">
        <w:t xml:space="preserve">609 </w:t>
      </w:r>
      <w:r w:rsidR="00DF4377">
        <w:t>[121]</w:t>
      </w:r>
      <w:r w:rsidR="00745978">
        <w:t>, i</w:t>
      </w:r>
      <w:r w:rsidR="00745978" w:rsidRPr="00D840EB">
        <w:t xml:space="preserve">n considering the extent to which the penalty achieves </w:t>
      </w:r>
      <w:r w:rsidR="00BC22D9">
        <w:t>deterrence, it is necessary</w:t>
      </w:r>
      <w:r w:rsidR="00745978" w:rsidRPr="00D840EB">
        <w:t xml:space="preserve"> </w:t>
      </w:r>
      <w:r w:rsidR="00745978" w:rsidRPr="00D840EB">
        <w:lastRenderedPageBreak/>
        <w:t>to have regard to a company’s size and profitability.</w:t>
      </w:r>
      <w:r w:rsidR="00F40047">
        <w:t xml:space="preserve"> </w:t>
      </w:r>
      <w:r w:rsidR="00BC22D9">
        <w:t>The rationale is that m</w:t>
      </w:r>
      <w:r w:rsidR="00745978" w:rsidRPr="00D840EB">
        <w:t>odest penalties are unlikely to deter very large corporations from engaging in contravening conduct from which they may derive significant benefits.</w:t>
      </w:r>
      <w:r w:rsidR="00BC22D9">
        <w:t xml:space="preserve"> Of course, the present case is not an example of contravening conduct that resulted in direct, significant financial reward, but nonetheless if specific deterrence is to be promoted, the size of the company suffering a financial impost will be relevant to the subjective significance of a penalty.</w:t>
      </w:r>
      <w:r w:rsidR="005A06EB">
        <w:t xml:space="preserve"> </w:t>
      </w:r>
    </w:p>
    <w:p w:rsidR="00745978" w:rsidRDefault="003B3C7B" w:rsidP="003B3C7B">
      <w:pPr>
        <w:pStyle w:val="ParaNumbering"/>
        <w:numPr>
          <w:ilvl w:val="0"/>
          <w:numId w:val="0"/>
        </w:numPr>
        <w:tabs>
          <w:tab w:val="left" w:pos="720"/>
        </w:tabs>
        <w:ind w:hanging="720"/>
      </w:pPr>
      <w:r>
        <w:rPr>
          <w:sz w:val="20"/>
        </w:rPr>
        <w:t>184</w:t>
      </w:r>
      <w:r>
        <w:rPr>
          <w:sz w:val="20"/>
        </w:rPr>
        <w:tab/>
      </w:r>
      <w:r w:rsidR="00745978" w:rsidRPr="00F201E3">
        <w:t>It is common ground that AMPFP’s business is large and that at all relevant times it had, by industry standards, a large number of authorised representatives</w:t>
      </w:r>
      <w:r w:rsidR="004C2396">
        <w:t xml:space="preserve">. </w:t>
      </w:r>
      <w:r w:rsidR="00745978">
        <w:t xml:space="preserve">Specifically, during the relevant period, it had </w:t>
      </w:r>
      <w:r w:rsidR="00745978" w:rsidRPr="00FD6608">
        <w:t>between 1,662 and 1,716 representatives</w:t>
      </w:r>
      <w:r w:rsidR="004C2396">
        <w:t xml:space="preserve">. </w:t>
      </w:r>
      <w:r w:rsidR="00745978">
        <w:t xml:space="preserve">In addition, </w:t>
      </w:r>
      <w:r w:rsidR="00745978" w:rsidRPr="00D840EB">
        <w:t>AMPFP is a subsidiary of AMP Limited, an entity listed on the ASX.</w:t>
      </w:r>
      <w:r w:rsidR="00F40047">
        <w:t xml:space="preserve"> </w:t>
      </w:r>
      <w:r w:rsidR="00745978">
        <w:t xml:space="preserve">During the relevant period, AMP Limited held consolidated net assets of between </w:t>
      </w:r>
      <w:r w:rsidR="004C2396">
        <w:t xml:space="preserve">$7.6 billion and $8.8 billion. </w:t>
      </w:r>
      <w:r w:rsidR="00745978" w:rsidRPr="00166364">
        <w:t>AMP Limited’s total comprehensive income for the year ended 31 December 2018 was $91 million</w:t>
      </w:r>
      <w:r w:rsidR="00745978">
        <w:t>.</w:t>
      </w:r>
      <w:r w:rsidR="00F40047">
        <w:t xml:space="preserve"> </w:t>
      </w:r>
      <w:r w:rsidR="00745978" w:rsidRPr="00166364">
        <w:t>AMP</w:t>
      </w:r>
      <w:r w:rsidR="005430FF">
        <w:t xml:space="preserve"> Limited</w:t>
      </w:r>
      <w:r w:rsidR="00745978" w:rsidRPr="00166364">
        <w:t>’s consolidated net assets for the year ended 31 December 2018 was $6,791 million</w:t>
      </w:r>
      <w:r w:rsidR="004C2396">
        <w:t xml:space="preserve">. </w:t>
      </w:r>
      <w:r w:rsidR="00745978" w:rsidRPr="00166364">
        <w:t>Segment profit after income tax f</w:t>
      </w:r>
      <w:r w:rsidR="00745978">
        <w:t>or Australian wealth management</w:t>
      </w:r>
      <w:r w:rsidR="00745978" w:rsidRPr="00166364">
        <w:t xml:space="preserve"> was $363</w:t>
      </w:r>
      <w:r w:rsidR="004C2396">
        <w:t xml:space="preserve"> million. </w:t>
      </w:r>
      <w:r w:rsidR="0020205E">
        <w:t>It should be noted, however, that</w:t>
      </w:r>
      <w:r w:rsidR="00745978">
        <w:t xml:space="preserve"> i</w:t>
      </w:r>
      <w:r w:rsidR="00745978" w:rsidRPr="00754C2F">
        <w:t>n FY2018, AMPFP made a loss (before tax) of $64 million and ha</w:t>
      </w:r>
      <w:r w:rsidR="00556C76">
        <w:t>d</w:t>
      </w:r>
      <w:r w:rsidR="00745978">
        <w:t xml:space="preserve"> net assets in the order of $8 </w:t>
      </w:r>
      <w:r w:rsidR="00745978" w:rsidRPr="00754C2F">
        <w:t>million</w:t>
      </w:r>
      <w:r w:rsidR="00745978">
        <w:t>.</w:t>
      </w:r>
    </w:p>
    <w:p w:rsidR="00745978" w:rsidRDefault="003B3C7B" w:rsidP="003B3C7B">
      <w:pPr>
        <w:pStyle w:val="ParaNumbering"/>
        <w:numPr>
          <w:ilvl w:val="0"/>
          <w:numId w:val="0"/>
        </w:numPr>
        <w:tabs>
          <w:tab w:val="left" w:pos="720"/>
        </w:tabs>
        <w:ind w:hanging="720"/>
      </w:pPr>
      <w:r>
        <w:rPr>
          <w:sz w:val="20"/>
        </w:rPr>
        <w:t>185</w:t>
      </w:r>
      <w:r>
        <w:rPr>
          <w:sz w:val="20"/>
        </w:rPr>
        <w:tab/>
      </w:r>
      <w:r w:rsidR="00745978" w:rsidRPr="00754C2F">
        <w:t>AMPFP accepts that it may be appr</w:t>
      </w:r>
      <w:r w:rsidR="00090556">
        <w:t xml:space="preserve">opriate to have regard to </w:t>
      </w:r>
      <w:r w:rsidR="00745978" w:rsidRPr="00754C2F">
        <w:t>financial accommodation that may</w:t>
      </w:r>
      <w:r w:rsidR="00090556">
        <w:t xml:space="preserve"> be available to a contravener but </w:t>
      </w:r>
      <w:r w:rsidR="00745978" w:rsidRPr="00754C2F">
        <w:t>the approach suggested by ASIC</w:t>
      </w:r>
      <w:r w:rsidR="00090556">
        <w:t>,</w:t>
      </w:r>
      <w:r w:rsidR="00745978" w:rsidRPr="00754C2F">
        <w:t xml:space="preserve"> of looking at the assets of any related bo</w:t>
      </w:r>
      <w:r w:rsidR="00745978">
        <w:t>dy corporate</w:t>
      </w:r>
      <w:r w:rsidR="00090556">
        <w:t>,</w:t>
      </w:r>
      <w:r w:rsidR="00745978">
        <w:t xml:space="preserve"> is </w:t>
      </w:r>
      <w:r w:rsidR="0020205E">
        <w:t>said to be in</w:t>
      </w:r>
      <w:r w:rsidR="00745978">
        <w:t>appropriate because i</w:t>
      </w:r>
      <w:r w:rsidR="00745978" w:rsidRPr="00754C2F">
        <w:t xml:space="preserve">t </w:t>
      </w:r>
      <w:r w:rsidR="00090556">
        <w:t>take</w:t>
      </w:r>
      <w:r w:rsidR="0020205E">
        <w:t>s</w:t>
      </w:r>
      <w:r w:rsidR="00090556">
        <w:t xml:space="preserve"> into account </w:t>
      </w:r>
      <w:r w:rsidR="00745978" w:rsidRPr="00440702">
        <w:t xml:space="preserve">assets of separate legal entities not available to the contravener. </w:t>
      </w:r>
      <w:r w:rsidR="00745978">
        <w:t>Leaving aside the complexities of the inter-company organisation and financial accommodation of the corporate group, AMP</w:t>
      </w:r>
      <w:r w:rsidR="00090556">
        <w:t xml:space="preserve">FP is part </w:t>
      </w:r>
      <w:r w:rsidR="00745978">
        <w:t>of a much larger an</w:t>
      </w:r>
      <w:r w:rsidR="004C2396">
        <w:t xml:space="preserve">d coordinated corporate group. </w:t>
      </w:r>
      <w:r w:rsidR="00745978">
        <w:t xml:space="preserve">When one recalls the relevance of not only specific deterrence, but also general deterrence (see </w:t>
      </w:r>
      <w:r w:rsidR="00745978" w:rsidRPr="00090556">
        <w:rPr>
          <w:i/>
        </w:rPr>
        <w:t>Australian Competition and Consumer Commission v ACM Group Limited (No 3)</w:t>
      </w:r>
      <w:r w:rsidR="00745978">
        <w:t xml:space="preserve"> [2018] FCA 2059 at [96]</w:t>
      </w:r>
      <w:r w:rsidR="00F32117">
        <w:t xml:space="preserve"> (Griffiths J)</w:t>
      </w:r>
      <w:r w:rsidR="00745978">
        <w:t xml:space="preserve">), it can be appreciated why it is important that the public perception of AMPFP </w:t>
      </w:r>
      <w:r w:rsidR="00090556">
        <w:t>(</w:t>
      </w:r>
      <w:r w:rsidR="00745978">
        <w:t xml:space="preserve">as </w:t>
      </w:r>
      <w:r w:rsidR="0057730D">
        <w:t xml:space="preserve">a </w:t>
      </w:r>
      <w:r w:rsidR="00745978">
        <w:t>constituent part of a large, internally coordinate</w:t>
      </w:r>
      <w:r w:rsidR="00E87329">
        <w:t>d</w:t>
      </w:r>
      <w:r w:rsidR="00745978">
        <w:t xml:space="preserve"> and wealthy corporate group</w:t>
      </w:r>
      <w:r w:rsidR="00090556">
        <w:t>) is a r</w:t>
      </w:r>
      <w:r w:rsidR="00745978">
        <w:t>elevant consideration, notwithstanding it being a separate, albeit associated legal person to AMP Limited</w:t>
      </w:r>
      <w:r w:rsidR="00090556">
        <w:t xml:space="preserve"> and other sibling companies</w:t>
      </w:r>
      <w:r w:rsidR="00745978">
        <w:t>.</w:t>
      </w:r>
    </w:p>
    <w:p w:rsidR="00745978" w:rsidRDefault="003B3C7B" w:rsidP="003B3C7B">
      <w:pPr>
        <w:pStyle w:val="ParaNumbering"/>
        <w:numPr>
          <w:ilvl w:val="0"/>
          <w:numId w:val="0"/>
        </w:numPr>
        <w:tabs>
          <w:tab w:val="left" w:pos="720"/>
        </w:tabs>
        <w:ind w:hanging="720"/>
      </w:pPr>
      <w:r>
        <w:rPr>
          <w:sz w:val="20"/>
        </w:rPr>
        <w:t>186</w:t>
      </w:r>
      <w:r>
        <w:rPr>
          <w:sz w:val="20"/>
        </w:rPr>
        <w:tab/>
      </w:r>
      <w:r w:rsidR="00F408DB">
        <w:t>Although the size of a</w:t>
      </w:r>
      <w:r w:rsidR="00F408DB" w:rsidRPr="00F408DB">
        <w:t xml:space="preserve"> contravening corporation does not</w:t>
      </w:r>
      <w:r w:rsidR="00F408DB">
        <w:t>,</w:t>
      </w:r>
      <w:r w:rsidR="00F408DB" w:rsidRPr="00F408DB">
        <w:t xml:space="preserve"> of itself</w:t>
      </w:r>
      <w:r w:rsidR="00F408DB">
        <w:t>,</w:t>
      </w:r>
      <w:r w:rsidR="00F408DB" w:rsidRPr="00F408DB">
        <w:t xml:space="preserve"> justify a higher penalty than might otherwise be imposed</w:t>
      </w:r>
      <w:r w:rsidR="00F408DB">
        <w:t xml:space="preserve"> (</w:t>
      </w:r>
      <w:r w:rsidR="00F408DB" w:rsidRPr="00F408DB">
        <w:rPr>
          <w:i/>
        </w:rPr>
        <w:t>Australian Competition and Consumer Commission v Coles Supermarkets Australia Pty Ltd</w:t>
      </w:r>
      <w:r w:rsidR="00F408DB" w:rsidRPr="00F408DB">
        <w:t xml:space="preserve"> [2015] FCA 330; </w:t>
      </w:r>
      <w:r w:rsidR="0044519B">
        <w:t>(2015) 327 ALR 540 at 559-560 [89]-</w:t>
      </w:r>
      <w:r w:rsidR="00F408DB" w:rsidRPr="00F408DB">
        <w:t>[92]</w:t>
      </w:r>
      <w:r w:rsidR="00F408DB">
        <w:t xml:space="preserve">), </w:t>
      </w:r>
      <w:r w:rsidR="00F408DB">
        <w:lastRenderedPageBreak/>
        <w:t xml:space="preserve">in the case of AMPFP, I am satisfied its </w:t>
      </w:r>
      <w:r w:rsidR="00F408DB" w:rsidRPr="00F408DB">
        <w:t xml:space="preserve">size </w:t>
      </w:r>
      <w:r w:rsidR="00F408DB">
        <w:t>is</w:t>
      </w:r>
      <w:r w:rsidR="00F408DB" w:rsidRPr="00F408DB">
        <w:t xml:space="preserve"> </w:t>
      </w:r>
      <w:r w:rsidR="0020205E">
        <w:t xml:space="preserve">highly </w:t>
      </w:r>
      <w:r w:rsidR="00F408DB" w:rsidRPr="00F408DB">
        <w:t>relevant in determining the size of the pecuniary penalty that would op</w:t>
      </w:r>
      <w:r w:rsidR="00F408DB">
        <w:t>erate as an effective deterrent</w:t>
      </w:r>
      <w:r w:rsidR="00745978">
        <w:t>.</w:t>
      </w:r>
    </w:p>
    <w:p w:rsidR="00745978" w:rsidRDefault="00745978" w:rsidP="007568AD">
      <w:pPr>
        <w:pStyle w:val="Heading4"/>
      </w:pPr>
      <w:bookmarkStart w:id="112" w:name="_Ref22827400"/>
      <w:r>
        <w:t>Whether the company has been found to have engaged in similar conduct in the past</w:t>
      </w:r>
      <w:bookmarkEnd w:id="112"/>
    </w:p>
    <w:p w:rsidR="00745978" w:rsidRDefault="003B3C7B" w:rsidP="003B3C7B">
      <w:pPr>
        <w:pStyle w:val="ParaNumbering"/>
        <w:numPr>
          <w:ilvl w:val="0"/>
          <w:numId w:val="0"/>
        </w:numPr>
        <w:tabs>
          <w:tab w:val="left" w:pos="720"/>
        </w:tabs>
        <w:ind w:hanging="720"/>
      </w:pPr>
      <w:r>
        <w:rPr>
          <w:sz w:val="20"/>
        </w:rPr>
        <w:t>187</w:t>
      </w:r>
      <w:r>
        <w:rPr>
          <w:sz w:val="20"/>
        </w:rPr>
        <w:tab/>
      </w:r>
      <w:r w:rsidR="00745978">
        <w:t xml:space="preserve">AMPFP has not previously been found by a </w:t>
      </w:r>
      <w:r w:rsidR="00137546">
        <w:t>court to have contravened s</w:t>
      </w:r>
      <w:r w:rsidR="00F96644">
        <w:t xml:space="preserve"> 961L of the Act </w:t>
      </w:r>
      <w:r w:rsidR="003A4212">
        <w:t>(or similar provisions)</w:t>
      </w:r>
      <w:r w:rsidR="00F96644">
        <w:t>.</w:t>
      </w:r>
      <w:r w:rsidR="00F40047">
        <w:t xml:space="preserve"> </w:t>
      </w:r>
      <w:r w:rsidR="004C2396">
        <w:t xml:space="preserve">This is not particularly surprising given the </w:t>
      </w:r>
      <w:r w:rsidR="00AC76C4">
        <w:t>recent passage</w:t>
      </w:r>
      <w:r w:rsidR="004C2396">
        <w:t xml:space="preserve"> of the provisions, but it is nonetheless </w:t>
      </w:r>
      <w:r w:rsidR="00F408DB">
        <w:t>a mitigating factor when it comes to assessment of penalty</w:t>
      </w:r>
      <w:r w:rsidR="00137546">
        <w:t>.</w:t>
      </w:r>
    </w:p>
    <w:p w:rsidR="00745978" w:rsidRDefault="00745978" w:rsidP="007568AD">
      <w:pPr>
        <w:pStyle w:val="Heading4"/>
      </w:pPr>
      <w:bookmarkStart w:id="113" w:name="_Ref22827401"/>
      <w:r>
        <w:t>W</w:t>
      </w:r>
      <w:r w:rsidRPr="00166364">
        <w:t>hether the company has improved or modified its compliance systems since the contravention</w:t>
      </w:r>
      <w:bookmarkEnd w:id="113"/>
    </w:p>
    <w:p w:rsidR="000F5BC6" w:rsidRDefault="003B3C7B" w:rsidP="003B3C7B">
      <w:pPr>
        <w:pStyle w:val="ParaNumbering"/>
        <w:numPr>
          <w:ilvl w:val="0"/>
          <w:numId w:val="0"/>
        </w:numPr>
        <w:tabs>
          <w:tab w:val="left" w:pos="720"/>
        </w:tabs>
        <w:ind w:hanging="720"/>
      </w:pPr>
      <w:r>
        <w:rPr>
          <w:sz w:val="20"/>
        </w:rPr>
        <w:t>188</w:t>
      </w:r>
      <w:r>
        <w:rPr>
          <w:sz w:val="20"/>
        </w:rPr>
        <w:tab/>
      </w:r>
      <w:r w:rsidR="000F5BC6">
        <w:t>I accept</w:t>
      </w:r>
      <w:r w:rsidR="00137546">
        <w:t xml:space="preserve"> and take into account when assessing the objective seriousness of the contraventions</w:t>
      </w:r>
      <w:r w:rsidR="000F5BC6">
        <w:t xml:space="preserve"> </w:t>
      </w:r>
      <w:r w:rsidR="005B117A">
        <w:t xml:space="preserve">that AMPPF has taken </w:t>
      </w:r>
      <w:r w:rsidR="00EA0215">
        <w:t xml:space="preserve">some </w:t>
      </w:r>
      <w:r w:rsidR="005B117A">
        <w:t xml:space="preserve">steps to improve and modify its compliance systems since its contraventions, both generally and </w:t>
      </w:r>
      <w:r w:rsidR="00E16115">
        <w:t>i</w:t>
      </w:r>
      <w:r w:rsidR="00090556">
        <w:t>n respect of Rewriting Conduct</w:t>
      </w:r>
      <w:r w:rsidR="001F054B">
        <w:t>,</w:t>
      </w:r>
      <w:r w:rsidR="00090556">
        <w:t xml:space="preserve"> but t</w:t>
      </w:r>
      <w:r w:rsidR="00E16115">
        <w:t xml:space="preserve">he significance and </w:t>
      </w:r>
      <w:r w:rsidR="00090556">
        <w:t>worth</w:t>
      </w:r>
      <w:r w:rsidR="00E16115">
        <w:t xml:space="preserve"> of these steps is a matter of dispute.</w:t>
      </w:r>
    </w:p>
    <w:p w:rsidR="009C0927" w:rsidRDefault="003B3C7B" w:rsidP="003B3C7B">
      <w:pPr>
        <w:pStyle w:val="ParaNumbering"/>
        <w:numPr>
          <w:ilvl w:val="0"/>
          <w:numId w:val="0"/>
        </w:numPr>
        <w:tabs>
          <w:tab w:val="left" w:pos="720"/>
        </w:tabs>
        <w:ind w:hanging="720"/>
      </w:pPr>
      <w:r>
        <w:rPr>
          <w:sz w:val="20"/>
        </w:rPr>
        <w:t>189</w:t>
      </w:r>
      <w:r>
        <w:rPr>
          <w:sz w:val="20"/>
        </w:rPr>
        <w:tab/>
      </w:r>
      <w:r w:rsidR="00137546">
        <w:t>To</w:t>
      </w:r>
      <w:r w:rsidR="00C17602">
        <w:t xml:space="preserve"> the extent that AMPFP relie</w:t>
      </w:r>
      <w:r w:rsidR="00090556">
        <w:t>s on matters which it says evi</w:t>
      </w:r>
      <w:r w:rsidR="00C17602">
        <w:t>nce improvement or modification</w:t>
      </w:r>
      <w:r w:rsidR="00793833">
        <w:t>,</w:t>
      </w:r>
      <w:r w:rsidR="00F408DB">
        <w:t xml:space="preserve"> it is necessary to inject a dose of reality.</w:t>
      </w:r>
      <w:r w:rsidR="00F40047">
        <w:t xml:space="preserve"> </w:t>
      </w:r>
      <w:r w:rsidR="002267A0">
        <w:t>D</w:t>
      </w:r>
      <w:r w:rsidR="009C0927">
        <w:t xml:space="preserve">espite </w:t>
      </w:r>
      <w:r w:rsidR="002267A0">
        <w:t>the predictable, later incantations of acceptance that</w:t>
      </w:r>
      <w:r w:rsidR="009C0927">
        <w:t xml:space="preserve"> Panganiban’s conduct </w:t>
      </w:r>
      <w:r w:rsidR="002267A0">
        <w:t>was</w:t>
      </w:r>
      <w:r w:rsidR="009C0927">
        <w:t xml:space="preserve"> serious,</w:t>
      </w:r>
      <w:r w:rsidR="00F408DB">
        <w:t xml:space="preserve"> there was no </w:t>
      </w:r>
      <w:r w:rsidR="002267A0">
        <w:t xml:space="preserve">contemporaneous </w:t>
      </w:r>
      <w:r w:rsidR="00A3687F">
        <w:t xml:space="preserve">and </w:t>
      </w:r>
      <w:r w:rsidR="009C0927">
        <w:t xml:space="preserve">spontaneous </w:t>
      </w:r>
      <w:r w:rsidR="00F408DB">
        <w:t xml:space="preserve">sign of repentance </w:t>
      </w:r>
      <w:r w:rsidR="009C0927">
        <w:t>(</w:t>
      </w:r>
      <w:r w:rsidR="00F408DB">
        <w:t xml:space="preserve">in the sense there was no evidence of any </w:t>
      </w:r>
      <w:r w:rsidR="00A3687F">
        <w:t xml:space="preserve">timely </w:t>
      </w:r>
      <w:r w:rsidR="00F408DB">
        <w:t xml:space="preserve">subjective remorse </w:t>
      </w:r>
      <w:r w:rsidR="009C0927">
        <w:t xml:space="preserve">or appreciation of the seriousness of the misconduct </w:t>
      </w:r>
      <w:r w:rsidR="00F408DB">
        <w:t>producing</w:t>
      </w:r>
      <w:r w:rsidR="00F408DB" w:rsidRPr="00F408DB">
        <w:t xml:space="preserve"> </w:t>
      </w:r>
      <w:r w:rsidR="002267A0">
        <w:t>immediate</w:t>
      </w:r>
      <w:r w:rsidR="00AC76C4">
        <w:t xml:space="preserve"> </w:t>
      </w:r>
      <w:r w:rsidR="002267A0">
        <w:t>changes</w:t>
      </w:r>
      <w:r w:rsidR="00F408DB" w:rsidRPr="00F408DB">
        <w:t xml:space="preserve"> </w:t>
      </w:r>
      <w:r w:rsidR="00F408DB">
        <w:t xml:space="preserve">to AMPFP’s </w:t>
      </w:r>
      <w:r w:rsidR="00A4757D">
        <w:t xml:space="preserve">compliance systems). </w:t>
      </w:r>
      <w:r w:rsidR="009C0927">
        <w:t xml:space="preserve">The truth appears to be </w:t>
      </w:r>
      <w:r w:rsidR="00E1049C">
        <w:t xml:space="preserve">that </w:t>
      </w:r>
      <w:r w:rsidR="009C0927">
        <w:t>any changes</w:t>
      </w:r>
      <w:r w:rsidR="00C17602">
        <w:t xml:space="preserve">, in reality, </w:t>
      </w:r>
      <w:r w:rsidR="009C0927">
        <w:t xml:space="preserve">were </w:t>
      </w:r>
      <w:r w:rsidR="00C17602">
        <w:t xml:space="preserve">the result of </w:t>
      </w:r>
      <w:r w:rsidR="009C0927">
        <w:t xml:space="preserve">mitigating </w:t>
      </w:r>
      <w:r w:rsidR="005F2C4D">
        <w:t xml:space="preserve">the “fall out” </w:t>
      </w:r>
      <w:r w:rsidR="009C0927">
        <w:t xml:space="preserve">or protecting </w:t>
      </w:r>
      <w:r w:rsidR="005F2C4D">
        <w:t xml:space="preserve">the position of </w:t>
      </w:r>
      <w:r w:rsidR="009C0927">
        <w:t xml:space="preserve">AMPFP following </w:t>
      </w:r>
      <w:r w:rsidR="00793833">
        <w:t xml:space="preserve">the </w:t>
      </w:r>
      <w:r w:rsidR="009C0927">
        <w:t xml:space="preserve">interest of </w:t>
      </w:r>
      <w:r w:rsidR="00EA0215">
        <w:t xml:space="preserve">ASIC </w:t>
      </w:r>
      <w:r w:rsidR="00C17602">
        <w:t>(such</w:t>
      </w:r>
      <w:r w:rsidR="00EA0215">
        <w:t xml:space="preserve"> as the 2015 investigation into whether Rewriting Conduct was widespread, which </w:t>
      </w:r>
      <w:r w:rsidR="00E1049C">
        <w:t xml:space="preserve">apparently </w:t>
      </w:r>
      <w:r w:rsidR="00A3687F">
        <w:t xml:space="preserve">followed </w:t>
      </w:r>
      <w:r w:rsidR="00EA0215">
        <w:t>a co</w:t>
      </w:r>
      <w:r w:rsidR="009C0927">
        <w:t>mpulsory notice issued by ASIC).</w:t>
      </w:r>
    </w:p>
    <w:p w:rsidR="00C17602" w:rsidRDefault="003B3C7B" w:rsidP="003B3C7B">
      <w:pPr>
        <w:pStyle w:val="ParaNumbering"/>
        <w:numPr>
          <w:ilvl w:val="0"/>
          <w:numId w:val="0"/>
        </w:numPr>
        <w:tabs>
          <w:tab w:val="left" w:pos="720"/>
        </w:tabs>
        <w:ind w:hanging="720"/>
      </w:pPr>
      <w:r>
        <w:rPr>
          <w:sz w:val="20"/>
        </w:rPr>
        <w:t>190</w:t>
      </w:r>
      <w:r>
        <w:rPr>
          <w:sz w:val="20"/>
        </w:rPr>
        <w:tab/>
      </w:r>
      <w:r w:rsidR="00EA0215">
        <w:t xml:space="preserve">I am not prepared to accept such matters are </w:t>
      </w:r>
      <w:r w:rsidR="00090556">
        <w:t xml:space="preserve">of real significance other than as evidence of a reduced risk of repetition of contravening conduct, a matter </w:t>
      </w:r>
      <w:r w:rsidR="005F2C4D">
        <w:t xml:space="preserve">which is </w:t>
      </w:r>
      <w:r w:rsidR="00090556">
        <w:t>relevant to specific deterrence</w:t>
      </w:r>
      <w:r w:rsidR="00EA0215">
        <w:t>.</w:t>
      </w:r>
    </w:p>
    <w:p w:rsidR="00EA0215" w:rsidRDefault="003B3C7B" w:rsidP="003B3C7B">
      <w:pPr>
        <w:pStyle w:val="ParaNumbering"/>
        <w:numPr>
          <w:ilvl w:val="0"/>
          <w:numId w:val="0"/>
        </w:numPr>
        <w:tabs>
          <w:tab w:val="left" w:pos="720"/>
        </w:tabs>
        <w:ind w:hanging="720"/>
      </w:pPr>
      <w:r>
        <w:rPr>
          <w:sz w:val="20"/>
        </w:rPr>
        <w:t>191</w:t>
      </w:r>
      <w:r>
        <w:rPr>
          <w:sz w:val="20"/>
        </w:rPr>
        <w:tab/>
      </w:r>
      <w:r w:rsidR="00EA0215">
        <w:t xml:space="preserve">As </w:t>
      </w:r>
      <w:r w:rsidR="009C0927">
        <w:t xml:space="preserve">will </w:t>
      </w:r>
      <w:r w:rsidR="00FB0F80">
        <w:t>be</w:t>
      </w:r>
      <w:r w:rsidR="005F2C4D">
        <w:t>come</w:t>
      </w:r>
      <w:r w:rsidR="00FB0F80">
        <w:t xml:space="preserve"> apparent</w:t>
      </w:r>
      <w:r w:rsidR="005F2C4D">
        <w:t>,</w:t>
      </w:r>
      <w:r w:rsidR="00FB0F80">
        <w:t xml:space="preserve"> </w:t>
      </w:r>
      <w:r w:rsidR="009C0927">
        <w:t xml:space="preserve">the orders I propose to make </w:t>
      </w:r>
      <w:r w:rsidR="00E16115">
        <w:t>under s </w:t>
      </w:r>
      <w:r w:rsidR="00FB0F80">
        <w:t>1101B in relation to</w:t>
      </w:r>
      <w:r w:rsidR="00E16115">
        <w:t xml:space="preserve"> a</w:t>
      </w:r>
      <w:r w:rsidR="00FB0F80">
        <w:t xml:space="preserve"> forward-looking compliance </w:t>
      </w:r>
      <w:r w:rsidR="00826744">
        <w:t xml:space="preserve">programme </w:t>
      </w:r>
      <w:r w:rsidR="009C0927">
        <w:t>(discussed below</w:t>
      </w:r>
      <w:r w:rsidR="00E16115">
        <w:t>)</w:t>
      </w:r>
      <w:r w:rsidR="005F2C4D">
        <w:t xml:space="preserve"> suggest there </w:t>
      </w:r>
      <w:r w:rsidR="003F7447">
        <w:t>considerable</w:t>
      </w:r>
      <w:r w:rsidR="00EA0215">
        <w:t xml:space="preserve"> work</w:t>
      </w:r>
      <w:r w:rsidR="00FB0F80">
        <w:t xml:space="preserve"> to</w:t>
      </w:r>
      <w:r w:rsidR="00AD4F34">
        <w:t xml:space="preserve"> be</w:t>
      </w:r>
      <w:r w:rsidR="00FB0F80">
        <w:t xml:space="preserve"> done by AMPFP</w:t>
      </w:r>
      <w:r w:rsidR="008B6F0C">
        <w:t xml:space="preserve"> when it comes to improving </w:t>
      </w:r>
      <w:r w:rsidR="00E16115">
        <w:t>its compliance systems since the contraventions</w:t>
      </w:r>
      <w:r w:rsidR="00FB0F80">
        <w:t>.</w:t>
      </w:r>
      <w:r w:rsidR="00F40047">
        <w:t xml:space="preserve"> </w:t>
      </w:r>
    </w:p>
    <w:p w:rsidR="00745978" w:rsidRDefault="00745978" w:rsidP="007568AD">
      <w:pPr>
        <w:pStyle w:val="Heading4"/>
      </w:pPr>
      <w:bookmarkStart w:id="114" w:name="_Ref22827402"/>
      <w:r>
        <w:t>W</w:t>
      </w:r>
      <w:r w:rsidRPr="00166364">
        <w:t>hether the company (through its senior officers) has demo</w:t>
      </w:r>
      <w:r>
        <w:t>nstrated contrition and remorse</w:t>
      </w:r>
      <w:bookmarkEnd w:id="114"/>
    </w:p>
    <w:p w:rsidR="009C0927" w:rsidRDefault="003B3C7B" w:rsidP="003B3C7B">
      <w:pPr>
        <w:pStyle w:val="ParaNumbering"/>
        <w:numPr>
          <w:ilvl w:val="0"/>
          <w:numId w:val="0"/>
        </w:numPr>
        <w:tabs>
          <w:tab w:val="left" w:pos="720"/>
        </w:tabs>
        <w:ind w:hanging="720"/>
      </w:pPr>
      <w:r>
        <w:rPr>
          <w:sz w:val="20"/>
        </w:rPr>
        <w:t>192</w:t>
      </w:r>
      <w:r>
        <w:rPr>
          <w:sz w:val="20"/>
        </w:rPr>
        <w:tab/>
      </w:r>
      <w:r w:rsidR="00CC368A">
        <w:t>This is a case where admissions of wrongdoing</w:t>
      </w:r>
      <w:r w:rsidR="00A10C38">
        <w:t xml:space="preserve"> </w:t>
      </w:r>
      <w:r w:rsidR="009C0927">
        <w:t>were made</w:t>
      </w:r>
      <w:r w:rsidR="00A10C38">
        <w:t>.</w:t>
      </w:r>
      <w:r w:rsidR="00F40047">
        <w:t xml:space="preserve"> </w:t>
      </w:r>
      <w:r w:rsidR="005F2C4D">
        <w:t>This is relevant and is a factor to be taken into account in fixing penalty.</w:t>
      </w:r>
      <w:r w:rsidR="00F40047">
        <w:t xml:space="preserve"> </w:t>
      </w:r>
      <w:r w:rsidR="00A10C38">
        <w:t>However,</w:t>
      </w:r>
      <w:r w:rsidR="00745978">
        <w:t xml:space="preserve"> I agree with ASIC’s submission that t</w:t>
      </w:r>
      <w:r w:rsidR="00745978" w:rsidRPr="00221EAC">
        <w:t xml:space="preserve">he </w:t>
      </w:r>
      <w:r w:rsidR="00745978" w:rsidRPr="00221EAC">
        <w:lastRenderedPageBreak/>
        <w:t xml:space="preserve">limited scope of the admissions made in relation to the contravention of s 961L </w:t>
      </w:r>
      <w:r w:rsidR="00745978">
        <w:t xml:space="preserve">(being </w:t>
      </w:r>
      <w:r w:rsidR="00745978" w:rsidRPr="00221EAC">
        <w:t xml:space="preserve">in relation to the conduct of </w:t>
      </w:r>
      <w:r w:rsidR="00A956F3">
        <w:t>Pangan</w:t>
      </w:r>
      <w:r w:rsidR="00745978" w:rsidRPr="00221EAC">
        <w:t>iban</w:t>
      </w:r>
      <w:r w:rsidR="00745978">
        <w:t>)</w:t>
      </w:r>
      <w:r w:rsidR="00745978" w:rsidRPr="00221EAC">
        <w:t xml:space="preserve"> and the denials of other contraventions of the Act until 16 May 2019 (shortly before the scheduled hearing</w:t>
      </w:r>
      <w:r w:rsidR="00B10300">
        <w:t>,</w:t>
      </w:r>
      <w:r w:rsidR="00090556">
        <w:t xml:space="preserve"> when it</w:t>
      </w:r>
      <w:r w:rsidR="00AC76C4">
        <w:t xml:space="preserve"> </w:t>
      </w:r>
      <w:r w:rsidR="00090556">
        <w:t xml:space="preserve">became forensically </w:t>
      </w:r>
      <w:r w:rsidR="00AC76C4">
        <w:t>necessary</w:t>
      </w:r>
      <w:r w:rsidR="00A4757D">
        <w:t xml:space="preserve"> following service of the JER</w:t>
      </w:r>
      <w:r w:rsidR="00745978" w:rsidRPr="00221EAC">
        <w:t>)</w:t>
      </w:r>
      <w:r w:rsidR="005F2C4D">
        <w:t>,</w:t>
      </w:r>
      <w:r w:rsidR="00745978">
        <w:t xml:space="preserve"> means that </w:t>
      </w:r>
      <w:r w:rsidR="00090556">
        <w:t>not</w:t>
      </w:r>
      <w:r w:rsidR="000D655B">
        <w:t xml:space="preserve"> too much should be made of the</w:t>
      </w:r>
      <w:r w:rsidR="00090556">
        <w:t xml:space="preserve"> a</w:t>
      </w:r>
      <w:r w:rsidR="005F2C4D">
        <w:t xml:space="preserve">dmissions </w:t>
      </w:r>
      <w:r w:rsidR="00090556">
        <w:t xml:space="preserve">of </w:t>
      </w:r>
      <w:r w:rsidR="005F2C4D">
        <w:t>AMPFP</w:t>
      </w:r>
      <w:r w:rsidR="00CF57FA">
        <w:t>’s</w:t>
      </w:r>
      <w:r w:rsidR="005F2C4D">
        <w:t xml:space="preserve"> </w:t>
      </w:r>
      <w:r w:rsidR="00090556">
        <w:t>wrongdoing.</w:t>
      </w:r>
      <w:r w:rsidR="00F40047">
        <w:t xml:space="preserve"> </w:t>
      </w:r>
    </w:p>
    <w:p w:rsidR="009C0927" w:rsidRDefault="003B3C7B" w:rsidP="003B3C7B">
      <w:pPr>
        <w:pStyle w:val="ParaNumbering"/>
        <w:numPr>
          <w:ilvl w:val="0"/>
          <w:numId w:val="0"/>
        </w:numPr>
        <w:tabs>
          <w:tab w:val="left" w:pos="720"/>
        </w:tabs>
        <w:ind w:hanging="720"/>
      </w:pPr>
      <w:r>
        <w:rPr>
          <w:sz w:val="20"/>
        </w:rPr>
        <w:t>193</w:t>
      </w:r>
      <w:r>
        <w:rPr>
          <w:sz w:val="20"/>
        </w:rPr>
        <w:tab/>
      </w:r>
      <w:r w:rsidR="00090556">
        <w:t xml:space="preserve">The </w:t>
      </w:r>
      <w:r w:rsidR="009C0927">
        <w:t xml:space="preserve">evidence of </w:t>
      </w:r>
      <w:r w:rsidR="00A3687F">
        <w:t xml:space="preserve">present </w:t>
      </w:r>
      <w:r w:rsidR="00745978" w:rsidRPr="007D4197">
        <w:t xml:space="preserve">contrition and remorse </w:t>
      </w:r>
      <w:r w:rsidR="00090556">
        <w:t xml:space="preserve">of AMPFP </w:t>
      </w:r>
      <w:r w:rsidR="009C0927">
        <w:t xml:space="preserve">was unchallenged, but that does not mean I am </w:t>
      </w:r>
      <w:r w:rsidR="00A33882">
        <w:t>obliged to accept it. A</w:t>
      </w:r>
      <w:r w:rsidR="00A33882" w:rsidRPr="00A33882">
        <w:t xml:space="preserve">s a general proposition, </w:t>
      </w:r>
      <w:r w:rsidR="00A33882">
        <w:t>of course, unchallenged evidence</w:t>
      </w:r>
      <w:r w:rsidR="00A33882" w:rsidRPr="00A33882">
        <w:t xml:space="preserve"> which is not inherently incr</w:t>
      </w:r>
      <w:r w:rsidR="00A33882">
        <w:t>edible</w:t>
      </w:r>
      <w:r w:rsidR="00A33882" w:rsidRPr="00A33882">
        <w:t xml:space="preserve">, ought to be accepted: </w:t>
      </w:r>
      <w:r w:rsidR="00A33882" w:rsidRPr="00A33882">
        <w:rPr>
          <w:i/>
        </w:rPr>
        <w:t xml:space="preserve">Precision Plastics Pty Limited v </w:t>
      </w:r>
      <w:proofErr w:type="spellStart"/>
      <w:r w:rsidR="00A33882" w:rsidRPr="00A33882">
        <w:rPr>
          <w:i/>
        </w:rPr>
        <w:t>Demir</w:t>
      </w:r>
      <w:proofErr w:type="spellEnd"/>
      <w:r w:rsidR="005F2C4D">
        <w:t xml:space="preserve"> </w:t>
      </w:r>
      <w:r w:rsidR="00875926">
        <w:t>[1975] HCA 27;</w:t>
      </w:r>
      <w:r w:rsidR="00875926" w:rsidRPr="00A33882">
        <w:t xml:space="preserve"> </w:t>
      </w:r>
      <w:r w:rsidR="00A33882" w:rsidRPr="00A33882">
        <w:t>(19</w:t>
      </w:r>
      <w:r w:rsidR="00A33882">
        <w:t>75) 132 CLR 362 at 370-371</w:t>
      </w:r>
      <w:r w:rsidR="00875926">
        <w:t xml:space="preserve"> [6]</w:t>
      </w:r>
      <w:r w:rsidR="00A33882">
        <w:t xml:space="preserve"> (</w:t>
      </w:r>
      <w:r w:rsidR="00A33882" w:rsidRPr="00A33882">
        <w:t>Gibbs J, Stephen J agreeing, Murphy J generally agreeing)</w:t>
      </w:r>
      <w:r w:rsidR="005F2C4D">
        <w:t>.</w:t>
      </w:r>
      <w:r w:rsidR="00F40047">
        <w:t xml:space="preserve"> </w:t>
      </w:r>
      <w:r w:rsidR="005F2C4D">
        <w:t>B</w:t>
      </w:r>
      <w:r w:rsidR="00A33882">
        <w:t xml:space="preserve">ut it can </w:t>
      </w:r>
      <w:r w:rsidR="00A33882" w:rsidRPr="00A33882">
        <w:t>be rejected if it is contradicted by facts otherwise est</w:t>
      </w:r>
      <w:r w:rsidR="00A33882">
        <w:t xml:space="preserve">ablished by the evidence or </w:t>
      </w:r>
      <w:r w:rsidR="00A33882" w:rsidRPr="00A33882">
        <w:t>particular circumstances point to its rejection</w:t>
      </w:r>
      <w:r w:rsidR="00A33882">
        <w:t xml:space="preserve">: </w:t>
      </w:r>
      <w:r w:rsidR="00A33882" w:rsidRPr="005F2C4D">
        <w:rPr>
          <w:i/>
        </w:rPr>
        <w:t>Ashby v Slipper</w:t>
      </w:r>
      <w:r w:rsidR="005F2C4D">
        <w:t xml:space="preserve"> </w:t>
      </w:r>
      <w:r w:rsidR="00875926" w:rsidRPr="00875926">
        <w:t>[2014] FCAFC 15</w:t>
      </w:r>
      <w:r w:rsidR="00875926">
        <w:t>;</w:t>
      </w:r>
      <w:r w:rsidR="00875926" w:rsidRPr="00875926">
        <w:t xml:space="preserve"> </w:t>
      </w:r>
      <w:r w:rsidR="005F2C4D" w:rsidRPr="005F2C4D">
        <w:t>(2014) 219 FCR 322</w:t>
      </w:r>
      <w:r w:rsidR="00A33882">
        <w:t xml:space="preserve"> at</w:t>
      </w:r>
      <w:r w:rsidR="00875926">
        <w:t xml:space="preserve"> 347</w:t>
      </w:r>
      <w:r w:rsidR="00A33882">
        <w:t xml:space="preserve"> [77]</w:t>
      </w:r>
      <w:r w:rsidR="005F2C4D" w:rsidRPr="005F2C4D">
        <w:t xml:space="preserve"> </w:t>
      </w:r>
      <w:r w:rsidR="005F2C4D">
        <w:t>(Mansfield and</w:t>
      </w:r>
      <w:r w:rsidR="005F2C4D" w:rsidRPr="005F2C4D">
        <w:t xml:space="preserve"> G</w:t>
      </w:r>
      <w:r w:rsidR="005F2C4D">
        <w:t xml:space="preserve">ilmour </w:t>
      </w:r>
      <w:r w:rsidR="005F2C4D" w:rsidRPr="005F2C4D">
        <w:t>JJ</w:t>
      </w:r>
      <w:r w:rsidR="005F2C4D">
        <w:t>)</w:t>
      </w:r>
      <w:r w:rsidR="00A33882" w:rsidRPr="00A33882">
        <w:t>.</w:t>
      </w:r>
      <w:r w:rsidR="005A06EB">
        <w:t xml:space="preserve"> </w:t>
      </w:r>
    </w:p>
    <w:p w:rsidR="000E4DC8" w:rsidRDefault="003B3C7B" w:rsidP="003B3C7B">
      <w:pPr>
        <w:pStyle w:val="ParaNumbering"/>
        <w:numPr>
          <w:ilvl w:val="0"/>
          <w:numId w:val="0"/>
        </w:numPr>
        <w:tabs>
          <w:tab w:val="left" w:pos="720"/>
        </w:tabs>
        <w:ind w:hanging="720"/>
      </w:pPr>
      <w:r>
        <w:rPr>
          <w:sz w:val="20"/>
        </w:rPr>
        <w:t>194</w:t>
      </w:r>
      <w:r>
        <w:rPr>
          <w:sz w:val="20"/>
        </w:rPr>
        <w:tab/>
      </w:r>
      <w:r w:rsidR="005F2C4D">
        <w:t>Taking the actions rather than the words of AMPFP into account, I incline to the view that its actions in making admissions were</w:t>
      </w:r>
      <w:r w:rsidR="00090556">
        <w:t xml:space="preserve"> informed </w:t>
      </w:r>
      <w:r w:rsidR="002C7387">
        <w:t>far more by a recognition of the reality of being unable to defend its conduct</w:t>
      </w:r>
      <w:r w:rsidR="005F2C4D">
        <w:t>,</w:t>
      </w:r>
      <w:r w:rsidR="002C7387">
        <w:t xml:space="preserve"> rather than some road to Damasc</w:t>
      </w:r>
      <w:r w:rsidR="001E67B1">
        <w:t>us insight as to its failures</w:t>
      </w:r>
      <w:r w:rsidR="00951542">
        <w:t xml:space="preserve"> or genuine remorse</w:t>
      </w:r>
      <w:r w:rsidR="001E67B1">
        <w:t>.</w:t>
      </w:r>
      <w:r w:rsidR="005A06EB">
        <w:t xml:space="preserve"> </w:t>
      </w:r>
      <w:r w:rsidR="00E74CAB">
        <w:t xml:space="preserve">One </w:t>
      </w:r>
      <w:r w:rsidR="000E4DC8">
        <w:t>noteworthy</w:t>
      </w:r>
      <w:r w:rsidR="00E74CAB">
        <w:t xml:space="preserve"> aspect of the case</w:t>
      </w:r>
      <w:r w:rsidR="000E4DC8">
        <w:t>,</w:t>
      </w:r>
      <w:r w:rsidR="00E74CAB">
        <w:t xml:space="preserve"> to which I drew attention </w:t>
      </w:r>
      <w:r w:rsidR="000E4DC8">
        <w:t>on 20 June 2019</w:t>
      </w:r>
      <w:r w:rsidR="00951542">
        <w:t xml:space="preserve"> (T184)</w:t>
      </w:r>
      <w:r w:rsidR="000E4DC8">
        <w:t xml:space="preserve">, was that although in written submissions </w:t>
      </w:r>
      <w:r w:rsidR="000E4DC8" w:rsidRPr="00951542">
        <w:rPr>
          <w:i/>
        </w:rPr>
        <w:t>to the Court</w:t>
      </w:r>
      <w:r w:rsidR="000E4DC8">
        <w:t xml:space="preserve"> on penalty: </w:t>
      </w:r>
    </w:p>
    <w:p w:rsidR="00E74CAB" w:rsidRDefault="000E4DC8" w:rsidP="000E4DC8">
      <w:pPr>
        <w:pStyle w:val="Quote1"/>
      </w:pPr>
      <w:r>
        <w:t xml:space="preserve">… </w:t>
      </w:r>
      <w:r w:rsidRPr="000E4DC8">
        <w:t>there’s an apology</w:t>
      </w:r>
      <w:r>
        <w:t xml:space="preserve"> </w:t>
      </w:r>
      <w:r w:rsidRPr="000E4DC8">
        <w:t xml:space="preserve">proffered for this conduct, but at the moment I can’t </w:t>
      </w:r>
      <w:r>
        <w:t xml:space="preserve">see any correspondence with the </w:t>
      </w:r>
      <w:r w:rsidRPr="000E4DC8">
        <w:t>people who actually suffered loss and damag</w:t>
      </w:r>
      <w:r>
        <w:t xml:space="preserve">e by reason of this conduct, an </w:t>
      </w:r>
      <w:r w:rsidRPr="000E4DC8">
        <w:t>unqualified admission that there has been a contravention of the law that has been</w:t>
      </w:r>
      <w:r>
        <w:t xml:space="preserve"> </w:t>
      </w:r>
      <w:r w:rsidRPr="000E4DC8">
        <w:t xml:space="preserve">engaged in by </w:t>
      </w:r>
      <w:r>
        <w:t>[</w:t>
      </w:r>
      <w:r w:rsidRPr="000E4DC8">
        <w:t>AMP</w:t>
      </w:r>
      <w:r>
        <w:t>FP]</w:t>
      </w:r>
      <w:r w:rsidRPr="000E4DC8">
        <w:t xml:space="preserve"> in an</w:t>
      </w:r>
      <w:r>
        <w:t xml:space="preserve"> </w:t>
      </w:r>
      <w:r w:rsidRPr="000E4DC8">
        <w:t>unconditional communicati</w:t>
      </w:r>
      <w:r>
        <w:t xml:space="preserve">on to them, that </w:t>
      </w:r>
      <w:r w:rsidR="00A3687F">
        <w:t xml:space="preserve">[AMPFP] </w:t>
      </w:r>
      <w:r>
        <w:t>recognise</w:t>
      </w:r>
      <w:r w:rsidR="00A3687F">
        <w:t>(s)</w:t>
      </w:r>
      <w:r>
        <w:t xml:space="preserve"> </w:t>
      </w:r>
      <w:r w:rsidRPr="000E4DC8">
        <w:t xml:space="preserve">that there has been a contravention of the law and </w:t>
      </w:r>
      <w:r>
        <w:t xml:space="preserve">these people are entitled to be </w:t>
      </w:r>
      <w:r w:rsidRPr="000E4DC8">
        <w:t>compensated for their loss and damage by reason o</w:t>
      </w:r>
      <w:r>
        <w:t xml:space="preserve">f the fact </w:t>
      </w:r>
      <w:r w:rsidR="00A3687F">
        <w:t xml:space="preserve">[APFP] </w:t>
      </w:r>
      <w:r>
        <w:t xml:space="preserve">contravened the </w:t>
      </w:r>
      <w:r w:rsidRPr="000E4DC8">
        <w:t>law.</w:t>
      </w:r>
      <w:r>
        <w:t xml:space="preserve"> </w:t>
      </w:r>
    </w:p>
    <w:p w:rsidR="00951542" w:rsidRDefault="003B3C7B" w:rsidP="003B3C7B">
      <w:pPr>
        <w:pStyle w:val="ParaNumbering"/>
        <w:numPr>
          <w:ilvl w:val="0"/>
          <w:numId w:val="0"/>
        </w:numPr>
        <w:tabs>
          <w:tab w:val="left" w:pos="720"/>
        </w:tabs>
        <w:ind w:hanging="720"/>
      </w:pPr>
      <w:r>
        <w:rPr>
          <w:sz w:val="20"/>
        </w:rPr>
        <w:t>195</w:t>
      </w:r>
      <w:r>
        <w:rPr>
          <w:sz w:val="20"/>
        </w:rPr>
        <w:tab/>
      </w:r>
      <w:r w:rsidR="000E4DC8">
        <w:t>In response, Senior Counsel for AMPFP accepted that she could not “suggest to your Honour there is evidence that suggests there’s communications from my client to the clients suggesting that [AMPFP] had contravened the law”.</w:t>
      </w:r>
      <w:r w:rsidR="005A06EB">
        <w:t xml:space="preserve"> </w:t>
      </w:r>
      <w:r w:rsidR="000E4DC8">
        <w:t>It was only after this exchange, in July 2019</w:t>
      </w:r>
      <w:r w:rsidR="00951542">
        <w:t xml:space="preserve"> (T234)</w:t>
      </w:r>
      <w:r w:rsidR="000E4DC8">
        <w:t xml:space="preserve">, that AMPFP evidently thought it was </w:t>
      </w:r>
      <w:r w:rsidR="00951542">
        <w:t>appropriate to:</w:t>
      </w:r>
      <w:r w:rsidR="005A06EB">
        <w:t xml:space="preserve"> </w:t>
      </w:r>
    </w:p>
    <w:p w:rsidR="000E4DC8" w:rsidRDefault="00951542" w:rsidP="00951542">
      <w:pPr>
        <w:pStyle w:val="Quote1"/>
      </w:pPr>
      <w:r>
        <w:t>… pick up what your Honour said during the course of argument about what the letter should state. And you can see, it’s to state that the review of the file has determined there has been a contravention of the best-interest duties, a contravention of 961L by my – relevant – sorry – by my client during the relevant period, and an unreserved apology for those contraventions and the re-review.</w:t>
      </w:r>
      <w:r w:rsidR="005A06EB">
        <w:t xml:space="preserve"> </w:t>
      </w:r>
      <w:r w:rsidR="000E4DC8">
        <w:t xml:space="preserve"> </w:t>
      </w:r>
    </w:p>
    <w:p w:rsidR="00CC368A" w:rsidRDefault="003B3C7B" w:rsidP="003B3C7B">
      <w:pPr>
        <w:pStyle w:val="ParaNumbering"/>
        <w:numPr>
          <w:ilvl w:val="0"/>
          <w:numId w:val="0"/>
        </w:numPr>
        <w:tabs>
          <w:tab w:val="left" w:pos="720"/>
        </w:tabs>
        <w:ind w:hanging="720"/>
      </w:pPr>
      <w:r>
        <w:rPr>
          <w:sz w:val="20"/>
        </w:rPr>
        <w:t>196</w:t>
      </w:r>
      <w:r>
        <w:rPr>
          <w:sz w:val="20"/>
        </w:rPr>
        <w:tab/>
      </w:r>
      <w:r w:rsidR="005F2C4D">
        <w:t>It is appropriate to have some regard to</w:t>
      </w:r>
      <w:r w:rsidR="00E70901">
        <w:t xml:space="preserve"> the</w:t>
      </w:r>
      <w:r w:rsidR="002C7387">
        <w:t xml:space="preserve"> evidence as to remorse and contrition</w:t>
      </w:r>
      <w:r w:rsidR="005F2C4D">
        <w:t>,</w:t>
      </w:r>
      <w:r w:rsidR="002C7387">
        <w:t xml:space="preserve"> but I</w:t>
      </w:r>
      <w:r w:rsidR="00A4757D">
        <w:t xml:space="preserve"> take it w</w:t>
      </w:r>
      <w:r w:rsidR="00951542">
        <w:t xml:space="preserve">ith more than a </w:t>
      </w:r>
      <w:r w:rsidR="00A4757D">
        <w:t>grain of salt.</w:t>
      </w:r>
      <w:r w:rsidR="005A06EB">
        <w:t xml:space="preserve"> </w:t>
      </w:r>
      <w:r w:rsidR="00C36A11">
        <w:t>T</w:t>
      </w:r>
      <w:r w:rsidR="00951542">
        <w:t>he fact that a</w:t>
      </w:r>
      <w:r w:rsidR="002C7387">
        <w:t xml:space="preserve"> </w:t>
      </w:r>
      <w:r w:rsidR="00951542">
        <w:t xml:space="preserve">proper apology to </w:t>
      </w:r>
      <w:r w:rsidR="00B93D29">
        <w:t xml:space="preserve">all </w:t>
      </w:r>
      <w:r w:rsidR="00951542">
        <w:t xml:space="preserve">those actually affected and </w:t>
      </w:r>
      <w:r w:rsidR="00951542">
        <w:lastRenderedPageBreak/>
        <w:t xml:space="preserve">an </w:t>
      </w:r>
      <w:r w:rsidR="002C7387">
        <w:t xml:space="preserve">adequate and effective remediation programme, which had regard to the position of </w:t>
      </w:r>
      <w:r w:rsidR="002C7387" w:rsidRPr="005F2C4D">
        <w:rPr>
          <w:i/>
        </w:rPr>
        <w:t>all customers</w:t>
      </w:r>
      <w:r w:rsidR="002C7387">
        <w:t xml:space="preserve"> who may be affected by wrongful conduct</w:t>
      </w:r>
      <w:r w:rsidR="007F1F2F">
        <w:t>,</w:t>
      </w:r>
      <w:r w:rsidR="002C7387">
        <w:t xml:space="preserve"> took s</w:t>
      </w:r>
      <w:r w:rsidR="00951542">
        <w:t xml:space="preserve">o long to be proposed, </w:t>
      </w:r>
      <w:r w:rsidR="002C7387">
        <w:t>support</w:t>
      </w:r>
      <w:r w:rsidR="00951542">
        <w:t xml:space="preserve">s my </w:t>
      </w:r>
      <w:r w:rsidR="00B93D29">
        <w:t>less than enthusiastic acceptance</w:t>
      </w:r>
      <w:r w:rsidR="00951542">
        <w:t xml:space="preserve"> of AMPFP’</w:t>
      </w:r>
      <w:r w:rsidR="00B93D29">
        <w:t>s evidence in this regard</w:t>
      </w:r>
      <w:r w:rsidR="00C01A84">
        <w:t>.</w:t>
      </w:r>
      <w:r w:rsidR="005A06EB">
        <w:t xml:space="preserve"> </w:t>
      </w:r>
    </w:p>
    <w:p w:rsidR="00745978" w:rsidRDefault="00745978" w:rsidP="007568AD">
      <w:pPr>
        <w:pStyle w:val="Heading4"/>
      </w:pPr>
      <w:bookmarkStart w:id="115" w:name="_Ref22827403"/>
      <w:r>
        <w:t>W</w:t>
      </w:r>
      <w:r w:rsidRPr="00166364">
        <w:t>hether the company had disgorged any profit or benefit received as a result of the contravention, or made reparation</w:t>
      </w:r>
      <w:bookmarkEnd w:id="115"/>
    </w:p>
    <w:p w:rsidR="004D5CA4" w:rsidRDefault="003B3C7B" w:rsidP="003B3C7B">
      <w:pPr>
        <w:pStyle w:val="ParaNumbering"/>
        <w:numPr>
          <w:ilvl w:val="0"/>
          <w:numId w:val="0"/>
        </w:numPr>
        <w:tabs>
          <w:tab w:val="left" w:pos="720"/>
        </w:tabs>
        <w:ind w:hanging="720"/>
      </w:pPr>
      <w:r>
        <w:rPr>
          <w:sz w:val="20"/>
        </w:rPr>
        <w:t>197</w:t>
      </w:r>
      <w:r>
        <w:rPr>
          <w:sz w:val="20"/>
        </w:rPr>
        <w:tab/>
      </w:r>
      <w:r w:rsidR="00745978">
        <w:t>On the qu</w:t>
      </w:r>
      <w:r w:rsidR="002C7387">
        <w:t>estion of disgorgement</w:t>
      </w:r>
      <w:r w:rsidR="00745978">
        <w:t xml:space="preserve">, </w:t>
      </w:r>
      <w:r w:rsidR="002C7387">
        <w:t xml:space="preserve">it was not suggested that there was </w:t>
      </w:r>
      <w:r w:rsidR="00745978">
        <w:t>profit or benefit to be disgorged</w:t>
      </w:r>
      <w:r w:rsidR="002C7387">
        <w:t xml:space="preserve"> by AMPFP.</w:t>
      </w:r>
      <w:r w:rsidR="00F40047">
        <w:t xml:space="preserve"> </w:t>
      </w:r>
      <w:r w:rsidR="00CF5690">
        <w:t>This is distinct, however, from</w:t>
      </w:r>
      <w:r w:rsidR="002C7387">
        <w:t xml:space="preserve"> the issue of </w:t>
      </w:r>
      <w:r w:rsidR="00745978">
        <w:t xml:space="preserve">what the parties have </w:t>
      </w:r>
      <w:r w:rsidR="002C7387">
        <w:t>described as</w:t>
      </w:r>
      <w:r w:rsidR="00851362">
        <w:t xml:space="preserve"> “remediation”.</w:t>
      </w:r>
    </w:p>
    <w:p w:rsidR="006D4482" w:rsidRDefault="003B3C7B" w:rsidP="003B3C7B">
      <w:pPr>
        <w:pStyle w:val="ParaNumbering"/>
        <w:numPr>
          <w:ilvl w:val="0"/>
          <w:numId w:val="0"/>
        </w:numPr>
        <w:tabs>
          <w:tab w:val="left" w:pos="720"/>
        </w:tabs>
        <w:ind w:hanging="720"/>
      </w:pPr>
      <w:r>
        <w:rPr>
          <w:sz w:val="20"/>
        </w:rPr>
        <w:t>198</w:t>
      </w:r>
      <w:r>
        <w:rPr>
          <w:sz w:val="20"/>
        </w:rPr>
        <w:tab/>
      </w:r>
      <w:r w:rsidR="00653049">
        <w:t xml:space="preserve">I accept, as AMPFP’s senior counsel submitted, that AMPFP </w:t>
      </w:r>
      <w:r w:rsidR="005F2C4D">
        <w:t xml:space="preserve">have agreed to take </w:t>
      </w:r>
      <w:r w:rsidR="00653049">
        <w:t xml:space="preserve">on an obligation to do a large amount of work in order to make </w:t>
      </w:r>
      <w:r w:rsidR="00BD2F9B">
        <w:t>what was described as “</w:t>
      </w:r>
      <w:r w:rsidR="00653049">
        <w:t>reparation</w:t>
      </w:r>
      <w:r w:rsidR="00BD2F9B">
        <w:t>”</w:t>
      </w:r>
      <w:r w:rsidR="00A4757D">
        <w:t>.</w:t>
      </w:r>
      <w:r w:rsidR="00F40047">
        <w:t xml:space="preserve"> </w:t>
      </w:r>
      <w:r w:rsidR="0005239D">
        <w:t>Even with the use of data analytics to identify suspect files, an extensive manual review</w:t>
      </w:r>
      <w:r w:rsidR="00BD2F9B">
        <w:t xml:space="preserve"> </w:t>
      </w:r>
      <w:r w:rsidR="00A3687F">
        <w:t xml:space="preserve">is </w:t>
      </w:r>
      <w:r w:rsidR="00BD2F9B">
        <w:t>necessary and the labour costs and consultant fees will be significant</w:t>
      </w:r>
      <w:r w:rsidR="0005239D">
        <w:t xml:space="preserve">. </w:t>
      </w:r>
      <w:bookmarkStart w:id="116" w:name="_Ref25935909"/>
      <w:r w:rsidR="00BD2F9B">
        <w:t>A</w:t>
      </w:r>
      <w:r w:rsidR="00B93D29">
        <w:t>s touched upon above, a</w:t>
      </w:r>
      <w:r w:rsidR="002C7387">
        <w:t xml:space="preserve">fter a number of fits and starts, </w:t>
      </w:r>
      <w:r w:rsidR="006D4482">
        <w:t xml:space="preserve">AMPFP has proposed </w:t>
      </w:r>
      <w:r w:rsidR="00BD2F9B">
        <w:t>(</w:t>
      </w:r>
      <w:r w:rsidR="006D4482">
        <w:t>and ASIC has agreed to</w:t>
      </w:r>
      <w:r w:rsidR="00BD2F9B">
        <w:t>)</w:t>
      </w:r>
      <w:r w:rsidR="006D4482">
        <w:t xml:space="preserve"> a remediation program</w:t>
      </w:r>
      <w:r w:rsidR="002C7387">
        <w:t>me</w:t>
      </w:r>
      <w:r w:rsidR="006D4482">
        <w:t>.</w:t>
      </w:r>
      <w:bookmarkEnd w:id="116"/>
      <w:r w:rsidR="00F40047">
        <w:t xml:space="preserve"> </w:t>
      </w:r>
      <w:r w:rsidR="00BD2F9B">
        <w:t>In the absence of such a proposal, I would have imposed a s</w:t>
      </w:r>
      <w:r w:rsidR="00A4757D">
        <w:t xml:space="preserve">imilar programme in any event. </w:t>
      </w:r>
      <w:r w:rsidR="00BD2F9B">
        <w:t>Be that as it may, I accept that AMPFP’s current intention is to conduct a</w:t>
      </w:r>
      <w:r w:rsidR="00BD2F9B" w:rsidRPr="00BD2F9B">
        <w:t xml:space="preserve"> </w:t>
      </w:r>
      <w:r w:rsidR="00BD2F9B">
        <w:t xml:space="preserve">comprehensive remediation programme </w:t>
      </w:r>
      <w:r w:rsidR="00C425D1">
        <w:t>genuinely</w:t>
      </w:r>
      <w:r w:rsidR="00BD2F9B">
        <w:t xml:space="preserve"> and this is an important factor relevant to penalty to which I will return below.</w:t>
      </w:r>
      <w:r w:rsidR="00F40047">
        <w:t xml:space="preserve"> </w:t>
      </w:r>
    </w:p>
    <w:p w:rsidR="006675AF" w:rsidRPr="006675AF" w:rsidRDefault="008E3146" w:rsidP="006675AF">
      <w:pPr>
        <w:pStyle w:val="Heading4"/>
      </w:pPr>
      <w:bookmarkStart w:id="117" w:name="_Ref29821132"/>
      <w:r>
        <w:t>Whether the company has cooperated with and assisted the relevant regulatory authority in the investigation and prosecution of the contravention</w:t>
      </w:r>
      <w:bookmarkEnd w:id="117"/>
    </w:p>
    <w:p w:rsidR="007F403E" w:rsidRDefault="003B3C7B" w:rsidP="003B3C7B">
      <w:pPr>
        <w:pStyle w:val="ParaNumbering"/>
        <w:numPr>
          <w:ilvl w:val="0"/>
          <w:numId w:val="0"/>
        </w:numPr>
        <w:tabs>
          <w:tab w:val="left" w:pos="720"/>
        </w:tabs>
        <w:ind w:hanging="720"/>
      </w:pPr>
      <w:r>
        <w:rPr>
          <w:sz w:val="20"/>
        </w:rPr>
        <w:t>199</w:t>
      </w:r>
      <w:r>
        <w:rPr>
          <w:sz w:val="20"/>
        </w:rPr>
        <w:tab/>
      </w:r>
      <w:r w:rsidR="006675AF">
        <w:t xml:space="preserve">ASIC was prepared to acknowledge that </w:t>
      </w:r>
      <w:r w:rsidR="006675AF" w:rsidRPr="006675AF">
        <w:t xml:space="preserve">AMPFP’s admissions of contraventions in respect of Panganiban in its defence, and its decision, in May 2019, to admit all remaining allegations of contraventions of the Act pleaded in the </w:t>
      </w:r>
      <w:r w:rsidR="00B63CBE">
        <w:t>statement of claim</w:t>
      </w:r>
      <w:r w:rsidR="006675AF" w:rsidRPr="006675AF">
        <w:t>, is a matter of some mitigation in favour of AMPFP, because those admissions have avoided the need for a trial on liability</w:t>
      </w:r>
      <w:r w:rsidR="00EA4D46">
        <w:t xml:space="preserve">: </w:t>
      </w:r>
      <w:r w:rsidR="006675AF">
        <w:t xml:space="preserve">see </w:t>
      </w:r>
      <w:r w:rsidR="009E0B07" w:rsidRPr="00F408DB">
        <w:rPr>
          <w:i/>
        </w:rPr>
        <w:t>Australian Competition and Consumer Commis</w:t>
      </w:r>
      <w:r w:rsidR="009E0B07">
        <w:rPr>
          <w:i/>
        </w:rPr>
        <w:t>sion</w:t>
      </w:r>
      <w:r w:rsidR="006675AF" w:rsidRPr="006675AF">
        <w:rPr>
          <w:i/>
        </w:rPr>
        <w:t xml:space="preserve"> v Woolworths Ltd</w:t>
      </w:r>
      <w:r w:rsidR="006675AF">
        <w:t xml:space="preserve"> [2016] FC</w:t>
      </w:r>
      <w:r w:rsidR="00EA4D46">
        <w:t>A 44 at [161]-[162] (Edelman J)</w:t>
      </w:r>
      <w:r w:rsidR="006675AF" w:rsidRPr="006675AF">
        <w:t>.</w:t>
      </w:r>
    </w:p>
    <w:p w:rsidR="009E0B07" w:rsidRDefault="003B3C7B" w:rsidP="003B3C7B">
      <w:pPr>
        <w:pStyle w:val="ParaNumbering"/>
        <w:numPr>
          <w:ilvl w:val="0"/>
          <w:numId w:val="0"/>
        </w:numPr>
        <w:tabs>
          <w:tab w:val="left" w:pos="720"/>
        </w:tabs>
        <w:ind w:hanging="720"/>
      </w:pPr>
      <w:r>
        <w:rPr>
          <w:sz w:val="20"/>
        </w:rPr>
        <w:t>200</w:t>
      </w:r>
      <w:r>
        <w:rPr>
          <w:sz w:val="20"/>
        </w:rPr>
        <w:tab/>
      </w:r>
      <w:r w:rsidR="009862C0">
        <w:t xml:space="preserve">Nevertheless, ASIC pointed to the lateness of AMPFP’s admissions </w:t>
      </w:r>
      <w:r w:rsidR="005C5EBC">
        <w:t>as meaning</w:t>
      </w:r>
      <w:r w:rsidR="009862C0" w:rsidRPr="009862C0">
        <w:t xml:space="preserve"> that a good deal of the expense involved in preparing for a liability hearing (including preparing for and </w:t>
      </w:r>
      <w:r w:rsidR="00616F44">
        <w:t>attending</w:t>
      </w:r>
      <w:r w:rsidR="009862C0" w:rsidRPr="009862C0">
        <w:t xml:space="preserve"> </w:t>
      </w:r>
      <w:r w:rsidR="008C732F">
        <w:t xml:space="preserve">at </w:t>
      </w:r>
      <w:r w:rsidR="009862C0" w:rsidRPr="009862C0">
        <w:t>least</w:t>
      </w:r>
      <w:r w:rsidR="009E0B07">
        <w:t xml:space="preserve"> one interlocutory hearing) was</w:t>
      </w:r>
      <w:r w:rsidR="009862C0" w:rsidRPr="009862C0">
        <w:t xml:space="preserve"> incurred prior to AMPFP’s admissions being made.</w:t>
      </w:r>
      <w:r w:rsidR="00F40047">
        <w:t xml:space="preserve"> </w:t>
      </w:r>
      <w:r w:rsidR="009862C0">
        <w:t>AMPFP</w:t>
      </w:r>
      <w:r w:rsidR="00AE1F78">
        <w:t xml:space="preserve">’s senior counsel accepted </w:t>
      </w:r>
      <w:r w:rsidR="009862C0">
        <w:t xml:space="preserve">that the lateness of </w:t>
      </w:r>
      <w:r w:rsidR="000D67CB">
        <w:t xml:space="preserve">the </w:t>
      </w:r>
      <w:r w:rsidR="009862C0">
        <w:t xml:space="preserve">admissions was a fact that AMPFP could not walk away </w:t>
      </w:r>
      <w:r w:rsidR="00575EF7">
        <w:t xml:space="preserve">from, though ultimately said </w:t>
      </w:r>
      <w:r w:rsidR="009E0B07">
        <w:t>it was “better late than never”</w:t>
      </w:r>
      <w:r w:rsidR="004D2781" w:rsidRPr="004D2781">
        <w:t>.</w:t>
      </w:r>
      <w:r w:rsidR="00A4757D">
        <w:t xml:space="preserve"> </w:t>
      </w:r>
      <w:r w:rsidR="004D2781">
        <w:t xml:space="preserve">I agree with ASIC that the fact of AMPFP’s </w:t>
      </w:r>
      <w:r w:rsidR="00A3687F">
        <w:t xml:space="preserve">later </w:t>
      </w:r>
      <w:r w:rsidR="004D2781">
        <w:t xml:space="preserve">admissions must be balanced against the stage </w:t>
      </w:r>
      <w:r w:rsidR="004D2781">
        <w:lastRenderedPageBreak/>
        <w:t>at which they were made.</w:t>
      </w:r>
      <w:r w:rsidR="00F40047">
        <w:t xml:space="preserve"> </w:t>
      </w:r>
      <w:r w:rsidR="009E0B07">
        <w:t xml:space="preserve">One must also recognise the reality, referred to above, that AMPFP had </w:t>
      </w:r>
      <w:r w:rsidR="00A3687F">
        <w:t>no sensible</w:t>
      </w:r>
      <w:r w:rsidR="009E0B07">
        <w:t xml:space="preserve"> choice but to make </w:t>
      </w:r>
      <w:r w:rsidR="00C425D1">
        <w:t xml:space="preserve">the expanded </w:t>
      </w:r>
      <w:r w:rsidR="009E0B07">
        <w:t>admissions.</w:t>
      </w:r>
      <w:r w:rsidR="00F40047">
        <w:t xml:space="preserve"> </w:t>
      </w:r>
      <w:r w:rsidR="009E0B07">
        <w:t xml:space="preserve">Having said this, the admissions are not </w:t>
      </w:r>
      <w:r w:rsidR="002267A0">
        <w:t xml:space="preserve">completely </w:t>
      </w:r>
      <w:r w:rsidR="004D2781">
        <w:t>devoid o</w:t>
      </w:r>
      <w:r w:rsidR="009E0B07">
        <w:t xml:space="preserve">f any value and must be taken into account including </w:t>
      </w:r>
      <w:r w:rsidR="003201D9">
        <w:t>what I consider to be a relatively small</w:t>
      </w:r>
      <w:r w:rsidR="009E0B07">
        <w:t xml:space="preserve"> reduction in hearing time occasioned by the admissions. </w:t>
      </w:r>
    </w:p>
    <w:p w:rsidR="008E3146" w:rsidRPr="004A3FF8" w:rsidRDefault="008E3146" w:rsidP="004A3FF8">
      <w:pPr>
        <w:pStyle w:val="Heading4"/>
      </w:pPr>
      <w:bookmarkStart w:id="118" w:name="_Ref31789169"/>
      <w:r w:rsidRPr="004A3FF8">
        <w:t>Whether the company has suffered any extra-curial punishment or detriment arising from the finding that it had contravened the law</w:t>
      </w:r>
      <w:bookmarkEnd w:id="118"/>
    </w:p>
    <w:p w:rsidR="008E3146" w:rsidRPr="008E3146" w:rsidRDefault="003B3C7B" w:rsidP="003B3C7B">
      <w:pPr>
        <w:pStyle w:val="ParaNumbering"/>
        <w:numPr>
          <w:ilvl w:val="0"/>
          <w:numId w:val="0"/>
        </w:numPr>
        <w:tabs>
          <w:tab w:val="left" w:pos="720"/>
        </w:tabs>
        <w:ind w:hanging="720"/>
      </w:pPr>
      <w:r w:rsidRPr="008E3146">
        <w:rPr>
          <w:sz w:val="20"/>
        </w:rPr>
        <w:t>201</w:t>
      </w:r>
      <w:r w:rsidRPr="008E3146">
        <w:rPr>
          <w:sz w:val="20"/>
        </w:rPr>
        <w:tab/>
      </w:r>
      <w:r w:rsidR="006675AF" w:rsidRPr="00CF5690">
        <w:t xml:space="preserve">ASIC is not aware of any extra-curial punishment or detriment AMPFP has suffered or will suffer arising from </w:t>
      </w:r>
      <w:r w:rsidR="000D67CB">
        <w:t>the finding</w:t>
      </w:r>
      <w:r w:rsidR="006675AF" w:rsidRPr="00CF5690">
        <w:t xml:space="preserve"> it has contravened s 961L of the Act which would warrant any reduction in the pecuniary penalties that would otherwise be appropriate in the circumstances of this case.</w:t>
      </w:r>
      <w:r w:rsidR="00844058">
        <w:t xml:space="preserve"> </w:t>
      </w:r>
      <w:r w:rsidR="006675AF">
        <w:t>I accept this and need make no further comment on this factor.</w:t>
      </w:r>
    </w:p>
    <w:p w:rsidR="00745978" w:rsidRDefault="00922104" w:rsidP="007568AD">
      <w:pPr>
        <w:pStyle w:val="Heading3"/>
      </w:pPr>
      <w:bookmarkStart w:id="119" w:name="_Ref22827404"/>
      <w:r>
        <w:t>IV</w:t>
      </w:r>
      <w:r w:rsidR="007568AD">
        <w:tab/>
      </w:r>
      <w:r w:rsidR="00745978">
        <w:t xml:space="preserve">Are any difficulties AMPFP had in detecting Rewriting Conduct that contravened the </w:t>
      </w:r>
      <w:r w:rsidR="00AF6BC0">
        <w:t xml:space="preserve">relevant </w:t>
      </w:r>
      <w:r w:rsidR="00745978">
        <w:t>best interests obligations material matters affecting the assessment of penalty?</w:t>
      </w:r>
      <w:bookmarkEnd w:id="119"/>
    </w:p>
    <w:p w:rsidR="00745978" w:rsidRDefault="003B3C7B" w:rsidP="003B3C7B">
      <w:pPr>
        <w:pStyle w:val="ParaNumbering"/>
        <w:numPr>
          <w:ilvl w:val="0"/>
          <w:numId w:val="0"/>
        </w:numPr>
        <w:tabs>
          <w:tab w:val="left" w:pos="720"/>
        </w:tabs>
        <w:ind w:hanging="720"/>
      </w:pPr>
      <w:r>
        <w:rPr>
          <w:sz w:val="20"/>
        </w:rPr>
        <w:t>202</w:t>
      </w:r>
      <w:r>
        <w:rPr>
          <w:sz w:val="20"/>
        </w:rPr>
        <w:tab/>
      </w:r>
      <w:r w:rsidR="00745978">
        <w:t>This was a matter first raised in AMPFP’s written submissions and subsequently addressed in oral and written argument.</w:t>
      </w:r>
      <w:r w:rsidR="00F40047">
        <w:t xml:space="preserve"> </w:t>
      </w:r>
      <w:r w:rsidR="001D64FB">
        <w:t>AMPFP says it goes some</w:t>
      </w:r>
      <w:r w:rsidR="009E0B07">
        <w:t xml:space="preserve"> </w:t>
      </w:r>
      <w:r w:rsidR="001D64FB">
        <w:t xml:space="preserve">way to explaining AMPFP’s conduct in 2014 in failing to undertake a wide scale investigation in relation to Rewriting Conduct by advisers other than </w:t>
      </w:r>
      <w:r w:rsidR="00A956F3">
        <w:t>Pangan</w:t>
      </w:r>
      <w:r w:rsidR="001D64FB">
        <w:t>iban.</w:t>
      </w:r>
    </w:p>
    <w:p w:rsidR="001D64FB" w:rsidRDefault="003B3C7B" w:rsidP="003B3C7B">
      <w:pPr>
        <w:pStyle w:val="ParaNumbering"/>
        <w:numPr>
          <w:ilvl w:val="0"/>
          <w:numId w:val="0"/>
        </w:numPr>
        <w:tabs>
          <w:tab w:val="left" w:pos="720"/>
        </w:tabs>
        <w:ind w:hanging="720"/>
      </w:pPr>
      <w:r>
        <w:rPr>
          <w:sz w:val="20"/>
        </w:rPr>
        <w:t>203</w:t>
      </w:r>
      <w:r>
        <w:rPr>
          <w:sz w:val="20"/>
        </w:rPr>
        <w:tab/>
      </w:r>
      <w:r w:rsidR="00B76D52">
        <w:t>It</w:t>
      </w:r>
      <w:r w:rsidR="001D64FB">
        <w:t xml:space="preserve"> is true that the </w:t>
      </w:r>
      <w:r w:rsidR="00844058">
        <w:t xml:space="preserve">licensee experts </w:t>
      </w:r>
      <w:r w:rsidR="001D64FB">
        <w:t xml:space="preserve">accepted </w:t>
      </w:r>
      <w:r w:rsidR="00B93D29">
        <w:t xml:space="preserve">in </w:t>
      </w:r>
      <w:r w:rsidR="001D64FB">
        <w:t xml:space="preserve">the JER </w:t>
      </w:r>
      <w:r w:rsidR="00B93D29">
        <w:t xml:space="preserve">at [47] </w:t>
      </w:r>
      <w:r w:rsidR="001D64FB">
        <w:t>the “c</w:t>
      </w:r>
      <w:r w:rsidR="00B93D29">
        <w:t xml:space="preserve">hallenge” that AMPFP </w:t>
      </w:r>
      <w:r w:rsidR="001D64FB">
        <w:t xml:space="preserve">faced in taking reasonable steps to ensure that its representatives complied with the </w:t>
      </w:r>
      <w:r w:rsidR="00AF6BC0">
        <w:t xml:space="preserve">relevant </w:t>
      </w:r>
      <w:r w:rsidR="001D64FB">
        <w:t>bes</w:t>
      </w:r>
      <w:r w:rsidR="00A3687F">
        <w:t>t</w:t>
      </w:r>
      <w:r w:rsidR="00B93D29">
        <w:t xml:space="preserve"> interests obligations</w:t>
      </w:r>
      <w:r w:rsidR="001D64FB">
        <w:t>.</w:t>
      </w:r>
      <w:r w:rsidR="00F40047">
        <w:t xml:space="preserve"> </w:t>
      </w:r>
      <w:r w:rsidR="001D64FB">
        <w:t xml:space="preserve">I accept that it would have been a resource intensive and time consuming exercise partly on account of the fact that </w:t>
      </w:r>
      <w:r w:rsidR="001D64FB" w:rsidRPr="001D64FB">
        <w:t>data and information systems in large financial institutions were not necessarily designed to support complia</w:t>
      </w:r>
      <w:r w:rsidR="0073187E">
        <w:t>nce and risk management</w:t>
      </w:r>
      <w:r w:rsidR="001D64FB" w:rsidRPr="001D64FB">
        <w:t xml:space="preserve"> processes, that systems in many large organisations comprise legacy information and databases which are not necessarily linked or integrated, and that analysis of data and information from multiple systems entails significant manual intervention and investigation</w:t>
      </w:r>
      <w:r w:rsidR="001D64FB">
        <w:t>.</w:t>
      </w:r>
    </w:p>
    <w:p w:rsidR="001E3E30" w:rsidRDefault="003B3C7B" w:rsidP="003B3C7B">
      <w:pPr>
        <w:pStyle w:val="ParaNumbering"/>
        <w:numPr>
          <w:ilvl w:val="0"/>
          <w:numId w:val="0"/>
        </w:numPr>
        <w:tabs>
          <w:tab w:val="left" w:pos="720"/>
        </w:tabs>
        <w:ind w:hanging="720"/>
      </w:pPr>
      <w:r>
        <w:rPr>
          <w:sz w:val="20"/>
        </w:rPr>
        <w:t>204</w:t>
      </w:r>
      <w:r>
        <w:rPr>
          <w:sz w:val="20"/>
        </w:rPr>
        <w:tab/>
      </w:r>
      <w:r w:rsidR="008A30C7">
        <w:t>Yet a</w:t>
      </w:r>
      <w:r w:rsidR="00AD6E6D">
        <w:t xml:space="preserve">ll of this </w:t>
      </w:r>
      <w:r w:rsidR="008A30C7">
        <w:t xml:space="preserve">is </w:t>
      </w:r>
      <w:r w:rsidR="002C7387">
        <w:t>no answer to the fact that</w:t>
      </w:r>
      <w:r w:rsidR="003E2B11">
        <w:t xml:space="preserve"> </w:t>
      </w:r>
      <w:r w:rsidR="00DB59E0">
        <w:t>AMPFP</w:t>
      </w:r>
      <w:r w:rsidR="002C7387">
        <w:t xml:space="preserve"> did not act promptly </w:t>
      </w:r>
      <w:r w:rsidR="003201D9">
        <w:t xml:space="preserve">to try </w:t>
      </w:r>
      <w:r w:rsidR="002C7387">
        <w:t>and, as</w:t>
      </w:r>
      <w:r w:rsidR="001E3E30">
        <w:t xml:space="preserve"> the </w:t>
      </w:r>
      <w:r w:rsidR="00844058">
        <w:t>l</w:t>
      </w:r>
      <w:r w:rsidR="001E3E30">
        <w:t xml:space="preserve">icensee </w:t>
      </w:r>
      <w:r w:rsidR="00844058">
        <w:t xml:space="preserve">experts </w:t>
      </w:r>
      <w:r w:rsidR="00CF2345">
        <w:t>said at [48] of the JER: “[</w:t>
      </w:r>
      <w:proofErr w:type="spellStart"/>
      <w:r w:rsidR="00CF2345">
        <w:t>i</w:t>
      </w:r>
      <w:proofErr w:type="spellEnd"/>
      <w:r w:rsidR="00CF2345">
        <w:t>]</w:t>
      </w:r>
      <w:r w:rsidR="001E3E30">
        <w:t>n our opinion, despite these challenges, reasonable efforts should have been made to take the steps [as outlined].</w:t>
      </w:r>
      <w:r w:rsidR="00844058">
        <w:t xml:space="preserve"> </w:t>
      </w:r>
      <w:r w:rsidR="00B93D29">
        <w:t>Of course, t</w:t>
      </w:r>
      <w:r w:rsidR="00B0106D" w:rsidRPr="00B0106D">
        <w:t xml:space="preserve">he </w:t>
      </w:r>
      <w:r w:rsidR="009E0B07">
        <w:t xml:space="preserve">most serious </w:t>
      </w:r>
      <w:r w:rsidR="00B0106D" w:rsidRPr="00B0106D">
        <w:t>problem with AMPFP’s conduct for the entirety of the Relevant Period (from 1 July 2013 to 30 June 2015) was not its failure to detect Rewriting Conduct, but rather, having</w:t>
      </w:r>
      <w:r w:rsidR="003B596E">
        <w:t xml:space="preserve"> detected it</w:t>
      </w:r>
      <w:r w:rsidR="00B0106D" w:rsidRPr="00B0106D">
        <w:t xml:space="preserve">, </w:t>
      </w:r>
      <w:r w:rsidR="00B6121D">
        <w:t>it</w:t>
      </w:r>
      <w:r w:rsidR="009E0B07">
        <w:t>s failure</w:t>
      </w:r>
      <w:r w:rsidR="003201D9">
        <w:t xml:space="preserve"> to adopt a proper remedial </w:t>
      </w:r>
      <w:r w:rsidR="00B0106D" w:rsidRPr="00B0106D">
        <w:t>response</w:t>
      </w:r>
      <w:r w:rsidR="00B0106D">
        <w:t>.</w:t>
      </w:r>
      <w:r w:rsidR="00A427A4">
        <w:t xml:space="preserve"> </w:t>
      </w:r>
    </w:p>
    <w:p w:rsidR="008E3146" w:rsidRDefault="003B3C7B" w:rsidP="003B3C7B">
      <w:pPr>
        <w:pStyle w:val="ParaNumbering"/>
        <w:numPr>
          <w:ilvl w:val="0"/>
          <w:numId w:val="0"/>
        </w:numPr>
        <w:tabs>
          <w:tab w:val="left" w:pos="720"/>
        </w:tabs>
        <w:ind w:hanging="720"/>
      </w:pPr>
      <w:r>
        <w:rPr>
          <w:sz w:val="20"/>
        </w:rPr>
        <w:lastRenderedPageBreak/>
        <w:t>205</w:t>
      </w:r>
      <w:r>
        <w:rPr>
          <w:sz w:val="20"/>
        </w:rPr>
        <w:tab/>
      </w:r>
      <w:r w:rsidR="001A0B62">
        <w:t xml:space="preserve">For the above reasons, </w:t>
      </w:r>
      <w:r w:rsidR="00AD6E6D">
        <w:t>any</w:t>
      </w:r>
      <w:r w:rsidR="00F83B9A">
        <w:t xml:space="preserve"> difficulty of detectability </w:t>
      </w:r>
      <w:r w:rsidR="00B6121D">
        <w:t xml:space="preserve">does not factor significantly </w:t>
      </w:r>
      <w:r w:rsidR="00F83B9A">
        <w:t>for the purposes of assessing the penalty for contraventions of s 961L</w:t>
      </w:r>
      <w:r w:rsidR="00B6121D">
        <w:t xml:space="preserve"> given the fact the </w:t>
      </w:r>
      <w:r w:rsidR="003201D9">
        <w:t xml:space="preserve">existence of the </w:t>
      </w:r>
      <w:r w:rsidR="00B6121D">
        <w:t>conduct was, in fact, detected</w:t>
      </w:r>
      <w:r w:rsidR="00F83B9A">
        <w:t>.</w:t>
      </w:r>
      <w:bookmarkStart w:id="120" w:name="_Ref22827405"/>
      <w:r w:rsidR="005A06EB">
        <w:t xml:space="preserve"> </w:t>
      </w:r>
      <w:r w:rsidR="003571AA" w:rsidRPr="003571AA">
        <w:t xml:space="preserve">Mr </w:t>
      </w:r>
      <w:proofErr w:type="spellStart"/>
      <w:r w:rsidR="003571AA" w:rsidRPr="003571AA">
        <w:t>Traynor</w:t>
      </w:r>
      <w:proofErr w:type="spellEnd"/>
      <w:r w:rsidR="00043A56">
        <w:t>, for one,</w:t>
      </w:r>
      <w:r w:rsidR="003571AA" w:rsidRPr="003571AA">
        <w:t xml:space="preserve"> </w:t>
      </w:r>
      <w:r w:rsidR="003571AA">
        <w:t>did not have any difficulty</w:t>
      </w:r>
      <w:r w:rsidR="00F52F7F">
        <w:t xml:space="preserve"> in detecting and understanding the wrongful nature of the conduct </w:t>
      </w:r>
      <w:r w:rsidR="003B596E">
        <w:t xml:space="preserve">as early as </w:t>
      </w:r>
      <w:r w:rsidR="00F52F7F">
        <w:t>2012 when</w:t>
      </w:r>
      <w:r w:rsidR="003571AA">
        <w:t xml:space="preserve">, after being alerted </w:t>
      </w:r>
      <w:r w:rsidR="003571AA" w:rsidRPr="003571AA">
        <w:t xml:space="preserve">to Panganiban’s behaviour, </w:t>
      </w:r>
      <w:r w:rsidR="00F52F7F">
        <w:t xml:space="preserve">his initial response was </w:t>
      </w:r>
      <w:r w:rsidR="003571AA">
        <w:t>that</w:t>
      </w:r>
      <w:r w:rsidR="003571AA" w:rsidRPr="003571AA">
        <w:t xml:space="preserve"> “</w:t>
      </w:r>
      <w:r w:rsidR="00440E96">
        <w:t>[</w:t>
      </w:r>
      <w:r w:rsidR="003571AA" w:rsidRPr="003571AA">
        <w:t>t</w:t>
      </w:r>
      <w:r w:rsidR="00440E96">
        <w:t>]</w:t>
      </w:r>
      <w:r w:rsidR="003571AA" w:rsidRPr="003571AA">
        <w:t>hey should NOT be allowed to do this as it is not right by the client</w:t>
      </w:r>
      <w:r w:rsidR="003571AA">
        <w:t>”</w:t>
      </w:r>
      <w:r w:rsidR="00F52F7F">
        <w:t>.</w:t>
      </w:r>
      <w:r w:rsidR="005A06EB">
        <w:t xml:space="preserve"> </w:t>
      </w:r>
      <w:r w:rsidR="00043A56">
        <w:t>Section A of these reasons do</w:t>
      </w:r>
      <w:r w:rsidR="00913F82">
        <w:t>es</w:t>
      </w:r>
      <w:r w:rsidR="00043A56">
        <w:t xml:space="preserve"> not reflect </w:t>
      </w:r>
      <w:r w:rsidR="00913F82">
        <w:t>a failure</w:t>
      </w:r>
      <w:r w:rsidR="00043A56">
        <w:t xml:space="preserve"> caused by the wrongful conduct being undetectable; but rather a lack of will to </w:t>
      </w:r>
      <w:r w:rsidR="003B596E">
        <w:t xml:space="preserve">get to the bottom of what was happening and to </w:t>
      </w:r>
      <w:r w:rsidR="00043A56">
        <w:t xml:space="preserve">do the right thing. </w:t>
      </w:r>
    </w:p>
    <w:p w:rsidR="00034C41" w:rsidRPr="00034C41" w:rsidRDefault="00034C41" w:rsidP="00C5422E">
      <w:pPr>
        <w:pStyle w:val="Heading3"/>
      </w:pPr>
      <w:bookmarkStart w:id="121" w:name="_Ref29821133"/>
      <w:bookmarkStart w:id="122" w:name="_Ref30603908"/>
      <w:r w:rsidRPr="00034C41">
        <w:t>V</w:t>
      </w:r>
      <w:r w:rsidRPr="00034C41">
        <w:tab/>
      </w:r>
      <w:r>
        <w:t xml:space="preserve">Further </w:t>
      </w:r>
      <w:bookmarkEnd w:id="121"/>
      <w:r w:rsidR="00371A8F">
        <w:t>matters</w:t>
      </w:r>
      <w:bookmarkEnd w:id="122"/>
    </w:p>
    <w:p w:rsidR="00034C41" w:rsidRDefault="003B3C7B" w:rsidP="003B3C7B">
      <w:pPr>
        <w:pStyle w:val="ParaNumbering"/>
        <w:numPr>
          <w:ilvl w:val="0"/>
          <w:numId w:val="0"/>
        </w:numPr>
        <w:tabs>
          <w:tab w:val="left" w:pos="720"/>
        </w:tabs>
        <w:ind w:hanging="720"/>
      </w:pPr>
      <w:r>
        <w:rPr>
          <w:sz w:val="20"/>
        </w:rPr>
        <w:t>206</w:t>
      </w:r>
      <w:r>
        <w:rPr>
          <w:sz w:val="20"/>
        </w:rPr>
        <w:tab/>
      </w:r>
      <w:r w:rsidR="00034C41">
        <w:t>Before fixing penalty</w:t>
      </w:r>
      <w:r w:rsidR="00C3338E">
        <w:t>,</w:t>
      </w:r>
      <w:r w:rsidR="00034C41">
        <w:t xml:space="preserve"> I </w:t>
      </w:r>
      <w:r w:rsidR="00C3338E">
        <w:t>should make reference to five</w:t>
      </w:r>
      <w:r w:rsidR="00913F82">
        <w:t xml:space="preserve"> particular</w:t>
      </w:r>
      <w:r w:rsidR="00034C41">
        <w:t xml:space="preserve"> matters</w:t>
      </w:r>
      <w:r w:rsidR="0077772A">
        <w:t xml:space="preserve"> </w:t>
      </w:r>
      <w:r w:rsidR="00913F82">
        <w:t xml:space="preserve">of principle </w:t>
      </w:r>
      <w:r w:rsidR="00E23913">
        <w:t xml:space="preserve">to </w:t>
      </w:r>
      <w:r w:rsidR="0077772A">
        <w:t xml:space="preserve">which I </w:t>
      </w:r>
      <w:r w:rsidR="00E23913">
        <w:t>will have regard in fixing penalty</w:t>
      </w:r>
      <w:r w:rsidR="00C3338E">
        <w:t>,</w:t>
      </w:r>
      <w:r w:rsidR="00E23913">
        <w:t xml:space="preserve"> but </w:t>
      </w:r>
      <w:r w:rsidR="00C3338E">
        <w:t xml:space="preserve">which </w:t>
      </w:r>
      <w:r w:rsidR="0077772A">
        <w:t>can</w:t>
      </w:r>
      <w:r w:rsidR="0007087B">
        <w:t xml:space="preserve"> be</w:t>
      </w:r>
      <w:r w:rsidR="0077772A">
        <w:t xml:space="preserve"> deal</w:t>
      </w:r>
      <w:r w:rsidR="0007087B">
        <w:t>t</w:t>
      </w:r>
      <w:r w:rsidR="0077772A">
        <w:t xml:space="preserve"> with </w:t>
      </w:r>
      <w:r w:rsidR="00C3338E">
        <w:t>in summary fashion</w:t>
      </w:r>
      <w:r w:rsidR="0077772A">
        <w:t>, given the</w:t>
      </w:r>
      <w:r w:rsidR="00913F82">
        <w:t>y</w:t>
      </w:r>
      <w:r w:rsidR="0077772A">
        <w:t xml:space="preserve"> are not in dispute</w:t>
      </w:r>
      <w:r w:rsidR="00034C41">
        <w:t>.</w:t>
      </w:r>
    </w:p>
    <w:p w:rsidR="00034C41" w:rsidRDefault="003B3C7B" w:rsidP="003B3C7B">
      <w:pPr>
        <w:pStyle w:val="ParaNumbering"/>
        <w:numPr>
          <w:ilvl w:val="0"/>
          <w:numId w:val="0"/>
        </w:numPr>
        <w:tabs>
          <w:tab w:val="left" w:pos="720"/>
        </w:tabs>
        <w:ind w:hanging="720"/>
      </w:pPr>
      <w:r>
        <w:rPr>
          <w:sz w:val="20"/>
        </w:rPr>
        <w:t>207</w:t>
      </w:r>
      <w:r>
        <w:rPr>
          <w:sz w:val="20"/>
        </w:rPr>
        <w:tab/>
      </w:r>
      <w:r w:rsidR="00034C41" w:rsidRPr="00034C41">
        <w:rPr>
          <w:i/>
        </w:rPr>
        <w:t>First</w:t>
      </w:r>
      <w:r w:rsidR="00034C41">
        <w:t>,</w:t>
      </w:r>
      <w:r w:rsidR="00E56B6A">
        <w:t xml:space="preserve"> there is the maximum penalty. </w:t>
      </w:r>
      <w:r w:rsidR="00E23913">
        <w:t>This</w:t>
      </w:r>
      <w:r w:rsidR="00034C41">
        <w:t xml:space="preserve"> is </w:t>
      </w:r>
      <w:r w:rsidR="00E23913">
        <w:t xml:space="preserve">a </w:t>
      </w:r>
      <w:r w:rsidR="00C425D1">
        <w:t>reflection</w:t>
      </w:r>
      <w:r w:rsidR="00034C41">
        <w:t xml:space="preserve"> of the legislature’s policy concerning the seriousness of the pros</w:t>
      </w:r>
      <w:r w:rsidR="00E56B6A">
        <w:t xml:space="preserve">cribed conduct. </w:t>
      </w:r>
      <w:r w:rsidR="00E23913">
        <w:t>I</w:t>
      </w:r>
      <w:r w:rsidR="00034C41">
        <w:t xml:space="preserve">t </w:t>
      </w:r>
      <w:r w:rsidR="00E23913">
        <w:t xml:space="preserve">also </w:t>
      </w:r>
      <w:r w:rsidR="00034C41">
        <w:t xml:space="preserve">permits comparison </w:t>
      </w:r>
      <w:r w:rsidR="00E23913">
        <w:t>with</w:t>
      </w:r>
      <w:r w:rsidR="00034C41">
        <w:t xml:space="preserve"> the worst possible case </w:t>
      </w:r>
      <w:r w:rsidR="00E23913">
        <w:t>by providing</w:t>
      </w:r>
      <w:r w:rsidR="00034C41">
        <w:t xml:space="preserve"> a “yardstick” which should be taken and balanced with all</w:t>
      </w:r>
      <w:r w:rsidR="00E23913">
        <w:t xml:space="preserve"> of the other relevant factors bearing in mind: (a) t</w:t>
      </w:r>
      <w:r w:rsidR="00034C41">
        <w:t xml:space="preserve">he maximum penalty is generally reserved </w:t>
      </w:r>
      <w:r w:rsidR="0077772A">
        <w:t>for the worst category of cases</w:t>
      </w:r>
      <w:r w:rsidR="00E23913">
        <w:t>;</w:t>
      </w:r>
      <w:r w:rsidR="00034C41">
        <w:t xml:space="preserve"> </w:t>
      </w:r>
      <w:r w:rsidR="0077772A">
        <w:t>and</w:t>
      </w:r>
      <w:r w:rsidR="00034C41">
        <w:t xml:space="preserve"> </w:t>
      </w:r>
      <w:r w:rsidR="00E23913">
        <w:t xml:space="preserve">(b) </w:t>
      </w:r>
      <w:r w:rsidR="0077772A">
        <w:t xml:space="preserve">the </w:t>
      </w:r>
      <w:r w:rsidR="00034C41">
        <w:t xml:space="preserve">penalty imposed must be proportionate to the contravening conduct: </w:t>
      </w:r>
      <w:proofErr w:type="spellStart"/>
      <w:r w:rsidR="00E23913" w:rsidRPr="0077772A">
        <w:rPr>
          <w:i/>
        </w:rPr>
        <w:t>Markarian</w:t>
      </w:r>
      <w:proofErr w:type="spellEnd"/>
      <w:r w:rsidR="00E23913" w:rsidRPr="00EE27BE">
        <w:rPr>
          <w:i/>
        </w:rPr>
        <w:t xml:space="preserve"> </w:t>
      </w:r>
      <w:r w:rsidR="00EE27BE" w:rsidRPr="00EE27BE">
        <w:rPr>
          <w:i/>
        </w:rPr>
        <w:t xml:space="preserve">v The Queen </w:t>
      </w:r>
      <w:r w:rsidR="00EE27BE">
        <w:t xml:space="preserve">[2005] HCA 25; (2005) 228 CLR 357 </w:t>
      </w:r>
      <w:r w:rsidR="00E23913">
        <w:t>at</w:t>
      </w:r>
      <w:r w:rsidR="00EE27BE">
        <w:t xml:space="preserve"> 372</w:t>
      </w:r>
      <w:r w:rsidR="00E23913">
        <w:t xml:space="preserve"> [31] (Gleeson</w:t>
      </w:r>
      <w:r w:rsidR="00EE27BE">
        <w:t> </w:t>
      </w:r>
      <w:r w:rsidR="00E23913">
        <w:t xml:space="preserve">CJ, </w:t>
      </w:r>
      <w:proofErr w:type="spellStart"/>
      <w:r w:rsidR="00E23913">
        <w:t>Gummow</w:t>
      </w:r>
      <w:proofErr w:type="spellEnd"/>
      <w:r w:rsidR="00E23913">
        <w:t xml:space="preserve">, Hayne and </w:t>
      </w:r>
      <w:proofErr w:type="spellStart"/>
      <w:r w:rsidR="00E23913">
        <w:t>Callinan</w:t>
      </w:r>
      <w:proofErr w:type="spellEnd"/>
      <w:r w:rsidR="00E23913">
        <w:t xml:space="preserve"> JJ); </w:t>
      </w:r>
      <w:r w:rsidR="00A13494" w:rsidRPr="00FB64B6">
        <w:rPr>
          <w:i/>
          <w:iCs/>
        </w:rPr>
        <w:t>Australian Building and Construction Commissioner v Construction, Forestry, Mining and Energy Union</w:t>
      </w:r>
      <w:r w:rsidR="00034C41">
        <w:t xml:space="preserve"> at </w:t>
      </w:r>
      <w:r w:rsidR="00A13494">
        <w:t xml:space="preserve">90 </w:t>
      </w:r>
      <w:r w:rsidR="00034C41">
        <w:t>[</w:t>
      </w:r>
      <w:r w:rsidR="00EE27BE">
        <w:t>106</w:t>
      </w:r>
      <w:r w:rsidR="00034C41">
        <w:t>].</w:t>
      </w:r>
    </w:p>
    <w:p w:rsidR="0077772A" w:rsidRDefault="003B3C7B" w:rsidP="003B3C7B">
      <w:pPr>
        <w:pStyle w:val="ParaNumbering"/>
        <w:numPr>
          <w:ilvl w:val="0"/>
          <w:numId w:val="0"/>
        </w:numPr>
        <w:tabs>
          <w:tab w:val="left" w:pos="720"/>
        </w:tabs>
        <w:ind w:hanging="720"/>
      </w:pPr>
      <w:r>
        <w:rPr>
          <w:sz w:val="20"/>
        </w:rPr>
        <w:t>208</w:t>
      </w:r>
      <w:r>
        <w:rPr>
          <w:sz w:val="20"/>
        </w:rPr>
        <w:tab/>
      </w:r>
      <w:r w:rsidR="0077772A" w:rsidRPr="0077772A">
        <w:rPr>
          <w:i/>
        </w:rPr>
        <w:t>Secondly</w:t>
      </w:r>
      <w:r w:rsidR="0077772A">
        <w:t xml:space="preserve">, there is the “course of conduct principle” which means that where, such as here, there is </w:t>
      </w:r>
      <w:r w:rsidR="00FE4BAD">
        <w:t>some</w:t>
      </w:r>
      <w:r w:rsidR="0077772A">
        <w:t xml:space="preserve"> interrelationship between the legal and factual elements of multiple contraventions</w:t>
      </w:r>
      <w:r w:rsidR="00E23913">
        <w:t xml:space="preserve">, </w:t>
      </w:r>
      <w:r w:rsidR="0077772A">
        <w:t xml:space="preserve">the </w:t>
      </w:r>
      <w:proofErr w:type="spellStart"/>
      <w:r w:rsidR="0077772A">
        <w:t>contravenor</w:t>
      </w:r>
      <w:proofErr w:type="spellEnd"/>
      <w:r w:rsidR="0077772A">
        <w:t xml:space="preserve"> </w:t>
      </w:r>
      <w:r w:rsidR="00C3338E">
        <w:t>should</w:t>
      </w:r>
      <w:r w:rsidR="0077772A">
        <w:t xml:space="preserve"> not </w:t>
      </w:r>
      <w:r w:rsidR="00C3338E">
        <w:t xml:space="preserve">be </w:t>
      </w:r>
      <w:r w:rsidR="0077772A">
        <w:t>punished more than once for what is essentially the same contravening conduct.</w:t>
      </w:r>
      <w:r w:rsidR="00E56B6A">
        <w:t xml:space="preserve"> </w:t>
      </w:r>
      <w:r w:rsidR="00E23913">
        <w:t>So to the extent</w:t>
      </w:r>
      <w:r w:rsidR="0077772A">
        <w:t xml:space="preserve"> the </w:t>
      </w:r>
      <w:r w:rsidR="00E23913">
        <w:t xml:space="preserve">contravening </w:t>
      </w:r>
      <w:r w:rsidR="0077772A">
        <w:t xml:space="preserve">conduct </w:t>
      </w:r>
      <w:r w:rsidR="00E23913">
        <w:t>of</w:t>
      </w:r>
      <w:r w:rsidR="0077772A">
        <w:t xml:space="preserve"> AMPFP </w:t>
      </w:r>
      <w:r w:rsidR="00E23913">
        <w:t>(although</w:t>
      </w:r>
      <w:r w:rsidR="0077772A">
        <w:t xml:space="preserve"> </w:t>
      </w:r>
      <w:r w:rsidR="00E23913">
        <w:t>constituting</w:t>
      </w:r>
      <w:r w:rsidR="0077772A">
        <w:t xml:space="preserve"> separate contraventions</w:t>
      </w:r>
      <w:r w:rsidR="00E23913">
        <w:t xml:space="preserve">) </w:t>
      </w:r>
      <w:r w:rsidR="0077772A">
        <w:t xml:space="preserve">could nevertheless be characterised as a single act, the penalties </w:t>
      </w:r>
      <w:r w:rsidR="00E23913">
        <w:t>imposed</w:t>
      </w:r>
      <w:r w:rsidR="0077772A">
        <w:t xml:space="preserve"> should or</w:t>
      </w:r>
      <w:r w:rsidR="00E23913">
        <w:t xml:space="preserve">dinarily be moulded </w:t>
      </w:r>
      <w:r w:rsidR="0077772A">
        <w:t>to reflect that fact.</w:t>
      </w:r>
      <w:r w:rsidR="00F40047">
        <w:t xml:space="preserve"> </w:t>
      </w:r>
      <w:r w:rsidR="00E23913">
        <w:t>Accordingly</w:t>
      </w:r>
      <w:r w:rsidR="0077772A">
        <w:t xml:space="preserve">, </w:t>
      </w:r>
      <w:r w:rsidR="00E23913">
        <w:t xml:space="preserve">although </w:t>
      </w:r>
      <w:r w:rsidR="0077772A">
        <w:t>I am required</w:t>
      </w:r>
      <w:r w:rsidR="00E23913">
        <w:t xml:space="preserve"> in a case such as the present</w:t>
      </w:r>
      <w:r w:rsidR="0077772A">
        <w:t xml:space="preserve"> to impose a separate penalty for each contravention</w:t>
      </w:r>
      <w:r w:rsidR="00E23913">
        <w:t xml:space="preserve">, I am required, to the extent relevant, to adjust </w:t>
      </w:r>
      <w:r w:rsidR="0077772A">
        <w:t>t</w:t>
      </w:r>
      <w:r w:rsidR="00E23913">
        <w:t>he individual penalties to</w:t>
      </w:r>
      <w:r w:rsidR="0077772A">
        <w:t xml:space="preserve"> avoid </w:t>
      </w:r>
      <w:r w:rsidR="00E23913">
        <w:t>any double punishment</w:t>
      </w:r>
      <w:r w:rsidR="0077772A">
        <w:t xml:space="preserve">. </w:t>
      </w:r>
      <w:r w:rsidR="00B97636">
        <w:t>This does have some relevance</w:t>
      </w:r>
      <w:r w:rsidR="00491BF9">
        <w:t>,</w:t>
      </w:r>
      <w:r w:rsidR="00B97636">
        <w:t xml:space="preserve"> as </w:t>
      </w:r>
      <w:r w:rsidR="00491BF9">
        <w:t>explained below</w:t>
      </w:r>
      <w:r w:rsidR="00B97636">
        <w:t>.</w:t>
      </w:r>
    </w:p>
    <w:p w:rsidR="00034C41" w:rsidRPr="00034C41" w:rsidRDefault="003B3C7B" w:rsidP="003B3C7B">
      <w:pPr>
        <w:pStyle w:val="ParaNumbering"/>
        <w:numPr>
          <w:ilvl w:val="0"/>
          <w:numId w:val="0"/>
        </w:numPr>
        <w:tabs>
          <w:tab w:val="left" w:pos="720"/>
        </w:tabs>
        <w:ind w:hanging="720"/>
      </w:pPr>
      <w:r w:rsidRPr="00034C41">
        <w:rPr>
          <w:sz w:val="20"/>
        </w:rPr>
        <w:t>209</w:t>
      </w:r>
      <w:r w:rsidRPr="00034C41">
        <w:rPr>
          <w:sz w:val="20"/>
        </w:rPr>
        <w:tab/>
      </w:r>
      <w:r w:rsidR="00034C41" w:rsidRPr="00B97636">
        <w:rPr>
          <w:i/>
        </w:rPr>
        <w:t>Thirdly</w:t>
      </w:r>
      <w:r w:rsidR="00034C41">
        <w:t xml:space="preserve">, I have discussed above the factors that I consider to be </w:t>
      </w:r>
      <w:r w:rsidR="00C3338E">
        <w:t>of particular relevance</w:t>
      </w:r>
      <w:r w:rsidR="00E56B6A">
        <w:t xml:space="preserve">. </w:t>
      </w:r>
      <w:r w:rsidR="00034C41">
        <w:t xml:space="preserve">This then calls for me to approach penalty in a way which can in some respects be likened to the </w:t>
      </w:r>
      <w:r w:rsidR="00034C41">
        <w:lastRenderedPageBreak/>
        <w:t>“instinctive synthesis” involved in criminal sentencing</w:t>
      </w:r>
      <w:r w:rsidR="00C3338E">
        <w:t>,</w:t>
      </w:r>
      <w:r w:rsidR="00034C41">
        <w:t xml:space="preserve"> being the “method of sentencing by which the judge identifies all the factors that are relevant to the sentence, discusses their significance and then makes a value judgment as to what is the appropriate sentence given all the factors of the case”: </w:t>
      </w:r>
      <w:proofErr w:type="spellStart"/>
      <w:r w:rsidR="00034C41" w:rsidRPr="00B97636">
        <w:rPr>
          <w:i/>
        </w:rPr>
        <w:t>Markarian</w:t>
      </w:r>
      <w:proofErr w:type="spellEnd"/>
      <w:r w:rsidR="00034C41" w:rsidRPr="00B97636">
        <w:rPr>
          <w:i/>
        </w:rPr>
        <w:t xml:space="preserve"> v The Queen</w:t>
      </w:r>
      <w:r w:rsidR="00034C41">
        <w:t xml:space="preserve"> at</w:t>
      </w:r>
      <w:r w:rsidR="00EE27BE">
        <w:t xml:space="preserve"> 377-378</w:t>
      </w:r>
      <w:r w:rsidR="00034C41">
        <w:t xml:space="preserve"> [51] (McHugh J).</w:t>
      </w:r>
      <w:r w:rsidR="00F40047">
        <w:t xml:space="preserve"> </w:t>
      </w:r>
    </w:p>
    <w:p w:rsidR="00034C41" w:rsidRDefault="003B3C7B" w:rsidP="003B3C7B">
      <w:pPr>
        <w:pStyle w:val="ParaNumbering"/>
        <w:numPr>
          <w:ilvl w:val="0"/>
          <w:numId w:val="0"/>
        </w:numPr>
        <w:tabs>
          <w:tab w:val="left" w:pos="720"/>
        </w:tabs>
        <w:ind w:hanging="720"/>
      </w:pPr>
      <w:r>
        <w:rPr>
          <w:sz w:val="20"/>
        </w:rPr>
        <w:t>210</w:t>
      </w:r>
      <w:r>
        <w:rPr>
          <w:sz w:val="20"/>
        </w:rPr>
        <w:tab/>
      </w:r>
      <w:r w:rsidR="001D3BA8" w:rsidRPr="00C3338E">
        <w:rPr>
          <w:i/>
        </w:rPr>
        <w:t>Fourthly</w:t>
      </w:r>
      <w:r w:rsidR="001D3BA8">
        <w:t xml:space="preserve">, </w:t>
      </w:r>
      <w:r w:rsidR="00034C41">
        <w:t xml:space="preserve">after imposing separate </w:t>
      </w:r>
      <w:r w:rsidR="001D3BA8">
        <w:t>penalties</w:t>
      </w:r>
      <w:r w:rsidR="00C3338E">
        <w:t>,</w:t>
      </w:r>
      <w:r w:rsidR="001D3BA8">
        <w:t xml:space="preserve"> I will turn to</w:t>
      </w:r>
      <w:r w:rsidR="00034C41">
        <w:t xml:space="preserve"> review</w:t>
      </w:r>
      <w:r w:rsidR="001D3BA8">
        <w:t>ing</w:t>
      </w:r>
      <w:r w:rsidR="00034C41">
        <w:t xml:space="preserve"> the aggregate </w:t>
      </w:r>
      <w:r w:rsidR="001D3BA8">
        <w:t xml:space="preserve">of the penalty imposed on AMPFP </w:t>
      </w:r>
      <w:r w:rsidR="00034C41">
        <w:t xml:space="preserve">and consider whether it is just and appropriate. </w:t>
      </w:r>
      <w:r w:rsidR="001D3BA8">
        <w:t>This application of the totality principle is a separate exercise from</w:t>
      </w:r>
      <w:r w:rsidR="00034C41">
        <w:t xml:space="preserve"> the course of conduct principle</w:t>
      </w:r>
      <w:r w:rsidR="001D3BA8">
        <w:t xml:space="preserve"> </w:t>
      </w:r>
      <w:r w:rsidR="00C3338E">
        <w:t xml:space="preserve">explained above </w:t>
      </w:r>
      <w:r w:rsidR="001D3BA8">
        <w:t xml:space="preserve">and </w:t>
      </w:r>
      <w:r w:rsidR="00C3338E">
        <w:t xml:space="preserve">its application </w:t>
      </w:r>
      <w:r w:rsidR="001D3BA8">
        <w:t>is logically subsequent to it</w:t>
      </w:r>
      <w:r w:rsidR="00034C41">
        <w:t>.</w:t>
      </w:r>
      <w:r w:rsidR="00E56B6A">
        <w:t xml:space="preserve"> </w:t>
      </w:r>
      <w:r w:rsidR="001D3BA8">
        <w:t xml:space="preserve">Hence after considering whether </w:t>
      </w:r>
      <w:r w:rsidR="00034C41">
        <w:t>the individual penalties sho</w:t>
      </w:r>
      <w:r w:rsidR="001D3BA8">
        <w:t xml:space="preserve">uld be adjusted to reflect </w:t>
      </w:r>
      <w:r w:rsidR="00034C41">
        <w:t xml:space="preserve">the </w:t>
      </w:r>
      <w:r w:rsidR="006E21A5">
        <w:t xml:space="preserve">fact that the </w:t>
      </w:r>
      <w:r w:rsidR="00034C41">
        <w:t xml:space="preserve">contraventions occurred as part of a course </w:t>
      </w:r>
      <w:r w:rsidR="001D3BA8">
        <w:t>of</w:t>
      </w:r>
      <w:r w:rsidR="00034C41">
        <w:t xml:space="preserve"> conduct</w:t>
      </w:r>
      <w:r w:rsidR="00C3338E">
        <w:t>,</w:t>
      </w:r>
      <w:r w:rsidR="001D3BA8">
        <w:t xml:space="preserve"> I will then finally </w:t>
      </w:r>
      <w:r w:rsidR="00034C41">
        <w:t xml:space="preserve">review the aggregate </w:t>
      </w:r>
      <w:r w:rsidR="001D3BA8">
        <w:t>penalty</w:t>
      </w:r>
      <w:r w:rsidR="00034C41">
        <w:t xml:space="preserve"> to ensure that it is just and appropriate</w:t>
      </w:r>
      <w:r w:rsidR="001D3BA8">
        <w:t xml:space="preserve"> having regard to</w:t>
      </w:r>
      <w:r w:rsidR="00034C41">
        <w:t xml:space="preserve"> the contravening conduct considered as a whole.</w:t>
      </w:r>
      <w:r w:rsidR="00C3338E">
        <w:t xml:space="preserve"> </w:t>
      </w:r>
    </w:p>
    <w:p w:rsidR="00C3338E" w:rsidRPr="00C3338E" w:rsidRDefault="003B3C7B" w:rsidP="003B3C7B">
      <w:pPr>
        <w:pStyle w:val="ParaNumbering"/>
        <w:numPr>
          <w:ilvl w:val="0"/>
          <w:numId w:val="0"/>
        </w:numPr>
        <w:tabs>
          <w:tab w:val="left" w:pos="720"/>
        </w:tabs>
        <w:ind w:hanging="720"/>
      </w:pPr>
      <w:r w:rsidRPr="00C3338E">
        <w:rPr>
          <w:sz w:val="20"/>
        </w:rPr>
        <w:t>211</w:t>
      </w:r>
      <w:r w:rsidRPr="00C3338E">
        <w:rPr>
          <w:sz w:val="20"/>
        </w:rPr>
        <w:tab/>
      </w:r>
      <w:r w:rsidR="00C3338E">
        <w:rPr>
          <w:i/>
        </w:rPr>
        <w:t>Fifthly</w:t>
      </w:r>
      <w:r w:rsidR="00C3338E" w:rsidRPr="00C3338E">
        <w:t>, prior cases which have considered contraventions of s 961L</w:t>
      </w:r>
      <w:r w:rsidR="00C3338E">
        <w:t xml:space="preserve"> a</w:t>
      </w:r>
      <w:r w:rsidR="00E56B6A">
        <w:t xml:space="preserve">re of little or no assistance. </w:t>
      </w:r>
      <w:r w:rsidR="00C3338E">
        <w:t>They each t</w:t>
      </w:r>
      <w:r w:rsidR="00E56B6A">
        <w:t xml:space="preserve">urn on their individual facts. </w:t>
      </w:r>
      <w:r w:rsidR="00C3338E">
        <w:t xml:space="preserve">As </w:t>
      </w:r>
      <w:r w:rsidR="00C3338E" w:rsidRPr="00C3338E">
        <w:t xml:space="preserve">Burchett and </w:t>
      </w:r>
      <w:proofErr w:type="spellStart"/>
      <w:r w:rsidR="00C3338E" w:rsidRPr="00C3338E">
        <w:t>Kiefel</w:t>
      </w:r>
      <w:proofErr w:type="spellEnd"/>
      <w:r w:rsidR="00C3338E" w:rsidRPr="00C3338E">
        <w:t xml:space="preserve"> JJ explained in </w:t>
      </w:r>
      <w:r w:rsidR="00C3338E" w:rsidRPr="00C3338E">
        <w:rPr>
          <w:i/>
        </w:rPr>
        <w:t>NW Frozen Foods Pty Ltd v Australian Competition and Consumer Commission</w:t>
      </w:r>
      <w:r w:rsidR="00C3338E">
        <w:t xml:space="preserve"> </w:t>
      </w:r>
      <w:r w:rsidR="007624FF" w:rsidRPr="007624FF">
        <w:t>[1996] FCA 1134</w:t>
      </w:r>
      <w:r w:rsidR="007624FF">
        <w:t>;</w:t>
      </w:r>
      <w:r w:rsidR="007624FF" w:rsidRPr="007624FF">
        <w:t xml:space="preserve"> </w:t>
      </w:r>
      <w:r w:rsidR="00C3338E">
        <w:t>(1996)</w:t>
      </w:r>
      <w:r w:rsidR="00C3338E" w:rsidRPr="00C3338E">
        <w:t xml:space="preserve"> 71 FCR </w:t>
      </w:r>
      <w:r w:rsidR="00C3338E">
        <w:t>285 at 295</w:t>
      </w:r>
      <w:r w:rsidR="00C3338E" w:rsidRPr="00C3338E">
        <w:t>:</w:t>
      </w:r>
    </w:p>
    <w:p w:rsidR="00C3338E" w:rsidRPr="008E3146" w:rsidRDefault="00C3338E" w:rsidP="00C3338E">
      <w:pPr>
        <w:pStyle w:val="Quote1"/>
      </w:pPr>
      <w:r w:rsidRPr="00C3338E">
        <w:t>[T]he facts of the instant case should not be compared with a particular reported case in order to derive therefrom the amount of the penalty to be fixed. Cases are authorities for matters of principle; but the penalty found to be appropriate, as a matter of fact, in the circumstances of one case cannot dictate the appropriate penalty in the different circumstances of another case.</w:t>
      </w:r>
    </w:p>
    <w:p w:rsidR="00745978" w:rsidRDefault="008E3146" w:rsidP="00326BF5">
      <w:pPr>
        <w:pStyle w:val="Heading3"/>
      </w:pPr>
      <w:bookmarkStart w:id="123" w:name="_Ref29821134"/>
      <w:r>
        <w:t>VI</w:t>
      </w:r>
      <w:r w:rsidR="007C7E65">
        <w:tab/>
      </w:r>
      <w:r w:rsidR="00E411D9">
        <w:t>P</w:t>
      </w:r>
      <w:r w:rsidR="00745978">
        <w:t>ecuniary penalty</w:t>
      </w:r>
      <w:bookmarkEnd w:id="120"/>
      <w:bookmarkEnd w:id="123"/>
    </w:p>
    <w:p w:rsidR="00745978" w:rsidRDefault="003B3C7B" w:rsidP="003B3C7B">
      <w:pPr>
        <w:pStyle w:val="ParaNumbering"/>
        <w:numPr>
          <w:ilvl w:val="0"/>
          <w:numId w:val="0"/>
        </w:numPr>
        <w:tabs>
          <w:tab w:val="left" w:pos="720"/>
        </w:tabs>
        <w:ind w:hanging="720"/>
      </w:pPr>
      <w:r>
        <w:rPr>
          <w:sz w:val="20"/>
        </w:rPr>
        <w:t>212</w:t>
      </w:r>
      <w:r>
        <w:rPr>
          <w:sz w:val="20"/>
        </w:rPr>
        <w:tab/>
      </w:r>
      <w:r w:rsidR="00C3338E">
        <w:t>I</w:t>
      </w:r>
      <w:r w:rsidR="002553E9">
        <w:t>n my discussion of the various factors I</w:t>
      </w:r>
      <w:r w:rsidR="00C3338E">
        <w:t xml:space="preserve"> have already given an indication </w:t>
      </w:r>
      <w:r w:rsidR="0081471B">
        <w:t>of</w:t>
      </w:r>
      <w:r w:rsidR="00C3338E">
        <w:t xml:space="preserve"> my </w:t>
      </w:r>
      <w:r w:rsidR="00A311DC">
        <w:t xml:space="preserve">consideration </w:t>
      </w:r>
      <w:r w:rsidR="00A1540B">
        <w:t>as to</w:t>
      </w:r>
      <w:r w:rsidR="002553E9">
        <w:t xml:space="preserve"> </w:t>
      </w:r>
      <w:r w:rsidR="00C3338E" w:rsidRPr="00C3338E">
        <w:t xml:space="preserve">the relevant objective and subjective factors </w:t>
      </w:r>
      <w:r w:rsidR="00C3338E">
        <w:t xml:space="preserve">(before any </w:t>
      </w:r>
      <w:r w:rsidR="002553E9">
        <w:t xml:space="preserve">weighing and </w:t>
      </w:r>
      <w:r w:rsidR="00C3338E">
        <w:t xml:space="preserve">application of </w:t>
      </w:r>
      <w:r w:rsidR="00C3338E" w:rsidRPr="00C3338E">
        <w:t xml:space="preserve">the course of conduct </w:t>
      </w:r>
      <w:r w:rsidR="00055CCF">
        <w:t xml:space="preserve">principle </w:t>
      </w:r>
      <w:r w:rsidR="00C3338E" w:rsidRPr="00C3338E">
        <w:t>and</w:t>
      </w:r>
      <w:r w:rsidR="00055CCF">
        <w:t>, las</w:t>
      </w:r>
      <w:r w:rsidR="00993E2A">
        <w:t>tly</w:t>
      </w:r>
      <w:r w:rsidR="00055CCF">
        <w:t xml:space="preserve">, the </w:t>
      </w:r>
      <w:r w:rsidR="00C3338E" w:rsidRPr="00C3338E">
        <w:t>totality pri</w:t>
      </w:r>
      <w:r w:rsidR="00C3338E">
        <w:t>nciple)</w:t>
      </w:r>
      <w:r w:rsidR="00745978">
        <w:t>.</w:t>
      </w:r>
      <w:r w:rsidR="00B92915">
        <w:t xml:space="preserve"> </w:t>
      </w:r>
    </w:p>
    <w:p w:rsidR="0081471B" w:rsidRDefault="003B3C7B" w:rsidP="003B3C7B">
      <w:pPr>
        <w:pStyle w:val="ParaNumbering"/>
        <w:numPr>
          <w:ilvl w:val="0"/>
          <w:numId w:val="0"/>
        </w:numPr>
        <w:tabs>
          <w:tab w:val="left" w:pos="720"/>
        </w:tabs>
        <w:ind w:hanging="720"/>
      </w:pPr>
      <w:r>
        <w:rPr>
          <w:sz w:val="20"/>
        </w:rPr>
        <w:t>213</w:t>
      </w:r>
      <w:r>
        <w:rPr>
          <w:sz w:val="20"/>
        </w:rPr>
        <w:tab/>
      </w:r>
      <w:r w:rsidR="0081471B">
        <w:t xml:space="preserve">As to the objective seriousness of the contraventions, it </w:t>
      </w:r>
      <w:r w:rsidR="006748FE">
        <w:t>is possible to make some general comments (notwithstanding the need to fix a penalty individually by ref</w:t>
      </w:r>
      <w:r w:rsidR="00E56B6A">
        <w:t xml:space="preserve">erence to each contravention). </w:t>
      </w:r>
      <w:r w:rsidR="006748FE">
        <w:t xml:space="preserve">It </w:t>
      </w:r>
      <w:r w:rsidR="0081471B">
        <w:t>must be borne in mind that the focus of the contraventions is on the conduct of AMPFP</w:t>
      </w:r>
      <w:r w:rsidR="00BD7888">
        <w:t>,</w:t>
      </w:r>
      <w:r w:rsidR="0081471B">
        <w:t xml:space="preserve"> not the underlying c</w:t>
      </w:r>
      <w:r w:rsidR="00E56B6A">
        <w:t xml:space="preserve">onduct of its representatives. </w:t>
      </w:r>
      <w:r w:rsidR="0081471B">
        <w:t>That said, the underlying conduct was made possible by AMPFP’s breaches and the objective seriousness of Panganiban’s conduct</w:t>
      </w:r>
      <w:r w:rsidR="00130F5E">
        <w:t>,</w:t>
      </w:r>
      <w:r w:rsidR="0081471B">
        <w:t xml:space="preserve"> in particular</w:t>
      </w:r>
      <w:r w:rsidR="00130F5E">
        <w:t>,</w:t>
      </w:r>
      <w:r w:rsidR="0081471B">
        <w:t xml:space="preserve"> is not irrelevant.</w:t>
      </w:r>
      <w:r w:rsidR="00F40047">
        <w:t xml:space="preserve"> </w:t>
      </w:r>
      <w:r w:rsidR="0081471B">
        <w:t>Panganiban’s conduct was seriously wrong</w:t>
      </w:r>
      <w:r w:rsidR="00C425D1">
        <w:t>,</w:t>
      </w:r>
      <w:r w:rsidR="0081471B">
        <w:t xml:space="preserve"> and its duration and scope was prolonged and wide, partl</w:t>
      </w:r>
      <w:r w:rsidR="00E56B6A">
        <w:t xml:space="preserve">y because of AMPFP’s failures. </w:t>
      </w:r>
      <w:r w:rsidR="00BD7888">
        <w:t xml:space="preserve">Given </w:t>
      </w:r>
      <w:r w:rsidR="0081471B">
        <w:t>Panganiban was evidently motivated by greed</w:t>
      </w:r>
      <w:r w:rsidR="00BD7888">
        <w:t xml:space="preserve">, he </w:t>
      </w:r>
      <w:r w:rsidR="00E56B6A">
        <w:t xml:space="preserve">was in the right place. </w:t>
      </w:r>
      <w:r w:rsidR="002553E9">
        <w:t xml:space="preserve">As Ms Gregory informed Mr </w:t>
      </w:r>
      <w:r w:rsidR="002553E9" w:rsidRPr="002553E9">
        <w:t xml:space="preserve">Bennett (Enterprise Risk Manager, AMP Advice) </w:t>
      </w:r>
      <w:r w:rsidR="002553E9">
        <w:t>as early as</w:t>
      </w:r>
      <w:r w:rsidR="00BD7888">
        <w:t xml:space="preserve"> </w:t>
      </w:r>
      <w:r w:rsidR="002553E9" w:rsidRPr="002553E9">
        <w:t xml:space="preserve">mid-June 2013: </w:t>
      </w:r>
      <w:r w:rsidR="002553E9" w:rsidRPr="002553E9">
        <w:lastRenderedPageBreak/>
        <w:t>“[w]e seem to be encouraging this behaviour with our current commission model i.e. 100% on commencement of a new plan but 0% on an internal insurance transfer”</w:t>
      </w:r>
      <w:r w:rsidR="00BD7888">
        <w:t>.</w:t>
      </w:r>
      <w:r w:rsidR="00F40047">
        <w:t xml:space="preserve"> </w:t>
      </w:r>
    </w:p>
    <w:p w:rsidR="00BD7888" w:rsidRDefault="003B3C7B" w:rsidP="003B3C7B">
      <w:pPr>
        <w:pStyle w:val="ParaNumbering"/>
        <w:numPr>
          <w:ilvl w:val="0"/>
          <w:numId w:val="0"/>
        </w:numPr>
        <w:tabs>
          <w:tab w:val="left" w:pos="720"/>
        </w:tabs>
        <w:ind w:hanging="720"/>
      </w:pPr>
      <w:r>
        <w:rPr>
          <w:sz w:val="20"/>
        </w:rPr>
        <w:t>214</w:t>
      </w:r>
      <w:r>
        <w:rPr>
          <w:sz w:val="20"/>
        </w:rPr>
        <w:tab/>
      </w:r>
      <w:r w:rsidR="00BD7888">
        <w:t>The farcical spectre of Panganiban being rewarded with</w:t>
      </w:r>
      <w:r w:rsidR="00BD7888" w:rsidRPr="00BD7888">
        <w:t xml:space="preserve"> a </w:t>
      </w:r>
      <w:r w:rsidR="00130F5E">
        <w:t>“</w:t>
      </w:r>
      <w:r w:rsidR="00BD7888" w:rsidRPr="00BD7888">
        <w:t>B</w:t>
      </w:r>
      <w:r w:rsidR="00130F5E">
        <w:t>”</w:t>
      </w:r>
      <w:r w:rsidR="00BD7888" w:rsidRPr="00BD7888">
        <w:t xml:space="preserve"> rating </w:t>
      </w:r>
      <w:r w:rsidR="00130F5E">
        <w:t>as late as August 2014</w:t>
      </w:r>
      <w:r w:rsidR="00130F5E" w:rsidRPr="00BD7888">
        <w:t xml:space="preserve"> </w:t>
      </w:r>
      <w:r w:rsidR="00BD7888" w:rsidRPr="00BD7888">
        <w:t>(</w:t>
      </w:r>
      <w:r w:rsidR="00BD7888">
        <w:t xml:space="preserve">being </w:t>
      </w:r>
      <w:r w:rsidR="00BD7888" w:rsidRPr="00BD7888">
        <w:t>the second highest of the five possible)</w:t>
      </w:r>
      <w:r w:rsidR="002765A7">
        <w:t>,</w:t>
      </w:r>
      <w:r w:rsidR="00BD7888">
        <w:t xml:space="preserve"> shows how skewed the subjective assessm</w:t>
      </w:r>
      <w:r w:rsidR="00E56B6A">
        <w:t xml:space="preserve">ent of merit was within AMPFP. </w:t>
      </w:r>
      <w:r w:rsidR="006748FE">
        <w:t xml:space="preserve">In this atmosphere of </w:t>
      </w:r>
      <w:r w:rsidR="00793833">
        <w:t xml:space="preserve">what might generously be described as </w:t>
      </w:r>
      <w:r w:rsidR="006748FE">
        <w:t xml:space="preserve">moral confusion, </w:t>
      </w:r>
      <w:r w:rsidR="00DA021A">
        <w:t xml:space="preserve">it is </w:t>
      </w:r>
      <w:r w:rsidR="006748FE">
        <w:t>l</w:t>
      </w:r>
      <w:r w:rsidR="00BD7888">
        <w:t xml:space="preserve">ittle wonder there was no appetite for blowing the whistle </w:t>
      </w:r>
      <w:r w:rsidR="002765A7">
        <w:t>on a representative “</w:t>
      </w:r>
      <w:r w:rsidR="002765A7" w:rsidRPr="002765A7">
        <w:t>clearly writing a bucket load of business</w:t>
      </w:r>
      <w:r w:rsidR="002765A7">
        <w:t>”.</w:t>
      </w:r>
    </w:p>
    <w:p w:rsidR="000649BA" w:rsidRDefault="003B3C7B" w:rsidP="003B3C7B">
      <w:pPr>
        <w:pStyle w:val="ParaNumbering"/>
        <w:numPr>
          <w:ilvl w:val="0"/>
          <w:numId w:val="0"/>
        </w:numPr>
        <w:tabs>
          <w:tab w:val="left" w:pos="720"/>
        </w:tabs>
        <w:ind w:hanging="720"/>
      </w:pPr>
      <w:r>
        <w:rPr>
          <w:sz w:val="20"/>
        </w:rPr>
        <w:t>215</w:t>
      </w:r>
      <w:r>
        <w:rPr>
          <w:sz w:val="20"/>
        </w:rPr>
        <w:tab/>
      </w:r>
      <w:r w:rsidR="00130F5E">
        <w:t xml:space="preserve">Failing to take </w:t>
      </w:r>
      <w:r w:rsidR="007E2F8D">
        <w:t xml:space="preserve">adequate </w:t>
      </w:r>
      <w:r w:rsidR="00130F5E">
        <w:t xml:space="preserve">steps which allowed Panganiban to act the way he did was bad enough; but letting him continue was </w:t>
      </w:r>
      <w:r w:rsidR="00E56B6A">
        <w:t>serious</w:t>
      </w:r>
      <w:r w:rsidR="00E1049C">
        <w:t>ly wrong</w:t>
      </w:r>
      <w:r w:rsidR="00E56B6A">
        <w:t xml:space="preserve">. </w:t>
      </w:r>
      <w:r w:rsidR="00130F5E">
        <w:t xml:space="preserve">Further, </w:t>
      </w:r>
      <w:r w:rsidR="00B36318">
        <w:t>t</w:t>
      </w:r>
      <w:r w:rsidR="0081471B">
        <w:t xml:space="preserve">he </w:t>
      </w:r>
      <w:r w:rsidR="00130F5E">
        <w:t xml:space="preserve">later </w:t>
      </w:r>
      <w:r w:rsidR="00FE4BAD">
        <w:t>period of the contravening conduct</w:t>
      </w:r>
      <w:r w:rsidR="00B36318">
        <w:t xml:space="preserve"> </w:t>
      </w:r>
      <w:r w:rsidR="007929AE">
        <w:t xml:space="preserve">up until 30 June 2015 </w:t>
      </w:r>
      <w:r w:rsidR="00B36318">
        <w:t>w</w:t>
      </w:r>
      <w:r w:rsidR="00FE4BAD">
        <w:t xml:space="preserve">as </w:t>
      </w:r>
      <w:r w:rsidR="00130F5E">
        <w:t xml:space="preserve">egregious </w:t>
      </w:r>
      <w:r w:rsidR="0081471B">
        <w:t xml:space="preserve">because </w:t>
      </w:r>
      <w:r w:rsidR="00FE4BAD">
        <w:t>it</w:t>
      </w:r>
      <w:r w:rsidR="0081471B">
        <w:t xml:space="preserve"> </w:t>
      </w:r>
      <w:r w:rsidR="00130F5E">
        <w:t>reflect</w:t>
      </w:r>
      <w:r w:rsidR="00FE4BAD">
        <w:t>ed</w:t>
      </w:r>
      <w:r w:rsidR="00130F5E">
        <w:t xml:space="preserve"> </w:t>
      </w:r>
      <w:r w:rsidR="00B36318">
        <w:t xml:space="preserve">a </w:t>
      </w:r>
      <w:r w:rsidR="00AF2984">
        <w:t xml:space="preserve">failure to </w:t>
      </w:r>
      <w:r w:rsidR="00FE4BAD">
        <w:t xml:space="preserve">take </w:t>
      </w:r>
      <w:r w:rsidR="0067338B">
        <w:t xml:space="preserve">steps </w:t>
      </w:r>
      <w:r w:rsidR="00AF2984" w:rsidRPr="00AF2984">
        <w:t xml:space="preserve">to determine </w:t>
      </w:r>
      <w:r w:rsidR="0067338B">
        <w:t xml:space="preserve">the extent and seriousness of </w:t>
      </w:r>
      <w:r w:rsidR="00F0341F">
        <w:t xml:space="preserve">the </w:t>
      </w:r>
      <w:r w:rsidR="0067338B">
        <w:t>Rewriting Conduct</w:t>
      </w:r>
      <w:r w:rsidR="00AF2984" w:rsidRPr="00AF2984">
        <w:t xml:space="preserve"> with a view to identifying evidence of such behaviour in the wider rep</w:t>
      </w:r>
      <w:r w:rsidR="0067338B">
        <w:t>resentative network and assessing</w:t>
      </w:r>
      <w:r w:rsidR="00AF2984" w:rsidRPr="00AF2984">
        <w:t xml:space="preserve"> what changes needed to </w:t>
      </w:r>
      <w:r w:rsidR="0067338B">
        <w:t xml:space="preserve">be made as a matter of priority to </w:t>
      </w:r>
      <w:r w:rsidR="00AF2984" w:rsidRPr="00AF2984">
        <w:t>improve existing controls to prevent and detect such conduct.</w:t>
      </w:r>
      <w:r w:rsidR="00E56B6A">
        <w:t xml:space="preserve"> </w:t>
      </w:r>
      <w:r w:rsidR="0067338B">
        <w:t>The</w:t>
      </w:r>
      <w:r w:rsidR="00FE4BAD">
        <w:t>se</w:t>
      </w:r>
      <w:r w:rsidR="0067338B">
        <w:t xml:space="preserve"> failure</w:t>
      </w:r>
      <w:r w:rsidR="00FE4BAD">
        <w:t>s</w:t>
      </w:r>
      <w:r w:rsidR="0067338B">
        <w:t xml:space="preserve"> caused real detriment to the</w:t>
      </w:r>
      <w:r w:rsidR="0081471B">
        <w:t xml:space="preserve"> </w:t>
      </w:r>
      <w:r w:rsidR="00130F5E">
        <w:t xml:space="preserve">affected </w:t>
      </w:r>
      <w:r w:rsidR="0081471B">
        <w:t xml:space="preserve">clients. </w:t>
      </w:r>
      <w:r w:rsidR="007929AE">
        <w:t xml:space="preserve">In the latter period, after Panganiban’s authorisation was revoked, the highest level of management was involved in minimising the extent of the problem. </w:t>
      </w:r>
      <w:r w:rsidR="0081471B">
        <w:t xml:space="preserve">The contraventions </w:t>
      </w:r>
      <w:r w:rsidR="00130F5E">
        <w:t xml:space="preserve">of AMPFP </w:t>
      </w:r>
      <w:r w:rsidR="00E1049C">
        <w:t>go well beyond</w:t>
      </w:r>
      <w:r w:rsidR="0081471B">
        <w:t xml:space="preserve"> techni</w:t>
      </w:r>
      <w:r w:rsidR="0067338B">
        <w:t>cal or process related breaches</w:t>
      </w:r>
      <w:r w:rsidR="0081471B">
        <w:t>.</w:t>
      </w:r>
    </w:p>
    <w:p w:rsidR="000649BA" w:rsidRDefault="003B3C7B" w:rsidP="003B3C7B">
      <w:pPr>
        <w:pStyle w:val="ParaNumbering"/>
        <w:numPr>
          <w:ilvl w:val="0"/>
          <w:numId w:val="0"/>
        </w:numPr>
        <w:tabs>
          <w:tab w:val="left" w:pos="720"/>
        </w:tabs>
        <w:ind w:hanging="720"/>
      </w:pPr>
      <w:r>
        <w:rPr>
          <w:sz w:val="20"/>
        </w:rPr>
        <w:t>216</w:t>
      </w:r>
      <w:r>
        <w:rPr>
          <w:sz w:val="20"/>
        </w:rPr>
        <w:tab/>
      </w:r>
      <w:r w:rsidR="000649BA">
        <w:t xml:space="preserve">I accept ASIC’s submission that </w:t>
      </w:r>
      <w:r w:rsidR="00D53427">
        <w:t>while</w:t>
      </w:r>
      <w:r w:rsidR="000649BA" w:rsidRPr="000649BA">
        <w:t xml:space="preserve"> the essence of AMPFP’s contraventions of s 961L lie in its compliance systems failing to respond satisfactorily, the fact that AMPFP had a general compliance system</w:t>
      </w:r>
      <w:r w:rsidR="007E2F8D">
        <w:t xml:space="preserve"> in place</w:t>
      </w:r>
      <w:r w:rsidR="000649BA" w:rsidRPr="000649BA">
        <w:t xml:space="preserve">, however </w:t>
      </w:r>
      <w:r w:rsidR="007E2F8D">
        <w:t xml:space="preserve">elaborate or </w:t>
      </w:r>
      <w:r w:rsidR="000649BA" w:rsidRPr="000649BA">
        <w:t xml:space="preserve">expensive, </w:t>
      </w:r>
      <w:r w:rsidR="000649BA">
        <w:t>is of</w:t>
      </w:r>
      <w:r w:rsidR="00FE4BAD">
        <w:t xml:space="preserve"> </w:t>
      </w:r>
      <w:r w:rsidR="00AD6E6D">
        <w:t>minimal</w:t>
      </w:r>
      <w:r w:rsidR="000649BA">
        <w:t xml:space="preserve"> value.</w:t>
      </w:r>
      <w:r w:rsidR="00E56B6A">
        <w:t xml:space="preserve"> </w:t>
      </w:r>
      <w:r w:rsidR="00FE4BAD">
        <w:t>Such systems were necessary</w:t>
      </w:r>
      <w:r w:rsidR="00491BF9">
        <w:t>,</w:t>
      </w:r>
      <w:r w:rsidR="00E56B6A">
        <w:t xml:space="preserve"> but not sufficient. </w:t>
      </w:r>
    </w:p>
    <w:p w:rsidR="0081471B" w:rsidRDefault="003B3C7B" w:rsidP="003B3C7B">
      <w:pPr>
        <w:pStyle w:val="ParaNumbering"/>
        <w:numPr>
          <w:ilvl w:val="0"/>
          <w:numId w:val="0"/>
        </w:numPr>
        <w:tabs>
          <w:tab w:val="left" w:pos="720"/>
        </w:tabs>
        <w:ind w:hanging="720"/>
      </w:pPr>
      <w:r>
        <w:rPr>
          <w:sz w:val="20"/>
        </w:rPr>
        <w:t>217</w:t>
      </w:r>
      <w:r>
        <w:rPr>
          <w:sz w:val="20"/>
        </w:rPr>
        <w:tab/>
      </w:r>
      <w:r w:rsidR="00AF69CF">
        <w:t>I must</w:t>
      </w:r>
      <w:r w:rsidR="006748FE">
        <w:t>, however,</w:t>
      </w:r>
      <w:r w:rsidR="00AF69CF">
        <w:t xml:space="preserve"> give </w:t>
      </w:r>
      <w:r w:rsidR="006748FE">
        <w:t xml:space="preserve">full </w:t>
      </w:r>
      <w:r w:rsidR="00AF69CF">
        <w:t xml:space="preserve">account to my findings that ASIC </w:t>
      </w:r>
      <w:r w:rsidR="005610E1">
        <w:t>has</w:t>
      </w:r>
      <w:r w:rsidR="00AF69CF">
        <w:t xml:space="preserve"> not proved the conduct was widespread or </w:t>
      </w:r>
      <w:r w:rsidR="006748FE">
        <w:t>th</w:t>
      </w:r>
      <w:r w:rsidR="007E2F8D">
        <w:t>at</w:t>
      </w:r>
      <w:r w:rsidR="006748FE">
        <w:t xml:space="preserve"> AMPFP </w:t>
      </w:r>
      <w:r w:rsidR="00AF69CF">
        <w:t>had reason to believe t</w:t>
      </w:r>
      <w:r w:rsidR="00A13494">
        <w:t>he</w:t>
      </w:r>
      <w:r w:rsidR="00AF69CF">
        <w:t xml:space="preserve"> conduct was widespread</w:t>
      </w:r>
      <w:r w:rsidR="003201D9">
        <w:t xml:space="preserve"> from the start</w:t>
      </w:r>
      <w:r w:rsidR="00AF69CF">
        <w:t xml:space="preserve"> (notwithstanding my sense of disquiet as to the true picture </w:t>
      </w:r>
      <w:r w:rsidR="006748FE">
        <w:t>remaining obscure</w:t>
      </w:r>
      <w:r w:rsidR="00AF69CF">
        <w:t>).</w:t>
      </w:r>
      <w:r w:rsidR="0081471B">
        <w:t xml:space="preserve"> </w:t>
      </w:r>
    </w:p>
    <w:p w:rsidR="00AD6E6D" w:rsidRDefault="003B3C7B" w:rsidP="003B3C7B">
      <w:pPr>
        <w:pStyle w:val="ParaNumbering"/>
        <w:numPr>
          <w:ilvl w:val="0"/>
          <w:numId w:val="0"/>
        </w:numPr>
        <w:tabs>
          <w:tab w:val="left" w:pos="720"/>
        </w:tabs>
        <w:ind w:hanging="720"/>
      </w:pPr>
      <w:r>
        <w:rPr>
          <w:sz w:val="20"/>
        </w:rPr>
        <w:t>218</w:t>
      </w:r>
      <w:r>
        <w:rPr>
          <w:sz w:val="20"/>
        </w:rPr>
        <w:tab/>
      </w:r>
      <w:r w:rsidR="00B36318">
        <w:t>As to m</w:t>
      </w:r>
      <w:r w:rsidR="0081471B">
        <w:t>itigating and other subjective considerations</w:t>
      </w:r>
      <w:r w:rsidR="00B36318">
        <w:t>, I have already made reference to the admissions, some of which were belated, which at least meant that the proceeding</w:t>
      </w:r>
      <w:r w:rsidR="0081471B">
        <w:t xml:space="preserve"> was heard </w:t>
      </w:r>
      <w:r w:rsidR="00B36318">
        <w:t xml:space="preserve">relatively </w:t>
      </w:r>
      <w:r w:rsidR="0081471B">
        <w:t xml:space="preserve">efficiently and </w:t>
      </w:r>
      <w:r w:rsidR="00913F82">
        <w:t>expeditiously</w:t>
      </w:r>
      <w:r w:rsidR="0081471B">
        <w:t>.</w:t>
      </w:r>
      <w:r w:rsidR="00086DDA">
        <w:t xml:space="preserve"> </w:t>
      </w:r>
    </w:p>
    <w:p w:rsidR="007E2F8D" w:rsidRDefault="003B3C7B" w:rsidP="003B3C7B">
      <w:pPr>
        <w:pStyle w:val="ParaNumbering"/>
        <w:numPr>
          <w:ilvl w:val="0"/>
          <w:numId w:val="0"/>
        </w:numPr>
        <w:tabs>
          <w:tab w:val="left" w:pos="720"/>
        </w:tabs>
        <w:ind w:hanging="720"/>
      </w:pPr>
      <w:r>
        <w:rPr>
          <w:sz w:val="20"/>
        </w:rPr>
        <w:t>219</w:t>
      </w:r>
      <w:r>
        <w:rPr>
          <w:sz w:val="20"/>
        </w:rPr>
        <w:tab/>
      </w:r>
      <w:r w:rsidR="00B36318">
        <w:t>Far more significant is the</w:t>
      </w:r>
      <w:r w:rsidR="0081471B">
        <w:t xml:space="preserve"> remediation process. </w:t>
      </w:r>
      <w:r w:rsidR="006748FE">
        <w:t>The fact that after some dilly-dallying, a comprehensive and apparently effective remediation programme has been agreed and will be put in place</w:t>
      </w:r>
      <w:r w:rsidR="007E2F8D">
        <w:t>,</w:t>
      </w:r>
      <w:r w:rsidR="00661D4C">
        <w:t xml:space="preserve"> is an important</w:t>
      </w:r>
      <w:r w:rsidR="006748FE">
        <w:t xml:space="preserve"> mitigating factor and weighs </w:t>
      </w:r>
      <w:r w:rsidR="007E2F8D">
        <w:t xml:space="preserve">significantly </w:t>
      </w:r>
      <w:r w:rsidR="00086DDA">
        <w:t xml:space="preserve">in the mix. </w:t>
      </w:r>
      <w:r w:rsidR="007E2F8D">
        <w:t xml:space="preserve">The </w:t>
      </w:r>
      <w:r w:rsidR="007E2F8D">
        <w:lastRenderedPageBreak/>
        <w:t xml:space="preserve">compliance measures identified below are also a relevant consideration when it comes to the issue of specific deterrence. </w:t>
      </w:r>
    </w:p>
    <w:p w:rsidR="0081471B" w:rsidRDefault="003B3C7B" w:rsidP="003B3C7B">
      <w:pPr>
        <w:pStyle w:val="ParaNumbering"/>
        <w:numPr>
          <w:ilvl w:val="0"/>
          <w:numId w:val="0"/>
        </w:numPr>
        <w:tabs>
          <w:tab w:val="left" w:pos="720"/>
        </w:tabs>
        <w:ind w:hanging="720"/>
      </w:pPr>
      <w:r>
        <w:rPr>
          <w:sz w:val="20"/>
        </w:rPr>
        <w:t>220</w:t>
      </w:r>
      <w:r>
        <w:rPr>
          <w:sz w:val="20"/>
        </w:rPr>
        <w:tab/>
      </w:r>
      <w:r w:rsidR="006748FE">
        <w:t xml:space="preserve">Without, I hope, being unduly cynical, for reasons I have explained, I give little weight to AMPFP’s </w:t>
      </w:r>
      <w:r w:rsidR="007E2F8D">
        <w:t>self-serving</w:t>
      </w:r>
      <w:r w:rsidR="00491BF9">
        <w:t>,</w:t>
      </w:r>
      <w:r w:rsidR="007E2F8D">
        <w:t xml:space="preserve"> albeit unchallenged </w:t>
      </w:r>
      <w:r w:rsidR="006748FE">
        <w:t xml:space="preserve">evidence of “contrition” expressed after </w:t>
      </w:r>
      <w:r w:rsidR="00F64434">
        <w:t xml:space="preserve">its failures </w:t>
      </w:r>
      <w:r w:rsidR="00AD6E6D">
        <w:t>became apparent</w:t>
      </w:r>
      <w:r w:rsidR="006748FE">
        <w:t>.</w:t>
      </w:r>
      <w:r w:rsidR="00F40047">
        <w:t xml:space="preserve"> </w:t>
      </w:r>
      <w:r w:rsidR="00B36318">
        <w:t>AMPFP</w:t>
      </w:r>
      <w:r w:rsidR="0081471B">
        <w:t>’s size and financial position suggests that the objective of deterrence require</w:t>
      </w:r>
      <w:r w:rsidR="00B36318">
        <w:t>s</w:t>
      </w:r>
      <w:r w:rsidR="0081471B">
        <w:t xml:space="preserve"> the imposition of higher penalties than would be required for smaller and less well-resourced companies. </w:t>
      </w:r>
    </w:p>
    <w:p w:rsidR="007E2F8D" w:rsidRDefault="003B3C7B" w:rsidP="003B3C7B">
      <w:pPr>
        <w:pStyle w:val="ParaNumbering"/>
        <w:numPr>
          <w:ilvl w:val="0"/>
          <w:numId w:val="0"/>
        </w:numPr>
        <w:tabs>
          <w:tab w:val="left" w:pos="720"/>
        </w:tabs>
        <w:ind w:hanging="720"/>
      </w:pPr>
      <w:r>
        <w:rPr>
          <w:sz w:val="20"/>
        </w:rPr>
        <w:t>221</w:t>
      </w:r>
      <w:r>
        <w:rPr>
          <w:sz w:val="20"/>
        </w:rPr>
        <w:tab/>
      </w:r>
      <w:r w:rsidR="0067338B">
        <w:t xml:space="preserve">As to </w:t>
      </w:r>
      <w:r w:rsidR="007E2F8D">
        <w:t>the application of the course of conduct principle, this factor requires more detailed consideration.</w:t>
      </w:r>
      <w:r w:rsidR="00F40047">
        <w:t xml:space="preserve"> </w:t>
      </w:r>
    </w:p>
    <w:p w:rsidR="007E2F8D" w:rsidRDefault="003B3C7B" w:rsidP="003B3C7B">
      <w:pPr>
        <w:pStyle w:val="ParaNumbering"/>
        <w:numPr>
          <w:ilvl w:val="0"/>
          <w:numId w:val="0"/>
        </w:numPr>
        <w:tabs>
          <w:tab w:val="left" w:pos="720"/>
        </w:tabs>
        <w:ind w:hanging="720"/>
      </w:pPr>
      <w:r>
        <w:rPr>
          <w:sz w:val="20"/>
        </w:rPr>
        <w:t>222</w:t>
      </w:r>
      <w:r>
        <w:rPr>
          <w:sz w:val="20"/>
        </w:rPr>
        <w:tab/>
      </w:r>
      <w:r w:rsidR="007E2F8D">
        <w:t>AMPFP</w:t>
      </w:r>
      <w:r w:rsidR="00C5422E">
        <w:t>’s</w:t>
      </w:r>
      <w:r w:rsidR="007E2F8D">
        <w:t xml:space="preserve"> submissions </w:t>
      </w:r>
      <w:r w:rsidR="00F95DB3">
        <w:t>had the tendency to elide the distinction between the course of conduct and totality principles, but its core point was clear: in short, it was that irrespective of the proper characterisation of the number of contraventions, properly analysed t</w:t>
      </w:r>
      <w:r w:rsidR="007E2F8D">
        <w:t xml:space="preserve">here are no more than </w:t>
      </w:r>
      <w:r w:rsidR="007E2F8D" w:rsidRPr="00F95DB3">
        <w:rPr>
          <w:i/>
        </w:rPr>
        <w:t>two failures to act</w:t>
      </w:r>
      <w:r w:rsidR="007E2F8D">
        <w:t xml:space="preserve">: the first concerning Panganiban and the second concerning </w:t>
      </w:r>
      <w:r w:rsidR="00086DDA">
        <w:t xml:space="preserve">the </w:t>
      </w:r>
      <w:r w:rsidR="00F90987">
        <w:t>Other Authorised Representatives</w:t>
      </w:r>
      <w:r w:rsidR="007E2F8D">
        <w:t>. There is more than a mere inter-relationship between the matters alleged to give rise to the contraventions; rather, it is submitted, they are precisely the same facts. So much is said to be clear from ASIC</w:t>
      </w:r>
      <w:r w:rsidR="00F95DB3">
        <w:t>’</w:t>
      </w:r>
      <w:r w:rsidR="007E2F8D">
        <w:t>s pleading and the JER, both of which identify the same factual matters giving rise to each relevant failure.</w:t>
      </w:r>
      <w:r w:rsidR="00AA2A5F">
        <w:t xml:space="preserve"> </w:t>
      </w:r>
    </w:p>
    <w:p w:rsidR="00AA2A5F" w:rsidRPr="003E4415" w:rsidRDefault="003B3C7B" w:rsidP="003B3C7B">
      <w:pPr>
        <w:pStyle w:val="ParaNumbering"/>
        <w:numPr>
          <w:ilvl w:val="0"/>
          <w:numId w:val="0"/>
        </w:numPr>
        <w:tabs>
          <w:tab w:val="left" w:pos="720"/>
        </w:tabs>
        <w:ind w:hanging="720"/>
        <w:rPr>
          <w:bCs/>
          <w:kern w:val="32"/>
          <w:szCs w:val="24"/>
        </w:rPr>
      </w:pPr>
      <w:r w:rsidRPr="003E4415">
        <w:rPr>
          <w:bCs/>
          <w:kern w:val="32"/>
          <w:sz w:val="20"/>
        </w:rPr>
        <w:t>223</w:t>
      </w:r>
      <w:r w:rsidRPr="003E4415">
        <w:rPr>
          <w:bCs/>
          <w:kern w:val="32"/>
          <w:sz w:val="20"/>
        </w:rPr>
        <w:tab/>
      </w:r>
      <w:r w:rsidR="00F95DB3">
        <w:t xml:space="preserve">ASIC’s submissions as to the course </w:t>
      </w:r>
      <w:r w:rsidR="00AF2EFC">
        <w:t xml:space="preserve">of </w:t>
      </w:r>
      <w:r w:rsidR="00F95DB3" w:rsidRPr="003E4415">
        <w:rPr>
          <w:szCs w:val="24"/>
        </w:rPr>
        <w:t xml:space="preserve">conduct </w:t>
      </w:r>
      <w:r w:rsidR="00AF2EFC">
        <w:rPr>
          <w:szCs w:val="24"/>
        </w:rPr>
        <w:t xml:space="preserve">principle </w:t>
      </w:r>
      <w:r w:rsidR="00AA2A5F" w:rsidRPr="003E4415">
        <w:rPr>
          <w:szCs w:val="24"/>
        </w:rPr>
        <w:t>rightly stressed that it is a</w:t>
      </w:r>
      <w:r w:rsidR="001271D2" w:rsidRPr="003E4415">
        <w:rPr>
          <w:bCs/>
          <w:kern w:val="32"/>
          <w:szCs w:val="24"/>
        </w:rPr>
        <w:t xml:space="preserve"> “tool” of analysis that serves the primary objective of penalties, being specific and general deterrence</w:t>
      </w:r>
      <w:r w:rsidR="00AA2A5F" w:rsidRPr="003E4415">
        <w:rPr>
          <w:bCs/>
          <w:kern w:val="32"/>
          <w:szCs w:val="24"/>
        </w:rPr>
        <w:t xml:space="preserve"> and that its application</w:t>
      </w:r>
      <w:r w:rsidR="001271D2" w:rsidRPr="003E4415">
        <w:rPr>
          <w:bCs/>
          <w:kern w:val="32"/>
          <w:szCs w:val="24"/>
        </w:rPr>
        <w:t xml:space="preserve"> requir</w:t>
      </w:r>
      <w:r w:rsidR="003E4415" w:rsidRPr="003E4415">
        <w:rPr>
          <w:bCs/>
          <w:kern w:val="32"/>
          <w:szCs w:val="24"/>
        </w:rPr>
        <w:t>ed</w:t>
      </w:r>
      <w:r w:rsidR="001271D2" w:rsidRPr="003E4415">
        <w:rPr>
          <w:bCs/>
          <w:kern w:val="32"/>
          <w:szCs w:val="24"/>
        </w:rPr>
        <w:t xml:space="preserve"> an evaluative judgment in respect of the relevant circumstances.</w:t>
      </w:r>
      <w:r w:rsidR="00AA2A5F" w:rsidRPr="003E4415">
        <w:rPr>
          <w:bCs/>
          <w:kern w:val="32"/>
          <w:szCs w:val="24"/>
        </w:rPr>
        <w:t xml:space="preserve"> In particular, it was asserted </w:t>
      </w:r>
      <w:bookmarkStart w:id="124" w:name="_Ref10053825"/>
      <w:r w:rsidR="00AA2A5F" w:rsidRPr="003E4415">
        <w:rPr>
          <w:bCs/>
          <w:kern w:val="32"/>
          <w:szCs w:val="24"/>
        </w:rPr>
        <w:t>because</w:t>
      </w:r>
      <w:r w:rsidR="003E4415" w:rsidRPr="003E4415">
        <w:rPr>
          <w:szCs w:val="24"/>
        </w:rPr>
        <w:t xml:space="preserve"> the</w:t>
      </w:r>
      <w:r w:rsidR="003E4415" w:rsidRPr="003E4415">
        <w:rPr>
          <w:bCs/>
          <w:kern w:val="32"/>
          <w:szCs w:val="24"/>
        </w:rPr>
        <w:t xml:space="preserve"> course of conduct principle is merely a discretionary tool available to the Court in arriving at an appropriate penalty</w:t>
      </w:r>
      <w:r w:rsidR="00AA2A5F" w:rsidRPr="003E4415">
        <w:rPr>
          <w:bCs/>
          <w:kern w:val="32"/>
          <w:szCs w:val="24"/>
        </w:rPr>
        <w:t>:</w:t>
      </w:r>
    </w:p>
    <w:p w:rsidR="007E2F8D" w:rsidRPr="004E682E" w:rsidRDefault="00D52CAF" w:rsidP="00375807">
      <w:pPr>
        <w:pStyle w:val="Quote1"/>
        <w:rPr>
          <w:bCs/>
          <w:kern w:val="32"/>
          <w:szCs w:val="22"/>
        </w:rPr>
      </w:pPr>
      <w:r>
        <w:rPr>
          <w:bCs/>
          <w:kern w:val="32"/>
          <w:szCs w:val="22"/>
        </w:rPr>
        <w:t>[t]</w:t>
      </w:r>
      <w:r w:rsidR="001271D2" w:rsidRPr="004E682E">
        <w:rPr>
          <w:bCs/>
          <w:kern w:val="32"/>
          <w:szCs w:val="22"/>
        </w:rPr>
        <w:t xml:space="preserve">he Court is not required to apply it, particularly if the resulting penalty fails to reflect the degree of wrongdoing involved in the circumstances: </w:t>
      </w:r>
      <w:r w:rsidR="003E4415" w:rsidRPr="004E682E">
        <w:rPr>
          <w:bCs/>
          <w:kern w:val="32"/>
          <w:szCs w:val="22"/>
        </w:rPr>
        <w:t>[</w:t>
      </w:r>
      <w:r w:rsidR="003E4415" w:rsidRPr="004E682E">
        <w:rPr>
          <w:bCs/>
          <w:i/>
          <w:kern w:val="32"/>
          <w:szCs w:val="22"/>
        </w:rPr>
        <w:t xml:space="preserve">Construction, Forestry, Mining and Energy Union </w:t>
      </w:r>
      <w:r w:rsidR="003E4415" w:rsidRPr="004E682E">
        <w:rPr>
          <w:bCs/>
          <w:i/>
          <w:iCs/>
          <w:kern w:val="32"/>
          <w:szCs w:val="22"/>
        </w:rPr>
        <w:t xml:space="preserve">v Cahill </w:t>
      </w:r>
      <w:r w:rsidR="003E4415" w:rsidRPr="004E682E">
        <w:rPr>
          <w:bCs/>
          <w:iCs/>
          <w:kern w:val="32"/>
          <w:szCs w:val="22"/>
        </w:rPr>
        <w:t xml:space="preserve">(2010) 269 ALR 1] </w:t>
      </w:r>
      <w:r w:rsidR="001271D2" w:rsidRPr="004E682E">
        <w:rPr>
          <w:bCs/>
          <w:kern w:val="32"/>
          <w:szCs w:val="22"/>
        </w:rPr>
        <w:t xml:space="preserve">at [41]-[42] per Middleton and Gordon JJ cited in </w:t>
      </w:r>
      <w:r w:rsidR="003E4415" w:rsidRPr="004E682E">
        <w:rPr>
          <w:bCs/>
          <w:kern w:val="32"/>
          <w:szCs w:val="22"/>
        </w:rPr>
        <w:t>[</w:t>
      </w:r>
      <w:proofErr w:type="spellStart"/>
      <w:r w:rsidR="003E4415" w:rsidRPr="004E682E">
        <w:rPr>
          <w:bCs/>
          <w:i/>
          <w:kern w:val="32"/>
          <w:szCs w:val="22"/>
        </w:rPr>
        <w:t>Singtel</w:t>
      </w:r>
      <w:proofErr w:type="spellEnd"/>
      <w:r w:rsidR="003E4415" w:rsidRPr="004E682E">
        <w:rPr>
          <w:bCs/>
          <w:i/>
          <w:kern w:val="32"/>
          <w:szCs w:val="22"/>
        </w:rPr>
        <w:t xml:space="preserve"> Optus Pty Ltd v Australian Competition and Consumer Commission</w:t>
      </w:r>
      <w:r w:rsidR="003E4415" w:rsidRPr="004E682E">
        <w:rPr>
          <w:bCs/>
          <w:kern w:val="32"/>
          <w:szCs w:val="22"/>
        </w:rPr>
        <w:t xml:space="preserve"> (2012) 287 ALR 249] </w:t>
      </w:r>
      <w:r w:rsidR="001271D2" w:rsidRPr="004E682E">
        <w:rPr>
          <w:bCs/>
          <w:kern w:val="32"/>
          <w:szCs w:val="22"/>
        </w:rPr>
        <w:t>at [53] per Keane CJ, Finn and Gilmour JJ;</w:t>
      </w:r>
      <w:r w:rsidR="003E4415" w:rsidRPr="004E682E">
        <w:rPr>
          <w:bCs/>
          <w:kern w:val="32"/>
          <w:szCs w:val="22"/>
        </w:rPr>
        <w:t>…</w:t>
      </w:r>
      <w:r w:rsidR="001271D2" w:rsidRPr="004E682E">
        <w:rPr>
          <w:bCs/>
          <w:kern w:val="32"/>
          <w:szCs w:val="22"/>
        </w:rPr>
        <w:t xml:space="preserve"> see also </w:t>
      </w:r>
      <w:r w:rsidR="001271D2" w:rsidRPr="004E682E">
        <w:rPr>
          <w:bCs/>
          <w:i/>
          <w:iCs/>
          <w:kern w:val="32"/>
          <w:szCs w:val="22"/>
        </w:rPr>
        <w:t>ACCC v Australian Property Custodian Holdings Ltd (</w:t>
      </w:r>
      <w:proofErr w:type="spellStart"/>
      <w:r w:rsidR="001271D2" w:rsidRPr="004E682E">
        <w:rPr>
          <w:bCs/>
          <w:i/>
          <w:iCs/>
          <w:kern w:val="32"/>
          <w:szCs w:val="22"/>
        </w:rPr>
        <w:t>recrs</w:t>
      </w:r>
      <w:proofErr w:type="spellEnd"/>
      <w:r w:rsidR="001271D2" w:rsidRPr="004E682E">
        <w:rPr>
          <w:bCs/>
          <w:i/>
          <w:iCs/>
          <w:kern w:val="32"/>
          <w:szCs w:val="22"/>
        </w:rPr>
        <w:t xml:space="preserve"> and mgrs. </w:t>
      </w:r>
      <w:proofErr w:type="spellStart"/>
      <w:r w:rsidR="001271D2" w:rsidRPr="004E682E">
        <w:rPr>
          <w:bCs/>
          <w:i/>
          <w:iCs/>
          <w:kern w:val="32"/>
          <w:szCs w:val="22"/>
        </w:rPr>
        <w:t>Apptd</w:t>
      </w:r>
      <w:proofErr w:type="spellEnd"/>
      <w:r w:rsidR="001271D2" w:rsidRPr="004E682E">
        <w:rPr>
          <w:bCs/>
          <w:i/>
          <w:iCs/>
          <w:kern w:val="32"/>
          <w:szCs w:val="22"/>
        </w:rPr>
        <w:t xml:space="preserve">)(in </w:t>
      </w:r>
      <w:proofErr w:type="spellStart"/>
      <w:r w:rsidR="001271D2" w:rsidRPr="004E682E">
        <w:rPr>
          <w:bCs/>
          <w:i/>
          <w:iCs/>
          <w:kern w:val="32"/>
          <w:szCs w:val="22"/>
        </w:rPr>
        <w:t>liq</w:t>
      </w:r>
      <w:proofErr w:type="spellEnd"/>
      <w:r w:rsidR="001271D2" w:rsidRPr="004E682E">
        <w:rPr>
          <w:bCs/>
          <w:i/>
          <w:iCs/>
          <w:kern w:val="32"/>
          <w:szCs w:val="22"/>
        </w:rPr>
        <w:t xml:space="preserve">)(controllers </w:t>
      </w:r>
      <w:proofErr w:type="spellStart"/>
      <w:r w:rsidR="001271D2" w:rsidRPr="004E682E">
        <w:rPr>
          <w:bCs/>
          <w:i/>
          <w:iCs/>
          <w:kern w:val="32"/>
          <w:szCs w:val="22"/>
        </w:rPr>
        <w:t>apptd</w:t>
      </w:r>
      <w:proofErr w:type="spellEnd"/>
      <w:r w:rsidR="001271D2" w:rsidRPr="004E682E">
        <w:rPr>
          <w:bCs/>
          <w:i/>
          <w:iCs/>
          <w:kern w:val="32"/>
          <w:szCs w:val="22"/>
        </w:rPr>
        <w:t>)</w:t>
      </w:r>
      <w:r w:rsidR="001271D2" w:rsidRPr="004E682E">
        <w:rPr>
          <w:bCs/>
          <w:kern w:val="32"/>
          <w:szCs w:val="22"/>
        </w:rPr>
        <w:t xml:space="preserve"> [2014] FCA 1308 at [41]</w:t>
      </w:r>
      <w:bookmarkStart w:id="125" w:name="_Hlk10187330"/>
      <w:r w:rsidR="001271D2" w:rsidRPr="004E682E">
        <w:rPr>
          <w:bCs/>
          <w:kern w:val="32"/>
          <w:szCs w:val="22"/>
        </w:rPr>
        <w:t>.</w:t>
      </w:r>
      <w:bookmarkEnd w:id="124"/>
      <w:bookmarkEnd w:id="125"/>
    </w:p>
    <w:p w:rsidR="00FE4BAD" w:rsidRPr="007014D4" w:rsidRDefault="003B3C7B" w:rsidP="003B3C7B">
      <w:pPr>
        <w:pStyle w:val="ParaNumbering"/>
        <w:numPr>
          <w:ilvl w:val="0"/>
          <w:numId w:val="0"/>
        </w:numPr>
        <w:tabs>
          <w:tab w:val="left" w:pos="720"/>
        </w:tabs>
        <w:ind w:hanging="720"/>
      </w:pPr>
      <w:bookmarkStart w:id="126" w:name="_Ref10550946"/>
      <w:r w:rsidRPr="007014D4">
        <w:rPr>
          <w:sz w:val="20"/>
        </w:rPr>
        <w:t>224</w:t>
      </w:r>
      <w:r w:rsidRPr="007014D4">
        <w:rPr>
          <w:sz w:val="20"/>
        </w:rPr>
        <w:tab/>
      </w:r>
      <w:r w:rsidR="00FE4BAD">
        <w:t xml:space="preserve">I have already explained why </w:t>
      </w:r>
      <w:r w:rsidR="00FE4BAD" w:rsidRPr="007014D4">
        <w:t xml:space="preserve">AMPFP’s conduct can properly be characterised as involving </w:t>
      </w:r>
      <w:r w:rsidR="00FE4BAD">
        <w:t>six</w:t>
      </w:r>
      <w:r w:rsidR="00FE4BAD" w:rsidRPr="007014D4">
        <w:t xml:space="preserve"> contraventions of s 961L</w:t>
      </w:r>
      <w:r w:rsidR="00FE4BAD">
        <w:t xml:space="preserve">; this conduct, however, related to </w:t>
      </w:r>
      <w:r w:rsidR="00FE4BAD" w:rsidRPr="007014D4">
        <w:t xml:space="preserve">the provision of advice to 40 clients by AMPFP’s representatives, where in the provision of that advice, </w:t>
      </w:r>
      <w:r w:rsidR="00913F82">
        <w:t>each representative</w:t>
      </w:r>
      <w:r w:rsidR="00086DDA">
        <w:t xml:space="preserve"> </w:t>
      </w:r>
      <w:r w:rsidR="00FE4BAD" w:rsidRPr="007014D4">
        <w:t xml:space="preserve">contravened each of </w:t>
      </w:r>
      <w:r w:rsidR="00FE4BAD">
        <w:t xml:space="preserve">the </w:t>
      </w:r>
      <w:r w:rsidR="00AF6BC0">
        <w:t>relevant</w:t>
      </w:r>
      <w:r w:rsidR="00FE4BAD">
        <w:t xml:space="preserve"> best interests obligations (</w:t>
      </w:r>
      <w:proofErr w:type="spellStart"/>
      <w:r w:rsidR="00FE4BAD" w:rsidRPr="007014D4">
        <w:t>ss</w:t>
      </w:r>
      <w:proofErr w:type="spellEnd"/>
      <w:r w:rsidR="00FE4BAD" w:rsidRPr="007014D4">
        <w:t> 961B, 961G and 961J</w:t>
      </w:r>
      <w:r w:rsidR="00FE4BAD">
        <w:t>)</w:t>
      </w:r>
      <w:r w:rsidR="00FE4BAD" w:rsidRPr="007014D4">
        <w:t xml:space="preserve">, giving </w:t>
      </w:r>
      <w:r w:rsidR="00FE4BAD" w:rsidRPr="007014D4">
        <w:lastRenderedPageBreak/>
        <w:t xml:space="preserve">rise to </w:t>
      </w:r>
      <w:r w:rsidR="00FE4BAD">
        <w:t xml:space="preserve">the </w:t>
      </w:r>
      <w:r w:rsidR="00FE4BAD" w:rsidRPr="007014D4">
        <w:t>underlying contraventions, in respect of which AMPFP contravened s 961L by failing to take reasonable steps to prevent</w:t>
      </w:r>
      <w:r w:rsidR="00FE4BAD">
        <w:t xml:space="preserve"> non-compliance.</w:t>
      </w:r>
      <w:bookmarkEnd w:id="126"/>
    </w:p>
    <w:p w:rsidR="00FE4BAD" w:rsidRDefault="003B3C7B" w:rsidP="003B3C7B">
      <w:pPr>
        <w:pStyle w:val="ParaNumbering"/>
        <w:numPr>
          <w:ilvl w:val="0"/>
          <w:numId w:val="0"/>
        </w:numPr>
        <w:tabs>
          <w:tab w:val="left" w:pos="720"/>
        </w:tabs>
        <w:ind w:hanging="720"/>
      </w:pPr>
      <w:r>
        <w:rPr>
          <w:sz w:val="20"/>
        </w:rPr>
        <w:t>225</w:t>
      </w:r>
      <w:r>
        <w:rPr>
          <w:sz w:val="20"/>
        </w:rPr>
        <w:tab/>
      </w:r>
      <w:r w:rsidR="00FE4BAD">
        <w:t xml:space="preserve">I accept the fact that the matter should be approached on the basis that the multiple contraventions </w:t>
      </w:r>
      <w:r w:rsidR="00913F82">
        <w:t>as to the failures in relation to</w:t>
      </w:r>
      <w:r w:rsidR="00491BF9">
        <w:t xml:space="preserve"> </w:t>
      </w:r>
      <w:r w:rsidR="00FE4BAD">
        <w:t xml:space="preserve">the </w:t>
      </w:r>
      <w:r w:rsidR="00F90987">
        <w:t>Other Authorised Representatives</w:t>
      </w:r>
      <w:r w:rsidR="00A8303A">
        <w:t xml:space="preserve"> </w:t>
      </w:r>
      <w:r w:rsidR="00913F82">
        <w:t>are connected and, a</w:t>
      </w:r>
      <w:r w:rsidR="00491BF9">
        <w:t xml:space="preserve">lthough each of the </w:t>
      </w:r>
      <w:r w:rsidR="00AF6BC0">
        <w:t xml:space="preserve">relevant </w:t>
      </w:r>
      <w:r w:rsidR="00491BF9">
        <w:t>best interests obligations are distinct, it is artificial to contend there is no interrelationship between the conduct, that is, the failures of AMPFP that allowed the separate underlying breaches to take place.</w:t>
      </w:r>
      <w:r w:rsidR="005A06EB">
        <w:t xml:space="preserve"> </w:t>
      </w:r>
      <w:r w:rsidR="00913F82">
        <w:t xml:space="preserve">There is also an obvious connexion between the </w:t>
      </w:r>
      <w:r w:rsidR="008625F3">
        <w:t xml:space="preserve">aspects of the </w:t>
      </w:r>
      <w:r w:rsidR="00913F82">
        <w:t>contravening conduct which related to Panganiban.</w:t>
      </w:r>
    </w:p>
    <w:p w:rsidR="007E2F8D" w:rsidRDefault="003B3C7B" w:rsidP="003B3C7B">
      <w:pPr>
        <w:pStyle w:val="ParaNumbering"/>
        <w:numPr>
          <w:ilvl w:val="0"/>
          <w:numId w:val="0"/>
        </w:numPr>
        <w:tabs>
          <w:tab w:val="left" w:pos="720"/>
        </w:tabs>
        <w:ind w:hanging="720"/>
      </w:pPr>
      <w:r>
        <w:rPr>
          <w:sz w:val="20"/>
        </w:rPr>
        <w:t>226</w:t>
      </w:r>
      <w:r>
        <w:rPr>
          <w:sz w:val="20"/>
        </w:rPr>
        <w:tab/>
      </w:r>
      <w:r w:rsidR="00957EF7">
        <w:t>It follows that a</w:t>
      </w:r>
      <w:r w:rsidR="00AF69CF">
        <w:t xml:space="preserve">lthough </w:t>
      </w:r>
      <w:r w:rsidR="0081471B">
        <w:t>separate penalties should be imposed in respect of each o</w:t>
      </w:r>
      <w:r w:rsidR="00AF69CF">
        <w:t xml:space="preserve">f the separate contraventions, the penalties </w:t>
      </w:r>
      <w:r w:rsidR="0081471B">
        <w:t xml:space="preserve">should </w:t>
      </w:r>
      <w:r w:rsidR="00957EF7">
        <w:t>not reflect any</w:t>
      </w:r>
      <w:r w:rsidR="00427184">
        <w:t xml:space="preserve"> double punishment</w:t>
      </w:r>
      <w:r w:rsidR="00427184" w:rsidRPr="00427184">
        <w:t xml:space="preserve"> </w:t>
      </w:r>
      <w:r w:rsidR="00957EF7">
        <w:t xml:space="preserve">(although </w:t>
      </w:r>
      <w:r w:rsidR="008625F3">
        <w:t xml:space="preserve">they should </w:t>
      </w:r>
      <w:r w:rsidR="0081471B">
        <w:t>reflect the fact that the separate contraventions each involve</w:t>
      </w:r>
      <w:r w:rsidR="00957EF7">
        <w:t>, to an extent,</w:t>
      </w:r>
      <w:r w:rsidR="0081471B">
        <w:t xml:space="preserve"> some separate and </w:t>
      </w:r>
      <w:r w:rsidR="008625F3">
        <w:t>distinct elements of wrongdoing</w:t>
      </w:r>
      <w:r w:rsidR="00C425D1">
        <w:t>)</w:t>
      </w:r>
      <w:r w:rsidR="0081471B">
        <w:t>.</w:t>
      </w:r>
      <w:r w:rsidR="007E2F8D" w:rsidRPr="007E2F8D">
        <w:t xml:space="preserve"> </w:t>
      </w:r>
    </w:p>
    <w:p w:rsidR="007E2F8D" w:rsidRDefault="003B3C7B" w:rsidP="003B3C7B">
      <w:pPr>
        <w:pStyle w:val="ParaNumbering"/>
        <w:numPr>
          <w:ilvl w:val="0"/>
          <w:numId w:val="0"/>
        </w:numPr>
        <w:tabs>
          <w:tab w:val="left" w:pos="720"/>
        </w:tabs>
        <w:ind w:hanging="720"/>
      </w:pPr>
      <w:r>
        <w:rPr>
          <w:sz w:val="20"/>
        </w:rPr>
        <w:t>227</w:t>
      </w:r>
      <w:r>
        <w:rPr>
          <w:sz w:val="20"/>
        </w:rPr>
        <w:tab/>
      </w:r>
      <w:r w:rsidR="008625F3">
        <w:t>Moreover, and highly significantly, any adjustment downwards by reference to the course of conduct principle</w:t>
      </w:r>
      <w:r w:rsidR="0038048D">
        <w:t>,</w:t>
      </w:r>
      <w:r w:rsidR="008625F3">
        <w:t xml:space="preserve"> or any w</w:t>
      </w:r>
      <w:r w:rsidR="0038048D">
        <w:t xml:space="preserve">eight given to the </w:t>
      </w:r>
      <w:r w:rsidR="008625F3">
        <w:t xml:space="preserve">mitigating factors </w:t>
      </w:r>
      <w:r w:rsidR="0038048D">
        <w:t>identified, does not deflect f</w:t>
      </w:r>
      <w:r w:rsidR="008625F3">
        <w:t>r</w:t>
      </w:r>
      <w:r w:rsidR="0038048D">
        <w:t>o</w:t>
      </w:r>
      <w:r w:rsidR="008625F3">
        <w:t xml:space="preserve">m the necessity to </w:t>
      </w:r>
      <w:r w:rsidR="0038048D">
        <w:t xml:space="preserve">ensure that </w:t>
      </w:r>
      <w:r w:rsidR="00957EF7">
        <w:t xml:space="preserve">each </w:t>
      </w:r>
      <w:r w:rsidR="00957EF7" w:rsidRPr="00957EF7">
        <w:t xml:space="preserve">penalty needs to reflect the degree of AMPFP’s </w:t>
      </w:r>
      <w:r w:rsidR="00957EF7">
        <w:t xml:space="preserve">serious </w:t>
      </w:r>
      <w:r w:rsidR="00957EF7" w:rsidRPr="00957EF7">
        <w:t>wrongdoing an</w:t>
      </w:r>
      <w:r w:rsidR="00957EF7">
        <w:t>d</w:t>
      </w:r>
      <w:r w:rsidR="00957EF7" w:rsidRPr="00957EF7">
        <w:t xml:space="preserve"> reflect the primary objective of</w:t>
      </w:r>
      <w:r w:rsidR="00957EF7">
        <w:t xml:space="preserve"> </w:t>
      </w:r>
      <w:r w:rsidR="00957EF7" w:rsidRPr="00957EF7">
        <w:t>deterrence</w:t>
      </w:r>
      <w:r w:rsidR="00957EF7">
        <w:t>.</w:t>
      </w:r>
      <w:r w:rsidR="007E2F8D">
        <w:t xml:space="preserve"> </w:t>
      </w:r>
      <w:r w:rsidR="0067247A">
        <w:t>This is particularly important in the present case.</w:t>
      </w:r>
    </w:p>
    <w:p w:rsidR="00AA2A5F" w:rsidRPr="00607750" w:rsidRDefault="003B3C7B" w:rsidP="003B3C7B">
      <w:pPr>
        <w:pStyle w:val="ParaNumbering"/>
        <w:numPr>
          <w:ilvl w:val="0"/>
          <w:numId w:val="0"/>
        </w:numPr>
        <w:tabs>
          <w:tab w:val="left" w:pos="720"/>
        </w:tabs>
        <w:ind w:hanging="720"/>
      </w:pPr>
      <w:r w:rsidRPr="00607750">
        <w:rPr>
          <w:sz w:val="20"/>
        </w:rPr>
        <w:t>228</w:t>
      </w:r>
      <w:r w:rsidRPr="00607750">
        <w:rPr>
          <w:sz w:val="20"/>
        </w:rPr>
        <w:tab/>
      </w:r>
      <w:r w:rsidR="000649BA">
        <w:t>ASIC submits that if the Court proceeds on the basis that there were six contraventions, the</w:t>
      </w:r>
      <w:r w:rsidR="000649BA" w:rsidRPr="00957EF7">
        <w:rPr>
          <w:spacing w:val="-18"/>
        </w:rPr>
        <w:t xml:space="preserve"> </w:t>
      </w:r>
      <w:r w:rsidR="000649BA">
        <w:t>appropriate aggregate penalty is in the range of $4.5 million to $5.1 million.</w:t>
      </w:r>
      <w:r w:rsidR="00A8303A">
        <w:t xml:space="preserve"> </w:t>
      </w:r>
      <w:r w:rsidR="00957EF7">
        <w:t xml:space="preserve">In this regard, </w:t>
      </w:r>
      <w:r w:rsidR="00F31057">
        <w:t>four</w:t>
      </w:r>
      <w:r w:rsidR="00957EF7">
        <w:t xml:space="preserve"> matters are emphasised: </w:t>
      </w:r>
      <w:r w:rsidR="00957EF7" w:rsidRPr="00957EF7">
        <w:rPr>
          <w:i/>
        </w:rPr>
        <w:t>f</w:t>
      </w:r>
      <w:r w:rsidR="00AA2A5F" w:rsidRPr="00957EF7">
        <w:rPr>
          <w:i/>
        </w:rPr>
        <w:t>irst</w:t>
      </w:r>
      <w:r w:rsidR="00AA2A5F" w:rsidRPr="007014D4">
        <w:t xml:space="preserve">, if the correct characterisation of AMPFP’s conduct is that there were only six contraventions, it would follow that </w:t>
      </w:r>
      <w:r w:rsidR="00AA2A5F">
        <w:t xml:space="preserve">those contraventions are more serious than the contraventions premised on the </w:t>
      </w:r>
      <w:r w:rsidR="00F31057">
        <w:t>primary case I have rejected (</w:t>
      </w:r>
      <w:r w:rsidR="00AA2A5F">
        <w:t xml:space="preserve">being 120 </w:t>
      </w:r>
      <w:r w:rsidR="00F31057">
        <w:t>contraventions</w:t>
      </w:r>
      <w:r w:rsidR="00920DC3">
        <w:t>,</w:t>
      </w:r>
      <w:r w:rsidR="00F31057">
        <w:t xml:space="preserve"> </w:t>
      </w:r>
      <w:r w:rsidR="00AA2A5F">
        <w:t>because of the effect of the contraventions on multiple clients</w:t>
      </w:r>
      <w:r w:rsidR="00F31057">
        <w:t xml:space="preserve">); </w:t>
      </w:r>
      <w:r w:rsidR="00F31057" w:rsidRPr="00F31057">
        <w:rPr>
          <w:i/>
        </w:rPr>
        <w:t>s</w:t>
      </w:r>
      <w:r w:rsidR="00AA2A5F" w:rsidRPr="00F31057">
        <w:rPr>
          <w:i/>
        </w:rPr>
        <w:t>econdly</w:t>
      </w:r>
      <w:r w:rsidR="00AA2A5F" w:rsidRPr="007014D4">
        <w:t xml:space="preserve">, </w:t>
      </w:r>
      <w:r w:rsidR="00F31057">
        <w:t>the Court should not be constrained to adopt the evaluative “tool” being the course of conduct principle;</w:t>
      </w:r>
      <w:r w:rsidR="00F40047">
        <w:t xml:space="preserve"> </w:t>
      </w:r>
      <w:r w:rsidR="00F31057" w:rsidRPr="00F31057">
        <w:rPr>
          <w:i/>
        </w:rPr>
        <w:t>thirdly</w:t>
      </w:r>
      <w:r w:rsidR="00F31057">
        <w:t>, the point made above, that any</w:t>
      </w:r>
      <w:r w:rsidR="00AA2A5F" w:rsidRPr="007014D4">
        <w:t xml:space="preserve"> appl</w:t>
      </w:r>
      <w:r w:rsidR="00F31057">
        <w:t>ication of</w:t>
      </w:r>
      <w:r w:rsidR="00AA2A5F" w:rsidRPr="007014D4">
        <w:t xml:space="preserve"> the course of conduct principle </w:t>
      </w:r>
      <w:r w:rsidR="00F31057">
        <w:t xml:space="preserve">must still </w:t>
      </w:r>
      <w:r w:rsidR="00AA2A5F" w:rsidRPr="007014D4">
        <w:t>reflect the seriousness of the contraventions</w:t>
      </w:r>
      <w:r w:rsidR="00F31057" w:rsidRPr="00F31057">
        <w:t xml:space="preserve"> </w:t>
      </w:r>
      <w:r w:rsidR="00F31057">
        <w:t xml:space="preserve">and that </w:t>
      </w:r>
      <w:r w:rsidR="00F31057" w:rsidRPr="007014D4">
        <w:t xml:space="preserve">penalties close to the maximum available penalties are necessary to achieve general and specific deterrence: </w:t>
      </w:r>
      <w:r w:rsidR="00F31057" w:rsidRPr="007014D4">
        <w:rPr>
          <w:i/>
        </w:rPr>
        <w:t xml:space="preserve">ASIC v Westpac (No 3) </w:t>
      </w:r>
      <w:r w:rsidR="00F31057" w:rsidRPr="007014D4">
        <w:t xml:space="preserve">at </w:t>
      </w:r>
      <w:r w:rsidR="006E3052">
        <w:t xml:space="preserve">619 </w:t>
      </w:r>
      <w:r w:rsidR="00F31057" w:rsidRPr="007014D4">
        <w:t>[177]</w:t>
      </w:r>
      <w:r w:rsidR="00F31057">
        <w:t xml:space="preserve">; and </w:t>
      </w:r>
      <w:r w:rsidR="00F31057">
        <w:rPr>
          <w:i/>
        </w:rPr>
        <w:t>fourth</w:t>
      </w:r>
      <w:r w:rsidR="00F31057" w:rsidRPr="00F31057">
        <w:rPr>
          <w:i/>
        </w:rPr>
        <w:t>ly</w:t>
      </w:r>
      <w:r w:rsidR="00F31057">
        <w:t xml:space="preserve">, </w:t>
      </w:r>
      <w:r w:rsidR="00AA2A5F" w:rsidRPr="007014D4">
        <w:t xml:space="preserve">penalties </w:t>
      </w:r>
      <w:r w:rsidR="00F31057">
        <w:t xml:space="preserve">towards the higher end of the range </w:t>
      </w:r>
      <w:r w:rsidR="00AA2A5F" w:rsidRPr="007014D4">
        <w:t xml:space="preserve">would </w:t>
      </w:r>
      <w:r w:rsidR="00F31057">
        <w:t xml:space="preserve">also </w:t>
      </w:r>
      <w:r w:rsidR="00AA2A5F" w:rsidRPr="007014D4">
        <w:t xml:space="preserve">properly reflect that there were multiple contraventions of AMPFP’s representatives’ </w:t>
      </w:r>
      <w:r w:rsidR="009A19E0">
        <w:t>relevant</w:t>
      </w:r>
      <w:r w:rsidR="009A19E0" w:rsidRPr="007014D4">
        <w:t xml:space="preserve"> </w:t>
      </w:r>
      <w:r w:rsidR="00AA2A5F" w:rsidRPr="007014D4">
        <w:t>best interests obligations that underl</w:t>
      </w:r>
      <w:r w:rsidR="00AA2A5F">
        <w:t>ie</w:t>
      </w:r>
      <w:r w:rsidR="00AA2A5F" w:rsidRPr="007014D4">
        <w:t xml:space="preserve"> each contravention of s 961L.</w:t>
      </w:r>
      <w:r w:rsidR="005A06EB">
        <w:t xml:space="preserve"> </w:t>
      </w:r>
    </w:p>
    <w:p w:rsidR="00F31057" w:rsidRDefault="003B3C7B" w:rsidP="003B3C7B">
      <w:pPr>
        <w:pStyle w:val="ParaNumbering"/>
        <w:numPr>
          <w:ilvl w:val="0"/>
          <w:numId w:val="0"/>
        </w:numPr>
        <w:tabs>
          <w:tab w:val="left" w:pos="720"/>
        </w:tabs>
        <w:ind w:hanging="720"/>
      </w:pPr>
      <w:r>
        <w:rPr>
          <w:sz w:val="20"/>
        </w:rPr>
        <w:lastRenderedPageBreak/>
        <w:t>229</w:t>
      </w:r>
      <w:r>
        <w:rPr>
          <w:sz w:val="20"/>
        </w:rPr>
        <w:tab/>
      </w:r>
      <w:r w:rsidR="00356D4F">
        <w:t xml:space="preserve">AMPFP submits that the appropriate penalty in the case of six contraventions should be in the range of $1.2 million-$1.5 million. </w:t>
      </w:r>
      <w:r w:rsidR="00F31057">
        <w:t>In doing so, it relies heavily on the conduct amounting to “</w:t>
      </w:r>
      <w:r w:rsidR="00356D4F">
        <w:t>no more than two failures to act</w:t>
      </w:r>
      <w:r w:rsidR="00F31057">
        <w:t>” in the manner explained above.</w:t>
      </w:r>
    </w:p>
    <w:p w:rsidR="00521F35" w:rsidRDefault="003B3C7B" w:rsidP="003B3C7B">
      <w:pPr>
        <w:pStyle w:val="ParaNumbering"/>
        <w:numPr>
          <w:ilvl w:val="0"/>
          <w:numId w:val="0"/>
        </w:numPr>
        <w:tabs>
          <w:tab w:val="left" w:pos="720"/>
        </w:tabs>
        <w:ind w:hanging="720"/>
      </w:pPr>
      <w:r>
        <w:rPr>
          <w:sz w:val="20"/>
        </w:rPr>
        <w:t>230</w:t>
      </w:r>
      <w:r>
        <w:rPr>
          <w:sz w:val="20"/>
        </w:rPr>
        <w:tab/>
      </w:r>
      <w:r w:rsidR="00F31057">
        <w:t xml:space="preserve">For reasons I have already explained, I </w:t>
      </w:r>
      <w:r w:rsidR="001B1E8D">
        <w:t xml:space="preserve">generally accept ASIC’s submissions </w:t>
      </w:r>
      <w:r w:rsidR="003201D9">
        <w:t xml:space="preserve">(subject to a qualification discussed below) </w:t>
      </w:r>
      <w:r w:rsidR="001B1E8D">
        <w:t xml:space="preserve">but </w:t>
      </w:r>
      <w:r w:rsidR="00F31057">
        <w:t xml:space="preserve">consider there should be some </w:t>
      </w:r>
      <w:r w:rsidR="00AD6E6D">
        <w:t xml:space="preserve">modest </w:t>
      </w:r>
      <w:r w:rsidR="00F31057">
        <w:t xml:space="preserve">adjustment downwards to reflect </w:t>
      </w:r>
      <w:r w:rsidR="00521F35">
        <w:t>the course of conduct principle</w:t>
      </w:r>
      <w:r w:rsidR="00F31057">
        <w:t>.</w:t>
      </w:r>
      <w:r w:rsidR="005A06EB">
        <w:t xml:space="preserve"> </w:t>
      </w:r>
      <w:r w:rsidR="00521F35">
        <w:t>But when all is said and done, t</w:t>
      </w:r>
      <w:r w:rsidR="00521F35" w:rsidRPr="00521F35">
        <w:t>he purpose of a civil penalty is primarily, if not wholly, protective in promoting the public interest in compliance with the law</w:t>
      </w:r>
      <w:r w:rsidR="00603A26">
        <w:t>,</w:t>
      </w:r>
      <w:r w:rsidR="00521F35">
        <w:t xml:space="preserve"> and </w:t>
      </w:r>
      <w:r w:rsidR="00521F35" w:rsidRPr="00521F35">
        <w:t xml:space="preserve">penalties </w:t>
      </w:r>
      <w:r w:rsidR="00521F35">
        <w:t xml:space="preserve">imposed on an organisation like AMPFP must </w:t>
      </w:r>
      <w:r w:rsidR="00521F35" w:rsidRPr="00521F35">
        <w:t>put a price on contravention</w:t>
      </w:r>
      <w:r w:rsidR="00521F35">
        <w:t>s of this type</w:t>
      </w:r>
      <w:r w:rsidR="00521F35" w:rsidRPr="00521F35">
        <w:t xml:space="preserve"> to deter repetition by those involved in the particular contraventions and by others who may be tempted to act in a similar manner: </w:t>
      </w:r>
      <w:r w:rsidR="00521F35" w:rsidRPr="00521F35">
        <w:rPr>
          <w:i/>
        </w:rPr>
        <w:t>Commonwealth of Australia v Director, Fair Work Building Industry Inspectorate</w:t>
      </w:r>
      <w:r w:rsidR="00521F35" w:rsidRPr="00521F35">
        <w:t xml:space="preserve"> [2015] HCA 46; (2015) 258 CLR 482 at </w:t>
      </w:r>
      <w:r w:rsidR="00B45D28">
        <w:t xml:space="preserve">506 </w:t>
      </w:r>
      <w:r w:rsidR="00521F35" w:rsidRPr="00521F35">
        <w:t>[55]</w:t>
      </w:r>
      <w:r w:rsidR="00521F35">
        <w:t>.</w:t>
      </w:r>
      <w:r w:rsidR="005A06EB">
        <w:t xml:space="preserve"> </w:t>
      </w:r>
      <w:r w:rsidR="00521F35">
        <w:t xml:space="preserve">If the penalties in the circumstances of this case are to have an adequate </w:t>
      </w:r>
      <w:r w:rsidR="00521F35" w:rsidRPr="00521F35">
        <w:t>general and specific deterrence purpose</w:t>
      </w:r>
      <w:r w:rsidR="00521F35">
        <w:t xml:space="preserve">, even taking into account </w:t>
      </w:r>
      <w:r w:rsidR="005279F9">
        <w:t xml:space="preserve">the course of conduct principle and </w:t>
      </w:r>
      <w:r w:rsidR="00521F35">
        <w:t xml:space="preserve">all the subjective and mitigating factors </w:t>
      </w:r>
      <w:r w:rsidR="005D7F8F">
        <w:t xml:space="preserve">to </w:t>
      </w:r>
      <w:r w:rsidR="00521F35">
        <w:t xml:space="preserve">which </w:t>
      </w:r>
      <w:r w:rsidR="001B1E8D">
        <w:t xml:space="preserve">I have had </w:t>
      </w:r>
      <w:r w:rsidR="00521F35">
        <w:t>regard,</w:t>
      </w:r>
      <w:r w:rsidR="00521F35" w:rsidRPr="00521F35">
        <w:t xml:space="preserve"> </w:t>
      </w:r>
      <w:r w:rsidR="00521F35">
        <w:t>a penalty at the higher end of the range is necessary for each contravention</w:t>
      </w:r>
      <w:r w:rsidR="001B1E8D">
        <w:t>.</w:t>
      </w:r>
    </w:p>
    <w:p w:rsidR="00A77372" w:rsidRDefault="003B3C7B" w:rsidP="003B3C7B">
      <w:pPr>
        <w:pStyle w:val="ParaNumbering"/>
        <w:numPr>
          <w:ilvl w:val="0"/>
          <w:numId w:val="0"/>
        </w:numPr>
        <w:tabs>
          <w:tab w:val="left" w:pos="720"/>
        </w:tabs>
        <w:ind w:hanging="720"/>
      </w:pPr>
      <w:r>
        <w:rPr>
          <w:sz w:val="20"/>
        </w:rPr>
        <w:t>231</w:t>
      </w:r>
      <w:r>
        <w:rPr>
          <w:sz w:val="20"/>
        </w:rPr>
        <w:tab/>
      </w:r>
      <w:r w:rsidR="00A77372">
        <w:t xml:space="preserve">As to the contraventions in relation to Panganiban, </w:t>
      </w:r>
      <w:r w:rsidR="00B14377">
        <w:t xml:space="preserve">as </w:t>
      </w:r>
      <w:r w:rsidR="00AD6E6D">
        <w:t>AMPFP</w:t>
      </w:r>
      <w:r w:rsidR="001B1E8D">
        <w:t xml:space="preserve"> accepted, t</w:t>
      </w:r>
      <w:r w:rsidR="00B14377">
        <w:t>he contraventions occurred ov</w:t>
      </w:r>
      <w:r w:rsidR="0038048D">
        <w:t>er a period of time and the lat</w:t>
      </w:r>
      <w:r w:rsidR="00B14377">
        <w:t>er conduct, after it was clear to some in AM</w:t>
      </w:r>
      <w:r w:rsidR="00521F35">
        <w:t>PFP what Panganiban was up to, wa</w:t>
      </w:r>
      <w:r w:rsidR="00B14377">
        <w:t>s indefensible</w:t>
      </w:r>
      <w:r w:rsidR="00781B69">
        <w:t xml:space="preserve">. </w:t>
      </w:r>
      <w:r w:rsidR="00A77372">
        <w:t xml:space="preserve">As to the </w:t>
      </w:r>
      <w:r w:rsidR="00781B69">
        <w:t xml:space="preserve">contraventions in relation to the </w:t>
      </w:r>
      <w:r w:rsidR="00A77372" w:rsidRPr="00A77372">
        <w:t>O</w:t>
      </w:r>
      <w:r w:rsidR="00781B69">
        <w:t>ther Authorised Representatives</w:t>
      </w:r>
      <w:r w:rsidR="00A77372">
        <w:t xml:space="preserve">, </w:t>
      </w:r>
      <w:r w:rsidR="00A77372" w:rsidRPr="00A77372">
        <w:t>the failures, after senior management became involved at the time of the Issues Panel in September 2014 up to 30 June 2015, was</w:t>
      </w:r>
      <w:r w:rsidR="008C5991">
        <w:t xml:space="preserve"> even more serious</w:t>
      </w:r>
      <w:r w:rsidR="00A77372">
        <w:t>.</w:t>
      </w:r>
    </w:p>
    <w:p w:rsidR="00A77372" w:rsidRDefault="003B3C7B" w:rsidP="003B3C7B">
      <w:pPr>
        <w:pStyle w:val="ParaNumbering"/>
        <w:numPr>
          <w:ilvl w:val="0"/>
          <w:numId w:val="0"/>
        </w:numPr>
        <w:tabs>
          <w:tab w:val="left" w:pos="720"/>
        </w:tabs>
        <w:ind w:hanging="720"/>
      </w:pPr>
      <w:r>
        <w:rPr>
          <w:sz w:val="20"/>
        </w:rPr>
        <w:t>232</w:t>
      </w:r>
      <w:r>
        <w:rPr>
          <w:sz w:val="20"/>
        </w:rPr>
        <w:tab/>
      </w:r>
      <w:r w:rsidR="00A77372">
        <w:t>Balanced against this</w:t>
      </w:r>
      <w:r w:rsidR="00AD6E6D">
        <w:t>,</w:t>
      </w:r>
      <w:r w:rsidR="00A77372">
        <w:t xml:space="preserve"> is </w:t>
      </w:r>
      <w:r w:rsidR="00781B69">
        <w:t xml:space="preserve">the submission </w:t>
      </w:r>
      <w:r w:rsidR="00A77372">
        <w:t xml:space="preserve">that </w:t>
      </w:r>
      <w:r w:rsidR="00AB55B4">
        <w:t xml:space="preserve">the penalties should reflect the differing scope of the conduct of Panganiban and the </w:t>
      </w:r>
      <w:r w:rsidR="00F90987">
        <w:t>Other Authorised Representatives</w:t>
      </w:r>
      <w:r w:rsidR="00AB55B4">
        <w:t xml:space="preserve">. </w:t>
      </w:r>
      <w:r w:rsidR="001B1E8D">
        <w:t xml:space="preserve">In this last regard, </w:t>
      </w:r>
      <w:r w:rsidR="00A77372">
        <w:t>ASIC pointed to the fact</w:t>
      </w:r>
      <w:r w:rsidR="00AB55B4">
        <w:t xml:space="preserve"> that </w:t>
      </w:r>
      <w:r w:rsidR="00AB55B4" w:rsidRPr="00AB55B4">
        <w:t>AMPFP</w:t>
      </w:r>
      <w:r w:rsidR="00AB55B4">
        <w:t>’s</w:t>
      </w:r>
      <w:r w:rsidR="00AB55B4" w:rsidRPr="00AB55B4">
        <w:t xml:space="preserve"> fail</w:t>
      </w:r>
      <w:r w:rsidR="00AB55B4">
        <w:t>ures</w:t>
      </w:r>
      <w:r w:rsidR="00AB55B4" w:rsidRPr="00AB55B4">
        <w:t xml:space="preserve"> to take reasonable steps to ensure that</w:t>
      </w:r>
      <w:r w:rsidR="00AB55B4">
        <w:t xml:space="preserve"> </w:t>
      </w:r>
      <w:r w:rsidR="00AB55B4" w:rsidRPr="00AB55B4">
        <w:t xml:space="preserve">Panganiban </w:t>
      </w:r>
      <w:r w:rsidR="005523F6">
        <w:t>was compl</w:t>
      </w:r>
      <w:r w:rsidR="00A77372">
        <w:t>i</w:t>
      </w:r>
      <w:r w:rsidR="005523F6">
        <w:t>a</w:t>
      </w:r>
      <w:r w:rsidR="00A77372">
        <w:t>nt</w:t>
      </w:r>
      <w:r w:rsidR="00AB55B4">
        <w:t>,</w:t>
      </w:r>
      <w:r w:rsidR="00AB55B4" w:rsidRPr="00AB55B4">
        <w:t xml:space="preserve"> </w:t>
      </w:r>
      <w:r w:rsidR="00AB55B4">
        <w:t>was</w:t>
      </w:r>
      <w:r w:rsidR="00AB55B4" w:rsidRPr="00AB55B4">
        <w:t xml:space="preserve"> in relation to the advice provided to </w:t>
      </w:r>
      <w:r w:rsidR="00AB55B4" w:rsidRPr="001B1E8D">
        <w:rPr>
          <w:i/>
        </w:rPr>
        <w:t>30 clients</w:t>
      </w:r>
      <w:r w:rsidR="00AB55B4" w:rsidRPr="00AB55B4">
        <w:t xml:space="preserve"> (</w:t>
      </w:r>
      <w:r w:rsidR="00AB55B4">
        <w:t xml:space="preserve">being </w:t>
      </w:r>
      <w:r w:rsidR="00AB55B4" w:rsidRPr="00AB55B4">
        <w:t>Clients 1-30 identified on Schedule A to the SOC</w:t>
      </w:r>
      <w:r w:rsidR="00AB55B4">
        <w:t xml:space="preserve">); whereas, the failures </w:t>
      </w:r>
      <w:r w:rsidR="00AB55B4" w:rsidRPr="00AB55B4">
        <w:t>to take reasonable steps to ensure that</w:t>
      </w:r>
      <w:r w:rsidR="00AB55B4">
        <w:t xml:space="preserve"> </w:t>
      </w:r>
      <w:r w:rsidR="0059215C">
        <w:t>O</w:t>
      </w:r>
      <w:r w:rsidR="0038048D">
        <w:t>ther</w:t>
      </w:r>
      <w:r w:rsidR="0059215C">
        <w:t xml:space="preserve"> Authorised</w:t>
      </w:r>
      <w:r w:rsidR="0038048D">
        <w:t xml:space="preserve"> </w:t>
      </w:r>
      <w:r w:rsidR="0059215C">
        <w:t>R</w:t>
      </w:r>
      <w:r w:rsidR="00AB55B4" w:rsidRPr="00AB55B4">
        <w:t xml:space="preserve">epresentatives </w:t>
      </w:r>
      <w:r w:rsidR="00F64434">
        <w:t>did not engage</w:t>
      </w:r>
      <w:r w:rsidR="00AB55B4" w:rsidRPr="00AB55B4">
        <w:t xml:space="preserve"> in Rewriting Conduct </w:t>
      </w:r>
      <w:r w:rsidR="00AB55B4">
        <w:t>was</w:t>
      </w:r>
      <w:r w:rsidR="00AB55B4" w:rsidRPr="00AB55B4">
        <w:t xml:space="preserve"> in relation to advice provided to </w:t>
      </w:r>
      <w:r w:rsidR="00AB55B4" w:rsidRPr="001B1E8D">
        <w:rPr>
          <w:i/>
        </w:rPr>
        <w:t>10 clients</w:t>
      </w:r>
      <w:r w:rsidR="00AB55B4" w:rsidRPr="00AB55B4">
        <w:t xml:space="preserve"> (</w:t>
      </w:r>
      <w:r w:rsidR="00AB55B4">
        <w:t xml:space="preserve">being </w:t>
      </w:r>
      <w:r w:rsidR="00AB55B4" w:rsidRPr="00AB55B4">
        <w:t>Clients 31-40 identified on Schedule B to the SOC)</w:t>
      </w:r>
      <w:r w:rsidR="00AB55B4">
        <w:t>.</w:t>
      </w:r>
      <w:r w:rsidR="005A06EB">
        <w:t xml:space="preserve"> </w:t>
      </w:r>
      <w:r w:rsidR="00A77372">
        <w:t>Although this has some relevance, I do not consider it to be of great significance to differing penalties as between the two “groups”</w:t>
      </w:r>
      <w:r w:rsidR="00781B69">
        <w:t xml:space="preserve"> of contraventions. </w:t>
      </w:r>
      <w:r w:rsidR="00BA3363">
        <w:t xml:space="preserve">The breach was a failure to ensure that the Rewriting Conduct did not take place. As I have explained, it is not a breach which has, as its focus, </w:t>
      </w:r>
      <w:r w:rsidR="00781B69">
        <w:t xml:space="preserve">the underlying breaches. </w:t>
      </w:r>
      <w:r w:rsidR="00BA3363">
        <w:t xml:space="preserve">This is why the </w:t>
      </w:r>
      <w:r w:rsidR="005279F9">
        <w:t>decision</w:t>
      </w:r>
      <w:r w:rsidR="00BA3363">
        <w:t xml:space="preserve"> of ASIC </w:t>
      </w:r>
      <w:r w:rsidR="005279F9">
        <w:t xml:space="preserve">not </w:t>
      </w:r>
      <w:r w:rsidR="00BA3363">
        <w:t xml:space="preserve">to </w:t>
      </w:r>
      <w:r w:rsidR="005279F9">
        <w:t xml:space="preserve">attempt to </w:t>
      </w:r>
      <w:r w:rsidR="00BA3363">
        <w:t xml:space="preserve">prove how </w:t>
      </w:r>
      <w:r w:rsidR="00BA3363">
        <w:lastRenderedPageBreak/>
        <w:t xml:space="preserve">widespread to conduct was </w:t>
      </w:r>
      <w:r w:rsidR="00BA3363" w:rsidRPr="00BA3363">
        <w:rPr>
          <w:i/>
        </w:rPr>
        <w:t>in fact</w:t>
      </w:r>
      <w:r w:rsidR="00BA3363">
        <w:t>, although relevant, does not impact signifi</w:t>
      </w:r>
      <w:r w:rsidR="00A77372">
        <w:t>cantly upon penalty</w:t>
      </w:r>
      <w:r w:rsidR="00AB55B4">
        <w:t>.</w:t>
      </w:r>
    </w:p>
    <w:p w:rsidR="00F64434" w:rsidRDefault="003B3C7B" w:rsidP="003B3C7B">
      <w:pPr>
        <w:pStyle w:val="ParaNumbering"/>
        <w:numPr>
          <w:ilvl w:val="0"/>
          <w:numId w:val="0"/>
        </w:numPr>
        <w:tabs>
          <w:tab w:val="left" w:pos="720"/>
        </w:tabs>
        <w:ind w:hanging="720"/>
      </w:pPr>
      <w:r>
        <w:rPr>
          <w:sz w:val="20"/>
        </w:rPr>
        <w:t>233</w:t>
      </w:r>
      <w:r>
        <w:rPr>
          <w:sz w:val="20"/>
        </w:rPr>
        <w:tab/>
      </w:r>
      <w:r w:rsidR="00A77372">
        <w:t>Drawing all the threads</w:t>
      </w:r>
      <w:r w:rsidR="00781B69">
        <w:t xml:space="preserve"> together</w:t>
      </w:r>
      <w:r w:rsidR="00A77372">
        <w:t xml:space="preserve">, including deterrence and course </w:t>
      </w:r>
      <w:r w:rsidR="00781B69">
        <w:t xml:space="preserve">of conduct, </w:t>
      </w:r>
      <w:r w:rsidR="00A77372">
        <w:t>it is necessary to fix individual penalties.</w:t>
      </w:r>
      <w:r w:rsidR="005A06EB">
        <w:t xml:space="preserve"> </w:t>
      </w:r>
      <w:r w:rsidR="00A77372">
        <w:t>But in completing this task individually, the result is that each of the penalties is t</w:t>
      </w:r>
      <w:r w:rsidR="00AD6E6D">
        <w:t>owards the top of the range</w:t>
      </w:r>
      <w:r w:rsidR="00A77372">
        <w:t>.</w:t>
      </w:r>
      <w:r w:rsidR="005A06EB">
        <w:t xml:space="preserve"> </w:t>
      </w:r>
      <w:r w:rsidR="00781B69">
        <w:t xml:space="preserve">I </w:t>
      </w:r>
      <w:r w:rsidR="008C5991">
        <w:t xml:space="preserve">should further explain that I </w:t>
      </w:r>
      <w:r w:rsidR="00781B69">
        <w:t xml:space="preserve">have fixed a penalty higher than sought by ASIC in relation to </w:t>
      </w:r>
      <w:r w:rsidR="00781B69" w:rsidRPr="00781B69">
        <w:t xml:space="preserve">the contraventions in relation to the Other Authorised Representatives, </w:t>
      </w:r>
      <w:r w:rsidR="00781B69">
        <w:t>because I disagr</w:t>
      </w:r>
      <w:r w:rsidR="008C5991">
        <w:t>ee with the submission made by A</w:t>
      </w:r>
      <w:r w:rsidR="00781B69">
        <w:t>SIC that each contravention was of “</w:t>
      </w:r>
      <w:r w:rsidR="008C5991">
        <w:t xml:space="preserve">comparable </w:t>
      </w:r>
      <w:r w:rsidR="00781B69">
        <w:t>seriousness”.</w:t>
      </w:r>
      <w:r w:rsidR="005A06EB">
        <w:t xml:space="preserve"> </w:t>
      </w:r>
      <w:r w:rsidR="00781B69">
        <w:t>They were not.</w:t>
      </w:r>
      <w:r w:rsidR="005A06EB">
        <w:t xml:space="preserve"> </w:t>
      </w:r>
      <w:r w:rsidR="00781B69">
        <w:t xml:space="preserve">The </w:t>
      </w:r>
      <w:r w:rsidR="008C5991">
        <w:t xml:space="preserve">contravening conduct </w:t>
      </w:r>
      <w:r w:rsidR="00781B69">
        <w:t xml:space="preserve">after senior management became involved in </w:t>
      </w:r>
      <w:r w:rsidR="00781B69" w:rsidRPr="00781B69">
        <w:t xml:space="preserve">September 2014 up to 30 June 2015, </w:t>
      </w:r>
      <w:r w:rsidR="008C5991">
        <w:t xml:space="preserve">was </w:t>
      </w:r>
      <w:r w:rsidR="008C5991" w:rsidRPr="00A77372">
        <w:t>particularly egregious</w:t>
      </w:r>
      <w:r w:rsidR="008C5991">
        <w:t>.</w:t>
      </w:r>
      <w:r w:rsidR="005A06EB">
        <w:t xml:space="preserve">  </w:t>
      </w:r>
    </w:p>
    <w:p w:rsidR="0067338B" w:rsidRDefault="003B3C7B" w:rsidP="003B3C7B">
      <w:pPr>
        <w:pStyle w:val="ParaNumbering"/>
        <w:numPr>
          <w:ilvl w:val="0"/>
          <w:numId w:val="0"/>
        </w:numPr>
        <w:tabs>
          <w:tab w:val="left" w:pos="720"/>
        </w:tabs>
        <w:ind w:hanging="720"/>
      </w:pPr>
      <w:r>
        <w:rPr>
          <w:sz w:val="20"/>
        </w:rPr>
        <w:t>234</w:t>
      </w:r>
      <w:r>
        <w:rPr>
          <w:sz w:val="20"/>
        </w:rPr>
        <w:tab/>
      </w:r>
      <w:r w:rsidR="00AB55B4">
        <w:t>In the light of the above, t</w:t>
      </w:r>
      <w:r w:rsidR="0081471B">
        <w:t xml:space="preserve">he appropriate penalties for each of </w:t>
      </w:r>
      <w:r w:rsidR="0067338B">
        <w:t>the</w:t>
      </w:r>
      <w:r w:rsidR="0081471B">
        <w:t xml:space="preserve"> contraventions </w:t>
      </w:r>
      <w:r w:rsidR="0067338B">
        <w:t>of s 961L are as follows.</w:t>
      </w:r>
    </w:p>
    <w:p w:rsidR="0067338B" w:rsidRDefault="003B3C7B" w:rsidP="003B3C7B">
      <w:pPr>
        <w:pStyle w:val="ListNo1"/>
        <w:numPr>
          <w:ilvl w:val="0"/>
          <w:numId w:val="0"/>
        </w:numPr>
        <w:tabs>
          <w:tab w:val="left" w:pos="720"/>
        </w:tabs>
        <w:ind w:left="720" w:hanging="720"/>
      </w:pPr>
      <w:r>
        <w:t>(1)</w:t>
      </w:r>
      <w:r>
        <w:tab/>
      </w:r>
      <w:r w:rsidR="0067338B">
        <w:t>Failure to take reasonable steps to ensure that Panganiban complied with s 961B of the Act - $</w:t>
      </w:r>
      <w:r w:rsidR="00781B69">
        <w:t>850</w:t>
      </w:r>
      <w:r w:rsidR="0067338B">
        <w:t>,000</w:t>
      </w:r>
    </w:p>
    <w:p w:rsidR="0067338B" w:rsidRDefault="003B3C7B" w:rsidP="003B3C7B">
      <w:pPr>
        <w:pStyle w:val="ListNo1"/>
        <w:numPr>
          <w:ilvl w:val="0"/>
          <w:numId w:val="0"/>
        </w:numPr>
        <w:tabs>
          <w:tab w:val="left" w:pos="720"/>
        </w:tabs>
        <w:ind w:left="720" w:hanging="720"/>
      </w:pPr>
      <w:r>
        <w:t>(2)</w:t>
      </w:r>
      <w:r>
        <w:tab/>
      </w:r>
      <w:r w:rsidR="0067338B">
        <w:t>Failure to take reasonable steps to ensure that Panganiban complied with s 961G of the Act - $</w:t>
      </w:r>
      <w:r w:rsidR="00781B69">
        <w:t>850</w:t>
      </w:r>
      <w:r w:rsidR="0067338B">
        <w:t>,000</w:t>
      </w:r>
    </w:p>
    <w:p w:rsidR="0067338B" w:rsidRDefault="003B3C7B" w:rsidP="003B3C7B">
      <w:pPr>
        <w:pStyle w:val="ListNo1"/>
        <w:numPr>
          <w:ilvl w:val="0"/>
          <w:numId w:val="0"/>
        </w:numPr>
        <w:tabs>
          <w:tab w:val="left" w:pos="720"/>
        </w:tabs>
        <w:ind w:left="720" w:hanging="720"/>
      </w:pPr>
      <w:r>
        <w:t>(3)</w:t>
      </w:r>
      <w:r>
        <w:tab/>
      </w:r>
      <w:r w:rsidR="0067338B">
        <w:t>Failure to take reasonable steps to ensure that Panganiban complied with s 961J of the Act - $</w:t>
      </w:r>
      <w:r w:rsidR="00781B69">
        <w:t>850</w:t>
      </w:r>
      <w:r w:rsidR="0067338B">
        <w:t>,000</w:t>
      </w:r>
    </w:p>
    <w:p w:rsidR="0067338B" w:rsidRDefault="003B3C7B" w:rsidP="003B3C7B">
      <w:pPr>
        <w:pStyle w:val="ListNo1"/>
        <w:numPr>
          <w:ilvl w:val="0"/>
          <w:numId w:val="0"/>
        </w:numPr>
        <w:tabs>
          <w:tab w:val="left" w:pos="720"/>
        </w:tabs>
        <w:ind w:left="720" w:hanging="720"/>
      </w:pPr>
      <w:r>
        <w:t>(4)</w:t>
      </w:r>
      <w:r>
        <w:tab/>
      </w:r>
      <w:r w:rsidR="0067338B">
        <w:t xml:space="preserve">Failure to take reasonable steps to ensure that the </w:t>
      </w:r>
      <w:r w:rsidR="00646A42">
        <w:t>O</w:t>
      </w:r>
      <w:r w:rsidR="0067338B">
        <w:t xml:space="preserve">ther </w:t>
      </w:r>
      <w:r w:rsidR="00646A42">
        <w:t>Authorised R</w:t>
      </w:r>
      <w:r w:rsidR="0067338B">
        <w:t>epresentatives complied with s 961B of the Act - $</w:t>
      </w:r>
      <w:r w:rsidR="00781B69">
        <w:t>875</w:t>
      </w:r>
      <w:r w:rsidR="0067338B">
        <w:t>,000</w:t>
      </w:r>
    </w:p>
    <w:p w:rsidR="0067338B" w:rsidRDefault="003B3C7B" w:rsidP="003B3C7B">
      <w:pPr>
        <w:pStyle w:val="ListNo1"/>
        <w:numPr>
          <w:ilvl w:val="0"/>
          <w:numId w:val="0"/>
        </w:numPr>
        <w:tabs>
          <w:tab w:val="left" w:pos="720"/>
        </w:tabs>
        <w:ind w:left="720" w:hanging="720"/>
      </w:pPr>
      <w:r>
        <w:t>(5)</w:t>
      </w:r>
      <w:r>
        <w:tab/>
      </w:r>
      <w:r w:rsidR="0067338B">
        <w:t xml:space="preserve">Failure to take reasonable steps to ensure that the </w:t>
      </w:r>
      <w:r w:rsidR="00646A42">
        <w:t xml:space="preserve">Other Authorised Representatives </w:t>
      </w:r>
      <w:r w:rsidR="0067338B">
        <w:t>complied with s 961G of the Act - $</w:t>
      </w:r>
      <w:r w:rsidR="00781B69">
        <w:t>875</w:t>
      </w:r>
      <w:r w:rsidR="0067338B">
        <w:t>,000</w:t>
      </w:r>
    </w:p>
    <w:p w:rsidR="0067338B" w:rsidRDefault="003B3C7B" w:rsidP="003B3C7B">
      <w:pPr>
        <w:pStyle w:val="ListNo1"/>
        <w:numPr>
          <w:ilvl w:val="0"/>
          <w:numId w:val="0"/>
        </w:numPr>
        <w:tabs>
          <w:tab w:val="left" w:pos="720"/>
        </w:tabs>
        <w:ind w:left="720" w:hanging="720"/>
      </w:pPr>
      <w:r>
        <w:t>(6)</w:t>
      </w:r>
      <w:r>
        <w:tab/>
      </w:r>
      <w:r w:rsidR="0067338B">
        <w:t xml:space="preserve">Failure to take reasonable steps to ensure that the </w:t>
      </w:r>
      <w:r w:rsidR="00646A42">
        <w:t xml:space="preserve">Other Authorised Representatives </w:t>
      </w:r>
      <w:r w:rsidR="0067338B">
        <w:t>complied with s 961J of the Act - $</w:t>
      </w:r>
      <w:r w:rsidR="00781B69">
        <w:t>875</w:t>
      </w:r>
      <w:r w:rsidR="0067338B">
        <w:t xml:space="preserve">,000. </w:t>
      </w:r>
    </w:p>
    <w:p w:rsidR="00C3338E" w:rsidRDefault="003B3C7B" w:rsidP="003B3C7B">
      <w:pPr>
        <w:pStyle w:val="ParaNumbering"/>
        <w:numPr>
          <w:ilvl w:val="0"/>
          <w:numId w:val="0"/>
        </w:numPr>
        <w:tabs>
          <w:tab w:val="left" w:pos="720"/>
        </w:tabs>
        <w:ind w:hanging="720"/>
      </w:pPr>
      <w:r>
        <w:rPr>
          <w:sz w:val="20"/>
        </w:rPr>
        <w:t>235</w:t>
      </w:r>
      <w:r>
        <w:rPr>
          <w:sz w:val="20"/>
        </w:rPr>
        <w:tab/>
      </w:r>
      <w:r w:rsidR="00AF69CF">
        <w:t>Finally, I must address totality</w:t>
      </w:r>
      <w:r w:rsidR="0081471B">
        <w:t>.</w:t>
      </w:r>
      <w:r w:rsidR="006E3052">
        <w:t xml:space="preserve"> </w:t>
      </w:r>
      <w:r w:rsidR="00AF69CF">
        <w:t xml:space="preserve">The total </w:t>
      </w:r>
      <w:r w:rsidR="0081471B">
        <w:t xml:space="preserve">penalty to be imposed on </w:t>
      </w:r>
      <w:r w:rsidR="00AF69CF">
        <w:t>AMPFP</w:t>
      </w:r>
      <w:r w:rsidR="0081471B">
        <w:t>, following the accumulation of the separate penalties imposed for each of its contraventions, is $</w:t>
      </w:r>
      <w:r w:rsidR="008C5991">
        <w:t>5</w:t>
      </w:r>
      <w:r w:rsidR="00B14377">
        <w:t>,</w:t>
      </w:r>
      <w:r w:rsidR="008C5991">
        <w:t>175</w:t>
      </w:r>
      <w:r w:rsidR="00B14377">
        <w:t>,000</w:t>
      </w:r>
      <w:r w:rsidR="0081471B">
        <w:t xml:space="preserve">. </w:t>
      </w:r>
      <w:r w:rsidR="00AF69CF">
        <w:t xml:space="preserve">I am more than satisfied that this total penalty </w:t>
      </w:r>
      <w:r w:rsidR="00B14377">
        <w:t xml:space="preserve">is </w:t>
      </w:r>
      <w:r w:rsidR="0081471B">
        <w:t>just and appropriate and not excessive having regard to the totality of the relevant contravening conduct.</w:t>
      </w:r>
      <w:r w:rsidR="00A95CF8">
        <w:t xml:space="preserve"> </w:t>
      </w:r>
      <w:r w:rsidR="00AF69CF">
        <w:t>Indeed</w:t>
      </w:r>
      <w:r w:rsidR="00C45A05">
        <w:t>,</w:t>
      </w:r>
      <w:r w:rsidR="00AF69CF">
        <w:t xml:space="preserve"> much might be said for the </w:t>
      </w:r>
      <w:r w:rsidR="001B1E8D">
        <w:t xml:space="preserve">proposition that the </w:t>
      </w:r>
      <w:r w:rsidR="00521F35">
        <w:t xml:space="preserve">overall penalty </w:t>
      </w:r>
      <w:r w:rsidR="005572A5">
        <w:t>is</w:t>
      </w:r>
      <w:r w:rsidR="00521F35">
        <w:t xml:space="preserve"> an</w:t>
      </w:r>
      <w:r w:rsidR="00AF69CF">
        <w:t xml:space="preserve"> inadequate reflection of the seriousness of the conduct</w:t>
      </w:r>
      <w:r w:rsidR="001B1E8D">
        <w:t>;</w:t>
      </w:r>
      <w:r w:rsidR="00AF69CF">
        <w:t xml:space="preserve"> but due regard must be had to the </w:t>
      </w:r>
      <w:r w:rsidR="00AD6E6D">
        <w:t xml:space="preserve">then </w:t>
      </w:r>
      <w:r w:rsidR="00AF69CF">
        <w:t>maximum penalty for the worst category of case</w:t>
      </w:r>
      <w:r w:rsidR="00C45A05">
        <w:t>, the mitigating factors such as they are, and the course of conduct principle</w:t>
      </w:r>
      <w:r w:rsidR="00AF69CF">
        <w:t>.</w:t>
      </w:r>
      <w:r w:rsidR="000649BA">
        <w:t xml:space="preserve"> The aggregate </w:t>
      </w:r>
      <w:r w:rsidR="00AF69CF">
        <w:t xml:space="preserve">reflects </w:t>
      </w:r>
      <w:r w:rsidR="00AF69CF">
        <w:lastRenderedPageBreak/>
        <w:t>a</w:t>
      </w:r>
      <w:r w:rsidR="0081471B">
        <w:t xml:space="preserve"> proportionate </w:t>
      </w:r>
      <w:r w:rsidR="00AF69CF">
        <w:t xml:space="preserve">response </w:t>
      </w:r>
      <w:r w:rsidR="0081471B">
        <w:t>to the overall seriousn</w:t>
      </w:r>
      <w:r w:rsidR="00AF69CF">
        <w:t xml:space="preserve">ess of the contravening conduct and no further adjustment is </w:t>
      </w:r>
      <w:r w:rsidR="0038048D">
        <w:t>warranted</w:t>
      </w:r>
      <w:r w:rsidR="0081471B">
        <w:t>.</w:t>
      </w:r>
    </w:p>
    <w:p w:rsidR="00CA30FE" w:rsidRDefault="003B3C7B" w:rsidP="002746E6">
      <w:pPr>
        <w:pStyle w:val="Heading1"/>
      </w:pPr>
      <w:bookmarkStart w:id="127" w:name="_Ref22827406"/>
      <w:bookmarkStart w:id="128" w:name="_Ref11661452"/>
      <w:r>
        <w:rPr>
          <w:caps w:val="0"/>
        </w:rPr>
        <w:t xml:space="preserve">H.2 </w:t>
      </w:r>
      <w:r>
        <w:rPr>
          <w:caps w:val="0"/>
        </w:rPr>
        <w:tab/>
        <w:t>ORDERS UNDER SECTION 1101B</w:t>
      </w:r>
      <w:bookmarkEnd w:id="127"/>
    </w:p>
    <w:p w:rsidR="00914FBC" w:rsidRDefault="00A7774B" w:rsidP="00A7774B">
      <w:pPr>
        <w:pStyle w:val="Heading3"/>
      </w:pPr>
      <w:bookmarkStart w:id="129" w:name="_Ref29821135"/>
      <w:r>
        <w:t>I</w:t>
      </w:r>
      <w:r>
        <w:tab/>
        <w:t>The Court’s power under s 1101B</w:t>
      </w:r>
      <w:bookmarkEnd w:id="129"/>
    </w:p>
    <w:p w:rsidR="00CA30FE" w:rsidRDefault="003B3C7B" w:rsidP="003B3C7B">
      <w:pPr>
        <w:pStyle w:val="ParaNumbering"/>
        <w:numPr>
          <w:ilvl w:val="0"/>
          <w:numId w:val="0"/>
        </w:numPr>
        <w:tabs>
          <w:tab w:val="left" w:pos="720"/>
        </w:tabs>
        <w:ind w:hanging="720"/>
      </w:pPr>
      <w:r>
        <w:rPr>
          <w:sz w:val="20"/>
        </w:rPr>
        <w:t>236</w:t>
      </w:r>
      <w:r>
        <w:rPr>
          <w:sz w:val="20"/>
        </w:rPr>
        <w:tab/>
      </w:r>
      <w:r w:rsidR="00CA30FE" w:rsidRPr="00CA30FE">
        <w:t xml:space="preserve">Section 1101B(1) of the Act relevantly provides that, on the application of ASIC, if it appears to the Court that a person has contravened a provision of </w:t>
      </w:r>
      <w:proofErr w:type="spellStart"/>
      <w:r w:rsidR="00821D20">
        <w:t>Ch</w:t>
      </w:r>
      <w:proofErr w:type="spellEnd"/>
      <w:r w:rsidR="00CA30FE" w:rsidRPr="00CA30FE">
        <w:t xml:space="preserve"> 7 of the Act, the Court may make such order or orders “as it thinks fit”, subject to being satisfied that the order would not “unfairly prejudice any person”.</w:t>
      </w:r>
      <w:r w:rsidR="00F40047">
        <w:t xml:space="preserve"> </w:t>
      </w:r>
      <w:r w:rsidR="00187387">
        <w:t>Clearly, this is a provision which affords the Cou</w:t>
      </w:r>
      <w:r w:rsidR="00160549">
        <w:t xml:space="preserve">rt a broad discretionary power: </w:t>
      </w:r>
      <w:r w:rsidR="007624FF">
        <w:rPr>
          <w:i/>
        </w:rPr>
        <w:t>ASIC</w:t>
      </w:r>
      <w:r w:rsidR="00187387" w:rsidRPr="00187387">
        <w:rPr>
          <w:i/>
        </w:rPr>
        <w:t xml:space="preserve"> v Westpac </w:t>
      </w:r>
      <w:r w:rsidR="007624FF">
        <w:rPr>
          <w:i/>
        </w:rPr>
        <w:t>(</w:t>
      </w:r>
      <w:r w:rsidR="00187387" w:rsidRPr="00187387">
        <w:rPr>
          <w:i/>
        </w:rPr>
        <w:t>No 3)</w:t>
      </w:r>
      <w:r w:rsidR="007624FF">
        <w:rPr>
          <w:i/>
        </w:rPr>
        <w:t xml:space="preserve">) </w:t>
      </w:r>
      <w:r w:rsidR="007624FF">
        <w:t>at 620-621 [183]</w:t>
      </w:r>
      <w:r w:rsidR="00187387">
        <w:t>.</w:t>
      </w:r>
    </w:p>
    <w:p w:rsidR="00952BBB" w:rsidRDefault="003B3C7B" w:rsidP="003B3C7B">
      <w:pPr>
        <w:pStyle w:val="ParaNumbering"/>
        <w:numPr>
          <w:ilvl w:val="0"/>
          <w:numId w:val="0"/>
        </w:numPr>
        <w:tabs>
          <w:tab w:val="left" w:pos="720"/>
        </w:tabs>
        <w:ind w:hanging="720"/>
      </w:pPr>
      <w:r>
        <w:rPr>
          <w:sz w:val="20"/>
        </w:rPr>
        <w:t>237</w:t>
      </w:r>
      <w:r>
        <w:rPr>
          <w:sz w:val="20"/>
        </w:rPr>
        <w:tab/>
      </w:r>
      <w:r w:rsidR="003F78F0">
        <w:t xml:space="preserve">It has been said </w:t>
      </w:r>
      <w:r w:rsidR="004B4F4B">
        <w:t xml:space="preserve">in respect of </w:t>
      </w:r>
      <w:r w:rsidR="003F78F0">
        <w:t>equivalent provisions</w:t>
      </w:r>
      <w:r w:rsidR="0021589D">
        <w:t xml:space="preserve"> of pre-uniform companies legislation</w:t>
      </w:r>
      <w:r w:rsidR="00551E57">
        <w:t>,</w:t>
      </w:r>
      <w:r w:rsidR="0021589D">
        <w:t xml:space="preserve"> </w:t>
      </w:r>
      <w:r w:rsidR="003F78F0">
        <w:t xml:space="preserve">that </w:t>
      </w:r>
      <w:r w:rsidR="000A1BF1">
        <w:t>c</w:t>
      </w:r>
      <w:r w:rsidR="003F78F0" w:rsidRPr="003F78F0">
        <w:t>ourt</w:t>
      </w:r>
      <w:r w:rsidR="000A1BF1">
        <w:t>s are</w:t>
      </w:r>
      <w:r w:rsidR="003F78F0" w:rsidRPr="003F78F0">
        <w:t xml:space="preserve"> </w:t>
      </w:r>
      <w:r w:rsidR="0021589D">
        <w:t>“</w:t>
      </w:r>
      <w:r w:rsidR="003F78F0" w:rsidRPr="003F78F0">
        <w:t>left at large to determine each case according to the justice and equity of the circumstances</w:t>
      </w:r>
      <w:r w:rsidR="003F78F0">
        <w:t>” and “</w:t>
      </w:r>
      <w:r w:rsidR="0021589D">
        <w:t>p</w:t>
      </w:r>
      <w:r w:rsidR="003F78F0" w:rsidRPr="003F78F0">
        <w:t>rima facie, any exercise of the discretions given to the court under the Code which enables all parties to return to the positions they were in before the impugned acquisition took place is a proper exercise of that discretion</w:t>
      </w:r>
      <w:r w:rsidR="008F627A">
        <w:t xml:space="preserve">”: </w:t>
      </w:r>
      <w:r w:rsidR="003F78F0">
        <w:t xml:space="preserve">see </w:t>
      </w:r>
      <w:proofErr w:type="spellStart"/>
      <w:r w:rsidR="003F78F0" w:rsidRPr="00DF482D">
        <w:rPr>
          <w:i/>
        </w:rPr>
        <w:t>Gjergja</w:t>
      </w:r>
      <w:proofErr w:type="spellEnd"/>
      <w:r w:rsidR="003F78F0" w:rsidRPr="00DF482D">
        <w:rPr>
          <w:i/>
        </w:rPr>
        <w:t xml:space="preserve"> &amp; Atco Controls Pty Ltd v Cooper</w:t>
      </w:r>
      <w:r w:rsidR="003F78F0" w:rsidRPr="003F78F0">
        <w:t xml:space="preserve"> [1987] VR</w:t>
      </w:r>
      <w:r w:rsidR="00DF482D">
        <w:t xml:space="preserve"> 167 </w:t>
      </w:r>
      <w:r w:rsidR="0021589D">
        <w:t>at 216, 218 (Ormiston J</w:t>
      </w:r>
      <w:r w:rsidR="00DF482D">
        <w:t>)</w:t>
      </w:r>
      <w:r w:rsidR="003F78F0" w:rsidRPr="003F78F0">
        <w:t>.</w:t>
      </w:r>
      <w:r w:rsidR="00551E57">
        <w:t xml:space="preserve"> </w:t>
      </w:r>
      <w:r w:rsidR="00952BBB">
        <w:t xml:space="preserve">I also note the recent comments of Beach J in </w:t>
      </w:r>
      <w:r w:rsidR="00884547" w:rsidRPr="00952BBB">
        <w:rPr>
          <w:i/>
        </w:rPr>
        <w:t xml:space="preserve">Australian Securities and Investments Commission v Westpac Banking Corporation </w:t>
      </w:r>
      <w:r w:rsidR="009654DA">
        <w:t xml:space="preserve">at </w:t>
      </w:r>
      <w:r w:rsidR="007624FF">
        <w:t xml:space="preserve">620-621 </w:t>
      </w:r>
      <w:r w:rsidR="009654DA">
        <w:t>[183]</w:t>
      </w:r>
      <w:r w:rsidR="00952BBB">
        <w:t>:</w:t>
      </w:r>
    </w:p>
    <w:p w:rsidR="00952BBB" w:rsidRDefault="00952BBB" w:rsidP="00952BBB">
      <w:pPr>
        <w:pStyle w:val="Quote1"/>
      </w:pPr>
      <w:r w:rsidRPr="00952BBB">
        <w:t>ASIC further submits that a compliance program tailored to addressing the contraventions established falls within the scope of s 1101B. It says that that provision is broad enough to empower me to make an order requiring a contravener to establish a compliance program tailored to remedying the contraventions established. I agree, and would note the following. First and generally speaking, one should not read provisions conferring jurisdiction on, or granting powers to, a court by making implications or imposing limitations which are not found in the express words. Second, it is no objection to an order requiring a compliance program to be established that it is in a form of mandatory injunction; I would note that the illustrative orders set out in s 1101B(4) contain examples that are mandatory in nature. Third, what the court “thinks fit” is not at large. The power must be exercised judicially having regard to the text, context and purpose of the Corporations Act. Now given that this is a power that must relate to a contravention, a compliance program can be readily accommodated within its scope as an order designed to ensure that a contravention of a similar kind does not occur again. And given that one of the purposes of the civil penalty regime is deterrence, a compliance program can address specific deterrence.</w:t>
      </w:r>
    </w:p>
    <w:p w:rsidR="00925396" w:rsidRDefault="003B3C7B" w:rsidP="003B3C7B">
      <w:pPr>
        <w:pStyle w:val="ParaNumbering"/>
        <w:numPr>
          <w:ilvl w:val="0"/>
          <w:numId w:val="0"/>
        </w:numPr>
        <w:tabs>
          <w:tab w:val="left" w:pos="720"/>
        </w:tabs>
        <w:ind w:hanging="720"/>
      </w:pPr>
      <w:r>
        <w:rPr>
          <w:sz w:val="20"/>
        </w:rPr>
        <w:t>238</w:t>
      </w:r>
      <w:r>
        <w:rPr>
          <w:sz w:val="20"/>
        </w:rPr>
        <w:tab/>
      </w:r>
      <w:r w:rsidR="004B4F4B">
        <w:t>I consider th</w:t>
      </w:r>
      <w:r w:rsidR="00952BBB">
        <w:t xml:space="preserve">at in this case it </w:t>
      </w:r>
      <w:r w:rsidR="005A44D8">
        <w:t>is appropriate that both backward-</w:t>
      </w:r>
      <w:r w:rsidR="004B4F4B">
        <w:t xml:space="preserve">looking and </w:t>
      </w:r>
      <w:r w:rsidR="005A44D8">
        <w:t>for</w:t>
      </w:r>
      <w:r w:rsidR="004B4F4B">
        <w:t xml:space="preserve">ward-looking orders </w:t>
      </w:r>
      <w:r w:rsidR="003F78F0">
        <w:t>are made under s 1101B.</w:t>
      </w:r>
      <w:r w:rsidR="00F40047">
        <w:t xml:space="preserve"> </w:t>
      </w:r>
      <w:r w:rsidR="003F78F0">
        <w:t>The backward-looking orders</w:t>
      </w:r>
      <w:r w:rsidR="004B4F4B">
        <w:t xml:space="preserve"> </w:t>
      </w:r>
      <w:r w:rsidR="000A1BF1">
        <w:t>attempt</w:t>
      </w:r>
      <w:r w:rsidR="004B4F4B">
        <w:t xml:space="preserve"> to </w:t>
      </w:r>
      <w:r w:rsidR="00551E57">
        <w:t>go so</w:t>
      </w:r>
      <w:r w:rsidR="00A95CF8">
        <w:t>me</w:t>
      </w:r>
      <w:r w:rsidR="00551E57">
        <w:t xml:space="preserve"> way to </w:t>
      </w:r>
      <w:r w:rsidR="004B4F4B">
        <w:t xml:space="preserve">repair </w:t>
      </w:r>
      <w:r w:rsidR="003F78F0">
        <w:t>the harm that has been done</w:t>
      </w:r>
      <w:r w:rsidR="002E6FAC">
        <w:t xml:space="preserve"> by ensuring </w:t>
      </w:r>
      <w:r w:rsidR="00551E57">
        <w:t>affected clients</w:t>
      </w:r>
      <w:r w:rsidR="002E6FAC">
        <w:t xml:space="preserve"> have been adequately compensated</w:t>
      </w:r>
      <w:r w:rsidR="003F78F0">
        <w:t>.</w:t>
      </w:r>
      <w:r w:rsidR="00F40047">
        <w:t xml:space="preserve"> </w:t>
      </w:r>
      <w:r w:rsidR="003F78F0">
        <w:lastRenderedPageBreak/>
        <w:t xml:space="preserve">The forward-looking orders are aimed at </w:t>
      </w:r>
      <w:r w:rsidR="00551E57">
        <w:t>supplementing the penalties and ensuring specific deterrence in guarding against the possibility of the contravening conduct</w:t>
      </w:r>
      <w:r w:rsidR="003F78F0">
        <w:t xml:space="preserve"> </w:t>
      </w:r>
      <w:r w:rsidR="00F93004">
        <w:t>happening</w:t>
      </w:r>
      <w:r w:rsidR="003F78F0">
        <w:t xml:space="preserve"> again.</w:t>
      </w:r>
    </w:p>
    <w:p w:rsidR="00925396" w:rsidRDefault="00925396" w:rsidP="00925396">
      <w:pPr>
        <w:pStyle w:val="Heading3"/>
      </w:pPr>
      <w:bookmarkStart w:id="130" w:name="_Ref29821136"/>
      <w:r>
        <w:t>II</w:t>
      </w:r>
      <w:r w:rsidR="00DD0945">
        <w:tab/>
      </w:r>
      <w:r w:rsidR="007A742B">
        <w:t>Development of AMPFP’s position</w:t>
      </w:r>
      <w:r w:rsidR="009A62E2">
        <w:t xml:space="preserve"> on a remediation program</w:t>
      </w:r>
      <w:r w:rsidR="000649BA">
        <w:t>me</w:t>
      </w:r>
      <w:bookmarkEnd w:id="130"/>
    </w:p>
    <w:p w:rsidR="003F5BE6" w:rsidRDefault="003B3C7B" w:rsidP="003B3C7B">
      <w:pPr>
        <w:pStyle w:val="ParaNumbering"/>
        <w:numPr>
          <w:ilvl w:val="0"/>
          <w:numId w:val="0"/>
        </w:numPr>
        <w:tabs>
          <w:tab w:val="left" w:pos="720"/>
        </w:tabs>
        <w:ind w:hanging="720"/>
      </w:pPr>
      <w:r>
        <w:rPr>
          <w:sz w:val="20"/>
        </w:rPr>
        <w:t>239</w:t>
      </w:r>
      <w:r>
        <w:rPr>
          <w:sz w:val="20"/>
        </w:rPr>
        <w:tab/>
      </w:r>
      <w:r w:rsidR="00F85F15">
        <w:t>A</w:t>
      </w:r>
      <w:r w:rsidR="00551E57">
        <w:t>s noted above, a</w:t>
      </w:r>
      <w:r w:rsidR="007A742B">
        <w:t xml:space="preserve">fter a number of fits and starts, AMPFP has proposed and ASIC has agreed to a remediation programme. </w:t>
      </w:r>
      <w:r w:rsidR="009A62E2">
        <w:t xml:space="preserve">Although this is to be </w:t>
      </w:r>
      <w:r w:rsidR="00F85F15">
        <w:t>welcomed</w:t>
      </w:r>
      <w:r w:rsidR="003F5BE6">
        <w:t xml:space="preserve"> </w:t>
      </w:r>
      <w:r w:rsidR="0059215C">
        <w:t>and</w:t>
      </w:r>
      <w:r w:rsidR="003F5BE6">
        <w:t xml:space="preserve"> has been </w:t>
      </w:r>
      <w:r w:rsidR="0038048D">
        <w:t xml:space="preserve">relevant in fixing </w:t>
      </w:r>
      <w:r w:rsidR="003F5BE6">
        <w:t>the penalties</w:t>
      </w:r>
      <w:r w:rsidR="009A62E2">
        <w:t xml:space="preserve">, </w:t>
      </w:r>
      <w:r w:rsidR="00F85F15">
        <w:t xml:space="preserve">the </w:t>
      </w:r>
      <w:r w:rsidR="001C12F5">
        <w:t>path</w:t>
      </w:r>
      <w:r w:rsidR="00F85F15">
        <w:t xml:space="preserve"> to rea</w:t>
      </w:r>
      <w:r w:rsidR="001C12F5">
        <w:t>ching an agreed position was a bumpy</w:t>
      </w:r>
      <w:r w:rsidR="00F85F15">
        <w:t xml:space="preserve"> one</w:t>
      </w:r>
      <w:r w:rsidR="00A95CF8">
        <w:t xml:space="preserve">. </w:t>
      </w:r>
      <w:r w:rsidR="003F5BE6">
        <w:t xml:space="preserve">The history is worth recounting in a little detail as it might provide some further </w:t>
      </w:r>
      <w:r w:rsidR="00657752">
        <w:t>context</w:t>
      </w:r>
      <w:r w:rsidR="003F5BE6">
        <w:t xml:space="preserve"> as to why I consider that, to some extent, AMPFP’s protestations of contrition and regret ring rather hollow.</w:t>
      </w:r>
    </w:p>
    <w:p w:rsidR="00D7051E" w:rsidRDefault="003B3C7B" w:rsidP="003B3C7B">
      <w:pPr>
        <w:pStyle w:val="ParaNumbering"/>
        <w:numPr>
          <w:ilvl w:val="0"/>
          <w:numId w:val="0"/>
        </w:numPr>
        <w:tabs>
          <w:tab w:val="clear" w:pos="8811"/>
          <w:tab w:val="left" w:pos="720"/>
        </w:tabs>
        <w:ind w:hanging="720"/>
      </w:pPr>
      <w:r>
        <w:rPr>
          <w:sz w:val="20"/>
        </w:rPr>
        <w:t>240</w:t>
      </w:r>
      <w:r>
        <w:rPr>
          <w:sz w:val="20"/>
        </w:rPr>
        <w:tab/>
      </w:r>
      <w:r w:rsidR="009A62E2">
        <w:t xml:space="preserve">ASIC expressed its concerns with AMPFP’s remediation </w:t>
      </w:r>
      <w:r w:rsidR="00047B1C">
        <w:t xml:space="preserve">programme </w:t>
      </w:r>
      <w:r w:rsidR="009A62E2">
        <w:t>both in writing and orally at the first hearing days in June 2019.</w:t>
      </w:r>
      <w:r w:rsidR="00F40047">
        <w:t xml:space="preserve"> </w:t>
      </w:r>
      <w:r w:rsidR="00CA253D">
        <w:t>Specifically, ASIC’s senior counsel pointed to the absence of specific ev</w:t>
      </w:r>
      <w:r w:rsidR="00E94B42">
        <w:t>idence as to whether, and if so</w:t>
      </w:r>
      <w:r w:rsidR="00CA253D">
        <w:t xml:space="preserve"> how</w:t>
      </w:r>
      <w:r w:rsidR="00E94B42">
        <w:t>,</w:t>
      </w:r>
      <w:r w:rsidR="00CA253D">
        <w:t xml:space="preserve"> AMPFP’s existing remediation program</w:t>
      </w:r>
      <w:r w:rsidR="00B74DA1">
        <w:t>me</w:t>
      </w:r>
      <w:r w:rsidR="00CA253D">
        <w:t xml:space="preserve"> operated </w:t>
      </w:r>
      <w:r w:rsidR="00A95CF8">
        <w:t xml:space="preserve">to identify Rewriting Conduct. </w:t>
      </w:r>
      <w:r w:rsidR="00CA253D">
        <w:t xml:space="preserve">It was submitted that the remediation process </w:t>
      </w:r>
      <w:r w:rsidR="00F85F15">
        <w:t xml:space="preserve">was not shown to be </w:t>
      </w:r>
      <w:r w:rsidR="00CA253D">
        <w:t>adequate</w:t>
      </w:r>
      <w:r w:rsidR="00F85F15">
        <w:t xml:space="preserve"> for </w:t>
      </w:r>
      <w:r w:rsidR="003F5BE6">
        <w:t xml:space="preserve">a number of </w:t>
      </w:r>
      <w:r w:rsidR="00F85F15">
        <w:t>reasons</w:t>
      </w:r>
      <w:r w:rsidR="003F5BE6">
        <w:t>,</w:t>
      </w:r>
      <w:r w:rsidR="00F85F15">
        <w:t xml:space="preserve"> unnecessary to now detail</w:t>
      </w:r>
      <w:r w:rsidR="00CA253D">
        <w:t>.</w:t>
      </w:r>
      <w:r w:rsidR="005A06EB">
        <w:t xml:space="preserve"> </w:t>
      </w:r>
      <w:r w:rsidR="00CA253D">
        <w:t xml:space="preserve">In response, AMPFP’s senior counsel said that there had been a review and an attempt to remediate the 40 clients named in </w:t>
      </w:r>
      <w:r w:rsidR="00E94B42">
        <w:t>SOC</w:t>
      </w:r>
      <w:r w:rsidR="001C12F5">
        <w:t>,</w:t>
      </w:r>
      <w:r w:rsidR="00F85F15">
        <w:t xml:space="preserve"> but further consideration would be given to the issues raised</w:t>
      </w:r>
      <w:r w:rsidR="00CA253D">
        <w:t>.</w:t>
      </w:r>
      <w:r w:rsidR="00F40047">
        <w:t xml:space="preserve"> </w:t>
      </w:r>
      <w:r w:rsidR="00CA253D">
        <w:t xml:space="preserve">On the morning of the second day of </w:t>
      </w:r>
      <w:r w:rsidR="00AF4414">
        <w:t>the</w:t>
      </w:r>
      <w:r w:rsidR="00CA253D">
        <w:t xml:space="preserve"> hearing, a revised undertaking in relation to remediation was proffered to ASIC</w:t>
      </w:r>
      <w:r w:rsidR="00D7051E">
        <w:t xml:space="preserve"> and handed up to the Court, being marked as MFI 2.</w:t>
      </w:r>
      <w:r w:rsidR="00F40047">
        <w:t xml:space="preserve"> </w:t>
      </w:r>
      <w:r w:rsidR="00D7051E">
        <w:t xml:space="preserve">In summary, AMPFP undertook that it </w:t>
      </w:r>
      <w:r w:rsidR="00CA253D">
        <w:t xml:space="preserve">would within </w:t>
      </w:r>
      <w:r w:rsidR="00CA253D" w:rsidRPr="00CA253D">
        <w:t xml:space="preserve">four months of the date of the undertaking </w:t>
      </w:r>
      <w:r w:rsidR="00F85F15">
        <w:t>(</w:t>
      </w:r>
      <w:r w:rsidR="00CA253D" w:rsidRPr="00CA253D">
        <w:t>in respect of clients 1 to 40</w:t>
      </w:r>
      <w:r w:rsidR="00F85F15">
        <w:t>)</w:t>
      </w:r>
      <w:r w:rsidR="00CA253D" w:rsidRPr="00CA253D">
        <w:t xml:space="preserve"> </w:t>
      </w:r>
      <w:r w:rsidR="00D7051E">
        <w:t>undertake</w:t>
      </w:r>
      <w:r w:rsidR="00CA253D" w:rsidRPr="00CA253D">
        <w:t xml:space="preserve"> a further review of the advice provided and make a determination in respect of the compensation payable or other non-monetary remediation</w:t>
      </w:r>
      <w:r w:rsidR="00D7051E">
        <w:t xml:space="preserve">. AMPFP’s senior counsel </w:t>
      </w:r>
      <w:r w:rsidR="00F85F15">
        <w:t>conceded</w:t>
      </w:r>
      <w:r w:rsidR="00D7051E">
        <w:t xml:space="preserve"> that she could </w:t>
      </w:r>
      <w:r w:rsidR="00F85F15">
        <w:t xml:space="preserve">not </w:t>
      </w:r>
      <w:r w:rsidR="00D7051E">
        <w:t>shy away from the fact that the revised undertaking came late in the day.</w:t>
      </w:r>
    </w:p>
    <w:p w:rsidR="007F5212" w:rsidRDefault="003B3C7B" w:rsidP="003B3C7B">
      <w:pPr>
        <w:pStyle w:val="ParaNumbering"/>
        <w:numPr>
          <w:ilvl w:val="0"/>
          <w:numId w:val="0"/>
        </w:numPr>
        <w:tabs>
          <w:tab w:val="left" w:pos="720"/>
        </w:tabs>
        <w:ind w:hanging="720"/>
      </w:pPr>
      <w:r>
        <w:rPr>
          <w:sz w:val="20"/>
        </w:rPr>
        <w:t>241</w:t>
      </w:r>
      <w:r>
        <w:rPr>
          <w:sz w:val="20"/>
        </w:rPr>
        <w:tab/>
      </w:r>
      <w:r w:rsidR="004B2CD0">
        <w:t xml:space="preserve">And yet notwithstanding the progress made, when pressed by me on whether AMPFP was, in fact, undertaking to compensate </w:t>
      </w:r>
      <w:r w:rsidR="004B2CD0" w:rsidRPr="00F85F15">
        <w:rPr>
          <w:i/>
        </w:rPr>
        <w:t>every client</w:t>
      </w:r>
      <w:r w:rsidR="004B2CD0">
        <w:t xml:space="preserve"> who is identified by the remediation </w:t>
      </w:r>
      <w:r w:rsidR="00047B1C">
        <w:t>programme</w:t>
      </w:r>
      <w:r w:rsidR="004B2CD0">
        <w:t xml:space="preserve"> as having suffered detriment as</w:t>
      </w:r>
      <w:r w:rsidR="00F85F15">
        <w:t xml:space="preserve"> a result of </w:t>
      </w:r>
      <w:r w:rsidR="00EF0CE6">
        <w:t xml:space="preserve">the </w:t>
      </w:r>
      <w:r w:rsidR="00F85F15">
        <w:t xml:space="preserve">Rewriting Conduct (rather than simply </w:t>
      </w:r>
      <w:r w:rsidR="004B2CD0">
        <w:t>clients 1 to 40</w:t>
      </w:r>
      <w:r w:rsidR="00F85F15">
        <w:t>), AMPFP’s position was un</w:t>
      </w:r>
      <w:r w:rsidR="004B2CD0">
        <w:t>clear and ins</w:t>
      </w:r>
      <w:r w:rsidR="00A95CF8">
        <w:t xml:space="preserve">tructions needed to be sought. </w:t>
      </w:r>
      <w:r w:rsidR="00E94B42">
        <w:t>ASIC embraced this suggestion and w</w:t>
      </w:r>
      <w:r w:rsidR="004B2CD0">
        <w:t>hen I proposed to AMPFP’s senior counsel</w:t>
      </w:r>
      <w:r w:rsidR="00F85F15">
        <w:t xml:space="preserve"> that a</w:t>
      </w:r>
      <w:r w:rsidR="004B2CD0">
        <w:t xml:space="preserve"> remediation programme </w:t>
      </w:r>
      <w:r w:rsidR="00F85F15">
        <w:t>compensating all clients c</w:t>
      </w:r>
      <w:r w:rsidR="004B2CD0">
        <w:t xml:space="preserve">ould occur by force </w:t>
      </w:r>
      <w:r w:rsidR="00EF0CE6">
        <w:t xml:space="preserve">of </w:t>
      </w:r>
      <w:r w:rsidR="004B2CD0">
        <w:t>orders m</w:t>
      </w:r>
      <w:r w:rsidR="00F85F15">
        <w:t xml:space="preserve">ade under s 1101B, </w:t>
      </w:r>
      <w:r w:rsidR="004B2CD0">
        <w:t xml:space="preserve">AMPFP </w:t>
      </w:r>
      <w:r w:rsidR="00F85F15">
        <w:t xml:space="preserve">resisted such a course and suggested </w:t>
      </w:r>
      <w:r w:rsidR="004B2CD0">
        <w:t>its unde</w:t>
      </w:r>
      <w:r w:rsidR="00E3655D">
        <w:t xml:space="preserve">rtaking in respect of clients 1 to </w:t>
      </w:r>
      <w:r w:rsidR="004B2CD0">
        <w:t xml:space="preserve">40 </w:t>
      </w:r>
      <w:r w:rsidR="00F85F15">
        <w:t>was sufficient</w:t>
      </w:r>
      <w:r w:rsidR="004B2CD0">
        <w:t>.</w:t>
      </w:r>
      <w:r w:rsidR="00F40047">
        <w:t xml:space="preserve"> </w:t>
      </w:r>
      <w:r w:rsidR="004B2CD0">
        <w:t xml:space="preserve">The reason being, AMPFP did not have sufficient notice that such an </w:t>
      </w:r>
      <w:r w:rsidR="00F85F15">
        <w:t xml:space="preserve">expanded </w:t>
      </w:r>
      <w:r w:rsidR="004B2CD0">
        <w:t xml:space="preserve">order would be sought by ASIC and it would need to put on </w:t>
      </w:r>
      <w:r w:rsidR="00145BAF">
        <w:t>further</w:t>
      </w:r>
      <w:r w:rsidR="004B2CD0">
        <w:t xml:space="preserve"> evidence goi</w:t>
      </w:r>
      <w:r w:rsidR="007F5212">
        <w:t xml:space="preserve">ng to the detail of the </w:t>
      </w:r>
      <w:r w:rsidR="007F5212">
        <w:lastRenderedPageBreak/>
        <w:t>program</w:t>
      </w:r>
      <w:r w:rsidR="00F85F15">
        <w:t>me</w:t>
      </w:r>
      <w:r w:rsidR="00A95CF8">
        <w:t xml:space="preserve">. </w:t>
      </w:r>
      <w:r w:rsidR="007F5212">
        <w:t xml:space="preserve">Ultimately, AMPFP took up </w:t>
      </w:r>
      <w:r w:rsidR="00F85F15">
        <w:t xml:space="preserve">an </w:t>
      </w:r>
      <w:r w:rsidR="0007555B">
        <w:t>offer of an adjournment</w:t>
      </w:r>
      <w:r w:rsidR="007F5212">
        <w:t xml:space="preserve"> until late July 2019</w:t>
      </w:r>
      <w:r w:rsidR="0007555B">
        <w:t xml:space="preserve"> </w:t>
      </w:r>
      <w:r w:rsidR="007F5212">
        <w:t>to allow it</w:t>
      </w:r>
      <w:r w:rsidR="0007555B">
        <w:t xml:space="preserve"> to</w:t>
      </w:r>
      <w:r w:rsidR="007F5212">
        <w:t xml:space="preserve"> file</w:t>
      </w:r>
      <w:r w:rsidR="0007555B">
        <w:t xml:space="preserve"> further evidence</w:t>
      </w:r>
      <w:r w:rsidR="007F5212">
        <w:t xml:space="preserve"> in relation to the remediation program</w:t>
      </w:r>
      <w:r w:rsidR="00F85F15">
        <w:t>me</w:t>
      </w:r>
      <w:r w:rsidR="007F5212">
        <w:t>.</w:t>
      </w:r>
    </w:p>
    <w:p w:rsidR="0007555B" w:rsidRDefault="003B3C7B" w:rsidP="003B3C7B">
      <w:pPr>
        <w:pStyle w:val="ParaNumbering"/>
        <w:numPr>
          <w:ilvl w:val="0"/>
          <w:numId w:val="0"/>
        </w:numPr>
        <w:tabs>
          <w:tab w:val="left" w:pos="720"/>
        </w:tabs>
        <w:ind w:hanging="720"/>
      </w:pPr>
      <w:r>
        <w:rPr>
          <w:sz w:val="20"/>
        </w:rPr>
        <w:t>242</w:t>
      </w:r>
      <w:r>
        <w:rPr>
          <w:sz w:val="20"/>
        </w:rPr>
        <w:tab/>
      </w:r>
      <w:r w:rsidR="00F85F15">
        <w:t xml:space="preserve">When the matter returned </w:t>
      </w:r>
      <w:r w:rsidR="007F5212">
        <w:t>on 26 July 2019, a further revised undertaking was proffered by AMPFP</w:t>
      </w:r>
      <w:r w:rsidR="009C601A">
        <w:t xml:space="preserve"> in relation to clients 1 to 40 </w:t>
      </w:r>
      <w:r w:rsidR="009C601A" w:rsidRPr="00661D4C">
        <w:rPr>
          <w:i/>
        </w:rPr>
        <w:t>as well as any other client</w:t>
      </w:r>
      <w:r w:rsidR="00F85F15">
        <w:t>,</w:t>
      </w:r>
      <w:r w:rsidR="009C601A">
        <w:t xml:space="preserve"> </w:t>
      </w:r>
      <w:r w:rsidR="00657752">
        <w:t>identifi</w:t>
      </w:r>
      <w:r w:rsidR="009C601A">
        <w:t xml:space="preserve">ed through AMPFP’s remediation </w:t>
      </w:r>
      <w:r w:rsidR="00047B1C">
        <w:t>programme</w:t>
      </w:r>
      <w:r w:rsidR="00F85F15">
        <w:t xml:space="preserve">, </w:t>
      </w:r>
      <w:r w:rsidR="009C601A">
        <w:t>to have been subject to Rewriting Conduct</w:t>
      </w:r>
      <w:r w:rsidR="00A95CF8">
        <w:t xml:space="preserve">. </w:t>
      </w:r>
      <w:r w:rsidR="007F5212">
        <w:t>However, there was further debate between the parties on the</w:t>
      </w:r>
      <w:r w:rsidR="009C601A">
        <w:t xml:space="preserve"> deficiencies</w:t>
      </w:r>
      <w:r w:rsidR="007F5212">
        <w:t xml:space="preserve"> of the</w:t>
      </w:r>
      <w:r w:rsidR="009C601A">
        <w:t xml:space="preserve"> review aspect of the</w:t>
      </w:r>
      <w:r w:rsidR="007F5212">
        <w:t xml:space="preserve"> remediation program</w:t>
      </w:r>
      <w:r w:rsidR="00F85F15">
        <w:t>me</w:t>
      </w:r>
      <w:r w:rsidR="009C601A">
        <w:t>, by which AMPFP would, using the processes of data analytics, identify instances of Rewriting Conduct</w:t>
      </w:r>
      <w:r w:rsidR="007F5212">
        <w:t>.</w:t>
      </w:r>
      <w:r w:rsidR="00A95CF8">
        <w:t xml:space="preserve"> </w:t>
      </w:r>
      <w:r w:rsidR="009C601A">
        <w:t xml:space="preserve">ASIC was </w:t>
      </w:r>
      <w:r w:rsidR="00657752">
        <w:t xml:space="preserve">amply </w:t>
      </w:r>
      <w:r w:rsidR="009C601A">
        <w:t>justified in rai</w:t>
      </w:r>
      <w:r w:rsidR="00F85F15">
        <w:t>sing these issues. S</w:t>
      </w:r>
      <w:r w:rsidR="009C601A">
        <w:t>i</w:t>
      </w:r>
      <w:r w:rsidR="00F85F15">
        <w:t xml:space="preserve">nce </w:t>
      </w:r>
      <w:r w:rsidR="009C601A">
        <w:t xml:space="preserve">pecuniary penalties </w:t>
      </w:r>
      <w:r w:rsidR="00F85F15">
        <w:t xml:space="preserve">were to be assessed </w:t>
      </w:r>
      <w:r w:rsidR="009C601A">
        <w:t>on the basis that there would be an effective remediation program</w:t>
      </w:r>
      <w:r w:rsidR="00F85F15">
        <w:t>me</w:t>
      </w:r>
      <w:r w:rsidR="009C601A">
        <w:t xml:space="preserve">, </w:t>
      </w:r>
      <w:r w:rsidR="00D47F53">
        <w:t>it was necessary there be an effective process by which clients eligible for com</w:t>
      </w:r>
      <w:r w:rsidR="00A95CF8">
        <w:t xml:space="preserve">pensation would be identified. </w:t>
      </w:r>
      <w:r w:rsidR="00F85F15">
        <w:t xml:space="preserve">For the reasons </w:t>
      </w:r>
      <w:r w:rsidR="00657752">
        <w:t xml:space="preserve">then </w:t>
      </w:r>
      <w:r w:rsidR="00F85F15">
        <w:t xml:space="preserve">identified by </w:t>
      </w:r>
      <w:r w:rsidR="00D47F53">
        <w:t>ASIC, I cou</w:t>
      </w:r>
      <w:r w:rsidR="00817B13">
        <w:t xml:space="preserve">ld not be satisfied at that </w:t>
      </w:r>
      <w:r w:rsidR="00D47F53">
        <w:t xml:space="preserve">time that the process AMPFP had </w:t>
      </w:r>
      <w:r w:rsidR="00657752">
        <w:t>proposed</w:t>
      </w:r>
      <w:r w:rsidR="00D47F53">
        <w:t xml:space="preserve"> was effective. </w:t>
      </w:r>
      <w:r w:rsidR="009C601A">
        <w:t xml:space="preserve">Accordingly, the matter was adjourned </w:t>
      </w:r>
      <w:r w:rsidR="00D47F53">
        <w:t>to allow the parties to further negotiate the terms of the undertaking and file further evidence.</w:t>
      </w:r>
    </w:p>
    <w:p w:rsidR="00D47F53" w:rsidRPr="004D2781" w:rsidRDefault="003B3C7B" w:rsidP="003B3C7B">
      <w:pPr>
        <w:pStyle w:val="ParaNumbering"/>
        <w:numPr>
          <w:ilvl w:val="0"/>
          <w:numId w:val="0"/>
        </w:numPr>
        <w:tabs>
          <w:tab w:val="left" w:pos="720"/>
        </w:tabs>
        <w:ind w:hanging="720"/>
      </w:pPr>
      <w:r w:rsidRPr="004D2781">
        <w:rPr>
          <w:sz w:val="20"/>
        </w:rPr>
        <w:t>243</w:t>
      </w:r>
      <w:r w:rsidRPr="004D2781">
        <w:rPr>
          <w:sz w:val="20"/>
        </w:rPr>
        <w:tab/>
      </w:r>
      <w:r w:rsidR="009C601A">
        <w:t xml:space="preserve">It was </w:t>
      </w:r>
      <w:r w:rsidR="00D47F53">
        <w:t>only by 1 October 2019 that there was agreement between the parties on the remediation program</w:t>
      </w:r>
      <w:r w:rsidR="00817B13">
        <w:t>me</w:t>
      </w:r>
      <w:r w:rsidR="00D47F53">
        <w:t xml:space="preserve">. The contrast between what AMPFP had proffered </w:t>
      </w:r>
      <w:r w:rsidR="00817B13">
        <w:t xml:space="preserve">in June 2019 and what AMPFP ultimately </w:t>
      </w:r>
      <w:r w:rsidR="00D47F53">
        <w:t>proffered in October 2019 is</w:t>
      </w:r>
      <w:r w:rsidR="00817B13">
        <w:t xml:space="preserve"> significant</w:t>
      </w:r>
      <w:r w:rsidR="00657752">
        <w:t>.</w:t>
      </w:r>
    </w:p>
    <w:p w:rsidR="005A44D8" w:rsidRDefault="00A7774B" w:rsidP="005A44D8">
      <w:pPr>
        <w:pStyle w:val="Heading3"/>
      </w:pPr>
      <w:bookmarkStart w:id="131" w:name="_Ref22827407"/>
      <w:r>
        <w:t>I</w:t>
      </w:r>
      <w:r w:rsidR="005A44D8">
        <w:t>I</w:t>
      </w:r>
      <w:r w:rsidR="00925396">
        <w:t>I</w:t>
      </w:r>
      <w:r w:rsidR="005A44D8">
        <w:tab/>
      </w:r>
      <w:r w:rsidR="004F780B">
        <w:t>Backward</w:t>
      </w:r>
      <w:r w:rsidR="008D6C06">
        <w:t>-looking: r</w:t>
      </w:r>
      <w:r w:rsidR="005A44D8">
        <w:t>e</w:t>
      </w:r>
      <w:r w:rsidR="008D6C06">
        <w:t>view and remediation program</w:t>
      </w:r>
      <w:r w:rsidR="009654DA">
        <w:t>me</w:t>
      </w:r>
      <w:bookmarkEnd w:id="131"/>
    </w:p>
    <w:p w:rsidR="000E08EF" w:rsidRDefault="003B3C7B" w:rsidP="003B3C7B">
      <w:pPr>
        <w:pStyle w:val="ParaNumbering"/>
        <w:numPr>
          <w:ilvl w:val="0"/>
          <w:numId w:val="0"/>
        </w:numPr>
        <w:tabs>
          <w:tab w:val="left" w:pos="720"/>
        </w:tabs>
        <w:ind w:hanging="720"/>
      </w:pPr>
      <w:r>
        <w:rPr>
          <w:sz w:val="20"/>
        </w:rPr>
        <w:t>244</w:t>
      </w:r>
      <w:r>
        <w:rPr>
          <w:sz w:val="20"/>
        </w:rPr>
        <w:tab/>
      </w:r>
      <w:r w:rsidR="00657752">
        <w:t>The comments above do not diminish the size of the undertaking to be undertaken by AMPFP.</w:t>
      </w:r>
      <w:r w:rsidR="00F40047">
        <w:t xml:space="preserve"> </w:t>
      </w:r>
      <w:r w:rsidR="00657752">
        <w:t>The details of the</w:t>
      </w:r>
      <w:r w:rsidR="00253054">
        <w:t xml:space="preserve"> Review and Remediation Programme (</w:t>
      </w:r>
      <w:r w:rsidR="00253054">
        <w:rPr>
          <w:b/>
        </w:rPr>
        <w:t>RRP</w:t>
      </w:r>
      <w:r w:rsidR="00253054">
        <w:t>)</w:t>
      </w:r>
      <w:r w:rsidR="0053448E">
        <w:t>, as it currently stands,</w:t>
      </w:r>
      <w:r w:rsidR="005A44D8">
        <w:t xml:space="preserve"> were contained in two affidavits affirmed by Ian Douglas Fletcher on 23 August 2019 and 23 September 2019, both of whic</w:t>
      </w:r>
      <w:r w:rsidR="00A95CF8">
        <w:t xml:space="preserve">h were read without objection. </w:t>
      </w:r>
      <w:r w:rsidR="005A44D8">
        <w:t>Mr Fletcher is the</w:t>
      </w:r>
      <w:r w:rsidR="008D6C06">
        <w:t xml:space="preserve"> </w:t>
      </w:r>
      <w:r w:rsidR="00826744">
        <w:t xml:space="preserve">programme </w:t>
      </w:r>
      <w:r w:rsidR="008329CC">
        <w:t>director of the RRP.</w:t>
      </w:r>
    </w:p>
    <w:p w:rsidR="00832E80" w:rsidRDefault="003B3C7B" w:rsidP="003B3C7B">
      <w:pPr>
        <w:pStyle w:val="ParaNumbering"/>
        <w:numPr>
          <w:ilvl w:val="0"/>
          <w:numId w:val="0"/>
        </w:numPr>
        <w:tabs>
          <w:tab w:val="left" w:pos="720"/>
        </w:tabs>
        <w:ind w:hanging="720"/>
      </w:pPr>
      <w:r>
        <w:rPr>
          <w:sz w:val="20"/>
        </w:rPr>
        <w:t>245</w:t>
      </w:r>
      <w:r>
        <w:rPr>
          <w:sz w:val="20"/>
        </w:rPr>
        <w:tab/>
      </w:r>
      <w:r w:rsidR="00916954">
        <w:t xml:space="preserve">It is necessary to wade briefly into the brume of the RRP.  </w:t>
      </w:r>
      <w:r w:rsidR="005B2C49">
        <w:t xml:space="preserve">In short, </w:t>
      </w:r>
      <w:r w:rsidR="00653049">
        <w:t xml:space="preserve">in order to identify the </w:t>
      </w:r>
      <w:r w:rsidR="00657752">
        <w:t>recipients</w:t>
      </w:r>
      <w:r w:rsidR="00653049">
        <w:t xml:space="preserve"> of remediation, </w:t>
      </w:r>
      <w:r w:rsidR="005B2C49">
        <w:t>the RRP u</w:t>
      </w:r>
      <w:r w:rsidR="00653049">
        <w:t>ses the tools of data analytics.</w:t>
      </w:r>
      <w:r w:rsidR="00A95CF8">
        <w:t xml:space="preserve"> </w:t>
      </w:r>
      <w:r w:rsidR="005B2C49">
        <w:t xml:space="preserve">One such tool </w:t>
      </w:r>
      <w:r w:rsidR="00857AC7">
        <w:t xml:space="preserve">are </w:t>
      </w:r>
      <w:r w:rsidR="005B2C49">
        <w:t>“key risk indicator</w:t>
      </w:r>
      <w:r w:rsidR="009733F0">
        <w:t>s</w:t>
      </w:r>
      <w:r w:rsidR="005B2C49">
        <w:t xml:space="preserve">” or </w:t>
      </w:r>
      <w:r w:rsidR="005B2C49" w:rsidRPr="00657752">
        <w:rPr>
          <w:b/>
        </w:rPr>
        <w:t>KRI</w:t>
      </w:r>
      <w:r w:rsidR="00857AC7" w:rsidRPr="00657752">
        <w:rPr>
          <w:b/>
        </w:rPr>
        <w:t>s</w:t>
      </w:r>
      <w:r w:rsidR="00857AC7">
        <w:t xml:space="preserve"> which identify a population of adviser files considered to be high risk for manual review.</w:t>
      </w:r>
      <w:r w:rsidR="00A95CF8">
        <w:t xml:space="preserve"> </w:t>
      </w:r>
      <w:r w:rsidR="009733F0">
        <w:t>The “Lookback” programmes</w:t>
      </w:r>
      <w:r w:rsidR="00190A97">
        <w:t xml:space="preserve"> employ 22 </w:t>
      </w:r>
      <w:r w:rsidR="009733F0">
        <w:t xml:space="preserve">KRIs </w:t>
      </w:r>
      <w:r w:rsidR="00190A97">
        <w:t xml:space="preserve">(developed in conjunction with Deloitte) </w:t>
      </w:r>
      <w:r w:rsidR="00832E80">
        <w:t>and include, for instanc</w:t>
      </w:r>
      <w:r w:rsidR="00126703">
        <w:t xml:space="preserve">e, “KRI 4 Insurance Clawbacks” and </w:t>
      </w:r>
      <w:r w:rsidR="00832E80">
        <w:t>“KRI 5 Insurance and Superannuation Lapses”.</w:t>
      </w:r>
      <w:r w:rsidR="00F40047">
        <w:t xml:space="preserve"> </w:t>
      </w:r>
      <w:r w:rsidR="00190A97">
        <w:t xml:space="preserve">The KRIs were run across a master data set covering approximately 8,758 advisers and approximately 1,300,000 </w:t>
      </w:r>
      <w:r w:rsidR="00657752">
        <w:t>clients and</w:t>
      </w:r>
      <w:r w:rsidR="00190A97" w:rsidRPr="00190A97">
        <w:t xml:space="preserve"> initially flagged approximately 26,387 files as in scope for approximately 420 advisers. Through further analysis and refinement and </w:t>
      </w:r>
      <w:r w:rsidR="00190A97" w:rsidRPr="00190A97">
        <w:lastRenderedPageBreak/>
        <w:t xml:space="preserve">through thresholds applied to ensure the </w:t>
      </w:r>
      <w:proofErr w:type="spellStart"/>
      <w:r w:rsidR="00190A97" w:rsidRPr="00190A97">
        <w:t>KRls</w:t>
      </w:r>
      <w:proofErr w:type="spellEnd"/>
      <w:r w:rsidR="00190A97" w:rsidRPr="00190A97">
        <w:t xml:space="preserve"> identified systemic rather than isolated potential issues, the KR</w:t>
      </w:r>
      <w:r w:rsidR="00190A97">
        <w:t>I</w:t>
      </w:r>
      <w:r w:rsidR="008329CC">
        <w:t>s finally identified 21</w:t>
      </w:r>
      <w:r w:rsidR="00190A97" w:rsidRPr="00190A97">
        <w:t>,824</w:t>
      </w:r>
      <w:r w:rsidR="008329CC">
        <w:t xml:space="preserve"> files for 230 advisers as the “</w:t>
      </w:r>
      <w:r w:rsidR="00190A97" w:rsidRPr="00190A97">
        <w:t>scope</w:t>
      </w:r>
      <w:r w:rsidR="008329CC">
        <w:t>”</w:t>
      </w:r>
      <w:r w:rsidR="00190A97" w:rsidRPr="00190A97">
        <w:t xml:space="preserve"> for the Quality of Advice Lookback Programme.</w:t>
      </w:r>
      <w:r w:rsidR="00A65B9B">
        <w:t xml:space="preserve"> </w:t>
      </w:r>
      <w:r w:rsidR="00832E80">
        <w:t>The evidence of Mr Fletcher is that without the use of KRIs to narrow the number of files in scope, the Lookback programme would take more than</w:t>
      </w:r>
      <w:r w:rsidR="000A632B">
        <w:t xml:space="preserve"> </w:t>
      </w:r>
      <w:r w:rsidR="00832E80">
        <w:t>10 years to complete.</w:t>
      </w:r>
    </w:p>
    <w:p w:rsidR="00D433EF" w:rsidRDefault="003B3C7B" w:rsidP="003B3C7B">
      <w:pPr>
        <w:pStyle w:val="ParaNumbering"/>
        <w:numPr>
          <w:ilvl w:val="0"/>
          <w:numId w:val="0"/>
        </w:numPr>
        <w:tabs>
          <w:tab w:val="left" w:pos="720"/>
        </w:tabs>
        <w:ind w:hanging="720"/>
      </w:pPr>
      <w:r>
        <w:rPr>
          <w:sz w:val="20"/>
        </w:rPr>
        <w:t>246</w:t>
      </w:r>
      <w:r>
        <w:rPr>
          <w:sz w:val="20"/>
        </w:rPr>
        <w:tab/>
      </w:r>
      <w:r w:rsidR="000E08EF">
        <w:t>Another tool is “conversion reporting”</w:t>
      </w:r>
      <w:r w:rsidR="0053448E">
        <w:t xml:space="preserve"> which</w:t>
      </w:r>
      <w:r w:rsidR="00F9505D">
        <w:t xml:space="preserve">, using a dataset of all insurance product files from 30 June 2013 to 30 August 2019, </w:t>
      </w:r>
      <w:r w:rsidR="0053448E" w:rsidRPr="0053448E">
        <w:t>identifies situations wher</w:t>
      </w:r>
      <w:r w:rsidR="0053448E">
        <w:t>e there has been lapsed or “off”</w:t>
      </w:r>
      <w:r w:rsidR="0053448E" w:rsidRPr="0053448E">
        <w:t xml:space="preserve"> business (in the sense of a decrease in the premium payable by the client) and new or </w:t>
      </w:r>
      <w:r w:rsidR="0053448E">
        <w:t>“</w:t>
      </w:r>
      <w:r w:rsidR="0053448E" w:rsidRPr="0053448E">
        <w:t>on</w:t>
      </w:r>
      <w:r w:rsidR="0053448E">
        <w:t>”</w:t>
      </w:r>
      <w:r w:rsidR="0053448E" w:rsidRPr="0053448E">
        <w:t xml:space="preserve"> business (in the sense of an increase in the premium payable by the client) within 120 days of each other. The </w:t>
      </w:r>
      <w:r w:rsidR="0053448E">
        <w:t>c</w:t>
      </w:r>
      <w:r w:rsidR="0053448E" w:rsidRPr="0053448E">
        <w:t xml:space="preserve">onversion </w:t>
      </w:r>
      <w:r w:rsidR="0053448E">
        <w:t>r</w:t>
      </w:r>
      <w:r w:rsidR="0053448E" w:rsidRPr="0053448E">
        <w:t>eport will capture instances of potential Rewriting Conduct because these circumstances will encompass where a policy has been cancelled and a subsequent new policy has been taken up.</w:t>
      </w:r>
      <w:r w:rsidR="00A65B9B">
        <w:t xml:space="preserve"> </w:t>
      </w:r>
      <w:r w:rsidR="00D433EF">
        <w:t xml:space="preserve">Admittedly, it will also capture many innocuous instances, such as when a client decides to make adjustments to the levels of insurance that </w:t>
      </w:r>
      <w:r w:rsidR="00C4761C">
        <w:t>the client</w:t>
      </w:r>
      <w:r w:rsidR="00D433EF">
        <w:t xml:space="preserve"> holds which affect the premiums payable.</w:t>
      </w:r>
      <w:r w:rsidR="00F40047">
        <w:t xml:space="preserve"> </w:t>
      </w:r>
      <w:r w:rsidR="00B228F6">
        <w:t xml:space="preserve">As a result, </w:t>
      </w:r>
      <w:r w:rsidR="00F9505D">
        <w:t>further sets of</w:t>
      </w:r>
      <w:r w:rsidR="00C11E36">
        <w:t xml:space="preserve"> filtering </w:t>
      </w:r>
      <w:r w:rsidR="00F9505D">
        <w:t>are</w:t>
      </w:r>
      <w:r w:rsidR="00C11E36">
        <w:t xml:space="preserve"> applied.</w:t>
      </w:r>
    </w:p>
    <w:p w:rsidR="00B96B8C" w:rsidRDefault="003B3C7B" w:rsidP="003B3C7B">
      <w:pPr>
        <w:pStyle w:val="ParaNumbering"/>
        <w:numPr>
          <w:ilvl w:val="0"/>
          <w:numId w:val="0"/>
        </w:numPr>
        <w:tabs>
          <w:tab w:val="left" w:pos="720"/>
        </w:tabs>
        <w:ind w:hanging="720"/>
      </w:pPr>
      <w:r>
        <w:rPr>
          <w:sz w:val="20"/>
        </w:rPr>
        <w:t>247</w:t>
      </w:r>
      <w:r>
        <w:rPr>
          <w:sz w:val="20"/>
        </w:rPr>
        <w:tab/>
      </w:r>
      <w:r w:rsidR="00D433EF">
        <w:t>Using conversion reporting, with further filtering, AMPFP has bee</w:t>
      </w:r>
      <w:r w:rsidR="00EC5712">
        <w:t xml:space="preserve">n able to identify an additional 626 </w:t>
      </w:r>
      <w:r w:rsidR="00D433EF">
        <w:t>clients where there was potential for them to have be</w:t>
      </w:r>
      <w:r w:rsidR="000A632B">
        <w:t>en subject to Rewriting Conduct</w:t>
      </w:r>
      <w:r w:rsidR="00CE4A3B">
        <w:t>.</w:t>
      </w:r>
    </w:p>
    <w:p w:rsidR="005B2C49" w:rsidRDefault="003B3C7B" w:rsidP="003B3C7B">
      <w:pPr>
        <w:pStyle w:val="ParaNumbering"/>
        <w:numPr>
          <w:ilvl w:val="0"/>
          <w:numId w:val="0"/>
        </w:numPr>
        <w:tabs>
          <w:tab w:val="left" w:pos="720"/>
        </w:tabs>
        <w:ind w:hanging="720"/>
      </w:pPr>
      <w:r>
        <w:rPr>
          <w:sz w:val="20"/>
        </w:rPr>
        <w:t>248</w:t>
      </w:r>
      <w:r>
        <w:rPr>
          <w:sz w:val="20"/>
        </w:rPr>
        <w:tab/>
      </w:r>
      <w:r w:rsidR="00916954">
        <w:t xml:space="preserve">Significantly, </w:t>
      </w:r>
      <w:r w:rsidR="005B2C49">
        <w:t>AMPFP</w:t>
      </w:r>
      <w:r w:rsidR="00A24638">
        <w:t xml:space="preserve"> acknowledge</w:t>
      </w:r>
      <w:r w:rsidR="00470496">
        <w:t>d</w:t>
      </w:r>
      <w:r w:rsidR="00A24638">
        <w:t xml:space="preserve"> </w:t>
      </w:r>
      <w:r w:rsidR="005B2C49">
        <w:t>that it could not</w:t>
      </w:r>
      <w:r w:rsidR="00857AC7">
        <w:t xml:space="preserve"> guarantee to the Court that the use of the</w:t>
      </w:r>
      <w:r w:rsidR="005B2C49">
        <w:t xml:space="preserve"> RRP would </w:t>
      </w:r>
      <w:r w:rsidR="00857AC7">
        <w:t>ensure that all those who have suffered loss as a result of its contravenin</w:t>
      </w:r>
      <w:r w:rsidR="00574BC3">
        <w:t>g conduct would be compensated. Nonetheless, it considered that by operation of the two mechanisms of the RRP, being the Lookback Programme</w:t>
      </w:r>
      <w:r w:rsidR="00A24638">
        <w:t xml:space="preserve"> (with its use of KRIs)</w:t>
      </w:r>
      <w:r w:rsidR="00574BC3">
        <w:t xml:space="preserve"> and conversion reporting, there was </w:t>
      </w:r>
      <w:r w:rsidR="00B8134F">
        <w:t>“</w:t>
      </w:r>
      <w:r w:rsidR="00574BC3">
        <w:t>every probability</w:t>
      </w:r>
      <w:r w:rsidR="00B8134F">
        <w:t>”</w:t>
      </w:r>
      <w:r w:rsidR="00574BC3">
        <w:t xml:space="preserve"> that every client affected by Rewriting Conduct would be identified and compensated.</w:t>
      </w:r>
      <w:r w:rsidR="00A743F9">
        <w:t xml:space="preserve"> With regard to non-monetary remediation, such remediation will</w:t>
      </w:r>
      <w:r w:rsidR="00A743F9" w:rsidRPr="00A743F9">
        <w:t xml:space="preserve"> be in accordance with ASIC Regulatory Guide</w:t>
      </w:r>
      <w:r w:rsidR="000A632B">
        <w:t xml:space="preserve"> at</w:t>
      </w:r>
      <w:r w:rsidR="00A743F9" w:rsidRPr="00A743F9">
        <w:t xml:space="preserve"> </w:t>
      </w:r>
      <w:r w:rsidR="000A632B">
        <w:t>[</w:t>
      </w:r>
      <w:r w:rsidR="000A632B" w:rsidRPr="00A743F9">
        <w:t xml:space="preserve">128] </w:t>
      </w:r>
      <w:r w:rsidR="00A743F9" w:rsidRPr="00A743F9">
        <w:t xml:space="preserve">(which aims to put the client in the position that they would have been </w:t>
      </w:r>
      <w:r w:rsidR="00126703">
        <w:t xml:space="preserve">in </w:t>
      </w:r>
      <w:r w:rsidR="00A743F9" w:rsidRPr="00A743F9">
        <w:t>but for the relevant contravention) or as agreed with the client.</w:t>
      </w:r>
      <w:r w:rsidR="00F40047">
        <w:t xml:space="preserve"> </w:t>
      </w:r>
    </w:p>
    <w:p w:rsidR="00A743F9" w:rsidRDefault="003B3C7B" w:rsidP="003B3C7B">
      <w:pPr>
        <w:pStyle w:val="ParaNumbering"/>
        <w:numPr>
          <w:ilvl w:val="0"/>
          <w:numId w:val="0"/>
        </w:numPr>
        <w:tabs>
          <w:tab w:val="left" w:pos="720"/>
        </w:tabs>
        <w:ind w:hanging="720"/>
      </w:pPr>
      <w:r>
        <w:rPr>
          <w:sz w:val="20"/>
        </w:rPr>
        <w:t>249</w:t>
      </w:r>
      <w:r>
        <w:rPr>
          <w:sz w:val="20"/>
        </w:rPr>
        <w:tab/>
      </w:r>
      <w:r w:rsidR="004C4CC7">
        <w:t>There is some complexity d</w:t>
      </w:r>
      <w:r w:rsidR="00A743F9">
        <w:t>ue to the fact that AMP Life is in the process of being sold</w:t>
      </w:r>
      <w:r w:rsidR="004C4CC7">
        <w:t xml:space="preserve"> insofar as for those clients for whom it is necessary to put in place new insurance arrangements, a separate agreement between AMPFP and the relevant insurer will need to be made.</w:t>
      </w:r>
      <w:r w:rsidR="00F40047">
        <w:t xml:space="preserve"> </w:t>
      </w:r>
    </w:p>
    <w:p w:rsidR="008E032D" w:rsidRDefault="003B3C7B" w:rsidP="003B3C7B">
      <w:pPr>
        <w:pStyle w:val="ParaNumbering"/>
        <w:numPr>
          <w:ilvl w:val="0"/>
          <w:numId w:val="0"/>
        </w:numPr>
        <w:tabs>
          <w:tab w:val="left" w:pos="720"/>
        </w:tabs>
        <w:ind w:hanging="720"/>
      </w:pPr>
      <w:r>
        <w:rPr>
          <w:sz w:val="20"/>
        </w:rPr>
        <w:t>250</w:t>
      </w:r>
      <w:r>
        <w:rPr>
          <w:sz w:val="20"/>
        </w:rPr>
        <w:tab/>
      </w:r>
      <w:r w:rsidR="00A24638">
        <w:t xml:space="preserve">As already noted, </w:t>
      </w:r>
      <w:r w:rsidR="00B96B8C">
        <w:t>AMPFP envisaged its commitment to the RRP would be by way of a formal undertakin</w:t>
      </w:r>
      <w:r w:rsidR="00A24638">
        <w:t>g to the Court. However,</w:t>
      </w:r>
      <w:r w:rsidR="00B96B8C">
        <w:t xml:space="preserve"> </w:t>
      </w:r>
      <w:r w:rsidR="008E032D">
        <w:t xml:space="preserve">with one exception, </w:t>
      </w:r>
      <w:r w:rsidR="00B96B8C">
        <w:t>I consider it more appropriate</w:t>
      </w:r>
      <w:r w:rsidR="00A24638">
        <w:t xml:space="preserve"> that</w:t>
      </w:r>
      <w:r w:rsidR="00B96B8C">
        <w:t xml:space="preserve"> </w:t>
      </w:r>
      <w:r w:rsidR="004F780B">
        <w:t xml:space="preserve">as </w:t>
      </w:r>
      <w:r w:rsidR="004F780B">
        <w:lastRenderedPageBreak/>
        <w:t>with the forward-looking compliance plan</w:t>
      </w:r>
      <w:r w:rsidR="00A24638">
        <w:t xml:space="preserve"> discussed below</w:t>
      </w:r>
      <w:r w:rsidR="004F780B">
        <w:t xml:space="preserve">, </w:t>
      </w:r>
      <w:r w:rsidR="00B96B8C">
        <w:t xml:space="preserve">it instead be </w:t>
      </w:r>
      <w:r w:rsidR="00470496">
        <w:t xml:space="preserve">the subject of an </w:t>
      </w:r>
      <w:r w:rsidR="00B96B8C">
        <w:t>order pursuant to s 1101B.</w:t>
      </w:r>
      <w:r w:rsidR="008E032D">
        <w:t xml:space="preserve"> </w:t>
      </w:r>
    </w:p>
    <w:p w:rsidR="0015198B" w:rsidRDefault="003B3C7B" w:rsidP="003B3C7B">
      <w:pPr>
        <w:pStyle w:val="ParaNumbering"/>
        <w:numPr>
          <w:ilvl w:val="0"/>
          <w:numId w:val="0"/>
        </w:numPr>
        <w:tabs>
          <w:tab w:val="left" w:pos="720"/>
        </w:tabs>
        <w:ind w:hanging="720"/>
      </w:pPr>
      <w:r>
        <w:rPr>
          <w:sz w:val="20"/>
        </w:rPr>
        <w:t>251</w:t>
      </w:r>
      <w:r>
        <w:rPr>
          <w:sz w:val="20"/>
        </w:rPr>
        <w:tab/>
      </w:r>
      <w:r w:rsidR="006C66BF">
        <w:t>Moreover, and as I indicated</w:t>
      </w:r>
      <w:r w:rsidR="009E00E8">
        <w:t xml:space="preserve"> to the parties at the final hearing day on 1 October 2019, </w:t>
      </w:r>
      <w:r w:rsidR="0054392B">
        <w:t>I will make provision in the order</w:t>
      </w:r>
      <w:r w:rsidR="00600B5D">
        <w:t>s</w:t>
      </w:r>
      <w:r w:rsidR="0054392B">
        <w:t xml:space="preserve"> for </w:t>
      </w:r>
      <w:r w:rsidR="00CD70CF">
        <w:t xml:space="preserve">an </w:t>
      </w:r>
      <w:r w:rsidR="000E1D29">
        <w:t>expert</w:t>
      </w:r>
      <w:r w:rsidR="00CD70CF">
        <w:t xml:space="preserve"> retained by AMPFP</w:t>
      </w:r>
      <w:r w:rsidR="00E94B42">
        <w:t xml:space="preserve">, </w:t>
      </w:r>
      <w:r w:rsidR="000E1D29">
        <w:t xml:space="preserve">being </w:t>
      </w:r>
      <w:r w:rsidR="00B8134F">
        <w:t xml:space="preserve">the </w:t>
      </w:r>
      <w:r w:rsidR="0054392B">
        <w:t>partner at PwC</w:t>
      </w:r>
      <w:r w:rsidR="00CD70CF">
        <w:t>,</w:t>
      </w:r>
      <w:r w:rsidR="0054392B">
        <w:t xml:space="preserve"> responsible </w:t>
      </w:r>
      <w:r w:rsidR="00B8134F">
        <w:t xml:space="preserve">on a day-to-day basis </w:t>
      </w:r>
      <w:r w:rsidR="00CD70CF">
        <w:t xml:space="preserve">for implementing the RRP, </w:t>
      </w:r>
      <w:r w:rsidR="00470496">
        <w:t>to prepare</w:t>
      </w:r>
      <w:r w:rsidR="004C4CC7">
        <w:t xml:space="preserve"> a report reviewing the RRP</w:t>
      </w:r>
      <w:r w:rsidR="00B8134F">
        <w:t xml:space="preserve"> and </w:t>
      </w:r>
      <w:r w:rsidR="00470496">
        <w:t>to provide to my Associate, via the solicitors for AMPFP,</w:t>
      </w:r>
      <w:r w:rsidR="004C4CC7">
        <w:t xml:space="preserve"> </w:t>
      </w:r>
      <w:r w:rsidR="0054392B">
        <w:t xml:space="preserve">an affidavit </w:t>
      </w:r>
      <w:r w:rsidR="00470496">
        <w:t xml:space="preserve">deposing, with precision, </w:t>
      </w:r>
      <w:r w:rsidR="00CD70CF">
        <w:t xml:space="preserve">as </w:t>
      </w:r>
      <w:r w:rsidR="00470496">
        <w:t>to</w:t>
      </w:r>
      <w:r w:rsidR="0054392B">
        <w:t xml:space="preserve"> what the review involved</w:t>
      </w:r>
      <w:r w:rsidR="0054392B" w:rsidRPr="0054392B">
        <w:t xml:space="preserve"> </w:t>
      </w:r>
      <w:r w:rsidR="0054392B">
        <w:t>by way of further extraction or analysis of data, and whether it did involve a manual review of individual client policies and other systems.</w:t>
      </w:r>
      <w:r w:rsidR="005A06EB">
        <w:t xml:space="preserve"> </w:t>
      </w:r>
      <w:r w:rsidR="00B8134F">
        <w:t>The affidavit should also provide details as to how many clients were actually compensated and in what amount</w:t>
      </w:r>
      <w:r w:rsidR="009B7CF4">
        <w:t xml:space="preserve">, </w:t>
      </w:r>
      <w:r w:rsidR="00A34DDC">
        <w:t xml:space="preserve">and </w:t>
      </w:r>
      <w:r w:rsidR="00B8134F">
        <w:t>an op</w:t>
      </w:r>
      <w:r w:rsidR="00A34DDC">
        <w:t xml:space="preserve">inion as to whether the </w:t>
      </w:r>
      <w:r w:rsidR="00916954">
        <w:t xml:space="preserve">deponent </w:t>
      </w:r>
      <w:r w:rsidR="00B8134F">
        <w:t>perceives any deficiencies in the RRP’s implementation and effectiveness</w:t>
      </w:r>
      <w:r w:rsidR="003F7447">
        <w:t xml:space="preserve">, based on </w:t>
      </w:r>
      <w:r w:rsidR="00916954">
        <w:t>his</w:t>
      </w:r>
      <w:r w:rsidR="00A34DDC">
        <w:t xml:space="preserve"> then state of knowledge</w:t>
      </w:r>
      <w:r w:rsidR="00B8134F">
        <w:t xml:space="preserve">. </w:t>
      </w:r>
      <w:r w:rsidR="0015198B">
        <w:t xml:space="preserve">I </w:t>
      </w:r>
      <w:r w:rsidR="00B8134F">
        <w:t xml:space="preserve">have not specified a person as the deponent because I </w:t>
      </w:r>
      <w:r w:rsidR="0015198B">
        <w:t>am not entirely sure that the appr</w:t>
      </w:r>
      <w:r w:rsidR="00B8134F">
        <w:t>opriate person</w:t>
      </w:r>
      <w:r w:rsidR="0015198B">
        <w:t xml:space="preserve"> is </w:t>
      </w:r>
      <w:r w:rsidR="00B8134F">
        <w:t xml:space="preserve">Mr Craig </w:t>
      </w:r>
      <w:proofErr w:type="spellStart"/>
      <w:r w:rsidR="00B8134F">
        <w:t>Daynton</w:t>
      </w:r>
      <w:proofErr w:type="spellEnd"/>
      <w:r w:rsidR="00B8134F">
        <w:t xml:space="preserve"> (</w:t>
      </w:r>
      <w:r w:rsidR="0015198B">
        <w:t>who</w:t>
      </w:r>
      <w:r w:rsidR="000E226D">
        <w:t>m</w:t>
      </w:r>
      <w:r w:rsidR="0015198B">
        <w:t xml:space="preserve"> I was told was the head of the programme and has had discussions with ASIC</w:t>
      </w:r>
      <w:r w:rsidR="00B8134F">
        <w:t>)</w:t>
      </w:r>
      <w:r w:rsidR="0015198B">
        <w:t>.</w:t>
      </w:r>
      <w:r w:rsidR="005A06EB">
        <w:t xml:space="preserve"> </w:t>
      </w:r>
      <w:r w:rsidR="0015198B">
        <w:t xml:space="preserve">But the </w:t>
      </w:r>
      <w:r w:rsidR="00B8134F">
        <w:t xml:space="preserve">final </w:t>
      </w:r>
      <w:r w:rsidR="0015198B">
        <w:t>orders should ensure that the affidavit is swo</w:t>
      </w:r>
      <w:r w:rsidR="00B8134F">
        <w:t>r</w:t>
      </w:r>
      <w:r w:rsidR="0015198B">
        <w:t xml:space="preserve">n by the partner in </w:t>
      </w:r>
      <w:r w:rsidR="002B7ACF">
        <w:t xml:space="preserve">charge </w:t>
      </w:r>
      <w:r w:rsidR="00B8134F">
        <w:t xml:space="preserve">day-to-day and </w:t>
      </w:r>
      <w:r w:rsidR="0015198B">
        <w:t xml:space="preserve">who has </w:t>
      </w:r>
      <w:r w:rsidR="00B8134F">
        <w:t xml:space="preserve">a detailed understanding of </w:t>
      </w:r>
      <w:r w:rsidR="002B7ACF">
        <w:t xml:space="preserve">the </w:t>
      </w:r>
      <w:r w:rsidR="00F16F45">
        <w:t>RRP’s</w:t>
      </w:r>
      <w:r w:rsidR="00B8134F">
        <w:t xml:space="preserve"> operation.</w:t>
      </w:r>
      <w:r w:rsidR="005A06EB">
        <w:t xml:space="preserve"> </w:t>
      </w:r>
    </w:p>
    <w:p w:rsidR="000A632B" w:rsidRDefault="003B3C7B" w:rsidP="003B3C7B">
      <w:pPr>
        <w:pStyle w:val="ParaNumbering"/>
        <w:numPr>
          <w:ilvl w:val="0"/>
          <w:numId w:val="0"/>
        </w:numPr>
        <w:tabs>
          <w:tab w:val="left" w:pos="720"/>
        </w:tabs>
        <w:ind w:hanging="720"/>
      </w:pPr>
      <w:r>
        <w:rPr>
          <w:sz w:val="20"/>
        </w:rPr>
        <w:t>252</w:t>
      </w:r>
      <w:r>
        <w:rPr>
          <w:sz w:val="20"/>
        </w:rPr>
        <w:tab/>
      </w:r>
      <w:r w:rsidR="003F7447">
        <w:t>No doubt</w:t>
      </w:r>
      <w:r w:rsidR="00CD70CF">
        <w:t xml:space="preserve"> the </w:t>
      </w:r>
      <w:r w:rsidR="003F7447">
        <w:t xml:space="preserve">partner of PwC </w:t>
      </w:r>
      <w:r w:rsidR="00CD70CF">
        <w:t xml:space="preserve">will </w:t>
      </w:r>
      <w:r w:rsidR="0015198B">
        <w:t xml:space="preserve">try to </w:t>
      </w:r>
      <w:r w:rsidR="00CD70CF">
        <w:t xml:space="preserve">perform </w:t>
      </w:r>
      <w:r w:rsidR="003F7447">
        <w:t>his</w:t>
      </w:r>
      <w:r w:rsidR="00CD70CF">
        <w:t xml:space="preserve"> </w:t>
      </w:r>
      <w:r w:rsidR="0015198B">
        <w:t xml:space="preserve">role </w:t>
      </w:r>
      <w:r w:rsidR="003F7447">
        <w:t>conscientiously, and I intend no disrespect by remarking that</w:t>
      </w:r>
      <w:r w:rsidR="00CD70CF">
        <w:t xml:space="preserve"> </w:t>
      </w:r>
      <w:r w:rsidR="003F7447">
        <w:t xml:space="preserve">it is suboptimal that </w:t>
      </w:r>
      <w:r w:rsidR="00CD70CF">
        <w:t xml:space="preserve">the firm PwC </w:t>
      </w:r>
      <w:r w:rsidR="00A65B9B">
        <w:t xml:space="preserve">has </w:t>
      </w:r>
      <w:r w:rsidR="00CD70CF">
        <w:t>been selected by AMPFP</w:t>
      </w:r>
      <w:r w:rsidR="00884547">
        <w:t>,</w:t>
      </w:r>
      <w:r w:rsidR="00CD70CF">
        <w:t xml:space="preserve"> and not the Court.</w:t>
      </w:r>
      <w:r w:rsidR="00F40047">
        <w:t xml:space="preserve"> </w:t>
      </w:r>
      <w:r w:rsidR="000A632B">
        <w:t>This raises an issue in regulatory proceedings of more general importance.</w:t>
      </w:r>
      <w:r w:rsidR="000C689F">
        <w:t xml:space="preserve"> </w:t>
      </w:r>
      <w:r w:rsidR="000A632B">
        <w:t>I</w:t>
      </w:r>
      <w:r w:rsidR="000C689F">
        <w:t>n my experience of a number of these cases, i</w:t>
      </w:r>
      <w:r w:rsidR="000A632B">
        <w:t>t has been common, quite early in the investigatory</w:t>
      </w:r>
      <w:r w:rsidR="000C689F">
        <w:t xml:space="preserve"> or</w:t>
      </w:r>
      <w:r w:rsidR="000A632B">
        <w:t xml:space="preserve"> enforcement stage, for large institutions to select professional services firms to provide advisory, investigative and implementation services.</w:t>
      </w:r>
      <w:r w:rsidR="005A06EB">
        <w:t xml:space="preserve"> </w:t>
      </w:r>
      <w:r w:rsidR="000A632B">
        <w:t xml:space="preserve">These are often vast exercises and involve the professional services firm being paid very large fees. </w:t>
      </w:r>
      <w:r w:rsidR="000C689F">
        <w:t>Speaking</w:t>
      </w:r>
      <w:r w:rsidR="000A632B">
        <w:t xml:space="preserve"> generally, no </w:t>
      </w:r>
      <w:r w:rsidR="000C689F">
        <w:t>doubt</w:t>
      </w:r>
      <w:r w:rsidR="000A632B">
        <w:t xml:space="preserve"> some selections are made with the knowledge and encouragement of a regulator.</w:t>
      </w:r>
      <w:r w:rsidR="005A06EB">
        <w:t xml:space="preserve"> </w:t>
      </w:r>
      <w:r w:rsidR="000C689F">
        <w:t>It is easy to understand why this occurs</w:t>
      </w:r>
      <w:r w:rsidR="000E226D">
        <w:t xml:space="preserve"> and speed of remediation is highly desirable</w:t>
      </w:r>
      <w:r w:rsidR="000C689F">
        <w:t xml:space="preserve">, but the difficulty </w:t>
      </w:r>
      <w:r w:rsidR="000A632B">
        <w:t xml:space="preserve">is that </w:t>
      </w:r>
      <w:r w:rsidR="000C689F">
        <w:t>w</w:t>
      </w:r>
      <w:r w:rsidR="000A632B">
        <w:t>hen the matter comes to Court, the judge hearing the ca</w:t>
      </w:r>
      <w:r w:rsidR="000C689F">
        <w:t>s</w:t>
      </w:r>
      <w:r w:rsidR="000A632B">
        <w:t xml:space="preserve">e </w:t>
      </w:r>
      <w:r w:rsidR="000C689F">
        <w:t>(</w:t>
      </w:r>
      <w:r w:rsidR="000A632B">
        <w:t>and determining what orders should be made</w:t>
      </w:r>
      <w:r w:rsidR="000C689F">
        <w:t>)</w:t>
      </w:r>
      <w:r w:rsidR="000A632B">
        <w:t xml:space="preserve"> </w:t>
      </w:r>
      <w:r w:rsidR="003F7447">
        <w:t>is</w:t>
      </w:r>
      <w:r w:rsidR="000A632B">
        <w:t xml:space="preserve"> presented with</w:t>
      </w:r>
      <w:r w:rsidR="000C689F">
        <w:t xml:space="preserve"> what amounts to</w:t>
      </w:r>
      <w:r w:rsidR="000A632B">
        <w:t xml:space="preserve"> a </w:t>
      </w:r>
      <w:r w:rsidR="000A632B" w:rsidRPr="0015198B">
        <w:rPr>
          <w:i/>
        </w:rPr>
        <w:t>f</w:t>
      </w:r>
      <w:r w:rsidR="000C689F" w:rsidRPr="0015198B">
        <w:rPr>
          <w:i/>
        </w:rPr>
        <w:t>a</w:t>
      </w:r>
      <w:r w:rsidR="000A632B" w:rsidRPr="0015198B">
        <w:rPr>
          <w:i/>
        </w:rPr>
        <w:t>it accompli</w:t>
      </w:r>
      <w:r w:rsidR="000C689F">
        <w:t>: s</w:t>
      </w:r>
      <w:r w:rsidR="000A632B">
        <w:t>o many costs have been expended</w:t>
      </w:r>
      <w:r w:rsidR="000C689F">
        <w:t>, and so much work has been done,</w:t>
      </w:r>
      <w:r w:rsidR="000A632B">
        <w:t xml:space="preserve"> that the Court cannot practically </w:t>
      </w:r>
      <w:r w:rsidR="000C689F">
        <w:t>fasten upon a new approach run by wholly independent professionals selected by the Court.</w:t>
      </w:r>
      <w:r w:rsidR="005A06EB">
        <w:t xml:space="preserve">  </w:t>
      </w:r>
      <w:r w:rsidR="000A632B">
        <w:t xml:space="preserve"> </w:t>
      </w:r>
    </w:p>
    <w:p w:rsidR="000C689F" w:rsidRDefault="003B3C7B" w:rsidP="003B3C7B">
      <w:pPr>
        <w:pStyle w:val="ParaNumbering"/>
        <w:numPr>
          <w:ilvl w:val="0"/>
          <w:numId w:val="0"/>
        </w:numPr>
        <w:tabs>
          <w:tab w:val="left" w:pos="720"/>
        </w:tabs>
        <w:ind w:hanging="720"/>
      </w:pPr>
      <w:r>
        <w:rPr>
          <w:sz w:val="20"/>
        </w:rPr>
        <w:t>253</w:t>
      </w:r>
      <w:r>
        <w:rPr>
          <w:sz w:val="20"/>
        </w:rPr>
        <w:tab/>
      </w:r>
      <w:r w:rsidR="000E226D">
        <w:t>It may be this problem is in</w:t>
      </w:r>
      <w:r w:rsidR="00714B26">
        <w:t>superable because of the need for</w:t>
      </w:r>
      <w:r w:rsidR="000E226D">
        <w:t xml:space="preserve"> speed, but it</w:t>
      </w:r>
      <w:r w:rsidR="000C689F">
        <w:t xml:space="preserve"> seems to me to raise issues not dissimilar </w:t>
      </w:r>
      <w:r w:rsidR="00F04D93">
        <w:t>to</w:t>
      </w:r>
      <w:r w:rsidR="000C689F">
        <w:t xml:space="preserve"> those that have been often addressed in the context of the selection b</w:t>
      </w:r>
      <w:r w:rsidR="00E94B42">
        <w:t xml:space="preserve">y parties of expert witnesses. </w:t>
      </w:r>
      <w:r w:rsidR="000C689F">
        <w:t xml:space="preserve">There is a danger that even with the best will in the world, a partner of a firm retained by a large institution earning </w:t>
      </w:r>
      <w:r w:rsidR="00B8134F">
        <w:t xml:space="preserve">very </w:t>
      </w:r>
      <w:r w:rsidR="000C689F">
        <w:t xml:space="preserve">significant sums from professional fees </w:t>
      </w:r>
      <w:r w:rsidR="000C689F">
        <w:lastRenderedPageBreak/>
        <w:t>charged to the institution, could display a degree of “</w:t>
      </w:r>
      <w:r w:rsidR="00B8134F">
        <w:t>sub</w:t>
      </w:r>
      <w:r w:rsidR="000C689F">
        <w:t xml:space="preserve">conscious partisanship”, in that the expert is influenced by the </w:t>
      </w:r>
      <w:r w:rsidR="00C4761C">
        <w:t>client with whom he</w:t>
      </w:r>
      <w:r w:rsidR="000C689F">
        <w:t xml:space="preserve"> has a long running commercial relationship; moreover, issues of “selection bias” might arise, as they do in the context of expert witnesses: Victorian Law Reform Commission, Civil</w:t>
      </w:r>
      <w:r w:rsidR="00910893">
        <w:t xml:space="preserve"> Justice Review: Report, 2008 at</w:t>
      </w:r>
      <w:r w:rsidR="000C689F">
        <w:t xml:space="preserve"> 484.</w:t>
      </w:r>
      <w:r w:rsidR="005A06EB">
        <w:t xml:space="preserve"> </w:t>
      </w:r>
    </w:p>
    <w:p w:rsidR="00884547" w:rsidRDefault="003B3C7B" w:rsidP="003B3C7B">
      <w:pPr>
        <w:pStyle w:val="ParaNumbering"/>
        <w:numPr>
          <w:ilvl w:val="0"/>
          <w:numId w:val="0"/>
        </w:numPr>
        <w:tabs>
          <w:tab w:val="left" w:pos="720"/>
        </w:tabs>
        <w:ind w:hanging="720"/>
      </w:pPr>
      <w:r>
        <w:rPr>
          <w:sz w:val="20"/>
        </w:rPr>
        <w:t>254</w:t>
      </w:r>
      <w:r>
        <w:rPr>
          <w:sz w:val="20"/>
        </w:rPr>
        <w:tab/>
      </w:r>
      <w:r w:rsidR="0015198B">
        <w:t>Al</w:t>
      </w:r>
      <w:r w:rsidR="000C689F">
        <w:t>though I have no reason to consider that this will create a difficulty in this case, m</w:t>
      </w:r>
      <w:r w:rsidR="00CD70CF">
        <w:t>y preference would have been to appoin</w:t>
      </w:r>
      <w:r w:rsidR="000C689F">
        <w:t>t someone myself</w:t>
      </w:r>
      <w:r w:rsidR="00884547">
        <w:t>,</w:t>
      </w:r>
      <w:r w:rsidR="00CD70CF">
        <w:t xml:space="preserve"> but it is </w:t>
      </w:r>
      <w:r w:rsidR="00884547">
        <w:t xml:space="preserve">now </w:t>
      </w:r>
      <w:r w:rsidR="00CD70CF">
        <w:t>too late to do so.</w:t>
      </w:r>
    </w:p>
    <w:p w:rsidR="008E032D" w:rsidRDefault="003B3C7B" w:rsidP="003B3C7B">
      <w:pPr>
        <w:pStyle w:val="ParaNumbering"/>
        <w:numPr>
          <w:ilvl w:val="0"/>
          <w:numId w:val="0"/>
        </w:numPr>
        <w:tabs>
          <w:tab w:val="left" w:pos="720"/>
        </w:tabs>
        <w:ind w:hanging="720"/>
      </w:pPr>
      <w:r>
        <w:rPr>
          <w:sz w:val="20"/>
        </w:rPr>
        <w:t>255</w:t>
      </w:r>
      <w:r>
        <w:rPr>
          <w:sz w:val="20"/>
        </w:rPr>
        <w:tab/>
      </w:r>
      <w:r w:rsidR="00470496">
        <w:t xml:space="preserve">I am confident that AMPFP </w:t>
      </w:r>
      <w:r w:rsidR="00E94B42">
        <w:t>has been brought, through the persistence of ASIC,</w:t>
      </w:r>
      <w:r w:rsidR="00470496">
        <w:t xml:space="preserve"> </w:t>
      </w:r>
      <w:r w:rsidR="00E94B42">
        <w:t xml:space="preserve">to a position where it is </w:t>
      </w:r>
      <w:r w:rsidR="00470496">
        <w:t>now committed to doing the right thing</w:t>
      </w:r>
      <w:r w:rsidR="00884547">
        <w:t>,</w:t>
      </w:r>
      <w:r w:rsidR="00470496">
        <w:t xml:space="preserve"> but to make assurance doubly sure (and to reflect the fact that the pecuniary penalties have bee</w:t>
      </w:r>
      <w:r w:rsidR="00884547">
        <w:t>n</w:t>
      </w:r>
      <w:r w:rsidR="00470496">
        <w:t xml:space="preserve"> fixed on the </w:t>
      </w:r>
      <w:r w:rsidR="00884547">
        <w:t xml:space="preserve">expectation </w:t>
      </w:r>
      <w:r w:rsidR="00470496">
        <w:t xml:space="preserve">the RRP </w:t>
      </w:r>
      <w:r w:rsidR="00884547">
        <w:t xml:space="preserve">will be </w:t>
      </w:r>
      <w:r w:rsidR="00470496">
        <w:t>conducted properly</w:t>
      </w:r>
      <w:r w:rsidR="000E226D">
        <w:t xml:space="preserve"> and in accordance with what has been submitted to the Court</w:t>
      </w:r>
      <w:r w:rsidR="00470496">
        <w:t>) I propose to adjourn the proceeding until after the receipt of the affidavit</w:t>
      </w:r>
      <w:r w:rsidR="00E94B42">
        <w:t xml:space="preserve"> from the partner of PwC</w:t>
      </w:r>
      <w:r w:rsidR="00470496">
        <w:t xml:space="preserve"> to satisfy myself that no further steps are required to ensure the RRP is carried out in a way which fulfils AMPFP’s</w:t>
      </w:r>
      <w:r w:rsidR="00A65B9B">
        <w:t xml:space="preserve"> promises as to its operation. </w:t>
      </w:r>
      <w:r w:rsidR="00916954">
        <w:t xml:space="preserve">Put another way, I will trust, but then verify.  </w:t>
      </w:r>
      <w:r w:rsidR="00470496">
        <w:t>If I am satisfied with the information provided by way of affidavit</w:t>
      </w:r>
      <w:r w:rsidR="00884547">
        <w:t>,</w:t>
      </w:r>
      <w:r w:rsidR="00B8134F">
        <w:t xml:space="preserve"> then subject to hearing f</w:t>
      </w:r>
      <w:r w:rsidR="00470496">
        <w:t>r</w:t>
      </w:r>
      <w:r w:rsidR="00B8134F">
        <w:t>o</w:t>
      </w:r>
      <w:r w:rsidR="00470496">
        <w:t>m the parties, it would then be my intention to bring the proceeding to an end.</w:t>
      </w:r>
      <w:r w:rsidR="00F40047">
        <w:t xml:space="preserve"> </w:t>
      </w:r>
      <w:r w:rsidR="00470496">
        <w:t>If clarification is needed, the proceeding will be re</w:t>
      </w:r>
      <w:r w:rsidR="00884547">
        <w:t>-</w:t>
      </w:r>
      <w:r w:rsidR="00470496">
        <w:t>listed</w:t>
      </w:r>
      <w:r w:rsidR="00884547">
        <w:t xml:space="preserve">, and I will consider what further </w:t>
      </w:r>
      <w:r w:rsidR="00B8134F">
        <w:t xml:space="preserve">orders may be </w:t>
      </w:r>
      <w:r w:rsidR="00884547">
        <w:t>necessary to obtain further clarification as to the operation of the RRP or to ensure its proper c</w:t>
      </w:r>
      <w:r w:rsidR="00E94B42">
        <w:t>ompletion</w:t>
      </w:r>
      <w:r w:rsidR="00884547">
        <w:t>.</w:t>
      </w:r>
      <w:r w:rsidR="00725E00">
        <w:t xml:space="preserve"> </w:t>
      </w:r>
      <w:r w:rsidR="000E226D">
        <w:t xml:space="preserve">I stress this course is </w:t>
      </w:r>
      <w:r w:rsidR="00725E00">
        <w:t xml:space="preserve">not </w:t>
      </w:r>
      <w:r w:rsidR="000E226D">
        <w:t>adopted to foreshadow further punitive or other steps being</w:t>
      </w:r>
      <w:r w:rsidR="00725E00">
        <w:t xml:space="preserve"> </w:t>
      </w:r>
      <w:r w:rsidR="000E226D">
        <w:t>taken against AMPFP</w:t>
      </w:r>
      <w:r w:rsidR="00725E00">
        <w:t>,</w:t>
      </w:r>
      <w:r w:rsidR="000E226D">
        <w:t xml:space="preserve"> but </w:t>
      </w:r>
      <w:r w:rsidR="00725E00">
        <w:t xml:space="preserve">rather </w:t>
      </w:r>
      <w:r w:rsidR="000E226D">
        <w:t>reflects</w:t>
      </w:r>
      <w:r w:rsidR="000E226D" w:rsidRPr="000E226D">
        <w:t xml:space="preserve"> </w:t>
      </w:r>
      <w:r w:rsidR="000E226D">
        <w:t xml:space="preserve">the reality that the </w:t>
      </w:r>
      <w:r w:rsidR="000E226D" w:rsidRPr="000E226D">
        <w:t xml:space="preserve">pecuniary penalties </w:t>
      </w:r>
      <w:r w:rsidR="000E226D">
        <w:t xml:space="preserve">took into account that </w:t>
      </w:r>
      <w:r w:rsidR="000E226D" w:rsidRPr="000E226D">
        <w:t>there would be an effective remediation programme</w:t>
      </w:r>
      <w:r w:rsidR="000E226D">
        <w:t xml:space="preserve"> </w:t>
      </w:r>
      <w:r w:rsidR="00725E00">
        <w:t xml:space="preserve">as promised in the affidavit material and submissions, </w:t>
      </w:r>
      <w:r w:rsidR="000E226D">
        <w:t xml:space="preserve">and </w:t>
      </w:r>
      <w:r w:rsidR="00725E00">
        <w:t>it is appropriate that this be followed through to completion and then verified.</w:t>
      </w:r>
      <w:r w:rsidR="000E226D">
        <w:t xml:space="preserve"> </w:t>
      </w:r>
    </w:p>
    <w:p w:rsidR="002746E6" w:rsidRDefault="00925396" w:rsidP="00CA30FE">
      <w:pPr>
        <w:pStyle w:val="Heading3"/>
      </w:pPr>
      <w:bookmarkStart w:id="132" w:name="_Ref22827408"/>
      <w:r>
        <w:t>IV</w:t>
      </w:r>
      <w:r w:rsidR="005A44D8">
        <w:tab/>
      </w:r>
      <w:r w:rsidR="004F780B">
        <w:t>Forward</w:t>
      </w:r>
      <w:r w:rsidR="008D6C06">
        <w:t>-looking: c</w:t>
      </w:r>
      <w:r w:rsidR="00131B63">
        <w:t>ompliance plan</w:t>
      </w:r>
      <w:bookmarkEnd w:id="132"/>
    </w:p>
    <w:p w:rsidR="00A20C6A" w:rsidRPr="00F66BB2" w:rsidRDefault="003B3C7B" w:rsidP="003B3C7B">
      <w:pPr>
        <w:pStyle w:val="ParaNumbering"/>
        <w:numPr>
          <w:ilvl w:val="0"/>
          <w:numId w:val="0"/>
        </w:numPr>
        <w:tabs>
          <w:tab w:val="left" w:pos="720"/>
        </w:tabs>
        <w:ind w:hanging="720"/>
      </w:pPr>
      <w:r w:rsidRPr="00F66BB2">
        <w:rPr>
          <w:sz w:val="20"/>
        </w:rPr>
        <w:t>256</w:t>
      </w:r>
      <w:r w:rsidRPr="00F66BB2">
        <w:rPr>
          <w:sz w:val="20"/>
        </w:rPr>
        <w:tab/>
      </w:r>
      <w:r w:rsidR="00F66BB2">
        <w:rPr>
          <w:szCs w:val="24"/>
          <w:lang w:eastAsia="en-AU"/>
        </w:rPr>
        <w:t xml:space="preserve">At </w:t>
      </w:r>
      <w:r w:rsidR="003F7447">
        <w:rPr>
          <w:szCs w:val="24"/>
          <w:lang w:eastAsia="en-AU"/>
        </w:rPr>
        <w:t xml:space="preserve">the instigation </w:t>
      </w:r>
      <w:r w:rsidR="00F66BB2">
        <w:rPr>
          <w:szCs w:val="24"/>
          <w:lang w:eastAsia="en-AU"/>
        </w:rPr>
        <w:t>of the proceeding ASIC sought, pursuant to s 1101B to the Act, the following orders:</w:t>
      </w:r>
    </w:p>
    <w:p w:rsidR="00EE4341" w:rsidRDefault="003B3C7B" w:rsidP="003B3C7B">
      <w:pPr>
        <w:pStyle w:val="ListNo1"/>
        <w:numPr>
          <w:ilvl w:val="0"/>
          <w:numId w:val="0"/>
        </w:numPr>
        <w:tabs>
          <w:tab w:val="left" w:pos="720"/>
        </w:tabs>
        <w:ind w:left="720" w:hanging="720"/>
      </w:pPr>
      <w:r>
        <w:t>(1)</w:t>
      </w:r>
      <w:r>
        <w:tab/>
      </w:r>
      <w:r w:rsidR="00EE4341">
        <w:t>Pursuant to s 1101B of the Act, within two months after the date of these orders, AMPFP shall:</w:t>
      </w:r>
    </w:p>
    <w:p w:rsidR="00F66BB2" w:rsidRDefault="003B3C7B" w:rsidP="003B3C7B">
      <w:pPr>
        <w:pStyle w:val="ListNo2"/>
        <w:numPr>
          <w:ilvl w:val="0"/>
          <w:numId w:val="0"/>
        </w:numPr>
        <w:tabs>
          <w:tab w:val="left" w:pos="1440"/>
        </w:tabs>
        <w:ind w:left="1440" w:hanging="720"/>
      </w:pPr>
      <w:r>
        <w:t>(a)</w:t>
      </w:r>
      <w:r>
        <w:tab/>
      </w:r>
      <w:r w:rsidR="00F66BB2" w:rsidRPr="00F66BB2">
        <w:t>issue a policy (or other written communication) to its representatives which has the effect of prohibiting its representatives from engaging in Rewriting Conduct unless the representative clearly demonstrates, in writing, that such conduct is in the client’s best interests;</w:t>
      </w:r>
    </w:p>
    <w:p w:rsidR="00F66BB2" w:rsidRDefault="003B3C7B" w:rsidP="003B3C7B">
      <w:pPr>
        <w:pStyle w:val="ListNo2"/>
        <w:numPr>
          <w:ilvl w:val="0"/>
          <w:numId w:val="0"/>
        </w:numPr>
        <w:tabs>
          <w:tab w:val="left" w:pos="1440"/>
        </w:tabs>
        <w:ind w:left="1440" w:hanging="720"/>
      </w:pPr>
      <w:r>
        <w:lastRenderedPageBreak/>
        <w:t>(b)</w:t>
      </w:r>
      <w:r>
        <w:tab/>
      </w:r>
      <w:r w:rsidR="00F66BB2">
        <w:t>revise the training it provides to its representatives to reflect the policy or written communication referred to in sub-paragraph (a);</w:t>
      </w:r>
    </w:p>
    <w:p w:rsidR="00EE4341" w:rsidRDefault="003B3C7B" w:rsidP="003B3C7B">
      <w:pPr>
        <w:pStyle w:val="ListNo2"/>
        <w:numPr>
          <w:ilvl w:val="0"/>
          <w:numId w:val="0"/>
        </w:numPr>
        <w:tabs>
          <w:tab w:val="left" w:pos="1440"/>
        </w:tabs>
        <w:ind w:left="1440" w:hanging="720"/>
      </w:pPr>
      <w:r>
        <w:t>(c)</w:t>
      </w:r>
      <w:r>
        <w:tab/>
      </w:r>
      <w:r w:rsidR="00F66BB2">
        <w:t xml:space="preserve">review and revise its monitoring and supervision programme to ensure that it is designed to detect Rewriting Conduct that does not comply with </w:t>
      </w:r>
      <w:proofErr w:type="spellStart"/>
      <w:r w:rsidR="00F66BB2">
        <w:t>ss</w:t>
      </w:r>
      <w:proofErr w:type="spellEnd"/>
      <w:r w:rsidR="00F66BB2">
        <w:t xml:space="preserve"> 961B, 961G</w:t>
      </w:r>
      <w:r w:rsidR="00884547">
        <w:t xml:space="preserve"> </w:t>
      </w:r>
      <w:r w:rsidR="00F66BB2">
        <w:t>and/or 961J of the Act.</w:t>
      </w:r>
    </w:p>
    <w:p w:rsidR="002B6CB3" w:rsidRDefault="003B3C7B" w:rsidP="003B3C7B">
      <w:pPr>
        <w:pStyle w:val="ParaNumbering"/>
        <w:numPr>
          <w:ilvl w:val="0"/>
          <w:numId w:val="0"/>
        </w:numPr>
        <w:tabs>
          <w:tab w:val="left" w:pos="720"/>
        </w:tabs>
        <w:ind w:hanging="720"/>
      </w:pPr>
      <w:r>
        <w:rPr>
          <w:sz w:val="20"/>
        </w:rPr>
        <w:t>257</w:t>
      </w:r>
      <w:r>
        <w:rPr>
          <w:sz w:val="20"/>
        </w:rPr>
        <w:tab/>
      </w:r>
      <w:r w:rsidR="00F66BB2">
        <w:t>In addition, ASIC s</w:t>
      </w:r>
      <w:r w:rsidR="00EE4341">
        <w:t>ought an order that within six months AMPFP would provide ASIC with a written report of a suitably qualified independent expert confirming AMPFP’s compliance with the earlier order as well as a written attestation from a responsible officer also confirming compliance with the earlier order and setting out in sum</w:t>
      </w:r>
      <w:r w:rsidR="00DD53BE">
        <w:t xml:space="preserve">mary form any changes implemented </w:t>
      </w:r>
      <w:r w:rsidR="00EE4341">
        <w:t>pursuant to the earlier order.</w:t>
      </w:r>
    </w:p>
    <w:p w:rsidR="008E032D" w:rsidRDefault="003B3C7B" w:rsidP="003B3C7B">
      <w:pPr>
        <w:pStyle w:val="ParaNumbering"/>
        <w:numPr>
          <w:ilvl w:val="0"/>
          <w:numId w:val="0"/>
        </w:numPr>
        <w:tabs>
          <w:tab w:val="left" w:pos="720"/>
        </w:tabs>
        <w:ind w:hanging="720"/>
      </w:pPr>
      <w:r>
        <w:rPr>
          <w:sz w:val="20"/>
        </w:rPr>
        <w:t>258</w:t>
      </w:r>
      <w:r>
        <w:rPr>
          <w:sz w:val="20"/>
        </w:rPr>
        <w:tab/>
      </w:r>
      <w:r w:rsidR="009B52FD">
        <w:t>S</w:t>
      </w:r>
      <w:r w:rsidR="008E032D">
        <w:t>imilar forward-looking orders have been</w:t>
      </w:r>
      <w:r w:rsidR="005062CC">
        <w:t xml:space="preserve"> made previously under s 1101B: </w:t>
      </w:r>
      <w:r w:rsidR="008E032D">
        <w:t>see, for example,</w:t>
      </w:r>
      <w:r w:rsidR="007624FF">
        <w:t xml:space="preserve"> </w:t>
      </w:r>
      <w:r w:rsidR="007624FF">
        <w:rPr>
          <w:i/>
        </w:rPr>
        <w:t>ASIC v Westpac</w:t>
      </w:r>
      <w:r w:rsidR="008E032D" w:rsidRPr="00952BBB">
        <w:rPr>
          <w:i/>
        </w:rPr>
        <w:t xml:space="preserve"> (No 3)</w:t>
      </w:r>
      <w:r w:rsidR="008E032D">
        <w:t>.</w:t>
      </w:r>
      <w:r w:rsidR="00F40047">
        <w:t xml:space="preserve"> </w:t>
      </w:r>
      <w:r w:rsidR="008E032D">
        <w:t xml:space="preserve">However, the touchstone of such orders is as Beach J said at </w:t>
      </w:r>
      <w:r w:rsidR="00A65B9B">
        <w:t xml:space="preserve">621 </w:t>
      </w:r>
      <w:r w:rsidR="008E032D">
        <w:t>[185]</w:t>
      </w:r>
      <w:r w:rsidR="009B52FD">
        <w:t>,</w:t>
      </w:r>
      <w:r w:rsidR="008E032D" w:rsidRPr="00AE7A81">
        <w:t xml:space="preserve"> whether such an order “is necessary in light of the particular circumstances of the contravention, other relief proposed to be granted, and in particular in light of any existing compliance </w:t>
      </w:r>
      <w:r w:rsidR="00826744">
        <w:t xml:space="preserve">programme </w:t>
      </w:r>
      <w:r w:rsidR="008E032D" w:rsidRPr="00AE7A81">
        <w:t>and steps taken sin</w:t>
      </w:r>
      <w:r w:rsidR="008E032D">
        <w:t>ce the contravention occurred”.</w:t>
      </w:r>
    </w:p>
    <w:p w:rsidR="002E6FAC" w:rsidRDefault="003B3C7B" w:rsidP="003B3C7B">
      <w:pPr>
        <w:pStyle w:val="ParaNumbering"/>
        <w:numPr>
          <w:ilvl w:val="0"/>
          <w:numId w:val="0"/>
        </w:numPr>
        <w:tabs>
          <w:tab w:val="left" w:pos="720"/>
        </w:tabs>
        <w:ind w:hanging="720"/>
      </w:pPr>
      <w:r>
        <w:rPr>
          <w:sz w:val="20"/>
        </w:rPr>
        <w:t>259</w:t>
      </w:r>
      <w:r>
        <w:rPr>
          <w:sz w:val="20"/>
        </w:rPr>
        <w:tab/>
      </w:r>
      <w:r w:rsidR="00187387">
        <w:t>AMP</w:t>
      </w:r>
      <w:r w:rsidR="002E6FAC">
        <w:t>FP</w:t>
      </w:r>
      <w:r w:rsidR="00187387">
        <w:t xml:space="preserve"> resisted a number of aspects of the proposed orders</w:t>
      </w:r>
      <w:r w:rsidR="002E6FAC">
        <w:t>, including that it</w:t>
      </w:r>
      <w:r w:rsidR="00884547">
        <w:t xml:space="preserve"> have an obligation to</w:t>
      </w:r>
      <w:r w:rsidR="002E6FAC">
        <w:t>:</w:t>
      </w:r>
      <w:r w:rsidR="008528C1">
        <w:t xml:space="preserve"> (a) </w:t>
      </w:r>
      <w:r w:rsidR="002E6FAC" w:rsidRPr="002E6FAC">
        <w:t>review the incentives framework to address the differences in commissions paid to AMPFP’s representatives depending on whether insurance is transferred or subject to Rewriting Conduct</w:t>
      </w:r>
      <w:r w:rsidR="002E6FAC">
        <w:t>;</w:t>
      </w:r>
      <w:r w:rsidR="008528C1">
        <w:t xml:space="preserve"> and (b) </w:t>
      </w:r>
      <w:r w:rsidR="002E6FAC" w:rsidRPr="002E6FAC">
        <w:t>discuss with AMP Life possible changes to transfer polices and the processes used by AMP Life’s underwriting and new business teams in processing applications, in order to detect Rewriting Conduct</w:t>
      </w:r>
      <w:r w:rsidR="002E6FAC">
        <w:t>.</w:t>
      </w:r>
    </w:p>
    <w:p w:rsidR="002B6CB3" w:rsidRDefault="003B3C7B" w:rsidP="003B3C7B">
      <w:pPr>
        <w:pStyle w:val="ParaNumbering"/>
        <w:numPr>
          <w:ilvl w:val="0"/>
          <w:numId w:val="0"/>
        </w:numPr>
        <w:tabs>
          <w:tab w:val="left" w:pos="720"/>
        </w:tabs>
        <w:ind w:hanging="720"/>
      </w:pPr>
      <w:r>
        <w:rPr>
          <w:sz w:val="20"/>
        </w:rPr>
        <w:t>260</w:t>
      </w:r>
      <w:r>
        <w:rPr>
          <w:sz w:val="20"/>
        </w:rPr>
        <w:tab/>
      </w:r>
      <w:r w:rsidR="001B326C">
        <w:t>AMPFP’s reasons for contending that such orders were unnecessary were twofold:</w:t>
      </w:r>
      <w:r w:rsidR="007D6A85">
        <w:t xml:space="preserve"> </w:t>
      </w:r>
      <w:r w:rsidR="008D5432" w:rsidRPr="007D6A85">
        <w:rPr>
          <w:i/>
        </w:rPr>
        <w:t>first</w:t>
      </w:r>
      <w:r w:rsidR="001B326C">
        <w:t xml:space="preserve">, </w:t>
      </w:r>
      <w:r w:rsidR="00884547">
        <w:t xml:space="preserve">yet again, that </w:t>
      </w:r>
      <w:r w:rsidR="001B326C">
        <w:t>there was no basis for a factual finding that</w:t>
      </w:r>
      <w:r w:rsidR="00661D4C">
        <w:t xml:space="preserve"> Rewriting Conduct was in fact common or widespread </w:t>
      </w:r>
      <w:r w:rsidR="001B326C">
        <w:t xml:space="preserve">or that it had reason to believe that </w:t>
      </w:r>
      <w:r w:rsidR="00661D4C">
        <w:t>it was</w:t>
      </w:r>
      <w:r w:rsidR="003610AB">
        <w:t>; and</w:t>
      </w:r>
      <w:r w:rsidR="007D6A85">
        <w:t xml:space="preserve"> </w:t>
      </w:r>
      <w:r w:rsidR="00342406" w:rsidRPr="007D6A85">
        <w:rPr>
          <w:i/>
        </w:rPr>
        <w:t>secondly</w:t>
      </w:r>
      <w:r w:rsidR="00342406">
        <w:t>,</w:t>
      </w:r>
      <w:r w:rsidR="00342406" w:rsidRPr="007D6A85">
        <w:rPr>
          <w:i/>
        </w:rPr>
        <w:t xml:space="preserve"> </w:t>
      </w:r>
      <w:r w:rsidR="007124BE">
        <w:t xml:space="preserve">AMP Life, </w:t>
      </w:r>
      <w:r w:rsidR="008D6DE9">
        <w:t xml:space="preserve">not </w:t>
      </w:r>
      <w:r w:rsidR="007124BE">
        <w:t>being a party to the proceeding,</w:t>
      </w:r>
      <w:r w:rsidR="008D6DE9">
        <w:t xml:space="preserve"> was on the verge of being sold and in circumstances where AMP Life</w:t>
      </w:r>
      <w:r w:rsidR="007124BE">
        <w:t xml:space="preserve"> ultimately would come to be owned by </w:t>
      </w:r>
      <w:r w:rsidR="008D6DE9">
        <w:t>an unrelated entity, the order would be inappropriate.</w:t>
      </w:r>
      <w:r w:rsidR="00AE19D6">
        <w:t xml:space="preserve"> I was informed at one stage of the hearing that the sale to AMP Life was unlikely to proceed and ASIC submitted that the prospect of a sale should not be given any weight.</w:t>
      </w:r>
    </w:p>
    <w:p w:rsidR="00FE4CAC" w:rsidRDefault="003B3C7B" w:rsidP="003B3C7B">
      <w:pPr>
        <w:pStyle w:val="ParaNumbering"/>
        <w:numPr>
          <w:ilvl w:val="0"/>
          <w:numId w:val="0"/>
        </w:numPr>
        <w:tabs>
          <w:tab w:val="left" w:pos="720"/>
        </w:tabs>
        <w:ind w:hanging="720"/>
      </w:pPr>
      <w:r>
        <w:rPr>
          <w:sz w:val="20"/>
        </w:rPr>
        <w:t>261</w:t>
      </w:r>
      <w:r>
        <w:rPr>
          <w:sz w:val="20"/>
        </w:rPr>
        <w:tab/>
      </w:r>
      <w:r w:rsidR="003361D6">
        <w:t>I have reservations as to the first objection</w:t>
      </w:r>
      <w:r w:rsidR="00725E00">
        <w:t>, particularly as to the latter period of the contraventions</w:t>
      </w:r>
      <w:r w:rsidR="009B52FD">
        <w:t>,</w:t>
      </w:r>
      <w:r w:rsidR="00661D4C">
        <w:t xml:space="preserve"> </w:t>
      </w:r>
      <w:r w:rsidR="0048757F">
        <w:t xml:space="preserve">but </w:t>
      </w:r>
      <w:r w:rsidR="009B52FD">
        <w:t>t</w:t>
      </w:r>
      <w:r w:rsidR="008528C1">
        <w:t xml:space="preserve">here are sound reasons to </w:t>
      </w:r>
      <w:r w:rsidR="003361D6">
        <w:t xml:space="preserve">pause before </w:t>
      </w:r>
      <w:r w:rsidR="008528C1">
        <w:t xml:space="preserve">making </w:t>
      </w:r>
      <w:r w:rsidR="0013330E">
        <w:t xml:space="preserve">orders which require people to discuss matters with </w:t>
      </w:r>
      <w:r w:rsidR="008528C1">
        <w:t xml:space="preserve">other </w:t>
      </w:r>
      <w:r w:rsidR="0013330E">
        <w:t>people.</w:t>
      </w:r>
      <w:r w:rsidR="00F40047">
        <w:t xml:space="preserve"> </w:t>
      </w:r>
      <w:r w:rsidR="00CF6317">
        <w:t>I am persuaded by AMPFP’s submission that an orde</w:t>
      </w:r>
      <w:r w:rsidR="009F71AC">
        <w:t xml:space="preserve">r </w:t>
      </w:r>
      <w:r w:rsidR="009F71AC">
        <w:lastRenderedPageBreak/>
        <w:t>compelling discussions is un</w:t>
      </w:r>
      <w:r w:rsidR="00CF6317">
        <w:t>necessary</w:t>
      </w:r>
      <w:r w:rsidR="009F71AC">
        <w:t xml:space="preserve">; indeed </w:t>
      </w:r>
      <w:r w:rsidR="00CF6317">
        <w:t>it seems to be at the outer limits of the principled exercise of judicial power.</w:t>
      </w:r>
      <w:r w:rsidR="00F40047">
        <w:t xml:space="preserve"> </w:t>
      </w:r>
      <w:r w:rsidR="00FE4CAC">
        <w:t>Orders should be</w:t>
      </w:r>
      <w:r w:rsidR="005147FA">
        <w:t xml:space="preserve"> </w:t>
      </w:r>
      <w:r w:rsidR="005147FA" w:rsidRPr="005147FA">
        <w:t>“clear, unambigu</w:t>
      </w:r>
      <w:r w:rsidR="007D6A85">
        <w:t>ous and capable of compliance”</w:t>
      </w:r>
      <w:r w:rsidR="005147FA">
        <w:t xml:space="preserve"> if they are to be enforced </w:t>
      </w:r>
      <w:r w:rsidR="007D6A85">
        <w:t xml:space="preserve">potentially </w:t>
      </w:r>
      <w:r w:rsidR="005147FA">
        <w:t>by way of contempt proceedings</w:t>
      </w:r>
      <w:r w:rsidR="00E67A25">
        <w:t xml:space="preserve">: </w:t>
      </w:r>
      <w:proofErr w:type="spellStart"/>
      <w:r w:rsidR="00981ABF" w:rsidRPr="005147FA">
        <w:rPr>
          <w:i/>
        </w:rPr>
        <w:t>Advan</w:t>
      </w:r>
      <w:proofErr w:type="spellEnd"/>
      <w:r w:rsidR="00981ABF" w:rsidRPr="005147FA">
        <w:rPr>
          <w:i/>
        </w:rPr>
        <w:t xml:space="preserve"> Investments Pty Ltd v Dean Gleeson Motor Sales Pty Ltd</w:t>
      </w:r>
      <w:r w:rsidR="00981ABF" w:rsidRPr="005147FA">
        <w:t xml:space="preserve"> [2003] VSC 201</w:t>
      </w:r>
      <w:r w:rsidR="00981ABF">
        <w:t xml:space="preserve"> at [31] (Gillard J)</w:t>
      </w:r>
      <w:r w:rsidR="008528C1">
        <w:t>.</w:t>
      </w:r>
      <w:r w:rsidR="005A06EB">
        <w:t xml:space="preserve"> </w:t>
      </w:r>
      <w:r w:rsidR="009B52FD">
        <w:t>I am not satisfied that the proposed order is necessary and sufficiently precise as to have utility.</w:t>
      </w:r>
    </w:p>
    <w:p w:rsidR="003D5E75" w:rsidRPr="002746E6" w:rsidRDefault="003B3C7B" w:rsidP="003B3C7B">
      <w:pPr>
        <w:pStyle w:val="ParaNumbering"/>
        <w:numPr>
          <w:ilvl w:val="0"/>
          <w:numId w:val="0"/>
        </w:numPr>
        <w:tabs>
          <w:tab w:val="left" w:pos="720"/>
        </w:tabs>
        <w:ind w:hanging="720"/>
      </w:pPr>
      <w:r w:rsidRPr="002746E6">
        <w:rPr>
          <w:sz w:val="20"/>
        </w:rPr>
        <w:t>262</w:t>
      </w:r>
      <w:r w:rsidRPr="002746E6">
        <w:rPr>
          <w:sz w:val="20"/>
        </w:rPr>
        <w:tab/>
      </w:r>
      <w:r w:rsidR="001B4F6E">
        <w:t>Aside from those aspects of the compliance plan requiring discussions between AMP</w:t>
      </w:r>
      <w:r w:rsidR="0027022C">
        <w:t>FP</w:t>
      </w:r>
      <w:r w:rsidR="001B4F6E">
        <w:t xml:space="preserve"> a</w:t>
      </w:r>
      <w:r w:rsidR="005147FA">
        <w:t>nd AMP Life and other entities,</w:t>
      </w:r>
      <w:r w:rsidR="00F0032C">
        <w:t xml:space="preserve"> a</w:t>
      </w:r>
      <w:r w:rsidR="002B6CB3">
        <w:t>s with</w:t>
      </w:r>
      <w:r w:rsidR="001B4F6E">
        <w:t xml:space="preserve"> the RRP</w:t>
      </w:r>
      <w:r w:rsidR="008528C1">
        <w:t xml:space="preserve">, </w:t>
      </w:r>
      <w:r w:rsidR="002B6CB3">
        <w:t xml:space="preserve">it more appropriate that the </w:t>
      </w:r>
      <w:r w:rsidR="001B4F6E">
        <w:t xml:space="preserve">balance of </w:t>
      </w:r>
      <w:r w:rsidR="002B6CB3">
        <w:t>compliance plan be contained in the form of an o</w:t>
      </w:r>
      <w:r w:rsidR="001B4F6E">
        <w:t>rder rather than an undertaking.</w:t>
      </w:r>
    </w:p>
    <w:p w:rsidR="00DE40D9" w:rsidRDefault="003B3C7B" w:rsidP="00666B34">
      <w:pPr>
        <w:pStyle w:val="Heading1"/>
        <w:spacing w:line="276" w:lineRule="auto"/>
        <w:rPr>
          <w:caps w:val="0"/>
        </w:rPr>
      </w:pPr>
      <w:bookmarkStart w:id="133" w:name="_Ref22827409"/>
      <w:r>
        <w:rPr>
          <w:caps w:val="0"/>
        </w:rPr>
        <w:t xml:space="preserve">I </w:t>
      </w:r>
      <w:r>
        <w:rPr>
          <w:caps w:val="0"/>
        </w:rPr>
        <w:tab/>
        <w:t>CONCLUSION AND ORDERS</w:t>
      </w:r>
      <w:bookmarkEnd w:id="128"/>
      <w:bookmarkEnd w:id="133"/>
      <w:r>
        <w:rPr>
          <w:caps w:val="0"/>
        </w:rPr>
        <w:t xml:space="preserve"> </w:t>
      </w:r>
    </w:p>
    <w:p w:rsidR="006A5340" w:rsidRDefault="003B3C7B" w:rsidP="003B3C7B">
      <w:pPr>
        <w:pStyle w:val="ParaNumbering"/>
        <w:numPr>
          <w:ilvl w:val="0"/>
          <w:numId w:val="0"/>
        </w:numPr>
        <w:tabs>
          <w:tab w:val="left" w:pos="720"/>
        </w:tabs>
        <w:ind w:hanging="720"/>
      </w:pPr>
      <w:r>
        <w:rPr>
          <w:sz w:val="20"/>
        </w:rPr>
        <w:t>263</w:t>
      </w:r>
      <w:r>
        <w:rPr>
          <w:sz w:val="20"/>
        </w:rPr>
        <w:tab/>
      </w:r>
      <w:r w:rsidR="00F66DEB">
        <w:t>I</w:t>
      </w:r>
      <w:r w:rsidR="0038700F">
        <w:t xml:space="preserve"> note that prior to deliver</w:t>
      </w:r>
      <w:r w:rsidR="00497211">
        <w:t>y</w:t>
      </w:r>
      <w:r w:rsidR="0038700F">
        <w:t xml:space="preserve"> of my reasons</w:t>
      </w:r>
      <w:r w:rsidR="00BE1A88">
        <w:t xml:space="preserve"> the parties have provided my C</w:t>
      </w:r>
      <w:r w:rsidR="00F66DEB">
        <w:t xml:space="preserve">hambers with competing sets of proposed orders. It may be that the wording of </w:t>
      </w:r>
      <w:r w:rsidR="0038700F">
        <w:t>many of these</w:t>
      </w:r>
      <w:r w:rsidR="00F66DEB">
        <w:t xml:space="preserve"> proposed orders can remain unchanged</w:t>
      </w:r>
      <w:r w:rsidR="0038700F">
        <w:t xml:space="preserve"> </w:t>
      </w:r>
      <w:r w:rsidR="001C12F5">
        <w:t>to the extent they</w:t>
      </w:r>
      <w:r w:rsidR="001D6EE8">
        <w:t xml:space="preserve"> reflect</w:t>
      </w:r>
      <w:r w:rsidR="0038700F">
        <w:t xml:space="preserve"> my reasons</w:t>
      </w:r>
      <w:r w:rsidR="001D6EE8">
        <w:t>.</w:t>
      </w:r>
      <w:r w:rsidR="0038700F">
        <w:t xml:space="preserve"> </w:t>
      </w:r>
      <w:r w:rsidR="001D6EE8">
        <w:t xml:space="preserve">However, </w:t>
      </w:r>
      <w:r w:rsidR="009B52FD">
        <w:t xml:space="preserve">as foreshowed on the final day of the hearing, </w:t>
      </w:r>
      <w:r w:rsidR="0038700F">
        <w:t>I consider it more efficient for the parties to have</w:t>
      </w:r>
      <w:r w:rsidR="001D6EE8">
        <w:t xml:space="preserve"> seven days to consider my reasons</w:t>
      </w:r>
      <w:r w:rsidR="009150B6">
        <w:t xml:space="preserve"> and b</w:t>
      </w:r>
      <w:r w:rsidR="008E032D">
        <w:t>ring in revised proposed orders, whether by consent</w:t>
      </w:r>
      <w:r w:rsidR="003361D6">
        <w:t>,</w:t>
      </w:r>
      <w:r w:rsidR="008E032D">
        <w:t xml:space="preserve"> or </w:t>
      </w:r>
      <w:r w:rsidR="003361D6">
        <w:t xml:space="preserve">otherwise. If orders cannot be agreed, I will </w:t>
      </w:r>
      <w:r w:rsidR="00916954">
        <w:t xml:space="preserve">list the matter and </w:t>
      </w:r>
      <w:r w:rsidR="003361D6">
        <w:t>hear further from the parties</w:t>
      </w:r>
      <w:r w:rsidR="008E032D">
        <w:t>.</w:t>
      </w:r>
      <w:bookmarkStart w:id="134" w:name="Certification"/>
    </w:p>
    <w:tbl>
      <w:tblPr>
        <w:tblW w:w="0" w:type="auto"/>
        <w:tblLook w:val="04A0" w:firstRow="1" w:lastRow="0" w:firstColumn="1" w:lastColumn="0" w:noHBand="0" w:noVBand="1"/>
      </w:tblPr>
      <w:tblGrid>
        <w:gridCol w:w="3794"/>
      </w:tblGrid>
      <w:tr w:rsidR="006A5340" w:rsidRPr="006A5340">
        <w:tc>
          <w:tcPr>
            <w:tcW w:w="3794" w:type="dxa"/>
            <w:shd w:val="clear" w:color="auto" w:fill="auto"/>
          </w:tcPr>
          <w:p w:rsidR="006A5340" w:rsidRPr="006A5340" w:rsidRDefault="006A5340" w:rsidP="006A5340">
            <w:pPr>
              <w:pStyle w:val="Normal1linespace"/>
            </w:pPr>
            <w:r w:rsidRPr="006A5340">
              <w:t xml:space="preserve">I certify that the preceding </w:t>
            </w:r>
            <w:bookmarkStart w:id="135" w:name="NumberWord"/>
            <w:r>
              <w:t>two hundred and sixty-three</w:t>
            </w:r>
            <w:bookmarkEnd w:id="135"/>
            <w:r w:rsidRPr="006A5340">
              <w:t xml:space="preserve"> (</w:t>
            </w:r>
            <w:bookmarkStart w:id="136" w:name="NumberNumeral"/>
            <w:r>
              <w:t>263</w:t>
            </w:r>
            <w:bookmarkEnd w:id="136"/>
            <w:r w:rsidRPr="006A5340">
              <w:t xml:space="preserve">) numbered </w:t>
            </w:r>
            <w:bookmarkStart w:id="137" w:name="CertPara"/>
            <w:r>
              <w:t>paragraphs are</w:t>
            </w:r>
            <w:bookmarkEnd w:id="137"/>
            <w:r w:rsidRPr="006A5340">
              <w:t xml:space="preserve"> a true copy of the Reasons for Judgment herein of the Honourable </w:t>
            </w:r>
            <w:bookmarkStart w:id="138" w:name="Justice"/>
            <w:r>
              <w:t>Justice Lee</w:t>
            </w:r>
            <w:bookmarkEnd w:id="138"/>
            <w:r w:rsidRPr="006A5340">
              <w:t>.</w:t>
            </w:r>
          </w:p>
        </w:tc>
      </w:tr>
    </w:tbl>
    <w:p w:rsidR="006A5340" w:rsidRDefault="006A5340" w:rsidP="00627BDF">
      <w:pPr>
        <w:pStyle w:val="BodyText"/>
      </w:pPr>
    </w:p>
    <w:p w:rsidR="006A5340" w:rsidRDefault="006A5340" w:rsidP="00627BDF">
      <w:pPr>
        <w:pStyle w:val="BodyText"/>
      </w:pPr>
      <w:r>
        <w:t xml:space="preserve">Associate: </w:t>
      </w:r>
    </w:p>
    <w:p w:rsidR="006A5340" w:rsidRDefault="006A5340" w:rsidP="00627BDF">
      <w:pPr>
        <w:pStyle w:val="BodyText"/>
      </w:pPr>
    </w:p>
    <w:p w:rsidR="006A5340" w:rsidRDefault="006A5340" w:rsidP="00627BDF">
      <w:pPr>
        <w:pStyle w:val="BodyText"/>
        <w:tabs>
          <w:tab w:val="left" w:pos="1134"/>
        </w:tabs>
      </w:pPr>
      <w:r>
        <w:t>Dated:</w:t>
      </w:r>
      <w:r>
        <w:tab/>
      </w:r>
      <w:bookmarkStart w:id="139" w:name="CertifyDated"/>
      <w:r>
        <w:t>5 February 2020</w:t>
      </w:r>
      <w:bookmarkEnd w:id="139"/>
    </w:p>
    <w:p w:rsidR="006A5340" w:rsidRDefault="006A5340" w:rsidP="00627BDF">
      <w:pPr>
        <w:pStyle w:val="BodyText"/>
      </w:pPr>
    </w:p>
    <w:bookmarkEnd w:id="134"/>
    <w:p w:rsidR="006A5340" w:rsidRPr="004A57F5" w:rsidRDefault="006A5340" w:rsidP="006A5340">
      <w:pPr>
        <w:pStyle w:val="BodyText"/>
      </w:pPr>
    </w:p>
    <w:sectPr w:rsidR="006A5340" w:rsidRPr="004A57F5" w:rsidSect="00A04AF6">
      <w:endnotePr>
        <w:numFmt w:val="decimal"/>
      </w:endnotePr>
      <w:pgSz w:w="11907" w:h="16840" w:code="9"/>
      <w:pgMar w:top="1418"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8E" w:rsidRDefault="0012268E">
      <w:pPr>
        <w:spacing w:line="20" w:lineRule="exact"/>
      </w:pPr>
    </w:p>
    <w:p w:rsidR="0012268E" w:rsidRDefault="0012268E"/>
    <w:p w:rsidR="0012268E" w:rsidRDefault="0012268E"/>
  </w:endnote>
  <w:endnote w:type="continuationSeparator" w:id="0">
    <w:p w:rsidR="0012268E" w:rsidRDefault="0012268E">
      <w:r>
        <w:t xml:space="preserve"> </w:t>
      </w:r>
    </w:p>
    <w:p w:rsidR="0012268E" w:rsidRDefault="0012268E"/>
    <w:p w:rsidR="0012268E" w:rsidRDefault="0012268E"/>
  </w:endnote>
  <w:endnote w:type="continuationNotice" w:id="1">
    <w:p w:rsidR="0012268E" w:rsidRDefault="0012268E">
      <w:r>
        <w:t xml:space="preserve"> </w:t>
      </w:r>
    </w:p>
    <w:p w:rsidR="0012268E" w:rsidRDefault="0012268E"/>
    <w:p w:rsidR="0012268E" w:rsidRDefault="00122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7B" w:rsidRDefault="003B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7B" w:rsidRDefault="003B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7B" w:rsidRDefault="003B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8E" w:rsidRDefault="0012268E"/>
    <w:p w:rsidR="0012268E" w:rsidRDefault="0012268E"/>
    <w:p w:rsidR="0012268E" w:rsidRDefault="0012268E"/>
  </w:footnote>
  <w:footnote w:type="continuationSeparator" w:id="0">
    <w:p w:rsidR="0012268E" w:rsidRDefault="0012268E">
      <w:r>
        <w:continuationSeparator/>
      </w:r>
    </w:p>
    <w:p w:rsidR="0012268E" w:rsidRDefault="0012268E"/>
    <w:p w:rsidR="0012268E" w:rsidRDefault="001226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7B" w:rsidRDefault="003B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68155"/>
      <w:docPartObj>
        <w:docPartGallery w:val="Page Numbers (Top of Page)"/>
        <w:docPartUnique/>
      </w:docPartObj>
    </w:sdtPr>
    <w:sdtEndPr>
      <w:rPr>
        <w:noProof/>
      </w:rPr>
    </w:sdtEndPr>
    <w:sdtContent>
      <w:p w:rsidR="00A04AF6" w:rsidRDefault="00A04AF6">
        <w:pPr>
          <w:pStyle w:val="Header"/>
          <w:jc w:val="center"/>
        </w:pPr>
        <w:r>
          <w:fldChar w:fldCharType="begin"/>
        </w:r>
        <w:r>
          <w:instrText xml:space="preserve"> PAGE   \* MERGEFORMAT </w:instrText>
        </w:r>
        <w:r>
          <w:fldChar w:fldCharType="separate"/>
        </w:r>
        <w:r w:rsidR="00FA439A">
          <w:rPr>
            <w:noProof/>
          </w:rPr>
          <w:t>44</w:t>
        </w:r>
        <w:r>
          <w:rPr>
            <w:noProof/>
          </w:rPr>
          <w:fldChar w:fldCharType="end"/>
        </w:r>
      </w:p>
    </w:sdtContent>
  </w:sdt>
  <w:p w:rsidR="0012268E" w:rsidRDefault="0012268E" w:rsidP="007D7BFF">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F6" w:rsidRDefault="00A04AF6">
    <w:pPr>
      <w:pStyle w:val="Header"/>
      <w:jc w:val="center"/>
    </w:pPr>
  </w:p>
  <w:p w:rsidR="0012268E" w:rsidRDefault="0012268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F04C7AC"/>
    <w:lvl w:ilvl="0">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3"/>
        <w:szCs w:val="23"/>
      </w:rPr>
    </w:lvl>
    <w:lvl w:ilvl="1">
      <w:start w:val="1"/>
      <w:numFmt w:val="lowerLetter"/>
      <w:lvlText w:val="(%2)"/>
      <w:lvlJc w:val="left"/>
      <w:pPr>
        <w:widowControl w:val="0"/>
        <w:autoSpaceDE w:val="0"/>
        <w:autoSpaceDN w:val="0"/>
        <w:adjustRightInd w:val="0"/>
        <w:spacing w:after="240" w:line="360" w:lineRule="auto"/>
        <w:ind w:left="1440" w:hanging="703"/>
        <w:jc w:val="both"/>
      </w:pPr>
      <w:rPr>
        <w:rFonts w:ascii="Times New Roman" w:hAnsi="Times New Roman" w:cs="Times New Roman"/>
        <w:sz w:val="23"/>
        <w:szCs w:val="23"/>
      </w:rPr>
    </w:lvl>
    <w:lvl w:ilvl="2">
      <w:start w:val="1"/>
      <w:numFmt w:val="lowerRoman"/>
      <w:lvlText w:val="(%3)"/>
      <w:lvlJc w:val="left"/>
      <w:pPr>
        <w:widowControl w:val="0"/>
        <w:autoSpaceDE w:val="0"/>
        <w:autoSpaceDN w:val="0"/>
        <w:adjustRightInd w:val="0"/>
        <w:spacing w:after="240" w:line="360" w:lineRule="auto"/>
        <w:ind w:left="2552" w:hanging="1191"/>
        <w:jc w:val="both"/>
      </w:pPr>
      <w:rPr>
        <w:rFonts w:ascii="Times New Roman" w:hAnsi="Times New Roman" w:cs="Times New Roman"/>
        <w:sz w:val="23"/>
        <w:szCs w:val="23"/>
      </w:rPr>
    </w:lvl>
    <w:lvl w:ilvl="3">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3"/>
        <w:szCs w:val="23"/>
      </w:rPr>
    </w:lvl>
    <w:lvl w:ilvl="4">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3"/>
        <w:szCs w:val="23"/>
      </w:rPr>
    </w:lvl>
    <w:lvl w:ilvl="5">
      <w:start w:val="1"/>
      <w:numFmt w:val="lowerRoman"/>
      <w:lvlText w:val="%6."/>
      <w:lvlJc w:val="left"/>
      <w:pPr>
        <w:widowControl w:val="0"/>
        <w:autoSpaceDE w:val="0"/>
        <w:autoSpaceDN w:val="0"/>
        <w:adjustRightInd w:val="0"/>
        <w:spacing w:after="240" w:line="360" w:lineRule="auto"/>
        <w:ind w:left="4320" w:hanging="180"/>
        <w:jc w:val="both"/>
      </w:pPr>
      <w:rPr>
        <w:rFonts w:ascii="Times New Roman" w:hAnsi="Times New Roman" w:cs="Times New Roman"/>
        <w:sz w:val="23"/>
        <w:szCs w:val="23"/>
      </w:rPr>
    </w:lvl>
    <w:lvl w:ilvl="6">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3"/>
        <w:szCs w:val="23"/>
      </w:rPr>
    </w:lvl>
    <w:lvl w:ilvl="7">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3"/>
        <w:szCs w:val="23"/>
      </w:rPr>
    </w:lvl>
    <w:lvl w:ilvl="8">
      <w:start w:val="1"/>
      <w:numFmt w:val="lowerRoman"/>
      <w:lvlText w:val="%9."/>
      <w:lvlJc w:val="left"/>
      <w:pPr>
        <w:widowControl w:val="0"/>
        <w:autoSpaceDE w:val="0"/>
        <w:autoSpaceDN w:val="0"/>
        <w:adjustRightInd w:val="0"/>
        <w:spacing w:after="240" w:line="360" w:lineRule="auto"/>
        <w:ind w:left="6480" w:hanging="180"/>
        <w:jc w:val="both"/>
      </w:pPr>
      <w:rPr>
        <w:rFonts w:ascii="Times New Roman" w:hAnsi="Times New Roman" w:cs="Times New Roman"/>
        <w:sz w:val="23"/>
        <w:szCs w:val="23"/>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F2339A5"/>
    <w:multiLevelType w:val="hybridMultilevel"/>
    <w:tmpl w:val="3FE4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3DD1"/>
    <w:multiLevelType w:val="singleLevel"/>
    <w:tmpl w:val="3CBA05E6"/>
    <w:lvl w:ilvl="0">
      <w:start w:val="1"/>
      <w:numFmt w:val="decimal"/>
      <w:lvlRestart w:val="0"/>
      <w:pStyle w:val="ParaNumbering"/>
      <w:lvlText w:val="%1"/>
      <w:lvlJc w:val="left"/>
      <w:pPr>
        <w:tabs>
          <w:tab w:val="num" w:pos="8811"/>
        </w:tabs>
        <w:ind w:left="8091" w:hanging="720"/>
      </w:pPr>
      <w:rPr>
        <w:rFonts w:hint="default"/>
        <w:i w:val="0"/>
        <w:sz w:val="20"/>
        <w:szCs w:val="20"/>
        <w:vertAlign w:val="baseline"/>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6"/>
  </w:num>
  <w:num w:numId="23">
    <w:abstractNumId w:val="16"/>
  </w:num>
  <w:num w:numId="24">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9">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2">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4">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5">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0"/>
    <w:lvlOverride w:ilvl="0">
      <w:lvl w:ilvl="0">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trike w:val="0"/>
          <w:color w:val="auto"/>
          <w:sz w:val="24"/>
          <w:szCs w:val="24"/>
          <w:u w:val="none"/>
        </w:rPr>
      </w:lvl>
    </w:lvlOverride>
    <w:lvlOverride w:ilvl="1">
      <w:lvl w:ilvl="1">
        <w:start w:val="1"/>
        <w:numFmt w:val="lowerLetter"/>
        <w:lvlText w:val="(%2)"/>
        <w:lvlJc w:val="left"/>
        <w:pPr>
          <w:widowControl w:val="0"/>
          <w:autoSpaceDE w:val="0"/>
          <w:autoSpaceDN w:val="0"/>
          <w:adjustRightInd w:val="0"/>
          <w:spacing w:after="240" w:line="360" w:lineRule="auto"/>
          <w:ind w:left="1440" w:hanging="703"/>
          <w:jc w:val="both"/>
        </w:pPr>
        <w:rPr>
          <w:rFonts w:ascii="Times New Roman" w:hAnsi="Times New Roman" w:cs="Times New Roman"/>
          <w:color w:val="auto"/>
          <w:sz w:val="23"/>
          <w:szCs w:val="23"/>
          <w:u w:val="none"/>
        </w:rPr>
      </w:lvl>
    </w:lvlOverride>
    <w:lvlOverride w:ilvl="2">
      <w:lvl w:ilvl="2">
        <w:start w:val="1"/>
        <w:numFmt w:val="lowerRoman"/>
        <w:lvlText w:val="(%3)"/>
        <w:lvlJc w:val="left"/>
        <w:pPr>
          <w:widowControl w:val="0"/>
          <w:autoSpaceDE w:val="0"/>
          <w:autoSpaceDN w:val="0"/>
          <w:adjustRightInd w:val="0"/>
          <w:spacing w:after="240" w:line="360" w:lineRule="auto"/>
          <w:ind w:left="2552" w:hanging="1191"/>
          <w:jc w:val="both"/>
        </w:pPr>
        <w:rPr>
          <w:rFonts w:ascii="Times New Roman" w:hAnsi="Times New Roman" w:cs="Times New Roman"/>
          <w:color w:val="auto"/>
          <w:sz w:val="23"/>
          <w:szCs w:val="23"/>
          <w:u w:val="none"/>
        </w:rPr>
      </w:lvl>
    </w:lvlOverride>
    <w:lvlOverride w:ilvl="3">
      <w:lvl w:ilvl="3">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color w:val="0000FF"/>
          <w:sz w:val="23"/>
          <w:szCs w:val="23"/>
          <w:u w:val="double"/>
        </w:rPr>
      </w:lvl>
    </w:lvlOverride>
    <w:lvlOverride w:ilvl="4">
      <w:lvl w:ilvl="4">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color w:val="0000FF"/>
          <w:sz w:val="23"/>
          <w:szCs w:val="23"/>
          <w:u w:val="double"/>
        </w:rPr>
      </w:lvl>
    </w:lvlOverride>
    <w:lvlOverride w:ilvl="5">
      <w:lvl w:ilvl="5">
        <w:start w:val="1"/>
        <w:numFmt w:val="lowerRoman"/>
        <w:lvlText w:val="%6."/>
        <w:lvlJc w:val="left"/>
        <w:pPr>
          <w:widowControl w:val="0"/>
          <w:autoSpaceDE w:val="0"/>
          <w:autoSpaceDN w:val="0"/>
          <w:adjustRightInd w:val="0"/>
          <w:spacing w:after="240" w:line="360" w:lineRule="auto"/>
          <w:ind w:left="4320" w:hanging="180"/>
          <w:jc w:val="both"/>
        </w:pPr>
        <w:rPr>
          <w:rFonts w:ascii="Times New Roman" w:hAnsi="Times New Roman" w:cs="Times New Roman"/>
          <w:color w:val="0000FF"/>
          <w:sz w:val="23"/>
          <w:szCs w:val="23"/>
          <w:u w:val="double"/>
        </w:rPr>
      </w:lvl>
    </w:lvlOverride>
    <w:lvlOverride w:ilvl="6">
      <w:lvl w:ilvl="6">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color w:val="0000FF"/>
          <w:sz w:val="23"/>
          <w:szCs w:val="23"/>
          <w:u w:val="double"/>
        </w:rPr>
      </w:lvl>
    </w:lvlOverride>
    <w:lvlOverride w:ilvl="7">
      <w:lvl w:ilvl="7">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color w:val="0000FF"/>
          <w:sz w:val="23"/>
          <w:szCs w:val="23"/>
          <w:u w:val="double"/>
        </w:rPr>
      </w:lvl>
    </w:lvlOverride>
    <w:lvlOverride w:ilvl="8">
      <w:lvl w:ilvl="8">
        <w:start w:val="1"/>
        <w:numFmt w:val="lowerRoman"/>
        <w:lvlText w:val="%9."/>
        <w:lvlJc w:val="left"/>
        <w:pPr>
          <w:widowControl w:val="0"/>
          <w:autoSpaceDE w:val="0"/>
          <w:autoSpaceDN w:val="0"/>
          <w:adjustRightInd w:val="0"/>
          <w:spacing w:after="240" w:line="360" w:lineRule="auto"/>
          <w:ind w:left="6480" w:hanging="180"/>
          <w:jc w:val="both"/>
        </w:pPr>
        <w:rPr>
          <w:rFonts w:ascii="Times New Roman" w:hAnsi="Times New Roman" w:cs="Times New Roman"/>
          <w:color w:val="0000FF"/>
          <w:sz w:val="23"/>
          <w:szCs w:val="23"/>
          <w:u w:val="double"/>
        </w:rPr>
      </w:lvl>
    </w:lvlOverride>
  </w:num>
  <w:num w:numId="47">
    <w:abstractNumId w:val="14"/>
  </w:num>
  <w:num w:numId="48">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6D"/>
    <w:rsid w:val="00000465"/>
    <w:rsid w:val="00001324"/>
    <w:rsid w:val="00002283"/>
    <w:rsid w:val="0000248F"/>
    <w:rsid w:val="00003494"/>
    <w:rsid w:val="00004D76"/>
    <w:rsid w:val="0000505E"/>
    <w:rsid w:val="00005083"/>
    <w:rsid w:val="000053E9"/>
    <w:rsid w:val="000077A4"/>
    <w:rsid w:val="0001469E"/>
    <w:rsid w:val="00015993"/>
    <w:rsid w:val="0001608B"/>
    <w:rsid w:val="000162C2"/>
    <w:rsid w:val="00016581"/>
    <w:rsid w:val="00016FE9"/>
    <w:rsid w:val="00020DF8"/>
    <w:rsid w:val="00020F20"/>
    <w:rsid w:val="0002129C"/>
    <w:rsid w:val="00022289"/>
    <w:rsid w:val="00022684"/>
    <w:rsid w:val="000244B2"/>
    <w:rsid w:val="00026D90"/>
    <w:rsid w:val="00027C10"/>
    <w:rsid w:val="00032A28"/>
    <w:rsid w:val="00032BA4"/>
    <w:rsid w:val="00032D83"/>
    <w:rsid w:val="00032F9F"/>
    <w:rsid w:val="0003304F"/>
    <w:rsid w:val="00033C18"/>
    <w:rsid w:val="000345E3"/>
    <w:rsid w:val="00034C41"/>
    <w:rsid w:val="00035B51"/>
    <w:rsid w:val="0004161E"/>
    <w:rsid w:val="00041C07"/>
    <w:rsid w:val="00042CCC"/>
    <w:rsid w:val="00043A56"/>
    <w:rsid w:val="00044FC9"/>
    <w:rsid w:val="0004508F"/>
    <w:rsid w:val="00045BB7"/>
    <w:rsid w:val="0004743E"/>
    <w:rsid w:val="00047B1C"/>
    <w:rsid w:val="00047B32"/>
    <w:rsid w:val="00047B63"/>
    <w:rsid w:val="000516B0"/>
    <w:rsid w:val="0005239D"/>
    <w:rsid w:val="00052B9C"/>
    <w:rsid w:val="00053CCD"/>
    <w:rsid w:val="00055719"/>
    <w:rsid w:val="00055CCF"/>
    <w:rsid w:val="0005641B"/>
    <w:rsid w:val="000569BC"/>
    <w:rsid w:val="00056BB6"/>
    <w:rsid w:val="00057548"/>
    <w:rsid w:val="0005755B"/>
    <w:rsid w:val="00057642"/>
    <w:rsid w:val="00057E1F"/>
    <w:rsid w:val="0006051F"/>
    <w:rsid w:val="00061E10"/>
    <w:rsid w:val="00062437"/>
    <w:rsid w:val="000629FA"/>
    <w:rsid w:val="000649BA"/>
    <w:rsid w:val="00067CB6"/>
    <w:rsid w:val="000704B8"/>
    <w:rsid w:val="0007087B"/>
    <w:rsid w:val="000736B4"/>
    <w:rsid w:val="000753EF"/>
    <w:rsid w:val="0007555B"/>
    <w:rsid w:val="00075EA7"/>
    <w:rsid w:val="00076009"/>
    <w:rsid w:val="00080B14"/>
    <w:rsid w:val="00081497"/>
    <w:rsid w:val="00081D38"/>
    <w:rsid w:val="000826CA"/>
    <w:rsid w:val="0008403E"/>
    <w:rsid w:val="000854FF"/>
    <w:rsid w:val="00086018"/>
    <w:rsid w:val="00086DDA"/>
    <w:rsid w:val="00086FCA"/>
    <w:rsid w:val="00087CF4"/>
    <w:rsid w:val="0009036F"/>
    <w:rsid w:val="00090556"/>
    <w:rsid w:val="0009176C"/>
    <w:rsid w:val="00091F21"/>
    <w:rsid w:val="000A03F5"/>
    <w:rsid w:val="000A1BF1"/>
    <w:rsid w:val="000A2E76"/>
    <w:rsid w:val="000A4807"/>
    <w:rsid w:val="000A4BE4"/>
    <w:rsid w:val="000A632B"/>
    <w:rsid w:val="000A6AE4"/>
    <w:rsid w:val="000A77DF"/>
    <w:rsid w:val="000B13EB"/>
    <w:rsid w:val="000B17C8"/>
    <w:rsid w:val="000B628B"/>
    <w:rsid w:val="000B6A3D"/>
    <w:rsid w:val="000B6A5F"/>
    <w:rsid w:val="000B7E9E"/>
    <w:rsid w:val="000C023E"/>
    <w:rsid w:val="000C0EAC"/>
    <w:rsid w:val="000C13B8"/>
    <w:rsid w:val="000C5195"/>
    <w:rsid w:val="000C5873"/>
    <w:rsid w:val="000C62EF"/>
    <w:rsid w:val="000C6662"/>
    <w:rsid w:val="000C689F"/>
    <w:rsid w:val="000C737E"/>
    <w:rsid w:val="000D12EF"/>
    <w:rsid w:val="000D2137"/>
    <w:rsid w:val="000D34F7"/>
    <w:rsid w:val="000D3FD2"/>
    <w:rsid w:val="000D655B"/>
    <w:rsid w:val="000D67CB"/>
    <w:rsid w:val="000E05D6"/>
    <w:rsid w:val="000E08EF"/>
    <w:rsid w:val="000E11D1"/>
    <w:rsid w:val="000E1517"/>
    <w:rsid w:val="000E1D29"/>
    <w:rsid w:val="000E226D"/>
    <w:rsid w:val="000E22A2"/>
    <w:rsid w:val="000E3FC8"/>
    <w:rsid w:val="000E4DC8"/>
    <w:rsid w:val="000E511A"/>
    <w:rsid w:val="000E5D29"/>
    <w:rsid w:val="000E6F09"/>
    <w:rsid w:val="000E72E5"/>
    <w:rsid w:val="000E7BAE"/>
    <w:rsid w:val="000E7FD2"/>
    <w:rsid w:val="000F11DD"/>
    <w:rsid w:val="000F133D"/>
    <w:rsid w:val="000F16C2"/>
    <w:rsid w:val="000F3A7D"/>
    <w:rsid w:val="000F5BC6"/>
    <w:rsid w:val="000F5D7F"/>
    <w:rsid w:val="000F6980"/>
    <w:rsid w:val="000F7BA0"/>
    <w:rsid w:val="00103373"/>
    <w:rsid w:val="00104080"/>
    <w:rsid w:val="0010536B"/>
    <w:rsid w:val="00105EC3"/>
    <w:rsid w:val="00107C12"/>
    <w:rsid w:val="001110F3"/>
    <w:rsid w:val="0011145C"/>
    <w:rsid w:val="001128BD"/>
    <w:rsid w:val="0011347E"/>
    <w:rsid w:val="0011419D"/>
    <w:rsid w:val="00114691"/>
    <w:rsid w:val="00116E1C"/>
    <w:rsid w:val="0011723F"/>
    <w:rsid w:val="001212F4"/>
    <w:rsid w:val="0012268E"/>
    <w:rsid w:val="00124929"/>
    <w:rsid w:val="0012550D"/>
    <w:rsid w:val="00126703"/>
    <w:rsid w:val="00126AEE"/>
    <w:rsid w:val="001271D2"/>
    <w:rsid w:val="00127F71"/>
    <w:rsid w:val="00130F5E"/>
    <w:rsid w:val="00131B63"/>
    <w:rsid w:val="00132054"/>
    <w:rsid w:val="0013330E"/>
    <w:rsid w:val="00137546"/>
    <w:rsid w:val="00142B1D"/>
    <w:rsid w:val="00143937"/>
    <w:rsid w:val="00145802"/>
    <w:rsid w:val="00145BAF"/>
    <w:rsid w:val="0015198B"/>
    <w:rsid w:val="0015383B"/>
    <w:rsid w:val="00154935"/>
    <w:rsid w:val="00156EE4"/>
    <w:rsid w:val="00160549"/>
    <w:rsid w:val="001611CE"/>
    <w:rsid w:val="0016197B"/>
    <w:rsid w:val="0016420A"/>
    <w:rsid w:val="00165D83"/>
    <w:rsid w:val="00166364"/>
    <w:rsid w:val="00166656"/>
    <w:rsid w:val="001678C1"/>
    <w:rsid w:val="001727A4"/>
    <w:rsid w:val="0017376C"/>
    <w:rsid w:val="001738AB"/>
    <w:rsid w:val="001765E0"/>
    <w:rsid w:val="00177759"/>
    <w:rsid w:val="00182B93"/>
    <w:rsid w:val="00183B41"/>
    <w:rsid w:val="00185E6B"/>
    <w:rsid w:val="001867D5"/>
    <w:rsid w:val="00187387"/>
    <w:rsid w:val="00187BBC"/>
    <w:rsid w:val="00187C31"/>
    <w:rsid w:val="00190A97"/>
    <w:rsid w:val="00192D62"/>
    <w:rsid w:val="001932F3"/>
    <w:rsid w:val="00193B7A"/>
    <w:rsid w:val="00195028"/>
    <w:rsid w:val="00195C87"/>
    <w:rsid w:val="001973C8"/>
    <w:rsid w:val="00197CE3"/>
    <w:rsid w:val="001A0B62"/>
    <w:rsid w:val="001A22D3"/>
    <w:rsid w:val="001A24C4"/>
    <w:rsid w:val="001A4309"/>
    <w:rsid w:val="001A44E7"/>
    <w:rsid w:val="001A57D8"/>
    <w:rsid w:val="001A7460"/>
    <w:rsid w:val="001B04BE"/>
    <w:rsid w:val="001B0645"/>
    <w:rsid w:val="001B1053"/>
    <w:rsid w:val="001B14AC"/>
    <w:rsid w:val="001B1E8D"/>
    <w:rsid w:val="001B2641"/>
    <w:rsid w:val="001B31A8"/>
    <w:rsid w:val="001B326C"/>
    <w:rsid w:val="001B45F1"/>
    <w:rsid w:val="001B4673"/>
    <w:rsid w:val="001B4F40"/>
    <w:rsid w:val="001B4F6E"/>
    <w:rsid w:val="001B537B"/>
    <w:rsid w:val="001B63B8"/>
    <w:rsid w:val="001B7940"/>
    <w:rsid w:val="001C0CFA"/>
    <w:rsid w:val="001C12F5"/>
    <w:rsid w:val="001C2C4D"/>
    <w:rsid w:val="001C3217"/>
    <w:rsid w:val="001C37CA"/>
    <w:rsid w:val="001C3CC9"/>
    <w:rsid w:val="001D29B0"/>
    <w:rsid w:val="001D3BA8"/>
    <w:rsid w:val="001D4303"/>
    <w:rsid w:val="001D45C3"/>
    <w:rsid w:val="001D64FB"/>
    <w:rsid w:val="001D6746"/>
    <w:rsid w:val="001D6EE8"/>
    <w:rsid w:val="001E3B49"/>
    <w:rsid w:val="001E3E30"/>
    <w:rsid w:val="001E3E5E"/>
    <w:rsid w:val="001E525C"/>
    <w:rsid w:val="001E67B1"/>
    <w:rsid w:val="001E7388"/>
    <w:rsid w:val="001F054B"/>
    <w:rsid w:val="001F0F1C"/>
    <w:rsid w:val="001F1266"/>
    <w:rsid w:val="001F13DD"/>
    <w:rsid w:val="001F1C93"/>
    <w:rsid w:val="001F2035"/>
    <w:rsid w:val="001F2DBC"/>
    <w:rsid w:val="001F736D"/>
    <w:rsid w:val="001F73E8"/>
    <w:rsid w:val="001F7893"/>
    <w:rsid w:val="0020205E"/>
    <w:rsid w:val="0020262C"/>
    <w:rsid w:val="00203740"/>
    <w:rsid w:val="00203FF7"/>
    <w:rsid w:val="00205140"/>
    <w:rsid w:val="002077CD"/>
    <w:rsid w:val="0021030B"/>
    <w:rsid w:val="00211D63"/>
    <w:rsid w:val="002123F0"/>
    <w:rsid w:val="00212611"/>
    <w:rsid w:val="00212F9A"/>
    <w:rsid w:val="002141BD"/>
    <w:rsid w:val="00214E50"/>
    <w:rsid w:val="0021589D"/>
    <w:rsid w:val="002161C3"/>
    <w:rsid w:val="00220DDD"/>
    <w:rsid w:val="00221EAC"/>
    <w:rsid w:val="00223E64"/>
    <w:rsid w:val="00224537"/>
    <w:rsid w:val="002248E3"/>
    <w:rsid w:val="00224BE9"/>
    <w:rsid w:val="002266CB"/>
    <w:rsid w:val="002267A0"/>
    <w:rsid w:val="00227368"/>
    <w:rsid w:val="00227DE9"/>
    <w:rsid w:val="00232F85"/>
    <w:rsid w:val="002338C0"/>
    <w:rsid w:val="002344C9"/>
    <w:rsid w:val="002346D7"/>
    <w:rsid w:val="00235956"/>
    <w:rsid w:val="002371DB"/>
    <w:rsid w:val="0024140B"/>
    <w:rsid w:val="00241835"/>
    <w:rsid w:val="002426F5"/>
    <w:rsid w:val="0024439F"/>
    <w:rsid w:val="002455A9"/>
    <w:rsid w:val="00245EF9"/>
    <w:rsid w:val="0024765C"/>
    <w:rsid w:val="00247C9A"/>
    <w:rsid w:val="0025160C"/>
    <w:rsid w:val="00251A1C"/>
    <w:rsid w:val="002525F4"/>
    <w:rsid w:val="00253054"/>
    <w:rsid w:val="002535D0"/>
    <w:rsid w:val="002539B3"/>
    <w:rsid w:val="002553E9"/>
    <w:rsid w:val="00255776"/>
    <w:rsid w:val="00257C3E"/>
    <w:rsid w:val="002602C2"/>
    <w:rsid w:val="0026113A"/>
    <w:rsid w:val="00261AE2"/>
    <w:rsid w:val="002620FB"/>
    <w:rsid w:val="002666BD"/>
    <w:rsid w:val="002666C9"/>
    <w:rsid w:val="0026680F"/>
    <w:rsid w:val="00266836"/>
    <w:rsid w:val="00270136"/>
    <w:rsid w:val="0027022C"/>
    <w:rsid w:val="00270ADC"/>
    <w:rsid w:val="0027352E"/>
    <w:rsid w:val="00273A12"/>
    <w:rsid w:val="002746E6"/>
    <w:rsid w:val="00274F5B"/>
    <w:rsid w:val="00275F62"/>
    <w:rsid w:val="002765A7"/>
    <w:rsid w:val="00276643"/>
    <w:rsid w:val="00280836"/>
    <w:rsid w:val="0028123C"/>
    <w:rsid w:val="00282E1A"/>
    <w:rsid w:val="00283C03"/>
    <w:rsid w:val="00287E96"/>
    <w:rsid w:val="0029113B"/>
    <w:rsid w:val="002918D1"/>
    <w:rsid w:val="00291C12"/>
    <w:rsid w:val="002934C0"/>
    <w:rsid w:val="002948A6"/>
    <w:rsid w:val="00295A10"/>
    <w:rsid w:val="0029726E"/>
    <w:rsid w:val="00297B10"/>
    <w:rsid w:val="00297EC5"/>
    <w:rsid w:val="002A1B50"/>
    <w:rsid w:val="002A2C2F"/>
    <w:rsid w:val="002A5DB9"/>
    <w:rsid w:val="002A6F53"/>
    <w:rsid w:val="002B0E91"/>
    <w:rsid w:val="002B1BC8"/>
    <w:rsid w:val="002B52EE"/>
    <w:rsid w:val="002B5955"/>
    <w:rsid w:val="002B664D"/>
    <w:rsid w:val="002B6779"/>
    <w:rsid w:val="002B6CB3"/>
    <w:rsid w:val="002B6FE8"/>
    <w:rsid w:val="002B71C0"/>
    <w:rsid w:val="002B7A34"/>
    <w:rsid w:val="002B7ACF"/>
    <w:rsid w:val="002C0ACC"/>
    <w:rsid w:val="002C1A87"/>
    <w:rsid w:val="002C31AD"/>
    <w:rsid w:val="002C432B"/>
    <w:rsid w:val="002C7385"/>
    <w:rsid w:val="002C7387"/>
    <w:rsid w:val="002C7E37"/>
    <w:rsid w:val="002D139B"/>
    <w:rsid w:val="002D1424"/>
    <w:rsid w:val="002D1837"/>
    <w:rsid w:val="002D2DBB"/>
    <w:rsid w:val="002D4112"/>
    <w:rsid w:val="002D54A6"/>
    <w:rsid w:val="002D604D"/>
    <w:rsid w:val="002D67B2"/>
    <w:rsid w:val="002E035D"/>
    <w:rsid w:val="002E118E"/>
    <w:rsid w:val="002E2187"/>
    <w:rsid w:val="002E6A7A"/>
    <w:rsid w:val="002E6FAC"/>
    <w:rsid w:val="002E7C40"/>
    <w:rsid w:val="002E7ED4"/>
    <w:rsid w:val="002F1E49"/>
    <w:rsid w:val="002F4B7E"/>
    <w:rsid w:val="002F4E9C"/>
    <w:rsid w:val="002F56D6"/>
    <w:rsid w:val="002F57FD"/>
    <w:rsid w:val="00300D06"/>
    <w:rsid w:val="00301460"/>
    <w:rsid w:val="00301CCB"/>
    <w:rsid w:val="00302222"/>
    <w:rsid w:val="003041A5"/>
    <w:rsid w:val="00306E5B"/>
    <w:rsid w:val="003077CA"/>
    <w:rsid w:val="00307C25"/>
    <w:rsid w:val="0031256C"/>
    <w:rsid w:val="003138E2"/>
    <w:rsid w:val="00314D6C"/>
    <w:rsid w:val="00316D2A"/>
    <w:rsid w:val="003201D9"/>
    <w:rsid w:val="003206A5"/>
    <w:rsid w:val="00320A2F"/>
    <w:rsid w:val="00321578"/>
    <w:rsid w:val="00322A7C"/>
    <w:rsid w:val="00322D9A"/>
    <w:rsid w:val="0032333F"/>
    <w:rsid w:val="00323696"/>
    <w:rsid w:val="00326BF5"/>
    <w:rsid w:val="00326DAF"/>
    <w:rsid w:val="00327208"/>
    <w:rsid w:val="003301A8"/>
    <w:rsid w:val="00331F1C"/>
    <w:rsid w:val="00332BC5"/>
    <w:rsid w:val="00334078"/>
    <w:rsid w:val="00334EA2"/>
    <w:rsid w:val="003361D6"/>
    <w:rsid w:val="0033705F"/>
    <w:rsid w:val="003402D3"/>
    <w:rsid w:val="00341917"/>
    <w:rsid w:val="00342406"/>
    <w:rsid w:val="00343ABC"/>
    <w:rsid w:val="00343F6A"/>
    <w:rsid w:val="0034492A"/>
    <w:rsid w:val="003458BB"/>
    <w:rsid w:val="003463FE"/>
    <w:rsid w:val="00346BEB"/>
    <w:rsid w:val="003529DD"/>
    <w:rsid w:val="00353B79"/>
    <w:rsid w:val="003552C4"/>
    <w:rsid w:val="003554B3"/>
    <w:rsid w:val="00355964"/>
    <w:rsid w:val="00356632"/>
    <w:rsid w:val="00356D4F"/>
    <w:rsid w:val="003571AA"/>
    <w:rsid w:val="003610AB"/>
    <w:rsid w:val="0036145B"/>
    <w:rsid w:val="00361D0F"/>
    <w:rsid w:val="00362AD5"/>
    <w:rsid w:val="00364CDC"/>
    <w:rsid w:val="00370637"/>
    <w:rsid w:val="00371A8F"/>
    <w:rsid w:val="003731A2"/>
    <w:rsid w:val="00373ECC"/>
    <w:rsid w:val="00374560"/>
    <w:rsid w:val="00375282"/>
    <w:rsid w:val="00375807"/>
    <w:rsid w:val="003766CF"/>
    <w:rsid w:val="00380280"/>
    <w:rsid w:val="0038048D"/>
    <w:rsid w:val="003815F3"/>
    <w:rsid w:val="00382F40"/>
    <w:rsid w:val="00383522"/>
    <w:rsid w:val="003845A9"/>
    <w:rsid w:val="00386330"/>
    <w:rsid w:val="003868FD"/>
    <w:rsid w:val="0038700F"/>
    <w:rsid w:val="00387AE3"/>
    <w:rsid w:val="00390460"/>
    <w:rsid w:val="00390883"/>
    <w:rsid w:val="003922F8"/>
    <w:rsid w:val="00395B24"/>
    <w:rsid w:val="003A120D"/>
    <w:rsid w:val="003A12FF"/>
    <w:rsid w:val="003A15C7"/>
    <w:rsid w:val="003A2D38"/>
    <w:rsid w:val="003A4212"/>
    <w:rsid w:val="003A4DE8"/>
    <w:rsid w:val="003A595E"/>
    <w:rsid w:val="003A5E4A"/>
    <w:rsid w:val="003A7ECC"/>
    <w:rsid w:val="003B2B55"/>
    <w:rsid w:val="003B2C72"/>
    <w:rsid w:val="003B2E5D"/>
    <w:rsid w:val="003B3C7B"/>
    <w:rsid w:val="003B48B9"/>
    <w:rsid w:val="003B4EFA"/>
    <w:rsid w:val="003B596E"/>
    <w:rsid w:val="003B6FEC"/>
    <w:rsid w:val="003C1333"/>
    <w:rsid w:val="003C20FF"/>
    <w:rsid w:val="003C32F0"/>
    <w:rsid w:val="003C37E8"/>
    <w:rsid w:val="003C4156"/>
    <w:rsid w:val="003C5FB0"/>
    <w:rsid w:val="003C637A"/>
    <w:rsid w:val="003D2650"/>
    <w:rsid w:val="003D2934"/>
    <w:rsid w:val="003D4ED4"/>
    <w:rsid w:val="003D5168"/>
    <w:rsid w:val="003D560C"/>
    <w:rsid w:val="003D5E75"/>
    <w:rsid w:val="003D7D26"/>
    <w:rsid w:val="003E277B"/>
    <w:rsid w:val="003E2B11"/>
    <w:rsid w:val="003E36D1"/>
    <w:rsid w:val="003E3704"/>
    <w:rsid w:val="003E4415"/>
    <w:rsid w:val="003E5874"/>
    <w:rsid w:val="003F00D8"/>
    <w:rsid w:val="003F01E0"/>
    <w:rsid w:val="003F193E"/>
    <w:rsid w:val="003F34F1"/>
    <w:rsid w:val="003F4125"/>
    <w:rsid w:val="003F5BE6"/>
    <w:rsid w:val="003F7447"/>
    <w:rsid w:val="003F78F0"/>
    <w:rsid w:val="00400278"/>
    <w:rsid w:val="00400941"/>
    <w:rsid w:val="00402345"/>
    <w:rsid w:val="0040254D"/>
    <w:rsid w:val="00403237"/>
    <w:rsid w:val="004032A8"/>
    <w:rsid w:val="0040682C"/>
    <w:rsid w:val="00411919"/>
    <w:rsid w:val="00411AE8"/>
    <w:rsid w:val="00413B74"/>
    <w:rsid w:val="00414B6E"/>
    <w:rsid w:val="0041536B"/>
    <w:rsid w:val="00415F0B"/>
    <w:rsid w:val="0041698A"/>
    <w:rsid w:val="00417F7F"/>
    <w:rsid w:val="00420BC4"/>
    <w:rsid w:val="0042175F"/>
    <w:rsid w:val="004219AC"/>
    <w:rsid w:val="00427184"/>
    <w:rsid w:val="0043107D"/>
    <w:rsid w:val="00433863"/>
    <w:rsid w:val="00433CAD"/>
    <w:rsid w:val="00434BBF"/>
    <w:rsid w:val="00434EE3"/>
    <w:rsid w:val="00435C5F"/>
    <w:rsid w:val="00437593"/>
    <w:rsid w:val="0044044E"/>
    <w:rsid w:val="00440702"/>
    <w:rsid w:val="00440C86"/>
    <w:rsid w:val="00440E96"/>
    <w:rsid w:val="00441E98"/>
    <w:rsid w:val="0044519B"/>
    <w:rsid w:val="00445C82"/>
    <w:rsid w:val="004467F8"/>
    <w:rsid w:val="00446FBF"/>
    <w:rsid w:val="004532F7"/>
    <w:rsid w:val="00453DED"/>
    <w:rsid w:val="00454D7B"/>
    <w:rsid w:val="00455E0B"/>
    <w:rsid w:val="00456A0F"/>
    <w:rsid w:val="004576CC"/>
    <w:rsid w:val="0045795F"/>
    <w:rsid w:val="00457DF0"/>
    <w:rsid w:val="00461A35"/>
    <w:rsid w:val="004671C0"/>
    <w:rsid w:val="004672A9"/>
    <w:rsid w:val="00470496"/>
    <w:rsid w:val="00470690"/>
    <w:rsid w:val="00472027"/>
    <w:rsid w:val="00472EC6"/>
    <w:rsid w:val="00477660"/>
    <w:rsid w:val="004804CF"/>
    <w:rsid w:val="0048109C"/>
    <w:rsid w:val="004812A2"/>
    <w:rsid w:val="00482CB8"/>
    <w:rsid w:val="00484962"/>
    <w:rsid w:val="00484F6D"/>
    <w:rsid w:val="00485A42"/>
    <w:rsid w:val="00486120"/>
    <w:rsid w:val="004869EA"/>
    <w:rsid w:val="0048757F"/>
    <w:rsid w:val="00487B72"/>
    <w:rsid w:val="00490398"/>
    <w:rsid w:val="004908D3"/>
    <w:rsid w:val="004908D8"/>
    <w:rsid w:val="00490F59"/>
    <w:rsid w:val="004910C7"/>
    <w:rsid w:val="00491BF9"/>
    <w:rsid w:val="00491D3B"/>
    <w:rsid w:val="0049338A"/>
    <w:rsid w:val="0049417F"/>
    <w:rsid w:val="00496274"/>
    <w:rsid w:val="00497211"/>
    <w:rsid w:val="004A3FF8"/>
    <w:rsid w:val="004A4230"/>
    <w:rsid w:val="004A57F5"/>
    <w:rsid w:val="004B2AC9"/>
    <w:rsid w:val="004B2CD0"/>
    <w:rsid w:val="004B32D6"/>
    <w:rsid w:val="004B3EFA"/>
    <w:rsid w:val="004B3FAD"/>
    <w:rsid w:val="004B4F4B"/>
    <w:rsid w:val="004B56CD"/>
    <w:rsid w:val="004C03DE"/>
    <w:rsid w:val="004C2396"/>
    <w:rsid w:val="004C2A87"/>
    <w:rsid w:val="004C3146"/>
    <w:rsid w:val="004C4CC7"/>
    <w:rsid w:val="004C4D7B"/>
    <w:rsid w:val="004C4ED3"/>
    <w:rsid w:val="004C5776"/>
    <w:rsid w:val="004C5C2B"/>
    <w:rsid w:val="004D2781"/>
    <w:rsid w:val="004D2EA5"/>
    <w:rsid w:val="004D32A6"/>
    <w:rsid w:val="004D53E5"/>
    <w:rsid w:val="004D5AB7"/>
    <w:rsid w:val="004D5CA4"/>
    <w:rsid w:val="004D72EB"/>
    <w:rsid w:val="004E213B"/>
    <w:rsid w:val="004E3A72"/>
    <w:rsid w:val="004E5D94"/>
    <w:rsid w:val="004E682E"/>
    <w:rsid w:val="004E7057"/>
    <w:rsid w:val="004F16D9"/>
    <w:rsid w:val="004F1880"/>
    <w:rsid w:val="004F25E3"/>
    <w:rsid w:val="004F3486"/>
    <w:rsid w:val="004F3B14"/>
    <w:rsid w:val="004F3C83"/>
    <w:rsid w:val="004F780B"/>
    <w:rsid w:val="00500664"/>
    <w:rsid w:val="0050074E"/>
    <w:rsid w:val="005008C4"/>
    <w:rsid w:val="005012A6"/>
    <w:rsid w:val="00501954"/>
    <w:rsid w:val="00501A12"/>
    <w:rsid w:val="005026F3"/>
    <w:rsid w:val="0050383F"/>
    <w:rsid w:val="00504841"/>
    <w:rsid w:val="00505A9F"/>
    <w:rsid w:val="00505F6E"/>
    <w:rsid w:val="005062CC"/>
    <w:rsid w:val="00506DAB"/>
    <w:rsid w:val="005106BE"/>
    <w:rsid w:val="0051091E"/>
    <w:rsid w:val="005110D0"/>
    <w:rsid w:val="00511206"/>
    <w:rsid w:val="00511A73"/>
    <w:rsid w:val="00511B6B"/>
    <w:rsid w:val="00512879"/>
    <w:rsid w:val="00512A6D"/>
    <w:rsid w:val="0051346D"/>
    <w:rsid w:val="00513EAE"/>
    <w:rsid w:val="005147FA"/>
    <w:rsid w:val="0051602A"/>
    <w:rsid w:val="00516806"/>
    <w:rsid w:val="0052083A"/>
    <w:rsid w:val="00521382"/>
    <w:rsid w:val="00521993"/>
    <w:rsid w:val="00521F35"/>
    <w:rsid w:val="00521FC2"/>
    <w:rsid w:val="005235BF"/>
    <w:rsid w:val="0052509D"/>
    <w:rsid w:val="00525A49"/>
    <w:rsid w:val="005274EC"/>
    <w:rsid w:val="005279F9"/>
    <w:rsid w:val="00530265"/>
    <w:rsid w:val="005338B1"/>
    <w:rsid w:val="0053448E"/>
    <w:rsid w:val="00535613"/>
    <w:rsid w:val="005359EB"/>
    <w:rsid w:val="00537267"/>
    <w:rsid w:val="00540925"/>
    <w:rsid w:val="0054254A"/>
    <w:rsid w:val="00542791"/>
    <w:rsid w:val="005429EE"/>
    <w:rsid w:val="00542F29"/>
    <w:rsid w:val="005430FF"/>
    <w:rsid w:val="0054392B"/>
    <w:rsid w:val="005457F1"/>
    <w:rsid w:val="005466B5"/>
    <w:rsid w:val="00551E57"/>
    <w:rsid w:val="005523F6"/>
    <w:rsid w:val="00554314"/>
    <w:rsid w:val="00556AD2"/>
    <w:rsid w:val="00556C25"/>
    <w:rsid w:val="00556C76"/>
    <w:rsid w:val="005572A5"/>
    <w:rsid w:val="00560841"/>
    <w:rsid w:val="005610E1"/>
    <w:rsid w:val="00561F10"/>
    <w:rsid w:val="005629B3"/>
    <w:rsid w:val="005658DB"/>
    <w:rsid w:val="00565C9E"/>
    <w:rsid w:val="00565E89"/>
    <w:rsid w:val="00566BF9"/>
    <w:rsid w:val="005679A5"/>
    <w:rsid w:val="00571478"/>
    <w:rsid w:val="005720D3"/>
    <w:rsid w:val="00573AC4"/>
    <w:rsid w:val="005747A9"/>
    <w:rsid w:val="00574BC3"/>
    <w:rsid w:val="00575EF7"/>
    <w:rsid w:val="0057730D"/>
    <w:rsid w:val="005801FC"/>
    <w:rsid w:val="00581518"/>
    <w:rsid w:val="00582164"/>
    <w:rsid w:val="00582A2B"/>
    <w:rsid w:val="00582DFD"/>
    <w:rsid w:val="00583585"/>
    <w:rsid w:val="00583A52"/>
    <w:rsid w:val="00583C04"/>
    <w:rsid w:val="00586455"/>
    <w:rsid w:val="0058704F"/>
    <w:rsid w:val="005872C5"/>
    <w:rsid w:val="0059215C"/>
    <w:rsid w:val="005924B6"/>
    <w:rsid w:val="00592BBE"/>
    <w:rsid w:val="00593DC1"/>
    <w:rsid w:val="00594F03"/>
    <w:rsid w:val="00595016"/>
    <w:rsid w:val="00597AAE"/>
    <w:rsid w:val="005A06EB"/>
    <w:rsid w:val="005A18FB"/>
    <w:rsid w:val="005A19D6"/>
    <w:rsid w:val="005A222C"/>
    <w:rsid w:val="005A3946"/>
    <w:rsid w:val="005A44D8"/>
    <w:rsid w:val="005A4DF8"/>
    <w:rsid w:val="005A623F"/>
    <w:rsid w:val="005A760E"/>
    <w:rsid w:val="005B117A"/>
    <w:rsid w:val="005B1426"/>
    <w:rsid w:val="005B15F7"/>
    <w:rsid w:val="005B1A3E"/>
    <w:rsid w:val="005B2C49"/>
    <w:rsid w:val="005B6DE2"/>
    <w:rsid w:val="005B759C"/>
    <w:rsid w:val="005B787C"/>
    <w:rsid w:val="005C0A8E"/>
    <w:rsid w:val="005C1767"/>
    <w:rsid w:val="005C18B5"/>
    <w:rsid w:val="005C42EF"/>
    <w:rsid w:val="005C5A4B"/>
    <w:rsid w:val="005C5EBC"/>
    <w:rsid w:val="005C6133"/>
    <w:rsid w:val="005D04DA"/>
    <w:rsid w:val="005D3C7F"/>
    <w:rsid w:val="005D646B"/>
    <w:rsid w:val="005D7F8F"/>
    <w:rsid w:val="005E02F5"/>
    <w:rsid w:val="005E0510"/>
    <w:rsid w:val="005E0C9B"/>
    <w:rsid w:val="005E176E"/>
    <w:rsid w:val="005E218E"/>
    <w:rsid w:val="005E35A0"/>
    <w:rsid w:val="005E4D0B"/>
    <w:rsid w:val="005E50E3"/>
    <w:rsid w:val="005E51D7"/>
    <w:rsid w:val="005E5E29"/>
    <w:rsid w:val="005F0D1B"/>
    <w:rsid w:val="005F1865"/>
    <w:rsid w:val="005F2C4D"/>
    <w:rsid w:val="005F3F13"/>
    <w:rsid w:val="005F7524"/>
    <w:rsid w:val="006007BD"/>
    <w:rsid w:val="00600B5D"/>
    <w:rsid w:val="006013C8"/>
    <w:rsid w:val="00601C41"/>
    <w:rsid w:val="0060270D"/>
    <w:rsid w:val="00603A26"/>
    <w:rsid w:val="00603CAF"/>
    <w:rsid w:val="006045FD"/>
    <w:rsid w:val="00604611"/>
    <w:rsid w:val="00604691"/>
    <w:rsid w:val="006048D1"/>
    <w:rsid w:val="00606F16"/>
    <w:rsid w:val="00606F3E"/>
    <w:rsid w:val="00607AD6"/>
    <w:rsid w:val="00611586"/>
    <w:rsid w:val="00611E11"/>
    <w:rsid w:val="0061209C"/>
    <w:rsid w:val="00616EB4"/>
    <w:rsid w:val="00616F44"/>
    <w:rsid w:val="0061744C"/>
    <w:rsid w:val="00620FD8"/>
    <w:rsid w:val="00621887"/>
    <w:rsid w:val="00621C45"/>
    <w:rsid w:val="00622BF4"/>
    <w:rsid w:val="0062308F"/>
    <w:rsid w:val="00624520"/>
    <w:rsid w:val="006247EF"/>
    <w:rsid w:val="006257A3"/>
    <w:rsid w:val="00625C5F"/>
    <w:rsid w:val="00626273"/>
    <w:rsid w:val="00626FE8"/>
    <w:rsid w:val="00627BDF"/>
    <w:rsid w:val="00631863"/>
    <w:rsid w:val="00632300"/>
    <w:rsid w:val="00632BB7"/>
    <w:rsid w:val="00635B36"/>
    <w:rsid w:val="00636871"/>
    <w:rsid w:val="00637A9B"/>
    <w:rsid w:val="00637AFF"/>
    <w:rsid w:val="00640F4E"/>
    <w:rsid w:val="00643DE0"/>
    <w:rsid w:val="00644172"/>
    <w:rsid w:val="006442E2"/>
    <w:rsid w:val="00644E85"/>
    <w:rsid w:val="006467ED"/>
    <w:rsid w:val="00646A42"/>
    <w:rsid w:val="00650240"/>
    <w:rsid w:val="00653049"/>
    <w:rsid w:val="006532D8"/>
    <w:rsid w:val="00653E15"/>
    <w:rsid w:val="0065400F"/>
    <w:rsid w:val="0065521F"/>
    <w:rsid w:val="006553C5"/>
    <w:rsid w:val="00657752"/>
    <w:rsid w:val="0066055E"/>
    <w:rsid w:val="0066063F"/>
    <w:rsid w:val="00661D4C"/>
    <w:rsid w:val="00662084"/>
    <w:rsid w:val="00662746"/>
    <w:rsid w:val="00662BB0"/>
    <w:rsid w:val="00663878"/>
    <w:rsid w:val="00663D42"/>
    <w:rsid w:val="0066478B"/>
    <w:rsid w:val="00666383"/>
    <w:rsid w:val="00666B34"/>
    <w:rsid w:val="006675AF"/>
    <w:rsid w:val="00667773"/>
    <w:rsid w:val="00670743"/>
    <w:rsid w:val="00670FA4"/>
    <w:rsid w:val="0067102A"/>
    <w:rsid w:val="00671574"/>
    <w:rsid w:val="0067194E"/>
    <w:rsid w:val="0067247A"/>
    <w:rsid w:val="0067338B"/>
    <w:rsid w:val="006748FE"/>
    <w:rsid w:val="006777DD"/>
    <w:rsid w:val="00682792"/>
    <w:rsid w:val="00682B48"/>
    <w:rsid w:val="0068466A"/>
    <w:rsid w:val="00684ED2"/>
    <w:rsid w:val="006858E6"/>
    <w:rsid w:val="00686146"/>
    <w:rsid w:val="00686AF2"/>
    <w:rsid w:val="00686F1B"/>
    <w:rsid w:val="00690EE2"/>
    <w:rsid w:val="0069140D"/>
    <w:rsid w:val="00692966"/>
    <w:rsid w:val="00692EC5"/>
    <w:rsid w:val="0069395B"/>
    <w:rsid w:val="0069748D"/>
    <w:rsid w:val="006A0301"/>
    <w:rsid w:val="006A0E20"/>
    <w:rsid w:val="006A11B8"/>
    <w:rsid w:val="006A1E85"/>
    <w:rsid w:val="006A421A"/>
    <w:rsid w:val="006A5340"/>
    <w:rsid w:val="006A5695"/>
    <w:rsid w:val="006B2EF6"/>
    <w:rsid w:val="006B32B8"/>
    <w:rsid w:val="006B3904"/>
    <w:rsid w:val="006B47A7"/>
    <w:rsid w:val="006B5B7D"/>
    <w:rsid w:val="006C0277"/>
    <w:rsid w:val="006C2200"/>
    <w:rsid w:val="006C41B0"/>
    <w:rsid w:val="006C44D1"/>
    <w:rsid w:val="006C66BF"/>
    <w:rsid w:val="006C7AE8"/>
    <w:rsid w:val="006D06CD"/>
    <w:rsid w:val="006D0ECF"/>
    <w:rsid w:val="006D16E9"/>
    <w:rsid w:val="006D18B6"/>
    <w:rsid w:val="006D238A"/>
    <w:rsid w:val="006D275E"/>
    <w:rsid w:val="006D2B86"/>
    <w:rsid w:val="006D439D"/>
    <w:rsid w:val="006D4482"/>
    <w:rsid w:val="006D44B4"/>
    <w:rsid w:val="006D4C92"/>
    <w:rsid w:val="006D4EB6"/>
    <w:rsid w:val="006E21A5"/>
    <w:rsid w:val="006E3052"/>
    <w:rsid w:val="006E35BF"/>
    <w:rsid w:val="006E7850"/>
    <w:rsid w:val="006F045B"/>
    <w:rsid w:val="006F1C31"/>
    <w:rsid w:val="006F2D55"/>
    <w:rsid w:val="006F3060"/>
    <w:rsid w:val="006F459D"/>
    <w:rsid w:val="006F47A0"/>
    <w:rsid w:val="006F5278"/>
    <w:rsid w:val="006F66DE"/>
    <w:rsid w:val="006F6E5F"/>
    <w:rsid w:val="006F6FAF"/>
    <w:rsid w:val="006F7C63"/>
    <w:rsid w:val="00701431"/>
    <w:rsid w:val="00701537"/>
    <w:rsid w:val="00702035"/>
    <w:rsid w:val="007028D9"/>
    <w:rsid w:val="007040AC"/>
    <w:rsid w:val="00706D28"/>
    <w:rsid w:val="00707218"/>
    <w:rsid w:val="0070743E"/>
    <w:rsid w:val="00707784"/>
    <w:rsid w:val="007112E8"/>
    <w:rsid w:val="007124BE"/>
    <w:rsid w:val="00712B1D"/>
    <w:rsid w:val="00712F67"/>
    <w:rsid w:val="0071317B"/>
    <w:rsid w:val="00714B26"/>
    <w:rsid w:val="00715BDA"/>
    <w:rsid w:val="0071749C"/>
    <w:rsid w:val="00717D39"/>
    <w:rsid w:val="00721065"/>
    <w:rsid w:val="007222D7"/>
    <w:rsid w:val="007223C0"/>
    <w:rsid w:val="007225FF"/>
    <w:rsid w:val="0072432A"/>
    <w:rsid w:val="00725E00"/>
    <w:rsid w:val="00726092"/>
    <w:rsid w:val="00726359"/>
    <w:rsid w:val="0073187E"/>
    <w:rsid w:val="007325D9"/>
    <w:rsid w:val="00732E05"/>
    <w:rsid w:val="007356EB"/>
    <w:rsid w:val="007360CA"/>
    <w:rsid w:val="00736FBF"/>
    <w:rsid w:val="00737126"/>
    <w:rsid w:val="00743FB2"/>
    <w:rsid w:val="00743FC7"/>
    <w:rsid w:val="00744485"/>
    <w:rsid w:val="00745978"/>
    <w:rsid w:val="00745BF5"/>
    <w:rsid w:val="0074656D"/>
    <w:rsid w:val="00753CAD"/>
    <w:rsid w:val="00754C2F"/>
    <w:rsid w:val="007568AD"/>
    <w:rsid w:val="00757169"/>
    <w:rsid w:val="00760EC0"/>
    <w:rsid w:val="0076211A"/>
    <w:rsid w:val="007624FF"/>
    <w:rsid w:val="007637EB"/>
    <w:rsid w:val="00764476"/>
    <w:rsid w:val="00764FB9"/>
    <w:rsid w:val="0076500B"/>
    <w:rsid w:val="0076531F"/>
    <w:rsid w:val="007703D4"/>
    <w:rsid w:val="00770C8A"/>
    <w:rsid w:val="0077105C"/>
    <w:rsid w:val="007710CD"/>
    <w:rsid w:val="00772FAC"/>
    <w:rsid w:val="007744A3"/>
    <w:rsid w:val="00774A41"/>
    <w:rsid w:val="007753F0"/>
    <w:rsid w:val="007757C0"/>
    <w:rsid w:val="00776A66"/>
    <w:rsid w:val="00776CD0"/>
    <w:rsid w:val="0077772A"/>
    <w:rsid w:val="00777EB0"/>
    <w:rsid w:val="0078003A"/>
    <w:rsid w:val="00780389"/>
    <w:rsid w:val="00780771"/>
    <w:rsid w:val="00781074"/>
    <w:rsid w:val="007811C8"/>
    <w:rsid w:val="00781AC2"/>
    <w:rsid w:val="00781B69"/>
    <w:rsid w:val="007829C0"/>
    <w:rsid w:val="00783301"/>
    <w:rsid w:val="00787A3B"/>
    <w:rsid w:val="007929AE"/>
    <w:rsid w:val="007929CF"/>
    <w:rsid w:val="00792B0F"/>
    <w:rsid w:val="007933E8"/>
    <w:rsid w:val="00793833"/>
    <w:rsid w:val="007939C0"/>
    <w:rsid w:val="00794748"/>
    <w:rsid w:val="007A2832"/>
    <w:rsid w:val="007A6184"/>
    <w:rsid w:val="007A6DF6"/>
    <w:rsid w:val="007A6F28"/>
    <w:rsid w:val="007A742B"/>
    <w:rsid w:val="007B03C6"/>
    <w:rsid w:val="007B0DB1"/>
    <w:rsid w:val="007B1832"/>
    <w:rsid w:val="007B2AE9"/>
    <w:rsid w:val="007B30B5"/>
    <w:rsid w:val="007B7568"/>
    <w:rsid w:val="007B7C79"/>
    <w:rsid w:val="007B7F3B"/>
    <w:rsid w:val="007C344F"/>
    <w:rsid w:val="007C3BF6"/>
    <w:rsid w:val="007C68A5"/>
    <w:rsid w:val="007C722A"/>
    <w:rsid w:val="007C7E65"/>
    <w:rsid w:val="007D0FD2"/>
    <w:rsid w:val="007D2BAB"/>
    <w:rsid w:val="007D2C68"/>
    <w:rsid w:val="007D2EF8"/>
    <w:rsid w:val="007D40E3"/>
    <w:rsid w:val="007D4197"/>
    <w:rsid w:val="007D4643"/>
    <w:rsid w:val="007D4842"/>
    <w:rsid w:val="007D561F"/>
    <w:rsid w:val="007D6A85"/>
    <w:rsid w:val="007D6B8F"/>
    <w:rsid w:val="007D7BFF"/>
    <w:rsid w:val="007D7FD2"/>
    <w:rsid w:val="007E0637"/>
    <w:rsid w:val="007E13D9"/>
    <w:rsid w:val="007E2F8D"/>
    <w:rsid w:val="007E30A1"/>
    <w:rsid w:val="007E41BE"/>
    <w:rsid w:val="007E44E7"/>
    <w:rsid w:val="007E4DB6"/>
    <w:rsid w:val="007E4E72"/>
    <w:rsid w:val="007E5951"/>
    <w:rsid w:val="007E7CD4"/>
    <w:rsid w:val="007F0143"/>
    <w:rsid w:val="007F037E"/>
    <w:rsid w:val="007F07F3"/>
    <w:rsid w:val="007F12AC"/>
    <w:rsid w:val="007F1F2F"/>
    <w:rsid w:val="007F225C"/>
    <w:rsid w:val="007F2592"/>
    <w:rsid w:val="007F3A99"/>
    <w:rsid w:val="007F403E"/>
    <w:rsid w:val="007F4B71"/>
    <w:rsid w:val="007F5212"/>
    <w:rsid w:val="007F6227"/>
    <w:rsid w:val="007F640B"/>
    <w:rsid w:val="00801800"/>
    <w:rsid w:val="00801B5B"/>
    <w:rsid w:val="00801D97"/>
    <w:rsid w:val="00803FC4"/>
    <w:rsid w:val="008056EA"/>
    <w:rsid w:val="00807097"/>
    <w:rsid w:val="0080794A"/>
    <w:rsid w:val="00807DC8"/>
    <w:rsid w:val="00810D52"/>
    <w:rsid w:val="008110BA"/>
    <w:rsid w:val="00811F87"/>
    <w:rsid w:val="00813BC6"/>
    <w:rsid w:val="0081471B"/>
    <w:rsid w:val="0081536A"/>
    <w:rsid w:val="00815B08"/>
    <w:rsid w:val="008162DE"/>
    <w:rsid w:val="00817B13"/>
    <w:rsid w:val="008201E6"/>
    <w:rsid w:val="00820623"/>
    <w:rsid w:val="00821D20"/>
    <w:rsid w:val="00823C42"/>
    <w:rsid w:val="00825685"/>
    <w:rsid w:val="008262CE"/>
    <w:rsid w:val="00826744"/>
    <w:rsid w:val="008276B4"/>
    <w:rsid w:val="00827AFB"/>
    <w:rsid w:val="00830C04"/>
    <w:rsid w:val="00831927"/>
    <w:rsid w:val="0083221F"/>
    <w:rsid w:val="008323D6"/>
    <w:rsid w:val="008329CC"/>
    <w:rsid w:val="00832E80"/>
    <w:rsid w:val="008363D7"/>
    <w:rsid w:val="00840A3F"/>
    <w:rsid w:val="00841BD3"/>
    <w:rsid w:val="0084273D"/>
    <w:rsid w:val="00844058"/>
    <w:rsid w:val="00844661"/>
    <w:rsid w:val="00844E3F"/>
    <w:rsid w:val="00844EE0"/>
    <w:rsid w:val="00845A83"/>
    <w:rsid w:val="008474E2"/>
    <w:rsid w:val="00847A95"/>
    <w:rsid w:val="00847B0B"/>
    <w:rsid w:val="00851362"/>
    <w:rsid w:val="008528C1"/>
    <w:rsid w:val="00853247"/>
    <w:rsid w:val="00853A78"/>
    <w:rsid w:val="00853CB3"/>
    <w:rsid w:val="00854490"/>
    <w:rsid w:val="00854659"/>
    <w:rsid w:val="00856903"/>
    <w:rsid w:val="00857407"/>
    <w:rsid w:val="008577BD"/>
    <w:rsid w:val="00857AC7"/>
    <w:rsid w:val="00860290"/>
    <w:rsid w:val="00860F95"/>
    <w:rsid w:val="0086176E"/>
    <w:rsid w:val="008625F3"/>
    <w:rsid w:val="00862F75"/>
    <w:rsid w:val="0086382C"/>
    <w:rsid w:val="00863BC4"/>
    <w:rsid w:val="00865412"/>
    <w:rsid w:val="00865F02"/>
    <w:rsid w:val="0086752C"/>
    <w:rsid w:val="00871210"/>
    <w:rsid w:val="008712BB"/>
    <w:rsid w:val="00871A8B"/>
    <w:rsid w:val="00872018"/>
    <w:rsid w:val="00872304"/>
    <w:rsid w:val="00875926"/>
    <w:rsid w:val="00876533"/>
    <w:rsid w:val="00876FF4"/>
    <w:rsid w:val="00877793"/>
    <w:rsid w:val="00884547"/>
    <w:rsid w:val="008856E0"/>
    <w:rsid w:val="0088725C"/>
    <w:rsid w:val="0088782C"/>
    <w:rsid w:val="00895296"/>
    <w:rsid w:val="008A14D3"/>
    <w:rsid w:val="008A1CE1"/>
    <w:rsid w:val="008A2484"/>
    <w:rsid w:val="008A30C7"/>
    <w:rsid w:val="008A3679"/>
    <w:rsid w:val="008A3DF5"/>
    <w:rsid w:val="008A7072"/>
    <w:rsid w:val="008B502E"/>
    <w:rsid w:val="008B6495"/>
    <w:rsid w:val="008B6E1D"/>
    <w:rsid w:val="008B6F0C"/>
    <w:rsid w:val="008C26D9"/>
    <w:rsid w:val="008C2F4B"/>
    <w:rsid w:val="008C37B0"/>
    <w:rsid w:val="008C5963"/>
    <w:rsid w:val="008C5991"/>
    <w:rsid w:val="008C5F03"/>
    <w:rsid w:val="008C6D50"/>
    <w:rsid w:val="008C7167"/>
    <w:rsid w:val="008C732F"/>
    <w:rsid w:val="008C7503"/>
    <w:rsid w:val="008D032D"/>
    <w:rsid w:val="008D0492"/>
    <w:rsid w:val="008D0750"/>
    <w:rsid w:val="008D1492"/>
    <w:rsid w:val="008D1617"/>
    <w:rsid w:val="008D24AD"/>
    <w:rsid w:val="008D2F9A"/>
    <w:rsid w:val="008D5432"/>
    <w:rsid w:val="008D6C06"/>
    <w:rsid w:val="008D6DE9"/>
    <w:rsid w:val="008D6F28"/>
    <w:rsid w:val="008E032D"/>
    <w:rsid w:val="008E1C66"/>
    <w:rsid w:val="008E3146"/>
    <w:rsid w:val="008E34C4"/>
    <w:rsid w:val="008E6315"/>
    <w:rsid w:val="008E65E7"/>
    <w:rsid w:val="008E6EB1"/>
    <w:rsid w:val="008E7EC2"/>
    <w:rsid w:val="008F0641"/>
    <w:rsid w:val="008F0E82"/>
    <w:rsid w:val="008F11E0"/>
    <w:rsid w:val="008F18FA"/>
    <w:rsid w:val="008F1975"/>
    <w:rsid w:val="008F2A72"/>
    <w:rsid w:val="008F4071"/>
    <w:rsid w:val="008F627A"/>
    <w:rsid w:val="008F64A4"/>
    <w:rsid w:val="008F78BC"/>
    <w:rsid w:val="008F7B63"/>
    <w:rsid w:val="008F7D6A"/>
    <w:rsid w:val="0090073B"/>
    <w:rsid w:val="009011C2"/>
    <w:rsid w:val="009025DF"/>
    <w:rsid w:val="00902FC8"/>
    <w:rsid w:val="00903594"/>
    <w:rsid w:val="009054CB"/>
    <w:rsid w:val="00910893"/>
    <w:rsid w:val="009125D4"/>
    <w:rsid w:val="0091261D"/>
    <w:rsid w:val="00912F94"/>
    <w:rsid w:val="00913545"/>
    <w:rsid w:val="00913A69"/>
    <w:rsid w:val="00913F82"/>
    <w:rsid w:val="00914A95"/>
    <w:rsid w:val="00914FBC"/>
    <w:rsid w:val="009150B6"/>
    <w:rsid w:val="009153CD"/>
    <w:rsid w:val="009163C0"/>
    <w:rsid w:val="00916954"/>
    <w:rsid w:val="00917DF8"/>
    <w:rsid w:val="00920DC3"/>
    <w:rsid w:val="0092107E"/>
    <w:rsid w:val="00922104"/>
    <w:rsid w:val="00923BC2"/>
    <w:rsid w:val="0092519D"/>
    <w:rsid w:val="00925396"/>
    <w:rsid w:val="0092590B"/>
    <w:rsid w:val="00925E60"/>
    <w:rsid w:val="009264B3"/>
    <w:rsid w:val="009269F6"/>
    <w:rsid w:val="0092783D"/>
    <w:rsid w:val="00927D23"/>
    <w:rsid w:val="00931171"/>
    <w:rsid w:val="009319C7"/>
    <w:rsid w:val="00931A41"/>
    <w:rsid w:val="00933CB8"/>
    <w:rsid w:val="00933F6D"/>
    <w:rsid w:val="009359EE"/>
    <w:rsid w:val="009365E0"/>
    <w:rsid w:val="00936E82"/>
    <w:rsid w:val="009400AB"/>
    <w:rsid w:val="00941534"/>
    <w:rsid w:val="00942415"/>
    <w:rsid w:val="00942BA2"/>
    <w:rsid w:val="00944C86"/>
    <w:rsid w:val="0094596A"/>
    <w:rsid w:val="009460C7"/>
    <w:rsid w:val="00946B04"/>
    <w:rsid w:val="00947640"/>
    <w:rsid w:val="00951542"/>
    <w:rsid w:val="0095289C"/>
    <w:rsid w:val="00952BBB"/>
    <w:rsid w:val="00952F5C"/>
    <w:rsid w:val="00954F84"/>
    <w:rsid w:val="00957DE8"/>
    <w:rsid w:val="00957EF7"/>
    <w:rsid w:val="00960ECB"/>
    <w:rsid w:val="009611A8"/>
    <w:rsid w:val="009615D6"/>
    <w:rsid w:val="0096277E"/>
    <w:rsid w:val="00963D18"/>
    <w:rsid w:val="00963E9F"/>
    <w:rsid w:val="009654DA"/>
    <w:rsid w:val="00965934"/>
    <w:rsid w:val="0096739F"/>
    <w:rsid w:val="009677F2"/>
    <w:rsid w:val="00967855"/>
    <w:rsid w:val="00970C49"/>
    <w:rsid w:val="0097305F"/>
    <w:rsid w:val="009733F0"/>
    <w:rsid w:val="00973BB3"/>
    <w:rsid w:val="00974AC1"/>
    <w:rsid w:val="0097700D"/>
    <w:rsid w:val="009772C9"/>
    <w:rsid w:val="0097751A"/>
    <w:rsid w:val="00980736"/>
    <w:rsid w:val="00981A39"/>
    <w:rsid w:val="00981ABF"/>
    <w:rsid w:val="009821E2"/>
    <w:rsid w:val="0098241A"/>
    <w:rsid w:val="00982C54"/>
    <w:rsid w:val="0098501F"/>
    <w:rsid w:val="00985E1A"/>
    <w:rsid w:val="00985F86"/>
    <w:rsid w:val="009862C0"/>
    <w:rsid w:val="00986861"/>
    <w:rsid w:val="00987097"/>
    <w:rsid w:val="00987850"/>
    <w:rsid w:val="00993E2A"/>
    <w:rsid w:val="00994E4A"/>
    <w:rsid w:val="00995647"/>
    <w:rsid w:val="00995CD4"/>
    <w:rsid w:val="00996FE7"/>
    <w:rsid w:val="00997523"/>
    <w:rsid w:val="009A0F8A"/>
    <w:rsid w:val="009A19E0"/>
    <w:rsid w:val="009A1D24"/>
    <w:rsid w:val="009A3A9C"/>
    <w:rsid w:val="009A6045"/>
    <w:rsid w:val="009A62E2"/>
    <w:rsid w:val="009A6F06"/>
    <w:rsid w:val="009B046C"/>
    <w:rsid w:val="009B1251"/>
    <w:rsid w:val="009B13FA"/>
    <w:rsid w:val="009B14A0"/>
    <w:rsid w:val="009B1E2D"/>
    <w:rsid w:val="009B2BD4"/>
    <w:rsid w:val="009B3347"/>
    <w:rsid w:val="009B52FD"/>
    <w:rsid w:val="009B62ED"/>
    <w:rsid w:val="009B63DF"/>
    <w:rsid w:val="009B7A0F"/>
    <w:rsid w:val="009B7CF4"/>
    <w:rsid w:val="009C0429"/>
    <w:rsid w:val="009C0927"/>
    <w:rsid w:val="009C1A68"/>
    <w:rsid w:val="009C3D91"/>
    <w:rsid w:val="009C59FB"/>
    <w:rsid w:val="009C601A"/>
    <w:rsid w:val="009C6DA8"/>
    <w:rsid w:val="009C6F3B"/>
    <w:rsid w:val="009C7168"/>
    <w:rsid w:val="009D0717"/>
    <w:rsid w:val="009D0F68"/>
    <w:rsid w:val="009D1467"/>
    <w:rsid w:val="009D2E00"/>
    <w:rsid w:val="009D34B5"/>
    <w:rsid w:val="009D3543"/>
    <w:rsid w:val="009D460C"/>
    <w:rsid w:val="009E00E8"/>
    <w:rsid w:val="009E033D"/>
    <w:rsid w:val="009E0B07"/>
    <w:rsid w:val="009E27D4"/>
    <w:rsid w:val="009E30CB"/>
    <w:rsid w:val="009E4FA6"/>
    <w:rsid w:val="009E5DB6"/>
    <w:rsid w:val="009E606C"/>
    <w:rsid w:val="009E7D93"/>
    <w:rsid w:val="009F1132"/>
    <w:rsid w:val="009F1AA9"/>
    <w:rsid w:val="009F20F7"/>
    <w:rsid w:val="009F2215"/>
    <w:rsid w:val="009F2873"/>
    <w:rsid w:val="009F348F"/>
    <w:rsid w:val="009F5C33"/>
    <w:rsid w:val="009F5D05"/>
    <w:rsid w:val="009F71AC"/>
    <w:rsid w:val="00A0087F"/>
    <w:rsid w:val="00A0135C"/>
    <w:rsid w:val="00A01CE9"/>
    <w:rsid w:val="00A0214A"/>
    <w:rsid w:val="00A02C45"/>
    <w:rsid w:val="00A03EAC"/>
    <w:rsid w:val="00A04AF6"/>
    <w:rsid w:val="00A05390"/>
    <w:rsid w:val="00A05850"/>
    <w:rsid w:val="00A065F3"/>
    <w:rsid w:val="00A0694C"/>
    <w:rsid w:val="00A07581"/>
    <w:rsid w:val="00A10C38"/>
    <w:rsid w:val="00A1156F"/>
    <w:rsid w:val="00A11963"/>
    <w:rsid w:val="00A11CA6"/>
    <w:rsid w:val="00A13494"/>
    <w:rsid w:val="00A14063"/>
    <w:rsid w:val="00A14623"/>
    <w:rsid w:val="00A1540B"/>
    <w:rsid w:val="00A15CD1"/>
    <w:rsid w:val="00A168D4"/>
    <w:rsid w:val="00A16BCC"/>
    <w:rsid w:val="00A16C28"/>
    <w:rsid w:val="00A20C49"/>
    <w:rsid w:val="00A20C6A"/>
    <w:rsid w:val="00A210BA"/>
    <w:rsid w:val="00A227CE"/>
    <w:rsid w:val="00A22CB1"/>
    <w:rsid w:val="00A24638"/>
    <w:rsid w:val="00A24942"/>
    <w:rsid w:val="00A2694B"/>
    <w:rsid w:val="00A269CA"/>
    <w:rsid w:val="00A30051"/>
    <w:rsid w:val="00A30079"/>
    <w:rsid w:val="00A311DC"/>
    <w:rsid w:val="00A31D17"/>
    <w:rsid w:val="00A321AE"/>
    <w:rsid w:val="00A32750"/>
    <w:rsid w:val="00A32EB2"/>
    <w:rsid w:val="00A336EE"/>
    <w:rsid w:val="00A33811"/>
    <w:rsid w:val="00A3387A"/>
    <w:rsid w:val="00A33882"/>
    <w:rsid w:val="00A34DDC"/>
    <w:rsid w:val="00A359AC"/>
    <w:rsid w:val="00A3687F"/>
    <w:rsid w:val="00A41413"/>
    <w:rsid w:val="00A427A4"/>
    <w:rsid w:val="00A43097"/>
    <w:rsid w:val="00A433C7"/>
    <w:rsid w:val="00A43629"/>
    <w:rsid w:val="00A4446D"/>
    <w:rsid w:val="00A45390"/>
    <w:rsid w:val="00A45FB1"/>
    <w:rsid w:val="00A46A7D"/>
    <w:rsid w:val="00A46CCC"/>
    <w:rsid w:val="00A4757D"/>
    <w:rsid w:val="00A50ECB"/>
    <w:rsid w:val="00A51CFE"/>
    <w:rsid w:val="00A5287B"/>
    <w:rsid w:val="00A52A90"/>
    <w:rsid w:val="00A552EE"/>
    <w:rsid w:val="00A60EB1"/>
    <w:rsid w:val="00A64A4C"/>
    <w:rsid w:val="00A65B9B"/>
    <w:rsid w:val="00A67C75"/>
    <w:rsid w:val="00A703DC"/>
    <w:rsid w:val="00A70F36"/>
    <w:rsid w:val="00A71C5C"/>
    <w:rsid w:val="00A732CF"/>
    <w:rsid w:val="00A743F9"/>
    <w:rsid w:val="00A7578E"/>
    <w:rsid w:val="00A76C13"/>
    <w:rsid w:val="00A76DD4"/>
    <w:rsid w:val="00A77372"/>
    <w:rsid w:val="00A7774B"/>
    <w:rsid w:val="00A77B70"/>
    <w:rsid w:val="00A80EC0"/>
    <w:rsid w:val="00A826E3"/>
    <w:rsid w:val="00A8303A"/>
    <w:rsid w:val="00A83552"/>
    <w:rsid w:val="00A83BC9"/>
    <w:rsid w:val="00A844EE"/>
    <w:rsid w:val="00A871E8"/>
    <w:rsid w:val="00A92E79"/>
    <w:rsid w:val="00A93329"/>
    <w:rsid w:val="00A93FD1"/>
    <w:rsid w:val="00A94959"/>
    <w:rsid w:val="00A950B6"/>
    <w:rsid w:val="00A956F3"/>
    <w:rsid w:val="00A95CF8"/>
    <w:rsid w:val="00A97743"/>
    <w:rsid w:val="00A97B02"/>
    <w:rsid w:val="00A97C04"/>
    <w:rsid w:val="00AA15E7"/>
    <w:rsid w:val="00AA2A5F"/>
    <w:rsid w:val="00AA3062"/>
    <w:rsid w:val="00AA66A0"/>
    <w:rsid w:val="00AA6C90"/>
    <w:rsid w:val="00AB0C62"/>
    <w:rsid w:val="00AB41C1"/>
    <w:rsid w:val="00AB433E"/>
    <w:rsid w:val="00AB4DF4"/>
    <w:rsid w:val="00AB4F80"/>
    <w:rsid w:val="00AB55B4"/>
    <w:rsid w:val="00AB6919"/>
    <w:rsid w:val="00AC01B3"/>
    <w:rsid w:val="00AC0562"/>
    <w:rsid w:val="00AC2D80"/>
    <w:rsid w:val="00AC3490"/>
    <w:rsid w:val="00AC355D"/>
    <w:rsid w:val="00AC5746"/>
    <w:rsid w:val="00AC62A7"/>
    <w:rsid w:val="00AC6FD2"/>
    <w:rsid w:val="00AC732B"/>
    <w:rsid w:val="00AC76C4"/>
    <w:rsid w:val="00AD0031"/>
    <w:rsid w:val="00AD0056"/>
    <w:rsid w:val="00AD07BF"/>
    <w:rsid w:val="00AD12A8"/>
    <w:rsid w:val="00AD2456"/>
    <w:rsid w:val="00AD4F34"/>
    <w:rsid w:val="00AD6723"/>
    <w:rsid w:val="00AD6E6D"/>
    <w:rsid w:val="00AE023F"/>
    <w:rsid w:val="00AE08A7"/>
    <w:rsid w:val="00AE143D"/>
    <w:rsid w:val="00AE17E6"/>
    <w:rsid w:val="00AE19D6"/>
    <w:rsid w:val="00AE1C2D"/>
    <w:rsid w:val="00AE1F78"/>
    <w:rsid w:val="00AE53AD"/>
    <w:rsid w:val="00AE7A81"/>
    <w:rsid w:val="00AF1F29"/>
    <w:rsid w:val="00AF2378"/>
    <w:rsid w:val="00AF2984"/>
    <w:rsid w:val="00AF2EFC"/>
    <w:rsid w:val="00AF30EC"/>
    <w:rsid w:val="00AF343A"/>
    <w:rsid w:val="00AF3577"/>
    <w:rsid w:val="00AF35F9"/>
    <w:rsid w:val="00AF4414"/>
    <w:rsid w:val="00AF64F9"/>
    <w:rsid w:val="00AF69CF"/>
    <w:rsid w:val="00AF6BC0"/>
    <w:rsid w:val="00AF76D8"/>
    <w:rsid w:val="00B0106D"/>
    <w:rsid w:val="00B01270"/>
    <w:rsid w:val="00B02120"/>
    <w:rsid w:val="00B0393C"/>
    <w:rsid w:val="00B03F5A"/>
    <w:rsid w:val="00B0428B"/>
    <w:rsid w:val="00B05C7D"/>
    <w:rsid w:val="00B10300"/>
    <w:rsid w:val="00B10E26"/>
    <w:rsid w:val="00B11041"/>
    <w:rsid w:val="00B118A0"/>
    <w:rsid w:val="00B14377"/>
    <w:rsid w:val="00B14899"/>
    <w:rsid w:val="00B153B3"/>
    <w:rsid w:val="00B20230"/>
    <w:rsid w:val="00B216C2"/>
    <w:rsid w:val="00B228F6"/>
    <w:rsid w:val="00B22E4B"/>
    <w:rsid w:val="00B23139"/>
    <w:rsid w:val="00B24DFC"/>
    <w:rsid w:val="00B257F4"/>
    <w:rsid w:val="00B264D3"/>
    <w:rsid w:val="00B26883"/>
    <w:rsid w:val="00B26BD9"/>
    <w:rsid w:val="00B30939"/>
    <w:rsid w:val="00B30A26"/>
    <w:rsid w:val="00B3184B"/>
    <w:rsid w:val="00B32226"/>
    <w:rsid w:val="00B346C3"/>
    <w:rsid w:val="00B36318"/>
    <w:rsid w:val="00B368E5"/>
    <w:rsid w:val="00B36EAF"/>
    <w:rsid w:val="00B4045D"/>
    <w:rsid w:val="00B410A4"/>
    <w:rsid w:val="00B42BFD"/>
    <w:rsid w:val="00B4471C"/>
    <w:rsid w:val="00B451A6"/>
    <w:rsid w:val="00B45D28"/>
    <w:rsid w:val="00B47D6A"/>
    <w:rsid w:val="00B550BD"/>
    <w:rsid w:val="00B55D8A"/>
    <w:rsid w:val="00B56EBB"/>
    <w:rsid w:val="00B602DC"/>
    <w:rsid w:val="00B60A52"/>
    <w:rsid w:val="00B6121D"/>
    <w:rsid w:val="00B626A1"/>
    <w:rsid w:val="00B63CBE"/>
    <w:rsid w:val="00B641A4"/>
    <w:rsid w:val="00B71FAA"/>
    <w:rsid w:val="00B722DE"/>
    <w:rsid w:val="00B74DA1"/>
    <w:rsid w:val="00B75087"/>
    <w:rsid w:val="00B755E0"/>
    <w:rsid w:val="00B759E9"/>
    <w:rsid w:val="00B76B4D"/>
    <w:rsid w:val="00B76C44"/>
    <w:rsid w:val="00B76D52"/>
    <w:rsid w:val="00B8134F"/>
    <w:rsid w:val="00B82057"/>
    <w:rsid w:val="00B82124"/>
    <w:rsid w:val="00B82983"/>
    <w:rsid w:val="00B8320D"/>
    <w:rsid w:val="00B83A9D"/>
    <w:rsid w:val="00B83F87"/>
    <w:rsid w:val="00B912D7"/>
    <w:rsid w:val="00B91305"/>
    <w:rsid w:val="00B92114"/>
    <w:rsid w:val="00B92915"/>
    <w:rsid w:val="00B929AF"/>
    <w:rsid w:val="00B938E3"/>
    <w:rsid w:val="00B93D29"/>
    <w:rsid w:val="00B962A3"/>
    <w:rsid w:val="00B96B8C"/>
    <w:rsid w:val="00B974AE"/>
    <w:rsid w:val="00B97636"/>
    <w:rsid w:val="00BA1434"/>
    <w:rsid w:val="00BA14F5"/>
    <w:rsid w:val="00BA2EFA"/>
    <w:rsid w:val="00BA3363"/>
    <w:rsid w:val="00BA372A"/>
    <w:rsid w:val="00BA3DBC"/>
    <w:rsid w:val="00BB2DA2"/>
    <w:rsid w:val="00BB5300"/>
    <w:rsid w:val="00BB56DC"/>
    <w:rsid w:val="00BC22D9"/>
    <w:rsid w:val="00BC34DF"/>
    <w:rsid w:val="00BD2C76"/>
    <w:rsid w:val="00BD2F9B"/>
    <w:rsid w:val="00BD7667"/>
    <w:rsid w:val="00BD7888"/>
    <w:rsid w:val="00BD7A83"/>
    <w:rsid w:val="00BE183D"/>
    <w:rsid w:val="00BE1A88"/>
    <w:rsid w:val="00BE1CA6"/>
    <w:rsid w:val="00BE31E3"/>
    <w:rsid w:val="00BE4B36"/>
    <w:rsid w:val="00BE53D8"/>
    <w:rsid w:val="00BE6561"/>
    <w:rsid w:val="00BE6660"/>
    <w:rsid w:val="00BE675A"/>
    <w:rsid w:val="00BE67A4"/>
    <w:rsid w:val="00BF013C"/>
    <w:rsid w:val="00BF0D5C"/>
    <w:rsid w:val="00BF18D9"/>
    <w:rsid w:val="00BF1D20"/>
    <w:rsid w:val="00BF24A8"/>
    <w:rsid w:val="00BF3F78"/>
    <w:rsid w:val="00BF5250"/>
    <w:rsid w:val="00BF5D7A"/>
    <w:rsid w:val="00BF6F3B"/>
    <w:rsid w:val="00C01A84"/>
    <w:rsid w:val="00C02D33"/>
    <w:rsid w:val="00C04335"/>
    <w:rsid w:val="00C05147"/>
    <w:rsid w:val="00C0571C"/>
    <w:rsid w:val="00C11476"/>
    <w:rsid w:val="00C11E36"/>
    <w:rsid w:val="00C11E98"/>
    <w:rsid w:val="00C1232C"/>
    <w:rsid w:val="00C12E1F"/>
    <w:rsid w:val="00C13A4B"/>
    <w:rsid w:val="00C156CB"/>
    <w:rsid w:val="00C15BD9"/>
    <w:rsid w:val="00C16F8B"/>
    <w:rsid w:val="00C17602"/>
    <w:rsid w:val="00C17AE9"/>
    <w:rsid w:val="00C20429"/>
    <w:rsid w:val="00C21033"/>
    <w:rsid w:val="00C22D96"/>
    <w:rsid w:val="00C24593"/>
    <w:rsid w:val="00C2493B"/>
    <w:rsid w:val="00C26BE1"/>
    <w:rsid w:val="00C32E9A"/>
    <w:rsid w:val="00C3338E"/>
    <w:rsid w:val="00C3620B"/>
    <w:rsid w:val="00C36442"/>
    <w:rsid w:val="00C367BC"/>
    <w:rsid w:val="00C36869"/>
    <w:rsid w:val="00C36A11"/>
    <w:rsid w:val="00C36A8D"/>
    <w:rsid w:val="00C400CE"/>
    <w:rsid w:val="00C40171"/>
    <w:rsid w:val="00C410FD"/>
    <w:rsid w:val="00C425D1"/>
    <w:rsid w:val="00C442C5"/>
    <w:rsid w:val="00C45A05"/>
    <w:rsid w:val="00C45F2C"/>
    <w:rsid w:val="00C4761C"/>
    <w:rsid w:val="00C47895"/>
    <w:rsid w:val="00C47A79"/>
    <w:rsid w:val="00C5183E"/>
    <w:rsid w:val="00C526B8"/>
    <w:rsid w:val="00C539FB"/>
    <w:rsid w:val="00C53B4D"/>
    <w:rsid w:val="00C5422E"/>
    <w:rsid w:val="00C573E3"/>
    <w:rsid w:val="00C5797A"/>
    <w:rsid w:val="00C63463"/>
    <w:rsid w:val="00C65C85"/>
    <w:rsid w:val="00C66215"/>
    <w:rsid w:val="00C70167"/>
    <w:rsid w:val="00C70621"/>
    <w:rsid w:val="00C7177F"/>
    <w:rsid w:val="00C72911"/>
    <w:rsid w:val="00C72A04"/>
    <w:rsid w:val="00C7490C"/>
    <w:rsid w:val="00C75BAE"/>
    <w:rsid w:val="00C7689C"/>
    <w:rsid w:val="00C771AE"/>
    <w:rsid w:val="00C81172"/>
    <w:rsid w:val="00C836A5"/>
    <w:rsid w:val="00C83DC0"/>
    <w:rsid w:val="00C84FE6"/>
    <w:rsid w:val="00C85035"/>
    <w:rsid w:val="00C85794"/>
    <w:rsid w:val="00C902A2"/>
    <w:rsid w:val="00C94551"/>
    <w:rsid w:val="00C96B05"/>
    <w:rsid w:val="00C96C2E"/>
    <w:rsid w:val="00C97648"/>
    <w:rsid w:val="00C97C44"/>
    <w:rsid w:val="00CA0A9E"/>
    <w:rsid w:val="00CA246D"/>
    <w:rsid w:val="00CA253D"/>
    <w:rsid w:val="00CA30FE"/>
    <w:rsid w:val="00CA4AE4"/>
    <w:rsid w:val="00CA4C4E"/>
    <w:rsid w:val="00CA50D9"/>
    <w:rsid w:val="00CA58FC"/>
    <w:rsid w:val="00CB0874"/>
    <w:rsid w:val="00CB5636"/>
    <w:rsid w:val="00CB77FB"/>
    <w:rsid w:val="00CC0AA8"/>
    <w:rsid w:val="00CC1A32"/>
    <w:rsid w:val="00CC356F"/>
    <w:rsid w:val="00CC368A"/>
    <w:rsid w:val="00CD0113"/>
    <w:rsid w:val="00CD1A0F"/>
    <w:rsid w:val="00CD2152"/>
    <w:rsid w:val="00CD2A7A"/>
    <w:rsid w:val="00CD3B25"/>
    <w:rsid w:val="00CD70CF"/>
    <w:rsid w:val="00CE00BB"/>
    <w:rsid w:val="00CE1173"/>
    <w:rsid w:val="00CE2F08"/>
    <w:rsid w:val="00CE3894"/>
    <w:rsid w:val="00CE40E8"/>
    <w:rsid w:val="00CE4A3B"/>
    <w:rsid w:val="00CE4CDC"/>
    <w:rsid w:val="00CE5224"/>
    <w:rsid w:val="00CE7947"/>
    <w:rsid w:val="00CE7B77"/>
    <w:rsid w:val="00CF18AD"/>
    <w:rsid w:val="00CF2345"/>
    <w:rsid w:val="00CF2B89"/>
    <w:rsid w:val="00CF2C02"/>
    <w:rsid w:val="00CF5690"/>
    <w:rsid w:val="00CF57FA"/>
    <w:rsid w:val="00CF6317"/>
    <w:rsid w:val="00CF76E7"/>
    <w:rsid w:val="00CF787E"/>
    <w:rsid w:val="00D031DA"/>
    <w:rsid w:val="00D035B7"/>
    <w:rsid w:val="00D03DEE"/>
    <w:rsid w:val="00D04288"/>
    <w:rsid w:val="00D057A0"/>
    <w:rsid w:val="00D10F21"/>
    <w:rsid w:val="00D127BC"/>
    <w:rsid w:val="00D13839"/>
    <w:rsid w:val="00D13DB8"/>
    <w:rsid w:val="00D15672"/>
    <w:rsid w:val="00D16985"/>
    <w:rsid w:val="00D1728F"/>
    <w:rsid w:val="00D2130A"/>
    <w:rsid w:val="00D21327"/>
    <w:rsid w:val="00D2133E"/>
    <w:rsid w:val="00D21EC6"/>
    <w:rsid w:val="00D221CE"/>
    <w:rsid w:val="00D234A1"/>
    <w:rsid w:val="00D24806"/>
    <w:rsid w:val="00D25FA3"/>
    <w:rsid w:val="00D265E1"/>
    <w:rsid w:val="00D26622"/>
    <w:rsid w:val="00D26C0B"/>
    <w:rsid w:val="00D31B5B"/>
    <w:rsid w:val="00D3325D"/>
    <w:rsid w:val="00D33C4C"/>
    <w:rsid w:val="00D34040"/>
    <w:rsid w:val="00D3460F"/>
    <w:rsid w:val="00D34D1A"/>
    <w:rsid w:val="00D34E69"/>
    <w:rsid w:val="00D373F7"/>
    <w:rsid w:val="00D375EE"/>
    <w:rsid w:val="00D41286"/>
    <w:rsid w:val="00D428D9"/>
    <w:rsid w:val="00D433EF"/>
    <w:rsid w:val="00D43B01"/>
    <w:rsid w:val="00D43C28"/>
    <w:rsid w:val="00D44569"/>
    <w:rsid w:val="00D4529D"/>
    <w:rsid w:val="00D470CA"/>
    <w:rsid w:val="00D47F53"/>
    <w:rsid w:val="00D52CAF"/>
    <w:rsid w:val="00D531F3"/>
    <w:rsid w:val="00D53427"/>
    <w:rsid w:val="00D55AB4"/>
    <w:rsid w:val="00D56712"/>
    <w:rsid w:val="00D61E6F"/>
    <w:rsid w:val="00D62699"/>
    <w:rsid w:val="00D65FAB"/>
    <w:rsid w:val="00D7007E"/>
    <w:rsid w:val="00D7051E"/>
    <w:rsid w:val="00D726DE"/>
    <w:rsid w:val="00D74621"/>
    <w:rsid w:val="00D74D94"/>
    <w:rsid w:val="00D75D21"/>
    <w:rsid w:val="00D76745"/>
    <w:rsid w:val="00D77BA8"/>
    <w:rsid w:val="00D8109C"/>
    <w:rsid w:val="00D81A6B"/>
    <w:rsid w:val="00D82620"/>
    <w:rsid w:val="00D83566"/>
    <w:rsid w:val="00D840EB"/>
    <w:rsid w:val="00D846F8"/>
    <w:rsid w:val="00D870F7"/>
    <w:rsid w:val="00D8780D"/>
    <w:rsid w:val="00D878A4"/>
    <w:rsid w:val="00D90517"/>
    <w:rsid w:val="00D90851"/>
    <w:rsid w:val="00D90FE3"/>
    <w:rsid w:val="00D91D07"/>
    <w:rsid w:val="00D94436"/>
    <w:rsid w:val="00D96658"/>
    <w:rsid w:val="00D96EF5"/>
    <w:rsid w:val="00D9725F"/>
    <w:rsid w:val="00DA01B1"/>
    <w:rsid w:val="00DA021A"/>
    <w:rsid w:val="00DA073F"/>
    <w:rsid w:val="00DA11A2"/>
    <w:rsid w:val="00DA14ED"/>
    <w:rsid w:val="00DA1957"/>
    <w:rsid w:val="00DA21AB"/>
    <w:rsid w:val="00DA23A3"/>
    <w:rsid w:val="00DA27D8"/>
    <w:rsid w:val="00DA4936"/>
    <w:rsid w:val="00DA5C9A"/>
    <w:rsid w:val="00DB0924"/>
    <w:rsid w:val="00DB2260"/>
    <w:rsid w:val="00DB2EF1"/>
    <w:rsid w:val="00DB36A8"/>
    <w:rsid w:val="00DB3DE1"/>
    <w:rsid w:val="00DB4958"/>
    <w:rsid w:val="00DB5117"/>
    <w:rsid w:val="00DB59E0"/>
    <w:rsid w:val="00DB5DA0"/>
    <w:rsid w:val="00DB67FE"/>
    <w:rsid w:val="00DB716C"/>
    <w:rsid w:val="00DC0E00"/>
    <w:rsid w:val="00DC4624"/>
    <w:rsid w:val="00DC4748"/>
    <w:rsid w:val="00DC4F45"/>
    <w:rsid w:val="00DC5C85"/>
    <w:rsid w:val="00DC5E7C"/>
    <w:rsid w:val="00DC5FA8"/>
    <w:rsid w:val="00DC601E"/>
    <w:rsid w:val="00DD0945"/>
    <w:rsid w:val="00DD4236"/>
    <w:rsid w:val="00DD44F1"/>
    <w:rsid w:val="00DD4E7C"/>
    <w:rsid w:val="00DD53BE"/>
    <w:rsid w:val="00DD5F5B"/>
    <w:rsid w:val="00DD61D5"/>
    <w:rsid w:val="00DE3067"/>
    <w:rsid w:val="00DE3384"/>
    <w:rsid w:val="00DE40D9"/>
    <w:rsid w:val="00DE7D29"/>
    <w:rsid w:val="00DF192E"/>
    <w:rsid w:val="00DF1B0A"/>
    <w:rsid w:val="00DF3C35"/>
    <w:rsid w:val="00DF4377"/>
    <w:rsid w:val="00DF4422"/>
    <w:rsid w:val="00DF482D"/>
    <w:rsid w:val="00DF55BE"/>
    <w:rsid w:val="00DF5BF0"/>
    <w:rsid w:val="00DF60F8"/>
    <w:rsid w:val="00DF6737"/>
    <w:rsid w:val="00DF751B"/>
    <w:rsid w:val="00E027BC"/>
    <w:rsid w:val="00E045E5"/>
    <w:rsid w:val="00E059C2"/>
    <w:rsid w:val="00E102B4"/>
    <w:rsid w:val="00E1049C"/>
    <w:rsid w:val="00E10D3C"/>
    <w:rsid w:val="00E1159C"/>
    <w:rsid w:val="00E124BB"/>
    <w:rsid w:val="00E124F3"/>
    <w:rsid w:val="00E13420"/>
    <w:rsid w:val="00E148EA"/>
    <w:rsid w:val="00E14EA5"/>
    <w:rsid w:val="00E16115"/>
    <w:rsid w:val="00E21133"/>
    <w:rsid w:val="00E22852"/>
    <w:rsid w:val="00E2312C"/>
    <w:rsid w:val="00E2327E"/>
    <w:rsid w:val="00E235CC"/>
    <w:rsid w:val="00E23913"/>
    <w:rsid w:val="00E244B0"/>
    <w:rsid w:val="00E24C45"/>
    <w:rsid w:val="00E24EF2"/>
    <w:rsid w:val="00E26174"/>
    <w:rsid w:val="00E2659C"/>
    <w:rsid w:val="00E266EF"/>
    <w:rsid w:val="00E26DD7"/>
    <w:rsid w:val="00E279AE"/>
    <w:rsid w:val="00E27C54"/>
    <w:rsid w:val="00E305F4"/>
    <w:rsid w:val="00E30A3F"/>
    <w:rsid w:val="00E33940"/>
    <w:rsid w:val="00E34F66"/>
    <w:rsid w:val="00E36083"/>
    <w:rsid w:val="00E3655D"/>
    <w:rsid w:val="00E37989"/>
    <w:rsid w:val="00E4102F"/>
    <w:rsid w:val="00E411D9"/>
    <w:rsid w:val="00E41BC2"/>
    <w:rsid w:val="00E43BEC"/>
    <w:rsid w:val="00E469CA"/>
    <w:rsid w:val="00E47428"/>
    <w:rsid w:val="00E500B2"/>
    <w:rsid w:val="00E50448"/>
    <w:rsid w:val="00E513F1"/>
    <w:rsid w:val="00E525DF"/>
    <w:rsid w:val="00E53395"/>
    <w:rsid w:val="00E557F2"/>
    <w:rsid w:val="00E563D1"/>
    <w:rsid w:val="00E56B6A"/>
    <w:rsid w:val="00E57167"/>
    <w:rsid w:val="00E60532"/>
    <w:rsid w:val="00E60CC4"/>
    <w:rsid w:val="00E60F4E"/>
    <w:rsid w:val="00E60FB0"/>
    <w:rsid w:val="00E61C51"/>
    <w:rsid w:val="00E6329D"/>
    <w:rsid w:val="00E63726"/>
    <w:rsid w:val="00E64831"/>
    <w:rsid w:val="00E66B9F"/>
    <w:rsid w:val="00E6715C"/>
    <w:rsid w:val="00E67A25"/>
    <w:rsid w:val="00E70901"/>
    <w:rsid w:val="00E710D6"/>
    <w:rsid w:val="00E712D8"/>
    <w:rsid w:val="00E729B6"/>
    <w:rsid w:val="00E73141"/>
    <w:rsid w:val="00E73959"/>
    <w:rsid w:val="00E73980"/>
    <w:rsid w:val="00E74442"/>
    <w:rsid w:val="00E74CAB"/>
    <w:rsid w:val="00E75807"/>
    <w:rsid w:val="00E75886"/>
    <w:rsid w:val="00E7594C"/>
    <w:rsid w:val="00E76E45"/>
    <w:rsid w:val="00E777C9"/>
    <w:rsid w:val="00E77908"/>
    <w:rsid w:val="00E77B4A"/>
    <w:rsid w:val="00E80841"/>
    <w:rsid w:val="00E80BE5"/>
    <w:rsid w:val="00E81DA6"/>
    <w:rsid w:val="00E828E5"/>
    <w:rsid w:val="00E84212"/>
    <w:rsid w:val="00E85E13"/>
    <w:rsid w:val="00E86CA8"/>
    <w:rsid w:val="00E87329"/>
    <w:rsid w:val="00E9077C"/>
    <w:rsid w:val="00E9086C"/>
    <w:rsid w:val="00E91A0F"/>
    <w:rsid w:val="00E92987"/>
    <w:rsid w:val="00E93DC6"/>
    <w:rsid w:val="00E9425F"/>
    <w:rsid w:val="00E9431F"/>
    <w:rsid w:val="00E947B2"/>
    <w:rsid w:val="00E94A71"/>
    <w:rsid w:val="00E94B42"/>
    <w:rsid w:val="00E95E02"/>
    <w:rsid w:val="00EA0215"/>
    <w:rsid w:val="00EA03CE"/>
    <w:rsid w:val="00EA1B9B"/>
    <w:rsid w:val="00EA225C"/>
    <w:rsid w:val="00EA23E5"/>
    <w:rsid w:val="00EA4D46"/>
    <w:rsid w:val="00EA4E2E"/>
    <w:rsid w:val="00EA5FBD"/>
    <w:rsid w:val="00EB2CCB"/>
    <w:rsid w:val="00EB3A35"/>
    <w:rsid w:val="00EB3B8D"/>
    <w:rsid w:val="00EB442C"/>
    <w:rsid w:val="00EB7BBD"/>
    <w:rsid w:val="00EC5712"/>
    <w:rsid w:val="00EC57A7"/>
    <w:rsid w:val="00EC73D4"/>
    <w:rsid w:val="00ED0817"/>
    <w:rsid w:val="00ED137D"/>
    <w:rsid w:val="00ED2518"/>
    <w:rsid w:val="00ED3735"/>
    <w:rsid w:val="00ED7DD9"/>
    <w:rsid w:val="00EE0DF0"/>
    <w:rsid w:val="00EE27BE"/>
    <w:rsid w:val="00EE40A8"/>
    <w:rsid w:val="00EE4341"/>
    <w:rsid w:val="00EE4E2D"/>
    <w:rsid w:val="00EE51B2"/>
    <w:rsid w:val="00EF0CE6"/>
    <w:rsid w:val="00EF1709"/>
    <w:rsid w:val="00EF1DB2"/>
    <w:rsid w:val="00EF1FCE"/>
    <w:rsid w:val="00EF21DF"/>
    <w:rsid w:val="00EF3113"/>
    <w:rsid w:val="00EF3F84"/>
    <w:rsid w:val="00EF4894"/>
    <w:rsid w:val="00EF49B3"/>
    <w:rsid w:val="00EF62F1"/>
    <w:rsid w:val="00EF7BAC"/>
    <w:rsid w:val="00F0032C"/>
    <w:rsid w:val="00F00FC9"/>
    <w:rsid w:val="00F02B11"/>
    <w:rsid w:val="00F0341F"/>
    <w:rsid w:val="00F03BB1"/>
    <w:rsid w:val="00F04D93"/>
    <w:rsid w:val="00F05FE7"/>
    <w:rsid w:val="00F119BA"/>
    <w:rsid w:val="00F124EA"/>
    <w:rsid w:val="00F1363A"/>
    <w:rsid w:val="00F14DB6"/>
    <w:rsid w:val="00F15089"/>
    <w:rsid w:val="00F16F45"/>
    <w:rsid w:val="00F176AC"/>
    <w:rsid w:val="00F201E3"/>
    <w:rsid w:val="00F20A0C"/>
    <w:rsid w:val="00F2131A"/>
    <w:rsid w:val="00F21E14"/>
    <w:rsid w:val="00F23021"/>
    <w:rsid w:val="00F244C6"/>
    <w:rsid w:val="00F248F6"/>
    <w:rsid w:val="00F24CAA"/>
    <w:rsid w:val="00F27534"/>
    <w:rsid w:val="00F275C8"/>
    <w:rsid w:val="00F27714"/>
    <w:rsid w:val="00F30AE6"/>
    <w:rsid w:val="00F31057"/>
    <w:rsid w:val="00F31307"/>
    <w:rsid w:val="00F31D85"/>
    <w:rsid w:val="00F32117"/>
    <w:rsid w:val="00F326B9"/>
    <w:rsid w:val="00F3276E"/>
    <w:rsid w:val="00F331B1"/>
    <w:rsid w:val="00F332E4"/>
    <w:rsid w:val="00F33D3C"/>
    <w:rsid w:val="00F36B82"/>
    <w:rsid w:val="00F3759B"/>
    <w:rsid w:val="00F37A91"/>
    <w:rsid w:val="00F40047"/>
    <w:rsid w:val="00F40303"/>
    <w:rsid w:val="00F4073D"/>
    <w:rsid w:val="00F408DB"/>
    <w:rsid w:val="00F40963"/>
    <w:rsid w:val="00F42398"/>
    <w:rsid w:val="00F457B3"/>
    <w:rsid w:val="00F45CF5"/>
    <w:rsid w:val="00F46F5C"/>
    <w:rsid w:val="00F47DB0"/>
    <w:rsid w:val="00F47DC0"/>
    <w:rsid w:val="00F50E34"/>
    <w:rsid w:val="00F51E11"/>
    <w:rsid w:val="00F52C31"/>
    <w:rsid w:val="00F52F7F"/>
    <w:rsid w:val="00F53EF7"/>
    <w:rsid w:val="00F54BEA"/>
    <w:rsid w:val="00F54BF2"/>
    <w:rsid w:val="00F54D8C"/>
    <w:rsid w:val="00F54F4B"/>
    <w:rsid w:val="00F56F4F"/>
    <w:rsid w:val="00F576EB"/>
    <w:rsid w:val="00F60611"/>
    <w:rsid w:val="00F60B5A"/>
    <w:rsid w:val="00F61388"/>
    <w:rsid w:val="00F6223B"/>
    <w:rsid w:val="00F64434"/>
    <w:rsid w:val="00F652AB"/>
    <w:rsid w:val="00F654A4"/>
    <w:rsid w:val="00F66BB2"/>
    <w:rsid w:val="00F66DEB"/>
    <w:rsid w:val="00F66F31"/>
    <w:rsid w:val="00F70FB7"/>
    <w:rsid w:val="00F71DDB"/>
    <w:rsid w:val="00F71F95"/>
    <w:rsid w:val="00F732BD"/>
    <w:rsid w:val="00F74218"/>
    <w:rsid w:val="00F7634D"/>
    <w:rsid w:val="00F77C60"/>
    <w:rsid w:val="00F839BD"/>
    <w:rsid w:val="00F83B9A"/>
    <w:rsid w:val="00F83FD5"/>
    <w:rsid w:val="00F84B41"/>
    <w:rsid w:val="00F85F15"/>
    <w:rsid w:val="00F86EEB"/>
    <w:rsid w:val="00F871B3"/>
    <w:rsid w:val="00F87C46"/>
    <w:rsid w:val="00F9088E"/>
    <w:rsid w:val="00F90987"/>
    <w:rsid w:val="00F9133B"/>
    <w:rsid w:val="00F92355"/>
    <w:rsid w:val="00F92807"/>
    <w:rsid w:val="00F93004"/>
    <w:rsid w:val="00F93963"/>
    <w:rsid w:val="00F94291"/>
    <w:rsid w:val="00F9435F"/>
    <w:rsid w:val="00F9477A"/>
    <w:rsid w:val="00F948D8"/>
    <w:rsid w:val="00F9505D"/>
    <w:rsid w:val="00F953E5"/>
    <w:rsid w:val="00F95DB3"/>
    <w:rsid w:val="00F965CA"/>
    <w:rsid w:val="00F96644"/>
    <w:rsid w:val="00F969BB"/>
    <w:rsid w:val="00FA439A"/>
    <w:rsid w:val="00FA5BEE"/>
    <w:rsid w:val="00FA759B"/>
    <w:rsid w:val="00FB0D4F"/>
    <w:rsid w:val="00FB0ED2"/>
    <w:rsid w:val="00FB0F80"/>
    <w:rsid w:val="00FB2777"/>
    <w:rsid w:val="00FB2A20"/>
    <w:rsid w:val="00FB2C65"/>
    <w:rsid w:val="00FB4658"/>
    <w:rsid w:val="00FB49ED"/>
    <w:rsid w:val="00FB4A77"/>
    <w:rsid w:val="00FB4CB5"/>
    <w:rsid w:val="00FB60E7"/>
    <w:rsid w:val="00FB64B6"/>
    <w:rsid w:val="00FB7982"/>
    <w:rsid w:val="00FC0734"/>
    <w:rsid w:val="00FC078A"/>
    <w:rsid w:val="00FC0FC5"/>
    <w:rsid w:val="00FC365A"/>
    <w:rsid w:val="00FC3901"/>
    <w:rsid w:val="00FC3B16"/>
    <w:rsid w:val="00FC588F"/>
    <w:rsid w:val="00FD2B07"/>
    <w:rsid w:val="00FD466B"/>
    <w:rsid w:val="00FD4BCA"/>
    <w:rsid w:val="00FD6608"/>
    <w:rsid w:val="00FD6EF9"/>
    <w:rsid w:val="00FE1B30"/>
    <w:rsid w:val="00FE22B3"/>
    <w:rsid w:val="00FE4BAD"/>
    <w:rsid w:val="00FE4CAC"/>
    <w:rsid w:val="00FE5C33"/>
    <w:rsid w:val="00FE6BCD"/>
    <w:rsid w:val="00FE751B"/>
    <w:rsid w:val="00FE7B44"/>
    <w:rsid w:val="00FF0462"/>
    <w:rsid w:val="00FF2098"/>
    <w:rsid w:val="00FF7486"/>
    <w:rsid w:val="00FF7886"/>
    <w:rsid w:val="00FF7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B1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8811"/>
        <w:tab w:val="num" w:pos="720"/>
        <w:tab w:val="num" w:pos="1582"/>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39"/>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F03BB1"/>
    <w:pPr>
      <w:autoSpaceDE w:val="0"/>
      <w:autoSpaceDN w:val="0"/>
      <w:adjustRightInd w:val="0"/>
    </w:pPr>
    <w:rPr>
      <w:color w:val="000000"/>
      <w:sz w:val="24"/>
      <w:szCs w:val="24"/>
    </w:rPr>
  </w:style>
  <w:style w:type="paragraph" w:styleId="ListParagraph">
    <w:name w:val="List Paragraph"/>
    <w:basedOn w:val="Normal"/>
    <w:uiPriority w:val="34"/>
    <w:qFormat/>
    <w:rsid w:val="002141BD"/>
    <w:pPr>
      <w:widowControl w:val="0"/>
      <w:autoSpaceDE w:val="0"/>
      <w:autoSpaceDN w:val="0"/>
      <w:adjustRightInd w:val="0"/>
      <w:spacing w:line="240" w:lineRule="auto"/>
      <w:ind w:left="822" w:hanging="709"/>
      <w:jc w:val="left"/>
    </w:pPr>
    <w:rPr>
      <w:rFonts w:eastAsiaTheme="minorEastAsia"/>
      <w:szCs w:val="24"/>
      <w:lang w:eastAsia="en-AU"/>
    </w:rPr>
  </w:style>
  <w:style w:type="paragraph" w:customStyle="1" w:styleId="subsection">
    <w:name w:val="subsection"/>
    <w:basedOn w:val="Normal"/>
    <w:rsid w:val="00245EF9"/>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245EF9"/>
    <w:pPr>
      <w:spacing w:before="100" w:beforeAutospacing="1" w:after="100" w:afterAutospacing="1" w:line="240" w:lineRule="auto"/>
      <w:jc w:val="left"/>
    </w:pPr>
    <w:rPr>
      <w:rFonts w:eastAsia="Times New Roman"/>
      <w:szCs w:val="24"/>
      <w:lang w:eastAsia="en-AU"/>
    </w:rPr>
  </w:style>
  <w:style w:type="character" w:customStyle="1" w:styleId="null1">
    <w:name w:val="null1"/>
    <w:basedOn w:val="DefaultParagraphFont"/>
    <w:rsid w:val="00854490"/>
  </w:style>
  <w:style w:type="character" w:customStyle="1" w:styleId="DeltaViewInsertion">
    <w:name w:val="DeltaView Insertion"/>
    <w:uiPriority w:val="99"/>
    <w:rsid w:val="00854490"/>
    <w:rPr>
      <w:color w:val="0000FF"/>
      <w:u w:val="double"/>
    </w:rPr>
  </w:style>
  <w:style w:type="character" w:customStyle="1" w:styleId="Heading2Char">
    <w:name w:val="Heading 2 Char"/>
    <w:basedOn w:val="DefaultParagraphFont"/>
    <w:link w:val="Heading2"/>
    <w:rsid w:val="00FA5BEE"/>
    <w:rPr>
      <w:b/>
      <w:sz w:val="24"/>
      <w:szCs w:val="24"/>
      <w:lang w:eastAsia="en-US"/>
    </w:rPr>
  </w:style>
  <w:style w:type="character" w:customStyle="1" w:styleId="Heading3Char">
    <w:name w:val="Heading 3 Char"/>
    <w:basedOn w:val="DefaultParagraphFont"/>
    <w:link w:val="Heading3"/>
    <w:rsid w:val="00FA5BEE"/>
    <w:rPr>
      <w:b/>
      <w:i/>
      <w:sz w:val="24"/>
      <w:lang w:eastAsia="en-US"/>
    </w:rPr>
  </w:style>
  <w:style w:type="paragraph" w:customStyle="1" w:styleId="TableParagraph">
    <w:name w:val="Table Paragraph"/>
    <w:basedOn w:val="Normal"/>
    <w:uiPriority w:val="1"/>
    <w:qFormat/>
    <w:rsid w:val="00E61C51"/>
    <w:pPr>
      <w:widowControl w:val="0"/>
      <w:autoSpaceDE w:val="0"/>
      <w:autoSpaceDN w:val="0"/>
      <w:spacing w:line="240" w:lineRule="auto"/>
      <w:jc w:val="left"/>
    </w:pPr>
    <w:rPr>
      <w:rFonts w:eastAsia="Times New Roman"/>
      <w:sz w:val="22"/>
      <w:szCs w:val="22"/>
      <w:lang w:eastAsia="en-AU" w:bidi="en-AU"/>
    </w:rPr>
  </w:style>
  <w:style w:type="character" w:styleId="FootnoteReference">
    <w:name w:val="footnote reference"/>
    <w:basedOn w:val="DefaultParagraphFont"/>
    <w:rsid w:val="00854659"/>
    <w:rPr>
      <w:rFonts w:ascii="Arial" w:hAnsi="Arial"/>
      <w:sz w:val="18"/>
      <w:vertAlign w:val="superscript"/>
    </w:rPr>
  </w:style>
  <w:style w:type="paragraph" w:styleId="FootnoteText">
    <w:name w:val="footnote text"/>
    <w:basedOn w:val="Normal"/>
    <w:link w:val="FootnoteTextChar"/>
    <w:rsid w:val="00854659"/>
    <w:pPr>
      <w:spacing w:after="240" w:line="240" w:lineRule="auto"/>
      <w:jc w:val="left"/>
    </w:pPr>
    <w:rPr>
      <w:rFonts w:ascii="Arial" w:eastAsia="Times New Roman" w:hAnsi="Arial"/>
      <w:sz w:val="18"/>
    </w:rPr>
  </w:style>
  <w:style w:type="character" w:customStyle="1" w:styleId="FootnoteTextChar">
    <w:name w:val="Footnote Text Char"/>
    <w:basedOn w:val="DefaultParagraphFont"/>
    <w:link w:val="FootnoteText"/>
    <w:rsid w:val="00854659"/>
    <w:rPr>
      <w:rFonts w:ascii="Arial" w:eastAsia="Times New Roman" w:hAnsi="Arial"/>
      <w:sz w:val="18"/>
      <w:lang w:eastAsia="en-US"/>
    </w:rPr>
  </w:style>
  <w:style w:type="paragraph" w:styleId="Revision">
    <w:name w:val="Revision"/>
    <w:hidden/>
    <w:uiPriority w:val="99"/>
    <w:semiHidden/>
    <w:rsid w:val="008A14D3"/>
    <w:rPr>
      <w:sz w:val="24"/>
      <w:lang w:eastAsia="en-US"/>
    </w:rPr>
  </w:style>
  <w:style w:type="paragraph" w:customStyle="1" w:styleId="00156b31">
    <w:name w:val="00156b31"/>
    <w:basedOn w:val="Normal"/>
    <w:rsid w:val="002F4B7E"/>
    <w:pPr>
      <w:spacing w:before="100" w:beforeAutospacing="1" w:after="100" w:afterAutospacing="1" w:line="240" w:lineRule="auto"/>
      <w:jc w:val="left"/>
    </w:pPr>
    <w:rPr>
      <w:rFonts w:eastAsia="Times New Roman"/>
      <w:szCs w:val="24"/>
      <w:lang w:eastAsia="en-AU"/>
    </w:rPr>
  </w:style>
  <w:style w:type="character" w:customStyle="1" w:styleId="HeaderChar">
    <w:name w:val="Header Char"/>
    <w:basedOn w:val="DefaultParagraphFont"/>
    <w:link w:val="Header"/>
    <w:uiPriority w:val="99"/>
    <w:rsid w:val="00A04A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34">
      <w:bodyDiv w:val="1"/>
      <w:marLeft w:val="0"/>
      <w:marRight w:val="0"/>
      <w:marTop w:val="0"/>
      <w:marBottom w:val="0"/>
      <w:divBdr>
        <w:top w:val="none" w:sz="0" w:space="0" w:color="auto"/>
        <w:left w:val="none" w:sz="0" w:space="0" w:color="auto"/>
        <w:bottom w:val="none" w:sz="0" w:space="0" w:color="auto"/>
        <w:right w:val="none" w:sz="0" w:space="0" w:color="auto"/>
      </w:divBdr>
    </w:div>
    <w:div w:id="27920764">
      <w:bodyDiv w:val="1"/>
      <w:marLeft w:val="0"/>
      <w:marRight w:val="0"/>
      <w:marTop w:val="0"/>
      <w:marBottom w:val="0"/>
      <w:divBdr>
        <w:top w:val="none" w:sz="0" w:space="0" w:color="auto"/>
        <w:left w:val="none" w:sz="0" w:space="0" w:color="auto"/>
        <w:bottom w:val="none" w:sz="0" w:space="0" w:color="auto"/>
        <w:right w:val="none" w:sz="0" w:space="0" w:color="auto"/>
      </w:divBdr>
    </w:div>
    <w:div w:id="33820639">
      <w:bodyDiv w:val="1"/>
      <w:marLeft w:val="0"/>
      <w:marRight w:val="0"/>
      <w:marTop w:val="0"/>
      <w:marBottom w:val="0"/>
      <w:divBdr>
        <w:top w:val="none" w:sz="0" w:space="0" w:color="auto"/>
        <w:left w:val="none" w:sz="0" w:space="0" w:color="auto"/>
        <w:bottom w:val="none" w:sz="0" w:space="0" w:color="auto"/>
        <w:right w:val="none" w:sz="0" w:space="0" w:color="auto"/>
      </w:divBdr>
    </w:div>
    <w:div w:id="94443825">
      <w:bodyDiv w:val="1"/>
      <w:marLeft w:val="0"/>
      <w:marRight w:val="0"/>
      <w:marTop w:val="0"/>
      <w:marBottom w:val="0"/>
      <w:divBdr>
        <w:top w:val="none" w:sz="0" w:space="0" w:color="auto"/>
        <w:left w:val="none" w:sz="0" w:space="0" w:color="auto"/>
        <w:bottom w:val="none" w:sz="0" w:space="0" w:color="auto"/>
        <w:right w:val="none" w:sz="0" w:space="0" w:color="auto"/>
      </w:divBdr>
    </w:div>
    <w:div w:id="136843775">
      <w:bodyDiv w:val="1"/>
      <w:marLeft w:val="0"/>
      <w:marRight w:val="0"/>
      <w:marTop w:val="0"/>
      <w:marBottom w:val="0"/>
      <w:divBdr>
        <w:top w:val="none" w:sz="0" w:space="0" w:color="auto"/>
        <w:left w:val="none" w:sz="0" w:space="0" w:color="auto"/>
        <w:bottom w:val="none" w:sz="0" w:space="0" w:color="auto"/>
        <w:right w:val="none" w:sz="0" w:space="0" w:color="auto"/>
      </w:divBdr>
    </w:div>
    <w:div w:id="239214575">
      <w:bodyDiv w:val="1"/>
      <w:marLeft w:val="0"/>
      <w:marRight w:val="0"/>
      <w:marTop w:val="0"/>
      <w:marBottom w:val="0"/>
      <w:divBdr>
        <w:top w:val="none" w:sz="0" w:space="0" w:color="auto"/>
        <w:left w:val="none" w:sz="0" w:space="0" w:color="auto"/>
        <w:bottom w:val="none" w:sz="0" w:space="0" w:color="auto"/>
        <w:right w:val="none" w:sz="0" w:space="0" w:color="auto"/>
      </w:divBdr>
      <w:divsChild>
        <w:div w:id="902763455">
          <w:marLeft w:val="0"/>
          <w:marRight w:val="0"/>
          <w:marTop w:val="0"/>
          <w:marBottom w:val="0"/>
          <w:divBdr>
            <w:top w:val="none" w:sz="0" w:space="0" w:color="auto"/>
            <w:left w:val="none" w:sz="0" w:space="0" w:color="auto"/>
            <w:bottom w:val="none" w:sz="0" w:space="0" w:color="auto"/>
            <w:right w:val="none" w:sz="0" w:space="0" w:color="auto"/>
          </w:divBdr>
          <w:divsChild>
            <w:div w:id="628322867">
              <w:marLeft w:val="0"/>
              <w:marRight w:val="0"/>
              <w:marTop w:val="0"/>
              <w:marBottom w:val="0"/>
              <w:divBdr>
                <w:top w:val="none" w:sz="0" w:space="0" w:color="auto"/>
                <w:left w:val="none" w:sz="0" w:space="0" w:color="auto"/>
                <w:bottom w:val="none" w:sz="0" w:space="0" w:color="auto"/>
                <w:right w:val="none" w:sz="0" w:space="0" w:color="auto"/>
              </w:divBdr>
              <w:divsChild>
                <w:div w:id="2058819987">
                  <w:marLeft w:val="0"/>
                  <w:marRight w:val="0"/>
                  <w:marTop w:val="0"/>
                  <w:marBottom w:val="0"/>
                  <w:divBdr>
                    <w:top w:val="none" w:sz="0" w:space="0" w:color="auto"/>
                    <w:left w:val="none" w:sz="0" w:space="0" w:color="auto"/>
                    <w:bottom w:val="none" w:sz="0" w:space="0" w:color="auto"/>
                    <w:right w:val="none" w:sz="0" w:space="0" w:color="auto"/>
                  </w:divBdr>
                  <w:divsChild>
                    <w:div w:id="1171988592">
                      <w:marLeft w:val="0"/>
                      <w:marRight w:val="0"/>
                      <w:marTop w:val="0"/>
                      <w:marBottom w:val="0"/>
                      <w:divBdr>
                        <w:top w:val="none" w:sz="0" w:space="0" w:color="auto"/>
                        <w:left w:val="none" w:sz="0" w:space="0" w:color="auto"/>
                        <w:bottom w:val="none" w:sz="0" w:space="0" w:color="auto"/>
                        <w:right w:val="none" w:sz="0" w:space="0" w:color="auto"/>
                      </w:divBdr>
                      <w:divsChild>
                        <w:div w:id="190145725">
                          <w:marLeft w:val="0"/>
                          <w:marRight w:val="0"/>
                          <w:marTop w:val="0"/>
                          <w:marBottom w:val="0"/>
                          <w:divBdr>
                            <w:top w:val="none" w:sz="0" w:space="0" w:color="auto"/>
                            <w:left w:val="none" w:sz="0" w:space="0" w:color="auto"/>
                            <w:bottom w:val="none" w:sz="0" w:space="0" w:color="auto"/>
                            <w:right w:val="none" w:sz="0" w:space="0" w:color="auto"/>
                          </w:divBdr>
                          <w:divsChild>
                            <w:div w:id="1950039291">
                              <w:marLeft w:val="0"/>
                              <w:marRight w:val="0"/>
                              <w:marTop w:val="0"/>
                              <w:marBottom w:val="0"/>
                              <w:divBdr>
                                <w:top w:val="none" w:sz="0" w:space="0" w:color="auto"/>
                                <w:left w:val="none" w:sz="0" w:space="0" w:color="auto"/>
                                <w:bottom w:val="none" w:sz="0" w:space="0" w:color="auto"/>
                                <w:right w:val="none" w:sz="0" w:space="0" w:color="auto"/>
                              </w:divBdr>
                              <w:divsChild>
                                <w:div w:id="875584641">
                                  <w:marLeft w:val="0"/>
                                  <w:marRight w:val="0"/>
                                  <w:marTop w:val="0"/>
                                  <w:marBottom w:val="0"/>
                                  <w:divBdr>
                                    <w:top w:val="none" w:sz="0" w:space="0" w:color="auto"/>
                                    <w:left w:val="none" w:sz="0" w:space="0" w:color="auto"/>
                                    <w:bottom w:val="none" w:sz="0" w:space="0" w:color="auto"/>
                                    <w:right w:val="none" w:sz="0" w:space="0" w:color="auto"/>
                                  </w:divBdr>
                                  <w:divsChild>
                                    <w:div w:id="625700800">
                                      <w:marLeft w:val="0"/>
                                      <w:marRight w:val="0"/>
                                      <w:marTop w:val="0"/>
                                      <w:marBottom w:val="0"/>
                                      <w:divBdr>
                                        <w:top w:val="none" w:sz="0" w:space="0" w:color="auto"/>
                                        <w:left w:val="none" w:sz="0" w:space="0" w:color="auto"/>
                                        <w:bottom w:val="none" w:sz="0" w:space="0" w:color="auto"/>
                                        <w:right w:val="none" w:sz="0" w:space="0" w:color="auto"/>
                                      </w:divBdr>
                                      <w:divsChild>
                                        <w:div w:id="1164592561">
                                          <w:marLeft w:val="0"/>
                                          <w:marRight w:val="0"/>
                                          <w:marTop w:val="0"/>
                                          <w:marBottom w:val="0"/>
                                          <w:divBdr>
                                            <w:top w:val="none" w:sz="0" w:space="0" w:color="auto"/>
                                            <w:left w:val="none" w:sz="0" w:space="0" w:color="auto"/>
                                            <w:bottom w:val="none" w:sz="0" w:space="0" w:color="auto"/>
                                            <w:right w:val="none" w:sz="0" w:space="0" w:color="auto"/>
                                          </w:divBdr>
                                          <w:divsChild>
                                            <w:div w:id="198322928">
                                              <w:marLeft w:val="0"/>
                                              <w:marRight w:val="0"/>
                                              <w:marTop w:val="0"/>
                                              <w:marBottom w:val="0"/>
                                              <w:divBdr>
                                                <w:top w:val="none" w:sz="0" w:space="0" w:color="auto"/>
                                                <w:left w:val="none" w:sz="0" w:space="0" w:color="auto"/>
                                                <w:bottom w:val="none" w:sz="0" w:space="0" w:color="auto"/>
                                                <w:right w:val="none" w:sz="0" w:space="0" w:color="auto"/>
                                              </w:divBdr>
                                              <w:divsChild>
                                                <w:div w:id="1484933846">
                                                  <w:marLeft w:val="0"/>
                                                  <w:marRight w:val="0"/>
                                                  <w:marTop w:val="0"/>
                                                  <w:marBottom w:val="0"/>
                                                  <w:divBdr>
                                                    <w:top w:val="none" w:sz="0" w:space="0" w:color="auto"/>
                                                    <w:left w:val="none" w:sz="0" w:space="0" w:color="auto"/>
                                                    <w:bottom w:val="none" w:sz="0" w:space="0" w:color="auto"/>
                                                    <w:right w:val="none" w:sz="0" w:space="0" w:color="auto"/>
                                                  </w:divBdr>
                                                  <w:divsChild>
                                                    <w:div w:id="368772489">
                                                      <w:marLeft w:val="0"/>
                                                      <w:marRight w:val="0"/>
                                                      <w:marTop w:val="0"/>
                                                      <w:marBottom w:val="0"/>
                                                      <w:divBdr>
                                                        <w:top w:val="none" w:sz="0" w:space="0" w:color="auto"/>
                                                        <w:left w:val="none" w:sz="0" w:space="0" w:color="auto"/>
                                                        <w:bottom w:val="none" w:sz="0" w:space="0" w:color="auto"/>
                                                        <w:right w:val="none" w:sz="0" w:space="0" w:color="auto"/>
                                                      </w:divBdr>
                                                      <w:divsChild>
                                                        <w:div w:id="477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669562">
      <w:bodyDiv w:val="1"/>
      <w:marLeft w:val="0"/>
      <w:marRight w:val="0"/>
      <w:marTop w:val="0"/>
      <w:marBottom w:val="0"/>
      <w:divBdr>
        <w:top w:val="none" w:sz="0" w:space="0" w:color="auto"/>
        <w:left w:val="none" w:sz="0" w:space="0" w:color="auto"/>
        <w:bottom w:val="none" w:sz="0" w:space="0" w:color="auto"/>
        <w:right w:val="none" w:sz="0" w:space="0" w:color="auto"/>
      </w:divBdr>
    </w:div>
    <w:div w:id="336612371">
      <w:bodyDiv w:val="1"/>
      <w:marLeft w:val="0"/>
      <w:marRight w:val="0"/>
      <w:marTop w:val="0"/>
      <w:marBottom w:val="0"/>
      <w:divBdr>
        <w:top w:val="none" w:sz="0" w:space="0" w:color="auto"/>
        <w:left w:val="none" w:sz="0" w:space="0" w:color="auto"/>
        <w:bottom w:val="none" w:sz="0" w:space="0" w:color="auto"/>
        <w:right w:val="none" w:sz="0" w:space="0" w:color="auto"/>
      </w:divBdr>
    </w:div>
    <w:div w:id="535507544">
      <w:bodyDiv w:val="1"/>
      <w:marLeft w:val="0"/>
      <w:marRight w:val="0"/>
      <w:marTop w:val="0"/>
      <w:marBottom w:val="0"/>
      <w:divBdr>
        <w:top w:val="none" w:sz="0" w:space="0" w:color="auto"/>
        <w:left w:val="none" w:sz="0" w:space="0" w:color="auto"/>
        <w:bottom w:val="none" w:sz="0" w:space="0" w:color="auto"/>
        <w:right w:val="none" w:sz="0" w:space="0" w:color="auto"/>
      </w:divBdr>
    </w:div>
    <w:div w:id="577204734">
      <w:bodyDiv w:val="1"/>
      <w:marLeft w:val="0"/>
      <w:marRight w:val="0"/>
      <w:marTop w:val="0"/>
      <w:marBottom w:val="0"/>
      <w:divBdr>
        <w:top w:val="none" w:sz="0" w:space="0" w:color="auto"/>
        <w:left w:val="none" w:sz="0" w:space="0" w:color="auto"/>
        <w:bottom w:val="none" w:sz="0" w:space="0" w:color="auto"/>
        <w:right w:val="none" w:sz="0" w:space="0" w:color="auto"/>
      </w:divBdr>
      <w:divsChild>
        <w:div w:id="409276561">
          <w:marLeft w:val="0"/>
          <w:marRight w:val="0"/>
          <w:marTop w:val="0"/>
          <w:marBottom w:val="0"/>
          <w:divBdr>
            <w:top w:val="none" w:sz="0" w:space="0" w:color="auto"/>
            <w:left w:val="none" w:sz="0" w:space="0" w:color="auto"/>
            <w:bottom w:val="none" w:sz="0" w:space="0" w:color="auto"/>
            <w:right w:val="none" w:sz="0" w:space="0" w:color="auto"/>
          </w:divBdr>
          <w:divsChild>
            <w:div w:id="120225721">
              <w:marLeft w:val="0"/>
              <w:marRight w:val="0"/>
              <w:marTop w:val="0"/>
              <w:marBottom w:val="0"/>
              <w:divBdr>
                <w:top w:val="none" w:sz="0" w:space="0" w:color="auto"/>
                <w:left w:val="none" w:sz="0" w:space="0" w:color="auto"/>
                <w:bottom w:val="none" w:sz="0" w:space="0" w:color="auto"/>
                <w:right w:val="none" w:sz="0" w:space="0" w:color="auto"/>
              </w:divBdr>
              <w:divsChild>
                <w:div w:id="1645232683">
                  <w:marLeft w:val="0"/>
                  <w:marRight w:val="0"/>
                  <w:marTop w:val="0"/>
                  <w:marBottom w:val="0"/>
                  <w:divBdr>
                    <w:top w:val="none" w:sz="0" w:space="0" w:color="auto"/>
                    <w:left w:val="none" w:sz="0" w:space="0" w:color="auto"/>
                    <w:bottom w:val="none" w:sz="0" w:space="0" w:color="auto"/>
                    <w:right w:val="none" w:sz="0" w:space="0" w:color="auto"/>
                  </w:divBdr>
                  <w:divsChild>
                    <w:div w:id="691609174">
                      <w:marLeft w:val="0"/>
                      <w:marRight w:val="0"/>
                      <w:marTop w:val="0"/>
                      <w:marBottom w:val="0"/>
                      <w:divBdr>
                        <w:top w:val="none" w:sz="0" w:space="0" w:color="auto"/>
                        <w:left w:val="none" w:sz="0" w:space="0" w:color="auto"/>
                        <w:bottom w:val="none" w:sz="0" w:space="0" w:color="auto"/>
                        <w:right w:val="none" w:sz="0" w:space="0" w:color="auto"/>
                      </w:divBdr>
                      <w:divsChild>
                        <w:div w:id="1377702838">
                          <w:marLeft w:val="0"/>
                          <w:marRight w:val="0"/>
                          <w:marTop w:val="0"/>
                          <w:marBottom w:val="0"/>
                          <w:divBdr>
                            <w:top w:val="none" w:sz="0" w:space="0" w:color="auto"/>
                            <w:left w:val="none" w:sz="0" w:space="0" w:color="auto"/>
                            <w:bottom w:val="none" w:sz="0" w:space="0" w:color="auto"/>
                            <w:right w:val="none" w:sz="0" w:space="0" w:color="auto"/>
                          </w:divBdr>
                          <w:divsChild>
                            <w:div w:id="1022365425">
                              <w:marLeft w:val="0"/>
                              <w:marRight w:val="0"/>
                              <w:marTop w:val="0"/>
                              <w:marBottom w:val="0"/>
                              <w:divBdr>
                                <w:top w:val="none" w:sz="0" w:space="0" w:color="auto"/>
                                <w:left w:val="none" w:sz="0" w:space="0" w:color="auto"/>
                                <w:bottom w:val="none" w:sz="0" w:space="0" w:color="auto"/>
                                <w:right w:val="none" w:sz="0" w:space="0" w:color="auto"/>
                              </w:divBdr>
                              <w:divsChild>
                                <w:div w:id="1436250278">
                                  <w:marLeft w:val="0"/>
                                  <w:marRight w:val="0"/>
                                  <w:marTop w:val="0"/>
                                  <w:marBottom w:val="0"/>
                                  <w:divBdr>
                                    <w:top w:val="none" w:sz="0" w:space="0" w:color="auto"/>
                                    <w:left w:val="none" w:sz="0" w:space="0" w:color="auto"/>
                                    <w:bottom w:val="none" w:sz="0" w:space="0" w:color="auto"/>
                                    <w:right w:val="none" w:sz="0" w:space="0" w:color="auto"/>
                                  </w:divBdr>
                                  <w:divsChild>
                                    <w:div w:id="1065906990">
                                      <w:marLeft w:val="0"/>
                                      <w:marRight w:val="0"/>
                                      <w:marTop w:val="0"/>
                                      <w:marBottom w:val="0"/>
                                      <w:divBdr>
                                        <w:top w:val="none" w:sz="0" w:space="0" w:color="auto"/>
                                        <w:left w:val="none" w:sz="0" w:space="0" w:color="auto"/>
                                        <w:bottom w:val="none" w:sz="0" w:space="0" w:color="auto"/>
                                        <w:right w:val="none" w:sz="0" w:space="0" w:color="auto"/>
                                      </w:divBdr>
                                      <w:divsChild>
                                        <w:div w:id="1886985533">
                                          <w:marLeft w:val="0"/>
                                          <w:marRight w:val="0"/>
                                          <w:marTop w:val="0"/>
                                          <w:marBottom w:val="0"/>
                                          <w:divBdr>
                                            <w:top w:val="none" w:sz="0" w:space="0" w:color="auto"/>
                                            <w:left w:val="none" w:sz="0" w:space="0" w:color="auto"/>
                                            <w:bottom w:val="none" w:sz="0" w:space="0" w:color="auto"/>
                                            <w:right w:val="none" w:sz="0" w:space="0" w:color="auto"/>
                                          </w:divBdr>
                                          <w:divsChild>
                                            <w:div w:id="2075199224">
                                              <w:marLeft w:val="0"/>
                                              <w:marRight w:val="0"/>
                                              <w:marTop w:val="0"/>
                                              <w:marBottom w:val="0"/>
                                              <w:divBdr>
                                                <w:top w:val="none" w:sz="0" w:space="0" w:color="auto"/>
                                                <w:left w:val="none" w:sz="0" w:space="0" w:color="auto"/>
                                                <w:bottom w:val="none" w:sz="0" w:space="0" w:color="auto"/>
                                                <w:right w:val="none" w:sz="0" w:space="0" w:color="auto"/>
                                              </w:divBdr>
                                              <w:divsChild>
                                                <w:div w:id="4524786">
                                                  <w:marLeft w:val="0"/>
                                                  <w:marRight w:val="0"/>
                                                  <w:marTop w:val="0"/>
                                                  <w:marBottom w:val="0"/>
                                                  <w:divBdr>
                                                    <w:top w:val="none" w:sz="0" w:space="0" w:color="auto"/>
                                                    <w:left w:val="none" w:sz="0" w:space="0" w:color="auto"/>
                                                    <w:bottom w:val="none" w:sz="0" w:space="0" w:color="auto"/>
                                                    <w:right w:val="none" w:sz="0" w:space="0" w:color="auto"/>
                                                  </w:divBdr>
                                                  <w:divsChild>
                                                    <w:div w:id="927730312">
                                                      <w:marLeft w:val="0"/>
                                                      <w:marRight w:val="0"/>
                                                      <w:marTop w:val="0"/>
                                                      <w:marBottom w:val="0"/>
                                                      <w:divBdr>
                                                        <w:top w:val="none" w:sz="0" w:space="0" w:color="auto"/>
                                                        <w:left w:val="none" w:sz="0" w:space="0" w:color="auto"/>
                                                        <w:bottom w:val="none" w:sz="0" w:space="0" w:color="auto"/>
                                                        <w:right w:val="none" w:sz="0" w:space="0" w:color="auto"/>
                                                      </w:divBdr>
                                                      <w:divsChild>
                                                        <w:div w:id="11089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0106850">
      <w:bodyDiv w:val="1"/>
      <w:marLeft w:val="0"/>
      <w:marRight w:val="0"/>
      <w:marTop w:val="0"/>
      <w:marBottom w:val="0"/>
      <w:divBdr>
        <w:top w:val="none" w:sz="0" w:space="0" w:color="auto"/>
        <w:left w:val="none" w:sz="0" w:space="0" w:color="auto"/>
        <w:bottom w:val="none" w:sz="0" w:space="0" w:color="auto"/>
        <w:right w:val="none" w:sz="0" w:space="0" w:color="auto"/>
      </w:divBdr>
      <w:divsChild>
        <w:div w:id="1108045816">
          <w:marLeft w:val="0"/>
          <w:marRight w:val="0"/>
          <w:marTop w:val="0"/>
          <w:marBottom w:val="0"/>
          <w:divBdr>
            <w:top w:val="none" w:sz="0" w:space="0" w:color="auto"/>
            <w:left w:val="none" w:sz="0" w:space="0" w:color="auto"/>
            <w:bottom w:val="none" w:sz="0" w:space="0" w:color="auto"/>
            <w:right w:val="none" w:sz="0" w:space="0" w:color="auto"/>
          </w:divBdr>
          <w:divsChild>
            <w:div w:id="1308439100">
              <w:marLeft w:val="0"/>
              <w:marRight w:val="0"/>
              <w:marTop w:val="0"/>
              <w:marBottom w:val="0"/>
              <w:divBdr>
                <w:top w:val="none" w:sz="0" w:space="0" w:color="auto"/>
                <w:left w:val="none" w:sz="0" w:space="0" w:color="auto"/>
                <w:bottom w:val="none" w:sz="0" w:space="0" w:color="auto"/>
                <w:right w:val="none" w:sz="0" w:space="0" w:color="auto"/>
              </w:divBdr>
              <w:divsChild>
                <w:div w:id="566259128">
                  <w:marLeft w:val="0"/>
                  <w:marRight w:val="0"/>
                  <w:marTop w:val="0"/>
                  <w:marBottom w:val="0"/>
                  <w:divBdr>
                    <w:top w:val="none" w:sz="0" w:space="0" w:color="auto"/>
                    <w:left w:val="none" w:sz="0" w:space="0" w:color="auto"/>
                    <w:bottom w:val="none" w:sz="0" w:space="0" w:color="auto"/>
                    <w:right w:val="none" w:sz="0" w:space="0" w:color="auto"/>
                  </w:divBdr>
                  <w:divsChild>
                    <w:div w:id="1114862224">
                      <w:marLeft w:val="0"/>
                      <w:marRight w:val="0"/>
                      <w:marTop w:val="0"/>
                      <w:marBottom w:val="0"/>
                      <w:divBdr>
                        <w:top w:val="none" w:sz="0" w:space="0" w:color="auto"/>
                        <w:left w:val="none" w:sz="0" w:space="0" w:color="auto"/>
                        <w:bottom w:val="none" w:sz="0" w:space="0" w:color="auto"/>
                        <w:right w:val="none" w:sz="0" w:space="0" w:color="auto"/>
                      </w:divBdr>
                      <w:divsChild>
                        <w:div w:id="1195462660">
                          <w:marLeft w:val="0"/>
                          <w:marRight w:val="0"/>
                          <w:marTop w:val="0"/>
                          <w:marBottom w:val="0"/>
                          <w:divBdr>
                            <w:top w:val="none" w:sz="0" w:space="0" w:color="auto"/>
                            <w:left w:val="none" w:sz="0" w:space="0" w:color="auto"/>
                            <w:bottom w:val="none" w:sz="0" w:space="0" w:color="auto"/>
                            <w:right w:val="none" w:sz="0" w:space="0" w:color="auto"/>
                          </w:divBdr>
                          <w:divsChild>
                            <w:div w:id="2073037513">
                              <w:marLeft w:val="0"/>
                              <w:marRight w:val="0"/>
                              <w:marTop w:val="0"/>
                              <w:marBottom w:val="0"/>
                              <w:divBdr>
                                <w:top w:val="none" w:sz="0" w:space="0" w:color="auto"/>
                                <w:left w:val="none" w:sz="0" w:space="0" w:color="auto"/>
                                <w:bottom w:val="none" w:sz="0" w:space="0" w:color="auto"/>
                                <w:right w:val="none" w:sz="0" w:space="0" w:color="auto"/>
                              </w:divBdr>
                              <w:divsChild>
                                <w:div w:id="1842426666">
                                  <w:marLeft w:val="0"/>
                                  <w:marRight w:val="0"/>
                                  <w:marTop w:val="0"/>
                                  <w:marBottom w:val="0"/>
                                  <w:divBdr>
                                    <w:top w:val="none" w:sz="0" w:space="0" w:color="auto"/>
                                    <w:left w:val="none" w:sz="0" w:space="0" w:color="auto"/>
                                    <w:bottom w:val="none" w:sz="0" w:space="0" w:color="auto"/>
                                    <w:right w:val="none" w:sz="0" w:space="0" w:color="auto"/>
                                  </w:divBdr>
                                  <w:divsChild>
                                    <w:div w:id="1365668398">
                                      <w:marLeft w:val="0"/>
                                      <w:marRight w:val="0"/>
                                      <w:marTop w:val="0"/>
                                      <w:marBottom w:val="0"/>
                                      <w:divBdr>
                                        <w:top w:val="none" w:sz="0" w:space="0" w:color="auto"/>
                                        <w:left w:val="none" w:sz="0" w:space="0" w:color="auto"/>
                                        <w:bottom w:val="none" w:sz="0" w:space="0" w:color="auto"/>
                                        <w:right w:val="none" w:sz="0" w:space="0" w:color="auto"/>
                                      </w:divBdr>
                                      <w:divsChild>
                                        <w:div w:id="49158214">
                                          <w:marLeft w:val="0"/>
                                          <w:marRight w:val="0"/>
                                          <w:marTop w:val="0"/>
                                          <w:marBottom w:val="0"/>
                                          <w:divBdr>
                                            <w:top w:val="none" w:sz="0" w:space="0" w:color="auto"/>
                                            <w:left w:val="none" w:sz="0" w:space="0" w:color="auto"/>
                                            <w:bottom w:val="none" w:sz="0" w:space="0" w:color="auto"/>
                                            <w:right w:val="none" w:sz="0" w:space="0" w:color="auto"/>
                                          </w:divBdr>
                                          <w:divsChild>
                                            <w:div w:id="1487673552">
                                              <w:marLeft w:val="0"/>
                                              <w:marRight w:val="0"/>
                                              <w:marTop w:val="0"/>
                                              <w:marBottom w:val="0"/>
                                              <w:divBdr>
                                                <w:top w:val="none" w:sz="0" w:space="0" w:color="auto"/>
                                                <w:left w:val="none" w:sz="0" w:space="0" w:color="auto"/>
                                                <w:bottom w:val="none" w:sz="0" w:space="0" w:color="auto"/>
                                                <w:right w:val="none" w:sz="0" w:space="0" w:color="auto"/>
                                              </w:divBdr>
                                              <w:divsChild>
                                                <w:div w:id="579095923">
                                                  <w:marLeft w:val="0"/>
                                                  <w:marRight w:val="0"/>
                                                  <w:marTop w:val="0"/>
                                                  <w:marBottom w:val="0"/>
                                                  <w:divBdr>
                                                    <w:top w:val="none" w:sz="0" w:space="0" w:color="auto"/>
                                                    <w:left w:val="none" w:sz="0" w:space="0" w:color="auto"/>
                                                    <w:bottom w:val="none" w:sz="0" w:space="0" w:color="auto"/>
                                                    <w:right w:val="none" w:sz="0" w:space="0" w:color="auto"/>
                                                  </w:divBdr>
                                                  <w:divsChild>
                                                    <w:div w:id="48840929">
                                                      <w:marLeft w:val="0"/>
                                                      <w:marRight w:val="0"/>
                                                      <w:marTop w:val="0"/>
                                                      <w:marBottom w:val="0"/>
                                                      <w:divBdr>
                                                        <w:top w:val="none" w:sz="0" w:space="0" w:color="auto"/>
                                                        <w:left w:val="none" w:sz="0" w:space="0" w:color="auto"/>
                                                        <w:bottom w:val="none" w:sz="0" w:space="0" w:color="auto"/>
                                                        <w:right w:val="none" w:sz="0" w:space="0" w:color="auto"/>
                                                      </w:divBdr>
                                                      <w:divsChild>
                                                        <w:div w:id="145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736586">
      <w:bodyDiv w:val="1"/>
      <w:marLeft w:val="0"/>
      <w:marRight w:val="0"/>
      <w:marTop w:val="0"/>
      <w:marBottom w:val="0"/>
      <w:divBdr>
        <w:top w:val="none" w:sz="0" w:space="0" w:color="auto"/>
        <w:left w:val="none" w:sz="0" w:space="0" w:color="auto"/>
        <w:bottom w:val="none" w:sz="0" w:space="0" w:color="auto"/>
        <w:right w:val="none" w:sz="0" w:space="0" w:color="auto"/>
      </w:divBdr>
    </w:div>
    <w:div w:id="779908150">
      <w:bodyDiv w:val="1"/>
      <w:marLeft w:val="0"/>
      <w:marRight w:val="0"/>
      <w:marTop w:val="0"/>
      <w:marBottom w:val="0"/>
      <w:divBdr>
        <w:top w:val="none" w:sz="0" w:space="0" w:color="auto"/>
        <w:left w:val="none" w:sz="0" w:space="0" w:color="auto"/>
        <w:bottom w:val="none" w:sz="0" w:space="0" w:color="auto"/>
        <w:right w:val="none" w:sz="0" w:space="0" w:color="auto"/>
      </w:divBdr>
    </w:div>
    <w:div w:id="933435364">
      <w:bodyDiv w:val="1"/>
      <w:marLeft w:val="0"/>
      <w:marRight w:val="0"/>
      <w:marTop w:val="0"/>
      <w:marBottom w:val="0"/>
      <w:divBdr>
        <w:top w:val="none" w:sz="0" w:space="0" w:color="auto"/>
        <w:left w:val="none" w:sz="0" w:space="0" w:color="auto"/>
        <w:bottom w:val="none" w:sz="0" w:space="0" w:color="auto"/>
        <w:right w:val="none" w:sz="0" w:space="0" w:color="auto"/>
      </w:divBdr>
    </w:div>
    <w:div w:id="969432442">
      <w:bodyDiv w:val="1"/>
      <w:marLeft w:val="0"/>
      <w:marRight w:val="0"/>
      <w:marTop w:val="0"/>
      <w:marBottom w:val="0"/>
      <w:divBdr>
        <w:top w:val="none" w:sz="0" w:space="0" w:color="auto"/>
        <w:left w:val="none" w:sz="0" w:space="0" w:color="auto"/>
        <w:bottom w:val="none" w:sz="0" w:space="0" w:color="auto"/>
        <w:right w:val="none" w:sz="0" w:space="0" w:color="auto"/>
      </w:divBdr>
      <w:divsChild>
        <w:div w:id="465902658">
          <w:marLeft w:val="0"/>
          <w:marRight w:val="0"/>
          <w:marTop w:val="0"/>
          <w:marBottom w:val="0"/>
          <w:divBdr>
            <w:top w:val="none" w:sz="0" w:space="0" w:color="auto"/>
            <w:left w:val="none" w:sz="0" w:space="0" w:color="auto"/>
            <w:bottom w:val="none" w:sz="0" w:space="0" w:color="auto"/>
            <w:right w:val="none" w:sz="0" w:space="0" w:color="auto"/>
          </w:divBdr>
          <w:divsChild>
            <w:div w:id="1206529855">
              <w:marLeft w:val="0"/>
              <w:marRight w:val="0"/>
              <w:marTop w:val="0"/>
              <w:marBottom w:val="0"/>
              <w:divBdr>
                <w:top w:val="none" w:sz="0" w:space="0" w:color="auto"/>
                <w:left w:val="none" w:sz="0" w:space="0" w:color="auto"/>
                <w:bottom w:val="none" w:sz="0" w:space="0" w:color="auto"/>
                <w:right w:val="none" w:sz="0" w:space="0" w:color="auto"/>
              </w:divBdr>
            </w:div>
          </w:divsChild>
        </w:div>
        <w:div w:id="488056653">
          <w:marLeft w:val="0"/>
          <w:marRight w:val="0"/>
          <w:marTop w:val="0"/>
          <w:marBottom w:val="0"/>
          <w:divBdr>
            <w:top w:val="none" w:sz="0" w:space="0" w:color="auto"/>
            <w:left w:val="none" w:sz="0" w:space="0" w:color="auto"/>
            <w:bottom w:val="none" w:sz="0" w:space="0" w:color="auto"/>
            <w:right w:val="none" w:sz="0" w:space="0" w:color="auto"/>
          </w:divBdr>
        </w:div>
        <w:div w:id="1082793845">
          <w:marLeft w:val="0"/>
          <w:marRight w:val="0"/>
          <w:marTop w:val="0"/>
          <w:marBottom w:val="0"/>
          <w:divBdr>
            <w:top w:val="none" w:sz="0" w:space="0" w:color="auto"/>
            <w:left w:val="none" w:sz="0" w:space="0" w:color="auto"/>
            <w:bottom w:val="none" w:sz="0" w:space="0" w:color="auto"/>
            <w:right w:val="none" w:sz="0" w:space="0" w:color="auto"/>
          </w:divBdr>
          <w:divsChild>
            <w:div w:id="1010107374">
              <w:marLeft w:val="0"/>
              <w:marRight w:val="0"/>
              <w:marTop w:val="0"/>
              <w:marBottom w:val="0"/>
              <w:divBdr>
                <w:top w:val="none" w:sz="0" w:space="0" w:color="auto"/>
                <w:left w:val="none" w:sz="0" w:space="0" w:color="auto"/>
                <w:bottom w:val="none" w:sz="0" w:space="0" w:color="auto"/>
                <w:right w:val="none" w:sz="0" w:space="0" w:color="auto"/>
              </w:divBdr>
              <w:divsChild>
                <w:div w:id="2055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9127">
      <w:bodyDiv w:val="1"/>
      <w:marLeft w:val="0"/>
      <w:marRight w:val="0"/>
      <w:marTop w:val="0"/>
      <w:marBottom w:val="0"/>
      <w:divBdr>
        <w:top w:val="none" w:sz="0" w:space="0" w:color="auto"/>
        <w:left w:val="none" w:sz="0" w:space="0" w:color="auto"/>
        <w:bottom w:val="none" w:sz="0" w:space="0" w:color="auto"/>
        <w:right w:val="none" w:sz="0" w:space="0" w:color="auto"/>
      </w:divBdr>
    </w:div>
    <w:div w:id="1559315801">
      <w:bodyDiv w:val="1"/>
      <w:marLeft w:val="0"/>
      <w:marRight w:val="0"/>
      <w:marTop w:val="0"/>
      <w:marBottom w:val="0"/>
      <w:divBdr>
        <w:top w:val="none" w:sz="0" w:space="0" w:color="auto"/>
        <w:left w:val="none" w:sz="0" w:space="0" w:color="auto"/>
        <w:bottom w:val="none" w:sz="0" w:space="0" w:color="auto"/>
        <w:right w:val="none" w:sz="0" w:space="0" w:color="auto"/>
      </w:divBdr>
    </w:div>
    <w:div w:id="20340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5B79-2AD0-4831-9D86-1BF4DC4E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84</Pages>
  <Words>33496</Words>
  <Characters>174469</Characters>
  <Application>Microsoft Office Word</Application>
  <DocSecurity>0</DocSecurity>
  <PresentationFormat/>
  <Lines>5452</Lines>
  <Paragraphs>2772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2020-02-05T00:29:00Z</cp:lastPrinted>
  <dcterms:created xsi:type="dcterms:W3CDTF">2020-02-05T01:58:00Z</dcterms:created>
  <dcterms:modified xsi:type="dcterms:W3CDTF">2020-02-06T00:13:00Z</dcterms:modified>
  <cp:category/>
  <cp:contentStatus/>
  <dc:language/>
  <cp:version/>
</cp:coreProperties>
</file>