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9A9A8" w14:textId="77777777" w:rsidR="00395B24" w:rsidRDefault="002C7385">
      <w:pPr>
        <w:pStyle w:val="NormalHeadings"/>
        <w:jc w:val="center"/>
        <w:rPr>
          <w:sz w:val="32"/>
        </w:rPr>
      </w:pPr>
      <w:r>
        <w:rPr>
          <w:sz w:val="32"/>
        </w:rPr>
        <w:t>FEDERAL COURT OF AUSTRALIA</w:t>
      </w:r>
    </w:p>
    <w:p w14:paraId="672A6659" w14:textId="77777777" w:rsidR="00395B24" w:rsidRDefault="00395B24">
      <w:pPr>
        <w:pStyle w:val="NormalHeadings"/>
        <w:jc w:val="center"/>
        <w:rPr>
          <w:sz w:val="32"/>
        </w:rPr>
      </w:pPr>
    </w:p>
    <w:p w14:paraId="55E08423" w14:textId="0A2682B5" w:rsidR="00395B24" w:rsidRDefault="008B2688" w:rsidP="008B2688">
      <w:pPr>
        <w:pStyle w:val="MediaNeutralStyle"/>
      </w:pPr>
      <w:bookmarkStart w:id="0" w:name="MNC"/>
      <w:proofErr w:type="spellStart"/>
      <w:r>
        <w:t>Fokas</w:t>
      </w:r>
      <w:proofErr w:type="spellEnd"/>
      <w:r>
        <w:t xml:space="preserve"> v Mansfield as Trustee of the Bankrupt Estate of Maria </w:t>
      </w:r>
      <w:proofErr w:type="spellStart"/>
      <w:r>
        <w:t>Fokas</w:t>
      </w:r>
      <w:proofErr w:type="spellEnd"/>
      <w:r w:rsidR="009438F5">
        <w:t xml:space="preserve"> (No 2) [20</w:t>
      </w:r>
      <w:r w:rsidR="00714F19">
        <w:t>20</w:t>
      </w:r>
      <w:r w:rsidR="009438F5">
        <w:t xml:space="preserve">] FCA </w:t>
      </w:r>
      <w:r w:rsidR="00714F19">
        <w:t>30</w:t>
      </w:r>
      <w:r w:rsidR="002C7385">
        <w:t xml:space="preserve"> </w:t>
      </w:r>
      <w:bookmarkEnd w:id="0"/>
    </w:p>
    <w:p w14:paraId="0A37501D"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4CD8807D" w14:textId="77777777" w:rsidTr="4C31C1F2">
        <w:tc>
          <w:tcPr>
            <w:tcW w:w="3085" w:type="dxa"/>
            <w:shd w:val="clear" w:color="auto" w:fill="auto"/>
          </w:tcPr>
          <w:p w14:paraId="26C083A3" w14:textId="26F3A478" w:rsidR="00395B24" w:rsidRDefault="00DF65CB" w:rsidP="00663878">
            <w:pPr>
              <w:pStyle w:val="Normal1linespace"/>
              <w:widowControl w:val="0"/>
              <w:jc w:val="left"/>
            </w:pPr>
            <w:r>
              <w:t>File number</w:t>
            </w:r>
            <w:r w:rsidR="002C7385">
              <w:t>:</w:t>
            </w:r>
          </w:p>
        </w:tc>
        <w:tc>
          <w:tcPr>
            <w:tcW w:w="5989" w:type="dxa"/>
            <w:shd w:val="clear" w:color="auto" w:fill="auto"/>
          </w:tcPr>
          <w:p w14:paraId="438B4D67" w14:textId="77777777" w:rsidR="00395B24" w:rsidRPr="00176FFD" w:rsidRDefault="0032038B" w:rsidP="00176FFD">
            <w:pPr>
              <w:pStyle w:val="Normal1linespace"/>
              <w:jc w:val="left"/>
            </w:pPr>
            <w:fldSimple w:instr=" REF  FileNo  \* MERGEFORMAT " w:fldLock="1">
              <w:r w:rsidR="00176FFD" w:rsidRPr="00176FFD">
                <w:t>VID 1669 of 2018</w:t>
              </w:r>
            </w:fldSimple>
          </w:p>
        </w:tc>
      </w:tr>
      <w:tr w:rsidR="00395B24" w14:paraId="5DAB6C7B" w14:textId="77777777" w:rsidTr="4C31C1F2">
        <w:tc>
          <w:tcPr>
            <w:tcW w:w="3085" w:type="dxa"/>
            <w:shd w:val="clear" w:color="auto" w:fill="auto"/>
          </w:tcPr>
          <w:p w14:paraId="02EB378F" w14:textId="77777777" w:rsidR="00395B24" w:rsidRDefault="00395B24" w:rsidP="00663878">
            <w:pPr>
              <w:pStyle w:val="Normal1linespace"/>
              <w:widowControl w:val="0"/>
              <w:jc w:val="left"/>
            </w:pPr>
          </w:p>
        </w:tc>
        <w:tc>
          <w:tcPr>
            <w:tcW w:w="5989" w:type="dxa"/>
            <w:shd w:val="clear" w:color="auto" w:fill="auto"/>
          </w:tcPr>
          <w:p w14:paraId="6A05A809" w14:textId="77777777" w:rsidR="00395B24" w:rsidRDefault="00395B24" w:rsidP="00663878">
            <w:pPr>
              <w:pStyle w:val="Normal1linespace"/>
              <w:widowControl w:val="0"/>
              <w:jc w:val="left"/>
            </w:pPr>
          </w:p>
        </w:tc>
      </w:tr>
      <w:tr w:rsidR="00395B24" w14:paraId="321B14E4" w14:textId="77777777" w:rsidTr="4C31C1F2">
        <w:tc>
          <w:tcPr>
            <w:tcW w:w="3085" w:type="dxa"/>
            <w:shd w:val="clear" w:color="auto" w:fill="auto"/>
          </w:tcPr>
          <w:p w14:paraId="24CC0274" w14:textId="59D45A92" w:rsidR="00395B24" w:rsidRDefault="00DF65CB" w:rsidP="00663878">
            <w:pPr>
              <w:pStyle w:val="Normal1linespace"/>
              <w:widowControl w:val="0"/>
              <w:jc w:val="left"/>
            </w:pPr>
            <w:r>
              <w:t>Judge</w:t>
            </w:r>
            <w:r w:rsidR="002C7385">
              <w:t>:</w:t>
            </w:r>
          </w:p>
        </w:tc>
        <w:tc>
          <w:tcPr>
            <w:tcW w:w="5989" w:type="dxa"/>
            <w:shd w:val="clear" w:color="auto" w:fill="auto"/>
          </w:tcPr>
          <w:p w14:paraId="41A6461B" w14:textId="77777777" w:rsidR="00395B24" w:rsidRDefault="002C7385" w:rsidP="00663878">
            <w:pPr>
              <w:pStyle w:val="Normal1linespace"/>
              <w:widowControl w:val="0"/>
              <w:jc w:val="left"/>
              <w:rPr>
                <w:b/>
              </w:rPr>
            </w:pPr>
            <w:r w:rsidRPr="00176FFD">
              <w:rPr>
                <w:b/>
              </w:rPr>
              <w:fldChar w:fldCharType="begin" w:fldLock="1"/>
            </w:r>
            <w:r w:rsidRPr="00176FFD">
              <w:rPr>
                <w:b/>
              </w:rPr>
              <w:instrText xml:space="preserve"> REF  Judge  \* MERGEFORMAT </w:instrText>
            </w:r>
            <w:r w:rsidRPr="00176FFD">
              <w:rPr>
                <w:b/>
              </w:rPr>
              <w:fldChar w:fldCharType="separate"/>
            </w:r>
            <w:r w:rsidR="00176FFD" w:rsidRPr="00176FFD">
              <w:rPr>
                <w:b/>
                <w:caps/>
                <w:szCs w:val="24"/>
              </w:rPr>
              <w:t>WHEELAHAN J</w:t>
            </w:r>
            <w:r w:rsidRPr="00176FFD">
              <w:rPr>
                <w:b/>
              </w:rPr>
              <w:fldChar w:fldCharType="end"/>
            </w:r>
          </w:p>
        </w:tc>
      </w:tr>
      <w:tr w:rsidR="00395B24" w14:paraId="5A39BBE3" w14:textId="77777777" w:rsidTr="4C31C1F2">
        <w:tc>
          <w:tcPr>
            <w:tcW w:w="3085" w:type="dxa"/>
            <w:shd w:val="clear" w:color="auto" w:fill="auto"/>
          </w:tcPr>
          <w:p w14:paraId="41C8F396" w14:textId="77777777" w:rsidR="00395B24" w:rsidRDefault="00395B24" w:rsidP="00663878">
            <w:pPr>
              <w:pStyle w:val="Normal1linespace"/>
              <w:widowControl w:val="0"/>
              <w:jc w:val="left"/>
            </w:pPr>
          </w:p>
        </w:tc>
        <w:tc>
          <w:tcPr>
            <w:tcW w:w="5989" w:type="dxa"/>
            <w:shd w:val="clear" w:color="auto" w:fill="auto"/>
          </w:tcPr>
          <w:p w14:paraId="72A3D3EC" w14:textId="77777777" w:rsidR="00395B24" w:rsidRDefault="00395B24" w:rsidP="00663878">
            <w:pPr>
              <w:pStyle w:val="Normal1linespace"/>
              <w:widowControl w:val="0"/>
              <w:jc w:val="left"/>
            </w:pPr>
          </w:p>
        </w:tc>
      </w:tr>
      <w:tr w:rsidR="00395B24" w14:paraId="61CEE2FA" w14:textId="77777777" w:rsidTr="4C31C1F2">
        <w:tc>
          <w:tcPr>
            <w:tcW w:w="3085" w:type="dxa"/>
            <w:shd w:val="clear" w:color="auto" w:fill="auto"/>
          </w:tcPr>
          <w:p w14:paraId="6B879307" w14:textId="77777777" w:rsidR="00395B24" w:rsidRDefault="002C7385" w:rsidP="00663878">
            <w:pPr>
              <w:pStyle w:val="Normal1linespace"/>
              <w:widowControl w:val="0"/>
              <w:jc w:val="left"/>
            </w:pPr>
            <w:r>
              <w:t>Date of judgment:</w:t>
            </w:r>
          </w:p>
        </w:tc>
        <w:tc>
          <w:tcPr>
            <w:tcW w:w="5989" w:type="dxa"/>
            <w:shd w:val="clear" w:color="auto" w:fill="auto"/>
          </w:tcPr>
          <w:p w14:paraId="3E24362D" w14:textId="3EFA53D7" w:rsidR="00395B24" w:rsidRDefault="004C390B" w:rsidP="00663878">
            <w:pPr>
              <w:pStyle w:val="Normal1linespace"/>
              <w:widowControl w:val="0"/>
              <w:jc w:val="left"/>
            </w:pPr>
            <w:r>
              <w:t>30 January 2020</w:t>
            </w:r>
          </w:p>
        </w:tc>
      </w:tr>
      <w:tr w:rsidR="00395B24" w14:paraId="0D0B940D" w14:textId="77777777" w:rsidTr="4C31C1F2">
        <w:tc>
          <w:tcPr>
            <w:tcW w:w="3085" w:type="dxa"/>
            <w:shd w:val="clear" w:color="auto" w:fill="auto"/>
          </w:tcPr>
          <w:p w14:paraId="0E27B00A" w14:textId="77777777" w:rsidR="00395B24" w:rsidRDefault="00395B24" w:rsidP="00663878">
            <w:pPr>
              <w:pStyle w:val="Normal1linespace"/>
              <w:widowControl w:val="0"/>
              <w:jc w:val="left"/>
            </w:pPr>
          </w:p>
        </w:tc>
        <w:tc>
          <w:tcPr>
            <w:tcW w:w="5989" w:type="dxa"/>
            <w:shd w:val="clear" w:color="auto" w:fill="auto"/>
          </w:tcPr>
          <w:p w14:paraId="60061E4C" w14:textId="77777777" w:rsidR="00395B24" w:rsidRDefault="00395B24" w:rsidP="00663878">
            <w:pPr>
              <w:pStyle w:val="Normal1linespace"/>
              <w:widowControl w:val="0"/>
              <w:jc w:val="left"/>
            </w:pPr>
          </w:p>
        </w:tc>
      </w:tr>
      <w:tr w:rsidR="00395B24" w14:paraId="1CDADB3C" w14:textId="77777777" w:rsidTr="4C31C1F2">
        <w:tc>
          <w:tcPr>
            <w:tcW w:w="3085" w:type="dxa"/>
            <w:shd w:val="clear" w:color="auto" w:fill="auto"/>
          </w:tcPr>
          <w:p w14:paraId="6E041B0B" w14:textId="77777777" w:rsidR="00395B24" w:rsidRDefault="002C7385" w:rsidP="00663878">
            <w:pPr>
              <w:pStyle w:val="Normal1linespace"/>
              <w:widowControl w:val="0"/>
              <w:jc w:val="left"/>
            </w:pPr>
            <w:r>
              <w:t>Catchwords:</w:t>
            </w:r>
          </w:p>
        </w:tc>
        <w:tc>
          <w:tcPr>
            <w:tcW w:w="5989" w:type="dxa"/>
            <w:shd w:val="clear" w:color="auto" w:fill="auto"/>
          </w:tcPr>
          <w:p w14:paraId="0270BDBE" w14:textId="0EAD743A" w:rsidR="001D11AF" w:rsidRDefault="4C31C1F2" w:rsidP="00247576">
            <w:pPr>
              <w:pStyle w:val="Normal1linespace"/>
              <w:widowControl w:val="0"/>
            </w:pPr>
            <w:bookmarkStart w:id="1" w:name="Catchwords"/>
            <w:r w:rsidRPr="4C31C1F2">
              <w:rPr>
                <w:b/>
                <w:bCs/>
              </w:rPr>
              <w:t xml:space="preserve">PRACTICE AND PROCEDURE </w:t>
            </w:r>
            <w:r w:rsidRPr="00731956">
              <w:rPr>
                <w:bCs/>
              </w:rPr>
              <w:t>–</w:t>
            </w:r>
            <w:bookmarkEnd w:id="1"/>
            <w:r w:rsidR="00731956" w:rsidRPr="00731956">
              <w:rPr>
                <w:bCs/>
              </w:rPr>
              <w:t xml:space="preserve"> vexatious litigant – </w:t>
            </w:r>
            <w:r w:rsidR="008D13BF">
              <w:rPr>
                <w:bCs/>
              </w:rPr>
              <w:t xml:space="preserve">making of a vexatious proceedings order </w:t>
            </w:r>
            <w:r w:rsidR="00731956" w:rsidRPr="00731956">
              <w:rPr>
                <w:bCs/>
              </w:rPr>
              <w:t>under s</w:t>
            </w:r>
            <w:r w:rsidR="00D063E9">
              <w:rPr>
                <w:bCs/>
              </w:rPr>
              <w:t> </w:t>
            </w:r>
            <w:r w:rsidR="00731956" w:rsidRPr="00731956">
              <w:rPr>
                <w:bCs/>
              </w:rPr>
              <w:t xml:space="preserve">37AO of the </w:t>
            </w:r>
            <w:r w:rsidR="00731956" w:rsidRPr="00247576">
              <w:rPr>
                <w:bCs/>
                <w:i/>
              </w:rPr>
              <w:t>Federal Court of Australia Act</w:t>
            </w:r>
            <w:r w:rsidR="00C82383">
              <w:rPr>
                <w:bCs/>
                <w:i/>
              </w:rPr>
              <w:t xml:space="preserve"> 1976 </w:t>
            </w:r>
            <w:r w:rsidR="00C82383">
              <w:t>(</w:t>
            </w:r>
            <w:proofErr w:type="spellStart"/>
            <w:r w:rsidR="00C82383">
              <w:t>Cth</w:t>
            </w:r>
            <w:proofErr w:type="spellEnd"/>
            <w:r w:rsidR="00C82383">
              <w:t>)</w:t>
            </w:r>
            <w:r w:rsidR="00731956" w:rsidRPr="00731956">
              <w:rPr>
                <w:bCs/>
              </w:rPr>
              <w:t xml:space="preserve"> –</w:t>
            </w:r>
            <w:r w:rsidR="00731956">
              <w:rPr>
                <w:b/>
                <w:bCs/>
              </w:rPr>
              <w:t xml:space="preserve"> </w:t>
            </w:r>
            <w:r w:rsidR="008D13BF" w:rsidRPr="00247576">
              <w:t xml:space="preserve">whether </w:t>
            </w:r>
            <w:r w:rsidR="00FF4C9C">
              <w:t xml:space="preserve">the applicant </w:t>
            </w:r>
            <w:r w:rsidR="008D13BF">
              <w:t xml:space="preserve">has frequently </w:t>
            </w:r>
            <w:r w:rsidR="001D11AF">
              <w:t>instituted or conducted vexations proceedings –</w:t>
            </w:r>
            <w:r w:rsidR="00FF4C9C">
              <w:t xml:space="preserve"> held that</w:t>
            </w:r>
            <w:r w:rsidR="001D11AF">
              <w:t xml:space="preserve"> </w:t>
            </w:r>
            <w:r w:rsidR="00C82383" w:rsidRPr="00C82383">
              <w:t>the applicant has frequently instituted or conducted vexatious proceedings in Australian courts – vexatious proceedings</w:t>
            </w:r>
            <w:r w:rsidR="00C82383">
              <w:t xml:space="preserve"> order</w:t>
            </w:r>
            <w:r w:rsidR="00C82383" w:rsidRPr="00C82383">
              <w:t xml:space="preserve"> made.</w:t>
            </w:r>
          </w:p>
          <w:p w14:paraId="79F0EE89" w14:textId="77777777" w:rsidR="001D11AF" w:rsidRDefault="001D11AF" w:rsidP="008D13BF">
            <w:pPr>
              <w:pStyle w:val="Normal1linespace"/>
              <w:widowControl w:val="0"/>
              <w:jc w:val="left"/>
            </w:pPr>
          </w:p>
          <w:p w14:paraId="0F42A442" w14:textId="232FDE87" w:rsidR="00395B24" w:rsidRDefault="001D11AF" w:rsidP="00247576">
            <w:pPr>
              <w:pStyle w:val="Normal1linespace"/>
              <w:widowControl w:val="0"/>
            </w:pPr>
            <w:r w:rsidRPr="00247576">
              <w:rPr>
                <w:b/>
              </w:rPr>
              <w:t>EVIDENCE</w:t>
            </w:r>
            <w:r>
              <w:rPr>
                <w:bCs/>
              </w:rPr>
              <w:t xml:space="preserve"> - </w:t>
            </w:r>
            <w:r w:rsidR="009D0E43" w:rsidRPr="00247576">
              <w:rPr>
                <w:bCs/>
              </w:rPr>
              <w:t xml:space="preserve">whether </w:t>
            </w:r>
            <w:r w:rsidR="009D0E43">
              <w:rPr>
                <w:bCs/>
              </w:rPr>
              <w:t xml:space="preserve">s 91 of the </w:t>
            </w:r>
            <w:r w:rsidR="009D0E43" w:rsidRPr="00247576">
              <w:rPr>
                <w:bCs/>
                <w:i/>
              </w:rPr>
              <w:t xml:space="preserve">Evidence Act </w:t>
            </w:r>
            <w:r>
              <w:rPr>
                <w:bCs/>
                <w:i/>
              </w:rPr>
              <w:t xml:space="preserve">1995 </w:t>
            </w:r>
            <w:r w:rsidR="009D0E43">
              <w:rPr>
                <w:bCs/>
              </w:rPr>
              <w:t>(</w:t>
            </w:r>
            <w:proofErr w:type="spellStart"/>
            <w:r>
              <w:rPr>
                <w:bCs/>
              </w:rPr>
              <w:t>Cth</w:t>
            </w:r>
            <w:proofErr w:type="spellEnd"/>
            <w:r w:rsidR="009D0E43">
              <w:rPr>
                <w:bCs/>
              </w:rPr>
              <w:t xml:space="preserve">) </w:t>
            </w:r>
            <w:r>
              <w:rPr>
                <w:bCs/>
              </w:rPr>
              <w:t>precludes</w:t>
            </w:r>
            <w:r w:rsidR="009D0E43">
              <w:rPr>
                <w:bCs/>
              </w:rPr>
              <w:t xml:space="preserve"> consideration of </w:t>
            </w:r>
            <w:r w:rsidR="006B2392">
              <w:rPr>
                <w:bCs/>
              </w:rPr>
              <w:t xml:space="preserve">decisions in other proceedings in </w:t>
            </w:r>
            <w:r w:rsidR="0022063C">
              <w:rPr>
                <w:bCs/>
              </w:rPr>
              <w:t xml:space="preserve">the </w:t>
            </w:r>
            <w:r w:rsidR="006B2392">
              <w:rPr>
                <w:bCs/>
              </w:rPr>
              <w:t xml:space="preserve">assessment of whether a </w:t>
            </w:r>
            <w:r w:rsidR="00325017">
              <w:rPr>
                <w:bCs/>
              </w:rPr>
              <w:t>litigant</w:t>
            </w:r>
            <w:r w:rsidR="006B2392">
              <w:rPr>
                <w:bCs/>
              </w:rPr>
              <w:t xml:space="preserve"> </w:t>
            </w:r>
            <w:r w:rsidR="002E6392">
              <w:rPr>
                <w:bCs/>
              </w:rPr>
              <w:t xml:space="preserve">has frequently instituted or conducted vexatious proceedings in Australian courts </w:t>
            </w:r>
            <w:r w:rsidR="006B2392">
              <w:rPr>
                <w:bCs/>
              </w:rPr>
              <w:t xml:space="preserve">– </w:t>
            </w:r>
            <w:r w:rsidR="0022063C">
              <w:rPr>
                <w:bCs/>
              </w:rPr>
              <w:t>fi</w:t>
            </w:r>
            <w:r w:rsidR="002E6392">
              <w:rPr>
                <w:bCs/>
              </w:rPr>
              <w:t>e</w:t>
            </w:r>
            <w:r w:rsidR="0022063C">
              <w:rPr>
                <w:bCs/>
              </w:rPr>
              <w:t>l</w:t>
            </w:r>
            <w:r w:rsidR="002E6392">
              <w:rPr>
                <w:bCs/>
              </w:rPr>
              <w:t>d of inquiry framed by s 37AO</w:t>
            </w:r>
            <w:r w:rsidR="00C82383">
              <w:rPr>
                <w:bCs/>
              </w:rPr>
              <w:t xml:space="preserve">(6) </w:t>
            </w:r>
            <w:r w:rsidR="00E53A8B">
              <w:rPr>
                <w:bCs/>
              </w:rPr>
              <w:t xml:space="preserve">of the </w:t>
            </w:r>
            <w:r w:rsidR="00E53A8B">
              <w:rPr>
                <w:i/>
              </w:rPr>
              <w:t xml:space="preserve">Federal Court of Australia Act </w:t>
            </w:r>
            <w:r w:rsidR="0022063C">
              <w:t xml:space="preserve">– </w:t>
            </w:r>
            <w:r w:rsidR="00780AF2">
              <w:t xml:space="preserve">the </w:t>
            </w:r>
            <w:r w:rsidR="00780AF2" w:rsidRPr="00780AF2">
              <w:t xml:space="preserve">question whether other proceedings were vexatious is a question for the Court considering an application under s 37AO, </w:t>
            </w:r>
            <w:r w:rsidR="00CC5178">
              <w:t>and</w:t>
            </w:r>
            <w:r w:rsidR="00780AF2" w:rsidRPr="00780AF2">
              <w:t xml:space="preserve"> </w:t>
            </w:r>
            <w:r w:rsidR="00780AF2">
              <w:t>s </w:t>
            </w:r>
            <w:r w:rsidR="00780AF2" w:rsidRPr="00780AF2">
              <w:t>37AO(6) permits that regard may be had to those other proceedings, including any reasons for judgment</w:t>
            </w:r>
            <w:r w:rsidR="00F8795A">
              <w:t>.</w:t>
            </w:r>
            <w:r w:rsidR="00AA7D51">
              <w:t xml:space="preserve"> </w:t>
            </w:r>
          </w:p>
        </w:tc>
      </w:tr>
      <w:tr w:rsidR="00395B24" w14:paraId="44EAFD9C" w14:textId="77777777" w:rsidTr="4C31C1F2">
        <w:tc>
          <w:tcPr>
            <w:tcW w:w="3085" w:type="dxa"/>
            <w:shd w:val="clear" w:color="auto" w:fill="auto"/>
          </w:tcPr>
          <w:p w14:paraId="4B94D5A5" w14:textId="77777777" w:rsidR="00395B24" w:rsidRDefault="00395B24" w:rsidP="00663878">
            <w:pPr>
              <w:pStyle w:val="Normal1linespace"/>
              <w:widowControl w:val="0"/>
              <w:jc w:val="left"/>
            </w:pPr>
          </w:p>
        </w:tc>
        <w:tc>
          <w:tcPr>
            <w:tcW w:w="5989" w:type="dxa"/>
            <w:shd w:val="clear" w:color="auto" w:fill="auto"/>
          </w:tcPr>
          <w:p w14:paraId="3DEEC669" w14:textId="77777777" w:rsidR="00395B24" w:rsidRDefault="00395B24" w:rsidP="00663878">
            <w:pPr>
              <w:pStyle w:val="Normal1linespace"/>
              <w:widowControl w:val="0"/>
              <w:jc w:val="left"/>
            </w:pPr>
          </w:p>
        </w:tc>
      </w:tr>
      <w:tr w:rsidR="00395B24" w14:paraId="0DC02531" w14:textId="77777777" w:rsidTr="4C31C1F2">
        <w:tc>
          <w:tcPr>
            <w:tcW w:w="3085" w:type="dxa"/>
            <w:shd w:val="clear" w:color="auto" w:fill="auto"/>
          </w:tcPr>
          <w:p w14:paraId="1B355750" w14:textId="77777777" w:rsidR="00395B24" w:rsidRDefault="002C7385" w:rsidP="00663878">
            <w:pPr>
              <w:pStyle w:val="Normal1linespace"/>
              <w:widowControl w:val="0"/>
              <w:jc w:val="left"/>
            </w:pPr>
            <w:r>
              <w:t>Legislation:</w:t>
            </w:r>
          </w:p>
        </w:tc>
        <w:tc>
          <w:tcPr>
            <w:tcW w:w="5989" w:type="dxa"/>
            <w:shd w:val="clear" w:color="auto" w:fill="auto"/>
          </w:tcPr>
          <w:p w14:paraId="5C9390FA" w14:textId="77777777" w:rsidR="004C390B" w:rsidRDefault="004C390B" w:rsidP="004C390B">
            <w:pPr>
              <w:pStyle w:val="CasesLegislationAppealFrom"/>
              <w:spacing w:after="60"/>
            </w:pPr>
            <w:bookmarkStart w:id="2" w:name="Legislation"/>
            <w:r w:rsidRPr="004D5CCB">
              <w:rPr>
                <w:i/>
              </w:rPr>
              <w:t xml:space="preserve">Acts Interpretation Act 1901 </w:t>
            </w:r>
            <w:r>
              <w:t>(</w:t>
            </w:r>
            <w:proofErr w:type="spellStart"/>
            <w:r>
              <w:t>Cth</w:t>
            </w:r>
            <w:proofErr w:type="spellEnd"/>
            <w:r>
              <w:t>) s 25C</w:t>
            </w:r>
          </w:p>
          <w:p w14:paraId="242DBAE3" w14:textId="45AD0351" w:rsidR="004C390B" w:rsidRDefault="004C390B" w:rsidP="004C390B">
            <w:pPr>
              <w:pStyle w:val="CasesLegislationAppealFrom"/>
              <w:spacing w:after="60"/>
            </w:pPr>
            <w:r w:rsidRPr="008A6F8E">
              <w:rPr>
                <w:i/>
              </w:rPr>
              <w:t>Bankruptcy Act</w:t>
            </w:r>
            <w:r>
              <w:rPr>
                <w:i/>
              </w:rPr>
              <w:t xml:space="preserve"> 1966 </w:t>
            </w:r>
            <w:r>
              <w:t>(</w:t>
            </w:r>
            <w:proofErr w:type="spellStart"/>
            <w:r>
              <w:t>Cth</w:t>
            </w:r>
            <w:proofErr w:type="spellEnd"/>
            <w:r>
              <w:t xml:space="preserve">) </w:t>
            </w:r>
            <w:proofErr w:type="spellStart"/>
            <w:r>
              <w:t>s</w:t>
            </w:r>
            <w:r w:rsidR="006D4A4B">
              <w:t>s</w:t>
            </w:r>
            <w:proofErr w:type="spellEnd"/>
            <w:r>
              <w:t xml:space="preserve"> 54, 153B</w:t>
            </w:r>
          </w:p>
          <w:p w14:paraId="096757CE" w14:textId="046496E1" w:rsidR="004C390B" w:rsidRDefault="004C390B" w:rsidP="004C390B">
            <w:pPr>
              <w:pStyle w:val="CasesLegislationAppealFrom"/>
              <w:spacing w:after="60"/>
            </w:pPr>
            <w:r>
              <w:rPr>
                <w:i/>
              </w:rPr>
              <w:t xml:space="preserve">Evidence Act 1995 </w:t>
            </w:r>
            <w:r>
              <w:t>(NSW) s 91</w:t>
            </w:r>
          </w:p>
          <w:p w14:paraId="39754894" w14:textId="7AE344BD" w:rsidR="00CD6B60" w:rsidRDefault="00CD6B60" w:rsidP="004C390B">
            <w:pPr>
              <w:pStyle w:val="CasesLegislationAppealFrom"/>
              <w:spacing w:after="60"/>
            </w:pPr>
            <w:r>
              <w:rPr>
                <w:i/>
              </w:rPr>
              <w:t xml:space="preserve">Evidence Act 2008 </w:t>
            </w:r>
            <w:r>
              <w:t xml:space="preserve">(Vic) </w:t>
            </w:r>
            <w:proofErr w:type="spellStart"/>
            <w:r>
              <w:t>s</w:t>
            </w:r>
            <w:r w:rsidR="00133696">
              <w:t>s</w:t>
            </w:r>
            <w:proofErr w:type="spellEnd"/>
            <w:r>
              <w:t xml:space="preserve"> 91</w:t>
            </w:r>
            <w:r w:rsidR="00133696">
              <w:t>, 93</w:t>
            </w:r>
            <w:r w:rsidR="001D4D75">
              <w:t>, 190</w:t>
            </w:r>
          </w:p>
          <w:p w14:paraId="7BD1122C" w14:textId="0AFF116B" w:rsidR="001D4D75" w:rsidRDefault="001D4D75" w:rsidP="004C390B">
            <w:pPr>
              <w:pStyle w:val="CasesLegislationAppealFrom"/>
              <w:spacing w:after="60"/>
              <w:rPr>
                <w:i/>
              </w:rPr>
            </w:pPr>
            <w:r>
              <w:rPr>
                <w:i/>
              </w:rPr>
              <w:t xml:space="preserve">Evidence (National Uniform Legislation) Act 2011 </w:t>
            </w:r>
            <w:r>
              <w:t>(NT)</w:t>
            </w:r>
          </w:p>
          <w:p w14:paraId="5CA03C4C" w14:textId="10E18227" w:rsidR="004C390B" w:rsidRDefault="004C390B" w:rsidP="004C390B">
            <w:pPr>
              <w:pStyle w:val="CasesLegislationAppealFrom"/>
              <w:spacing w:after="60"/>
            </w:pPr>
            <w:r>
              <w:rPr>
                <w:i/>
              </w:rPr>
              <w:t xml:space="preserve">Federal Court of Australia Act </w:t>
            </w:r>
            <w:r w:rsidRPr="00474956">
              <w:rPr>
                <w:i/>
              </w:rPr>
              <w:t>1976</w:t>
            </w:r>
            <w:r w:rsidRPr="008B2688">
              <w:t xml:space="preserve"> (</w:t>
            </w:r>
            <w:proofErr w:type="spellStart"/>
            <w:r w:rsidRPr="008B2688">
              <w:t>Cth</w:t>
            </w:r>
            <w:proofErr w:type="spellEnd"/>
            <w:r w:rsidRPr="008B2688">
              <w:t>)</w:t>
            </w:r>
            <w:r>
              <w:rPr>
                <w:i/>
              </w:rPr>
              <w:t xml:space="preserve"> </w:t>
            </w:r>
            <w:proofErr w:type="spellStart"/>
            <w:r>
              <w:t>ss</w:t>
            </w:r>
            <w:proofErr w:type="spellEnd"/>
            <w:r>
              <w:t xml:space="preserve"> 4</w:t>
            </w:r>
            <w:r w:rsidR="00154AD5">
              <w:t>, 24, 31A, 37AM, 37AO, 37AQ(1)(a</w:t>
            </w:r>
            <w:r>
              <w:t xml:space="preserve">), 37AT(4), 37M </w:t>
            </w:r>
          </w:p>
          <w:p w14:paraId="0A360DDF" w14:textId="77777777" w:rsidR="004C390B" w:rsidRDefault="004C390B" w:rsidP="004C390B">
            <w:pPr>
              <w:pStyle w:val="CasesLegislationAppealFrom"/>
              <w:spacing w:after="60"/>
            </w:pPr>
            <w:r>
              <w:rPr>
                <w:i/>
              </w:rPr>
              <w:t xml:space="preserve">Federal Magistrates Act 1999 </w:t>
            </w:r>
            <w:r w:rsidRPr="009E4162">
              <w:t>(</w:t>
            </w:r>
            <w:proofErr w:type="spellStart"/>
            <w:r w:rsidRPr="009E4162">
              <w:t>Cth</w:t>
            </w:r>
            <w:proofErr w:type="spellEnd"/>
            <w:r w:rsidRPr="009E4162">
              <w:t>) s 104</w:t>
            </w:r>
          </w:p>
          <w:p w14:paraId="56BEEAD1" w14:textId="7189452C" w:rsidR="004C390B" w:rsidRDefault="004C390B" w:rsidP="004C390B">
            <w:pPr>
              <w:pStyle w:val="CasesLegislationAppealFrom"/>
              <w:spacing w:after="60"/>
            </w:pPr>
            <w:r w:rsidRPr="005A0123">
              <w:rPr>
                <w:i/>
              </w:rPr>
              <w:t>Legislation Act 2003</w:t>
            </w:r>
            <w:r w:rsidRPr="005A0123">
              <w:t xml:space="preserve"> (</w:t>
            </w:r>
            <w:proofErr w:type="spellStart"/>
            <w:r w:rsidRPr="005A0123">
              <w:t>Cth</w:t>
            </w:r>
            <w:proofErr w:type="spellEnd"/>
            <w:r w:rsidRPr="005A0123">
              <w:t>)</w:t>
            </w:r>
            <w:r>
              <w:t xml:space="preserve"> s 13(1)(a)</w:t>
            </w:r>
          </w:p>
          <w:p w14:paraId="16E4F3BB" w14:textId="65FCAFDF" w:rsidR="008058AC" w:rsidRPr="00247576" w:rsidRDefault="008058AC" w:rsidP="004C390B">
            <w:pPr>
              <w:pStyle w:val="CasesLegislationAppealFrom"/>
              <w:spacing w:after="60"/>
            </w:pPr>
            <w:r>
              <w:rPr>
                <w:i/>
              </w:rPr>
              <w:t xml:space="preserve">Vexatious Proceedings Act 2006 </w:t>
            </w:r>
            <w:r>
              <w:t>(NT) s 7</w:t>
            </w:r>
          </w:p>
          <w:p w14:paraId="3A2F9E79" w14:textId="2B23C90E" w:rsidR="00CD6B60" w:rsidRDefault="00CD6B60" w:rsidP="004C390B">
            <w:pPr>
              <w:pStyle w:val="CasesLegislationAppealFrom"/>
              <w:spacing w:after="60"/>
            </w:pPr>
            <w:r>
              <w:rPr>
                <w:i/>
              </w:rPr>
              <w:t xml:space="preserve">Vexatious Proceedings Act 2008 </w:t>
            </w:r>
            <w:r>
              <w:t>(NSW) s 8(2)</w:t>
            </w:r>
          </w:p>
          <w:p w14:paraId="3403CDAC" w14:textId="1FA86A19" w:rsidR="00CD6B60" w:rsidRDefault="00CD6B60" w:rsidP="004C390B">
            <w:pPr>
              <w:pStyle w:val="CasesLegislationAppealFrom"/>
              <w:spacing w:after="60"/>
            </w:pPr>
            <w:r w:rsidRPr="0040498C">
              <w:rPr>
                <w:i/>
              </w:rPr>
              <w:t>Vexatious Proceedings Act 2014</w:t>
            </w:r>
            <w:r w:rsidRPr="0040498C">
              <w:t xml:space="preserve"> (Vic)</w:t>
            </w:r>
            <w:r>
              <w:t xml:space="preserve"> s 29</w:t>
            </w:r>
          </w:p>
          <w:p w14:paraId="754346B7" w14:textId="77777777" w:rsidR="004C390B" w:rsidRPr="009438F5" w:rsidRDefault="004C390B" w:rsidP="004C390B">
            <w:pPr>
              <w:pStyle w:val="CasesLegislationAppealFrom"/>
              <w:spacing w:after="60"/>
            </w:pPr>
          </w:p>
          <w:p w14:paraId="782CE81D" w14:textId="4DC8914D" w:rsidR="00395B24" w:rsidRDefault="004C390B" w:rsidP="00212455">
            <w:pPr>
              <w:pStyle w:val="CasesLegislationAppealFrom"/>
              <w:spacing w:after="60"/>
              <w:rPr>
                <w:iCs/>
              </w:rPr>
            </w:pPr>
            <w:r w:rsidRPr="64E842F8">
              <w:rPr>
                <w:i/>
                <w:iCs/>
              </w:rPr>
              <w:t>Federal Court Rules 2011</w:t>
            </w:r>
            <w:r>
              <w:rPr>
                <w:i/>
                <w:iCs/>
              </w:rPr>
              <w:t xml:space="preserve"> </w:t>
            </w:r>
            <w:r w:rsidRPr="009B5C09">
              <w:rPr>
                <w:iCs/>
              </w:rPr>
              <w:t>(</w:t>
            </w:r>
            <w:proofErr w:type="spellStart"/>
            <w:r w:rsidRPr="009B5C09">
              <w:rPr>
                <w:iCs/>
              </w:rPr>
              <w:t>Cth</w:t>
            </w:r>
            <w:proofErr w:type="spellEnd"/>
            <w:r w:rsidRPr="009B5C09">
              <w:rPr>
                <w:iCs/>
              </w:rPr>
              <w:t>)</w:t>
            </w:r>
            <w:r w:rsidR="00056B51">
              <w:rPr>
                <w:iCs/>
              </w:rPr>
              <w:t xml:space="preserve"> r</w:t>
            </w:r>
            <w:r>
              <w:rPr>
                <w:iCs/>
              </w:rPr>
              <w:t xml:space="preserve"> 39.05</w:t>
            </w:r>
            <w:bookmarkEnd w:id="2"/>
          </w:p>
          <w:p w14:paraId="28F40DF9" w14:textId="5D5D1380" w:rsidR="00056B51" w:rsidRPr="009438F5" w:rsidRDefault="00056B51" w:rsidP="00212455">
            <w:pPr>
              <w:pStyle w:val="CasesLegislationAppealFrom"/>
              <w:spacing w:after="60"/>
              <w:rPr>
                <w:i/>
              </w:rPr>
            </w:pPr>
            <w:r w:rsidRPr="00776BDB">
              <w:rPr>
                <w:i/>
              </w:rPr>
              <w:t>Federal Court Rules 1979</w:t>
            </w:r>
            <w:r>
              <w:rPr>
                <w:i/>
              </w:rPr>
              <w:t xml:space="preserve"> </w:t>
            </w:r>
            <w:r>
              <w:t>(</w:t>
            </w:r>
            <w:proofErr w:type="spellStart"/>
            <w:r>
              <w:t>Cth</w:t>
            </w:r>
            <w:proofErr w:type="spellEnd"/>
            <w:r>
              <w:t xml:space="preserve">) r </w:t>
            </w:r>
            <w:r w:rsidR="00087815">
              <w:t>21.</w:t>
            </w:r>
            <w:r>
              <w:t>1(1)</w:t>
            </w:r>
          </w:p>
        </w:tc>
      </w:tr>
      <w:tr w:rsidR="00395B24" w14:paraId="45FB0818" w14:textId="77777777" w:rsidTr="4C31C1F2">
        <w:tc>
          <w:tcPr>
            <w:tcW w:w="3085" w:type="dxa"/>
            <w:shd w:val="clear" w:color="auto" w:fill="auto"/>
          </w:tcPr>
          <w:p w14:paraId="049F31CB" w14:textId="77777777" w:rsidR="00395B24" w:rsidRDefault="00395B24" w:rsidP="00663878">
            <w:pPr>
              <w:pStyle w:val="Normal1linespace"/>
              <w:widowControl w:val="0"/>
              <w:jc w:val="left"/>
            </w:pPr>
          </w:p>
        </w:tc>
        <w:tc>
          <w:tcPr>
            <w:tcW w:w="5989" w:type="dxa"/>
            <w:shd w:val="clear" w:color="auto" w:fill="auto"/>
          </w:tcPr>
          <w:p w14:paraId="53128261" w14:textId="77777777" w:rsidR="00395B24" w:rsidRDefault="00395B24" w:rsidP="00663878">
            <w:pPr>
              <w:pStyle w:val="Normal1linespace"/>
              <w:widowControl w:val="0"/>
              <w:jc w:val="left"/>
            </w:pPr>
          </w:p>
        </w:tc>
      </w:tr>
      <w:tr w:rsidR="004C390B" w14:paraId="210A6FE9" w14:textId="77777777" w:rsidTr="4C31C1F2">
        <w:tc>
          <w:tcPr>
            <w:tcW w:w="3085" w:type="dxa"/>
            <w:shd w:val="clear" w:color="auto" w:fill="auto"/>
          </w:tcPr>
          <w:p w14:paraId="6778CE01" w14:textId="184BCBD2" w:rsidR="004C390B" w:rsidRDefault="004C390B" w:rsidP="004C390B">
            <w:pPr>
              <w:pStyle w:val="Normal1linespace"/>
              <w:widowControl w:val="0"/>
              <w:jc w:val="left"/>
            </w:pPr>
            <w:r>
              <w:t>Cases cited:</w:t>
            </w:r>
          </w:p>
        </w:tc>
        <w:tc>
          <w:tcPr>
            <w:tcW w:w="5989" w:type="dxa"/>
            <w:shd w:val="clear" w:color="auto" w:fill="auto"/>
          </w:tcPr>
          <w:p w14:paraId="139E8D80" w14:textId="77777777" w:rsidR="004C390B" w:rsidRDefault="004C390B" w:rsidP="004C390B">
            <w:pPr>
              <w:pStyle w:val="CasesLegislationAppealFrom"/>
              <w:spacing w:after="60"/>
            </w:pPr>
            <w:r>
              <w:rPr>
                <w:i/>
              </w:rPr>
              <w:t xml:space="preserve">Attorney-General (NSW) v </w:t>
            </w:r>
            <w:r w:rsidRPr="009E4162">
              <w:rPr>
                <w:i/>
              </w:rPr>
              <w:t>Bar Mordecai</w:t>
            </w:r>
            <w:r>
              <w:rPr>
                <w:i/>
              </w:rPr>
              <w:t xml:space="preserve"> </w:t>
            </w:r>
            <w:r>
              <w:t>[2005] NSWSC 142</w:t>
            </w:r>
          </w:p>
          <w:p w14:paraId="44A71325" w14:textId="77777777" w:rsidR="004C390B" w:rsidRDefault="004C390B" w:rsidP="004C390B">
            <w:pPr>
              <w:pStyle w:val="CasesLegislationAppealFrom"/>
              <w:spacing w:after="60"/>
            </w:pPr>
            <w:r w:rsidRPr="00B66407">
              <w:rPr>
                <w:i/>
              </w:rPr>
              <w:t>Attorney-General (NSW) v Chan</w:t>
            </w:r>
            <w:r w:rsidRPr="00AB5C5C">
              <w:t xml:space="preserve"> [2011] NSWSC</w:t>
            </w:r>
            <w:r>
              <w:t xml:space="preserve"> 1315</w:t>
            </w:r>
          </w:p>
          <w:p w14:paraId="58965801" w14:textId="77777777" w:rsidR="004C390B" w:rsidRDefault="004C390B" w:rsidP="004C390B">
            <w:pPr>
              <w:pStyle w:val="CasesLegislationAppealFrom"/>
              <w:spacing w:after="60"/>
              <w:rPr>
                <w:i/>
              </w:rPr>
            </w:pPr>
            <w:r w:rsidRPr="00B66407">
              <w:rPr>
                <w:i/>
              </w:rPr>
              <w:t>Attorney-General (NSW) v Croker</w:t>
            </w:r>
            <w:r>
              <w:t xml:space="preserve"> [2010] NSWSC 942</w:t>
            </w:r>
          </w:p>
          <w:p w14:paraId="1ABB138E" w14:textId="77777777" w:rsidR="004C390B" w:rsidRDefault="004C390B" w:rsidP="004C390B">
            <w:pPr>
              <w:pStyle w:val="CasesLegislationAppealFrom"/>
              <w:spacing w:after="60"/>
            </w:pPr>
            <w:r w:rsidRPr="00E30E07">
              <w:rPr>
                <w:i/>
              </w:rPr>
              <w:t>Attorney-General (NSW) v Mahmoud</w:t>
            </w:r>
            <w:r w:rsidRPr="002C5D97">
              <w:t xml:space="preserve"> [2015] NSWSC 899</w:t>
            </w:r>
          </w:p>
          <w:p w14:paraId="15E9E55D" w14:textId="028437A4" w:rsidR="004C390B" w:rsidRDefault="004C390B" w:rsidP="004C390B">
            <w:pPr>
              <w:pStyle w:val="CasesLegislationAppealFrom"/>
              <w:spacing w:after="60"/>
            </w:pPr>
            <w:r>
              <w:rPr>
                <w:i/>
              </w:rPr>
              <w:t>Attorney-General</w:t>
            </w:r>
            <w:r w:rsidRPr="00707C3A">
              <w:rPr>
                <w:i/>
              </w:rPr>
              <w:t xml:space="preserve"> (N</w:t>
            </w:r>
            <w:r w:rsidR="006D4A4B">
              <w:rPr>
                <w:i/>
              </w:rPr>
              <w:t>SW</w:t>
            </w:r>
            <w:r w:rsidRPr="00707C3A">
              <w:rPr>
                <w:i/>
              </w:rPr>
              <w:t xml:space="preserve">) v </w:t>
            </w:r>
            <w:r w:rsidRPr="009E4162">
              <w:rPr>
                <w:i/>
              </w:rPr>
              <w:t>Martin</w:t>
            </w:r>
            <w:r w:rsidRPr="00336997">
              <w:t xml:space="preserve"> </w:t>
            </w:r>
            <w:r>
              <w:t>[2015] NSWSC 1372</w:t>
            </w:r>
          </w:p>
          <w:p w14:paraId="4910CBCB" w14:textId="4379FEDD" w:rsidR="004C390B" w:rsidRDefault="004C390B" w:rsidP="004C390B">
            <w:pPr>
              <w:pStyle w:val="CasesLegislationAppealFrom"/>
              <w:spacing w:after="60"/>
            </w:pPr>
            <w:r>
              <w:rPr>
                <w:i/>
              </w:rPr>
              <w:t>Attorney-General</w:t>
            </w:r>
            <w:r w:rsidRPr="00E54E54">
              <w:rPr>
                <w:i/>
              </w:rPr>
              <w:t xml:space="preserve"> (N</w:t>
            </w:r>
            <w:r w:rsidR="006D4A4B">
              <w:rPr>
                <w:i/>
              </w:rPr>
              <w:t>SW</w:t>
            </w:r>
            <w:r w:rsidRPr="00E54E54">
              <w:rPr>
                <w:i/>
              </w:rPr>
              <w:t xml:space="preserve">) v </w:t>
            </w:r>
            <w:proofErr w:type="spellStart"/>
            <w:r w:rsidRPr="009E4162">
              <w:rPr>
                <w:i/>
              </w:rPr>
              <w:t>Mohareb</w:t>
            </w:r>
            <w:proofErr w:type="spellEnd"/>
            <w:r w:rsidRPr="00FE18B9">
              <w:t xml:space="preserve"> </w:t>
            </w:r>
            <w:r>
              <w:t>[2016] NSWSC 1823</w:t>
            </w:r>
          </w:p>
          <w:p w14:paraId="1A7E5F3F" w14:textId="774A3691" w:rsidR="00AE4F69" w:rsidRDefault="00AE4F69" w:rsidP="004C390B">
            <w:pPr>
              <w:pStyle w:val="CasesLegislationAppealFrom"/>
              <w:spacing w:after="60"/>
            </w:pPr>
            <w:r w:rsidRPr="00D072FC">
              <w:rPr>
                <w:i/>
              </w:rPr>
              <w:t xml:space="preserve">Attorney-General (NSW) v </w:t>
            </w:r>
            <w:proofErr w:type="spellStart"/>
            <w:r w:rsidRPr="00D072FC">
              <w:rPr>
                <w:i/>
              </w:rPr>
              <w:t>Potier</w:t>
            </w:r>
            <w:proofErr w:type="spellEnd"/>
            <w:r w:rsidRPr="00D072FC">
              <w:rPr>
                <w:i/>
              </w:rPr>
              <w:t xml:space="preserve"> </w:t>
            </w:r>
            <w:r>
              <w:t>[2014] NSWSC 118</w:t>
            </w:r>
          </w:p>
          <w:p w14:paraId="24670EA1" w14:textId="37DC08D9" w:rsidR="004C390B" w:rsidRDefault="004C390B" w:rsidP="004C390B">
            <w:pPr>
              <w:pStyle w:val="CasesLegislationAppealFrom"/>
              <w:spacing w:after="60"/>
            </w:pPr>
            <w:r w:rsidRPr="00E30E07">
              <w:rPr>
                <w:i/>
              </w:rPr>
              <w:t>Attorney-General (NSW) v Wilson</w:t>
            </w:r>
            <w:r w:rsidRPr="00196A5C">
              <w:t xml:space="preserve"> [2010] NSWSC 1008</w:t>
            </w:r>
          </w:p>
          <w:p w14:paraId="0F4C50A4" w14:textId="38870903" w:rsidR="00CD6B60" w:rsidRDefault="00CD6B60" w:rsidP="004C390B">
            <w:pPr>
              <w:pStyle w:val="CasesLegislationAppealFrom"/>
              <w:spacing w:after="60"/>
            </w:pPr>
            <w:r>
              <w:rPr>
                <w:i/>
              </w:rPr>
              <w:t>Attorney-General</w:t>
            </w:r>
            <w:r w:rsidRPr="0003791D">
              <w:rPr>
                <w:i/>
              </w:rPr>
              <w:t xml:space="preserve"> (Vic) v Garrett</w:t>
            </w:r>
            <w:r>
              <w:t xml:space="preserve"> (2017) 51 VR 777</w:t>
            </w:r>
          </w:p>
          <w:p w14:paraId="23747301" w14:textId="4570685B" w:rsidR="00940D29" w:rsidRDefault="00940D29" w:rsidP="004C390B">
            <w:pPr>
              <w:pStyle w:val="CasesLegislationAppealFrom"/>
              <w:spacing w:after="60"/>
            </w:pPr>
            <w:r>
              <w:rPr>
                <w:i/>
              </w:rPr>
              <w:t xml:space="preserve">Attorney-General (Vic) v </w:t>
            </w:r>
            <w:r w:rsidRPr="009B3D0A">
              <w:rPr>
                <w:i/>
              </w:rPr>
              <w:t>Horvath</w:t>
            </w:r>
            <w:r>
              <w:rPr>
                <w:i/>
              </w:rPr>
              <w:t xml:space="preserve">, Senior </w:t>
            </w:r>
            <w:r>
              <w:t>[2001] VSC 269</w:t>
            </w:r>
          </w:p>
          <w:p w14:paraId="046036BD" w14:textId="21B07318" w:rsidR="006D4A4B" w:rsidRPr="00247576" w:rsidRDefault="006D4A4B" w:rsidP="004C390B">
            <w:pPr>
              <w:pStyle w:val="CasesLegislationAppealFrom"/>
              <w:spacing w:after="60"/>
            </w:pPr>
            <w:r w:rsidRPr="00A55BD0">
              <w:rPr>
                <w:i/>
              </w:rPr>
              <w:t xml:space="preserve">Attorney-General v Reid </w:t>
            </w:r>
            <w:r>
              <w:t>[2012] 3 NZLR 630</w:t>
            </w:r>
          </w:p>
          <w:p w14:paraId="3138229B" w14:textId="77777777" w:rsidR="004C390B" w:rsidRDefault="004C390B" w:rsidP="0011367F">
            <w:pPr>
              <w:pStyle w:val="CasesLegislationAppealFrom"/>
              <w:spacing w:after="60"/>
            </w:pPr>
            <w:r>
              <w:rPr>
                <w:i/>
              </w:rPr>
              <w:t xml:space="preserve">Davis v Insolvency and Trustee Service Australia </w:t>
            </w:r>
            <w:r>
              <w:t>[2010] FCAFC 141</w:t>
            </w:r>
          </w:p>
          <w:p w14:paraId="51946156" w14:textId="534B205F" w:rsidR="004C390B" w:rsidRPr="00247576" w:rsidRDefault="004C390B" w:rsidP="0011367F">
            <w:pPr>
              <w:pStyle w:val="CasesLegislationAppealFrom"/>
              <w:spacing w:after="60"/>
              <w:rPr>
                <w:i/>
              </w:rPr>
            </w:pPr>
            <w:proofErr w:type="spellStart"/>
            <w:r w:rsidRPr="00F05B57">
              <w:rPr>
                <w:i/>
              </w:rPr>
              <w:t>Dudzinski</w:t>
            </w:r>
            <w:proofErr w:type="spellEnd"/>
            <w:r w:rsidRPr="00F05B57">
              <w:rPr>
                <w:i/>
              </w:rPr>
              <w:t xml:space="preserve"> v Centrelink </w:t>
            </w:r>
            <w:r w:rsidRPr="008338B2">
              <w:t>[2003] FCA 308</w:t>
            </w:r>
          </w:p>
          <w:p w14:paraId="0425AE7D" w14:textId="3068796E" w:rsidR="008338B2" w:rsidRDefault="008338B2" w:rsidP="00247576">
            <w:pPr>
              <w:pStyle w:val="ListNo1"/>
              <w:numPr>
                <w:ilvl w:val="0"/>
                <w:numId w:val="0"/>
              </w:numPr>
              <w:spacing w:before="0" w:line="240" w:lineRule="auto"/>
            </w:pPr>
            <w:proofErr w:type="spellStart"/>
            <w:r w:rsidRPr="006229F6">
              <w:rPr>
                <w:i/>
              </w:rPr>
              <w:t>Fokas</w:t>
            </w:r>
            <w:proofErr w:type="spellEnd"/>
            <w:r w:rsidRPr="006229F6">
              <w:rPr>
                <w:i/>
              </w:rPr>
              <w:t xml:space="preserve"> v Kogarah Council</w:t>
            </w:r>
            <w:r w:rsidRPr="00247576">
              <w:rPr>
                <w:i/>
              </w:rPr>
              <w:t xml:space="preserve"> </w:t>
            </w:r>
            <w:r w:rsidRPr="008338B2">
              <w:t>[2005] NSWLEC 626</w:t>
            </w:r>
          </w:p>
          <w:p w14:paraId="33073A52" w14:textId="290ABEAF" w:rsidR="0011367F" w:rsidRDefault="0011367F" w:rsidP="00247576">
            <w:pPr>
              <w:pStyle w:val="ListNo1"/>
              <w:numPr>
                <w:ilvl w:val="0"/>
                <w:numId w:val="0"/>
              </w:numPr>
              <w:spacing w:before="0" w:line="240" w:lineRule="auto"/>
            </w:pPr>
            <w:proofErr w:type="spellStart"/>
            <w:r w:rsidRPr="0011367F">
              <w:rPr>
                <w:i/>
              </w:rPr>
              <w:t>Fokas</w:t>
            </w:r>
            <w:proofErr w:type="spellEnd"/>
            <w:r w:rsidRPr="0011367F">
              <w:rPr>
                <w:i/>
              </w:rPr>
              <w:t xml:space="preserve"> v Kogarah Council </w:t>
            </w:r>
            <w:r w:rsidRPr="00247576">
              <w:t>[2007] NSWLEC 735</w:t>
            </w:r>
          </w:p>
          <w:p w14:paraId="1C4209AE" w14:textId="6DD1972D" w:rsidR="00E96569" w:rsidRDefault="00E96569" w:rsidP="00247576">
            <w:pPr>
              <w:pStyle w:val="ListNo1"/>
              <w:numPr>
                <w:ilvl w:val="0"/>
                <w:numId w:val="0"/>
              </w:numPr>
              <w:spacing w:before="0" w:line="240" w:lineRule="auto"/>
            </w:pPr>
            <w:proofErr w:type="spellStart"/>
            <w:r w:rsidRPr="00247576">
              <w:rPr>
                <w:i/>
              </w:rPr>
              <w:t>Fokas</w:t>
            </w:r>
            <w:proofErr w:type="spellEnd"/>
            <w:r w:rsidRPr="00247576">
              <w:rPr>
                <w:i/>
              </w:rPr>
              <w:t xml:space="preserve"> v Kogarah Council</w:t>
            </w:r>
            <w:r w:rsidRPr="00E96569">
              <w:t xml:space="preserve"> [2008] NSWLEC 98</w:t>
            </w:r>
          </w:p>
          <w:p w14:paraId="1CA179DC" w14:textId="572B2EE2" w:rsidR="00E279EC" w:rsidRDefault="00E279EC" w:rsidP="00247576">
            <w:pPr>
              <w:pStyle w:val="ListNo1"/>
              <w:numPr>
                <w:ilvl w:val="0"/>
                <w:numId w:val="0"/>
              </w:numPr>
              <w:spacing w:before="0" w:line="240" w:lineRule="auto"/>
            </w:pPr>
            <w:proofErr w:type="spellStart"/>
            <w:r w:rsidRPr="00247576">
              <w:rPr>
                <w:i/>
              </w:rPr>
              <w:t>Fokas</w:t>
            </w:r>
            <w:proofErr w:type="spellEnd"/>
            <w:r w:rsidRPr="00247576">
              <w:rPr>
                <w:i/>
              </w:rPr>
              <w:t xml:space="preserve"> v Kogarah Council</w:t>
            </w:r>
            <w:r w:rsidRPr="00E279EC">
              <w:t xml:space="preserve"> [2008] NSWCA 145</w:t>
            </w:r>
          </w:p>
          <w:p w14:paraId="1552EB11" w14:textId="40578863" w:rsidR="00E96569" w:rsidRDefault="00E96569" w:rsidP="00247576">
            <w:pPr>
              <w:pStyle w:val="ListNo1"/>
              <w:numPr>
                <w:ilvl w:val="0"/>
                <w:numId w:val="0"/>
              </w:numPr>
              <w:spacing w:before="0" w:line="240" w:lineRule="auto"/>
            </w:pPr>
            <w:proofErr w:type="spellStart"/>
            <w:r>
              <w:rPr>
                <w:i/>
              </w:rPr>
              <w:t>F</w:t>
            </w:r>
            <w:r w:rsidRPr="00E96569">
              <w:rPr>
                <w:i/>
              </w:rPr>
              <w:t>okas</w:t>
            </w:r>
            <w:proofErr w:type="spellEnd"/>
            <w:r w:rsidRPr="00E96569">
              <w:rPr>
                <w:i/>
              </w:rPr>
              <w:t xml:space="preserve"> v Kogarah Council &amp; Energy Australia </w:t>
            </w:r>
            <w:r w:rsidRPr="00247576">
              <w:t>[2008] NSWLEC 74</w:t>
            </w:r>
          </w:p>
          <w:p w14:paraId="79180272" w14:textId="159FE117" w:rsidR="003C06E2" w:rsidRPr="00247576" w:rsidRDefault="003C06E2" w:rsidP="00247576">
            <w:pPr>
              <w:pStyle w:val="ListNo1"/>
              <w:numPr>
                <w:ilvl w:val="0"/>
                <w:numId w:val="0"/>
              </w:numPr>
              <w:spacing w:before="0" w:line="240" w:lineRule="auto"/>
              <w:rPr>
                <w:i/>
              </w:rPr>
            </w:pPr>
            <w:proofErr w:type="spellStart"/>
            <w:r w:rsidRPr="003C06E2">
              <w:rPr>
                <w:i/>
              </w:rPr>
              <w:t>Fokas</w:t>
            </w:r>
            <w:proofErr w:type="spellEnd"/>
            <w:r w:rsidRPr="003C06E2">
              <w:rPr>
                <w:i/>
              </w:rPr>
              <w:t xml:space="preserve"> v Kogarah RSL Club Ltd </w:t>
            </w:r>
            <w:r w:rsidRPr="003C06E2">
              <w:t>[2012]</w:t>
            </w:r>
            <w:r w:rsidRPr="00247576">
              <w:t xml:space="preserve"> NSWLEC 136</w:t>
            </w:r>
          </w:p>
          <w:p w14:paraId="6C59E289" w14:textId="07CAF262" w:rsidR="000D5DA5" w:rsidRDefault="000D5DA5" w:rsidP="0011367F">
            <w:pPr>
              <w:pStyle w:val="CasesLegislationAppealFrom"/>
              <w:spacing w:after="60"/>
            </w:pPr>
            <w:proofErr w:type="spellStart"/>
            <w:r w:rsidRPr="00AE1D99">
              <w:rPr>
                <w:i/>
              </w:rPr>
              <w:t>Fokas</w:t>
            </w:r>
            <w:proofErr w:type="spellEnd"/>
            <w:r w:rsidRPr="00AE1D99">
              <w:rPr>
                <w:i/>
              </w:rPr>
              <w:t xml:space="preserve"> v Kogarah RSL Club Ltd (No 2)</w:t>
            </w:r>
            <w:r w:rsidR="00B91F3E">
              <w:t xml:space="preserve"> </w:t>
            </w:r>
            <w:r w:rsidRPr="008338B2">
              <w:t>[2012] NSWLEC 185</w:t>
            </w:r>
          </w:p>
          <w:p w14:paraId="0FC14823" w14:textId="2EB34BA7" w:rsidR="00093DC0" w:rsidRDefault="00093DC0" w:rsidP="0011367F">
            <w:pPr>
              <w:pStyle w:val="CasesLegislationAppealFrom"/>
              <w:spacing w:after="60"/>
            </w:pPr>
            <w:proofErr w:type="spellStart"/>
            <w:r>
              <w:rPr>
                <w:i/>
              </w:rPr>
              <w:t>F</w:t>
            </w:r>
            <w:r w:rsidRPr="00093DC0">
              <w:rPr>
                <w:i/>
              </w:rPr>
              <w:t>okas</w:t>
            </w:r>
            <w:proofErr w:type="spellEnd"/>
            <w:r w:rsidRPr="00093DC0">
              <w:rPr>
                <w:i/>
              </w:rPr>
              <w:t xml:space="preserve"> v Mansfield </w:t>
            </w:r>
            <w:r w:rsidRPr="00247576">
              <w:t>[2017] NSWCA 231</w:t>
            </w:r>
          </w:p>
          <w:p w14:paraId="2F6A1911" w14:textId="304C0BAF" w:rsidR="007E12D8" w:rsidRDefault="007E12D8" w:rsidP="0011367F">
            <w:pPr>
              <w:pStyle w:val="CasesLegislationAppealFrom"/>
              <w:spacing w:after="60"/>
            </w:pPr>
            <w:proofErr w:type="spellStart"/>
            <w:r>
              <w:rPr>
                <w:i/>
              </w:rPr>
              <w:t>F</w:t>
            </w:r>
            <w:r w:rsidRPr="007E12D8">
              <w:rPr>
                <w:i/>
              </w:rPr>
              <w:t>okas</w:t>
            </w:r>
            <w:proofErr w:type="spellEnd"/>
            <w:r w:rsidRPr="007E12D8">
              <w:rPr>
                <w:i/>
              </w:rPr>
              <w:t xml:space="preserve"> v Mansfield (No 2) </w:t>
            </w:r>
            <w:r w:rsidRPr="00247576">
              <w:t>[2017] NSWCA 261</w:t>
            </w:r>
          </w:p>
          <w:p w14:paraId="7068FB42" w14:textId="3C1AE624" w:rsidR="007B03C3" w:rsidRDefault="007B03C3" w:rsidP="0011367F">
            <w:pPr>
              <w:pStyle w:val="CasesLegislationAppealFrom"/>
              <w:spacing w:after="60"/>
            </w:pPr>
            <w:proofErr w:type="spellStart"/>
            <w:r>
              <w:rPr>
                <w:i/>
              </w:rPr>
              <w:t>F</w:t>
            </w:r>
            <w:r w:rsidRPr="007B03C3">
              <w:rPr>
                <w:i/>
              </w:rPr>
              <w:t>okas</w:t>
            </w:r>
            <w:proofErr w:type="spellEnd"/>
            <w:r w:rsidRPr="007B03C3">
              <w:rPr>
                <w:i/>
              </w:rPr>
              <w:t xml:space="preserve"> v Mansfield (No 3) </w:t>
            </w:r>
            <w:r w:rsidRPr="00247576">
              <w:t>[2017] NSWCA 315</w:t>
            </w:r>
          </w:p>
          <w:p w14:paraId="4312B3A4" w14:textId="163DD1EF" w:rsidR="008338B2" w:rsidRPr="00247576" w:rsidRDefault="008338B2">
            <w:pPr>
              <w:pStyle w:val="CasesLegislationAppealFrom"/>
              <w:spacing w:after="60"/>
              <w:rPr>
                <w:i/>
              </w:rPr>
            </w:pPr>
            <w:proofErr w:type="spellStart"/>
            <w:r w:rsidRPr="003E461F">
              <w:rPr>
                <w:i/>
              </w:rPr>
              <w:t>Fokas</w:t>
            </w:r>
            <w:proofErr w:type="spellEnd"/>
            <w:r w:rsidRPr="003E461F">
              <w:rPr>
                <w:i/>
              </w:rPr>
              <w:t xml:space="preserve"> v Mansfield as Trustee of the Bankrupt Estate of Maria </w:t>
            </w:r>
            <w:proofErr w:type="spellStart"/>
            <w:r w:rsidRPr="003E461F">
              <w:rPr>
                <w:i/>
              </w:rPr>
              <w:t>Fokas</w:t>
            </w:r>
            <w:proofErr w:type="spellEnd"/>
            <w:r w:rsidRPr="00247576">
              <w:rPr>
                <w:i/>
              </w:rPr>
              <w:t xml:space="preserve"> </w:t>
            </w:r>
            <w:r w:rsidRPr="008338B2">
              <w:t>[2019] FCA 1724</w:t>
            </w:r>
          </w:p>
          <w:p w14:paraId="4466EF97" w14:textId="2295DB81" w:rsidR="004C390B" w:rsidRDefault="004C390B" w:rsidP="004C390B">
            <w:pPr>
              <w:pStyle w:val="CasesLegislationAppealFrom"/>
              <w:spacing w:after="60"/>
            </w:pPr>
            <w:proofErr w:type="spellStart"/>
            <w:r w:rsidRPr="00A633CC">
              <w:rPr>
                <w:i/>
              </w:rPr>
              <w:t>Fokas</w:t>
            </w:r>
            <w:proofErr w:type="spellEnd"/>
            <w:r w:rsidRPr="00A633CC">
              <w:rPr>
                <w:i/>
              </w:rPr>
              <w:t xml:space="preserve"> v Stack </w:t>
            </w:r>
            <w:r w:rsidRPr="00A633CC">
              <w:t>[2010] NSWSC 571</w:t>
            </w:r>
          </w:p>
          <w:p w14:paraId="3C025B68" w14:textId="77777777" w:rsidR="004C390B" w:rsidRDefault="004C390B" w:rsidP="004C390B">
            <w:pPr>
              <w:pStyle w:val="CasesLegislationAppealFrom"/>
              <w:spacing w:after="60"/>
            </w:pPr>
            <w:r>
              <w:rPr>
                <w:i/>
              </w:rPr>
              <w:t xml:space="preserve">Fuller v Toms </w:t>
            </w:r>
            <w:r w:rsidRPr="003A397A">
              <w:t>[</w:t>
            </w:r>
            <w:r>
              <w:t>2015] FCAFC 91; 234 FCR 535</w:t>
            </w:r>
          </w:p>
          <w:p w14:paraId="41797FAB" w14:textId="77777777" w:rsidR="004C390B" w:rsidRDefault="004C390B" w:rsidP="004C390B">
            <w:pPr>
              <w:pStyle w:val="CasesLegislationAppealFrom"/>
              <w:spacing w:after="60"/>
              <w:rPr>
                <w:i/>
              </w:rPr>
            </w:pPr>
            <w:r>
              <w:rPr>
                <w:i/>
              </w:rPr>
              <w:t xml:space="preserve">Gallo v Attorney-General (Vic) </w:t>
            </w:r>
            <w:r>
              <w:t>(unreported, 4 September 1984)</w:t>
            </w:r>
          </w:p>
          <w:p w14:paraId="1202B366" w14:textId="77777777" w:rsidR="00BA731A" w:rsidRDefault="00BA731A" w:rsidP="004C390B">
            <w:pPr>
              <w:pStyle w:val="CasesLegislationAppealFrom"/>
              <w:spacing w:after="60"/>
            </w:pPr>
            <w:r w:rsidRPr="00D46D99">
              <w:rPr>
                <w:i/>
              </w:rPr>
              <w:t>Garrett v Commissioner of Taxation</w:t>
            </w:r>
            <w:r w:rsidRPr="00D46D99">
              <w:t xml:space="preserve"> [2015] FCA 117</w:t>
            </w:r>
            <w:r>
              <w:t>; 147 ALD 342</w:t>
            </w:r>
            <w:r w:rsidRPr="00D46D99">
              <w:t xml:space="preserve"> </w:t>
            </w:r>
          </w:p>
          <w:p w14:paraId="0C2F2530" w14:textId="248B6086" w:rsidR="004C390B" w:rsidRDefault="004C390B" w:rsidP="004C390B">
            <w:pPr>
              <w:pStyle w:val="CasesLegislationAppealFrom"/>
              <w:spacing w:after="60"/>
            </w:pPr>
            <w:r w:rsidRPr="0009214C">
              <w:rPr>
                <w:i/>
              </w:rPr>
              <w:t xml:space="preserve">HWY Rent Pty Ltd v HWY Rentals (in </w:t>
            </w:r>
            <w:proofErr w:type="spellStart"/>
            <w:r w:rsidRPr="0009214C">
              <w:rPr>
                <w:i/>
              </w:rPr>
              <w:t>liq</w:t>
            </w:r>
            <w:proofErr w:type="spellEnd"/>
            <w:r w:rsidRPr="0009214C">
              <w:rPr>
                <w:i/>
              </w:rPr>
              <w:t xml:space="preserve">) (No 2) </w:t>
            </w:r>
            <w:r>
              <w:t>[2014] FCA 449</w:t>
            </w:r>
          </w:p>
          <w:p w14:paraId="07B24F9F" w14:textId="77777777" w:rsidR="004C390B" w:rsidRDefault="004C390B" w:rsidP="004C390B">
            <w:pPr>
              <w:pStyle w:val="CasesLegislationAppealFrom"/>
              <w:spacing w:after="60"/>
            </w:pPr>
            <w:r w:rsidRPr="007B016E">
              <w:rPr>
                <w:i/>
              </w:rPr>
              <w:t xml:space="preserve">In re </w:t>
            </w:r>
            <w:proofErr w:type="spellStart"/>
            <w:r w:rsidRPr="007B016E">
              <w:rPr>
                <w:i/>
              </w:rPr>
              <w:t>Vernazza</w:t>
            </w:r>
            <w:proofErr w:type="spellEnd"/>
            <w:r w:rsidRPr="007B016E">
              <w:rPr>
                <w:i/>
              </w:rPr>
              <w:t xml:space="preserve"> </w:t>
            </w:r>
            <w:r>
              <w:t>[1960] 1 QB 197</w:t>
            </w:r>
          </w:p>
          <w:p w14:paraId="5EA54E8B" w14:textId="77777777" w:rsidR="004C390B" w:rsidRDefault="004C390B" w:rsidP="004C390B">
            <w:pPr>
              <w:pStyle w:val="CasesLegislationAppealFrom"/>
              <w:spacing w:after="60"/>
            </w:pPr>
            <w:r w:rsidRPr="009E4162">
              <w:rPr>
                <w:i/>
                <w:lang w:eastAsia="en-AU"/>
              </w:rPr>
              <w:t>Jefferson Ford</w:t>
            </w:r>
            <w:r w:rsidRPr="005B4898">
              <w:rPr>
                <w:i/>
                <w:lang w:eastAsia="en-AU"/>
              </w:rPr>
              <w:t xml:space="preserve"> Pty Ltd v Ford Motor Company of Australia Ltd</w:t>
            </w:r>
            <w:r>
              <w:t xml:space="preserve"> [2008] FCAFC 60; 167 FCR 372</w:t>
            </w:r>
          </w:p>
          <w:p w14:paraId="06C304CA" w14:textId="77777777" w:rsidR="004C390B" w:rsidRDefault="004C390B" w:rsidP="004C390B">
            <w:pPr>
              <w:pStyle w:val="CasesLegislationAppealFrom"/>
              <w:spacing w:after="60"/>
            </w:pPr>
            <w:r w:rsidRPr="00384AEA">
              <w:rPr>
                <w:i/>
              </w:rPr>
              <w:t xml:space="preserve">Jones v Cusack </w:t>
            </w:r>
            <w:r>
              <w:t>(1992) 109 ALR 313</w:t>
            </w:r>
          </w:p>
          <w:p w14:paraId="029B6824" w14:textId="615283D5" w:rsidR="004C390B" w:rsidRDefault="004C390B" w:rsidP="004C390B">
            <w:pPr>
              <w:pStyle w:val="CasesLegislationAppealFrom"/>
              <w:spacing w:after="60"/>
            </w:pPr>
            <w:r>
              <w:rPr>
                <w:i/>
              </w:rPr>
              <w:t xml:space="preserve">Jones v </w:t>
            </w:r>
            <w:proofErr w:type="spellStart"/>
            <w:r>
              <w:rPr>
                <w:i/>
              </w:rPr>
              <w:t>Skyring</w:t>
            </w:r>
            <w:proofErr w:type="spellEnd"/>
            <w:r>
              <w:rPr>
                <w:i/>
              </w:rPr>
              <w:t xml:space="preserve"> </w:t>
            </w:r>
            <w:r>
              <w:t>(1992) 109 ALR 303</w:t>
            </w:r>
          </w:p>
          <w:p w14:paraId="35987F23" w14:textId="6C0D7692" w:rsidR="00AE4F69" w:rsidRDefault="00AE4F69" w:rsidP="004C390B">
            <w:pPr>
              <w:pStyle w:val="CasesLegislationAppealFrom"/>
              <w:spacing w:after="60"/>
            </w:pPr>
            <w:r>
              <w:rPr>
                <w:i/>
              </w:rPr>
              <w:lastRenderedPageBreak/>
              <w:t xml:space="preserve">Kay v Attorney-General (Vic) </w:t>
            </w:r>
            <w:r>
              <w:t>(2000) 2 VR 436</w:t>
            </w:r>
          </w:p>
          <w:p w14:paraId="5B8AADB5" w14:textId="148C38D1" w:rsidR="002C3523" w:rsidRDefault="002C3523" w:rsidP="004C390B">
            <w:pPr>
              <w:pStyle w:val="CasesLegislationAppealFrom"/>
              <w:spacing w:after="60"/>
            </w:pPr>
            <w:r w:rsidRPr="00AB1C56">
              <w:rPr>
                <w:i/>
              </w:rPr>
              <w:t xml:space="preserve">King v </w:t>
            </w:r>
            <w:proofErr w:type="spellStart"/>
            <w:r w:rsidRPr="00AB1C56">
              <w:rPr>
                <w:i/>
              </w:rPr>
              <w:t>Muriniti</w:t>
            </w:r>
            <w:proofErr w:type="spellEnd"/>
            <w:r w:rsidRPr="00AB1C56">
              <w:rPr>
                <w:i/>
              </w:rPr>
              <w:t xml:space="preserve"> </w:t>
            </w:r>
            <w:r>
              <w:t>[</w:t>
            </w:r>
            <w:r w:rsidRPr="00FC5DB9">
              <w:t>2018</w:t>
            </w:r>
            <w:r>
              <w:t>] NSWCA 98;</w:t>
            </w:r>
            <w:r w:rsidRPr="00AB1C56">
              <w:rPr>
                <w:i/>
              </w:rPr>
              <w:t xml:space="preserve"> </w:t>
            </w:r>
            <w:r>
              <w:t>97 NSWLR 991</w:t>
            </w:r>
          </w:p>
          <w:p w14:paraId="1074B3D7" w14:textId="16232C5C" w:rsidR="009F2A31" w:rsidRDefault="009F2A31" w:rsidP="004C390B">
            <w:pPr>
              <w:pStyle w:val="CasesLegislationAppealFrom"/>
              <w:spacing w:after="60"/>
            </w:pPr>
            <w:r w:rsidRPr="00963F1C">
              <w:rPr>
                <w:i/>
              </w:rPr>
              <w:t xml:space="preserve">Kogarah Municipal Council v </w:t>
            </w:r>
            <w:proofErr w:type="spellStart"/>
            <w:r w:rsidRPr="00963F1C">
              <w:rPr>
                <w:i/>
              </w:rPr>
              <w:t>Fokas</w:t>
            </w:r>
            <w:proofErr w:type="spellEnd"/>
            <w:r w:rsidRPr="00B467F1">
              <w:t xml:space="preserve"> [1999] NSWLEC 188</w:t>
            </w:r>
          </w:p>
          <w:p w14:paraId="1EF6EDBE" w14:textId="05C8B8FB" w:rsidR="004C390B" w:rsidRDefault="004C390B" w:rsidP="004C390B">
            <w:pPr>
              <w:pStyle w:val="CasesLegislationAppealFrom"/>
              <w:spacing w:after="60"/>
            </w:pPr>
            <w:r w:rsidRPr="009E4162">
              <w:rPr>
                <w:i/>
              </w:rPr>
              <w:t>Kowalski</w:t>
            </w:r>
            <w:r w:rsidRPr="00E03AA9">
              <w:rPr>
                <w:i/>
              </w:rPr>
              <w:t xml:space="preserve"> </w:t>
            </w:r>
            <w:r w:rsidRPr="00FF2A64">
              <w:rPr>
                <w:i/>
              </w:rPr>
              <w:t>v MMAL Staff Superannuation Fund Pty Ltd</w:t>
            </w:r>
            <w:r w:rsidRPr="0033338C">
              <w:t xml:space="preserve"> </w:t>
            </w:r>
            <w:r>
              <w:t>[2009] FCAFC 117; 178 FCR 401</w:t>
            </w:r>
          </w:p>
          <w:p w14:paraId="006D351A" w14:textId="256D0D06" w:rsidR="001A4A57" w:rsidRDefault="001A4A57" w:rsidP="004C390B">
            <w:pPr>
              <w:pStyle w:val="CasesLegislationAppealFrom"/>
              <w:spacing w:after="60"/>
            </w:pPr>
            <w:proofErr w:type="spellStart"/>
            <w:r w:rsidRPr="00C26319">
              <w:rPr>
                <w:i/>
              </w:rPr>
              <w:t>Kuligowski</w:t>
            </w:r>
            <w:proofErr w:type="spellEnd"/>
            <w:r w:rsidRPr="00C26319">
              <w:rPr>
                <w:i/>
              </w:rPr>
              <w:t xml:space="preserve"> v </w:t>
            </w:r>
            <w:proofErr w:type="spellStart"/>
            <w:r w:rsidRPr="00C26319">
              <w:rPr>
                <w:i/>
              </w:rPr>
              <w:t>Metrobus</w:t>
            </w:r>
            <w:proofErr w:type="spellEnd"/>
            <w:r>
              <w:t xml:space="preserve"> [2004] HCA 34;</w:t>
            </w:r>
            <w:r w:rsidRPr="00C22C3C">
              <w:t xml:space="preserve"> 220 CLR 363</w:t>
            </w:r>
          </w:p>
          <w:p w14:paraId="020B6281" w14:textId="77777777" w:rsidR="004C390B" w:rsidRDefault="004C390B" w:rsidP="004C390B">
            <w:pPr>
              <w:pStyle w:val="CasesLegislationAppealFrom"/>
              <w:spacing w:after="60"/>
            </w:pPr>
            <w:r w:rsidRPr="005B4898">
              <w:rPr>
                <w:i/>
              </w:rPr>
              <w:t>Luck v University of Southern Queensland</w:t>
            </w:r>
            <w:r w:rsidRPr="00876D43">
              <w:t xml:space="preserve"> [2009] FCAFC 73</w:t>
            </w:r>
            <w:r>
              <w:t>; 176 FCR 268</w:t>
            </w:r>
          </w:p>
          <w:p w14:paraId="09CE9621" w14:textId="187C59B3" w:rsidR="004C390B" w:rsidRDefault="004C390B" w:rsidP="004C390B">
            <w:pPr>
              <w:pStyle w:val="CasesLegislationAppealFrom"/>
              <w:spacing w:after="60"/>
            </w:pPr>
            <w:proofErr w:type="spellStart"/>
            <w:r w:rsidRPr="005B4898">
              <w:rPr>
                <w:i/>
              </w:rPr>
              <w:t>Macatangay</w:t>
            </w:r>
            <w:proofErr w:type="spellEnd"/>
            <w:r w:rsidRPr="005B4898">
              <w:rPr>
                <w:i/>
              </w:rPr>
              <w:t xml:space="preserve"> v New South Wales (No 2)</w:t>
            </w:r>
            <w:r>
              <w:t xml:space="preserve"> [2009] NSWCA 272</w:t>
            </w:r>
          </w:p>
          <w:p w14:paraId="55622A5C" w14:textId="04A46287" w:rsidR="004C390B" w:rsidRDefault="004C390B" w:rsidP="004C390B">
            <w:pPr>
              <w:pStyle w:val="CasesLegislationAppealFrom"/>
              <w:spacing w:after="60"/>
            </w:pPr>
            <w:r>
              <w:rPr>
                <w:i/>
              </w:rPr>
              <w:t>Mansfield as Trustee of the Bankrupt Estate o</w:t>
            </w:r>
            <w:r w:rsidRPr="008A6F8E">
              <w:rPr>
                <w:i/>
              </w:rPr>
              <w:t xml:space="preserve">f Maria </w:t>
            </w:r>
            <w:proofErr w:type="spellStart"/>
            <w:r w:rsidRPr="008A6F8E">
              <w:rPr>
                <w:i/>
              </w:rPr>
              <w:t>Fokas</w:t>
            </w:r>
            <w:proofErr w:type="spellEnd"/>
            <w:r w:rsidRPr="008A6F8E">
              <w:rPr>
                <w:i/>
              </w:rPr>
              <w:t xml:space="preserve"> v </w:t>
            </w:r>
            <w:proofErr w:type="spellStart"/>
            <w:r w:rsidRPr="008A6F8E">
              <w:rPr>
                <w:i/>
              </w:rPr>
              <w:t>Fokas</w:t>
            </w:r>
            <w:proofErr w:type="spellEnd"/>
            <w:r w:rsidRPr="008A6F8E">
              <w:t xml:space="preserve"> [2019] FCCA 134</w:t>
            </w:r>
          </w:p>
          <w:p w14:paraId="73DFAEAA" w14:textId="66005495" w:rsidR="00A17247" w:rsidRDefault="00A17247" w:rsidP="004C390B">
            <w:pPr>
              <w:pStyle w:val="CasesLegislationAppealFrom"/>
              <w:spacing w:after="60"/>
            </w:pPr>
            <w:r w:rsidRPr="0047018F">
              <w:rPr>
                <w:i/>
              </w:rPr>
              <w:t xml:space="preserve">Mansfield as Trustee of the Bankrupt Estate of Maria </w:t>
            </w:r>
            <w:proofErr w:type="spellStart"/>
            <w:r w:rsidRPr="0047018F">
              <w:rPr>
                <w:i/>
              </w:rPr>
              <w:t>Fokas</w:t>
            </w:r>
            <w:proofErr w:type="spellEnd"/>
            <w:r w:rsidRPr="0047018F">
              <w:rPr>
                <w:i/>
              </w:rPr>
              <w:t xml:space="preserve"> v Maria </w:t>
            </w:r>
            <w:proofErr w:type="spellStart"/>
            <w:r w:rsidRPr="0047018F">
              <w:rPr>
                <w:i/>
              </w:rPr>
              <w:t>Fokas</w:t>
            </w:r>
            <w:proofErr w:type="spellEnd"/>
            <w:r>
              <w:t xml:space="preserve"> [2018] NSWSC 249</w:t>
            </w:r>
          </w:p>
          <w:p w14:paraId="35B9C586" w14:textId="3990A743" w:rsidR="00E65567" w:rsidRDefault="00E65567" w:rsidP="004C390B">
            <w:pPr>
              <w:pStyle w:val="CasesLegislationAppealFrom"/>
              <w:spacing w:after="60"/>
            </w:pPr>
            <w:r w:rsidRPr="009E4162">
              <w:rPr>
                <w:i/>
              </w:rPr>
              <w:t xml:space="preserve">Mansfield v </w:t>
            </w:r>
            <w:proofErr w:type="spellStart"/>
            <w:r w:rsidRPr="009E4162">
              <w:rPr>
                <w:i/>
              </w:rPr>
              <w:t>Fokas</w:t>
            </w:r>
            <w:proofErr w:type="spellEnd"/>
            <w:r w:rsidRPr="00E65567">
              <w:t xml:space="preserve"> (unreported), Wilson J, Supreme Court of New South Wales, 9 August 2017</w:t>
            </w:r>
          </w:p>
          <w:p w14:paraId="31FFE900" w14:textId="6CA793D8" w:rsidR="004C390B" w:rsidRDefault="004C390B" w:rsidP="004C390B">
            <w:pPr>
              <w:pStyle w:val="CasesLegislationAppealFrom"/>
              <w:spacing w:after="60"/>
            </w:pPr>
            <w:r w:rsidRPr="009E4162">
              <w:rPr>
                <w:i/>
              </w:rPr>
              <w:t>Mathews</w:t>
            </w:r>
            <w:r w:rsidRPr="00053136">
              <w:rPr>
                <w:i/>
              </w:rPr>
              <w:t xml:space="preserve"> </w:t>
            </w:r>
            <w:r>
              <w:rPr>
                <w:i/>
              </w:rPr>
              <w:t xml:space="preserve">v State of Queensland </w:t>
            </w:r>
            <w:r>
              <w:t>[2015] FCA 1488</w:t>
            </w:r>
          </w:p>
          <w:p w14:paraId="419A6A89" w14:textId="77777777" w:rsidR="004C390B" w:rsidRDefault="004C390B" w:rsidP="004C390B">
            <w:pPr>
              <w:pStyle w:val="CasesLegislationAppealFrom"/>
              <w:spacing w:after="60"/>
            </w:pPr>
            <w:proofErr w:type="spellStart"/>
            <w:r w:rsidRPr="005B6453">
              <w:rPr>
                <w:i/>
              </w:rPr>
              <w:t>Mulhern</w:t>
            </w:r>
            <w:proofErr w:type="spellEnd"/>
            <w:r w:rsidRPr="005B6453">
              <w:rPr>
                <w:i/>
              </w:rPr>
              <w:t xml:space="preserve"> v Bank of Queensland Ltd (No 3)</w:t>
            </w:r>
            <w:r w:rsidRPr="00D46D99">
              <w:t xml:space="preserve"> [2015] FCA 927</w:t>
            </w:r>
          </w:p>
          <w:p w14:paraId="5BF5D2D3" w14:textId="437C6B9D" w:rsidR="004C390B" w:rsidRDefault="004C390B" w:rsidP="004C390B">
            <w:pPr>
              <w:pStyle w:val="CasesLegislationAppealFrom"/>
              <w:spacing w:after="60"/>
            </w:pPr>
            <w:proofErr w:type="spellStart"/>
            <w:r>
              <w:rPr>
                <w:i/>
              </w:rPr>
              <w:t>Norbis</w:t>
            </w:r>
            <w:proofErr w:type="spellEnd"/>
            <w:r>
              <w:rPr>
                <w:i/>
              </w:rPr>
              <w:t xml:space="preserve"> v </w:t>
            </w:r>
            <w:proofErr w:type="spellStart"/>
            <w:r>
              <w:rPr>
                <w:i/>
              </w:rPr>
              <w:t>Norbis</w:t>
            </w:r>
            <w:proofErr w:type="spellEnd"/>
            <w:r>
              <w:rPr>
                <w:i/>
              </w:rPr>
              <w:t xml:space="preserve"> </w:t>
            </w:r>
            <w:r>
              <w:t>[1986] HCA 17; 161 CLR 513</w:t>
            </w:r>
          </w:p>
          <w:p w14:paraId="1739499E" w14:textId="56933555" w:rsidR="001D4D75" w:rsidRDefault="001D4D75" w:rsidP="004C390B">
            <w:pPr>
              <w:pStyle w:val="CasesLegislationAppealFrom"/>
              <w:spacing w:after="60"/>
            </w:pPr>
            <w:r w:rsidRPr="00E506DB">
              <w:rPr>
                <w:i/>
              </w:rPr>
              <w:t xml:space="preserve">Official Trustee in Bankruptcy v </w:t>
            </w:r>
            <w:proofErr w:type="spellStart"/>
            <w:r w:rsidRPr="00E506DB">
              <w:rPr>
                <w:i/>
              </w:rPr>
              <w:t>Gargan</w:t>
            </w:r>
            <w:proofErr w:type="spellEnd"/>
            <w:r w:rsidRPr="00E506DB">
              <w:rPr>
                <w:i/>
              </w:rPr>
              <w:t xml:space="preserve"> (No 2)</w:t>
            </w:r>
            <w:r w:rsidRPr="00FA14CF">
              <w:t xml:space="preserve"> [2009] FCA 398</w:t>
            </w:r>
          </w:p>
          <w:p w14:paraId="00A5C651" w14:textId="77777777" w:rsidR="004C390B" w:rsidRDefault="004C390B" w:rsidP="004C390B">
            <w:pPr>
              <w:pStyle w:val="CasesLegislationAppealFrom"/>
              <w:spacing w:after="60"/>
            </w:pPr>
            <w:proofErr w:type="spellStart"/>
            <w:r w:rsidRPr="00E2075B">
              <w:rPr>
                <w:i/>
              </w:rPr>
              <w:t>Papakosmas</w:t>
            </w:r>
            <w:proofErr w:type="spellEnd"/>
            <w:r w:rsidRPr="00E2075B">
              <w:rPr>
                <w:i/>
              </w:rPr>
              <w:t xml:space="preserve"> v The Queen</w:t>
            </w:r>
            <w:r w:rsidRPr="00E2075B">
              <w:t xml:space="preserve"> [1999] HCA 37; 196 CLR 297</w:t>
            </w:r>
          </w:p>
          <w:p w14:paraId="72B5C6D9" w14:textId="77777777" w:rsidR="004C390B" w:rsidRDefault="004C390B" w:rsidP="004C390B">
            <w:pPr>
              <w:pStyle w:val="CasesLegislationAppealFrom"/>
              <w:spacing w:after="60"/>
            </w:pPr>
            <w:r w:rsidRPr="005B4898">
              <w:rPr>
                <w:i/>
              </w:rPr>
              <w:t xml:space="preserve">Pham v Secretary, Department of Employment and Workplace Relations </w:t>
            </w:r>
            <w:r>
              <w:t>[2007] FCAFC 179</w:t>
            </w:r>
          </w:p>
          <w:p w14:paraId="429A603B" w14:textId="77777777" w:rsidR="004C390B" w:rsidRDefault="004C390B" w:rsidP="004C390B">
            <w:pPr>
              <w:pStyle w:val="CasesLegislationAppealFrom"/>
              <w:spacing w:after="60"/>
            </w:pPr>
            <w:r w:rsidRPr="00F05B57">
              <w:rPr>
                <w:i/>
              </w:rPr>
              <w:t xml:space="preserve">Professional Administration Service Centres Pty Ltd v Commissioner of Taxation </w:t>
            </w:r>
            <w:r>
              <w:t>[2012] FCAFC 180; 295 ALR 52</w:t>
            </w:r>
          </w:p>
          <w:p w14:paraId="376A7DF1" w14:textId="45C30F0D" w:rsidR="004C390B" w:rsidRDefault="004C390B" w:rsidP="004C390B">
            <w:pPr>
              <w:pStyle w:val="CasesLegislationAppealFrom"/>
              <w:spacing w:after="60"/>
            </w:pPr>
            <w:proofErr w:type="spellStart"/>
            <w:r w:rsidRPr="005B4898">
              <w:rPr>
                <w:i/>
              </w:rPr>
              <w:t>Simundic</w:t>
            </w:r>
            <w:proofErr w:type="spellEnd"/>
            <w:r w:rsidRPr="005B4898">
              <w:rPr>
                <w:i/>
              </w:rPr>
              <w:t xml:space="preserve"> v University of Newcastle</w:t>
            </w:r>
            <w:r w:rsidRPr="00457166">
              <w:t xml:space="preserve"> </w:t>
            </w:r>
            <w:r>
              <w:t>[2007] FCAFC 144</w:t>
            </w:r>
          </w:p>
          <w:p w14:paraId="672540FC" w14:textId="6E976355" w:rsidR="00940D29" w:rsidRDefault="00940D29" w:rsidP="004C390B">
            <w:pPr>
              <w:pStyle w:val="CasesLegislationAppealFrom"/>
              <w:spacing w:after="60"/>
            </w:pPr>
            <w:r w:rsidRPr="00B65288">
              <w:rPr>
                <w:i/>
              </w:rPr>
              <w:t xml:space="preserve">Singh v Secretary, Department of Families, Housing, Community Services and Indigenous Affairs </w:t>
            </w:r>
            <w:r>
              <w:t>[2011] FCA 833; 282 ALR 56</w:t>
            </w:r>
          </w:p>
          <w:p w14:paraId="0B6E5D79" w14:textId="77777777" w:rsidR="004C390B" w:rsidRDefault="004C390B" w:rsidP="004C390B">
            <w:pPr>
              <w:pStyle w:val="CasesLegislationAppealFrom"/>
              <w:spacing w:after="60"/>
            </w:pPr>
            <w:r w:rsidRPr="009438F5">
              <w:rPr>
                <w:i/>
              </w:rPr>
              <w:t>Soden v Kowalski</w:t>
            </w:r>
            <w:r w:rsidRPr="009438F5">
              <w:t xml:space="preserve"> [2011] FCA 318</w:t>
            </w:r>
          </w:p>
          <w:p w14:paraId="2404930C" w14:textId="77777777" w:rsidR="004C390B" w:rsidRDefault="004C390B" w:rsidP="004C390B">
            <w:pPr>
              <w:pStyle w:val="CasesLegislationAppealFrom"/>
              <w:spacing w:after="60"/>
            </w:pPr>
            <w:r w:rsidRPr="009E4162">
              <w:rPr>
                <w:i/>
              </w:rPr>
              <w:t>Teoh</w:t>
            </w:r>
            <w:r w:rsidRPr="00053136">
              <w:rPr>
                <w:i/>
              </w:rPr>
              <w:t xml:space="preserve"> </w:t>
            </w:r>
            <w:r w:rsidRPr="00384AEA">
              <w:rPr>
                <w:i/>
              </w:rPr>
              <w:t>v Hunters Hill Council (No 8)</w:t>
            </w:r>
            <w:r w:rsidRPr="00375C64">
              <w:t xml:space="preserve"> [2014] NSWCA 125</w:t>
            </w:r>
          </w:p>
          <w:p w14:paraId="5E89EDA7" w14:textId="77777777" w:rsidR="004C390B" w:rsidRDefault="004C390B" w:rsidP="004C390B">
            <w:pPr>
              <w:pStyle w:val="CasesLegislationAppealFrom"/>
              <w:spacing w:after="60"/>
              <w:rPr>
                <w:i/>
              </w:rPr>
            </w:pPr>
            <w:proofErr w:type="spellStart"/>
            <w:r w:rsidRPr="00F05B57">
              <w:rPr>
                <w:i/>
              </w:rPr>
              <w:t>Wati</w:t>
            </w:r>
            <w:proofErr w:type="spellEnd"/>
            <w:r w:rsidRPr="00F05B57">
              <w:rPr>
                <w:i/>
              </w:rPr>
              <w:t xml:space="preserve"> v Minister for Immigration and Multicultural Affairs</w:t>
            </w:r>
            <w:r w:rsidRPr="00903B58">
              <w:t xml:space="preserve"> (1997) 78 FCR 543</w:t>
            </w:r>
          </w:p>
          <w:p w14:paraId="6C6F05A5" w14:textId="77777777" w:rsidR="004C390B" w:rsidRDefault="004C390B" w:rsidP="004C390B">
            <w:pPr>
              <w:pStyle w:val="CasesLegislationAppealFrom"/>
              <w:spacing w:after="60"/>
            </w:pPr>
            <w:r w:rsidRPr="005B4898">
              <w:rPr>
                <w:i/>
              </w:rPr>
              <w:t xml:space="preserve">Wills v Australian Broadcasting Corporation </w:t>
            </w:r>
            <w:r>
              <w:t>[2009] FCAFC 6; 173 FCR 284</w:t>
            </w:r>
          </w:p>
          <w:p w14:paraId="32A97AF7" w14:textId="26B50874" w:rsidR="004C390B" w:rsidRDefault="004C390B" w:rsidP="004C390B">
            <w:pPr>
              <w:pStyle w:val="CasesLegislationAppealFrom"/>
              <w:spacing w:after="60"/>
            </w:pPr>
            <w:proofErr w:type="spellStart"/>
            <w:r w:rsidRPr="005B4898">
              <w:rPr>
                <w:i/>
              </w:rPr>
              <w:t>Zoia</w:t>
            </w:r>
            <w:proofErr w:type="spellEnd"/>
            <w:r w:rsidRPr="005B4898">
              <w:rPr>
                <w:i/>
              </w:rPr>
              <w:t xml:space="preserve"> v Commonwealth Ombudsman </w:t>
            </w:r>
            <w:r>
              <w:t>[2007] FCAFC 143; 240 ALR 624</w:t>
            </w:r>
          </w:p>
        </w:tc>
      </w:tr>
      <w:tr w:rsidR="004C390B" w:rsidRPr="008B2688" w14:paraId="62486C05" w14:textId="77777777" w:rsidTr="4C31C1F2">
        <w:tc>
          <w:tcPr>
            <w:tcW w:w="3085" w:type="dxa"/>
            <w:shd w:val="clear" w:color="auto" w:fill="auto"/>
          </w:tcPr>
          <w:p w14:paraId="4101652C" w14:textId="77777777" w:rsidR="004C390B" w:rsidRPr="008B2688" w:rsidRDefault="004C390B" w:rsidP="004C390B">
            <w:pPr>
              <w:pStyle w:val="Normal1linespace"/>
              <w:jc w:val="left"/>
            </w:pPr>
          </w:p>
        </w:tc>
        <w:tc>
          <w:tcPr>
            <w:tcW w:w="5989" w:type="dxa"/>
            <w:shd w:val="clear" w:color="auto" w:fill="auto"/>
          </w:tcPr>
          <w:p w14:paraId="4B99056E" w14:textId="77777777" w:rsidR="004C390B" w:rsidRPr="008B2688" w:rsidRDefault="004C390B" w:rsidP="004C390B">
            <w:pPr>
              <w:pStyle w:val="Normal1linespace"/>
              <w:jc w:val="left"/>
            </w:pPr>
          </w:p>
        </w:tc>
      </w:tr>
      <w:tr w:rsidR="004C390B" w:rsidRPr="008B2688" w14:paraId="29D498C4" w14:textId="77777777" w:rsidTr="4C31C1F2">
        <w:tc>
          <w:tcPr>
            <w:tcW w:w="3085" w:type="dxa"/>
            <w:shd w:val="clear" w:color="auto" w:fill="auto"/>
          </w:tcPr>
          <w:p w14:paraId="7681B018" w14:textId="5FC32878" w:rsidR="004C390B" w:rsidRPr="008B2688" w:rsidRDefault="004C390B" w:rsidP="004C390B">
            <w:pPr>
              <w:pStyle w:val="Normal1linespace"/>
              <w:jc w:val="left"/>
            </w:pPr>
            <w:bookmarkStart w:id="3" w:name="CounselDate" w:colFirst="0" w:colLast="2"/>
            <w:r w:rsidRPr="008B2688">
              <w:t>Date</w:t>
            </w:r>
            <w:r>
              <w:t>s</w:t>
            </w:r>
            <w:r w:rsidRPr="008B2688">
              <w:t xml:space="preserve"> of hearing:</w:t>
            </w:r>
          </w:p>
        </w:tc>
        <w:tc>
          <w:tcPr>
            <w:tcW w:w="5989" w:type="dxa"/>
            <w:shd w:val="clear" w:color="auto" w:fill="auto"/>
          </w:tcPr>
          <w:p w14:paraId="3AC1C545" w14:textId="2FA78D18" w:rsidR="004C390B" w:rsidRPr="008B2688" w:rsidRDefault="004C390B" w:rsidP="004C390B">
            <w:pPr>
              <w:pStyle w:val="Normal1linespace"/>
              <w:jc w:val="left"/>
            </w:pPr>
            <w:bookmarkStart w:id="4" w:name="HearingDate"/>
            <w:r>
              <w:t>22 November, 16 December 2019</w:t>
            </w:r>
            <w:bookmarkEnd w:id="4"/>
          </w:p>
        </w:tc>
      </w:tr>
      <w:bookmarkEnd w:id="3"/>
      <w:tr w:rsidR="004C390B" w14:paraId="1299C43A" w14:textId="77777777" w:rsidTr="4C31C1F2">
        <w:tc>
          <w:tcPr>
            <w:tcW w:w="3085" w:type="dxa"/>
            <w:shd w:val="clear" w:color="auto" w:fill="auto"/>
          </w:tcPr>
          <w:p w14:paraId="4DDBEF00" w14:textId="77777777" w:rsidR="004C390B" w:rsidRDefault="004C390B" w:rsidP="004C390B">
            <w:pPr>
              <w:pStyle w:val="Normal1linespace"/>
              <w:widowControl w:val="0"/>
              <w:jc w:val="left"/>
            </w:pPr>
          </w:p>
        </w:tc>
        <w:tc>
          <w:tcPr>
            <w:tcW w:w="5989" w:type="dxa"/>
            <w:shd w:val="clear" w:color="auto" w:fill="auto"/>
          </w:tcPr>
          <w:p w14:paraId="3461D779" w14:textId="77777777" w:rsidR="004C390B" w:rsidRDefault="004C390B" w:rsidP="004C390B">
            <w:pPr>
              <w:pStyle w:val="Normal1linespace"/>
              <w:widowControl w:val="0"/>
              <w:jc w:val="left"/>
            </w:pPr>
          </w:p>
        </w:tc>
      </w:tr>
      <w:tr w:rsidR="004C390B" w14:paraId="2FB2BDA0" w14:textId="77777777" w:rsidTr="4C31C1F2">
        <w:tc>
          <w:tcPr>
            <w:tcW w:w="3085" w:type="dxa"/>
            <w:shd w:val="clear" w:color="auto" w:fill="auto"/>
          </w:tcPr>
          <w:p w14:paraId="2C8E12BC" w14:textId="77777777" w:rsidR="004C390B" w:rsidRDefault="004C390B" w:rsidP="004C390B">
            <w:pPr>
              <w:pStyle w:val="Normal1linespace"/>
              <w:widowControl w:val="0"/>
              <w:jc w:val="left"/>
            </w:pPr>
            <w:r>
              <w:t>Registry:</w:t>
            </w:r>
          </w:p>
        </w:tc>
        <w:tc>
          <w:tcPr>
            <w:tcW w:w="5989" w:type="dxa"/>
            <w:shd w:val="clear" w:color="auto" w:fill="auto"/>
          </w:tcPr>
          <w:p w14:paraId="23D7B054" w14:textId="69C47D9E" w:rsidR="004C390B" w:rsidRPr="00F17599" w:rsidRDefault="00701EBE" w:rsidP="004C390B">
            <w:pPr>
              <w:pStyle w:val="Normal1linespace"/>
              <w:widowControl w:val="0"/>
              <w:jc w:val="left"/>
            </w:pPr>
            <w:r>
              <w:fldChar w:fldCharType="begin"/>
            </w:r>
            <w:r>
              <w:instrText xml:space="preserve"> DOCPROPERTY  Registry </w:instrText>
            </w:r>
            <w:r>
              <w:fldChar w:fldCharType="separate"/>
            </w:r>
            <w:r w:rsidR="004C390B">
              <w:t>Victoria</w:t>
            </w:r>
            <w:r>
              <w:fldChar w:fldCharType="end"/>
            </w:r>
          </w:p>
        </w:tc>
      </w:tr>
      <w:tr w:rsidR="004C390B" w14:paraId="3CF2D8B6" w14:textId="77777777" w:rsidTr="4C31C1F2">
        <w:tc>
          <w:tcPr>
            <w:tcW w:w="3085" w:type="dxa"/>
            <w:shd w:val="clear" w:color="auto" w:fill="auto"/>
          </w:tcPr>
          <w:p w14:paraId="0FB78278" w14:textId="77777777" w:rsidR="004C390B" w:rsidRDefault="004C390B" w:rsidP="004C390B">
            <w:pPr>
              <w:pStyle w:val="Normal1linespace"/>
              <w:widowControl w:val="0"/>
              <w:jc w:val="left"/>
            </w:pPr>
          </w:p>
        </w:tc>
        <w:tc>
          <w:tcPr>
            <w:tcW w:w="5989" w:type="dxa"/>
            <w:shd w:val="clear" w:color="auto" w:fill="auto"/>
          </w:tcPr>
          <w:p w14:paraId="1FC39945" w14:textId="77777777" w:rsidR="004C390B" w:rsidRDefault="004C390B" w:rsidP="004C390B">
            <w:pPr>
              <w:pStyle w:val="Normal1linespace"/>
              <w:widowControl w:val="0"/>
              <w:jc w:val="left"/>
            </w:pPr>
          </w:p>
        </w:tc>
      </w:tr>
      <w:tr w:rsidR="004C390B" w14:paraId="303442F2" w14:textId="77777777" w:rsidTr="4C31C1F2">
        <w:tc>
          <w:tcPr>
            <w:tcW w:w="3085" w:type="dxa"/>
            <w:shd w:val="clear" w:color="auto" w:fill="auto"/>
          </w:tcPr>
          <w:p w14:paraId="381154DF" w14:textId="77777777" w:rsidR="004C390B" w:rsidRDefault="004C390B" w:rsidP="004C390B">
            <w:pPr>
              <w:pStyle w:val="Normal1linespace"/>
              <w:widowControl w:val="0"/>
              <w:jc w:val="left"/>
            </w:pPr>
            <w:r>
              <w:t>Division:</w:t>
            </w:r>
          </w:p>
        </w:tc>
        <w:tc>
          <w:tcPr>
            <w:tcW w:w="5989" w:type="dxa"/>
            <w:shd w:val="clear" w:color="auto" w:fill="auto"/>
          </w:tcPr>
          <w:p w14:paraId="65CE0667" w14:textId="45F657AA" w:rsidR="004C390B" w:rsidRPr="00F17599" w:rsidRDefault="00701EBE" w:rsidP="004C390B">
            <w:pPr>
              <w:pStyle w:val="Normal1linespace"/>
              <w:widowControl w:val="0"/>
              <w:jc w:val="left"/>
            </w:pPr>
            <w:r>
              <w:fldChar w:fldCharType="begin"/>
            </w:r>
            <w:r>
              <w:instrText xml:space="preserve"> DOCPROPERTY  Division </w:instrText>
            </w:r>
            <w:r>
              <w:fldChar w:fldCharType="separate"/>
            </w:r>
            <w:r w:rsidR="004C390B">
              <w:t>General Division</w:t>
            </w:r>
            <w:r>
              <w:fldChar w:fldCharType="end"/>
            </w:r>
          </w:p>
        </w:tc>
      </w:tr>
      <w:tr w:rsidR="004C390B" w14:paraId="0562CB0E" w14:textId="77777777" w:rsidTr="4C31C1F2">
        <w:tc>
          <w:tcPr>
            <w:tcW w:w="3085" w:type="dxa"/>
            <w:shd w:val="clear" w:color="auto" w:fill="auto"/>
          </w:tcPr>
          <w:p w14:paraId="34CE0A41" w14:textId="77777777" w:rsidR="004C390B" w:rsidRPr="008B2688" w:rsidRDefault="004C390B" w:rsidP="004C390B">
            <w:pPr>
              <w:pStyle w:val="Normal1linespace"/>
              <w:widowControl w:val="0"/>
              <w:jc w:val="left"/>
            </w:pPr>
          </w:p>
        </w:tc>
        <w:tc>
          <w:tcPr>
            <w:tcW w:w="5989" w:type="dxa"/>
            <w:shd w:val="clear" w:color="auto" w:fill="auto"/>
          </w:tcPr>
          <w:p w14:paraId="62EBF3C5" w14:textId="77777777" w:rsidR="004C390B" w:rsidRPr="00F17599" w:rsidRDefault="004C390B" w:rsidP="004C390B">
            <w:pPr>
              <w:pStyle w:val="Normal1linespace"/>
              <w:widowControl w:val="0"/>
              <w:jc w:val="left"/>
              <w:rPr>
                <w:b/>
              </w:rPr>
            </w:pPr>
          </w:p>
        </w:tc>
      </w:tr>
      <w:tr w:rsidR="004C390B" w:rsidRPr="008B2688" w14:paraId="44BBF849" w14:textId="77777777" w:rsidTr="4C31C1F2">
        <w:tc>
          <w:tcPr>
            <w:tcW w:w="3085" w:type="dxa"/>
            <w:shd w:val="clear" w:color="auto" w:fill="auto"/>
          </w:tcPr>
          <w:p w14:paraId="7EC5C12B" w14:textId="77777777" w:rsidR="004C390B" w:rsidRPr="008B2688" w:rsidRDefault="004C390B" w:rsidP="004C390B">
            <w:pPr>
              <w:pStyle w:val="Normal1linespace"/>
              <w:widowControl w:val="0"/>
              <w:jc w:val="left"/>
            </w:pPr>
            <w:r w:rsidRPr="008B2688">
              <w:t>National Practice Area:</w:t>
            </w:r>
          </w:p>
        </w:tc>
        <w:tc>
          <w:tcPr>
            <w:tcW w:w="5989" w:type="dxa"/>
            <w:shd w:val="clear" w:color="auto" w:fill="auto"/>
          </w:tcPr>
          <w:p w14:paraId="291745C7" w14:textId="77777777" w:rsidR="004C390B" w:rsidRPr="008B2688" w:rsidRDefault="004C390B" w:rsidP="004C390B">
            <w:pPr>
              <w:pStyle w:val="Normal1linespace"/>
              <w:widowControl w:val="0"/>
              <w:jc w:val="left"/>
              <w:rPr>
                <w:b/>
                <w:highlight w:val="yellow"/>
              </w:rPr>
            </w:pPr>
            <w:r w:rsidRPr="00950563">
              <w:t>Commercial and Corporations</w:t>
            </w:r>
          </w:p>
        </w:tc>
      </w:tr>
      <w:tr w:rsidR="004C390B" w14:paraId="6D98A12B" w14:textId="77777777" w:rsidTr="4C31C1F2">
        <w:tc>
          <w:tcPr>
            <w:tcW w:w="3085" w:type="dxa"/>
            <w:shd w:val="clear" w:color="auto" w:fill="auto"/>
          </w:tcPr>
          <w:p w14:paraId="2946DB82" w14:textId="77777777" w:rsidR="004C390B" w:rsidRPr="008B2688" w:rsidRDefault="004C390B" w:rsidP="004C390B">
            <w:pPr>
              <w:pStyle w:val="Normal1linespace"/>
              <w:widowControl w:val="0"/>
              <w:jc w:val="left"/>
            </w:pPr>
          </w:p>
        </w:tc>
        <w:tc>
          <w:tcPr>
            <w:tcW w:w="5989" w:type="dxa"/>
            <w:shd w:val="clear" w:color="auto" w:fill="auto"/>
          </w:tcPr>
          <w:p w14:paraId="5997CC1D" w14:textId="77777777" w:rsidR="004C390B" w:rsidRDefault="004C390B" w:rsidP="004C390B">
            <w:pPr>
              <w:pStyle w:val="Normal1linespace"/>
              <w:widowControl w:val="0"/>
              <w:jc w:val="left"/>
            </w:pPr>
          </w:p>
        </w:tc>
      </w:tr>
      <w:tr w:rsidR="004C390B" w:rsidRPr="008B2688" w14:paraId="5D7270C7" w14:textId="77777777" w:rsidTr="4C31C1F2">
        <w:tc>
          <w:tcPr>
            <w:tcW w:w="3085" w:type="dxa"/>
            <w:shd w:val="clear" w:color="auto" w:fill="auto"/>
          </w:tcPr>
          <w:p w14:paraId="1BFA37B7" w14:textId="77777777" w:rsidR="004C390B" w:rsidRPr="008B2688" w:rsidRDefault="004C390B" w:rsidP="004C390B">
            <w:pPr>
              <w:pStyle w:val="Normal1linespace"/>
              <w:widowControl w:val="0"/>
              <w:jc w:val="left"/>
            </w:pPr>
            <w:r w:rsidRPr="008B2688">
              <w:t>Sub-area:</w:t>
            </w:r>
          </w:p>
        </w:tc>
        <w:tc>
          <w:tcPr>
            <w:tcW w:w="5989" w:type="dxa"/>
            <w:shd w:val="clear" w:color="auto" w:fill="auto"/>
          </w:tcPr>
          <w:p w14:paraId="646465FA" w14:textId="77777777" w:rsidR="004C390B" w:rsidRPr="008B2688" w:rsidRDefault="004C390B" w:rsidP="004C390B">
            <w:pPr>
              <w:pStyle w:val="Normal1linespace"/>
              <w:widowControl w:val="0"/>
              <w:jc w:val="left"/>
              <w:rPr>
                <w:highlight w:val="yellow"/>
              </w:rPr>
            </w:pPr>
            <w:r w:rsidRPr="00950563">
              <w:t>General and Personal Insolvency</w:t>
            </w:r>
          </w:p>
        </w:tc>
      </w:tr>
      <w:tr w:rsidR="004C390B" w14:paraId="110FFD37" w14:textId="77777777" w:rsidTr="4C31C1F2">
        <w:tc>
          <w:tcPr>
            <w:tcW w:w="3085" w:type="dxa"/>
            <w:shd w:val="clear" w:color="auto" w:fill="auto"/>
          </w:tcPr>
          <w:p w14:paraId="6B699379" w14:textId="77777777" w:rsidR="004C390B" w:rsidRDefault="004C390B" w:rsidP="004C390B">
            <w:pPr>
              <w:pStyle w:val="Normal1linespace"/>
              <w:widowControl w:val="0"/>
              <w:jc w:val="left"/>
            </w:pPr>
          </w:p>
        </w:tc>
        <w:tc>
          <w:tcPr>
            <w:tcW w:w="5989" w:type="dxa"/>
            <w:shd w:val="clear" w:color="auto" w:fill="auto"/>
          </w:tcPr>
          <w:p w14:paraId="3FE9F23F" w14:textId="77777777" w:rsidR="004C390B" w:rsidRDefault="004C390B" w:rsidP="004C390B">
            <w:pPr>
              <w:pStyle w:val="Normal1linespace"/>
              <w:widowControl w:val="0"/>
              <w:jc w:val="left"/>
              <w:rPr>
                <w:b/>
              </w:rPr>
            </w:pPr>
          </w:p>
        </w:tc>
      </w:tr>
      <w:tr w:rsidR="004C390B" w14:paraId="4F2BB38A" w14:textId="77777777" w:rsidTr="4C31C1F2">
        <w:tc>
          <w:tcPr>
            <w:tcW w:w="3085" w:type="dxa"/>
            <w:shd w:val="clear" w:color="auto" w:fill="auto"/>
          </w:tcPr>
          <w:p w14:paraId="3D8CD4BE" w14:textId="77777777" w:rsidR="004C390B" w:rsidRDefault="004C390B" w:rsidP="004C390B">
            <w:pPr>
              <w:pStyle w:val="Normal1linespace"/>
              <w:widowControl w:val="0"/>
              <w:jc w:val="left"/>
            </w:pPr>
            <w:r>
              <w:t>Category:</w:t>
            </w:r>
          </w:p>
        </w:tc>
        <w:tc>
          <w:tcPr>
            <w:tcW w:w="5989" w:type="dxa"/>
            <w:shd w:val="clear" w:color="auto" w:fill="auto"/>
          </w:tcPr>
          <w:p w14:paraId="6FBCB6F2" w14:textId="77777777" w:rsidR="004C390B" w:rsidRDefault="004C390B" w:rsidP="004C390B">
            <w:pPr>
              <w:pStyle w:val="Normal1linespace"/>
              <w:widowControl w:val="0"/>
              <w:jc w:val="left"/>
            </w:pPr>
            <w:r>
              <w:t>Catchwords</w:t>
            </w:r>
          </w:p>
        </w:tc>
      </w:tr>
      <w:tr w:rsidR="004C390B" w14:paraId="1F72F646" w14:textId="77777777" w:rsidTr="4C31C1F2">
        <w:tc>
          <w:tcPr>
            <w:tcW w:w="3085" w:type="dxa"/>
            <w:shd w:val="clear" w:color="auto" w:fill="auto"/>
          </w:tcPr>
          <w:p w14:paraId="08CE6F91" w14:textId="77777777" w:rsidR="004C390B" w:rsidRDefault="004C390B" w:rsidP="004C390B">
            <w:pPr>
              <w:pStyle w:val="Normal1linespace"/>
              <w:widowControl w:val="0"/>
              <w:jc w:val="left"/>
            </w:pPr>
          </w:p>
        </w:tc>
        <w:tc>
          <w:tcPr>
            <w:tcW w:w="5989" w:type="dxa"/>
            <w:shd w:val="clear" w:color="auto" w:fill="auto"/>
          </w:tcPr>
          <w:p w14:paraId="61CDCEAD" w14:textId="77777777" w:rsidR="004C390B" w:rsidRDefault="004C390B" w:rsidP="004C390B">
            <w:pPr>
              <w:pStyle w:val="Normal1linespace"/>
              <w:widowControl w:val="0"/>
              <w:tabs>
                <w:tab w:val="left" w:pos="3531"/>
              </w:tabs>
              <w:jc w:val="left"/>
            </w:pPr>
            <w:r>
              <w:tab/>
            </w:r>
          </w:p>
        </w:tc>
      </w:tr>
      <w:tr w:rsidR="004C390B" w14:paraId="01FDC61C" w14:textId="77777777" w:rsidTr="4C31C1F2">
        <w:tc>
          <w:tcPr>
            <w:tcW w:w="3085" w:type="dxa"/>
            <w:shd w:val="clear" w:color="auto" w:fill="auto"/>
          </w:tcPr>
          <w:p w14:paraId="429FCB69" w14:textId="77777777" w:rsidR="004C390B" w:rsidRDefault="004C390B" w:rsidP="004C390B">
            <w:pPr>
              <w:pStyle w:val="Normal1linespace"/>
              <w:widowControl w:val="0"/>
              <w:jc w:val="left"/>
            </w:pPr>
            <w:r>
              <w:t>Number of paragraphs:</w:t>
            </w:r>
          </w:p>
        </w:tc>
        <w:tc>
          <w:tcPr>
            <w:tcW w:w="5989" w:type="dxa"/>
            <w:shd w:val="clear" w:color="auto" w:fill="auto"/>
          </w:tcPr>
          <w:p w14:paraId="64397A95" w14:textId="06EA2540" w:rsidR="004C390B" w:rsidRDefault="00E91436" w:rsidP="004C390B">
            <w:pPr>
              <w:pStyle w:val="Normal1linespace"/>
              <w:widowControl w:val="0"/>
              <w:jc w:val="left"/>
            </w:pPr>
            <w:r>
              <w:t>10</w:t>
            </w:r>
            <w:r w:rsidR="006D2679">
              <w:t>2</w:t>
            </w:r>
          </w:p>
        </w:tc>
      </w:tr>
      <w:tr w:rsidR="004C390B" w14:paraId="6BB9E253" w14:textId="77777777" w:rsidTr="4C31C1F2">
        <w:tc>
          <w:tcPr>
            <w:tcW w:w="3085" w:type="dxa"/>
            <w:shd w:val="clear" w:color="auto" w:fill="auto"/>
          </w:tcPr>
          <w:p w14:paraId="23DE523C" w14:textId="77777777" w:rsidR="004C390B" w:rsidRDefault="004C390B" w:rsidP="004C390B">
            <w:pPr>
              <w:pStyle w:val="Normal1linespace"/>
              <w:widowControl w:val="0"/>
              <w:jc w:val="left"/>
            </w:pPr>
          </w:p>
        </w:tc>
        <w:tc>
          <w:tcPr>
            <w:tcW w:w="5989" w:type="dxa"/>
            <w:shd w:val="clear" w:color="auto" w:fill="auto"/>
          </w:tcPr>
          <w:p w14:paraId="52E56223" w14:textId="77777777" w:rsidR="004C390B" w:rsidRDefault="004C390B" w:rsidP="004C390B">
            <w:pPr>
              <w:pStyle w:val="Normal1linespace"/>
              <w:widowControl w:val="0"/>
              <w:jc w:val="left"/>
            </w:pPr>
          </w:p>
        </w:tc>
      </w:tr>
      <w:tr w:rsidR="004C390B" w14:paraId="497AA0A6" w14:textId="77777777" w:rsidTr="4C31C1F2">
        <w:tc>
          <w:tcPr>
            <w:tcW w:w="3085" w:type="dxa"/>
            <w:shd w:val="clear" w:color="auto" w:fill="auto"/>
          </w:tcPr>
          <w:p w14:paraId="5D329287" w14:textId="77777777" w:rsidR="004C390B" w:rsidRDefault="004C390B" w:rsidP="004C390B">
            <w:pPr>
              <w:pStyle w:val="Normal1linespace"/>
              <w:widowControl w:val="0"/>
              <w:jc w:val="left"/>
            </w:pPr>
            <w:bookmarkStart w:id="5" w:name="Counsel" w:colFirst="0" w:colLast="2"/>
            <w:r>
              <w:t>Counsel for the Applicant:</w:t>
            </w:r>
          </w:p>
        </w:tc>
        <w:tc>
          <w:tcPr>
            <w:tcW w:w="5989" w:type="dxa"/>
            <w:shd w:val="clear" w:color="auto" w:fill="auto"/>
          </w:tcPr>
          <w:p w14:paraId="65450017" w14:textId="05F04B10" w:rsidR="004C390B" w:rsidRDefault="004C390B" w:rsidP="004C390B">
            <w:pPr>
              <w:pStyle w:val="Normal1linespace"/>
              <w:widowControl w:val="0"/>
              <w:jc w:val="left"/>
            </w:pPr>
            <w:bookmarkStart w:id="6" w:name="AppCounsel"/>
            <w:bookmarkEnd w:id="6"/>
            <w:r>
              <w:t>The applicant appeared in person</w:t>
            </w:r>
            <w:r w:rsidR="00325017">
              <w:t>.</w:t>
            </w:r>
          </w:p>
        </w:tc>
      </w:tr>
      <w:bookmarkEnd w:id="5"/>
      <w:tr w:rsidR="004C390B" w14:paraId="07547A01" w14:textId="77777777" w:rsidTr="4C31C1F2">
        <w:tc>
          <w:tcPr>
            <w:tcW w:w="3085" w:type="dxa"/>
            <w:shd w:val="clear" w:color="auto" w:fill="auto"/>
          </w:tcPr>
          <w:p w14:paraId="5043CB0F" w14:textId="77777777" w:rsidR="004C390B" w:rsidRDefault="004C390B" w:rsidP="004C390B">
            <w:pPr>
              <w:pStyle w:val="Normal1linespace"/>
              <w:widowControl w:val="0"/>
              <w:jc w:val="left"/>
            </w:pPr>
          </w:p>
        </w:tc>
        <w:tc>
          <w:tcPr>
            <w:tcW w:w="5989" w:type="dxa"/>
            <w:shd w:val="clear" w:color="auto" w:fill="auto"/>
          </w:tcPr>
          <w:p w14:paraId="07459315" w14:textId="77777777" w:rsidR="004C390B" w:rsidRDefault="004C390B" w:rsidP="004C390B">
            <w:pPr>
              <w:pStyle w:val="Normal1linespace"/>
              <w:widowControl w:val="0"/>
              <w:jc w:val="left"/>
            </w:pPr>
          </w:p>
        </w:tc>
      </w:tr>
      <w:tr w:rsidR="004C390B" w14:paraId="3073B4EB" w14:textId="77777777" w:rsidTr="4C31C1F2">
        <w:tc>
          <w:tcPr>
            <w:tcW w:w="3085" w:type="dxa"/>
            <w:shd w:val="clear" w:color="auto" w:fill="auto"/>
          </w:tcPr>
          <w:p w14:paraId="09DD25B5" w14:textId="60254B77" w:rsidR="004C390B" w:rsidRPr="00DA3DF0" w:rsidRDefault="004C390B" w:rsidP="004C390B">
            <w:pPr>
              <w:pStyle w:val="Normal1linespace"/>
              <w:widowControl w:val="0"/>
              <w:jc w:val="left"/>
            </w:pPr>
            <w:r w:rsidRPr="00DA3DF0">
              <w:t>Solicitor advocate for the Respondent:</w:t>
            </w:r>
          </w:p>
        </w:tc>
        <w:tc>
          <w:tcPr>
            <w:tcW w:w="5989" w:type="dxa"/>
            <w:shd w:val="clear" w:color="auto" w:fill="auto"/>
          </w:tcPr>
          <w:p w14:paraId="3844B56F" w14:textId="4198D75E" w:rsidR="004C390B" w:rsidRPr="00DA3DF0" w:rsidRDefault="004C390B" w:rsidP="004C390B">
            <w:pPr>
              <w:pStyle w:val="Normal1linespace"/>
              <w:widowControl w:val="0"/>
              <w:jc w:val="left"/>
            </w:pPr>
            <w:r w:rsidRPr="00DA3DF0">
              <w:t xml:space="preserve">Ms S </w:t>
            </w:r>
            <w:proofErr w:type="spellStart"/>
            <w:r w:rsidRPr="00DA3DF0">
              <w:t>Heimanis</w:t>
            </w:r>
            <w:proofErr w:type="spellEnd"/>
          </w:p>
        </w:tc>
      </w:tr>
      <w:tr w:rsidR="004C390B" w14:paraId="6537F28F" w14:textId="77777777" w:rsidTr="4C31C1F2">
        <w:tc>
          <w:tcPr>
            <w:tcW w:w="3085" w:type="dxa"/>
            <w:shd w:val="clear" w:color="auto" w:fill="auto"/>
          </w:tcPr>
          <w:p w14:paraId="6DFB9E20" w14:textId="77777777" w:rsidR="004C390B" w:rsidRPr="00DA3DF0" w:rsidRDefault="004C390B" w:rsidP="004C390B">
            <w:pPr>
              <w:pStyle w:val="Normal1linespace"/>
              <w:widowControl w:val="0"/>
              <w:jc w:val="left"/>
            </w:pPr>
          </w:p>
        </w:tc>
        <w:tc>
          <w:tcPr>
            <w:tcW w:w="5989" w:type="dxa"/>
            <w:shd w:val="clear" w:color="auto" w:fill="auto"/>
          </w:tcPr>
          <w:p w14:paraId="70DF9E56" w14:textId="77777777" w:rsidR="004C390B" w:rsidRPr="00DA3DF0" w:rsidRDefault="004C390B" w:rsidP="004C390B">
            <w:pPr>
              <w:pStyle w:val="Normal1linespace"/>
              <w:widowControl w:val="0"/>
              <w:jc w:val="left"/>
            </w:pPr>
          </w:p>
        </w:tc>
      </w:tr>
      <w:tr w:rsidR="004C390B" w14:paraId="0729939A" w14:textId="77777777" w:rsidTr="4C31C1F2">
        <w:tc>
          <w:tcPr>
            <w:tcW w:w="3085" w:type="dxa"/>
            <w:shd w:val="clear" w:color="auto" w:fill="auto"/>
          </w:tcPr>
          <w:p w14:paraId="62156847" w14:textId="77777777" w:rsidR="004C390B" w:rsidRPr="00DA3DF0" w:rsidRDefault="004C390B" w:rsidP="004C390B">
            <w:pPr>
              <w:pStyle w:val="Normal1linespace"/>
              <w:widowControl w:val="0"/>
              <w:jc w:val="left"/>
            </w:pPr>
            <w:r w:rsidRPr="00DA3DF0">
              <w:t>Solicitor for the Respondent:</w:t>
            </w:r>
          </w:p>
        </w:tc>
        <w:tc>
          <w:tcPr>
            <w:tcW w:w="5989" w:type="dxa"/>
            <w:shd w:val="clear" w:color="auto" w:fill="auto"/>
          </w:tcPr>
          <w:p w14:paraId="3C3AFFDE" w14:textId="77777777" w:rsidR="004C390B" w:rsidRPr="00DA3DF0" w:rsidRDefault="004C390B" w:rsidP="004C390B">
            <w:pPr>
              <w:pStyle w:val="Normal1linespace"/>
              <w:widowControl w:val="0"/>
              <w:jc w:val="left"/>
            </w:pPr>
            <w:r w:rsidRPr="00DA3DF0">
              <w:t>Grace Lawyers</w:t>
            </w:r>
          </w:p>
        </w:tc>
      </w:tr>
    </w:tbl>
    <w:p w14:paraId="44E871BC" w14:textId="77777777" w:rsidR="00395B24" w:rsidRDefault="00395B24">
      <w:pPr>
        <w:pStyle w:val="Normal1linespace"/>
      </w:pPr>
    </w:p>
    <w:p w14:paraId="144A5D23" w14:textId="77777777" w:rsidR="0092590B" w:rsidRDefault="0092590B">
      <w:pPr>
        <w:pStyle w:val="Normal1linespace"/>
      </w:pPr>
    </w:p>
    <w:p w14:paraId="738610EB"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12F5DBE1"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75E3FFC" w14:textId="77777777" w:rsidTr="00E81DA6">
        <w:tc>
          <w:tcPr>
            <w:tcW w:w="6912" w:type="dxa"/>
            <w:gridSpan w:val="2"/>
          </w:tcPr>
          <w:p w14:paraId="637805D2" w14:textId="77777777" w:rsidR="00A46CCC" w:rsidRPr="001765E0" w:rsidRDefault="00A46CCC" w:rsidP="00525A49">
            <w:pPr>
              <w:pStyle w:val="NormalHeadings"/>
            </w:pPr>
          </w:p>
        </w:tc>
        <w:tc>
          <w:tcPr>
            <w:tcW w:w="2330" w:type="dxa"/>
          </w:tcPr>
          <w:p w14:paraId="78E462C4" w14:textId="77777777" w:rsidR="00A46CCC" w:rsidRDefault="00176FFD" w:rsidP="00F92355">
            <w:pPr>
              <w:pStyle w:val="NormalHeadings"/>
              <w:jc w:val="right"/>
            </w:pPr>
            <w:bookmarkStart w:id="7" w:name="FileNo"/>
            <w:r>
              <w:t>VID 1669 of 2018</w:t>
            </w:r>
            <w:bookmarkEnd w:id="7"/>
          </w:p>
        </w:tc>
      </w:tr>
      <w:tr w:rsidR="00A76C13" w14:paraId="29D6B04F" w14:textId="77777777" w:rsidTr="0060116F">
        <w:tc>
          <w:tcPr>
            <w:tcW w:w="9242" w:type="dxa"/>
            <w:gridSpan w:val="3"/>
          </w:tcPr>
          <w:p w14:paraId="0A6959E7" w14:textId="77777777" w:rsidR="00A76C13" w:rsidRPr="00A76C13" w:rsidRDefault="00176FFD" w:rsidP="00176FFD">
            <w:pPr>
              <w:pStyle w:val="NormalHeadings"/>
              <w:jc w:val="left"/>
            </w:pPr>
            <w:bookmarkStart w:id="8" w:name="InTheMatterOf"/>
            <w:r>
              <w:t xml:space="preserve"> </w:t>
            </w:r>
            <w:bookmarkEnd w:id="8"/>
          </w:p>
        </w:tc>
      </w:tr>
      <w:tr w:rsidR="00A46CCC" w14:paraId="5F694961" w14:textId="77777777" w:rsidTr="0060116F">
        <w:trPr>
          <w:trHeight w:val="386"/>
        </w:trPr>
        <w:tc>
          <w:tcPr>
            <w:tcW w:w="2376" w:type="dxa"/>
          </w:tcPr>
          <w:p w14:paraId="62964A68" w14:textId="77777777" w:rsidR="00A46CCC" w:rsidRDefault="00A46CCC" w:rsidP="0060116F">
            <w:pPr>
              <w:pStyle w:val="NormalHeadings"/>
              <w:jc w:val="left"/>
              <w:rPr>
                <w:caps/>
                <w:szCs w:val="24"/>
              </w:rPr>
            </w:pPr>
            <w:bookmarkStart w:id="9" w:name="Parties"/>
            <w:r>
              <w:rPr>
                <w:caps/>
                <w:szCs w:val="24"/>
              </w:rPr>
              <w:t>BETWEEN:</w:t>
            </w:r>
          </w:p>
        </w:tc>
        <w:tc>
          <w:tcPr>
            <w:tcW w:w="6866" w:type="dxa"/>
            <w:gridSpan w:val="2"/>
          </w:tcPr>
          <w:p w14:paraId="18F80563" w14:textId="77777777" w:rsidR="00176FFD" w:rsidRDefault="00176FFD" w:rsidP="00176FFD">
            <w:pPr>
              <w:pStyle w:val="NormalHeadings"/>
              <w:jc w:val="left"/>
            </w:pPr>
            <w:bookmarkStart w:id="10" w:name="Applicant"/>
            <w:r>
              <w:t>MARIA FOKAS</w:t>
            </w:r>
          </w:p>
          <w:p w14:paraId="2BCED2D3" w14:textId="77777777" w:rsidR="00176FFD" w:rsidRDefault="00176FFD" w:rsidP="00176FFD">
            <w:pPr>
              <w:pStyle w:val="PartyType"/>
            </w:pPr>
            <w:r>
              <w:t>Applicant</w:t>
            </w:r>
          </w:p>
          <w:bookmarkEnd w:id="10"/>
          <w:p w14:paraId="463F29E8" w14:textId="77777777" w:rsidR="00A46CCC" w:rsidRPr="006555B4" w:rsidRDefault="00A46CCC" w:rsidP="0060116F">
            <w:pPr>
              <w:pStyle w:val="NormalHeadings"/>
              <w:jc w:val="left"/>
            </w:pPr>
          </w:p>
        </w:tc>
      </w:tr>
      <w:tr w:rsidR="00A46CCC" w14:paraId="5C6B7C4A" w14:textId="77777777" w:rsidTr="0060116F">
        <w:trPr>
          <w:trHeight w:val="386"/>
        </w:trPr>
        <w:tc>
          <w:tcPr>
            <w:tcW w:w="2376" w:type="dxa"/>
          </w:tcPr>
          <w:p w14:paraId="24230699" w14:textId="77777777" w:rsidR="00A46CCC" w:rsidRDefault="00A46CCC" w:rsidP="0060116F">
            <w:pPr>
              <w:pStyle w:val="NormalHeadings"/>
              <w:jc w:val="left"/>
              <w:rPr>
                <w:caps/>
                <w:szCs w:val="24"/>
              </w:rPr>
            </w:pPr>
            <w:r>
              <w:rPr>
                <w:caps/>
                <w:szCs w:val="24"/>
              </w:rPr>
              <w:t>AND:</w:t>
            </w:r>
          </w:p>
        </w:tc>
        <w:tc>
          <w:tcPr>
            <w:tcW w:w="6866" w:type="dxa"/>
            <w:gridSpan w:val="2"/>
          </w:tcPr>
          <w:p w14:paraId="7EB040B1" w14:textId="77777777" w:rsidR="00176FFD" w:rsidRDefault="00176FFD" w:rsidP="00176FFD">
            <w:pPr>
              <w:pStyle w:val="NormalHeadings"/>
              <w:jc w:val="left"/>
            </w:pPr>
            <w:bookmarkStart w:id="11" w:name="Respondent"/>
            <w:r>
              <w:t>DAVID IAN MANSFIELD AS TRUSTEE OF THE BANKRUPT ESTATE OF MARIA FOKAS</w:t>
            </w:r>
          </w:p>
          <w:p w14:paraId="451F7B67" w14:textId="77777777" w:rsidR="00176FFD" w:rsidRDefault="00176FFD" w:rsidP="00176FFD">
            <w:pPr>
              <w:pStyle w:val="PartyType"/>
            </w:pPr>
            <w:r>
              <w:t>Respondent</w:t>
            </w:r>
          </w:p>
          <w:bookmarkEnd w:id="11"/>
          <w:p w14:paraId="3B7B4B86" w14:textId="77777777" w:rsidR="00A46CCC" w:rsidRPr="006555B4" w:rsidRDefault="00A46CCC" w:rsidP="0060116F">
            <w:pPr>
              <w:pStyle w:val="NormalHeadings"/>
              <w:jc w:val="left"/>
            </w:pPr>
          </w:p>
        </w:tc>
      </w:tr>
    </w:tbl>
    <w:p w14:paraId="3A0FF5F2" w14:textId="77777777"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14:paraId="7FC6C18B" w14:textId="77777777">
        <w:tc>
          <w:tcPr>
            <w:tcW w:w="2376" w:type="dxa"/>
          </w:tcPr>
          <w:p w14:paraId="0951E6ED" w14:textId="77777777" w:rsidR="00395B24" w:rsidRDefault="00176FFD">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14:paraId="52259D40" w14:textId="77777777" w:rsidR="00395B24" w:rsidRDefault="00176FFD">
            <w:pPr>
              <w:pStyle w:val="NormalHeadings"/>
              <w:jc w:val="left"/>
              <w:rPr>
                <w:caps/>
                <w:szCs w:val="24"/>
              </w:rPr>
            </w:pPr>
            <w:bookmarkStart w:id="14" w:name="Judge"/>
            <w:r>
              <w:rPr>
                <w:caps/>
                <w:szCs w:val="24"/>
              </w:rPr>
              <w:t>WHEELAHAN J</w:t>
            </w:r>
            <w:bookmarkEnd w:id="14"/>
          </w:p>
        </w:tc>
      </w:tr>
      <w:tr w:rsidR="00395B24" w14:paraId="39036931" w14:textId="77777777">
        <w:tc>
          <w:tcPr>
            <w:tcW w:w="2376" w:type="dxa"/>
          </w:tcPr>
          <w:p w14:paraId="10A5998B" w14:textId="77777777" w:rsidR="00395B24" w:rsidRDefault="002C7385">
            <w:pPr>
              <w:pStyle w:val="NormalHeadings"/>
              <w:spacing w:after="120"/>
              <w:jc w:val="left"/>
              <w:rPr>
                <w:caps/>
                <w:szCs w:val="24"/>
              </w:rPr>
            </w:pPr>
            <w:r>
              <w:rPr>
                <w:caps/>
                <w:szCs w:val="24"/>
              </w:rPr>
              <w:t>DATE OF ORDER:</w:t>
            </w:r>
          </w:p>
        </w:tc>
        <w:tc>
          <w:tcPr>
            <w:tcW w:w="6866" w:type="dxa"/>
          </w:tcPr>
          <w:p w14:paraId="1E2D2E5E" w14:textId="10764A9A" w:rsidR="00395B24" w:rsidRDefault="00C53E21">
            <w:pPr>
              <w:pStyle w:val="NormalHeadings"/>
              <w:jc w:val="left"/>
              <w:rPr>
                <w:caps/>
                <w:szCs w:val="24"/>
              </w:rPr>
            </w:pPr>
            <w:r>
              <w:rPr>
                <w:caps/>
                <w:szCs w:val="24"/>
              </w:rPr>
              <w:t>30 JANUARY 2020</w:t>
            </w:r>
          </w:p>
        </w:tc>
      </w:tr>
    </w:tbl>
    <w:p w14:paraId="5630AD66" w14:textId="77777777" w:rsidR="00395B24" w:rsidRDefault="00395B24">
      <w:pPr>
        <w:pStyle w:val="NormalHeadings"/>
        <w:rPr>
          <w:b w:val="0"/>
        </w:rPr>
      </w:pPr>
    </w:p>
    <w:p w14:paraId="0702B404" w14:textId="77777777" w:rsidR="004B4FF0" w:rsidRDefault="004B4FF0">
      <w:pPr>
        <w:pStyle w:val="NormalHeadings"/>
      </w:pPr>
    </w:p>
    <w:p w14:paraId="38E68F35" w14:textId="3E84C83D" w:rsidR="00395B24" w:rsidRDefault="002C7385">
      <w:pPr>
        <w:pStyle w:val="NormalHeadings"/>
      </w:pPr>
      <w:r>
        <w:t>THE COURT ORDERS THAT:</w:t>
      </w:r>
    </w:p>
    <w:p w14:paraId="2BA226A1" w14:textId="77777777" w:rsidR="00395B24" w:rsidRDefault="00395B24">
      <w:pPr>
        <w:pStyle w:val="NormalHeadings"/>
      </w:pPr>
    </w:p>
    <w:p w14:paraId="2DAFDB9F" w14:textId="633EE8BE" w:rsidR="00D063E9" w:rsidRDefault="00D063E9" w:rsidP="009438F5">
      <w:pPr>
        <w:pStyle w:val="Order1"/>
      </w:pPr>
      <w:bookmarkStart w:id="15" w:name="Order_Start_Text"/>
      <w:bookmarkEnd w:id="15"/>
      <w:r>
        <w:t xml:space="preserve">The applicant’s interlocutory application filed </w:t>
      </w:r>
      <w:r w:rsidR="00660522">
        <w:t>15 </w:t>
      </w:r>
      <w:r>
        <w:t xml:space="preserve">November 2019, </w:t>
      </w:r>
      <w:r w:rsidR="00975E0C">
        <w:t xml:space="preserve">and </w:t>
      </w:r>
      <w:r>
        <w:t>her application for additional orders set out in the short minutes of order</w:t>
      </w:r>
      <w:r w:rsidR="00D5358A">
        <w:t xml:space="preserve"> handed up in court on 16 </w:t>
      </w:r>
      <w:r w:rsidR="004B4FF0">
        <w:t>December 2019</w:t>
      </w:r>
      <w:r w:rsidR="00F8795A">
        <w:t>,</w:t>
      </w:r>
      <w:r>
        <w:t xml:space="preserve"> </w:t>
      </w:r>
      <w:r w:rsidR="00975E0C">
        <w:t>are dismissed.</w:t>
      </w:r>
    </w:p>
    <w:p w14:paraId="22A93E23" w14:textId="242350ED" w:rsidR="009438F5" w:rsidRDefault="000751B5" w:rsidP="009438F5">
      <w:pPr>
        <w:pStyle w:val="Order1"/>
      </w:pPr>
      <w:r>
        <w:t>Pursuant to s </w:t>
      </w:r>
      <w:proofErr w:type="gramStart"/>
      <w:r>
        <w:t>37AO(</w:t>
      </w:r>
      <w:proofErr w:type="gramEnd"/>
      <w:r>
        <w:t xml:space="preserve">2) of the </w:t>
      </w:r>
      <w:r>
        <w:rPr>
          <w:i/>
        </w:rPr>
        <w:t xml:space="preserve">Federal Court of Australia Act </w:t>
      </w:r>
      <w:r w:rsidRPr="00F8795A">
        <w:rPr>
          <w:i/>
        </w:rPr>
        <w:t>1976</w:t>
      </w:r>
      <w:r>
        <w:t xml:space="preserve"> (</w:t>
      </w:r>
      <w:proofErr w:type="spellStart"/>
      <w:r>
        <w:t>Cth</w:t>
      </w:r>
      <w:proofErr w:type="spellEnd"/>
      <w:r>
        <w:t xml:space="preserve">), </w:t>
      </w:r>
      <w:r w:rsidR="00660522" w:rsidRPr="000751B5">
        <w:t>Maria</w:t>
      </w:r>
      <w:r w:rsidR="00660522">
        <w:t> </w:t>
      </w:r>
      <w:proofErr w:type="spellStart"/>
      <w:r w:rsidR="009438F5">
        <w:t>Fokas</w:t>
      </w:r>
      <w:proofErr w:type="spellEnd"/>
      <w:r w:rsidR="009438F5">
        <w:t xml:space="preserve">, the applicant in this proceeding, </w:t>
      </w:r>
      <w:r>
        <w:t xml:space="preserve">must </w:t>
      </w:r>
      <w:r w:rsidR="009438F5">
        <w:t>not institute any proceeding in this Court without the leave of the Court.</w:t>
      </w:r>
    </w:p>
    <w:p w14:paraId="51C19C75" w14:textId="564DC34E" w:rsidR="009438F5" w:rsidRDefault="009438F5" w:rsidP="0024518B">
      <w:pPr>
        <w:pStyle w:val="Order1"/>
      </w:pPr>
      <w:r>
        <w:t xml:space="preserve">Any </w:t>
      </w:r>
      <w:r w:rsidR="0024518B">
        <w:t xml:space="preserve">extant </w:t>
      </w:r>
      <w:r>
        <w:t xml:space="preserve">proceeding instituted </w:t>
      </w:r>
      <w:r w:rsidR="0024518B">
        <w:t xml:space="preserve">in this Court </w:t>
      </w:r>
      <w:r w:rsidR="0024518B" w:rsidRPr="0024518B">
        <w:t xml:space="preserve">by </w:t>
      </w:r>
      <w:r w:rsidR="00660522" w:rsidRPr="0024518B">
        <w:t>Maria</w:t>
      </w:r>
      <w:r w:rsidR="00660522">
        <w:t> </w:t>
      </w:r>
      <w:proofErr w:type="spellStart"/>
      <w:r w:rsidR="0024518B" w:rsidRPr="0024518B">
        <w:t>Fokas</w:t>
      </w:r>
      <w:proofErr w:type="spellEnd"/>
      <w:r w:rsidR="0024518B" w:rsidRPr="0024518B">
        <w:t xml:space="preserve"> </w:t>
      </w:r>
      <w:r>
        <w:t>prior to this order</w:t>
      </w:r>
      <w:r w:rsidR="00EB67BA">
        <w:t xml:space="preserve"> shall</w:t>
      </w:r>
      <w:r>
        <w:t xml:space="preserve"> not be continued without the leave of the Court.</w:t>
      </w:r>
    </w:p>
    <w:p w14:paraId="3742DC52" w14:textId="5136CAB6" w:rsidR="00325017" w:rsidRDefault="00325017" w:rsidP="00325017">
      <w:pPr>
        <w:pStyle w:val="Order1"/>
      </w:pPr>
      <w:r>
        <w:t xml:space="preserve">The costs of the respondent of and incidental to </w:t>
      </w:r>
      <w:r w:rsidR="00742606">
        <w:t xml:space="preserve">the interlocutory applications and of and incidental to the hearings relating to the vexatious proceedings order </w:t>
      </w:r>
      <w:r>
        <w:t>be paid out of the</w:t>
      </w:r>
      <w:r w:rsidR="00182677">
        <w:t xml:space="preserve"> bankrupt </w:t>
      </w:r>
      <w:r>
        <w:t xml:space="preserve">estate of the applicant. </w:t>
      </w:r>
    </w:p>
    <w:p w14:paraId="17AD93B2" w14:textId="77777777" w:rsidR="00636871" w:rsidRDefault="00636871" w:rsidP="002B0E91">
      <w:pPr>
        <w:pStyle w:val="BodyText"/>
      </w:pPr>
    </w:p>
    <w:p w14:paraId="0DE4B5B7" w14:textId="77777777" w:rsidR="00395B24" w:rsidRDefault="00395B24" w:rsidP="002B0E91">
      <w:pPr>
        <w:pStyle w:val="BodyText"/>
      </w:pPr>
    </w:p>
    <w:p w14:paraId="197ECE54" w14:textId="77777777" w:rsidR="00395B24" w:rsidRDefault="002C7385" w:rsidP="004D53E5">
      <w:pPr>
        <w:pStyle w:val="SingleSpace"/>
      </w:pPr>
      <w:r>
        <w:t>Note:</w:t>
      </w:r>
      <w:r>
        <w:tab/>
        <w:t xml:space="preserve">Entry of orders is dealt with in Rule 39.32 of the </w:t>
      </w:r>
      <w:r>
        <w:rPr>
          <w:i/>
        </w:rPr>
        <w:t>Federal Court Rules 2011</w:t>
      </w:r>
      <w:r>
        <w:t>.</w:t>
      </w:r>
    </w:p>
    <w:p w14:paraId="66204FF1" w14:textId="77777777" w:rsidR="00395B24" w:rsidRDefault="00395B24" w:rsidP="002B0E91">
      <w:pPr>
        <w:pStyle w:val="BodyText"/>
      </w:pPr>
    </w:p>
    <w:p w14:paraId="2DBF0D7D" w14:textId="77777777" w:rsidR="00395B24" w:rsidRDefault="00395B24" w:rsidP="001F2DBC">
      <w:pPr>
        <w:pStyle w:val="BodyText"/>
      </w:pPr>
    </w:p>
    <w:p w14:paraId="6B62F1B3" w14:textId="77777777" w:rsidR="0092590B" w:rsidRDefault="0092590B" w:rsidP="002B0E91">
      <w:pPr>
        <w:pStyle w:val="BodyText"/>
      </w:pPr>
    </w:p>
    <w:p w14:paraId="02F2C34E"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37F54624" w14:textId="166E2996" w:rsidR="00484F6D"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14:paraId="35D847C9" w14:textId="77777777" w:rsidR="00395B24" w:rsidRPr="00EA03CE" w:rsidRDefault="00176FFD" w:rsidP="005E0510">
      <w:pPr>
        <w:pStyle w:val="NormalHeadings"/>
        <w:spacing w:line="360" w:lineRule="auto"/>
        <w:jc w:val="left"/>
        <w:rPr>
          <w:sz w:val="26"/>
          <w:szCs w:val="26"/>
        </w:rPr>
      </w:pPr>
      <w:r>
        <w:rPr>
          <w:sz w:val="26"/>
          <w:szCs w:val="26"/>
        </w:rPr>
        <w:t>WHEELAHAN J</w:t>
      </w:r>
      <w:r w:rsidR="00484F6D" w:rsidRPr="00EA03CE">
        <w:rPr>
          <w:sz w:val="26"/>
          <w:szCs w:val="26"/>
        </w:rPr>
        <w:t>:</w:t>
      </w:r>
    </w:p>
    <w:p w14:paraId="3E7A9F1C" w14:textId="77777777" w:rsidR="00176FFD" w:rsidRDefault="00176FFD" w:rsidP="00176FFD">
      <w:pPr>
        <w:pStyle w:val="Heading2"/>
      </w:pPr>
      <w:r>
        <w:t>Introduction</w:t>
      </w:r>
    </w:p>
    <w:p w14:paraId="0E57CEE2" w14:textId="6466114E" w:rsidR="00636D1A" w:rsidRDefault="00975E0C" w:rsidP="00751C92">
      <w:pPr>
        <w:pStyle w:val="ParaNumbering"/>
      </w:pPr>
      <w:r>
        <w:t xml:space="preserve">On </w:t>
      </w:r>
      <w:r w:rsidR="00660522">
        <w:t>21 </w:t>
      </w:r>
      <w:r>
        <w:t>October 2019</w:t>
      </w:r>
      <w:r w:rsidR="00F54472">
        <w:t>,</w:t>
      </w:r>
      <w:r>
        <w:t xml:space="preserve"> I gave summary judgment </w:t>
      </w:r>
      <w:r w:rsidR="00182677">
        <w:t xml:space="preserve">for the respondent </w:t>
      </w:r>
      <w:r>
        <w:t>against the applicant</w:t>
      </w:r>
      <w:r w:rsidR="00751C92">
        <w:t xml:space="preserve">, </w:t>
      </w:r>
      <w:r w:rsidR="00D5358A">
        <w:t>Maria </w:t>
      </w:r>
      <w:proofErr w:type="spellStart"/>
      <w:r w:rsidR="00751C92" w:rsidRPr="00751C92">
        <w:t>Fokas</w:t>
      </w:r>
      <w:proofErr w:type="spellEnd"/>
      <w:r w:rsidR="00751C92" w:rsidRPr="00751C92">
        <w:t>,</w:t>
      </w:r>
      <w:r>
        <w:t xml:space="preserve"> pursuant to s 31A of the </w:t>
      </w:r>
      <w:r w:rsidRPr="003E461F">
        <w:rPr>
          <w:i/>
        </w:rPr>
        <w:t>Federal Court of Australia Act</w:t>
      </w:r>
      <w:r w:rsidR="00055BA5" w:rsidRPr="003E461F">
        <w:rPr>
          <w:i/>
        </w:rPr>
        <w:t xml:space="preserve"> 1976 </w:t>
      </w:r>
      <w:r w:rsidR="00055BA5">
        <w:t>(</w:t>
      </w:r>
      <w:proofErr w:type="spellStart"/>
      <w:r w:rsidR="00055BA5">
        <w:t>Cth</w:t>
      </w:r>
      <w:proofErr w:type="spellEnd"/>
      <w:r w:rsidR="00055BA5">
        <w:t>) on the ground that the applicant</w:t>
      </w:r>
      <w:r w:rsidR="00751C92">
        <w:t xml:space="preserve"> </w:t>
      </w:r>
      <w:r w:rsidR="00055BA5">
        <w:t xml:space="preserve">did not have reasonable prospects of successfully prosecuting the proceeding: </w:t>
      </w:r>
      <w:proofErr w:type="spellStart"/>
      <w:r w:rsidR="00055BA5" w:rsidRPr="003E461F">
        <w:rPr>
          <w:i/>
        </w:rPr>
        <w:t>Fokas</w:t>
      </w:r>
      <w:proofErr w:type="spellEnd"/>
      <w:r w:rsidR="00055BA5" w:rsidRPr="003E461F">
        <w:rPr>
          <w:i/>
        </w:rPr>
        <w:t xml:space="preserve"> v Mansfield as Trustee of the Bankrupt Estate of Maria </w:t>
      </w:r>
      <w:proofErr w:type="spellStart"/>
      <w:r w:rsidR="00055BA5" w:rsidRPr="003E461F">
        <w:rPr>
          <w:i/>
        </w:rPr>
        <w:t>Fokas</w:t>
      </w:r>
      <w:proofErr w:type="spellEnd"/>
      <w:r w:rsidR="00055BA5" w:rsidRPr="00055BA5">
        <w:t xml:space="preserve"> [2019] FCA 1724 (</w:t>
      </w:r>
      <w:proofErr w:type="spellStart"/>
      <w:r w:rsidR="00055BA5" w:rsidRPr="003E461F">
        <w:rPr>
          <w:b/>
          <w:i/>
        </w:rPr>
        <w:t>Fokas</w:t>
      </w:r>
      <w:proofErr w:type="spellEnd"/>
      <w:r w:rsidR="00055BA5" w:rsidRPr="003E461F">
        <w:rPr>
          <w:b/>
          <w:i/>
        </w:rPr>
        <w:t xml:space="preserve"> v Mansfield</w:t>
      </w:r>
      <w:r w:rsidR="00751C92">
        <w:rPr>
          <w:b/>
          <w:i/>
        </w:rPr>
        <w:t xml:space="preserve"> (No</w:t>
      </w:r>
      <w:r w:rsidR="00182677">
        <w:rPr>
          <w:b/>
          <w:i/>
        </w:rPr>
        <w:t> </w:t>
      </w:r>
      <w:r w:rsidR="00751C92">
        <w:rPr>
          <w:b/>
          <w:i/>
        </w:rPr>
        <w:t>1)</w:t>
      </w:r>
      <w:r w:rsidR="00055BA5" w:rsidRPr="00055BA5">
        <w:t>)</w:t>
      </w:r>
      <w:r w:rsidR="00055BA5">
        <w:t>.</w:t>
      </w:r>
      <w:r w:rsidR="003E461F">
        <w:t xml:space="preserve"> </w:t>
      </w:r>
    </w:p>
    <w:p w14:paraId="21BE84B5" w14:textId="46094A0D" w:rsidR="008E7051" w:rsidRDefault="00331F0C" w:rsidP="0046034E">
      <w:pPr>
        <w:pStyle w:val="ParaNumbering"/>
      </w:pPr>
      <w:r>
        <w:t>The Court on its own initiative</w:t>
      </w:r>
      <w:r w:rsidR="00F43855">
        <w:t xml:space="preserve"> </w:t>
      </w:r>
      <w:r w:rsidR="0077705D">
        <w:t xml:space="preserve">listed </w:t>
      </w:r>
      <w:r w:rsidR="005E6DA6">
        <w:t xml:space="preserve">a </w:t>
      </w:r>
      <w:r w:rsidR="00BE04E4">
        <w:t xml:space="preserve">hearing to give </w:t>
      </w:r>
      <w:r w:rsidR="001C16D5">
        <w:t>Mrs </w:t>
      </w:r>
      <w:proofErr w:type="spellStart"/>
      <w:r w:rsidR="00BE04E4">
        <w:t>Fokas</w:t>
      </w:r>
      <w:proofErr w:type="spellEnd"/>
      <w:r w:rsidR="00BE04E4">
        <w:t xml:space="preserve"> </w:t>
      </w:r>
      <w:r w:rsidR="0077705D">
        <w:t>the</w:t>
      </w:r>
      <w:r w:rsidR="00BE04E4">
        <w:t xml:space="preserve"> opportunity to be heard as to why a vexatio</w:t>
      </w:r>
      <w:r w:rsidR="005E6DA6">
        <w:t>u</w:t>
      </w:r>
      <w:r w:rsidR="00BE04E4">
        <w:t xml:space="preserve">s proceedings order should not be made </w:t>
      </w:r>
      <w:r w:rsidR="005E6DA6">
        <w:t xml:space="preserve">against her </w:t>
      </w:r>
      <w:r w:rsidR="00A3349D">
        <w:t xml:space="preserve">under s 37AO of the </w:t>
      </w:r>
      <w:r w:rsidR="00A3349D" w:rsidRPr="00495E67">
        <w:rPr>
          <w:i/>
        </w:rPr>
        <w:t>Federal Court of Australia Act</w:t>
      </w:r>
      <w:r w:rsidR="00A3349D">
        <w:t>.</w:t>
      </w:r>
      <w:r w:rsidR="005C29E7">
        <w:t xml:space="preserve"> </w:t>
      </w:r>
      <w:r w:rsidR="00DA3DF0" w:rsidRPr="00A3349D">
        <w:t>For</w:t>
      </w:r>
      <w:r w:rsidR="00DA3DF0">
        <w:t xml:space="preserve"> the following reasons</w:t>
      </w:r>
      <w:r w:rsidR="00A3349D">
        <w:t>,</w:t>
      </w:r>
      <w:r w:rsidR="00DA3DF0">
        <w:t xml:space="preserve"> </w:t>
      </w:r>
      <w:r w:rsidR="00765F26">
        <w:t xml:space="preserve">I have determined </w:t>
      </w:r>
      <w:r w:rsidR="00DA3DF0">
        <w:t>to make a vexatious proceedings order aga</w:t>
      </w:r>
      <w:r w:rsidR="003E461F">
        <w:t xml:space="preserve">inst </w:t>
      </w:r>
      <w:r w:rsidR="001C16D5">
        <w:t>Mrs </w:t>
      </w:r>
      <w:proofErr w:type="spellStart"/>
      <w:r w:rsidR="003E461F">
        <w:t>Fokas</w:t>
      </w:r>
      <w:proofErr w:type="spellEnd"/>
      <w:r w:rsidR="00DA3DF0">
        <w:t>.</w:t>
      </w:r>
      <w:r w:rsidR="008E7051">
        <w:t xml:space="preserve"> </w:t>
      </w:r>
      <w:r w:rsidR="00A3349D" w:rsidRPr="00A3349D">
        <w:t xml:space="preserve">I have </w:t>
      </w:r>
      <w:r w:rsidR="00A3349D">
        <w:t xml:space="preserve">also </w:t>
      </w:r>
      <w:r w:rsidR="00A3349D" w:rsidRPr="00A3349D">
        <w:t xml:space="preserve">determined to dismiss an interlocutory application filed by </w:t>
      </w:r>
      <w:r w:rsidR="001C16D5" w:rsidRPr="00A3349D">
        <w:t>Mrs</w:t>
      </w:r>
      <w:r w:rsidR="001C16D5">
        <w:t> </w:t>
      </w:r>
      <w:proofErr w:type="spellStart"/>
      <w:r w:rsidR="00A3349D" w:rsidRPr="00A3349D">
        <w:t>Fokas</w:t>
      </w:r>
      <w:proofErr w:type="spellEnd"/>
      <w:r w:rsidR="00A3349D" w:rsidRPr="00A3349D">
        <w:t xml:space="preserve"> on 15 November 2019, and to dismiss further interlocutory applications which </w:t>
      </w:r>
      <w:r w:rsidR="001C16D5" w:rsidRPr="00A3349D">
        <w:t>Mrs</w:t>
      </w:r>
      <w:r w:rsidR="001C16D5">
        <w:t> </w:t>
      </w:r>
      <w:proofErr w:type="spellStart"/>
      <w:r w:rsidR="00A3349D" w:rsidRPr="00A3349D">
        <w:t>Fokas</w:t>
      </w:r>
      <w:proofErr w:type="spellEnd"/>
      <w:r w:rsidR="00A3349D" w:rsidRPr="00A3349D">
        <w:t xml:space="preserve"> </w:t>
      </w:r>
      <w:r w:rsidR="001B7749">
        <w:t xml:space="preserve">made </w:t>
      </w:r>
      <w:r w:rsidR="00DA4D8F">
        <w:t xml:space="preserve">orally </w:t>
      </w:r>
      <w:r w:rsidR="001B7749">
        <w:t>on the second day of the</w:t>
      </w:r>
      <w:r w:rsidR="00A3349D" w:rsidRPr="00A3349D">
        <w:t xml:space="preserve"> hearing on 16 December 2019.</w:t>
      </w:r>
    </w:p>
    <w:p w14:paraId="6AC61D5E" w14:textId="77777777" w:rsidR="00E65B64" w:rsidRDefault="00E65B64" w:rsidP="00E65B64">
      <w:pPr>
        <w:pStyle w:val="Heading2"/>
      </w:pPr>
      <w:r>
        <w:t>The power to make orders concerning vexatious litigants</w:t>
      </w:r>
    </w:p>
    <w:p w14:paraId="4D617FCE" w14:textId="400631DF" w:rsidR="00E65B64" w:rsidRDefault="00E65B64" w:rsidP="00E65B64">
      <w:pPr>
        <w:pStyle w:val="ParaNumbering"/>
      </w:pPr>
      <w:r>
        <w:t xml:space="preserve">Section 37AO of the </w:t>
      </w:r>
      <w:r w:rsidRPr="00AE40A6">
        <w:rPr>
          <w:i/>
        </w:rPr>
        <w:t xml:space="preserve">Federal Court of Australia Act </w:t>
      </w:r>
      <w:r>
        <w:t xml:space="preserve">empowers the Court to make a vexatious proceedings order against a person, including an order that </w:t>
      </w:r>
      <w:r w:rsidR="00D73F76">
        <w:t>the</w:t>
      </w:r>
      <w:r>
        <w:t xml:space="preserve"> person not commence proceedings in the Court. The Court may make a vexatious proceedings order on its own initiative, but must not make such an order without hearing the person or giving the person an opportunity to be heard. As I have mentioned, the hearing was fixed by the Court on its own initiative following the judgment of 21</w:t>
      </w:r>
      <w:r w:rsidR="001C16D5">
        <w:t> </w:t>
      </w:r>
      <w:r>
        <w:t xml:space="preserve">October 2019 in </w:t>
      </w:r>
      <w:proofErr w:type="spellStart"/>
      <w:r>
        <w:rPr>
          <w:i/>
        </w:rPr>
        <w:t>Fokas</w:t>
      </w:r>
      <w:proofErr w:type="spellEnd"/>
      <w:r>
        <w:rPr>
          <w:i/>
        </w:rPr>
        <w:t xml:space="preserve"> v Mansfield (No 1). </w:t>
      </w:r>
      <w:r>
        <w:t>The Trustee appeared at the hearing and made submissions in support of the making of an order.</w:t>
      </w:r>
    </w:p>
    <w:p w14:paraId="3070E7F7" w14:textId="77777777" w:rsidR="00E65B64" w:rsidRDefault="00E65B64" w:rsidP="00E65B64">
      <w:pPr>
        <w:pStyle w:val="ParaNumbering"/>
      </w:pPr>
      <w:bookmarkStart w:id="17" w:name="_Ref31107503"/>
      <w:r>
        <w:t>Section 37AO provides as follows –</w:t>
      </w:r>
      <w:bookmarkEnd w:id="17"/>
    </w:p>
    <w:p w14:paraId="767FB84F" w14:textId="77777777" w:rsidR="00E65B64" w:rsidRPr="00B47780" w:rsidRDefault="00E65B64" w:rsidP="00E65B64">
      <w:pPr>
        <w:pStyle w:val="Quote1"/>
        <w:rPr>
          <w:b/>
        </w:rPr>
      </w:pPr>
      <w:r w:rsidRPr="00B47780">
        <w:rPr>
          <w:b/>
        </w:rPr>
        <w:t>37AO</w:t>
      </w:r>
      <w:r>
        <w:rPr>
          <w:b/>
        </w:rPr>
        <w:tab/>
      </w:r>
      <w:r w:rsidRPr="00B47780">
        <w:rPr>
          <w:b/>
        </w:rPr>
        <w:t>Making vexatious proceedings orders</w:t>
      </w:r>
    </w:p>
    <w:p w14:paraId="1CCE96C7" w14:textId="77777777" w:rsidR="00E65B64" w:rsidRDefault="00E65B64" w:rsidP="00E65B64">
      <w:pPr>
        <w:pStyle w:val="Quote1"/>
      </w:pPr>
      <w:r>
        <w:t>(1)</w:t>
      </w:r>
      <w:r>
        <w:tab/>
        <w:t>This section applies if the Court is satisfied:</w:t>
      </w:r>
    </w:p>
    <w:p w14:paraId="3C7B0F4F" w14:textId="77777777" w:rsidR="00E65B64" w:rsidRDefault="00E65B64" w:rsidP="00E65B64">
      <w:pPr>
        <w:pStyle w:val="Quote2"/>
        <w:ind w:left="2160" w:hanging="720"/>
      </w:pPr>
      <w:r>
        <w:t>(a)</w:t>
      </w:r>
      <w:r>
        <w:tab/>
      </w:r>
      <w:proofErr w:type="gramStart"/>
      <w:r>
        <w:t>a</w:t>
      </w:r>
      <w:proofErr w:type="gramEnd"/>
      <w:r>
        <w:t xml:space="preserve"> person has frequently instituted or conducted vexatious proceedings in Australian courts or tribunals; or</w:t>
      </w:r>
    </w:p>
    <w:p w14:paraId="58071A52" w14:textId="77777777" w:rsidR="00E65B64" w:rsidRDefault="00E65B64" w:rsidP="00E65B64">
      <w:pPr>
        <w:pStyle w:val="Quote2"/>
        <w:ind w:left="2160" w:hanging="720"/>
      </w:pPr>
      <w:r>
        <w:t>(b)</w:t>
      </w:r>
      <w:r>
        <w:tab/>
      </w:r>
      <w:proofErr w:type="gramStart"/>
      <w:r>
        <w:t>a</w:t>
      </w:r>
      <w:proofErr w:type="gramEnd"/>
      <w:r>
        <w:t xml:space="preserve"> person, acting in concert with another person who is subject to a vexatious proceedings order or who is covered by paragraph (a), has instituted or conducted a vexatious proceeding in an Australian court or tribunal.</w:t>
      </w:r>
    </w:p>
    <w:p w14:paraId="2389A6B7" w14:textId="77777777" w:rsidR="00E65B64" w:rsidRDefault="00E65B64" w:rsidP="00E65B64">
      <w:pPr>
        <w:pStyle w:val="Quote1"/>
        <w:ind w:left="1457" w:hanging="720"/>
      </w:pPr>
      <w:r>
        <w:lastRenderedPageBreak/>
        <w:t>(2)</w:t>
      </w:r>
      <w:r>
        <w:tab/>
        <w:t>The Court may make any or all of the following orders:</w:t>
      </w:r>
    </w:p>
    <w:p w14:paraId="72CD75AC" w14:textId="77777777" w:rsidR="00E65B64" w:rsidRDefault="00E65B64" w:rsidP="00E65B64">
      <w:pPr>
        <w:pStyle w:val="Quote2"/>
        <w:ind w:left="2160" w:hanging="720"/>
      </w:pPr>
      <w:r>
        <w:t>(a)</w:t>
      </w:r>
      <w:r>
        <w:tab/>
      </w:r>
      <w:proofErr w:type="gramStart"/>
      <w:r>
        <w:t>an</w:t>
      </w:r>
      <w:proofErr w:type="gramEnd"/>
      <w:r>
        <w:t xml:space="preserve"> order staying or dismissing all or part of any proceedings in the Court already instituted by the person;</w:t>
      </w:r>
    </w:p>
    <w:p w14:paraId="4F28345B" w14:textId="77777777" w:rsidR="00E65B64" w:rsidRDefault="00E65B64" w:rsidP="00E65B64">
      <w:pPr>
        <w:pStyle w:val="Quote2"/>
        <w:ind w:left="2160" w:hanging="720"/>
      </w:pPr>
      <w:r>
        <w:t>(b)</w:t>
      </w:r>
      <w:r>
        <w:tab/>
      </w:r>
      <w:proofErr w:type="gramStart"/>
      <w:r>
        <w:t>an</w:t>
      </w:r>
      <w:proofErr w:type="gramEnd"/>
      <w:r>
        <w:t xml:space="preserve"> order prohibiting the person from instituting proceedings, or proceedings of a particular type, in the Court;</w:t>
      </w:r>
    </w:p>
    <w:p w14:paraId="546D5E0D" w14:textId="77777777" w:rsidR="00E65B64" w:rsidRDefault="00E65B64" w:rsidP="00E65B64">
      <w:pPr>
        <w:pStyle w:val="Quote2"/>
        <w:ind w:left="2160" w:hanging="720"/>
      </w:pPr>
      <w:r>
        <w:t>(c)</w:t>
      </w:r>
      <w:r>
        <w:tab/>
      </w:r>
      <w:proofErr w:type="gramStart"/>
      <w:r>
        <w:t>any</w:t>
      </w:r>
      <w:proofErr w:type="gramEnd"/>
      <w:r>
        <w:t xml:space="preserve"> other order the Court considers appropriate in relation to the person.</w:t>
      </w:r>
    </w:p>
    <w:p w14:paraId="02BDEE25" w14:textId="6208236A" w:rsidR="00E65B64" w:rsidRPr="00247576" w:rsidRDefault="00E65B64" w:rsidP="00247576">
      <w:pPr>
        <w:pStyle w:val="Quote2"/>
        <w:ind w:left="2160" w:hanging="720"/>
        <w:rPr>
          <w:sz w:val="20"/>
        </w:rPr>
      </w:pPr>
      <w:r w:rsidRPr="00247576">
        <w:rPr>
          <w:sz w:val="20"/>
        </w:rPr>
        <w:t xml:space="preserve">Note: </w:t>
      </w:r>
      <w:r w:rsidR="00154AD5">
        <w:rPr>
          <w:sz w:val="20"/>
        </w:rPr>
        <w:tab/>
      </w:r>
      <w:r w:rsidRPr="00247576">
        <w:rPr>
          <w:sz w:val="20"/>
        </w:rPr>
        <w:t>Examples of an order under paragraph (c) are an order directing that the person may only file documents by mail, an order to give security for costs and an order for costs.</w:t>
      </w:r>
    </w:p>
    <w:p w14:paraId="4B65B79D" w14:textId="77777777" w:rsidR="00E65B64" w:rsidRDefault="00E65B64" w:rsidP="00E65B64">
      <w:pPr>
        <w:pStyle w:val="Quote1"/>
        <w:ind w:left="1440" w:hanging="703"/>
      </w:pPr>
      <w:r>
        <w:t>(3)</w:t>
      </w:r>
      <w:r>
        <w:tab/>
        <w:t>The Court may make a vexatious proceedings order on its own initiative or on the application of any of the following:</w:t>
      </w:r>
    </w:p>
    <w:p w14:paraId="1841E864" w14:textId="77777777" w:rsidR="00E65B64" w:rsidRDefault="00E65B64" w:rsidP="00E65B64">
      <w:pPr>
        <w:pStyle w:val="Quote2"/>
      </w:pPr>
      <w:r>
        <w:t>(a)</w:t>
      </w:r>
      <w:r>
        <w:tab/>
      </w:r>
      <w:proofErr w:type="gramStart"/>
      <w:r>
        <w:t>the</w:t>
      </w:r>
      <w:proofErr w:type="gramEnd"/>
      <w:r>
        <w:t xml:space="preserve"> Attorney‑General of the Commonwealth or of a State or Territory;</w:t>
      </w:r>
    </w:p>
    <w:p w14:paraId="337D1374" w14:textId="77777777" w:rsidR="00E65B64" w:rsidRDefault="00E65B64" w:rsidP="00E65B64">
      <w:pPr>
        <w:pStyle w:val="Quote2"/>
      </w:pPr>
      <w:r>
        <w:t>(b)</w:t>
      </w:r>
      <w:r>
        <w:tab/>
      </w:r>
      <w:proofErr w:type="gramStart"/>
      <w:r>
        <w:t>the</w:t>
      </w:r>
      <w:proofErr w:type="gramEnd"/>
      <w:r>
        <w:t xml:space="preserve"> Chief Executive Officer;</w:t>
      </w:r>
    </w:p>
    <w:p w14:paraId="60601BC9" w14:textId="77777777" w:rsidR="00E65B64" w:rsidRDefault="00E65B64" w:rsidP="00E65B64">
      <w:pPr>
        <w:pStyle w:val="Quote2"/>
        <w:ind w:left="2160" w:hanging="720"/>
      </w:pPr>
      <w:r>
        <w:t>(c)</w:t>
      </w:r>
      <w:r>
        <w:tab/>
      </w:r>
      <w:proofErr w:type="gramStart"/>
      <w:r>
        <w:t>a</w:t>
      </w:r>
      <w:proofErr w:type="gramEnd"/>
      <w:r>
        <w:t xml:space="preserve"> person against whom another person has instituted or conducted a vexatious proceeding;</w:t>
      </w:r>
    </w:p>
    <w:p w14:paraId="6216D545" w14:textId="77777777" w:rsidR="00E65B64" w:rsidRDefault="00E65B64" w:rsidP="00E65B64">
      <w:pPr>
        <w:pStyle w:val="Quote2"/>
      </w:pPr>
      <w:r>
        <w:t>(d)</w:t>
      </w:r>
      <w:r>
        <w:tab/>
      </w:r>
      <w:proofErr w:type="gramStart"/>
      <w:r>
        <w:t>a</w:t>
      </w:r>
      <w:proofErr w:type="gramEnd"/>
      <w:r>
        <w:t xml:space="preserve"> person who has a sufficient interest in the matter.</w:t>
      </w:r>
    </w:p>
    <w:p w14:paraId="21009D72" w14:textId="77777777" w:rsidR="00E65B64" w:rsidRDefault="00E65B64" w:rsidP="00E65B64">
      <w:pPr>
        <w:pStyle w:val="Quote1"/>
        <w:ind w:left="1440" w:hanging="703"/>
      </w:pPr>
      <w:r>
        <w:t>(4)</w:t>
      </w:r>
      <w:r>
        <w:tab/>
        <w:t>The Court must not make a vexatious proceedings order in relation to a person without hearing the person or giving the person an opportunity of being heard.</w:t>
      </w:r>
    </w:p>
    <w:p w14:paraId="2FA4EF0A" w14:textId="77777777" w:rsidR="00E65B64" w:rsidRDefault="00E65B64" w:rsidP="00E65B64">
      <w:pPr>
        <w:pStyle w:val="Quote1"/>
      </w:pPr>
      <w:r>
        <w:t>(5)</w:t>
      </w:r>
      <w:r>
        <w:tab/>
        <w:t>An order made under paragraph (2</w:t>
      </w:r>
      <w:proofErr w:type="gramStart"/>
      <w:r>
        <w:t>)(</w:t>
      </w:r>
      <w:proofErr w:type="gramEnd"/>
      <w:r>
        <w:t>a) or (b) is a final order.</w:t>
      </w:r>
    </w:p>
    <w:p w14:paraId="65731731" w14:textId="77777777" w:rsidR="00E65B64" w:rsidRDefault="00E65B64" w:rsidP="00E65B64">
      <w:pPr>
        <w:pStyle w:val="Quote1"/>
      </w:pPr>
      <w:r>
        <w:t>(6)</w:t>
      </w:r>
      <w:r>
        <w:tab/>
        <w:t>For the purposes of subsection (1), the Court may have regard to:</w:t>
      </w:r>
    </w:p>
    <w:p w14:paraId="0B4D945C" w14:textId="77777777" w:rsidR="00E65B64" w:rsidRDefault="00E65B64" w:rsidP="00E65B64">
      <w:pPr>
        <w:pStyle w:val="Quote2"/>
        <w:ind w:left="2160" w:hanging="720"/>
      </w:pPr>
      <w:r>
        <w:t>(a)</w:t>
      </w:r>
      <w:r>
        <w:tab/>
      </w:r>
      <w:proofErr w:type="gramStart"/>
      <w:r>
        <w:t>proceedings</w:t>
      </w:r>
      <w:proofErr w:type="gramEnd"/>
      <w:r>
        <w:t xml:space="preserve"> instituted (or attempted to be instituted) or conducted in any Australian court or tribunal; and</w:t>
      </w:r>
    </w:p>
    <w:p w14:paraId="3A4153EE" w14:textId="77777777" w:rsidR="00E65B64" w:rsidRDefault="00E65B64" w:rsidP="00E65B64">
      <w:pPr>
        <w:pStyle w:val="Quote2"/>
      </w:pPr>
      <w:r>
        <w:t>(b)</w:t>
      </w:r>
      <w:r>
        <w:tab/>
      </w:r>
      <w:proofErr w:type="gramStart"/>
      <w:r>
        <w:t>orders</w:t>
      </w:r>
      <w:proofErr w:type="gramEnd"/>
      <w:r>
        <w:t xml:space="preserve"> made by any Australian court or tribunal; and</w:t>
      </w:r>
    </w:p>
    <w:p w14:paraId="773DA860" w14:textId="77777777" w:rsidR="00E65B64" w:rsidRDefault="00E65B64" w:rsidP="00E65B64">
      <w:pPr>
        <w:pStyle w:val="Quote2"/>
        <w:ind w:left="2160" w:hanging="720"/>
      </w:pPr>
      <w:r>
        <w:t>(c)</w:t>
      </w:r>
      <w:r>
        <w:tab/>
      </w:r>
      <w:proofErr w:type="gramStart"/>
      <w:r>
        <w:t>the</w:t>
      </w:r>
      <w:proofErr w:type="gramEnd"/>
      <w:r>
        <w:t xml:space="preserve"> person’s overall conduct in proceedings conducted in any Australian court or tribunal (including the person’s compliance with orders made by that court or tribunal);</w:t>
      </w:r>
    </w:p>
    <w:p w14:paraId="13715FB1" w14:textId="77777777" w:rsidR="00E65B64" w:rsidRDefault="00E65B64" w:rsidP="00E65B64">
      <w:pPr>
        <w:pStyle w:val="Quote2"/>
      </w:pPr>
      <w:proofErr w:type="gramStart"/>
      <w:r>
        <w:t>including</w:t>
      </w:r>
      <w:proofErr w:type="gramEnd"/>
      <w:r>
        <w:t xml:space="preserve"> proceedings instituted (or attempted to be instituted) or conducted, and orders made, before the commencement of this section.</w:t>
      </w:r>
    </w:p>
    <w:p w14:paraId="7F70C3AB" w14:textId="77777777" w:rsidR="00E65B64" w:rsidRDefault="00E65B64" w:rsidP="00E65B64">
      <w:pPr>
        <w:pStyle w:val="ParaNumbering"/>
      </w:pPr>
      <w:bookmarkStart w:id="18" w:name="_Ref31107174"/>
      <w:r>
        <w:t>A number of terms used in s 37AO are defined by s 37AM(1) as follows –</w:t>
      </w:r>
      <w:bookmarkEnd w:id="18"/>
    </w:p>
    <w:p w14:paraId="240F6412" w14:textId="77777777" w:rsidR="00E65B64" w:rsidRPr="00E9679B" w:rsidRDefault="00E65B64" w:rsidP="00E65B64">
      <w:pPr>
        <w:pStyle w:val="Quote1"/>
      </w:pPr>
      <w:r w:rsidRPr="00247576">
        <w:rPr>
          <w:b/>
          <w:i/>
        </w:rPr>
        <w:t>Australian court or tribunal</w:t>
      </w:r>
      <w:r w:rsidRPr="00E9679B">
        <w:t xml:space="preserve"> means a court or tribunal of the Commonwealth, a State or a Territory.</w:t>
      </w:r>
    </w:p>
    <w:p w14:paraId="7D7EBE35" w14:textId="77777777" w:rsidR="00E65B64" w:rsidRPr="00E9679B" w:rsidRDefault="00E65B64" w:rsidP="00E65B64">
      <w:pPr>
        <w:pStyle w:val="Quote1"/>
      </w:pPr>
      <w:proofErr w:type="gramStart"/>
      <w:r w:rsidRPr="00247576">
        <w:rPr>
          <w:b/>
          <w:i/>
        </w:rPr>
        <w:t>institute</w:t>
      </w:r>
      <w:proofErr w:type="gramEnd"/>
      <w:r w:rsidRPr="00E9679B">
        <w:t>, in relation to proceedings, includes:</w:t>
      </w:r>
    </w:p>
    <w:p w14:paraId="0253F5E3" w14:textId="77777777" w:rsidR="00E65B64" w:rsidRPr="00E9679B" w:rsidRDefault="00E65B64" w:rsidP="00E65B64">
      <w:pPr>
        <w:pStyle w:val="Quote1"/>
        <w:ind w:left="1440" w:hanging="703"/>
      </w:pPr>
      <w:r>
        <w:t>(a)</w:t>
      </w:r>
      <w:r>
        <w:tab/>
      </w:r>
      <w:proofErr w:type="gramStart"/>
      <w:r w:rsidRPr="00E9679B">
        <w:t>for</w:t>
      </w:r>
      <w:proofErr w:type="gramEnd"/>
      <w:r w:rsidRPr="00E9679B">
        <w:t xml:space="preserve"> civil proceedings—the taking of a step or the making of an application</w:t>
      </w:r>
      <w:r>
        <w:t xml:space="preserve"> </w:t>
      </w:r>
      <w:r w:rsidRPr="00E9679B">
        <w:t>that may be necessary before proceedings can be started against a party; and</w:t>
      </w:r>
    </w:p>
    <w:p w14:paraId="6A0CB80A" w14:textId="77777777" w:rsidR="00E65B64" w:rsidRPr="00E9679B" w:rsidRDefault="00E65B64" w:rsidP="00E65B64">
      <w:pPr>
        <w:pStyle w:val="Quote1"/>
        <w:ind w:left="1440" w:hanging="703"/>
      </w:pPr>
      <w:r>
        <w:t>(b)</w:t>
      </w:r>
      <w:r>
        <w:tab/>
      </w:r>
      <w:proofErr w:type="gramStart"/>
      <w:r w:rsidRPr="00E9679B">
        <w:t>for</w:t>
      </w:r>
      <w:proofErr w:type="gramEnd"/>
      <w:r w:rsidRPr="00E9679B">
        <w:t xml:space="preserve"> proceedings before a tribunal—the taking of a step or the making of an</w:t>
      </w:r>
      <w:r>
        <w:t xml:space="preserve"> </w:t>
      </w:r>
      <w:r w:rsidRPr="00E9679B">
        <w:t>application that may be necessary before proceedings can be started before</w:t>
      </w:r>
      <w:r>
        <w:t xml:space="preserve"> </w:t>
      </w:r>
      <w:r w:rsidRPr="00E9679B">
        <w:t>the tribunal; and</w:t>
      </w:r>
    </w:p>
    <w:p w14:paraId="04FD48C8" w14:textId="77777777" w:rsidR="00E65B64" w:rsidRPr="00E9679B" w:rsidRDefault="00E65B64" w:rsidP="00E65B64">
      <w:pPr>
        <w:pStyle w:val="Quote1"/>
        <w:ind w:left="1440" w:hanging="703"/>
      </w:pPr>
      <w:r>
        <w:t>(c)</w:t>
      </w:r>
      <w:r>
        <w:tab/>
      </w:r>
      <w:proofErr w:type="gramStart"/>
      <w:r w:rsidRPr="00E9679B">
        <w:t>for</w:t>
      </w:r>
      <w:proofErr w:type="gramEnd"/>
      <w:r w:rsidRPr="00E9679B">
        <w:t xml:space="preserve"> criminal proceedings—the making of a complaint or the obtaining of a</w:t>
      </w:r>
      <w:r>
        <w:t xml:space="preserve"> </w:t>
      </w:r>
      <w:r w:rsidRPr="00E9679B">
        <w:lastRenderedPageBreak/>
        <w:t>warrant for the arrest of an alleged offender; and</w:t>
      </w:r>
    </w:p>
    <w:p w14:paraId="03DDCF6A" w14:textId="77777777" w:rsidR="00E65B64" w:rsidRPr="00E9679B" w:rsidRDefault="00E65B64" w:rsidP="00E65B64">
      <w:pPr>
        <w:pStyle w:val="Quote1"/>
        <w:ind w:left="1440" w:hanging="703"/>
      </w:pPr>
      <w:r>
        <w:t>(</w:t>
      </w:r>
      <w:proofErr w:type="gramStart"/>
      <w:r>
        <w:t>d</w:t>
      </w:r>
      <w:proofErr w:type="gramEnd"/>
      <w:r>
        <w:t>)</w:t>
      </w:r>
      <w:r>
        <w:tab/>
      </w:r>
      <w:r w:rsidRPr="00E9679B">
        <w:t>for civil or criminal proceedings or proceedings before a tribunal—the taking</w:t>
      </w:r>
      <w:r>
        <w:t xml:space="preserve"> </w:t>
      </w:r>
      <w:r w:rsidRPr="00E9679B">
        <w:t>of a step or the making of an application that may be necessary to start an</w:t>
      </w:r>
      <w:r>
        <w:t xml:space="preserve"> </w:t>
      </w:r>
      <w:r w:rsidRPr="00E9679B">
        <w:t>appeal in relation to the proceedings or to a decision made in the course of</w:t>
      </w:r>
      <w:r>
        <w:t xml:space="preserve"> </w:t>
      </w:r>
      <w:r w:rsidRPr="00E9679B">
        <w:t>the proceedings.</w:t>
      </w:r>
    </w:p>
    <w:p w14:paraId="6F6AD62B" w14:textId="77777777" w:rsidR="00E65B64" w:rsidRPr="00E9679B" w:rsidRDefault="00E65B64" w:rsidP="00E65B64">
      <w:pPr>
        <w:pStyle w:val="Quote1"/>
      </w:pPr>
      <w:proofErr w:type="gramStart"/>
      <w:r w:rsidRPr="00247576">
        <w:rPr>
          <w:b/>
          <w:i/>
        </w:rPr>
        <w:t>proceeding</w:t>
      </w:r>
      <w:proofErr w:type="gramEnd"/>
      <w:r w:rsidRPr="00E9679B">
        <w:t>:</w:t>
      </w:r>
    </w:p>
    <w:p w14:paraId="70A72674" w14:textId="77777777" w:rsidR="00E65B64" w:rsidRPr="00E9679B" w:rsidRDefault="00E65B64" w:rsidP="00E65B64">
      <w:pPr>
        <w:pStyle w:val="Quote1"/>
        <w:ind w:left="1440" w:hanging="703"/>
      </w:pPr>
      <w:r>
        <w:t>(a)</w:t>
      </w:r>
      <w:r>
        <w:tab/>
      </w:r>
      <w:proofErr w:type="gramStart"/>
      <w:r w:rsidRPr="00E9679B">
        <w:t>in</w:t>
      </w:r>
      <w:proofErr w:type="gramEnd"/>
      <w:r w:rsidRPr="00E9679B">
        <w:t xml:space="preserve"> relation to a court—has the meaning given by section 4; and</w:t>
      </w:r>
    </w:p>
    <w:p w14:paraId="577B33A4" w14:textId="77777777" w:rsidR="00E65B64" w:rsidRPr="00E9679B" w:rsidRDefault="00E65B64" w:rsidP="00E65B64">
      <w:pPr>
        <w:pStyle w:val="Quote1"/>
        <w:ind w:left="1440" w:hanging="703"/>
      </w:pPr>
      <w:r>
        <w:t>(b)</w:t>
      </w:r>
      <w:r>
        <w:tab/>
      </w:r>
      <w:proofErr w:type="gramStart"/>
      <w:r w:rsidRPr="00E9679B">
        <w:t>in</w:t>
      </w:r>
      <w:proofErr w:type="gramEnd"/>
      <w:r w:rsidRPr="00E9679B">
        <w:t xml:space="preserve"> relation to a tribunal—means a proceeding in the tribunal, whether</w:t>
      </w:r>
      <w:r>
        <w:t xml:space="preserve"> </w:t>
      </w:r>
      <w:r w:rsidRPr="00E9679B">
        <w:t>between parties or not, and includes an incidental proceeding in the course</w:t>
      </w:r>
      <w:r>
        <w:t xml:space="preserve"> </w:t>
      </w:r>
      <w:r w:rsidRPr="00E9679B">
        <w:t>of, or in connection with, a proceeding.</w:t>
      </w:r>
    </w:p>
    <w:p w14:paraId="2C78EC07" w14:textId="77777777" w:rsidR="00E65B64" w:rsidRPr="00E9679B" w:rsidRDefault="00E65B64" w:rsidP="00E65B64">
      <w:pPr>
        <w:pStyle w:val="Quote1"/>
      </w:pPr>
      <w:proofErr w:type="gramStart"/>
      <w:r w:rsidRPr="00247576">
        <w:rPr>
          <w:b/>
          <w:i/>
        </w:rPr>
        <w:t>proceedings</w:t>
      </w:r>
      <w:proofErr w:type="gramEnd"/>
      <w:r w:rsidRPr="00247576">
        <w:rPr>
          <w:b/>
          <w:i/>
        </w:rPr>
        <w:t xml:space="preserve"> of a particular type</w:t>
      </w:r>
      <w:r w:rsidRPr="00E9679B">
        <w:t xml:space="preserve"> includes:</w:t>
      </w:r>
    </w:p>
    <w:p w14:paraId="36038D07" w14:textId="77777777" w:rsidR="00E65B64" w:rsidRPr="00E9679B" w:rsidRDefault="00E65B64" w:rsidP="00E65B64">
      <w:pPr>
        <w:pStyle w:val="Quote1"/>
        <w:ind w:left="1440" w:hanging="703"/>
      </w:pPr>
      <w:r>
        <w:t>(a)</w:t>
      </w:r>
      <w:r>
        <w:tab/>
      </w:r>
      <w:proofErr w:type="gramStart"/>
      <w:r w:rsidRPr="00E9679B">
        <w:t>proceedings</w:t>
      </w:r>
      <w:proofErr w:type="gramEnd"/>
      <w:r w:rsidRPr="00E9679B">
        <w:t xml:space="preserve"> in relation to a particular matter; and</w:t>
      </w:r>
    </w:p>
    <w:p w14:paraId="41462022" w14:textId="77777777" w:rsidR="00E65B64" w:rsidRPr="00E9679B" w:rsidRDefault="00E65B64" w:rsidP="00E65B64">
      <w:pPr>
        <w:pStyle w:val="Quote1"/>
        <w:ind w:left="1440" w:hanging="703"/>
      </w:pPr>
      <w:r>
        <w:t>(b)</w:t>
      </w:r>
      <w:r>
        <w:tab/>
      </w:r>
      <w:proofErr w:type="gramStart"/>
      <w:r w:rsidRPr="00E9679B">
        <w:t>proceedings</w:t>
      </w:r>
      <w:proofErr w:type="gramEnd"/>
      <w:r w:rsidRPr="00E9679B">
        <w:t xml:space="preserve"> against a particular person.</w:t>
      </w:r>
    </w:p>
    <w:p w14:paraId="3A4B82FB" w14:textId="77777777" w:rsidR="00E65B64" w:rsidRPr="00E9679B" w:rsidRDefault="00E65B64" w:rsidP="00E65B64">
      <w:pPr>
        <w:pStyle w:val="Quote1"/>
      </w:pPr>
      <w:proofErr w:type="gramStart"/>
      <w:r w:rsidRPr="00247576">
        <w:rPr>
          <w:b/>
          <w:i/>
        </w:rPr>
        <w:t>vexatious</w:t>
      </w:r>
      <w:proofErr w:type="gramEnd"/>
      <w:r w:rsidRPr="00247576">
        <w:rPr>
          <w:b/>
          <w:i/>
        </w:rPr>
        <w:t xml:space="preserve"> proceeding</w:t>
      </w:r>
      <w:r w:rsidRPr="00E9679B">
        <w:t xml:space="preserve"> includes:</w:t>
      </w:r>
    </w:p>
    <w:p w14:paraId="7DECADB9" w14:textId="77777777" w:rsidR="00E65B64" w:rsidRPr="00E9679B" w:rsidRDefault="00E65B64" w:rsidP="00E65B64">
      <w:pPr>
        <w:pStyle w:val="Quote1"/>
        <w:ind w:left="1440" w:hanging="703"/>
      </w:pPr>
      <w:r>
        <w:t>(a)</w:t>
      </w:r>
      <w:r>
        <w:tab/>
      </w:r>
      <w:proofErr w:type="gramStart"/>
      <w:r w:rsidRPr="00E9679B">
        <w:t>a</w:t>
      </w:r>
      <w:proofErr w:type="gramEnd"/>
      <w:r w:rsidRPr="00E9679B">
        <w:t xml:space="preserve"> proceeding that is an abuse of the process of a court or tribunal; and</w:t>
      </w:r>
    </w:p>
    <w:p w14:paraId="7BD18A8A" w14:textId="77777777" w:rsidR="00E65B64" w:rsidRPr="00E9679B" w:rsidRDefault="00E65B64" w:rsidP="00E65B64">
      <w:pPr>
        <w:pStyle w:val="Quote1"/>
        <w:ind w:left="1440" w:hanging="703"/>
      </w:pPr>
      <w:r>
        <w:t>(b)</w:t>
      </w:r>
      <w:r>
        <w:tab/>
      </w:r>
      <w:proofErr w:type="gramStart"/>
      <w:r w:rsidRPr="00E9679B">
        <w:t>a</w:t>
      </w:r>
      <w:proofErr w:type="gramEnd"/>
      <w:r w:rsidRPr="00E9679B">
        <w:t xml:space="preserve"> proceeding instituted in a court or tribunal to harass or annoy, to cause</w:t>
      </w:r>
      <w:r>
        <w:t xml:space="preserve"> </w:t>
      </w:r>
      <w:r w:rsidRPr="00E9679B">
        <w:t>delay or detriment, or for another wrongful purpose; and</w:t>
      </w:r>
    </w:p>
    <w:p w14:paraId="30BCC58C" w14:textId="77777777" w:rsidR="00E65B64" w:rsidRPr="00E9679B" w:rsidRDefault="00E65B64" w:rsidP="00E65B64">
      <w:pPr>
        <w:pStyle w:val="Quote1"/>
        <w:ind w:left="1440" w:hanging="703"/>
      </w:pPr>
      <w:r>
        <w:t>(c)</w:t>
      </w:r>
      <w:r>
        <w:tab/>
      </w:r>
      <w:proofErr w:type="gramStart"/>
      <w:r w:rsidRPr="00E9679B">
        <w:t>a</w:t>
      </w:r>
      <w:proofErr w:type="gramEnd"/>
      <w:r w:rsidRPr="00E9679B">
        <w:t xml:space="preserve"> proceeding instituted or pursued in a court or tribunal without reasonable</w:t>
      </w:r>
      <w:r>
        <w:t xml:space="preserve"> </w:t>
      </w:r>
      <w:r w:rsidRPr="00E9679B">
        <w:t>ground; and</w:t>
      </w:r>
    </w:p>
    <w:p w14:paraId="54F3579C" w14:textId="77777777" w:rsidR="00E65B64" w:rsidRPr="00E9679B" w:rsidRDefault="00E65B64" w:rsidP="00E65B64">
      <w:pPr>
        <w:pStyle w:val="Quote1"/>
        <w:ind w:left="1440" w:hanging="703"/>
      </w:pPr>
      <w:r>
        <w:t>(d)</w:t>
      </w:r>
      <w:r>
        <w:tab/>
      </w:r>
      <w:proofErr w:type="gramStart"/>
      <w:r w:rsidRPr="00E9679B">
        <w:t>a</w:t>
      </w:r>
      <w:proofErr w:type="gramEnd"/>
      <w:r w:rsidRPr="00E9679B">
        <w:t xml:space="preserve"> proceeding conducted in a court or tribunal in a way so as to harass or</w:t>
      </w:r>
      <w:r>
        <w:t xml:space="preserve"> </w:t>
      </w:r>
      <w:r w:rsidRPr="00E9679B">
        <w:t>annoy, cause delay or detriment, or achieve another wrongful purpose.</w:t>
      </w:r>
    </w:p>
    <w:p w14:paraId="1674EE04" w14:textId="77777777" w:rsidR="00E65B64" w:rsidRPr="00E9679B" w:rsidRDefault="00E65B64" w:rsidP="00E65B64">
      <w:pPr>
        <w:pStyle w:val="Quote1"/>
      </w:pPr>
      <w:proofErr w:type="gramStart"/>
      <w:r w:rsidRPr="00247576">
        <w:rPr>
          <w:b/>
          <w:i/>
        </w:rPr>
        <w:t>vexatious</w:t>
      </w:r>
      <w:proofErr w:type="gramEnd"/>
      <w:r w:rsidRPr="00247576">
        <w:rPr>
          <w:b/>
          <w:i/>
        </w:rPr>
        <w:t xml:space="preserve"> proceedings order</w:t>
      </w:r>
      <w:r w:rsidRPr="00E9679B">
        <w:t xml:space="preserve"> means an order made under subsection 37AO(2).</w:t>
      </w:r>
    </w:p>
    <w:p w14:paraId="1EDBC9F9" w14:textId="2F467A20" w:rsidR="00E65B64" w:rsidRDefault="00E65B64" w:rsidP="00E65B64">
      <w:pPr>
        <w:pStyle w:val="ParaNumbering"/>
      </w:pPr>
      <w:r>
        <w:t>The consequences of a vexatious proceedings order may include that the person the subject of the order is precluded from instituting proceedings, or proceedings of a particular type, without the leave of the Court: s 37AQ(1)(</w:t>
      </w:r>
      <w:r w:rsidR="00154AD5">
        <w:t>a</w:t>
      </w:r>
      <w:r>
        <w:t>). The Court’s power to grant such leave is fettered, because leave may be granted only if the Court is satisfied that the proceeding is not a vexatious proceeding: s </w:t>
      </w:r>
      <w:proofErr w:type="gramStart"/>
      <w:r>
        <w:t>37AT(</w:t>
      </w:r>
      <w:proofErr w:type="gramEnd"/>
      <w:r>
        <w:t>4).</w:t>
      </w:r>
    </w:p>
    <w:p w14:paraId="2B7C99DF" w14:textId="452E4B1F" w:rsidR="001C6CA0" w:rsidRDefault="001C6CA0" w:rsidP="001C6CA0">
      <w:pPr>
        <w:pStyle w:val="Heading2"/>
      </w:pPr>
      <w:r>
        <w:t>Background</w:t>
      </w:r>
    </w:p>
    <w:p w14:paraId="10653FCD" w14:textId="5AF719F1" w:rsidR="00070A9A" w:rsidRDefault="001C16D5" w:rsidP="00E9679B">
      <w:pPr>
        <w:pStyle w:val="ParaNumbering"/>
      </w:pPr>
      <w:r>
        <w:t>Mrs </w:t>
      </w:r>
      <w:proofErr w:type="spellStart"/>
      <w:r w:rsidR="00F025F7">
        <w:t>Fokas</w:t>
      </w:r>
      <w:proofErr w:type="spellEnd"/>
      <w:r w:rsidR="00F025F7">
        <w:t xml:space="preserve"> is an undischarged bankrupt.</w:t>
      </w:r>
      <w:r w:rsidR="00600B13">
        <w:t xml:space="preserve"> The respondent is the trustee of her estate. By this proceeding, </w:t>
      </w:r>
      <w:r>
        <w:t>Mrs </w:t>
      </w:r>
      <w:proofErr w:type="spellStart"/>
      <w:r w:rsidR="00521685">
        <w:t>Fokas</w:t>
      </w:r>
      <w:proofErr w:type="spellEnd"/>
      <w:r w:rsidR="00600B13">
        <w:t xml:space="preserve"> sought to challenge the validity of </w:t>
      </w:r>
      <w:r w:rsidR="00841C31">
        <w:t>a</w:t>
      </w:r>
      <w:r w:rsidR="00600B13">
        <w:t xml:space="preserve"> sequestration order that had been made </w:t>
      </w:r>
      <w:r w:rsidR="009E3BAA">
        <w:t xml:space="preserve">by </w:t>
      </w:r>
      <w:r w:rsidR="00600B13">
        <w:t xml:space="preserve">the Federal Magistrates Court (as it then was) on </w:t>
      </w:r>
      <w:r w:rsidR="00521685">
        <w:t>1</w:t>
      </w:r>
      <w:r w:rsidR="006B6DCC">
        <w:t> </w:t>
      </w:r>
      <w:r w:rsidR="00521685">
        <w:t xml:space="preserve">November </w:t>
      </w:r>
      <w:r w:rsidR="00600B13">
        <w:t xml:space="preserve">2012. </w:t>
      </w:r>
      <w:r w:rsidR="00D258EC">
        <w:t>The</w:t>
      </w:r>
      <w:r w:rsidR="008B45A2">
        <w:t xml:space="preserve"> </w:t>
      </w:r>
      <w:r w:rsidR="00D258EC">
        <w:t>sequestration order was made on the application of</w:t>
      </w:r>
      <w:r w:rsidR="0046034E">
        <w:t xml:space="preserve"> the Koga</w:t>
      </w:r>
      <w:r w:rsidR="00D258EC">
        <w:t xml:space="preserve">rah City Council as petitioning creditor. </w:t>
      </w:r>
      <w:r w:rsidR="002008D8">
        <w:t xml:space="preserve">The act of bankruptcy was the failure of </w:t>
      </w:r>
      <w:r>
        <w:t>Mrs </w:t>
      </w:r>
      <w:proofErr w:type="spellStart"/>
      <w:r w:rsidR="002008D8">
        <w:t>Fokas</w:t>
      </w:r>
      <w:proofErr w:type="spellEnd"/>
      <w:r w:rsidR="002008D8">
        <w:t xml:space="preserve"> to </w:t>
      </w:r>
      <w:r w:rsidR="00AB4437">
        <w:t xml:space="preserve">comply with a bankruptcy notice that was served upon her on </w:t>
      </w:r>
      <w:r>
        <w:t>1 </w:t>
      </w:r>
      <w:r w:rsidR="00AB4437">
        <w:t>June 2012. The foundation of the bankruptcy notice was</w:t>
      </w:r>
      <w:r w:rsidR="00070A9A">
        <w:t xml:space="preserve"> a debt of $28,980.80</w:t>
      </w:r>
      <w:r w:rsidR="003C15AC">
        <w:t xml:space="preserve"> </w:t>
      </w:r>
      <w:r w:rsidR="003C15AC">
        <w:lastRenderedPageBreak/>
        <w:t>arising from</w:t>
      </w:r>
      <w:r w:rsidR="00AB4437">
        <w:t xml:space="preserve"> four final judgments against </w:t>
      </w:r>
      <w:r w:rsidR="0043444C">
        <w:t>Mrs </w:t>
      </w:r>
      <w:proofErr w:type="spellStart"/>
      <w:r w:rsidR="00AB4437">
        <w:t>Fokas</w:t>
      </w:r>
      <w:proofErr w:type="spellEnd"/>
      <w:r w:rsidR="00AB4437">
        <w:t xml:space="preserve"> </w:t>
      </w:r>
      <w:r w:rsidR="00070A9A">
        <w:t>in respect of the Council</w:t>
      </w:r>
      <w:r w:rsidR="00AD58B0">
        <w:t>’</w:t>
      </w:r>
      <w:r w:rsidR="00070A9A">
        <w:t xml:space="preserve">s costs that </w:t>
      </w:r>
      <w:r w:rsidR="0043444C">
        <w:t>Mrs </w:t>
      </w:r>
      <w:proofErr w:type="spellStart"/>
      <w:r w:rsidR="00070A9A">
        <w:t>Fokas</w:t>
      </w:r>
      <w:proofErr w:type="spellEnd"/>
      <w:r w:rsidR="00070A9A">
        <w:t xml:space="preserve"> was ordered to pay in other proceedings. </w:t>
      </w:r>
    </w:p>
    <w:p w14:paraId="2EB27C58" w14:textId="112E7ACE" w:rsidR="00A54F4E" w:rsidRDefault="00704A7A" w:rsidP="00B202CF">
      <w:pPr>
        <w:pStyle w:val="ParaNumbering"/>
      </w:pPr>
      <w:r>
        <w:t xml:space="preserve">In </w:t>
      </w:r>
      <w:proofErr w:type="spellStart"/>
      <w:r w:rsidR="00B73977" w:rsidRPr="00D3043B">
        <w:rPr>
          <w:i/>
        </w:rPr>
        <w:t>Fokas</w:t>
      </w:r>
      <w:proofErr w:type="spellEnd"/>
      <w:r w:rsidR="00B73977" w:rsidRPr="00D3043B">
        <w:rPr>
          <w:i/>
        </w:rPr>
        <w:t xml:space="preserve"> v Mansfield</w:t>
      </w:r>
      <w:r w:rsidR="0077705D" w:rsidRPr="00D3043B">
        <w:rPr>
          <w:i/>
        </w:rPr>
        <w:t xml:space="preserve"> (No 1)</w:t>
      </w:r>
      <w:r w:rsidRPr="00D3043B">
        <w:rPr>
          <w:i/>
        </w:rPr>
        <w:t>,</w:t>
      </w:r>
      <w:r w:rsidR="007434A2">
        <w:t xml:space="preserve"> </w:t>
      </w:r>
      <w:r>
        <w:t xml:space="preserve">I </w:t>
      </w:r>
      <w:r w:rsidR="00F57F84">
        <w:t>observed at [50] that</w:t>
      </w:r>
      <w:bookmarkStart w:id="19" w:name="The_interlocutory_application"/>
      <w:bookmarkStart w:id="20" w:name="Conclusions"/>
      <w:bookmarkStart w:id="21" w:name="Vexatious_proceedings_order"/>
      <w:bookmarkEnd w:id="19"/>
      <w:bookmarkEnd w:id="20"/>
      <w:bookmarkEnd w:id="21"/>
      <w:r w:rsidR="00F57F84">
        <w:t xml:space="preserve"> the current proceeding </w:t>
      </w:r>
      <w:r w:rsidR="009974B9">
        <w:t>wa</w:t>
      </w:r>
      <w:r w:rsidR="00F57F84">
        <w:t xml:space="preserve">s but one of many endeavours by </w:t>
      </w:r>
      <w:r w:rsidR="0043444C">
        <w:t>Mrs </w:t>
      </w:r>
      <w:proofErr w:type="spellStart"/>
      <w:r w:rsidR="00F57F84">
        <w:t>Fokas</w:t>
      </w:r>
      <w:proofErr w:type="spellEnd"/>
      <w:r w:rsidR="00F57F84">
        <w:t xml:space="preserve"> to challenge the Trustee</w:t>
      </w:r>
      <w:r w:rsidR="00AD58B0">
        <w:t>’</w:t>
      </w:r>
      <w:r w:rsidR="00F57F84">
        <w:t>s title to her</w:t>
      </w:r>
      <w:r>
        <w:t xml:space="preserve"> former</w:t>
      </w:r>
      <w:r w:rsidR="00D44E3E">
        <w:t xml:space="preserve"> residential</w:t>
      </w:r>
      <w:r w:rsidR="00F57F84">
        <w:t xml:space="preserve"> property.</w:t>
      </w:r>
      <w:r w:rsidR="00A72450">
        <w:t xml:space="preserve"> </w:t>
      </w:r>
      <w:r w:rsidR="005355B2">
        <w:t>The Court</w:t>
      </w:r>
      <w:r w:rsidR="00720280">
        <w:t xml:space="preserve"> set out the background to this proceeding in </w:t>
      </w:r>
      <w:proofErr w:type="spellStart"/>
      <w:r w:rsidR="00720280" w:rsidRPr="00D3043B">
        <w:rPr>
          <w:i/>
        </w:rPr>
        <w:t>Fokas</w:t>
      </w:r>
      <w:proofErr w:type="spellEnd"/>
      <w:r w:rsidR="00720280" w:rsidRPr="00D3043B">
        <w:rPr>
          <w:i/>
        </w:rPr>
        <w:t xml:space="preserve"> v Mansfield</w:t>
      </w:r>
      <w:r w:rsidR="00D3043B">
        <w:rPr>
          <w:i/>
        </w:rPr>
        <w:t xml:space="preserve"> (No 1)</w:t>
      </w:r>
      <w:r w:rsidR="00720280" w:rsidRPr="00D3043B">
        <w:rPr>
          <w:i/>
        </w:rPr>
        <w:t xml:space="preserve"> </w:t>
      </w:r>
      <w:r w:rsidR="00720280">
        <w:t xml:space="preserve">at [1] to [26], </w:t>
      </w:r>
      <w:r w:rsidR="00F83821">
        <w:t>with which these reasons for judgment should be read.</w:t>
      </w:r>
      <w:r w:rsidR="007C4D13">
        <w:t xml:space="preserve"> </w:t>
      </w:r>
      <w:r w:rsidR="00A54F4E">
        <w:t xml:space="preserve">As indicated </w:t>
      </w:r>
      <w:r w:rsidR="00985858">
        <w:t xml:space="preserve">in </w:t>
      </w:r>
      <w:r w:rsidR="00A54F4E">
        <w:t xml:space="preserve">those reasons, </w:t>
      </w:r>
      <w:r w:rsidR="0043444C">
        <w:t>Mrs </w:t>
      </w:r>
      <w:proofErr w:type="spellStart"/>
      <w:r w:rsidR="00A54F4E">
        <w:t>Fokas</w:t>
      </w:r>
      <w:proofErr w:type="spellEnd"/>
      <w:r w:rsidR="00A54F4E">
        <w:t xml:space="preserve"> is already the subject of the following vexatious proceedings orders made by other courts –</w:t>
      </w:r>
    </w:p>
    <w:p w14:paraId="4F42275B" w14:textId="1D1EADBA" w:rsidR="003B717F" w:rsidRDefault="003B717F" w:rsidP="000417C6">
      <w:pPr>
        <w:pStyle w:val="ListNo1"/>
      </w:pPr>
      <w:r>
        <w:t xml:space="preserve">on </w:t>
      </w:r>
      <w:r w:rsidR="0043444C">
        <w:t>1 </w:t>
      </w:r>
      <w:r>
        <w:t>June 2010</w:t>
      </w:r>
      <w:r w:rsidR="00154AD5">
        <w:t>,</w:t>
      </w:r>
      <w:r>
        <w:t xml:space="preserve"> </w:t>
      </w:r>
      <w:r w:rsidR="00DC67E6">
        <w:t xml:space="preserve">by </w:t>
      </w:r>
      <w:r>
        <w:t>the Supreme Court of New South Wales</w:t>
      </w:r>
      <w:r w:rsidR="000417C6">
        <w:t xml:space="preserve"> - </w:t>
      </w:r>
      <w:proofErr w:type="spellStart"/>
      <w:r w:rsidR="000417C6" w:rsidRPr="000417C6">
        <w:rPr>
          <w:i/>
        </w:rPr>
        <w:t>Fokas</w:t>
      </w:r>
      <w:proofErr w:type="spellEnd"/>
      <w:r w:rsidR="000417C6" w:rsidRPr="000417C6">
        <w:rPr>
          <w:i/>
        </w:rPr>
        <w:t xml:space="preserve"> v Stack</w:t>
      </w:r>
      <w:r w:rsidR="000417C6" w:rsidRPr="000417C6">
        <w:t xml:space="preserve"> [2010] NSWSC 571</w:t>
      </w:r>
      <w:r w:rsidR="00DC67E6">
        <w:t>;</w:t>
      </w:r>
    </w:p>
    <w:p w14:paraId="105905D0" w14:textId="41D17333" w:rsidR="00A54F4E" w:rsidRDefault="00985858" w:rsidP="000417C6">
      <w:pPr>
        <w:pStyle w:val="ListNo1"/>
      </w:pPr>
      <w:r>
        <w:t xml:space="preserve">on </w:t>
      </w:r>
      <w:r w:rsidR="0043444C">
        <w:t>9 </w:t>
      </w:r>
      <w:r>
        <w:t>August 2012</w:t>
      </w:r>
      <w:r w:rsidR="00154AD5">
        <w:t>,</w:t>
      </w:r>
      <w:r w:rsidR="00DC67E6">
        <w:t xml:space="preserve"> by</w:t>
      </w:r>
      <w:r>
        <w:t xml:space="preserve"> the Land and Environment Court of New South Wales</w:t>
      </w:r>
      <w:r w:rsidR="000417C6">
        <w:t xml:space="preserve"> - </w:t>
      </w:r>
      <w:proofErr w:type="spellStart"/>
      <w:r w:rsidR="000417C6" w:rsidRPr="00AE1D99">
        <w:rPr>
          <w:i/>
        </w:rPr>
        <w:t>Fokas</w:t>
      </w:r>
      <w:proofErr w:type="spellEnd"/>
      <w:r w:rsidR="000417C6" w:rsidRPr="00AE1D99">
        <w:rPr>
          <w:i/>
        </w:rPr>
        <w:t xml:space="preserve"> v Kogarah RSL Club Ltd (No 2)</w:t>
      </w:r>
      <w:r w:rsidR="000417C6" w:rsidRPr="000417C6">
        <w:t xml:space="preserve"> [2012] NSWLEC 185</w:t>
      </w:r>
      <w:r w:rsidR="00DC67E6">
        <w:t>;</w:t>
      </w:r>
      <w:r w:rsidR="00BE5521">
        <w:t xml:space="preserve"> and</w:t>
      </w:r>
    </w:p>
    <w:p w14:paraId="70543E9B" w14:textId="54EE4ABE" w:rsidR="003B717F" w:rsidRDefault="00BE5521" w:rsidP="00E86086">
      <w:pPr>
        <w:pStyle w:val="ListNo1"/>
      </w:pPr>
      <w:r>
        <w:t xml:space="preserve">on </w:t>
      </w:r>
      <w:r w:rsidR="0043444C">
        <w:t>28 </w:t>
      </w:r>
      <w:r w:rsidR="00E86086">
        <w:t xml:space="preserve">February </w:t>
      </w:r>
      <w:r>
        <w:t>2018</w:t>
      </w:r>
      <w:r w:rsidR="00154AD5">
        <w:t>,</w:t>
      </w:r>
      <w:r w:rsidR="00DC67E6">
        <w:t xml:space="preserve"> by the Supreme Court of New South Wales</w:t>
      </w:r>
      <w:r w:rsidR="00AE1D99">
        <w:t xml:space="preserve"> - </w:t>
      </w:r>
      <w:r w:rsidR="00A17247" w:rsidRPr="0047018F">
        <w:rPr>
          <w:i/>
        </w:rPr>
        <w:t xml:space="preserve">Mansfield as Trustee of the Bankrupt Estate of Maria </w:t>
      </w:r>
      <w:proofErr w:type="spellStart"/>
      <w:r w:rsidR="00A17247" w:rsidRPr="0047018F">
        <w:rPr>
          <w:i/>
        </w:rPr>
        <w:t>Fokas</w:t>
      </w:r>
      <w:proofErr w:type="spellEnd"/>
      <w:r w:rsidR="00A17247" w:rsidRPr="0047018F">
        <w:rPr>
          <w:i/>
        </w:rPr>
        <w:t xml:space="preserve"> v Maria </w:t>
      </w:r>
      <w:proofErr w:type="spellStart"/>
      <w:r w:rsidR="00A17247" w:rsidRPr="0047018F">
        <w:rPr>
          <w:i/>
        </w:rPr>
        <w:t>Fokas</w:t>
      </w:r>
      <w:proofErr w:type="spellEnd"/>
      <w:r w:rsidR="00A17247">
        <w:t xml:space="preserve"> [2018] NSWSC 249</w:t>
      </w:r>
      <w:r w:rsidR="00DC67E6">
        <w:t>.</w:t>
      </w:r>
    </w:p>
    <w:p w14:paraId="7908759D" w14:textId="1B0BFFBC" w:rsidR="00AA0213" w:rsidRDefault="0005739A" w:rsidP="00B1521F">
      <w:pPr>
        <w:pStyle w:val="ParaNumbering"/>
      </w:pPr>
      <w:r>
        <w:t>On the first day of the hearing</w:t>
      </w:r>
      <w:r w:rsidR="00331F0C">
        <w:t xml:space="preserve"> on </w:t>
      </w:r>
      <w:r w:rsidR="0043444C">
        <w:t>22 </w:t>
      </w:r>
      <w:r w:rsidR="00331F0C">
        <w:t>November 2019</w:t>
      </w:r>
      <w:r>
        <w:t xml:space="preserve">, </w:t>
      </w:r>
      <w:r w:rsidR="008F1F5F">
        <w:t xml:space="preserve">the Court </w:t>
      </w:r>
      <w:r>
        <w:t>provided</w:t>
      </w:r>
      <w:r w:rsidR="008F1F5F">
        <w:t xml:space="preserve"> each of the parties</w:t>
      </w:r>
      <w:r>
        <w:t xml:space="preserve"> </w:t>
      </w:r>
      <w:r w:rsidR="000D5DA5">
        <w:t xml:space="preserve">with </w:t>
      </w:r>
      <w:r>
        <w:t xml:space="preserve">a folder containing copies of the reasons for judgment in </w:t>
      </w:r>
      <w:r w:rsidR="006229F6">
        <w:t xml:space="preserve">12 </w:t>
      </w:r>
      <w:r>
        <w:t>cases</w:t>
      </w:r>
      <w:r w:rsidR="00807577">
        <w:t xml:space="preserve"> involving </w:t>
      </w:r>
      <w:r w:rsidR="0043444C">
        <w:t>Mrs </w:t>
      </w:r>
      <w:proofErr w:type="spellStart"/>
      <w:r w:rsidR="00807577">
        <w:t>Fokas</w:t>
      </w:r>
      <w:proofErr w:type="spellEnd"/>
      <w:r w:rsidR="00807577">
        <w:t xml:space="preserve"> that were </w:t>
      </w:r>
      <w:r w:rsidR="00FD5A7D">
        <w:t>referred</w:t>
      </w:r>
      <w:r w:rsidR="00FC7595">
        <w:t xml:space="preserve"> to </w:t>
      </w:r>
      <w:r w:rsidR="00FD5A7D">
        <w:t xml:space="preserve">in </w:t>
      </w:r>
      <w:proofErr w:type="spellStart"/>
      <w:r w:rsidR="00FD5A7D">
        <w:rPr>
          <w:i/>
        </w:rPr>
        <w:t>Fokas</w:t>
      </w:r>
      <w:proofErr w:type="spellEnd"/>
      <w:r w:rsidR="00FD5A7D">
        <w:rPr>
          <w:i/>
        </w:rPr>
        <w:t xml:space="preserve"> v Mansfield</w:t>
      </w:r>
      <w:r w:rsidR="00807577">
        <w:rPr>
          <w:i/>
        </w:rPr>
        <w:t xml:space="preserve"> (No 1)</w:t>
      </w:r>
      <w:r w:rsidR="00FD5A7D">
        <w:rPr>
          <w:i/>
        </w:rPr>
        <w:t xml:space="preserve"> </w:t>
      </w:r>
      <w:r w:rsidR="00FC7595">
        <w:t>at [6] and [9]</w:t>
      </w:r>
      <w:r w:rsidR="004C390B">
        <w:t>,</w:t>
      </w:r>
      <w:r w:rsidR="00FC7595">
        <w:t xml:space="preserve"> and</w:t>
      </w:r>
      <w:r w:rsidR="006229F6">
        <w:t xml:space="preserve"> to which I shall return.</w:t>
      </w:r>
      <w:r w:rsidR="00C63235">
        <w:t xml:space="preserve"> </w:t>
      </w:r>
      <w:r w:rsidR="00AA0213">
        <w:t>The</w:t>
      </w:r>
      <w:r w:rsidR="000D5DA5">
        <w:t> </w:t>
      </w:r>
      <w:r w:rsidR="00AA0213">
        <w:t xml:space="preserve">Court informed </w:t>
      </w:r>
      <w:r w:rsidR="0043444C">
        <w:t>Mrs </w:t>
      </w:r>
      <w:proofErr w:type="spellStart"/>
      <w:r w:rsidR="00AA0213">
        <w:t>Fokas</w:t>
      </w:r>
      <w:proofErr w:type="spellEnd"/>
      <w:r w:rsidR="00AA0213">
        <w:t xml:space="preserve"> that the </w:t>
      </w:r>
      <w:r w:rsidR="00416FC5">
        <w:t xml:space="preserve">cases were the basis upon which the Court was likely to consider whether or not to make a vexatious proceedings order, and that she would be given an opportunity </w:t>
      </w:r>
      <w:r w:rsidR="00160042">
        <w:t xml:space="preserve">to </w:t>
      </w:r>
      <w:r w:rsidR="00581B96">
        <w:t>respond</w:t>
      </w:r>
      <w:r w:rsidR="00160042">
        <w:t xml:space="preserve">, as she requested. For that purpose, </w:t>
      </w:r>
      <w:r w:rsidR="008F1F5F">
        <w:t xml:space="preserve">at the conclusion of the </w:t>
      </w:r>
      <w:r w:rsidR="009B67CE">
        <w:t xml:space="preserve">first </w:t>
      </w:r>
      <w:r w:rsidR="008F1F5F">
        <w:t>day</w:t>
      </w:r>
      <w:r w:rsidR="009B67CE">
        <w:t>,</w:t>
      </w:r>
      <w:r w:rsidR="008F1F5F">
        <w:t xml:space="preserve"> </w:t>
      </w:r>
      <w:r w:rsidR="00160042">
        <w:t xml:space="preserve">the hearing was adjourned part-heard to </w:t>
      </w:r>
      <w:r w:rsidR="0043444C">
        <w:t>16 </w:t>
      </w:r>
      <w:r w:rsidR="00160042">
        <w:t xml:space="preserve">December 2019, and the Court made directions </w:t>
      </w:r>
      <w:r w:rsidR="00581B96">
        <w:t>for</w:t>
      </w:r>
      <w:r w:rsidR="00160042">
        <w:t xml:space="preserve"> </w:t>
      </w:r>
      <w:r w:rsidR="0043444C">
        <w:t>Mrs </w:t>
      </w:r>
      <w:proofErr w:type="spellStart"/>
      <w:r w:rsidR="00160042">
        <w:t>Fokas</w:t>
      </w:r>
      <w:proofErr w:type="spellEnd"/>
      <w:r w:rsidR="00160042">
        <w:t xml:space="preserve"> </w:t>
      </w:r>
      <w:r w:rsidR="00581B96">
        <w:t xml:space="preserve">to </w:t>
      </w:r>
      <w:r w:rsidR="00160042">
        <w:t>file further affidavit material and written submissions.</w:t>
      </w:r>
    </w:p>
    <w:p w14:paraId="2530A489" w14:textId="6F2B64AE" w:rsidR="00E1214F" w:rsidRDefault="00581B96" w:rsidP="00247576">
      <w:pPr>
        <w:pStyle w:val="ParaNumbering"/>
        <w:keepNext/>
      </w:pPr>
      <w:r>
        <w:t>T</w:t>
      </w:r>
      <w:r w:rsidR="00E1214F">
        <w:t xml:space="preserve">he Trustee submitted that there were </w:t>
      </w:r>
      <w:r w:rsidR="00230B1C">
        <w:t xml:space="preserve">20 applications that </w:t>
      </w:r>
      <w:r w:rsidR="0043444C">
        <w:t>Mrs </w:t>
      </w:r>
      <w:proofErr w:type="spellStart"/>
      <w:r w:rsidR="00230B1C">
        <w:t>Fokas</w:t>
      </w:r>
      <w:proofErr w:type="spellEnd"/>
      <w:r w:rsidR="00230B1C">
        <w:t xml:space="preserve"> had filed or attempted to file since mid-2017</w:t>
      </w:r>
      <w:r w:rsidR="00A64353">
        <w:t xml:space="preserve"> upon which the Trustee relied to support the making of a vexatious proceedings order</w:t>
      </w:r>
      <w:r w:rsidR="006F1D6A">
        <w:t xml:space="preserve">. </w:t>
      </w:r>
      <w:r w:rsidR="001F7C25">
        <w:t>Some of tho</w:t>
      </w:r>
      <w:r>
        <w:t xml:space="preserve">se applications </w:t>
      </w:r>
      <w:r w:rsidR="008C32BD">
        <w:t>were within</w:t>
      </w:r>
      <w:r>
        <w:t xml:space="preserve"> the 12 cases to which the Court referred. </w:t>
      </w:r>
      <w:r w:rsidR="00A64353">
        <w:t>During the hearing</w:t>
      </w:r>
      <w:r w:rsidR="00496161">
        <w:t xml:space="preserve"> on </w:t>
      </w:r>
      <w:r w:rsidR="00462F25">
        <w:t>22 </w:t>
      </w:r>
      <w:r w:rsidR="00496161">
        <w:t>November 2019</w:t>
      </w:r>
      <w:r w:rsidR="00A64353">
        <w:t xml:space="preserve">, </w:t>
      </w:r>
      <w:r w:rsidR="00462F25">
        <w:t>Mrs </w:t>
      </w:r>
      <w:proofErr w:type="spellStart"/>
      <w:r w:rsidR="004359C1">
        <w:t>Fokas</w:t>
      </w:r>
      <w:proofErr w:type="spellEnd"/>
      <w:r w:rsidR="004359C1">
        <w:t xml:space="preserve"> was provided with </w:t>
      </w:r>
      <w:r w:rsidR="00B04B01">
        <w:t xml:space="preserve">a typed list </w:t>
      </w:r>
      <w:r w:rsidR="00A64353">
        <w:t xml:space="preserve">prepared by the solicitor for the Trustee </w:t>
      </w:r>
      <w:r w:rsidR="00B04B01">
        <w:t>which identified the following</w:t>
      </w:r>
      <w:r w:rsidR="004C390B">
        <w:t xml:space="preserve"> applications</w:t>
      </w:r>
      <w:r w:rsidR="00E76012">
        <w:t>, and which was annotated so as to cross-reference the applications to the evidence</w:t>
      </w:r>
      <w:r w:rsidR="00F125E3">
        <w:t xml:space="preserve"> that was</w:t>
      </w:r>
      <w:r w:rsidR="00E76012">
        <w:t xml:space="preserve"> before the Court</w:t>
      </w:r>
      <w:r w:rsidR="00B04B01">
        <w:t> –</w:t>
      </w:r>
    </w:p>
    <w:p w14:paraId="75636848" w14:textId="7B4794BC" w:rsidR="00BB2D52" w:rsidRDefault="00AD0A4F" w:rsidP="00AD0A4F">
      <w:pPr>
        <w:pStyle w:val="ListNo1"/>
        <w:keepNext/>
        <w:numPr>
          <w:ilvl w:val="0"/>
          <w:numId w:val="0"/>
        </w:numPr>
        <w:ind w:left="420"/>
      </w:pPr>
      <w:r>
        <w:t xml:space="preserve"> (1) </w:t>
      </w:r>
      <w:r w:rsidR="00BB2D52" w:rsidRPr="00EE2EC5">
        <w:rPr>
          <w:i/>
        </w:rPr>
        <w:t xml:space="preserve">Supreme Court </w:t>
      </w:r>
      <w:r w:rsidR="002C34F7" w:rsidRPr="00EE2EC5">
        <w:rPr>
          <w:i/>
        </w:rPr>
        <w:t>of N</w:t>
      </w:r>
      <w:r w:rsidR="00BB2D52" w:rsidRPr="00EE2EC5">
        <w:rPr>
          <w:i/>
        </w:rPr>
        <w:t>ew South Wales</w:t>
      </w:r>
      <w:r w:rsidR="002C34F7">
        <w:rPr>
          <w:b/>
        </w:rPr>
        <w:t> </w:t>
      </w:r>
      <w:r w:rsidR="00BB2D52">
        <w:t>–</w:t>
      </w:r>
    </w:p>
    <w:p w14:paraId="01A48879" w14:textId="77777777" w:rsidR="00BB2D52" w:rsidRDefault="00BB2D52" w:rsidP="00BB1DFE">
      <w:pPr>
        <w:pStyle w:val="ListNo2"/>
      </w:pPr>
      <w:r>
        <w:t xml:space="preserve">notice of motion, dismissed; </w:t>
      </w:r>
      <w:r>
        <w:rPr>
          <w:i/>
        </w:rPr>
        <w:t xml:space="preserve">Mansfield v </w:t>
      </w:r>
      <w:proofErr w:type="spellStart"/>
      <w:r>
        <w:rPr>
          <w:i/>
        </w:rPr>
        <w:t>Fokas</w:t>
      </w:r>
      <w:proofErr w:type="spellEnd"/>
      <w:r>
        <w:t xml:space="preserve"> 2016/213128, Wilson J, 9 August 2017;</w:t>
      </w:r>
    </w:p>
    <w:p w14:paraId="2014363E" w14:textId="77777777" w:rsidR="00BB2D52" w:rsidRDefault="00BB2D52" w:rsidP="00BB1DFE">
      <w:pPr>
        <w:pStyle w:val="ListNo2"/>
      </w:pPr>
      <w:r>
        <w:lastRenderedPageBreak/>
        <w:t xml:space="preserve">notice of motion filed 22 August 2017, dismissed; </w:t>
      </w:r>
      <w:proofErr w:type="spellStart"/>
      <w:r>
        <w:rPr>
          <w:i/>
        </w:rPr>
        <w:t>Fokas</w:t>
      </w:r>
      <w:proofErr w:type="spellEnd"/>
      <w:r>
        <w:rPr>
          <w:i/>
        </w:rPr>
        <w:t xml:space="preserve"> v Mansfield</w:t>
      </w:r>
      <w:r>
        <w:t xml:space="preserve"> [2017] NSWCA 231;</w:t>
      </w:r>
    </w:p>
    <w:p w14:paraId="4271A96A" w14:textId="77777777" w:rsidR="00BB2D52" w:rsidRDefault="00BB2D52" w:rsidP="00BB1DFE">
      <w:pPr>
        <w:pStyle w:val="ListNo2"/>
      </w:pPr>
      <w:r>
        <w:t xml:space="preserve">notice of motion filed 11 September 2017, dismissed; </w:t>
      </w:r>
      <w:proofErr w:type="spellStart"/>
      <w:r>
        <w:rPr>
          <w:i/>
        </w:rPr>
        <w:t>Fokas</w:t>
      </w:r>
      <w:proofErr w:type="spellEnd"/>
      <w:r>
        <w:rPr>
          <w:i/>
        </w:rPr>
        <w:t xml:space="preserve"> v Mansfield (No 2)</w:t>
      </w:r>
      <w:r>
        <w:t xml:space="preserve"> [2017] NSWCA 261;</w:t>
      </w:r>
    </w:p>
    <w:p w14:paraId="1D7D1207" w14:textId="77777777" w:rsidR="00BB2D52" w:rsidRDefault="00BB2D52" w:rsidP="00BB1DFE">
      <w:pPr>
        <w:pStyle w:val="ListNo2"/>
      </w:pPr>
      <w:proofErr w:type="spellStart"/>
      <w:r>
        <w:rPr>
          <w:i/>
        </w:rPr>
        <w:t>Fokas</w:t>
      </w:r>
      <w:proofErr w:type="spellEnd"/>
      <w:r>
        <w:rPr>
          <w:i/>
        </w:rPr>
        <w:t xml:space="preserve"> v Mansfield (No 3)</w:t>
      </w:r>
      <w:r>
        <w:t xml:space="preserve"> [2017] NSWCA 315 –</w:t>
      </w:r>
    </w:p>
    <w:p w14:paraId="62294F7D" w14:textId="77777777" w:rsidR="00BB2D52" w:rsidRDefault="00BB2D52" w:rsidP="00BB1DFE">
      <w:pPr>
        <w:pStyle w:val="ListNo3"/>
      </w:pPr>
      <w:r>
        <w:t>notice of motion filed 9 October 2017, dismissed;</w:t>
      </w:r>
    </w:p>
    <w:p w14:paraId="65DB4A0C" w14:textId="77777777" w:rsidR="00BB2D52" w:rsidRDefault="00BB2D52" w:rsidP="00BB1DFE">
      <w:pPr>
        <w:pStyle w:val="ListNo3"/>
      </w:pPr>
      <w:r>
        <w:t>notice of motion filed 16 October 2017, dismissed;</w:t>
      </w:r>
    </w:p>
    <w:p w14:paraId="28B48DD2" w14:textId="77777777" w:rsidR="00BB2D52" w:rsidRDefault="00BB2D52" w:rsidP="00BB1DFE">
      <w:pPr>
        <w:pStyle w:val="ListNo2"/>
      </w:pPr>
      <w:r w:rsidRPr="002F10B7">
        <w:rPr>
          <w:i/>
        </w:rPr>
        <w:t xml:space="preserve">Mansfield v </w:t>
      </w:r>
      <w:proofErr w:type="spellStart"/>
      <w:r w:rsidRPr="002F10B7">
        <w:rPr>
          <w:i/>
        </w:rPr>
        <w:t>Fokas</w:t>
      </w:r>
      <w:proofErr w:type="spellEnd"/>
      <w:r>
        <w:t xml:space="preserve"> 2016/213128 –</w:t>
      </w:r>
    </w:p>
    <w:p w14:paraId="31B17480" w14:textId="77777777" w:rsidR="00BB2D52" w:rsidRDefault="00BB2D52" w:rsidP="00BB1DFE">
      <w:pPr>
        <w:pStyle w:val="ListNo3"/>
      </w:pPr>
      <w:r>
        <w:t>notice of motion filed 12 December 2017, dismissed;</w:t>
      </w:r>
    </w:p>
    <w:p w14:paraId="7FCF29B7" w14:textId="77777777" w:rsidR="00BB2D52" w:rsidRDefault="00BB2D52" w:rsidP="00BB1DFE">
      <w:pPr>
        <w:pStyle w:val="ListNo3"/>
      </w:pPr>
      <w:r>
        <w:t>notice of motion filed 13 December 2017, dismissed;</w:t>
      </w:r>
    </w:p>
    <w:p w14:paraId="49803BCE" w14:textId="77777777" w:rsidR="00BB2D52" w:rsidRDefault="00BB2D52" w:rsidP="00BB1DFE">
      <w:pPr>
        <w:pStyle w:val="ListNo3"/>
      </w:pPr>
      <w:r>
        <w:t>notice of motion filed 21 December 2017, dismissed;</w:t>
      </w:r>
    </w:p>
    <w:p w14:paraId="57831E15" w14:textId="77777777" w:rsidR="00BB2D52" w:rsidRDefault="00BB2D52" w:rsidP="00BB1DFE">
      <w:pPr>
        <w:pStyle w:val="ListNo3"/>
      </w:pPr>
      <w:r>
        <w:t>notice of motion filed 27 December 2017, dismissed;</w:t>
      </w:r>
    </w:p>
    <w:p w14:paraId="5C25FA12" w14:textId="77777777" w:rsidR="00BB2D52" w:rsidRPr="007F75E0" w:rsidRDefault="00BB2D52" w:rsidP="00BB1DFE">
      <w:pPr>
        <w:pStyle w:val="ListNo3"/>
      </w:pPr>
      <w:proofErr w:type="gramStart"/>
      <w:r>
        <w:t>notice</w:t>
      </w:r>
      <w:proofErr w:type="gramEnd"/>
      <w:r>
        <w:t xml:space="preserve"> of motion filed 28 December 2017, dismissed.</w:t>
      </w:r>
    </w:p>
    <w:p w14:paraId="37F77AB4" w14:textId="7B7840D1" w:rsidR="00BB2D52" w:rsidRDefault="004A59BC" w:rsidP="004A59BC">
      <w:pPr>
        <w:pStyle w:val="ListNo1"/>
        <w:numPr>
          <w:ilvl w:val="0"/>
          <w:numId w:val="0"/>
        </w:numPr>
        <w:ind w:left="862" w:hanging="720"/>
      </w:pPr>
      <w:r>
        <w:t xml:space="preserve">(2)  </w:t>
      </w:r>
      <w:r w:rsidR="00BB2D52" w:rsidRPr="00EE2EC5">
        <w:t>Federal Circuit Court</w:t>
      </w:r>
      <w:r w:rsidR="00BB2D52">
        <w:t> –</w:t>
      </w:r>
    </w:p>
    <w:p w14:paraId="2C2B1007" w14:textId="77777777" w:rsidR="00BB2D52" w:rsidRDefault="00BB2D52" w:rsidP="00BA5E00">
      <w:pPr>
        <w:pStyle w:val="ListNo2"/>
      </w:pPr>
      <w:r>
        <w:t>application for review in the Federal Circuit Court dated 20 March 2018 but not accepted for filing;</w:t>
      </w:r>
    </w:p>
    <w:p w14:paraId="0B129EB5" w14:textId="77777777" w:rsidR="00BB2D52" w:rsidRDefault="00BB2D52" w:rsidP="00BA5E00">
      <w:pPr>
        <w:pStyle w:val="ListNo2"/>
      </w:pPr>
      <w:r>
        <w:t>application for review of sequestration order filed 10 April 2018;</w:t>
      </w:r>
    </w:p>
    <w:p w14:paraId="645F4823" w14:textId="5580F550" w:rsidR="00BB2D52" w:rsidRDefault="00BB2D52" w:rsidP="00BA5E00">
      <w:pPr>
        <w:pStyle w:val="ListNo2"/>
      </w:pPr>
      <w:proofErr w:type="gramStart"/>
      <w:r>
        <w:t>application</w:t>
      </w:r>
      <w:proofErr w:type="gramEnd"/>
      <w:r>
        <w:t xml:space="preserve"> for review of sequestration order filed </w:t>
      </w:r>
      <w:r w:rsidR="000D5DA5">
        <w:t>12</w:t>
      </w:r>
      <w:r>
        <w:t> </w:t>
      </w:r>
      <w:r w:rsidR="00AF1EB5">
        <w:t>April 2018.</w:t>
      </w:r>
    </w:p>
    <w:p w14:paraId="049A5B72" w14:textId="71F95A9F" w:rsidR="00BB2D52" w:rsidRDefault="004A59BC" w:rsidP="004A59BC">
      <w:pPr>
        <w:pStyle w:val="ListNo1"/>
        <w:numPr>
          <w:ilvl w:val="0"/>
          <w:numId w:val="0"/>
        </w:numPr>
      </w:pPr>
      <w:r>
        <w:t xml:space="preserve">(3)  </w:t>
      </w:r>
      <w:r w:rsidR="00BB2D52" w:rsidRPr="00EE2EC5">
        <w:t>Federal Court of Australia</w:t>
      </w:r>
      <w:r w:rsidR="00BB2D52">
        <w:t> –</w:t>
      </w:r>
    </w:p>
    <w:p w14:paraId="1EB4EF87" w14:textId="73E51BCB" w:rsidR="00C10D60" w:rsidRDefault="00C10D60" w:rsidP="00C10D60">
      <w:pPr>
        <w:pStyle w:val="ListNo2"/>
      </w:pPr>
      <w:r>
        <w:t xml:space="preserve">originating application a step for review in the Federal Court of Australia dated 21 May 2018 and signed by the applicant </w:t>
      </w:r>
      <w:r w:rsidR="008D64D6">
        <w:t>but</w:t>
      </w:r>
      <w:r>
        <w:t xml:space="preserve"> not accepted for filing;</w:t>
      </w:r>
    </w:p>
    <w:p w14:paraId="30B2CA1B" w14:textId="77777777" w:rsidR="00BB2D52" w:rsidRDefault="00BB2D52" w:rsidP="00BA5E00">
      <w:pPr>
        <w:pStyle w:val="ListNo2"/>
      </w:pPr>
      <w:r>
        <w:t>originating application filed 27 December 2018;</w:t>
      </w:r>
    </w:p>
    <w:p w14:paraId="56002F4B" w14:textId="474A5CD3" w:rsidR="00BB2D52" w:rsidRDefault="00BB2D52" w:rsidP="00BA5E00">
      <w:pPr>
        <w:pStyle w:val="ListNo2"/>
      </w:pPr>
      <w:r>
        <w:t xml:space="preserve">notice of a constitutional matter under s 78B of the </w:t>
      </w:r>
      <w:r>
        <w:rPr>
          <w:i/>
        </w:rPr>
        <w:t>Judiciary Act 1903</w:t>
      </w:r>
      <w:r w:rsidR="000D5DA5">
        <w:rPr>
          <w:i/>
        </w:rPr>
        <w:t xml:space="preserve"> </w:t>
      </w:r>
      <w:r w:rsidR="000D5DA5">
        <w:t>(</w:t>
      </w:r>
      <w:proofErr w:type="spellStart"/>
      <w:r w:rsidR="000D5DA5">
        <w:t>Cth</w:t>
      </w:r>
      <w:proofErr w:type="spellEnd"/>
      <w:r w:rsidR="000D5DA5">
        <w:t>)</w:t>
      </w:r>
      <w:r>
        <w:t xml:space="preserve"> filed 28 June 2019;</w:t>
      </w:r>
    </w:p>
    <w:p w14:paraId="60234701" w14:textId="77777777" w:rsidR="00BB2D52" w:rsidRDefault="00BB2D52" w:rsidP="00BA5E00">
      <w:pPr>
        <w:pStyle w:val="ListNo2"/>
      </w:pPr>
      <w:r>
        <w:t>interlocutory application filed 1 August 2019;</w:t>
      </w:r>
    </w:p>
    <w:p w14:paraId="4467EDBF" w14:textId="5CCD74FC" w:rsidR="00BB2D52" w:rsidRDefault="00BB2D52" w:rsidP="00BA5E00">
      <w:pPr>
        <w:pStyle w:val="ListNo2"/>
      </w:pPr>
      <w:r>
        <w:t xml:space="preserve">notice of a constitutional matter under s 78B of the </w:t>
      </w:r>
      <w:r>
        <w:rPr>
          <w:i/>
        </w:rPr>
        <w:t xml:space="preserve">Judiciary Act </w:t>
      </w:r>
      <w:r>
        <w:t>filed 29 August 2019;</w:t>
      </w:r>
    </w:p>
    <w:p w14:paraId="62187FF1" w14:textId="77777777" w:rsidR="00BB2D52" w:rsidRDefault="00BB2D52" w:rsidP="00BA5E00">
      <w:pPr>
        <w:pStyle w:val="ListNo2"/>
      </w:pPr>
      <w:proofErr w:type="gramStart"/>
      <w:r>
        <w:t>interlocutory</w:t>
      </w:r>
      <w:proofErr w:type="gramEnd"/>
      <w:r>
        <w:t xml:space="preserve"> application filed 15 November 2019.</w:t>
      </w:r>
    </w:p>
    <w:p w14:paraId="60F12C4C" w14:textId="253A2560" w:rsidR="00BB2D52" w:rsidRPr="00444601" w:rsidRDefault="004A59BC" w:rsidP="004A59BC">
      <w:pPr>
        <w:pStyle w:val="ListNo1"/>
        <w:numPr>
          <w:ilvl w:val="0"/>
          <w:numId w:val="0"/>
        </w:numPr>
      </w:pPr>
      <w:r>
        <w:t xml:space="preserve">(4)  </w:t>
      </w:r>
      <w:r w:rsidR="00BB2D52" w:rsidRPr="00EE2EC5">
        <w:rPr>
          <w:i/>
        </w:rPr>
        <w:t>High Court of Australia</w:t>
      </w:r>
      <w:r w:rsidR="00BB2D52">
        <w:t>, application for removal to High Court of Australia dated 9 October 2019.</w:t>
      </w:r>
    </w:p>
    <w:p w14:paraId="774A584A" w14:textId="5EA237E2" w:rsidR="00B04B01" w:rsidRDefault="00371E05" w:rsidP="00371E05">
      <w:pPr>
        <w:pStyle w:val="Heading3"/>
      </w:pPr>
      <w:r>
        <w:lastRenderedPageBreak/>
        <w:t xml:space="preserve">Further interlocutory applications by Mrs </w:t>
      </w:r>
      <w:proofErr w:type="spellStart"/>
      <w:r>
        <w:t>Fokas</w:t>
      </w:r>
      <w:proofErr w:type="spellEnd"/>
    </w:p>
    <w:p w14:paraId="2F2FE455" w14:textId="1A9DA814" w:rsidR="00775AD0" w:rsidRDefault="00775AD0" w:rsidP="00335B6C">
      <w:pPr>
        <w:pStyle w:val="Heading4"/>
      </w:pPr>
      <w:r>
        <w:t>Interlocu</w:t>
      </w:r>
      <w:r w:rsidR="00335B6C">
        <w:t>to</w:t>
      </w:r>
      <w:r>
        <w:t xml:space="preserve">ry application filed </w:t>
      </w:r>
      <w:r w:rsidR="00335B6C">
        <w:t>15 November 2019</w:t>
      </w:r>
    </w:p>
    <w:p w14:paraId="23366CF3" w14:textId="7B4E3651" w:rsidR="00720280" w:rsidRDefault="00EF29B5" w:rsidP="00720280">
      <w:pPr>
        <w:pStyle w:val="ParaNumbering"/>
      </w:pPr>
      <w:bookmarkStart w:id="22" w:name="_Ref27726571"/>
      <w:r>
        <w:t xml:space="preserve">On </w:t>
      </w:r>
      <w:r w:rsidR="00462F25">
        <w:t>15 </w:t>
      </w:r>
      <w:r w:rsidR="001C3D4E">
        <w:t xml:space="preserve">November 2019, and after I had given summary judgment on </w:t>
      </w:r>
      <w:r w:rsidR="00462F25">
        <w:t>21 </w:t>
      </w:r>
      <w:r w:rsidR="001C3D4E">
        <w:t xml:space="preserve">October 2019, </w:t>
      </w:r>
      <w:r w:rsidR="00462F25">
        <w:t>Mrs </w:t>
      </w:r>
      <w:proofErr w:type="spellStart"/>
      <w:r w:rsidR="004E0AB1">
        <w:t>Fokas</w:t>
      </w:r>
      <w:proofErr w:type="spellEnd"/>
      <w:r w:rsidR="004E0AB1">
        <w:t xml:space="preserve"> filed </w:t>
      </w:r>
      <w:r w:rsidR="001A7DDF">
        <w:t>an</w:t>
      </w:r>
      <w:r w:rsidR="004E0AB1">
        <w:t xml:space="preserve"> interlocutory application </w:t>
      </w:r>
      <w:r w:rsidR="001C3D4E">
        <w:t xml:space="preserve">in this proceeding </w:t>
      </w:r>
      <w:r w:rsidR="004E0AB1">
        <w:t xml:space="preserve">which </w:t>
      </w:r>
      <w:r w:rsidR="005355B2">
        <w:t>was</w:t>
      </w:r>
      <w:r w:rsidR="004E0AB1">
        <w:t xml:space="preserve"> </w:t>
      </w:r>
      <w:r w:rsidR="001A7DDF">
        <w:t>made</w:t>
      </w:r>
      <w:r w:rsidR="004E0AB1">
        <w:t xml:space="preserve"> returnable </w:t>
      </w:r>
      <w:r w:rsidR="005355B2">
        <w:t xml:space="preserve">on </w:t>
      </w:r>
      <w:r w:rsidR="00462F25">
        <w:t>22 </w:t>
      </w:r>
      <w:r w:rsidR="005355B2">
        <w:t>November 2019</w:t>
      </w:r>
      <w:r w:rsidR="004E0AB1">
        <w:t xml:space="preserve">. By that application, </w:t>
      </w:r>
      <w:r w:rsidR="00462F25">
        <w:t>Mrs </w:t>
      </w:r>
      <w:proofErr w:type="spellStart"/>
      <w:r w:rsidR="004E0AB1">
        <w:t>Fokas</w:t>
      </w:r>
      <w:proofErr w:type="spellEnd"/>
      <w:r w:rsidR="004E0AB1">
        <w:t xml:space="preserve"> </w:t>
      </w:r>
      <w:r w:rsidR="00775AD0">
        <w:t>sought</w:t>
      </w:r>
      <w:r w:rsidR="004E0AB1">
        <w:t xml:space="preserve"> the following orders</w:t>
      </w:r>
      <w:r w:rsidR="00296244">
        <w:t xml:space="preserve">, which I set out </w:t>
      </w:r>
      <w:r w:rsidR="00296244">
        <w:rPr>
          <w:i/>
        </w:rPr>
        <w:t>verbatim</w:t>
      </w:r>
      <w:r w:rsidR="00296244">
        <w:t> –</w:t>
      </w:r>
      <w:bookmarkEnd w:id="22"/>
    </w:p>
    <w:p w14:paraId="0BBD1FE9" w14:textId="0A7A9901" w:rsidR="00296244" w:rsidRDefault="00987986" w:rsidP="00FF009B">
      <w:pPr>
        <w:pStyle w:val="Quote1"/>
        <w:numPr>
          <w:ilvl w:val="0"/>
          <w:numId w:val="25"/>
        </w:numPr>
        <w:ind w:left="1440" w:hanging="703"/>
      </w:pPr>
      <w:r>
        <w:t>Stay of a decision of an Authority that is: That the Court made me bankrupt.</w:t>
      </w:r>
      <w:r w:rsidR="002915F4">
        <w:t xml:space="preserve"> </w:t>
      </w:r>
      <w:r>
        <w:t>In other words that the Court made a Sequestration order against my</w:t>
      </w:r>
      <w:r w:rsidR="003B51F6">
        <w:t xml:space="preserve"> </w:t>
      </w:r>
      <w:r>
        <w:t>residency, 14 English Street Kogarah 2217 Sydney NSW.</w:t>
      </w:r>
    </w:p>
    <w:p w14:paraId="407607DD" w14:textId="74BBD164" w:rsidR="002915F4" w:rsidRDefault="003B51F6" w:rsidP="003B51F6">
      <w:pPr>
        <w:pStyle w:val="Quote1"/>
        <w:ind w:left="1440" w:hanging="703"/>
      </w:pPr>
      <w:r>
        <w:t>B</w:t>
      </w:r>
      <w:r>
        <w:tab/>
      </w:r>
      <w:r w:rsidR="002915F4">
        <w:t xml:space="preserve">That Justice </w:t>
      </w:r>
      <w:proofErr w:type="spellStart"/>
      <w:r w:rsidR="002915F4">
        <w:t>Wheelahan</w:t>
      </w:r>
      <w:proofErr w:type="spellEnd"/>
      <w:r w:rsidR="002915F4">
        <w:t xml:space="preserve"> directs that the further hearing coming before the</w:t>
      </w:r>
      <w:r>
        <w:t xml:space="preserve"> </w:t>
      </w:r>
      <w:r w:rsidR="002915F4">
        <w:t>Court on Friday 22 November 2019 be heard by the full Court Federal Court of</w:t>
      </w:r>
      <w:r>
        <w:t xml:space="preserve"> </w:t>
      </w:r>
      <w:r w:rsidR="002915F4">
        <w:t>Australia.</w:t>
      </w:r>
    </w:p>
    <w:p w14:paraId="63D6910D" w14:textId="3557AFA4" w:rsidR="002915F4" w:rsidRDefault="003B51F6" w:rsidP="002915F4">
      <w:pPr>
        <w:pStyle w:val="Quote1"/>
      </w:pPr>
      <w:r>
        <w:t>C</w:t>
      </w:r>
      <w:r>
        <w:tab/>
      </w:r>
      <w:r w:rsidR="002915F4">
        <w:t>Set aside his decision as to costs</w:t>
      </w:r>
      <w:r>
        <w:t>.</w:t>
      </w:r>
    </w:p>
    <w:p w14:paraId="2483F628" w14:textId="7C6F4FFF" w:rsidR="00EF29B5" w:rsidRDefault="00EF29B5" w:rsidP="00EF29B5">
      <w:pPr>
        <w:pStyle w:val="Heading4"/>
      </w:pPr>
      <w:bookmarkStart w:id="23" w:name="_Ref27735159"/>
      <w:r>
        <w:t>The applicant</w:t>
      </w:r>
      <w:r w:rsidR="00AD58B0">
        <w:t>’</w:t>
      </w:r>
      <w:r>
        <w:t>s short minutes of order</w:t>
      </w:r>
    </w:p>
    <w:p w14:paraId="0409D73B" w14:textId="213C0E02" w:rsidR="0051150C" w:rsidRDefault="0051150C" w:rsidP="0051150C">
      <w:pPr>
        <w:pStyle w:val="ParaNumbering"/>
      </w:pPr>
      <w:bookmarkStart w:id="24" w:name="_Ref27984737"/>
      <w:r>
        <w:t xml:space="preserve">At the commencement of the resumption of the hearing on </w:t>
      </w:r>
      <w:r w:rsidR="00462F25">
        <w:t>16 </w:t>
      </w:r>
      <w:r>
        <w:t xml:space="preserve">December 2019, </w:t>
      </w:r>
      <w:r w:rsidR="00462F25">
        <w:t>Mrs </w:t>
      </w:r>
      <w:proofErr w:type="spellStart"/>
      <w:r>
        <w:t>Fokas</w:t>
      </w:r>
      <w:proofErr w:type="spellEnd"/>
      <w:r>
        <w:t xml:space="preserve"> handed to the Court a document titled </w:t>
      </w:r>
      <w:r w:rsidR="00AD58B0">
        <w:t>“</w:t>
      </w:r>
      <w:r>
        <w:t>Short Minutes of Order</w:t>
      </w:r>
      <w:r w:rsidR="00AD58B0">
        <w:t>”</w:t>
      </w:r>
      <w:r>
        <w:t xml:space="preserve"> which sought the following</w:t>
      </w:r>
      <w:r w:rsidR="003F03F0">
        <w:t xml:space="preserve">, which again I set out </w:t>
      </w:r>
      <w:r w:rsidR="003F03F0">
        <w:rPr>
          <w:i/>
        </w:rPr>
        <w:t>verbatim</w:t>
      </w:r>
      <w:r>
        <w:t> –</w:t>
      </w:r>
      <w:bookmarkEnd w:id="24"/>
    </w:p>
    <w:p w14:paraId="0892AFBB" w14:textId="77777777" w:rsidR="0051150C" w:rsidRDefault="0051150C" w:rsidP="0051150C">
      <w:pPr>
        <w:pStyle w:val="Quote1"/>
        <w:ind w:left="1440" w:hanging="703"/>
      </w:pPr>
      <w:r w:rsidRPr="00F902A2">
        <w:t>1.</w:t>
      </w:r>
      <w:r>
        <w:tab/>
        <w:t>Leave to amend the Interlocutory Application date 15 November 2019.</w:t>
      </w:r>
    </w:p>
    <w:p w14:paraId="7E6C3C5F" w14:textId="77777777" w:rsidR="0051150C" w:rsidRDefault="0051150C" w:rsidP="0051150C">
      <w:pPr>
        <w:pStyle w:val="Quote1"/>
        <w:ind w:left="1440" w:hanging="703"/>
      </w:pPr>
      <w:r>
        <w:t>2.</w:t>
      </w:r>
      <w:r>
        <w:tab/>
        <w:t>Dispense with any requirement to file and serve an amended Interlocutory Application.</w:t>
      </w:r>
    </w:p>
    <w:p w14:paraId="1955057F" w14:textId="77777777" w:rsidR="0051150C" w:rsidRDefault="0051150C" w:rsidP="0051150C">
      <w:pPr>
        <w:pStyle w:val="Quote1"/>
        <w:ind w:left="1440" w:hanging="703"/>
      </w:pPr>
      <w:r>
        <w:t>3.</w:t>
      </w:r>
      <w:r>
        <w:tab/>
        <w:t>Stay a Creditors Petition filed 19 July 2012, in the Federal Magistrates Court NSW then.</w:t>
      </w:r>
    </w:p>
    <w:p w14:paraId="6DC08BB6" w14:textId="77777777" w:rsidR="0051150C" w:rsidRDefault="0051150C" w:rsidP="0051150C">
      <w:pPr>
        <w:pStyle w:val="Quote1"/>
        <w:ind w:left="1440" w:hanging="703"/>
      </w:pPr>
      <w:r>
        <w:t>4.</w:t>
      </w:r>
      <w:r>
        <w:tab/>
        <w:t>A proposed vexatious proceedings order be set aside. Made new orders instead.</w:t>
      </w:r>
    </w:p>
    <w:p w14:paraId="0EBCB643" w14:textId="77777777" w:rsidR="0051150C" w:rsidRDefault="0051150C" w:rsidP="0051150C">
      <w:pPr>
        <w:pStyle w:val="Quote1"/>
        <w:ind w:left="1440" w:hanging="703"/>
      </w:pPr>
      <w:r>
        <w:t>5.</w:t>
      </w:r>
      <w:r>
        <w:tab/>
        <w:t>The courts order made/given on 21 October 2019 be made void.</w:t>
      </w:r>
    </w:p>
    <w:p w14:paraId="78A8E69A" w14:textId="77777777" w:rsidR="0051150C" w:rsidRDefault="0051150C" w:rsidP="0051150C">
      <w:pPr>
        <w:pStyle w:val="Quote1"/>
        <w:ind w:left="1440" w:hanging="703"/>
      </w:pPr>
      <w:r>
        <w:t>6.</w:t>
      </w:r>
      <w:r>
        <w:tab/>
        <w:t>Order 4. By Fagan J Supreme Court NSW, made on 28 February 2018 file No: 2016/213128 be made void.</w:t>
      </w:r>
    </w:p>
    <w:p w14:paraId="02A39FFB" w14:textId="77777777" w:rsidR="0051150C" w:rsidRDefault="0051150C" w:rsidP="0051150C">
      <w:pPr>
        <w:pStyle w:val="Quote1"/>
        <w:ind w:left="1440" w:hanging="703"/>
      </w:pPr>
      <w:r>
        <w:t>7.</w:t>
      </w:r>
      <w:r>
        <w:tab/>
        <w:t xml:space="preserve">Order 2. </w:t>
      </w:r>
      <w:proofErr w:type="gramStart"/>
      <w:r>
        <w:t>and</w:t>
      </w:r>
      <w:proofErr w:type="gramEnd"/>
      <w:r>
        <w:t xml:space="preserve"> 3. Made on 5</w:t>
      </w:r>
      <w:r w:rsidRPr="005806F7">
        <w:rPr>
          <w:vertAlign w:val="superscript"/>
        </w:rPr>
        <w:t>th</w:t>
      </w:r>
      <w:r>
        <w:t> April 2018 at the Supreme Court NSW. File No: 2018/00099701, be made void.</w:t>
      </w:r>
    </w:p>
    <w:p w14:paraId="5A3D0160" w14:textId="1BBF8B03" w:rsidR="0051150C" w:rsidRDefault="0051150C" w:rsidP="007650E2">
      <w:pPr>
        <w:pStyle w:val="ParaNumbering"/>
      </w:pPr>
      <w:bookmarkStart w:id="25" w:name="_Ref27726582"/>
      <w:r>
        <w:t>Order 5 seeks to re</w:t>
      </w:r>
      <w:r w:rsidR="004C390B">
        <w:t>-</w:t>
      </w:r>
      <w:r>
        <w:t xml:space="preserve">litigate the orders that I made on </w:t>
      </w:r>
      <w:r w:rsidR="00DF62BE">
        <w:t>21 </w:t>
      </w:r>
      <w:r>
        <w:t xml:space="preserve">October 2018. Mrs </w:t>
      </w:r>
      <w:proofErr w:type="spellStart"/>
      <w:r>
        <w:t>Fokas</w:t>
      </w:r>
      <w:proofErr w:type="spellEnd"/>
      <w:r>
        <w:t xml:space="preserve"> confirmed during the hearing that</w:t>
      </w:r>
      <w:r w:rsidRPr="00D76FBC">
        <w:t xml:space="preserve"> by proposed orders 6 and 7 set out above, </w:t>
      </w:r>
      <w:r>
        <w:t xml:space="preserve">she sought an order from this Court declaring the orders of the Supreme Court of New South Wales of </w:t>
      </w:r>
      <w:r w:rsidR="00DF62BE">
        <w:t>28 </w:t>
      </w:r>
      <w:r>
        <w:t xml:space="preserve">February 2018 and </w:t>
      </w:r>
      <w:r w:rsidR="00DF62BE">
        <w:t>5 </w:t>
      </w:r>
      <w:r>
        <w:t>April 2018 to be void.</w:t>
      </w:r>
      <w:bookmarkEnd w:id="25"/>
      <w:r w:rsidR="00BE5A84">
        <w:t xml:space="preserve"> As to the orders made </w:t>
      </w:r>
      <w:r w:rsidR="0053313C">
        <w:t xml:space="preserve">by that Court </w:t>
      </w:r>
      <w:r w:rsidR="00BE5A84">
        <w:t xml:space="preserve">on </w:t>
      </w:r>
      <w:r w:rsidR="00DF62BE">
        <w:t>28 </w:t>
      </w:r>
      <w:r w:rsidR="00BE5A84">
        <w:t xml:space="preserve">February 2018, Fagan J </w:t>
      </w:r>
      <w:r w:rsidR="00C330EC">
        <w:t xml:space="preserve">had </w:t>
      </w:r>
      <w:r w:rsidR="00BE5A84">
        <w:t xml:space="preserve">by order 4 </w:t>
      </w:r>
      <w:r w:rsidR="003B6010">
        <w:t xml:space="preserve">prohibited </w:t>
      </w:r>
      <w:r w:rsidR="00DF62BE">
        <w:t>Mrs </w:t>
      </w:r>
      <w:proofErr w:type="spellStart"/>
      <w:r w:rsidR="003B6010">
        <w:t>Fokas</w:t>
      </w:r>
      <w:proofErr w:type="spellEnd"/>
      <w:r w:rsidR="003B6010">
        <w:t xml:space="preserve"> pursuant to the </w:t>
      </w:r>
      <w:r w:rsidR="003B6010" w:rsidRPr="0047018F">
        <w:rPr>
          <w:i/>
        </w:rPr>
        <w:t xml:space="preserve">Vexatious Proceedings Act 2008 </w:t>
      </w:r>
      <w:r w:rsidR="003B6010">
        <w:t>(NSW) from instituting proceedings in New South Wales</w:t>
      </w:r>
      <w:r w:rsidR="00176D39">
        <w:t xml:space="preserve">: </w:t>
      </w:r>
      <w:r w:rsidR="0047018F" w:rsidRPr="0047018F">
        <w:rPr>
          <w:i/>
        </w:rPr>
        <w:t xml:space="preserve">Mansfield as Trustee of the Bankrupt Estate of Maria </w:t>
      </w:r>
      <w:proofErr w:type="spellStart"/>
      <w:r w:rsidR="0047018F" w:rsidRPr="0047018F">
        <w:rPr>
          <w:i/>
        </w:rPr>
        <w:t>Fokas</w:t>
      </w:r>
      <w:proofErr w:type="spellEnd"/>
      <w:r w:rsidR="0047018F" w:rsidRPr="0047018F">
        <w:rPr>
          <w:i/>
        </w:rPr>
        <w:t xml:space="preserve"> v Maria </w:t>
      </w:r>
      <w:proofErr w:type="spellStart"/>
      <w:r w:rsidR="0047018F" w:rsidRPr="0047018F">
        <w:rPr>
          <w:i/>
        </w:rPr>
        <w:t>Fokas</w:t>
      </w:r>
      <w:proofErr w:type="spellEnd"/>
      <w:r w:rsidR="0047018F">
        <w:t xml:space="preserve"> </w:t>
      </w:r>
      <w:r w:rsidR="00176D39">
        <w:t>[2018] NSWSC 249</w:t>
      </w:r>
      <w:r w:rsidR="003B6010">
        <w:t xml:space="preserve">. And </w:t>
      </w:r>
      <w:r w:rsidR="00176D39">
        <w:t xml:space="preserve">as to the orders made on </w:t>
      </w:r>
      <w:r w:rsidR="00890439">
        <w:t>5 </w:t>
      </w:r>
      <w:r w:rsidR="00176D39">
        <w:t xml:space="preserve">April 2018, </w:t>
      </w:r>
      <w:proofErr w:type="spellStart"/>
      <w:r w:rsidR="00007211">
        <w:lastRenderedPageBreak/>
        <w:t>Darke</w:t>
      </w:r>
      <w:proofErr w:type="spellEnd"/>
      <w:r w:rsidR="00007211">
        <w:t xml:space="preserve"> J </w:t>
      </w:r>
      <w:r w:rsidR="00C330EC">
        <w:t xml:space="preserve">had </w:t>
      </w:r>
      <w:r w:rsidR="00007211">
        <w:t xml:space="preserve">ordered that </w:t>
      </w:r>
      <w:r w:rsidR="00890439">
        <w:t>Mrs </w:t>
      </w:r>
      <w:proofErr w:type="spellStart"/>
      <w:r w:rsidR="00007211">
        <w:t>Fokas</w:t>
      </w:r>
      <w:proofErr w:type="spellEnd"/>
      <w:r w:rsidR="00007211">
        <w:t xml:space="preserve"> be permanently restrained from lodging or registering any further caveats or dealings over her former property, and </w:t>
      </w:r>
      <w:r w:rsidR="00C330EC">
        <w:t xml:space="preserve">ordered </w:t>
      </w:r>
      <w:r w:rsidR="00007211">
        <w:t xml:space="preserve">that the Registrar-General </w:t>
      </w:r>
      <w:r w:rsidR="005312E6">
        <w:t xml:space="preserve">be restrained from accepting any such caveats or dealings from </w:t>
      </w:r>
      <w:r w:rsidR="00890439">
        <w:t>Mrs </w:t>
      </w:r>
      <w:proofErr w:type="spellStart"/>
      <w:r w:rsidR="005312E6">
        <w:t>Fokas</w:t>
      </w:r>
      <w:proofErr w:type="spellEnd"/>
      <w:r w:rsidR="005312E6">
        <w:t>.</w:t>
      </w:r>
    </w:p>
    <w:p w14:paraId="716AAB9F" w14:textId="4B106D24" w:rsidR="0051150C" w:rsidRDefault="0051150C" w:rsidP="0051150C">
      <w:pPr>
        <w:pStyle w:val="ParaNumbering"/>
      </w:pPr>
      <w:bookmarkStart w:id="26" w:name="_Ref30338961"/>
      <w:r>
        <w:t xml:space="preserve">I determined to treat the orders sought by </w:t>
      </w:r>
      <w:r w:rsidR="00890439">
        <w:t>Mrs </w:t>
      </w:r>
      <w:proofErr w:type="spellStart"/>
      <w:r>
        <w:t>Fokas</w:t>
      </w:r>
      <w:proofErr w:type="spellEnd"/>
      <w:r>
        <w:t xml:space="preserve"> in the short minutes of order as part of her interlocutory application filed </w:t>
      </w:r>
      <w:r w:rsidR="00890439">
        <w:t>15 </w:t>
      </w:r>
      <w:r>
        <w:t xml:space="preserve">November 2019, and I dispensed with any requirement that </w:t>
      </w:r>
      <w:r w:rsidR="00890439">
        <w:t>Mrs </w:t>
      </w:r>
      <w:proofErr w:type="spellStart"/>
      <w:r>
        <w:t>Fokas</w:t>
      </w:r>
      <w:proofErr w:type="spellEnd"/>
      <w:r>
        <w:t xml:space="preserve"> file an amended interlocutory application.</w:t>
      </w:r>
      <w:bookmarkEnd w:id="26"/>
    </w:p>
    <w:p w14:paraId="2E4D1236" w14:textId="25A97FED" w:rsidR="0051150C" w:rsidRDefault="0051150C" w:rsidP="0051150C">
      <w:pPr>
        <w:pStyle w:val="Heading3"/>
      </w:pPr>
      <w:r>
        <w:t xml:space="preserve">Affidavit material filed by Mrs </w:t>
      </w:r>
      <w:proofErr w:type="spellStart"/>
      <w:r>
        <w:t>Fokas</w:t>
      </w:r>
      <w:proofErr w:type="spellEnd"/>
    </w:p>
    <w:p w14:paraId="44A74A0D" w14:textId="0402B1C4" w:rsidR="003B51F6" w:rsidRDefault="001E4817" w:rsidP="00050E26">
      <w:pPr>
        <w:pStyle w:val="ParaNumbering"/>
      </w:pPr>
      <w:bookmarkStart w:id="27" w:name="_Ref27914860"/>
      <w:r>
        <w:t>The interlocutory app</w:t>
      </w:r>
      <w:r w:rsidR="001A7DDF">
        <w:t xml:space="preserve">lication </w:t>
      </w:r>
      <w:r w:rsidR="00F56B92">
        <w:t xml:space="preserve">filed </w:t>
      </w:r>
      <w:r w:rsidR="00E80520">
        <w:t>15 </w:t>
      </w:r>
      <w:r w:rsidR="00F56B92">
        <w:t xml:space="preserve">November 2019 </w:t>
      </w:r>
      <w:r w:rsidR="001A7DDF">
        <w:t>wa</w:t>
      </w:r>
      <w:r>
        <w:t>s supported by an affidavit</w:t>
      </w:r>
      <w:r w:rsidR="004E3D92">
        <w:t xml:space="preserve"> of </w:t>
      </w:r>
      <w:r w:rsidR="00E80520">
        <w:t>Mrs </w:t>
      </w:r>
      <w:proofErr w:type="spellStart"/>
      <w:r w:rsidR="004E3D92">
        <w:t>Fokas</w:t>
      </w:r>
      <w:proofErr w:type="spellEnd"/>
      <w:r w:rsidR="00682E93">
        <w:t xml:space="preserve"> dated </w:t>
      </w:r>
      <w:r w:rsidR="00E80520">
        <w:t>15 </w:t>
      </w:r>
      <w:r w:rsidR="00682E93">
        <w:t>November 2019</w:t>
      </w:r>
      <w:r>
        <w:t xml:space="preserve"> </w:t>
      </w:r>
      <w:r w:rsidR="002B334F">
        <w:t>of ten pages,</w:t>
      </w:r>
      <w:r w:rsidR="00F70163">
        <w:t xml:space="preserve"> together with an additional 162</w:t>
      </w:r>
      <w:r w:rsidR="002B334F">
        <w:t xml:space="preserve"> pages of annexures.</w:t>
      </w:r>
      <w:r w:rsidR="00F025F7">
        <w:t xml:space="preserve"> </w:t>
      </w:r>
      <w:r w:rsidR="001A49A2">
        <w:t>In</w:t>
      </w:r>
      <w:r w:rsidR="001A7DDF">
        <w:t xml:space="preserve"> her affidavit, </w:t>
      </w:r>
      <w:r w:rsidR="002C0A32">
        <w:t>Mrs </w:t>
      </w:r>
      <w:proofErr w:type="spellStart"/>
      <w:r w:rsidR="001A7DDF">
        <w:t>Fokas</w:t>
      </w:r>
      <w:proofErr w:type="spellEnd"/>
      <w:r w:rsidR="001A7DDF">
        <w:t xml:space="preserve"> stated</w:t>
      </w:r>
      <w:r w:rsidR="001A49A2">
        <w:t xml:space="preserve"> her occupation </w:t>
      </w:r>
      <w:r w:rsidR="001758BF">
        <w:t>w</w:t>
      </w:r>
      <w:r w:rsidR="001A49A2">
        <w:t xml:space="preserve">as </w:t>
      </w:r>
      <w:r w:rsidR="00AD58B0">
        <w:t>“</w:t>
      </w:r>
      <w:r w:rsidR="001A49A2">
        <w:t>managing court issues</w:t>
      </w:r>
      <w:r w:rsidR="00AD58B0">
        <w:t>”</w:t>
      </w:r>
      <w:r w:rsidR="001A49A2">
        <w:t>.</w:t>
      </w:r>
      <w:r w:rsidR="00F025F7">
        <w:t xml:space="preserve"> </w:t>
      </w:r>
      <w:r w:rsidR="00E227A6">
        <w:t>By</w:t>
      </w:r>
      <w:r w:rsidR="0000093F">
        <w:t> </w:t>
      </w:r>
      <w:r w:rsidR="00E227A6">
        <w:t xml:space="preserve">her affidavit, </w:t>
      </w:r>
      <w:r w:rsidR="002C0A32">
        <w:t>Mrs </w:t>
      </w:r>
      <w:proofErr w:type="spellStart"/>
      <w:r w:rsidR="00E227A6">
        <w:t>Fokas</w:t>
      </w:r>
      <w:proofErr w:type="spellEnd"/>
      <w:r w:rsidR="00E227A6">
        <w:t xml:space="preserve"> </w:t>
      </w:r>
      <w:r w:rsidR="001A7DDF">
        <w:t>raised</w:t>
      </w:r>
      <w:r w:rsidR="00144AB7">
        <w:t xml:space="preserve"> arguments by which she </w:t>
      </w:r>
      <w:r w:rsidR="001A7DDF">
        <w:t>sought</w:t>
      </w:r>
      <w:r w:rsidR="00E227A6">
        <w:t xml:space="preserve"> to </w:t>
      </w:r>
      <w:r w:rsidR="00144AB7">
        <w:t xml:space="preserve">re-litigate </w:t>
      </w:r>
      <w:r w:rsidR="00E227A6">
        <w:t xml:space="preserve">the </w:t>
      </w:r>
      <w:r w:rsidR="00DF795C">
        <w:t>validity of the sequestration order</w:t>
      </w:r>
      <w:r w:rsidR="00055DC9">
        <w:t>, and by extension</w:t>
      </w:r>
      <w:r w:rsidR="00BC679A">
        <w:t>,</w:t>
      </w:r>
      <w:r w:rsidR="000609AC">
        <w:t xml:space="preserve"> the order of </w:t>
      </w:r>
      <w:r w:rsidR="00475EE4">
        <w:t xml:space="preserve">this </w:t>
      </w:r>
      <w:r w:rsidR="000609AC">
        <w:t>Court made</w:t>
      </w:r>
      <w:r w:rsidR="0000093F">
        <w:t xml:space="preserve"> on</w:t>
      </w:r>
      <w:r w:rsidR="000609AC">
        <w:t xml:space="preserve"> </w:t>
      </w:r>
      <w:r w:rsidR="002C0A32">
        <w:t>21 </w:t>
      </w:r>
      <w:r w:rsidR="000609AC">
        <w:t>October 2019 that there be judgment for the</w:t>
      </w:r>
      <w:r w:rsidR="00D85356">
        <w:t xml:space="preserve"> Trustee as</w:t>
      </w:r>
      <w:r w:rsidR="000609AC">
        <w:t xml:space="preserve"> respondent</w:t>
      </w:r>
      <w:r w:rsidR="00DF795C">
        <w:t>. This is indicated by the introductory passages in the affidavit, which I set out below</w:t>
      </w:r>
      <w:r w:rsidR="00BC679A">
        <w:t> </w:t>
      </w:r>
      <w:r w:rsidR="00DF795C">
        <w:t>–</w:t>
      </w:r>
      <w:bookmarkEnd w:id="23"/>
      <w:bookmarkEnd w:id="27"/>
    </w:p>
    <w:p w14:paraId="26009A24" w14:textId="38F6015A" w:rsidR="006D2F66" w:rsidRDefault="006D2F66" w:rsidP="009B3AE4">
      <w:pPr>
        <w:pStyle w:val="Quote1"/>
        <w:rPr>
          <w:b/>
          <w:bCs/>
          <w:sz w:val="23"/>
          <w:szCs w:val="23"/>
          <w:lang w:eastAsia="en-AU"/>
        </w:rPr>
      </w:pPr>
      <w:r>
        <w:rPr>
          <w:lang w:eastAsia="en-AU"/>
        </w:rPr>
        <w:t>The Authority, (the Council), decided that a Sequestration Order was made</w:t>
      </w:r>
      <w:r w:rsidR="009C7FE3">
        <w:rPr>
          <w:lang w:eastAsia="en-AU"/>
        </w:rPr>
        <w:t xml:space="preserve"> </w:t>
      </w:r>
      <w:r>
        <w:rPr>
          <w:lang w:eastAsia="en-AU"/>
        </w:rPr>
        <w:t xml:space="preserve">against me. </w:t>
      </w:r>
      <w:r w:rsidR="009C7FE3">
        <w:rPr>
          <w:b/>
          <w:bCs/>
          <w:sz w:val="23"/>
          <w:szCs w:val="23"/>
          <w:lang w:eastAsia="en-AU"/>
        </w:rPr>
        <w:t xml:space="preserve">EXHIBIT </w:t>
      </w:r>
      <w:r w:rsidR="00AD58B0">
        <w:rPr>
          <w:b/>
          <w:bCs/>
          <w:sz w:val="23"/>
          <w:szCs w:val="23"/>
          <w:lang w:eastAsia="en-AU"/>
        </w:rPr>
        <w:t>“</w:t>
      </w:r>
      <w:r w:rsidR="00A67C16">
        <w:rPr>
          <w:b/>
          <w:bCs/>
          <w:sz w:val="23"/>
          <w:szCs w:val="23"/>
          <w:lang w:eastAsia="en-AU"/>
        </w:rPr>
        <w:t>A1</w:t>
      </w:r>
      <w:r w:rsidR="00AD58B0">
        <w:rPr>
          <w:b/>
          <w:bCs/>
          <w:sz w:val="23"/>
          <w:szCs w:val="23"/>
          <w:lang w:eastAsia="en-AU"/>
        </w:rPr>
        <w:t>”</w:t>
      </w:r>
      <w:r>
        <w:rPr>
          <w:b/>
          <w:bCs/>
          <w:sz w:val="23"/>
          <w:szCs w:val="23"/>
          <w:lang w:eastAsia="en-AU"/>
        </w:rPr>
        <w:t>.</w:t>
      </w:r>
    </w:p>
    <w:p w14:paraId="002620F6" w14:textId="77777777" w:rsidR="006D2F66" w:rsidRDefault="006D2F66" w:rsidP="009B3AE4">
      <w:pPr>
        <w:pStyle w:val="Quote1"/>
        <w:rPr>
          <w:b/>
          <w:bCs/>
          <w:sz w:val="23"/>
          <w:szCs w:val="23"/>
          <w:lang w:eastAsia="en-AU"/>
        </w:rPr>
      </w:pPr>
      <w:r>
        <w:rPr>
          <w:b/>
          <w:bCs/>
          <w:sz w:val="23"/>
          <w:szCs w:val="23"/>
          <w:lang w:eastAsia="en-AU"/>
        </w:rPr>
        <w:t>There are questions:</w:t>
      </w:r>
    </w:p>
    <w:p w14:paraId="7BAD59AC" w14:textId="3CC21F43" w:rsidR="006D2F66" w:rsidRDefault="00C925D2" w:rsidP="009B3AE4">
      <w:pPr>
        <w:pStyle w:val="Quote1"/>
        <w:ind w:left="1440" w:hanging="703"/>
        <w:rPr>
          <w:b/>
          <w:bCs/>
          <w:sz w:val="23"/>
          <w:szCs w:val="23"/>
          <w:lang w:eastAsia="en-AU"/>
        </w:rPr>
      </w:pPr>
      <w:r w:rsidRPr="00C925D2">
        <w:rPr>
          <w:lang w:eastAsia="en-AU"/>
        </w:rPr>
        <w:t>A.</w:t>
      </w:r>
      <w:r>
        <w:rPr>
          <w:lang w:eastAsia="en-AU"/>
        </w:rPr>
        <w:tab/>
      </w:r>
      <w:r w:rsidR="006D2F66" w:rsidRPr="00C925D2">
        <w:rPr>
          <w:lang w:eastAsia="en-AU"/>
        </w:rPr>
        <w:t>Did the Application to make a Sequestration Order comply with</w:t>
      </w:r>
      <w:r>
        <w:rPr>
          <w:lang w:eastAsia="en-AU"/>
        </w:rPr>
        <w:t xml:space="preserve"> </w:t>
      </w:r>
      <w:r w:rsidR="006D2F66">
        <w:rPr>
          <w:lang w:eastAsia="en-AU"/>
        </w:rPr>
        <w:t xml:space="preserve">requirements in the FMCB Rules 2006? </w:t>
      </w:r>
      <w:r w:rsidR="005639EC">
        <w:rPr>
          <w:b/>
          <w:bCs/>
          <w:sz w:val="23"/>
          <w:szCs w:val="23"/>
          <w:lang w:eastAsia="en-AU"/>
        </w:rPr>
        <w:t xml:space="preserve">EXHIBITS: </w:t>
      </w:r>
      <w:r w:rsidR="00AD58B0">
        <w:rPr>
          <w:b/>
          <w:bCs/>
          <w:sz w:val="23"/>
          <w:szCs w:val="23"/>
          <w:lang w:eastAsia="en-AU"/>
        </w:rPr>
        <w:t>“</w:t>
      </w:r>
      <w:r w:rsidR="005639EC">
        <w:rPr>
          <w:b/>
          <w:bCs/>
          <w:sz w:val="23"/>
          <w:szCs w:val="23"/>
          <w:lang w:eastAsia="en-AU"/>
        </w:rPr>
        <w:t>A2</w:t>
      </w:r>
      <w:r w:rsidR="00AD58B0">
        <w:rPr>
          <w:b/>
          <w:bCs/>
          <w:sz w:val="23"/>
          <w:szCs w:val="23"/>
          <w:lang w:eastAsia="en-AU"/>
        </w:rPr>
        <w:t>”</w:t>
      </w:r>
      <w:r w:rsidR="005639EC">
        <w:rPr>
          <w:b/>
          <w:bCs/>
          <w:sz w:val="23"/>
          <w:szCs w:val="23"/>
          <w:lang w:eastAsia="en-AU"/>
        </w:rPr>
        <w:t xml:space="preserve">, </w:t>
      </w:r>
      <w:r w:rsidR="00AD58B0">
        <w:rPr>
          <w:b/>
          <w:bCs/>
          <w:sz w:val="23"/>
          <w:szCs w:val="23"/>
          <w:lang w:eastAsia="en-AU"/>
        </w:rPr>
        <w:t>“</w:t>
      </w:r>
      <w:r w:rsidR="005639EC">
        <w:rPr>
          <w:b/>
          <w:bCs/>
          <w:sz w:val="23"/>
          <w:szCs w:val="23"/>
          <w:lang w:eastAsia="en-AU"/>
        </w:rPr>
        <w:t>A3</w:t>
      </w:r>
      <w:r w:rsidR="00AD58B0">
        <w:rPr>
          <w:b/>
          <w:bCs/>
          <w:sz w:val="23"/>
          <w:szCs w:val="23"/>
          <w:lang w:eastAsia="en-AU"/>
        </w:rPr>
        <w:t>”</w:t>
      </w:r>
      <w:r w:rsidR="006D2F66" w:rsidRPr="00A67C16">
        <w:t>.</w:t>
      </w:r>
    </w:p>
    <w:p w14:paraId="36658134" w14:textId="683BD228" w:rsidR="006D2F66" w:rsidRDefault="00C925D2" w:rsidP="009B3AE4">
      <w:pPr>
        <w:pStyle w:val="Quote1"/>
        <w:ind w:left="1440" w:hanging="703"/>
        <w:rPr>
          <w:lang w:eastAsia="en-AU"/>
        </w:rPr>
      </w:pPr>
      <w:r>
        <w:rPr>
          <w:lang w:eastAsia="en-AU"/>
        </w:rPr>
        <w:t>B.</w:t>
      </w:r>
      <w:r>
        <w:rPr>
          <w:lang w:eastAsia="en-AU"/>
        </w:rPr>
        <w:tab/>
      </w:r>
      <w:r w:rsidR="006D2F66">
        <w:rPr>
          <w:lang w:eastAsia="en-AU"/>
        </w:rPr>
        <w:t xml:space="preserve">Did the </w:t>
      </w:r>
      <w:r w:rsidR="00AD58B0">
        <w:rPr>
          <w:lang w:eastAsia="en-AU"/>
        </w:rPr>
        <w:t>‘</w:t>
      </w:r>
      <w:r w:rsidR="006D2F66">
        <w:rPr>
          <w:lang w:eastAsia="en-AU"/>
        </w:rPr>
        <w:t>Order, the form before the Registrar to sign and seal on</w:t>
      </w:r>
      <w:r>
        <w:rPr>
          <w:lang w:eastAsia="en-AU"/>
        </w:rPr>
        <w:t xml:space="preserve"> </w:t>
      </w:r>
      <w:r w:rsidR="006D2F66">
        <w:rPr>
          <w:lang w:eastAsia="en-AU"/>
        </w:rPr>
        <w:t>1st November 2012 have a title?</w:t>
      </w:r>
    </w:p>
    <w:p w14:paraId="6F1A725E" w14:textId="4F5503F5" w:rsidR="006D2F66" w:rsidRDefault="00C925D2" w:rsidP="009B3AE4">
      <w:pPr>
        <w:pStyle w:val="Quote1"/>
        <w:ind w:left="1440" w:hanging="703"/>
        <w:rPr>
          <w:lang w:eastAsia="en-AU"/>
        </w:rPr>
      </w:pPr>
      <w:r>
        <w:rPr>
          <w:lang w:eastAsia="en-AU"/>
        </w:rPr>
        <w:t>C.</w:t>
      </w:r>
      <w:r>
        <w:rPr>
          <w:lang w:eastAsia="en-AU"/>
        </w:rPr>
        <w:tab/>
      </w:r>
      <w:r w:rsidR="006D2F66">
        <w:rPr>
          <w:lang w:eastAsia="en-AU"/>
        </w:rPr>
        <w:t>Did it specify by whom it was filed?</w:t>
      </w:r>
    </w:p>
    <w:p w14:paraId="4413828E" w14:textId="0413FE5F" w:rsidR="006D2F66" w:rsidRDefault="00C925D2" w:rsidP="009B3AE4">
      <w:pPr>
        <w:pStyle w:val="Quote1"/>
        <w:ind w:left="1440" w:hanging="703"/>
        <w:rPr>
          <w:lang w:eastAsia="en-AU"/>
        </w:rPr>
      </w:pPr>
      <w:r>
        <w:rPr>
          <w:lang w:eastAsia="en-AU"/>
        </w:rPr>
        <w:t>D.</w:t>
      </w:r>
      <w:r>
        <w:rPr>
          <w:lang w:eastAsia="en-AU"/>
        </w:rPr>
        <w:tab/>
      </w:r>
      <w:r w:rsidR="006D2F66">
        <w:rPr>
          <w:lang w:eastAsia="en-AU"/>
        </w:rPr>
        <w:t>Was it required to be entered (to be signed and sealed) if in addition to any</w:t>
      </w:r>
      <w:r>
        <w:rPr>
          <w:lang w:eastAsia="en-AU"/>
        </w:rPr>
        <w:t xml:space="preserve"> </w:t>
      </w:r>
      <w:r w:rsidR="006D2F66">
        <w:rPr>
          <w:lang w:eastAsia="en-AU"/>
        </w:rPr>
        <w:t xml:space="preserve">provisions as to costs the </w:t>
      </w:r>
      <w:r w:rsidR="00AD58B0">
        <w:rPr>
          <w:lang w:eastAsia="en-AU"/>
        </w:rPr>
        <w:t>‘</w:t>
      </w:r>
      <w:r w:rsidR="006D2F66">
        <w:rPr>
          <w:lang w:eastAsia="en-AU"/>
        </w:rPr>
        <w:t>Order</w:t>
      </w:r>
      <w:r w:rsidR="00AD58B0">
        <w:rPr>
          <w:lang w:eastAsia="en-AU"/>
        </w:rPr>
        <w:t>’</w:t>
      </w:r>
      <w:r w:rsidR="006D2F66">
        <w:rPr>
          <w:lang w:eastAsia="en-AU"/>
        </w:rPr>
        <w:t xml:space="preserve"> made a direction on the hearing day of the</w:t>
      </w:r>
      <w:r w:rsidR="009C7FE3">
        <w:rPr>
          <w:lang w:eastAsia="en-AU"/>
        </w:rPr>
        <w:t xml:space="preserve"> </w:t>
      </w:r>
      <w:r w:rsidR="00AD58B0">
        <w:rPr>
          <w:lang w:eastAsia="en-AU"/>
        </w:rPr>
        <w:t>‘</w:t>
      </w:r>
      <w:r w:rsidR="009C7FE3">
        <w:rPr>
          <w:lang w:eastAsia="en-AU"/>
        </w:rPr>
        <w:t>Creditors</w:t>
      </w:r>
      <w:r w:rsidR="00AD58B0">
        <w:rPr>
          <w:lang w:eastAsia="en-AU"/>
        </w:rPr>
        <w:t>’</w:t>
      </w:r>
      <w:r w:rsidR="006D2F66">
        <w:rPr>
          <w:lang w:eastAsia="en-AU"/>
        </w:rPr>
        <w:t xml:space="preserve"> petition?</w:t>
      </w:r>
    </w:p>
    <w:p w14:paraId="39D37437" w14:textId="2C9ED9EF" w:rsidR="00DF795C" w:rsidRPr="006D2F66" w:rsidRDefault="00703D99" w:rsidP="009B3AE4">
      <w:pPr>
        <w:pStyle w:val="Quote1"/>
        <w:rPr>
          <w:sz w:val="24"/>
        </w:rPr>
      </w:pPr>
      <w:r>
        <w:rPr>
          <w:lang w:eastAsia="en-AU"/>
        </w:rPr>
        <w:t>E.</w:t>
      </w:r>
      <w:r>
        <w:rPr>
          <w:lang w:eastAsia="en-AU"/>
        </w:rPr>
        <w:tab/>
      </w:r>
      <w:r w:rsidR="006D2F66">
        <w:rPr>
          <w:lang w:eastAsia="en-AU"/>
        </w:rPr>
        <w:t xml:space="preserve">Was it a Direction? </w:t>
      </w:r>
      <w:r w:rsidR="009C7FE3">
        <w:rPr>
          <w:b/>
          <w:bCs/>
          <w:sz w:val="23"/>
          <w:szCs w:val="23"/>
          <w:lang w:eastAsia="en-AU"/>
        </w:rPr>
        <w:t xml:space="preserve">EXHIBIT </w:t>
      </w:r>
      <w:r w:rsidR="00AD58B0">
        <w:rPr>
          <w:b/>
          <w:bCs/>
          <w:sz w:val="23"/>
          <w:szCs w:val="23"/>
          <w:lang w:eastAsia="en-AU"/>
        </w:rPr>
        <w:t>“</w:t>
      </w:r>
      <w:r w:rsidR="009C7FE3">
        <w:rPr>
          <w:b/>
          <w:bCs/>
          <w:sz w:val="23"/>
          <w:szCs w:val="23"/>
          <w:lang w:eastAsia="en-AU"/>
        </w:rPr>
        <w:t>A4</w:t>
      </w:r>
      <w:r w:rsidR="00AD58B0">
        <w:rPr>
          <w:b/>
          <w:bCs/>
          <w:sz w:val="23"/>
          <w:szCs w:val="23"/>
          <w:lang w:eastAsia="en-AU"/>
        </w:rPr>
        <w:t>”</w:t>
      </w:r>
      <w:r w:rsidR="006D2F66">
        <w:rPr>
          <w:b/>
          <w:bCs/>
          <w:sz w:val="23"/>
          <w:szCs w:val="23"/>
          <w:lang w:eastAsia="en-AU"/>
        </w:rPr>
        <w:t>.</w:t>
      </w:r>
    </w:p>
    <w:p w14:paraId="1F51F0E1" w14:textId="11215726" w:rsidR="006D2F66" w:rsidRPr="00CD69BB" w:rsidRDefault="00703D99" w:rsidP="009B3AE4">
      <w:pPr>
        <w:pStyle w:val="Quote1"/>
      </w:pPr>
      <w:r w:rsidRPr="00CD69BB">
        <w:t>F.</w:t>
      </w:r>
      <w:r w:rsidRPr="00CD69BB">
        <w:tab/>
      </w:r>
      <w:r w:rsidR="006D2F66" w:rsidRPr="00CD69BB">
        <w:t>Was it a Judgment/order?</w:t>
      </w:r>
    </w:p>
    <w:p w14:paraId="2592B6B7" w14:textId="7C898CCF" w:rsidR="006D2F66" w:rsidRDefault="00703D99" w:rsidP="009B3AE4">
      <w:pPr>
        <w:pStyle w:val="Quote1"/>
        <w:rPr>
          <w:b/>
          <w:bCs/>
          <w:lang w:eastAsia="en-AU"/>
        </w:rPr>
      </w:pPr>
      <w:r>
        <w:rPr>
          <w:sz w:val="26"/>
          <w:szCs w:val="26"/>
          <w:lang w:eastAsia="en-AU"/>
        </w:rPr>
        <w:t>G.</w:t>
      </w:r>
      <w:r>
        <w:rPr>
          <w:sz w:val="26"/>
          <w:szCs w:val="26"/>
          <w:lang w:eastAsia="en-AU"/>
        </w:rPr>
        <w:tab/>
      </w:r>
      <w:r w:rsidR="006D2F66">
        <w:rPr>
          <w:b/>
          <w:bCs/>
          <w:lang w:eastAsia="en-AU"/>
        </w:rPr>
        <w:t>WAS IT A VALID ORDER?</w:t>
      </w:r>
    </w:p>
    <w:p w14:paraId="0A82D3EF" w14:textId="28AA2528" w:rsidR="006D2F66" w:rsidRDefault="00703D99" w:rsidP="009B3AE4">
      <w:pPr>
        <w:pStyle w:val="Quote1"/>
        <w:ind w:left="1440" w:hanging="703"/>
        <w:rPr>
          <w:b/>
          <w:bCs/>
          <w:lang w:eastAsia="en-AU"/>
        </w:rPr>
      </w:pPr>
      <w:r>
        <w:rPr>
          <w:lang w:eastAsia="en-AU"/>
        </w:rPr>
        <w:t>H.</w:t>
      </w:r>
      <w:r>
        <w:rPr>
          <w:lang w:eastAsia="en-AU"/>
        </w:rPr>
        <w:tab/>
      </w:r>
      <w:r w:rsidR="006D2F66">
        <w:rPr>
          <w:lang w:eastAsia="en-AU"/>
        </w:rPr>
        <w:t xml:space="preserve">Did the verb </w:t>
      </w:r>
      <w:r w:rsidR="00AD58B0">
        <w:rPr>
          <w:b/>
          <w:bCs/>
          <w:lang w:eastAsia="en-AU"/>
        </w:rPr>
        <w:t>‘</w:t>
      </w:r>
      <w:r w:rsidR="00CD69BB">
        <w:rPr>
          <w:b/>
          <w:bCs/>
          <w:lang w:eastAsia="en-AU"/>
        </w:rPr>
        <w:t>be</w:t>
      </w:r>
      <w:r w:rsidR="00AD58B0">
        <w:rPr>
          <w:b/>
          <w:bCs/>
          <w:lang w:eastAsia="en-AU"/>
        </w:rPr>
        <w:t>’</w:t>
      </w:r>
      <w:r w:rsidR="006D2F66">
        <w:rPr>
          <w:b/>
          <w:bCs/>
          <w:lang w:eastAsia="en-AU"/>
        </w:rPr>
        <w:t xml:space="preserve"> </w:t>
      </w:r>
      <w:r w:rsidR="006D2F66">
        <w:rPr>
          <w:lang w:eastAsia="en-AU"/>
        </w:rPr>
        <w:t>have the same meaning if the Order was a direction?</w:t>
      </w:r>
      <w:r w:rsidR="00CD69BB">
        <w:rPr>
          <w:lang w:eastAsia="en-AU"/>
        </w:rPr>
        <w:t xml:space="preserve"> </w:t>
      </w:r>
      <w:r w:rsidR="00A67C16">
        <w:rPr>
          <w:b/>
          <w:bCs/>
          <w:lang w:eastAsia="en-AU"/>
        </w:rPr>
        <w:t xml:space="preserve">EXHIBIT </w:t>
      </w:r>
      <w:r w:rsidR="00AD58B0">
        <w:rPr>
          <w:b/>
          <w:bCs/>
          <w:lang w:eastAsia="en-AU"/>
        </w:rPr>
        <w:t>“</w:t>
      </w:r>
      <w:r w:rsidR="00A67C16">
        <w:rPr>
          <w:b/>
          <w:bCs/>
          <w:lang w:eastAsia="en-AU"/>
        </w:rPr>
        <w:t>A5</w:t>
      </w:r>
      <w:r w:rsidR="00AD58B0">
        <w:rPr>
          <w:b/>
          <w:bCs/>
          <w:lang w:eastAsia="en-AU"/>
        </w:rPr>
        <w:t>”</w:t>
      </w:r>
      <w:r w:rsidR="006D2F66">
        <w:rPr>
          <w:b/>
          <w:bCs/>
          <w:lang w:eastAsia="en-AU"/>
        </w:rPr>
        <w:t>.</w:t>
      </w:r>
    </w:p>
    <w:p w14:paraId="746CE805" w14:textId="4103C15A" w:rsidR="006D2F66" w:rsidRPr="00CD69BB" w:rsidRDefault="00703D99" w:rsidP="009B3AE4">
      <w:pPr>
        <w:pStyle w:val="Quote1"/>
        <w:ind w:left="1440" w:hanging="703"/>
      </w:pPr>
      <w:r w:rsidRPr="00CD69BB">
        <w:t>I.</w:t>
      </w:r>
      <w:r w:rsidRPr="00CD69BB">
        <w:tab/>
      </w:r>
      <w:r w:rsidR="006D2F66" w:rsidRPr="00CD69BB">
        <w:t xml:space="preserve">Did </w:t>
      </w:r>
      <w:proofErr w:type="spellStart"/>
      <w:r w:rsidR="006D2F66" w:rsidRPr="00CD69BB">
        <w:t>Goce</w:t>
      </w:r>
      <w:proofErr w:type="spellEnd"/>
      <w:r w:rsidR="006D2F66" w:rsidRPr="00CD69BB">
        <w:t xml:space="preserve"> or George </w:t>
      </w:r>
      <w:proofErr w:type="spellStart"/>
      <w:r w:rsidR="006D2F66" w:rsidRPr="00CD69BB">
        <w:t>Andonoski</w:t>
      </w:r>
      <w:proofErr w:type="spellEnd"/>
      <w:r w:rsidR="006D2F66" w:rsidRPr="00CD69BB">
        <w:t xml:space="preserve"> make me aware that he was serving me a</w:t>
      </w:r>
      <w:r w:rsidR="00CD69BB" w:rsidRPr="00CD69BB">
        <w:t xml:space="preserve"> </w:t>
      </w:r>
      <w:r w:rsidR="006D2F66" w:rsidRPr="00CD69BB">
        <w:t>Bankruptcy Notice?</w:t>
      </w:r>
    </w:p>
    <w:p w14:paraId="2C2E9BB0" w14:textId="0357691D" w:rsidR="006D2F66" w:rsidRDefault="00703D99" w:rsidP="009B3AE4">
      <w:pPr>
        <w:pStyle w:val="Quote1"/>
        <w:ind w:left="1440" w:hanging="703"/>
      </w:pPr>
      <w:r>
        <w:rPr>
          <w:sz w:val="18"/>
          <w:szCs w:val="18"/>
          <w:lang w:eastAsia="en-AU"/>
        </w:rPr>
        <w:t>J.</w:t>
      </w:r>
      <w:r>
        <w:rPr>
          <w:sz w:val="18"/>
          <w:szCs w:val="18"/>
          <w:lang w:eastAsia="en-AU"/>
        </w:rPr>
        <w:tab/>
      </w:r>
      <w:r w:rsidR="006D2F66">
        <w:rPr>
          <w:lang w:eastAsia="en-AU"/>
        </w:rPr>
        <w:t>Did the Certificates of Determination of Costs Assessments that were filed</w:t>
      </w:r>
      <w:r w:rsidR="009C7FE3">
        <w:rPr>
          <w:lang w:eastAsia="en-AU"/>
        </w:rPr>
        <w:t xml:space="preserve"> </w:t>
      </w:r>
      <w:r w:rsidR="006D2F66">
        <w:rPr>
          <w:lang w:eastAsia="en-AU"/>
        </w:rPr>
        <w:t>in the local Court Kogarah include the Statements of Reasons for?</w:t>
      </w:r>
    </w:p>
    <w:p w14:paraId="1C103F07" w14:textId="4461CEA0" w:rsidR="000474BF" w:rsidRDefault="00723BDE" w:rsidP="005E35DD">
      <w:pPr>
        <w:pStyle w:val="ParaNumbering"/>
      </w:pPr>
      <w:r>
        <w:lastRenderedPageBreak/>
        <w:t xml:space="preserve">At the hearing </w:t>
      </w:r>
      <w:r w:rsidR="000474BF">
        <w:t xml:space="preserve">on </w:t>
      </w:r>
      <w:r w:rsidR="002C0A32">
        <w:t>22 </w:t>
      </w:r>
      <w:r w:rsidR="000474BF">
        <w:t xml:space="preserve">November 2019, </w:t>
      </w:r>
      <w:r w:rsidR="002C0A32">
        <w:t>Mrs </w:t>
      </w:r>
      <w:proofErr w:type="spellStart"/>
      <w:r w:rsidR="000474BF">
        <w:t>Fokas</w:t>
      </w:r>
      <w:proofErr w:type="spellEnd"/>
      <w:r w:rsidR="000474BF">
        <w:t xml:space="preserve"> asked that </w:t>
      </w:r>
      <w:r w:rsidR="002C0A32">
        <w:t>paragraph </w:t>
      </w:r>
      <w:r w:rsidR="000474BF">
        <w:t xml:space="preserve">G above be </w:t>
      </w:r>
      <w:r w:rsidR="004D37B3">
        <w:t>understood</w:t>
      </w:r>
      <w:r w:rsidR="000474BF">
        <w:t xml:space="preserve"> as follows –</w:t>
      </w:r>
    </w:p>
    <w:p w14:paraId="49A1C4B4" w14:textId="0044E314" w:rsidR="000474BF" w:rsidRDefault="000474BF" w:rsidP="000474BF">
      <w:pPr>
        <w:pStyle w:val="Quote1"/>
      </w:pPr>
      <w:r>
        <w:t>Was it a valid order or, as I understand it</w:t>
      </w:r>
      <w:r w:rsidR="00573750">
        <w:t xml:space="preserve">, a valid paper. Does a signature or a stamp make a paper as if </w:t>
      </w:r>
      <w:proofErr w:type="gramStart"/>
      <w:r w:rsidR="00573750">
        <w:t>order</w:t>
      </w:r>
      <w:r w:rsidR="00C33EA4">
        <w:t>.</w:t>
      </w:r>
      <w:proofErr w:type="gramEnd"/>
    </w:p>
    <w:p w14:paraId="5139A38C" w14:textId="48997C50" w:rsidR="00F9315E" w:rsidRDefault="009137C3" w:rsidP="005E35DD">
      <w:pPr>
        <w:pStyle w:val="ParaNumbering"/>
      </w:pPr>
      <w:r>
        <w:t xml:space="preserve">Some of the matters raised by </w:t>
      </w:r>
      <w:r w:rsidR="002C0A32">
        <w:t>Mrs </w:t>
      </w:r>
      <w:proofErr w:type="spellStart"/>
      <w:r>
        <w:t>Fokas</w:t>
      </w:r>
      <w:proofErr w:type="spellEnd"/>
      <w:r>
        <w:t xml:space="preserve"> in her affidavit were raised previously</w:t>
      </w:r>
      <w:r w:rsidR="006A1F55">
        <w:t xml:space="preserve"> in</w:t>
      </w:r>
      <w:r w:rsidR="00F5024E">
        <w:t xml:space="preserve"> other affidavits filed by </w:t>
      </w:r>
      <w:r w:rsidR="002C0A32">
        <w:t>Mrs </w:t>
      </w:r>
      <w:proofErr w:type="spellStart"/>
      <w:r w:rsidR="00F5024E">
        <w:t>Fokas</w:t>
      </w:r>
      <w:proofErr w:type="spellEnd"/>
      <w:r w:rsidR="006A1F55">
        <w:t xml:space="preserve"> </w:t>
      </w:r>
      <w:r w:rsidR="005E35DD">
        <w:t xml:space="preserve">in </w:t>
      </w:r>
      <w:r w:rsidR="006A1F55">
        <w:t>this proceeding</w:t>
      </w:r>
      <w:r>
        <w:t>, but were abandoned.</w:t>
      </w:r>
      <w:r w:rsidR="006A1F55">
        <w:t xml:space="preserve"> Other matters, such as whether the sequestration order was sealed, whether </w:t>
      </w:r>
      <w:r w:rsidR="00346D90">
        <w:t xml:space="preserve">the sequestration order complied with the </w:t>
      </w:r>
      <w:r w:rsidR="00346D90">
        <w:rPr>
          <w:i/>
        </w:rPr>
        <w:t>Federal Magistrates Court (Bankruptcy) Rules 2006</w:t>
      </w:r>
      <w:r w:rsidR="004C390B">
        <w:rPr>
          <w:i/>
        </w:rPr>
        <w:t xml:space="preserve"> </w:t>
      </w:r>
      <w:r w:rsidR="004C390B">
        <w:t>(</w:t>
      </w:r>
      <w:proofErr w:type="spellStart"/>
      <w:r w:rsidR="004C390B">
        <w:t>Cth</w:t>
      </w:r>
      <w:proofErr w:type="spellEnd"/>
      <w:r w:rsidR="004C390B">
        <w:t>)</w:t>
      </w:r>
      <w:r w:rsidR="0057187A" w:rsidRPr="0057187A">
        <w:t>¸</w:t>
      </w:r>
      <w:r w:rsidR="0057187A">
        <w:t xml:space="preserve"> the validity of the sequestration order, and the meaning of the word </w:t>
      </w:r>
      <w:r w:rsidR="00AD58B0">
        <w:t>“</w:t>
      </w:r>
      <w:r w:rsidR="0057187A">
        <w:t>be</w:t>
      </w:r>
      <w:r w:rsidR="00AD58B0">
        <w:t>”</w:t>
      </w:r>
      <w:r w:rsidR="00346D90">
        <w:rPr>
          <w:i/>
        </w:rPr>
        <w:t xml:space="preserve"> </w:t>
      </w:r>
      <w:r w:rsidR="00F5024E" w:rsidRPr="00F5024E">
        <w:t xml:space="preserve">in the </w:t>
      </w:r>
      <w:r w:rsidR="005E35DD" w:rsidRPr="005E35DD">
        <w:t xml:space="preserve">sequestration </w:t>
      </w:r>
      <w:r w:rsidR="00F5024E" w:rsidRPr="00F5024E">
        <w:t>order</w:t>
      </w:r>
      <w:r w:rsidR="00F5024E">
        <w:t>,</w:t>
      </w:r>
      <w:r w:rsidR="006A1F55">
        <w:t xml:space="preserve"> were</w:t>
      </w:r>
      <w:r w:rsidR="00F5024E">
        <w:t xml:space="preserve"> determined adversely to </w:t>
      </w:r>
      <w:r w:rsidR="002C0A32">
        <w:t>Mrs </w:t>
      </w:r>
      <w:proofErr w:type="spellStart"/>
      <w:r w:rsidR="00F5024E">
        <w:t>Fokas</w:t>
      </w:r>
      <w:proofErr w:type="spellEnd"/>
      <w:r w:rsidR="00682E93">
        <w:t xml:space="preserve"> in </w:t>
      </w:r>
      <w:proofErr w:type="spellStart"/>
      <w:r w:rsidR="00682E93">
        <w:rPr>
          <w:i/>
        </w:rPr>
        <w:t>Fokas</w:t>
      </w:r>
      <w:proofErr w:type="spellEnd"/>
      <w:r w:rsidR="00682E93">
        <w:rPr>
          <w:i/>
        </w:rPr>
        <w:t xml:space="preserve"> v Mansfield (No 1)</w:t>
      </w:r>
      <w:r w:rsidR="00F5024E">
        <w:t>.</w:t>
      </w:r>
      <w:r w:rsidR="006A1F55">
        <w:t xml:space="preserve"> </w:t>
      </w:r>
      <w:r w:rsidR="00F9315E">
        <w:t xml:space="preserve">Other features of the affidavit of Mrs </w:t>
      </w:r>
      <w:proofErr w:type="spellStart"/>
      <w:r w:rsidR="00F9315E">
        <w:t>Fokas</w:t>
      </w:r>
      <w:proofErr w:type="spellEnd"/>
      <w:r w:rsidR="00D85356">
        <w:t xml:space="preserve"> of </w:t>
      </w:r>
      <w:r w:rsidR="000A17F4">
        <w:t>15 </w:t>
      </w:r>
      <w:r w:rsidR="00D85356">
        <w:t>November 2019</w:t>
      </w:r>
      <w:r w:rsidR="00F9315E">
        <w:t xml:space="preserve"> include</w:t>
      </w:r>
      <w:r w:rsidR="009616E2">
        <w:t>d</w:t>
      </w:r>
      <w:r w:rsidR="00F9315E">
        <w:t> –</w:t>
      </w:r>
    </w:p>
    <w:p w14:paraId="19D48753" w14:textId="3774E24E" w:rsidR="00F9315E" w:rsidRDefault="00367035" w:rsidP="00FF009B">
      <w:pPr>
        <w:pStyle w:val="ListNo1"/>
        <w:numPr>
          <w:ilvl w:val="0"/>
          <w:numId w:val="29"/>
        </w:numPr>
      </w:pPr>
      <w:r>
        <w:t xml:space="preserve">an implicit challenge to the validity of </w:t>
      </w:r>
      <w:r w:rsidR="00055DC9">
        <w:t>the service of the bankruptcy notice (para</w:t>
      </w:r>
      <w:r w:rsidR="00C71BA4">
        <w:t>s [2</w:t>
      </w:r>
      <w:r w:rsidR="00055DC9">
        <w:t>]</w:t>
      </w:r>
      <w:r w:rsidR="00C71BA4">
        <w:t>-[4]</w:t>
      </w:r>
      <w:r w:rsidR="00055DC9">
        <w:t>);</w:t>
      </w:r>
    </w:p>
    <w:p w14:paraId="21407139" w14:textId="09864DF4" w:rsidR="00055DC9" w:rsidRDefault="00C71BA4" w:rsidP="004A59BC">
      <w:pPr>
        <w:pStyle w:val="ListNo1"/>
        <w:numPr>
          <w:ilvl w:val="0"/>
          <w:numId w:val="29"/>
        </w:numPr>
      </w:pPr>
      <w:r>
        <w:t>a challenge to</w:t>
      </w:r>
      <w:r w:rsidR="00064D59">
        <w:t xml:space="preserve"> the validity of the judgments of the </w:t>
      </w:r>
      <w:r w:rsidR="004C390B">
        <w:t xml:space="preserve">New South Wales </w:t>
      </w:r>
      <w:r w:rsidR="00064D59">
        <w:t xml:space="preserve">Land and Environment Court </w:t>
      </w:r>
      <w:r w:rsidR="00A23B8E">
        <w:t xml:space="preserve">and a denial that she was liable for the costs that she was ordered to pay </w:t>
      </w:r>
      <w:r w:rsidR="00575C56">
        <w:t>(para</w:t>
      </w:r>
      <w:r w:rsidR="00A23B8E">
        <w:t>s</w:t>
      </w:r>
      <w:r w:rsidR="00575C56">
        <w:t> </w:t>
      </w:r>
      <w:r w:rsidR="00A154F6">
        <w:t>[8]</w:t>
      </w:r>
      <w:r w:rsidR="00A23B8E">
        <w:t>-[9]</w:t>
      </w:r>
      <w:r w:rsidR="00A154F6">
        <w:t>)</w:t>
      </w:r>
      <w:r w:rsidR="00064D59">
        <w:t>;</w:t>
      </w:r>
    </w:p>
    <w:p w14:paraId="06ED52E8" w14:textId="7F381FAE" w:rsidR="00226C4C" w:rsidRDefault="00245C1A" w:rsidP="004A59BC">
      <w:pPr>
        <w:pStyle w:val="ListNo1"/>
        <w:numPr>
          <w:ilvl w:val="0"/>
          <w:numId w:val="29"/>
        </w:numPr>
      </w:pPr>
      <w:r>
        <w:t>a denial that she was liable to the Council for the costs the subject of orders made by the Land and Environment Court</w:t>
      </w:r>
      <w:r w:rsidR="00716324">
        <w:t xml:space="preserve"> on the ground that in opposing a development application on safety grounds she was acting as a good Samaritan, </w:t>
      </w:r>
      <w:r w:rsidR="00205379">
        <w:t xml:space="preserve">and that pursuant to s 57 of the </w:t>
      </w:r>
      <w:r w:rsidR="00205379">
        <w:rPr>
          <w:i/>
        </w:rPr>
        <w:t xml:space="preserve">Civil Liability Act 2002 </w:t>
      </w:r>
      <w:r w:rsidR="00205379">
        <w:t>(NSW), good Samaritans do not incur civil liability</w:t>
      </w:r>
      <w:r w:rsidR="00226C4C">
        <w:t xml:space="preserve"> </w:t>
      </w:r>
      <w:r w:rsidR="00226C4C" w:rsidRPr="00226C4C">
        <w:t>(para [10])</w:t>
      </w:r>
      <w:r w:rsidR="00226C4C">
        <w:t>;</w:t>
      </w:r>
    </w:p>
    <w:p w14:paraId="108C9AAB" w14:textId="05CF858F" w:rsidR="00064D59" w:rsidRDefault="00226C4C" w:rsidP="004A59BC">
      <w:pPr>
        <w:pStyle w:val="ListNo1"/>
        <w:numPr>
          <w:ilvl w:val="0"/>
          <w:numId w:val="29"/>
        </w:numPr>
      </w:pPr>
      <w:r>
        <w:t>a denial that she was liable for the Council</w:t>
      </w:r>
      <w:r w:rsidR="00AD58B0">
        <w:t>’</w:t>
      </w:r>
      <w:r>
        <w:t xml:space="preserve">s costs </w:t>
      </w:r>
      <w:r w:rsidR="00034949">
        <w:t xml:space="preserve">in the </w:t>
      </w:r>
      <w:r w:rsidR="00034949" w:rsidRPr="00034949">
        <w:t>Land and Environment Court</w:t>
      </w:r>
      <w:r w:rsidR="00034949">
        <w:t xml:space="preserve"> on the ground that </w:t>
      </w:r>
      <w:r w:rsidR="004D1FFD">
        <w:t>she had acted in the public interest</w:t>
      </w:r>
      <w:r w:rsidR="00034949">
        <w:t xml:space="preserve">, citing the </w:t>
      </w:r>
      <w:r w:rsidR="00034949">
        <w:rPr>
          <w:i/>
        </w:rPr>
        <w:t xml:space="preserve">Land and Environment Court Rules 2007 </w:t>
      </w:r>
      <w:r w:rsidR="00034949">
        <w:t>(NSW), r 4.2</w:t>
      </w:r>
      <w:r w:rsidR="00BC234A">
        <w:t xml:space="preserve"> (para [10])</w:t>
      </w:r>
      <w:r w:rsidR="00205379">
        <w:t>;</w:t>
      </w:r>
    </w:p>
    <w:p w14:paraId="19F696E5" w14:textId="357E8999" w:rsidR="00205379" w:rsidRDefault="000A2BE0" w:rsidP="004A59BC">
      <w:pPr>
        <w:pStyle w:val="ListNo1"/>
        <w:numPr>
          <w:ilvl w:val="0"/>
          <w:numId w:val="29"/>
        </w:numPr>
      </w:pPr>
      <w:r>
        <w:t xml:space="preserve">a </w:t>
      </w:r>
      <w:r w:rsidR="00BC234A">
        <w:t xml:space="preserve">repetition of her assertion that the Federal Magistrates Court had not made a sequestration order </w:t>
      </w:r>
      <w:r w:rsidR="007500D7">
        <w:t>(para [17]);</w:t>
      </w:r>
      <w:r w:rsidR="00F84BE7">
        <w:t xml:space="preserve"> </w:t>
      </w:r>
    </w:p>
    <w:p w14:paraId="763A7FA5" w14:textId="623AA97D" w:rsidR="007500D7" w:rsidRDefault="00084B4F" w:rsidP="004A59BC">
      <w:pPr>
        <w:pStyle w:val="ListNo1"/>
        <w:numPr>
          <w:ilvl w:val="0"/>
          <w:numId w:val="29"/>
        </w:numPr>
      </w:pPr>
      <w:r>
        <w:t xml:space="preserve">a </w:t>
      </w:r>
      <w:r w:rsidR="00F35811">
        <w:t xml:space="preserve">four page </w:t>
      </w:r>
      <w:r>
        <w:t xml:space="preserve">response to written submissions of the Trustee filed </w:t>
      </w:r>
      <w:r w:rsidR="000A17F4">
        <w:t>20 </w:t>
      </w:r>
      <w:r>
        <w:t xml:space="preserve">September 2019 which related to the </w:t>
      </w:r>
      <w:r w:rsidR="00880101">
        <w:t>question of summary judgment</w:t>
      </w:r>
      <w:r w:rsidR="003914D4">
        <w:t>,</w:t>
      </w:r>
      <w:r w:rsidR="00880101">
        <w:t xml:space="preserve"> whi</w:t>
      </w:r>
      <w:r w:rsidR="0045164F">
        <w:t xml:space="preserve">ch was given on </w:t>
      </w:r>
      <w:r w:rsidR="000A17F4">
        <w:t>21 </w:t>
      </w:r>
      <w:r w:rsidR="0045164F">
        <w:t>October</w:t>
      </w:r>
      <w:r w:rsidR="00D878E9">
        <w:t> </w:t>
      </w:r>
      <w:r w:rsidR="0045164F">
        <w:t>2019</w:t>
      </w:r>
      <w:r w:rsidR="000A2BE0">
        <w:t xml:space="preserve"> in </w:t>
      </w:r>
      <w:proofErr w:type="spellStart"/>
      <w:r w:rsidR="000A2BE0" w:rsidRPr="000A2BE0">
        <w:rPr>
          <w:i/>
        </w:rPr>
        <w:t>Fokas</w:t>
      </w:r>
      <w:proofErr w:type="spellEnd"/>
      <w:r w:rsidR="000A2BE0" w:rsidRPr="000A2BE0">
        <w:rPr>
          <w:i/>
        </w:rPr>
        <w:t xml:space="preserve"> v Mansfield (No 1)</w:t>
      </w:r>
      <w:r w:rsidR="0045164F">
        <w:t xml:space="preserve">; </w:t>
      </w:r>
    </w:p>
    <w:p w14:paraId="0B3482E3" w14:textId="6C0F3A3C" w:rsidR="0045164F" w:rsidRDefault="0045164F" w:rsidP="004A59BC">
      <w:pPr>
        <w:pStyle w:val="ListNo1"/>
        <w:numPr>
          <w:ilvl w:val="0"/>
          <w:numId w:val="29"/>
        </w:numPr>
      </w:pPr>
      <w:r>
        <w:t xml:space="preserve">the production of a travel itinerary for </w:t>
      </w:r>
      <w:r w:rsidR="000A17F4">
        <w:t>Mrs </w:t>
      </w:r>
      <w:proofErr w:type="spellStart"/>
      <w:r>
        <w:t>Fokas</w:t>
      </w:r>
      <w:proofErr w:type="spellEnd"/>
      <w:r w:rsidR="00735E6A">
        <w:t xml:space="preserve"> dated </w:t>
      </w:r>
      <w:r w:rsidR="000A17F4">
        <w:t>2 </w:t>
      </w:r>
      <w:r w:rsidR="00735E6A">
        <w:t>July 2012</w:t>
      </w:r>
      <w:r w:rsidR="003914D4">
        <w:t>,</w:t>
      </w:r>
      <w:r w:rsidR="00735E6A">
        <w:t xml:space="preserve"> which recorded</w:t>
      </w:r>
      <w:r>
        <w:t xml:space="preserve"> that </w:t>
      </w:r>
      <w:r w:rsidR="00735E6A">
        <w:t xml:space="preserve">she </w:t>
      </w:r>
      <w:r>
        <w:t xml:space="preserve">was due to fly from Sydney to Athens on </w:t>
      </w:r>
      <w:r w:rsidR="000A17F4">
        <w:t>20 </w:t>
      </w:r>
      <w:r>
        <w:t xml:space="preserve">August 2012, returning </w:t>
      </w:r>
      <w:r w:rsidR="0000093F">
        <w:t xml:space="preserve">on </w:t>
      </w:r>
      <w:r w:rsidR="000A17F4">
        <w:t>6 </w:t>
      </w:r>
      <w:r>
        <w:t>June</w:t>
      </w:r>
      <w:r w:rsidR="0000093F">
        <w:t> </w:t>
      </w:r>
      <w:r>
        <w:t>2013</w:t>
      </w:r>
      <w:r w:rsidR="000D67B5">
        <w:t xml:space="preserve">, and a statement by </w:t>
      </w:r>
      <w:r w:rsidR="000A17F4">
        <w:t>Mrs </w:t>
      </w:r>
      <w:proofErr w:type="spellStart"/>
      <w:r w:rsidR="000D67B5">
        <w:t>Fokas</w:t>
      </w:r>
      <w:proofErr w:type="spellEnd"/>
      <w:r w:rsidR="000D67B5">
        <w:t xml:space="preserve"> in the body of her affidavit that the hearing </w:t>
      </w:r>
      <w:r w:rsidR="000D67B5">
        <w:lastRenderedPageBreak/>
        <w:t>of the creditor</w:t>
      </w:r>
      <w:r w:rsidR="00AD58B0">
        <w:t>’</w:t>
      </w:r>
      <w:r w:rsidR="000D67B5">
        <w:t xml:space="preserve">s petition took place on </w:t>
      </w:r>
      <w:r w:rsidR="000A17F4">
        <w:t>1 </w:t>
      </w:r>
      <w:r w:rsidR="000D67B5">
        <w:t>November 2012 while she was overseas</w:t>
      </w:r>
      <w:r w:rsidR="00C464EC">
        <w:t>, and that she returned from her trip at the end of February 2013 (para [12])</w:t>
      </w:r>
      <w:r w:rsidR="00777A1D">
        <w:t>;</w:t>
      </w:r>
    </w:p>
    <w:p w14:paraId="74A73C58" w14:textId="281F530C" w:rsidR="00B73C0A" w:rsidRDefault="000A17F4" w:rsidP="004A59BC">
      <w:pPr>
        <w:pStyle w:val="ListNo1"/>
        <w:numPr>
          <w:ilvl w:val="0"/>
          <w:numId w:val="29"/>
        </w:numPr>
      </w:pPr>
      <w:r>
        <w:t>Mrs </w:t>
      </w:r>
      <w:proofErr w:type="spellStart"/>
      <w:r w:rsidR="00777A1D">
        <w:t>Fokas</w:t>
      </w:r>
      <w:proofErr w:type="spellEnd"/>
      <w:r w:rsidR="00777A1D">
        <w:t xml:space="preserve"> </w:t>
      </w:r>
      <w:r w:rsidR="00840C5D">
        <w:t xml:space="preserve">claimed </w:t>
      </w:r>
      <w:r w:rsidR="00777A1D">
        <w:t>that upon her return from her trip at the end of February 2013</w:t>
      </w:r>
      <w:r w:rsidR="0000093F">
        <w:t>,</w:t>
      </w:r>
      <w:r w:rsidR="00777A1D">
        <w:t xml:space="preserve"> she could not withdraw money from her bank, </w:t>
      </w:r>
      <w:r w:rsidR="00840C5D">
        <w:t xml:space="preserve">and she was directed to obtain papers from the Federal Magistrates Court, and upon being given a piece of paper by a clerk of the Court, she noticed that it was not sealed or signed, </w:t>
      </w:r>
      <w:r w:rsidR="003A647C">
        <w:t xml:space="preserve">and </w:t>
      </w:r>
      <w:r w:rsidR="00840C5D">
        <w:t>so she ignored it (para [12])</w:t>
      </w:r>
      <w:r w:rsidR="00B73C0A">
        <w:t>;</w:t>
      </w:r>
      <w:r w:rsidR="0000093F">
        <w:t xml:space="preserve"> and</w:t>
      </w:r>
    </w:p>
    <w:p w14:paraId="1BFA5E36" w14:textId="6C0EEC47" w:rsidR="00777A1D" w:rsidRDefault="000A17F4" w:rsidP="004A59BC">
      <w:pPr>
        <w:pStyle w:val="ListNo1"/>
        <w:numPr>
          <w:ilvl w:val="0"/>
          <w:numId w:val="29"/>
        </w:numPr>
      </w:pPr>
      <w:r>
        <w:t>Mrs </w:t>
      </w:r>
      <w:proofErr w:type="spellStart"/>
      <w:r w:rsidR="00B73C0A">
        <w:t>Fokas</w:t>
      </w:r>
      <w:proofErr w:type="spellEnd"/>
      <w:r w:rsidR="00B73C0A">
        <w:t xml:space="preserve"> claimed that she thereafter had no contact with </w:t>
      </w:r>
      <w:r w:rsidR="00AD58B0">
        <w:t>“</w:t>
      </w:r>
      <w:r w:rsidR="00B73C0A">
        <w:t xml:space="preserve">a person claiming to be my </w:t>
      </w:r>
      <w:r w:rsidR="00AD58B0">
        <w:t>‘</w:t>
      </w:r>
      <w:r w:rsidR="00B73C0A">
        <w:t>trustee</w:t>
      </w:r>
      <w:r w:rsidR="00AD58B0">
        <w:t>’”</w:t>
      </w:r>
      <w:r w:rsidR="00B73C0A">
        <w:t xml:space="preserve">, and </w:t>
      </w:r>
      <w:r w:rsidR="00165006">
        <w:t>then recount</w:t>
      </w:r>
      <w:r w:rsidR="00735E6A">
        <w:t>ed</w:t>
      </w:r>
      <w:r w:rsidR="00165006">
        <w:t xml:space="preserve"> what I infer to be </w:t>
      </w:r>
      <w:r w:rsidR="00735E6A">
        <w:t>an</w:t>
      </w:r>
      <w:r w:rsidR="00F576B5">
        <w:t xml:space="preserve"> occasion when</w:t>
      </w:r>
      <w:r w:rsidR="00165006">
        <w:t xml:space="preserve"> officers of the </w:t>
      </w:r>
      <w:r w:rsidR="003A1FD2">
        <w:t>sheriff</w:t>
      </w:r>
      <w:r w:rsidR="00165006">
        <w:t xml:space="preserve"> </w:t>
      </w:r>
      <w:r w:rsidR="001729AC">
        <w:t>took</w:t>
      </w:r>
      <w:r w:rsidR="00165006">
        <w:t xml:space="preserve"> possession of her </w:t>
      </w:r>
      <w:r w:rsidR="00B26907">
        <w:t>property</w:t>
      </w:r>
      <w:r w:rsidR="00165006">
        <w:t xml:space="preserve"> on </w:t>
      </w:r>
      <w:r>
        <w:t>30 </w:t>
      </w:r>
      <w:r w:rsidR="00165006">
        <w:t>January 2017</w:t>
      </w:r>
      <w:r w:rsidR="003A1FD2">
        <w:t>, trespass proceedings brought against her that were dismisse</w:t>
      </w:r>
      <w:r w:rsidR="00B26907">
        <w:t>d</w:t>
      </w:r>
      <w:r w:rsidR="003A1FD2">
        <w:t xml:space="preserve"> </w:t>
      </w:r>
      <w:r w:rsidR="00B26907">
        <w:t xml:space="preserve">on </w:t>
      </w:r>
      <w:r>
        <w:t>17 </w:t>
      </w:r>
      <w:r w:rsidR="00B26907">
        <w:t xml:space="preserve">September 2017 </w:t>
      </w:r>
      <w:r w:rsidR="003A1FD2">
        <w:t xml:space="preserve">upon no evidence being presented, and various proceedings that she brought in the Supreme Court </w:t>
      </w:r>
      <w:r w:rsidR="007A2A75">
        <w:t xml:space="preserve">of </w:t>
      </w:r>
      <w:r w:rsidR="007A2A75" w:rsidRPr="007A2A75">
        <w:t xml:space="preserve">New South Wales </w:t>
      </w:r>
      <w:r w:rsidR="00B26907">
        <w:t>to prevent the sale of the property</w:t>
      </w:r>
      <w:r w:rsidR="00840C5D">
        <w:t>.</w:t>
      </w:r>
    </w:p>
    <w:p w14:paraId="14E43688" w14:textId="38015570" w:rsidR="00D07FD0" w:rsidRDefault="00D07FD0" w:rsidP="00F84BE7">
      <w:pPr>
        <w:pStyle w:val="ParaNumbering"/>
      </w:pPr>
      <w:r>
        <w:t xml:space="preserve">As to </w:t>
      </w:r>
      <w:r w:rsidR="00140715">
        <w:t>Mrs </w:t>
      </w:r>
      <w:proofErr w:type="spellStart"/>
      <w:r w:rsidR="00B57F91">
        <w:t>Fokas</w:t>
      </w:r>
      <w:r w:rsidR="00AD58B0">
        <w:t>’</w:t>
      </w:r>
      <w:r w:rsidR="00122427">
        <w:t>s</w:t>
      </w:r>
      <w:proofErr w:type="spellEnd"/>
      <w:r w:rsidR="00B57F91">
        <w:t xml:space="preserve"> claim that she was overseas at the time of the hearing of the creditor</w:t>
      </w:r>
      <w:r w:rsidR="00AD58B0">
        <w:t>’</w:t>
      </w:r>
      <w:r w:rsidR="00B57F91">
        <w:t xml:space="preserve">s petition, an order for substituted service of the petition was made by a Registrar of the Federal Magistrates Court on </w:t>
      </w:r>
      <w:r w:rsidR="00140715">
        <w:t>3 </w:t>
      </w:r>
      <w:r w:rsidR="00B57F91">
        <w:t>October 2012</w:t>
      </w:r>
      <w:r w:rsidR="00973554">
        <w:t xml:space="preserve">, and there were affidavits </w:t>
      </w:r>
      <w:r w:rsidR="009203DF">
        <w:t xml:space="preserve">filed in the Federal Magistrates Court </w:t>
      </w:r>
      <w:r w:rsidR="00973554">
        <w:t xml:space="preserve">attesting to the substituted means of service on </w:t>
      </w:r>
      <w:r w:rsidR="00140715">
        <w:t>Mrs </w:t>
      </w:r>
      <w:proofErr w:type="spellStart"/>
      <w:r w:rsidR="00973554">
        <w:t>Fokas</w:t>
      </w:r>
      <w:proofErr w:type="spellEnd"/>
      <w:r w:rsidR="00DA556E">
        <w:t xml:space="preserve"> by leaving the documents on the front </w:t>
      </w:r>
      <w:r w:rsidR="00670843">
        <w:t>veranda</w:t>
      </w:r>
      <w:r w:rsidR="00DA556E">
        <w:t xml:space="preserve"> of her property, and by sending them by ordinary pre-paid post to her address</w:t>
      </w:r>
      <w:r w:rsidR="00B57F91">
        <w:t xml:space="preserve">. </w:t>
      </w:r>
    </w:p>
    <w:p w14:paraId="57CC3F43" w14:textId="599960F7" w:rsidR="00E87CB0" w:rsidRDefault="00E87CB0" w:rsidP="00B1521F">
      <w:pPr>
        <w:pStyle w:val="ParaNumbering"/>
      </w:pPr>
      <w:r>
        <w:t xml:space="preserve">Amongst the annexures to </w:t>
      </w:r>
      <w:r w:rsidR="00140715">
        <w:t>Mrs </w:t>
      </w:r>
      <w:proofErr w:type="spellStart"/>
      <w:r w:rsidR="00F95EB6">
        <w:t>Fokas</w:t>
      </w:r>
      <w:r w:rsidR="00AD58B0">
        <w:t>’</w:t>
      </w:r>
      <w:r w:rsidR="00122427">
        <w:t>s</w:t>
      </w:r>
      <w:proofErr w:type="spellEnd"/>
      <w:r w:rsidR="00F95EB6">
        <w:t xml:space="preserve"> </w:t>
      </w:r>
      <w:r>
        <w:t>affidavit</w:t>
      </w:r>
      <w:r w:rsidR="00CC0E97">
        <w:t xml:space="preserve"> </w:t>
      </w:r>
      <w:r w:rsidR="00F95EB6">
        <w:t xml:space="preserve">of 15 November 2019 </w:t>
      </w:r>
      <w:r w:rsidR="007A2A75">
        <w:t>was Annexure 7, which comprised</w:t>
      </w:r>
      <w:r>
        <w:t xml:space="preserve"> </w:t>
      </w:r>
      <w:r w:rsidR="005D6C4F">
        <w:t>56</w:t>
      </w:r>
      <w:r w:rsidR="00CC0E97">
        <w:t xml:space="preserve"> pages of </w:t>
      </w:r>
      <w:r w:rsidR="002F2C64">
        <w:t xml:space="preserve">planning </w:t>
      </w:r>
      <w:r>
        <w:t xml:space="preserve">objections to </w:t>
      </w:r>
      <w:r w:rsidR="00D83FEE">
        <w:t xml:space="preserve">the Council relating to </w:t>
      </w:r>
      <w:r>
        <w:t xml:space="preserve">a </w:t>
      </w:r>
      <w:r w:rsidR="00D83FEE">
        <w:t xml:space="preserve">property </w:t>
      </w:r>
      <w:r>
        <w:t>development</w:t>
      </w:r>
      <w:r w:rsidR="00F84BE7">
        <w:t xml:space="preserve"> </w:t>
      </w:r>
      <w:r w:rsidR="00F84BE7" w:rsidRPr="00F84BE7">
        <w:t>dating from 2006</w:t>
      </w:r>
      <w:r w:rsidR="00D83FEE">
        <w:t>.</w:t>
      </w:r>
      <w:bookmarkStart w:id="28" w:name="_Ref27735183"/>
      <w:r w:rsidR="008C60FC">
        <w:t xml:space="preserve"> </w:t>
      </w:r>
      <w:r w:rsidR="00E11F55">
        <w:t xml:space="preserve">Annexure 17 </w:t>
      </w:r>
      <w:r w:rsidR="00F95EB6">
        <w:t xml:space="preserve">to the affidavit </w:t>
      </w:r>
      <w:r w:rsidR="00EE46BE">
        <w:t>wa</w:t>
      </w:r>
      <w:r w:rsidR="00E11F55">
        <w:t>s an extract from a petition to the Commonwealth Houses of Parliament, apparently signed by 10,519 people, which state</w:t>
      </w:r>
      <w:r w:rsidR="00EE46BE">
        <w:t>d</w:t>
      </w:r>
      <w:r w:rsidR="00E91D70">
        <w:t xml:space="preserve"> (inter alia)</w:t>
      </w:r>
      <w:r w:rsidR="00E11F55">
        <w:t> –</w:t>
      </w:r>
      <w:bookmarkEnd w:id="28"/>
    </w:p>
    <w:p w14:paraId="58308C67" w14:textId="2622BF66" w:rsidR="00FA1D8D" w:rsidRPr="000771DF" w:rsidRDefault="00FA1D8D" w:rsidP="000771DF">
      <w:pPr>
        <w:pStyle w:val="Quote1"/>
        <w:jc w:val="center"/>
      </w:pPr>
      <w:r w:rsidRPr="000771DF">
        <w:t>PETITION:</w:t>
      </w:r>
    </w:p>
    <w:p w14:paraId="598725A1" w14:textId="77777777" w:rsidR="00FA1D8D" w:rsidRPr="000771DF" w:rsidRDefault="00FA1D8D" w:rsidP="000771DF">
      <w:pPr>
        <w:pStyle w:val="Quote1"/>
      </w:pPr>
      <w:r w:rsidRPr="000771DF">
        <w:t>FOR RELIEF:</w:t>
      </w:r>
    </w:p>
    <w:p w14:paraId="08D016E8" w14:textId="5B2B78C1" w:rsidR="00FA1D8D" w:rsidRPr="000771DF" w:rsidRDefault="000771DF" w:rsidP="000771DF">
      <w:pPr>
        <w:pStyle w:val="Quote1"/>
        <w:ind w:left="1440" w:hanging="703"/>
      </w:pPr>
      <w:r>
        <w:t>1.</w:t>
      </w:r>
      <w:r>
        <w:tab/>
      </w:r>
      <w:r w:rsidR="00FA1D8D" w:rsidRPr="000771DF">
        <w:t>WITHDRAW a Petition 19</w:t>
      </w:r>
      <w:r w:rsidR="004D71C7" w:rsidRPr="000771DF">
        <w:t>/7</w:t>
      </w:r>
      <w:r w:rsidR="00FA1D8D" w:rsidRPr="000771DF">
        <w:t xml:space="preserve">/2012 against Maria </w:t>
      </w:r>
      <w:proofErr w:type="spellStart"/>
      <w:r w:rsidR="00FA1D8D" w:rsidRPr="000771DF">
        <w:t>Fokas</w:t>
      </w:r>
      <w:proofErr w:type="spellEnd"/>
      <w:r w:rsidR="004D71C7" w:rsidRPr="000771DF">
        <w:t xml:space="preserve"> </w:t>
      </w:r>
      <w:r w:rsidR="00FA1D8D" w:rsidRPr="000771DF">
        <w:t xml:space="preserve">(Court </w:t>
      </w:r>
      <w:r w:rsidR="004D71C7" w:rsidRPr="000771DF">
        <w:t>File SYG 15702012 Fe</w:t>
      </w:r>
      <w:r w:rsidR="00FA1D8D" w:rsidRPr="000771DF">
        <w:t>deral Circuit Court previous name: Federal Magistrate</w:t>
      </w:r>
      <w:r w:rsidR="004D71C7" w:rsidRPr="000771DF">
        <w:t xml:space="preserve"> </w:t>
      </w:r>
      <w:r w:rsidR="00FA1D8D" w:rsidRPr="000771DF">
        <w:t>Court of Australia)</w:t>
      </w:r>
    </w:p>
    <w:p w14:paraId="43D6CBA3" w14:textId="51247773" w:rsidR="00E11F55" w:rsidRPr="000771DF" w:rsidRDefault="00E91D70" w:rsidP="00E91D70">
      <w:pPr>
        <w:pStyle w:val="Quote1"/>
        <w:ind w:left="1440" w:hanging="703"/>
      </w:pPr>
      <w:r>
        <w:t>2.</w:t>
      </w:r>
      <w:r>
        <w:tab/>
      </w:r>
      <w:r w:rsidR="004D71C7" w:rsidRPr="000771DF">
        <w:t>Recognise and or decl</w:t>
      </w:r>
      <w:r w:rsidR="00FA1D8D" w:rsidRPr="000771DF">
        <w:t xml:space="preserve">are THAT NEVER EXISTED A BANKRUPTCY against Maria </w:t>
      </w:r>
      <w:proofErr w:type="spellStart"/>
      <w:r w:rsidR="00FA1D8D" w:rsidRPr="000771DF">
        <w:t>Fokas</w:t>
      </w:r>
      <w:proofErr w:type="spellEnd"/>
      <w:r w:rsidR="00FA1D8D" w:rsidRPr="000771DF">
        <w:t>.</w:t>
      </w:r>
    </w:p>
    <w:p w14:paraId="30056E06" w14:textId="0C434EBF" w:rsidR="004D71C7" w:rsidRPr="000771DF" w:rsidRDefault="004D71C7" w:rsidP="000771DF">
      <w:pPr>
        <w:pStyle w:val="Quote1"/>
      </w:pPr>
      <w:r w:rsidRPr="000771DF">
        <w:t>…</w:t>
      </w:r>
    </w:p>
    <w:p w14:paraId="1FD9E2CB" w14:textId="4EBC81D7" w:rsidR="00FA1D8D" w:rsidRDefault="00FA1D8D" w:rsidP="000771DF">
      <w:pPr>
        <w:pStyle w:val="Quote1"/>
      </w:pPr>
      <w:r w:rsidRPr="000771DF">
        <w:t>Maria is NOT INSOLVENT. Did no</w:t>
      </w:r>
      <w:r w:rsidR="003F1F29">
        <w:t>t sign a Bankruptcy, did not aut</w:t>
      </w:r>
      <w:r w:rsidRPr="000771DF">
        <w:t>horise any one as Trustee</w:t>
      </w:r>
      <w:r w:rsidR="004D71C7" w:rsidRPr="000771DF">
        <w:t xml:space="preserve"> </w:t>
      </w:r>
      <w:r w:rsidRPr="000771DF">
        <w:t xml:space="preserve">neither as </w:t>
      </w:r>
      <w:r w:rsidR="000771DF" w:rsidRPr="000771DF">
        <w:t>Administrator</w:t>
      </w:r>
      <w:r w:rsidRPr="000771DF">
        <w:t xml:space="preserve"> of her residence. Additional information is on her Affidavit</w:t>
      </w:r>
      <w:r w:rsidR="000771DF" w:rsidRPr="000771DF">
        <w:t xml:space="preserve"> </w:t>
      </w:r>
      <w:r w:rsidRPr="000771DF">
        <w:t xml:space="preserve">9 September 2016 to the AUSTRALIAN GOVERNMENT Insolvency and </w:t>
      </w:r>
      <w:r w:rsidRPr="000771DF">
        <w:lastRenderedPageBreak/>
        <w:t>Trustee Service</w:t>
      </w:r>
      <w:r w:rsidR="000771DF" w:rsidRPr="000771DF">
        <w:t xml:space="preserve"> </w:t>
      </w:r>
      <w:r w:rsidRPr="000771DF">
        <w:t>Australia, (ne</w:t>
      </w:r>
      <w:r w:rsidR="000771DF" w:rsidRPr="000771DF">
        <w:t>w name -</w:t>
      </w:r>
      <w:r w:rsidR="003F1F29">
        <w:t xml:space="preserve"> </w:t>
      </w:r>
      <w:r w:rsidR="000771DF" w:rsidRPr="000771DF">
        <w:t>Australian Fin</w:t>
      </w:r>
      <w:r w:rsidRPr="000771DF">
        <w:t>ancial Security Authority).</w:t>
      </w:r>
    </w:p>
    <w:p w14:paraId="6A281C1C" w14:textId="48571C4A" w:rsidR="0012619F" w:rsidRDefault="008C60FC" w:rsidP="0012619F">
      <w:pPr>
        <w:pStyle w:val="ParaNumbering"/>
      </w:pPr>
      <w:r>
        <w:t>Further, a</w:t>
      </w:r>
      <w:r w:rsidR="0012619F">
        <w:t xml:space="preserve">t the adjourned hearing on </w:t>
      </w:r>
      <w:r w:rsidR="00140715">
        <w:t>16 </w:t>
      </w:r>
      <w:r w:rsidR="0012619F">
        <w:t xml:space="preserve">December 2019, </w:t>
      </w:r>
      <w:r w:rsidR="00140715">
        <w:t>Mrs </w:t>
      </w:r>
      <w:proofErr w:type="spellStart"/>
      <w:r w:rsidR="0012619F">
        <w:t>Fokas</w:t>
      </w:r>
      <w:proofErr w:type="spellEnd"/>
      <w:r w:rsidR="0012619F">
        <w:t xml:space="preserve"> brought into the courtroom in a green shopping bag another petition which she said contained about 5,500 signatures. This petition was directed to the Supreme Court of New South Wales. I received a pro-forma page of the petition into evidence, which stated (inter alia) –</w:t>
      </w:r>
    </w:p>
    <w:p w14:paraId="1FCB49C5" w14:textId="77777777" w:rsidR="0012619F" w:rsidRPr="00BA4B84" w:rsidRDefault="0012619F" w:rsidP="0012619F">
      <w:pPr>
        <w:pStyle w:val="Quote1"/>
        <w:jc w:val="center"/>
      </w:pPr>
      <w:r w:rsidRPr="00BA4B84">
        <w:t xml:space="preserve">SUPREME COURT OF NSW and </w:t>
      </w:r>
      <w:proofErr w:type="gramStart"/>
      <w:r w:rsidRPr="00BA4B84">
        <w:t>to whom it may concern</w:t>
      </w:r>
      <w:proofErr w:type="gramEnd"/>
      <w:r w:rsidRPr="00BA4B84">
        <w:t xml:space="preserve"> </w:t>
      </w:r>
      <w:r w:rsidRPr="00F40687">
        <w:rPr>
          <w:u w:val="single"/>
        </w:rPr>
        <w:t>PETITION</w:t>
      </w:r>
    </w:p>
    <w:p w14:paraId="54D9DE1C" w14:textId="77777777" w:rsidR="0012619F" w:rsidRPr="00BA4B84" w:rsidRDefault="0012619F" w:rsidP="0012619F">
      <w:pPr>
        <w:pStyle w:val="Quote1"/>
      </w:pPr>
      <w:r w:rsidRPr="00BA4B84">
        <w:t>Your Petitioners ASK:</w:t>
      </w:r>
    </w:p>
    <w:p w14:paraId="452AC651" w14:textId="77777777" w:rsidR="0012619F" w:rsidRPr="00BA4B84" w:rsidRDefault="0012619F" w:rsidP="0012619F">
      <w:pPr>
        <w:pStyle w:val="Quote1"/>
        <w:ind w:left="1440" w:hanging="703"/>
      </w:pPr>
      <w:r>
        <w:t>1.</w:t>
      </w:r>
      <w:r>
        <w:tab/>
      </w:r>
      <w:r w:rsidRPr="00BA4B84">
        <w:t xml:space="preserve">The Supreme Court NSW to accept forthwith Maria </w:t>
      </w:r>
      <w:proofErr w:type="spellStart"/>
      <w:r w:rsidRPr="00BA4B84">
        <w:t>Fokas</w:t>
      </w:r>
      <w:proofErr w:type="spellEnd"/>
      <w:r w:rsidRPr="00BA4B84">
        <w:t xml:space="preserve"> to institute any type of</w:t>
      </w:r>
      <w:r>
        <w:t xml:space="preserve"> </w:t>
      </w:r>
      <w:r w:rsidRPr="00BA4B84">
        <w:t>proceedings, in a NSW Court.</w:t>
      </w:r>
    </w:p>
    <w:p w14:paraId="1506EBB8" w14:textId="77777777" w:rsidR="0012619F" w:rsidRDefault="0012619F" w:rsidP="0012619F">
      <w:pPr>
        <w:pStyle w:val="Quote1"/>
        <w:ind w:left="1440" w:hanging="703"/>
      </w:pPr>
      <w:r w:rsidRPr="00BA4B84">
        <w:t>2</w:t>
      </w:r>
      <w:r>
        <w:t>.</w:t>
      </w:r>
      <w:r>
        <w:tab/>
      </w:r>
      <w:r w:rsidRPr="00BA4B84">
        <w:t>Restraining Orders have been made on 28 February 2018 Case No.2016/0021312</w:t>
      </w:r>
      <w:r>
        <w:t xml:space="preserve"> </w:t>
      </w:r>
      <w:r w:rsidRPr="00BA4B84">
        <w:t>and on 5th April 2018 case No. 2018/00099701 that these Orders must be made void:</w:t>
      </w:r>
      <w:r>
        <w:t xml:space="preserve"> </w:t>
      </w:r>
      <w:r w:rsidRPr="00BA4B84">
        <w:t xml:space="preserve">These Orders are against Maria </w:t>
      </w:r>
      <w:proofErr w:type="spellStart"/>
      <w:r w:rsidRPr="00BA4B84">
        <w:t>Fokas</w:t>
      </w:r>
      <w:proofErr w:type="spellEnd"/>
      <w:r w:rsidRPr="00BA4B84">
        <w:t xml:space="preserve"> and also restrain the Registrar-General in some way, and caused serious grievance to Maria.</w:t>
      </w:r>
    </w:p>
    <w:p w14:paraId="458DA099" w14:textId="77777777" w:rsidR="0012619F" w:rsidRPr="00BA4B84" w:rsidRDefault="0012619F" w:rsidP="0012619F">
      <w:pPr>
        <w:pStyle w:val="Quote1"/>
        <w:ind w:left="1440" w:hanging="703"/>
      </w:pPr>
      <w:r>
        <w:t>…</w:t>
      </w:r>
    </w:p>
    <w:p w14:paraId="3F5C8BC8" w14:textId="5F4680EB" w:rsidR="003B0E2A" w:rsidRDefault="0033481B" w:rsidP="00B1521F">
      <w:pPr>
        <w:pStyle w:val="ParaNumbering"/>
      </w:pPr>
      <w:r>
        <w:t xml:space="preserve">Upon adjourning the hearing on </w:t>
      </w:r>
      <w:r w:rsidR="00140715">
        <w:t>22 </w:t>
      </w:r>
      <w:r>
        <w:t xml:space="preserve">November 2019 to </w:t>
      </w:r>
      <w:r w:rsidR="00140715">
        <w:t>16 </w:t>
      </w:r>
      <w:r>
        <w:t>December 2019</w:t>
      </w:r>
      <w:r w:rsidR="003914D4">
        <w:t>,</w:t>
      </w:r>
      <w:r>
        <w:t xml:space="preserve"> I made </w:t>
      </w:r>
      <w:r w:rsidR="00141285">
        <w:t xml:space="preserve">an order that </w:t>
      </w:r>
      <w:r w:rsidR="00140715">
        <w:t>Mrs </w:t>
      </w:r>
      <w:proofErr w:type="spellStart"/>
      <w:r w:rsidR="00141285">
        <w:t>Fokas</w:t>
      </w:r>
      <w:proofErr w:type="spellEnd"/>
      <w:r w:rsidR="00141285">
        <w:t xml:space="preserve"> file and serve by 4.00pm </w:t>
      </w:r>
      <w:r w:rsidR="004C390B">
        <w:t xml:space="preserve">on </w:t>
      </w:r>
      <w:r w:rsidR="00140715">
        <w:t>9 </w:t>
      </w:r>
      <w:r w:rsidR="00141285">
        <w:t xml:space="preserve">December 2019 any further affidavits or written submissions on which she wished to rely. </w:t>
      </w:r>
      <w:r w:rsidR="00E45DB6">
        <w:t>At</w:t>
      </w:r>
      <w:r w:rsidR="00E45DB6" w:rsidRPr="00137314">
        <w:t xml:space="preserve"> the hearing on </w:t>
      </w:r>
      <w:r w:rsidR="00140715" w:rsidRPr="00137314">
        <w:t>22</w:t>
      </w:r>
      <w:r w:rsidR="00140715">
        <w:t> </w:t>
      </w:r>
      <w:r w:rsidR="00E45DB6" w:rsidRPr="00137314">
        <w:t>November 2019</w:t>
      </w:r>
      <w:r w:rsidR="00E45DB6">
        <w:t>,</w:t>
      </w:r>
      <w:r w:rsidR="00E45DB6" w:rsidRPr="00137314">
        <w:t xml:space="preserve"> </w:t>
      </w:r>
      <w:r w:rsidR="00140715" w:rsidRPr="00137314">
        <w:t>Mrs</w:t>
      </w:r>
      <w:r w:rsidR="00140715">
        <w:t> </w:t>
      </w:r>
      <w:proofErr w:type="spellStart"/>
      <w:r w:rsidR="00E45DB6" w:rsidRPr="00137314">
        <w:t>Fokas</w:t>
      </w:r>
      <w:proofErr w:type="spellEnd"/>
      <w:r w:rsidR="00E45DB6" w:rsidRPr="00137314">
        <w:t xml:space="preserve"> </w:t>
      </w:r>
      <w:r w:rsidR="00E45DB6" w:rsidRPr="00DA4CCB">
        <w:t>stated that she preferred</w:t>
      </w:r>
      <w:r w:rsidR="00E45DB6">
        <w:t xml:space="preserve"> to state her responses in</w:t>
      </w:r>
      <w:r w:rsidR="00E45DB6" w:rsidRPr="00DA4CCB">
        <w:t xml:space="preserve"> an affidavit </w:t>
      </w:r>
      <w:r w:rsidR="00E45DB6">
        <w:t>rather</w:t>
      </w:r>
      <w:r w:rsidR="00E45DB6" w:rsidRPr="00DA4CCB">
        <w:t xml:space="preserve"> </w:t>
      </w:r>
      <w:r w:rsidR="004C390B">
        <w:t xml:space="preserve">than in </w:t>
      </w:r>
      <w:r w:rsidR="00E45DB6" w:rsidRPr="00DA4CCB">
        <w:t>written submissions.</w:t>
      </w:r>
      <w:r w:rsidR="00E45DB6">
        <w:t xml:space="preserve"> </w:t>
      </w:r>
      <w:r w:rsidR="00E45DB6" w:rsidRPr="00137314">
        <w:t>I</w:t>
      </w:r>
      <w:r w:rsidR="00E45DB6">
        <w:t xml:space="preserve"> </w:t>
      </w:r>
      <w:r w:rsidR="00DE56B3">
        <w:t>informed</w:t>
      </w:r>
      <w:r w:rsidR="00E45DB6">
        <w:t xml:space="preserve"> </w:t>
      </w:r>
      <w:r w:rsidR="00FD19E3">
        <w:t>Mrs </w:t>
      </w:r>
      <w:proofErr w:type="spellStart"/>
      <w:r w:rsidR="00E45DB6">
        <w:t>Fokas</w:t>
      </w:r>
      <w:proofErr w:type="spellEnd"/>
      <w:r w:rsidR="00E45DB6">
        <w:t xml:space="preserve"> that I</w:t>
      </w:r>
      <w:r w:rsidR="00E45DB6" w:rsidRPr="00137314">
        <w:t xml:space="preserve"> would consider any submissions that she wished to put in an affidavit</w:t>
      </w:r>
      <w:r w:rsidR="00E45DB6">
        <w:t>. Subsequently</w:t>
      </w:r>
      <w:r w:rsidR="000F7675">
        <w:t xml:space="preserve">, </w:t>
      </w:r>
      <w:r w:rsidR="00FD19E3">
        <w:t>Mrs </w:t>
      </w:r>
      <w:proofErr w:type="spellStart"/>
      <w:r w:rsidR="00E45DB6">
        <w:t>Fokas</w:t>
      </w:r>
      <w:proofErr w:type="spellEnd"/>
      <w:r w:rsidR="00E45DB6">
        <w:t xml:space="preserve"> filed an</w:t>
      </w:r>
      <w:r w:rsidR="00963F1C">
        <w:t xml:space="preserve"> 11-page</w:t>
      </w:r>
      <w:r w:rsidR="00E45DB6">
        <w:t xml:space="preserve"> affidavit dated </w:t>
      </w:r>
      <w:r w:rsidR="00FD19E3">
        <w:t>9 </w:t>
      </w:r>
      <w:r w:rsidR="00E45DB6">
        <w:t>December 2019</w:t>
      </w:r>
      <w:r w:rsidR="00C56CEC">
        <w:t xml:space="preserve">, and a short affidavit dated </w:t>
      </w:r>
      <w:r w:rsidR="00FD19E3">
        <w:t>10 </w:t>
      </w:r>
      <w:r w:rsidR="00C56CEC">
        <w:t>December 2019 making a small correction to her af</w:t>
      </w:r>
      <w:r w:rsidR="00963F1C">
        <w:t xml:space="preserve">fidavit of </w:t>
      </w:r>
      <w:r w:rsidR="00FD19E3">
        <w:t>15 </w:t>
      </w:r>
      <w:r w:rsidR="00963F1C">
        <w:t xml:space="preserve">November 2019. </w:t>
      </w:r>
    </w:p>
    <w:p w14:paraId="14495F09" w14:textId="3C7338CA" w:rsidR="00E45DB6" w:rsidRDefault="00E45DB6" w:rsidP="00B1521F">
      <w:pPr>
        <w:pStyle w:val="ParaNumbering"/>
      </w:pPr>
      <w:r>
        <w:t xml:space="preserve">In </w:t>
      </w:r>
      <w:r w:rsidR="00963F1C">
        <w:t xml:space="preserve">her </w:t>
      </w:r>
      <w:r>
        <w:t>affidavit</w:t>
      </w:r>
      <w:r w:rsidR="00963F1C">
        <w:t xml:space="preserve"> </w:t>
      </w:r>
      <w:r w:rsidR="003B0E2A">
        <w:t>dated</w:t>
      </w:r>
      <w:r w:rsidR="00963F1C">
        <w:t xml:space="preserve"> </w:t>
      </w:r>
      <w:r w:rsidR="00FD19E3">
        <w:t>9 </w:t>
      </w:r>
      <w:r w:rsidR="00963F1C">
        <w:t>December 2019</w:t>
      </w:r>
      <w:r>
        <w:t xml:space="preserve">, </w:t>
      </w:r>
      <w:r w:rsidR="00FD19E3">
        <w:t>Mrs </w:t>
      </w:r>
      <w:proofErr w:type="spellStart"/>
      <w:r>
        <w:t>Fokas</w:t>
      </w:r>
      <w:proofErr w:type="spellEnd"/>
      <w:r>
        <w:t xml:space="preserve"> addressed the merits of local court proceedings in 1996 between her and the Kogarah RSL Club. She also addressed the question of what poultry she kept at her property in 1996 and 1997. In </w:t>
      </w:r>
      <w:proofErr w:type="spellStart"/>
      <w:r w:rsidRPr="00963F1C">
        <w:rPr>
          <w:i/>
        </w:rPr>
        <w:t>Fokas</w:t>
      </w:r>
      <w:proofErr w:type="spellEnd"/>
      <w:r w:rsidRPr="00963F1C">
        <w:rPr>
          <w:i/>
        </w:rPr>
        <w:t xml:space="preserve"> v Mansfield</w:t>
      </w:r>
      <w:r w:rsidR="00DE56B3">
        <w:rPr>
          <w:i/>
        </w:rPr>
        <w:t xml:space="preserve"> (No 1)</w:t>
      </w:r>
      <w:r w:rsidR="003914D4">
        <w:rPr>
          <w:i/>
        </w:rPr>
        <w:t>,</w:t>
      </w:r>
      <w:r>
        <w:t xml:space="preserve"> I</w:t>
      </w:r>
      <w:r w:rsidR="004C390B">
        <w:t> </w:t>
      </w:r>
      <w:r>
        <w:t xml:space="preserve">referred at [5] by way of background to proceedings between Mrs </w:t>
      </w:r>
      <w:proofErr w:type="spellStart"/>
      <w:r>
        <w:t>Fokas</w:t>
      </w:r>
      <w:proofErr w:type="spellEnd"/>
      <w:r>
        <w:t xml:space="preserve"> and the Kogarah Municipal Council in the Land and Environment Court, and I referred to the decision of </w:t>
      </w:r>
      <w:proofErr w:type="spellStart"/>
      <w:r w:rsidR="00025EF2">
        <w:t>Sheahan</w:t>
      </w:r>
      <w:proofErr w:type="spellEnd"/>
      <w:r w:rsidR="00025EF2">
        <w:t xml:space="preserve"> J</w:t>
      </w:r>
      <w:r>
        <w:t xml:space="preserve"> in </w:t>
      </w:r>
      <w:r w:rsidRPr="00963F1C">
        <w:rPr>
          <w:i/>
        </w:rPr>
        <w:t xml:space="preserve">Kogarah Municipal Council v </w:t>
      </w:r>
      <w:proofErr w:type="spellStart"/>
      <w:r w:rsidRPr="00963F1C">
        <w:rPr>
          <w:i/>
        </w:rPr>
        <w:t>Fokas</w:t>
      </w:r>
      <w:proofErr w:type="spellEnd"/>
      <w:r w:rsidRPr="00B467F1">
        <w:t xml:space="preserve"> [1999] NSWLEC 188</w:t>
      </w:r>
      <w:r>
        <w:t xml:space="preserve">. That case concerned the question whether </w:t>
      </w:r>
      <w:r w:rsidR="00FD19E3">
        <w:t>Mrs </w:t>
      </w:r>
      <w:proofErr w:type="spellStart"/>
      <w:r>
        <w:t>Fokas</w:t>
      </w:r>
      <w:proofErr w:type="spellEnd"/>
      <w:r>
        <w:t xml:space="preserve"> was keeping a rooster on her property in contravention of local laws. </w:t>
      </w:r>
      <w:proofErr w:type="spellStart"/>
      <w:r w:rsidR="00025EF2">
        <w:t>Sheahan</w:t>
      </w:r>
      <w:proofErr w:type="spellEnd"/>
      <w:r w:rsidR="00025EF2">
        <w:t xml:space="preserve"> J</w:t>
      </w:r>
      <w:r>
        <w:t xml:space="preserve"> summarised </w:t>
      </w:r>
      <w:r w:rsidR="00FD19E3">
        <w:t>Mrs </w:t>
      </w:r>
      <w:proofErr w:type="spellStart"/>
      <w:r>
        <w:t>Fokas</w:t>
      </w:r>
      <w:r w:rsidR="00AD58B0">
        <w:t>’</w:t>
      </w:r>
      <w:r w:rsidR="00122427">
        <w:t>s</w:t>
      </w:r>
      <w:proofErr w:type="spellEnd"/>
      <w:r>
        <w:t xml:space="preserve"> response to these claims at [15]-[16] –</w:t>
      </w:r>
    </w:p>
    <w:p w14:paraId="5DCFAAA5" w14:textId="2AD32DAB" w:rsidR="00E45DB6" w:rsidRPr="00941C64" w:rsidRDefault="00E45DB6" w:rsidP="00E45DB6">
      <w:pPr>
        <w:pStyle w:val="Quote1"/>
        <w:ind w:left="1440" w:hanging="703"/>
        <w:rPr>
          <w:lang w:val="en" w:eastAsia="en-AU"/>
        </w:rPr>
      </w:pPr>
      <w:r>
        <w:rPr>
          <w:lang w:val="en" w:eastAsia="en-AU"/>
        </w:rPr>
        <w:t>15.</w:t>
      </w:r>
      <w:r>
        <w:rPr>
          <w:lang w:val="en" w:eastAsia="en-AU"/>
        </w:rPr>
        <w:tab/>
      </w:r>
      <w:r w:rsidRPr="00941C64">
        <w:rPr>
          <w:lang w:val="en" w:eastAsia="en-AU"/>
        </w:rPr>
        <w:t xml:space="preserve">The evidence on behalf of </w:t>
      </w:r>
      <w:proofErr w:type="spellStart"/>
      <w:r w:rsidRPr="00941C64">
        <w:rPr>
          <w:lang w:val="en" w:eastAsia="en-AU"/>
        </w:rPr>
        <w:t>Mrs</w:t>
      </w:r>
      <w:proofErr w:type="spellEnd"/>
      <w:r w:rsidRPr="00941C64">
        <w:rPr>
          <w:lang w:val="en" w:eastAsia="en-AU"/>
        </w:rPr>
        <w:t xml:space="preserve"> </w:t>
      </w:r>
      <w:proofErr w:type="spellStart"/>
      <w:r w:rsidRPr="00941C64">
        <w:rPr>
          <w:lang w:val="en" w:eastAsia="en-AU"/>
        </w:rPr>
        <w:t>Fokas</w:t>
      </w:r>
      <w:proofErr w:type="spellEnd"/>
      <w:r w:rsidRPr="00941C64">
        <w:rPr>
          <w:lang w:val="en" w:eastAsia="en-AU"/>
        </w:rPr>
        <w:t xml:space="preserve"> is directed to her assertion that she disposed of the rooster, which was in her possession at relevant times in late 1997 and in early-to-mid 1998, straight after my judgment was given on 25</w:t>
      </w:r>
      <w:r w:rsidR="004C390B">
        <w:rPr>
          <w:lang w:val="en" w:eastAsia="en-AU"/>
        </w:rPr>
        <w:t> </w:t>
      </w:r>
      <w:r w:rsidRPr="00941C64">
        <w:rPr>
          <w:lang w:val="en" w:eastAsia="en-AU"/>
        </w:rPr>
        <w:t xml:space="preserve">June 1998, and that the rooster now at the premises, and present with her today at Court, is a different rooster which is much quieter than the other one, </w:t>
      </w:r>
      <w:r w:rsidRPr="00941C64">
        <w:rPr>
          <w:lang w:val="en" w:eastAsia="en-AU"/>
        </w:rPr>
        <w:lastRenderedPageBreak/>
        <w:t xml:space="preserve">which is or was its father. She says the Council order can refer only to whatever rooster was on the property at the time of the order or orders of the Council, and/or the order or orders of the Court. </w:t>
      </w:r>
    </w:p>
    <w:p w14:paraId="02D26123" w14:textId="487899E3" w:rsidR="00E45DB6" w:rsidRPr="00941C64" w:rsidRDefault="00E45DB6" w:rsidP="00E45DB6">
      <w:pPr>
        <w:pStyle w:val="Quote1"/>
        <w:ind w:left="1440" w:hanging="703"/>
        <w:rPr>
          <w:lang w:val="en" w:eastAsia="en-AU"/>
        </w:rPr>
      </w:pPr>
      <w:r>
        <w:rPr>
          <w:lang w:val="en" w:eastAsia="en-AU"/>
        </w:rPr>
        <w:t>16.</w:t>
      </w:r>
      <w:r>
        <w:rPr>
          <w:lang w:val="en" w:eastAsia="en-AU"/>
        </w:rPr>
        <w:tab/>
      </w:r>
      <w:r w:rsidRPr="00941C64">
        <w:rPr>
          <w:lang w:val="en" w:eastAsia="en-AU"/>
        </w:rPr>
        <w:t xml:space="preserve">There are before the Court several photographs (including </w:t>
      </w:r>
      <w:r w:rsidRPr="00941C64">
        <w:rPr>
          <w:i/>
          <w:iCs/>
          <w:lang w:val="en" w:eastAsia="en-AU"/>
        </w:rPr>
        <w:t>Exhibit F1</w:t>
      </w:r>
      <w:r w:rsidRPr="00941C64">
        <w:rPr>
          <w:lang w:val="en" w:eastAsia="en-AU"/>
        </w:rPr>
        <w:t>). With</w:t>
      </w:r>
      <w:r w:rsidR="00B25FE1">
        <w:rPr>
          <w:lang w:val="en" w:eastAsia="en-AU"/>
        </w:rPr>
        <w:t> </w:t>
      </w:r>
      <w:r w:rsidRPr="00941C64">
        <w:rPr>
          <w:lang w:val="en" w:eastAsia="en-AU"/>
        </w:rPr>
        <w:t xml:space="preserve">my untrained eye I am unable to distinguish between the roosters depicted in those photographs, despite </w:t>
      </w:r>
      <w:proofErr w:type="spellStart"/>
      <w:r w:rsidRPr="00941C64">
        <w:rPr>
          <w:lang w:val="en" w:eastAsia="en-AU"/>
        </w:rPr>
        <w:t>Mrs</w:t>
      </w:r>
      <w:proofErr w:type="spellEnd"/>
      <w:r w:rsidRPr="00941C64">
        <w:rPr>
          <w:lang w:val="en" w:eastAsia="en-AU"/>
        </w:rPr>
        <w:t xml:space="preserve"> </w:t>
      </w:r>
      <w:proofErr w:type="spellStart"/>
      <w:r w:rsidRPr="00941C64">
        <w:rPr>
          <w:lang w:val="en" w:eastAsia="en-AU"/>
        </w:rPr>
        <w:t>Fokas</w:t>
      </w:r>
      <w:r w:rsidR="00AD58B0">
        <w:rPr>
          <w:lang w:val="en" w:eastAsia="en-AU"/>
        </w:rPr>
        <w:t>’</w:t>
      </w:r>
      <w:r w:rsidRPr="00941C64">
        <w:rPr>
          <w:lang w:val="en" w:eastAsia="en-AU"/>
        </w:rPr>
        <w:t>s</w:t>
      </w:r>
      <w:proofErr w:type="spellEnd"/>
      <w:r w:rsidRPr="00941C64">
        <w:rPr>
          <w:lang w:val="en" w:eastAsia="en-AU"/>
        </w:rPr>
        <w:t xml:space="preserve"> best efforts, assisted by the unprecedented step I took in allowing her to bring a rooster into the Court room during her submissions. </w:t>
      </w:r>
    </w:p>
    <w:p w14:paraId="5BE527C5" w14:textId="0EF1C34E" w:rsidR="00E45DB6" w:rsidRDefault="00025EF2" w:rsidP="00E45DB6">
      <w:pPr>
        <w:pStyle w:val="ParaNumbering"/>
      </w:pPr>
      <w:proofErr w:type="spellStart"/>
      <w:r>
        <w:t>Sheahan</w:t>
      </w:r>
      <w:proofErr w:type="spellEnd"/>
      <w:r>
        <w:t xml:space="preserve"> J</w:t>
      </w:r>
      <w:r w:rsidR="00E45DB6">
        <w:t xml:space="preserve"> held at [21] that the rooster on Mrs </w:t>
      </w:r>
      <w:proofErr w:type="spellStart"/>
      <w:r w:rsidR="00E45DB6">
        <w:t>Fokas</w:t>
      </w:r>
      <w:r w:rsidR="00AD58B0">
        <w:t>’</w:t>
      </w:r>
      <w:r w:rsidR="00122427">
        <w:t>s</w:t>
      </w:r>
      <w:proofErr w:type="spellEnd"/>
      <w:r w:rsidR="00E45DB6">
        <w:t xml:space="preserve"> property was the same rooster that was the subject of the proceedings taken by the Council in 1997 and 1998. By her affidavit filed in this Court and dated </w:t>
      </w:r>
      <w:r w:rsidR="00807627">
        <w:t>9 </w:t>
      </w:r>
      <w:r w:rsidR="00E45DB6">
        <w:t>December 2019</w:t>
      </w:r>
      <w:r w:rsidR="003914D4">
        <w:t>,</w:t>
      </w:r>
      <w:r w:rsidR="00E45DB6">
        <w:t xml:space="preserve"> </w:t>
      </w:r>
      <w:r w:rsidR="00807627">
        <w:t>Mrs </w:t>
      </w:r>
      <w:proofErr w:type="spellStart"/>
      <w:r w:rsidR="00634543">
        <w:t>Fokas</w:t>
      </w:r>
      <w:proofErr w:type="spellEnd"/>
      <w:r w:rsidR="00634543">
        <w:t xml:space="preserve"> continues</w:t>
      </w:r>
      <w:r w:rsidR="00E45DB6">
        <w:t xml:space="preserve"> to dispute the allegations in relation to her rooster, and disputes that her rooster, which she claimed was kept inside her house in a box, could be heard by any complainant. </w:t>
      </w:r>
      <w:r w:rsidR="00807627">
        <w:t>Mrs </w:t>
      </w:r>
      <w:proofErr w:type="spellStart"/>
      <w:r w:rsidR="00E45DB6">
        <w:t>Fokas</w:t>
      </w:r>
      <w:proofErr w:type="spellEnd"/>
      <w:r w:rsidR="00E45DB6">
        <w:t xml:space="preserve"> stated in her affidavit that she kept a peacock which made its resting place in a tree outsid</w:t>
      </w:r>
      <w:r w:rsidR="007E1CE4">
        <w:t>e her bedroom window. She claimed</w:t>
      </w:r>
      <w:r w:rsidR="00E45DB6">
        <w:t xml:space="preserve"> that the noise that was heard and attributed to her rooster was in fact caused purposely by an unidentified person pulling feathers from a kookaburra</w:t>
      </w:r>
      <w:r w:rsidR="004C390B">
        <w:t>,</w:t>
      </w:r>
      <w:r w:rsidR="00E45DB6">
        <w:t xml:space="preserve"> which disturbed her peacock causing it to make some noise, and </w:t>
      </w:r>
      <w:r w:rsidR="007E1CE4">
        <w:t xml:space="preserve">that the noise </w:t>
      </w:r>
      <w:r w:rsidR="00E45DB6">
        <w:t>was not caused by her rooster.</w:t>
      </w:r>
    </w:p>
    <w:p w14:paraId="0133A948" w14:textId="7F504B72" w:rsidR="00E45DB6" w:rsidRDefault="00807627" w:rsidP="00E45DB6">
      <w:pPr>
        <w:pStyle w:val="ParaNumbering"/>
      </w:pPr>
      <w:r>
        <w:t>Mrs </w:t>
      </w:r>
      <w:proofErr w:type="spellStart"/>
      <w:r w:rsidR="00E45DB6">
        <w:t>Fokas</w:t>
      </w:r>
      <w:proofErr w:type="spellEnd"/>
      <w:r w:rsidR="00E45DB6">
        <w:t xml:space="preserve"> also referred to the merits of other proceedings to which she was a party in the Land and Environment Court</w:t>
      </w:r>
      <w:r w:rsidR="004C390B">
        <w:t>,</w:t>
      </w:r>
      <w:r w:rsidR="00E45DB6">
        <w:t xml:space="preserve"> which concerned objections that she had to various developments in her area, and claimed that these proceedings were not vexatious or frivolous.</w:t>
      </w:r>
    </w:p>
    <w:p w14:paraId="6925DBD7" w14:textId="45DB5946" w:rsidR="00A33EB2" w:rsidRDefault="00A33EB2" w:rsidP="006941EA">
      <w:pPr>
        <w:pStyle w:val="Heading3"/>
      </w:pPr>
      <w:r>
        <w:t>Evidence tendered by the Trustee</w:t>
      </w:r>
    </w:p>
    <w:p w14:paraId="512E76E0" w14:textId="07AD9EEF" w:rsidR="00B3384C" w:rsidRDefault="00A33EB2" w:rsidP="00A33EB2">
      <w:pPr>
        <w:pStyle w:val="ParaNumbering"/>
      </w:pPr>
      <w:r>
        <w:t xml:space="preserve">The Trustee relied on </w:t>
      </w:r>
      <w:r w:rsidR="00621D75">
        <w:t>his</w:t>
      </w:r>
      <w:r>
        <w:t xml:space="preserve"> affidavit dated </w:t>
      </w:r>
      <w:r w:rsidR="00807627">
        <w:t>24 </w:t>
      </w:r>
      <w:r>
        <w:t>April 2019, and an affidavit of the Trustee</w:t>
      </w:r>
      <w:r w:rsidR="00AD58B0">
        <w:t>’</w:t>
      </w:r>
      <w:r>
        <w:t xml:space="preserve">s solicitor dated </w:t>
      </w:r>
      <w:r w:rsidR="00807627">
        <w:t>10 </w:t>
      </w:r>
      <w:r>
        <w:t xml:space="preserve">September 2019, together with the annexures to those affidavits. </w:t>
      </w:r>
      <w:r w:rsidR="00621D75">
        <w:t>In</w:t>
      </w:r>
      <w:r w:rsidR="006131BE">
        <w:t xml:space="preserve"> addition, the T</w:t>
      </w:r>
      <w:r w:rsidR="00B3384C">
        <w:t>rustee tendered –</w:t>
      </w:r>
    </w:p>
    <w:p w14:paraId="32C4FC4A" w14:textId="286CB0F6" w:rsidR="00A33EB2" w:rsidRDefault="00621D75" w:rsidP="00FF009B">
      <w:pPr>
        <w:pStyle w:val="ListNo1"/>
        <w:numPr>
          <w:ilvl w:val="0"/>
          <w:numId w:val="31"/>
        </w:numPr>
      </w:pPr>
      <w:r>
        <w:t>the folder of 12 cases to which I ref</w:t>
      </w:r>
      <w:r w:rsidR="00B3384C">
        <w:t>erred earlier;</w:t>
      </w:r>
    </w:p>
    <w:p w14:paraId="6CCDA58E" w14:textId="349AA9AE" w:rsidR="00B3384C" w:rsidRDefault="00B3384C" w:rsidP="00FF009B">
      <w:pPr>
        <w:pStyle w:val="ListNo1"/>
        <w:numPr>
          <w:ilvl w:val="0"/>
          <w:numId w:val="31"/>
        </w:numPr>
      </w:pPr>
      <w:r>
        <w:t xml:space="preserve">an application for review in the Federal Circuit Court dated 20 March 2018 and signed by </w:t>
      </w:r>
      <w:r w:rsidR="00807627">
        <w:t>Mrs </w:t>
      </w:r>
      <w:proofErr w:type="spellStart"/>
      <w:r>
        <w:t>Fokas</w:t>
      </w:r>
      <w:proofErr w:type="spellEnd"/>
      <w:r>
        <w:t>;</w:t>
      </w:r>
    </w:p>
    <w:p w14:paraId="7901CAB3" w14:textId="3DF0CF52" w:rsidR="00B3384C" w:rsidRDefault="0026505E" w:rsidP="00FF009B">
      <w:pPr>
        <w:pStyle w:val="ListNo1"/>
        <w:numPr>
          <w:ilvl w:val="0"/>
          <w:numId w:val="31"/>
        </w:numPr>
      </w:pPr>
      <w:r>
        <w:t xml:space="preserve">an originating application in the Federal Circuit Court dated </w:t>
      </w:r>
      <w:r w:rsidR="00807627">
        <w:t>21 </w:t>
      </w:r>
      <w:r>
        <w:t xml:space="preserve">May 2018 and signed by </w:t>
      </w:r>
      <w:r w:rsidR="00807627">
        <w:t>Mrs </w:t>
      </w:r>
      <w:proofErr w:type="spellStart"/>
      <w:r>
        <w:t>Fokas</w:t>
      </w:r>
      <w:proofErr w:type="spellEnd"/>
      <w:r>
        <w:t>;</w:t>
      </w:r>
      <w:r w:rsidR="00F7094C">
        <w:t xml:space="preserve"> and</w:t>
      </w:r>
    </w:p>
    <w:p w14:paraId="16FA3E61" w14:textId="126BDFFF" w:rsidR="0026505E" w:rsidRPr="00A33EB2" w:rsidRDefault="0026505E" w:rsidP="00FF009B">
      <w:pPr>
        <w:pStyle w:val="ListNo1"/>
        <w:numPr>
          <w:ilvl w:val="0"/>
          <w:numId w:val="31"/>
        </w:numPr>
      </w:pPr>
      <w:proofErr w:type="gramStart"/>
      <w:r>
        <w:t>two</w:t>
      </w:r>
      <w:proofErr w:type="gramEnd"/>
      <w:r>
        <w:t xml:space="preserve"> notices of a constitutional matter under s 78B of the </w:t>
      </w:r>
      <w:r>
        <w:rPr>
          <w:i/>
        </w:rPr>
        <w:t>Judiciary Act</w:t>
      </w:r>
      <w:r>
        <w:t xml:space="preserve"> in this proceeding given by </w:t>
      </w:r>
      <w:r w:rsidR="00807627">
        <w:t>Mrs </w:t>
      </w:r>
      <w:proofErr w:type="spellStart"/>
      <w:r>
        <w:t>Fokas</w:t>
      </w:r>
      <w:proofErr w:type="spellEnd"/>
      <w:r w:rsidR="00F7094C">
        <w:t>.</w:t>
      </w:r>
    </w:p>
    <w:p w14:paraId="7CBF701B" w14:textId="47A6E82D" w:rsidR="00AF728E" w:rsidRDefault="00AF728E" w:rsidP="006941EA">
      <w:pPr>
        <w:pStyle w:val="Heading3"/>
      </w:pPr>
      <w:r>
        <w:lastRenderedPageBreak/>
        <w:t xml:space="preserve">The submissions of Mrs </w:t>
      </w:r>
      <w:proofErr w:type="spellStart"/>
      <w:r>
        <w:t>Fokas</w:t>
      </w:r>
      <w:proofErr w:type="spellEnd"/>
    </w:p>
    <w:p w14:paraId="1FF126B0" w14:textId="71854073" w:rsidR="00E65F66" w:rsidRDefault="00E30E07" w:rsidP="0025521C">
      <w:pPr>
        <w:pStyle w:val="ParaNumbering"/>
      </w:pPr>
      <w:r>
        <w:t xml:space="preserve">The submissions made by a litigant in response to an application for a vexatious proceedings order may be relevant to the question whether an order should be made: </w:t>
      </w:r>
      <w:r w:rsidRPr="00E30E07">
        <w:rPr>
          <w:i/>
        </w:rPr>
        <w:t>Attorney-General (NSW) v Mahmoud</w:t>
      </w:r>
      <w:r w:rsidRPr="002C5D97">
        <w:t xml:space="preserve"> [2015] NSWSC 899</w:t>
      </w:r>
      <w:r>
        <w:t xml:space="preserve"> at [21] (Rothman J). </w:t>
      </w:r>
      <w:r w:rsidR="0025521C">
        <w:t>I</w:t>
      </w:r>
      <w:r w:rsidR="00E65F66">
        <w:t xml:space="preserve">n this case, Mrs </w:t>
      </w:r>
      <w:proofErr w:type="spellStart"/>
      <w:r w:rsidR="00E65F66">
        <w:t>Fokas</w:t>
      </w:r>
      <w:proofErr w:type="spellEnd"/>
      <w:r w:rsidR="00E65F66">
        <w:t xml:space="preserve"> instituted </w:t>
      </w:r>
      <w:r w:rsidR="001B4720">
        <w:t xml:space="preserve">and conducted </w:t>
      </w:r>
      <w:r w:rsidR="00E65F66">
        <w:t xml:space="preserve">the further </w:t>
      </w:r>
      <w:r w:rsidR="0025521C">
        <w:t xml:space="preserve">interlocutory </w:t>
      </w:r>
      <w:r w:rsidR="00E65F66">
        <w:t>applications to which I have referred at [</w:t>
      </w:r>
      <w:r w:rsidR="00E65F66">
        <w:fldChar w:fldCharType="begin"/>
      </w:r>
      <w:r w:rsidR="00E65F66">
        <w:instrText xml:space="preserve"> REF _Ref27726571 \r \h </w:instrText>
      </w:r>
      <w:r w:rsidR="00E65F66">
        <w:fldChar w:fldCharType="separate"/>
      </w:r>
      <w:r w:rsidR="00AD0A4F">
        <w:t>11</w:t>
      </w:r>
      <w:r w:rsidR="00E65F66">
        <w:fldChar w:fldCharType="end"/>
      </w:r>
      <w:r w:rsidR="00E65F66">
        <w:t>] to [</w:t>
      </w:r>
      <w:r w:rsidR="00CB582F">
        <w:fldChar w:fldCharType="begin"/>
      </w:r>
      <w:r w:rsidR="00CB582F">
        <w:instrText xml:space="preserve"> REF _Ref27984737 \r \h </w:instrText>
      </w:r>
      <w:r w:rsidR="00CB582F">
        <w:fldChar w:fldCharType="separate"/>
      </w:r>
      <w:r w:rsidR="00AD0A4F">
        <w:t>12</w:t>
      </w:r>
      <w:r w:rsidR="00CB582F">
        <w:fldChar w:fldCharType="end"/>
      </w:r>
      <w:r w:rsidR="00E65F66">
        <w:t xml:space="preserve">] above, which may themselves may be regarded as </w:t>
      </w:r>
      <w:r w:rsidR="00AD58B0">
        <w:t>“</w:t>
      </w:r>
      <w:r w:rsidR="00E65F66">
        <w:t>proceedings</w:t>
      </w:r>
      <w:r w:rsidR="00AD58B0">
        <w:t>”</w:t>
      </w:r>
      <w:r w:rsidR="00E65F66">
        <w:t xml:space="preserve"> for the purposes of s 4 and s 37AM of the </w:t>
      </w:r>
      <w:r w:rsidR="00E65F66" w:rsidRPr="00E30E07">
        <w:rPr>
          <w:i/>
        </w:rPr>
        <w:t>Federal Court of Australia Act.</w:t>
      </w:r>
      <w:r w:rsidR="00E65F66">
        <w:t xml:space="preserve"> The manner in which </w:t>
      </w:r>
      <w:r w:rsidR="00807627">
        <w:t>Mrs </w:t>
      </w:r>
      <w:proofErr w:type="spellStart"/>
      <w:r w:rsidR="00E65F66">
        <w:t>Fokas</w:t>
      </w:r>
      <w:proofErr w:type="spellEnd"/>
      <w:r w:rsidR="00E65F66">
        <w:t xml:space="preserve"> conducted those applications is relevant to whether they are vexatious, as paragraph (d) of the definition of </w:t>
      </w:r>
      <w:r w:rsidR="00AD58B0">
        <w:t>“</w:t>
      </w:r>
      <w:r w:rsidR="00E65F66">
        <w:t>vexatious proceeding</w:t>
      </w:r>
      <w:r w:rsidR="00AD58B0">
        <w:t>”</w:t>
      </w:r>
      <w:r w:rsidR="00E65F66">
        <w:t xml:space="preserve"> in s 37AM(1) indicates: </w:t>
      </w:r>
      <w:r w:rsidR="00E65F66" w:rsidRPr="00E30E07">
        <w:rPr>
          <w:i/>
        </w:rPr>
        <w:t>Attorney-General (NSW) v Wilson</w:t>
      </w:r>
      <w:r w:rsidR="00E65F66" w:rsidRPr="00196A5C">
        <w:t xml:space="preserve"> [2010] NSWSC 1008</w:t>
      </w:r>
      <w:r w:rsidR="00E65F66">
        <w:t xml:space="preserve"> at [16] (Davies J).</w:t>
      </w:r>
      <w:r w:rsidR="0025521C">
        <w:t xml:space="preserve"> </w:t>
      </w:r>
      <w:r w:rsidR="0025521C" w:rsidRPr="0025521C">
        <w:t xml:space="preserve">I have </w:t>
      </w:r>
      <w:r w:rsidR="0025521C">
        <w:t xml:space="preserve">also </w:t>
      </w:r>
      <w:r w:rsidR="0025521C" w:rsidRPr="0025521C">
        <w:t xml:space="preserve">had the benefit of observing </w:t>
      </w:r>
      <w:r w:rsidR="00807627" w:rsidRPr="0025521C">
        <w:t>Mrs</w:t>
      </w:r>
      <w:r w:rsidR="00807627">
        <w:t> </w:t>
      </w:r>
      <w:proofErr w:type="spellStart"/>
      <w:r w:rsidR="0025521C" w:rsidRPr="0025521C">
        <w:t>Fokas</w:t>
      </w:r>
      <w:proofErr w:type="spellEnd"/>
      <w:r w:rsidR="0025521C" w:rsidRPr="0025521C">
        <w:t xml:space="preserve"> over a number of days of hearings in this proceeding. She presented as determined, if not obstinate. </w:t>
      </w:r>
      <w:r w:rsidR="004C390B">
        <w:t>However,</w:t>
      </w:r>
      <w:r w:rsidR="004C390B" w:rsidRPr="0025521C">
        <w:t xml:space="preserve"> </w:t>
      </w:r>
      <w:r w:rsidR="0025521C" w:rsidRPr="0025521C">
        <w:t>she was not aggressive, and she was respectful to the Court. She appeared to have some knowledge of some legal concepts, and had obviously spent time researching legislation applicable to the circumstances of her bankruptcy</w:t>
      </w:r>
      <w:r w:rsidR="00AA419D">
        <w:t xml:space="preserve">, and </w:t>
      </w:r>
      <w:r w:rsidR="004E4AFE">
        <w:t xml:space="preserve">developing </w:t>
      </w:r>
      <w:r w:rsidR="00AA419D">
        <w:t xml:space="preserve">the </w:t>
      </w:r>
      <w:r w:rsidR="00F359DA">
        <w:t>submissions</w:t>
      </w:r>
      <w:r w:rsidR="00AA419D">
        <w:t xml:space="preserve"> that she presented</w:t>
      </w:r>
      <w:r w:rsidR="0025521C" w:rsidRPr="0025521C">
        <w:t>.</w:t>
      </w:r>
    </w:p>
    <w:p w14:paraId="7E8320CB" w14:textId="24123093" w:rsidR="008E59D1" w:rsidRDefault="00796FF4" w:rsidP="00B1521F">
      <w:pPr>
        <w:pStyle w:val="ParaNumbering"/>
      </w:pPr>
      <w:bookmarkStart w:id="29" w:name="_Ref30341883"/>
      <w:r>
        <w:t xml:space="preserve">In her submissions, </w:t>
      </w:r>
      <w:r w:rsidR="00807627">
        <w:t>Mrs </w:t>
      </w:r>
      <w:proofErr w:type="spellStart"/>
      <w:r w:rsidR="00B30D14">
        <w:t>Fokas</w:t>
      </w:r>
      <w:proofErr w:type="spellEnd"/>
      <w:r w:rsidR="00B30D14">
        <w:t xml:space="preserve"> </w:t>
      </w:r>
      <w:r w:rsidR="00AF728E">
        <w:t>continue</w:t>
      </w:r>
      <w:r w:rsidR="00AA367B">
        <w:t>d</w:t>
      </w:r>
      <w:r w:rsidR="00AF728E">
        <w:t xml:space="preserve"> to challenge the </w:t>
      </w:r>
      <w:r w:rsidR="005B5E3F">
        <w:t>very</w:t>
      </w:r>
      <w:r w:rsidR="00AF728E">
        <w:t xml:space="preserve"> existence of the </w:t>
      </w:r>
      <w:r w:rsidR="009E19C8">
        <w:t xml:space="preserve">sequestration order that was made against her estate </w:t>
      </w:r>
      <w:r w:rsidR="004D5099">
        <w:t xml:space="preserve">by the Federal Magistrates Court </w:t>
      </w:r>
      <w:r w:rsidR="009E19C8">
        <w:t xml:space="preserve">on </w:t>
      </w:r>
      <w:r w:rsidR="00807627">
        <w:t>1 </w:t>
      </w:r>
      <w:r w:rsidR="009E19C8">
        <w:t>November 2012.</w:t>
      </w:r>
      <w:r w:rsidR="0056103A">
        <w:t xml:space="preserve"> </w:t>
      </w:r>
      <w:r w:rsidR="00807627">
        <w:t>Mrs </w:t>
      </w:r>
      <w:proofErr w:type="spellStart"/>
      <w:r w:rsidR="0056103A">
        <w:t>Fokas</w:t>
      </w:r>
      <w:proofErr w:type="spellEnd"/>
      <w:r w:rsidR="0056103A">
        <w:t xml:space="preserve"> stated</w:t>
      </w:r>
      <w:r w:rsidR="002C1A00">
        <w:t xml:space="preserve"> to the Court</w:t>
      </w:r>
      <w:r w:rsidR="0056103A">
        <w:t xml:space="preserve">, </w:t>
      </w:r>
      <w:r w:rsidR="00AD58B0">
        <w:t>“</w:t>
      </w:r>
      <w:r w:rsidR="002C1A00" w:rsidRPr="00334E16">
        <w:rPr>
          <w:i/>
        </w:rPr>
        <w:t>I do not pursue the validity of a sequestration order. I simply say there is no sequestration order</w:t>
      </w:r>
      <w:r w:rsidR="00BE38CC" w:rsidRPr="00247576">
        <w:t>” (16 December 2019, T24/32-33)</w:t>
      </w:r>
      <w:r w:rsidR="002C1A00" w:rsidRPr="00BE38CC">
        <w:t>.</w:t>
      </w:r>
      <w:r w:rsidR="002C1A00">
        <w:t xml:space="preserve"> </w:t>
      </w:r>
      <w:r w:rsidR="00113EA3">
        <w:t xml:space="preserve">She </w:t>
      </w:r>
      <w:r w:rsidR="00E3037A">
        <w:t>advanced arguments</w:t>
      </w:r>
      <w:r w:rsidR="00CE6EA2">
        <w:t xml:space="preserve"> as follows</w:t>
      </w:r>
      <w:r w:rsidR="00E3037A">
        <w:t> –</w:t>
      </w:r>
      <w:bookmarkEnd w:id="29"/>
    </w:p>
    <w:p w14:paraId="3712CAE5" w14:textId="7D73032E" w:rsidR="00AA367B" w:rsidRDefault="0042364E" w:rsidP="00FF009B">
      <w:pPr>
        <w:pStyle w:val="ListNo1"/>
        <w:numPr>
          <w:ilvl w:val="0"/>
          <w:numId w:val="28"/>
        </w:numPr>
      </w:pPr>
      <w:r>
        <w:t xml:space="preserve">At the hearing on </w:t>
      </w:r>
      <w:r w:rsidR="00807627">
        <w:t>22 </w:t>
      </w:r>
      <w:r>
        <w:t>November 2019</w:t>
      </w:r>
      <w:r w:rsidR="003914D4">
        <w:t>,</w:t>
      </w:r>
      <w:r>
        <w:t xml:space="preserve"> </w:t>
      </w:r>
      <w:r w:rsidR="00807627">
        <w:t>Mrs </w:t>
      </w:r>
      <w:proofErr w:type="spellStart"/>
      <w:r w:rsidR="00EE2FFB">
        <w:t>Fokas</w:t>
      </w:r>
      <w:proofErr w:type="spellEnd"/>
      <w:r w:rsidR="00EE2FFB">
        <w:t xml:space="preserve"> </w:t>
      </w:r>
      <w:r w:rsidR="00D1234B">
        <w:t xml:space="preserve">claimed </w:t>
      </w:r>
      <w:r w:rsidR="00B30D14">
        <w:t xml:space="preserve">that the sequestration order did not comply with </w:t>
      </w:r>
      <w:r w:rsidR="00E870B7">
        <w:t xml:space="preserve">r 4.08 and </w:t>
      </w:r>
      <w:r w:rsidR="00766AEA">
        <w:t xml:space="preserve">Form 7 of </w:t>
      </w:r>
      <w:r w:rsidR="00B30D14">
        <w:t xml:space="preserve">the </w:t>
      </w:r>
      <w:r w:rsidR="007B3EF0" w:rsidRPr="004D5CCB">
        <w:rPr>
          <w:i/>
        </w:rPr>
        <w:t>Federal Magistrates Court (Bankruptcy) Rules 2006</w:t>
      </w:r>
      <w:r w:rsidR="00E870B7" w:rsidRPr="004D5CCB">
        <w:rPr>
          <w:i/>
        </w:rPr>
        <w:t xml:space="preserve"> </w:t>
      </w:r>
      <w:r w:rsidR="00E870B7">
        <w:t>(</w:t>
      </w:r>
      <w:proofErr w:type="spellStart"/>
      <w:r w:rsidR="00E870B7">
        <w:t>Cth</w:t>
      </w:r>
      <w:proofErr w:type="spellEnd"/>
      <w:r w:rsidR="00E870B7">
        <w:t>)</w:t>
      </w:r>
      <w:r w:rsidR="007B3EF0">
        <w:t xml:space="preserve"> because it did not have the title </w:t>
      </w:r>
      <w:r w:rsidR="00AD58B0">
        <w:t>“</w:t>
      </w:r>
      <w:r w:rsidR="007B3EF0">
        <w:t>Sequestration Order</w:t>
      </w:r>
      <w:r w:rsidR="00AD58B0">
        <w:t>”</w:t>
      </w:r>
      <w:r w:rsidR="005C48DD">
        <w:t xml:space="preserve"> at the top of the page</w:t>
      </w:r>
      <w:r w:rsidR="00E870B7">
        <w:t>. During the course of the hearing</w:t>
      </w:r>
      <w:r w:rsidR="003914D4">
        <w:t>,</w:t>
      </w:r>
      <w:r w:rsidR="00E870B7">
        <w:t xml:space="preserve"> </w:t>
      </w:r>
      <w:r w:rsidR="00DF1A15">
        <w:t>the Court</w:t>
      </w:r>
      <w:r w:rsidR="00E870B7">
        <w:t xml:space="preserve"> </w:t>
      </w:r>
      <w:r w:rsidR="00DF1A15">
        <w:t>provided</w:t>
      </w:r>
      <w:r w:rsidR="00E870B7">
        <w:t xml:space="preserve"> Mrs </w:t>
      </w:r>
      <w:proofErr w:type="spellStart"/>
      <w:r w:rsidR="00E870B7">
        <w:t>Fokas</w:t>
      </w:r>
      <w:proofErr w:type="spellEnd"/>
      <w:r w:rsidR="00E870B7">
        <w:t xml:space="preserve"> </w:t>
      </w:r>
      <w:r w:rsidR="00DF1A15">
        <w:t xml:space="preserve">with a copy of </w:t>
      </w:r>
      <w:r w:rsidR="00E870B7">
        <w:t>s </w:t>
      </w:r>
      <w:r w:rsidR="00B11E54">
        <w:t>25</w:t>
      </w:r>
      <w:r w:rsidR="001024FE">
        <w:t>C of the</w:t>
      </w:r>
      <w:r w:rsidR="00B11E54">
        <w:t xml:space="preserve"> </w:t>
      </w:r>
      <w:r w:rsidR="00B11E54" w:rsidRPr="004D5CCB">
        <w:rPr>
          <w:i/>
        </w:rPr>
        <w:t xml:space="preserve">Acts Interpretation Act 1901 </w:t>
      </w:r>
      <w:r w:rsidR="00B11E54">
        <w:t>(</w:t>
      </w:r>
      <w:proofErr w:type="spellStart"/>
      <w:r w:rsidR="00B11E54">
        <w:t>Cth</w:t>
      </w:r>
      <w:proofErr w:type="spellEnd"/>
      <w:r w:rsidR="00B11E54">
        <w:t>)</w:t>
      </w:r>
      <w:r w:rsidR="005A0123">
        <w:t xml:space="preserve"> which </w:t>
      </w:r>
      <w:r w:rsidR="00994953">
        <w:t>provides –</w:t>
      </w:r>
    </w:p>
    <w:p w14:paraId="57283CAB" w14:textId="48934B7F" w:rsidR="00C72A70" w:rsidRPr="00C72A70" w:rsidRDefault="00C72A70" w:rsidP="00C72A70">
      <w:pPr>
        <w:pStyle w:val="Quote2"/>
        <w:rPr>
          <w:b/>
        </w:rPr>
      </w:pPr>
      <w:r w:rsidRPr="00C72A70">
        <w:rPr>
          <w:b/>
        </w:rPr>
        <w:t>25C</w:t>
      </w:r>
      <w:r w:rsidRPr="00C72A70">
        <w:rPr>
          <w:b/>
        </w:rPr>
        <w:tab/>
        <w:t>Compliance with forms</w:t>
      </w:r>
    </w:p>
    <w:p w14:paraId="7884A653" w14:textId="07C891D8" w:rsidR="00994953" w:rsidRPr="00AA367B" w:rsidRDefault="00C72A70" w:rsidP="00C72A70">
      <w:pPr>
        <w:pStyle w:val="Quote3"/>
      </w:pPr>
      <w:r>
        <w:t>Where an Act prescribes a form, then strict compliance with the form is not required and substantial compliance is sufficient.</w:t>
      </w:r>
    </w:p>
    <w:p w14:paraId="6FFE73C7" w14:textId="30FB7938" w:rsidR="00036FD8" w:rsidRDefault="005A0123" w:rsidP="00A81EB9">
      <w:pPr>
        <w:pStyle w:val="NoNum"/>
        <w:ind w:left="720"/>
      </w:pPr>
      <w:r w:rsidRPr="005A0123">
        <w:t>Section 25C applies also to legislative instruments</w:t>
      </w:r>
      <w:r>
        <w:t xml:space="preserve">: </w:t>
      </w:r>
      <w:r w:rsidRPr="005A0123">
        <w:rPr>
          <w:i/>
        </w:rPr>
        <w:t>Legislation Act 2003</w:t>
      </w:r>
      <w:r w:rsidRPr="005A0123">
        <w:t xml:space="preserve"> (</w:t>
      </w:r>
      <w:proofErr w:type="spellStart"/>
      <w:r w:rsidRPr="005A0123">
        <w:t>Cth</w:t>
      </w:r>
      <w:proofErr w:type="spellEnd"/>
      <w:r w:rsidRPr="005A0123">
        <w:t>), s</w:t>
      </w:r>
      <w:r>
        <w:t> </w:t>
      </w:r>
      <w:r w:rsidRPr="005A0123">
        <w:t>13(1</w:t>
      </w:r>
      <w:proofErr w:type="gramStart"/>
      <w:r w:rsidRPr="005A0123">
        <w:t>)(</w:t>
      </w:r>
      <w:proofErr w:type="gramEnd"/>
      <w:r w:rsidRPr="005A0123">
        <w:t>a)</w:t>
      </w:r>
      <w:r>
        <w:t xml:space="preserve">. </w:t>
      </w:r>
      <w:r w:rsidR="00807627">
        <w:t>Mrs </w:t>
      </w:r>
      <w:proofErr w:type="spellStart"/>
      <w:r w:rsidR="00C72A70">
        <w:t>Fokas</w:t>
      </w:r>
      <w:proofErr w:type="spellEnd"/>
      <w:r w:rsidR="00C72A70">
        <w:t xml:space="preserve"> then submitted that the non-compliance with Form 7 was substantial.</w:t>
      </w:r>
      <w:r w:rsidR="00036FD8">
        <w:t xml:space="preserve"> </w:t>
      </w:r>
      <w:r w:rsidR="00807627" w:rsidRPr="00036FD8">
        <w:t>Mrs</w:t>
      </w:r>
      <w:r w:rsidR="00807627">
        <w:t> </w:t>
      </w:r>
      <w:proofErr w:type="spellStart"/>
      <w:r w:rsidR="00036FD8" w:rsidRPr="00036FD8">
        <w:t>Fokas</w:t>
      </w:r>
      <w:proofErr w:type="spellEnd"/>
      <w:r w:rsidR="00036FD8" w:rsidRPr="00036FD8">
        <w:t xml:space="preserve"> </w:t>
      </w:r>
      <w:r w:rsidR="009947CD">
        <w:t xml:space="preserve">claimed </w:t>
      </w:r>
      <w:r w:rsidR="00036FD8" w:rsidRPr="00036FD8">
        <w:t xml:space="preserve">that the </w:t>
      </w:r>
      <w:r w:rsidR="00036FD8">
        <w:t xml:space="preserve">absence of a title on the </w:t>
      </w:r>
      <w:r w:rsidR="00036FD8" w:rsidRPr="00036FD8">
        <w:t>sequestration order was her main point. She submitted in relation to the sequestration order that “</w:t>
      </w:r>
      <w:r w:rsidR="009947CD">
        <w:rPr>
          <w:i/>
        </w:rPr>
        <w:t>I</w:t>
      </w:r>
      <w:r w:rsidR="00036FD8" w:rsidRPr="00FF29BF">
        <w:rPr>
          <w:i/>
        </w:rPr>
        <w:t>t was nothing. It was a piece of paper</w:t>
      </w:r>
      <w:r w:rsidR="00036FD8" w:rsidRPr="00036FD8">
        <w:t>”</w:t>
      </w:r>
      <w:r w:rsidR="00322317" w:rsidRPr="00322317">
        <w:t xml:space="preserve"> </w:t>
      </w:r>
      <w:r w:rsidR="00322317">
        <w:t>(22 November 2019, T26/27)</w:t>
      </w:r>
      <w:r w:rsidR="00036FD8" w:rsidRPr="00036FD8">
        <w:t>, and that it was “</w:t>
      </w:r>
      <w:r w:rsidR="00036FD8" w:rsidRPr="00FF29BF">
        <w:rPr>
          <w:i/>
        </w:rPr>
        <w:t xml:space="preserve">…a piece of </w:t>
      </w:r>
      <w:r w:rsidR="00036FD8" w:rsidRPr="00FF29BF">
        <w:rPr>
          <w:i/>
        </w:rPr>
        <w:lastRenderedPageBreak/>
        <w:t>paper without having a title, and without being sealed or signed</w:t>
      </w:r>
      <w:r w:rsidR="00036FD8" w:rsidRPr="00036FD8">
        <w:t>”</w:t>
      </w:r>
      <w:r w:rsidR="00322317">
        <w:t xml:space="preserve"> (</w:t>
      </w:r>
      <w:r w:rsidR="00822A89">
        <w:t>1</w:t>
      </w:r>
      <w:r w:rsidR="00322317">
        <w:t>6 December 2019, T9/45-46)</w:t>
      </w:r>
      <w:r w:rsidR="00036FD8" w:rsidRPr="00036FD8">
        <w:t xml:space="preserve">. In </w:t>
      </w:r>
      <w:r w:rsidR="00036FD8" w:rsidRPr="00FF29BF">
        <w:rPr>
          <w:i/>
        </w:rPr>
        <w:t xml:space="preserve">Mansfield v </w:t>
      </w:r>
      <w:proofErr w:type="spellStart"/>
      <w:r w:rsidR="00036FD8" w:rsidRPr="00FF29BF">
        <w:rPr>
          <w:i/>
        </w:rPr>
        <w:t>Fokas</w:t>
      </w:r>
      <w:proofErr w:type="spellEnd"/>
      <w:r w:rsidR="00036FD8" w:rsidRPr="00FF29BF">
        <w:rPr>
          <w:i/>
        </w:rPr>
        <w:t xml:space="preserve"> (</w:t>
      </w:r>
      <w:r w:rsidR="00FF29BF" w:rsidRPr="00FF29BF">
        <w:rPr>
          <w:i/>
        </w:rPr>
        <w:t>No 1</w:t>
      </w:r>
      <w:r w:rsidR="00036FD8" w:rsidRPr="00FF29BF">
        <w:rPr>
          <w:i/>
        </w:rPr>
        <w:t>)</w:t>
      </w:r>
      <w:r w:rsidR="00036FD8" w:rsidRPr="00036FD8">
        <w:t xml:space="preserve">, I rejected </w:t>
      </w:r>
      <w:r w:rsidR="00807627" w:rsidRPr="00036FD8">
        <w:t>Mrs</w:t>
      </w:r>
      <w:r w:rsidR="00807627">
        <w:t> </w:t>
      </w:r>
      <w:proofErr w:type="spellStart"/>
      <w:r w:rsidR="00036FD8" w:rsidRPr="00036FD8">
        <w:t>Fokas’</w:t>
      </w:r>
      <w:r w:rsidR="00122427">
        <w:t>s</w:t>
      </w:r>
      <w:proofErr w:type="spellEnd"/>
      <w:r w:rsidR="00036FD8" w:rsidRPr="00036FD8">
        <w:t xml:space="preserve"> claim that the sequestration order had not been signed or sealed, and </w:t>
      </w:r>
      <w:r w:rsidR="00807627" w:rsidRPr="00036FD8">
        <w:t>I</w:t>
      </w:r>
      <w:r w:rsidR="00807627">
        <w:t> </w:t>
      </w:r>
      <w:r w:rsidR="00036FD8" w:rsidRPr="00036FD8">
        <w:t xml:space="preserve">annexed a copy of the signed and </w:t>
      </w:r>
      <w:r w:rsidR="00595AD3">
        <w:t>stamped</w:t>
      </w:r>
      <w:r w:rsidR="00595AD3" w:rsidRPr="00036FD8">
        <w:t xml:space="preserve"> </w:t>
      </w:r>
      <w:r w:rsidR="00036FD8" w:rsidRPr="00036FD8">
        <w:t>sequestration order to my reasons.</w:t>
      </w:r>
    </w:p>
    <w:p w14:paraId="4D317072" w14:textId="57C5AC2C" w:rsidR="008A6F8E" w:rsidRDefault="00DA3CCE" w:rsidP="00FF009B">
      <w:pPr>
        <w:pStyle w:val="ListNo1"/>
        <w:numPr>
          <w:ilvl w:val="0"/>
          <w:numId w:val="28"/>
        </w:numPr>
      </w:pPr>
      <w:r>
        <w:t xml:space="preserve">It became apparent that because </w:t>
      </w:r>
      <w:r w:rsidR="00807627">
        <w:t>Mrs </w:t>
      </w:r>
      <w:proofErr w:type="spellStart"/>
      <w:r>
        <w:t>Fokas</w:t>
      </w:r>
      <w:proofErr w:type="spellEnd"/>
      <w:r>
        <w:t xml:space="preserve"> </w:t>
      </w:r>
      <w:r w:rsidR="009947CD">
        <w:t xml:space="preserve">did not </w:t>
      </w:r>
      <w:r>
        <w:t xml:space="preserve">accept that a sequestration order </w:t>
      </w:r>
      <w:r w:rsidR="009947CD">
        <w:t>had been</w:t>
      </w:r>
      <w:r>
        <w:t xml:space="preserve"> made against her</w:t>
      </w:r>
      <w:r w:rsidR="009947CD">
        <w:t xml:space="preserve"> estate</w:t>
      </w:r>
      <w:r>
        <w:t>, that she</w:t>
      </w:r>
      <w:r w:rsidR="000829C6">
        <w:t xml:space="preserve"> </w:t>
      </w:r>
      <w:r w:rsidR="00217F11">
        <w:t xml:space="preserve">had </w:t>
      </w:r>
      <w:r w:rsidR="0038029E">
        <w:t>refuse</w:t>
      </w:r>
      <w:r w:rsidR="004C7C29">
        <w:t>d</w:t>
      </w:r>
      <w:r w:rsidR="0038029E">
        <w:t xml:space="preserve"> to </w:t>
      </w:r>
      <w:r>
        <w:t>sign a statement of affairs</w:t>
      </w:r>
      <w:r w:rsidR="00E06831">
        <w:t xml:space="preserve">, as required by s 54 of the </w:t>
      </w:r>
      <w:r w:rsidR="00E06831" w:rsidRPr="008A6F8E">
        <w:rPr>
          <w:i/>
        </w:rPr>
        <w:t>Bankruptcy Act</w:t>
      </w:r>
      <w:r w:rsidR="000829C6">
        <w:rPr>
          <w:i/>
        </w:rPr>
        <w:t xml:space="preserve"> 1966 </w:t>
      </w:r>
      <w:r w:rsidR="000829C6">
        <w:t>(</w:t>
      </w:r>
      <w:proofErr w:type="spellStart"/>
      <w:r w:rsidR="000829C6">
        <w:t>Cth</w:t>
      </w:r>
      <w:proofErr w:type="spellEnd"/>
      <w:r w:rsidR="000829C6">
        <w:t>)</w:t>
      </w:r>
      <w:r w:rsidR="0038029E">
        <w:t xml:space="preserve">. </w:t>
      </w:r>
      <w:r w:rsidR="009A143C">
        <w:t xml:space="preserve">She stated to the Court, </w:t>
      </w:r>
      <w:r w:rsidR="00AD58B0">
        <w:t>“</w:t>
      </w:r>
      <w:r w:rsidR="009A143C">
        <w:rPr>
          <w:i/>
        </w:rPr>
        <w:t>I</w:t>
      </w:r>
      <w:r w:rsidR="00AD58B0">
        <w:rPr>
          <w:i/>
        </w:rPr>
        <w:t>’</w:t>
      </w:r>
      <w:r w:rsidR="009A143C">
        <w:rPr>
          <w:i/>
        </w:rPr>
        <w:t>m not bankrupt. The Court has not made me bankrupt</w:t>
      </w:r>
      <w:r w:rsidR="002D1549">
        <w:rPr>
          <w:i/>
        </w:rPr>
        <w:t>…</w:t>
      </w:r>
      <w:r w:rsidR="002D1549">
        <w:t xml:space="preserve">. </w:t>
      </w:r>
      <w:r w:rsidR="002D1549">
        <w:rPr>
          <w:i/>
        </w:rPr>
        <w:t>I don</w:t>
      </w:r>
      <w:r w:rsidR="00AD58B0">
        <w:rPr>
          <w:i/>
        </w:rPr>
        <w:t>’</w:t>
      </w:r>
      <w:r w:rsidR="002D1549">
        <w:rPr>
          <w:i/>
        </w:rPr>
        <w:t>t have a liability to the petitioning creditor</w:t>
      </w:r>
      <w:r w:rsidR="00CB582F">
        <w:rPr>
          <w:i/>
        </w:rPr>
        <w:t xml:space="preserve">” </w:t>
      </w:r>
      <w:r w:rsidR="00CB582F">
        <w:t>(22 November 2019, T34/25-28)</w:t>
      </w:r>
      <w:r w:rsidR="002D1549">
        <w:rPr>
          <w:i/>
        </w:rPr>
        <w:t>.</w:t>
      </w:r>
      <w:r w:rsidR="009A143C">
        <w:rPr>
          <w:i/>
        </w:rPr>
        <w:t xml:space="preserve"> </w:t>
      </w:r>
      <w:r w:rsidR="0038029E">
        <w:t>Her failure to sign a statement of affairs has prevented the time for automatic discharge from bankruptcy</w:t>
      </w:r>
      <w:r w:rsidR="00ED3F2E">
        <w:t xml:space="preserve"> under s 149(4) </w:t>
      </w:r>
      <w:r w:rsidR="004C390B">
        <w:t xml:space="preserve">of the </w:t>
      </w:r>
      <w:r w:rsidR="004C390B" w:rsidRPr="008A6F8E">
        <w:rPr>
          <w:i/>
        </w:rPr>
        <w:t>Bankruptcy Act</w:t>
      </w:r>
      <w:r w:rsidR="004C390B">
        <w:rPr>
          <w:i/>
        </w:rPr>
        <w:t xml:space="preserve"> </w:t>
      </w:r>
      <w:r w:rsidR="00ED3F2E">
        <w:t>from</w:t>
      </w:r>
      <w:r w:rsidR="0038029E">
        <w:t xml:space="preserve"> commencing.</w:t>
      </w:r>
      <w:r w:rsidR="008A6F8E">
        <w:t xml:space="preserve"> See further, </w:t>
      </w:r>
      <w:r w:rsidR="008A6F8E">
        <w:rPr>
          <w:i/>
        </w:rPr>
        <w:t>Mansfield as Trustee of the Bankrupt Estate o</w:t>
      </w:r>
      <w:r w:rsidR="008A6F8E" w:rsidRPr="008A6F8E">
        <w:rPr>
          <w:i/>
        </w:rPr>
        <w:t xml:space="preserve">f Maria </w:t>
      </w:r>
      <w:proofErr w:type="spellStart"/>
      <w:r w:rsidR="008A6F8E" w:rsidRPr="008A6F8E">
        <w:rPr>
          <w:i/>
        </w:rPr>
        <w:t>Fokas</w:t>
      </w:r>
      <w:proofErr w:type="spellEnd"/>
      <w:r w:rsidR="008A6F8E" w:rsidRPr="008A6F8E">
        <w:rPr>
          <w:i/>
        </w:rPr>
        <w:t xml:space="preserve"> v </w:t>
      </w:r>
      <w:proofErr w:type="spellStart"/>
      <w:r w:rsidR="008A6F8E" w:rsidRPr="008A6F8E">
        <w:rPr>
          <w:i/>
        </w:rPr>
        <w:t>Fokas</w:t>
      </w:r>
      <w:proofErr w:type="spellEnd"/>
      <w:r w:rsidR="008A6F8E" w:rsidRPr="008A6F8E">
        <w:t xml:space="preserve"> [2019] FCCA 134</w:t>
      </w:r>
      <w:r w:rsidR="008A6F8E">
        <w:t>.</w:t>
      </w:r>
    </w:p>
    <w:p w14:paraId="6109A7B5" w14:textId="5982EEC8" w:rsidR="00DD1FC8" w:rsidRDefault="00821F56" w:rsidP="00FF009B">
      <w:pPr>
        <w:pStyle w:val="ListNo1"/>
        <w:numPr>
          <w:ilvl w:val="0"/>
          <w:numId w:val="28"/>
        </w:numPr>
      </w:pPr>
      <w:r>
        <w:t>Mrs </w:t>
      </w:r>
      <w:proofErr w:type="spellStart"/>
      <w:r w:rsidR="00DD1FC8">
        <w:t>Fokas</w:t>
      </w:r>
      <w:proofErr w:type="spellEnd"/>
      <w:r w:rsidR="00DD1FC8">
        <w:t xml:space="preserve"> took the Court to an extract from the National Personal Insolvency Index at p 338 of the bundle of annexures to the affidavit of the Trustee’s solicitor dated </w:t>
      </w:r>
      <w:r>
        <w:t>10 </w:t>
      </w:r>
      <w:r w:rsidR="00DD1FC8">
        <w:t xml:space="preserve">September 2019. That extract recorded that no data </w:t>
      </w:r>
      <w:r w:rsidR="00784BAF">
        <w:t>were</w:t>
      </w:r>
      <w:r w:rsidR="004C390B">
        <w:t xml:space="preserve"> </w:t>
      </w:r>
      <w:r w:rsidR="00DD1FC8">
        <w:t xml:space="preserve">held as to the discharge date. </w:t>
      </w:r>
      <w:r>
        <w:t>Mrs </w:t>
      </w:r>
      <w:proofErr w:type="spellStart"/>
      <w:r w:rsidR="00DD1FC8">
        <w:t>Fokas</w:t>
      </w:r>
      <w:proofErr w:type="spellEnd"/>
      <w:r w:rsidR="00DD1FC8">
        <w:t xml:space="preserve"> submitted (inter alia) that there was no discharge date because a sequestration order had</w:t>
      </w:r>
      <w:r w:rsidR="004C390B">
        <w:t xml:space="preserve"> not</w:t>
      </w:r>
      <w:r w:rsidR="00DD1FC8">
        <w:t xml:space="preserve"> been made. The Court observed to </w:t>
      </w:r>
      <w:r>
        <w:t>Mrs </w:t>
      </w:r>
      <w:proofErr w:type="spellStart"/>
      <w:r w:rsidR="00DD1FC8">
        <w:t>Fokas</w:t>
      </w:r>
      <w:proofErr w:type="spellEnd"/>
      <w:r w:rsidR="00DD1FC8">
        <w:t xml:space="preserve"> that a much more obvious reason for the entry was that she had not signed a statement of affairs, and the period for automatic discharge under s 149 of the </w:t>
      </w:r>
      <w:r w:rsidR="00DD1FC8">
        <w:rPr>
          <w:i/>
        </w:rPr>
        <w:t xml:space="preserve">Bankruptcy Act </w:t>
      </w:r>
      <w:r w:rsidR="00DD1FC8">
        <w:t>had not commenced to run.</w:t>
      </w:r>
    </w:p>
    <w:p w14:paraId="3800467A" w14:textId="5DF0D9C4" w:rsidR="00A40427" w:rsidRDefault="00821F56" w:rsidP="00FF009B">
      <w:pPr>
        <w:pStyle w:val="ListNo1"/>
        <w:numPr>
          <w:ilvl w:val="0"/>
          <w:numId w:val="28"/>
        </w:numPr>
      </w:pPr>
      <w:r>
        <w:t>Mrs </w:t>
      </w:r>
      <w:proofErr w:type="spellStart"/>
      <w:r w:rsidR="00A40427">
        <w:t>Fokas</w:t>
      </w:r>
      <w:proofErr w:type="spellEnd"/>
      <w:r w:rsidR="00A40427">
        <w:t xml:space="preserve"> submitted that </w:t>
      </w:r>
      <w:r w:rsidR="00217F11">
        <w:t>the Court’s</w:t>
      </w:r>
      <w:r w:rsidR="00A40427">
        <w:t xml:space="preserve"> decision to give summary judgment on </w:t>
      </w:r>
      <w:r>
        <w:t>21 </w:t>
      </w:r>
      <w:r w:rsidR="00A40427">
        <w:t>October 2019 was based upon the incorrect assumption that the sequestration order was made.</w:t>
      </w:r>
    </w:p>
    <w:p w14:paraId="1B6366E9" w14:textId="6C9BE260" w:rsidR="00B1521F" w:rsidRDefault="00821F56" w:rsidP="00FF009B">
      <w:pPr>
        <w:pStyle w:val="ListNo1"/>
        <w:numPr>
          <w:ilvl w:val="0"/>
          <w:numId w:val="28"/>
        </w:numPr>
      </w:pPr>
      <w:r>
        <w:t>Mrs </w:t>
      </w:r>
      <w:proofErr w:type="spellStart"/>
      <w:r w:rsidR="00B1521F">
        <w:t>Fokas</w:t>
      </w:r>
      <w:proofErr w:type="spellEnd"/>
      <w:r w:rsidR="00B1521F">
        <w:t xml:space="preserve"> repeated </w:t>
      </w:r>
      <w:r w:rsidR="00CC150B">
        <w:t xml:space="preserve">the substance of </w:t>
      </w:r>
      <w:r w:rsidR="00B1521F">
        <w:t xml:space="preserve">a submission </w:t>
      </w:r>
      <w:r w:rsidR="00CC150B">
        <w:t>concerning the status of the Trustee</w:t>
      </w:r>
      <w:r w:rsidR="00AD58B0">
        <w:t>’</w:t>
      </w:r>
      <w:r w:rsidR="00CC150B">
        <w:t xml:space="preserve">s registration </w:t>
      </w:r>
      <w:r w:rsidR="00B1521F">
        <w:t xml:space="preserve">that she made during the hearing of the application for summary judgment and which </w:t>
      </w:r>
      <w:r w:rsidR="00D222A6">
        <w:t>the Court</w:t>
      </w:r>
      <w:r w:rsidR="00B1521F">
        <w:t xml:space="preserve"> rejected in </w:t>
      </w:r>
      <w:r w:rsidR="00B1521F">
        <w:rPr>
          <w:i/>
        </w:rPr>
        <w:t xml:space="preserve">Mansfield v </w:t>
      </w:r>
      <w:proofErr w:type="spellStart"/>
      <w:r w:rsidR="00B1521F">
        <w:rPr>
          <w:i/>
        </w:rPr>
        <w:t>Fokas</w:t>
      </w:r>
      <w:proofErr w:type="spellEnd"/>
      <w:r w:rsidR="00D222A6">
        <w:rPr>
          <w:i/>
        </w:rPr>
        <w:t xml:space="preserve"> (No 1)</w:t>
      </w:r>
      <w:r w:rsidR="00B1521F">
        <w:rPr>
          <w:i/>
        </w:rPr>
        <w:t xml:space="preserve"> </w:t>
      </w:r>
      <w:r w:rsidR="00B1521F">
        <w:t xml:space="preserve">at </w:t>
      </w:r>
      <w:r w:rsidR="00CC150B">
        <w:t>[45].</w:t>
      </w:r>
    </w:p>
    <w:p w14:paraId="21F14A12" w14:textId="190A3C8A" w:rsidR="00E93F19" w:rsidRDefault="00821F56" w:rsidP="00FF009B">
      <w:pPr>
        <w:pStyle w:val="ListNo1"/>
        <w:numPr>
          <w:ilvl w:val="0"/>
          <w:numId w:val="28"/>
        </w:numPr>
      </w:pPr>
      <w:r>
        <w:t>Mrs </w:t>
      </w:r>
      <w:proofErr w:type="spellStart"/>
      <w:r w:rsidR="00E93F19">
        <w:t>Fokas</w:t>
      </w:r>
      <w:proofErr w:type="spellEnd"/>
      <w:r w:rsidR="00E93F19">
        <w:t xml:space="preserve"> challenged</w:t>
      </w:r>
      <w:r w:rsidR="000F29A7">
        <w:t xml:space="preserve"> the circumstances </w:t>
      </w:r>
      <w:r w:rsidR="00215820">
        <w:t>in</w:t>
      </w:r>
      <w:r w:rsidR="000F29A7">
        <w:t xml:space="preserve"> which she was</w:t>
      </w:r>
      <w:r w:rsidR="00E93F19">
        <w:t xml:space="preserve"> </w:t>
      </w:r>
      <w:r w:rsidR="000F29A7">
        <w:t xml:space="preserve">served with </w:t>
      </w:r>
      <w:r w:rsidR="00E93F19">
        <w:t>the bankruptcy notice</w:t>
      </w:r>
      <w:r w:rsidR="00B46026">
        <w:t>,</w:t>
      </w:r>
      <w:r w:rsidR="008778F5">
        <w:t xml:space="preserve"> claiming</w:t>
      </w:r>
      <w:r w:rsidR="00215820">
        <w:t xml:space="preserve"> </w:t>
      </w:r>
      <w:r w:rsidR="008C0DF5">
        <w:t xml:space="preserve">that the </w:t>
      </w:r>
      <w:r w:rsidR="00934C87">
        <w:t xml:space="preserve">person </w:t>
      </w:r>
      <w:r w:rsidR="008778F5">
        <w:t xml:space="preserve">who served </w:t>
      </w:r>
      <w:r w:rsidR="00934C87">
        <w:t>the notice did not introduce himself, and did not make her aware that he was serving her with a document</w:t>
      </w:r>
      <w:r w:rsidR="00A56A85">
        <w:t>, or what it was</w:t>
      </w:r>
      <w:r w:rsidR="00E93F19">
        <w:t>.</w:t>
      </w:r>
    </w:p>
    <w:p w14:paraId="18A535EB" w14:textId="72BA1462" w:rsidR="00AE356B" w:rsidRDefault="00821F56" w:rsidP="00FF009B">
      <w:pPr>
        <w:pStyle w:val="ListNo1"/>
        <w:numPr>
          <w:ilvl w:val="0"/>
          <w:numId w:val="28"/>
        </w:numPr>
      </w:pPr>
      <w:r>
        <w:t>Mrs </w:t>
      </w:r>
      <w:proofErr w:type="spellStart"/>
      <w:r w:rsidR="00AE356B">
        <w:t>Fokas</w:t>
      </w:r>
      <w:proofErr w:type="spellEnd"/>
      <w:r w:rsidR="00AE356B">
        <w:t xml:space="preserve"> claimed that the creditor</w:t>
      </w:r>
      <w:r w:rsidR="00AD58B0">
        <w:t>’</w:t>
      </w:r>
      <w:r w:rsidR="00AE356B">
        <w:t xml:space="preserve">s petition was invalid because </w:t>
      </w:r>
      <w:r w:rsidR="00364635">
        <w:t xml:space="preserve">it did not include the reasons of the costs assessor responsible for the assessments of costs that resulted </w:t>
      </w:r>
      <w:r w:rsidR="00364635">
        <w:lastRenderedPageBreak/>
        <w:t>in the orders of the Local Court</w:t>
      </w:r>
      <w:r w:rsidR="004C390B">
        <w:t>,</w:t>
      </w:r>
      <w:r w:rsidR="00364635">
        <w:t xml:space="preserve"> which formed the foundation of the bankruptcy notice.</w:t>
      </w:r>
    </w:p>
    <w:p w14:paraId="2B09DC88" w14:textId="16470887" w:rsidR="001B6F88" w:rsidRDefault="00821F56" w:rsidP="00FF009B">
      <w:pPr>
        <w:pStyle w:val="ListNo1"/>
        <w:numPr>
          <w:ilvl w:val="0"/>
          <w:numId w:val="28"/>
        </w:numPr>
      </w:pPr>
      <w:r>
        <w:t>Mrs </w:t>
      </w:r>
      <w:proofErr w:type="spellStart"/>
      <w:r w:rsidR="0033307B">
        <w:t>Fokas</w:t>
      </w:r>
      <w:proofErr w:type="spellEnd"/>
      <w:r w:rsidR="0033307B">
        <w:t xml:space="preserve"> drew attention to the fact that the date typed on the affidavit verifying the creditor</w:t>
      </w:r>
      <w:r w:rsidR="00AD58B0">
        <w:t>’</w:t>
      </w:r>
      <w:r w:rsidR="0033307B">
        <w:t xml:space="preserve">s petition was </w:t>
      </w:r>
      <w:r w:rsidR="00266346">
        <w:t>1 </w:t>
      </w:r>
      <w:r w:rsidR="0033307B">
        <w:t xml:space="preserve">June 2012, and that this </w:t>
      </w:r>
      <w:r w:rsidR="00D14FB9">
        <w:t xml:space="preserve">was the same date on </w:t>
      </w:r>
      <w:r w:rsidR="00D222A6">
        <w:t xml:space="preserve">which the deponent stated that </w:t>
      </w:r>
      <w:r w:rsidR="002F22E3">
        <w:t>he</w:t>
      </w:r>
      <w:r w:rsidR="00D222A6">
        <w:t xml:space="preserve"> had</w:t>
      </w:r>
      <w:r w:rsidR="00D14FB9">
        <w:t xml:space="preserve"> served</w:t>
      </w:r>
      <w:r w:rsidR="002F22E3">
        <w:t xml:space="preserve"> </w:t>
      </w:r>
      <w:r w:rsidR="00266346">
        <w:t>Mrs </w:t>
      </w:r>
      <w:proofErr w:type="spellStart"/>
      <w:r w:rsidR="002F22E3">
        <w:t>Fokas</w:t>
      </w:r>
      <w:proofErr w:type="spellEnd"/>
      <w:r w:rsidR="00D14FB9">
        <w:t xml:space="preserve"> with </w:t>
      </w:r>
      <w:r w:rsidR="002F22E3">
        <w:t xml:space="preserve">a </w:t>
      </w:r>
      <w:r w:rsidR="00D14FB9">
        <w:t xml:space="preserve">bankruptcy notice, and therefore the deponent could not have sworn to her failure to comply with the bankruptcy notice </w:t>
      </w:r>
      <w:r w:rsidR="002F22E3">
        <w:t xml:space="preserve">by </w:t>
      </w:r>
      <w:r w:rsidR="00266346">
        <w:t>22 </w:t>
      </w:r>
      <w:r w:rsidR="002F22E3">
        <w:t>June 2012, as the petition alleged.</w:t>
      </w:r>
      <w:r w:rsidR="00DB49BC">
        <w:t xml:space="preserve"> </w:t>
      </w:r>
      <w:r w:rsidR="00266346">
        <w:t>Mrs </w:t>
      </w:r>
      <w:proofErr w:type="spellStart"/>
      <w:r w:rsidR="006F5808">
        <w:t>Fokas</w:t>
      </w:r>
      <w:proofErr w:type="spellEnd"/>
      <w:r w:rsidR="006F5808">
        <w:t xml:space="preserve"> also drew attention to the fact that the affidavit of service of the bankruptcy notice, which was referred to in the affidavit verifying the creditor</w:t>
      </w:r>
      <w:r w:rsidR="00AD58B0">
        <w:t>’</w:t>
      </w:r>
      <w:r w:rsidR="006F5808">
        <w:t xml:space="preserve">s petition was dated </w:t>
      </w:r>
      <w:r w:rsidR="00266346">
        <w:t>6 </w:t>
      </w:r>
      <w:r w:rsidR="00772CD7">
        <w:t>July 2012, which post-dated the typed date on the affidavit verifying the creditor</w:t>
      </w:r>
      <w:r w:rsidR="00AD58B0">
        <w:t>’</w:t>
      </w:r>
      <w:r w:rsidR="00772CD7">
        <w:t xml:space="preserve">s petition by </w:t>
      </w:r>
      <w:r w:rsidR="00266346">
        <w:t>35 </w:t>
      </w:r>
      <w:r w:rsidR="00772CD7">
        <w:t xml:space="preserve">days. </w:t>
      </w:r>
      <w:r w:rsidR="00DB49BC">
        <w:t>T</w:t>
      </w:r>
      <w:r w:rsidR="00772CD7">
        <w:t>hese</w:t>
      </w:r>
      <w:r w:rsidR="00DB49BC">
        <w:t xml:space="preserve"> feature</w:t>
      </w:r>
      <w:r w:rsidR="00E90127">
        <w:t>s</w:t>
      </w:r>
      <w:r w:rsidR="00DB49BC">
        <w:t xml:space="preserve"> of the affidavit verifying the creditor</w:t>
      </w:r>
      <w:r w:rsidR="00AD58B0">
        <w:t>’</w:t>
      </w:r>
      <w:r w:rsidR="00DB49BC">
        <w:t xml:space="preserve">s petition </w:t>
      </w:r>
      <w:r w:rsidR="00266DE9">
        <w:t>were</w:t>
      </w:r>
      <w:r w:rsidR="00DB49BC">
        <w:t xml:space="preserve"> also </w:t>
      </w:r>
      <w:r w:rsidR="00142C41">
        <w:t xml:space="preserve">referred to by </w:t>
      </w:r>
      <w:r w:rsidR="00266346">
        <w:t>Mrs </w:t>
      </w:r>
      <w:proofErr w:type="spellStart"/>
      <w:r w:rsidR="00142C41">
        <w:t>Fokas</w:t>
      </w:r>
      <w:proofErr w:type="spellEnd"/>
      <w:r w:rsidR="00142C41">
        <w:t xml:space="preserve"> in her affidavit of </w:t>
      </w:r>
      <w:r w:rsidR="00266346">
        <w:t>15 </w:t>
      </w:r>
      <w:r w:rsidR="00142C41">
        <w:t>November 2019.</w:t>
      </w:r>
      <w:r w:rsidR="009A55AD">
        <w:t xml:space="preserve"> A</w:t>
      </w:r>
      <w:r w:rsidR="001B6F88">
        <w:t xml:space="preserve">t the hearing on </w:t>
      </w:r>
      <w:r w:rsidR="00266346">
        <w:t>22 </w:t>
      </w:r>
      <w:r w:rsidR="001B6F88">
        <w:t>November 2019</w:t>
      </w:r>
      <w:r w:rsidR="003914D4">
        <w:t>,</w:t>
      </w:r>
      <w:r w:rsidR="001B6F88">
        <w:t xml:space="preserve"> </w:t>
      </w:r>
      <w:r w:rsidR="009A55AD">
        <w:t>the Court</w:t>
      </w:r>
      <w:r w:rsidR="001B6F88">
        <w:t xml:space="preserve"> drew </w:t>
      </w:r>
      <w:r w:rsidR="00221648">
        <w:t>Mrs </w:t>
      </w:r>
      <w:proofErr w:type="spellStart"/>
      <w:r w:rsidR="001B6F88">
        <w:t>Fokas</w:t>
      </w:r>
      <w:r w:rsidR="00AD58B0">
        <w:t>’</w:t>
      </w:r>
      <w:r w:rsidR="00122427">
        <w:t>s</w:t>
      </w:r>
      <w:proofErr w:type="spellEnd"/>
      <w:r w:rsidR="001B6F88">
        <w:t xml:space="preserve"> attention to the affidavit of final debt made by the same deponent dated </w:t>
      </w:r>
      <w:r w:rsidR="00221648">
        <w:t>31 </w:t>
      </w:r>
      <w:r w:rsidR="001B6F88">
        <w:t>October 2012</w:t>
      </w:r>
      <w:r w:rsidR="009A55AD">
        <w:t>,</w:t>
      </w:r>
      <w:r w:rsidR="001B6F88">
        <w:t xml:space="preserve"> which stated that the debt the subject of the bankruptcy notice had not been paid, and was still owing in full. </w:t>
      </w:r>
      <w:r w:rsidR="00221648">
        <w:t>Mrs </w:t>
      </w:r>
      <w:proofErr w:type="spellStart"/>
      <w:r w:rsidR="001B6F88">
        <w:t>Fokas</w:t>
      </w:r>
      <w:proofErr w:type="spellEnd"/>
      <w:r w:rsidR="001B6F88">
        <w:t xml:space="preserve"> accepted that she had not paid the amount the subject of the bankruptcy notice, and stated that</w:t>
      </w:r>
      <w:r w:rsidR="001642BB">
        <w:t xml:space="preserve">, </w:t>
      </w:r>
      <w:r w:rsidR="00AD58B0">
        <w:t>“</w:t>
      </w:r>
      <w:r w:rsidR="001642BB">
        <w:rPr>
          <w:i/>
        </w:rPr>
        <w:t>I don</w:t>
      </w:r>
      <w:r w:rsidR="00AD58B0">
        <w:rPr>
          <w:i/>
        </w:rPr>
        <w:t>’</w:t>
      </w:r>
      <w:r w:rsidR="001642BB">
        <w:rPr>
          <w:i/>
        </w:rPr>
        <w:t>t have a debt, and I would never pay anything</w:t>
      </w:r>
      <w:r w:rsidR="00AD58B0">
        <w:t>”</w:t>
      </w:r>
      <w:r w:rsidR="00CB582F">
        <w:t xml:space="preserve"> (T25/25)</w:t>
      </w:r>
      <w:r w:rsidR="001642BB">
        <w:t>.</w:t>
      </w:r>
      <w:r w:rsidR="001B6F88">
        <w:t xml:space="preserve"> </w:t>
      </w:r>
    </w:p>
    <w:p w14:paraId="1ECA5DDB" w14:textId="449B168A" w:rsidR="00ED6023" w:rsidRDefault="00221648" w:rsidP="00FF009B">
      <w:pPr>
        <w:pStyle w:val="ListNo1"/>
        <w:numPr>
          <w:ilvl w:val="0"/>
          <w:numId w:val="28"/>
        </w:numPr>
      </w:pPr>
      <w:r>
        <w:t>Mrs </w:t>
      </w:r>
      <w:proofErr w:type="spellStart"/>
      <w:r w:rsidR="00ED6023">
        <w:t>Fokas</w:t>
      </w:r>
      <w:proofErr w:type="spellEnd"/>
      <w:r w:rsidR="00ED6023">
        <w:t xml:space="preserve"> referred to her evidence of the </w:t>
      </w:r>
      <w:r w:rsidR="00852DDE">
        <w:t>circumstances in which she was served with the bankruptcy notice</w:t>
      </w:r>
      <w:r w:rsidR="00D970AA">
        <w:t>, which I understood to be some sort of challenge to the validity of that service.</w:t>
      </w:r>
    </w:p>
    <w:p w14:paraId="289E666F" w14:textId="0C37D426" w:rsidR="001C6442" w:rsidRDefault="00221648" w:rsidP="00FF009B">
      <w:pPr>
        <w:pStyle w:val="ListNo1"/>
        <w:numPr>
          <w:ilvl w:val="0"/>
          <w:numId w:val="28"/>
        </w:numPr>
      </w:pPr>
      <w:r>
        <w:t>Mrs </w:t>
      </w:r>
      <w:proofErr w:type="spellStart"/>
      <w:r w:rsidR="004F575B">
        <w:t>Fokas</w:t>
      </w:r>
      <w:proofErr w:type="spellEnd"/>
      <w:r w:rsidR="004F575B">
        <w:t xml:space="preserve"> submitted that t</w:t>
      </w:r>
      <w:r w:rsidR="001C6442">
        <w:t>he two proceedings that she commenced in the Federal Circuit Court in March and April 2018 should not be taken into account</w:t>
      </w:r>
      <w:r w:rsidR="006C2C45">
        <w:t xml:space="preserve"> in determining whether to make a vexatious proceedings order</w:t>
      </w:r>
      <w:r w:rsidR="00176A3C">
        <w:t>, because she discontinued them.</w:t>
      </w:r>
    </w:p>
    <w:p w14:paraId="77DD1724" w14:textId="312ADFA3" w:rsidR="0013193A" w:rsidRDefault="00221648" w:rsidP="00FF009B">
      <w:pPr>
        <w:pStyle w:val="ListNo1"/>
        <w:numPr>
          <w:ilvl w:val="0"/>
          <w:numId w:val="28"/>
        </w:numPr>
      </w:pPr>
      <w:r>
        <w:t>Mrs </w:t>
      </w:r>
      <w:proofErr w:type="spellStart"/>
      <w:r w:rsidR="0013193A">
        <w:t>Fokas</w:t>
      </w:r>
      <w:proofErr w:type="spellEnd"/>
      <w:r w:rsidR="0013193A">
        <w:t xml:space="preserve"> question</w:t>
      </w:r>
      <w:r w:rsidR="00AA367B">
        <w:t>ed</w:t>
      </w:r>
      <w:r w:rsidR="0013193A">
        <w:t xml:space="preserve"> whether her notice under s 78B of the </w:t>
      </w:r>
      <w:r w:rsidR="0013193A">
        <w:rPr>
          <w:i/>
        </w:rPr>
        <w:t>Judiciary Act</w:t>
      </w:r>
      <w:r w:rsidR="0013193A">
        <w:t xml:space="preserve"> is to be regarded as a </w:t>
      </w:r>
      <w:r w:rsidR="00AD58B0">
        <w:t>“</w:t>
      </w:r>
      <w:r w:rsidR="0013193A">
        <w:t>proceeding</w:t>
      </w:r>
      <w:r w:rsidR="00AD58B0">
        <w:t>”</w:t>
      </w:r>
      <w:r w:rsidR="0013193A">
        <w:t xml:space="preserve"> for the purposes of s </w:t>
      </w:r>
      <w:proofErr w:type="gramStart"/>
      <w:r w:rsidR="0013193A">
        <w:t>37</w:t>
      </w:r>
      <w:r w:rsidR="00B466EE">
        <w:t>A</w:t>
      </w:r>
      <w:r w:rsidR="0013193A">
        <w:t>M</w:t>
      </w:r>
      <w:r w:rsidR="00B466EE">
        <w:t>(</w:t>
      </w:r>
      <w:proofErr w:type="gramEnd"/>
      <w:r w:rsidR="00B466EE">
        <w:t>1) and s 4</w:t>
      </w:r>
      <w:r w:rsidR="0013193A">
        <w:t xml:space="preserve"> of the </w:t>
      </w:r>
      <w:r w:rsidR="0013193A">
        <w:rPr>
          <w:i/>
        </w:rPr>
        <w:t>Federal Court of Australia Act</w:t>
      </w:r>
      <w:r w:rsidR="00176A3C">
        <w:t>.</w:t>
      </w:r>
    </w:p>
    <w:p w14:paraId="6DC46F91" w14:textId="0655AA56" w:rsidR="00753BFF" w:rsidRDefault="00221648" w:rsidP="00FF009B">
      <w:pPr>
        <w:pStyle w:val="ListNo1"/>
        <w:numPr>
          <w:ilvl w:val="0"/>
          <w:numId w:val="28"/>
        </w:numPr>
      </w:pPr>
      <w:r>
        <w:t>Mrs </w:t>
      </w:r>
      <w:proofErr w:type="spellStart"/>
      <w:r w:rsidR="00E51870">
        <w:t>Fokas</w:t>
      </w:r>
      <w:proofErr w:type="spellEnd"/>
      <w:r w:rsidR="00E51870">
        <w:t xml:space="preserve"> submitted that</w:t>
      </w:r>
      <w:r w:rsidR="00753BFF">
        <w:t xml:space="preserve"> the matters that she now wished to put before the Court had not previously been decided </w:t>
      </w:r>
      <w:r w:rsidR="00AD58B0">
        <w:t>“</w:t>
      </w:r>
      <w:r w:rsidR="00753BFF" w:rsidRPr="006C2C45">
        <w:rPr>
          <w:i/>
        </w:rPr>
        <w:t>in the Supreme Courts below</w:t>
      </w:r>
      <w:r w:rsidR="00AD58B0">
        <w:t>”</w:t>
      </w:r>
      <w:r w:rsidR="00176A3C">
        <w:t>.</w:t>
      </w:r>
    </w:p>
    <w:p w14:paraId="1190029E" w14:textId="16F812A7" w:rsidR="007D21EC" w:rsidRDefault="007D21EC" w:rsidP="00A633CC">
      <w:pPr>
        <w:pStyle w:val="Heading2"/>
      </w:pPr>
      <w:r>
        <w:t>The interlocutory applications</w:t>
      </w:r>
      <w:r w:rsidR="006D3FDA">
        <w:t xml:space="preserve"> of Mrs </w:t>
      </w:r>
      <w:proofErr w:type="spellStart"/>
      <w:r w:rsidR="006D3FDA">
        <w:t>Fokas</w:t>
      </w:r>
      <w:proofErr w:type="spellEnd"/>
    </w:p>
    <w:p w14:paraId="53A05C4F" w14:textId="065FC350" w:rsidR="00E11DCF" w:rsidRDefault="00B36ACE" w:rsidP="00E11DCF">
      <w:pPr>
        <w:pStyle w:val="ParaNumbering"/>
      </w:pPr>
      <w:bookmarkStart w:id="30" w:name="_Ref31108802"/>
      <w:r>
        <w:t xml:space="preserve">The interlocutory applications by </w:t>
      </w:r>
      <w:r w:rsidR="00B324ED">
        <w:t>Mrs </w:t>
      </w:r>
      <w:proofErr w:type="spellStart"/>
      <w:r>
        <w:t>Fokas</w:t>
      </w:r>
      <w:proofErr w:type="spellEnd"/>
      <w:r>
        <w:t xml:space="preserve"> to which I have referred at [</w:t>
      </w:r>
      <w:r w:rsidR="00752E40">
        <w:fldChar w:fldCharType="begin"/>
      </w:r>
      <w:r w:rsidR="00752E40">
        <w:instrText xml:space="preserve"> REF _Ref27726571 \r \h </w:instrText>
      </w:r>
      <w:r w:rsidR="00752E40">
        <w:fldChar w:fldCharType="separate"/>
      </w:r>
      <w:r w:rsidR="00AD0A4F">
        <w:t>11</w:t>
      </w:r>
      <w:r w:rsidR="00752E40">
        <w:fldChar w:fldCharType="end"/>
      </w:r>
      <w:r>
        <w:t>]-[</w:t>
      </w:r>
      <w:r w:rsidR="00752E40">
        <w:fldChar w:fldCharType="begin"/>
      </w:r>
      <w:r w:rsidR="00752E40">
        <w:instrText xml:space="preserve"> REF _Ref27984737 \r \h </w:instrText>
      </w:r>
      <w:r w:rsidR="00752E40">
        <w:fldChar w:fldCharType="separate"/>
      </w:r>
      <w:r w:rsidR="00AD0A4F">
        <w:t>12</w:t>
      </w:r>
      <w:r w:rsidR="00752E40">
        <w:fldChar w:fldCharType="end"/>
      </w:r>
      <w:r>
        <w:t xml:space="preserve">] above </w:t>
      </w:r>
      <w:r w:rsidR="00752E40">
        <w:t xml:space="preserve">seek </w:t>
      </w:r>
      <w:r w:rsidR="00C549F1">
        <w:t xml:space="preserve">(inter alia) </w:t>
      </w:r>
      <w:r w:rsidR="00752E40">
        <w:t xml:space="preserve">orders setting aside </w:t>
      </w:r>
      <w:r w:rsidR="00F342DF">
        <w:t>the Court’s</w:t>
      </w:r>
      <w:r w:rsidR="00752E40">
        <w:t xml:space="preserve"> decision of </w:t>
      </w:r>
      <w:r w:rsidR="00B324ED">
        <w:t>21 </w:t>
      </w:r>
      <w:r w:rsidR="00752E40">
        <w:t xml:space="preserve">October 2019 in </w:t>
      </w:r>
      <w:proofErr w:type="spellStart"/>
      <w:r w:rsidR="00752E40">
        <w:rPr>
          <w:i/>
        </w:rPr>
        <w:t>Fokas</w:t>
      </w:r>
      <w:proofErr w:type="spellEnd"/>
      <w:r w:rsidR="00752E40">
        <w:rPr>
          <w:i/>
        </w:rPr>
        <w:t xml:space="preserve"> v Mansfield</w:t>
      </w:r>
      <w:r w:rsidR="00F342DF">
        <w:rPr>
          <w:i/>
        </w:rPr>
        <w:t xml:space="preserve"> (No 1)</w:t>
      </w:r>
      <w:r w:rsidR="00752E40">
        <w:t>.</w:t>
      </w:r>
      <w:r w:rsidR="00B610EB">
        <w:t xml:space="preserve"> The orders made by the Court </w:t>
      </w:r>
      <w:r w:rsidR="00750A80">
        <w:t xml:space="preserve">on 21 October 2019 </w:t>
      </w:r>
      <w:r w:rsidR="00B610EB">
        <w:t>have been entered.</w:t>
      </w:r>
      <w:r w:rsidR="00C549F1">
        <w:t xml:space="preserve"> A question arises </w:t>
      </w:r>
      <w:r w:rsidR="00C549F1">
        <w:lastRenderedPageBreak/>
        <w:t>as to the power of the Court to set aside those orders. Under</w:t>
      </w:r>
      <w:r w:rsidR="003156D0">
        <w:t> </w:t>
      </w:r>
      <w:r w:rsidR="00C549F1">
        <w:t>r </w:t>
      </w:r>
      <w:r w:rsidR="00B610EB">
        <w:t xml:space="preserve">39.05(c) of the </w:t>
      </w:r>
      <w:r w:rsidR="00B610EB">
        <w:rPr>
          <w:i/>
        </w:rPr>
        <w:t xml:space="preserve">Federal Court Rules 2011 </w:t>
      </w:r>
      <w:r w:rsidR="00B610EB">
        <w:t>(</w:t>
      </w:r>
      <w:proofErr w:type="spellStart"/>
      <w:r w:rsidR="00B610EB">
        <w:t>Cth</w:t>
      </w:r>
      <w:proofErr w:type="spellEnd"/>
      <w:r w:rsidR="00B610EB">
        <w:t xml:space="preserve">), the </w:t>
      </w:r>
      <w:r w:rsidR="00F51E5B">
        <w:t>Court may vary or set aside a judgment or order after it is entered if it is interlocutory</w:t>
      </w:r>
      <w:r w:rsidR="00462858">
        <w:t>.</w:t>
      </w:r>
      <w:bookmarkEnd w:id="30"/>
      <w:r w:rsidR="00F51E5B">
        <w:t xml:space="preserve"> </w:t>
      </w:r>
    </w:p>
    <w:p w14:paraId="05C39F63" w14:textId="120C1985" w:rsidR="008013BE" w:rsidRDefault="00302D08" w:rsidP="00E11DCF">
      <w:pPr>
        <w:pStyle w:val="ParaNumbering"/>
      </w:pPr>
      <w:r>
        <w:t xml:space="preserve">For the purposes of appeal, a judgment given under s 31A of the </w:t>
      </w:r>
      <w:r w:rsidRPr="005B4898">
        <w:rPr>
          <w:i/>
        </w:rPr>
        <w:t xml:space="preserve">Federal Court of Australia Act </w:t>
      </w:r>
      <w:r>
        <w:t>is</w:t>
      </w:r>
      <w:r w:rsidR="00FE04D9">
        <w:t xml:space="preserve"> taken to be</w:t>
      </w:r>
      <w:r>
        <w:t xml:space="preserve"> interlocutory, with the consequence that leave to appeal is required: </w:t>
      </w:r>
      <w:r w:rsidRPr="005B4898">
        <w:rPr>
          <w:i/>
        </w:rPr>
        <w:t>Federal Court of Australia Act</w:t>
      </w:r>
      <w:r>
        <w:t xml:space="preserve">, </w:t>
      </w:r>
      <w:proofErr w:type="spellStart"/>
      <w:r>
        <w:t>s</w:t>
      </w:r>
      <w:r w:rsidR="004C390B">
        <w:t>s</w:t>
      </w:r>
      <w:proofErr w:type="spellEnd"/>
      <w:r>
        <w:t> </w:t>
      </w:r>
      <w:r w:rsidR="00FE04D9">
        <w:t>24(1A) and (1D</w:t>
      </w:r>
      <w:proofErr w:type="gramStart"/>
      <w:r w:rsidR="00FE04D9">
        <w:t>)(</w:t>
      </w:r>
      <w:proofErr w:type="gramEnd"/>
      <w:r w:rsidR="00FE04D9">
        <w:t>b).</w:t>
      </w:r>
      <w:r w:rsidR="00D63D02">
        <w:t xml:space="preserve"> </w:t>
      </w:r>
      <w:r w:rsidR="00F22AD2">
        <w:t>Independently of tho</w:t>
      </w:r>
      <w:r w:rsidR="004157C5">
        <w:t>se provisions</w:t>
      </w:r>
      <w:r w:rsidR="00D63D02">
        <w:t xml:space="preserve">, </w:t>
      </w:r>
      <w:r w:rsidR="00B650EC">
        <w:t>summary</w:t>
      </w:r>
      <w:r w:rsidR="004157C5">
        <w:t xml:space="preserve"> </w:t>
      </w:r>
      <w:r w:rsidR="00D63D02">
        <w:t xml:space="preserve">judgment </w:t>
      </w:r>
      <w:r w:rsidR="004157C5">
        <w:t>of the Court under s 31A has been held to be</w:t>
      </w:r>
      <w:r w:rsidR="00373745">
        <w:t xml:space="preserve"> interlocutory</w:t>
      </w:r>
      <w:r w:rsidR="00327B9B">
        <w:t xml:space="preserve">: </w:t>
      </w:r>
      <w:proofErr w:type="spellStart"/>
      <w:r w:rsidR="00554F98" w:rsidRPr="005B4898">
        <w:rPr>
          <w:i/>
        </w:rPr>
        <w:t>Zoia</w:t>
      </w:r>
      <w:proofErr w:type="spellEnd"/>
      <w:r w:rsidR="00554F98" w:rsidRPr="005B4898">
        <w:rPr>
          <w:i/>
        </w:rPr>
        <w:t xml:space="preserve"> v Commonwealth Ombudsman </w:t>
      </w:r>
      <w:r w:rsidR="00554F98">
        <w:t>[2007] FCAFC 143; 240 ALR 624 (Spender J at [</w:t>
      </w:r>
      <w:r w:rsidR="00CA0EEF">
        <w:t>19</w:t>
      </w:r>
      <w:r w:rsidR="00554F98">
        <w:t>]</w:t>
      </w:r>
      <w:r w:rsidR="000825A6">
        <w:t xml:space="preserve"> by way of </w:t>
      </w:r>
      <w:r w:rsidR="000825A6" w:rsidRPr="005B4898">
        <w:rPr>
          <w:i/>
        </w:rPr>
        <w:t>obiter</w:t>
      </w:r>
      <w:r w:rsidR="00554F98">
        <w:t xml:space="preserve">, </w:t>
      </w:r>
      <w:r w:rsidR="000825A6">
        <w:t>French J and Gilmour J agreeing</w:t>
      </w:r>
      <w:r w:rsidR="00554F98">
        <w:t>)</w:t>
      </w:r>
      <w:r w:rsidR="00CA0EEF">
        <w:t xml:space="preserve">; </w:t>
      </w:r>
      <w:proofErr w:type="spellStart"/>
      <w:r w:rsidR="00457166" w:rsidRPr="005B4898">
        <w:rPr>
          <w:i/>
        </w:rPr>
        <w:t>Simundic</w:t>
      </w:r>
      <w:proofErr w:type="spellEnd"/>
      <w:r w:rsidR="00457166" w:rsidRPr="005B4898">
        <w:rPr>
          <w:i/>
        </w:rPr>
        <w:t xml:space="preserve"> v University of Newcastle</w:t>
      </w:r>
      <w:r w:rsidR="00457166" w:rsidRPr="00457166">
        <w:t xml:space="preserve"> </w:t>
      </w:r>
      <w:r w:rsidR="007753BA">
        <w:t xml:space="preserve">[2007] FCAFC 144 at [12] (Allsop, Lander and </w:t>
      </w:r>
      <w:proofErr w:type="spellStart"/>
      <w:r w:rsidR="007753BA">
        <w:t>Siopis</w:t>
      </w:r>
      <w:proofErr w:type="spellEnd"/>
      <w:r w:rsidR="007753BA">
        <w:t> JJ)</w:t>
      </w:r>
      <w:r w:rsidR="00457166">
        <w:t>;</w:t>
      </w:r>
      <w:r w:rsidR="00C07108">
        <w:t xml:space="preserve"> </w:t>
      </w:r>
      <w:r w:rsidR="00A90252" w:rsidRPr="005B4898">
        <w:rPr>
          <w:i/>
        </w:rPr>
        <w:t xml:space="preserve">Pham v Secretary, Department of Employment and Workplace Relations </w:t>
      </w:r>
      <w:r w:rsidR="00A90252">
        <w:t xml:space="preserve">[2007] FCAFC 179 at </w:t>
      </w:r>
      <w:r w:rsidR="002508F9">
        <w:t>[15] (French, Lindgren and Jacobsen JJ)</w:t>
      </w:r>
      <w:r w:rsidR="00A90252">
        <w:t>;</w:t>
      </w:r>
      <w:r w:rsidR="002508F9">
        <w:t xml:space="preserve"> </w:t>
      </w:r>
      <w:r w:rsidR="00C07108" w:rsidRPr="005B4898">
        <w:rPr>
          <w:i/>
        </w:rPr>
        <w:t xml:space="preserve">Wills v Australian Broadcasting Corporation </w:t>
      </w:r>
      <w:r w:rsidR="00C07108">
        <w:t>[2009] FCAFC 6; 173 FCR 284</w:t>
      </w:r>
      <w:r w:rsidR="00EE6823">
        <w:t xml:space="preserve"> </w:t>
      </w:r>
      <w:r w:rsidR="00C07108">
        <w:t>(Rares J</w:t>
      </w:r>
      <w:r w:rsidR="00073F59">
        <w:t xml:space="preserve"> at [28] by way of </w:t>
      </w:r>
      <w:r w:rsidR="00073F59" w:rsidRPr="005B4898">
        <w:rPr>
          <w:i/>
        </w:rPr>
        <w:t>obiter</w:t>
      </w:r>
      <w:r w:rsidR="00C07108">
        <w:t>, Emmett</w:t>
      </w:r>
      <w:r w:rsidR="005D2484">
        <w:t> J agreeing, North J not deciding)</w:t>
      </w:r>
      <w:r w:rsidR="00876D43">
        <w:t xml:space="preserve">; </w:t>
      </w:r>
      <w:r w:rsidR="00876D43" w:rsidRPr="005B4898">
        <w:rPr>
          <w:i/>
        </w:rPr>
        <w:t>Luck v University of Southern Queensland</w:t>
      </w:r>
      <w:r w:rsidR="00876D43" w:rsidRPr="00876D43">
        <w:t xml:space="preserve"> [2009] FCAFC 73</w:t>
      </w:r>
      <w:r w:rsidR="00876D43">
        <w:t>; 176 FCR 268 (</w:t>
      </w:r>
      <w:r w:rsidR="00EB3E5A">
        <w:t>Graham J</w:t>
      </w:r>
      <w:r w:rsidR="00F22AD2">
        <w:t xml:space="preserve"> and </w:t>
      </w:r>
      <w:r w:rsidR="00876D43">
        <w:t xml:space="preserve">Rares J, </w:t>
      </w:r>
      <w:r w:rsidR="00EB3E5A" w:rsidRPr="00EB3E5A">
        <w:t>North J not deciding</w:t>
      </w:r>
      <w:r w:rsidR="00EB3E5A">
        <w:t>)</w:t>
      </w:r>
      <w:r w:rsidR="0033338C">
        <w:t>.</w:t>
      </w:r>
      <w:r w:rsidR="007B2961">
        <w:t xml:space="preserve"> A contrary view was expressed by Finkelstein J</w:t>
      </w:r>
      <w:r w:rsidR="00C5687E">
        <w:t xml:space="preserve"> (dissenting as to the result)</w:t>
      </w:r>
      <w:r w:rsidR="007B2961">
        <w:t xml:space="preserve"> and Gordon J</w:t>
      </w:r>
      <w:r w:rsidR="000B5F28">
        <w:t xml:space="preserve"> </w:t>
      </w:r>
      <w:r w:rsidR="005B4898">
        <w:t xml:space="preserve">(by way of </w:t>
      </w:r>
      <w:r w:rsidR="005B4898" w:rsidRPr="005B4898">
        <w:rPr>
          <w:i/>
        </w:rPr>
        <w:t>obiter</w:t>
      </w:r>
      <w:r w:rsidR="005B4898">
        <w:t xml:space="preserve">) </w:t>
      </w:r>
      <w:r w:rsidR="000B5F28" w:rsidRPr="005B4898">
        <w:t>in</w:t>
      </w:r>
      <w:r w:rsidR="000B5F28">
        <w:t xml:space="preserve"> relation to summary judgment disposing of the entire proceeding </w:t>
      </w:r>
      <w:r w:rsidR="007B2961" w:rsidRPr="00423862">
        <w:t xml:space="preserve">in </w:t>
      </w:r>
      <w:r w:rsidR="007B2961" w:rsidRPr="009B3D0A">
        <w:rPr>
          <w:i/>
          <w:lang w:eastAsia="en-AU"/>
        </w:rPr>
        <w:t>Jefferson Ford</w:t>
      </w:r>
      <w:r w:rsidR="007B2961" w:rsidRPr="005B4898">
        <w:rPr>
          <w:i/>
          <w:lang w:eastAsia="en-AU"/>
        </w:rPr>
        <w:t xml:space="preserve"> Pty Ltd v Ford Motor Company of Australia Ltd</w:t>
      </w:r>
      <w:r w:rsidR="000B5F28">
        <w:t xml:space="preserve"> [2008] FCAFC 60; 167 FCR 372</w:t>
      </w:r>
      <w:r w:rsidR="00831A91">
        <w:t>.</w:t>
      </w:r>
      <w:r w:rsidR="00C5687E">
        <w:t xml:space="preserve"> Rares J, who otherwise formed part of the majority with Gordon J in </w:t>
      </w:r>
      <w:r w:rsidR="00FF2A64">
        <w:rPr>
          <w:i/>
        </w:rPr>
        <w:t>Jefferson Ford</w:t>
      </w:r>
      <w:r w:rsidR="00C5687E">
        <w:t xml:space="preserve">, </w:t>
      </w:r>
      <w:r w:rsidR="009D402A">
        <w:t xml:space="preserve">considered that </w:t>
      </w:r>
      <w:r w:rsidR="00FF2A64">
        <w:t xml:space="preserve">a </w:t>
      </w:r>
      <w:r w:rsidR="009D402A">
        <w:t xml:space="preserve">judgment under s 31A of the </w:t>
      </w:r>
      <w:r w:rsidR="009D402A" w:rsidRPr="005B4898">
        <w:rPr>
          <w:i/>
        </w:rPr>
        <w:t>Federal Court of Australia Act</w:t>
      </w:r>
      <w:r w:rsidR="009D402A">
        <w:t xml:space="preserve"> was interlocutory.</w:t>
      </w:r>
      <w:r w:rsidR="004D4127">
        <w:t xml:space="preserve"> In </w:t>
      </w:r>
      <w:proofErr w:type="spellStart"/>
      <w:r w:rsidR="004D4127" w:rsidRPr="005B4898">
        <w:rPr>
          <w:i/>
        </w:rPr>
        <w:t>Maca</w:t>
      </w:r>
      <w:r w:rsidR="00D243BC" w:rsidRPr="005B4898">
        <w:rPr>
          <w:i/>
        </w:rPr>
        <w:t>t</w:t>
      </w:r>
      <w:r w:rsidR="004D4127" w:rsidRPr="005B4898">
        <w:rPr>
          <w:i/>
        </w:rPr>
        <w:t>angay</w:t>
      </w:r>
      <w:proofErr w:type="spellEnd"/>
      <w:r w:rsidR="004D4127" w:rsidRPr="005B4898">
        <w:rPr>
          <w:i/>
        </w:rPr>
        <w:t xml:space="preserve"> v New South Wales (No 2)</w:t>
      </w:r>
      <w:r w:rsidR="004D4127">
        <w:t xml:space="preserve"> [2009] NSWCA 272</w:t>
      </w:r>
      <w:r w:rsidR="00D115B6">
        <w:t>,</w:t>
      </w:r>
      <w:r w:rsidR="004D4127">
        <w:t xml:space="preserve"> the </w:t>
      </w:r>
      <w:r w:rsidR="00D243BC">
        <w:t xml:space="preserve">New South Wales </w:t>
      </w:r>
      <w:r w:rsidR="004D4127">
        <w:t>Court</w:t>
      </w:r>
      <w:r w:rsidR="00D243BC">
        <w:t xml:space="preserve"> of Appeal</w:t>
      </w:r>
      <w:r w:rsidR="004D4127">
        <w:t xml:space="preserve"> (Allsop P, </w:t>
      </w:r>
      <w:r w:rsidR="00162599">
        <w:t>Tobias JA and Handley AJA)</w:t>
      </w:r>
      <w:r w:rsidR="004D4127">
        <w:t xml:space="preserve"> he</w:t>
      </w:r>
      <w:r w:rsidR="00162599">
        <w:t>ld at [</w:t>
      </w:r>
      <w:r w:rsidR="00992903">
        <w:t>11</w:t>
      </w:r>
      <w:r w:rsidR="00162599">
        <w:t>]</w:t>
      </w:r>
      <w:r w:rsidR="00773243">
        <w:t>-[12]</w:t>
      </w:r>
      <w:r w:rsidR="00162599">
        <w:t xml:space="preserve"> that an order summarily dismissing</w:t>
      </w:r>
      <w:r w:rsidR="00773243">
        <w:t xml:space="preserve"> a proceeding</w:t>
      </w:r>
      <w:r w:rsidR="00040789">
        <w:t xml:space="preserve"> </w:t>
      </w:r>
      <w:r w:rsidR="00040789" w:rsidRPr="00040789">
        <w:t xml:space="preserve">because </w:t>
      </w:r>
      <w:r w:rsidR="00E0772E">
        <w:t>it</w:t>
      </w:r>
      <w:r w:rsidR="00040789" w:rsidRPr="00040789">
        <w:t xml:space="preserve"> is frivolous</w:t>
      </w:r>
      <w:r w:rsidR="00E0772E">
        <w:t>,</w:t>
      </w:r>
      <w:r w:rsidR="00040789" w:rsidRPr="00040789">
        <w:t xml:space="preserve"> vexatious, an abuse of the process of the court</w:t>
      </w:r>
      <w:r w:rsidR="00E0772E">
        <w:t>,</w:t>
      </w:r>
      <w:r w:rsidR="00040789" w:rsidRPr="00040789">
        <w:t xml:space="preserve"> or does not disclose a reasonable cause of action</w:t>
      </w:r>
      <w:r w:rsidR="00E0772E">
        <w:t>,</w:t>
      </w:r>
      <w:r w:rsidR="00040789">
        <w:t xml:space="preserve"> </w:t>
      </w:r>
      <w:r w:rsidR="00773243">
        <w:t xml:space="preserve">was interlocutory because of its legal effect: there was no triable issue and the order therefore did not finally determine the rights of the parties </w:t>
      </w:r>
      <w:r w:rsidR="00D243BC">
        <w:t xml:space="preserve">or create </w:t>
      </w:r>
      <w:r w:rsidR="00D243BC" w:rsidRPr="005B4898">
        <w:rPr>
          <w:i/>
        </w:rPr>
        <w:t>res judicata</w:t>
      </w:r>
      <w:r w:rsidR="00D243BC">
        <w:t xml:space="preserve"> estoppels</w:t>
      </w:r>
      <w:r w:rsidR="00773243">
        <w:t>.</w:t>
      </w:r>
      <w:r w:rsidR="0033338C">
        <w:t xml:space="preserve"> In </w:t>
      </w:r>
      <w:r w:rsidR="0033338C" w:rsidRPr="009B3D0A">
        <w:rPr>
          <w:i/>
        </w:rPr>
        <w:t>Kowalski</w:t>
      </w:r>
      <w:r w:rsidR="0033338C" w:rsidRPr="00423862">
        <w:rPr>
          <w:i/>
        </w:rPr>
        <w:t xml:space="preserve"> </w:t>
      </w:r>
      <w:r w:rsidR="0033338C" w:rsidRPr="00FF2A64">
        <w:rPr>
          <w:i/>
        </w:rPr>
        <w:t>v MMAL Staff Superannuation Fund Pty Ltd</w:t>
      </w:r>
      <w:r w:rsidR="0033338C" w:rsidRPr="0033338C">
        <w:t xml:space="preserve"> </w:t>
      </w:r>
      <w:r w:rsidR="00B257F9">
        <w:t>[2009] FCAFC 117; 178 FCR 401</w:t>
      </w:r>
      <w:r w:rsidR="0000093F">
        <w:t>,</w:t>
      </w:r>
      <w:r w:rsidR="00B257F9">
        <w:t xml:space="preserve"> </w:t>
      </w:r>
      <w:r w:rsidR="0033338C" w:rsidRPr="0033338C">
        <w:t>at [32]-</w:t>
      </w:r>
      <w:r w:rsidR="0033338C">
        <w:t>[4</w:t>
      </w:r>
      <w:r w:rsidR="003D7D4B">
        <w:t>4</w:t>
      </w:r>
      <w:r w:rsidR="0033338C">
        <w:t>]</w:t>
      </w:r>
      <w:r w:rsidR="0000093F">
        <w:t>,</w:t>
      </w:r>
      <w:r w:rsidR="0033338C">
        <w:t xml:space="preserve"> the Full Court</w:t>
      </w:r>
      <w:r w:rsidR="00D51904">
        <w:t xml:space="preserve"> </w:t>
      </w:r>
      <w:r w:rsidR="00492BA9">
        <w:t xml:space="preserve">(Spender, Graham and Gilmour JJ) </w:t>
      </w:r>
      <w:r w:rsidR="00D51904">
        <w:t xml:space="preserve">respectfully disagreed with the views of Finkelstein J and Gordon J in </w:t>
      </w:r>
      <w:r w:rsidR="00D51904" w:rsidRPr="005B4898">
        <w:rPr>
          <w:i/>
        </w:rPr>
        <w:t>Jefferson Ford</w:t>
      </w:r>
      <w:r w:rsidR="00D51904">
        <w:t xml:space="preserve">, </w:t>
      </w:r>
      <w:r w:rsidR="00993E9D">
        <w:t xml:space="preserve">and </w:t>
      </w:r>
      <w:r w:rsidR="008013BE">
        <w:t xml:space="preserve">agreed with the views of Rares J in </w:t>
      </w:r>
      <w:r w:rsidR="008013BE" w:rsidRPr="005B4898">
        <w:rPr>
          <w:i/>
        </w:rPr>
        <w:t>Luck</w:t>
      </w:r>
      <w:r w:rsidR="008013BE">
        <w:t xml:space="preserve">, </w:t>
      </w:r>
      <w:r w:rsidR="00D51904" w:rsidRPr="008013BE">
        <w:t>and</w:t>
      </w:r>
      <w:r w:rsidR="00D51904">
        <w:t xml:space="preserve"> held that </w:t>
      </w:r>
      <w:r w:rsidR="00831F2C">
        <w:t>summary</w:t>
      </w:r>
      <w:r w:rsidR="005B4898" w:rsidRPr="005B4898">
        <w:t xml:space="preserve"> judgment und</w:t>
      </w:r>
      <w:r w:rsidR="00B257F9">
        <w:t>er s </w:t>
      </w:r>
      <w:proofErr w:type="gramStart"/>
      <w:r w:rsidR="005B4898" w:rsidRPr="005B4898">
        <w:t>31A(</w:t>
      </w:r>
      <w:proofErr w:type="gramEnd"/>
      <w:r w:rsidR="005B4898" w:rsidRPr="005B4898">
        <w:t xml:space="preserve">2) of the </w:t>
      </w:r>
      <w:r w:rsidR="005B4898" w:rsidRPr="00B257F9">
        <w:rPr>
          <w:i/>
        </w:rPr>
        <w:t>Federal Court</w:t>
      </w:r>
      <w:r w:rsidR="00B257F9" w:rsidRPr="00B257F9">
        <w:rPr>
          <w:i/>
        </w:rPr>
        <w:t xml:space="preserve"> of Australia</w:t>
      </w:r>
      <w:r w:rsidR="005B4898" w:rsidRPr="00B257F9">
        <w:rPr>
          <w:i/>
        </w:rPr>
        <w:t xml:space="preserve"> Act</w:t>
      </w:r>
      <w:r w:rsidR="005B4898" w:rsidRPr="005B4898">
        <w:t xml:space="preserve"> is interlocutory</w:t>
      </w:r>
      <w:r w:rsidR="005B4898">
        <w:t>.</w:t>
      </w:r>
      <w:r w:rsidR="00DD644B">
        <w:t xml:space="preserve"> In </w:t>
      </w:r>
      <w:r w:rsidR="004B221B">
        <w:rPr>
          <w:i/>
        </w:rPr>
        <w:t>Davi</w:t>
      </w:r>
      <w:r w:rsidR="00704627">
        <w:rPr>
          <w:i/>
        </w:rPr>
        <w:t>s</w:t>
      </w:r>
      <w:r w:rsidR="004B221B">
        <w:rPr>
          <w:i/>
        </w:rPr>
        <w:t xml:space="preserve"> v Insolvency and Trustee Service Australia </w:t>
      </w:r>
      <w:r w:rsidR="004B221B">
        <w:t xml:space="preserve">[2010] FCAFC 141 </w:t>
      </w:r>
      <w:r w:rsidR="00DD644B">
        <w:t xml:space="preserve">at [11], the Full Court </w:t>
      </w:r>
      <w:r w:rsidR="00704627">
        <w:t xml:space="preserve">(Keane CJ, </w:t>
      </w:r>
      <w:proofErr w:type="spellStart"/>
      <w:r w:rsidR="00704627">
        <w:t>Besanko</w:t>
      </w:r>
      <w:proofErr w:type="spellEnd"/>
      <w:r w:rsidR="00704627">
        <w:t xml:space="preserve"> and </w:t>
      </w:r>
      <w:proofErr w:type="spellStart"/>
      <w:r w:rsidR="00704627">
        <w:t>Perram</w:t>
      </w:r>
      <w:proofErr w:type="spellEnd"/>
      <w:r w:rsidR="00704627">
        <w:t xml:space="preserve"> JJ) referred to </w:t>
      </w:r>
      <w:r w:rsidR="00704627">
        <w:rPr>
          <w:i/>
        </w:rPr>
        <w:t xml:space="preserve">Jefferson Ford </w:t>
      </w:r>
      <w:r w:rsidR="00704627">
        <w:t xml:space="preserve">and </w:t>
      </w:r>
      <w:r w:rsidR="00704627">
        <w:rPr>
          <w:i/>
        </w:rPr>
        <w:t xml:space="preserve">Kowalski </w:t>
      </w:r>
      <w:r w:rsidR="00704627">
        <w:t xml:space="preserve">and held that it was unnecessary to consider the question </w:t>
      </w:r>
      <w:r w:rsidR="00E11DCF" w:rsidRPr="00E11DCF">
        <w:t>as to whether judgment under s 31A was interlocutory or final</w:t>
      </w:r>
      <w:r w:rsidR="00E11DCF">
        <w:t>,</w:t>
      </w:r>
      <w:r w:rsidR="00E11DCF" w:rsidRPr="00E11DCF">
        <w:t xml:space="preserve"> </w:t>
      </w:r>
      <w:r w:rsidR="00704627">
        <w:t xml:space="preserve">because </w:t>
      </w:r>
      <w:r w:rsidR="006934AB">
        <w:t xml:space="preserve">the purpose </w:t>
      </w:r>
      <w:r w:rsidR="006934AB">
        <w:lastRenderedPageBreak/>
        <w:t>of</w:t>
      </w:r>
      <w:r w:rsidR="00DD644B">
        <w:t xml:space="preserve"> the introduction of s 24(1D</w:t>
      </w:r>
      <w:proofErr w:type="gramStart"/>
      <w:r w:rsidR="00DD644B">
        <w:t>)(</w:t>
      </w:r>
      <w:proofErr w:type="gramEnd"/>
      <w:r w:rsidR="00DD644B">
        <w:t xml:space="preserve">b) of the </w:t>
      </w:r>
      <w:r w:rsidR="00DD644B">
        <w:rPr>
          <w:i/>
        </w:rPr>
        <w:t xml:space="preserve">Federal Court of Australia Act </w:t>
      </w:r>
      <w:r w:rsidR="006934AB">
        <w:t>was to put an end to the debate</w:t>
      </w:r>
      <w:r w:rsidR="00704627">
        <w:t>.</w:t>
      </w:r>
    </w:p>
    <w:p w14:paraId="24D8345E" w14:textId="6E15CF6A" w:rsidR="00462858" w:rsidRDefault="00076A2C" w:rsidP="00045797">
      <w:pPr>
        <w:pStyle w:val="ParaNumbering"/>
      </w:pPr>
      <w:r>
        <w:t xml:space="preserve">The </w:t>
      </w:r>
      <w:r w:rsidR="00993E9D">
        <w:t xml:space="preserve">reasons for </w:t>
      </w:r>
      <w:r>
        <w:t xml:space="preserve">judgment of Finkelstein J in </w:t>
      </w:r>
      <w:r w:rsidRPr="00144534">
        <w:rPr>
          <w:i/>
        </w:rPr>
        <w:t xml:space="preserve">Jefferson Ford </w:t>
      </w:r>
      <w:r w:rsidR="00993E9D">
        <w:t>were</w:t>
      </w:r>
      <w:r>
        <w:t xml:space="preserve"> dissenting </w:t>
      </w:r>
      <w:r w:rsidR="00993E9D">
        <w:t>reasons</w:t>
      </w:r>
      <w:r w:rsidR="000E674D">
        <w:t>, and the observations of Gordon J</w:t>
      </w:r>
      <w:r w:rsidR="00387182">
        <w:t xml:space="preserve"> to the extent they related to orders disposing of the whole proceeding</w:t>
      </w:r>
      <w:r w:rsidR="000E674D">
        <w:t xml:space="preserve"> were </w:t>
      </w:r>
      <w:r w:rsidR="000E674D" w:rsidRPr="00144534">
        <w:rPr>
          <w:i/>
        </w:rPr>
        <w:t>obiter</w:t>
      </w:r>
      <w:r w:rsidR="000E674D">
        <w:t xml:space="preserve">. On the other hand, </w:t>
      </w:r>
      <w:r w:rsidR="00C9029B">
        <w:t xml:space="preserve">in </w:t>
      </w:r>
      <w:r w:rsidR="00C9029B" w:rsidRPr="00144534">
        <w:rPr>
          <w:i/>
        </w:rPr>
        <w:t>Kowalski</w:t>
      </w:r>
      <w:r w:rsidR="0000093F">
        <w:t>,</w:t>
      </w:r>
      <w:r w:rsidR="00C9029B" w:rsidRPr="00144534">
        <w:rPr>
          <w:i/>
        </w:rPr>
        <w:t xml:space="preserve"> </w:t>
      </w:r>
      <w:r w:rsidR="000E674D" w:rsidRPr="000E674D">
        <w:t xml:space="preserve">the question whether the decision of the primary judge was interlocutory or final was </w:t>
      </w:r>
      <w:r w:rsidR="006969F8">
        <w:t xml:space="preserve">a </w:t>
      </w:r>
      <w:r w:rsidR="000E674D" w:rsidRPr="000E674D">
        <w:t>necessary</w:t>
      </w:r>
      <w:r w:rsidR="006969F8">
        <w:t xml:space="preserve"> </w:t>
      </w:r>
      <w:r w:rsidR="00726A5C">
        <w:t>issue</w:t>
      </w:r>
      <w:r w:rsidR="000E674D" w:rsidRPr="000E674D">
        <w:t xml:space="preserve"> for the Full Court to decide,</w:t>
      </w:r>
      <w:r w:rsidR="00284790">
        <w:t xml:space="preserve"> and</w:t>
      </w:r>
      <w:r w:rsidR="000E674D" w:rsidRPr="000E674D">
        <w:t xml:space="preserve"> the Court </w:t>
      </w:r>
      <w:r w:rsidR="00045797" w:rsidRPr="00045797">
        <w:t>at [32]</w:t>
      </w:r>
      <w:r w:rsidR="00045797">
        <w:t xml:space="preserve"> </w:t>
      </w:r>
      <w:r w:rsidR="00284790">
        <w:t>described</w:t>
      </w:r>
      <w:r w:rsidR="000E674D" w:rsidRPr="000E674D">
        <w:t xml:space="preserve"> the issue as an important one for consideration.</w:t>
      </w:r>
      <w:r w:rsidR="00144534">
        <w:t xml:space="preserve"> For these reasons, </w:t>
      </w:r>
      <w:r w:rsidR="001857D3" w:rsidRPr="000E674D">
        <w:t>I</w:t>
      </w:r>
      <w:r w:rsidR="001857D3">
        <w:t> </w:t>
      </w:r>
      <w:r w:rsidR="00726A5C">
        <w:t>shall</w:t>
      </w:r>
      <w:r w:rsidR="00462858">
        <w:t xml:space="preserve"> follow the decision of the Full Court in </w:t>
      </w:r>
      <w:r w:rsidR="00B56EE2" w:rsidRPr="00144534">
        <w:rPr>
          <w:i/>
        </w:rPr>
        <w:t>Kowalski</w:t>
      </w:r>
      <w:r w:rsidR="00B56EE2">
        <w:t xml:space="preserve"> and regard the judgment given </w:t>
      </w:r>
      <w:r w:rsidR="004D7ADD">
        <w:t xml:space="preserve">against Mrs </w:t>
      </w:r>
      <w:proofErr w:type="spellStart"/>
      <w:r w:rsidR="004D7ADD">
        <w:t>Fokas</w:t>
      </w:r>
      <w:proofErr w:type="spellEnd"/>
      <w:r w:rsidR="000E674D">
        <w:t xml:space="preserve"> </w:t>
      </w:r>
      <w:r w:rsidR="00B56EE2">
        <w:t xml:space="preserve">under s 31A of the </w:t>
      </w:r>
      <w:r w:rsidR="00B56EE2" w:rsidRPr="00144534">
        <w:rPr>
          <w:i/>
        </w:rPr>
        <w:t>Federal Court of Australia Act</w:t>
      </w:r>
      <w:r w:rsidR="00B375B9">
        <w:t xml:space="preserve"> as interlocutory</w:t>
      </w:r>
      <w:r w:rsidR="00B56EE2">
        <w:t>.</w:t>
      </w:r>
      <w:r w:rsidR="00B375B9">
        <w:t xml:space="preserve"> That </w:t>
      </w:r>
      <w:r w:rsidR="00144534">
        <w:t xml:space="preserve">has the consequence that there is power under </w:t>
      </w:r>
      <w:r w:rsidR="00045797">
        <w:t>r 39.05 to set aside or vary the judgment.</w:t>
      </w:r>
    </w:p>
    <w:p w14:paraId="78E24123" w14:textId="2E08B2FA" w:rsidR="00903B58" w:rsidRPr="00903B58" w:rsidRDefault="00332839" w:rsidP="00332839">
      <w:pPr>
        <w:pStyle w:val="ParaNumbering"/>
      </w:pPr>
      <w:r w:rsidRPr="00332839">
        <w:t>Although</w:t>
      </w:r>
      <w:r>
        <w:t xml:space="preserve"> the discretionary power conferred by</w:t>
      </w:r>
      <w:r w:rsidRPr="00332839">
        <w:t xml:space="preserve"> </w:t>
      </w:r>
      <w:r w:rsidR="001857D3" w:rsidRPr="00332839">
        <w:t>r</w:t>
      </w:r>
      <w:r w:rsidR="001857D3">
        <w:t> </w:t>
      </w:r>
      <w:r w:rsidRPr="00332839">
        <w:t xml:space="preserve">39.05 does not contain any express fetters, the </w:t>
      </w:r>
      <w:r>
        <w:t xml:space="preserve">power </w:t>
      </w:r>
      <w:r w:rsidRPr="00332839">
        <w:t xml:space="preserve">should be exercised in a way that is consistent with the overarching purpose in </w:t>
      </w:r>
      <w:r w:rsidR="001857D3" w:rsidRPr="00332839">
        <w:t>s</w:t>
      </w:r>
      <w:r w:rsidR="001857D3">
        <w:t> </w:t>
      </w:r>
      <w:r w:rsidRPr="00332839">
        <w:t xml:space="preserve">37M of the </w:t>
      </w:r>
      <w:r w:rsidRPr="00247576">
        <w:rPr>
          <w:i/>
        </w:rPr>
        <w:t>Federal Court of Australia Act</w:t>
      </w:r>
      <w:r w:rsidRPr="00332839">
        <w:t>, and consistently with the judicial guidance that has been given by the authorit</w:t>
      </w:r>
      <w:r>
        <w:t xml:space="preserve">ies in relation to its exercise: </w:t>
      </w:r>
      <w:proofErr w:type="spellStart"/>
      <w:r w:rsidR="00C24BA7">
        <w:rPr>
          <w:i/>
        </w:rPr>
        <w:t>Norbis</w:t>
      </w:r>
      <w:proofErr w:type="spellEnd"/>
      <w:r w:rsidR="00C24BA7">
        <w:rPr>
          <w:i/>
        </w:rPr>
        <w:t xml:space="preserve"> v </w:t>
      </w:r>
      <w:proofErr w:type="spellStart"/>
      <w:r w:rsidR="00C24BA7">
        <w:rPr>
          <w:i/>
        </w:rPr>
        <w:t>Norbis</w:t>
      </w:r>
      <w:proofErr w:type="spellEnd"/>
      <w:r w:rsidR="00C24BA7">
        <w:rPr>
          <w:i/>
        </w:rPr>
        <w:t xml:space="preserve"> </w:t>
      </w:r>
      <w:r w:rsidR="00C24BA7">
        <w:t>[1986] HCA 17; 161 CLR 513 at</w:t>
      </w:r>
      <w:r w:rsidR="002B4F91">
        <w:t xml:space="preserve"> 519 (Mason and Deane JJ), and</w:t>
      </w:r>
      <w:r w:rsidR="00C24BA7">
        <w:t xml:space="preserve"> 536 (Brennan J).</w:t>
      </w:r>
      <w:r>
        <w:t xml:space="preserve"> </w:t>
      </w:r>
      <w:r w:rsidR="00FE2FE0">
        <w:t xml:space="preserve">The power </w:t>
      </w:r>
      <w:r w:rsidR="00A51241">
        <w:t xml:space="preserve">under r 39.05 </w:t>
      </w:r>
      <w:r w:rsidR="00FE2FE0">
        <w:t>to set aside interlocutory orders once entered</w:t>
      </w:r>
      <w:r w:rsidR="00A51241">
        <w:t xml:space="preserve"> should be exercised in a judicial manner, and only in exceptional circumstances: </w:t>
      </w:r>
      <w:r w:rsidR="0000426E" w:rsidRPr="00F05B57">
        <w:rPr>
          <w:i/>
        </w:rPr>
        <w:t xml:space="preserve">Professional Administration Service Centres Pty Ltd v Commissioner of Taxation </w:t>
      </w:r>
      <w:r w:rsidR="0000426E">
        <w:t>[2012] FCAFC 180; 295 ALR 52 at [</w:t>
      </w:r>
      <w:r w:rsidR="00BB65C9">
        <w:t>53] (</w:t>
      </w:r>
      <w:r w:rsidR="00BB65C9" w:rsidRPr="00BB65C9">
        <w:t>Edmonds, McKerracher and Nicholas JJ</w:t>
      </w:r>
      <w:r w:rsidR="00BB65C9">
        <w:t xml:space="preserve">). </w:t>
      </w:r>
      <w:r w:rsidR="00954086">
        <w:t>Rule 39.05</w:t>
      </w:r>
      <w:r w:rsidR="00BB65C9">
        <w:t xml:space="preserve"> is not an alternative to </w:t>
      </w:r>
      <w:r w:rsidR="00644F8F">
        <w:t xml:space="preserve">appellate procedures in respect of interlocutory judgments: </w:t>
      </w:r>
      <w:proofErr w:type="spellStart"/>
      <w:r w:rsidR="00644F8F" w:rsidRPr="00F05B57">
        <w:rPr>
          <w:i/>
        </w:rPr>
        <w:t>Dudzinski</w:t>
      </w:r>
      <w:proofErr w:type="spellEnd"/>
      <w:r w:rsidR="00644F8F" w:rsidRPr="00F05B57">
        <w:rPr>
          <w:i/>
        </w:rPr>
        <w:t xml:space="preserve"> v Centrelink </w:t>
      </w:r>
      <w:r w:rsidR="003B7C49">
        <w:t xml:space="preserve">[2003] FCA 308 </w:t>
      </w:r>
      <w:r w:rsidR="00644F8F">
        <w:t>at [11] (Spender J).</w:t>
      </w:r>
      <w:r w:rsidR="003B7C49">
        <w:t xml:space="preserve"> </w:t>
      </w:r>
      <w:r w:rsidR="00F93EEE">
        <w:t>And t</w:t>
      </w:r>
      <w:r w:rsidR="00C8673E">
        <w:t>he principle of finality of litigation requires the Court to exercise great caution</w:t>
      </w:r>
      <w:r w:rsidR="00903B58">
        <w:t xml:space="preserve"> when considering whether special circumstances exist that warrant the variation of orders: </w:t>
      </w:r>
      <w:proofErr w:type="spellStart"/>
      <w:r w:rsidR="00903B58" w:rsidRPr="00F05B57">
        <w:rPr>
          <w:i/>
        </w:rPr>
        <w:t>Wati</w:t>
      </w:r>
      <w:proofErr w:type="spellEnd"/>
      <w:r w:rsidR="00903B58" w:rsidRPr="00F05B57">
        <w:rPr>
          <w:i/>
        </w:rPr>
        <w:t xml:space="preserve"> v Minister for Immigration and Multicultural Affairs</w:t>
      </w:r>
      <w:r w:rsidR="00903B58" w:rsidRPr="00903B58">
        <w:t xml:space="preserve"> (1997) 78 FCR 543 at 549–55</w:t>
      </w:r>
      <w:r w:rsidR="00F05B57">
        <w:t>3</w:t>
      </w:r>
      <w:r w:rsidR="00903B58" w:rsidRPr="00903B58">
        <w:t xml:space="preserve"> </w:t>
      </w:r>
      <w:r w:rsidR="00055362">
        <w:t>(von </w:t>
      </w:r>
      <w:proofErr w:type="spellStart"/>
      <w:r w:rsidR="00F93EEE">
        <w:t>Doussa</w:t>
      </w:r>
      <w:proofErr w:type="spellEnd"/>
      <w:r w:rsidR="00F93EEE">
        <w:t>, Moore and Sackville </w:t>
      </w:r>
      <w:r w:rsidR="00903B58" w:rsidRPr="00903B58">
        <w:t>JJ</w:t>
      </w:r>
      <w:r w:rsidR="00055362">
        <w:t>).</w:t>
      </w:r>
    </w:p>
    <w:p w14:paraId="3BD43C95" w14:textId="4721F281" w:rsidR="00FE2FE0" w:rsidRDefault="00865E93" w:rsidP="00BB65C9">
      <w:pPr>
        <w:pStyle w:val="ParaNumbering"/>
      </w:pPr>
      <w:r>
        <w:t xml:space="preserve">I am not persuaded that there is any reason to set aside or vary the orders of the Court made </w:t>
      </w:r>
      <w:r w:rsidR="001857D3">
        <w:t>21 </w:t>
      </w:r>
      <w:r>
        <w:t>October 2019.</w:t>
      </w:r>
      <w:r w:rsidR="00AF3DD9">
        <w:t xml:space="preserve"> By her originating application</w:t>
      </w:r>
      <w:r w:rsidR="00954086">
        <w:t xml:space="preserve"> in this proceeding</w:t>
      </w:r>
      <w:r w:rsidR="003914D4">
        <w:t>,</w:t>
      </w:r>
      <w:r w:rsidR="00AF3DD9">
        <w:t xml:space="preserve"> Mrs </w:t>
      </w:r>
      <w:proofErr w:type="spellStart"/>
      <w:r w:rsidR="00AF3DD9">
        <w:t>Fokas</w:t>
      </w:r>
      <w:proofErr w:type="spellEnd"/>
      <w:r w:rsidR="00AF3DD9">
        <w:t xml:space="preserve"> </w:t>
      </w:r>
      <w:r w:rsidR="00F712BE">
        <w:t xml:space="preserve">essentially </w:t>
      </w:r>
      <w:r w:rsidR="00AF3DD9">
        <w:t xml:space="preserve">sought </w:t>
      </w:r>
      <w:r w:rsidR="00F712BE">
        <w:t>a declaration that she was not bankrupt</w:t>
      </w:r>
      <w:r w:rsidR="00E93B02">
        <w:t xml:space="preserve">; </w:t>
      </w:r>
      <w:r w:rsidR="00060FF5">
        <w:t>in her words, “</w:t>
      </w:r>
      <w:r w:rsidR="00060FF5" w:rsidRPr="00060FF5">
        <w:rPr>
          <w:i/>
        </w:rPr>
        <w:t xml:space="preserve">a </w:t>
      </w:r>
      <w:r w:rsidR="00DD600E">
        <w:rPr>
          <w:i/>
        </w:rPr>
        <w:t>b</w:t>
      </w:r>
      <w:r w:rsidR="00060FF5" w:rsidRPr="00060FF5">
        <w:rPr>
          <w:i/>
        </w:rPr>
        <w:t xml:space="preserve">ankruptcy never existed against Maria </w:t>
      </w:r>
      <w:proofErr w:type="spellStart"/>
      <w:r w:rsidR="00060FF5" w:rsidRPr="00060FF5">
        <w:rPr>
          <w:i/>
        </w:rPr>
        <w:t>Fokas</w:t>
      </w:r>
      <w:proofErr w:type="spellEnd"/>
      <w:r w:rsidR="00060FF5">
        <w:t xml:space="preserve">”: </w:t>
      </w:r>
      <w:proofErr w:type="spellStart"/>
      <w:r w:rsidR="00060FF5">
        <w:rPr>
          <w:i/>
        </w:rPr>
        <w:t>Fokas</w:t>
      </w:r>
      <w:proofErr w:type="spellEnd"/>
      <w:r w:rsidR="00060FF5">
        <w:rPr>
          <w:i/>
        </w:rPr>
        <w:t xml:space="preserve"> v Mansfield</w:t>
      </w:r>
      <w:r w:rsidR="00954086">
        <w:rPr>
          <w:i/>
        </w:rPr>
        <w:t xml:space="preserve"> (No 1)</w:t>
      </w:r>
      <w:r w:rsidR="00060FF5">
        <w:rPr>
          <w:i/>
        </w:rPr>
        <w:t xml:space="preserve"> </w:t>
      </w:r>
      <w:r w:rsidR="00060FF5">
        <w:t xml:space="preserve">at [14]. </w:t>
      </w:r>
      <w:r w:rsidR="00310189">
        <w:t xml:space="preserve">Following the making of the sequestration order on </w:t>
      </w:r>
      <w:r w:rsidR="00ED6356">
        <w:t>1 </w:t>
      </w:r>
      <w:r w:rsidR="00310189">
        <w:t xml:space="preserve">November 2012, </w:t>
      </w:r>
      <w:r w:rsidR="00ED6356">
        <w:t>Mrs </w:t>
      </w:r>
      <w:proofErr w:type="spellStart"/>
      <w:r w:rsidR="00455A18">
        <w:t>Fokas</w:t>
      </w:r>
      <w:proofErr w:type="spellEnd"/>
      <w:r w:rsidR="00455A18">
        <w:t xml:space="preserve"> </w:t>
      </w:r>
      <w:r w:rsidR="00CA4E50">
        <w:t>did not pursue</w:t>
      </w:r>
      <w:r w:rsidR="00CB5251">
        <w:t xml:space="preserve"> any application for an annulment of her bankruptcy</w:t>
      </w:r>
      <w:r w:rsidR="00B9643B">
        <w:t xml:space="preserve"> under s 153B of the </w:t>
      </w:r>
      <w:r w:rsidR="00B9643B">
        <w:rPr>
          <w:i/>
        </w:rPr>
        <w:t>Bankruptcy Act</w:t>
      </w:r>
      <w:r w:rsidR="00B9643B">
        <w:t xml:space="preserve">, or any application </w:t>
      </w:r>
      <w:r w:rsidR="00F72EE2">
        <w:t xml:space="preserve">under s 104 of the </w:t>
      </w:r>
      <w:r w:rsidR="00CA4E50">
        <w:rPr>
          <w:i/>
        </w:rPr>
        <w:t>Federal Magistrates Act 1999</w:t>
      </w:r>
      <w:r w:rsidR="004C390B">
        <w:rPr>
          <w:i/>
        </w:rPr>
        <w:t xml:space="preserve"> </w:t>
      </w:r>
      <w:r w:rsidR="004C390B">
        <w:t>(</w:t>
      </w:r>
      <w:proofErr w:type="spellStart"/>
      <w:r w:rsidR="004C390B">
        <w:t>Cth</w:t>
      </w:r>
      <w:proofErr w:type="spellEnd"/>
      <w:r w:rsidR="004C390B">
        <w:t>)</w:t>
      </w:r>
      <w:r w:rsidR="00CA4E50">
        <w:rPr>
          <w:i/>
        </w:rPr>
        <w:t xml:space="preserve"> </w:t>
      </w:r>
      <w:r w:rsidR="00B9643B">
        <w:t>for review of the sequestration order</w:t>
      </w:r>
      <w:r w:rsidR="00EA4272">
        <w:t xml:space="preserve"> made by the Registrar</w:t>
      </w:r>
      <w:r w:rsidR="001C018F">
        <w:t xml:space="preserve">, </w:t>
      </w:r>
      <w:r w:rsidR="00CA4E50">
        <w:t>or any appeal to this Court</w:t>
      </w:r>
      <w:r w:rsidR="00D31951">
        <w:t>.</w:t>
      </w:r>
      <w:r w:rsidR="00CA4E50">
        <w:t xml:space="preserve"> </w:t>
      </w:r>
      <w:r w:rsidR="00ED6356">
        <w:t>Mrs </w:t>
      </w:r>
      <w:proofErr w:type="spellStart"/>
      <w:r w:rsidR="00CE0B11">
        <w:t>Fokas’</w:t>
      </w:r>
      <w:r w:rsidR="00122427">
        <w:t>s</w:t>
      </w:r>
      <w:proofErr w:type="spellEnd"/>
      <w:r w:rsidR="00CE0B11">
        <w:t xml:space="preserve"> approach has been to deny the existence </w:t>
      </w:r>
      <w:r w:rsidR="00CE0B11">
        <w:lastRenderedPageBreak/>
        <w:t>of an effective sequestration order</w:t>
      </w:r>
      <w:r w:rsidR="00974D81">
        <w:t xml:space="preserve">, </w:t>
      </w:r>
      <w:r w:rsidR="00684491">
        <w:t>and that</w:t>
      </w:r>
      <w:r w:rsidR="00974D81">
        <w:t xml:space="preserve"> denial has manifested itself in</w:t>
      </w:r>
      <w:r w:rsidR="0073481F">
        <w:t xml:space="preserve"> (inter alia)</w:t>
      </w:r>
      <w:r w:rsidR="00974D81">
        <w:t xml:space="preserve"> her failure to co-operate with the Trustee</w:t>
      </w:r>
      <w:r w:rsidR="00684491">
        <w:t>,</w:t>
      </w:r>
      <w:r w:rsidR="00974D81">
        <w:t xml:space="preserve"> her failure to sign a statement of affairs</w:t>
      </w:r>
      <w:r w:rsidR="00684491">
        <w:t xml:space="preserve">, and the litigation in the Supreme </w:t>
      </w:r>
      <w:r w:rsidR="00E93B02">
        <w:t>Court</w:t>
      </w:r>
      <w:r w:rsidR="00684491">
        <w:t xml:space="preserve"> of New South Wales concerning her former residential property.</w:t>
      </w:r>
    </w:p>
    <w:p w14:paraId="16D34127" w14:textId="740CF3D5" w:rsidR="00471E7C" w:rsidRDefault="00ED6356" w:rsidP="00D125A1">
      <w:pPr>
        <w:pStyle w:val="ParaNumbering"/>
      </w:pPr>
      <w:r>
        <w:t>Mrs </w:t>
      </w:r>
      <w:proofErr w:type="spellStart"/>
      <w:r w:rsidR="004B4E10">
        <w:t>Fokas’</w:t>
      </w:r>
      <w:r w:rsidR="00122427">
        <w:t>s</w:t>
      </w:r>
      <w:proofErr w:type="spellEnd"/>
      <w:r w:rsidR="004B4E10">
        <w:t xml:space="preserve"> interlocutory application, to the extent that it seeks to set aside the decision of </w:t>
      </w:r>
      <w:r>
        <w:t>21 </w:t>
      </w:r>
      <w:r w:rsidR="004B4E10">
        <w:t xml:space="preserve">October 2019, </w:t>
      </w:r>
      <w:r w:rsidR="00471E7C">
        <w:t>invites</w:t>
      </w:r>
      <w:r w:rsidR="004B4E10">
        <w:t xml:space="preserve"> re</w:t>
      </w:r>
      <w:r w:rsidR="009B3D0A">
        <w:t>-</w:t>
      </w:r>
      <w:r w:rsidR="004B4E10">
        <w:t xml:space="preserve">litigation of issues that </w:t>
      </w:r>
      <w:r w:rsidR="00AA38B3">
        <w:t>have been</w:t>
      </w:r>
      <w:r w:rsidR="004B4E10">
        <w:t xml:space="preserve"> determined adversely to </w:t>
      </w:r>
      <w:r w:rsidR="00AA38B3">
        <w:t>her</w:t>
      </w:r>
      <w:r w:rsidR="004B4E10">
        <w:t>. To</w:t>
      </w:r>
      <w:r w:rsidR="00D54004">
        <w:t> </w:t>
      </w:r>
      <w:r w:rsidR="004B4E10">
        <w:t xml:space="preserve">the extent that </w:t>
      </w:r>
      <w:r>
        <w:t>Mrs </w:t>
      </w:r>
      <w:proofErr w:type="spellStart"/>
      <w:r w:rsidR="004B4E10">
        <w:t>Fokas</w:t>
      </w:r>
      <w:proofErr w:type="spellEnd"/>
      <w:r w:rsidR="004B4E10">
        <w:t xml:space="preserve"> seeks to introduce </w:t>
      </w:r>
      <w:r w:rsidR="00A35254">
        <w:t xml:space="preserve">a new argument </w:t>
      </w:r>
      <w:r w:rsidR="00AA38B3">
        <w:t>that the sequestration order did not exist because of the</w:t>
      </w:r>
      <w:r w:rsidR="00A35254">
        <w:t xml:space="preserve"> absence of the title “Sequestration Order” in the </w:t>
      </w:r>
      <w:r w:rsidR="00295786">
        <w:t xml:space="preserve">form of </w:t>
      </w:r>
      <w:r w:rsidR="00A35254">
        <w:t xml:space="preserve">order made </w:t>
      </w:r>
      <w:r w:rsidR="00DF0861">
        <w:t xml:space="preserve">by the Federal Magistrates Court on </w:t>
      </w:r>
      <w:r>
        <w:t>1 </w:t>
      </w:r>
      <w:r w:rsidR="00A35413">
        <w:t>November 2012</w:t>
      </w:r>
      <w:r w:rsidR="004B4E10">
        <w:t>, t</w:t>
      </w:r>
      <w:r w:rsidR="00A35413">
        <w:t>hat</w:t>
      </w:r>
      <w:r w:rsidR="004B4E10">
        <w:t xml:space="preserve"> argument </w:t>
      </w:r>
      <w:r w:rsidR="00A35413">
        <w:t>is</w:t>
      </w:r>
      <w:r w:rsidR="004B4E10">
        <w:t xml:space="preserve"> devoid of any merit.</w:t>
      </w:r>
      <w:r w:rsidR="00A35413">
        <w:t xml:space="preserve"> Only substantial compliance with </w:t>
      </w:r>
      <w:r w:rsidR="00A27BA7">
        <w:t>F</w:t>
      </w:r>
      <w:r w:rsidR="00A35413">
        <w:t xml:space="preserve">orm 7 prescribed by the </w:t>
      </w:r>
      <w:r w:rsidR="00A35413" w:rsidRPr="00D125A1">
        <w:rPr>
          <w:i/>
        </w:rPr>
        <w:t xml:space="preserve">Federal Magistrates Court (Bankruptcy) Rules </w:t>
      </w:r>
      <w:r w:rsidR="00D125A1">
        <w:t>was required</w:t>
      </w:r>
      <w:r w:rsidR="006212EC">
        <w:t xml:space="preserve">: </w:t>
      </w:r>
      <w:r w:rsidR="006212EC">
        <w:rPr>
          <w:i/>
        </w:rPr>
        <w:t>Acts Interpretation Act</w:t>
      </w:r>
      <w:r w:rsidR="006212EC">
        <w:t>, s 25C</w:t>
      </w:r>
      <w:r w:rsidR="00453162">
        <w:t xml:space="preserve">; </w:t>
      </w:r>
      <w:r w:rsidR="00453162">
        <w:rPr>
          <w:i/>
        </w:rPr>
        <w:t>Legislation Act</w:t>
      </w:r>
      <w:r w:rsidR="00453162">
        <w:t>, s 13(1</w:t>
      </w:r>
      <w:proofErr w:type="gramStart"/>
      <w:r w:rsidR="00453162">
        <w:t>)(</w:t>
      </w:r>
      <w:proofErr w:type="gramEnd"/>
      <w:r w:rsidR="00453162">
        <w:t>a)</w:t>
      </w:r>
      <w:r w:rsidR="00D125A1">
        <w:t>.</w:t>
      </w:r>
      <w:r w:rsidR="00453162">
        <w:t xml:space="preserve"> </w:t>
      </w:r>
      <w:r w:rsidR="00494640">
        <w:t>I </w:t>
      </w:r>
      <w:r w:rsidR="00453162">
        <w:t xml:space="preserve">regard as hopeless </w:t>
      </w:r>
      <w:r w:rsidR="00DD618E">
        <w:t>any</w:t>
      </w:r>
      <w:r w:rsidR="00453162">
        <w:t xml:space="preserve"> argument that the omission of the title at the top of the page of the order </w:t>
      </w:r>
      <w:r w:rsidR="00FB470F">
        <w:t>had the effect that there was not substantial compliance with the prescribed form.</w:t>
      </w:r>
      <w:r w:rsidR="00453162">
        <w:t xml:space="preserve"> </w:t>
      </w:r>
      <w:r w:rsidR="00D125A1">
        <w:t xml:space="preserve"> </w:t>
      </w:r>
      <w:r w:rsidR="00FB470F">
        <w:t>Moreover</w:t>
      </w:r>
      <w:r w:rsidR="00D125A1">
        <w:t xml:space="preserve">, I regard as hopeless any submission that the exercise of power by the </w:t>
      </w:r>
      <w:r w:rsidR="00D125A1" w:rsidRPr="00D125A1">
        <w:t>Federal Magistrates Court</w:t>
      </w:r>
      <w:r w:rsidR="00076794">
        <w:t xml:space="preserve"> to make a sequestration order was conditioned on enterin</w:t>
      </w:r>
      <w:r w:rsidR="006A358E">
        <w:t>g the order in the correct form</w:t>
      </w:r>
      <w:r w:rsidR="00773E1E">
        <w:t>.</w:t>
      </w:r>
      <w:r w:rsidR="00076794">
        <w:t xml:space="preserve"> </w:t>
      </w:r>
      <w:r w:rsidR="00773E1E">
        <w:t>A</w:t>
      </w:r>
      <w:r w:rsidR="00FB470F">
        <w:t xml:space="preserve">s </w:t>
      </w:r>
      <w:r w:rsidR="008550FC">
        <w:t>the Court</w:t>
      </w:r>
      <w:r w:rsidR="00076794">
        <w:t xml:space="preserve"> held in </w:t>
      </w:r>
      <w:proofErr w:type="spellStart"/>
      <w:r w:rsidR="00076794">
        <w:rPr>
          <w:i/>
        </w:rPr>
        <w:t>Fokas</w:t>
      </w:r>
      <w:proofErr w:type="spellEnd"/>
      <w:r w:rsidR="00076794">
        <w:rPr>
          <w:i/>
        </w:rPr>
        <w:t xml:space="preserve"> v Mansfield</w:t>
      </w:r>
      <w:r w:rsidR="008550FC">
        <w:rPr>
          <w:i/>
        </w:rPr>
        <w:t xml:space="preserve"> (No 1)</w:t>
      </w:r>
      <w:r w:rsidR="00076794">
        <w:t xml:space="preserve"> at </w:t>
      </w:r>
      <w:r w:rsidR="006A358E">
        <w:t>[41], the sequestration order was valid when it was made.</w:t>
      </w:r>
      <w:r w:rsidR="002B3CCB">
        <w:t xml:space="preserve"> </w:t>
      </w:r>
      <w:r w:rsidR="00DD618E">
        <w:t>Finally, t</w:t>
      </w:r>
      <w:r w:rsidR="002B3CCB">
        <w:t xml:space="preserve">he challenges made by Mrs </w:t>
      </w:r>
      <w:proofErr w:type="spellStart"/>
      <w:r w:rsidR="002B3CCB">
        <w:t>Fokas</w:t>
      </w:r>
      <w:proofErr w:type="spellEnd"/>
      <w:r w:rsidR="002B3CCB">
        <w:t xml:space="preserve"> to the </w:t>
      </w:r>
      <w:r w:rsidR="00EE2256">
        <w:t>affidavit in support of the petition, and to the circumstances in which she was served with the bankruptcy notice</w:t>
      </w:r>
      <w:r w:rsidR="002C166A">
        <w:t xml:space="preserve"> </w:t>
      </w:r>
      <w:r w:rsidR="00EE2256">
        <w:t>do not arguably affect the valid</w:t>
      </w:r>
      <w:r w:rsidR="00471E7C">
        <w:t>ity of the sequestration order.</w:t>
      </w:r>
    </w:p>
    <w:p w14:paraId="7EF462F2" w14:textId="4F8934B3" w:rsidR="004B4E10" w:rsidRDefault="00207BB5" w:rsidP="00D125A1">
      <w:pPr>
        <w:pStyle w:val="ParaNumbering"/>
      </w:pPr>
      <w:r>
        <w:t>As to t</w:t>
      </w:r>
      <w:r w:rsidR="00471E7C">
        <w:t xml:space="preserve">he other orders that </w:t>
      </w:r>
      <w:r w:rsidR="00494640">
        <w:t>Mrs </w:t>
      </w:r>
      <w:proofErr w:type="spellStart"/>
      <w:r w:rsidR="00471E7C">
        <w:t>Fokas</w:t>
      </w:r>
      <w:proofErr w:type="spellEnd"/>
      <w:r w:rsidR="00471E7C">
        <w:t xml:space="preserve"> sought</w:t>
      </w:r>
      <w:r w:rsidR="00EE2256">
        <w:t xml:space="preserve"> </w:t>
      </w:r>
      <w:r>
        <w:t>–</w:t>
      </w:r>
    </w:p>
    <w:p w14:paraId="39A6085C" w14:textId="50D801D4" w:rsidR="00207BB5" w:rsidRDefault="00641DBA" w:rsidP="00FF009B">
      <w:pPr>
        <w:pStyle w:val="ListNo1"/>
        <w:numPr>
          <w:ilvl w:val="0"/>
          <w:numId w:val="32"/>
        </w:numPr>
      </w:pPr>
      <w:r>
        <w:t>there is no arguable basis on which the sequestration order should be stayed by this Court;</w:t>
      </w:r>
    </w:p>
    <w:p w14:paraId="09CB0F44" w14:textId="61AC7CB6" w:rsidR="00641DBA" w:rsidRDefault="00C54518" w:rsidP="00FF009B">
      <w:pPr>
        <w:pStyle w:val="ListNo1"/>
        <w:numPr>
          <w:ilvl w:val="0"/>
          <w:numId w:val="32"/>
        </w:numPr>
      </w:pPr>
      <w:r>
        <w:t xml:space="preserve">there is no reason to refer the hearing </w:t>
      </w:r>
      <w:r w:rsidR="004E7041">
        <w:t xml:space="preserve">of these applications </w:t>
      </w:r>
      <w:r>
        <w:t>to a Full Court;</w:t>
      </w:r>
    </w:p>
    <w:p w14:paraId="15506CB8" w14:textId="3CB3BCEF" w:rsidR="00C54518" w:rsidRDefault="00494640" w:rsidP="00FF009B">
      <w:pPr>
        <w:pStyle w:val="ListNo1"/>
        <w:numPr>
          <w:ilvl w:val="0"/>
          <w:numId w:val="32"/>
        </w:numPr>
      </w:pPr>
      <w:r>
        <w:t>Mrs </w:t>
      </w:r>
      <w:proofErr w:type="spellStart"/>
      <w:r w:rsidR="00C54518">
        <w:t>Fokas</w:t>
      </w:r>
      <w:proofErr w:type="spellEnd"/>
      <w:r w:rsidR="00C54518">
        <w:t xml:space="preserve"> advanced no specific reason why the order for costs made on </w:t>
      </w:r>
      <w:r>
        <w:t>21 </w:t>
      </w:r>
      <w:r w:rsidR="00C54518">
        <w:t>October</w:t>
      </w:r>
      <w:r w:rsidR="00D54004">
        <w:t> </w:t>
      </w:r>
      <w:r w:rsidR="00C54518">
        <w:t>2019 should be set aside;</w:t>
      </w:r>
    </w:p>
    <w:p w14:paraId="4B01B508" w14:textId="6E1D77F5" w:rsidR="00C54518" w:rsidRDefault="00B04FC6" w:rsidP="00FF009B">
      <w:pPr>
        <w:pStyle w:val="ListNo1"/>
        <w:numPr>
          <w:ilvl w:val="0"/>
          <w:numId w:val="32"/>
        </w:numPr>
      </w:pPr>
      <w:r>
        <w:t>there is no arguable basis on which the creditor’s petition</w:t>
      </w:r>
      <w:r w:rsidR="0002597B">
        <w:t>,</w:t>
      </w:r>
      <w:r>
        <w:t xml:space="preserve"> </w:t>
      </w:r>
      <w:r w:rsidR="0002597B">
        <w:t xml:space="preserve">which was acted on by the Federal Magistrates Court in making the sequestration order, </w:t>
      </w:r>
      <w:r>
        <w:t>should be stayed;</w:t>
      </w:r>
      <w:r w:rsidR="00295786">
        <w:t xml:space="preserve"> and</w:t>
      </w:r>
    </w:p>
    <w:p w14:paraId="45EE74F8" w14:textId="51DBC971" w:rsidR="0002597B" w:rsidRDefault="0002597B" w:rsidP="00FF009B">
      <w:pPr>
        <w:pStyle w:val="ListNo1"/>
        <w:numPr>
          <w:ilvl w:val="0"/>
          <w:numId w:val="32"/>
        </w:numPr>
      </w:pPr>
      <w:proofErr w:type="gramStart"/>
      <w:r>
        <w:t>there</w:t>
      </w:r>
      <w:proofErr w:type="gramEnd"/>
      <w:r>
        <w:t xml:space="preserve"> is no arguable basis on which this Court could grant </w:t>
      </w:r>
      <w:r w:rsidR="00494640">
        <w:t>Mrs </w:t>
      </w:r>
      <w:proofErr w:type="spellStart"/>
      <w:r>
        <w:t>Fokas</w:t>
      </w:r>
      <w:proofErr w:type="spellEnd"/>
      <w:r>
        <w:t xml:space="preserve"> </w:t>
      </w:r>
      <w:r w:rsidR="00780BA9">
        <w:t xml:space="preserve">the relief that she </w:t>
      </w:r>
      <w:r w:rsidR="004E7041">
        <w:t>sought</w:t>
      </w:r>
      <w:r w:rsidR="00780BA9">
        <w:t xml:space="preserve"> in relation to the orders made by the Supreme Court of New South Wales on </w:t>
      </w:r>
      <w:r w:rsidR="00494640">
        <w:t>28 </w:t>
      </w:r>
      <w:r w:rsidR="00780BA9">
        <w:t>February 2018</w:t>
      </w:r>
      <w:r w:rsidR="004E7041">
        <w:t xml:space="preserve"> (Fagan J)</w:t>
      </w:r>
      <w:r w:rsidR="0070528A">
        <w:t>,</w:t>
      </w:r>
      <w:r w:rsidR="00780BA9">
        <w:t xml:space="preserve"> and </w:t>
      </w:r>
      <w:r w:rsidR="0070528A">
        <w:t xml:space="preserve">on </w:t>
      </w:r>
      <w:r w:rsidR="00780BA9">
        <w:t>5 April 2018</w:t>
      </w:r>
      <w:r w:rsidR="004E7041">
        <w:t xml:space="preserve"> (</w:t>
      </w:r>
      <w:proofErr w:type="spellStart"/>
      <w:r w:rsidR="004E7041">
        <w:t>Darke</w:t>
      </w:r>
      <w:proofErr w:type="spellEnd"/>
      <w:r w:rsidR="004E7041">
        <w:t> J)</w:t>
      </w:r>
      <w:r w:rsidR="00780BA9">
        <w:t>.</w:t>
      </w:r>
    </w:p>
    <w:p w14:paraId="58CB7271" w14:textId="4DFD9889" w:rsidR="00CD1E89" w:rsidRDefault="00CD1E89" w:rsidP="00CD1E89">
      <w:pPr>
        <w:pStyle w:val="ParaNumbering"/>
      </w:pPr>
      <w:bookmarkStart w:id="31" w:name="_Ref30339084"/>
      <w:r>
        <w:t xml:space="preserve">I shall therefore dismiss </w:t>
      </w:r>
      <w:r w:rsidR="00494640">
        <w:t>Mrs </w:t>
      </w:r>
      <w:proofErr w:type="spellStart"/>
      <w:r>
        <w:t>Fokas’</w:t>
      </w:r>
      <w:r w:rsidR="002C166A">
        <w:t>s</w:t>
      </w:r>
      <w:proofErr w:type="spellEnd"/>
      <w:r>
        <w:t xml:space="preserve"> interlocutory application filed </w:t>
      </w:r>
      <w:r w:rsidR="00494640">
        <w:t>15 </w:t>
      </w:r>
      <w:r>
        <w:t xml:space="preserve">November 2019, </w:t>
      </w:r>
      <w:r w:rsidR="00203B4A">
        <w:t xml:space="preserve">including </w:t>
      </w:r>
      <w:r w:rsidR="00465794">
        <w:t xml:space="preserve">her application for </w:t>
      </w:r>
      <w:r>
        <w:t xml:space="preserve">the orders </w:t>
      </w:r>
      <w:r w:rsidR="00465794">
        <w:t>set out in her short minutes of order</w:t>
      </w:r>
      <w:r w:rsidR="00334AC6">
        <w:t xml:space="preserve">. I further hold that </w:t>
      </w:r>
      <w:r w:rsidR="00334AC6">
        <w:lastRenderedPageBreak/>
        <w:t>by reason of the attempts to re-litigate</w:t>
      </w:r>
      <w:r w:rsidR="007D4D8E">
        <w:t xml:space="preserve"> issues that have been decided already by this Court and</w:t>
      </w:r>
      <w:r w:rsidR="00F130AC">
        <w:t xml:space="preserve"> by</w:t>
      </w:r>
      <w:r w:rsidR="007D4D8E">
        <w:t xml:space="preserve"> the Supreme Court of New South Wales,</w:t>
      </w:r>
      <w:r w:rsidR="00334AC6">
        <w:t xml:space="preserve"> and</w:t>
      </w:r>
      <w:r w:rsidR="007D4D8E">
        <w:t xml:space="preserve"> by reason of </w:t>
      </w:r>
      <w:r w:rsidR="00334AC6">
        <w:t xml:space="preserve">the absence of any merit </w:t>
      </w:r>
      <w:r w:rsidR="007D4D8E">
        <w:t>to</w:t>
      </w:r>
      <w:r w:rsidR="00334AC6">
        <w:t xml:space="preserve"> the applications</w:t>
      </w:r>
      <w:r w:rsidR="007D4D8E">
        <w:t>,</w:t>
      </w:r>
      <w:r w:rsidR="00334AC6">
        <w:t xml:space="preserve"> that they are vexatious and</w:t>
      </w:r>
      <w:r w:rsidR="00465794">
        <w:t xml:space="preserve"> an abuse of process.</w:t>
      </w:r>
      <w:bookmarkEnd w:id="31"/>
    </w:p>
    <w:p w14:paraId="1EC8835C" w14:textId="53B8458E" w:rsidR="007832C5" w:rsidRDefault="007832C5" w:rsidP="009B3D0A">
      <w:pPr>
        <w:pStyle w:val="Heading2"/>
      </w:pPr>
      <w:r>
        <w:t>Vexatious proceedings orders</w:t>
      </w:r>
    </w:p>
    <w:p w14:paraId="24890E31" w14:textId="17695B62" w:rsidR="006E1412" w:rsidRDefault="006E1412">
      <w:pPr>
        <w:pStyle w:val="ParaNumbering"/>
      </w:pPr>
      <w:r>
        <w:t xml:space="preserve">A vexatious proceedings order is an extreme measure </w:t>
      </w:r>
      <w:r w:rsidR="00B925ED">
        <w:t xml:space="preserve">and </w:t>
      </w:r>
      <w:r>
        <w:t xml:space="preserve">should not be made lightly: </w:t>
      </w:r>
      <w:r w:rsidRPr="00A92E7B">
        <w:rPr>
          <w:i/>
        </w:rPr>
        <w:t>Soden v Kowalski</w:t>
      </w:r>
      <w:r w:rsidRPr="009B2C04">
        <w:t xml:space="preserve"> [2011] FCA 318</w:t>
      </w:r>
      <w:r w:rsidRPr="00A92E7B">
        <w:rPr>
          <w:i/>
        </w:rPr>
        <w:t xml:space="preserve"> </w:t>
      </w:r>
      <w:r>
        <w:t>at [35] (Stone J). However, the nature of the relief is not to bar litigation by a vexatious litigant entirely, but to control it by imposing a requirement for leave.  By allowing for such control, the relief authorised by the legislation reinforces the power of the Court to protect its own process</w:t>
      </w:r>
      <w:r w:rsidR="00137B21">
        <w:t>es</w:t>
      </w:r>
      <w:r>
        <w:t xml:space="preserve"> against unwarranted usurpation of its time and resources and to avoid loss caused to those who have to face proceedings that lack substance: </w:t>
      </w:r>
      <w:r>
        <w:rPr>
          <w:i/>
        </w:rPr>
        <w:t xml:space="preserve">Jones v </w:t>
      </w:r>
      <w:proofErr w:type="spellStart"/>
      <w:r>
        <w:rPr>
          <w:i/>
        </w:rPr>
        <w:t>Skyring</w:t>
      </w:r>
      <w:proofErr w:type="spellEnd"/>
      <w:r>
        <w:rPr>
          <w:i/>
        </w:rPr>
        <w:t xml:space="preserve"> </w:t>
      </w:r>
      <w:r>
        <w:t>(1992) 109 ALR 303 at 312 (</w:t>
      </w:r>
      <w:proofErr w:type="spellStart"/>
      <w:r>
        <w:t>Toohey</w:t>
      </w:r>
      <w:proofErr w:type="spellEnd"/>
      <w:r>
        <w:t> J). As the Full Court</w:t>
      </w:r>
      <w:r w:rsidR="00067F11">
        <w:t xml:space="preserve"> (</w:t>
      </w:r>
      <w:proofErr w:type="spellStart"/>
      <w:r w:rsidR="00067F11">
        <w:t>Besanko</w:t>
      </w:r>
      <w:proofErr w:type="spellEnd"/>
      <w:r w:rsidR="00067F11">
        <w:t xml:space="preserve">, Logan and </w:t>
      </w:r>
      <w:proofErr w:type="spellStart"/>
      <w:r w:rsidR="00067F11">
        <w:t>McKerrracher</w:t>
      </w:r>
      <w:proofErr w:type="spellEnd"/>
      <w:r w:rsidR="00067F11">
        <w:t> JJ)</w:t>
      </w:r>
      <w:r>
        <w:t xml:space="preserve"> stated in </w:t>
      </w:r>
      <w:r>
        <w:rPr>
          <w:i/>
        </w:rPr>
        <w:t xml:space="preserve">Fuller v Toms </w:t>
      </w:r>
      <w:r w:rsidR="003A397A" w:rsidRPr="003A397A">
        <w:t>[</w:t>
      </w:r>
      <w:r>
        <w:t>2015</w:t>
      </w:r>
      <w:r w:rsidR="003A397A">
        <w:t>] FCAFC 91;</w:t>
      </w:r>
      <w:r>
        <w:t xml:space="preserve"> 234 FCR 535 at [31] –</w:t>
      </w:r>
    </w:p>
    <w:p w14:paraId="38F23116" w14:textId="77777777" w:rsidR="006E1412" w:rsidRPr="00A92F9D" w:rsidRDefault="006E1412" w:rsidP="006E1412">
      <w:pPr>
        <w:pStyle w:val="Quote1"/>
      </w:pPr>
      <w:r w:rsidRPr="00A92F9D">
        <w:t xml:space="preserve">Section 37AO of the Federal Court Act empowers a court to balance the right of one individual of access to justice with other rights namely, a correlative right on the part of the present respondents to finality and the separate right of other individuals also to access this Court. It is for this Court, the present manifestation of a recognition by the Australian Parliament, the origins of which may be traced to an earlier recognition by the United Kingdom Parliament, via the </w:t>
      </w:r>
      <w:r w:rsidRPr="00A92F9D">
        <w:rPr>
          <w:i/>
        </w:rPr>
        <w:t>Vexatious Actions Act 1896</w:t>
      </w:r>
      <w:r w:rsidRPr="00A92F9D">
        <w:t xml:space="preserve"> (UK) (59 &amp; 60 </w:t>
      </w:r>
      <w:proofErr w:type="spellStart"/>
      <w:r w:rsidRPr="00A92F9D">
        <w:t>Vict</w:t>
      </w:r>
      <w:proofErr w:type="spellEnd"/>
      <w:r w:rsidRPr="00A92F9D">
        <w:t>. C. 51), of a need for a power to effect just such a balance.</w:t>
      </w:r>
    </w:p>
    <w:p w14:paraId="3EBCA18D" w14:textId="1A45C097" w:rsidR="0018687D" w:rsidRDefault="00AC1240" w:rsidP="0009214C">
      <w:pPr>
        <w:pStyle w:val="ParaNumbering"/>
      </w:pPr>
      <w:r>
        <w:t xml:space="preserve">In </w:t>
      </w:r>
      <w:r w:rsidRPr="009B3D0A">
        <w:rPr>
          <w:i/>
        </w:rPr>
        <w:t>Mathews</w:t>
      </w:r>
      <w:r>
        <w:rPr>
          <w:i/>
        </w:rPr>
        <w:t xml:space="preserve"> v State of Queensland </w:t>
      </w:r>
      <w:r>
        <w:t>[2015] FCA 1488</w:t>
      </w:r>
      <w:r w:rsidR="0000093F">
        <w:t>,</w:t>
      </w:r>
      <w:r>
        <w:t xml:space="preserve"> at [81]</w:t>
      </w:r>
      <w:r w:rsidR="0000093F">
        <w:t>,</w:t>
      </w:r>
      <w:r>
        <w:t xml:space="preserve"> Reeves J </w:t>
      </w:r>
      <w:r w:rsidR="00561168">
        <w:t>identified</w:t>
      </w:r>
      <w:r w:rsidR="00AB528B">
        <w:t xml:space="preserve"> t</w:t>
      </w:r>
      <w:r w:rsidR="004D27E8">
        <w:t>he conditions necessary to engage s 37AO(1)</w:t>
      </w:r>
      <w:r w:rsidR="00A446C4">
        <w:t>(a)</w:t>
      </w:r>
      <w:r w:rsidR="004D27E8">
        <w:t xml:space="preserve"> </w:t>
      </w:r>
      <w:r w:rsidR="00AB528B">
        <w:t>as being</w:t>
      </w:r>
      <w:r w:rsidR="004D27E8">
        <w:t xml:space="preserve"> that </w:t>
      </w:r>
      <w:r w:rsidR="0018687D">
        <w:t>the person has –</w:t>
      </w:r>
    </w:p>
    <w:p w14:paraId="6AF90798" w14:textId="77777777" w:rsidR="00756530" w:rsidRDefault="00A446C4" w:rsidP="00FF009B">
      <w:pPr>
        <w:pStyle w:val="ListNo1"/>
        <w:numPr>
          <w:ilvl w:val="0"/>
          <w:numId w:val="26"/>
        </w:numPr>
      </w:pPr>
      <w:r>
        <w:t>frequently</w:t>
      </w:r>
      <w:r w:rsidR="00756530">
        <w:t>;</w:t>
      </w:r>
    </w:p>
    <w:p w14:paraId="13705464" w14:textId="77777777" w:rsidR="00756530" w:rsidRDefault="00A446C4" w:rsidP="00FF009B">
      <w:pPr>
        <w:pStyle w:val="ListNo1"/>
        <w:numPr>
          <w:ilvl w:val="0"/>
          <w:numId w:val="26"/>
        </w:numPr>
      </w:pPr>
      <w:r>
        <w:t>instituted or conducted</w:t>
      </w:r>
      <w:r w:rsidR="00756530">
        <w:t>;</w:t>
      </w:r>
      <w:r>
        <w:t xml:space="preserve"> </w:t>
      </w:r>
    </w:p>
    <w:p w14:paraId="0575C401" w14:textId="77777777" w:rsidR="00756530" w:rsidRDefault="00A446C4" w:rsidP="00FF009B">
      <w:pPr>
        <w:pStyle w:val="ListNo1"/>
        <w:numPr>
          <w:ilvl w:val="0"/>
          <w:numId w:val="26"/>
        </w:numPr>
      </w:pPr>
      <w:r>
        <w:t>vexatious proceedings</w:t>
      </w:r>
      <w:r w:rsidR="00756530">
        <w:t>;</w:t>
      </w:r>
    </w:p>
    <w:p w14:paraId="39155E06" w14:textId="3150D7DB" w:rsidR="00756530" w:rsidRDefault="00A446C4" w:rsidP="00FF009B">
      <w:pPr>
        <w:pStyle w:val="ListNo1"/>
        <w:numPr>
          <w:ilvl w:val="0"/>
          <w:numId w:val="26"/>
        </w:numPr>
      </w:pPr>
      <w:proofErr w:type="gramStart"/>
      <w:r>
        <w:t>in</w:t>
      </w:r>
      <w:proofErr w:type="gramEnd"/>
      <w:r>
        <w:t xml:space="preserve"> Australian courts or tribunals. </w:t>
      </w:r>
    </w:p>
    <w:p w14:paraId="4DA95292" w14:textId="28AFA7FF" w:rsidR="004D27E8" w:rsidRDefault="00F53C32" w:rsidP="00374124">
      <w:pPr>
        <w:pStyle w:val="ParaNumbering"/>
      </w:pPr>
      <w:r>
        <w:t xml:space="preserve">The meaning of the word </w:t>
      </w:r>
      <w:r w:rsidR="00AD58B0">
        <w:t>“</w:t>
      </w:r>
      <w:r>
        <w:t>frequent</w:t>
      </w:r>
      <w:r w:rsidR="00A8417C">
        <w:t>ly</w:t>
      </w:r>
      <w:r w:rsidR="00AD58B0">
        <w:t>”</w:t>
      </w:r>
      <w:r>
        <w:t xml:space="preserve"> is relative, and must be viewed in context</w:t>
      </w:r>
      <w:r w:rsidR="00CC2A47">
        <w:t xml:space="preserve">: </w:t>
      </w:r>
      <w:r w:rsidR="00CC2A47" w:rsidRPr="00384AEA">
        <w:rPr>
          <w:i/>
        </w:rPr>
        <w:t xml:space="preserve">Jones v Cusack </w:t>
      </w:r>
      <w:r w:rsidR="00CC2A47">
        <w:t>(1992) 109 ALR 313 at 315 (</w:t>
      </w:r>
      <w:proofErr w:type="spellStart"/>
      <w:r w:rsidR="00CC2A47">
        <w:t>Toohey</w:t>
      </w:r>
      <w:proofErr w:type="spellEnd"/>
      <w:r w:rsidR="00CC2A47">
        <w:t xml:space="preserve"> J); </w:t>
      </w:r>
      <w:r w:rsidR="00375C64" w:rsidRPr="009B3D0A">
        <w:rPr>
          <w:i/>
        </w:rPr>
        <w:t>Teoh</w:t>
      </w:r>
      <w:r w:rsidR="00375C64" w:rsidRPr="00384AEA">
        <w:rPr>
          <w:i/>
        </w:rPr>
        <w:t xml:space="preserve"> v Hunters Hill Council (No 8)</w:t>
      </w:r>
      <w:r w:rsidR="00375C64" w:rsidRPr="00375C64">
        <w:t xml:space="preserve"> [2014] NSWCA 125</w:t>
      </w:r>
      <w:r w:rsidR="00375C64">
        <w:t xml:space="preserve"> at </w:t>
      </w:r>
      <w:r w:rsidR="00C614F1">
        <w:t>[46]-[49]</w:t>
      </w:r>
      <w:r w:rsidR="00BA731A">
        <w:t xml:space="preserve"> (</w:t>
      </w:r>
      <w:r w:rsidR="00374124">
        <w:t>Beazley P, Emmett JA and</w:t>
      </w:r>
      <w:r w:rsidR="00374124" w:rsidRPr="00374124">
        <w:t xml:space="preserve"> Sackville AJA</w:t>
      </w:r>
      <w:r w:rsidR="00BA731A">
        <w:t>)</w:t>
      </w:r>
      <w:r w:rsidR="0009214C">
        <w:t>.</w:t>
      </w:r>
      <w:r w:rsidR="00E41C46">
        <w:t xml:space="preserve"> </w:t>
      </w:r>
      <w:r w:rsidR="00121313">
        <w:t>The number of proceedings instituted need not be large in order for it to be considered frequent</w:t>
      </w:r>
      <w:r w:rsidR="00B925ED">
        <w:t>.</w:t>
      </w:r>
      <w:r w:rsidR="007B18CE">
        <w:t xml:space="preserve"> </w:t>
      </w:r>
      <w:r w:rsidR="00B925ED">
        <w:t>T</w:t>
      </w:r>
      <w:r w:rsidR="00D16D7B">
        <w:t>he numbe</w:t>
      </w:r>
      <w:r w:rsidR="00C614F1">
        <w:t>r of proceedings may be small if</w:t>
      </w:r>
      <w:r w:rsidR="00D16D7B">
        <w:t xml:space="preserve"> a litigant attempts to re-litigate or re-agitate an issue previously determined by the Court</w:t>
      </w:r>
      <w:r>
        <w:t xml:space="preserve">: </w:t>
      </w:r>
      <w:r w:rsidR="0009214C" w:rsidRPr="0009214C">
        <w:rPr>
          <w:i/>
        </w:rPr>
        <w:t xml:space="preserve">HWY Rent Pty Ltd v HWY Rentals (in </w:t>
      </w:r>
      <w:proofErr w:type="spellStart"/>
      <w:r w:rsidR="0009214C" w:rsidRPr="0009214C">
        <w:rPr>
          <w:i/>
        </w:rPr>
        <w:t>liq</w:t>
      </w:r>
      <w:proofErr w:type="spellEnd"/>
      <w:r w:rsidR="0009214C" w:rsidRPr="0009214C">
        <w:rPr>
          <w:i/>
        </w:rPr>
        <w:t xml:space="preserve">) (No 2) </w:t>
      </w:r>
      <w:r w:rsidR="00D43537">
        <w:t>[2014] FCA 449 at [111</w:t>
      </w:r>
      <w:r w:rsidR="0009214C" w:rsidRPr="0009214C">
        <w:t>]</w:t>
      </w:r>
      <w:r w:rsidR="00D43537">
        <w:t>-[114]</w:t>
      </w:r>
      <w:r w:rsidR="0009214C" w:rsidRPr="0009214C">
        <w:t xml:space="preserve"> (Perry J), approved by the Full Court in</w:t>
      </w:r>
      <w:r w:rsidR="0009214C" w:rsidRPr="0009214C">
        <w:rPr>
          <w:i/>
        </w:rPr>
        <w:t xml:space="preserve"> Fuller v Toms </w:t>
      </w:r>
      <w:r w:rsidR="0009214C" w:rsidRPr="0009214C">
        <w:t>at [33]</w:t>
      </w:r>
      <w:r w:rsidR="00661CE3">
        <w:t>-[34]</w:t>
      </w:r>
      <w:r w:rsidR="0009214C" w:rsidRPr="0009214C">
        <w:t>.</w:t>
      </w:r>
    </w:p>
    <w:p w14:paraId="2A1C985C" w14:textId="4289D5C5" w:rsidR="00C55684" w:rsidRDefault="00A8417C" w:rsidP="00D054A7">
      <w:pPr>
        <w:pStyle w:val="ParaNumbering"/>
      </w:pPr>
      <w:r w:rsidRPr="00D8763F">
        <w:lastRenderedPageBreak/>
        <w:t>The term</w:t>
      </w:r>
      <w:r w:rsidR="002F20F5" w:rsidRPr="00D8763F">
        <w:t>s</w:t>
      </w:r>
      <w:r w:rsidRPr="00D8763F">
        <w:t xml:space="preserve"> </w:t>
      </w:r>
      <w:r w:rsidR="00AD58B0">
        <w:t>“</w:t>
      </w:r>
      <w:r w:rsidRPr="00D8763F">
        <w:t>institute</w:t>
      </w:r>
      <w:r w:rsidR="00AD58B0">
        <w:t>”</w:t>
      </w:r>
      <w:r w:rsidRPr="00D8763F">
        <w:t xml:space="preserve"> </w:t>
      </w:r>
      <w:r w:rsidR="002F20F5" w:rsidRPr="00D8763F">
        <w:t xml:space="preserve">and </w:t>
      </w:r>
      <w:r w:rsidR="00AD58B0">
        <w:t>“</w:t>
      </w:r>
      <w:r w:rsidR="002F20F5" w:rsidRPr="00D8763F">
        <w:t>vexatious proceeding</w:t>
      </w:r>
      <w:r w:rsidR="00AD58B0">
        <w:t>”</w:t>
      </w:r>
      <w:r w:rsidR="002F20F5" w:rsidRPr="00D8763F">
        <w:t xml:space="preserve"> are </w:t>
      </w:r>
      <w:r w:rsidRPr="00D8763F">
        <w:t>the subject of the inclusive definition</w:t>
      </w:r>
      <w:r w:rsidR="003C5D90">
        <w:t>s</w:t>
      </w:r>
      <w:r w:rsidRPr="00D8763F">
        <w:t xml:space="preserve"> referred to at [</w:t>
      </w:r>
      <w:r w:rsidR="00265D77">
        <w:fldChar w:fldCharType="begin"/>
      </w:r>
      <w:r w:rsidR="00265D77">
        <w:instrText xml:space="preserve"> REF _Ref31107174 \r \h </w:instrText>
      </w:r>
      <w:r w:rsidR="00265D77">
        <w:fldChar w:fldCharType="separate"/>
      </w:r>
      <w:r w:rsidR="00AD0A4F">
        <w:t>5</w:t>
      </w:r>
      <w:r w:rsidR="00265D77">
        <w:fldChar w:fldCharType="end"/>
      </w:r>
      <w:r w:rsidRPr="00D8763F">
        <w:t>] above.</w:t>
      </w:r>
      <w:r w:rsidR="006034DE" w:rsidRPr="00D8763F">
        <w:t xml:space="preserve"> </w:t>
      </w:r>
      <w:r w:rsidR="006034DE" w:rsidRPr="00D8763F">
        <w:rPr>
          <w:lang w:eastAsia="en-AU"/>
        </w:rPr>
        <w:t>The re</w:t>
      </w:r>
      <w:r w:rsidR="00D8763F">
        <w:rPr>
          <w:lang w:eastAsia="en-AU"/>
        </w:rPr>
        <w:t>-</w:t>
      </w:r>
      <w:r w:rsidR="006034DE" w:rsidRPr="00D8763F">
        <w:rPr>
          <w:lang w:eastAsia="en-AU"/>
        </w:rPr>
        <w:t>litigation of matters that have been decided previously, or seeking to institute further proceedings in relation to matters that have been raised, or should have been raised</w:t>
      </w:r>
      <w:r w:rsidR="00BA731A" w:rsidRPr="00BA731A">
        <w:rPr>
          <w:lang w:eastAsia="en-AU"/>
        </w:rPr>
        <w:t xml:space="preserve"> </w:t>
      </w:r>
      <w:r w:rsidR="00BA731A" w:rsidRPr="00D8763F">
        <w:rPr>
          <w:lang w:eastAsia="en-AU"/>
        </w:rPr>
        <w:t>more appropriately</w:t>
      </w:r>
      <w:r w:rsidR="006034DE" w:rsidRPr="00D8763F">
        <w:rPr>
          <w:lang w:eastAsia="en-AU"/>
        </w:rPr>
        <w:t xml:space="preserve"> in other proceedings, have been held to constitute vexatious proceedings within the terms of the expression. So, too, has the institution or pursuit of proceedings without reasonable grounds: </w:t>
      </w:r>
      <w:r w:rsidR="00D8763F" w:rsidRPr="00D46D99">
        <w:rPr>
          <w:i/>
          <w:lang w:eastAsia="en-AU"/>
        </w:rPr>
        <w:t xml:space="preserve">Mathews </w:t>
      </w:r>
      <w:r w:rsidR="00D8763F">
        <w:t xml:space="preserve">at [90], citing </w:t>
      </w:r>
      <w:r w:rsidR="00D8763F" w:rsidRPr="00D46D99">
        <w:rPr>
          <w:i/>
        </w:rPr>
        <w:t>Garrett v Commissioner of Taxation</w:t>
      </w:r>
      <w:r w:rsidR="00D8763F" w:rsidRPr="00D46D99">
        <w:t xml:space="preserve"> [2015] FCA 117</w:t>
      </w:r>
      <w:r w:rsidR="00BA731A">
        <w:t>; 147 ALD 342</w:t>
      </w:r>
      <w:r w:rsidR="00BA731A" w:rsidRPr="00D46D99">
        <w:t xml:space="preserve"> </w:t>
      </w:r>
      <w:r w:rsidR="006034DE" w:rsidRPr="00D46D99">
        <w:rPr>
          <w:lang w:eastAsia="en-AU"/>
        </w:rPr>
        <w:t>at [23]</w:t>
      </w:r>
      <w:r w:rsidR="006034DE" w:rsidRPr="00D46D99">
        <w:t xml:space="preserve"> </w:t>
      </w:r>
      <w:r w:rsidR="00D46D99" w:rsidRPr="00D46D99">
        <w:t>(</w:t>
      </w:r>
      <w:proofErr w:type="spellStart"/>
      <w:r w:rsidR="005B6453">
        <w:rPr>
          <w:lang w:eastAsia="en-AU"/>
        </w:rPr>
        <w:t>Pagone</w:t>
      </w:r>
      <w:proofErr w:type="spellEnd"/>
      <w:r w:rsidR="005B6453">
        <w:rPr>
          <w:lang w:eastAsia="en-AU"/>
        </w:rPr>
        <w:t> </w:t>
      </w:r>
      <w:r w:rsidR="006034DE" w:rsidRPr="00D46D99">
        <w:rPr>
          <w:lang w:eastAsia="en-AU"/>
        </w:rPr>
        <w:t>J</w:t>
      </w:r>
      <w:r w:rsidR="00D46D99" w:rsidRPr="00D46D99">
        <w:t>)</w:t>
      </w:r>
      <w:r w:rsidR="005B6453">
        <w:t>,</w:t>
      </w:r>
      <w:r w:rsidR="006034DE" w:rsidRPr="00D46D99">
        <w:rPr>
          <w:lang w:eastAsia="en-AU"/>
        </w:rPr>
        <w:t xml:space="preserve"> and </w:t>
      </w:r>
      <w:proofErr w:type="spellStart"/>
      <w:r w:rsidR="00D46D99" w:rsidRPr="005B6453">
        <w:rPr>
          <w:i/>
        </w:rPr>
        <w:t>Mulhern</w:t>
      </w:r>
      <w:proofErr w:type="spellEnd"/>
      <w:r w:rsidR="00D46D99" w:rsidRPr="005B6453">
        <w:rPr>
          <w:i/>
        </w:rPr>
        <w:t xml:space="preserve"> v Bank of Queensland Ltd (No 3)</w:t>
      </w:r>
      <w:r w:rsidR="00D46D99" w:rsidRPr="00D46D99">
        <w:t xml:space="preserve"> [2015] FCA 927 </w:t>
      </w:r>
      <w:r w:rsidR="006034DE" w:rsidRPr="00D46D99">
        <w:rPr>
          <w:lang w:eastAsia="en-AU"/>
        </w:rPr>
        <w:t xml:space="preserve">at [9] </w:t>
      </w:r>
      <w:r w:rsidR="00D46D99" w:rsidRPr="00D46D99">
        <w:t>(</w:t>
      </w:r>
      <w:r w:rsidR="005B6453">
        <w:rPr>
          <w:lang w:eastAsia="en-AU"/>
        </w:rPr>
        <w:t>Gleeson </w:t>
      </w:r>
      <w:r w:rsidR="006034DE" w:rsidRPr="00D46D99">
        <w:rPr>
          <w:lang w:eastAsia="en-AU"/>
        </w:rPr>
        <w:t>J</w:t>
      </w:r>
      <w:r w:rsidR="00D46D99" w:rsidRPr="00D46D99">
        <w:t>)</w:t>
      </w:r>
      <w:r w:rsidR="005B6453">
        <w:t>.</w:t>
      </w:r>
      <w:r w:rsidR="002578B4">
        <w:t xml:space="preserve"> </w:t>
      </w:r>
    </w:p>
    <w:p w14:paraId="2576B4AE" w14:textId="12EA1C75" w:rsidR="006034DE" w:rsidRDefault="00B40FA7" w:rsidP="00D054A7">
      <w:pPr>
        <w:pStyle w:val="ParaNumbering"/>
      </w:pPr>
      <w:r>
        <w:t>A proceeding includes a</w:t>
      </w:r>
      <w:r w:rsidR="002578B4">
        <w:t xml:space="preserve">n </w:t>
      </w:r>
      <w:r w:rsidR="00C55684">
        <w:t>incidental</w:t>
      </w:r>
      <w:r w:rsidR="002578B4">
        <w:t xml:space="preserve"> </w:t>
      </w:r>
      <w:r w:rsidR="00C55684">
        <w:t>proceeding</w:t>
      </w:r>
      <w:r>
        <w:t xml:space="preserve"> in the course of, and in connection with a proceeding, </w:t>
      </w:r>
      <w:r w:rsidR="00C55684">
        <w:t>and an appeal</w:t>
      </w:r>
      <w:r w:rsidR="00C67121">
        <w:t>:</w:t>
      </w:r>
      <w:r w:rsidR="00153CC3">
        <w:t xml:space="preserve"> </w:t>
      </w:r>
      <w:r w:rsidR="00153CC3">
        <w:rPr>
          <w:i/>
        </w:rPr>
        <w:t>Federal Court of Australia Act</w:t>
      </w:r>
      <w:r w:rsidR="00153CC3">
        <w:t>, s 4</w:t>
      </w:r>
      <w:r w:rsidR="00C67121">
        <w:t>.</w:t>
      </w:r>
      <w:r>
        <w:t xml:space="preserve"> Therefore, an interlocutory proceeding </w:t>
      </w:r>
      <w:r w:rsidR="00BF118C">
        <w:t>may</w:t>
      </w:r>
      <w:r w:rsidR="000B30FF">
        <w:t xml:space="preserve"> be a </w:t>
      </w:r>
      <w:r w:rsidR="00AD58B0">
        <w:t>“</w:t>
      </w:r>
      <w:r w:rsidR="000B30FF">
        <w:t>proceeding</w:t>
      </w:r>
      <w:r w:rsidR="00AD58B0">
        <w:t>”</w:t>
      </w:r>
      <w:r w:rsidR="00C47FE0">
        <w:t>:</w:t>
      </w:r>
      <w:r w:rsidR="000B30FF">
        <w:t xml:space="preserve"> </w:t>
      </w:r>
      <w:r w:rsidR="000B30FF">
        <w:rPr>
          <w:i/>
        </w:rPr>
        <w:t>Mathews</w:t>
      </w:r>
      <w:r w:rsidR="000B30FF">
        <w:t xml:space="preserve"> at [92].</w:t>
      </w:r>
    </w:p>
    <w:p w14:paraId="19125FCC" w14:textId="2F0C00D3" w:rsidR="00BD6A21" w:rsidRDefault="004C0DB1" w:rsidP="004C0DB1">
      <w:pPr>
        <w:pStyle w:val="Heading2"/>
      </w:pPr>
      <w:r>
        <w:t>Evidence Act 1995 (</w:t>
      </w:r>
      <w:proofErr w:type="spellStart"/>
      <w:r>
        <w:t>Cth</w:t>
      </w:r>
      <w:proofErr w:type="spellEnd"/>
      <w:r>
        <w:t>), s 91</w:t>
      </w:r>
    </w:p>
    <w:p w14:paraId="257FF228" w14:textId="1280BD90" w:rsidR="00907190" w:rsidRDefault="00E44BAB" w:rsidP="00E82945">
      <w:pPr>
        <w:pStyle w:val="ParaNumbering"/>
      </w:pPr>
      <w:r>
        <w:t>The terms of s </w:t>
      </w:r>
      <w:proofErr w:type="gramStart"/>
      <w:r>
        <w:t>37AO(</w:t>
      </w:r>
      <w:proofErr w:type="gramEnd"/>
      <w:r>
        <w:t xml:space="preserve">1)(a) of the </w:t>
      </w:r>
      <w:r w:rsidRPr="007B016E">
        <w:rPr>
          <w:i/>
        </w:rPr>
        <w:t xml:space="preserve">Federal Court of Australia Act </w:t>
      </w:r>
      <w:r>
        <w:t xml:space="preserve">direct attention to whether a person has frequently </w:t>
      </w:r>
      <w:r w:rsidR="00E854B0">
        <w:t>instituted or conducted vexatious proceedings.</w:t>
      </w:r>
      <w:r w:rsidR="004448E6">
        <w:t xml:space="preserve"> The question is whether a proceeding is in fact a </w:t>
      </w:r>
      <w:r w:rsidR="00AD58B0">
        <w:t>“</w:t>
      </w:r>
      <w:r w:rsidR="004448E6">
        <w:t>vexatious proceeding</w:t>
      </w:r>
      <w:r w:rsidR="00AD58B0">
        <w:t>”</w:t>
      </w:r>
      <w:r w:rsidR="00BD597C">
        <w:t xml:space="preserve"> </w:t>
      </w:r>
      <w:r w:rsidR="00933D27">
        <w:t>which is inclusively defined in s 37AM(1)</w:t>
      </w:r>
      <w:r w:rsidR="007B016E">
        <w:t>, and is a question for the Court to decide</w:t>
      </w:r>
      <w:r w:rsidR="00933D27">
        <w:t xml:space="preserve">: see </w:t>
      </w:r>
      <w:r w:rsidR="00933D27" w:rsidRPr="007B016E">
        <w:rPr>
          <w:i/>
        </w:rPr>
        <w:t xml:space="preserve">In re </w:t>
      </w:r>
      <w:proofErr w:type="spellStart"/>
      <w:r w:rsidR="00933D27" w:rsidRPr="007B016E">
        <w:rPr>
          <w:i/>
        </w:rPr>
        <w:t>Vernazza</w:t>
      </w:r>
      <w:proofErr w:type="spellEnd"/>
      <w:r w:rsidR="00933D27" w:rsidRPr="007B016E">
        <w:rPr>
          <w:i/>
        </w:rPr>
        <w:t xml:space="preserve"> </w:t>
      </w:r>
      <w:r w:rsidR="00933D27">
        <w:t>[1960] 1 QB 197 at 208 (</w:t>
      </w:r>
      <w:proofErr w:type="spellStart"/>
      <w:r w:rsidR="00933D27">
        <w:t>Ormerod</w:t>
      </w:r>
      <w:proofErr w:type="spellEnd"/>
      <w:r w:rsidR="00933D27">
        <w:t> LJ).</w:t>
      </w:r>
      <w:r w:rsidR="00BD597C">
        <w:t xml:space="preserve"> </w:t>
      </w:r>
      <w:r w:rsidR="00243262">
        <w:t xml:space="preserve">In evaluating whether the Court is satisfied that a person has frequently </w:t>
      </w:r>
      <w:r w:rsidR="00EA7B06">
        <w:t>instituted or conducted vexatious proceedings</w:t>
      </w:r>
      <w:r w:rsidR="00BE7B94">
        <w:t xml:space="preserve"> in Australian courts or tribunals</w:t>
      </w:r>
      <w:r w:rsidR="00EA7B06">
        <w:t>, t</w:t>
      </w:r>
      <w:r w:rsidR="0084606F">
        <w:t>he Court may have regard to o</w:t>
      </w:r>
      <w:r w:rsidR="00CA05B2">
        <w:t xml:space="preserve">rders </w:t>
      </w:r>
      <w:r w:rsidR="009B48AB">
        <w:t xml:space="preserve">of </w:t>
      </w:r>
      <w:r w:rsidR="00CA05B2">
        <w:t>courts</w:t>
      </w:r>
      <w:r w:rsidR="00BE7B94">
        <w:t xml:space="preserve"> or tribunals</w:t>
      </w:r>
      <w:r w:rsidR="00CA05B2">
        <w:t xml:space="preserve"> in other proceedings</w:t>
      </w:r>
      <w:r w:rsidR="00BE7B94">
        <w:t>,</w:t>
      </w:r>
      <w:r w:rsidR="00CA05B2">
        <w:t xml:space="preserve"> </w:t>
      </w:r>
      <w:r w:rsidR="003E1EE6">
        <w:t xml:space="preserve">and the conduct </w:t>
      </w:r>
      <w:r w:rsidR="00BF2D0A">
        <w:t>of those proceedings</w:t>
      </w:r>
      <w:r w:rsidR="00840DFE">
        <w:t xml:space="preserve">, </w:t>
      </w:r>
      <w:r w:rsidR="00EA7B06">
        <w:t xml:space="preserve">as </w:t>
      </w:r>
      <w:r w:rsidR="00840DFE">
        <w:t xml:space="preserve">s 37AO(6) expressly </w:t>
      </w:r>
      <w:r w:rsidR="00EA7B06">
        <w:t>permits</w:t>
      </w:r>
      <w:r w:rsidR="002C2224">
        <w:t xml:space="preserve">: </w:t>
      </w:r>
      <w:r w:rsidR="002C2224" w:rsidRPr="007B016E">
        <w:rPr>
          <w:i/>
        </w:rPr>
        <w:t xml:space="preserve">Mathews </w:t>
      </w:r>
      <w:r w:rsidR="002C2224">
        <w:t>at [103]</w:t>
      </w:r>
      <w:r w:rsidR="00907190">
        <w:t xml:space="preserve">; </w:t>
      </w:r>
      <w:r w:rsidR="00907190" w:rsidRPr="007B016E">
        <w:rPr>
          <w:i/>
        </w:rPr>
        <w:t xml:space="preserve">HWY </w:t>
      </w:r>
      <w:r w:rsidR="00907190">
        <w:t>at [102].</w:t>
      </w:r>
    </w:p>
    <w:p w14:paraId="0F48928C" w14:textId="2C5BC0E3" w:rsidR="00332A1A" w:rsidRDefault="00332A1A" w:rsidP="00332A1A">
      <w:pPr>
        <w:pStyle w:val="ParaNumbering"/>
      </w:pPr>
      <w:r>
        <w:t xml:space="preserve">In </w:t>
      </w:r>
      <w:r>
        <w:rPr>
          <w:i/>
        </w:rPr>
        <w:t xml:space="preserve">Attorney-General (NSW) v </w:t>
      </w:r>
      <w:r w:rsidRPr="009B3D0A">
        <w:rPr>
          <w:i/>
        </w:rPr>
        <w:t>Bar Mordecai</w:t>
      </w:r>
      <w:r>
        <w:rPr>
          <w:i/>
        </w:rPr>
        <w:t xml:space="preserve"> </w:t>
      </w:r>
      <w:r>
        <w:t>[2005] NSWSC 142</w:t>
      </w:r>
      <w:r w:rsidR="00F907F6">
        <w:t>, which concerned an application under</w:t>
      </w:r>
      <w:r w:rsidR="00D15882">
        <w:t xml:space="preserve"> s 84(1) (since repealed) of the </w:t>
      </w:r>
      <w:r w:rsidR="00D15882">
        <w:rPr>
          <w:i/>
        </w:rPr>
        <w:t xml:space="preserve">Supreme Court Act 1970 </w:t>
      </w:r>
      <w:r w:rsidR="00D15882">
        <w:t>(NSW),</w:t>
      </w:r>
      <w:r>
        <w:t xml:space="preserve"> Patten AJ </w:t>
      </w:r>
      <w:r w:rsidR="006E0056">
        <w:t>stated at [5] –</w:t>
      </w:r>
    </w:p>
    <w:p w14:paraId="21EC4F91" w14:textId="6BC249C9" w:rsidR="006E0056" w:rsidRDefault="006E0056" w:rsidP="006E0056">
      <w:pPr>
        <w:pStyle w:val="Quote1"/>
      </w:pPr>
      <w:r>
        <w:rPr>
          <w:lang w:eastAsia="en-AU"/>
        </w:rPr>
        <w:t>It seems to me that I will need to form my own view about each piece of litigation relied upon by the Attorney General. In doing so, however, I believe that I am entitled to have regard to the result of the proceedings and, where appropriate, the findings of, and views expressed, by the various judicial officers who dealt with them.</w:t>
      </w:r>
    </w:p>
    <w:p w14:paraId="416519DF" w14:textId="30327D06" w:rsidR="001A60AF" w:rsidRDefault="006E0056" w:rsidP="00BD2C11">
      <w:pPr>
        <w:pStyle w:val="ParaNumbering"/>
      </w:pPr>
      <w:r>
        <w:t xml:space="preserve">For this proposition, Patten AJ cited a decision of the Victorian Full Court in </w:t>
      </w:r>
      <w:r>
        <w:rPr>
          <w:i/>
        </w:rPr>
        <w:t xml:space="preserve">Gallo v </w:t>
      </w:r>
      <w:r w:rsidR="005C5616">
        <w:rPr>
          <w:i/>
        </w:rPr>
        <w:t xml:space="preserve">Attorney-General (Vic) </w:t>
      </w:r>
      <w:r w:rsidR="00254F7D">
        <w:t xml:space="preserve">(unreported, </w:t>
      </w:r>
      <w:r w:rsidR="00A7263F">
        <w:t>4 </w:t>
      </w:r>
      <w:r w:rsidR="00254F7D">
        <w:t xml:space="preserve">September 1984) </w:t>
      </w:r>
      <w:r w:rsidR="001A60AF">
        <w:t>in which Starke J</w:t>
      </w:r>
      <w:r w:rsidR="00443C24">
        <w:t xml:space="preserve"> (Crockett J and Beach </w:t>
      </w:r>
      <w:r w:rsidR="00B27610">
        <w:t>J agreeing)</w:t>
      </w:r>
      <w:r w:rsidR="001A60AF">
        <w:t xml:space="preserve">, referring to the reasons of the primary judge </w:t>
      </w:r>
      <w:r w:rsidR="00E6251A">
        <w:t>(</w:t>
      </w:r>
      <w:proofErr w:type="spellStart"/>
      <w:r w:rsidR="00E6251A">
        <w:t>Gray</w:t>
      </w:r>
      <w:proofErr w:type="spellEnd"/>
      <w:r w:rsidR="00E6251A">
        <w:t> J)</w:t>
      </w:r>
      <w:r w:rsidR="00F55DE2">
        <w:t>,</w:t>
      </w:r>
      <w:r w:rsidR="001A60AF">
        <w:t xml:space="preserve"> stated –</w:t>
      </w:r>
    </w:p>
    <w:p w14:paraId="10C21571" w14:textId="4421E8AE" w:rsidR="00E6251A" w:rsidRPr="00E6251A" w:rsidRDefault="00E6251A" w:rsidP="00E6251A">
      <w:pPr>
        <w:pStyle w:val="Quote1"/>
      </w:pPr>
      <w:r w:rsidRPr="00E6251A">
        <w:t>I return then to the learned judge</w:t>
      </w:r>
      <w:r w:rsidR="00AD58B0">
        <w:t>’</w:t>
      </w:r>
      <w:r w:rsidRPr="00E6251A">
        <w:t xml:space="preserve">s findings in regard to this matter. He started by saying, at page 35 of the appeal book, this: </w:t>
      </w:r>
      <w:r w:rsidR="00AD58B0">
        <w:t>“</w:t>
      </w:r>
      <w:r w:rsidRPr="00E6251A">
        <w:t xml:space="preserve">The gist of what the respondent submits is that, in each instance, the proceeding in question is a genuine proceeding brought to </w:t>
      </w:r>
      <w:r w:rsidRPr="00E6251A">
        <w:lastRenderedPageBreak/>
        <w:t>redress a genuine grievance or wrong. I was invited to make some investigation in detail of the cases, the subject matter of the application. However, I do not feel it necessary to do so on an application of this sort. It is sufficient for my purposes that in a large number of instances various judges and Masters of this Court have expressed opinions as to the vexatious character of the particular proceeding before them. It is perhaps desirable to make some detailed reference to the cases which fall into category one.</w:t>
      </w:r>
      <w:r w:rsidR="00AD58B0">
        <w:t>”</w:t>
      </w:r>
      <w:r w:rsidRPr="00E6251A">
        <w:t xml:space="preserve"> He then dealt with those.</w:t>
      </w:r>
    </w:p>
    <w:p w14:paraId="003ED2EE" w14:textId="6E00F943" w:rsidR="00E6251A" w:rsidRPr="00E6251A" w:rsidRDefault="00E6251A" w:rsidP="00E6251A">
      <w:pPr>
        <w:pStyle w:val="Quote1"/>
      </w:pPr>
      <w:r w:rsidRPr="00E6251A">
        <w:t>I might say, in parenthesis, that I agree with the learned judge that where an order has been made by a Judge or a Master dismissing an action as frivolous or vexatious, or striking a pleading out, it is not to go behind that order and, as it were, go into the merits of the argument as a court of appeal would.</w:t>
      </w:r>
    </w:p>
    <w:p w14:paraId="4B83C292" w14:textId="576D41B3" w:rsidR="00843E8E" w:rsidRDefault="00927ECF" w:rsidP="004C760A">
      <w:pPr>
        <w:pStyle w:val="ParaNumbering"/>
      </w:pPr>
      <w:bookmarkStart w:id="32" w:name="_Ref27564250"/>
      <w:r>
        <w:t xml:space="preserve">The statement of Patten AJ in </w:t>
      </w:r>
      <w:r w:rsidRPr="00B66407">
        <w:rPr>
          <w:i/>
        </w:rPr>
        <w:t>Bar Mordecai</w:t>
      </w:r>
      <w:r>
        <w:t xml:space="preserve"> </w:t>
      </w:r>
      <w:r w:rsidR="00B66407">
        <w:t>has been</w:t>
      </w:r>
      <w:r>
        <w:t xml:space="preserve"> </w:t>
      </w:r>
      <w:r w:rsidR="00B66407">
        <w:t>cited</w:t>
      </w:r>
      <w:r>
        <w:t xml:space="preserve"> a number of </w:t>
      </w:r>
      <w:r w:rsidR="00E30BBC">
        <w:t>times</w:t>
      </w:r>
      <w:r>
        <w:t xml:space="preserve">, including </w:t>
      </w:r>
      <w:r w:rsidR="00E30BBC">
        <w:t xml:space="preserve">in </w:t>
      </w:r>
      <w:r w:rsidR="00C81486" w:rsidRPr="00B66407">
        <w:rPr>
          <w:i/>
        </w:rPr>
        <w:t>Attorney-</w:t>
      </w:r>
      <w:r w:rsidR="00C560E6" w:rsidRPr="00B66407">
        <w:rPr>
          <w:i/>
        </w:rPr>
        <w:t xml:space="preserve">General </w:t>
      </w:r>
      <w:r w:rsidR="00C81486" w:rsidRPr="00B66407">
        <w:rPr>
          <w:i/>
        </w:rPr>
        <w:t>(NSW) v Croker</w:t>
      </w:r>
      <w:r w:rsidR="00C81486">
        <w:t xml:space="preserve"> [2010] NSWSC 942</w:t>
      </w:r>
      <w:r w:rsidR="00F55DE2">
        <w:t xml:space="preserve"> at [125] (Fullerton J)</w:t>
      </w:r>
      <w:r w:rsidR="00C81486">
        <w:t xml:space="preserve">, </w:t>
      </w:r>
      <w:r w:rsidRPr="00B66407">
        <w:rPr>
          <w:i/>
        </w:rPr>
        <w:t xml:space="preserve">Attorney-General (NSW) v Wilson </w:t>
      </w:r>
      <w:r w:rsidR="00C560E6">
        <w:t xml:space="preserve">[2010] NSWSC 1008 </w:t>
      </w:r>
      <w:r>
        <w:t>at [22] (Davies J)</w:t>
      </w:r>
      <w:r w:rsidR="00AB5C5C">
        <w:t xml:space="preserve"> </w:t>
      </w:r>
      <w:r w:rsidR="00DE1963">
        <w:t xml:space="preserve">and </w:t>
      </w:r>
      <w:r w:rsidR="000A3D89" w:rsidRPr="00B66407">
        <w:rPr>
          <w:i/>
        </w:rPr>
        <w:t>Teoh</w:t>
      </w:r>
      <w:r w:rsidR="004C760A" w:rsidRPr="004C760A">
        <w:t xml:space="preserve"> </w:t>
      </w:r>
      <w:r w:rsidR="004C760A" w:rsidRPr="004C760A">
        <w:rPr>
          <w:i/>
        </w:rPr>
        <w:t>v Hunters Hill Council (No 8)</w:t>
      </w:r>
      <w:r w:rsidR="000A3D89" w:rsidRPr="00B66407">
        <w:rPr>
          <w:i/>
        </w:rPr>
        <w:t xml:space="preserve"> </w:t>
      </w:r>
      <w:r w:rsidR="000A3D89">
        <w:t>at [50]</w:t>
      </w:r>
      <w:r w:rsidR="00B2309F">
        <w:t xml:space="preserve"> (Beazley P, Emmett JA and Sackville AJA)</w:t>
      </w:r>
      <w:r w:rsidR="00B66407">
        <w:t xml:space="preserve">. In </w:t>
      </w:r>
      <w:r w:rsidR="00B66407">
        <w:rPr>
          <w:i/>
        </w:rPr>
        <w:t>T</w:t>
      </w:r>
      <w:r w:rsidR="00B66407" w:rsidRPr="00B66407">
        <w:rPr>
          <w:i/>
        </w:rPr>
        <w:t xml:space="preserve">eoh, </w:t>
      </w:r>
      <w:r w:rsidR="00843E8E">
        <w:t xml:space="preserve">the </w:t>
      </w:r>
      <w:r w:rsidR="00F019B5">
        <w:t xml:space="preserve">New South Wales </w:t>
      </w:r>
      <w:r w:rsidR="00843E8E">
        <w:t xml:space="preserve">Court of Appeal stated at </w:t>
      </w:r>
      <w:r w:rsidR="00C96008">
        <w:t>[52]-</w:t>
      </w:r>
      <w:r w:rsidR="00843E8E">
        <w:t>[53] –</w:t>
      </w:r>
      <w:bookmarkEnd w:id="32"/>
    </w:p>
    <w:p w14:paraId="4A549810" w14:textId="064A3143" w:rsidR="00C96008" w:rsidRDefault="000F25FF" w:rsidP="000F25FF">
      <w:pPr>
        <w:pStyle w:val="Quote1"/>
        <w:ind w:left="1440" w:hanging="703"/>
      </w:pPr>
      <w:r>
        <w:t>52.</w:t>
      </w:r>
      <w:r>
        <w:tab/>
      </w:r>
      <w:r w:rsidR="00C96008">
        <w:t xml:space="preserve">Section 6 </w:t>
      </w:r>
      <w:r>
        <w:t xml:space="preserve">[of the </w:t>
      </w:r>
      <w:r>
        <w:rPr>
          <w:i/>
        </w:rPr>
        <w:t xml:space="preserve">Vexatious Proceedings Act 2008 </w:t>
      </w:r>
      <w:r>
        <w:t xml:space="preserve">(NSW)] </w:t>
      </w:r>
      <w:r w:rsidR="00C96008">
        <w:t>does not specify the matters that the court dealing with the application under the VP Act should take into account in determining whether particular proceedings were, for example, an abuse of the process of the court (s 6(a)) or instituted without reasonable ground (s 6(c)). There is nothing in the language of s 6 to indicate that a finding by the court in the earlier proceedings that they were an abuse of process or instituted without reasonable grounds is determinative on an application under the VP Act. Equally, there is nothing to indicate that a finding made or view expressed by the court in the earlier proceedings is to carry no weight on an application under the VP Act.</w:t>
      </w:r>
    </w:p>
    <w:p w14:paraId="3728BDF2" w14:textId="1410C6E6" w:rsidR="00843E8E" w:rsidRDefault="000F25FF" w:rsidP="000F25FF">
      <w:pPr>
        <w:pStyle w:val="Quote1"/>
        <w:ind w:left="1440" w:hanging="703"/>
      </w:pPr>
      <w:r>
        <w:t>53.</w:t>
      </w:r>
      <w:r>
        <w:tab/>
      </w:r>
      <w:r w:rsidR="00843E8E">
        <w:t xml:space="preserve">Ordinarily, the court that heard and decided the earlier proceedings will have been best placed to determine whether they were an abuse of process or instituted without reasonable grounds. It would be an odd result if such a determination simply has to be ignored by a court hearing an </w:t>
      </w:r>
      <w:r w:rsidR="00C55916">
        <w:t>application under the [Vexatious Proceedings]</w:t>
      </w:r>
      <w:r w:rsidR="00843E8E">
        <w:t xml:space="preserve"> Act. The oddity of the result is reinforced by the</w:t>
      </w:r>
      <w:r w:rsidR="00C55916">
        <w:t xml:space="preserve"> </w:t>
      </w:r>
      <w:r w:rsidR="00843E8E">
        <w:t xml:space="preserve">likelihood that an application under the </w:t>
      </w:r>
      <w:r w:rsidR="00C55916" w:rsidRPr="00C55916">
        <w:t xml:space="preserve">[Vexatious Proceedings] </w:t>
      </w:r>
      <w:r w:rsidR="00843E8E">
        <w:t>Act would be prolonged if the</w:t>
      </w:r>
      <w:r w:rsidR="00C55916">
        <w:t xml:space="preserve"> </w:t>
      </w:r>
      <w:r w:rsidR="00843E8E">
        <w:t>findings made and views expressed in the earlier proceedings could not be</w:t>
      </w:r>
      <w:r w:rsidR="00C55916">
        <w:t xml:space="preserve"> </w:t>
      </w:r>
      <w:r w:rsidR="00843E8E">
        <w:t>taken into account. Indeed there would be a real risk that the court would</w:t>
      </w:r>
      <w:r w:rsidR="00C55916">
        <w:t xml:space="preserve"> </w:t>
      </w:r>
      <w:r w:rsidR="00843E8E">
        <w:t>be burdened with re</w:t>
      </w:r>
      <w:r w:rsidR="00C55916">
        <w:t>-</w:t>
      </w:r>
      <w:r w:rsidR="00843E8E">
        <w:t>litigation of issues of the very kind that the legislation is</w:t>
      </w:r>
      <w:r w:rsidR="00C55916">
        <w:t xml:space="preserve"> </w:t>
      </w:r>
      <w:r w:rsidR="00843E8E">
        <w:t>designed to avoid</w:t>
      </w:r>
    </w:p>
    <w:p w14:paraId="43FBFDBC" w14:textId="523A5336" w:rsidR="00BA22F2" w:rsidRDefault="00C93495" w:rsidP="00492FCB">
      <w:pPr>
        <w:pStyle w:val="ParaNumbering"/>
      </w:pPr>
      <w:r>
        <w:t>However, i</w:t>
      </w:r>
      <w:r w:rsidR="00492FCB">
        <w:t xml:space="preserve">n </w:t>
      </w:r>
      <w:r w:rsidR="000E73DA">
        <w:rPr>
          <w:i/>
        </w:rPr>
        <w:t>Attorney-General</w:t>
      </w:r>
      <w:r w:rsidR="00492FCB" w:rsidRPr="00707C3A">
        <w:rPr>
          <w:i/>
        </w:rPr>
        <w:t xml:space="preserve"> (New South Wales) v </w:t>
      </w:r>
      <w:r w:rsidR="00492FCB" w:rsidRPr="009B3D0A">
        <w:rPr>
          <w:i/>
        </w:rPr>
        <w:t>Martin</w:t>
      </w:r>
      <w:r w:rsidR="00492FCB">
        <w:t xml:space="preserve"> [2015] NSWSC 1372</w:t>
      </w:r>
      <w:r w:rsidR="0001740A">
        <w:t>,</w:t>
      </w:r>
      <w:r w:rsidR="00492FCB">
        <w:t xml:space="preserve"> Simpson J observed that the above passage </w:t>
      </w:r>
      <w:r w:rsidR="009A4BAE">
        <w:t xml:space="preserve">in </w:t>
      </w:r>
      <w:r w:rsidR="009A4BAE">
        <w:rPr>
          <w:i/>
        </w:rPr>
        <w:t xml:space="preserve">Teoh </w:t>
      </w:r>
      <w:r w:rsidR="00492FCB">
        <w:t xml:space="preserve">did not take account of s 91 of the </w:t>
      </w:r>
      <w:r w:rsidR="00492FCB">
        <w:rPr>
          <w:i/>
        </w:rPr>
        <w:t>Evidence Act</w:t>
      </w:r>
      <w:r>
        <w:rPr>
          <w:i/>
        </w:rPr>
        <w:t xml:space="preserve"> 1995 </w:t>
      </w:r>
      <w:r>
        <w:t>(NSW)</w:t>
      </w:r>
      <w:r w:rsidR="00BA22F2">
        <w:rPr>
          <w:i/>
        </w:rPr>
        <w:t>,</w:t>
      </w:r>
      <w:r w:rsidR="00BA22F2">
        <w:t xml:space="preserve"> which is in the following terms –</w:t>
      </w:r>
    </w:p>
    <w:p w14:paraId="567B89AD" w14:textId="72314CCE" w:rsidR="00BA22F2" w:rsidRDefault="00BA22F2" w:rsidP="007A0AC9">
      <w:pPr>
        <w:pStyle w:val="Quote1"/>
      </w:pPr>
      <w:r>
        <w:t>Evidence of the decision, or of a finding of fact, in an Australian or overseas proceeding is not admissible to prove the existence of a fact that was in issue in that proceeding.</w:t>
      </w:r>
    </w:p>
    <w:p w14:paraId="71FD2C61" w14:textId="71626E68" w:rsidR="00D14351" w:rsidRDefault="007A0AC9" w:rsidP="00AC1D2B">
      <w:pPr>
        <w:pStyle w:val="ParaNumbering"/>
      </w:pPr>
      <w:r>
        <w:t>Simpson J</w:t>
      </w:r>
      <w:r w:rsidR="00492FCB">
        <w:t xml:space="preserve"> held at [20] that </w:t>
      </w:r>
      <w:r w:rsidR="00492FCB">
        <w:rPr>
          <w:lang w:eastAsia="en-AU"/>
        </w:rPr>
        <w:t xml:space="preserve">whether judgments in other cases can be used to support an application for a vexatious proceedings order will depend upon an analysis of the facts that </w:t>
      </w:r>
      <w:r w:rsidR="00492FCB">
        <w:rPr>
          <w:lang w:eastAsia="en-AU"/>
        </w:rPr>
        <w:lastRenderedPageBreak/>
        <w:t>were in issue in the proceedings giving rise to each judgment and the findings of fact made in the judgments.</w:t>
      </w:r>
      <w:r w:rsidR="00492FCB">
        <w:t xml:space="preserve"> </w:t>
      </w:r>
      <w:r w:rsidR="00D14351">
        <w:t xml:space="preserve">Her Honour </w:t>
      </w:r>
      <w:r w:rsidR="00D14351" w:rsidRPr="00D14351">
        <w:t xml:space="preserve">admitted into evidence </w:t>
      </w:r>
      <w:r w:rsidR="00DB347E">
        <w:t xml:space="preserve">and relied on several </w:t>
      </w:r>
      <w:r w:rsidR="00D14351" w:rsidRPr="00D14351">
        <w:t>judgments where there was no fact in issue concerning the nature of the proceedings. However, her Honour c</w:t>
      </w:r>
      <w:r w:rsidR="00C10A69">
        <w:t xml:space="preserve">oncluded that </w:t>
      </w:r>
      <w:r w:rsidR="00293532">
        <w:t xml:space="preserve">several judgments in proceedings that were struck out </w:t>
      </w:r>
      <w:r w:rsidR="00D14351" w:rsidRPr="00D14351">
        <w:t>as an abuse of process</w:t>
      </w:r>
      <w:r w:rsidR="00835680">
        <w:t>, or as failing to disclose any cause of action</w:t>
      </w:r>
      <w:r w:rsidR="00D14351" w:rsidRPr="00D14351">
        <w:t xml:space="preserve"> w</w:t>
      </w:r>
      <w:r w:rsidR="009801F0">
        <w:t>ere</w:t>
      </w:r>
      <w:r w:rsidR="00AC1D2B">
        <w:t xml:space="preserve">, </w:t>
      </w:r>
      <w:r w:rsidR="00AC1D2B" w:rsidRPr="00AC1D2B">
        <w:t xml:space="preserve">by reason of </w:t>
      </w:r>
      <w:r w:rsidR="00A7263F" w:rsidRPr="00AC1D2B">
        <w:t>s</w:t>
      </w:r>
      <w:r w:rsidR="00A7263F">
        <w:t> </w:t>
      </w:r>
      <w:r w:rsidR="00AC1D2B" w:rsidRPr="00AC1D2B">
        <w:t>91</w:t>
      </w:r>
      <w:r w:rsidR="00AC1D2B">
        <w:t>,</w:t>
      </w:r>
      <w:r w:rsidR="009801F0">
        <w:t xml:space="preserve"> inadmissible </w:t>
      </w:r>
      <w:r w:rsidR="00293532">
        <w:t>to</w:t>
      </w:r>
      <w:r w:rsidR="00835680">
        <w:t xml:space="preserve"> prove</w:t>
      </w:r>
      <w:r w:rsidR="00293532">
        <w:t xml:space="preserve"> </w:t>
      </w:r>
      <w:r w:rsidR="00835680">
        <w:t>those facts, as they were regarded as facts in issue</w:t>
      </w:r>
      <w:r w:rsidR="00D14351" w:rsidRPr="00D14351">
        <w:t>.</w:t>
      </w:r>
      <w:r w:rsidR="005F23B1">
        <w:t xml:space="preserve"> On the other hand, Simpson J held that</w:t>
      </w:r>
      <w:r w:rsidR="00605012">
        <w:t xml:space="preserve"> some</w:t>
      </w:r>
      <w:r w:rsidR="005F23B1">
        <w:t xml:space="preserve"> judgments were admissible as evidence from which inferences might be drawn concerning the conduct of litigation</w:t>
      </w:r>
      <w:r w:rsidR="00151B35">
        <w:t xml:space="preserve">, and reached her own conclusions in </w:t>
      </w:r>
      <w:r w:rsidR="00DB1D28">
        <w:t>several</w:t>
      </w:r>
      <w:r w:rsidR="00151B35">
        <w:t xml:space="preserve"> instances that </w:t>
      </w:r>
      <w:r w:rsidR="00D641B9">
        <w:t>previous</w:t>
      </w:r>
      <w:r w:rsidR="00DB1D28">
        <w:t xml:space="preserve"> </w:t>
      </w:r>
      <w:r w:rsidR="00151B35">
        <w:t>proceedings were vexatious.</w:t>
      </w:r>
      <w:r w:rsidR="005619B7">
        <w:t xml:space="preserve"> At [132]-[133] Simpson J stated –</w:t>
      </w:r>
    </w:p>
    <w:p w14:paraId="2CD1DD04" w14:textId="0295238F" w:rsidR="005619B7" w:rsidRDefault="005619B7" w:rsidP="009C378E">
      <w:pPr>
        <w:pStyle w:val="Quote1"/>
        <w:ind w:left="1440" w:hanging="703"/>
      </w:pPr>
      <w:r>
        <w:t>132</w:t>
      </w:r>
      <w:r>
        <w:tab/>
        <w:t xml:space="preserve">Section 91 </w:t>
      </w:r>
      <w:r w:rsidR="009C378E">
        <w:t xml:space="preserve">[of the </w:t>
      </w:r>
      <w:r w:rsidR="009C378E">
        <w:rPr>
          <w:i/>
        </w:rPr>
        <w:t xml:space="preserve">Evidence </w:t>
      </w:r>
      <w:r w:rsidR="009C378E" w:rsidRPr="009C378E">
        <w:rPr>
          <w:i/>
        </w:rPr>
        <w:t>Act</w:t>
      </w:r>
      <w:r w:rsidR="009C378E">
        <w:t xml:space="preserve">] </w:t>
      </w:r>
      <w:r w:rsidRPr="009C378E">
        <w:t>constitutes</w:t>
      </w:r>
      <w:r>
        <w:t xml:space="preserve"> a considerable fetter on proof of the matters necessary to be proved in order to establish that proceedings are vexatious. Given that the </w:t>
      </w:r>
      <w:r w:rsidRPr="005619B7">
        <w:rPr>
          <w:i/>
          <w:iCs/>
        </w:rPr>
        <w:t xml:space="preserve">Vexatious Proceedings Act </w:t>
      </w:r>
      <w:r>
        <w:t>has three important objectives - (</w:t>
      </w:r>
      <w:proofErr w:type="spellStart"/>
      <w:r>
        <w:t>i</w:t>
      </w:r>
      <w:proofErr w:type="spellEnd"/>
      <w:r>
        <w:t xml:space="preserve">) to protect potential defendants against unwarranted litigation; (ii) to protect courts against abuse of their processes; and (iii) to ensure that valuable court time is available for litigation and resolution of genuine disputes, applications thereunder should not be impeded by fetters on the admissible evidence. In its application to the </w:t>
      </w:r>
      <w:r w:rsidRPr="005619B7">
        <w:rPr>
          <w:i/>
          <w:iCs/>
        </w:rPr>
        <w:t>Vexatious Proceedings Act</w:t>
      </w:r>
      <w:r>
        <w:t>, s 91 is antithetical to those objects.</w:t>
      </w:r>
    </w:p>
    <w:p w14:paraId="6FD7539E" w14:textId="0065ECF6" w:rsidR="005619B7" w:rsidRDefault="005619B7" w:rsidP="009C378E">
      <w:pPr>
        <w:pStyle w:val="Quote1"/>
        <w:ind w:left="1440" w:hanging="703"/>
      </w:pPr>
      <w:r>
        <w:t>133</w:t>
      </w:r>
      <w:r>
        <w:tab/>
        <w:t xml:space="preserve">This is, in my opinion, a clear case for legislative reform. A simple amendment to the </w:t>
      </w:r>
      <w:r w:rsidRPr="005619B7">
        <w:rPr>
          <w:i/>
          <w:iCs/>
        </w:rPr>
        <w:t xml:space="preserve">Vexatious Proceedings Act </w:t>
      </w:r>
      <w:r>
        <w:t>could exclude the operation of s 91 for the purposes of proof of the matters necessary to the making of orders.</w:t>
      </w:r>
    </w:p>
    <w:p w14:paraId="0C81E519" w14:textId="71F6A84D" w:rsidR="00E54E54" w:rsidRDefault="007F7606" w:rsidP="00E54E54">
      <w:pPr>
        <w:pStyle w:val="ParaNumbering"/>
      </w:pPr>
      <w:r>
        <w:t>I</w:t>
      </w:r>
      <w:r w:rsidR="00E54E54">
        <w:t xml:space="preserve">n </w:t>
      </w:r>
      <w:r w:rsidR="000E73DA">
        <w:rPr>
          <w:i/>
        </w:rPr>
        <w:t>Attorney-General</w:t>
      </w:r>
      <w:r w:rsidR="00E54E54" w:rsidRPr="00E54E54">
        <w:rPr>
          <w:i/>
        </w:rPr>
        <w:t xml:space="preserve"> (New South Wales) v </w:t>
      </w:r>
      <w:proofErr w:type="spellStart"/>
      <w:r w:rsidR="00E54E54" w:rsidRPr="009B3D0A">
        <w:rPr>
          <w:i/>
        </w:rPr>
        <w:t>Mohareb</w:t>
      </w:r>
      <w:proofErr w:type="spellEnd"/>
      <w:r w:rsidR="00E54E54" w:rsidRPr="00E54E54">
        <w:t xml:space="preserve"> </w:t>
      </w:r>
      <w:r w:rsidR="00E54E54">
        <w:t>[2016] NSWSC 1823</w:t>
      </w:r>
      <w:r w:rsidR="00C20B5C">
        <w:t xml:space="preserve"> at [25]</w:t>
      </w:r>
      <w:r w:rsidR="0036434A">
        <w:t>,</w:t>
      </w:r>
      <w:r w:rsidR="00E54E54">
        <w:t xml:space="preserve"> Schmidt J </w:t>
      </w:r>
      <w:r w:rsidR="00132490">
        <w:t xml:space="preserve">disagreed with the </w:t>
      </w:r>
      <w:r w:rsidR="006B6537">
        <w:t xml:space="preserve">approach to the construction </w:t>
      </w:r>
      <w:r w:rsidR="00132490">
        <w:t xml:space="preserve">of s 91 adopted by Simpson J in </w:t>
      </w:r>
      <w:r w:rsidR="00132490">
        <w:rPr>
          <w:i/>
        </w:rPr>
        <w:t>Martin</w:t>
      </w:r>
      <w:r w:rsidR="00E54E54" w:rsidRPr="00E54E54">
        <w:t>.</w:t>
      </w:r>
      <w:r w:rsidR="00132490">
        <w:t xml:space="preserve"> </w:t>
      </w:r>
      <w:r w:rsidR="002B454E">
        <w:t xml:space="preserve">Her Honour stated at </w:t>
      </w:r>
      <w:r w:rsidR="003A4433">
        <w:t>[26</w:t>
      </w:r>
      <w:r w:rsidR="0060547B">
        <w:t>]</w:t>
      </w:r>
      <w:r w:rsidR="003A4433">
        <w:t>-</w:t>
      </w:r>
      <w:r w:rsidR="00B73D50">
        <w:t>[32]</w:t>
      </w:r>
      <w:r w:rsidR="0060547B">
        <w:t> –</w:t>
      </w:r>
    </w:p>
    <w:p w14:paraId="439A603F" w14:textId="10437DD6" w:rsidR="003A4433" w:rsidRDefault="00C12616" w:rsidP="00C12616">
      <w:pPr>
        <w:pStyle w:val="Quote1"/>
        <w:ind w:left="1440" w:hanging="703"/>
      </w:pPr>
      <w:r>
        <w:t>26</w:t>
      </w:r>
      <w:r>
        <w:tab/>
      </w:r>
      <w:r w:rsidR="003A4433">
        <w:t xml:space="preserve">The term </w:t>
      </w:r>
      <w:r w:rsidR="00AD58B0">
        <w:t>“</w:t>
      </w:r>
      <w:r w:rsidR="003A4433">
        <w:t>finding of fact</w:t>
      </w:r>
      <w:r w:rsidR="00AD58B0">
        <w:t>”</w:t>
      </w:r>
      <w:r w:rsidR="003A4433">
        <w:t xml:space="preserve"> is not defined in the </w:t>
      </w:r>
      <w:r w:rsidR="003A4433" w:rsidRPr="008C4758">
        <w:rPr>
          <w:i/>
        </w:rPr>
        <w:t>Evidence Act</w:t>
      </w:r>
      <w:r w:rsidR="003A4433">
        <w:t>. While issues which arise for resolution in particular proceedings will very frequently depend on findings of fact made on the evidence, not every finding made, or conclusion reached on matters in issue involves a finding of fact. In some cases they involve the resolution of questions of law and often, the resolution of questions of mixed fact and law.</w:t>
      </w:r>
    </w:p>
    <w:p w14:paraId="3F23480A" w14:textId="032AEFD4" w:rsidR="003A4433" w:rsidRDefault="00C12616" w:rsidP="00C12616">
      <w:pPr>
        <w:pStyle w:val="Quote1"/>
        <w:ind w:left="1440" w:hanging="703"/>
      </w:pPr>
      <w:r>
        <w:t>27</w:t>
      </w:r>
      <w:r>
        <w:tab/>
      </w:r>
      <w:r w:rsidR="003A4433">
        <w:t xml:space="preserve">As discussed in </w:t>
      </w:r>
      <w:r w:rsidR="003A4433" w:rsidRPr="008C4758">
        <w:rPr>
          <w:i/>
        </w:rPr>
        <w:t xml:space="preserve">Collector of Customs v Agfa </w:t>
      </w:r>
      <w:proofErr w:type="spellStart"/>
      <w:r w:rsidR="003A4433" w:rsidRPr="008C4758">
        <w:rPr>
          <w:i/>
        </w:rPr>
        <w:t>Gevaert</w:t>
      </w:r>
      <w:proofErr w:type="spellEnd"/>
      <w:r w:rsidR="003A4433" w:rsidRPr="008C4758">
        <w:rPr>
          <w:i/>
        </w:rPr>
        <w:t xml:space="preserve"> Ltd</w:t>
      </w:r>
      <w:r w:rsidR="003A4433">
        <w:t xml:space="preserve"> (1996) 186 CLR 389;</w:t>
      </w:r>
      <w:r w:rsidR="00F1668F">
        <w:t xml:space="preserve"> </w:t>
      </w:r>
      <w:r w:rsidR="003A4433">
        <w:t xml:space="preserve">[1996] HCA 36 at 395 whether </w:t>
      </w:r>
      <w:r w:rsidR="00AD58B0">
        <w:t>“</w:t>
      </w:r>
      <w:r w:rsidR="003A4433">
        <w:t>facts fully found fall within the provision of a</w:t>
      </w:r>
      <w:r w:rsidR="00F1668F">
        <w:t xml:space="preserve"> </w:t>
      </w:r>
      <w:r w:rsidR="003A4433">
        <w:t>statutory enactment properly construed is generally a question of law</w:t>
      </w:r>
      <w:r w:rsidR="00AD58B0">
        <w:t>”</w:t>
      </w:r>
      <w:r w:rsidR="003A4433">
        <w:t>. So, too,</w:t>
      </w:r>
      <w:r w:rsidR="00F1668F">
        <w:t xml:space="preserve"> </w:t>
      </w:r>
      <w:r w:rsidR="003A4433">
        <w:t>I consider, are questions which arise under Rule 13.4 of the UCPR, as to</w:t>
      </w:r>
      <w:r w:rsidR="00F1668F">
        <w:t xml:space="preserve"> </w:t>
      </w:r>
      <w:r w:rsidR="003A4433">
        <w:t>whether particular proceedings either generally, or in relation to any particular</w:t>
      </w:r>
      <w:r w:rsidR="00F1668F">
        <w:t xml:space="preserve"> </w:t>
      </w:r>
      <w:r w:rsidR="003A4433">
        <w:t xml:space="preserve">claim, are </w:t>
      </w:r>
      <w:r w:rsidR="00AD58B0">
        <w:t>“</w:t>
      </w:r>
      <w:r w:rsidR="003A4433">
        <w:t>frivolous or vexatious</w:t>
      </w:r>
      <w:r w:rsidR="00AD58B0">
        <w:t>”</w:t>
      </w:r>
      <w:r w:rsidR="003A4433">
        <w:t xml:space="preserve">, or disclose </w:t>
      </w:r>
      <w:r w:rsidR="00AD58B0">
        <w:t>“</w:t>
      </w:r>
      <w:r w:rsidR="003A4433">
        <w:t>no reasonable cause of action</w:t>
      </w:r>
      <w:r w:rsidR="00AD58B0">
        <w:t>”</w:t>
      </w:r>
      <w:r w:rsidR="003A4433">
        <w:t>,</w:t>
      </w:r>
      <w:r w:rsidR="00F1668F">
        <w:t xml:space="preserve"> </w:t>
      </w:r>
      <w:r w:rsidR="003A4433">
        <w:t xml:space="preserve">or involve </w:t>
      </w:r>
      <w:r w:rsidR="00AD58B0">
        <w:t>“</w:t>
      </w:r>
      <w:r w:rsidR="003A4433">
        <w:t>an abuse of the process of the court</w:t>
      </w:r>
      <w:r w:rsidR="00AD58B0">
        <w:t>”</w:t>
      </w:r>
      <w:r w:rsidR="003A4433">
        <w:t>. If not questions of law they</w:t>
      </w:r>
      <w:r w:rsidR="00F1668F">
        <w:t xml:space="preserve"> </w:t>
      </w:r>
      <w:r w:rsidR="003A4433">
        <w:t>are at least mixed questions of law and fact.</w:t>
      </w:r>
    </w:p>
    <w:p w14:paraId="03121E79" w14:textId="7155D83A" w:rsidR="00C12616" w:rsidRDefault="00C12616" w:rsidP="00C12616">
      <w:pPr>
        <w:pStyle w:val="Quote1"/>
        <w:ind w:left="1440" w:hanging="703"/>
      </w:pPr>
      <w:r>
        <w:t>28</w:t>
      </w:r>
      <w:r>
        <w:tab/>
      </w:r>
      <w:r w:rsidR="00F1668F">
        <w:t xml:space="preserve">The judgment which her Honour refused to admit was one where in issue was the question of whether proceedings brought in the Land and Environment Court were vexatious and frivolous, had no reasonable cause of action and were an abuse of process. The conclusion which the Commissioner came to, rested on facts found, but the decision was not sought to be tendered in the </w:t>
      </w:r>
      <w:r w:rsidR="00F1668F">
        <w:lastRenderedPageBreak/>
        <w:t>vexatious proceedings in order to prove the existence of facts that were in issue in the Land and Environment Court proceedings</w:t>
      </w:r>
      <w:r>
        <w:t>.</w:t>
      </w:r>
    </w:p>
    <w:p w14:paraId="0E94B39B" w14:textId="796E5C87" w:rsidR="00F1668F" w:rsidRDefault="00C12616" w:rsidP="00C12616">
      <w:pPr>
        <w:pStyle w:val="Quote1"/>
        <w:ind w:left="1440" w:hanging="703"/>
      </w:pPr>
      <w:r>
        <w:t>29</w:t>
      </w:r>
      <w:r>
        <w:tab/>
      </w:r>
      <w:r w:rsidR="00F1668F">
        <w:t>Rather, the decision was tendered to prove that Mr Martin was a party to the</w:t>
      </w:r>
      <w:r>
        <w:t xml:space="preserve"> </w:t>
      </w:r>
      <w:r w:rsidR="00F1668F">
        <w:t>proceedings; that they had been dismissed; that this had been the result of the</w:t>
      </w:r>
      <w:r>
        <w:t xml:space="preserve"> </w:t>
      </w:r>
      <w:r w:rsidR="00F1668F">
        <w:t>conclusions reached by the Commissioner, that the proceedings would be</w:t>
      </w:r>
      <w:r>
        <w:t xml:space="preserve"> </w:t>
      </w:r>
      <w:r w:rsidR="00F1668F">
        <w:t>vexatious and frivolous if they were to proceed further; that there was no</w:t>
      </w:r>
      <w:r>
        <w:t xml:space="preserve"> </w:t>
      </w:r>
      <w:r w:rsidR="00F1668F">
        <w:t>reasonable cause of action; and that they involved an abuse of process</w:t>
      </w:r>
      <w:r>
        <w:t>.</w:t>
      </w:r>
    </w:p>
    <w:p w14:paraId="2B960371" w14:textId="1DC0C6A2" w:rsidR="0028259E" w:rsidRDefault="00C12616" w:rsidP="00023AE5">
      <w:pPr>
        <w:pStyle w:val="Quote1"/>
        <w:ind w:left="1440" w:hanging="703"/>
        <w:rPr>
          <w:sz w:val="24"/>
          <w:szCs w:val="24"/>
        </w:rPr>
      </w:pPr>
      <w:r>
        <w:t>30</w:t>
      </w:r>
      <w:r>
        <w:tab/>
      </w:r>
      <w:r w:rsidR="0060547B">
        <w:t xml:space="preserve">As found in </w:t>
      </w:r>
      <w:r w:rsidR="0060547B" w:rsidRPr="00B73D50">
        <w:rPr>
          <w:i/>
        </w:rPr>
        <w:t>Teoh</w:t>
      </w:r>
      <w:r w:rsidR="0060547B">
        <w:t xml:space="preserve">, decisions of that kind are admissible in proceedings brought under the </w:t>
      </w:r>
      <w:r w:rsidR="0060547B" w:rsidRPr="00B73D50">
        <w:rPr>
          <w:i/>
        </w:rPr>
        <w:t>Vexatious Proceedings Act</w:t>
      </w:r>
      <w:r w:rsidR="0060547B">
        <w:t xml:space="preserve">. Views expressed in such decisions are not binding, but they are relevant to what arises to be decided in proceedings under that Act, not because they are tendered in order to prove the existence of a fact that was in issue in the earlier proceedings, but rather, to establish the fact that the earlier proceedings existed, that the defendant was a party to them, how they were resolved and in some cases, the views the presiding judge expressed </w:t>
      </w:r>
      <w:r w:rsidR="0060547B" w:rsidRPr="00C20B5C">
        <w:rPr>
          <w:szCs w:val="22"/>
        </w:rPr>
        <w:t>on matters which also fall within the definiti</w:t>
      </w:r>
      <w:r w:rsidR="00023AE5" w:rsidRPr="00C20B5C">
        <w:rPr>
          <w:szCs w:val="22"/>
        </w:rPr>
        <w:t xml:space="preserve">on of </w:t>
      </w:r>
      <w:r w:rsidR="00AD58B0" w:rsidRPr="00C20B5C">
        <w:rPr>
          <w:szCs w:val="22"/>
        </w:rPr>
        <w:t>“</w:t>
      </w:r>
      <w:r w:rsidR="00023AE5" w:rsidRPr="00C20B5C">
        <w:rPr>
          <w:szCs w:val="22"/>
        </w:rPr>
        <w:t>vexatious proceedings</w:t>
      </w:r>
      <w:r w:rsidR="00AD58B0" w:rsidRPr="00C20B5C">
        <w:rPr>
          <w:szCs w:val="22"/>
        </w:rPr>
        <w:t>”</w:t>
      </w:r>
      <w:r w:rsidR="00023AE5" w:rsidRPr="00C20B5C">
        <w:rPr>
          <w:szCs w:val="22"/>
        </w:rPr>
        <w:t xml:space="preserve">. </w:t>
      </w:r>
      <w:r w:rsidR="0028259E" w:rsidRPr="00247576">
        <w:rPr>
          <w:szCs w:val="22"/>
        </w:rPr>
        <w:t xml:space="preserve">That term is defined in s 6 of the </w:t>
      </w:r>
      <w:r w:rsidR="0028259E" w:rsidRPr="00247576">
        <w:rPr>
          <w:i/>
          <w:iCs/>
          <w:szCs w:val="22"/>
        </w:rPr>
        <w:t xml:space="preserve">Vexatious Proceedings Act </w:t>
      </w:r>
      <w:r w:rsidR="0028259E" w:rsidRPr="00247576">
        <w:rPr>
          <w:szCs w:val="22"/>
        </w:rPr>
        <w:t>to</w:t>
      </w:r>
      <w:r w:rsidR="0028259E" w:rsidRPr="00C20B5C">
        <w:rPr>
          <w:szCs w:val="22"/>
        </w:rPr>
        <w:t xml:space="preserve"> </w:t>
      </w:r>
      <w:r w:rsidR="0028259E" w:rsidRPr="00247576">
        <w:rPr>
          <w:szCs w:val="22"/>
        </w:rPr>
        <w:t>include:</w:t>
      </w:r>
    </w:p>
    <w:p w14:paraId="350ED6AD" w14:textId="5E41A3C5" w:rsidR="0028259E" w:rsidRDefault="00AD58B0" w:rsidP="00023AE5">
      <w:pPr>
        <w:pStyle w:val="Quote3"/>
        <w:ind w:left="2880" w:hanging="720"/>
      </w:pPr>
      <w:r>
        <w:t>“</w:t>
      </w:r>
      <w:r w:rsidR="00023AE5">
        <w:t>(a)</w:t>
      </w:r>
      <w:r w:rsidR="00023AE5">
        <w:tab/>
      </w:r>
      <w:r w:rsidR="0028259E">
        <w:t>proceedings that are an abuse of the process of a court or tribunal, and</w:t>
      </w:r>
    </w:p>
    <w:p w14:paraId="154E6F69" w14:textId="09DDE592" w:rsidR="0028259E" w:rsidRDefault="00023AE5" w:rsidP="00023AE5">
      <w:pPr>
        <w:pStyle w:val="Quote3"/>
        <w:ind w:left="2880" w:hanging="720"/>
      </w:pPr>
      <w:r>
        <w:t>(b)</w:t>
      </w:r>
      <w:r>
        <w:tab/>
      </w:r>
      <w:proofErr w:type="gramStart"/>
      <w:r w:rsidR="0028259E">
        <w:t>proceedings</w:t>
      </w:r>
      <w:proofErr w:type="gramEnd"/>
      <w:r w:rsidR="0028259E">
        <w:t xml:space="preserve"> instituted to harass or annoy, to cause delay or detriment, or for another </w:t>
      </w:r>
      <w:r>
        <w:t>w</w:t>
      </w:r>
      <w:r w:rsidR="0028259E">
        <w:t>rongful purpose, and</w:t>
      </w:r>
    </w:p>
    <w:p w14:paraId="7D14CA56" w14:textId="5E8CD0D7" w:rsidR="0028259E" w:rsidRDefault="00023AE5" w:rsidP="00023AE5">
      <w:pPr>
        <w:pStyle w:val="Quote3"/>
        <w:ind w:left="2880" w:hanging="720"/>
      </w:pPr>
      <w:r>
        <w:t>(c)</w:t>
      </w:r>
      <w:r>
        <w:tab/>
      </w:r>
      <w:proofErr w:type="gramStart"/>
      <w:r w:rsidR="0028259E">
        <w:t>proceedings</w:t>
      </w:r>
      <w:proofErr w:type="gramEnd"/>
      <w:r w:rsidR="0028259E">
        <w:t xml:space="preserve"> instituted or pursued without reasonable ground, and</w:t>
      </w:r>
    </w:p>
    <w:p w14:paraId="569F8A3A" w14:textId="5B5D78B4" w:rsidR="00023AE5" w:rsidRDefault="00023AE5" w:rsidP="007A5594">
      <w:pPr>
        <w:pStyle w:val="Quote3"/>
        <w:ind w:left="2880" w:hanging="720"/>
      </w:pPr>
      <w:r>
        <w:t>(d)</w:t>
      </w:r>
      <w:r>
        <w:tab/>
      </w:r>
      <w:proofErr w:type="gramStart"/>
      <w:r>
        <w:t>proceedings</w:t>
      </w:r>
      <w:proofErr w:type="gramEnd"/>
      <w:r>
        <w:t xml:space="preserve"> conducted in a way so as to harass or annoy, cause delay</w:t>
      </w:r>
      <w:r w:rsidR="007A5594">
        <w:t xml:space="preserve"> </w:t>
      </w:r>
      <w:r>
        <w:t>or detriment, or achieve another wrongful purpose.</w:t>
      </w:r>
      <w:r w:rsidR="00AD58B0">
        <w:t>”</w:t>
      </w:r>
    </w:p>
    <w:p w14:paraId="3D88697F" w14:textId="746600E9" w:rsidR="0060547B" w:rsidRDefault="001A1796" w:rsidP="001A1796">
      <w:pPr>
        <w:pStyle w:val="Quote1"/>
        <w:ind w:left="1440" w:hanging="703"/>
      </w:pPr>
      <w:r>
        <w:t>31</w:t>
      </w:r>
      <w:r>
        <w:tab/>
        <w:t xml:space="preserve">All of those matters also involve questions of law. They must certainly be decided on facts found, but conclusions reached in the earlier proceedings on those questions are not themselves </w:t>
      </w:r>
      <w:r w:rsidR="00AD58B0">
        <w:t>“</w:t>
      </w:r>
      <w:r>
        <w:t>findings of fact</w:t>
      </w:r>
      <w:r w:rsidR="00AD58B0">
        <w:t>”</w:t>
      </w:r>
      <w:r>
        <w:t xml:space="preserve">. Nowadays, given obligations such as those imposed by s 56 of the </w:t>
      </w:r>
      <w:r w:rsidRPr="00E50E46">
        <w:rPr>
          <w:i/>
        </w:rPr>
        <w:t>Civil Procedure Act 2005</w:t>
      </w:r>
      <w:r>
        <w:t xml:space="preserve"> (NSW), conclusions that particular proceedings, or an aspect of them, involve an abuse of process; were instituted or conducted in a way so as to harass or annoy, to cause delay or detriment, or for another wrongful purpose; or were instituted or pursued without reasonable ground, are not infrequently reached in judgments given both at interlocutory and final stages of the proceedings.</w:t>
      </w:r>
    </w:p>
    <w:p w14:paraId="601FDCA0" w14:textId="0EB972DE" w:rsidR="0060547B" w:rsidRDefault="003602A6" w:rsidP="003602A6">
      <w:pPr>
        <w:pStyle w:val="Quote1"/>
        <w:ind w:left="1440" w:hanging="703"/>
      </w:pPr>
      <w:r>
        <w:t>32</w:t>
      </w:r>
      <w:r>
        <w:tab/>
      </w:r>
      <w:r w:rsidR="0060547B">
        <w:t xml:space="preserve">That does not render such judgments inadmissible under s 91 of the </w:t>
      </w:r>
      <w:r w:rsidR="0060547B" w:rsidRPr="00B73D50">
        <w:rPr>
          <w:i/>
        </w:rPr>
        <w:t>Evidence</w:t>
      </w:r>
      <w:r w:rsidR="00C20B5C">
        <w:rPr>
          <w:i/>
        </w:rPr>
        <w:t> </w:t>
      </w:r>
      <w:r w:rsidR="0060547B" w:rsidRPr="00B73D50">
        <w:rPr>
          <w:i/>
        </w:rPr>
        <w:t>Act</w:t>
      </w:r>
      <w:r w:rsidR="0060547B">
        <w:t xml:space="preserve">, in later proceedings, including those brought under the </w:t>
      </w:r>
      <w:r w:rsidR="0060547B" w:rsidRPr="00B75057">
        <w:rPr>
          <w:i/>
        </w:rPr>
        <w:t>Vexatious</w:t>
      </w:r>
      <w:r w:rsidR="00B73D50" w:rsidRPr="00B75057">
        <w:rPr>
          <w:i/>
        </w:rPr>
        <w:t xml:space="preserve"> </w:t>
      </w:r>
      <w:r w:rsidR="0060547B" w:rsidRPr="00B75057">
        <w:rPr>
          <w:i/>
        </w:rPr>
        <w:t>Proceedings Act</w:t>
      </w:r>
      <w:r w:rsidR="0060547B">
        <w:t>, unless the judgment is sought to be tendered to prove the</w:t>
      </w:r>
      <w:r w:rsidR="00B73D50">
        <w:t xml:space="preserve"> </w:t>
      </w:r>
      <w:r w:rsidR="0060547B">
        <w:t>existence of a fact that was in issue in the earlier proceeding. If</w:t>
      </w:r>
      <w:r w:rsidR="00C20B5C">
        <w:t> </w:t>
      </w:r>
      <w:r w:rsidR="0060547B">
        <w:t>tendered to</w:t>
      </w:r>
      <w:r w:rsidR="00B73D50">
        <w:t xml:space="preserve"> </w:t>
      </w:r>
      <w:r w:rsidR="0060547B">
        <w:t>establish the existence of the proceedings, who the parties were and how a</w:t>
      </w:r>
      <w:r w:rsidR="00B73D50">
        <w:t xml:space="preserve"> </w:t>
      </w:r>
      <w:r w:rsidR="0060547B">
        <w:t>question of law, or a question of mixed fact and law, was resolved in those</w:t>
      </w:r>
      <w:r w:rsidR="00B73D50">
        <w:t xml:space="preserve"> </w:t>
      </w:r>
      <w:r w:rsidR="0060547B">
        <w:t>proceedings, s 91 does not render the judgment inadmissible.</w:t>
      </w:r>
    </w:p>
    <w:p w14:paraId="4084C726" w14:textId="763B8E17" w:rsidR="00B75057" w:rsidRDefault="00584FBB" w:rsidP="00247576">
      <w:pPr>
        <w:pStyle w:val="ParaNumbering"/>
        <w:keepNext/>
      </w:pPr>
      <w:r>
        <w:t>Any</w:t>
      </w:r>
      <w:r w:rsidR="00B75057">
        <w:t xml:space="preserve"> division of opinion between Simpson J in </w:t>
      </w:r>
      <w:r w:rsidR="00B75057">
        <w:rPr>
          <w:i/>
        </w:rPr>
        <w:t>Martin</w:t>
      </w:r>
      <w:r w:rsidR="00F06BA5">
        <w:t xml:space="preserve">, and Schmidt J in </w:t>
      </w:r>
      <w:proofErr w:type="spellStart"/>
      <w:r w:rsidR="00F06BA5" w:rsidRPr="00F06BA5">
        <w:rPr>
          <w:i/>
        </w:rPr>
        <w:t>Mohareb</w:t>
      </w:r>
      <w:proofErr w:type="spellEnd"/>
      <w:r w:rsidR="00F06BA5">
        <w:t xml:space="preserve"> is no longer an issue in New South Wales, because</w:t>
      </w:r>
      <w:r w:rsidR="006B2FAB">
        <w:t xml:space="preserve"> as Simpson J had suggested in </w:t>
      </w:r>
      <w:r w:rsidR="006B2FAB">
        <w:rPr>
          <w:i/>
        </w:rPr>
        <w:t xml:space="preserve">Martin </w:t>
      </w:r>
      <w:r w:rsidR="006B2FAB">
        <w:t>at [133],</w:t>
      </w:r>
      <w:r w:rsidR="00F06BA5">
        <w:t xml:space="preserve"> s 8(2) of the </w:t>
      </w:r>
      <w:r w:rsidR="00F06BA5">
        <w:rPr>
          <w:i/>
        </w:rPr>
        <w:t>Vexatious Proceedings Act</w:t>
      </w:r>
      <w:r w:rsidR="00E00684">
        <w:rPr>
          <w:i/>
        </w:rPr>
        <w:t xml:space="preserve"> 2008</w:t>
      </w:r>
      <w:r w:rsidR="00F06BA5">
        <w:rPr>
          <w:i/>
        </w:rPr>
        <w:t xml:space="preserve"> </w:t>
      </w:r>
      <w:r w:rsidR="00104F7B">
        <w:t xml:space="preserve">(NSW) </w:t>
      </w:r>
      <w:r w:rsidR="00F06BA5">
        <w:t xml:space="preserve">was </w:t>
      </w:r>
      <w:r w:rsidR="00605012">
        <w:t>amended</w:t>
      </w:r>
      <w:r w:rsidR="00F06BA5">
        <w:t xml:space="preserve"> with effect from </w:t>
      </w:r>
      <w:r w:rsidR="00F06BA5">
        <w:lastRenderedPageBreak/>
        <w:t>20</w:t>
      </w:r>
      <w:r w:rsidR="00CD6B60">
        <w:t> </w:t>
      </w:r>
      <w:r w:rsidR="00F06BA5">
        <w:t>February</w:t>
      </w:r>
      <w:r w:rsidR="00CD6B60">
        <w:t> </w:t>
      </w:r>
      <w:r w:rsidR="00F06BA5">
        <w:t>2018</w:t>
      </w:r>
      <w:r w:rsidR="00605012">
        <w:t xml:space="preserve"> by the addition of paragraph (c)</w:t>
      </w:r>
      <w:r w:rsidR="00270BC7">
        <w:t>,</w:t>
      </w:r>
      <w:r w:rsidR="001F294B">
        <w:t xml:space="preserve"> so </w:t>
      </w:r>
      <w:r w:rsidR="008E17FB">
        <w:t>that s 8(2)</w:t>
      </w:r>
      <w:r w:rsidR="00270BC7">
        <w:t xml:space="preserve"> of the New South Wales Act</w:t>
      </w:r>
      <w:r w:rsidR="008E17FB">
        <w:t xml:space="preserve"> now</w:t>
      </w:r>
      <w:r w:rsidR="001F294B">
        <w:t xml:space="preserve"> provide</w:t>
      </w:r>
      <w:r w:rsidR="008E17FB">
        <w:t>s</w:t>
      </w:r>
      <w:r w:rsidR="001F294B">
        <w:t> –</w:t>
      </w:r>
    </w:p>
    <w:p w14:paraId="0CFFFEF3" w14:textId="77777777" w:rsidR="008E17FB" w:rsidRPr="008E17FB" w:rsidRDefault="008E17FB" w:rsidP="00247576">
      <w:pPr>
        <w:pStyle w:val="Quote1"/>
        <w:keepNext/>
        <w:rPr>
          <w:lang w:val="en" w:eastAsia="en-AU"/>
        </w:rPr>
      </w:pPr>
      <w:r w:rsidRPr="008E17FB">
        <w:rPr>
          <w:lang w:val="en" w:eastAsia="en-AU"/>
        </w:rPr>
        <w:t xml:space="preserve">For the purposes of subsection (1), an </w:t>
      </w:r>
      <w:proofErr w:type="spellStart"/>
      <w:r w:rsidRPr="008E17FB">
        <w:rPr>
          <w:lang w:val="en" w:eastAsia="en-AU"/>
        </w:rPr>
        <w:t>authorised</w:t>
      </w:r>
      <w:proofErr w:type="spellEnd"/>
      <w:r w:rsidRPr="008E17FB">
        <w:rPr>
          <w:lang w:val="en" w:eastAsia="en-AU"/>
        </w:rPr>
        <w:t xml:space="preserve"> court may have regard to:</w:t>
      </w:r>
    </w:p>
    <w:p w14:paraId="53E46866" w14:textId="34E5ECA7" w:rsidR="008E17FB" w:rsidRPr="008E17FB" w:rsidRDefault="008E17FB" w:rsidP="008E17FB">
      <w:pPr>
        <w:pStyle w:val="Quote1"/>
        <w:ind w:left="1440" w:hanging="703"/>
        <w:rPr>
          <w:lang w:val="en" w:eastAsia="en-AU"/>
        </w:rPr>
      </w:pPr>
      <w:r w:rsidRPr="008E17FB">
        <w:rPr>
          <w:lang w:val="en" w:eastAsia="en-AU"/>
        </w:rPr>
        <w:t>(a)</w:t>
      </w:r>
      <w:r>
        <w:rPr>
          <w:lang w:val="en" w:eastAsia="en-AU"/>
        </w:rPr>
        <w:t> </w:t>
      </w:r>
      <w:r>
        <w:rPr>
          <w:lang w:val="en" w:eastAsia="en-AU"/>
        </w:rPr>
        <w:tab/>
      </w:r>
      <w:proofErr w:type="gramStart"/>
      <w:r w:rsidRPr="008E17FB">
        <w:rPr>
          <w:lang w:val="en" w:eastAsia="en-AU"/>
        </w:rPr>
        <w:t>proceedings</w:t>
      </w:r>
      <w:proofErr w:type="gramEnd"/>
      <w:r w:rsidRPr="008E17FB">
        <w:rPr>
          <w:lang w:val="en" w:eastAsia="en-AU"/>
        </w:rPr>
        <w:t xml:space="preserve"> instituted or conducted in any Australian court or tribunal (including proceedings instituted or conducted before the commencement of this section), and</w:t>
      </w:r>
    </w:p>
    <w:p w14:paraId="7C85ECC3" w14:textId="39E82119" w:rsidR="008E17FB" w:rsidRPr="008E17FB" w:rsidRDefault="008E17FB" w:rsidP="008E17FB">
      <w:pPr>
        <w:pStyle w:val="Quote1"/>
        <w:ind w:left="1440" w:hanging="703"/>
        <w:rPr>
          <w:lang w:val="en" w:eastAsia="en-AU"/>
        </w:rPr>
      </w:pPr>
      <w:r w:rsidRPr="008E17FB">
        <w:rPr>
          <w:lang w:val="en" w:eastAsia="en-AU"/>
        </w:rPr>
        <w:t>(b)</w:t>
      </w:r>
      <w:r>
        <w:rPr>
          <w:lang w:val="en" w:eastAsia="en-AU"/>
        </w:rPr>
        <w:tab/>
      </w:r>
      <w:proofErr w:type="gramStart"/>
      <w:r w:rsidRPr="008E17FB">
        <w:rPr>
          <w:lang w:val="en" w:eastAsia="en-AU"/>
        </w:rPr>
        <w:t>orders</w:t>
      </w:r>
      <w:proofErr w:type="gramEnd"/>
      <w:r w:rsidRPr="008E17FB">
        <w:rPr>
          <w:lang w:val="en" w:eastAsia="en-AU"/>
        </w:rPr>
        <w:t xml:space="preserve"> made by any Australian court or tribunal (including orders made before the commencement of this section), and</w:t>
      </w:r>
    </w:p>
    <w:p w14:paraId="38D901A2" w14:textId="208BE307" w:rsidR="008E17FB" w:rsidRPr="008E17FB" w:rsidRDefault="008E17FB" w:rsidP="008E17FB">
      <w:pPr>
        <w:pStyle w:val="Quote1"/>
        <w:ind w:left="1440" w:hanging="703"/>
      </w:pPr>
      <w:r w:rsidRPr="008E17FB">
        <w:rPr>
          <w:lang w:val="en" w:eastAsia="en-AU"/>
        </w:rPr>
        <w:t>(c)</w:t>
      </w:r>
      <w:r>
        <w:rPr>
          <w:lang w:val="en" w:eastAsia="en-AU"/>
        </w:rPr>
        <w:tab/>
      </w:r>
      <w:proofErr w:type="gramStart"/>
      <w:r w:rsidRPr="008E17FB">
        <w:rPr>
          <w:lang w:val="en" w:eastAsia="en-AU"/>
        </w:rPr>
        <w:t>evidence</w:t>
      </w:r>
      <w:proofErr w:type="gramEnd"/>
      <w:r w:rsidRPr="008E17FB">
        <w:rPr>
          <w:lang w:val="en" w:eastAsia="en-AU"/>
        </w:rPr>
        <w:t xml:space="preserve"> of the decision, or a finding of fact, of any Australian court or tribunal hearing such proceedings or making such orders, even if that evidence would otherwise not be admissible by virtue of section 91 of </w:t>
      </w:r>
      <w:r w:rsidRPr="008E17FB">
        <w:t xml:space="preserve">the </w:t>
      </w:r>
      <w:hyperlink r:id="rId11" w:anchor="/view/act/1995/25" w:history="1">
        <w:r w:rsidRPr="004D1187">
          <w:rPr>
            <w:i/>
          </w:rPr>
          <w:t>Evidence Act 1995</w:t>
        </w:r>
      </w:hyperlink>
      <w:r w:rsidRPr="008E17FB">
        <w:t>.</w:t>
      </w:r>
    </w:p>
    <w:p w14:paraId="4EA8DC9C" w14:textId="2FA3E0FD" w:rsidR="007D2A25" w:rsidRDefault="008E17FB" w:rsidP="00492FCB">
      <w:pPr>
        <w:pStyle w:val="ParaNumbering"/>
      </w:pPr>
      <w:r>
        <w:t xml:space="preserve">No corresponding amendment has been made to </w:t>
      </w:r>
      <w:r w:rsidR="000E2B1E">
        <w:t>s </w:t>
      </w:r>
      <w:proofErr w:type="gramStart"/>
      <w:r w:rsidR="000E2B1E">
        <w:t>37AO(</w:t>
      </w:r>
      <w:proofErr w:type="gramEnd"/>
      <w:r w:rsidR="000E2B1E">
        <w:t xml:space="preserve">6) of the </w:t>
      </w:r>
      <w:r w:rsidR="000E2B1E">
        <w:rPr>
          <w:i/>
        </w:rPr>
        <w:t>Federal Court of Australia Act</w:t>
      </w:r>
      <w:r w:rsidR="00E27FC0">
        <w:t xml:space="preserve">, </w:t>
      </w:r>
      <w:r w:rsidR="004B0359">
        <w:t xml:space="preserve">which is </w:t>
      </w:r>
      <w:r w:rsidR="007D2A25">
        <w:t>set out at [</w:t>
      </w:r>
      <w:r w:rsidR="0036434A">
        <w:fldChar w:fldCharType="begin"/>
      </w:r>
      <w:r w:rsidR="0036434A">
        <w:instrText xml:space="preserve"> REF _Ref31107503 \r \h </w:instrText>
      </w:r>
      <w:r w:rsidR="0036434A">
        <w:fldChar w:fldCharType="separate"/>
      </w:r>
      <w:r w:rsidR="00AD0A4F">
        <w:t>4</w:t>
      </w:r>
      <w:r w:rsidR="0036434A">
        <w:fldChar w:fldCharType="end"/>
      </w:r>
      <w:r w:rsidR="007D2A25">
        <w:t>] above.</w:t>
      </w:r>
    </w:p>
    <w:p w14:paraId="75CD2FAA" w14:textId="2A4C8BE6" w:rsidR="00900F33" w:rsidRDefault="000C290E" w:rsidP="0040498C">
      <w:pPr>
        <w:pStyle w:val="ParaNumbering"/>
      </w:pPr>
      <w:r>
        <w:t xml:space="preserve">In </w:t>
      </w:r>
      <w:r w:rsidR="000E73DA">
        <w:rPr>
          <w:i/>
        </w:rPr>
        <w:t>Attorney-General</w:t>
      </w:r>
      <w:r w:rsidR="0003791D" w:rsidRPr="0003791D">
        <w:rPr>
          <w:i/>
        </w:rPr>
        <w:t xml:space="preserve"> (Victoria) v Garrett</w:t>
      </w:r>
      <w:r w:rsidR="00FB13AB">
        <w:t xml:space="preserve"> (2017) 51 VR 777</w:t>
      </w:r>
      <w:r w:rsidR="00E44440">
        <w:t xml:space="preserve">, McDonald J considered the </w:t>
      </w:r>
      <w:r w:rsidR="00456669">
        <w:t xml:space="preserve">applicability of s 91 of the </w:t>
      </w:r>
      <w:r w:rsidR="00456669">
        <w:rPr>
          <w:i/>
        </w:rPr>
        <w:t xml:space="preserve">Evidence Act 2008 </w:t>
      </w:r>
      <w:r w:rsidR="00456669">
        <w:t xml:space="preserve">(Vic) to the admissibility </w:t>
      </w:r>
      <w:r w:rsidR="005D6661">
        <w:t xml:space="preserve">of evidence to be relied upon in an application for a </w:t>
      </w:r>
      <w:r w:rsidR="00EC11AE">
        <w:t>general litigation restraint</w:t>
      </w:r>
      <w:r w:rsidR="00D67EAF">
        <w:t xml:space="preserve"> </w:t>
      </w:r>
      <w:r w:rsidR="005D6661">
        <w:t>order</w:t>
      </w:r>
      <w:r w:rsidR="0040498C">
        <w:t xml:space="preserve"> under the </w:t>
      </w:r>
      <w:r w:rsidR="0040498C" w:rsidRPr="0040498C">
        <w:rPr>
          <w:i/>
        </w:rPr>
        <w:t>Vexatious Proceedings Act 2014</w:t>
      </w:r>
      <w:r w:rsidR="0040498C" w:rsidRPr="0040498C">
        <w:t xml:space="preserve"> (Vic)</w:t>
      </w:r>
      <w:r w:rsidR="00C939EE">
        <w:t>.</w:t>
      </w:r>
      <w:r w:rsidR="00D67EAF">
        <w:t xml:space="preserve"> </w:t>
      </w:r>
      <w:r w:rsidR="00330DBD">
        <w:t>The Supreme Court of Victoria is empowered</w:t>
      </w:r>
      <w:r w:rsidR="00B71E25">
        <w:t xml:space="preserve"> by s 29(1)</w:t>
      </w:r>
      <w:r w:rsidR="00330DBD">
        <w:t xml:space="preserve"> </w:t>
      </w:r>
      <w:r w:rsidR="00C939EE" w:rsidRPr="00C939EE">
        <w:t xml:space="preserve">of </w:t>
      </w:r>
      <w:r w:rsidR="0040498C" w:rsidRPr="00C939EE">
        <w:t>the</w:t>
      </w:r>
      <w:r w:rsidR="0040498C">
        <w:t xml:space="preserve"> Victorian Act </w:t>
      </w:r>
      <w:r w:rsidR="00330DBD">
        <w:t xml:space="preserve">to make a general litigation restraint order against a person if it is satisfied that </w:t>
      </w:r>
      <w:r w:rsidR="00AD58B0">
        <w:t>“</w:t>
      </w:r>
      <w:r w:rsidR="00330DBD">
        <w:t>the person has persistently and without reasonable grounds commenced or conducted vexatious proceedings</w:t>
      </w:r>
      <w:r w:rsidR="00AD58B0">
        <w:t>”</w:t>
      </w:r>
      <w:r w:rsidR="00330DBD">
        <w:t xml:space="preserve">. </w:t>
      </w:r>
      <w:r w:rsidR="00D67EAF">
        <w:t xml:space="preserve">Section 29(2) of the Victorian Act </w:t>
      </w:r>
      <w:r w:rsidR="001965FE">
        <w:t xml:space="preserve">is </w:t>
      </w:r>
      <w:r w:rsidR="00900F33">
        <w:t>in the following</w:t>
      </w:r>
      <w:r w:rsidR="001965FE">
        <w:t xml:space="preserve"> terms</w:t>
      </w:r>
      <w:r w:rsidR="00900F33">
        <w:t> –</w:t>
      </w:r>
    </w:p>
    <w:p w14:paraId="2F51C58B" w14:textId="68D26EB8" w:rsidR="00B71E25" w:rsidRDefault="001965FE" w:rsidP="003426E2">
      <w:pPr>
        <w:pStyle w:val="Quote1"/>
        <w:ind w:left="1440" w:hanging="703"/>
      </w:pPr>
      <w:r>
        <w:t xml:space="preserve"> </w:t>
      </w:r>
      <w:bookmarkStart w:id="33" w:name="Part_4—General_litigation_restraint_orde"/>
      <w:bookmarkStart w:id="34" w:name="28_Application_for_general_litigation_re"/>
      <w:bookmarkStart w:id="35" w:name="29_Supreme_Court_may_make_general_litiga"/>
      <w:bookmarkEnd w:id="33"/>
      <w:bookmarkEnd w:id="34"/>
      <w:bookmarkEnd w:id="35"/>
      <w:r w:rsidR="00B71E25">
        <w:t>(2)</w:t>
      </w:r>
      <w:r w:rsidR="00B71E25">
        <w:tab/>
        <w:t>In determining whether it is satisfied of the matters specified in subsection (1), the Supreme Court may take into account any matter it considers relevant, including but not limited to any of the following—</w:t>
      </w:r>
    </w:p>
    <w:p w14:paraId="6F142D33" w14:textId="53663C79" w:rsidR="00B71E25" w:rsidRDefault="00B71E25" w:rsidP="003426E2">
      <w:pPr>
        <w:pStyle w:val="Quote2"/>
        <w:ind w:left="2160" w:hanging="720"/>
      </w:pPr>
      <w:r>
        <w:t>(a)</w:t>
      </w:r>
      <w:r>
        <w:tab/>
      </w:r>
      <w:proofErr w:type="gramStart"/>
      <w:r>
        <w:t>any</w:t>
      </w:r>
      <w:proofErr w:type="gramEnd"/>
      <w:r>
        <w:t xml:space="preserve"> proceeding commenced or conducted by the person, or an entity controlled by the person, in any Australian court or</w:t>
      </w:r>
      <w:r>
        <w:rPr>
          <w:spacing w:val="-21"/>
        </w:rPr>
        <w:t xml:space="preserve"> </w:t>
      </w:r>
      <w:r>
        <w:t>tribunal;</w:t>
      </w:r>
    </w:p>
    <w:p w14:paraId="7416F735" w14:textId="6060E9F4" w:rsidR="00B71E25" w:rsidRDefault="00B71E25" w:rsidP="003426E2">
      <w:pPr>
        <w:pStyle w:val="Quote2"/>
        <w:ind w:left="2160" w:hanging="720"/>
      </w:pPr>
      <w:r>
        <w:t>(b)</w:t>
      </w:r>
      <w:r>
        <w:tab/>
      </w:r>
      <w:proofErr w:type="gramStart"/>
      <w:r>
        <w:t>the</w:t>
      </w:r>
      <w:proofErr w:type="gramEnd"/>
      <w:r>
        <w:t xml:space="preserve"> existence of any order made by an Australian court or tribunal against the person, or an entity controlled by the person,</w:t>
      </w:r>
      <w:r>
        <w:rPr>
          <w:spacing w:val="-27"/>
        </w:rPr>
        <w:t xml:space="preserve"> </w:t>
      </w:r>
      <w:r>
        <w:t>including—</w:t>
      </w:r>
    </w:p>
    <w:p w14:paraId="3016ABDC" w14:textId="575CFBB5" w:rsidR="00B71E25" w:rsidRDefault="00B71E25" w:rsidP="003426E2">
      <w:pPr>
        <w:pStyle w:val="Quote3"/>
        <w:ind w:left="2880" w:hanging="720"/>
      </w:pPr>
      <w:r>
        <w:t>(</w:t>
      </w:r>
      <w:proofErr w:type="spellStart"/>
      <w:r>
        <w:t>i</w:t>
      </w:r>
      <w:proofErr w:type="spellEnd"/>
      <w:r>
        <w:t>)</w:t>
      </w:r>
      <w:r>
        <w:tab/>
      </w:r>
      <w:proofErr w:type="gramStart"/>
      <w:r>
        <w:t>a</w:t>
      </w:r>
      <w:proofErr w:type="gramEnd"/>
      <w:r>
        <w:t xml:space="preserve"> litigation restraint order;</w:t>
      </w:r>
      <w:r>
        <w:rPr>
          <w:spacing w:val="-2"/>
        </w:rPr>
        <w:t xml:space="preserve"> </w:t>
      </w:r>
      <w:r>
        <w:t>or</w:t>
      </w:r>
    </w:p>
    <w:p w14:paraId="70CBD748" w14:textId="3DC0AB55" w:rsidR="00B71E25" w:rsidRDefault="00B71E25" w:rsidP="003426E2">
      <w:pPr>
        <w:pStyle w:val="Quote3"/>
        <w:ind w:left="2880" w:hanging="720"/>
      </w:pPr>
      <w:r>
        <w:t>(ii)</w:t>
      </w:r>
      <w:r>
        <w:tab/>
      </w:r>
      <w:proofErr w:type="gramStart"/>
      <w:r>
        <w:t>an</w:t>
      </w:r>
      <w:proofErr w:type="gramEnd"/>
      <w:r>
        <w:t xml:space="preserve"> acting in concert order;</w:t>
      </w:r>
      <w:r>
        <w:rPr>
          <w:spacing w:val="-3"/>
        </w:rPr>
        <w:t xml:space="preserve"> </w:t>
      </w:r>
      <w:r>
        <w:t>or</w:t>
      </w:r>
    </w:p>
    <w:p w14:paraId="570EE67B" w14:textId="036FD12E" w:rsidR="00B71E25" w:rsidRDefault="00B71E25" w:rsidP="003426E2">
      <w:pPr>
        <w:pStyle w:val="Quote3"/>
        <w:ind w:left="2880" w:hanging="720"/>
      </w:pPr>
      <w:r>
        <w:t>(iii)</w:t>
      </w:r>
      <w:r>
        <w:tab/>
      </w:r>
      <w:proofErr w:type="gramStart"/>
      <w:r>
        <w:t>a</w:t>
      </w:r>
      <w:proofErr w:type="gramEnd"/>
      <w:r>
        <w:t xml:space="preserve"> vexatious proceeding</w:t>
      </w:r>
      <w:r>
        <w:rPr>
          <w:spacing w:val="-4"/>
        </w:rPr>
        <w:t xml:space="preserve"> </w:t>
      </w:r>
      <w:r>
        <w:t>order;</w:t>
      </w:r>
    </w:p>
    <w:p w14:paraId="11A58236" w14:textId="0687C5D5" w:rsidR="00B71E25" w:rsidRDefault="003426E2" w:rsidP="003426E2">
      <w:pPr>
        <w:pStyle w:val="Quote2"/>
        <w:ind w:left="2160" w:hanging="720"/>
      </w:pPr>
      <w:r>
        <w:t>(c)</w:t>
      </w:r>
      <w:r>
        <w:tab/>
      </w:r>
      <w:proofErr w:type="gramStart"/>
      <w:r w:rsidR="00B71E25">
        <w:t>any</w:t>
      </w:r>
      <w:proofErr w:type="gramEnd"/>
      <w:r w:rsidR="00B71E25">
        <w:t xml:space="preserve"> other matter relating to the way in which the person conducts or has</w:t>
      </w:r>
      <w:r w:rsidR="00B71E25">
        <w:rPr>
          <w:spacing w:val="-14"/>
        </w:rPr>
        <w:t xml:space="preserve"> </w:t>
      </w:r>
      <w:r w:rsidR="00B71E25">
        <w:t>conducted</w:t>
      </w:r>
      <w:r>
        <w:t xml:space="preserve"> </w:t>
      </w:r>
      <w:r w:rsidR="00B71E25">
        <w:t>litigation.</w:t>
      </w:r>
    </w:p>
    <w:p w14:paraId="7E3FBAF2" w14:textId="76A61711" w:rsidR="00AE0796" w:rsidRDefault="009E50DD" w:rsidP="00AE0796">
      <w:pPr>
        <w:pStyle w:val="ParaNumbering"/>
      </w:pPr>
      <w:r>
        <w:t xml:space="preserve">McDonald J </w:t>
      </w:r>
      <w:r w:rsidR="007313AA">
        <w:t>referred to</w:t>
      </w:r>
      <w:r>
        <w:t xml:space="preserve"> </w:t>
      </w:r>
      <w:r w:rsidR="00660093">
        <w:t xml:space="preserve">many of </w:t>
      </w:r>
      <w:r>
        <w:t>the New South Wales authorities</w:t>
      </w:r>
      <w:r w:rsidR="00A4159D">
        <w:t>:</w:t>
      </w:r>
      <w:r w:rsidR="00C514F4">
        <w:t xml:space="preserve"> </w:t>
      </w:r>
      <w:r w:rsidR="0080350E" w:rsidRPr="00D072FC">
        <w:rPr>
          <w:i/>
        </w:rPr>
        <w:t xml:space="preserve">Attorney-General (NSW) v Chan </w:t>
      </w:r>
      <w:r w:rsidR="0080350E">
        <w:t xml:space="preserve">[2011] NSWSC 1315 (Adamson J); </w:t>
      </w:r>
      <w:r w:rsidR="00F26947" w:rsidRPr="00D072FC">
        <w:rPr>
          <w:i/>
        </w:rPr>
        <w:t>Attorney-General</w:t>
      </w:r>
      <w:r w:rsidR="007313AA" w:rsidRPr="00D072FC">
        <w:rPr>
          <w:i/>
        </w:rPr>
        <w:t xml:space="preserve"> (NSW)</w:t>
      </w:r>
      <w:r w:rsidR="00F26947" w:rsidRPr="00D072FC">
        <w:rPr>
          <w:i/>
        </w:rPr>
        <w:t xml:space="preserve"> v </w:t>
      </w:r>
      <w:r w:rsidR="00C514F4" w:rsidRPr="00D072FC">
        <w:rPr>
          <w:i/>
        </w:rPr>
        <w:t>Martin</w:t>
      </w:r>
      <w:r w:rsidR="00D83489" w:rsidRPr="00D072FC">
        <w:rPr>
          <w:i/>
        </w:rPr>
        <w:t xml:space="preserve"> </w:t>
      </w:r>
      <w:r w:rsidR="00D83489">
        <w:t>[2015] NSWSC 1372</w:t>
      </w:r>
      <w:r w:rsidR="00F26947" w:rsidRPr="00D072FC">
        <w:rPr>
          <w:i/>
        </w:rPr>
        <w:t xml:space="preserve"> </w:t>
      </w:r>
      <w:r w:rsidR="00F26947">
        <w:t>(Simpson </w:t>
      </w:r>
      <w:r w:rsidR="00F26947" w:rsidRPr="00F26947">
        <w:t>J</w:t>
      </w:r>
      <w:r w:rsidR="00F26947">
        <w:t>)</w:t>
      </w:r>
      <w:r w:rsidR="00A4159D" w:rsidRPr="00A4159D">
        <w:t>;</w:t>
      </w:r>
      <w:r w:rsidR="00A4159D" w:rsidRPr="00D072FC">
        <w:rPr>
          <w:i/>
        </w:rPr>
        <w:t xml:space="preserve"> Attorney-General</w:t>
      </w:r>
      <w:r w:rsidR="007313AA" w:rsidRPr="00D072FC">
        <w:rPr>
          <w:i/>
        </w:rPr>
        <w:t xml:space="preserve"> (NSW)</w:t>
      </w:r>
      <w:r w:rsidR="00A4159D" w:rsidRPr="00D072FC">
        <w:rPr>
          <w:i/>
        </w:rPr>
        <w:t xml:space="preserve"> v </w:t>
      </w:r>
      <w:proofErr w:type="spellStart"/>
      <w:r w:rsidR="00A4159D" w:rsidRPr="00D072FC">
        <w:rPr>
          <w:i/>
        </w:rPr>
        <w:t>Potier</w:t>
      </w:r>
      <w:proofErr w:type="spellEnd"/>
      <w:r w:rsidR="00A4159D" w:rsidRPr="00D072FC">
        <w:rPr>
          <w:i/>
        </w:rPr>
        <w:t xml:space="preserve"> </w:t>
      </w:r>
      <w:r w:rsidR="00A4159D">
        <w:t xml:space="preserve">[2014] NSWSC 118 (McCallum J); and </w:t>
      </w:r>
      <w:r w:rsidR="00A4159D" w:rsidRPr="00D072FC">
        <w:rPr>
          <w:i/>
        </w:rPr>
        <w:t>Attorney-General</w:t>
      </w:r>
      <w:r w:rsidR="007313AA" w:rsidRPr="00D072FC">
        <w:rPr>
          <w:i/>
        </w:rPr>
        <w:t xml:space="preserve"> (NSW)</w:t>
      </w:r>
      <w:r w:rsidR="00A4159D" w:rsidRPr="00D072FC">
        <w:rPr>
          <w:i/>
        </w:rPr>
        <w:t xml:space="preserve"> v </w:t>
      </w:r>
      <w:proofErr w:type="spellStart"/>
      <w:r w:rsidR="00A4159D" w:rsidRPr="00D072FC">
        <w:rPr>
          <w:i/>
        </w:rPr>
        <w:t>Mohareb</w:t>
      </w:r>
      <w:proofErr w:type="spellEnd"/>
      <w:r w:rsidR="00A4159D" w:rsidRPr="00D072FC">
        <w:rPr>
          <w:i/>
        </w:rPr>
        <w:t xml:space="preserve"> </w:t>
      </w:r>
      <w:r w:rsidR="0080350E">
        <w:t>[2016] NSWSC 1823 (Schmidt J).</w:t>
      </w:r>
      <w:r w:rsidR="007313AA">
        <w:t xml:space="preserve"> </w:t>
      </w:r>
      <w:r w:rsidR="009E6B83">
        <w:t xml:space="preserve">McDonald J also cited </w:t>
      </w:r>
      <w:r w:rsidR="009E6B83">
        <w:lastRenderedPageBreak/>
        <w:t>Victorian authority that pre</w:t>
      </w:r>
      <w:r w:rsidR="00577AA3">
        <w:t>ceded</w:t>
      </w:r>
      <w:r w:rsidR="009E6B83">
        <w:t xml:space="preserve"> the commencement of the </w:t>
      </w:r>
      <w:r w:rsidR="009E6B83" w:rsidRPr="00D072FC">
        <w:rPr>
          <w:i/>
        </w:rPr>
        <w:t>Evidence Act</w:t>
      </w:r>
      <w:r w:rsidR="006A61FE">
        <w:rPr>
          <w:i/>
        </w:rPr>
        <w:t xml:space="preserve"> 2008 </w:t>
      </w:r>
      <w:r w:rsidR="006A61FE">
        <w:t>(Vic)</w:t>
      </w:r>
      <w:r w:rsidR="00E4043A">
        <w:t xml:space="preserve">. In </w:t>
      </w:r>
      <w:r w:rsidR="00E4043A">
        <w:rPr>
          <w:i/>
        </w:rPr>
        <w:t>Kay v Attorney-General</w:t>
      </w:r>
      <w:r w:rsidR="00D054A7">
        <w:rPr>
          <w:i/>
        </w:rPr>
        <w:t xml:space="preserve"> (Vic)</w:t>
      </w:r>
      <w:r w:rsidR="00E4043A">
        <w:rPr>
          <w:i/>
        </w:rPr>
        <w:t xml:space="preserve"> </w:t>
      </w:r>
      <w:r w:rsidR="00E4043A">
        <w:t xml:space="preserve">(2000) 2 VR 436, </w:t>
      </w:r>
      <w:r w:rsidR="00D054A7">
        <w:t xml:space="preserve">which concerned an application under the now-repealed provisions of the </w:t>
      </w:r>
      <w:r w:rsidR="00D054A7">
        <w:rPr>
          <w:i/>
        </w:rPr>
        <w:t xml:space="preserve">Supreme Court Act 1986 </w:t>
      </w:r>
      <w:r w:rsidR="00D054A7">
        <w:t>(Vic)</w:t>
      </w:r>
      <w:r w:rsidR="00577AA3">
        <w:t>,</w:t>
      </w:r>
      <w:r w:rsidR="00D054A7">
        <w:t xml:space="preserve"> </w:t>
      </w:r>
      <w:r w:rsidR="00E4043A">
        <w:t>Ormiston JA stated</w:t>
      </w:r>
      <w:r w:rsidR="00AE0796">
        <w:t> </w:t>
      </w:r>
      <w:r w:rsidR="00C4179C">
        <w:t xml:space="preserve">at 437-8 </w:t>
      </w:r>
      <w:r w:rsidR="00AE0796">
        <w:t>–</w:t>
      </w:r>
    </w:p>
    <w:p w14:paraId="6F6EA68C" w14:textId="118AD4EA" w:rsidR="00372E68" w:rsidRDefault="00AE0796" w:rsidP="00423CF5">
      <w:pPr>
        <w:pStyle w:val="Quote1"/>
      </w:pPr>
      <w:r>
        <w:t xml:space="preserve">... but I would not wish it to be thought that, in every application of this kind </w:t>
      </w:r>
      <w:r w:rsidR="00423CF5">
        <w:t>under s </w:t>
      </w:r>
      <w:r>
        <w:t xml:space="preserve">21 of the </w:t>
      </w:r>
      <w:r w:rsidRPr="00423CF5">
        <w:rPr>
          <w:i/>
        </w:rPr>
        <w:t>Supreme Court Act 1986</w:t>
      </w:r>
      <w:r>
        <w:t>, it was necessary to re-examine the circumstances of each proceeding upon which the Attorney-General might seek to rely to support the making of an order. If the proceedings relied upon are frivolous, vexatious or otherwise of a kind which would support the making of the order, then that ordinarily should be apparent upon a reading of the reasons and orders and, if it is not, there will be usually no sensible basis for relying upon them, except to the extent that they may form part of a relevant chain of events</w:t>
      </w:r>
      <w:r w:rsidR="00423CF5">
        <w:t>.</w:t>
      </w:r>
      <w:r w:rsidR="009E6B83">
        <w:t xml:space="preserve"> </w:t>
      </w:r>
      <w:r w:rsidR="00372E68">
        <w:t>The learned judge, primarily I would gather from</w:t>
      </w:r>
      <w:r w:rsidR="00423CF5">
        <w:t xml:space="preserve"> </w:t>
      </w:r>
      <w:r w:rsidR="00372E68">
        <w:t>a sense of fairness and in an attempt to discover why the applicant said that the order should not be made, went somewhat further into the reasons for the various orders, the circumstances that lay behind them and what may now be thought to be the applicant</w:t>
      </w:r>
      <w:r w:rsidR="00AD58B0">
        <w:t>’</w:t>
      </w:r>
      <w:r w:rsidR="00372E68">
        <w:t>s unreasonable attacks upon them. On other occasions, therefore, examination in such detail may properly be seen to be unnecessary, for the procedure is not to be treated as the opportunity for a second line of appeal against judgments or orders upon</w:t>
      </w:r>
      <w:r w:rsidR="00423CF5">
        <w:t xml:space="preserve"> </w:t>
      </w:r>
      <w:r w:rsidR="00372E68">
        <w:t>which reliance is placed for the making of an order under s</w:t>
      </w:r>
      <w:r w:rsidR="00423CF5">
        <w:t> 21.</w:t>
      </w:r>
    </w:p>
    <w:p w14:paraId="2F1EFE01" w14:textId="05880D29" w:rsidR="007B2319" w:rsidRDefault="00ED0B72" w:rsidP="000C290E">
      <w:pPr>
        <w:pStyle w:val="ParaNumbering"/>
      </w:pPr>
      <w:r>
        <w:t xml:space="preserve">McDonald J </w:t>
      </w:r>
      <w:r w:rsidR="00CB437C">
        <w:t xml:space="preserve">accepted that the approach of Ormiston JA had been followed in subsequent Victorian cases, including by Ashley J </w:t>
      </w:r>
      <w:r w:rsidR="00D054A7">
        <w:t xml:space="preserve">in </w:t>
      </w:r>
      <w:r w:rsidR="00633650">
        <w:rPr>
          <w:i/>
        </w:rPr>
        <w:t xml:space="preserve">Attorney-General (Vic) v </w:t>
      </w:r>
      <w:r w:rsidR="00633650" w:rsidRPr="009B3D0A">
        <w:rPr>
          <w:i/>
        </w:rPr>
        <w:t>Horvath</w:t>
      </w:r>
      <w:r w:rsidR="00633650">
        <w:rPr>
          <w:i/>
        </w:rPr>
        <w:t xml:space="preserve">, Senior </w:t>
      </w:r>
      <w:r w:rsidR="00633650">
        <w:t>[2001] VSC 269</w:t>
      </w:r>
      <w:r w:rsidR="002625B6">
        <w:t xml:space="preserve">, where Ashley J held </w:t>
      </w:r>
      <w:r w:rsidR="00DA2E2A">
        <w:t xml:space="preserve">at [28] </w:t>
      </w:r>
      <w:r w:rsidR="002625B6">
        <w:t xml:space="preserve">that </w:t>
      </w:r>
      <w:r w:rsidR="00DA2E2A">
        <w:t xml:space="preserve">the </w:t>
      </w:r>
      <w:r w:rsidR="00AD58B0">
        <w:t>“</w:t>
      </w:r>
      <w:r w:rsidR="00DA2E2A">
        <w:t>critical evidence</w:t>
      </w:r>
      <w:r w:rsidR="00AD58B0">
        <w:t>”</w:t>
      </w:r>
      <w:r w:rsidR="00DA2E2A">
        <w:t xml:space="preserve"> </w:t>
      </w:r>
      <w:r w:rsidR="007B2319">
        <w:t>is to be found in court files –</w:t>
      </w:r>
    </w:p>
    <w:p w14:paraId="2F973636" w14:textId="1D48A052" w:rsidR="00633650" w:rsidRDefault="007B2319" w:rsidP="004E237C">
      <w:pPr>
        <w:pStyle w:val="Quote1"/>
      </w:pPr>
      <w:r w:rsidRPr="004E237C">
        <w:t xml:space="preserve">It is one thing to know what the word </w:t>
      </w:r>
      <w:r w:rsidR="00AD58B0">
        <w:t>“</w:t>
      </w:r>
      <w:r w:rsidRPr="004E237C">
        <w:t>vexatious</w:t>
      </w:r>
      <w:r w:rsidR="00AD58B0">
        <w:t>”</w:t>
      </w:r>
      <w:r w:rsidRPr="004E237C">
        <w:t xml:space="preserve"> means. It is another thing to</w:t>
      </w:r>
      <w:r w:rsidR="004E237C" w:rsidRPr="004E237C">
        <w:t xml:space="preserve"> apply s </w:t>
      </w:r>
      <w:r w:rsidRPr="004E237C">
        <w:t>21(2)</w:t>
      </w:r>
      <w:r w:rsidR="004E237C" w:rsidRPr="004E237C">
        <w:t xml:space="preserve"> [of the </w:t>
      </w:r>
      <w:r w:rsidR="004E237C" w:rsidRPr="004E237C">
        <w:rPr>
          <w:i/>
        </w:rPr>
        <w:t>Supreme Court Act 1986</w:t>
      </w:r>
      <w:r w:rsidR="004E237C" w:rsidRPr="004E237C">
        <w:t xml:space="preserve"> (Vic)]</w:t>
      </w:r>
      <w:r w:rsidRPr="004E237C">
        <w:t xml:space="preserve"> to the circumstances of a particular case. In the latter task the</w:t>
      </w:r>
      <w:r w:rsidR="001612FB" w:rsidRPr="004E237C">
        <w:t xml:space="preserve"> following matters are, according to the authorities, relevant: first, where an order has been made dismissing an action as frivolous or vexatious, or striking a pleading out, it is not </w:t>
      </w:r>
      <w:r w:rsidR="006435DC">
        <w:t>for a court considering a s </w:t>
      </w:r>
      <w:r w:rsidR="001612FB" w:rsidRPr="004E237C">
        <w:t>21 application to go behind the order and go into the merits of the argument as a court of appeal would do. Second, findings which are required do not depend on viva voce evidence or credibility of witnesses. The critical evidence is to be found in court files – documents, judgments, orders and reasons. For that reason, any hearsay material contained in an affidavit in support of an application, even though objectionable, should be treated simply as a distraction, and ignored. Third, the question is not whether the manner in which a proceeding is conducted is vexatious; it is whether, having regard to its nature and substance</w:t>
      </w:r>
      <w:r w:rsidR="00631F93">
        <w:t>, it should be so characterised</w:t>
      </w:r>
      <w:r w:rsidR="001612FB" w:rsidRPr="004E237C">
        <w:t>. Fourth, and this is a more general proposition wi</w:t>
      </w:r>
      <w:r w:rsidR="006435DC">
        <w:t>th respect to s </w:t>
      </w:r>
      <w:r w:rsidR="001612FB" w:rsidRPr="004E237C">
        <w:t>21, in determining whether the Attorney-General has made out a case, the court is not concerned with a minute individual examination of each proceeding. It must consider the overall impression created by the number of proceedings, their general character and their results</w:t>
      </w:r>
      <w:r w:rsidR="004E237C" w:rsidRPr="004E237C">
        <w:t>.</w:t>
      </w:r>
    </w:p>
    <w:p w14:paraId="557D10FB" w14:textId="42F0201D" w:rsidR="006435DC" w:rsidRPr="004E237C" w:rsidRDefault="006435DC" w:rsidP="004E237C">
      <w:pPr>
        <w:pStyle w:val="Quote1"/>
      </w:pPr>
      <w:r>
        <w:t>[Citations omitted]</w:t>
      </w:r>
    </w:p>
    <w:p w14:paraId="565D0D61" w14:textId="6FBB64A1" w:rsidR="00AC6BC8" w:rsidRDefault="00E41151" w:rsidP="00A260AC">
      <w:pPr>
        <w:pStyle w:val="ParaNumbering"/>
      </w:pPr>
      <w:r>
        <w:t>In this Court</w:t>
      </w:r>
      <w:r w:rsidR="002E5D55">
        <w:t>, the above passage has been cited</w:t>
      </w:r>
      <w:r w:rsidR="00BA43AF">
        <w:t xml:space="preserve"> by Stone J</w:t>
      </w:r>
      <w:r w:rsidR="002E5D55">
        <w:t xml:space="preserve"> in </w:t>
      </w:r>
      <w:r w:rsidR="002E5D55" w:rsidRPr="00B65288">
        <w:rPr>
          <w:i/>
        </w:rPr>
        <w:t>Soden v K</w:t>
      </w:r>
      <w:r w:rsidR="0079002F" w:rsidRPr="00B65288">
        <w:rPr>
          <w:i/>
        </w:rPr>
        <w:t xml:space="preserve">owalski </w:t>
      </w:r>
      <w:r w:rsidR="00BA43AF">
        <w:t>[2011] FCA 318</w:t>
      </w:r>
      <w:r w:rsidR="002E5D55">
        <w:t xml:space="preserve"> at [51]</w:t>
      </w:r>
      <w:r w:rsidR="00BA43AF">
        <w:t xml:space="preserve">, by Bromberg J in </w:t>
      </w:r>
      <w:r w:rsidR="001A06A2" w:rsidRPr="00B65288">
        <w:rPr>
          <w:i/>
        </w:rPr>
        <w:t xml:space="preserve">Singh v Secretary, </w:t>
      </w:r>
      <w:r w:rsidR="00726C66" w:rsidRPr="00B65288">
        <w:rPr>
          <w:i/>
        </w:rPr>
        <w:t xml:space="preserve">Department of Families, Housing, Community Services and Indigenous Affairs </w:t>
      </w:r>
      <w:r w:rsidR="00726C66">
        <w:t xml:space="preserve">[2011] FCA 833; 282 ALR 56 </w:t>
      </w:r>
      <w:r w:rsidR="001A06A2">
        <w:t>at [16]</w:t>
      </w:r>
      <w:r w:rsidR="002E5D55">
        <w:t xml:space="preserve">, </w:t>
      </w:r>
      <w:r w:rsidR="001A06A2">
        <w:t xml:space="preserve">and by </w:t>
      </w:r>
      <w:proofErr w:type="spellStart"/>
      <w:r w:rsidR="001A06A2">
        <w:t>Pagone</w:t>
      </w:r>
      <w:proofErr w:type="spellEnd"/>
      <w:r w:rsidR="001A06A2">
        <w:t xml:space="preserve"> J </w:t>
      </w:r>
      <w:r>
        <w:t xml:space="preserve">in </w:t>
      </w:r>
      <w:r w:rsidRPr="00B65288">
        <w:rPr>
          <w:i/>
        </w:rPr>
        <w:t xml:space="preserve">Garrett v Commissioner of Taxation </w:t>
      </w:r>
      <w:r>
        <w:t>[2015] FCA 117</w:t>
      </w:r>
      <w:r w:rsidR="00811F4C">
        <w:t>; 147 ALD 342</w:t>
      </w:r>
      <w:r w:rsidR="005E55C9">
        <w:t xml:space="preserve"> at [7],</w:t>
      </w:r>
      <w:r w:rsidR="00811F4C">
        <w:t xml:space="preserve"> </w:t>
      </w:r>
      <w:r w:rsidR="00726C66">
        <w:t xml:space="preserve">who stated </w:t>
      </w:r>
      <w:r w:rsidR="00436D6E">
        <w:t xml:space="preserve">that </w:t>
      </w:r>
      <w:r w:rsidR="001A06A2">
        <w:t xml:space="preserve">the passage </w:t>
      </w:r>
      <w:r w:rsidR="00436D6E">
        <w:t>was “a useful reminder of the focus of attention”</w:t>
      </w:r>
      <w:r w:rsidR="00811F4C">
        <w:t>.</w:t>
      </w:r>
      <w:r w:rsidR="005E118C">
        <w:t xml:space="preserve"> The passage was also cited by the </w:t>
      </w:r>
      <w:r w:rsidR="005E118C">
        <w:lastRenderedPageBreak/>
        <w:t>Full Court</w:t>
      </w:r>
      <w:r w:rsidR="003E4B77">
        <w:t xml:space="preserve"> (</w:t>
      </w:r>
      <w:proofErr w:type="spellStart"/>
      <w:r w:rsidR="003E4B77">
        <w:t>Besanko</w:t>
      </w:r>
      <w:proofErr w:type="spellEnd"/>
      <w:r w:rsidR="003E4B77">
        <w:t>, Logan and McKerracher JJ)</w:t>
      </w:r>
      <w:r w:rsidR="005E118C">
        <w:t xml:space="preserve"> in </w:t>
      </w:r>
      <w:r w:rsidR="0090792D" w:rsidRPr="00B65288">
        <w:rPr>
          <w:i/>
        </w:rPr>
        <w:t xml:space="preserve">Fuller v Toms </w:t>
      </w:r>
      <w:r w:rsidR="0090792D">
        <w:t xml:space="preserve">[2015] FCAFC 91; 234 FCR 535 </w:t>
      </w:r>
      <w:r w:rsidR="005E118C">
        <w:t>at [29]</w:t>
      </w:r>
      <w:r w:rsidR="0090792D">
        <w:t xml:space="preserve">, where </w:t>
      </w:r>
      <w:r w:rsidR="00244908">
        <w:t xml:space="preserve">the Full Court held that a vexatious proceedings order precluded the applicant from appealing the vexatious </w:t>
      </w:r>
      <w:r w:rsidR="00A260AC" w:rsidRPr="00A260AC">
        <w:t xml:space="preserve">proceedings </w:t>
      </w:r>
      <w:r w:rsidR="00244908">
        <w:t>order itself without leave of the Court</w:t>
      </w:r>
      <w:r w:rsidR="004356F6">
        <w:t>, which leave the Court refused</w:t>
      </w:r>
      <w:r w:rsidR="00244908">
        <w:t xml:space="preserve">. </w:t>
      </w:r>
      <w:r w:rsidR="00AC6BC8">
        <w:t>At first instance, Barker J had made the following three orders –</w:t>
      </w:r>
    </w:p>
    <w:p w14:paraId="448A10B8" w14:textId="689D6C0A" w:rsidR="00C0004F" w:rsidRPr="00684813" w:rsidRDefault="00684813" w:rsidP="00B65288">
      <w:pPr>
        <w:pStyle w:val="Quote1"/>
        <w:ind w:left="1440" w:hanging="703"/>
      </w:pPr>
      <w:r w:rsidRPr="00684813">
        <w:t>1.</w:t>
      </w:r>
      <w:r>
        <w:tab/>
      </w:r>
      <w:r w:rsidR="00C0004F" w:rsidRPr="00684813">
        <w:t>The statement of claim filed in this proceeding be entirely struck out.</w:t>
      </w:r>
    </w:p>
    <w:p w14:paraId="7FB042F9" w14:textId="71A4262A" w:rsidR="00C0004F" w:rsidRPr="00684813" w:rsidRDefault="00684813" w:rsidP="00B65288">
      <w:pPr>
        <w:pStyle w:val="Quote1"/>
        <w:ind w:left="1440" w:hanging="703"/>
      </w:pPr>
      <w:r>
        <w:t>2.</w:t>
      </w:r>
      <w:r>
        <w:tab/>
      </w:r>
      <w:r w:rsidR="00C0004F" w:rsidRPr="00684813">
        <w:t>The proceeding be dismissed.</w:t>
      </w:r>
    </w:p>
    <w:p w14:paraId="14AD243F" w14:textId="456FEBCE" w:rsidR="00C0004F" w:rsidRPr="00684813" w:rsidRDefault="00684813" w:rsidP="00B65288">
      <w:pPr>
        <w:pStyle w:val="Quote1"/>
        <w:ind w:left="1440" w:hanging="703"/>
      </w:pPr>
      <w:r>
        <w:t>3.</w:t>
      </w:r>
      <w:r>
        <w:tab/>
      </w:r>
      <w:r w:rsidR="00C0004F" w:rsidRPr="00684813">
        <w:t xml:space="preserve">Pursuant to s </w:t>
      </w:r>
      <w:proofErr w:type="gramStart"/>
      <w:r w:rsidR="00C0004F" w:rsidRPr="00684813">
        <w:t>37AO(</w:t>
      </w:r>
      <w:proofErr w:type="gramEnd"/>
      <w:r w:rsidR="00C0004F" w:rsidRPr="00684813">
        <w:t xml:space="preserve">2) of the </w:t>
      </w:r>
      <w:r w:rsidR="00C0004F" w:rsidRPr="00684813">
        <w:rPr>
          <w:i/>
        </w:rPr>
        <w:t>Federal Court of Australia Act 1976</w:t>
      </w:r>
      <w:r w:rsidR="00C0004F" w:rsidRPr="00684813">
        <w:t xml:space="preserve"> (</w:t>
      </w:r>
      <w:proofErr w:type="spellStart"/>
      <w:r w:rsidR="00C0004F" w:rsidRPr="00684813">
        <w:t>Cth</w:t>
      </w:r>
      <w:proofErr w:type="spellEnd"/>
      <w:r w:rsidR="00C0004F" w:rsidRPr="00684813">
        <w:t>), the</w:t>
      </w:r>
      <w:r w:rsidR="00B65288">
        <w:t xml:space="preserve"> a</w:t>
      </w:r>
      <w:r w:rsidR="00C0004F" w:rsidRPr="00684813">
        <w:t>pplicant must not start or continue any other proceeding in the Court</w:t>
      </w:r>
      <w:r>
        <w:t xml:space="preserve"> </w:t>
      </w:r>
      <w:r w:rsidR="00C0004F" w:rsidRPr="00684813">
        <w:t>against any of the respondents without the leave of the Court.</w:t>
      </w:r>
    </w:p>
    <w:p w14:paraId="285BF29C" w14:textId="59641678" w:rsidR="00C0004F" w:rsidRDefault="00AC6BC8" w:rsidP="000C290E">
      <w:pPr>
        <w:pStyle w:val="ParaNumbering"/>
      </w:pPr>
      <w:r>
        <w:t xml:space="preserve">The Full Court </w:t>
      </w:r>
      <w:r w:rsidR="00C0004F">
        <w:t>stated that orders 1 and 2 were</w:t>
      </w:r>
      <w:r w:rsidR="00B65288">
        <w:t xml:space="preserve"> part of</w:t>
      </w:r>
      <w:r w:rsidR="00C0004F">
        <w:t xml:space="preserve"> a “given” against which any challenge to order 3 had to be decided –</w:t>
      </w:r>
    </w:p>
    <w:p w14:paraId="2091E079" w14:textId="14C7F00E" w:rsidR="00C64E42" w:rsidRDefault="00F21B7F" w:rsidP="00F21B7F">
      <w:pPr>
        <w:pStyle w:val="Quote1"/>
        <w:ind w:left="1440" w:hanging="703"/>
      </w:pPr>
      <w:r>
        <w:t>29</w:t>
      </w:r>
      <w:r>
        <w:tab/>
      </w:r>
      <w:r w:rsidR="00B65288">
        <w:t>Though it was necessary, for the purpose of dealing with the apprehended</w:t>
      </w:r>
      <w:r w:rsidR="00C64E42">
        <w:t xml:space="preserve"> </w:t>
      </w:r>
      <w:r w:rsidR="00B65288">
        <w:t>bias ground, that we make some observations in relation to the reasons for the</w:t>
      </w:r>
      <w:r w:rsidR="00C64E42">
        <w:t xml:space="preserve"> </w:t>
      </w:r>
      <w:r w:rsidR="00B65288">
        <w:t>making of Orders 1 and 2, it is neither necessary nor appropriate for us, in the</w:t>
      </w:r>
      <w:r w:rsidR="00C64E42">
        <w:t xml:space="preserve"> </w:t>
      </w:r>
      <w:r w:rsidR="00B65288">
        <w:t>context of a challenge to Order 3, further to descend into the merits in respect of</w:t>
      </w:r>
      <w:r w:rsidR="00C64E42">
        <w:t xml:space="preserve"> </w:t>
      </w:r>
      <w:r w:rsidR="00B65288">
        <w:t>the making of those orders:</w:t>
      </w:r>
      <w:r w:rsidR="00C64E42">
        <w:t xml:space="preserve"> </w:t>
      </w:r>
      <w:r w:rsidR="00B65288" w:rsidRPr="00B469AD">
        <w:rPr>
          <w:i/>
        </w:rPr>
        <w:t>Attorney-General (Vic) v Horvath</w:t>
      </w:r>
      <w:r w:rsidR="00C64E42">
        <w:t xml:space="preserve"> </w:t>
      </w:r>
      <w:r w:rsidR="00B65288">
        <w:t>[2001] VSC 269</w:t>
      </w:r>
      <w:r w:rsidR="00C64E42">
        <w:t xml:space="preserve"> </w:t>
      </w:r>
      <w:r w:rsidR="00B65288">
        <w:t xml:space="preserve">at [28] per Ashley J, recently applied by analogy by </w:t>
      </w:r>
      <w:proofErr w:type="spellStart"/>
      <w:r w:rsidR="00B65288">
        <w:t>Pagone</w:t>
      </w:r>
      <w:proofErr w:type="spellEnd"/>
      <w:r w:rsidR="00B65288">
        <w:t xml:space="preserve"> J in</w:t>
      </w:r>
      <w:r w:rsidR="00C64E42">
        <w:t xml:space="preserve"> </w:t>
      </w:r>
      <w:r w:rsidR="00B65288" w:rsidRPr="00B469AD">
        <w:rPr>
          <w:i/>
        </w:rPr>
        <w:t>Garrett v</w:t>
      </w:r>
      <w:r w:rsidR="00C64E42" w:rsidRPr="00B469AD">
        <w:rPr>
          <w:i/>
        </w:rPr>
        <w:t xml:space="preserve"> </w:t>
      </w:r>
      <w:r w:rsidR="00B65288" w:rsidRPr="00B469AD">
        <w:rPr>
          <w:i/>
        </w:rPr>
        <w:t>Federal Commissioner of Taxation</w:t>
      </w:r>
      <w:r w:rsidR="00C64E42">
        <w:t xml:space="preserve"> </w:t>
      </w:r>
      <w:r w:rsidR="00B65288">
        <w:t>(2015) 147 ALD 342 at [7]</w:t>
      </w:r>
      <w:r w:rsidR="00C64E42">
        <w:t xml:space="preserve"> </w:t>
      </w:r>
      <w:r w:rsidR="00B469AD">
        <w:t>…</w:t>
      </w:r>
      <w:r w:rsidR="00B65288">
        <w:t>.</w:t>
      </w:r>
      <w:r w:rsidR="00C64E42">
        <w:t xml:space="preserve"> Rather, they form part of a given against which must be decided whether or not there was occasion, as the primary judge found, for the making of the order under s 37AO of the Federal Court Act.</w:t>
      </w:r>
    </w:p>
    <w:p w14:paraId="5659FA94" w14:textId="0CBC1F28" w:rsidR="006435DC" w:rsidRPr="00015D47" w:rsidRDefault="00BA43AF" w:rsidP="00BA43AF">
      <w:pPr>
        <w:pStyle w:val="ParaNumbering"/>
      </w:pPr>
      <w:r>
        <w:t xml:space="preserve">Returning to </w:t>
      </w:r>
      <w:r>
        <w:rPr>
          <w:i/>
        </w:rPr>
        <w:t>Attorney-</w:t>
      </w:r>
      <w:r w:rsidRPr="00BA43AF">
        <w:rPr>
          <w:i/>
        </w:rPr>
        <w:t>General (Victoria) v</w:t>
      </w:r>
      <w:r w:rsidRPr="00BA43AF">
        <w:t xml:space="preserve"> </w:t>
      </w:r>
      <w:r>
        <w:rPr>
          <w:i/>
        </w:rPr>
        <w:t xml:space="preserve">Garrett, </w:t>
      </w:r>
      <w:r w:rsidR="00B81F27">
        <w:t>a</w:t>
      </w:r>
      <w:r w:rsidR="00015D47">
        <w:t xml:space="preserve">t [22]-[23], </w:t>
      </w:r>
      <w:r w:rsidR="005A31C7">
        <w:t xml:space="preserve">McDonald J concluded that s 91(1) of the </w:t>
      </w:r>
      <w:r w:rsidR="005A31C7">
        <w:rPr>
          <w:i/>
        </w:rPr>
        <w:t>Evidence Act</w:t>
      </w:r>
      <w:r w:rsidR="005A31C7">
        <w:t xml:space="preserve"> was a codification of the common law principles which underlay the </w:t>
      </w:r>
      <w:r w:rsidR="00015D47">
        <w:t xml:space="preserve">statements of Ormiston JA in </w:t>
      </w:r>
      <w:r w:rsidR="00F5284F" w:rsidRPr="00F5284F">
        <w:rPr>
          <w:i/>
        </w:rPr>
        <w:t>Kay</w:t>
      </w:r>
      <w:r w:rsidR="00F5284F">
        <w:t xml:space="preserve">, </w:t>
      </w:r>
      <w:r w:rsidR="00015D47" w:rsidRPr="00F5284F">
        <w:t>and</w:t>
      </w:r>
      <w:r w:rsidR="00015D47" w:rsidRPr="00015D47">
        <w:t xml:space="preserve"> of Ashley J in</w:t>
      </w:r>
      <w:r w:rsidR="00015D47">
        <w:rPr>
          <w:i/>
        </w:rPr>
        <w:t xml:space="preserve"> Horvath</w:t>
      </w:r>
      <w:r w:rsidR="008D0B28">
        <w:t xml:space="preserve">, and that s 91(1) of the </w:t>
      </w:r>
      <w:r w:rsidR="008D0B28">
        <w:rPr>
          <w:i/>
        </w:rPr>
        <w:t xml:space="preserve">Evidence Act </w:t>
      </w:r>
      <w:r w:rsidR="008D0B28">
        <w:t>did not preclude</w:t>
      </w:r>
      <w:r w:rsidR="006C5F57">
        <w:t xml:space="preserve"> the admission into evidence of judgments and orders</w:t>
      </w:r>
      <w:r w:rsidR="00730614">
        <w:t xml:space="preserve"> as being relevant to the question</w:t>
      </w:r>
      <w:r w:rsidR="004E6845">
        <w:t xml:space="preserve"> </w:t>
      </w:r>
      <w:r w:rsidR="00730614">
        <w:t>whether, for the purposes of the Victorian legislation, a person had persistently and without reasonable grounds conducted vexatious proceedings</w:t>
      </w:r>
      <w:r w:rsidR="00015D47">
        <w:rPr>
          <w:i/>
        </w:rPr>
        <w:t> –</w:t>
      </w:r>
    </w:p>
    <w:p w14:paraId="3DF44190" w14:textId="62627650" w:rsidR="00015D47" w:rsidRDefault="006C5F57" w:rsidP="006C5F57">
      <w:pPr>
        <w:pStyle w:val="Quote1"/>
        <w:ind w:left="1440" w:hanging="703"/>
      </w:pPr>
      <w:r>
        <w:t>22</w:t>
      </w:r>
      <w:r>
        <w:tab/>
      </w:r>
      <w:r w:rsidR="00015D47">
        <w:t xml:space="preserve">I have concluded that the judgments of Ormiston JA in </w:t>
      </w:r>
      <w:r w:rsidR="00015D47" w:rsidRPr="006C5F57">
        <w:rPr>
          <w:i/>
        </w:rPr>
        <w:t>Kay</w:t>
      </w:r>
      <w:r w:rsidR="00015D47">
        <w:t xml:space="preserve"> and Ashley J in</w:t>
      </w:r>
      <w:r w:rsidR="00FD77C5">
        <w:t xml:space="preserve"> </w:t>
      </w:r>
      <w:r w:rsidR="00015D47" w:rsidRPr="006C5F57">
        <w:rPr>
          <w:i/>
        </w:rPr>
        <w:t>Attorney-General (Vic) v Horvath, Senior</w:t>
      </w:r>
      <w:r w:rsidR="00FD77C5">
        <w:t xml:space="preserve"> </w:t>
      </w:r>
      <w:r w:rsidR="00015D47">
        <w:t>although preceding the enactment</w:t>
      </w:r>
      <w:r w:rsidR="00FD77C5">
        <w:t xml:space="preserve"> </w:t>
      </w:r>
      <w:r w:rsidR="00015D47">
        <w:t xml:space="preserve">of s 91 of the </w:t>
      </w:r>
      <w:r w:rsidR="00015D47" w:rsidRPr="006C5F57">
        <w:rPr>
          <w:i/>
        </w:rPr>
        <w:t>Evidence Act</w:t>
      </w:r>
      <w:r w:rsidR="00015D47">
        <w:t>, correctly state the test for the admissibility of</w:t>
      </w:r>
      <w:r w:rsidR="00FD77C5">
        <w:t xml:space="preserve"> </w:t>
      </w:r>
      <w:r w:rsidR="00015D47">
        <w:t>evidence to be relied upon in an application for a general litigation restraint</w:t>
      </w:r>
      <w:r w:rsidR="00FD77C5">
        <w:t xml:space="preserve"> </w:t>
      </w:r>
      <w:r w:rsidR="00015D47">
        <w:t>order. A judge hearing a general litigation restraint order application must</w:t>
      </w:r>
      <w:r w:rsidR="00FD77C5">
        <w:t xml:space="preserve"> </w:t>
      </w:r>
      <w:r w:rsidR="00015D47">
        <w:t>make an independent determination of whether an individual has commenced</w:t>
      </w:r>
      <w:r w:rsidR="00FD77C5">
        <w:t xml:space="preserve"> </w:t>
      </w:r>
      <w:r w:rsidR="00015D47">
        <w:t>and/or conducted vexatious proceedings. In doing so, a judge is entitled</w:t>
      </w:r>
      <w:r w:rsidR="00FD77C5">
        <w:t xml:space="preserve"> </w:t>
      </w:r>
      <w:r w:rsidR="00015D47">
        <w:t>to have regard to court orders and reasons for judgment in proceedings</w:t>
      </w:r>
      <w:r w:rsidR="00FD77C5">
        <w:t xml:space="preserve"> </w:t>
      </w:r>
      <w:r w:rsidR="00015D47">
        <w:t>which are relied upon by the applicant for the order. Insofar as judgments</w:t>
      </w:r>
      <w:r w:rsidR="00FD77C5">
        <w:t xml:space="preserve"> </w:t>
      </w:r>
      <w:r w:rsidR="00015D47">
        <w:t>and court orders record findings as to the nature of proceedings (such as</w:t>
      </w:r>
      <w:r w:rsidR="00FD77C5">
        <w:t xml:space="preserve"> </w:t>
      </w:r>
      <w:r w:rsidR="00015D47">
        <w:t>whether the proceedings should be dismissed as an abuse of process), this</w:t>
      </w:r>
      <w:r w:rsidR="00FD77C5">
        <w:t xml:space="preserve"> </w:t>
      </w:r>
      <w:r w:rsidR="00015D47">
        <w:t>is a finding of mixed fact and law. Section 91 does not operate to preclude</w:t>
      </w:r>
      <w:r w:rsidR="00FD77C5">
        <w:t xml:space="preserve"> </w:t>
      </w:r>
      <w:r w:rsidR="00015D47">
        <w:t>reasons for judgment and orders in respect of such proceedings from being</w:t>
      </w:r>
      <w:r w:rsidR="00FD77C5">
        <w:t xml:space="preserve"> </w:t>
      </w:r>
      <w:r w:rsidR="00015D47">
        <w:t>admitted into evidence in support of an application for a general litigation</w:t>
      </w:r>
      <w:r w:rsidR="00FD77C5">
        <w:t xml:space="preserve"> </w:t>
      </w:r>
      <w:r w:rsidR="00015D47">
        <w:t>restraint order.</w:t>
      </w:r>
    </w:p>
    <w:p w14:paraId="3FB8B629" w14:textId="079D98A0" w:rsidR="005F2AA8" w:rsidRDefault="006C5F57" w:rsidP="006C5F57">
      <w:pPr>
        <w:pStyle w:val="Quote1"/>
        <w:ind w:left="1440" w:hanging="703"/>
      </w:pPr>
      <w:r>
        <w:lastRenderedPageBreak/>
        <w:t>23</w:t>
      </w:r>
      <w:r>
        <w:tab/>
      </w:r>
      <w:r w:rsidR="00FD77C5">
        <w:t xml:space="preserve">Section 91(1) of the </w:t>
      </w:r>
      <w:r w:rsidR="00FD77C5" w:rsidRPr="006C5F57">
        <w:rPr>
          <w:i/>
        </w:rPr>
        <w:t>Evidence Act</w:t>
      </w:r>
      <w:r w:rsidR="00FD77C5">
        <w:t xml:space="preserve"> codifies a long-standing common law principle that findings of fact in one judgment are inadmissible in a subsequent proceeding as against a non-party to the prior proceeding, except, where relevant, to ascertain the parties to those proceedings and the issues raised in the litigation as disclosed in the reasons for judgment.</w:t>
      </w:r>
      <w:r w:rsidR="005F2AA8">
        <w:t xml:space="preserve"> </w:t>
      </w:r>
      <w:r w:rsidR="00FD77C5">
        <w:t>The judgments</w:t>
      </w:r>
      <w:r w:rsidR="005F2AA8">
        <w:t xml:space="preserve"> </w:t>
      </w:r>
      <w:r w:rsidR="00FD77C5">
        <w:t xml:space="preserve">in </w:t>
      </w:r>
      <w:r w:rsidR="00FD77C5" w:rsidRPr="00CF7B51">
        <w:rPr>
          <w:i/>
        </w:rPr>
        <w:t>Kay</w:t>
      </w:r>
      <w:r w:rsidR="00FD77C5">
        <w:t xml:space="preserve"> and </w:t>
      </w:r>
      <w:r w:rsidR="00FD77C5" w:rsidRPr="00CF7B51">
        <w:rPr>
          <w:i/>
        </w:rPr>
        <w:t>Horvath</w:t>
      </w:r>
      <w:r w:rsidR="00FD77C5">
        <w:t xml:space="preserve"> preceded the enactment of s 91 of the </w:t>
      </w:r>
      <w:r w:rsidR="00FD77C5" w:rsidRPr="00CF7B51">
        <w:rPr>
          <w:i/>
        </w:rPr>
        <w:t>Evidence</w:t>
      </w:r>
      <w:r w:rsidR="00FD77C5">
        <w:t xml:space="preserve"> </w:t>
      </w:r>
      <w:r w:rsidR="00FD77C5" w:rsidRPr="00CF7B51">
        <w:rPr>
          <w:i/>
        </w:rPr>
        <w:t>Act</w:t>
      </w:r>
      <w:r w:rsidR="009248B0">
        <w:t xml:space="preserve">. </w:t>
      </w:r>
      <w:r w:rsidR="005F2AA8">
        <w:t xml:space="preserve">However, the admissibility of the judgments and orders relied upon in those proceedings was subject to a common law principle relevantly indistinguishable from the terms of s 91(1). Further, there is a substantial body of authority in respect of s 21(2) of the </w:t>
      </w:r>
      <w:r w:rsidR="005F2AA8" w:rsidRPr="00F5284F">
        <w:rPr>
          <w:i/>
        </w:rPr>
        <w:t>Supreme Court Act 1986</w:t>
      </w:r>
      <w:r w:rsidR="005F2AA8">
        <w:t xml:space="preserve"> which has applied the reasoning of Ashley J in </w:t>
      </w:r>
      <w:r w:rsidR="005F2AA8" w:rsidRPr="00F5284F">
        <w:rPr>
          <w:i/>
        </w:rPr>
        <w:t>Horvath</w:t>
      </w:r>
      <w:r w:rsidR="005F2AA8">
        <w:t xml:space="preserve"> subsequent to the enactment of s 91 of the </w:t>
      </w:r>
      <w:r w:rsidR="005F2AA8" w:rsidRPr="00F5284F">
        <w:rPr>
          <w:i/>
        </w:rPr>
        <w:t>Evidence Act</w:t>
      </w:r>
      <w:r w:rsidR="00F5284F" w:rsidRPr="00F5284F">
        <w:rPr>
          <w:i/>
        </w:rPr>
        <w:t xml:space="preserve"> 2008</w:t>
      </w:r>
      <w:r w:rsidR="005F2AA8">
        <w:t xml:space="preserve">. These judgments include the judgment of the Court of Appeal in </w:t>
      </w:r>
      <w:proofErr w:type="spellStart"/>
      <w:r w:rsidR="005F2AA8" w:rsidRPr="009248B0">
        <w:rPr>
          <w:i/>
        </w:rPr>
        <w:t>Slaveski</w:t>
      </w:r>
      <w:proofErr w:type="spellEnd"/>
      <w:r w:rsidR="005F2AA8" w:rsidRPr="009248B0">
        <w:rPr>
          <w:i/>
        </w:rPr>
        <w:t xml:space="preserve"> v Attorney-General (Vic)</w:t>
      </w:r>
      <w:r w:rsidR="009248B0" w:rsidRPr="009248B0">
        <w:rPr>
          <w:i/>
        </w:rPr>
        <w:t xml:space="preserve"> </w:t>
      </w:r>
      <w:r w:rsidR="009248B0">
        <w:t>[2013] VSCA 165 [29].</w:t>
      </w:r>
    </w:p>
    <w:p w14:paraId="43F4F749" w14:textId="565BC6E2" w:rsidR="00000E26" w:rsidRPr="000C2B7F" w:rsidRDefault="000C2B7F" w:rsidP="000C2B7F">
      <w:pPr>
        <w:pStyle w:val="Quote1"/>
        <w:ind w:left="1440" w:hanging="703"/>
      </w:pPr>
      <w:r>
        <w:t>24.</w:t>
      </w:r>
      <w:r>
        <w:tab/>
      </w:r>
      <w:r w:rsidR="00000E26" w:rsidRPr="000C2B7F">
        <w:t xml:space="preserve">Further, when the </w:t>
      </w:r>
      <w:r w:rsidR="00000E26" w:rsidRPr="000C2B7F">
        <w:rPr>
          <w:i/>
        </w:rPr>
        <w:t>Vexatious Proceedings Act 2014</w:t>
      </w:r>
      <w:r w:rsidR="00000E26" w:rsidRPr="000C2B7F">
        <w:t xml:space="preserve"> was enacted, s 21(2) of the </w:t>
      </w:r>
      <w:r w:rsidR="00000E26" w:rsidRPr="000C2B7F">
        <w:rPr>
          <w:i/>
        </w:rPr>
        <w:t>Supreme Court Act 1986</w:t>
      </w:r>
      <w:r w:rsidR="00000E26" w:rsidRPr="000C2B7F">
        <w:t xml:space="preserve"> was of long standing. There is nothing in the terms of the </w:t>
      </w:r>
      <w:r w:rsidR="00000E26" w:rsidRPr="000C2B7F">
        <w:rPr>
          <w:i/>
        </w:rPr>
        <w:t>Vexatious Proceedings Act</w:t>
      </w:r>
      <w:r w:rsidR="00000E26" w:rsidRPr="000C2B7F">
        <w:t xml:space="preserve">, nor the parliamentary materials accompanying its enactment, which supports the conclusion that Parliament intended that the threshold for declaring an individual a vexatious litigant would be more onerous under the </w:t>
      </w:r>
      <w:r w:rsidR="00000E26" w:rsidRPr="000C2B7F">
        <w:rPr>
          <w:i/>
        </w:rPr>
        <w:t>Vexatious Proceedings Act</w:t>
      </w:r>
      <w:r w:rsidR="00000E26" w:rsidRPr="000C2B7F">
        <w:t xml:space="preserve"> than under s 21 of the </w:t>
      </w:r>
      <w:r w:rsidR="00000E26" w:rsidRPr="000C2B7F">
        <w:rPr>
          <w:i/>
        </w:rPr>
        <w:t>Supreme Court Act 1986</w:t>
      </w:r>
      <w:r w:rsidR="00000E26" w:rsidRPr="000C2B7F">
        <w:t xml:space="preserve">. To the contrary, s 29(2) broadens the range of matters to which the court may have regard for the purposes of being satisfied whether a general litigation restraint order should be made. The court may take into account any matter it considers relevant. The legislative intention to broaden the material which may be taken into account by the court is reflected in the second reading speech which accompanied the passage of the </w:t>
      </w:r>
      <w:r w:rsidR="00000E26" w:rsidRPr="000C2B7F">
        <w:rPr>
          <w:i/>
        </w:rPr>
        <w:t>Vexatious Proceedings Act</w:t>
      </w:r>
      <w:r w:rsidR="00000E26" w:rsidRPr="000C2B7F">
        <w:t xml:space="preserve"> through Parliament.</w:t>
      </w:r>
    </w:p>
    <w:p w14:paraId="58555EDD" w14:textId="4F3D213B" w:rsidR="00A325E7" w:rsidRDefault="00B159DC" w:rsidP="001E5049">
      <w:pPr>
        <w:pStyle w:val="ParaNumbering"/>
      </w:pPr>
      <w:bookmarkStart w:id="36" w:name="_Ref27456467"/>
      <w:r>
        <w:t xml:space="preserve">I pause to observe that one must be careful </w:t>
      </w:r>
      <w:r w:rsidR="008C634B">
        <w:t>before</w:t>
      </w:r>
      <w:r>
        <w:t xml:space="preserve"> treating</w:t>
      </w:r>
      <w:r w:rsidR="00A325E7">
        <w:t xml:space="preserve"> any provision of</w:t>
      </w:r>
      <w:r>
        <w:t xml:space="preserve"> the </w:t>
      </w:r>
      <w:r w:rsidRPr="001045B8">
        <w:rPr>
          <w:i/>
        </w:rPr>
        <w:t xml:space="preserve">Evidence Act </w:t>
      </w:r>
      <w:r>
        <w:t xml:space="preserve">as a codification </w:t>
      </w:r>
      <w:r w:rsidR="008C634B">
        <w:t xml:space="preserve">of </w:t>
      </w:r>
      <w:r w:rsidR="00A325E7">
        <w:t>a corresponding</w:t>
      </w:r>
      <w:r w:rsidR="008C634B">
        <w:t xml:space="preserve"> common law principle.</w:t>
      </w:r>
      <w:r w:rsidR="001045B8">
        <w:t xml:space="preserve"> </w:t>
      </w:r>
      <w:r w:rsidR="00A325E7">
        <w:t xml:space="preserve">In </w:t>
      </w:r>
      <w:proofErr w:type="spellStart"/>
      <w:r w:rsidR="00A325E7" w:rsidRPr="001045B8">
        <w:rPr>
          <w:i/>
        </w:rPr>
        <w:t>Papakosmas</w:t>
      </w:r>
      <w:proofErr w:type="spellEnd"/>
      <w:r w:rsidR="00A325E7" w:rsidRPr="001045B8">
        <w:rPr>
          <w:i/>
        </w:rPr>
        <w:t xml:space="preserve"> v The Queen</w:t>
      </w:r>
      <w:r w:rsidR="001045B8">
        <w:t xml:space="preserve"> [</w:t>
      </w:r>
      <w:r w:rsidR="00A325E7">
        <w:t>1999</w:t>
      </w:r>
      <w:r w:rsidR="001045B8">
        <w:t xml:space="preserve">] HCA </w:t>
      </w:r>
      <w:r w:rsidR="002B5C9A">
        <w:t>37</w:t>
      </w:r>
      <w:r w:rsidR="001045B8">
        <w:t>;</w:t>
      </w:r>
      <w:r w:rsidR="00A325E7">
        <w:t xml:space="preserve"> 196 CLR 297</w:t>
      </w:r>
      <w:r w:rsidR="004E6845">
        <w:t>,</w:t>
      </w:r>
      <w:r w:rsidR="00A325E7">
        <w:t xml:space="preserve"> at [10]</w:t>
      </w:r>
      <w:r w:rsidR="004E6845">
        <w:t>,</w:t>
      </w:r>
      <w:r w:rsidR="001045B8">
        <w:t xml:space="preserve"> </w:t>
      </w:r>
      <w:r w:rsidR="00A325E7">
        <w:t>Gleeson</w:t>
      </w:r>
      <w:r w:rsidR="001045B8">
        <w:t> CJ</w:t>
      </w:r>
      <w:r w:rsidR="00A325E7">
        <w:t xml:space="preserve"> and Hayne J observed in</w:t>
      </w:r>
      <w:r w:rsidR="00A325E7" w:rsidRPr="001045B8">
        <w:rPr>
          <w:i/>
        </w:rPr>
        <w:t xml:space="preserve"> </w:t>
      </w:r>
      <w:r w:rsidR="00A325E7">
        <w:t xml:space="preserve">relation to the New South Wales </w:t>
      </w:r>
      <w:r w:rsidR="002B5C9A" w:rsidRPr="002B5C9A">
        <w:rPr>
          <w:i/>
        </w:rPr>
        <w:t xml:space="preserve">Evidence </w:t>
      </w:r>
      <w:r w:rsidR="00A325E7" w:rsidRPr="002B5C9A">
        <w:rPr>
          <w:i/>
        </w:rPr>
        <w:t>Act</w:t>
      </w:r>
      <w:r w:rsidR="00A325E7">
        <w:t> –</w:t>
      </w:r>
    </w:p>
    <w:p w14:paraId="7077FA1C" w14:textId="3B2987B4" w:rsidR="00A325E7" w:rsidRDefault="00A325E7" w:rsidP="001045B8">
      <w:pPr>
        <w:pStyle w:val="Quote1"/>
      </w:pPr>
      <w:r w:rsidRPr="00A04119">
        <w:t>It is clear from the language of the Act, and from its legislative history, that it was intended to make, and that it has made, substantial changes to the law of evidence in New South Wales. Similar legislation has been enacted by the Pa</w:t>
      </w:r>
      <w:r w:rsidR="002B5C9A">
        <w:t>rliament of the Commonwealth</w:t>
      </w:r>
      <w:r w:rsidRPr="00A04119">
        <w:t>. Section 9 of the Act provides that it does not affect the operation of the common law except so far as the Act provides otherwise expressly or by necessary intendment. Even so, the sections of the Act relevant to this case undoubtedly make express provision different from the common law. It is the language of the statute which now determines the manner in which evidence of the kind present</w:t>
      </w:r>
      <w:r w:rsidR="00701EBE">
        <w:t>ly in question is to be treated</w:t>
      </w:r>
      <w:bookmarkStart w:id="37" w:name="_GoBack"/>
      <w:bookmarkEnd w:id="37"/>
      <w:r w:rsidR="00F30725">
        <w:t xml:space="preserve"> …</w:t>
      </w:r>
    </w:p>
    <w:p w14:paraId="758AE125" w14:textId="68F98634" w:rsidR="005A1D4F" w:rsidRDefault="002C3523" w:rsidP="00E82945">
      <w:pPr>
        <w:pStyle w:val="ParaNumbering"/>
      </w:pPr>
      <w:r>
        <w:t xml:space="preserve">In </w:t>
      </w:r>
      <w:r w:rsidR="006E6D49">
        <w:rPr>
          <w:i/>
        </w:rPr>
        <w:t>Attorney-</w:t>
      </w:r>
      <w:r w:rsidR="006E6D49" w:rsidRPr="00BA43AF">
        <w:rPr>
          <w:i/>
        </w:rPr>
        <w:t>General (Victoria) v</w:t>
      </w:r>
      <w:r w:rsidR="006E6D49" w:rsidRPr="00BA43AF">
        <w:t xml:space="preserve"> </w:t>
      </w:r>
      <w:r w:rsidR="006E6D49">
        <w:rPr>
          <w:i/>
        </w:rPr>
        <w:t>Garrett</w:t>
      </w:r>
      <w:r>
        <w:rPr>
          <w:i/>
        </w:rPr>
        <w:t xml:space="preserve">, </w:t>
      </w:r>
      <w:r w:rsidR="005A1D4F">
        <w:t>McDonald J then set out a passage from the second reading speech of the Attorney-General in the Legislative Assem</w:t>
      </w:r>
      <w:r w:rsidR="00E232FE">
        <w:t>bly of the Victorian Parliament and concluded as follows at [26] –</w:t>
      </w:r>
    </w:p>
    <w:p w14:paraId="6D8D1DC5" w14:textId="70447253" w:rsidR="00E232FE" w:rsidRPr="00FE0EB7" w:rsidRDefault="00FE0EB7" w:rsidP="00E232FE">
      <w:pPr>
        <w:pStyle w:val="Quote1"/>
      </w:pPr>
      <w:r w:rsidRPr="00FE0EB7">
        <w:t>26</w:t>
      </w:r>
      <w:r w:rsidRPr="00FE0EB7">
        <w:tab/>
      </w:r>
      <w:r w:rsidR="00E232FE" w:rsidRPr="00FE0EB7">
        <w:t>My conclusion that:</w:t>
      </w:r>
    </w:p>
    <w:p w14:paraId="59BC05A0" w14:textId="77777777" w:rsidR="00E232FE" w:rsidRPr="00FE0EB7" w:rsidRDefault="00E232FE" w:rsidP="000A6496">
      <w:pPr>
        <w:pStyle w:val="Quote2Bullet"/>
      </w:pPr>
      <w:r w:rsidRPr="00FE0EB7">
        <w:t>section 91(1) codiﬁed a long-standing common law principle;</w:t>
      </w:r>
    </w:p>
    <w:p w14:paraId="1D30BD18" w14:textId="5D3AD50C" w:rsidR="00E232FE" w:rsidRPr="00FE0EB7" w:rsidRDefault="00E232FE" w:rsidP="000A6496">
      <w:pPr>
        <w:pStyle w:val="Quote2Bullet"/>
      </w:pPr>
      <w:r w:rsidRPr="00FE0EB7">
        <w:t xml:space="preserve">there was a long history of the Supreme Court having regard to </w:t>
      </w:r>
      <w:r w:rsidRPr="00FE0EB7">
        <w:lastRenderedPageBreak/>
        <w:t>judgments and orders when determi</w:t>
      </w:r>
      <w:r w:rsidR="000A6496">
        <w:t>ning vexatious litigation appli</w:t>
      </w:r>
      <w:r w:rsidRPr="00FE0EB7">
        <w:t>cations, including applications heard subsequent to the enactment of s 91(1); and</w:t>
      </w:r>
    </w:p>
    <w:p w14:paraId="71D2FFC2" w14:textId="77777777" w:rsidR="00E232FE" w:rsidRPr="00FE0EB7" w:rsidRDefault="00E232FE" w:rsidP="000A6496">
      <w:pPr>
        <w:pStyle w:val="Quote2Bullet"/>
      </w:pPr>
      <w:r w:rsidRPr="00FE0EB7">
        <w:t xml:space="preserve">that the </w:t>
      </w:r>
      <w:r w:rsidRPr="000A6496">
        <w:rPr>
          <w:i/>
        </w:rPr>
        <w:t>Vexatious Proceedings Act</w:t>
      </w:r>
      <w:r w:rsidRPr="00FE0EB7">
        <w:t xml:space="preserve"> and the materials accompanying its passage through Parliament manifest a clear legislative intention to expand the range of matters which can be taken into account by a court informing the requisite satisfaction that an individual has commenced and/or conducted vexatious proceedings</w:t>
      </w:r>
    </w:p>
    <w:p w14:paraId="1A934DCB" w14:textId="43A44302" w:rsidR="00E232FE" w:rsidRPr="00FE0EB7" w:rsidRDefault="00E232FE" w:rsidP="000A6496">
      <w:pPr>
        <w:pStyle w:val="Quote2"/>
      </w:pPr>
      <w:proofErr w:type="gramStart"/>
      <w:r w:rsidRPr="00FE0EB7">
        <w:t>supports</w:t>
      </w:r>
      <w:proofErr w:type="gramEnd"/>
      <w:r w:rsidRPr="00FE0EB7">
        <w:t xml:space="preserve"> a ﬁnding that the Court is not precluded by s 91(1) of the </w:t>
      </w:r>
      <w:r w:rsidR="000A6496" w:rsidRPr="000A6496">
        <w:rPr>
          <w:i/>
        </w:rPr>
        <w:t>Evi</w:t>
      </w:r>
      <w:r w:rsidRPr="000A6496">
        <w:rPr>
          <w:i/>
        </w:rPr>
        <w:t>dence Act</w:t>
      </w:r>
      <w:r w:rsidRPr="00FE0EB7">
        <w:t xml:space="preserve"> from admitting into evidence, judgments and orders relevant to the question of whether a person has persistently and without reasonable</w:t>
      </w:r>
      <w:r w:rsidR="00FE0EB7">
        <w:t xml:space="preserve"> </w:t>
      </w:r>
      <w:r w:rsidRPr="00FE0EB7">
        <w:t>ducted vexatious proceedings.</w:t>
      </w:r>
    </w:p>
    <w:p w14:paraId="6094A31A" w14:textId="0763E7C6" w:rsidR="004906C0" w:rsidRDefault="006E793E" w:rsidP="00455B22">
      <w:pPr>
        <w:pStyle w:val="ParaNumbering"/>
      </w:pPr>
      <w:bookmarkStart w:id="38" w:name="_Ref27411560"/>
      <w:r>
        <w:t>I</w:t>
      </w:r>
      <w:r w:rsidR="004906C0">
        <w:t xml:space="preserve">n </w:t>
      </w:r>
      <w:r w:rsidR="004906C0" w:rsidRPr="00AB1C56">
        <w:rPr>
          <w:i/>
        </w:rPr>
        <w:t xml:space="preserve">King v </w:t>
      </w:r>
      <w:proofErr w:type="spellStart"/>
      <w:r w:rsidR="004906C0" w:rsidRPr="00AB1C56">
        <w:rPr>
          <w:i/>
        </w:rPr>
        <w:t>Muriniti</w:t>
      </w:r>
      <w:proofErr w:type="spellEnd"/>
      <w:r w:rsidR="004906C0" w:rsidRPr="00AB1C56">
        <w:rPr>
          <w:i/>
        </w:rPr>
        <w:t xml:space="preserve"> </w:t>
      </w:r>
      <w:r w:rsidR="00985D00">
        <w:t>[</w:t>
      </w:r>
      <w:r w:rsidR="004906C0" w:rsidRPr="00FC5DB9">
        <w:t>2018</w:t>
      </w:r>
      <w:r w:rsidR="00985D00">
        <w:t xml:space="preserve">] NSWCA </w:t>
      </w:r>
      <w:r w:rsidR="00127F78">
        <w:t>98;</w:t>
      </w:r>
      <w:r w:rsidR="004906C0" w:rsidRPr="00AB1C56">
        <w:rPr>
          <w:i/>
        </w:rPr>
        <w:t xml:space="preserve"> </w:t>
      </w:r>
      <w:r w:rsidR="004906C0">
        <w:t>97 NSWLR 991</w:t>
      </w:r>
      <w:r w:rsidR="00DC16BE">
        <w:t xml:space="preserve">, the question before the </w:t>
      </w:r>
      <w:r w:rsidR="00DF49EA">
        <w:t xml:space="preserve">New South Wales </w:t>
      </w:r>
      <w:r w:rsidR="00DC16BE">
        <w:t xml:space="preserve">Court of Appeal </w:t>
      </w:r>
      <w:r w:rsidR="00010AD6">
        <w:t>was whether a finding in a</w:t>
      </w:r>
      <w:r w:rsidR="004A4F61">
        <w:t xml:space="preserve"> </w:t>
      </w:r>
      <w:r w:rsidR="002A2FD7">
        <w:t>proceeding</w:t>
      </w:r>
      <w:r w:rsidR="004A4F61">
        <w:t xml:space="preserve"> between </w:t>
      </w:r>
      <w:r w:rsidR="008879E3">
        <w:t>parties</w:t>
      </w:r>
      <w:r w:rsidR="002A2FD7">
        <w:t xml:space="preserve"> that an appeal was hopeless</w:t>
      </w:r>
      <w:r w:rsidR="00977CEB">
        <w:t xml:space="preserve"> could be relied upon in an application for a personal costs order against the legal practitioners for the unsuccessful </w:t>
      </w:r>
      <w:r w:rsidR="008879E3">
        <w:t>appellant</w:t>
      </w:r>
      <w:r w:rsidR="002A2FD7">
        <w:t xml:space="preserve">, or whether s 91 of the </w:t>
      </w:r>
      <w:r w:rsidR="002A2FD7" w:rsidRPr="00AB1C56">
        <w:rPr>
          <w:i/>
        </w:rPr>
        <w:t>Evidence Act</w:t>
      </w:r>
      <w:r w:rsidR="008C5587" w:rsidRPr="00AB1C56">
        <w:rPr>
          <w:i/>
        </w:rPr>
        <w:t xml:space="preserve"> </w:t>
      </w:r>
      <w:r w:rsidR="008C5587">
        <w:t xml:space="preserve">precluded </w:t>
      </w:r>
      <w:r w:rsidR="00010AD6">
        <w:t xml:space="preserve">such </w:t>
      </w:r>
      <w:r w:rsidR="008C5587">
        <w:t>reliance</w:t>
      </w:r>
      <w:r w:rsidR="00977CEB">
        <w:t xml:space="preserve">. </w:t>
      </w:r>
      <w:proofErr w:type="spellStart"/>
      <w:r w:rsidR="004906C0">
        <w:t>Basten</w:t>
      </w:r>
      <w:proofErr w:type="spellEnd"/>
      <w:r w:rsidR="004906C0">
        <w:t> JA</w:t>
      </w:r>
      <w:r w:rsidR="008C5587">
        <w:t xml:space="preserve">, with whom Gleeson JA agreed, held that </w:t>
      </w:r>
      <w:r w:rsidR="00632799">
        <w:t xml:space="preserve">s 91 was not engaged in those circumstances, principally on the ground that the jurisdiction to award costs against the legal practitioners </w:t>
      </w:r>
      <w:r w:rsidR="008879E3">
        <w:t>wa</w:t>
      </w:r>
      <w:r w:rsidR="00052685">
        <w:t>s exercised in the proceeding between the original parties</w:t>
      </w:r>
      <w:r w:rsidR="0041634E">
        <w:t xml:space="preserve">, and that the power is engaged upon </w:t>
      </w:r>
      <w:r w:rsidR="005066FA">
        <w:t xml:space="preserve">it appearing to </w:t>
      </w:r>
      <w:r w:rsidR="0041634E">
        <w:t xml:space="preserve">the Court </w:t>
      </w:r>
      <w:r w:rsidR="005066FA">
        <w:t>that costs were incurred on a particular bas</w:t>
      </w:r>
      <w:r w:rsidR="00010AD6">
        <w:t>is</w:t>
      </w:r>
      <w:r w:rsidR="00E86342">
        <w:t>, and that there was no need to rely upon findings in the judgment, which could simply be repeated in the costs ruling</w:t>
      </w:r>
      <w:r w:rsidR="00052685">
        <w:t xml:space="preserve"> (see [37]</w:t>
      </w:r>
      <w:r w:rsidR="0041634E">
        <w:t>-[39])</w:t>
      </w:r>
      <w:r w:rsidR="00052685">
        <w:t>.</w:t>
      </w:r>
      <w:r w:rsidR="004906C0">
        <w:t xml:space="preserve"> </w:t>
      </w:r>
      <w:r w:rsidR="005066FA">
        <w:t>In the course of his Honour</w:t>
      </w:r>
      <w:r w:rsidR="00AD58B0">
        <w:t>’</w:t>
      </w:r>
      <w:r w:rsidR="005066FA">
        <w:t xml:space="preserve">s reasons, </w:t>
      </w:r>
      <w:proofErr w:type="spellStart"/>
      <w:r w:rsidR="005066FA">
        <w:t>Basten</w:t>
      </w:r>
      <w:proofErr w:type="spellEnd"/>
      <w:r w:rsidR="005066FA">
        <w:t xml:space="preserve"> JA considered the </w:t>
      </w:r>
      <w:r w:rsidR="00B72561">
        <w:t xml:space="preserve">potential application of s 91 of the </w:t>
      </w:r>
      <w:r w:rsidR="00B72561" w:rsidRPr="00AB1C56">
        <w:rPr>
          <w:i/>
        </w:rPr>
        <w:t xml:space="preserve">Evidence Act </w:t>
      </w:r>
      <w:r w:rsidR="00B72561">
        <w:t xml:space="preserve">to judgments of another court that </w:t>
      </w:r>
      <w:r w:rsidR="00F014E2">
        <w:t xml:space="preserve">were sought to be tendered in </w:t>
      </w:r>
      <w:r w:rsidR="008879E3">
        <w:t xml:space="preserve">applications for </w:t>
      </w:r>
      <w:r w:rsidR="00F014E2">
        <w:t xml:space="preserve">vexatious proceedings </w:t>
      </w:r>
      <w:r w:rsidR="008879E3">
        <w:t>orders</w:t>
      </w:r>
      <w:r w:rsidR="00F014E2">
        <w:t xml:space="preserve">. At [30], </w:t>
      </w:r>
      <w:proofErr w:type="spellStart"/>
      <w:r w:rsidR="00F014E2">
        <w:t>Basten</w:t>
      </w:r>
      <w:proofErr w:type="spellEnd"/>
      <w:r w:rsidR="00F014E2">
        <w:t xml:space="preserve"> JA referred to the decision of Simpson J in </w:t>
      </w:r>
      <w:r w:rsidR="00F014E2" w:rsidRPr="00AB1C56">
        <w:rPr>
          <w:i/>
        </w:rPr>
        <w:t>Martin</w:t>
      </w:r>
      <w:r w:rsidR="00AB1C56">
        <w:t>, and then</w:t>
      </w:r>
      <w:r w:rsidR="004906C0">
        <w:t xml:space="preserve"> </w:t>
      </w:r>
      <w:r w:rsidR="004906C0" w:rsidRPr="00ED695F">
        <w:t>cited</w:t>
      </w:r>
      <w:r w:rsidR="004906C0">
        <w:t xml:space="preserve"> </w:t>
      </w:r>
      <w:r w:rsidR="004906C0" w:rsidRPr="00AB1C56">
        <w:rPr>
          <w:i/>
        </w:rPr>
        <w:t xml:space="preserve">Teoh </w:t>
      </w:r>
      <w:r w:rsidR="004906C0">
        <w:t>at [53]</w:t>
      </w:r>
      <w:r w:rsidR="0038762A">
        <w:t xml:space="preserve"> (set out at [</w:t>
      </w:r>
      <w:r w:rsidR="0038762A">
        <w:fldChar w:fldCharType="begin"/>
      </w:r>
      <w:r w:rsidR="0038762A">
        <w:instrText xml:space="preserve"> REF _Ref27564250 \r \h </w:instrText>
      </w:r>
      <w:r w:rsidR="0038762A">
        <w:fldChar w:fldCharType="separate"/>
      </w:r>
      <w:r w:rsidR="00AD0A4F">
        <w:t>44</w:t>
      </w:r>
      <w:r w:rsidR="0038762A">
        <w:fldChar w:fldCharType="end"/>
      </w:r>
      <w:r w:rsidR="0038762A">
        <w:t>] above)</w:t>
      </w:r>
      <w:r w:rsidR="004906C0">
        <w:t xml:space="preserve">, before stating </w:t>
      </w:r>
      <w:r w:rsidR="004906C0" w:rsidRPr="00FD6598">
        <w:t>at [31]</w:t>
      </w:r>
      <w:r w:rsidR="00AB1C56">
        <w:t>-[32]</w:t>
      </w:r>
      <w:r w:rsidR="004906C0">
        <w:t> –</w:t>
      </w:r>
      <w:bookmarkEnd w:id="38"/>
    </w:p>
    <w:p w14:paraId="4141F769" w14:textId="5D127507" w:rsidR="004906C0" w:rsidRDefault="00CB393F" w:rsidP="00FC382C">
      <w:pPr>
        <w:pStyle w:val="Quote1"/>
        <w:ind w:left="1440" w:hanging="703"/>
      </w:pPr>
      <w:r>
        <w:t>31.</w:t>
      </w:r>
      <w:r>
        <w:tab/>
      </w:r>
      <w:r w:rsidR="004906C0">
        <w:t xml:space="preserve">What might well have been divined from that (undoubtedly accurate) statement was that the purpose and structure of the </w:t>
      </w:r>
      <w:r w:rsidR="004906C0" w:rsidRPr="00FE5FD4">
        <w:rPr>
          <w:i/>
        </w:rPr>
        <w:t>Vexatious Proceedings Act</w:t>
      </w:r>
      <w:r w:rsidR="004906C0">
        <w:t xml:space="preserve">, to say nothing of the language of s 8(2) as it then stood, was inconsistent with the operation of s 91 of the </w:t>
      </w:r>
      <w:r w:rsidR="004906C0" w:rsidRPr="00FE5FD4">
        <w:rPr>
          <w:i/>
        </w:rPr>
        <w:t>Evidence Act</w:t>
      </w:r>
      <w:r w:rsidR="004906C0">
        <w:t xml:space="preserve">, in relation to applications for vexatious proceedings orders. It was an available conclusion that that level of inconsistency could properly be resolved by treating the later statute (the </w:t>
      </w:r>
      <w:r w:rsidR="004906C0" w:rsidRPr="00FE5FD4">
        <w:rPr>
          <w:i/>
        </w:rPr>
        <w:t>Vexatious Proceedings Act</w:t>
      </w:r>
      <w:r w:rsidR="004906C0">
        <w:t xml:space="preserve">), which also had a specific operation with respect to a defined class of proceedings, as impliedly repealing (or, more precisely, withdrawing the operation of) the </w:t>
      </w:r>
      <w:r w:rsidR="004906C0" w:rsidRPr="00FE5FD4">
        <w:rPr>
          <w:i/>
        </w:rPr>
        <w:t>Evidence Act</w:t>
      </w:r>
      <w:r w:rsidR="004906C0">
        <w:t xml:space="preserve">, s 91, in relation to those proceedings. Such an approach to statutory construction would be consistent with that adopted in </w:t>
      </w:r>
      <w:proofErr w:type="spellStart"/>
      <w:r w:rsidR="004906C0" w:rsidRPr="00FE5FD4">
        <w:rPr>
          <w:i/>
        </w:rPr>
        <w:t>Probuild</w:t>
      </w:r>
      <w:proofErr w:type="spellEnd"/>
      <w:r w:rsidR="004906C0" w:rsidRPr="00FE5FD4">
        <w:rPr>
          <w:i/>
        </w:rPr>
        <w:t xml:space="preserve"> Constructions (</w:t>
      </w:r>
      <w:proofErr w:type="spellStart"/>
      <w:r w:rsidR="004906C0" w:rsidRPr="00FE5FD4">
        <w:rPr>
          <w:i/>
        </w:rPr>
        <w:t>Aust</w:t>
      </w:r>
      <w:proofErr w:type="spellEnd"/>
      <w:r w:rsidR="004906C0" w:rsidRPr="00FE5FD4">
        <w:rPr>
          <w:i/>
        </w:rPr>
        <w:t>) Pty Ltd v Shade Systems Pty Ltd</w:t>
      </w:r>
      <w:r w:rsidR="004906C0">
        <w:t xml:space="preserve"> (2018) 92 ALJR 24; [2018] HCA 4.</w:t>
      </w:r>
    </w:p>
    <w:p w14:paraId="2820740C" w14:textId="7C12FB1B" w:rsidR="00CB393F" w:rsidRDefault="00FC382C" w:rsidP="00FC382C">
      <w:pPr>
        <w:pStyle w:val="Quote1"/>
        <w:ind w:left="1440" w:hanging="703"/>
      </w:pPr>
      <w:r>
        <w:t>32.</w:t>
      </w:r>
      <w:r>
        <w:tab/>
      </w:r>
      <w:r w:rsidR="00CB393F">
        <w:t xml:space="preserve">In the later decision of </w:t>
      </w:r>
      <w:r w:rsidR="00CB393F" w:rsidRPr="00FC382C">
        <w:rPr>
          <w:i/>
        </w:rPr>
        <w:t xml:space="preserve">Attorney General for the State of New South Wales v </w:t>
      </w:r>
      <w:proofErr w:type="spellStart"/>
      <w:r w:rsidR="00CB393F" w:rsidRPr="00FC382C">
        <w:rPr>
          <w:i/>
        </w:rPr>
        <w:t>Mohareb</w:t>
      </w:r>
      <w:proofErr w:type="spellEnd"/>
      <w:r w:rsidR="00CB393F">
        <w:t xml:space="preserve">, Schmidt J disagreed with Simpson J in </w:t>
      </w:r>
      <w:r w:rsidR="00CB393F" w:rsidRPr="00FC382C">
        <w:rPr>
          <w:i/>
        </w:rPr>
        <w:t>Martin</w:t>
      </w:r>
      <w:r w:rsidR="00CB393F">
        <w:t xml:space="preserve">, stating that s 91 was not engaged at all. In the view of Schmidt J, the decision of the Commissioner of the Land and Environment Court, rejected in </w:t>
      </w:r>
      <w:r w:rsidR="00CB393F" w:rsidRPr="00FC382C">
        <w:rPr>
          <w:i/>
        </w:rPr>
        <w:t>Martin</w:t>
      </w:r>
      <w:r w:rsidR="00CB393F">
        <w:t xml:space="preserve">, was not tendered </w:t>
      </w:r>
      <w:r w:rsidR="00AD58B0">
        <w:t>“</w:t>
      </w:r>
      <w:r w:rsidR="00CB393F">
        <w:t xml:space="preserve">to </w:t>
      </w:r>
      <w:r w:rsidR="00CB393F">
        <w:lastRenderedPageBreak/>
        <w:t>prove the existence of facts that were in issue in the Land and Environment Court proceedings</w:t>
      </w:r>
      <w:r w:rsidR="00AD58B0">
        <w:t>”</w:t>
      </w:r>
      <w:r w:rsidR="00CB393F">
        <w:t xml:space="preserve">, but rather to prove that the defendant was a party to the proceedings, that they had been dismissed, and </w:t>
      </w:r>
      <w:r w:rsidR="00AD58B0">
        <w:t>“</w:t>
      </w:r>
      <w:r w:rsidR="00CB393F">
        <w:t>that this had been the result of the conclusions reached by the Commissioner, that the proceedings would be vexatious and frivolous if they were to proceed further</w:t>
      </w:r>
      <w:r w:rsidR="00AD58B0">
        <w:t>”</w:t>
      </w:r>
      <w:r w:rsidR="00CB393F">
        <w:t>.</w:t>
      </w:r>
      <w:r>
        <w:t xml:space="preserve"> </w:t>
      </w:r>
      <w:r w:rsidR="00CB393F">
        <w:t>However, that view disregards the extent to which s 91 is based on the exclusion of hearsay and opinion evidence.</w:t>
      </w:r>
    </w:p>
    <w:p w14:paraId="60F33569" w14:textId="11B1AC00" w:rsidR="00C26319" w:rsidRDefault="004202EB" w:rsidP="00C26319">
      <w:pPr>
        <w:pStyle w:val="ParaNumbering"/>
      </w:pPr>
      <w:bookmarkStart w:id="39" w:name="_Ref27411567"/>
      <w:r>
        <w:t xml:space="preserve">In addition to </w:t>
      </w:r>
      <w:r w:rsidR="00E14B18">
        <w:t>referring to</w:t>
      </w:r>
      <w:r>
        <w:t xml:space="preserve"> the possible inconsistency between s 91 of the </w:t>
      </w:r>
      <w:r w:rsidRPr="00C26319">
        <w:rPr>
          <w:i/>
        </w:rPr>
        <w:t xml:space="preserve">Evidence Act </w:t>
      </w:r>
      <w:r>
        <w:t xml:space="preserve">and the </w:t>
      </w:r>
      <w:r w:rsidRPr="00C26319">
        <w:rPr>
          <w:i/>
        </w:rPr>
        <w:t xml:space="preserve">Vexatious Proceedings Act, </w:t>
      </w:r>
      <w:proofErr w:type="spellStart"/>
      <w:r w:rsidR="004906C0">
        <w:t>Basten</w:t>
      </w:r>
      <w:proofErr w:type="spellEnd"/>
      <w:r w:rsidR="004906C0">
        <w:t xml:space="preserve"> JA </w:t>
      </w:r>
      <w:bookmarkEnd w:id="39"/>
      <w:r w:rsidR="00B22A0F">
        <w:t xml:space="preserve">identified </w:t>
      </w:r>
      <w:r w:rsidR="002D2E20">
        <w:t xml:space="preserve">two </w:t>
      </w:r>
      <w:r w:rsidR="00B22A0F">
        <w:t>other considerations that should be mentioned</w:t>
      </w:r>
      <w:r w:rsidR="002D2E20">
        <w:t xml:space="preserve">. </w:t>
      </w:r>
      <w:r w:rsidR="002D2E20" w:rsidRPr="006F581D">
        <w:rPr>
          <w:i/>
        </w:rPr>
        <w:t>First</w:t>
      </w:r>
      <w:r w:rsidR="002D2E20">
        <w:t>, s </w:t>
      </w:r>
      <w:r w:rsidR="00F1466F">
        <w:t xml:space="preserve">93 of the </w:t>
      </w:r>
      <w:r w:rsidR="00F1466F" w:rsidRPr="00C26319">
        <w:rPr>
          <w:i/>
        </w:rPr>
        <w:t xml:space="preserve">Evidence Act </w:t>
      </w:r>
      <w:r w:rsidR="00F1466F">
        <w:t xml:space="preserve">provides </w:t>
      </w:r>
      <w:r w:rsidR="00F8562C">
        <w:t xml:space="preserve">that Part 3.5, of which s 91 forms part, does not affect the operation of the law relating to </w:t>
      </w:r>
      <w:r w:rsidR="00F8562C" w:rsidRPr="00C26319">
        <w:rPr>
          <w:i/>
        </w:rPr>
        <w:t xml:space="preserve">res judicata </w:t>
      </w:r>
      <w:r w:rsidR="00F8562C">
        <w:t>or issue estoppel</w:t>
      </w:r>
      <w:r w:rsidR="006C2960">
        <w:t>.</w:t>
      </w:r>
      <w:r w:rsidR="00C22C3C">
        <w:t xml:space="preserve"> </w:t>
      </w:r>
      <w:r w:rsidR="00C22C3C" w:rsidRPr="00C22C3C">
        <w:t xml:space="preserve">In litigation between the same parties, an issue estoppel may arise in relation to a finding of fact </w:t>
      </w:r>
      <w:r w:rsidR="00E614C4">
        <w:t xml:space="preserve">or law </w:t>
      </w:r>
      <w:r w:rsidR="00C22C3C" w:rsidRPr="00C22C3C">
        <w:t xml:space="preserve">upon a final judicial decision: </w:t>
      </w:r>
      <w:proofErr w:type="spellStart"/>
      <w:r w:rsidR="00C22C3C" w:rsidRPr="00C26319">
        <w:rPr>
          <w:i/>
        </w:rPr>
        <w:t>Kuligowski</w:t>
      </w:r>
      <w:proofErr w:type="spellEnd"/>
      <w:r w:rsidR="00C22C3C" w:rsidRPr="00C26319">
        <w:rPr>
          <w:i/>
        </w:rPr>
        <w:t xml:space="preserve"> v </w:t>
      </w:r>
      <w:proofErr w:type="spellStart"/>
      <w:r w:rsidR="00C22C3C" w:rsidRPr="00C26319">
        <w:rPr>
          <w:i/>
        </w:rPr>
        <w:t>Metrobus</w:t>
      </w:r>
      <w:proofErr w:type="spellEnd"/>
      <w:r w:rsidR="00C22C3C" w:rsidRPr="00C22C3C">
        <w:t xml:space="preserve"> </w:t>
      </w:r>
      <w:r w:rsidR="001A4A57">
        <w:t>[2004] HCA 34;</w:t>
      </w:r>
      <w:r w:rsidR="001A4A57" w:rsidRPr="00C22C3C">
        <w:t xml:space="preserve"> </w:t>
      </w:r>
      <w:r w:rsidR="00C22C3C" w:rsidRPr="00C22C3C">
        <w:t>220 CLR 363 at [21]-[22].</w:t>
      </w:r>
      <w:r w:rsidR="00C22C3C">
        <w:t xml:space="preserve"> </w:t>
      </w:r>
      <w:r w:rsidR="00D60D56">
        <w:t>The decision of the New South Wales Court of Appeal</w:t>
      </w:r>
      <w:r w:rsidR="003F2CBC">
        <w:t xml:space="preserve"> comprising Allsop P, Tobias JA and Handley</w:t>
      </w:r>
      <w:r w:rsidR="006538D4">
        <w:t> AJA</w:t>
      </w:r>
      <w:r w:rsidR="00D60D56">
        <w:t xml:space="preserve"> in </w:t>
      </w:r>
      <w:proofErr w:type="spellStart"/>
      <w:r w:rsidR="00C26319" w:rsidRPr="00C26319">
        <w:rPr>
          <w:i/>
        </w:rPr>
        <w:t>Macatangay</w:t>
      </w:r>
      <w:proofErr w:type="spellEnd"/>
      <w:r w:rsidR="00C26319" w:rsidRPr="00C26319">
        <w:rPr>
          <w:i/>
        </w:rPr>
        <w:t xml:space="preserve"> v New South Wales (No 2)</w:t>
      </w:r>
      <w:r w:rsidR="00C26319" w:rsidRPr="00C26319">
        <w:t xml:space="preserve"> [2009] NSWCA 272</w:t>
      </w:r>
      <w:r w:rsidR="00C26319">
        <w:t xml:space="preserve"> </w:t>
      </w:r>
      <w:r w:rsidR="003F2CBC">
        <w:t>supports the view</w:t>
      </w:r>
      <w:r w:rsidR="00C26319">
        <w:t xml:space="preserve"> that </w:t>
      </w:r>
      <w:r w:rsidR="00C26319" w:rsidRPr="00C26319">
        <w:t xml:space="preserve">a decision to dismiss a proceeding as an abuse of process </w:t>
      </w:r>
      <w:r w:rsidR="00C26319">
        <w:t xml:space="preserve">is not </w:t>
      </w:r>
      <w:r w:rsidR="00C26319" w:rsidRPr="00C26319">
        <w:t>a final decision for the purposes of the doctrine of issue estoppel.</w:t>
      </w:r>
      <w:r w:rsidR="006538D4">
        <w:t xml:space="preserve"> This decision </w:t>
      </w:r>
      <w:r w:rsidR="007D4C5F">
        <w:t>has particular weight</w:t>
      </w:r>
      <w:r w:rsidR="006538D4">
        <w:t xml:space="preserve">, </w:t>
      </w:r>
      <w:r w:rsidR="007D4C5F">
        <w:t>noting that</w:t>
      </w:r>
      <w:r w:rsidR="006538D4">
        <w:t xml:space="preserve"> Handley </w:t>
      </w:r>
      <w:r w:rsidR="007D4C5F">
        <w:t>AJA</w:t>
      </w:r>
      <w:r w:rsidR="006538D4">
        <w:t xml:space="preserve"> was the author of Spencer Bower and Handley, </w:t>
      </w:r>
      <w:r w:rsidR="006538D4">
        <w:rPr>
          <w:i/>
        </w:rPr>
        <w:t xml:space="preserve">Res Judicata </w:t>
      </w:r>
      <w:r w:rsidR="006538D4">
        <w:t>(4</w:t>
      </w:r>
      <w:r w:rsidR="006538D4" w:rsidRPr="006538D4">
        <w:rPr>
          <w:vertAlign w:val="superscript"/>
        </w:rPr>
        <w:t>th</w:t>
      </w:r>
      <w:r w:rsidR="006538D4">
        <w:t xml:space="preserve"> edition, LexisNexis, </w:t>
      </w:r>
      <w:r w:rsidR="006B714C">
        <w:t>2009).</w:t>
      </w:r>
    </w:p>
    <w:p w14:paraId="3F082633" w14:textId="385539D0" w:rsidR="006C2960" w:rsidRDefault="00805020" w:rsidP="00805020">
      <w:pPr>
        <w:pStyle w:val="ParaNumbering"/>
      </w:pPr>
      <w:r w:rsidRPr="006F581D">
        <w:rPr>
          <w:i/>
        </w:rPr>
        <w:t>Second</w:t>
      </w:r>
      <w:r>
        <w:t xml:space="preserve">, </w:t>
      </w:r>
      <w:r w:rsidR="00621E34">
        <w:t>s </w:t>
      </w:r>
      <w:r w:rsidR="006C2960">
        <w:t xml:space="preserve">91 of the </w:t>
      </w:r>
      <w:r w:rsidR="006C2960">
        <w:rPr>
          <w:i/>
        </w:rPr>
        <w:t xml:space="preserve">Evidence Act </w:t>
      </w:r>
      <w:r w:rsidR="006C2960">
        <w:t xml:space="preserve">is qualified </w:t>
      </w:r>
      <w:r w:rsidR="001D6DBD">
        <w:t>by s </w:t>
      </w:r>
      <w:r w:rsidR="00904E4C">
        <w:t>190</w:t>
      </w:r>
      <w:r w:rsidR="001D6DBD">
        <w:t>, which provides</w:t>
      </w:r>
      <w:r w:rsidR="00904E4C">
        <w:t xml:space="preserve"> (inter alia)</w:t>
      </w:r>
      <w:r w:rsidR="001D6DBD">
        <w:t> –</w:t>
      </w:r>
    </w:p>
    <w:p w14:paraId="2B3A76F6" w14:textId="47ED2A26" w:rsidR="00B219BC" w:rsidRDefault="00B219BC" w:rsidP="009B3D0A">
      <w:pPr>
        <w:pStyle w:val="Quote1"/>
      </w:pPr>
      <w:r>
        <w:t>…</w:t>
      </w:r>
    </w:p>
    <w:p w14:paraId="6A1D8222" w14:textId="2939D8AF" w:rsidR="001D6DBD" w:rsidRDefault="00202825" w:rsidP="009B3D0A">
      <w:pPr>
        <w:pStyle w:val="Quote1"/>
        <w:ind w:left="1440" w:hanging="703"/>
      </w:pPr>
      <w:r w:rsidRPr="00202825">
        <w:t>(3</w:t>
      </w:r>
      <w:r>
        <w:t>)</w:t>
      </w:r>
      <w:r>
        <w:tab/>
      </w:r>
      <w:r w:rsidR="001D6DBD">
        <w:t>In a civil proceeding, the court may order that any one or more of the</w:t>
      </w:r>
      <w:r w:rsidR="00F96628">
        <w:t xml:space="preserve"> </w:t>
      </w:r>
      <w:r w:rsidR="001D6DBD">
        <w:t>provisions mentioned in subsection (1) do not apply in relation to evidence</w:t>
      </w:r>
      <w:r w:rsidR="00F96628">
        <w:t xml:space="preserve"> </w:t>
      </w:r>
      <w:r w:rsidR="001D6DBD">
        <w:t>if:</w:t>
      </w:r>
    </w:p>
    <w:p w14:paraId="33A43A39" w14:textId="5A55DF3B" w:rsidR="001D6DBD" w:rsidRDefault="001D6DBD" w:rsidP="009B3D0A">
      <w:pPr>
        <w:pStyle w:val="Quote2"/>
      </w:pPr>
      <w:r>
        <w:t>(a)</w:t>
      </w:r>
      <w:r w:rsidR="00F96628">
        <w:tab/>
      </w:r>
      <w:proofErr w:type="gramStart"/>
      <w:r>
        <w:t>the</w:t>
      </w:r>
      <w:proofErr w:type="gramEnd"/>
      <w:r>
        <w:t xml:space="preserve"> matter to which the evidence relates is not genuinely in dispute, or</w:t>
      </w:r>
    </w:p>
    <w:p w14:paraId="3895F126" w14:textId="2BCFFC5F" w:rsidR="001D6DBD" w:rsidRDefault="001D6DBD" w:rsidP="009B3D0A">
      <w:pPr>
        <w:pStyle w:val="Quote2"/>
        <w:ind w:left="2160" w:hanging="720"/>
      </w:pPr>
      <w:r>
        <w:t>(b)</w:t>
      </w:r>
      <w:r w:rsidR="00F96628">
        <w:tab/>
      </w:r>
      <w:proofErr w:type="gramStart"/>
      <w:r>
        <w:t>the</w:t>
      </w:r>
      <w:proofErr w:type="gramEnd"/>
      <w:r>
        <w:t xml:space="preserve"> application of those provisions would cause or involve unnecessary</w:t>
      </w:r>
      <w:r w:rsidR="00F96628">
        <w:t xml:space="preserve"> </w:t>
      </w:r>
      <w:r>
        <w:t>expense or delay</w:t>
      </w:r>
      <w:r w:rsidR="00D110D4">
        <w:t>.</w:t>
      </w:r>
    </w:p>
    <w:p w14:paraId="782BA30C" w14:textId="4BFBCB40" w:rsidR="00B219BC" w:rsidRDefault="00EB0DF0" w:rsidP="009B3D0A">
      <w:pPr>
        <w:pStyle w:val="Quote1"/>
        <w:ind w:left="1440" w:hanging="703"/>
      </w:pPr>
      <w:r>
        <w:t>(4)</w:t>
      </w:r>
      <w:r>
        <w:tab/>
      </w:r>
      <w:r w:rsidR="00B219BC">
        <w:t xml:space="preserve">Without limiting the matters that the court may take into account in deciding whether to exercise the power conferred by subsection (3), it is to take into account: </w:t>
      </w:r>
    </w:p>
    <w:p w14:paraId="3D1AF999" w14:textId="3EA0641D" w:rsidR="00B219BC" w:rsidRDefault="00B219BC" w:rsidP="009B3D0A">
      <w:pPr>
        <w:pStyle w:val="Quote2"/>
        <w:ind w:left="2160" w:hanging="720"/>
      </w:pPr>
      <w:r>
        <w:t>(a)</w:t>
      </w:r>
      <w:r w:rsidR="00EB0DF0">
        <w:tab/>
      </w:r>
      <w:proofErr w:type="gramStart"/>
      <w:r>
        <w:t>the</w:t>
      </w:r>
      <w:proofErr w:type="gramEnd"/>
      <w:r>
        <w:t xml:space="preserve"> importance of the evidence in the proceeding; and </w:t>
      </w:r>
    </w:p>
    <w:p w14:paraId="4EE62E55" w14:textId="5566279E" w:rsidR="00B219BC" w:rsidRDefault="00B219BC" w:rsidP="009B3D0A">
      <w:pPr>
        <w:pStyle w:val="Quote2"/>
        <w:ind w:left="2160" w:hanging="720"/>
      </w:pPr>
      <w:r>
        <w:t>(b)</w:t>
      </w:r>
      <w:r w:rsidR="00EB0DF0">
        <w:tab/>
      </w:r>
      <w:proofErr w:type="gramStart"/>
      <w:r>
        <w:t>the</w:t>
      </w:r>
      <w:proofErr w:type="gramEnd"/>
      <w:r>
        <w:t xml:space="preserve"> nature of the cause of action or defence and the nature of the subject matter of the proceeding; and </w:t>
      </w:r>
    </w:p>
    <w:p w14:paraId="6F8C6538" w14:textId="280B6B92" w:rsidR="00B219BC" w:rsidRDefault="00B219BC" w:rsidP="009B3D0A">
      <w:pPr>
        <w:pStyle w:val="Quote2"/>
        <w:ind w:left="2160" w:hanging="720"/>
      </w:pPr>
      <w:r>
        <w:t>(c)</w:t>
      </w:r>
      <w:r w:rsidR="00EB0DF0">
        <w:tab/>
      </w:r>
      <w:proofErr w:type="gramStart"/>
      <w:r>
        <w:t>the</w:t>
      </w:r>
      <w:proofErr w:type="gramEnd"/>
      <w:r>
        <w:t xml:space="preserve"> probative value of the evidence; and </w:t>
      </w:r>
    </w:p>
    <w:p w14:paraId="65119C48" w14:textId="37B5CF0F" w:rsidR="00904E4C" w:rsidRDefault="00B219BC" w:rsidP="009B3D0A">
      <w:pPr>
        <w:pStyle w:val="Quote2"/>
        <w:ind w:left="2160" w:hanging="720"/>
      </w:pPr>
      <w:r>
        <w:t>(d)</w:t>
      </w:r>
      <w:r w:rsidR="00EB0DF0">
        <w:tab/>
      </w:r>
      <w:proofErr w:type="gramStart"/>
      <w:r>
        <w:t>the</w:t>
      </w:r>
      <w:proofErr w:type="gramEnd"/>
      <w:r>
        <w:t xml:space="preserve"> powers of the court (if any) to adjourn the hearing, to make another order or to give a direction in relation to the evidence.</w:t>
      </w:r>
    </w:p>
    <w:p w14:paraId="29F5CEC4" w14:textId="5DECEE46" w:rsidR="00073BAF" w:rsidRDefault="004B32E0" w:rsidP="00455B22">
      <w:pPr>
        <w:pStyle w:val="ParaNumbering"/>
      </w:pPr>
      <w:r>
        <w:t>As to the discretion in s 190(3</w:t>
      </w:r>
      <w:proofErr w:type="gramStart"/>
      <w:r>
        <w:t>)</w:t>
      </w:r>
      <w:r w:rsidR="00C60121">
        <w:t>(</w:t>
      </w:r>
      <w:proofErr w:type="gramEnd"/>
      <w:r w:rsidR="00C60121">
        <w:t>b)</w:t>
      </w:r>
      <w:r>
        <w:t xml:space="preserve"> of the </w:t>
      </w:r>
      <w:r w:rsidRPr="00073BAF">
        <w:rPr>
          <w:i/>
        </w:rPr>
        <w:t>Evidence Act</w:t>
      </w:r>
      <w:r>
        <w:t xml:space="preserve">, in </w:t>
      </w:r>
      <w:r w:rsidRPr="00073BAF">
        <w:rPr>
          <w:i/>
        </w:rPr>
        <w:t>Martin</w:t>
      </w:r>
      <w:r w:rsidR="00B92AE2">
        <w:rPr>
          <w:i/>
        </w:rPr>
        <w:t>,</w:t>
      </w:r>
      <w:r w:rsidRPr="00073BAF">
        <w:rPr>
          <w:i/>
        </w:rPr>
        <w:t xml:space="preserve"> </w:t>
      </w:r>
      <w:r>
        <w:t xml:space="preserve">Simpson J </w:t>
      </w:r>
      <w:r w:rsidR="00C60121">
        <w:t xml:space="preserve">at [21]-[22] </w:t>
      </w:r>
      <w:r>
        <w:t xml:space="preserve">declined to exercise </w:t>
      </w:r>
      <w:r w:rsidR="00DF68D6">
        <w:t xml:space="preserve">it on the ground that the facts sought to be proved by the evidence </w:t>
      </w:r>
      <w:r w:rsidR="00662E05">
        <w:t>were</w:t>
      </w:r>
      <w:r w:rsidR="00DF68D6">
        <w:t xml:space="preserve"> </w:t>
      </w:r>
      <w:r w:rsidR="00DF68D6">
        <w:lastRenderedPageBreak/>
        <w:t xml:space="preserve">fundamental </w:t>
      </w:r>
      <w:r w:rsidR="00662E05">
        <w:t>to the issues to be determined, and that the considerations referred to in s 190(4)(b), (c) and (d) militated against</w:t>
      </w:r>
      <w:r w:rsidR="00B229B3">
        <w:t xml:space="preserve"> the use of s 190(3)(b).</w:t>
      </w:r>
      <w:r w:rsidR="00631C93">
        <w:t xml:space="preserve"> In </w:t>
      </w:r>
      <w:r w:rsidR="00631C93" w:rsidRPr="00073BAF">
        <w:rPr>
          <w:i/>
        </w:rPr>
        <w:t xml:space="preserve">King v </w:t>
      </w:r>
      <w:proofErr w:type="spellStart"/>
      <w:r w:rsidR="00631C93" w:rsidRPr="00073BAF">
        <w:rPr>
          <w:i/>
        </w:rPr>
        <w:t>Muriniti</w:t>
      </w:r>
      <w:proofErr w:type="spellEnd"/>
      <w:r w:rsidR="001276E2">
        <w:t>,</w:t>
      </w:r>
      <w:r w:rsidR="00631C93" w:rsidRPr="00631C93">
        <w:t xml:space="preserve"> </w:t>
      </w:r>
      <w:proofErr w:type="spellStart"/>
      <w:r w:rsidR="00631C93">
        <w:t>Basten</w:t>
      </w:r>
      <w:proofErr w:type="spellEnd"/>
      <w:r w:rsidR="00631C93">
        <w:t> JA observed</w:t>
      </w:r>
      <w:r w:rsidR="001276E2">
        <w:t xml:space="preserve"> at [22] that in the case before the Court, if the legal practitioner</w:t>
      </w:r>
      <w:r w:rsidR="00AD58B0">
        <w:t>’</w:t>
      </w:r>
      <w:r w:rsidR="001276E2">
        <w:t>s argument in reliance on s 91 were accepted</w:t>
      </w:r>
      <w:r w:rsidR="00BB3AEE">
        <w:t>, he would be entitled to reopen the whole of the proceedings recently determined by the Court with the possible consequence of inconsistent findings</w:t>
      </w:r>
      <w:r w:rsidR="008A5AC1">
        <w:t xml:space="preserve">. </w:t>
      </w:r>
      <w:proofErr w:type="spellStart"/>
      <w:r w:rsidR="00073BAF">
        <w:t>Basten</w:t>
      </w:r>
      <w:proofErr w:type="spellEnd"/>
      <w:r w:rsidR="00073BAF">
        <w:t> JA stated that a</w:t>
      </w:r>
      <w:r w:rsidR="00073BAF">
        <w:rPr>
          <w:lang w:eastAsia="en-AU"/>
        </w:rPr>
        <w:t>lthough that event did</w:t>
      </w:r>
      <w:r w:rsidR="008A5AC1">
        <w:rPr>
          <w:lang w:eastAsia="en-AU"/>
        </w:rPr>
        <w:t xml:space="preserve"> not</w:t>
      </w:r>
      <w:r w:rsidR="00073BAF">
        <w:rPr>
          <w:lang w:eastAsia="en-AU"/>
        </w:rPr>
        <w:t xml:space="preserve"> </w:t>
      </w:r>
      <w:r w:rsidR="008A5AC1">
        <w:rPr>
          <w:lang w:eastAsia="en-AU"/>
        </w:rPr>
        <w:t>appear to be contemplated by s 190(3), it would be surprising if the rules of</w:t>
      </w:r>
      <w:r w:rsidR="00073BAF">
        <w:rPr>
          <w:lang w:eastAsia="en-AU"/>
        </w:rPr>
        <w:t xml:space="preserve"> </w:t>
      </w:r>
      <w:r w:rsidR="008A5AC1">
        <w:rPr>
          <w:lang w:eastAsia="en-AU"/>
        </w:rPr>
        <w:t xml:space="preserve">evidence, as set out in the </w:t>
      </w:r>
      <w:r w:rsidR="008A5AC1" w:rsidRPr="00073BAF">
        <w:rPr>
          <w:rFonts w:ascii="TimesNewRomanPS-ItalicMT" w:hAnsi="TimesNewRomanPS-ItalicMT" w:cs="TimesNewRomanPS-ItalicMT"/>
          <w:i/>
          <w:iCs/>
          <w:lang w:eastAsia="en-AU"/>
        </w:rPr>
        <w:t>Evidence Act</w:t>
      </w:r>
      <w:r w:rsidR="008A5AC1">
        <w:rPr>
          <w:lang w:eastAsia="en-AU"/>
        </w:rPr>
        <w:t>, were to be read as undermining the</w:t>
      </w:r>
      <w:r w:rsidR="00073BAF">
        <w:rPr>
          <w:lang w:eastAsia="en-AU"/>
        </w:rPr>
        <w:t xml:space="preserve"> </w:t>
      </w:r>
      <w:r w:rsidR="008A5AC1">
        <w:rPr>
          <w:lang w:eastAsia="en-AU"/>
        </w:rPr>
        <w:t>inherent power of a court to prevent an abuse of its processes</w:t>
      </w:r>
      <w:r w:rsidR="00073BAF">
        <w:rPr>
          <w:lang w:eastAsia="en-AU"/>
        </w:rPr>
        <w:t>.</w:t>
      </w:r>
    </w:p>
    <w:p w14:paraId="37D76679" w14:textId="1244E85E" w:rsidR="00073BAF" w:rsidRDefault="00073BAF" w:rsidP="00455B22">
      <w:pPr>
        <w:pStyle w:val="ParaNumbering"/>
      </w:pPr>
      <w:bookmarkStart w:id="40" w:name="_Ref27925160"/>
      <w:r>
        <w:t xml:space="preserve">A related point arises in circumstances such as those of the present case. One </w:t>
      </w:r>
      <w:r w:rsidR="006B12CA">
        <w:t>emanation of</w:t>
      </w:r>
      <w:r>
        <w:t xml:space="preserve"> </w:t>
      </w:r>
      <w:r w:rsidR="00FA14CF">
        <w:t xml:space="preserve">frivolous, vexatious litigation amounting to an </w:t>
      </w:r>
      <w:r w:rsidR="006B12CA">
        <w:t xml:space="preserve">abuse of process </w:t>
      </w:r>
      <w:r w:rsidR="00E506DB">
        <w:t xml:space="preserve">which is often found </w:t>
      </w:r>
      <w:r w:rsidR="006B12CA">
        <w:t xml:space="preserve">is </w:t>
      </w:r>
      <w:r w:rsidR="002D2E20">
        <w:t xml:space="preserve">attempted </w:t>
      </w:r>
      <w:proofErr w:type="spellStart"/>
      <w:r w:rsidR="006B12CA">
        <w:t>relitigation</w:t>
      </w:r>
      <w:proofErr w:type="spellEnd"/>
      <w:r w:rsidR="00441D21">
        <w:t xml:space="preserve">: </w:t>
      </w:r>
      <w:r w:rsidR="00FA14CF" w:rsidRPr="00E506DB">
        <w:rPr>
          <w:i/>
        </w:rPr>
        <w:t xml:space="preserve">Official Trustee in Bankruptcy v </w:t>
      </w:r>
      <w:proofErr w:type="spellStart"/>
      <w:r w:rsidR="00FA14CF" w:rsidRPr="00E506DB">
        <w:rPr>
          <w:i/>
        </w:rPr>
        <w:t>Gargan</w:t>
      </w:r>
      <w:proofErr w:type="spellEnd"/>
      <w:r w:rsidR="00FA14CF" w:rsidRPr="00E506DB">
        <w:rPr>
          <w:i/>
        </w:rPr>
        <w:t xml:space="preserve"> (No 2)</w:t>
      </w:r>
      <w:r w:rsidR="00FA14CF" w:rsidRPr="00FA14CF">
        <w:t xml:space="preserve"> [2009] FCA 398</w:t>
      </w:r>
      <w:r w:rsidR="00E506DB">
        <w:t xml:space="preserve"> at [7] (</w:t>
      </w:r>
      <w:proofErr w:type="spellStart"/>
      <w:r w:rsidR="00E506DB">
        <w:t>Perram</w:t>
      </w:r>
      <w:proofErr w:type="spellEnd"/>
      <w:r w:rsidR="00E506DB">
        <w:t> J)</w:t>
      </w:r>
      <w:r w:rsidR="006B12CA">
        <w:t xml:space="preserve">. It would be </w:t>
      </w:r>
      <w:r w:rsidR="00441D21">
        <w:t xml:space="preserve">a </w:t>
      </w:r>
      <w:r w:rsidR="006B12CA">
        <w:t>surprising</w:t>
      </w:r>
      <w:r w:rsidR="00441D21">
        <w:t xml:space="preserve"> result</w:t>
      </w:r>
      <w:r w:rsidR="006B12CA">
        <w:t xml:space="preserve"> if, in the context of an application</w:t>
      </w:r>
      <w:r w:rsidR="00441D21">
        <w:t xml:space="preserve"> for a vexatious proceedings order, the respondent to the application could </w:t>
      </w:r>
      <w:proofErr w:type="spellStart"/>
      <w:r w:rsidR="00441D21">
        <w:t>relitigate</w:t>
      </w:r>
      <w:proofErr w:type="spellEnd"/>
      <w:r w:rsidR="00E506DB">
        <w:t xml:space="preserve"> those proceedings forming the foundation for the application. It would be even more surprising if a respondent </w:t>
      </w:r>
      <w:r w:rsidR="00EA15B6">
        <w:t xml:space="preserve">to an application for a vexatious proceedings order </w:t>
      </w:r>
      <w:r w:rsidR="00E506DB">
        <w:t xml:space="preserve">could </w:t>
      </w:r>
      <w:proofErr w:type="spellStart"/>
      <w:r w:rsidR="00E506DB">
        <w:t>relitigate</w:t>
      </w:r>
      <w:proofErr w:type="spellEnd"/>
      <w:r w:rsidR="00E506DB">
        <w:t xml:space="preserve"> an earlier finding of</w:t>
      </w:r>
      <w:r w:rsidR="00EA15B6">
        <w:t xml:space="preserve"> </w:t>
      </w:r>
      <w:r w:rsidR="002D2E20">
        <w:t xml:space="preserve">attempted </w:t>
      </w:r>
      <w:proofErr w:type="spellStart"/>
      <w:r w:rsidR="00E506DB">
        <w:t>relitigation</w:t>
      </w:r>
      <w:proofErr w:type="spellEnd"/>
      <w:r w:rsidR="00E506DB">
        <w:t>.</w:t>
      </w:r>
      <w:bookmarkEnd w:id="40"/>
    </w:p>
    <w:p w14:paraId="6D96AE09" w14:textId="64873D78" w:rsidR="009B6D81" w:rsidRDefault="00263D54" w:rsidP="00E82945">
      <w:pPr>
        <w:pStyle w:val="ParaNumbering"/>
      </w:pPr>
      <w:bookmarkStart w:id="41" w:name="_Ref31108300"/>
      <w:r>
        <w:t>The question</w:t>
      </w:r>
      <w:r w:rsidR="006474E9">
        <w:t xml:space="preserve"> of the effect of</w:t>
      </w:r>
      <w:r w:rsidR="007E5C2F">
        <w:t xml:space="preserve"> the cognate Northern Territory provision,</w:t>
      </w:r>
      <w:r w:rsidR="006474E9">
        <w:t xml:space="preserve"> s 91</w:t>
      </w:r>
      <w:r w:rsidR="00036E88">
        <w:t xml:space="preserve"> of the </w:t>
      </w:r>
      <w:r w:rsidR="00036E88">
        <w:rPr>
          <w:i/>
        </w:rPr>
        <w:t>Evidence</w:t>
      </w:r>
      <w:r w:rsidR="006474E9">
        <w:rPr>
          <w:i/>
        </w:rPr>
        <w:t xml:space="preserve"> (National Uniform Legislation)</w:t>
      </w:r>
      <w:r w:rsidR="00036E88">
        <w:rPr>
          <w:i/>
        </w:rPr>
        <w:t xml:space="preserve"> Act</w:t>
      </w:r>
      <w:r w:rsidR="006474E9">
        <w:rPr>
          <w:i/>
        </w:rPr>
        <w:t xml:space="preserve"> 2011 </w:t>
      </w:r>
      <w:r w:rsidR="006474E9">
        <w:t>(NT)</w:t>
      </w:r>
      <w:r w:rsidR="007E5C2F">
        <w:t>,</w:t>
      </w:r>
      <w:r w:rsidR="00036E88">
        <w:t xml:space="preserve"> </w:t>
      </w:r>
      <w:r>
        <w:t xml:space="preserve">arose in </w:t>
      </w:r>
      <w:r w:rsidR="00907B1B">
        <w:rPr>
          <w:i/>
        </w:rPr>
        <w:t xml:space="preserve">Registrar of the Supreme Court (NT) v </w:t>
      </w:r>
      <w:r w:rsidR="00907B1B" w:rsidRPr="009B3D0A">
        <w:rPr>
          <w:i/>
        </w:rPr>
        <w:t>Jenkins</w:t>
      </w:r>
      <w:r w:rsidR="00907B1B">
        <w:rPr>
          <w:i/>
        </w:rPr>
        <w:t xml:space="preserve"> </w:t>
      </w:r>
      <w:r w:rsidR="00907B1B">
        <w:t xml:space="preserve">[2019] NTSC 51, which </w:t>
      </w:r>
      <w:r w:rsidR="007A0074">
        <w:t xml:space="preserve">concerned </w:t>
      </w:r>
      <w:r w:rsidR="000869F4">
        <w:t>an application for</w:t>
      </w:r>
      <w:r w:rsidR="00F90D10">
        <w:t xml:space="preserve"> a vexatious proceedings order </w:t>
      </w:r>
      <w:r w:rsidR="00907B1B">
        <w:t xml:space="preserve">under </w:t>
      </w:r>
      <w:r w:rsidR="00CC20CC">
        <w:t xml:space="preserve">s 7 of </w:t>
      </w:r>
      <w:r w:rsidR="00907B1B">
        <w:t xml:space="preserve">the </w:t>
      </w:r>
      <w:r w:rsidR="00907B1B">
        <w:rPr>
          <w:i/>
        </w:rPr>
        <w:t xml:space="preserve">Vexatious Proceedings Act </w:t>
      </w:r>
      <w:r w:rsidR="00020050">
        <w:rPr>
          <w:i/>
        </w:rPr>
        <w:t xml:space="preserve">2006 </w:t>
      </w:r>
      <w:r w:rsidR="00020050">
        <w:t>(NT)</w:t>
      </w:r>
      <w:r w:rsidR="00CC20CC">
        <w:t>.</w:t>
      </w:r>
      <w:r w:rsidR="001269FC">
        <w:t xml:space="preserve"> Section 7(2) of the </w:t>
      </w:r>
      <w:r w:rsidR="001269FC" w:rsidRPr="00247576">
        <w:rPr>
          <w:i/>
        </w:rPr>
        <w:t>Northern Territory Act</w:t>
      </w:r>
      <w:r w:rsidR="001269FC">
        <w:t xml:space="preserve"> provides that</w:t>
      </w:r>
      <w:r w:rsidR="009B6D81">
        <w:t xml:space="preserve"> for the purposes of satisfying the criterion in s 7(1) that a person has </w:t>
      </w:r>
      <w:r w:rsidR="00AD58B0">
        <w:t>“</w:t>
      </w:r>
      <w:r w:rsidR="009B6D81">
        <w:t>frequently instituted or conducted vexatious proceedings in Australia</w:t>
      </w:r>
      <w:r w:rsidR="00AD58B0">
        <w:t>”</w:t>
      </w:r>
      <w:r w:rsidR="009B6D81">
        <w:t> –</w:t>
      </w:r>
      <w:bookmarkEnd w:id="36"/>
      <w:bookmarkEnd w:id="41"/>
    </w:p>
    <w:p w14:paraId="31ADC988" w14:textId="546A8ED2" w:rsidR="009B6D81" w:rsidRPr="008B108D" w:rsidRDefault="008B108D" w:rsidP="008B108D">
      <w:pPr>
        <w:pStyle w:val="Quote1"/>
      </w:pPr>
      <w:bookmarkStart w:id="42" w:name="5_Acting_in_concert"/>
      <w:bookmarkStart w:id="43" w:name="6_Inherent_jurisdiction_and_powers_not_a"/>
      <w:bookmarkStart w:id="44" w:name="Part_2_Vexatious_proceedings_orders"/>
      <w:bookmarkStart w:id="45" w:name="7_Making_vexatious_proceedings_orders"/>
      <w:bookmarkEnd w:id="42"/>
      <w:bookmarkEnd w:id="43"/>
      <w:bookmarkEnd w:id="44"/>
      <w:bookmarkEnd w:id="45"/>
      <w:r>
        <w:t xml:space="preserve">… </w:t>
      </w:r>
      <w:proofErr w:type="gramStart"/>
      <w:r w:rsidR="009B6D81" w:rsidRPr="008B108D">
        <w:t>the</w:t>
      </w:r>
      <w:proofErr w:type="gramEnd"/>
      <w:r w:rsidR="009B6D81" w:rsidRPr="008B108D">
        <w:t xml:space="preserve"> Court may have regard to:</w:t>
      </w:r>
    </w:p>
    <w:p w14:paraId="731924AB" w14:textId="675D59A4" w:rsidR="009B6D81" w:rsidRPr="008B108D" w:rsidRDefault="008B108D" w:rsidP="008B108D">
      <w:pPr>
        <w:pStyle w:val="Quote1"/>
        <w:ind w:left="1440" w:hanging="703"/>
      </w:pPr>
      <w:r w:rsidRPr="008B108D">
        <w:t>(a</w:t>
      </w:r>
      <w:r>
        <w:t>)</w:t>
      </w:r>
      <w:r>
        <w:tab/>
      </w:r>
      <w:proofErr w:type="gramStart"/>
      <w:r w:rsidR="009B6D81" w:rsidRPr="008B108D">
        <w:t>proceedings</w:t>
      </w:r>
      <w:proofErr w:type="gramEnd"/>
      <w:r w:rsidR="009B6D81" w:rsidRPr="008B108D">
        <w:t xml:space="preserve"> in any court or tribunal, including proceedings instituted before the commencement of this section; and</w:t>
      </w:r>
    </w:p>
    <w:p w14:paraId="7A1C29F3" w14:textId="35A17985" w:rsidR="009B6D81" w:rsidRPr="008B108D" w:rsidRDefault="008B108D" w:rsidP="008B108D">
      <w:pPr>
        <w:pStyle w:val="Quote1"/>
        <w:ind w:left="1440" w:hanging="703"/>
      </w:pPr>
      <w:r>
        <w:t>(</w:t>
      </w:r>
      <w:proofErr w:type="gramStart"/>
      <w:r>
        <w:t>b</w:t>
      </w:r>
      <w:proofErr w:type="gramEnd"/>
      <w:r>
        <w:t>)</w:t>
      </w:r>
      <w:r>
        <w:tab/>
      </w:r>
      <w:r w:rsidR="009B6D81" w:rsidRPr="008B108D">
        <w:t>orders made by any court or tribunal, including orders made</w:t>
      </w:r>
      <w:r>
        <w:t xml:space="preserve"> </w:t>
      </w:r>
      <w:r w:rsidR="009B6D81" w:rsidRPr="008B108D">
        <w:t>before the commencement of this section.</w:t>
      </w:r>
    </w:p>
    <w:p w14:paraId="7A6548BA" w14:textId="1F57E62C" w:rsidR="00263D54" w:rsidRDefault="00261CA6" w:rsidP="00E82945">
      <w:pPr>
        <w:pStyle w:val="ParaNumbering"/>
      </w:pPr>
      <w:proofErr w:type="spellStart"/>
      <w:r>
        <w:t>Southwood</w:t>
      </w:r>
      <w:proofErr w:type="spellEnd"/>
      <w:r>
        <w:t> J held that all of the reasons for judgment, and orders, and transcripts of other proceedings</w:t>
      </w:r>
      <w:r w:rsidR="00D4454A">
        <w:t xml:space="preserve"> involving the respondent to the application</w:t>
      </w:r>
      <w:r w:rsidR="00FC604D">
        <w:t xml:space="preserve"> that were annexed to the affidavits that were before the Court</w:t>
      </w:r>
      <w:r>
        <w:t xml:space="preserve"> were admissible.</w:t>
      </w:r>
      <w:r w:rsidR="002A668D">
        <w:t xml:space="preserve"> </w:t>
      </w:r>
      <w:proofErr w:type="spellStart"/>
      <w:r w:rsidR="002A668D">
        <w:t>Southwood</w:t>
      </w:r>
      <w:proofErr w:type="spellEnd"/>
      <w:r w:rsidR="002A668D">
        <w:t xml:space="preserve"> J cited </w:t>
      </w:r>
      <w:r w:rsidR="005F6E8A">
        <w:t xml:space="preserve">the decision of Simpson J in </w:t>
      </w:r>
      <w:r w:rsidR="008A289C" w:rsidRPr="008A289C">
        <w:rPr>
          <w:i/>
        </w:rPr>
        <w:t>Attorney-General (NSW) v Martin</w:t>
      </w:r>
      <w:r w:rsidR="005F6E8A">
        <w:t xml:space="preserve">, the decision of Schmidt J in </w:t>
      </w:r>
      <w:r w:rsidR="005F6E8A" w:rsidRPr="008A289C">
        <w:rPr>
          <w:i/>
        </w:rPr>
        <w:t xml:space="preserve">Attorney-General (NSW) v </w:t>
      </w:r>
      <w:proofErr w:type="spellStart"/>
      <w:r w:rsidR="005F6E8A" w:rsidRPr="008A289C">
        <w:rPr>
          <w:i/>
        </w:rPr>
        <w:t>Mohareb</w:t>
      </w:r>
      <w:proofErr w:type="spellEnd"/>
      <w:r w:rsidR="005F6E8A">
        <w:t xml:space="preserve">, and the decision of McDonald J in </w:t>
      </w:r>
      <w:r w:rsidR="000E73DA">
        <w:rPr>
          <w:i/>
        </w:rPr>
        <w:t>Attorney-General</w:t>
      </w:r>
      <w:r w:rsidR="005F6E8A" w:rsidRPr="008A289C">
        <w:rPr>
          <w:i/>
        </w:rPr>
        <w:t xml:space="preserve"> (Victoria) v Garrett</w:t>
      </w:r>
      <w:r w:rsidR="005F6E8A">
        <w:t>.</w:t>
      </w:r>
      <w:r w:rsidR="00D4454A">
        <w:t xml:space="preserve"> At [35], </w:t>
      </w:r>
      <w:proofErr w:type="spellStart"/>
      <w:r w:rsidR="00D4454A">
        <w:lastRenderedPageBreak/>
        <w:t>Southwood</w:t>
      </w:r>
      <w:proofErr w:type="spellEnd"/>
      <w:r w:rsidR="00D4454A">
        <w:t xml:space="preserve"> J expressed agreement with the approach of McDonald J in </w:t>
      </w:r>
      <w:r w:rsidR="00D4454A">
        <w:rPr>
          <w:i/>
        </w:rPr>
        <w:t>Garrett</w:t>
      </w:r>
      <w:r w:rsidR="00D4454A">
        <w:t>, and stated that it was supported by s 7(2</w:t>
      </w:r>
      <w:proofErr w:type="gramStart"/>
      <w:r w:rsidR="00D4454A">
        <w:t>)(</w:t>
      </w:r>
      <w:proofErr w:type="gramEnd"/>
      <w:r w:rsidR="00D4454A">
        <w:t xml:space="preserve">b) of the </w:t>
      </w:r>
      <w:r w:rsidR="004D2A0E" w:rsidRPr="00247576">
        <w:rPr>
          <w:i/>
        </w:rPr>
        <w:t>Northern Territory Act</w:t>
      </w:r>
      <w:r w:rsidR="004D2A0E">
        <w:t>, which I have set out above.</w:t>
      </w:r>
    </w:p>
    <w:p w14:paraId="2AD51BE4" w14:textId="57E8FDE8" w:rsidR="00696400" w:rsidRDefault="00696400" w:rsidP="00696400">
      <w:pPr>
        <w:pStyle w:val="Heading2"/>
      </w:pPr>
      <w:r>
        <w:t>Consideration</w:t>
      </w:r>
    </w:p>
    <w:p w14:paraId="2E9079EE" w14:textId="3FBE30DE" w:rsidR="00776BDB" w:rsidRDefault="00423621" w:rsidP="00776BDB">
      <w:pPr>
        <w:pStyle w:val="ParaNumbering"/>
      </w:pPr>
      <w:r>
        <w:t xml:space="preserve">The </w:t>
      </w:r>
      <w:r w:rsidR="00C21220">
        <w:t xml:space="preserve">power to make a vexatious proceedings order under s 37AO of the </w:t>
      </w:r>
      <w:r w:rsidR="00C21220" w:rsidRPr="00EA65E7">
        <w:rPr>
          <w:i/>
        </w:rPr>
        <w:t xml:space="preserve">Federal Court of Australia Act </w:t>
      </w:r>
      <w:r w:rsidR="00C21220">
        <w:t xml:space="preserve">is engaged </w:t>
      </w:r>
      <w:r w:rsidR="00AE31F9">
        <w:t xml:space="preserve">if the Court is satisfied that a person has frequently instituted or conducted vexatious proceedings in Australian courts or Tribunals. </w:t>
      </w:r>
      <w:r w:rsidR="00776BDB" w:rsidRPr="00776BDB">
        <w:t xml:space="preserve">The text of </w:t>
      </w:r>
      <w:r w:rsidR="004E2FE4" w:rsidRPr="00776BDB">
        <w:t>s</w:t>
      </w:r>
      <w:r w:rsidR="004E2FE4">
        <w:t> </w:t>
      </w:r>
      <w:proofErr w:type="gramStart"/>
      <w:r w:rsidR="00776BDB" w:rsidRPr="00776BDB">
        <w:t>37AO(</w:t>
      </w:r>
      <w:proofErr w:type="gramEnd"/>
      <w:r w:rsidR="00776BDB" w:rsidRPr="00776BDB">
        <w:t xml:space="preserve">1), which refers to a person “frequently” instituting or conducting vexatious proceedings provides for a lower threshold for the making </w:t>
      </w:r>
      <w:r w:rsidR="00056B51">
        <w:t xml:space="preserve">of </w:t>
      </w:r>
      <w:r w:rsidR="00776BDB" w:rsidRPr="00776BDB">
        <w:t xml:space="preserve">a vexatious proceedings order than was formerly the case under </w:t>
      </w:r>
      <w:r w:rsidR="004E2FE4" w:rsidRPr="00776BDB">
        <w:t>O</w:t>
      </w:r>
      <w:r w:rsidR="004E2FE4">
        <w:t> </w:t>
      </w:r>
      <w:r w:rsidR="00776BDB" w:rsidRPr="00776BDB">
        <w:t xml:space="preserve">21, </w:t>
      </w:r>
      <w:r w:rsidR="004E2FE4" w:rsidRPr="00776BDB">
        <w:t>r</w:t>
      </w:r>
      <w:r w:rsidR="004E2FE4">
        <w:t> </w:t>
      </w:r>
      <w:r w:rsidR="00776BDB" w:rsidRPr="00776BDB">
        <w:t xml:space="preserve">1(1) of the </w:t>
      </w:r>
      <w:r w:rsidR="00776BDB" w:rsidRPr="00776BDB">
        <w:rPr>
          <w:i/>
        </w:rPr>
        <w:t>Federal Court Rules 1979</w:t>
      </w:r>
      <w:r w:rsidR="00056B51">
        <w:rPr>
          <w:i/>
        </w:rPr>
        <w:t xml:space="preserve"> </w:t>
      </w:r>
      <w:r w:rsidR="00056B51">
        <w:t>(</w:t>
      </w:r>
      <w:proofErr w:type="spellStart"/>
      <w:r w:rsidR="00056B51">
        <w:t>Cth</w:t>
      </w:r>
      <w:proofErr w:type="spellEnd"/>
      <w:r w:rsidR="00056B51">
        <w:t>)</w:t>
      </w:r>
      <w:r w:rsidR="00776BDB" w:rsidRPr="00776BDB">
        <w:t>, which was engaged where a person</w:t>
      </w:r>
      <w:r w:rsidR="00437B2E">
        <w:t xml:space="preserve"> instituted a vexatious proceeding and the Court was satisfied that the person</w:t>
      </w:r>
      <w:r w:rsidR="00776BDB" w:rsidRPr="00776BDB">
        <w:t xml:space="preserve"> “</w:t>
      </w:r>
      <w:r w:rsidR="00437B2E">
        <w:t xml:space="preserve">has </w:t>
      </w:r>
      <w:r w:rsidR="00776BDB" w:rsidRPr="00776BDB">
        <w:t>habitually</w:t>
      </w:r>
      <w:r w:rsidR="00437B2E">
        <w:t>,</w:t>
      </w:r>
      <w:r w:rsidR="00776BDB" w:rsidRPr="00776BDB">
        <w:t xml:space="preserve"> </w:t>
      </w:r>
      <w:r w:rsidR="00474A15">
        <w:t>persistently</w:t>
      </w:r>
      <w:r w:rsidR="00474A15" w:rsidRPr="00776BDB">
        <w:t xml:space="preserve"> </w:t>
      </w:r>
      <w:r w:rsidR="00776BDB" w:rsidRPr="00776BDB">
        <w:t>and without reasonable ground</w:t>
      </w:r>
      <w:r w:rsidR="00437B2E">
        <w:t>s</w:t>
      </w:r>
      <w:r w:rsidR="00776BDB" w:rsidRPr="00776BDB">
        <w:t xml:space="preserve">” instituted other vexatious proceedings. </w:t>
      </w:r>
    </w:p>
    <w:p w14:paraId="5A391C9C" w14:textId="36F03C40" w:rsidR="00CE11D1" w:rsidRDefault="00951122" w:rsidP="000F58C4">
      <w:pPr>
        <w:pStyle w:val="ParaNumbering"/>
      </w:pPr>
      <w:r>
        <w:t>The Court</w:t>
      </w:r>
      <w:r w:rsidR="00AD58B0">
        <w:t>’</w:t>
      </w:r>
      <w:r>
        <w:t>s evaluation</w:t>
      </w:r>
      <w:r w:rsidR="00776BDB">
        <w:t xml:space="preserve"> of whether s </w:t>
      </w:r>
      <w:proofErr w:type="gramStart"/>
      <w:r w:rsidR="00776BDB">
        <w:t>37AO(</w:t>
      </w:r>
      <w:proofErr w:type="gramEnd"/>
      <w:r w:rsidR="00776BDB">
        <w:t>1) is engaged</w:t>
      </w:r>
      <w:r>
        <w:t xml:space="preserve"> is </w:t>
      </w:r>
      <w:r w:rsidR="00696400">
        <w:t>framed</w:t>
      </w:r>
      <w:r>
        <w:t xml:space="preserve"> by </w:t>
      </w:r>
      <w:r w:rsidR="00A602D5">
        <w:t>s 37AO(6)</w:t>
      </w:r>
      <w:r w:rsidR="00D9560B">
        <w:t xml:space="preserve">, which </w:t>
      </w:r>
      <w:r w:rsidR="005F2BE2">
        <w:t>expressly authorises the Court to have regard to other proceedings, to orders made in oth</w:t>
      </w:r>
      <w:r w:rsidR="001C48A2">
        <w:t>er proceedings, and to the cond</w:t>
      </w:r>
      <w:r w:rsidR="005F2BE2">
        <w:t>uct of those proceedings</w:t>
      </w:r>
      <w:r w:rsidR="00A602D5">
        <w:t>.</w:t>
      </w:r>
      <w:r>
        <w:t xml:space="preserve"> </w:t>
      </w:r>
      <w:r w:rsidR="00EA65E7">
        <w:t xml:space="preserve">In my view, </w:t>
      </w:r>
      <w:r w:rsidR="00D53A1E">
        <w:t>the field of inquiry</w:t>
      </w:r>
      <w:r w:rsidR="00EA65E7">
        <w:t xml:space="preserve"> authorised by s </w:t>
      </w:r>
      <w:proofErr w:type="gramStart"/>
      <w:r w:rsidR="00EA65E7">
        <w:t>37AO(</w:t>
      </w:r>
      <w:proofErr w:type="gramEnd"/>
      <w:r w:rsidR="00EA65E7">
        <w:t xml:space="preserve">6) is </w:t>
      </w:r>
      <w:r w:rsidR="00052341">
        <w:t xml:space="preserve">no </w:t>
      </w:r>
      <w:r w:rsidR="00EA65E7">
        <w:t xml:space="preserve">different from </w:t>
      </w:r>
      <w:r w:rsidR="005857A9">
        <w:t>the approach</w:t>
      </w:r>
      <w:r w:rsidR="008045BA">
        <w:t xml:space="preserve"> </w:t>
      </w:r>
      <w:r w:rsidR="005B20CD">
        <w:t xml:space="preserve">adopted </w:t>
      </w:r>
      <w:r w:rsidR="008045BA">
        <w:t xml:space="preserve">by </w:t>
      </w:r>
      <w:r w:rsidR="000F58C4">
        <w:t xml:space="preserve">Patten AJ in </w:t>
      </w:r>
      <w:r w:rsidR="000F58C4" w:rsidRPr="000F58C4">
        <w:rPr>
          <w:i/>
        </w:rPr>
        <w:t>Bar Mordecai</w:t>
      </w:r>
      <w:r w:rsidR="000F58C4">
        <w:t>, by</w:t>
      </w:r>
      <w:r w:rsidR="000F58C4" w:rsidRPr="000F58C4">
        <w:t xml:space="preserve"> </w:t>
      </w:r>
      <w:r w:rsidR="00CD26DC">
        <w:t xml:space="preserve">the New South Wales Court of Appeal in </w:t>
      </w:r>
      <w:r w:rsidR="00CD26DC" w:rsidRPr="00A76B09">
        <w:rPr>
          <w:i/>
        </w:rPr>
        <w:t>Teoh</w:t>
      </w:r>
      <w:r w:rsidR="00CD26DC">
        <w:t xml:space="preserve">, by </w:t>
      </w:r>
      <w:r w:rsidR="00390C2E">
        <w:t xml:space="preserve">McDonald J in </w:t>
      </w:r>
      <w:r w:rsidR="00390C2E" w:rsidRPr="00A76B09">
        <w:rPr>
          <w:i/>
        </w:rPr>
        <w:t>Garrett,</w:t>
      </w:r>
      <w:r w:rsidR="00390C2E">
        <w:t xml:space="preserve"> by </w:t>
      </w:r>
      <w:r w:rsidR="00D53A1E">
        <w:t xml:space="preserve">Starke J in </w:t>
      </w:r>
      <w:r w:rsidR="00D53A1E" w:rsidRPr="00A76B09">
        <w:rPr>
          <w:i/>
        </w:rPr>
        <w:t>Gallo</w:t>
      </w:r>
      <w:r w:rsidR="00D53A1E">
        <w:t xml:space="preserve">, by </w:t>
      </w:r>
      <w:r w:rsidR="00C11E9C" w:rsidRPr="00D53A1E">
        <w:t>Ormiston</w:t>
      </w:r>
      <w:r w:rsidR="00C11E9C">
        <w:t xml:space="preserve"> JA in </w:t>
      </w:r>
      <w:r w:rsidR="007E0BDC" w:rsidRPr="00A76B09">
        <w:rPr>
          <w:i/>
        </w:rPr>
        <w:t>Kay</w:t>
      </w:r>
      <w:r w:rsidR="007E0BDC">
        <w:t xml:space="preserve">, by Ashley J in </w:t>
      </w:r>
      <w:r w:rsidR="007E0BDC" w:rsidRPr="00A76B09">
        <w:rPr>
          <w:i/>
        </w:rPr>
        <w:t>Horvath</w:t>
      </w:r>
      <w:r w:rsidR="007E0BDC">
        <w:t xml:space="preserve">, </w:t>
      </w:r>
      <w:r w:rsidR="00A10FE3">
        <w:t xml:space="preserve">and </w:t>
      </w:r>
      <w:r w:rsidR="00A10FE3" w:rsidRPr="00CE11D1">
        <w:t xml:space="preserve">by </w:t>
      </w:r>
      <w:proofErr w:type="spellStart"/>
      <w:r w:rsidR="00A10FE3" w:rsidRPr="00CE11D1">
        <w:t>Southwood</w:t>
      </w:r>
      <w:proofErr w:type="spellEnd"/>
      <w:r w:rsidR="00A10FE3" w:rsidRPr="00CE11D1">
        <w:t> J in</w:t>
      </w:r>
      <w:r w:rsidR="00A10FE3" w:rsidRPr="00A76B09">
        <w:rPr>
          <w:i/>
        </w:rPr>
        <w:t xml:space="preserve"> Jenkins</w:t>
      </w:r>
      <w:r w:rsidR="00540B87">
        <w:t>.</w:t>
      </w:r>
      <w:r w:rsidR="00E254A2">
        <w:t xml:space="preserve"> </w:t>
      </w:r>
      <w:r w:rsidR="008351F2">
        <w:t>The reference</w:t>
      </w:r>
      <w:r w:rsidR="00540B87">
        <w:t xml:space="preserve"> to </w:t>
      </w:r>
      <w:r w:rsidR="008351F2">
        <w:t>“</w:t>
      </w:r>
      <w:r w:rsidR="00540B87">
        <w:t>proceedings</w:t>
      </w:r>
      <w:r w:rsidR="008351F2">
        <w:t>”</w:t>
      </w:r>
      <w:r w:rsidR="00E41088">
        <w:t xml:space="preserve"> in s </w:t>
      </w:r>
      <w:proofErr w:type="gramStart"/>
      <w:r w:rsidR="00E41088">
        <w:t>37AO(</w:t>
      </w:r>
      <w:proofErr w:type="gramEnd"/>
      <w:r w:rsidR="00E41088">
        <w:t>6)</w:t>
      </w:r>
      <w:r w:rsidR="008351F2">
        <w:t>(a)</w:t>
      </w:r>
      <w:r w:rsidR="00540B87">
        <w:t xml:space="preserve"> </w:t>
      </w:r>
      <w:r w:rsidR="00E41088">
        <w:t xml:space="preserve">is to be construed as </w:t>
      </w:r>
      <w:r w:rsidR="00794A83">
        <w:t xml:space="preserve">permitting the Court to have regard to reasons for judgment given in </w:t>
      </w:r>
      <w:r w:rsidR="00275674">
        <w:t xml:space="preserve">those </w:t>
      </w:r>
      <w:r w:rsidR="00794A83">
        <w:t xml:space="preserve">proceedings. </w:t>
      </w:r>
      <w:r w:rsidR="00395933">
        <w:t>To give</w:t>
      </w:r>
      <w:r w:rsidR="00EC1E23">
        <w:t xml:space="preserve"> the reference to “proceedings” in s </w:t>
      </w:r>
      <w:proofErr w:type="gramStart"/>
      <w:r w:rsidR="00EC1E23">
        <w:t>37AO(</w:t>
      </w:r>
      <w:proofErr w:type="gramEnd"/>
      <w:r w:rsidR="00EC1E23">
        <w:t>6)(a) a narrow construction that does not permit regard to reasons for judgment in other proceedings</w:t>
      </w:r>
      <w:r w:rsidR="00395933">
        <w:t xml:space="preserve"> would tend to undermine the effectiveness </w:t>
      </w:r>
      <w:r w:rsidR="00145B00">
        <w:t>and therefore the purpose of s 37AO</w:t>
      </w:r>
      <w:r w:rsidR="00EC1E23">
        <w:t xml:space="preserve">. </w:t>
      </w:r>
      <w:r w:rsidR="00CB7B49">
        <w:t>W</w:t>
      </w:r>
      <w:r w:rsidR="00794A83">
        <w:t xml:space="preserve">ere </w:t>
      </w:r>
      <w:r w:rsidR="00145B00">
        <w:t>a narrow construction adopted</w:t>
      </w:r>
      <w:r w:rsidR="00794A83">
        <w:t xml:space="preserve">, s 37AO would permit a </w:t>
      </w:r>
      <w:r w:rsidR="002344C1">
        <w:t>more limited</w:t>
      </w:r>
      <w:r w:rsidR="00794A83">
        <w:t xml:space="preserve"> are</w:t>
      </w:r>
      <w:r w:rsidR="00AC4CD9">
        <w:t>a</w:t>
      </w:r>
      <w:r w:rsidR="00794A83">
        <w:t xml:space="preserve"> of inquiry</w:t>
      </w:r>
      <w:r w:rsidR="008A3E54">
        <w:t xml:space="preserve">, and there </w:t>
      </w:r>
      <w:r w:rsidR="009805F6">
        <w:t>would be the potential for</w:t>
      </w:r>
      <w:r w:rsidR="008A3E54">
        <w:t xml:space="preserve"> some of the surprising consequences to which I referred at [</w:t>
      </w:r>
      <w:r w:rsidR="00461BBB">
        <w:fldChar w:fldCharType="begin"/>
      </w:r>
      <w:r w:rsidR="00461BBB">
        <w:instrText xml:space="preserve"> REF _Ref27925160 \r \h </w:instrText>
      </w:r>
      <w:r w:rsidR="00461BBB">
        <w:fldChar w:fldCharType="separate"/>
      </w:r>
      <w:r w:rsidR="00AD0A4F">
        <w:t>62</w:t>
      </w:r>
      <w:r w:rsidR="00461BBB">
        <w:fldChar w:fldCharType="end"/>
      </w:r>
      <w:r w:rsidR="008A3E54">
        <w:t>] above</w:t>
      </w:r>
      <w:r w:rsidR="00804854">
        <w:t>.</w:t>
      </w:r>
      <w:r w:rsidR="00AC4CD9">
        <w:t xml:space="preserve"> </w:t>
      </w:r>
      <w:r w:rsidR="002344C1">
        <w:t>Thes</w:t>
      </w:r>
      <w:r w:rsidR="00F71998">
        <w:t xml:space="preserve">e </w:t>
      </w:r>
      <w:r w:rsidR="002344C1">
        <w:t>include</w:t>
      </w:r>
      <w:r w:rsidR="00F71998">
        <w:t xml:space="preserve"> </w:t>
      </w:r>
      <w:r w:rsidR="004F2E3E">
        <w:t xml:space="preserve">the prospect of </w:t>
      </w:r>
      <w:r w:rsidR="00680038">
        <w:t xml:space="preserve">the consumption of resources of the Court and the parties </w:t>
      </w:r>
      <w:r w:rsidR="00F71998">
        <w:t xml:space="preserve">if, upon an application under s 37AO, </w:t>
      </w:r>
      <w:r w:rsidR="00680038">
        <w:t xml:space="preserve">there was </w:t>
      </w:r>
      <w:r w:rsidR="00F71998">
        <w:t xml:space="preserve">further </w:t>
      </w:r>
      <w:proofErr w:type="spellStart"/>
      <w:r w:rsidR="00F71998">
        <w:t>relitigation</w:t>
      </w:r>
      <w:proofErr w:type="spellEnd"/>
      <w:r w:rsidR="00F71998">
        <w:t xml:space="preserve"> </w:t>
      </w:r>
      <w:r w:rsidR="003E78BB">
        <w:t xml:space="preserve">because the Court could not take into account relevant findings made in </w:t>
      </w:r>
      <w:r w:rsidR="00FA0EAF">
        <w:t>previous</w:t>
      </w:r>
      <w:r w:rsidR="003E78BB">
        <w:t xml:space="preserve"> proceedings</w:t>
      </w:r>
      <w:r w:rsidR="006C4E4B">
        <w:t xml:space="preserve"> </w:t>
      </w:r>
      <w:r w:rsidR="004A52FC">
        <w:t xml:space="preserve">in determining whether </w:t>
      </w:r>
      <w:r w:rsidR="006C4E4B">
        <w:t>those proceedings a</w:t>
      </w:r>
      <w:r w:rsidR="004A52FC">
        <w:t>re to be characterised a</w:t>
      </w:r>
      <w:r w:rsidR="006C4E4B">
        <w:t>s vexatious</w:t>
      </w:r>
      <w:r w:rsidR="00F71998">
        <w:t xml:space="preserve">. </w:t>
      </w:r>
      <w:r w:rsidR="00505A69">
        <w:t xml:space="preserve">The position therefore remains that the question whether other proceedings </w:t>
      </w:r>
      <w:r w:rsidR="003C65E4">
        <w:t>were vexatious is a question for the Court considering an application under s 37AO, but that s </w:t>
      </w:r>
      <w:proofErr w:type="gramStart"/>
      <w:r w:rsidR="003C65E4">
        <w:t>37AO(</w:t>
      </w:r>
      <w:proofErr w:type="gramEnd"/>
      <w:r w:rsidR="003C65E4">
        <w:t>6) permits that regard may be had to those other proceedings</w:t>
      </w:r>
      <w:r w:rsidR="00DC6C3A">
        <w:t xml:space="preserve">, including any </w:t>
      </w:r>
      <w:r w:rsidR="003C65E4">
        <w:t>reasons for judgment in those proceedings</w:t>
      </w:r>
      <w:r w:rsidR="0063004F">
        <w:t xml:space="preserve">, largely in the way explained by Ormiston JA in </w:t>
      </w:r>
      <w:r w:rsidR="0063004F" w:rsidRPr="00A76B09">
        <w:rPr>
          <w:i/>
        </w:rPr>
        <w:t>Kay</w:t>
      </w:r>
      <w:r w:rsidR="0063004F">
        <w:t xml:space="preserve">, and by Ashley J in </w:t>
      </w:r>
      <w:r w:rsidR="0063004F" w:rsidRPr="00A76B09">
        <w:rPr>
          <w:i/>
        </w:rPr>
        <w:t>Horvath</w:t>
      </w:r>
      <w:r w:rsidR="003C65E4">
        <w:t xml:space="preserve">. </w:t>
      </w:r>
      <w:r w:rsidR="00F63B03">
        <w:t>Section</w:t>
      </w:r>
      <w:r w:rsidR="00A607D9">
        <w:t> </w:t>
      </w:r>
      <w:r w:rsidR="00840DFE">
        <w:t xml:space="preserve">91 </w:t>
      </w:r>
      <w:r w:rsidR="00840DFE">
        <w:lastRenderedPageBreak/>
        <w:t xml:space="preserve">of the </w:t>
      </w:r>
      <w:r w:rsidR="00840DFE" w:rsidRPr="00A76B09">
        <w:rPr>
          <w:i/>
        </w:rPr>
        <w:t xml:space="preserve">Evidence Act </w:t>
      </w:r>
      <w:r w:rsidR="003A69EA">
        <w:t>is not infringed</w:t>
      </w:r>
      <w:r w:rsidR="00A607D9">
        <w:t xml:space="preserve"> </w:t>
      </w:r>
      <w:r w:rsidR="00467FA2">
        <w:t>by</w:t>
      </w:r>
      <w:r w:rsidR="00A607D9">
        <w:t xml:space="preserve"> relying on </w:t>
      </w:r>
      <w:r w:rsidR="00377C73">
        <w:t xml:space="preserve">orders and </w:t>
      </w:r>
      <w:r w:rsidR="00A607D9">
        <w:t>reasons for judgment in other proceedings</w:t>
      </w:r>
      <w:r w:rsidR="007A0AC9">
        <w:t xml:space="preserve"> for the purposes of </w:t>
      </w:r>
      <w:r w:rsidR="00377C73">
        <w:t xml:space="preserve">considering whether </w:t>
      </w:r>
      <w:r w:rsidR="007A0AC9">
        <w:t>s </w:t>
      </w:r>
      <w:proofErr w:type="gramStart"/>
      <w:r w:rsidR="007A0AC9">
        <w:t>37AO</w:t>
      </w:r>
      <w:r w:rsidR="00377C73">
        <w:t>(</w:t>
      </w:r>
      <w:proofErr w:type="gramEnd"/>
      <w:r w:rsidR="00377C73">
        <w:t>1)</w:t>
      </w:r>
      <w:r w:rsidR="00AB7C3F">
        <w:t xml:space="preserve"> of the </w:t>
      </w:r>
      <w:r w:rsidR="00AB7C3F" w:rsidRPr="00A76B09">
        <w:rPr>
          <w:i/>
        </w:rPr>
        <w:t>Federal Court of Australia Act</w:t>
      </w:r>
      <w:r w:rsidR="00377C73">
        <w:t xml:space="preserve"> is engaged</w:t>
      </w:r>
      <w:r w:rsidR="00AB7C3F">
        <w:t>. That is</w:t>
      </w:r>
      <w:r w:rsidR="003A69EA">
        <w:t xml:space="preserve"> because the judgments and orders are not </w:t>
      </w:r>
      <w:r w:rsidR="00935202">
        <w:t xml:space="preserve">relied upon to prove a fact in issue in those proceedings. Rather, </w:t>
      </w:r>
      <w:r w:rsidR="004E58CE">
        <w:t>as s </w:t>
      </w:r>
      <w:proofErr w:type="gramStart"/>
      <w:r w:rsidR="004E58CE">
        <w:t>37AO(</w:t>
      </w:r>
      <w:proofErr w:type="gramEnd"/>
      <w:r w:rsidR="004E58CE">
        <w:t xml:space="preserve">6) expressly authorises, </w:t>
      </w:r>
      <w:r w:rsidR="00935202">
        <w:t>the judgments and orders may be relied upon to show the outcome of the proceedings, and the course they had taken</w:t>
      </w:r>
      <w:r w:rsidR="009E56B1">
        <w:t xml:space="preserve">, and </w:t>
      </w:r>
      <w:r w:rsidR="00CE11D1">
        <w:t xml:space="preserve">to </w:t>
      </w:r>
      <w:r w:rsidR="009E56B1">
        <w:t>record the person</w:t>
      </w:r>
      <w:r w:rsidR="00AD58B0">
        <w:t>’</w:t>
      </w:r>
      <w:r w:rsidR="009E56B1">
        <w:t>s conduct of those proceedings</w:t>
      </w:r>
      <w:r w:rsidR="008D37DA">
        <w:t xml:space="preserve"> for the purposes of </w:t>
      </w:r>
      <w:r w:rsidR="000F2460">
        <w:t>characterising those proceedings in order to evaluate</w:t>
      </w:r>
      <w:r w:rsidR="008D37DA">
        <w:t xml:space="preserve"> whether s 37AO(1) is engaged</w:t>
      </w:r>
      <w:r w:rsidR="009E56B1">
        <w:t xml:space="preserve">: </w:t>
      </w:r>
      <w:r w:rsidR="008D37DA">
        <w:t xml:space="preserve">see, </w:t>
      </w:r>
      <w:r w:rsidR="009E56B1" w:rsidRPr="00A76B09">
        <w:rPr>
          <w:i/>
        </w:rPr>
        <w:t xml:space="preserve">Attorney-General (NSW) v Chan </w:t>
      </w:r>
      <w:r w:rsidR="009E56B1">
        <w:t>at [46]-[47] (Fullerton J)</w:t>
      </w:r>
      <w:r w:rsidR="00A607D9">
        <w:t>.</w:t>
      </w:r>
      <w:r w:rsidR="00BD2C11">
        <w:t xml:space="preserve"> </w:t>
      </w:r>
      <w:r w:rsidR="00AB6175">
        <w:t xml:space="preserve">On this </w:t>
      </w:r>
      <w:r w:rsidR="00333CDA">
        <w:t>view</w:t>
      </w:r>
      <w:r w:rsidR="00AB6175">
        <w:t>, no question of any implied suppression of s 91(1) arises</w:t>
      </w:r>
      <w:r w:rsidR="00333CDA">
        <w:t xml:space="preserve">, but if it did, I would respectfully agree with the analysis of </w:t>
      </w:r>
      <w:proofErr w:type="spellStart"/>
      <w:r w:rsidR="00333CDA">
        <w:t>Basten</w:t>
      </w:r>
      <w:proofErr w:type="spellEnd"/>
      <w:r w:rsidR="00333CDA">
        <w:t xml:space="preserve"> JA in </w:t>
      </w:r>
      <w:r w:rsidR="00333CDA" w:rsidRPr="00A76B09">
        <w:rPr>
          <w:i/>
        </w:rPr>
        <w:t xml:space="preserve">King v </w:t>
      </w:r>
      <w:proofErr w:type="spellStart"/>
      <w:r w:rsidR="00333CDA" w:rsidRPr="00A76B09">
        <w:rPr>
          <w:i/>
        </w:rPr>
        <w:t>Muriniti</w:t>
      </w:r>
      <w:proofErr w:type="spellEnd"/>
      <w:r w:rsidR="00333CDA">
        <w:t xml:space="preserve"> at </w:t>
      </w:r>
      <w:r w:rsidR="00A570A9">
        <w:t>[31], set out at [</w:t>
      </w:r>
      <w:r w:rsidR="00A570A9">
        <w:fldChar w:fldCharType="begin"/>
      </w:r>
      <w:r w:rsidR="00A570A9">
        <w:instrText xml:space="preserve"> REF _Ref27411560 \r \h </w:instrText>
      </w:r>
      <w:r w:rsidR="00A570A9">
        <w:fldChar w:fldCharType="separate"/>
      </w:r>
      <w:r w:rsidR="00AD0A4F">
        <w:t>58</w:t>
      </w:r>
      <w:r w:rsidR="00A570A9">
        <w:fldChar w:fldCharType="end"/>
      </w:r>
      <w:r w:rsidR="00A570A9">
        <w:t>] above.</w:t>
      </w:r>
    </w:p>
    <w:p w14:paraId="2A4B6DE6" w14:textId="53611A1C" w:rsidR="00952F48" w:rsidRDefault="004516DF" w:rsidP="00E9679B">
      <w:pPr>
        <w:pStyle w:val="ParaNumbering"/>
      </w:pPr>
      <w:r>
        <w:t>I consider that Mrs</w:t>
      </w:r>
      <w:r w:rsidR="0086091A">
        <w:t> </w:t>
      </w:r>
      <w:proofErr w:type="spellStart"/>
      <w:r>
        <w:t>Fokas</w:t>
      </w:r>
      <w:proofErr w:type="spellEnd"/>
      <w:r>
        <w:t xml:space="preserve"> has instituted and conducted the following proceedings which are to be characterised as vexatious proceedings.</w:t>
      </w:r>
    </w:p>
    <w:p w14:paraId="431F037A" w14:textId="4004545D" w:rsidR="00FF1D66" w:rsidRDefault="00FF1D66" w:rsidP="00FF009B">
      <w:pPr>
        <w:pStyle w:val="ListNo1"/>
        <w:numPr>
          <w:ilvl w:val="0"/>
          <w:numId w:val="30"/>
        </w:numPr>
      </w:pPr>
      <w:proofErr w:type="spellStart"/>
      <w:r w:rsidRPr="006229F6">
        <w:rPr>
          <w:i/>
        </w:rPr>
        <w:t>Fokas</w:t>
      </w:r>
      <w:proofErr w:type="spellEnd"/>
      <w:r w:rsidRPr="006229F6">
        <w:rPr>
          <w:i/>
        </w:rPr>
        <w:t xml:space="preserve"> v Kogarah Council</w:t>
      </w:r>
      <w:r>
        <w:t xml:space="preserve"> [2005] NSWLEC 626.</w:t>
      </w:r>
    </w:p>
    <w:p w14:paraId="34C35657" w14:textId="077D4ABA" w:rsidR="00E41047" w:rsidRDefault="008B0ED3" w:rsidP="00EB6634">
      <w:pPr>
        <w:pStyle w:val="ParaNumbering"/>
      </w:pPr>
      <w:r>
        <w:t>In this proceeding</w:t>
      </w:r>
      <w:r w:rsidR="00087815">
        <w:t>,</w:t>
      </w:r>
      <w:r>
        <w:t xml:space="preserve"> Mrs</w:t>
      </w:r>
      <w:r w:rsidR="0086091A">
        <w:t> </w:t>
      </w:r>
      <w:proofErr w:type="spellStart"/>
      <w:r>
        <w:t>Fokas</w:t>
      </w:r>
      <w:proofErr w:type="spellEnd"/>
      <w:r>
        <w:t xml:space="preserve"> sought to challenge the validity of development consents for two properties which authorised the erection of an awning that was to span the two properties, </w:t>
      </w:r>
      <w:r w:rsidR="0086091A">
        <w:t xml:space="preserve">which </w:t>
      </w:r>
      <w:r>
        <w:t xml:space="preserve">were currently operated as a hospital. The awning was designed to protect the patients of the hospital as they moved from one building to another. The reasons for judgment of </w:t>
      </w:r>
      <w:proofErr w:type="spellStart"/>
      <w:r>
        <w:t>Cowdroy</w:t>
      </w:r>
      <w:proofErr w:type="spellEnd"/>
      <w:r w:rsidR="0086091A">
        <w:t> </w:t>
      </w:r>
      <w:r>
        <w:t>J record that Mrs</w:t>
      </w:r>
      <w:r w:rsidR="0086091A">
        <w:t> </w:t>
      </w:r>
      <w:proofErr w:type="spellStart"/>
      <w:r>
        <w:t>Fokas</w:t>
      </w:r>
      <w:proofErr w:type="spellEnd"/>
      <w:r>
        <w:t xml:space="preserve"> addressed the Court extensively and made claims in four affidavits. The Court stated that Mrs</w:t>
      </w:r>
      <w:r w:rsidR="00701D26">
        <w:t> </w:t>
      </w:r>
      <w:proofErr w:type="spellStart"/>
      <w:r>
        <w:t>Fokas</w:t>
      </w:r>
      <w:proofErr w:type="spellEnd"/>
      <w:r>
        <w:t xml:space="preserve"> was not entitled to bring proceedings to</w:t>
      </w:r>
      <w:r w:rsidR="004628FB">
        <w:t xml:space="preserve"> review the merits only of the C</w:t>
      </w:r>
      <w:r>
        <w:t>ouncil’s decision, save for a challenge based upon legal unreasonableness, which had not been made. At</w:t>
      </w:r>
      <w:r w:rsidR="00701D26">
        <w:t> </w:t>
      </w:r>
      <w:r>
        <w:t>[18]</w:t>
      </w:r>
      <w:r w:rsidR="00087815">
        <w:t>,</w:t>
      </w:r>
      <w:r>
        <w:t xml:space="preserve"> </w:t>
      </w:r>
      <w:proofErr w:type="spellStart"/>
      <w:r>
        <w:t>Cowdroy</w:t>
      </w:r>
      <w:proofErr w:type="spellEnd"/>
      <w:r>
        <w:t xml:space="preserve"> J held –</w:t>
      </w:r>
    </w:p>
    <w:p w14:paraId="707B70BD" w14:textId="75230987" w:rsidR="008B0ED3" w:rsidRDefault="008B0ED3" w:rsidP="00EB6634">
      <w:pPr>
        <w:pStyle w:val="Quote1"/>
      </w:pPr>
      <w:r>
        <w:t xml:space="preserve">Having heard lengthy submissions </w:t>
      </w:r>
      <w:r w:rsidR="007650E2">
        <w:t>from the applicant, the Court is unable to find in the applicant’s affidavits any issue upon which the Court could properly adjudicate if this matter were to proceed to trial. The Court is conscious of the heavy onus which is imposed upon a court in an application for summary judgment, and the Court is naturally cautious before taking the step or striking out proceedings. However in this case the Court is satisfied that there is no merit in the application. The claim of the applicant has no prospects whatsoever of success. To allow it to proceed in the Court would be a waste of the time and resources of the parties.</w:t>
      </w:r>
    </w:p>
    <w:p w14:paraId="5C31736E" w14:textId="6FA199D1" w:rsidR="008625B8" w:rsidRDefault="008625B8" w:rsidP="00EB6634">
      <w:pPr>
        <w:pStyle w:val="ParaNumbering"/>
      </w:pPr>
      <w:r>
        <w:t>The Court ordered that the proceedings be dismissed.</w:t>
      </w:r>
    </w:p>
    <w:p w14:paraId="17D54227" w14:textId="2E3BDF45" w:rsidR="00FF1D66" w:rsidRDefault="00FF1D66" w:rsidP="0032038B">
      <w:pPr>
        <w:pStyle w:val="ListNo1"/>
        <w:numPr>
          <w:ilvl w:val="0"/>
          <w:numId w:val="30"/>
        </w:numPr>
      </w:pPr>
      <w:proofErr w:type="spellStart"/>
      <w:r w:rsidRPr="0032038B">
        <w:rPr>
          <w:i/>
        </w:rPr>
        <w:t>Fokas</w:t>
      </w:r>
      <w:proofErr w:type="spellEnd"/>
      <w:r w:rsidRPr="0032038B">
        <w:rPr>
          <w:i/>
        </w:rPr>
        <w:t xml:space="preserve"> v Kogarah Council</w:t>
      </w:r>
      <w:r>
        <w:t xml:space="preserve"> [2007] NSWLEC 735.</w:t>
      </w:r>
    </w:p>
    <w:p w14:paraId="49F1151C" w14:textId="27FB1136" w:rsidR="00E41047" w:rsidRDefault="008424D2" w:rsidP="00EB6634">
      <w:pPr>
        <w:pStyle w:val="ParaNumbering"/>
      </w:pPr>
      <w:r>
        <w:t>In this proceeding, Mrs</w:t>
      </w:r>
      <w:r w:rsidR="00025EF2">
        <w:t> </w:t>
      </w:r>
      <w:proofErr w:type="spellStart"/>
      <w:r>
        <w:t>Fokas</w:t>
      </w:r>
      <w:proofErr w:type="spellEnd"/>
      <w:r>
        <w:t xml:space="preserve"> challenged the validity of a development </w:t>
      </w:r>
      <w:r w:rsidR="004628FB">
        <w:t>consent granted by the Council in respect of a residential flat to be erected some 100m from Mrs</w:t>
      </w:r>
      <w:r w:rsidR="00025EF2">
        <w:t> </w:t>
      </w:r>
      <w:proofErr w:type="spellStart"/>
      <w:r w:rsidR="004628FB">
        <w:t>Fokas’</w:t>
      </w:r>
      <w:r w:rsidR="00122427">
        <w:t>s</w:t>
      </w:r>
      <w:proofErr w:type="spellEnd"/>
      <w:r w:rsidR="004628FB">
        <w:t xml:space="preserve"> home. </w:t>
      </w:r>
      <w:proofErr w:type="spellStart"/>
      <w:r w:rsidR="00025EF2">
        <w:t>Sheahan</w:t>
      </w:r>
      <w:proofErr w:type="spellEnd"/>
      <w:r w:rsidR="00AA156C">
        <w:t> </w:t>
      </w:r>
      <w:r w:rsidR="00025EF2">
        <w:t>J</w:t>
      </w:r>
      <w:r w:rsidR="004628FB">
        <w:t xml:space="preserve"> recorded that Mrs</w:t>
      </w:r>
      <w:r w:rsidR="00AA156C">
        <w:t> </w:t>
      </w:r>
      <w:proofErr w:type="spellStart"/>
      <w:r w:rsidR="004628FB">
        <w:t>Fokas</w:t>
      </w:r>
      <w:proofErr w:type="spellEnd"/>
      <w:r w:rsidR="004628FB">
        <w:t xml:space="preserve"> </w:t>
      </w:r>
      <w:r w:rsidR="00AA156C">
        <w:t>had filed a serie</w:t>
      </w:r>
      <w:r w:rsidR="00073E11">
        <w:t>s of affidavits</w:t>
      </w:r>
      <w:r w:rsidR="00E96569">
        <w:t>,</w:t>
      </w:r>
      <w:r w:rsidR="00073E11">
        <w:t xml:space="preserve"> however, upon the hearing </w:t>
      </w:r>
      <w:r w:rsidR="00073E11">
        <w:lastRenderedPageBreak/>
        <w:t>of a motion by the Council for summary dismissal of the proceeding, Mrs</w:t>
      </w:r>
      <w:r w:rsidR="00AA156C">
        <w:t> </w:t>
      </w:r>
      <w:proofErr w:type="spellStart"/>
      <w:r w:rsidR="00073E11">
        <w:t>Fokas</w:t>
      </w:r>
      <w:proofErr w:type="spellEnd"/>
      <w:r w:rsidR="00073E11">
        <w:t xml:space="preserve"> did not stay and argue her case. </w:t>
      </w:r>
      <w:proofErr w:type="spellStart"/>
      <w:r w:rsidR="00025EF2">
        <w:t>Sheahan</w:t>
      </w:r>
      <w:proofErr w:type="spellEnd"/>
      <w:r w:rsidR="00AA156C">
        <w:t> </w:t>
      </w:r>
      <w:r w:rsidR="00025EF2">
        <w:t>J</w:t>
      </w:r>
      <w:r w:rsidR="00073E11">
        <w:t xml:space="preserve"> nonetheless considered the contents of her affidavits as submissions on her behalf in her absence. His Honour held that the material filed by Mrs</w:t>
      </w:r>
      <w:r w:rsidR="00AA156C">
        <w:t> </w:t>
      </w:r>
      <w:proofErr w:type="spellStart"/>
      <w:r w:rsidR="00073E11">
        <w:t>Fokas</w:t>
      </w:r>
      <w:proofErr w:type="spellEnd"/>
      <w:r w:rsidR="00073E11">
        <w:t xml:space="preserve"> dealt entirely with issues relating to the merits of the development, and noted that the Court could not review the merits of the development. </w:t>
      </w:r>
      <w:proofErr w:type="spellStart"/>
      <w:r w:rsidR="00025EF2">
        <w:t>Sheahan</w:t>
      </w:r>
      <w:proofErr w:type="spellEnd"/>
      <w:r w:rsidR="00AA156C">
        <w:t> </w:t>
      </w:r>
      <w:r w:rsidR="00025EF2">
        <w:t>J</w:t>
      </w:r>
      <w:r w:rsidR="00073E11">
        <w:t xml:space="preserve"> held that there was no legal failure in the Council’s discharge of its statutory duties, and that there was nothing amongst the materials which carried even a vague hint of a </w:t>
      </w:r>
      <w:proofErr w:type="spellStart"/>
      <w:r w:rsidR="0039421C">
        <w:rPr>
          <w:i/>
        </w:rPr>
        <w:t>Wednesbury</w:t>
      </w:r>
      <w:proofErr w:type="spellEnd"/>
      <w:r w:rsidR="0039421C">
        <w:t xml:space="preserve"> unreasonableness point. At</w:t>
      </w:r>
      <w:r w:rsidR="00AA156C">
        <w:t> </w:t>
      </w:r>
      <w:r w:rsidR="0039421C">
        <w:t>[11]</w:t>
      </w:r>
      <w:r w:rsidR="00087815">
        <w:t>,</w:t>
      </w:r>
      <w:r w:rsidR="0039421C">
        <w:t xml:space="preserve"> </w:t>
      </w:r>
      <w:proofErr w:type="spellStart"/>
      <w:r w:rsidR="00025EF2">
        <w:t>Sheahan</w:t>
      </w:r>
      <w:proofErr w:type="spellEnd"/>
      <w:r w:rsidR="00AA156C">
        <w:t> </w:t>
      </w:r>
      <w:r w:rsidR="00025EF2">
        <w:t>J</w:t>
      </w:r>
      <w:r w:rsidR="0039421C">
        <w:t xml:space="preserve"> held –</w:t>
      </w:r>
    </w:p>
    <w:p w14:paraId="63338829" w14:textId="1B4426E3" w:rsidR="0039421C" w:rsidRDefault="008768DF" w:rsidP="00095D93">
      <w:pPr>
        <w:pStyle w:val="Quote1"/>
        <w:ind w:left="1440"/>
      </w:pPr>
      <w:r>
        <w:t>To allow this challenge to proceed any further would waste the time and resources of the parties and the Court. On all the material presented by Mrs</w:t>
      </w:r>
      <w:r w:rsidR="003751F1">
        <w:t> </w:t>
      </w:r>
      <w:proofErr w:type="spellStart"/>
      <w:r>
        <w:t>Fokas</w:t>
      </w:r>
      <w:proofErr w:type="spellEnd"/>
      <w:r>
        <w:t>, admissible, or not, there is no prospect of her success and I am comfortable that she could not have rescued her case had she remained to argue it today.</w:t>
      </w:r>
    </w:p>
    <w:p w14:paraId="76390956" w14:textId="51C3EB69" w:rsidR="0022585F" w:rsidRPr="00AB4873" w:rsidRDefault="0022585F" w:rsidP="00EB6634">
      <w:pPr>
        <w:pStyle w:val="ParaNumbering"/>
      </w:pPr>
      <w:r>
        <w:t>The Court ordered</w:t>
      </w:r>
      <w:r w:rsidR="00883CA1">
        <w:t xml:space="preserve"> that the proceedings </w:t>
      </w:r>
      <w:r w:rsidR="00087815">
        <w:t xml:space="preserve">be </w:t>
      </w:r>
      <w:r w:rsidR="00883CA1">
        <w:t>dismissed pursuant to part</w:t>
      </w:r>
      <w:r w:rsidR="00604CB7">
        <w:t> </w:t>
      </w:r>
      <w:r w:rsidR="00883CA1">
        <w:t>13, rule</w:t>
      </w:r>
      <w:r w:rsidR="00604CB7">
        <w:t> </w:t>
      </w:r>
      <w:r w:rsidR="00883CA1">
        <w:t xml:space="preserve">5 of the </w:t>
      </w:r>
      <w:r w:rsidR="00AB4873">
        <w:rPr>
          <w:i/>
        </w:rPr>
        <w:t>Supreme Court Rules 1970</w:t>
      </w:r>
      <w:r w:rsidR="00E407D8">
        <w:rPr>
          <w:i/>
        </w:rPr>
        <w:t xml:space="preserve"> </w:t>
      </w:r>
      <w:r w:rsidR="00E407D8">
        <w:t>(NSW)</w:t>
      </w:r>
      <w:r w:rsidR="003751F1">
        <w:t>.</w:t>
      </w:r>
    </w:p>
    <w:p w14:paraId="6B579C0C" w14:textId="18D1E443" w:rsidR="00FF1D66" w:rsidRDefault="00FF1D66" w:rsidP="0032038B">
      <w:pPr>
        <w:pStyle w:val="ListNo1"/>
        <w:numPr>
          <w:ilvl w:val="0"/>
          <w:numId w:val="30"/>
        </w:numPr>
      </w:pPr>
      <w:proofErr w:type="spellStart"/>
      <w:r w:rsidRPr="006229F6">
        <w:rPr>
          <w:i/>
        </w:rPr>
        <w:t>Fokas</w:t>
      </w:r>
      <w:proofErr w:type="spellEnd"/>
      <w:r w:rsidRPr="006229F6">
        <w:rPr>
          <w:i/>
        </w:rPr>
        <w:t xml:space="preserve"> v Kogarah Council &amp; Energy Australia</w:t>
      </w:r>
      <w:r>
        <w:t xml:space="preserve"> [2008] NSWLEC 74.</w:t>
      </w:r>
    </w:p>
    <w:p w14:paraId="472EA7EB" w14:textId="2C3456D9" w:rsidR="00E41047" w:rsidRDefault="008454DE" w:rsidP="00EB6634">
      <w:pPr>
        <w:pStyle w:val="ParaNumbering"/>
      </w:pPr>
      <w:r>
        <w:t>In this proceeding, Mrs</w:t>
      </w:r>
      <w:r w:rsidR="003751F1">
        <w:t> </w:t>
      </w:r>
      <w:proofErr w:type="spellStart"/>
      <w:r>
        <w:t>Fokas</w:t>
      </w:r>
      <w:proofErr w:type="spellEnd"/>
      <w:r>
        <w:t xml:space="preserve"> sought a declaration that a development consent granted by the Council for the construction of an electricity zone</w:t>
      </w:r>
      <w:r w:rsidR="007A4D47">
        <w:t xml:space="preserve"> substation be stayed until the land was rezoned. Lloyd</w:t>
      </w:r>
      <w:r w:rsidR="003751F1">
        <w:t> </w:t>
      </w:r>
      <w:r w:rsidR="007A4D47">
        <w:t>J held that it was clear that the proposed development was permissible with consent, and that a rezoning of the land was not required. Lloyd</w:t>
      </w:r>
      <w:r w:rsidR="00604AF3">
        <w:t> </w:t>
      </w:r>
      <w:r w:rsidR="007A4D47">
        <w:t>J held at</w:t>
      </w:r>
      <w:r w:rsidR="00604AF3">
        <w:t> </w:t>
      </w:r>
      <w:r w:rsidR="007A4D47">
        <w:t>[10] –</w:t>
      </w:r>
    </w:p>
    <w:p w14:paraId="26483AE9" w14:textId="4B17532F" w:rsidR="007A4D47" w:rsidRDefault="007A4D47" w:rsidP="007A4D47">
      <w:pPr>
        <w:pStyle w:val="Quote1"/>
        <w:ind w:left="1440"/>
      </w:pPr>
      <w:r>
        <w:t>It is clear, therefore, that the grounds disclosed in the affidavits in support of Mrs</w:t>
      </w:r>
      <w:r w:rsidR="00604AF3">
        <w:t> </w:t>
      </w:r>
      <w:proofErr w:type="spellStart"/>
      <w:r>
        <w:t>Fokas</w:t>
      </w:r>
      <w:proofErr w:type="spellEnd"/>
      <w:r>
        <w:t xml:space="preserve">’ application do not disclose a cause of action; </w:t>
      </w:r>
      <w:r>
        <w:rPr>
          <w:i/>
        </w:rPr>
        <w:t>firstly</w:t>
      </w:r>
      <w:r w:rsidRPr="007A4D47">
        <w:t>,</w:t>
      </w:r>
      <w:r>
        <w:rPr>
          <w:i/>
        </w:rPr>
        <w:t xml:space="preserve"> </w:t>
      </w:r>
      <w:r>
        <w:t xml:space="preserve">there is no need for the land to be rezoned and, </w:t>
      </w:r>
      <w:r>
        <w:rPr>
          <w:i/>
        </w:rPr>
        <w:t>secondly</w:t>
      </w:r>
      <w:r>
        <w:t>, there is no right on the part of Mrs</w:t>
      </w:r>
      <w:r w:rsidR="00604AF3">
        <w:t> </w:t>
      </w:r>
      <w:proofErr w:type="spellStart"/>
      <w:r>
        <w:t>Fokas</w:t>
      </w:r>
      <w:proofErr w:type="spellEnd"/>
      <w:r>
        <w:t xml:space="preserve"> to seek an amendment.</w:t>
      </w:r>
    </w:p>
    <w:p w14:paraId="435DA390" w14:textId="6BF6D8E2" w:rsidR="007A4D47" w:rsidRPr="007A4D47" w:rsidRDefault="007A4D47" w:rsidP="00EB6634">
      <w:pPr>
        <w:pStyle w:val="ParaNumbering"/>
      </w:pPr>
      <w:r>
        <w:t>Lloyd</w:t>
      </w:r>
      <w:r w:rsidR="00604AF3">
        <w:t> </w:t>
      </w:r>
      <w:r>
        <w:t>J went on to hold that no reasonable cause of action was disclosed, and dismissed the application.</w:t>
      </w:r>
    </w:p>
    <w:p w14:paraId="1B0A55F3" w14:textId="0981ECDC" w:rsidR="00FF1D66" w:rsidRDefault="00FF1D66" w:rsidP="0032038B">
      <w:pPr>
        <w:pStyle w:val="ListNo1"/>
        <w:numPr>
          <w:ilvl w:val="0"/>
          <w:numId w:val="30"/>
        </w:numPr>
      </w:pPr>
      <w:proofErr w:type="spellStart"/>
      <w:r w:rsidRPr="006229F6">
        <w:rPr>
          <w:i/>
        </w:rPr>
        <w:t>Fokas</w:t>
      </w:r>
      <w:proofErr w:type="spellEnd"/>
      <w:r w:rsidRPr="006229F6">
        <w:rPr>
          <w:i/>
        </w:rPr>
        <w:t xml:space="preserve"> v Kogarah Council</w:t>
      </w:r>
      <w:r>
        <w:t xml:space="preserve"> [2008] NSWLEC 98.</w:t>
      </w:r>
    </w:p>
    <w:p w14:paraId="58687BC7" w14:textId="575D5C57" w:rsidR="00E41047" w:rsidRDefault="00E12D3D" w:rsidP="00EB6634">
      <w:pPr>
        <w:pStyle w:val="ParaNumbering"/>
      </w:pPr>
      <w:r>
        <w:t>In this proceeding, Mrs</w:t>
      </w:r>
      <w:r w:rsidR="00604AF3">
        <w:t> </w:t>
      </w:r>
      <w:proofErr w:type="spellStart"/>
      <w:r>
        <w:t>Fokas</w:t>
      </w:r>
      <w:proofErr w:type="spellEnd"/>
      <w:r>
        <w:t xml:space="preserve"> filed a notice of motion seeking orders that the decision of Lloyd</w:t>
      </w:r>
      <w:r w:rsidR="00604AF3">
        <w:t> </w:t>
      </w:r>
      <w:r>
        <w:t>J, referred to above, be set aside. Pain</w:t>
      </w:r>
      <w:r w:rsidR="0007246B">
        <w:t> </w:t>
      </w:r>
      <w:r>
        <w:t>J held that the relevant rules of procedure did not permit him to entertain Mrs</w:t>
      </w:r>
      <w:r w:rsidR="0007246B">
        <w:t> </w:t>
      </w:r>
      <w:proofErr w:type="spellStart"/>
      <w:r>
        <w:t>Fokas’</w:t>
      </w:r>
      <w:r w:rsidR="00122427">
        <w:t>s</w:t>
      </w:r>
      <w:proofErr w:type="spellEnd"/>
      <w:r>
        <w:t xml:space="preserve"> application to set aside the order of Lloyd</w:t>
      </w:r>
      <w:r w:rsidR="0007246B">
        <w:t> </w:t>
      </w:r>
      <w:r>
        <w:t>J.</w:t>
      </w:r>
    </w:p>
    <w:p w14:paraId="768FF9CE" w14:textId="5DA3BE7B" w:rsidR="00FF1D66" w:rsidRDefault="00FF1D66" w:rsidP="0032038B">
      <w:pPr>
        <w:pStyle w:val="ListNo1"/>
        <w:numPr>
          <w:ilvl w:val="0"/>
          <w:numId w:val="30"/>
        </w:numPr>
      </w:pPr>
      <w:proofErr w:type="spellStart"/>
      <w:r w:rsidRPr="006229F6">
        <w:rPr>
          <w:i/>
        </w:rPr>
        <w:t>Fokas</w:t>
      </w:r>
      <w:proofErr w:type="spellEnd"/>
      <w:r w:rsidRPr="006229F6">
        <w:rPr>
          <w:i/>
        </w:rPr>
        <w:t xml:space="preserve"> v Kogarah Council</w:t>
      </w:r>
      <w:r>
        <w:t xml:space="preserve"> [2008] NSWCA 145.</w:t>
      </w:r>
    </w:p>
    <w:p w14:paraId="6DCF606E" w14:textId="5795CA19" w:rsidR="00E41047" w:rsidRPr="003B69AF" w:rsidRDefault="003B69AF" w:rsidP="00EB6634">
      <w:pPr>
        <w:pStyle w:val="ParaNumbering"/>
      </w:pPr>
      <w:r>
        <w:t>Following the dismissal of her application to Pain</w:t>
      </w:r>
      <w:r w:rsidR="0007246B">
        <w:t> </w:t>
      </w:r>
      <w:r>
        <w:t>J to set aside the orders of Lloyd</w:t>
      </w:r>
      <w:r w:rsidR="0007246B">
        <w:t> </w:t>
      </w:r>
      <w:r>
        <w:t>J, Mrs</w:t>
      </w:r>
      <w:r w:rsidR="0007246B">
        <w:t> </w:t>
      </w:r>
      <w:proofErr w:type="spellStart"/>
      <w:r>
        <w:t>Fokas</w:t>
      </w:r>
      <w:proofErr w:type="spellEnd"/>
      <w:r>
        <w:t xml:space="preserve"> sought leave to appeal in the New South Wales Court of Appeal. The application </w:t>
      </w:r>
      <w:r>
        <w:lastRenderedPageBreak/>
        <w:t>was determined on the papers by Allsop</w:t>
      </w:r>
      <w:r w:rsidR="00F07A79">
        <w:t> </w:t>
      </w:r>
      <w:r>
        <w:t>P and Tobias</w:t>
      </w:r>
      <w:r w:rsidR="00F07A79">
        <w:t> </w:t>
      </w:r>
      <w:r>
        <w:t>JA. The Court of Appeal held that Pain</w:t>
      </w:r>
      <w:r w:rsidR="00F07A79">
        <w:t> </w:t>
      </w:r>
      <w:r>
        <w:t>J had erred in her construction of rule</w:t>
      </w:r>
      <w:r w:rsidR="007B2923">
        <w:t> </w:t>
      </w:r>
      <w:r>
        <w:t xml:space="preserve">36.16 of the </w:t>
      </w:r>
      <w:r>
        <w:rPr>
          <w:i/>
        </w:rPr>
        <w:t>Uniform Civil Procedure Rules</w:t>
      </w:r>
      <w:r w:rsidR="0000093F">
        <w:rPr>
          <w:i/>
        </w:rPr>
        <w:t xml:space="preserve"> 2005</w:t>
      </w:r>
      <w:r w:rsidR="007D5328">
        <w:rPr>
          <w:i/>
        </w:rPr>
        <w:t xml:space="preserve"> </w:t>
      </w:r>
      <w:r w:rsidR="007D5328">
        <w:t>(NSW)</w:t>
      </w:r>
      <w:r>
        <w:t xml:space="preserve"> and that the Land and Environment Court did have the power to set aside the order of Lloyd</w:t>
      </w:r>
      <w:r w:rsidR="007B2923">
        <w:t> </w:t>
      </w:r>
      <w:r>
        <w:t>J. However,</w:t>
      </w:r>
      <w:r w:rsidR="00B91F3E">
        <w:t> </w:t>
      </w:r>
      <w:r>
        <w:t>the Court held that there was no utility in granting leave to appeal because even though Pain</w:t>
      </w:r>
      <w:r w:rsidR="007B2923">
        <w:t> </w:t>
      </w:r>
      <w:r>
        <w:t>J erred in finding that she did not have power to determine Mrs</w:t>
      </w:r>
      <w:r w:rsidR="007B2923">
        <w:t> </w:t>
      </w:r>
      <w:proofErr w:type="spellStart"/>
      <w:r>
        <w:t>Fokas’</w:t>
      </w:r>
      <w:r w:rsidR="00122427">
        <w:t>s</w:t>
      </w:r>
      <w:proofErr w:type="spellEnd"/>
      <w:r>
        <w:t xml:space="preserve"> notice of motion, the notice of motion would inevitably have failed because there was nothing that revealed any substance in any of the grounds which Mrs</w:t>
      </w:r>
      <w:r w:rsidR="007B2923">
        <w:t> </w:t>
      </w:r>
      <w:proofErr w:type="spellStart"/>
      <w:r>
        <w:t>Fokas</w:t>
      </w:r>
      <w:proofErr w:type="spellEnd"/>
      <w:r>
        <w:t xml:space="preserve"> sought to litigate with respect to the validity of the Council’s consent.</w:t>
      </w:r>
      <w:r w:rsidR="00C82E6F">
        <w:t xml:space="preserve"> Although the Court of Appeal identified error in the reasons of Pain J,</w:t>
      </w:r>
      <w:r w:rsidR="00C421E6">
        <w:t xml:space="preserve"> I regard the application for leave to appeal as a continuation of the matter that was before Lloyd J, </w:t>
      </w:r>
      <w:r w:rsidR="00702357">
        <w:t>who held that there was no reasonable cause of action.</w:t>
      </w:r>
    </w:p>
    <w:p w14:paraId="24CFC2A1" w14:textId="5B997D67" w:rsidR="00FF1D66" w:rsidRDefault="00FF1D66" w:rsidP="0032038B">
      <w:pPr>
        <w:pStyle w:val="ListNo1"/>
        <w:numPr>
          <w:ilvl w:val="0"/>
          <w:numId w:val="30"/>
        </w:numPr>
      </w:pPr>
      <w:proofErr w:type="spellStart"/>
      <w:r w:rsidRPr="006229F6">
        <w:rPr>
          <w:i/>
        </w:rPr>
        <w:t>Fokas</w:t>
      </w:r>
      <w:proofErr w:type="spellEnd"/>
      <w:r w:rsidRPr="006229F6">
        <w:rPr>
          <w:i/>
        </w:rPr>
        <w:t xml:space="preserve"> v Kogarah RSL Club Ltd </w:t>
      </w:r>
      <w:r w:rsidR="008F6394">
        <w:t>[2012] NSWLEC 136;</w:t>
      </w:r>
      <w:r w:rsidR="00087815">
        <w:t xml:space="preserve"> </w:t>
      </w:r>
      <w:r w:rsidR="00087815" w:rsidRPr="00247576">
        <w:rPr>
          <w:i/>
        </w:rPr>
        <w:t>(No 2)</w:t>
      </w:r>
      <w:r w:rsidR="008F6394">
        <w:t xml:space="preserve"> </w:t>
      </w:r>
      <w:r>
        <w:t>[2012] NSWLEC 185.</w:t>
      </w:r>
    </w:p>
    <w:p w14:paraId="1F5F2DD4" w14:textId="6271D20C" w:rsidR="00C535E3" w:rsidRPr="00C535E3" w:rsidRDefault="00C535E3" w:rsidP="00EB6634">
      <w:pPr>
        <w:pStyle w:val="ParaNumbering"/>
      </w:pPr>
      <w:r w:rsidRPr="00C535E3">
        <w:t>By this proceeding</w:t>
      </w:r>
      <w:r w:rsidR="003C06E2">
        <w:t>,</w:t>
      </w:r>
      <w:r w:rsidRPr="00C535E3">
        <w:t xml:space="preserve"> </w:t>
      </w:r>
      <w:r w:rsidR="00D14332" w:rsidRPr="00C535E3">
        <w:t>Mrs</w:t>
      </w:r>
      <w:r w:rsidR="00D14332">
        <w:t> </w:t>
      </w:r>
      <w:proofErr w:type="spellStart"/>
      <w:r w:rsidRPr="00C535E3">
        <w:t>Fokas</w:t>
      </w:r>
      <w:proofErr w:type="spellEnd"/>
      <w:r w:rsidRPr="00C535E3">
        <w:t xml:space="preserve"> challenged the validity of a condition of a development consent granted by the </w:t>
      </w:r>
      <w:r>
        <w:t xml:space="preserve">Kogarah </w:t>
      </w:r>
      <w:r w:rsidRPr="00C535E3">
        <w:t xml:space="preserve">Council. The condition provided for the creation of an easement for access and parking </w:t>
      </w:r>
      <w:r>
        <w:t xml:space="preserve">over land adjacent to </w:t>
      </w:r>
      <w:r w:rsidR="00D14332">
        <w:t>Mrs </w:t>
      </w:r>
      <w:proofErr w:type="spellStart"/>
      <w:r>
        <w:t>Fokas’</w:t>
      </w:r>
      <w:r w:rsidR="00122427">
        <w:t>s</w:t>
      </w:r>
      <w:proofErr w:type="spellEnd"/>
      <w:r w:rsidRPr="00C535E3">
        <w:t xml:space="preserve"> home. She was able to bring the proceedings under the open standing provisions of </w:t>
      </w:r>
      <w:r w:rsidR="00D14332" w:rsidRPr="00C535E3">
        <w:t>s</w:t>
      </w:r>
      <w:r w:rsidR="00D14332">
        <w:t> </w:t>
      </w:r>
      <w:r w:rsidRPr="00C535E3">
        <w:t xml:space="preserve">123 of the </w:t>
      </w:r>
      <w:r w:rsidRPr="00C535E3">
        <w:rPr>
          <w:i/>
        </w:rPr>
        <w:t>Environmental Planning and Assessment Act</w:t>
      </w:r>
      <w:r w:rsidRPr="00C535E3">
        <w:t xml:space="preserve"> </w:t>
      </w:r>
      <w:r w:rsidRPr="00247576">
        <w:rPr>
          <w:i/>
        </w:rPr>
        <w:t>1979</w:t>
      </w:r>
      <w:r w:rsidR="003C06E2">
        <w:rPr>
          <w:i/>
        </w:rPr>
        <w:t xml:space="preserve"> </w:t>
      </w:r>
      <w:r w:rsidR="003C06E2">
        <w:t>(NSW)</w:t>
      </w:r>
      <w:r w:rsidRPr="00C535E3">
        <w:t>.</w:t>
      </w:r>
    </w:p>
    <w:p w14:paraId="46D5DBE9" w14:textId="348707FA" w:rsidR="00E41047" w:rsidRDefault="00F80CB5" w:rsidP="00EB6634">
      <w:pPr>
        <w:pStyle w:val="ParaNumbering"/>
      </w:pPr>
      <w:r>
        <w:t>Bis</w:t>
      </w:r>
      <w:r w:rsidR="0095594A">
        <w:t>coe</w:t>
      </w:r>
      <w:r w:rsidR="00F06FF1">
        <w:t> </w:t>
      </w:r>
      <w:r w:rsidR="0095594A">
        <w:t xml:space="preserve">J </w:t>
      </w:r>
      <w:r w:rsidR="00163B95">
        <w:t>gave judgment in the proceeding, holding</w:t>
      </w:r>
      <w:r w:rsidR="00E65567">
        <w:t xml:space="preserve"> at [14]</w:t>
      </w:r>
      <w:r w:rsidR="00163B95">
        <w:t xml:space="preserve"> that a</w:t>
      </w:r>
      <w:r w:rsidR="0095594A">
        <w:t xml:space="preserve">lthough some orders were made rectifying errors and drafting slips in the conditions of a development consent granted by the Council, the great majority </w:t>
      </w:r>
      <w:r w:rsidR="00E65567">
        <w:t xml:space="preserve">of </w:t>
      </w:r>
      <w:r w:rsidR="0095594A">
        <w:t xml:space="preserve">the hearing time was taken up with grounds which were without merit. </w:t>
      </w:r>
      <w:r w:rsidR="00F62BFC">
        <w:t xml:space="preserve">The Council sought a vexatious proceedings order, which </w:t>
      </w:r>
      <w:r w:rsidR="0095594A">
        <w:t>Biscoe</w:t>
      </w:r>
      <w:r w:rsidR="00F06FF1">
        <w:t> </w:t>
      </w:r>
      <w:r w:rsidR="0095594A">
        <w:t>J</w:t>
      </w:r>
      <w:r w:rsidR="00F62BFC">
        <w:t xml:space="preserve"> made, holding at</w:t>
      </w:r>
      <w:r w:rsidR="00F06FF1">
        <w:t> </w:t>
      </w:r>
      <w:r w:rsidR="00AD5C65">
        <w:t>[17] –</w:t>
      </w:r>
    </w:p>
    <w:p w14:paraId="0B48D8BF" w14:textId="777FB19E" w:rsidR="00AD5C65" w:rsidRDefault="007B6C04" w:rsidP="00EB6634">
      <w:pPr>
        <w:pStyle w:val="Quote1"/>
      </w:pPr>
      <w:r>
        <w:t>The extent of the costs and inconvenience of Mrs</w:t>
      </w:r>
      <w:r w:rsidR="00F06FF1">
        <w:t> </w:t>
      </w:r>
      <w:proofErr w:type="spellStart"/>
      <w:r>
        <w:t>Fokas</w:t>
      </w:r>
      <w:proofErr w:type="spellEnd"/>
      <w:r>
        <w:t xml:space="preserve"> foraging in the </w:t>
      </w:r>
      <w:r w:rsidR="00E65567">
        <w:t>c</w:t>
      </w:r>
      <w:r>
        <w:t>ourts has been substantial for the Council and, no doubt, for other respondents to her proceedings. Over the years she has failed to comply with costs orders made against her in favour of the Council. She has displayed no apparent insight into her previous litigious history. Nor has she advanced any defence to the application for a vexatious proceedings order. A vexatious proceedings order would provide a measure of future protection for the Council, which I think is warranted, in that there would be a threshold screening process, i.e. leave of the Court under s</w:t>
      </w:r>
      <w:r w:rsidR="00290BB6">
        <w:t> </w:t>
      </w:r>
      <w:r>
        <w:t xml:space="preserve">14 of the </w:t>
      </w:r>
      <w:r>
        <w:rPr>
          <w:i/>
        </w:rPr>
        <w:t>Vexatious Proceedings Act</w:t>
      </w:r>
      <w:r>
        <w:t>, before she could again bring proceedings against the Council in this Court.</w:t>
      </w:r>
    </w:p>
    <w:p w14:paraId="516A4FFD" w14:textId="2706CE88" w:rsidR="00FF1D66" w:rsidRDefault="00FF1D66" w:rsidP="0032038B">
      <w:pPr>
        <w:pStyle w:val="ListNo1"/>
        <w:numPr>
          <w:ilvl w:val="0"/>
          <w:numId w:val="30"/>
        </w:numPr>
      </w:pPr>
      <w:r w:rsidRPr="006229F6">
        <w:rPr>
          <w:i/>
        </w:rPr>
        <w:t xml:space="preserve">Mansfield v </w:t>
      </w:r>
      <w:proofErr w:type="spellStart"/>
      <w:r w:rsidRPr="006229F6">
        <w:rPr>
          <w:i/>
        </w:rPr>
        <w:t>Fokas</w:t>
      </w:r>
      <w:proofErr w:type="spellEnd"/>
      <w:r w:rsidRPr="006229F6">
        <w:t xml:space="preserve"> (unreported), Wilson</w:t>
      </w:r>
      <w:r w:rsidR="00290BB6">
        <w:t> </w:t>
      </w:r>
      <w:r w:rsidRPr="006229F6">
        <w:t>J, Supreme Court of</w:t>
      </w:r>
      <w:r>
        <w:t xml:space="preserve"> New South Wales, </w:t>
      </w:r>
      <w:proofErr w:type="gramStart"/>
      <w:r>
        <w:t>9</w:t>
      </w:r>
      <w:proofErr w:type="gramEnd"/>
      <w:r>
        <w:t> August 2017.</w:t>
      </w:r>
    </w:p>
    <w:p w14:paraId="7A822AA2" w14:textId="0BBABBA7" w:rsidR="00E41047" w:rsidRDefault="00762070" w:rsidP="00D71B8D">
      <w:pPr>
        <w:pStyle w:val="ParaNumbering"/>
      </w:pPr>
      <w:r>
        <w:t>In this proceeding, a notice of motion that had been filed by Mrs</w:t>
      </w:r>
      <w:r w:rsidR="00290BB6">
        <w:t> </w:t>
      </w:r>
      <w:proofErr w:type="spellStart"/>
      <w:r>
        <w:t>Fokas</w:t>
      </w:r>
      <w:proofErr w:type="spellEnd"/>
      <w:r>
        <w:t xml:space="preserve"> was struck out on the ground that it was not properly before the Court. Wilson</w:t>
      </w:r>
      <w:r w:rsidR="00D77974">
        <w:t> </w:t>
      </w:r>
      <w:r>
        <w:t>J recorded that on 14</w:t>
      </w:r>
      <w:r w:rsidR="00D77974">
        <w:t> </w:t>
      </w:r>
      <w:r>
        <w:t>December 2016</w:t>
      </w:r>
      <w:r w:rsidR="003C06E2">
        <w:t>,</w:t>
      </w:r>
      <w:r>
        <w:t xml:space="preserve"> </w:t>
      </w:r>
      <w:r>
        <w:lastRenderedPageBreak/>
        <w:t>a judgment for possession of property in Kogarah, which Mrs</w:t>
      </w:r>
      <w:r w:rsidR="00D77974">
        <w:t> </w:t>
      </w:r>
      <w:proofErr w:type="spellStart"/>
      <w:r>
        <w:t>Fokas</w:t>
      </w:r>
      <w:proofErr w:type="spellEnd"/>
      <w:r>
        <w:t xml:space="preserve"> owned, was obtained from the Court and the Court issued a writ of possession. On 30</w:t>
      </w:r>
      <w:r w:rsidR="00D77974">
        <w:t> January 2017</w:t>
      </w:r>
      <w:r w:rsidR="003C06E2">
        <w:t>,</w:t>
      </w:r>
      <w:r w:rsidR="00D77974">
        <w:t xml:space="preserve"> the O</w:t>
      </w:r>
      <w:r>
        <w:t>ffice of the Sheriff of New South Wales executed the writ of possession and Mr</w:t>
      </w:r>
      <w:r w:rsidR="007A4C6D">
        <w:t> </w:t>
      </w:r>
      <w:r>
        <w:t>Mansfield, as the trustee, was in possession of the property. Wilson</w:t>
      </w:r>
      <w:r w:rsidR="007A4C6D">
        <w:t> </w:t>
      </w:r>
      <w:r>
        <w:t>J stated that it seemed to her</w:t>
      </w:r>
      <w:r w:rsidR="007A4C6D">
        <w:t> </w:t>
      </w:r>
      <w:r>
        <w:t xml:space="preserve">Honour that the Court was, with respect of the proceedings, effectively </w:t>
      </w:r>
      <w:proofErr w:type="spellStart"/>
      <w:r w:rsidRPr="00D71B8D">
        <w:rPr>
          <w:i/>
        </w:rPr>
        <w:t>fun</w:t>
      </w:r>
      <w:r w:rsidR="00204D0D" w:rsidRPr="00D71B8D">
        <w:rPr>
          <w:i/>
        </w:rPr>
        <w:t>ctus</w:t>
      </w:r>
      <w:proofErr w:type="spellEnd"/>
      <w:r w:rsidR="00204D0D">
        <w:t>.</w:t>
      </w:r>
    </w:p>
    <w:p w14:paraId="768B6AE8" w14:textId="30BA3A50" w:rsidR="00FF1D66" w:rsidRDefault="00FF1D66" w:rsidP="0032038B">
      <w:pPr>
        <w:pStyle w:val="ListNo1"/>
        <w:keepNext/>
        <w:numPr>
          <w:ilvl w:val="0"/>
          <w:numId w:val="30"/>
        </w:numPr>
      </w:pPr>
      <w:proofErr w:type="spellStart"/>
      <w:r w:rsidRPr="006229F6">
        <w:rPr>
          <w:i/>
        </w:rPr>
        <w:t>Fokas</w:t>
      </w:r>
      <w:proofErr w:type="spellEnd"/>
      <w:r w:rsidRPr="006229F6">
        <w:rPr>
          <w:i/>
        </w:rPr>
        <w:t xml:space="preserve"> v Mansfield</w:t>
      </w:r>
      <w:r w:rsidR="00260EED">
        <w:t xml:space="preserve"> [2017] NSWCA 231.</w:t>
      </w:r>
    </w:p>
    <w:p w14:paraId="735BEA19" w14:textId="64E12FDB" w:rsidR="00E41047" w:rsidRDefault="005529DD" w:rsidP="00D71B8D">
      <w:pPr>
        <w:pStyle w:val="ParaNumbering"/>
      </w:pPr>
      <w:r>
        <w:t>In this proceeding, White</w:t>
      </w:r>
      <w:r w:rsidR="007A4C6D">
        <w:t> </w:t>
      </w:r>
      <w:r>
        <w:t>JA recorded that Mrs</w:t>
      </w:r>
      <w:r w:rsidR="005C3412">
        <w:t> </w:t>
      </w:r>
      <w:proofErr w:type="spellStart"/>
      <w:r>
        <w:t>Fokas</w:t>
      </w:r>
      <w:proofErr w:type="spellEnd"/>
      <w:r>
        <w:t xml:space="preserve"> had filed a notice of motion on 22</w:t>
      </w:r>
      <w:r w:rsidR="005C3412">
        <w:t> </w:t>
      </w:r>
      <w:r>
        <w:t>August 2017 seeking the following order</w:t>
      </w:r>
      <w:r w:rsidR="008264E8">
        <w:t> </w:t>
      </w:r>
      <w:r>
        <w:t>–</w:t>
      </w:r>
    </w:p>
    <w:p w14:paraId="7599D339" w14:textId="1856737B" w:rsidR="005529DD" w:rsidRDefault="008264E8" w:rsidP="00D71B8D">
      <w:pPr>
        <w:pStyle w:val="Quote1"/>
      </w:pPr>
      <w:r>
        <w:t xml:space="preserve">The Court to stop </w:t>
      </w:r>
      <w:r w:rsidR="00A21C2A">
        <w:t>[immediately]</w:t>
      </w:r>
      <w:r>
        <w:t xml:space="preserve"> the exercising of the power of a `WRIT OF POSSESSION’ issued 14 December 2016 by the Supreme Court Sydney for the case number </w:t>
      </w:r>
      <w:proofErr w:type="spellStart"/>
      <w:r>
        <w:t>bellow</w:t>
      </w:r>
      <w:proofErr w:type="spellEnd"/>
      <w:r>
        <w:t xml:space="preserve"> 2016/00213128/</w:t>
      </w:r>
    </w:p>
    <w:p w14:paraId="6C31F94B" w14:textId="35390A6F" w:rsidR="008264E8" w:rsidRDefault="008264E8" w:rsidP="00D71B8D">
      <w:pPr>
        <w:pStyle w:val="Quote1"/>
      </w:pPr>
      <w:r>
        <w:t>As it has NO LEGAL POWER. [</w:t>
      </w:r>
      <w:proofErr w:type="gramStart"/>
      <w:r>
        <w:t>sic</w:t>
      </w:r>
      <w:proofErr w:type="gramEnd"/>
      <w:r>
        <w:t>]</w:t>
      </w:r>
    </w:p>
    <w:p w14:paraId="68520BF4" w14:textId="4FDD18D1" w:rsidR="008264E8" w:rsidRDefault="008264E8" w:rsidP="00D71B8D">
      <w:pPr>
        <w:pStyle w:val="ParaNumbering"/>
      </w:pPr>
      <w:bookmarkStart w:id="46" w:name="_Ref30338113"/>
      <w:r>
        <w:t>White</w:t>
      </w:r>
      <w:r w:rsidR="005C3412">
        <w:t> </w:t>
      </w:r>
      <w:r>
        <w:t xml:space="preserve">JA also referred to a notice of motion </w:t>
      </w:r>
      <w:r w:rsidR="00416416">
        <w:t>filed by Mrs</w:t>
      </w:r>
      <w:r w:rsidR="00B715DE">
        <w:t> </w:t>
      </w:r>
      <w:proofErr w:type="spellStart"/>
      <w:r w:rsidR="00416416">
        <w:t>Fokas</w:t>
      </w:r>
      <w:proofErr w:type="spellEnd"/>
      <w:r w:rsidR="00416416">
        <w:t xml:space="preserve"> on 26</w:t>
      </w:r>
      <w:r w:rsidR="00B715DE">
        <w:t> </w:t>
      </w:r>
      <w:r w:rsidR="00416416">
        <w:t>July 2017 in which she sought to restrain anyone from taking further action pursuant to the writ of possession, and sought the following orders</w:t>
      </w:r>
      <w:r w:rsidR="00E81932">
        <w:t> –</w:t>
      </w:r>
      <w:bookmarkEnd w:id="46"/>
    </w:p>
    <w:p w14:paraId="309D057D" w14:textId="126588FA" w:rsidR="00E81932" w:rsidRDefault="00E81932" w:rsidP="00A21C2A">
      <w:pPr>
        <w:pStyle w:val="Quote1"/>
      </w:pPr>
      <w:r>
        <w:t>3.</w:t>
      </w:r>
      <w:r>
        <w:tab/>
        <w:t>Vary in TOTAL a judgment given or made on 14 December 2017 [sic] or on 14 November 2017 [sic] or at any other time that I am not aware of, as THERE ARE SPECIAL CIRCUMSTANCES.</w:t>
      </w:r>
    </w:p>
    <w:p w14:paraId="5C44A939" w14:textId="2661CB90" w:rsidR="00E81932" w:rsidRDefault="00E81932" w:rsidP="00A21C2A">
      <w:pPr>
        <w:pStyle w:val="Quote1"/>
      </w:pPr>
      <w:r>
        <w:t>4.</w:t>
      </w:r>
      <w:r>
        <w:tab/>
        <w:t>To be wiped off the conditions imposed on me by the Kogarah Police on the 8</w:t>
      </w:r>
      <w:r w:rsidRPr="00E81932">
        <w:rPr>
          <w:vertAlign w:val="superscript"/>
        </w:rPr>
        <w:t>th</w:t>
      </w:r>
      <w:r>
        <w:t xml:space="preserve"> May </w:t>
      </w:r>
      <w:proofErr w:type="gramStart"/>
      <w:r>
        <w:t>2017, that</w:t>
      </w:r>
      <w:proofErr w:type="gramEnd"/>
      <w:r>
        <w:t xml:space="preserve"> one is: Prohibiting me to go to my residence!</w:t>
      </w:r>
    </w:p>
    <w:p w14:paraId="3C11C9F1" w14:textId="1AA1B341" w:rsidR="00E81932" w:rsidRDefault="00E81932" w:rsidP="00A21C2A">
      <w:pPr>
        <w:pStyle w:val="Quote1"/>
      </w:pPr>
      <w:r>
        <w:t>…</w:t>
      </w:r>
    </w:p>
    <w:p w14:paraId="48667D55" w14:textId="5BB2A289" w:rsidR="00E81932" w:rsidRDefault="00E81932" w:rsidP="00A21C2A">
      <w:pPr>
        <w:pStyle w:val="Quote1"/>
      </w:pPr>
      <w:r>
        <w:t>6.</w:t>
      </w:r>
      <w:r>
        <w:tab/>
        <w:t>I, to be free in my home. No restrictions on me or on my premises as it is an exempt asset.</w:t>
      </w:r>
    </w:p>
    <w:p w14:paraId="6F124738" w14:textId="06817438" w:rsidR="00691924" w:rsidRDefault="00691924" w:rsidP="00A21C2A">
      <w:pPr>
        <w:pStyle w:val="ParaNumbering"/>
      </w:pPr>
      <w:r>
        <w:t>White</w:t>
      </w:r>
      <w:r w:rsidR="00B715DE">
        <w:t> </w:t>
      </w:r>
      <w:r>
        <w:t>JA also recorded in paragraph</w:t>
      </w:r>
      <w:r w:rsidR="00B715DE">
        <w:t> </w:t>
      </w:r>
      <w:r>
        <w:t>[9] that Mrs</w:t>
      </w:r>
      <w:r w:rsidR="00B715DE">
        <w:t> </w:t>
      </w:r>
      <w:proofErr w:type="spellStart"/>
      <w:r>
        <w:t>Fokas</w:t>
      </w:r>
      <w:proofErr w:type="spellEnd"/>
      <w:r>
        <w:t xml:space="preserve"> had by a notice of motion also claimed damages in respect of items destroyed or taken</w:t>
      </w:r>
      <w:r w:rsidR="003C06E2">
        <w:t>,</w:t>
      </w:r>
      <w:r>
        <w:t xml:space="preserve"> and sought the return of household possessions. She also sought payment of an aged pension income from August</w:t>
      </w:r>
      <w:r w:rsidR="00B715DE">
        <w:t> </w:t>
      </w:r>
      <w:r>
        <w:t>2012 to March</w:t>
      </w:r>
      <w:r w:rsidR="00315D41">
        <w:t> </w:t>
      </w:r>
      <w:r>
        <w:t>2013 and sought an order that the trustee pay the costs of a new passport. White</w:t>
      </w:r>
      <w:r w:rsidR="00315D41">
        <w:t> </w:t>
      </w:r>
      <w:r>
        <w:t>J</w:t>
      </w:r>
      <w:r w:rsidR="00DC03EC">
        <w:t>A</w:t>
      </w:r>
      <w:r>
        <w:t xml:space="preserve"> commented that </w:t>
      </w:r>
      <w:r w:rsidR="00DC03EC">
        <w:t>it appeared that the relief claimed in paragraph</w:t>
      </w:r>
      <w:r w:rsidR="00315D41">
        <w:t> </w:t>
      </w:r>
      <w:r w:rsidR="00DC03EC">
        <w:t xml:space="preserve">4 </w:t>
      </w:r>
      <w:r w:rsidR="00E9436B">
        <w:t>set out at [</w:t>
      </w:r>
      <w:r w:rsidR="00E9436B">
        <w:fldChar w:fldCharType="begin"/>
      </w:r>
      <w:r w:rsidR="00E9436B">
        <w:instrText xml:space="preserve"> REF _Ref30338113 \r \h </w:instrText>
      </w:r>
      <w:r w:rsidR="00E9436B">
        <w:fldChar w:fldCharType="separate"/>
      </w:r>
      <w:r w:rsidR="00AD0A4F">
        <w:t>80</w:t>
      </w:r>
      <w:r w:rsidR="00E9436B">
        <w:fldChar w:fldCharType="end"/>
      </w:r>
      <w:r w:rsidR="00E9436B">
        <w:t>]</w:t>
      </w:r>
      <w:r w:rsidR="00DC03EC">
        <w:t xml:space="preserve"> above was relief to alter bail conditions that were imposed by the police when they took steps at the behest of the </w:t>
      </w:r>
      <w:r w:rsidR="006131BE">
        <w:t>T</w:t>
      </w:r>
      <w:r w:rsidR="00DC03EC">
        <w:t>rustee to remove her from the premises.</w:t>
      </w:r>
    </w:p>
    <w:p w14:paraId="0CB04CB0" w14:textId="06A7C909" w:rsidR="00DC03EC" w:rsidRDefault="00DC03EC" w:rsidP="00E9436B">
      <w:pPr>
        <w:pStyle w:val="ParaNumbering"/>
      </w:pPr>
      <w:r>
        <w:t>At [10], White</w:t>
      </w:r>
      <w:r w:rsidR="00315D41">
        <w:t> </w:t>
      </w:r>
      <w:r>
        <w:t>JA set out the contentions by Mrs</w:t>
      </w:r>
      <w:r w:rsidR="00315D41">
        <w:t> </w:t>
      </w:r>
      <w:proofErr w:type="spellStart"/>
      <w:r>
        <w:t>Fokas</w:t>
      </w:r>
      <w:proofErr w:type="spellEnd"/>
      <w:r>
        <w:t xml:space="preserve"> as follows</w:t>
      </w:r>
      <w:r w:rsidR="005B512B">
        <w:t> –</w:t>
      </w:r>
    </w:p>
    <w:p w14:paraId="01BF92F1" w14:textId="161FDA9B" w:rsidR="005B512B" w:rsidRPr="005B512B" w:rsidRDefault="005B512B" w:rsidP="00E9436B">
      <w:pPr>
        <w:pStyle w:val="Quote1"/>
        <w:ind w:left="1440" w:hanging="703"/>
        <w:rPr>
          <w:lang w:eastAsia="en-AU"/>
        </w:rPr>
      </w:pPr>
      <w:r>
        <w:rPr>
          <w:lang w:eastAsia="en-AU"/>
        </w:rPr>
        <w:t>(a)</w:t>
      </w:r>
      <w:r>
        <w:rPr>
          <w:lang w:eastAsia="en-AU"/>
        </w:rPr>
        <w:tab/>
      </w:r>
      <w:proofErr w:type="gramStart"/>
      <w:r w:rsidRPr="005B512B">
        <w:rPr>
          <w:lang w:eastAsia="en-AU"/>
        </w:rPr>
        <w:t>her</w:t>
      </w:r>
      <w:proofErr w:type="gramEnd"/>
      <w:r w:rsidRPr="005B512B">
        <w:rPr>
          <w:lang w:eastAsia="en-AU"/>
        </w:rPr>
        <w:t xml:space="preserve"> house was an exempt asset that did not pass to her trustee</w:t>
      </w:r>
      <w:r>
        <w:rPr>
          <w:lang w:eastAsia="en-AU"/>
        </w:rPr>
        <w:t xml:space="preserve"> </w:t>
      </w:r>
      <w:r w:rsidRPr="005B512B">
        <w:rPr>
          <w:lang w:eastAsia="en-AU"/>
        </w:rPr>
        <w:t>in bankruptcy;</w:t>
      </w:r>
    </w:p>
    <w:p w14:paraId="5575C508" w14:textId="2D88DD0B" w:rsidR="005B512B" w:rsidRPr="005B512B" w:rsidRDefault="005B512B" w:rsidP="00E9436B">
      <w:pPr>
        <w:pStyle w:val="Quote1"/>
        <w:ind w:left="1440" w:hanging="703"/>
        <w:rPr>
          <w:lang w:eastAsia="en-AU"/>
        </w:rPr>
      </w:pPr>
      <w:r w:rsidRPr="005B512B">
        <w:rPr>
          <w:lang w:eastAsia="en-AU"/>
        </w:rPr>
        <w:t>(b)</w:t>
      </w:r>
      <w:r>
        <w:rPr>
          <w:lang w:eastAsia="en-AU"/>
        </w:rPr>
        <w:tab/>
      </w:r>
      <w:proofErr w:type="gramStart"/>
      <w:r w:rsidRPr="005B512B">
        <w:rPr>
          <w:lang w:eastAsia="en-AU"/>
        </w:rPr>
        <w:t>the</w:t>
      </w:r>
      <w:proofErr w:type="gramEnd"/>
      <w:r w:rsidRPr="005B512B">
        <w:rPr>
          <w:lang w:eastAsia="en-AU"/>
        </w:rPr>
        <w:t xml:space="preserve"> sequestration order had no “reckoning as time” and was an</w:t>
      </w:r>
      <w:r>
        <w:rPr>
          <w:lang w:eastAsia="en-AU"/>
        </w:rPr>
        <w:t xml:space="preserve"> </w:t>
      </w:r>
      <w:r w:rsidRPr="005B512B">
        <w:rPr>
          <w:lang w:eastAsia="en-AU"/>
        </w:rPr>
        <w:t xml:space="preserve">order to be </w:t>
      </w:r>
      <w:r w:rsidRPr="005B512B">
        <w:rPr>
          <w:lang w:eastAsia="en-AU"/>
        </w:rPr>
        <w:lastRenderedPageBreak/>
        <w:t>made some time in the future. The grounds for this</w:t>
      </w:r>
      <w:r>
        <w:rPr>
          <w:lang w:eastAsia="en-AU"/>
        </w:rPr>
        <w:t xml:space="preserve"> </w:t>
      </w:r>
      <w:r w:rsidRPr="005B512B">
        <w:rPr>
          <w:lang w:eastAsia="en-AU"/>
        </w:rPr>
        <w:t>contention are not intelligible;</w:t>
      </w:r>
    </w:p>
    <w:p w14:paraId="0C2277FE" w14:textId="19D01590" w:rsidR="005B512B" w:rsidRPr="005B512B" w:rsidRDefault="005B512B" w:rsidP="00E9436B">
      <w:pPr>
        <w:pStyle w:val="Quote1"/>
        <w:ind w:left="1440" w:hanging="703"/>
        <w:rPr>
          <w:lang w:eastAsia="en-AU"/>
        </w:rPr>
      </w:pPr>
      <w:r w:rsidRPr="005B512B">
        <w:rPr>
          <w:lang w:eastAsia="en-AU"/>
        </w:rPr>
        <w:t>(c)</w:t>
      </w:r>
      <w:r>
        <w:rPr>
          <w:lang w:eastAsia="en-AU"/>
        </w:rPr>
        <w:tab/>
      </w:r>
      <w:proofErr w:type="gramStart"/>
      <w:r w:rsidRPr="005B512B">
        <w:rPr>
          <w:lang w:eastAsia="en-AU"/>
        </w:rPr>
        <w:t>the</w:t>
      </w:r>
      <w:proofErr w:type="gramEnd"/>
      <w:r w:rsidRPr="005B512B">
        <w:rPr>
          <w:lang w:eastAsia="en-AU"/>
        </w:rPr>
        <w:t xml:space="preserve"> plaintiff in the possession proceedings, Mr Mansfield, did not</w:t>
      </w:r>
      <w:r>
        <w:rPr>
          <w:lang w:eastAsia="en-AU"/>
        </w:rPr>
        <w:t xml:space="preserve"> </w:t>
      </w:r>
      <w:r w:rsidRPr="005B512B">
        <w:rPr>
          <w:lang w:eastAsia="en-AU"/>
        </w:rPr>
        <w:t>ask for sequestration of her land. This was true but irrelevant;</w:t>
      </w:r>
    </w:p>
    <w:p w14:paraId="49038B93" w14:textId="674FEBB5" w:rsidR="005B512B" w:rsidRPr="005B512B" w:rsidRDefault="005B512B" w:rsidP="00E9436B">
      <w:pPr>
        <w:pStyle w:val="Quote1"/>
        <w:ind w:left="1440" w:hanging="703"/>
        <w:rPr>
          <w:lang w:eastAsia="en-AU"/>
        </w:rPr>
      </w:pPr>
      <w:r w:rsidRPr="005B512B">
        <w:rPr>
          <w:lang w:eastAsia="en-AU"/>
        </w:rPr>
        <w:t>(d)</w:t>
      </w:r>
      <w:r w:rsidR="00CC0029">
        <w:rPr>
          <w:lang w:eastAsia="en-AU"/>
        </w:rPr>
        <w:tab/>
      </w:r>
      <w:proofErr w:type="gramStart"/>
      <w:r w:rsidRPr="005B512B">
        <w:rPr>
          <w:lang w:eastAsia="en-AU"/>
        </w:rPr>
        <w:t>she</w:t>
      </w:r>
      <w:proofErr w:type="gramEnd"/>
      <w:r w:rsidRPr="005B512B">
        <w:rPr>
          <w:lang w:eastAsia="en-AU"/>
        </w:rPr>
        <w:t xml:space="preserve"> did not receive the statement of claim that sought</w:t>
      </w:r>
      <w:r w:rsidR="00CC0029">
        <w:rPr>
          <w:lang w:eastAsia="en-AU"/>
        </w:rPr>
        <w:t xml:space="preserve"> </w:t>
      </w:r>
      <w:r w:rsidRPr="005B512B">
        <w:rPr>
          <w:lang w:eastAsia="en-AU"/>
        </w:rPr>
        <w:t>possession; and</w:t>
      </w:r>
    </w:p>
    <w:p w14:paraId="1988A25F" w14:textId="451CB9C3" w:rsidR="005B512B" w:rsidRPr="005B512B" w:rsidRDefault="005B512B" w:rsidP="00E9436B">
      <w:pPr>
        <w:pStyle w:val="Quote1"/>
        <w:ind w:left="1440" w:hanging="703"/>
        <w:rPr>
          <w:lang w:eastAsia="en-AU"/>
        </w:rPr>
      </w:pPr>
      <w:r w:rsidRPr="005B512B">
        <w:rPr>
          <w:lang w:eastAsia="en-AU"/>
        </w:rPr>
        <w:t>(e)</w:t>
      </w:r>
      <w:r w:rsidR="00CC0029">
        <w:rPr>
          <w:lang w:eastAsia="en-AU"/>
        </w:rPr>
        <w:tab/>
      </w:r>
      <w:r w:rsidRPr="005B512B">
        <w:rPr>
          <w:lang w:eastAsia="en-AU"/>
        </w:rPr>
        <w:t>she had lived on the property up to 8 May 2017 when she was</w:t>
      </w:r>
      <w:r w:rsidR="00CC0029">
        <w:rPr>
          <w:lang w:eastAsia="en-AU"/>
        </w:rPr>
        <w:t xml:space="preserve"> </w:t>
      </w:r>
      <w:r w:rsidRPr="005B512B">
        <w:rPr>
          <w:lang w:eastAsia="en-AU"/>
        </w:rPr>
        <w:t>removed by police and allowed out on bail on conditions that she</w:t>
      </w:r>
      <w:r w:rsidR="00CC0029">
        <w:rPr>
          <w:lang w:eastAsia="en-AU"/>
        </w:rPr>
        <w:t xml:space="preserve"> </w:t>
      </w:r>
      <w:r w:rsidRPr="005B512B">
        <w:rPr>
          <w:lang w:eastAsia="en-AU"/>
        </w:rPr>
        <w:t>not approach the property;</w:t>
      </w:r>
    </w:p>
    <w:p w14:paraId="40507E50" w14:textId="34108E94" w:rsidR="005B512B" w:rsidRPr="005B512B" w:rsidRDefault="00CC0029" w:rsidP="00E9436B">
      <w:pPr>
        <w:pStyle w:val="Quote1"/>
        <w:ind w:left="1440" w:hanging="703"/>
        <w:rPr>
          <w:lang w:eastAsia="en-AU"/>
        </w:rPr>
      </w:pPr>
      <w:r>
        <w:rPr>
          <w:lang w:eastAsia="en-AU"/>
        </w:rPr>
        <w:t>(f)</w:t>
      </w:r>
      <w:r>
        <w:rPr>
          <w:lang w:eastAsia="en-AU"/>
        </w:rPr>
        <w:tab/>
      </w:r>
      <w:proofErr w:type="gramStart"/>
      <w:r w:rsidR="005B512B" w:rsidRPr="005B512B">
        <w:rPr>
          <w:lang w:eastAsia="en-AU"/>
        </w:rPr>
        <w:t>she</w:t>
      </w:r>
      <w:proofErr w:type="gramEnd"/>
      <w:r w:rsidR="005B512B" w:rsidRPr="005B512B">
        <w:rPr>
          <w:lang w:eastAsia="en-AU"/>
        </w:rPr>
        <w:t xml:space="preserve"> was capable of looking after her house and did not consent</w:t>
      </w:r>
      <w:r>
        <w:rPr>
          <w:lang w:eastAsia="en-AU"/>
        </w:rPr>
        <w:t xml:space="preserve"> </w:t>
      </w:r>
      <w:r w:rsidR="005B512B" w:rsidRPr="005B512B">
        <w:rPr>
          <w:lang w:eastAsia="en-AU"/>
        </w:rPr>
        <w:t>to the appointment of the plaintiff as her trustee;</w:t>
      </w:r>
    </w:p>
    <w:p w14:paraId="0E71DB47" w14:textId="491184A3" w:rsidR="005B512B" w:rsidRPr="005B512B" w:rsidRDefault="00CC0029" w:rsidP="00E9436B">
      <w:pPr>
        <w:pStyle w:val="Quote1"/>
        <w:ind w:left="1440" w:hanging="703"/>
        <w:rPr>
          <w:lang w:eastAsia="en-AU"/>
        </w:rPr>
      </w:pPr>
      <w:r>
        <w:rPr>
          <w:lang w:eastAsia="en-AU"/>
        </w:rPr>
        <w:t>(g)</w:t>
      </w:r>
      <w:r>
        <w:rPr>
          <w:lang w:eastAsia="en-AU"/>
        </w:rPr>
        <w:tab/>
      </w:r>
      <w:proofErr w:type="gramStart"/>
      <w:r w:rsidR="005B512B" w:rsidRPr="005B512B">
        <w:rPr>
          <w:lang w:eastAsia="en-AU"/>
        </w:rPr>
        <w:t>the</w:t>
      </w:r>
      <w:proofErr w:type="gramEnd"/>
      <w:r w:rsidR="005B512B" w:rsidRPr="005B512B">
        <w:rPr>
          <w:lang w:eastAsia="en-AU"/>
        </w:rPr>
        <w:t xml:space="preserve"> facts alleged in the petition leading to her bankruptcy were</w:t>
      </w:r>
      <w:r>
        <w:rPr>
          <w:lang w:eastAsia="en-AU"/>
        </w:rPr>
        <w:t xml:space="preserve"> </w:t>
      </w:r>
      <w:r w:rsidR="005B512B" w:rsidRPr="005B512B">
        <w:rPr>
          <w:lang w:eastAsia="en-AU"/>
        </w:rPr>
        <w:t>untrue;</w:t>
      </w:r>
    </w:p>
    <w:p w14:paraId="131FFC56" w14:textId="464BFD34" w:rsidR="005B512B" w:rsidRPr="005B512B" w:rsidRDefault="005B512B" w:rsidP="00E9436B">
      <w:pPr>
        <w:pStyle w:val="Quote1"/>
        <w:ind w:left="1440" w:hanging="703"/>
        <w:rPr>
          <w:lang w:eastAsia="en-AU"/>
        </w:rPr>
      </w:pPr>
      <w:r w:rsidRPr="005B512B">
        <w:rPr>
          <w:lang w:eastAsia="en-AU"/>
        </w:rPr>
        <w:t>(h)</w:t>
      </w:r>
      <w:r w:rsidR="00CC0029">
        <w:rPr>
          <w:lang w:eastAsia="en-AU"/>
        </w:rPr>
        <w:tab/>
      </w:r>
      <w:r w:rsidRPr="005B512B">
        <w:rPr>
          <w:lang w:eastAsia="en-AU"/>
        </w:rPr>
        <w:t>she did not owe the debt or debts to Kogarah Council on which</w:t>
      </w:r>
      <w:r w:rsidR="00CC0029">
        <w:rPr>
          <w:lang w:eastAsia="en-AU"/>
        </w:rPr>
        <w:t xml:space="preserve"> </w:t>
      </w:r>
      <w:r w:rsidRPr="005B512B">
        <w:rPr>
          <w:lang w:eastAsia="en-AU"/>
        </w:rPr>
        <w:t>she was purportedly made bankrupt and that a re-hearing of a</w:t>
      </w:r>
      <w:r w:rsidR="00CC0029">
        <w:rPr>
          <w:lang w:eastAsia="en-AU"/>
        </w:rPr>
        <w:t xml:space="preserve"> </w:t>
      </w:r>
      <w:r w:rsidRPr="005B512B">
        <w:rPr>
          <w:lang w:eastAsia="en-AU"/>
        </w:rPr>
        <w:t>costs assessment would have established that she was not liable</w:t>
      </w:r>
      <w:r w:rsidR="00CC0029">
        <w:rPr>
          <w:lang w:eastAsia="en-AU"/>
        </w:rPr>
        <w:t xml:space="preserve"> </w:t>
      </w:r>
      <w:r w:rsidRPr="005B512B">
        <w:rPr>
          <w:lang w:eastAsia="en-AU"/>
        </w:rPr>
        <w:t>to pay costs (apparently costs that were ordered against her by</w:t>
      </w:r>
      <w:r w:rsidR="00CC0029">
        <w:rPr>
          <w:lang w:eastAsia="en-AU"/>
        </w:rPr>
        <w:t xml:space="preserve"> </w:t>
      </w:r>
      <w:r w:rsidRPr="005B512B">
        <w:rPr>
          <w:lang w:eastAsia="en-AU"/>
        </w:rPr>
        <w:t>orders made by the Land and Environment Court);</w:t>
      </w:r>
    </w:p>
    <w:p w14:paraId="63962D63" w14:textId="35B1152A" w:rsidR="005B512B" w:rsidRPr="005B512B" w:rsidRDefault="00CC0029" w:rsidP="00E9436B">
      <w:pPr>
        <w:pStyle w:val="Quote1"/>
        <w:ind w:left="1440" w:hanging="703"/>
        <w:rPr>
          <w:lang w:eastAsia="en-AU"/>
        </w:rPr>
      </w:pPr>
      <w:r>
        <w:rPr>
          <w:lang w:eastAsia="en-AU"/>
        </w:rPr>
        <w:t>(</w:t>
      </w:r>
      <w:proofErr w:type="spellStart"/>
      <w:r>
        <w:rPr>
          <w:lang w:eastAsia="en-AU"/>
        </w:rPr>
        <w:t>i</w:t>
      </w:r>
      <w:proofErr w:type="spellEnd"/>
      <w:r>
        <w:rPr>
          <w:lang w:eastAsia="en-AU"/>
        </w:rPr>
        <w:t>)</w:t>
      </w:r>
      <w:r>
        <w:rPr>
          <w:lang w:eastAsia="en-AU"/>
        </w:rPr>
        <w:tab/>
      </w:r>
      <w:proofErr w:type="gramStart"/>
      <w:r w:rsidR="005B512B" w:rsidRPr="005B512B">
        <w:rPr>
          <w:lang w:eastAsia="en-AU"/>
        </w:rPr>
        <w:t>she</w:t>
      </w:r>
      <w:proofErr w:type="gramEnd"/>
      <w:r w:rsidR="005B512B" w:rsidRPr="005B512B">
        <w:rPr>
          <w:lang w:eastAsia="en-AU"/>
        </w:rPr>
        <w:t xml:space="preserve"> did not attend on the hearing of the bankruptcy petition</w:t>
      </w:r>
      <w:r>
        <w:rPr>
          <w:lang w:eastAsia="en-AU"/>
        </w:rPr>
        <w:t xml:space="preserve"> </w:t>
      </w:r>
      <w:r w:rsidR="005B512B" w:rsidRPr="005B512B">
        <w:rPr>
          <w:lang w:eastAsia="en-AU"/>
        </w:rPr>
        <w:t>because she was ill; and</w:t>
      </w:r>
    </w:p>
    <w:p w14:paraId="407E39EF" w14:textId="68501F3A" w:rsidR="005B512B" w:rsidRDefault="00CC0029" w:rsidP="00E9436B">
      <w:pPr>
        <w:pStyle w:val="Quote1"/>
        <w:ind w:left="1440" w:hanging="703"/>
      </w:pPr>
      <w:r>
        <w:rPr>
          <w:lang w:eastAsia="en-AU"/>
        </w:rPr>
        <w:t>(j)</w:t>
      </w:r>
      <w:r>
        <w:rPr>
          <w:lang w:eastAsia="en-AU"/>
        </w:rPr>
        <w:tab/>
      </w:r>
      <w:proofErr w:type="gramStart"/>
      <w:r w:rsidR="005B512B" w:rsidRPr="005B512B">
        <w:rPr>
          <w:lang w:eastAsia="en-AU"/>
        </w:rPr>
        <w:t>exceptional</w:t>
      </w:r>
      <w:proofErr w:type="gramEnd"/>
      <w:r w:rsidR="005B512B" w:rsidRPr="005B512B">
        <w:rPr>
          <w:lang w:eastAsia="en-AU"/>
        </w:rPr>
        <w:t xml:space="preserve"> circumstances justify this Court’s intervention.</w:t>
      </w:r>
    </w:p>
    <w:p w14:paraId="0FB60FFB" w14:textId="6E81CA39" w:rsidR="005B512B" w:rsidRDefault="00147421" w:rsidP="00E9436B">
      <w:pPr>
        <w:pStyle w:val="ParaNumbering"/>
      </w:pPr>
      <w:r>
        <w:t>White</w:t>
      </w:r>
      <w:r w:rsidR="00A31E0C">
        <w:t> </w:t>
      </w:r>
      <w:r>
        <w:t>JA summarised the substance of Mrs</w:t>
      </w:r>
      <w:r w:rsidR="00A31E0C">
        <w:t> </w:t>
      </w:r>
      <w:proofErr w:type="spellStart"/>
      <w:r>
        <w:t>Fokas’</w:t>
      </w:r>
      <w:r w:rsidR="00122427">
        <w:t>s</w:t>
      </w:r>
      <w:proofErr w:type="spellEnd"/>
      <w:r>
        <w:t xml:space="preserve"> argument at</w:t>
      </w:r>
      <w:r w:rsidR="00A31E0C">
        <w:t> </w:t>
      </w:r>
      <w:r>
        <w:t>[11] as follows –</w:t>
      </w:r>
    </w:p>
    <w:p w14:paraId="3992D45A" w14:textId="41D2D98A" w:rsidR="00147421" w:rsidRDefault="00147421" w:rsidP="004860C4">
      <w:pPr>
        <w:pStyle w:val="Quote1"/>
        <w:ind w:left="1440" w:hanging="703"/>
      </w:pPr>
      <w:r>
        <w:rPr>
          <w:lang w:eastAsia="en-AU"/>
        </w:rPr>
        <w:t>11.</w:t>
      </w:r>
      <w:r>
        <w:rPr>
          <w:lang w:eastAsia="en-AU"/>
        </w:rPr>
        <w:tab/>
      </w:r>
      <w:r w:rsidRPr="00147421">
        <w:rPr>
          <w:lang w:eastAsia="en-AU"/>
        </w:rPr>
        <w:t>The substance of the applicant’s argument is that she is not bankrupt because</w:t>
      </w:r>
      <w:r>
        <w:rPr>
          <w:lang w:eastAsia="en-AU"/>
        </w:rPr>
        <w:t xml:space="preserve"> </w:t>
      </w:r>
      <w:r w:rsidRPr="00147421">
        <w:rPr>
          <w:lang w:eastAsia="en-AU"/>
        </w:rPr>
        <w:t>there were no proper grounds upon which a sequestration order could have</w:t>
      </w:r>
      <w:r>
        <w:rPr>
          <w:lang w:eastAsia="en-AU"/>
        </w:rPr>
        <w:t xml:space="preserve"> </w:t>
      </w:r>
      <w:r w:rsidRPr="00147421">
        <w:rPr>
          <w:lang w:eastAsia="en-AU"/>
        </w:rPr>
        <w:t>been made against her and that the order for possession was made in her</w:t>
      </w:r>
      <w:r>
        <w:rPr>
          <w:lang w:eastAsia="en-AU"/>
        </w:rPr>
        <w:t xml:space="preserve"> </w:t>
      </w:r>
      <w:r w:rsidRPr="00147421">
        <w:rPr>
          <w:lang w:eastAsia="en-AU"/>
        </w:rPr>
        <w:t>absence and without proper evidence of service or service of an affidavit</w:t>
      </w:r>
      <w:r>
        <w:rPr>
          <w:lang w:eastAsia="en-AU"/>
        </w:rPr>
        <w:t xml:space="preserve"> </w:t>
      </w:r>
      <w:r w:rsidRPr="00147421">
        <w:rPr>
          <w:lang w:eastAsia="en-AU"/>
        </w:rPr>
        <w:t>disclosing who was in possession of the English Street property.</w:t>
      </w:r>
    </w:p>
    <w:p w14:paraId="40F42F59" w14:textId="661371A8" w:rsidR="005B512B" w:rsidRDefault="00420919" w:rsidP="004860C4">
      <w:pPr>
        <w:pStyle w:val="ParaNumbering"/>
      </w:pPr>
      <w:r>
        <w:t>At</w:t>
      </w:r>
      <w:r w:rsidR="00A31E0C">
        <w:t> </w:t>
      </w:r>
      <w:r>
        <w:t>[16]</w:t>
      </w:r>
      <w:r w:rsidR="003C06E2">
        <w:t>,</w:t>
      </w:r>
      <w:r>
        <w:t xml:space="preserve"> White</w:t>
      </w:r>
      <w:r w:rsidR="00A31E0C">
        <w:t> </w:t>
      </w:r>
      <w:r>
        <w:t xml:space="preserve">JA expressed the prima facie view </w:t>
      </w:r>
      <w:r w:rsidR="003C06E2">
        <w:t xml:space="preserve">that </w:t>
      </w:r>
      <w:r>
        <w:t>the appeal by Mrs</w:t>
      </w:r>
      <w:r w:rsidR="00A31E0C">
        <w:t> </w:t>
      </w:r>
      <w:proofErr w:type="spellStart"/>
      <w:r>
        <w:t>Fokas</w:t>
      </w:r>
      <w:proofErr w:type="spellEnd"/>
      <w:r>
        <w:t xml:space="preserve"> against the orders of Wilson</w:t>
      </w:r>
      <w:r w:rsidR="00A31E0C">
        <w:t> </w:t>
      </w:r>
      <w:r>
        <w:t>J was not competent, because the orders were interlocutory. However, in considering Mrs</w:t>
      </w:r>
      <w:r w:rsidR="00C930D4">
        <w:t> </w:t>
      </w:r>
      <w:proofErr w:type="spellStart"/>
      <w:r>
        <w:t>Fokas’</w:t>
      </w:r>
      <w:r w:rsidR="00122427">
        <w:t>s</w:t>
      </w:r>
      <w:proofErr w:type="spellEnd"/>
      <w:r>
        <w:t xml:space="preserve"> claim for interim injunctive relief, White</w:t>
      </w:r>
      <w:r w:rsidR="00C930D4">
        <w:t> </w:t>
      </w:r>
      <w:r>
        <w:t xml:space="preserve">JA proceeded on </w:t>
      </w:r>
      <w:r w:rsidR="004860C4">
        <w:t>an</w:t>
      </w:r>
      <w:r>
        <w:t xml:space="preserve"> assumption favourable to Mrs</w:t>
      </w:r>
      <w:r w:rsidR="00C930D4">
        <w:t> </w:t>
      </w:r>
      <w:proofErr w:type="spellStart"/>
      <w:r>
        <w:t>Fokas</w:t>
      </w:r>
      <w:proofErr w:type="spellEnd"/>
      <w:r>
        <w:t xml:space="preserve"> that she would in due course bring an application for leave to appeal and that the application might have reasonable prospects of success having regard to what might be some important underlying issues concerning the course the primary judge ultimately took of dismissing the notice of motion of 26</w:t>
      </w:r>
      <w:r w:rsidR="00C930D4">
        <w:t> </w:t>
      </w:r>
      <w:r>
        <w:t>July 2017, rather than transferring the application to the Federal Court pursuant to s</w:t>
      </w:r>
      <w:r w:rsidR="00C930D4">
        <w:t> </w:t>
      </w:r>
      <w:r>
        <w:t xml:space="preserve">6 of the </w:t>
      </w:r>
      <w:r>
        <w:rPr>
          <w:i/>
        </w:rPr>
        <w:t>Jurisdiction of Courts (Cross</w:t>
      </w:r>
      <w:r w:rsidR="0000093F">
        <w:rPr>
          <w:i/>
        </w:rPr>
        <w:t>-</w:t>
      </w:r>
      <w:r>
        <w:rPr>
          <w:i/>
        </w:rPr>
        <w:t>Vesting) Act 1987</w:t>
      </w:r>
      <w:r>
        <w:t xml:space="preserve"> (</w:t>
      </w:r>
      <w:proofErr w:type="spellStart"/>
      <w:r>
        <w:t>Cth</w:t>
      </w:r>
      <w:proofErr w:type="spellEnd"/>
      <w:r>
        <w:t>).</w:t>
      </w:r>
    </w:p>
    <w:p w14:paraId="405883F5" w14:textId="63D17792" w:rsidR="00420919" w:rsidRDefault="00420919" w:rsidP="004860C4">
      <w:pPr>
        <w:pStyle w:val="ParaNumbering"/>
      </w:pPr>
      <w:r>
        <w:t>In relation to the order giving judgment for possession made on 14</w:t>
      </w:r>
      <w:r w:rsidR="00C930D4">
        <w:t> </w:t>
      </w:r>
      <w:r>
        <w:t>December 2016, White</w:t>
      </w:r>
      <w:r w:rsidR="00C930D4">
        <w:t> </w:t>
      </w:r>
      <w:r>
        <w:t>JA held that Mrs</w:t>
      </w:r>
      <w:r w:rsidR="00C930D4">
        <w:t> </w:t>
      </w:r>
      <w:proofErr w:type="spellStart"/>
      <w:r>
        <w:t>Fokas</w:t>
      </w:r>
      <w:proofErr w:type="spellEnd"/>
      <w:r>
        <w:t xml:space="preserve"> had not shown an arguable defence. His</w:t>
      </w:r>
      <w:r w:rsidR="00C930D4">
        <w:t> </w:t>
      </w:r>
      <w:r>
        <w:t>Honour stated </w:t>
      </w:r>
      <w:r w:rsidR="007E12D8">
        <w:t xml:space="preserve">at [18] </w:t>
      </w:r>
      <w:r>
        <w:t>–</w:t>
      </w:r>
    </w:p>
    <w:p w14:paraId="5E861861" w14:textId="6100A1A2" w:rsidR="00420919" w:rsidRDefault="000F0838" w:rsidP="004860C4">
      <w:pPr>
        <w:pStyle w:val="Quote1"/>
      </w:pPr>
      <w:r>
        <w:t>Although the applicant does not recognise it, the fact is that a sequestration order has been made in respect of her estate and Mr</w:t>
      </w:r>
      <w:r w:rsidR="00914527">
        <w:t> </w:t>
      </w:r>
      <w:r>
        <w:t>Mansfield has been appointed as her trustee in bankruptcy. By reason of s</w:t>
      </w:r>
      <w:r w:rsidR="00C930D4">
        <w:t> </w:t>
      </w:r>
      <w:r>
        <w:t xml:space="preserve">58(1) of the </w:t>
      </w:r>
      <w:r>
        <w:rPr>
          <w:i/>
        </w:rPr>
        <w:t>Bankruptcy Act 1966</w:t>
      </w:r>
      <w:r>
        <w:t xml:space="preserve"> (</w:t>
      </w:r>
      <w:proofErr w:type="spellStart"/>
      <w:r>
        <w:t>Cth</w:t>
      </w:r>
      <w:proofErr w:type="spellEnd"/>
      <w:r>
        <w:t xml:space="preserve">) her property has become vested in her trustee in bankruptcy. The question is not, as the applicant would </w:t>
      </w:r>
      <w:r>
        <w:lastRenderedPageBreak/>
        <w:t>have it, whether there were sufficient grounds for the making of a sequestration order, which it should be noted was made as long ago as 1</w:t>
      </w:r>
      <w:r w:rsidR="00914527">
        <w:t> </w:t>
      </w:r>
      <w:r>
        <w:t>November 2012. Rather the question on an application to set aside the order for possession is whether the applicant was or was not bankrupt. If she was, then her trustee in bankruptcy was entitled to possession of the property by reason of its having vested in him. He has become registered as proprietor of the property. …</w:t>
      </w:r>
    </w:p>
    <w:p w14:paraId="7CB21283" w14:textId="7001ABB9" w:rsidR="00EC5F25" w:rsidRDefault="000F0838" w:rsidP="004860C4">
      <w:pPr>
        <w:pStyle w:val="ParaNumbering"/>
      </w:pPr>
      <w:r>
        <w:t>White</w:t>
      </w:r>
      <w:r w:rsidR="00914527">
        <w:t> </w:t>
      </w:r>
      <w:r>
        <w:t xml:space="preserve">JA held </w:t>
      </w:r>
      <w:r w:rsidR="00EC5F25">
        <w:t>at [19], that –</w:t>
      </w:r>
    </w:p>
    <w:p w14:paraId="10C1BBE1" w14:textId="00A48686" w:rsidR="00EC5F25" w:rsidRDefault="007E12D8" w:rsidP="004860C4">
      <w:pPr>
        <w:pStyle w:val="Quote1"/>
        <w:rPr>
          <w:sz w:val="24"/>
          <w:lang w:eastAsia="en-AU"/>
        </w:rPr>
      </w:pPr>
      <w:r>
        <w:t>…t</w:t>
      </w:r>
      <w:r w:rsidR="000F0838">
        <w:t>he primary judge was not arguably wrong in concluding that the order giving judgment for possession had been spent.</w:t>
      </w:r>
      <w:r w:rsidR="00EC5F25">
        <w:t xml:space="preserve"> </w:t>
      </w:r>
      <w:r w:rsidR="00EC5F25" w:rsidRPr="00EC5F25">
        <w:rPr>
          <w:lang w:eastAsia="en-AU"/>
        </w:rPr>
        <w:t>Possession has been</w:t>
      </w:r>
      <w:r w:rsidR="00EC5F25">
        <w:rPr>
          <w:lang w:eastAsia="en-AU"/>
        </w:rPr>
        <w:t xml:space="preserve"> </w:t>
      </w:r>
      <w:r w:rsidR="00EC5F25" w:rsidRPr="00EC5F25">
        <w:rPr>
          <w:lang w:eastAsia="en-AU"/>
        </w:rPr>
        <w:t>given. It does not appear that her Honour treated the notice of motion that was</w:t>
      </w:r>
      <w:r w:rsidR="00EC5F25">
        <w:rPr>
          <w:lang w:eastAsia="en-AU"/>
        </w:rPr>
        <w:t xml:space="preserve"> </w:t>
      </w:r>
      <w:r w:rsidR="00EC5F25" w:rsidRPr="00EC5F25">
        <w:rPr>
          <w:lang w:eastAsia="en-AU"/>
        </w:rPr>
        <w:t>before her as extending to a claim to set aside the orders of 14</w:t>
      </w:r>
      <w:r w:rsidR="00EB7A07">
        <w:rPr>
          <w:lang w:eastAsia="en-AU"/>
        </w:rPr>
        <w:t> </w:t>
      </w:r>
      <w:r w:rsidR="00EC5F25" w:rsidRPr="00EC5F25">
        <w:rPr>
          <w:lang w:eastAsia="en-AU"/>
        </w:rPr>
        <w:t>December</w:t>
      </w:r>
      <w:r w:rsidR="00EC5F25">
        <w:rPr>
          <w:lang w:eastAsia="en-AU"/>
        </w:rPr>
        <w:t xml:space="preserve"> </w:t>
      </w:r>
      <w:r w:rsidR="00EC5F25" w:rsidRPr="00EC5F25">
        <w:rPr>
          <w:lang w:eastAsia="en-AU"/>
        </w:rPr>
        <w:t>2016. That is quite understandable, having regard to the prolixity and ambiguity</w:t>
      </w:r>
      <w:r w:rsidR="00EC5F25">
        <w:rPr>
          <w:lang w:eastAsia="en-AU"/>
        </w:rPr>
        <w:t xml:space="preserve"> </w:t>
      </w:r>
      <w:r w:rsidR="00EC5F25" w:rsidRPr="00EC5F25">
        <w:rPr>
          <w:lang w:eastAsia="en-AU"/>
        </w:rPr>
        <w:t>of the relief sought in the notice of motion, and it may well be that it is the better</w:t>
      </w:r>
      <w:r w:rsidR="00EC5F25">
        <w:rPr>
          <w:lang w:eastAsia="en-AU"/>
        </w:rPr>
        <w:t xml:space="preserve"> </w:t>
      </w:r>
      <w:r w:rsidR="00EC5F25" w:rsidRPr="00EC5F25">
        <w:rPr>
          <w:lang w:eastAsia="en-AU"/>
        </w:rPr>
        <w:t>understanding of the relief claimed in that document. If however, her Honour</w:t>
      </w:r>
      <w:r w:rsidR="00EC5F25">
        <w:rPr>
          <w:lang w:eastAsia="en-AU"/>
        </w:rPr>
        <w:t xml:space="preserve"> </w:t>
      </w:r>
      <w:r w:rsidR="00EC5F25" w:rsidRPr="00EC5F25">
        <w:rPr>
          <w:lang w:eastAsia="en-AU"/>
        </w:rPr>
        <w:t>were wrong in not treating the notice of motion as extending to a claim to set</w:t>
      </w:r>
      <w:r w:rsidR="00EC5F25">
        <w:rPr>
          <w:lang w:eastAsia="en-AU"/>
        </w:rPr>
        <w:t xml:space="preserve"> </w:t>
      </w:r>
      <w:r w:rsidR="00EC5F25" w:rsidRPr="00EC5F25">
        <w:rPr>
          <w:lang w:eastAsia="en-AU"/>
        </w:rPr>
        <w:t>aside the orders of 14</w:t>
      </w:r>
      <w:r w:rsidR="00EB7A07">
        <w:rPr>
          <w:lang w:eastAsia="en-AU"/>
        </w:rPr>
        <w:t> </w:t>
      </w:r>
      <w:r w:rsidR="00EC5F25" w:rsidRPr="00EC5F25">
        <w:rPr>
          <w:lang w:eastAsia="en-AU"/>
        </w:rPr>
        <w:t xml:space="preserve">December 2016, nonetheless for the reasons I </w:t>
      </w:r>
      <w:r w:rsidR="00EC5F25" w:rsidRPr="00325017">
        <w:rPr>
          <w:szCs w:val="22"/>
          <w:lang w:eastAsia="en-AU"/>
        </w:rPr>
        <w:t>have given, any such application would not enjoy any reasonable prospect of success. In these circumstances I see no basis for staying the writ of possession or interfering with anything done by reason of the first respondent’s</w:t>
      </w:r>
      <w:r w:rsidR="00FB3194" w:rsidRPr="001E70D1">
        <w:rPr>
          <w:szCs w:val="22"/>
          <w:lang w:eastAsia="en-AU"/>
        </w:rPr>
        <w:t xml:space="preserve"> [sic]</w:t>
      </w:r>
      <w:r w:rsidR="00EC5F25" w:rsidRPr="001E70D1">
        <w:rPr>
          <w:szCs w:val="22"/>
          <w:lang w:eastAsia="en-AU"/>
        </w:rPr>
        <w:t xml:space="preserve"> </w:t>
      </w:r>
      <w:r w:rsidR="00EC5F25" w:rsidRPr="00247576">
        <w:rPr>
          <w:szCs w:val="22"/>
          <w:lang w:eastAsia="en-AU"/>
        </w:rPr>
        <w:t>having obtained possession.</w:t>
      </w:r>
    </w:p>
    <w:p w14:paraId="76B59FB5" w14:textId="57985093" w:rsidR="004C00AA" w:rsidRPr="000F0838" w:rsidRDefault="004C00AA" w:rsidP="004860C4">
      <w:pPr>
        <w:pStyle w:val="ParaNumbering"/>
      </w:pPr>
      <w:r>
        <w:t xml:space="preserve">In conclusion, </w:t>
      </w:r>
      <w:r w:rsidR="00A016AE">
        <w:t>White</w:t>
      </w:r>
      <w:r w:rsidR="00FB3194">
        <w:t> </w:t>
      </w:r>
      <w:r w:rsidR="00A016AE">
        <w:t xml:space="preserve">JA stated that the only substantive relief that could be given would be an order restraining the </w:t>
      </w:r>
      <w:r w:rsidR="006131BE">
        <w:t>T</w:t>
      </w:r>
      <w:r w:rsidR="00A016AE">
        <w:t>rustee from exercising his powers as the trustee in bankruptcy of Mrs</w:t>
      </w:r>
      <w:r w:rsidR="00107EF3">
        <w:t> </w:t>
      </w:r>
      <w:proofErr w:type="spellStart"/>
      <w:r w:rsidR="00A016AE">
        <w:t>Fokas’</w:t>
      </w:r>
      <w:r w:rsidR="00122427">
        <w:t>s</w:t>
      </w:r>
      <w:proofErr w:type="spellEnd"/>
      <w:r w:rsidR="00A016AE">
        <w:t xml:space="preserve"> estate, and that he had serious doubts as to whether he would have the power to grant such relief. White</w:t>
      </w:r>
      <w:r w:rsidR="00107EF3">
        <w:t> </w:t>
      </w:r>
      <w:r w:rsidR="00A016AE">
        <w:t>JA dismissed the notice of motion filed 22</w:t>
      </w:r>
      <w:r w:rsidR="00107EF3">
        <w:t> </w:t>
      </w:r>
      <w:r w:rsidR="00A016AE">
        <w:t>August 2017 and ordered Mrs</w:t>
      </w:r>
      <w:r w:rsidR="00107EF3">
        <w:t> </w:t>
      </w:r>
      <w:proofErr w:type="spellStart"/>
      <w:r w:rsidR="00A016AE">
        <w:t>Fokas</w:t>
      </w:r>
      <w:proofErr w:type="spellEnd"/>
      <w:r w:rsidR="00A016AE">
        <w:t xml:space="preserve"> to pay the costs of the first and second respondents, being the </w:t>
      </w:r>
      <w:r w:rsidR="006131BE">
        <w:t>T</w:t>
      </w:r>
      <w:r w:rsidR="00A016AE">
        <w:t>rustee, and his firm</w:t>
      </w:r>
      <w:r w:rsidR="003C06E2">
        <w:t>,</w:t>
      </w:r>
      <w:r w:rsidR="00A016AE">
        <w:t xml:space="preserve"> Del</w:t>
      </w:r>
      <w:r w:rsidR="005145EA">
        <w:t>oitte Pty Ltd.</w:t>
      </w:r>
    </w:p>
    <w:p w14:paraId="5D9149DB" w14:textId="3D90EC6D" w:rsidR="00FF1D66" w:rsidRDefault="00FF1D66" w:rsidP="0032038B">
      <w:pPr>
        <w:pStyle w:val="ListNo1"/>
        <w:numPr>
          <w:ilvl w:val="0"/>
          <w:numId w:val="30"/>
        </w:numPr>
      </w:pPr>
      <w:proofErr w:type="spellStart"/>
      <w:r w:rsidRPr="006229F6">
        <w:rPr>
          <w:i/>
        </w:rPr>
        <w:t>Fokas</w:t>
      </w:r>
      <w:proofErr w:type="spellEnd"/>
      <w:r w:rsidRPr="006229F6">
        <w:rPr>
          <w:i/>
        </w:rPr>
        <w:t xml:space="preserve"> v Mansfield (No 2)</w:t>
      </w:r>
      <w:r w:rsidR="00260EED">
        <w:t xml:space="preserve"> [2017] NSWCA 261.</w:t>
      </w:r>
    </w:p>
    <w:p w14:paraId="7BCAF2DA" w14:textId="527A9F7C" w:rsidR="00E41047" w:rsidRDefault="00DE2213" w:rsidP="00272C24">
      <w:pPr>
        <w:pStyle w:val="ParaNumbering"/>
      </w:pPr>
      <w:r>
        <w:t xml:space="preserve">Following the decision of </w:t>
      </w:r>
      <w:r w:rsidR="00AF02BF">
        <w:t>White</w:t>
      </w:r>
      <w:r w:rsidR="00107EF3">
        <w:t> </w:t>
      </w:r>
      <w:r w:rsidR="00AF02BF">
        <w:t>JA on 4</w:t>
      </w:r>
      <w:r w:rsidR="00107EF3">
        <w:t> </w:t>
      </w:r>
      <w:r w:rsidR="00AF02BF">
        <w:t>September 2017 dismissing Mrs</w:t>
      </w:r>
      <w:r w:rsidR="00107EF3">
        <w:t> </w:t>
      </w:r>
      <w:proofErr w:type="spellStart"/>
      <w:r w:rsidR="00AF02BF">
        <w:t>Fokas’</w:t>
      </w:r>
      <w:r w:rsidR="00122427">
        <w:t>s</w:t>
      </w:r>
      <w:proofErr w:type="spellEnd"/>
      <w:r w:rsidR="00AF02BF">
        <w:t xml:space="preserve"> notice of motion filed 22</w:t>
      </w:r>
      <w:r w:rsidR="00107EF3">
        <w:t> </w:t>
      </w:r>
      <w:r w:rsidR="00AF02BF">
        <w:t>August 2017, Mrs</w:t>
      </w:r>
      <w:r w:rsidR="00107EF3">
        <w:t> </w:t>
      </w:r>
      <w:proofErr w:type="spellStart"/>
      <w:r w:rsidR="00AF02BF">
        <w:t>Fokas</w:t>
      </w:r>
      <w:proofErr w:type="spellEnd"/>
      <w:r w:rsidR="00AF02BF">
        <w:t xml:space="preserve"> filed a further notice of motion on 11</w:t>
      </w:r>
      <w:r w:rsidR="00107EF3">
        <w:t> </w:t>
      </w:r>
      <w:r w:rsidR="00AF02BF">
        <w:t>September 2017 in which she sought “an order for recovery of possession of land”, being her for</w:t>
      </w:r>
      <w:r w:rsidR="00DD1472">
        <w:t>mer property in English Street, Kogarah. Mrs</w:t>
      </w:r>
      <w:r w:rsidR="00BC74E1">
        <w:t> </w:t>
      </w:r>
      <w:proofErr w:type="spellStart"/>
      <w:r w:rsidR="00DD1472">
        <w:t>Fokas</w:t>
      </w:r>
      <w:proofErr w:type="spellEnd"/>
      <w:r w:rsidR="00DD1472">
        <w:t xml:space="preserve"> was given leave to file an amended notice of appeal by which she sought to set aside the order of Wilson</w:t>
      </w:r>
      <w:r w:rsidR="00BC74E1">
        <w:t> </w:t>
      </w:r>
      <w:r w:rsidR="00DD1472">
        <w:t>J of 9</w:t>
      </w:r>
      <w:r w:rsidR="00BC74E1">
        <w:t> </w:t>
      </w:r>
      <w:r w:rsidR="00DD1472">
        <w:t>August 2017 and an order for “release and recover possession of land”. White</w:t>
      </w:r>
      <w:r w:rsidR="00BC74E1">
        <w:t> </w:t>
      </w:r>
      <w:r w:rsidR="00DD1472">
        <w:t>JA recorded in [7] of his Honour’s reasons that in an affidavit dated 15</w:t>
      </w:r>
      <w:r w:rsidR="00BC74E1">
        <w:t> </w:t>
      </w:r>
      <w:r w:rsidR="00DD1472">
        <w:t>September 2017</w:t>
      </w:r>
      <w:r w:rsidR="003C06E2">
        <w:t>,</w:t>
      </w:r>
      <w:r w:rsidR="00DD1472">
        <w:t xml:space="preserve"> Mrs</w:t>
      </w:r>
      <w:r w:rsidR="00BC74E1">
        <w:t> </w:t>
      </w:r>
      <w:proofErr w:type="spellStart"/>
      <w:r w:rsidR="00DD1472">
        <w:t>Fokas</w:t>
      </w:r>
      <w:proofErr w:type="spellEnd"/>
      <w:r w:rsidR="00DD1472">
        <w:t xml:space="preserve"> repeated her contention that she had made at the hearing on 4</w:t>
      </w:r>
      <w:r w:rsidR="00BC74E1">
        <w:t> </w:t>
      </w:r>
      <w:r w:rsidR="00DD1472">
        <w:t>September 2017 that she was not insolvent, and had not been declared to be a bankrupt. White</w:t>
      </w:r>
      <w:r w:rsidR="00BC74E1">
        <w:t> </w:t>
      </w:r>
      <w:r w:rsidR="00DD1472">
        <w:t>JA held that the orders of Wilson</w:t>
      </w:r>
      <w:r w:rsidR="00BC74E1">
        <w:t> </w:t>
      </w:r>
      <w:r w:rsidR="00DD1472">
        <w:t>J were interlocutory, and that Mrs</w:t>
      </w:r>
      <w:r w:rsidR="00BC74E1">
        <w:t> </w:t>
      </w:r>
      <w:proofErr w:type="spellStart"/>
      <w:r w:rsidR="00DD1472">
        <w:t>Fokas</w:t>
      </w:r>
      <w:proofErr w:type="spellEnd"/>
      <w:r w:rsidR="00DD1472">
        <w:t xml:space="preserve"> required leave to appeal, which she had not sought. In any event, White</w:t>
      </w:r>
      <w:r w:rsidR="00FD5305">
        <w:t> </w:t>
      </w:r>
      <w:r w:rsidR="00DD1472">
        <w:t>JA held that even if he had concluded that the appeal was competent</w:t>
      </w:r>
      <w:r w:rsidR="003C06E2">
        <w:t>,</w:t>
      </w:r>
      <w:r w:rsidR="00DD1472">
        <w:t xml:space="preserve"> he would not have granted the relief sought by Mrs</w:t>
      </w:r>
      <w:r w:rsidR="00FD5305">
        <w:t> </w:t>
      </w:r>
      <w:proofErr w:type="spellStart"/>
      <w:r w:rsidR="00DD1472">
        <w:t>Fokas</w:t>
      </w:r>
      <w:proofErr w:type="spellEnd"/>
      <w:r w:rsidR="00DD1472">
        <w:t xml:space="preserve"> in her notice of motion. Mrs</w:t>
      </w:r>
      <w:r w:rsidR="00FD5305">
        <w:t> </w:t>
      </w:r>
      <w:proofErr w:type="spellStart"/>
      <w:r w:rsidR="00DD1472">
        <w:t>Fokas</w:t>
      </w:r>
      <w:proofErr w:type="spellEnd"/>
      <w:r w:rsidR="00DD1472">
        <w:t xml:space="preserve"> had not demonstrated an arguable basis for setting aside the order for possession made on 14</w:t>
      </w:r>
      <w:r w:rsidR="00FD5305">
        <w:t> </w:t>
      </w:r>
      <w:r w:rsidR="00DD1472">
        <w:t>December 2016. At</w:t>
      </w:r>
      <w:r w:rsidR="00FD5305">
        <w:t> </w:t>
      </w:r>
      <w:r w:rsidR="00DD1472">
        <w:t>[18]</w:t>
      </w:r>
      <w:r w:rsidR="003C06E2">
        <w:t>,</w:t>
      </w:r>
      <w:r w:rsidR="00DD1472">
        <w:t xml:space="preserve"> White</w:t>
      </w:r>
      <w:r w:rsidR="00FD5305">
        <w:t> </w:t>
      </w:r>
      <w:r w:rsidR="00DD1472">
        <w:t>JA stated</w:t>
      </w:r>
      <w:r w:rsidR="00F715F7">
        <w:t> </w:t>
      </w:r>
      <w:r w:rsidR="00DD1472">
        <w:t>–</w:t>
      </w:r>
    </w:p>
    <w:p w14:paraId="44EFA9C3" w14:textId="2F41727B" w:rsidR="00DD1472" w:rsidRDefault="005469BD" w:rsidP="00FF34CD">
      <w:pPr>
        <w:pStyle w:val="Quote1"/>
        <w:rPr>
          <w:lang w:eastAsia="en-AU"/>
        </w:rPr>
      </w:pPr>
      <w:r>
        <w:rPr>
          <w:lang w:eastAsia="en-AU"/>
        </w:rPr>
        <w:lastRenderedPageBreak/>
        <w:t>Although she denies it, it is clear that the applicant is a bankrupt, the property did become vested in her trustee in bankruptcy, and the first respondent is the registered proprietor of the property. No application, it seems, was ever made to set aside the sequestration order made as long ago as 1</w:t>
      </w:r>
      <w:r w:rsidR="00FD5305">
        <w:rPr>
          <w:lang w:eastAsia="en-AU"/>
        </w:rPr>
        <w:t> </w:t>
      </w:r>
      <w:r>
        <w:rPr>
          <w:lang w:eastAsia="en-AU"/>
        </w:rPr>
        <w:t>November 2012.</w:t>
      </w:r>
    </w:p>
    <w:p w14:paraId="1AE2F1ED" w14:textId="15A77EAB" w:rsidR="00A260CF" w:rsidRPr="006229F6" w:rsidRDefault="00A260CF" w:rsidP="00FF34CD">
      <w:pPr>
        <w:pStyle w:val="ParaNumbering"/>
      </w:pPr>
      <w:r>
        <w:t>White</w:t>
      </w:r>
      <w:r w:rsidR="00FD5305">
        <w:t> </w:t>
      </w:r>
      <w:r>
        <w:t>JA ordered that the amended notice of appeal be dismissed and that Mrs</w:t>
      </w:r>
      <w:r w:rsidR="00FD5305">
        <w:t> </w:t>
      </w:r>
      <w:proofErr w:type="spellStart"/>
      <w:r>
        <w:t>Fokas’</w:t>
      </w:r>
      <w:r w:rsidR="00122427">
        <w:t>s</w:t>
      </w:r>
      <w:proofErr w:type="spellEnd"/>
      <w:r>
        <w:t xml:space="preserve"> notice of motion filed 11</w:t>
      </w:r>
      <w:r w:rsidR="00245504">
        <w:t> </w:t>
      </w:r>
      <w:r>
        <w:t>September 2017 also be dismissed.</w:t>
      </w:r>
    </w:p>
    <w:p w14:paraId="29CB2EE7" w14:textId="01DEE36F" w:rsidR="00FF1D66" w:rsidRDefault="00FF1D66" w:rsidP="0032038B">
      <w:pPr>
        <w:pStyle w:val="ListNo1"/>
        <w:numPr>
          <w:ilvl w:val="0"/>
          <w:numId w:val="30"/>
        </w:numPr>
      </w:pPr>
      <w:proofErr w:type="spellStart"/>
      <w:r w:rsidRPr="006229F6">
        <w:rPr>
          <w:i/>
        </w:rPr>
        <w:t>Fokas</w:t>
      </w:r>
      <w:proofErr w:type="spellEnd"/>
      <w:r w:rsidRPr="006229F6">
        <w:rPr>
          <w:i/>
        </w:rPr>
        <w:t xml:space="preserve"> v Mansfield (No 3)</w:t>
      </w:r>
      <w:r w:rsidR="00260EED">
        <w:t xml:space="preserve"> [2017] NSWCA 315.</w:t>
      </w:r>
    </w:p>
    <w:p w14:paraId="5EC7D0B2" w14:textId="56DE9987" w:rsidR="00E41047" w:rsidRPr="00A835CC" w:rsidRDefault="00A835CC" w:rsidP="00FF34CD">
      <w:pPr>
        <w:pStyle w:val="ParaNumbering"/>
      </w:pPr>
      <w:r>
        <w:t>Following the second decision of White</w:t>
      </w:r>
      <w:r w:rsidR="00877A9C">
        <w:t> </w:t>
      </w:r>
      <w:r>
        <w:t>JA delivered on 9</w:t>
      </w:r>
      <w:r w:rsidR="00877A9C">
        <w:t> </w:t>
      </w:r>
      <w:r>
        <w:t>October 2017, Mrs</w:t>
      </w:r>
      <w:r w:rsidR="00877A9C">
        <w:t> </w:t>
      </w:r>
      <w:proofErr w:type="spellStart"/>
      <w:r>
        <w:t>Fokas</w:t>
      </w:r>
      <w:proofErr w:type="spellEnd"/>
      <w:r>
        <w:t xml:space="preserve"> sought review of that decision pursuant to s</w:t>
      </w:r>
      <w:r w:rsidR="00877A9C">
        <w:t> </w:t>
      </w:r>
      <w:r>
        <w:t xml:space="preserve">46(4) of the </w:t>
      </w:r>
      <w:r>
        <w:rPr>
          <w:i/>
        </w:rPr>
        <w:t>Supreme Court Act 1970</w:t>
      </w:r>
      <w:r>
        <w:t xml:space="preserve"> (NSW). The review was heard by a panel of three Judges: </w:t>
      </w:r>
      <w:proofErr w:type="spellStart"/>
      <w:r>
        <w:t>Basten</w:t>
      </w:r>
      <w:proofErr w:type="spellEnd"/>
      <w:r w:rsidR="00877A9C">
        <w:t> </w:t>
      </w:r>
      <w:r>
        <w:t>JA, Meagher</w:t>
      </w:r>
      <w:r w:rsidR="00877A9C">
        <w:t> </w:t>
      </w:r>
      <w:r>
        <w:t>JA and Payne</w:t>
      </w:r>
      <w:r w:rsidR="00877A9C">
        <w:t> </w:t>
      </w:r>
      <w:r>
        <w:t>JA</w:t>
      </w:r>
      <w:r w:rsidR="006E1D37">
        <w:t>. The Court of Appeal on review confirmed that the order made by Wilson</w:t>
      </w:r>
      <w:r w:rsidR="00877A9C">
        <w:t> </w:t>
      </w:r>
      <w:r w:rsidR="006E1D37">
        <w:t>J was interlocutory, and that the decision of White</w:t>
      </w:r>
      <w:r w:rsidR="00A90A29">
        <w:t> </w:t>
      </w:r>
      <w:r w:rsidR="006E1D37">
        <w:t>JA that the appeal from the decision of Wilson</w:t>
      </w:r>
      <w:r w:rsidR="00A90A29">
        <w:t> </w:t>
      </w:r>
      <w:r w:rsidR="006E1D37">
        <w:t>J was incompetent was correct. The Court also held that White</w:t>
      </w:r>
      <w:r w:rsidR="00A90A29">
        <w:t> </w:t>
      </w:r>
      <w:r w:rsidR="006E1D37">
        <w:t>JA was correct to decline to extend an interlocutory order that had been made by a Registrar on 18</w:t>
      </w:r>
      <w:r w:rsidR="00A90A29">
        <w:t> </w:t>
      </w:r>
      <w:r w:rsidR="006E1D37">
        <w:t>September 2017</w:t>
      </w:r>
      <w:r w:rsidR="0000093F">
        <w:t>,</w:t>
      </w:r>
      <w:r w:rsidR="006E1D37">
        <w:t xml:space="preserve"> which restrained the </w:t>
      </w:r>
      <w:r w:rsidR="006131BE">
        <w:t>T</w:t>
      </w:r>
      <w:r w:rsidR="006E1D37">
        <w:t>rustee from entering into an agreement for the sale of the property.</w:t>
      </w:r>
    </w:p>
    <w:p w14:paraId="72D30D4F" w14:textId="68623ECC" w:rsidR="00FF1D66" w:rsidRDefault="00FF1D66" w:rsidP="0032038B">
      <w:pPr>
        <w:pStyle w:val="ListNo1"/>
        <w:numPr>
          <w:ilvl w:val="0"/>
          <w:numId w:val="30"/>
        </w:numPr>
      </w:pPr>
      <w:r w:rsidRPr="006229F6">
        <w:rPr>
          <w:i/>
        </w:rPr>
        <w:t xml:space="preserve">Mansfield v </w:t>
      </w:r>
      <w:proofErr w:type="spellStart"/>
      <w:r w:rsidRPr="006229F6">
        <w:rPr>
          <w:i/>
        </w:rPr>
        <w:t>Fokas</w:t>
      </w:r>
      <w:proofErr w:type="spellEnd"/>
      <w:r w:rsidRPr="006229F6">
        <w:t xml:space="preserve"> [2018] NSWSC 249.</w:t>
      </w:r>
    </w:p>
    <w:p w14:paraId="1C10001D" w14:textId="55037393" w:rsidR="00E41047" w:rsidRDefault="00712B2A" w:rsidP="00074D30">
      <w:pPr>
        <w:pStyle w:val="ParaNumbering"/>
      </w:pPr>
      <w:r>
        <w:t xml:space="preserve">Following the decision of the New South Wales Court of Appeal </w:t>
      </w:r>
      <w:r w:rsidR="00EB1418">
        <w:t xml:space="preserve">on review in </w:t>
      </w:r>
      <w:proofErr w:type="spellStart"/>
      <w:r w:rsidR="00EB1418">
        <w:rPr>
          <w:i/>
        </w:rPr>
        <w:t>Fokas</w:t>
      </w:r>
      <w:proofErr w:type="spellEnd"/>
      <w:r w:rsidR="00A90A29">
        <w:rPr>
          <w:i/>
        </w:rPr>
        <w:t> </w:t>
      </w:r>
      <w:r w:rsidR="00EB1418">
        <w:rPr>
          <w:i/>
        </w:rPr>
        <w:t>v Mansfield (No 3)</w:t>
      </w:r>
      <w:r w:rsidR="00EB1418">
        <w:t>, Mrs</w:t>
      </w:r>
      <w:r w:rsidR="00A90A29">
        <w:t> </w:t>
      </w:r>
      <w:proofErr w:type="spellStart"/>
      <w:r w:rsidR="00EB1418">
        <w:t>Fokas</w:t>
      </w:r>
      <w:proofErr w:type="spellEnd"/>
      <w:r w:rsidR="00EB1418">
        <w:t xml:space="preserve"> filed five notices of motion seeking what Fagan</w:t>
      </w:r>
      <w:r w:rsidR="00A90A29">
        <w:t> </w:t>
      </w:r>
      <w:r w:rsidR="00EB1418">
        <w:t>J described at</w:t>
      </w:r>
      <w:r w:rsidR="00FC186C">
        <w:t> </w:t>
      </w:r>
      <w:r w:rsidR="00EB1418">
        <w:t xml:space="preserve">[3] </w:t>
      </w:r>
      <w:r w:rsidR="00074D30">
        <w:t xml:space="preserve">as, </w:t>
      </w:r>
      <w:r w:rsidR="00EB1418">
        <w:t>“an array of orders to give effect to her contention that she is not a bankrupt and that the plaintiff is not entitled to sell the property”. Fagan</w:t>
      </w:r>
      <w:r w:rsidR="00FC186C">
        <w:t> </w:t>
      </w:r>
      <w:r w:rsidR="00EB1418">
        <w:t>J set out the dates of filing of the notices of motion and the orders sought in them as follows –</w:t>
      </w:r>
    </w:p>
    <w:p w14:paraId="0B225C96" w14:textId="1443EFB9" w:rsidR="0041770D" w:rsidRDefault="008F2371" w:rsidP="00074D30">
      <w:pPr>
        <w:pStyle w:val="Quote1"/>
        <w:ind w:left="1440" w:hanging="703"/>
        <w:rPr>
          <w:lang w:eastAsia="en-AU"/>
        </w:rPr>
      </w:pPr>
      <w:r>
        <w:rPr>
          <w:lang w:eastAsia="en-AU"/>
        </w:rPr>
        <w:t>(1)</w:t>
      </w:r>
      <w:r>
        <w:rPr>
          <w:lang w:eastAsia="en-AU"/>
        </w:rPr>
        <w:tab/>
      </w:r>
      <w:r w:rsidR="0041770D">
        <w:rPr>
          <w:lang w:eastAsia="en-AU"/>
        </w:rPr>
        <w:t>12 December 2017, seeking an order that “the person acting as Registrar- General to correct the name of the registered proprietor on the computer folio Certificate of Title 58/2013 [being the title reference of the property]”.</w:t>
      </w:r>
    </w:p>
    <w:p w14:paraId="5A052DD0" w14:textId="73CF4E59" w:rsidR="0041770D" w:rsidRDefault="008F2371" w:rsidP="00074D30">
      <w:pPr>
        <w:pStyle w:val="Quote1"/>
        <w:ind w:left="1440" w:hanging="703"/>
        <w:rPr>
          <w:lang w:eastAsia="en-AU"/>
        </w:rPr>
      </w:pPr>
      <w:r>
        <w:rPr>
          <w:lang w:eastAsia="en-AU"/>
        </w:rPr>
        <w:t>(2)</w:t>
      </w:r>
      <w:r>
        <w:rPr>
          <w:lang w:eastAsia="en-AU"/>
        </w:rPr>
        <w:tab/>
      </w:r>
      <w:r w:rsidR="0041770D">
        <w:rPr>
          <w:lang w:eastAsia="en-AU"/>
        </w:rPr>
        <w:t xml:space="preserve">13 December 2017, order that the “Australian Government Australian Financial Security Authority (as its new name) to delete information entered in the National Personal Insolvency Index about Maria </w:t>
      </w:r>
      <w:proofErr w:type="spellStart"/>
      <w:r w:rsidR="0041770D">
        <w:rPr>
          <w:lang w:eastAsia="en-AU"/>
        </w:rPr>
        <w:t>Fokas</w:t>
      </w:r>
      <w:proofErr w:type="spellEnd"/>
      <w:r w:rsidR="0041770D">
        <w:rPr>
          <w:lang w:eastAsia="en-AU"/>
        </w:rPr>
        <w:t xml:space="preserve"> (about me)”.</w:t>
      </w:r>
    </w:p>
    <w:p w14:paraId="4D653DB0" w14:textId="7DEAE55B" w:rsidR="0041770D" w:rsidRDefault="008F2371" w:rsidP="00074D30">
      <w:pPr>
        <w:pStyle w:val="Quote1"/>
        <w:ind w:left="1440" w:hanging="703"/>
        <w:rPr>
          <w:lang w:eastAsia="en-AU"/>
        </w:rPr>
      </w:pPr>
      <w:r>
        <w:rPr>
          <w:lang w:eastAsia="en-AU"/>
        </w:rPr>
        <w:t>(3)</w:t>
      </w:r>
      <w:r>
        <w:rPr>
          <w:lang w:eastAsia="en-AU"/>
        </w:rPr>
        <w:tab/>
      </w:r>
      <w:r w:rsidR="0041770D">
        <w:rPr>
          <w:lang w:eastAsia="en-AU"/>
        </w:rPr>
        <w:t xml:space="preserve">21 December 2017, order that “the real estate </w:t>
      </w:r>
      <w:proofErr w:type="spellStart"/>
      <w:r w:rsidR="0041770D">
        <w:rPr>
          <w:lang w:eastAsia="en-AU"/>
        </w:rPr>
        <w:t>Raine</w:t>
      </w:r>
      <w:proofErr w:type="spellEnd"/>
      <w:r w:rsidR="0041770D">
        <w:rPr>
          <w:lang w:eastAsia="en-AU"/>
        </w:rPr>
        <w:t xml:space="preserve"> and Horne 25 Regent Street Kogarah 2217 to return the deposit made on 20 December 2017 for the sale of my property at 14 English Street Kogarah New South Wales 2217”.</w:t>
      </w:r>
    </w:p>
    <w:p w14:paraId="2A78C3C4" w14:textId="50A79171" w:rsidR="0041770D" w:rsidRDefault="008F2371" w:rsidP="00074D30">
      <w:pPr>
        <w:pStyle w:val="Quote1"/>
        <w:ind w:left="1440" w:hanging="703"/>
        <w:rPr>
          <w:lang w:eastAsia="en-AU"/>
        </w:rPr>
      </w:pPr>
      <w:r>
        <w:rPr>
          <w:lang w:eastAsia="en-AU"/>
        </w:rPr>
        <w:t>(4)</w:t>
      </w:r>
      <w:r>
        <w:rPr>
          <w:lang w:eastAsia="en-AU"/>
        </w:rPr>
        <w:tab/>
      </w:r>
      <w:r w:rsidR="0041770D">
        <w:rPr>
          <w:lang w:eastAsia="en-AU"/>
        </w:rPr>
        <w:t>27 December 2017, order that “the contract for the sale and purchase of land 2017 edition land 14 English Street Kogarah NSW 2217 sale date Wednesday 20 December 2017 to be made void or cancelled”.</w:t>
      </w:r>
    </w:p>
    <w:p w14:paraId="6E1C8C4E" w14:textId="5B717408" w:rsidR="00EB1418" w:rsidRDefault="008F2371" w:rsidP="00074D30">
      <w:pPr>
        <w:pStyle w:val="Quote1"/>
        <w:ind w:left="1440" w:hanging="703"/>
        <w:rPr>
          <w:lang w:eastAsia="en-AU"/>
        </w:rPr>
      </w:pPr>
      <w:r>
        <w:rPr>
          <w:lang w:eastAsia="en-AU"/>
        </w:rPr>
        <w:t>(5)</w:t>
      </w:r>
      <w:r>
        <w:rPr>
          <w:lang w:eastAsia="en-AU"/>
        </w:rPr>
        <w:tab/>
      </w:r>
      <w:r w:rsidR="0041770D">
        <w:rPr>
          <w:lang w:eastAsia="en-AU"/>
        </w:rPr>
        <w:t xml:space="preserve">28 February 2018, orders that the first four motions be dealt with individually in the order filed, with separate reasons for decision being given, and that this Court “wave [sic] away the need for leave to appeal in case of a requirement of appeal” and grant a stay of any order made. Further that any “irregularities </w:t>
      </w:r>
      <w:r w:rsidR="0041770D">
        <w:rPr>
          <w:lang w:eastAsia="en-AU"/>
        </w:rPr>
        <w:lastRenderedPageBreak/>
        <w:t>to be disregarded”.</w:t>
      </w:r>
    </w:p>
    <w:p w14:paraId="2A7D419B" w14:textId="3134746A" w:rsidR="00ED422C" w:rsidRDefault="00ED422C" w:rsidP="00074D30">
      <w:pPr>
        <w:pStyle w:val="ParaNumbering"/>
      </w:pPr>
      <w:r>
        <w:t>Fagan</w:t>
      </w:r>
      <w:r w:rsidR="00FC186C">
        <w:t> </w:t>
      </w:r>
      <w:r>
        <w:t>J then set out the course of the various proceedings that Mrs</w:t>
      </w:r>
      <w:r w:rsidR="00FC186C">
        <w:t> </w:t>
      </w:r>
      <w:proofErr w:type="spellStart"/>
      <w:r>
        <w:t>Fokas</w:t>
      </w:r>
      <w:proofErr w:type="spellEnd"/>
      <w:r>
        <w:t xml:space="preserve"> had taken in the New</w:t>
      </w:r>
      <w:r w:rsidR="007352D9">
        <w:t> </w:t>
      </w:r>
      <w:r>
        <w:t>South Wales Supreme Court, and</w:t>
      </w:r>
      <w:r w:rsidR="00E15509">
        <w:t xml:space="preserve"> in</w:t>
      </w:r>
      <w:r>
        <w:t xml:space="preserve"> the Court of Appeal</w:t>
      </w:r>
      <w:r w:rsidR="00E15509">
        <w:t>,</w:t>
      </w:r>
      <w:r>
        <w:t xml:space="preserve"> commencing with her notice of motion filed 26</w:t>
      </w:r>
      <w:r w:rsidR="00FC186C">
        <w:t> </w:t>
      </w:r>
      <w:r>
        <w:t>July 2017. At [14]</w:t>
      </w:r>
      <w:r w:rsidR="006A503A">
        <w:t xml:space="preserve"> and [15]</w:t>
      </w:r>
      <w:r>
        <w:t>, Fagan</w:t>
      </w:r>
      <w:r w:rsidR="00FC186C">
        <w:t> </w:t>
      </w:r>
      <w:r>
        <w:t>J recorded –</w:t>
      </w:r>
    </w:p>
    <w:p w14:paraId="61A3068B" w14:textId="4322A780" w:rsidR="00D851EC" w:rsidRDefault="00D851EC" w:rsidP="00E15509">
      <w:pPr>
        <w:pStyle w:val="Quote1"/>
        <w:ind w:left="1440" w:hanging="703"/>
        <w:rPr>
          <w:lang w:eastAsia="en-AU"/>
        </w:rPr>
      </w:pPr>
      <w:r>
        <w:rPr>
          <w:lang w:eastAsia="en-AU"/>
        </w:rPr>
        <w:t>14</w:t>
      </w:r>
      <w:r>
        <w:rPr>
          <w:lang w:eastAsia="en-AU"/>
        </w:rPr>
        <w:tab/>
      </w:r>
      <w:r w:rsidRPr="00D851EC">
        <w:rPr>
          <w:lang w:eastAsia="en-AU"/>
        </w:rPr>
        <w:t xml:space="preserve">In support of the notices of motion now before the Court, Ms </w:t>
      </w:r>
      <w:proofErr w:type="spellStart"/>
      <w:r w:rsidRPr="00D851EC">
        <w:rPr>
          <w:lang w:eastAsia="en-AU"/>
        </w:rPr>
        <w:t>Fokas</w:t>
      </w:r>
      <w:proofErr w:type="spellEnd"/>
      <w:r w:rsidRPr="00D851EC">
        <w:rPr>
          <w:lang w:eastAsia="en-AU"/>
        </w:rPr>
        <w:t xml:space="preserve"> has read</w:t>
      </w:r>
      <w:r>
        <w:rPr>
          <w:lang w:eastAsia="en-AU"/>
        </w:rPr>
        <w:t xml:space="preserve"> </w:t>
      </w:r>
      <w:r w:rsidRPr="00D851EC">
        <w:rPr>
          <w:lang w:eastAsia="en-AU"/>
        </w:rPr>
        <w:t>seven affidavits, plus a number of additional affidavits of service. Her first</w:t>
      </w:r>
      <w:r>
        <w:rPr>
          <w:lang w:eastAsia="en-AU"/>
        </w:rPr>
        <w:t xml:space="preserve"> </w:t>
      </w:r>
      <w:r w:rsidRPr="00D851EC">
        <w:rPr>
          <w:lang w:eastAsia="en-AU"/>
        </w:rPr>
        <w:t>affidavit of 6 December 2017 contains extracts from legislation, argument,</w:t>
      </w:r>
      <w:r>
        <w:rPr>
          <w:lang w:eastAsia="en-AU"/>
        </w:rPr>
        <w:t xml:space="preserve"> </w:t>
      </w:r>
      <w:r w:rsidRPr="00D851EC">
        <w:rPr>
          <w:lang w:eastAsia="en-AU"/>
        </w:rPr>
        <w:t>conclusions (such as “I am not a bankrupt”) and other material which is not</w:t>
      </w:r>
      <w:r>
        <w:rPr>
          <w:lang w:eastAsia="en-AU"/>
        </w:rPr>
        <w:t xml:space="preserve"> </w:t>
      </w:r>
      <w:r w:rsidRPr="00D851EC">
        <w:rPr>
          <w:lang w:eastAsia="en-AU"/>
        </w:rPr>
        <w:t>admissible. Without cataloguing all of the inadmissible aspects, I will simply</w:t>
      </w:r>
      <w:r>
        <w:rPr>
          <w:lang w:eastAsia="en-AU"/>
        </w:rPr>
        <w:t xml:space="preserve"> </w:t>
      </w:r>
      <w:r w:rsidRPr="00D851EC">
        <w:rPr>
          <w:lang w:eastAsia="en-AU"/>
        </w:rPr>
        <w:t>disregard those parts of that affidavit which are not evidence of facts in issue. I</w:t>
      </w:r>
      <w:r>
        <w:rPr>
          <w:lang w:eastAsia="en-AU"/>
        </w:rPr>
        <w:t xml:space="preserve"> </w:t>
      </w:r>
      <w:r w:rsidRPr="00D851EC">
        <w:rPr>
          <w:lang w:eastAsia="en-AU"/>
        </w:rPr>
        <w:t>will treat those matters as submissions so far as appropriate.</w:t>
      </w:r>
    </w:p>
    <w:p w14:paraId="538265E1" w14:textId="1452E781" w:rsidR="00D851EC" w:rsidRDefault="00D851EC" w:rsidP="00E15509">
      <w:pPr>
        <w:pStyle w:val="Quote1"/>
        <w:ind w:left="1440" w:hanging="703"/>
        <w:rPr>
          <w:lang w:eastAsia="en-AU"/>
        </w:rPr>
      </w:pPr>
      <w:r>
        <w:rPr>
          <w:lang w:eastAsia="en-AU"/>
        </w:rPr>
        <w:t>15</w:t>
      </w:r>
      <w:r>
        <w:rPr>
          <w:lang w:eastAsia="en-AU"/>
        </w:rPr>
        <w:tab/>
      </w:r>
      <w:r w:rsidRPr="00D851EC">
        <w:rPr>
          <w:lang w:eastAsia="en-AU"/>
        </w:rPr>
        <w:t>Most of the other affidavits are quite short. However the affidavit of 23 February</w:t>
      </w:r>
      <w:r>
        <w:rPr>
          <w:lang w:eastAsia="en-AU"/>
        </w:rPr>
        <w:t xml:space="preserve"> </w:t>
      </w:r>
      <w:r w:rsidRPr="00D851EC">
        <w:rPr>
          <w:lang w:eastAsia="en-AU"/>
        </w:rPr>
        <w:t>2018 has attached to it a large number of annexures concerning proceedings</w:t>
      </w:r>
      <w:r>
        <w:rPr>
          <w:lang w:eastAsia="en-AU"/>
        </w:rPr>
        <w:t xml:space="preserve"> </w:t>
      </w:r>
      <w:r w:rsidRPr="00D851EC">
        <w:rPr>
          <w:lang w:eastAsia="en-AU"/>
        </w:rPr>
        <w:t xml:space="preserve">to which Ms </w:t>
      </w:r>
      <w:proofErr w:type="spellStart"/>
      <w:r w:rsidRPr="00D851EC">
        <w:rPr>
          <w:lang w:eastAsia="en-AU"/>
        </w:rPr>
        <w:t>Fokas</w:t>
      </w:r>
      <w:proofErr w:type="spellEnd"/>
      <w:r w:rsidRPr="00D851EC">
        <w:rPr>
          <w:lang w:eastAsia="en-AU"/>
        </w:rPr>
        <w:t xml:space="preserve"> was a party in the Land and Environment Court and also</w:t>
      </w:r>
      <w:r>
        <w:rPr>
          <w:lang w:eastAsia="en-AU"/>
        </w:rPr>
        <w:t xml:space="preserve"> </w:t>
      </w:r>
      <w:r w:rsidRPr="00D851EC">
        <w:rPr>
          <w:lang w:eastAsia="en-AU"/>
        </w:rPr>
        <w:t>concerning the bankruptcy proceedings against her. It appears that she</w:t>
      </w:r>
      <w:r>
        <w:rPr>
          <w:lang w:eastAsia="en-AU"/>
        </w:rPr>
        <w:t xml:space="preserve"> </w:t>
      </w:r>
      <w:r w:rsidRPr="00D851EC">
        <w:rPr>
          <w:lang w:eastAsia="en-AU"/>
        </w:rPr>
        <w:t>contested a planning decision of Kogarah Council in proceedings which were</w:t>
      </w:r>
      <w:r>
        <w:rPr>
          <w:lang w:eastAsia="en-AU"/>
        </w:rPr>
        <w:t xml:space="preserve"> </w:t>
      </w:r>
      <w:r w:rsidRPr="00D851EC">
        <w:rPr>
          <w:lang w:eastAsia="en-AU"/>
        </w:rPr>
        <w:t>heard in the Land and Environment Court on various dates between 2005 and</w:t>
      </w:r>
      <w:r>
        <w:rPr>
          <w:lang w:eastAsia="en-AU"/>
        </w:rPr>
        <w:t xml:space="preserve"> </w:t>
      </w:r>
      <w:r w:rsidRPr="00D851EC">
        <w:rPr>
          <w:lang w:eastAsia="en-AU"/>
        </w:rPr>
        <w:t>2008. She was unsuccessful in those proceedings and the Council obtained</w:t>
      </w:r>
      <w:r>
        <w:rPr>
          <w:lang w:eastAsia="en-AU"/>
        </w:rPr>
        <w:t xml:space="preserve"> </w:t>
      </w:r>
      <w:r w:rsidRPr="00D851EC">
        <w:rPr>
          <w:lang w:eastAsia="en-AU"/>
        </w:rPr>
        <w:t>orders against her for costs. A bankruptcy notice was eventually served upon</w:t>
      </w:r>
      <w:r>
        <w:rPr>
          <w:lang w:eastAsia="en-AU"/>
        </w:rPr>
        <w:t xml:space="preserve"> </w:t>
      </w:r>
      <w:r w:rsidRPr="00D851EC">
        <w:rPr>
          <w:lang w:eastAsia="en-AU"/>
        </w:rPr>
        <w:t>her claiming a debt totalling $29,980 for these costs. The petitioning creditor in</w:t>
      </w:r>
      <w:r>
        <w:rPr>
          <w:lang w:eastAsia="en-AU"/>
        </w:rPr>
        <w:t xml:space="preserve"> </w:t>
      </w:r>
      <w:r w:rsidRPr="00D851EC">
        <w:rPr>
          <w:lang w:eastAsia="en-AU"/>
        </w:rPr>
        <w:t>the Federal Magistrate’s Court was Kogarah City Council, relying upon noncompliance</w:t>
      </w:r>
      <w:r>
        <w:rPr>
          <w:lang w:eastAsia="en-AU"/>
        </w:rPr>
        <w:t xml:space="preserve"> </w:t>
      </w:r>
      <w:r w:rsidRPr="00D851EC">
        <w:rPr>
          <w:lang w:eastAsia="en-AU"/>
        </w:rPr>
        <w:t>with the bankruptcy notice.</w:t>
      </w:r>
    </w:p>
    <w:p w14:paraId="4B87FA75" w14:textId="17F474C0" w:rsidR="006A503A" w:rsidRDefault="006A503A" w:rsidP="00E15509">
      <w:pPr>
        <w:pStyle w:val="ParaNumbering"/>
      </w:pPr>
      <w:r>
        <w:t>Fagan</w:t>
      </w:r>
      <w:r w:rsidR="00FC186C">
        <w:t> </w:t>
      </w:r>
      <w:r>
        <w:t xml:space="preserve">J held that because the principal underlying proceedings were at an end, there was, for the reasons given </w:t>
      </w:r>
      <w:r w:rsidR="007352D9">
        <w:t>by</w:t>
      </w:r>
      <w:r>
        <w:t xml:space="preserve"> the Court of Appeal, no basis upon which to entertain any of the applications that were before his Honour. Fagan</w:t>
      </w:r>
      <w:r w:rsidR="00FC186C">
        <w:t> </w:t>
      </w:r>
      <w:r>
        <w:t>J then proceeded to give more detailed and specific reasons as to why Mrs</w:t>
      </w:r>
      <w:r w:rsidR="00FC186C">
        <w:t> </w:t>
      </w:r>
      <w:proofErr w:type="spellStart"/>
      <w:r>
        <w:t>Fokas’</w:t>
      </w:r>
      <w:r w:rsidR="00122427">
        <w:t>s</w:t>
      </w:r>
      <w:proofErr w:type="spellEnd"/>
      <w:r>
        <w:t xml:space="preserve"> applications could not possibly succeed and had to be dismissed at the threshold. At</w:t>
      </w:r>
      <w:r w:rsidR="00FC186C">
        <w:t> </w:t>
      </w:r>
      <w:r>
        <w:t>[17], Fagan</w:t>
      </w:r>
      <w:r w:rsidR="00FC186C">
        <w:t> </w:t>
      </w:r>
      <w:r>
        <w:t>J stated –</w:t>
      </w:r>
    </w:p>
    <w:p w14:paraId="5441D624" w14:textId="1660EF38" w:rsidR="006A503A" w:rsidRPr="004A3FF4" w:rsidRDefault="004A3FF4" w:rsidP="002F08BF">
      <w:pPr>
        <w:pStyle w:val="Quote1"/>
        <w:ind w:left="1440" w:hanging="703"/>
        <w:rPr>
          <w:lang w:eastAsia="en-AU"/>
        </w:rPr>
      </w:pPr>
      <w:r>
        <w:rPr>
          <w:lang w:eastAsia="en-AU"/>
        </w:rPr>
        <w:t>17.</w:t>
      </w:r>
      <w:r>
        <w:rPr>
          <w:lang w:eastAsia="en-AU"/>
        </w:rPr>
        <w:tab/>
      </w:r>
      <w:r w:rsidRPr="004A3FF4">
        <w:rPr>
          <w:lang w:eastAsia="en-AU"/>
        </w:rPr>
        <w:t xml:space="preserve">Ms </w:t>
      </w:r>
      <w:proofErr w:type="spellStart"/>
      <w:r w:rsidRPr="004A3FF4">
        <w:rPr>
          <w:lang w:eastAsia="en-AU"/>
        </w:rPr>
        <w:t>Fokas</w:t>
      </w:r>
      <w:proofErr w:type="spellEnd"/>
      <w:r w:rsidRPr="004A3FF4">
        <w:rPr>
          <w:lang w:eastAsia="en-AU"/>
        </w:rPr>
        <w:t xml:space="preserve"> attempted to argue that she has not effectively been made a</w:t>
      </w:r>
      <w:r>
        <w:rPr>
          <w:lang w:eastAsia="en-AU"/>
        </w:rPr>
        <w:t xml:space="preserve"> </w:t>
      </w:r>
      <w:r w:rsidRPr="004A3FF4">
        <w:rPr>
          <w:lang w:eastAsia="en-AU"/>
        </w:rPr>
        <w:t>bankrupt on the grounds there was an irregularity in the bankruptcy notice, that</w:t>
      </w:r>
      <w:r>
        <w:rPr>
          <w:lang w:eastAsia="en-AU"/>
        </w:rPr>
        <w:t xml:space="preserve"> </w:t>
      </w:r>
      <w:r w:rsidRPr="004A3FF4">
        <w:rPr>
          <w:lang w:eastAsia="en-AU"/>
        </w:rPr>
        <w:t>it was not properly served, that there was a failure of the petitioning creditor to</w:t>
      </w:r>
      <w:r>
        <w:rPr>
          <w:lang w:eastAsia="en-AU"/>
        </w:rPr>
        <w:t xml:space="preserve"> </w:t>
      </w:r>
      <w:r w:rsidRPr="004A3FF4">
        <w:rPr>
          <w:lang w:eastAsia="en-AU"/>
        </w:rPr>
        <w:t>enter the sequestration order and that there was a failure to serve the</w:t>
      </w:r>
      <w:r>
        <w:rPr>
          <w:lang w:eastAsia="en-AU"/>
        </w:rPr>
        <w:t xml:space="preserve"> </w:t>
      </w:r>
      <w:r w:rsidRPr="004A3FF4">
        <w:rPr>
          <w:lang w:eastAsia="en-AU"/>
        </w:rPr>
        <w:t>sequestration order on the trustee.</w:t>
      </w:r>
      <w:r>
        <w:rPr>
          <w:lang w:eastAsia="en-AU"/>
        </w:rPr>
        <w:t xml:space="preserve"> All such matters are within the exclusive jurisdiction of the Federal Court and what is now the Federal Circuit Court, by force of section 27 of the </w:t>
      </w:r>
      <w:r>
        <w:rPr>
          <w:i/>
          <w:lang w:eastAsia="en-AU"/>
        </w:rPr>
        <w:t>Bankruptcy Act</w:t>
      </w:r>
      <w:r>
        <w:rPr>
          <w:lang w:eastAsia="en-AU"/>
        </w:rPr>
        <w:t>. Even if this application were brought in a fresh proceeding, it could not be entertained in the Supreme Court of New South Wales</w:t>
      </w:r>
      <w:r w:rsidR="003C06E2">
        <w:rPr>
          <w:lang w:eastAsia="en-AU"/>
        </w:rPr>
        <w:t>.</w:t>
      </w:r>
      <w:r>
        <w:rPr>
          <w:lang w:eastAsia="en-AU"/>
        </w:rPr>
        <w:t xml:space="preserve"> Because of the procedural impossibility of dealing with such an application on notice of motion in the proceeding in this Court which is at an end, there is no occasion to contemplate transferring this aspect of what Ms </w:t>
      </w:r>
      <w:proofErr w:type="spellStart"/>
      <w:r>
        <w:rPr>
          <w:lang w:eastAsia="en-AU"/>
        </w:rPr>
        <w:t>Fokas</w:t>
      </w:r>
      <w:proofErr w:type="spellEnd"/>
      <w:r>
        <w:rPr>
          <w:lang w:eastAsia="en-AU"/>
        </w:rPr>
        <w:t xml:space="preserve"> claims to the Federal Court or the Federal Circuit Court. The application for the order that the Registrar-General amend the register of titles must be dismissed.</w:t>
      </w:r>
    </w:p>
    <w:p w14:paraId="2C7032AF" w14:textId="6A743BAA" w:rsidR="004A3FF4" w:rsidRDefault="00273CF2" w:rsidP="002F08BF">
      <w:pPr>
        <w:pStyle w:val="ParaNumbering"/>
      </w:pPr>
      <w:r>
        <w:t>At</w:t>
      </w:r>
      <w:r w:rsidR="00FC186C">
        <w:t> </w:t>
      </w:r>
      <w:r>
        <w:t>[22]</w:t>
      </w:r>
      <w:r w:rsidR="00D10BE3">
        <w:t xml:space="preserve"> and [23]</w:t>
      </w:r>
      <w:r>
        <w:t>, Fagan</w:t>
      </w:r>
      <w:r w:rsidR="009944EA">
        <w:t> </w:t>
      </w:r>
      <w:r>
        <w:t>J recorded</w:t>
      </w:r>
      <w:r w:rsidR="009944EA">
        <w:t> </w:t>
      </w:r>
      <w:r>
        <w:t>–</w:t>
      </w:r>
    </w:p>
    <w:p w14:paraId="1C2CA610" w14:textId="0E2E3818" w:rsidR="00D10BE3" w:rsidRPr="00D10BE3" w:rsidRDefault="00D10BE3" w:rsidP="00D10BE3">
      <w:pPr>
        <w:pStyle w:val="Quote1"/>
        <w:ind w:left="1440" w:hanging="703"/>
        <w:rPr>
          <w:lang w:eastAsia="en-AU"/>
        </w:rPr>
      </w:pPr>
      <w:r>
        <w:rPr>
          <w:lang w:eastAsia="en-AU"/>
        </w:rPr>
        <w:t>22</w:t>
      </w:r>
      <w:r>
        <w:rPr>
          <w:lang w:eastAsia="en-AU"/>
        </w:rPr>
        <w:tab/>
      </w:r>
      <w:r w:rsidRPr="00D10BE3">
        <w:rPr>
          <w:lang w:eastAsia="en-AU"/>
        </w:rPr>
        <w:t xml:space="preserve">In the course of her submissions before me Ms </w:t>
      </w:r>
      <w:proofErr w:type="spellStart"/>
      <w:r w:rsidRPr="00D10BE3">
        <w:rPr>
          <w:lang w:eastAsia="en-AU"/>
        </w:rPr>
        <w:t>Fokas</w:t>
      </w:r>
      <w:proofErr w:type="spellEnd"/>
      <w:r w:rsidRPr="00D10BE3">
        <w:rPr>
          <w:lang w:eastAsia="en-AU"/>
        </w:rPr>
        <w:t xml:space="preserve"> dilated at great length</w:t>
      </w:r>
      <w:r>
        <w:rPr>
          <w:lang w:eastAsia="en-AU"/>
        </w:rPr>
        <w:t xml:space="preserve"> </w:t>
      </w:r>
      <w:r w:rsidRPr="00D10BE3">
        <w:rPr>
          <w:lang w:eastAsia="en-AU"/>
        </w:rPr>
        <w:t>upon errors that were made, as she perceives it, in Kogarah City Council's</w:t>
      </w:r>
      <w:r>
        <w:rPr>
          <w:lang w:eastAsia="en-AU"/>
        </w:rPr>
        <w:t xml:space="preserve"> </w:t>
      </w:r>
      <w:r w:rsidRPr="00D10BE3">
        <w:rPr>
          <w:lang w:eastAsia="en-AU"/>
        </w:rPr>
        <w:lastRenderedPageBreak/>
        <w:t>determination of a planning matter over 10 years ago. I stopped her in making</w:t>
      </w:r>
      <w:r>
        <w:rPr>
          <w:lang w:eastAsia="en-AU"/>
        </w:rPr>
        <w:t xml:space="preserve"> </w:t>
      </w:r>
      <w:r w:rsidRPr="00D10BE3">
        <w:rPr>
          <w:lang w:eastAsia="en-AU"/>
        </w:rPr>
        <w:t>those submissions because I found them completely irrelevant. It would be</w:t>
      </w:r>
      <w:r>
        <w:rPr>
          <w:lang w:eastAsia="en-AU"/>
        </w:rPr>
        <w:t xml:space="preserve"> </w:t>
      </w:r>
      <w:r w:rsidRPr="00D10BE3">
        <w:rPr>
          <w:lang w:eastAsia="en-AU"/>
        </w:rPr>
        <w:t>beyond the power of this Court to enquire into the rights or wrongs of a</w:t>
      </w:r>
      <w:r>
        <w:rPr>
          <w:lang w:eastAsia="en-AU"/>
        </w:rPr>
        <w:t xml:space="preserve"> </w:t>
      </w:r>
      <w:r w:rsidRPr="00D10BE3">
        <w:rPr>
          <w:lang w:eastAsia="en-AU"/>
        </w:rPr>
        <w:t>planning decision which has apparently been resolved and settled by</w:t>
      </w:r>
      <w:r>
        <w:rPr>
          <w:lang w:eastAsia="en-AU"/>
        </w:rPr>
        <w:t xml:space="preserve"> </w:t>
      </w:r>
      <w:r w:rsidRPr="00D10BE3">
        <w:rPr>
          <w:lang w:eastAsia="en-AU"/>
        </w:rPr>
        <w:t>judgments of the Land and Environment Court.</w:t>
      </w:r>
    </w:p>
    <w:p w14:paraId="0C018D5C" w14:textId="16A30F0A" w:rsidR="00273CF2" w:rsidRDefault="00D10BE3" w:rsidP="00D10BE3">
      <w:pPr>
        <w:pStyle w:val="Quote1"/>
        <w:ind w:left="1440" w:hanging="703"/>
        <w:rPr>
          <w:lang w:eastAsia="en-AU"/>
        </w:rPr>
      </w:pPr>
      <w:r>
        <w:rPr>
          <w:lang w:eastAsia="en-AU"/>
        </w:rPr>
        <w:t>23</w:t>
      </w:r>
      <w:r>
        <w:rPr>
          <w:lang w:eastAsia="en-AU"/>
        </w:rPr>
        <w:tab/>
      </w:r>
      <w:r w:rsidRPr="00D10BE3">
        <w:rPr>
          <w:lang w:eastAsia="en-AU"/>
        </w:rPr>
        <w:t>What happened in the Land and Environment Court is of no consequence</w:t>
      </w:r>
      <w:r>
        <w:rPr>
          <w:lang w:eastAsia="en-AU"/>
        </w:rPr>
        <w:t xml:space="preserve"> </w:t>
      </w:r>
      <w:r w:rsidRPr="00D10BE3">
        <w:rPr>
          <w:lang w:eastAsia="en-AU"/>
        </w:rPr>
        <w:t>except so far as it resulted in orders for costs being issued and those costs</w:t>
      </w:r>
      <w:r>
        <w:rPr>
          <w:lang w:eastAsia="en-AU"/>
        </w:rPr>
        <w:t xml:space="preserve"> </w:t>
      </w:r>
      <w:r w:rsidRPr="00D10BE3">
        <w:rPr>
          <w:lang w:eastAsia="en-AU"/>
        </w:rPr>
        <w:t>being the basis of a bankruptcy notice and eventually a sequestration order</w:t>
      </w:r>
      <w:r>
        <w:rPr>
          <w:lang w:eastAsia="en-AU"/>
        </w:rPr>
        <w:t xml:space="preserve"> </w:t>
      </w:r>
      <w:r w:rsidRPr="00D10BE3">
        <w:rPr>
          <w:lang w:eastAsia="en-AU"/>
        </w:rPr>
        <w:t>made upon non-compliance with the notice. It is not open to the Court to</w:t>
      </w:r>
      <w:r>
        <w:rPr>
          <w:lang w:eastAsia="en-AU"/>
        </w:rPr>
        <w:t xml:space="preserve"> </w:t>
      </w:r>
      <w:r w:rsidRPr="00D10BE3">
        <w:rPr>
          <w:lang w:eastAsia="en-AU"/>
        </w:rPr>
        <w:t>entertain argument over these much earlier stages in the history which has led</w:t>
      </w:r>
      <w:r>
        <w:rPr>
          <w:lang w:eastAsia="en-AU"/>
        </w:rPr>
        <w:t xml:space="preserve"> </w:t>
      </w:r>
      <w:r w:rsidRPr="00D10BE3">
        <w:rPr>
          <w:lang w:eastAsia="en-AU"/>
        </w:rPr>
        <w:t>to Ms</w:t>
      </w:r>
      <w:r w:rsidR="00417CEF">
        <w:rPr>
          <w:lang w:eastAsia="en-AU"/>
        </w:rPr>
        <w:t> </w:t>
      </w:r>
      <w:proofErr w:type="spellStart"/>
      <w:r w:rsidRPr="00D10BE3">
        <w:rPr>
          <w:lang w:eastAsia="en-AU"/>
        </w:rPr>
        <w:t>Fokas</w:t>
      </w:r>
      <w:proofErr w:type="spellEnd"/>
      <w:r w:rsidRPr="00D10BE3">
        <w:rPr>
          <w:lang w:eastAsia="en-AU"/>
        </w:rPr>
        <w:t xml:space="preserve"> being declared bankrupt, in circumstances where the trustee has</w:t>
      </w:r>
      <w:r>
        <w:rPr>
          <w:lang w:eastAsia="en-AU"/>
        </w:rPr>
        <w:t xml:space="preserve"> </w:t>
      </w:r>
      <w:r w:rsidRPr="00D10BE3">
        <w:rPr>
          <w:lang w:eastAsia="en-AU"/>
        </w:rPr>
        <w:t>become registered proprietor pursuant to vesting and where an order of this</w:t>
      </w:r>
      <w:r>
        <w:rPr>
          <w:lang w:eastAsia="en-AU"/>
        </w:rPr>
        <w:t xml:space="preserve"> </w:t>
      </w:r>
      <w:r w:rsidRPr="00D10BE3">
        <w:rPr>
          <w:lang w:eastAsia="en-AU"/>
        </w:rPr>
        <w:t>Court has been made for him to have possession of the property, that order</w:t>
      </w:r>
      <w:r>
        <w:rPr>
          <w:lang w:eastAsia="en-AU"/>
        </w:rPr>
        <w:t xml:space="preserve"> </w:t>
      </w:r>
      <w:r w:rsidRPr="00D10BE3">
        <w:rPr>
          <w:lang w:eastAsia="en-AU"/>
        </w:rPr>
        <w:t>having been executed long ago.</w:t>
      </w:r>
    </w:p>
    <w:p w14:paraId="7421CAD5" w14:textId="680E27CB" w:rsidR="00AB7E9C" w:rsidRPr="00AB7E9C" w:rsidRDefault="00AB7E9C" w:rsidP="002F08BF">
      <w:pPr>
        <w:pStyle w:val="ParaNumbering"/>
      </w:pPr>
      <w:r>
        <w:t>Fagan</w:t>
      </w:r>
      <w:r w:rsidR="009944EA">
        <w:t> </w:t>
      </w:r>
      <w:r>
        <w:t>J concluded that all of the notices of motion that his Honour considered constituted an abuse of process of the Court, and that none of them was viable for the reasons that his Honour had given. Fagan</w:t>
      </w:r>
      <w:r w:rsidR="009944EA">
        <w:t> </w:t>
      </w:r>
      <w:r>
        <w:t xml:space="preserve">J dismissed the notices of motion and, further, made an order under the </w:t>
      </w:r>
      <w:r>
        <w:rPr>
          <w:i/>
        </w:rPr>
        <w:t>Vexatious Proceedings Act 2008</w:t>
      </w:r>
      <w:r>
        <w:t xml:space="preserve"> (NSW)</w:t>
      </w:r>
      <w:r w:rsidR="0050384E">
        <w:t xml:space="preserve"> that Mrs</w:t>
      </w:r>
      <w:r w:rsidR="009944EA">
        <w:t> </w:t>
      </w:r>
      <w:proofErr w:type="spellStart"/>
      <w:r w:rsidR="0050384E">
        <w:t>Fokas</w:t>
      </w:r>
      <w:proofErr w:type="spellEnd"/>
      <w:r w:rsidR="0050384E">
        <w:t xml:space="preserve"> was prohibited from instituting proceedings in New South Wales.</w:t>
      </w:r>
    </w:p>
    <w:p w14:paraId="2C9599AF" w14:textId="238B8688" w:rsidR="00712B2A" w:rsidRDefault="005A7A7C" w:rsidP="0032038B">
      <w:pPr>
        <w:pStyle w:val="ListNo1"/>
        <w:numPr>
          <w:ilvl w:val="0"/>
          <w:numId w:val="30"/>
        </w:numPr>
      </w:pPr>
      <w:proofErr w:type="spellStart"/>
      <w:r w:rsidRPr="00247576">
        <w:rPr>
          <w:i/>
        </w:rPr>
        <w:t>Fokas</w:t>
      </w:r>
      <w:proofErr w:type="spellEnd"/>
      <w:r w:rsidRPr="00247576">
        <w:rPr>
          <w:i/>
        </w:rPr>
        <w:t xml:space="preserve"> v Mansfield as Trustee of the Bankrupt Estate of Maria </w:t>
      </w:r>
      <w:proofErr w:type="spellStart"/>
      <w:r w:rsidRPr="00247576">
        <w:rPr>
          <w:i/>
        </w:rPr>
        <w:t>Fokas</w:t>
      </w:r>
      <w:proofErr w:type="spellEnd"/>
      <w:r w:rsidRPr="00247576">
        <w:rPr>
          <w:i/>
        </w:rPr>
        <w:t xml:space="preserve"> </w:t>
      </w:r>
      <w:r w:rsidRPr="005A7A7C">
        <w:t>[2019] FCA 1724</w:t>
      </w:r>
      <w:r>
        <w:t>.</w:t>
      </w:r>
    </w:p>
    <w:p w14:paraId="5766B059" w14:textId="47A03BDD" w:rsidR="00C4640C" w:rsidRDefault="009B56D1" w:rsidP="002F08BF">
      <w:pPr>
        <w:pStyle w:val="ParaNumbering"/>
      </w:pPr>
      <w:r>
        <w:t>In this proceeding, the Court</w:t>
      </w:r>
      <w:r w:rsidR="00880A38">
        <w:t xml:space="preserve"> determined that there should be summary judgment for the Trustee on the ground that there were no reasonable prosects of </w:t>
      </w:r>
      <w:r w:rsidR="00166A77">
        <w:t>Mrs </w:t>
      </w:r>
      <w:proofErr w:type="spellStart"/>
      <w:r w:rsidR="00880A38">
        <w:t>Fokas</w:t>
      </w:r>
      <w:proofErr w:type="spellEnd"/>
      <w:r w:rsidR="00880A38">
        <w:t xml:space="preserve"> successfully prosecuting the proceeding.</w:t>
      </w:r>
      <w:r w:rsidR="00E75EAF">
        <w:t xml:space="preserve"> </w:t>
      </w:r>
      <w:r w:rsidR="00A34A5B">
        <w:t>I find that t</w:t>
      </w:r>
      <w:r w:rsidR="00E75EAF">
        <w:t xml:space="preserve">he proceeding as a whole was instituted and pursued </w:t>
      </w:r>
      <w:r w:rsidR="003A6466">
        <w:t xml:space="preserve">by </w:t>
      </w:r>
      <w:r w:rsidR="00166A77">
        <w:t>Mrs </w:t>
      </w:r>
      <w:proofErr w:type="spellStart"/>
      <w:r w:rsidR="003A6466">
        <w:t>Fokas</w:t>
      </w:r>
      <w:proofErr w:type="spellEnd"/>
      <w:r w:rsidR="003A6466">
        <w:t xml:space="preserve"> </w:t>
      </w:r>
      <w:r w:rsidR="00E75EAF">
        <w:t>without reasonable ground</w:t>
      </w:r>
      <w:r w:rsidR="003C06E2">
        <w:t>s</w:t>
      </w:r>
      <w:r w:rsidR="00A34A5B">
        <w:t>, and was premised on</w:t>
      </w:r>
      <w:r w:rsidR="0058062E">
        <w:t xml:space="preserve"> unmeritorious arguments by</w:t>
      </w:r>
      <w:r w:rsidR="00A34A5B">
        <w:t xml:space="preserve"> </w:t>
      </w:r>
      <w:r w:rsidR="00166A77">
        <w:t>Mrs </w:t>
      </w:r>
      <w:proofErr w:type="spellStart"/>
      <w:r w:rsidR="00A34A5B">
        <w:t>Fokas</w:t>
      </w:r>
      <w:proofErr w:type="spellEnd"/>
      <w:r w:rsidR="00A34A5B">
        <w:t xml:space="preserve"> </w:t>
      </w:r>
      <w:r w:rsidR="0058062E">
        <w:t xml:space="preserve">directed to the validity of </w:t>
      </w:r>
      <w:r w:rsidR="00864033">
        <w:t>the</w:t>
      </w:r>
      <w:r w:rsidR="003C06E2">
        <w:t xml:space="preserve"> </w:t>
      </w:r>
      <w:r w:rsidR="00A34A5B">
        <w:t>seque</w:t>
      </w:r>
      <w:r w:rsidR="00241F04">
        <w:t xml:space="preserve">stration order made against her estate. </w:t>
      </w:r>
      <w:r w:rsidR="00166A77">
        <w:t>Mrs </w:t>
      </w:r>
      <w:proofErr w:type="spellStart"/>
      <w:r w:rsidR="0066350C">
        <w:t>Fokas’</w:t>
      </w:r>
      <w:r w:rsidR="00122427">
        <w:t>s</w:t>
      </w:r>
      <w:proofErr w:type="spellEnd"/>
      <w:r w:rsidR="0066350C">
        <w:t xml:space="preserve"> conduct of the proceeding </w:t>
      </w:r>
      <w:r w:rsidR="00C4640C">
        <w:t>involved</w:t>
      </w:r>
      <w:r w:rsidR="0066350C">
        <w:t xml:space="preserve"> taking steps without reasonable cause</w:t>
      </w:r>
      <w:r w:rsidR="00C4640C">
        <w:t>. Those steps included –</w:t>
      </w:r>
    </w:p>
    <w:p w14:paraId="7B02B9B1" w14:textId="29E1C705" w:rsidR="00C4640C" w:rsidRDefault="00C4640C" w:rsidP="009B3D0A">
      <w:pPr>
        <w:pStyle w:val="FCBullets"/>
      </w:pPr>
      <w:r>
        <w:t xml:space="preserve">the service of notices under s 78B of the </w:t>
      </w:r>
      <w:r w:rsidRPr="003A6466">
        <w:rPr>
          <w:i/>
        </w:rPr>
        <w:t xml:space="preserve">Judiciary </w:t>
      </w:r>
      <w:r w:rsidRPr="00247576">
        <w:rPr>
          <w:i/>
        </w:rPr>
        <w:t>Act</w:t>
      </w:r>
      <w:r>
        <w:t>;</w:t>
      </w:r>
      <w:r w:rsidR="0003057E">
        <w:t xml:space="preserve"> </w:t>
      </w:r>
      <w:r w:rsidR="00772594">
        <w:t>and</w:t>
      </w:r>
    </w:p>
    <w:p w14:paraId="51C36FE6" w14:textId="0D5EE406" w:rsidR="003A6466" w:rsidRDefault="00C4640C" w:rsidP="009B3D0A">
      <w:pPr>
        <w:pStyle w:val="FCBullets"/>
      </w:pPr>
      <w:proofErr w:type="gramStart"/>
      <w:r>
        <w:t>an</w:t>
      </w:r>
      <w:proofErr w:type="gramEnd"/>
      <w:r>
        <w:t xml:space="preserve"> application to remove the proceeding to the High Court</w:t>
      </w:r>
      <w:r w:rsidR="00772594">
        <w:t>.</w:t>
      </w:r>
    </w:p>
    <w:p w14:paraId="47528D10" w14:textId="0325A8E4" w:rsidR="00A94608" w:rsidRPr="0087596E" w:rsidRDefault="00A94608" w:rsidP="0032038B">
      <w:pPr>
        <w:pStyle w:val="ListNo1"/>
        <w:numPr>
          <w:ilvl w:val="0"/>
          <w:numId w:val="30"/>
        </w:numPr>
      </w:pPr>
      <w:r w:rsidRPr="0087596E">
        <w:t>This application</w:t>
      </w:r>
      <w:r w:rsidR="00C0769E">
        <w:t>.</w:t>
      </w:r>
    </w:p>
    <w:p w14:paraId="5171C215" w14:textId="29FE36A6" w:rsidR="00A94608" w:rsidRPr="00EE6014" w:rsidRDefault="00A94608" w:rsidP="009B3D0A">
      <w:pPr>
        <w:pStyle w:val="ParaNumbering"/>
      </w:pPr>
      <w:r w:rsidRPr="00EE6014">
        <w:t>For the reasons I have given at [</w:t>
      </w:r>
      <w:r w:rsidR="0087596E">
        <w:fldChar w:fldCharType="begin"/>
      </w:r>
      <w:r w:rsidR="0087596E">
        <w:instrText xml:space="preserve"> REF _Ref31108802 \r \h </w:instrText>
      </w:r>
      <w:r w:rsidR="0087596E">
        <w:fldChar w:fldCharType="separate"/>
      </w:r>
      <w:r w:rsidR="00AD0A4F">
        <w:t>28</w:t>
      </w:r>
      <w:r w:rsidR="0087596E">
        <w:fldChar w:fldCharType="end"/>
      </w:r>
      <w:r w:rsidRPr="00EE6014">
        <w:t>]</w:t>
      </w:r>
      <w:r w:rsidR="0087596E">
        <w:t xml:space="preserve"> to [</w:t>
      </w:r>
      <w:r w:rsidR="0087596E">
        <w:fldChar w:fldCharType="begin"/>
      </w:r>
      <w:r w:rsidR="0087596E">
        <w:instrText xml:space="preserve"> REF _Ref30339084 \r \h </w:instrText>
      </w:r>
      <w:r w:rsidR="0087596E">
        <w:fldChar w:fldCharType="separate"/>
      </w:r>
      <w:r w:rsidR="00AD0A4F">
        <w:t>35</w:t>
      </w:r>
      <w:r w:rsidR="0087596E">
        <w:fldChar w:fldCharType="end"/>
      </w:r>
      <w:r w:rsidR="0087596E">
        <w:t>] above</w:t>
      </w:r>
      <w:r w:rsidRPr="00EE6014">
        <w:t xml:space="preserve">, the interlocutory applications that Mrs </w:t>
      </w:r>
      <w:proofErr w:type="spellStart"/>
      <w:r w:rsidRPr="00EE6014">
        <w:t>Fokas</w:t>
      </w:r>
      <w:proofErr w:type="spellEnd"/>
      <w:r w:rsidRPr="00EE6014">
        <w:t xml:space="preserve"> made in this proceeding, and which I shall dismiss, are to be characterised as </w:t>
      </w:r>
      <w:r w:rsidR="00C668A3" w:rsidRPr="00EE6014">
        <w:t>vexatious</w:t>
      </w:r>
      <w:r w:rsidRPr="00EE6014">
        <w:t>.</w:t>
      </w:r>
    </w:p>
    <w:p w14:paraId="60722E65" w14:textId="09F488A3" w:rsidR="009B3575" w:rsidRDefault="009B3575" w:rsidP="0032038B">
      <w:pPr>
        <w:pStyle w:val="ListNo1"/>
        <w:numPr>
          <w:ilvl w:val="0"/>
          <w:numId w:val="30"/>
        </w:numPr>
      </w:pPr>
      <w:proofErr w:type="spellStart"/>
      <w:r w:rsidRPr="00247576">
        <w:rPr>
          <w:i/>
        </w:rPr>
        <w:t>Fokas</w:t>
      </w:r>
      <w:proofErr w:type="spellEnd"/>
      <w:r w:rsidRPr="00247576">
        <w:rPr>
          <w:i/>
        </w:rPr>
        <w:t xml:space="preserve"> v Stack</w:t>
      </w:r>
      <w:r>
        <w:t xml:space="preserve"> </w:t>
      </w:r>
      <w:r w:rsidRPr="00325017">
        <w:t>[2010] NSWSC 571</w:t>
      </w:r>
      <w:r w:rsidR="008976DC">
        <w:t>.</w:t>
      </w:r>
    </w:p>
    <w:p w14:paraId="009CF8B3" w14:textId="0AAC2447" w:rsidR="008B370D" w:rsidRDefault="008B370D" w:rsidP="00315674">
      <w:pPr>
        <w:pStyle w:val="ParaNumbering"/>
      </w:pPr>
      <w:r>
        <w:t xml:space="preserve">I have also examined the reasons of Fullerton J in </w:t>
      </w:r>
      <w:proofErr w:type="spellStart"/>
      <w:r w:rsidRPr="008B370D">
        <w:rPr>
          <w:i/>
        </w:rPr>
        <w:t>Fokas</w:t>
      </w:r>
      <w:proofErr w:type="spellEnd"/>
      <w:r w:rsidRPr="008B370D">
        <w:rPr>
          <w:i/>
        </w:rPr>
        <w:t xml:space="preserve"> v Stack</w:t>
      </w:r>
      <w:r>
        <w:t xml:space="preserve"> [2010] NSWSC 571</w:t>
      </w:r>
      <w:r w:rsidR="00DB28B8">
        <w:t xml:space="preserve">, but I do not </w:t>
      </w:r>
      <w:r w:rsidR="00D540AE">
        <w:t xml:space="preserve">take </w:t>
      </w:r>
      <w:r w:rsidR="00DB28B8">
        <w:t>them</w:t>
      </w:r>
      <w:r w:rsidR="00D540AE">
        <w:t xml:space="preserve"> into account</w:t>
      </w:r>
      <w:r w:rsidR="00DB28B8">
        <w:t xml:space="preserve">, as they do not record any substantive finding in </w:t>
      </w:r>
      <w:proofErr w:type="spellStart"/>
      <w:r w:rsidR="00315674" w:rsidRPr="00315674">
        <w:rPr>
          <w:i/>
        </w:rPr>
        <w:t>Fokas</w:t>
      </w:r>
      <w:proofErr w:type="spellEnd"/>
      <w:r w:rsidR="00315674" w:rsidRPr="00315674">
        <w:rPr>
          <w:i/>
        </w:rPr>
        <w:t xml:space="preserve"> v Stack</w:t>
      </w:r>
      <w:r w:rsidR="00315674">
        <w:t xml:space="preserve"> itself, </w:t>
      </w:r>
      <w:r w:rsidR="00315674">
        <w:lastRenderedPageBreak/>
        <w:t xml:space="preserve">other than the decision to make a vexatious proceedings order. </w:t>
      </w:r>
      <w:r w:rsidR="00991585">
        <w:t xml:space="preserve">I record the following by way of background only. </w:t>
      </w:r>
      <w:r>
        <w:t xml:space="preserve">Fullerton J set out in a schedule to her </w:t>
      </w:r>
      <w:r w:rsidR="0082704E">
        <w:t xml:space="preserve">Honour’s </w:t>
      </w:r>
      <w:r>
        <w:t xml:space="preserve">reasons for judgment </w:t>
      </w:r>
      <w:r w:rsidR="00166A77">
        <w:t>14 </w:t>
      </w:r>
      <w:r>
        <w:t>proceedings in which Mrs </w:t>
      </w:r>
      <w:proofErr w:type="spellStart"/>
      <w:r>
        <w:t>Fokas</w:t>
      </w:r>
      <w:proofErr w:type="spellEnd"/>
      <w:r>
        <w:t xml:space="preserve"> had been unsuccessful as a plaintiff, or as an applicant. </w:t>
      </w:r>
      <w:r w:rsidR="00166A77">
        <w:t>Mrs </w:t>
      </w:r>
      <w:proofErr w:type="spellStart"/>
      <w:r w:rsidR="00794093">
        <w:t>Fokas</w:t>
      </w:r>
      <w:proofErr w:type="spellEnd"/>
      <w:r w:rsidR="00794093">
        <w:t xml:space="preserve"> had commenced t</w:t>
      </w:r>
      <w:r>
        <w:t xml:space="preserve">hree sets of proceedings against </w:t>
      </w:r>
      <w:r w:rsidR="00B61D68">
        <w:t xml:space="preserve">a number </w:t>
      </w:r>
      <w:r>
        <w:t>of the defendants in the District Court of New South Wales between October 2007 and May 2009. Fullerton J stated at [12] that by October 2009 each of those proceedings was dismissed either as a result of a persistent or continuing failure on the part of Mrs </w:t>
      </w:r>
      <w:proofErr w:type="spellStart"/>
      <w:r>
        <w:t>Fokas</w:t>
      </w:r>
      <w:proofErr w:type="spellEnd"/>
      <w:r>
        <w:t xml:space="preserve"> to comply with the </w:t>
      </w:r>
      <w:r>
        <w:rPr>
          <w:i/>
        </w:rPr>
        <w:t>Uniform Civil Procedure Rules</w:t>
      </w:r>
      <w:r>
        <w:t xml:space="preserve"> under the Court’s direction</w:t>
      </w:r>
      <w:r w:rsidR="0082704E">
        <w:t>,</w:t>
      </w:r>
      <w:r>
        <w:t xml:space="preserve"> or because it was ultimately determined to be “frivolous, vexatious and without a reasonable basis”. Fullerton J continued –</w:t>
      </w:r>
    </w:p>
    <w:p w14:paraId="20FD8A46" w14:textId="77777777" w:rsidR="008B370D" w:rsidRDefault="008B370D" w:rsidP="00794093">
      <w:pPr>
        <w:pStyle w:val="Quote1"/>
      </w:pPr>
      <w:r>
        <w:t>In respect of instituting and pursuing each proceeding the plaintiff’s conduct is demonstrative of a pattern of conduct where she persistently filed motions that were either incompetent or designed to challenge or seek leave to have set aside interlocutory decisions that issued for the orderly preparation and conduct of the proceedings.</w:t>
      </w:r>
    </w:p>
    <w:p w14:paraId="39AE6F74" w14:textId="76CD59F2" w:rsidR="008B370D" w:rsidRDefault="008B370D" w:rsidP="00C66963">
      <w:pPr>
        <w:pStyle w:val="ParaNumbering"/>
      </w:pPr>
      <w:r>
        <w:t>Fullerton J set out under [13] a table containing a chronology of the course of proceedings in the District Court</w:t>
      </w:r>
      <w:r w:rsidR="00727860">
        <w:t xml:space="preserve">, and </w:t>
      </w:r>
      <w:r>
        <w:t>concluded at [14] –</w:t>
      </w:r>
    </w:p>
    <w:p w14:paraId="73F69A2E" w14:textId="12824471" w:rsidR="008B370D" w:rsidRDefault="008B370D" w:rsidP="00794093">
      <w:pPr>
        <w:pStyle w:val="Quote1"/>
      </w:pPr>
      <w:r>
        <w:t>On the evidence tendered before me I am satisfied that the plaintiff has frequently instituted vexatious proceedings (in particular against each of the defendants in the District Court and more recently in this Court) such as to justify the orders sought by them.</w:t>
      </w:r>
    </w:p>
    <w:p w14:paraId="4F84958E" w14:textId="77777777" w:rsidR="00735610" w:rsidRDefault="00735610" w:rsidP="00735610">
      <w:pPr>
        <w:pStyle w:val="Heading2"/>
      </w:pPr>
      <w:r>
        <w:t>Conclusions</w:t>
      </w:r>
    </w:p>
    <w:p w14:paraId="375229BA" w14:textId="14DC8631" w:rsidR="00420091" w:rsidRDefault="00C66963" w:rsidP="004B4FF0">
      <w:pPr>
        <w:pStyle w:val="ParaNumbering"/>
      </w:pPr>
      <w:r>
        <w:t xml:space="preserve">The proceedings that </w:t>
      </w:r>
      <w:r w:rsidR="0042475A">
        <w:t>Mrs </w:t>
      </w:r>
      <w:proofErr w:type="spellStart"/>
      <w:r>
        <w:t>Fokas</w:t>
      </w:r>
      <w:proofErr w:type="spellEnd"/>
      <w:r>
        <w:t xml:space="preserve"> has instituted or pursued and which I find are to be characterised as vexatious for the purposes of </w:t>
      </w:r>
      <w:r w:rsidR="008459D6">
        <w:t xml:space="preserve">s 37AO(1) of the </w:t>
      </w:r>
      <w:r w:rsidR="008459D6" w:rsidRPr="00EA3279">
        <w:rPr>
          <w:i/>
        </w:rPr>
        <w:t>Federal Court of Australia Act</w:t>
      </w:r>
      <w:r w:rsidR="008459D6">
        <w:t xml:space="preserve"> fall into two categories: (1) the various proceedings in the Land and Environment Court that were </w:t>
      </w:r>
      <w:r w:rsidR="00EC1791">
        <w:t>dismissed; and (2) the proceedings in the Supreme Court of New South Wales and this proceeding</w:t>
      </w:r>
      <w:r w:rsidR="000430C3">
        <w:t>,</w:t>
      </w:r>
      <w:r w:rsidR="00EC1791">
        <w:t xml:space="preserve"> by which </w:t>
      </w:r>
      <w:r w:rsidR="0042475A">
        <w:t>Mrs </w:t>
      </w:r>
      <w:proofErr w:type="spellStart"/>
      <w:r w:rsidR="00EC1791">
        <w:t>Fokas</w:t>
      </w:r>
      <w:proofErr w:type="spellEnd"/>
      <w:r w:rsidR="00EC1791">
        <w:t xml:space="preserve"> has challenged the Trustee’s title to her </w:t>
      </w:r>
      <w:r w:rsidR="00980C9D">
        <w:t xml:space="preserve">former </w:t>
      </w:r>
      <w:r w:rsidR="001D5B9A">
        <w:t xml:space="preserve">residential </w:t>
      </w:r>
      <w:r w:rsidR="00EC1791">
        <w:t xml:space="preserve">property, and by which she </w:t>
      </w:r>
      <w:r w:rsidR="00BD6828">
        <w:t xml:space="preserve">has </w:t>
      </w:r>
      <w:r w:rsidR="00D701C8">
        <w:t xml:space="preserve">challenged the validity of the sequestration order made on </w:t>
      </w:r>
      <w:r w:rsidR="0042475A">
        <w:t>1 </w:t>
      </w:r>
      <w:r w:rsidR="00D701C8">
        <w:t>November 2012</w:t>
      </w:r>
      <w:r w:rsidR="00DF1A3E">
        <w:t>. The proceedings are factually linked, because the Kogarah Council</w:t>
      </w:r>
      <w:r w:rsidR="003C06E2">
        <w:t>,</w:t>
      </w:r>
      <w:r w:rsidR="00DF1A3E">
        <w:t xml:space="preserve"> which was a party to the proceedings in the Land and Environment Court was the petitioning creditor</w:t>
      </w:r>
      <w:r w:rsidR="000A28A1">
        <w:t xml:space="preserve"> in the proceeding in the Federal Magistrates Court, and the bankruptcy notice was founded upon judgments obtained by the Council in respect of costs orders made against </w:t>
      </w:r>
      <w:r w:rsidR="00D64B43">
        <w:t>Mrs </w:t>
      </w:r>
      <w:proofErr w:type="spellStart"/>
      <w:r w:rsidR="000A28A1">
        <w:t>Fokas</w:t>
      </w:r>
      <w:proofErr w:type="spellEnd"/>
      <w:r w:rsidR="000A28A1">
        <w:t>.</w:t>
      </w:r>
      <w:r w:rsidR="005951C6">
        <w:t xml:space="preserve"> There are other links, including </w:t>
      </w:r>
      <w:r w:rsidR="00D64B43">
        <w:t>Mrs </w:t>
      </w:r>
      <w:proofErr w:type="spellStart"/>
      <w:r w:rsidR="005951C6">
        <w:t>Fokas’</w:t>
      </w:r>
      <w:r w:rsidR="00122427">
        <w:t>s</w:t>
      </w:r>
      <w:proofErr w:type="spellEnd"/>
      <w:r w:rsidR="005951C6">
        <w:t xml:space="preserve"> denial that she was liable for </w:t>
      </w:r>
      <w:r w:rsidR="00E0771C">
        <w:t xml:space="preserve">the Council’s </w:t>
      </w:r>
      <w:r w:rsidR="005951C6">
        <w:t>costs</w:t>
      </w:r>
      <w:r w:rsidR="00E0771C">
        <w:t xml:space="preserve">. </w:t>
      </w:r>
      <w:r w:rsidR="00420091" w:rsidRPr="00420091">
        <w:t xml:space="preserve">In </w:t>
      </w:r>
      <w:r w:rsidR="00420091">
        <w:t xml:space="preserve">evaluating whether </w:t>
      </w:r>
      <w:r w:rsidR="00D64B43">
        <w:t>Mrs </w:t>
      </w:r>
      <w:proofErr w:type="spellStart"/>
      <w:r w:rsidR="00420091">
        <w:t>Fokas</w:t>
      </w:r>
      <w:proofErr w:type="spellEnd"/>
      <w:r w:rsidR="00420091">
        <w:t xml:space="preserve"> ha</w:t>
      </w:r>
      <w:r w:rsidR="00362581">
        <w:t>s</w:t>
      </w:r>
      <w:r w:rsidR="00420091">
        <w:t xml:space="preserve"> instituted and conducted</w:t>
      </w:r>
      <w:r w:rsidR="00420091" w:rsidRPr="00420091">
        <w:t xml:space="preserve"> </w:t>
      </w:r>
      <w:r w:rsidR="00EA3279">
        <w:t xml:space="preserve">vexatious </w:t>
      </w:r>
      <w:r w:rsidR="00420091" w:rsidRPr="00420091">
        <w:t>proceedings frequently, I have had regard to the connection</w:t>
      </w:r>
      <w:r w:rsidR="00EA3279">
        <w:t>s</w:t>
      </w:r>
      <w:r w:rsidR="00420091" w:rsidRPr="00420091">
        <w:t xml:space="preserve"> between the proceedings.</w:t>
      </w:r>
    </w:p>
    <w:p w14:paraId="2A195B6F" w14:textId="7E559D97" w:rsidR="000147F1" w:rsidRDefault="00D64B43" w:rsidP="00C66963">
      <w:pPr>
        <w:pStyle w:val="ParaNumbering"/>
      </w:pPr>
      <w:r>
        <w:lastRenderedPageBreak/>
        <w:t>Mrs </w:t>
      </w:r>
      <w:proofErr w:type="spellStart"/>
      <w:r w:rsidR="00752B71">
        <w:t>Fokas</w:t>
      </w:r>
      <w:proofErr w:type="spellEnd"/>
      <w:r w:rsidR="00752B71">
        <w:t xml:space="preserve"> has </w:t>
      </w:r>
      <w:r w:rsidR="00E0771C">
        <w:t xml:space="preserve">developed </w:t>
      </w:r>
      <w:r w:rsidR="00752B71">
        <w:t xml:space="preserve">a </w:t>
      </w:r>
      <w:r w:rsidR="00E0771C">
        <w:t xml:space="preserve">pattern of behaviour by which she </w:t>
      </w:r>
      <w:r w:rsidR="006462E8">
        <w:t xml:space="preserve">does not </w:t>
      </w:r>
      <w:r w:rsidR="00346ACF">
        <w:t>accept</w:t>
      </w:r>
      <w:r w:rsidR="006462E8">
        <w:t xml:space="preserve"> the va</w:t>
      </w:r>
      <w:r w:rsidR="00346ACF">
        <w:t>lidity of</w:t>
      </w:r>
      <w:r w:rsidR="006462E8">
        <w:t xml:space="preserve"> orders that have been made against her, whether they be those in the Land and Environment Court, the Federal Magistrates Court, the Supreme Court of New South Wales, or this Court.</w:t>
      </w:r>
      <w:r w:rsidR="00346ACF">
        <w:t xml:space="preserve"> Her challenges </w:t>
      </w:r>
      <w:r w:rsidR="00487F1B">
        <w:t xml:space="preserve">in this Court </w:t>
      </w:r>
      <w:r w:rsidR="00346ACF">
        <w:t>have been accompanied by highly</w:t>
      </w:r>
      <w:r w:rsidR="005830AF">
        <w:t xml:space="preserve"> creative</w:t>
      </w:r>
      <w:r w:rsidR="00346ACF">
        <w:t xml:space="preserve"> but extravagant arguments</w:t>
      </w:r>
      <w:r w:rsidR="005830AF">
        <w:t xml:space="preserve"> that had no reasonable prospect</w:t>
      </w:r>
      <w:r w:rsidR="00752B71">
        <w:t>s</w:t>
      </w:r>
      <w:r w:rsidR="005830AF">
        <w:t xml:space="preserve"> of success.</w:t>
      </w:r>
      <w:r w:rsidR="000147F1">
        <w:t xml:space="preserve"> One can observe these features in </w:t>
      </w:r>
      <w:r w:rsidR="00660522">
        <w:t>Mrs </w:t>
      </w:r>
      <w:proofErr w:type="spellStart"/>
      <w:r w:rsidR="000147F1">
        <w:t>Fokas’</w:t>
      </w:r>
      <w:r w:rsidR="00122427">
        <w:t>s</w:t>
      </w:r>
      <w:proofErr w:type="spellEnd"/>
      <w:r w:rsidR="000147F1">
        <w:t xml:space="preserve"> most recent </w:t>
      </w:r>
      <w:r w:rsidR="002752CE">
        <w:t xml:space="preserve">interlocutory </w:t>
      </w:r>
      <w:r w:rsidR="000147F1">
        <w:t xml:space="preserve">application, namely the proposed minutes of orders </w:t>
      </w:r>
      <w:r w:rsidR="0010140E">
        <w:t xml:space="preserve">of </w:t>
      </w:r>
      <w:r>
        <w:t>16 </w:t>
      </w:r>
      <w:r w:rsidR="0010140E">
        <w:t>December 2019</w:t>
      </w:r>
      <w:r w:rsidR="003C06E2">
        <w:t>,</w:t>
      </w:r>
      <w:r w:rsidR="0010140E">
        <w:t xml:space="preserve"> </w:t>
      </w:r>
      <w:r w:rsidR="00752B71">
        <w:t>which I set out at [</w:t>
      </w:r>
      <w:r w:rsidR="00285DDD">
        <w:fldChar w:fldCharType="begin"/>
      </w:r>
      <w:r w:rsidR="00285DDD">
        <w:instrText xml:space="preserve"> REF _Ref27984737 \r \h </w:instrText>
      </w:r>
      <w:r w:rsidR="00285DDD">
        <w:fldChar w:fldCharType="separate"/>
      </w:r>
      <w:r w:rsidR="00AD0A4F">
        <w:t>12</w:t>
      </w:r>
      <w:r w:rsidR="00285DDD">
        <w:fldChar w:fldCharType="end"/>
      </w:r>
      <w:r w:rsidR="00752B71">
        <w:t>] above.</w:t>
      </w:r>
    </w:p>
    <w:p w14:paraId="60A8BB24" w14:textId="47CBCCDB" w:rsidR="00152151" w:rsidRDefault="00B41135" w:rsidP="0025730A">
      <w:pPr>
        <w:pStyle w:val="ParaNumbering"/>
      </w:pPr>
      <w:r>
        <w:t xml:space="preserve">For the above reasons, </w:t>
      </w:r>
      <w:r w:rsidR="00152151">
        <w:t xml:space="preserve">I am satisfied that </w:t>
      </w:r>
      <w:r w:rsidR="00D64B43">
        <w:t>Mrs </w:t>
      </w:r>
      <w:proofErr w:type="spellStart"/>
      <w:r w:rsidR="00152151">
        <w:t>Fokas</w:t>
      </w:r>
      <w:proofErr w:type="spellEnd"/>
      <w:r w:rsidR="00152151">
        <w:t xml:space="preserve"> has frequently instituted or conducted vexatious proceedings in Australian courts or tribunals. </w:t>
      </w:r>
      <w:r w:rsidR="00831448">
        <w:t xml:space="preserve">I am also satisfied that the Court should make a vexatious proceedings order against </w:t>
      </w:r>
      <w:r w:rsidR="00D64B43">
        <w:t>Mrs </w:t>
      </w:r>
      <w:proofErr w:type="spellStart"/>
      <w:r w:rsidR="00831448">
        <w:t>Fokas</w:t>
      </w:r>
      <w:proofErr w:type="spellEnd"/>
      <w:r w:rsidR="002F498B">
        <w:t xml:space="preserve"> that preclude</w:t>
      </w:r>
      <w:r w:rsidR="00F359DA">
        <w:t>s</w:t>
      </w:r>
      <w:r w:rsidR="002F498B">
        <w:t xml:space="preserve"> her from commencing any proceeding in this Court without leave. I am mindful that such an order would preclude any appeal without leave: </w:t>
      </w:r>
      <w:r w:rsidR="002F498B" w:rsidRPr="006D2679">
        <w:rPr>
          <w:i/>
        </w:rPr>
        <w:t>Fuller v Toms</w:t>
      </w:r>
      <w:r w:rsidR="00067F11" w:rsidRPr="006D2679">
        <w:rPr>
          <w:i/>
        </w:rPr>
        <w:t xml:space="preserve"> </w:t>
      </w:r>
      <w:r w:rsidR="00067F11" w:rsidRPr="00067F11">
        <w:t>[2015] FCAFC 91; 234 FCR 535</w:t>
      </w:r>
      <w:r w:rsidR="00831448">
        <w:t>.</w:t>
      </w:r>
      <w:r w:rsidR="00755CE5">
        <w:t xml:space="preserve"> </w:t>
      </w:r>
      <w:r w:rsidR="00EC6486">
        <w:t>A vexatious proceedings</w:t>
      </w:r>
      <w:r w:rsidR="00755CE5">
        <w:t xml:space="preserve"> order is reasonably necessary </w:t>
      </w:r>
      <w:r w:rsidR="004636B5">
        <w:t xml:space="preserve">to give finality to the dispute between </w:t>
      </w:r>
      <w:r w:rsidR="00D64B43">
        <w:t>Mrs </w:t>
      </w:r>
      <w:proofErr w:type="spellStart"/>
      <w:r w:rsidR="004636B5">
        <w:t>Fokas</w:t>
      </w:r>
      <w:proofErr w:type="spellEnd"/>
      <w:r w:rsidR="004636B5">
        <w:t xml:space="preserve"> and the Trustee </w:t>
      </w:r>
      <w:r w:rsidR="00772042">
        <w:t>as to the vali</w:t>
      </w:r>
      <w:r w:rsidR="00EC6486">
        <w:t>dity of the sequestration order</w:t>
      </w:r>
      <w:r w:rsidR="00175857">
        <w:t xml:space="preserve">. </w:t>
      </w:r>
      <w:r w:rsidR="009626EB">
        <w:t>A</w:t>
      </w:r>
      <w:r w:rsidR="009D5B8B">
        <w:t>n order</w:t>
      </w:r>
      <w:r w:rsidR="00175857">
        <w:t xml:space="preserve"> is </w:t>
      </w:r>
      <w:r w:rsidR="009626EB">
        <w:t xml:space="preserve">also </w:t>
      </w:r>
      <w:r w:rsidR="00175857">
        <w:t>reasonably necessary</w:t>
      </w:r>
      <w:r w:rsidR="00EC6486">
        <w:t xml:space="preserve"> </w:t>
      </w:r>
      <w:r w:rsidR="00772042">
        <w:t xml:space="preserve">to </w:t>
      </w:r>
      <w:r w:rsidR="00EC6486">
        <w:t xml:space="preserve">protect </w:t>
      </w:r>
      <w:r w:rsidR="00772042">
        <w:t>Court resources so that they are available to other litigants</w:t>
      </w:r>
      <w:r w:rsidR="00EC6486">
        <w:t xml:space="preserve">. </w:t>
      </w:r>
      <w:r w:rsidR="009D5B8B">
        <w:t>A</w:t>
      </w:r>
      <w:r w:rsidR="009626EB">
        <w:t>nd a</w:t>
      </w:r>
      <w:r w:rsidR="009D5B8B">
        <w:t>n</w:t>
      </w:r>
      <w:r w:rsidR="00EC6486">
        <w:t xml:space="preserve"> order </w:t>
      </w:r>
      <w:r w:rsidR="009D5B8B">
        <w:t>is</w:t>
      </w:r>
      <w:r w:rsidR="00EC6486">
        <w:t xml:space="preserve"> reasonably necessary</w:t>
      </w:r>
      <w:r w:rsidR="00772042">
        <w:t xml:space="preserve"> to </w:t>
      </w:r>
      <w:r w:rsidR="00874DE8">
        <w:t>protect</w:t>
      </w:r>
      <w:r w:rsidR="00EB5587">
        <w:t xml:space="preserve"> </w:t>
      </w:r>
      <w:r w:rsidR="00D64B43">
        <w:t>Mrs </w:t>
      </w:r>
      <w:proofErr w:type="spellStart"/>
      <w:r w:rsidR="00EB5587">
        <w:t>Fokas</w:t>
      </w:r>
      <w:proofErr w:type="spellEnd"/>
      <w:r w:rsidR="00EB5587">
        <w:t xml:space="preserve"> from the consequences of her</w:t>
      </w:r>
      <w:r w:rsidR="00702443">
        <w:t xml:space="preserve"> own</w:t>
      </w:r>
      <w:r w:rsidR="00EB5587">
        <w:t xml:space="preserve"> actions</w:t>
      </w:r>
      <w:r w:rsidR="00874DE8">
        <w:t xml:space="preserve">: </w:t>
      </w:r>
      <w:r w:rsidR="00874DE8" w:rsidRPr="00874DE8">
        <w:t>see,</w:t>
      </w:r>
      <w:r w:rsidR="00874DE8" w:rsidRPr="006D2679">
        <w:rPr>
          <w:i/>
        </w:rPr>
        <w:t xml:space="preserve"> Attorney-General v Reid </w:t>
      </w:r>
      <w:r w:rsidR="00874DE8">
        <w:t xml:space="preserve">[2012] 3 NZLR 630 at </w:t>
      </w:r>
      <w:r w:rsidR="00175857">
        <w:t>[25] (Keane and Woodhouse JJ)</w:t>
      </w:r>
      <w:r w:rsidR="00EB5587">
        <w:t xml:space="preserve">. Mrs </w:t>
      </w:r>
      <w:proofErr w:type="spellStart"/>
      <w:r w:rsidR="00EB5587">
        <w:t>Fokas</w:t>
      </w:r>
      <w:proofErr w:type="spellEnd"/>
      <w:r w:rsidR="00EB5587">
        <w:t xml:space="preserve"> ha</w:t>
      </w:r>
      <w:r w:rsidR="0067045E">
        <w:t xml:space="preserve">s likely incurred </w:t>
      </w:r>
      <w:r w:rsidR="00702443">
        <w:t xml:space="preserve">sizeable </w:t>
      </w:r>
      <w:r w:rsidR="0067045E">
        <w:t>costs and out-of-</w:t>
      </w:r>
      <w:r w:rsidR="00EB5587">
        <w:t>pocket expenses in conducting this and other litigation</w:t>
      </w:r>
      <w:r w:rsidR="003469CE">
        <w:t xml:space="preserve"> against the Trustee</w:t>
      </w:r>
      <w:r w:rsidR="0067045E">
        <w:t xml:space="preserve">. The Trustee’s costs will </w:t>
      </w:r>
      <w:r w:rsidR="00D57873">
        <w:t xml:space="preserve">likely </w:t>
      </w:r>
      <w:r w:rsidR="0067045E">
        <w:t xml:space="preserve">be paid from the funds held in the estate. But this will reduce </w:t>
      </w:r>
      <w:r w:rsidR="00FB4F35">
        <w:t>any</w:t>
      </w:r>
      <w:r w:rsidR="0067045E">
        <w:t xml:space="preserve"> sum to which </w:t>
      </w:r>
      <w:r w:rsidR="00D64B43">
        <w:t>Mrs </w:t>
      </w:r>
      <w:proofErr w:type="spellStart"/>
      <w:r w:rsidR="0067045E">
        <w:t>Fokas</w:t>
      </w:r>
      <w:proofErr w:type="spellEnd"/>
      <w:r w:rsidR="0067045E">
        <w:t xml:space="preserve"> </w:t>
      </w:r>
      <w:r w:rsidR="00FB4F35">
        <w:t>would</w:t>
      </w:r>
      <w:r w:rsidR="0067045E">
        <w:t xml:space="preserve"> be entitled should </w:t>
      </w:r>
      <w:r w:rsidR="009A77F4">
        <w:t>a</w:t>
      </w:r>
      <w:r w:rsidR="00327C74">
        <w:t xml:space="preserve"> surplus of the</w:t>
      </w:r>
      <w:r w:rsidR="0067045E">
        <w:t xml:space="preserve"> estate be distributed</w:t>
      </w:r>
      <w:r w:rsidR="003A3FFE">
        <w:t>.</w:t>
      </w:r>
      <w:r w:rsidR="006D2679">
        <w:t xml:space="preserve"> </w:t>
      </w:r>
      <w:r w:rsidR="002470A2">
        <w:t xml:space="preserve">Distribution has been </w:t>
      </w:r>
      <w:r w:rsidR="00327C74">
        <w:t>hindered</w:t>
      </w:r>
      <w:r w:rsidR="002470A2">
        <w:t xml:space="preserve"> because </w:t>
      </w:r>
      <w:r w:rsidR="00D64B43">
        <w:t>Mrs </w:t>
      </w:r>
      <w:proofErr w:type="spellStart"/>
      <w:r w:rsidR="002470A2">
        <w:t>Fokas</w:t>
      </w:r>
      <w:proofErr w:type="spellEnd"/>
      <w:r w:rsidR="002470A2">
        <w:t xml:space="preserve"> refuses to </w:t>
      </w:r>
      <w:r w:rsidR="00327C74">
        <w:t>sign</w:t>
      </w:r>
      <w:r w:rsidR="002470A2">
        <w:t xml:space="preserve"> a statement of affairs</w:t>
      </w:r>
      <w:r w:rsidR="0023077B">
        <w:t xml:space="preserve"> (see [</w:t>
      </w:r>
      <w:r w:rsidR="000165F6">
        <w:fldChar w:fldCharType="begin"/>
      </w:r>
      <w:r w:rsidR="000165F6">
        <w:instrText xml:space="preserve"> REF _Ref30341883 \r \h </w:instrText>
      </w:r>
      <w:r w:rsidR="000165F6">
        <w:fldChar w:fldCharType="separate"/>
      </w:r>
      <w:r w:rsidR="00AD0A4F">
        <w:t>27</w:t>
      </w:r>
      <w:r w:rsidR="000165F6">
        <w:fldChar w:fldCharType="end"/>
      </w:r>
      <w:r w:rsidR="0023077B">
        <w:t>] above)</w:t>
      </w:r>
      <w:r w:rsidR="002470A2">
        <w:t xml:space="preserve">. Finality might </w:t>
      </w:r>
      <w:r w:rsidR="000409E6">
        <w:t xml:space="preserve">cause </w:t>
      </w:r>
      <w:r w:rsidR="00D64B43">
        <w:t>Mrs </w:t>
      </w:r>
      <w:proofErr w:type="spellStart"/>
      <w:r w:rsidR="000409E6">
        <w:t>Fokas</w:t>
      </w:r>
      <w:proofErr w:type="spellEnd"/>
      <w:r w:rsidR="000409E6">
        <w:t xml:space="preserve"> to turn her attention to whether her interests are best served by signing the statement of affairs, thereby permitting the</w:t>
      </w:r>
      <w:r w:rsidR="004B1180">
        <w:t xml:space="preserve"> administration of her </w:t>
      </w:r>
      <w:r w:rsidR="00EC57B9">
        <w:t>bankrupt estate</w:t>
      </w:r>
      <w:r w:rsidR="000409E6">
        <w:t xml:space="preserve"> to run its course</w:t>
      </w:r>
      <w:r w:rsidR="006E56AB">
        <w:t xml:space="preserve">, which may result </w:t>
      </w:r>
      <w:r w:rsidR="00915853">
        <w:t xml:space="preserve">in </w:t>
      </w:r>
      <w:r w:rsidR="008A6309">
        <w:t xml:space="preserve">payment to </w:t>
      </w:r>
      <w:r w:rsidR="00D64B43">
        <w:t>Mrs </w:t>
      </w:r>
      <w:proofErr w:type="spellStart"/>
      <w:r w:rsidR="008A6309">
        <w:t>Fokas</w:t>
      </w:r>
      <w:proofErr w:type="spellEnd"/>
      <w:r w:rsidR="008A6309">
        <w:t xml:space="preserve"> of the surplus in accordance with the orders of the Federa</w:t>
      </w:r>
      <w:r w:rsidR="003A3FFE">
        <w:t>l</w:t>
      </w:r>
      <w:r w:rsidR="008A6309">
        <w:t xml:space="preserve"> </w:t>
      </w:r>
      <w:r w:rsidR="00CB3560">
        <w:t xml:space="preserve">Circuit </w:t>
      </w:r>
      <w:r w:rsidR="008A6309">
        <w:t xml:space="preserve">Court made </w:t>
      </w:r>
      <w:r w:rsidR="003C06E2">
        <w:t xml:space="preserve">on </w:t>
      </w:r>
      <w:r w:rsidR="002752D5">
        <w:t>24 </w:t>
      </w:r>
      <w:r w:rsidR="008A6309">
        <w:t>January</w:t>
      </w:r>
      <w:r w:rsidR="00915853">
        <w:t> </w:t>
      </w:r>
      <w:r w:rsidR="008A6309">
        <w:t>2019</w:t>
      </w:r>
      <w:r w:rsidR="003A3FFE" w:rsidRPr="003A3FFE">
        <w:t xml:space="preserve">: see, </w:t>
      </w:r>
      <w:r w:rsidR="003A3FFE" w:rsidRPr="006D2679">
        <w:rPr>
          <w:i/>
        </w:rPr>
        <w:t xml:space="preserve">Mansfield as Trustee of the Bankrupt Estate of Maria </w:t>
      </w:r>
      <w:proofErr w:type="spellStart"/>
      <w:r w:rsidR="003A3FFE" w:rsidRPr="006D2679">
        <w:rPr>
          <w:i/>
        </w:rPr>
        <w:t>Fokas</w:t>
      </w:r>
      <w:proofErr w:type="spellEnd"/>
      <w:r w:rsidR="003A3FFE" w:rsidRPr="006D2679">
        <w:rPr>
          <w:i/>
        </w:rPr>
        <w:t xml:space="preserve"> v </w:t>
      </w:r>
      <w:proofErr w:type="spellStart"/>
      <w:r w:rsidR="003A3FFE" w:rsidRPr="006D2679">
        <w:rPr>
          <w:i/>
        </w:rPr>
        <w:t>Fokas</w:t>
      </w:r>
      <w:proofErr w:type="spellEnd"/>
      <w:r w:rsidR="003A3FFE" w:rsidRPr="003A3FFE">
        <w:t xml:space="preserve"> [201</w:t>
      </w:r>
      <w:r w:rsidR="0099264E">
        <w:t>9] FCCA 134</w:t>
      </w:r>
      <w:r w:rsidR="003A3FFE" w:rsidRPr="003A3FFE">
        <w:t>.</w:t>
      </w:r>
    </w:p>
    <w:p w14:paraId="27F01F5B" w14:textId="77777777" w:rsidR="004B1180" w:rsidRDefault="004B1180" w:rsidP="004B1180">
      <w:pPr>
        <w:pStyle w:val="BodyText"/>
      </w:pPr>
      <w:bookmarkStart w:id="47" w:name="Certification"/>
    </w:p>
    <w:tbl>
      <w:tblPr>
        <w:tblW w:w="0" w:type="auto"/>
        <w:tblLook w:val="04A0" w:firstRow="1" w:lastRow="0" w:firstColumn="1" w:lastColumn="0" w:noHBand="0" w:noVBand="1"/>
      </w:tblPr>
      <w:tblGrid>
        <w:gridCol w:w="3794"/>
      </w:tblGrid>
      <w:tr w:rsidR="004B1180" w:rsidRPr="004B1180" w14:paraId="2285700D" w14:textId="77777777">
        <w:tc>
          <w:tcPr>
            <w:tcW w:w="3794" w:type="dxa"/>
            <w:shd w:val="clear" w:color="auto" w:fill="auto"/>
          </w:tcPr>
          <w:p w14:paraId="41EFAB25" w14:textId="652AAEB2" w:rsidR="004B1180" w:rsidRPr="004B1180" w:rsidRDefault="004B1180" w:rsidP="006D2679">
            <w:pPr>
              <w:pStyle w:val="Normal1linespace"/>
            </w:pPr>
            <w:r w:rsidRPr="004B1180">
              <w:t xml:space="preserve">I certify that the preceding </w:t>
            </w:r>
            <w:bookmarkStart w:id="48" w:name="NumberWord"/>
            <w:r>
              <w:t>one hundred and t</w:t>
            </w:r>
            <w:r w:rsidR="006D2679">
              <w:t>wo</w:t>
            </w:r>
            <w:bookmarkEnd w:id="48"/>
            <w:r w:rsidRPr="004B1180">
              <w:t xml:space="preserve"> (</w:t>
            </w:r>
            <w:bookmarkStart w:id="49" w:name="NumberNumeral"/>
            <w:r>
              <w:t>10</w:t>
            </w:r>
            <w:bookmarkEnd w:id="49"/>
            <w:r w:rsidR="006D2679">
              <w:t>2</w:t>
            </w:r>
            <w:r w:rsidRPr="004B1180">
              <w:t xml:space="preserve">) numbered </w:t>
            </w:r>
            <w:bookmarkStart w:id="50" w:name="CertPara"/>
            <w:r>
              <w:t>paragraphs are</w:t>
            </w:r>
            <w:bookmarkEnd w:id="50"/>
            <w:r w:rsidRPr="004B1180">
              <w:t xml:space="preserve"> a true copy of the Reasons for Judgment herein of the Honourable </w:t>
            </w:r>
            <w:bookmarkStart w:id="51" w:name="Justice"/>
            <w:r>
              <w:t xml:space="preserve">Justice </w:t>
            </w:r>
            <w:proofErr w:type="spellStart"/>
            <w:r>
              <w:t>Wheelahan</w:t>
            </w:r>
            <w:bookmarkEnd w:id="51"/>
            <w:proofErr w:type="spellEnd"/>
            <w:r w:rsidRPr="004B1180">
              <w:t>.</w:t>
            </w:r>
          </w:p>
        </w:tc>
      </w:tr>
    </w:tbl>
    <w:p w14:paraId="3EFC7A56" w14:textId="5B56F264" w:rsidR="004B1180" w:rsidRDefault="004B1180" w:rsidP="004B1180">
      <w:pPr>
        <w:pStyle w:val="BodyText"/>
      </w:pPr>
    </w:p>
    <w:p w14:paraId="76EDFFB8" w14:textId="77777777" w:rsidR="004B1180" w:rsidRDefault="004B1180" w:rsidP="004B1180">
      <w:pPr>
        <w:pStyle w:val="BodyText"/>
      </w:pPr>
      <w:r>
        <w:lastRenderedPageBreak/>
        <w:t>Associate:</w:t>
      </w:r>
    </w:p>
    <w:p w14:paraId="237824D1" w14:textId="77777777" w:rsidR="004B1180" w:rsidRDefault="004B1180" w:rsidP="004B1180">
      <w:pPr>
        <w:pStyle w:val="BodyText"/>
      </w:pPr>
    </w:p>
    <w:p w14:paraId="532919DA" w14:textId="2F64D8D4" w:rsidR="004B1180" w:rsidRDefault="004B1180" w:rsidP="004B1180">
      <w:pPr>
        <w:pStyle w:val="BodyText"/>
        <w:tabs>
          <w:tab w:val="left" w:pos="1134"/>
        </w:tabs>
      </w:pPr>
      <w:r>
        <w:t>Dated:</w:t>
      </w:r>
      <w:r>
        <w:tab/>
      </w:r>
      <w:bookmarkStart w:id="52" w:name="CertifyDated"/>
      <w:r>
        <w:t>30 January 2020</w:t>
      </w:r>
      <w:bookmarkEnd w:id="52"/>
    </w:p>
    <w:p w14:paraId="6AD19550" w14:textId="77777777" w:rsidR="004B1180" w:rsidRDefault="004B1180" w:rsidP="004B1180">
      <w:pPr>
        <w:pStyle w:val="BodyText"/>
      </w:pPr>
    </w:p>
    <w:bookmarkEnd w:id="47"/>
    <w:p w14:paraId="09DD92BB" w14:textId="77777777" w:rsidR="004B1180" w:rsidRDefault="004B1180" w:rsidP="004B1180">
      <w:pPr>
        <w:pStyle w:val="BodyText"/>
      </w:pPr>
    </w:p>
    <w:sectPr w:rsidR="004B118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5E73" w14:textId="77777777" w:rsidR="004A59BC" w:rsidRDefault="004A59BC">
      <w:pPr>
        <w:spacing w:line="20" w:lineRule="exact"/>
      </w:pPr>
    </w:p>
    <w:p w14:paraId="5D9A3386" w14:textId="77777777" w:rsidR="004A59BC" w:rsidRDefault="004A59BC"/>
    <w:p w14:paraId="7FB77C09" w14:textId="77777777" w:rsidR="004A59BC" w:rsidRDefault="004A59BC"/>
  </w:endnote>
  <w:endnote w:type="continuationSeparator" w:id="0">
    <w:p w14:paraId="4FCBFFDD" w14:textId="77777777" w:rsidR="004A59BC" w:rsidRDefault="004A59BC">
      <w:r>
        <w:t xml:space="preserve"> </w:t>
      </w:r>
    </w:p>
    <w:p w14:paraId="602390B5" w14:textId="77777777" w:rsidR="004A59BC" w:rsidRDefault="004A59BC"/>
    <w:p w14:paraId="4F735E46" w14:textId="77777777" w:rsidR="004A59BC" w:rsidRDefault="004A59BC"/>
  </w:endnote>
  <w:endnote w:type="continuationNotice" w:id="1">
    <w:p w14:paraId="1900B70B" w14:textId="77777777" w:rsidR="004A59BC" w:rsidRDefault="004A59BC">
      <w:r>
        <w:t xml:space="preserve"> </w:t>
      </w:r>
    </w:p>
    <w:p w14:paraId="4B7AE388" w14:textId="77777777" w:rsidR="004A59BC" w:rsidRDefault="004A59BC"/>
    <w:p w14:paraId="4477BDA2" w14:textId="77777777" w:rsidR="004A59BC" w:rsidRDefault="004A5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4A59BC" w:rsidRDefault="004A59BC">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4A59BC" w:rsidRPr="00624520" w:rsidRDefault="004A59BC"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777777" w:rsidR="004A59BC" w:rsidRDefault="004A59BC"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5DB29" w14:textId="77777777" w:rsidR="004A59BC" w:rsidRDefault="004A59BC"/>
    <w:p w14:paraId="76A59094" w14:textId="77777777" w:rsidR="004A59BC" w:rsidRDefault="004A59BC"/>
    <w:p w14:paraId="48A8720E" w14:textId="77777777" w:rsidR="004A59BC" w:rsidRDefault="004A59BC"/>
  </w:footnote>
  <w:footnote w:type="continuationSeparator" w:id="0">
    <w:p w14:paraId="1D6BC7FB" w14:textId="77777777" w:rsidR="004A59BC" w:rsidRDefault="004A59BC">
      <w:r>
        <w:continuationSeparator/>
      </w:r>
    </w:p>
    <w:p w14:paraId="4AE3A134" w14:textId="77777777" w:rsidR="004A59BC" w:rsidRDefault="004A59BC"/>
    <w:p w14:paraId="19AC3600" w14:textId="77777777" w:rsidR="004A59BC" w:rsidRDefault="004A59BC"/>
  </w:footnote>
  <w:footnote w:type="continuationNotice" w:id="1">
    <w:p w14:paraId="69CC8B2F" w14:textId="77777777" w:rsidR="004A59BC" w:rsidRDefault="004A59B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A455" w14:textId="6FAF9AAD" w:rsidR="004A59BC" w:rsidRDefault="004A59BC">
    <w:pPr>
      <w:tabs>
        <w:tab w:val="center" w:pos="4512"/>
      </w:tabs>
      <w:suppressAutoHyphens/>
    </w:pPr>
    <w:r>
      <w:tab/>
      <w:t xml:space="preserve">- </w:t>
    </w:r>
    <w:r>
      <w:fldChar w:fldCharType="begin"/>
    </w:r>
    <w:r>
      <w:instrText xml:space="preserve"> PAGE   \* MERGEFORMAT </w:instrText>
    </w:r>
    <w:r>
      <w:fldChar w:fldCharType="separate"/>
    </w:r>
    <w:r>
      <w:rPr>
        <w:noProof/>
      </w:rPr>
      <w:t>xxv</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55AD" w14:textId="77777777" w:rsidR="004A59BC" w:rsidRDefault="004A59B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B5D1" w14:textId="77777777" w:rsidR="004A59BC" w:rsidRDefault="004A59B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8254" w14:textId="4EF8E683" w:rsidR="004A59BC" w:rsidRDefault="004A59BC">
    <w:pPr>
      <w:tabs>
        <w:tab w:val="center" w:pos="4512"/>
      </w:tabs>
      <w:suppressAutoHyphens/>
    </w:pPr>
    <w:r>
      <w:tab/>
      <w:t xml:space="preserve">- </w:t>
    </w:r>
    <w:r>
      <w:fldChar w:fldCharType="begin"/>
    </w:r>
    <w:r>
      <w:instrText>page \* arabic</w:instrText>
    </w:r>
    <w:r>
      <w:fldChar w:fldCharType="separate"/>
    </w:r>
    <w:r w:rsidR="00701EBE">
      <w:rPr>
        <w:noProof/>
      </w:rPr>
      <w:t>29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5116" w14:textId="77777777" w:rsidR="004A59BC" w:rsidRDefault="004A59B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decimal"/>
      <w:lvlText w:val="%1."/>
      <w:lvlJc w:val="left"/>
      <w:pPr>
        <w:ind w:left="2079" w:hanging="215"/>
      </w:pPr>
      <w:rPr>
        <w:rFonts w:ascii="Times New Roman" w:hAnsi="Times New Roman" w:cs="Times New Roman"/>
        <w:b w:val="0"/>
        <w:bCs w:val="0"/>
        <w:color w:val="231F20"/>
        <w:w w:val="99"/>
        <w:sz w:val="18"/>
        <w:szCs w:val="18"/>
      </w:rPr>
    </w:lvl>
    <w:lvl w:ilvl="1">
      <w:numFmt w:val="bullet"/>
      <w:lvlText w:val="•"/>
      <w:lvlJc w:val="left"/>
      <w:pPr>
        <w:ind w:left="2726" w:hanging="215"/>
      </w:pPr>
    </w:lvl>
    <w:lvl w:ilvl="2">
      <w:numFmt w:val="bullet"/>
      <w:lvlText w:val="•"/>
      <w:lvlJc w:val="left"/>
      <w:pPr>
        <w:ind w:left="3372" w:hanging="215"/>
      </w:pPr>
    </w:lvl>
    <w:lvl w:ilvl="3">
      <w:numFmt w:val="bullet"/>
      <w:lvlText w:val="•"/>
      <w:lvlJc w:val="left"/>
      <w:pPr>
        <w:ind w:left="4018" w:hanging="215"/>
      </w:pPr>
    </w:lvl>
    <w:lvl w:ilvl="4">
      <w:numFmt w:val="bullet"/>
      <w:lvlText w:val="•"/>
      <w:lvlJc w:val="left"/>
      <w:pPr>
        <w:ind w:left="4664" w:hanging="215"/>
      </w:pPr>
    </w:lvl>
    <w:lvl w:ilvl="5">
      <w:numFmt w:val="bullet"/>
      <w:lvlText w:val="•"/>
      <w:lvlJc w:val="left"/>
      <w:pPr>
        <w:ind w:left="5310" w:hanging="215"/>
      </w:pPr>
    </w:lvl>
    <w:lvl w:ilvl="6">
      <w:numFmt w:val="bullet"/>
      <w:lvlText w:val="•"/>
      <w:lvlJc w:val="left"/>
      <w:pPr>
        <w:ind w:left="5956" w:hanging="215"/>
      </w:pPr>
    </w:lvl>
    <w:lvl w:ilvl="7">
      <w:numFmt w:val="bullet"/>
      <w:lvlText w:val="•"/>
      <w:lvlJc w:val="left"/>
      <w:pPr>
        <w:ind w:left="6602" w:hanging="215"/>
      </w:pPr>
    </w:lvl>
    <w:lvl w:ilvl="8">
      <w:numFmt w:val="bullet"/>
      <w:lvlText w:val="•"/>
      <w:lvlJc w:val="left"/>
      <w:pPr>
        <w:ind w:left="7248" w:hanging="215"/>
      </w:pPr>
    </w:lvl>
  </w:abstractNum>
  <w:abstractNum w:abstractNumId="11" w15:restartNumberingAfterBreak="0">
    <w:nsid w:val="054976A4"/>
    <w:multiLevelType w:val="multilevel"/>
    <w:tmpl w:val="8AC8AABE"/>
    <w:lvl w:ilvl="0">
      <w:start w:val="1"/>
      <w:numFmt w:val="decimal"/>
      <w:pStyle w:val="15"/>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862"/>
        </w:tabs>
        <w:ind w:left="862"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4162ABB"/>
    <w:multiLevelType w:val="multilevel"/>
    <w:tmpl w:val="5D1EA946"/>
    <w:lvl w:ilvl="0">
      <w:start w:val="1"/>
      <w:numFmt w:val="decimal"/>
      <w:pStyle w:val="Normal-15withspacing"/>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1"/>
        </w:tabs>
        <w:ind w:left="4321" w:hanging="721"/>
      </w:pPr>
      <w:rPr>
        <w:rFonts w:hint="default"/>
      </w:rPr>
    </w:lvl>
    <w:lvl w:ilvl="6">
      <w:start w:val="1"/>
      <w:numFmt w:val="lowerRoman"/>
      <w:lvlText w:val=".%7"/>
      <w:lvlJc w:val="left"/>
      <w:pPr>
        <w:tabs>
          <w:tab w:val="num" w:pos="5041"/>
        </w:tabs>
        <w:ind w:left="5041" w:hanging="720"/>
      </w:pPr>
      <w:rPr>
        <w:rFonts w:hint="default"/>
      </w:rPr>
    </w:lvl>
    <w:lvl w:ilvl="7">
      <w:start w:val="1"/>
      <w:numFmt w:val="upperLetter"/>
      <w:lvlText w:val=".%8"/>
      <w:lvlJc w:val="left"/>
      <w:pPr>
        <w:tabs>
          <w:tab w:val="num" w:pos="5761"/>
        </w:tabs>
        <w:ind w:left="5761" w:hanging="720"/>
      </w:pPr>
      <w:rPr>
        <w:rFonts w:hint="default"/>
      </w:rPr>
    </w:lvl>
    <w:lvl w:ilvl="8">
      <w:start w:val="1"/>
      <w:numFmt w:val="bullet"/>
      <w:lvlText w:val=""/>
      <w:lvlJc w:val="left"/>
      <w:pPr>
        <w:tabs>
          <w:tab w:val="num" w:pos="6481"/>
        </w:tabs>
        <w:ind w:left="6481" w:hanging="720"/>
      </w:pPr>
      <w:rPr>
        <w:rFonts w:ascii="Symbol" w:hAnsi="Symbol" w:hint="default"/>
      </w:rPr>
    </w:lvl>
  </w:abstractNum>
  <w:abstractNum w:abstractNumId="16" w15:restartNumberingAfterBreak="0">
    <w:nsid w:val="29AE3DD1"/>
    <w:multiLevelType w:val="singleLevel"/>
    <w:tmpl w:val="54C81540"/>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7"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0C946D3"/>
    <w:multiLevelType w:val="hybridMultilevel"/>
    <w:tmpl w:val="2F46ECE6"/>
    <w:lvl w:ilvl="0" w:tplc="7C7C01D8">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15:restartNumberingAfterBreak="0">
    <w:nsid w:val="317A6293"/>
    <w:multiLevelType w:val="hybridMultilevel"/>
    <w:tmpl w:val="92542652"/>
    <w:lvl w:ilvl="0" w:tplc="4DE81A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BB9586C"/>
    <w:multiLevelType w:val="hybridMultilevel"/>
    <w:tmpl w:val="8A44FA5C"/>
    <w:lvl w:ilvl="0" w:tplc="D294375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005949"/>
    <w:multiLevelType w:val="hybridMultilevel"/>
    <w:tmpl w:val="64604066"/>
    <w:lvl w:ilvl="0" w:tplc="7B38B40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45CD12DF"/>
    <w:multiLevelType w:val="hybridMultilevel"/>
    <w:tmpl w:val="A478FBB2"/>
    <w:lvl w:ilvl="0" w:tplc="4DE81A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D315F3"/>
    <w:multiLevelType w:val="hybridMultilevel"/>
    <w:tmpl w:val="4FCE0C94"/>
    <w:lvl w:ilvl="0" w:tplc="5D388E08">
      <w:start w:val="1"/>
      <w:numFmt w:val="upp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494817A7"/>
    <w:multiLevelType w:val="multilevel"/>
    <w:tmpl w:val="0F0EC90E"/>
    <w:numStyleLink w:val="FCListNo"/>
  </w:abstractNum>
  <w:abstractNum w:abstractNumId="26"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FF81986"/>
    <w:multiLevelType w:val="hybridMultilevel"/>
    <w:tmpl w:val="449A5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6"/>
  </w:num>
  <w:num w:numId="15">
    <w:abstractNumId w:val="27"/>
  </w:num>
  <w:num w:numId="16">
    <w:abstractNumId w:val="31"/>
  </w:num>
  <w:num w:numId="17">
    <w:abstractNumId w:val="14"/>
  </w:num>
  <w:num w:numId="18">
    <w:abstractNumId w:val="30"/>
  </w:num>
  <w:num w:numId="19">
    <w:abstractNumId w:val="12"/>
  </w:num>
  <w:num w:numId="20">
    <w:abstractNumId w:val="20"/>
  </w:num>
  <w:num w:numId="21">
    <w:abstractNumId w:val="25"/>
  </w:num>
  <w:num w:numId="22">
    <w:abstractNumId w:val="17"/>
  </w:num>
  <w:num w:numId="23">
    <w:abstractNumId w:val="17"/>
  </w:num>
  <w:num w:numId="24">
    <w:abstractNumId w:val="28"/>
  </w:num>
  <w:num w:numId="25">
    <w:abstractNumId w:val="24"/>
  </w:num>
  <w:num w:numId="26">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1"/>
  </w:num>
  <w:num w:numId="38">
    <w:abstractNumId w:val="25"/>
  </w:num>
  <w:num w:numId="39">
    <w:abstractNumId w:val="25"/>
  </w:num>
  <w:num w:numId="40">
    <w:abstractNumId w:val="25"/>
  </w:num>
  <w:num w:numId="41">
    <w:abstractNumId w:val="25"/>
  </w:num>
  <w:num w:numId="42">
    <w:abstractNumId w:val="21"/>
  </w:num>
  <w:num w:numId="43">
    <w:abstractNumId w:val="23"/>
  </w:num>
  <w:num w:numId="44">
    <w:abstractNumId w:val="19"/>
  </w:num>
  <w:num w:numId="4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aria Fokas"/>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669 of 2018"/>
    <w:docVar w:name="HearingDate" w:val="21 October 2019"/>
    <w:docVar w:name="Initiators" w:val="(and another named in the Schedule)"/>
    <w:docVar w:name="Judgdate" w:val="30 January 2020"/>
    <w:docVar w:name="Judge" w:val="Wheelahan J"/>
    <w:docVar w:name="Justices" w:val="Justice"/>
    <w:docVar w:name="lstEntryList" w:val="-1"/>
    <w:docVar w:name="myEntryList" w:val="Counsel for the Applicant=The applicant appeared in person|Counsel for the Respondent=Ms A Carruthers|Solicitor for the Respondent=Grace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David Ian Mansfield as trustee of the bankrupt estate of Maria Fokas"/>
    <w:docVar w:name="ResState" w:val="Victoria"/>
    <w:docVar w:name="SubArea" w:val="[none]"/>
  </w:docVars>
  <w:rsids>
    <w:rsidRoot w:val="00176FFD"/>
    <w:rsid w:val="0000086A"/>
    <w:rsid w:val="0000093F"/>
    <w:rsid w:val="00000E26"/>
    <w:rsid w:val="00002C80"/>
    <w:rsid w:val="0000426E"/>
    <w:rsid w:val="00005D87"/>
    <w:rsid w:val="00007211"/>
    <w:rsid w:val="00007A32"/>
    <w:rsid w:val="00010AD6"/>
    <w:rsid w:val="0001390F"/>
    <w:rsid w:val="00014047"/>
    <w:rsid w:val="0001469E"/>
    <w:rsid w:val="000147F1"/>
    <w:rsid w:val="00015993"/>
    <w:rsid w:val="00015B7A"/>
    <w:rsid w:val="00015D47"/>
    <w:rsid w:val="000165F6"/>
    <w:rsid w:val="0001740A"/>
    <w:rsid w:val="00020050"/>
    <w:rsid w:val="000214E0"/>
    <w:rsid w:val="00021BF0"/>
    <w:rsid w:val="00022289"/>
    <w:rsid w:val="00023AE5"/>
    <w:rsid w:val="00023D1F"/>
    <w:rsid w:val="00023D8E"/>
    <w:rsid w:val="0002597B"/>
    <w:rsid w:val="00025A93"/>
    <w:rsid w:val="00025EF2"/>
    <w:rsid w:val="00027D16"/>
    <w:rsid w:val="0003057E"/>
    <w:rsid w:val="0003095D"/>
    <w:rsid w:val="00032F9F"/>
    <w:rsid w:val="0003478A"/>
    <w:rsid w:val="00034949"/>
    <w:rsid w:val="000356DE"/>
    <w:rsid w:val="00035A5B"/>
    <w:rsid w:val="00036E88"/>
    <w:rsid w:val="00036FD8"/>
    <w:rsid w:val="0003791D"/>
    <w:rsid w:val="00040789"/>
    <w:rsid w:val="000409E6"/>
    <w:rsid w:val="000417C6"/>
    <w:rsid w:val="000418D1"/>
    <w:rsid w:val="00041912"/>
    <w:rsid w:val="00041C07"/>
    <w:rsid w:val="000430C3"/>
    <w:rsid w:val="00045797"/>
    <w:rsid w:val="00045BB7"/>
    <w:rsid w:val="000474BF"/>
    <w:rsid w:val="00050E26"/>
    <w:rsid w:val="00052341"/>
    <w:rsid w:val="00052685"/>
    <w:rsid w:val="00052D43"/>
    <w:rsid w:val="000535F9"/>
    <w:rsid w:val="00053694"/>
    <w:rsid w:val="000544B1"/>
    <w:rsid w:val="00055362"/>
    <w:rsid w:val="00055719"/>
    <w:rsid w:val="00055BA5"/>
    <w:rsid w:val="00055DC9"/>
    <w:rsid w:val="0005641B"/>
    <w:rsid w:val="00056B51"/>
    <w:rsid w:val="0005739A"/>
    <w:rsid w:val="000609AC"/>
    <w:rsid w:val="00060FF5"/>
    <w:rsid w:val="00062C16"/>
    <w:rsid w:val="00064D59"/>
    <w:rsid w:val="00067F11"/>
    <w:rsid w:val="00070A9A"/>
    <w:rsid w:val="0007246B"/>
    <w:rsid w:val="00073353"/>
    <w:rsid w:val="00073BAF"/>
    <w:rsid w:val="00073E11"/>
    <w:rsid w:val="00073F59"/>
    <w:rsid w:val="0007470A"/>
    <w:rsid w:val="00074D30"/>
    <w:rsid w:val="000751B5"/>
    <w:rsid w:val="0007632C"/>
    <w:rsid w:val="00076794"/>
    <w:rsid w:val="00076946"/>
    <w:rsid w:val="00076A2C"/>
    <w:rsid w:val="000771DF"/>
    <w:rsid w:val="00081316"/>
    <w:rsid w:val="00081497"/>
    <w:rsid w:val="00081E7C"/>
    <w:rsid w:val="000825A6"/>
    <w:rsid w:val="000829C6"/>
    <w:rsid w:val="00082B80"/>
    <w:rsid w:val="000831F4"/>
    <w:rsid w:val="00083DBE"/>
    <w:rsid w:val="00084B4F"/>
    <w:rsid w:val="000869F4"/>
    <w:rsid w:val="00087815"/>
    <w:rsid w:val="0009214C"/>
    <w:rsid w:val="00093DC0"/>
    <w:rsid w:val="00093DEA"/>
    <w:rsid w:val="00095D93"/>
    <w:rsid w:val="000961FA"/>
    <w:rsid w:val="00096F51"/>
    <w:rsid w:val="000A0CA9"/>
    <w:rsid w:val="000A0F95"/>
    <w:rsid w:val="000A1280"/>
    <w:rsid w:val="000A17F4"/>
    <w:rsid w:val="000A28A1"/>
    <w:rsid w:val="000A2BE0"/>
    <w:rsid w:val="000A2E76"/>
    <w:rsid w:val="000A351C"/>
    <w:rsid w:val="000A3BDB"/>
    <w:rsid w:val="000A3D89"/>
    <w:rsid w:val="000A4807"/>
    <w:rsid w:val="000A4BE4"/>
    <w:rsid w:val="000A5C35"/>
    <w:rsid w:val="000A6496"/>
    <w:rsid w:val="000B30FF"/>
    <w:rsid w:val="000B5F28"/>
    <w:rsid w:val="000B60D7"/>
    <w:rsid w:val="000B6AC8"/>
    <w:rsid w:val="000C023E"/>
    <w:rsid w:val="000C13B4"/>
    <w:rsid w:val="000C290E"/>
    <w:rsid w:val="000C2B7F"/>
    <w:rsid w:val="000C2CF3"/>
    <w:rsid w:val="000C5195"/>
    <w:rsid w:val="000C62EF"/>
    <w:rsid w:val="000C74C3"/>
    <w:rsid w:val="000D2137"/>
    <w:rsid w:val="000D3049"/>
    <w:rsid w:val="000D3FD2"/>
    <w:rsid w:val="000D5DA5"/>
    <w:rsid w:val="000D6571"/>
    <w:rsid w:val="000D67B5"/>
    <w:rsid w:val="000E06FC"/>
    <w:rsid w:val="000E1E05"/>
    <w:rsid w:val="000E1E3C"/>
    <w:rsid w:val="000E2B1E"/>
    <w:rsid w:val="000E2E1C"/>
    <w:rsid w:val="000E3AF8"/>
    <w:rsid w:val="000E3FC8"/>
    <w:rsid w:val="000E64A0"/>
    <w:rsid w:val="000E674D"/>
    <w:rsid w:val="000E73DA"/>
    <w:rsid w:val="000E7BAE"/>
    <w:rsid w:val="000F04E6"/>
    <w:rsid w:val="000F0838"/>
    <w:rsid w:val="000F09B6"/>
    <w:rsid w:val="000F1127"/>
    <w:rsid w:val="000F133D"/>
    <w:rsid w:val="000F2460"/>
    <w:rsid w:val="000F25FF"/>
    <w:rsid w:val="000F29A7"/>
    <w:rsid w:val="000F2B24"/>
    <w:rsid w:val="000F2B25"/>
    <w:rsid w:val="000F3FA1"/>
    <w:rsid w:val="000F58C4"/>
    <w:rsid w:val="000F7675"/>
    <w:rsid w:val="0010140E"/>
    <w:rsid w:val="001024FE"/>
    <w:rsid w:val="0010263D"/>
    <w:rsid w:val="001045B8"/>
    <w:rsid w:val="00104F7B"/>
    <w:rsid w:val="0010536B"/>
    <w:rsid w:val="00105B2F"/>
    <w:rsid w:val="00106C24"/>
    <w:rsid w:val="00107EF3"/>
    <w:rsid w:val="0011145C"/>
    <w:rsid w:val="001128BD"/>
    <w:rsid w:val="0011367F"/>
    <w:rsid w:val="00113EA3"/>
    <w:rsid w:val="0011419D"/>
    <w:rsid w:val="00116140"/>
    <w:rsid w:val="00117183"/>
    <w:rsid w:val="00117B1B"/>
    <w:rsid w:val="00121313"/>
    <w:rsid w:val="00122427"/>
    <w:rsid w:val="0012327D"/>
    <w:rsid w:val="0012619F"/>
    <w:rsid w:val="0012672C"/>
    <w:rsid w:val="001269FC"/>
    <w:rsid w:val="00127301"/>
    <w:rsid w:val="001276E2"/>
    <w:rsid w:val="00127D34"/>
    <w:rsid w:val="00127F78"/>
    <w:rsid w:val="0013193A"/>
    <w:rsid w:val="00132054"/>
    <w:rsid w:val="00132490"/>
    <w:rsid w:val="00133696"/>
    <w:rsid w:val="00134C95"/>
    <w:rsid w:val="00135880"/>
    <w:rsid w:val="00137314"/>
    <w:rsid w:val="00137B21"/>
    <w:rsid w:val="00140715"/>
    <w:rsid w:val="001408AA"/>
    <w:rsid w:val="00141285"/>
    <w:rsid w:val="00142C41"/>
    <w:rsid w:val="00144534"/>
    <w:rsid w:val="00144AB7"/>
    <w:rsid w:val="0014581E"/>
    <w:rsid w:val="00145B00"/>
    <w:rsid w:val="00147421"/>
    <w:rsid w:val="00150752"/>
    <w:rsid w:val="00151B35"/>
    <w:rsid w:val="00152151"/>
    <w:rsid w:val="001524E7"/>
    <w:rsid w:val="00153CC3"/>
    <w:rsid w:val="00154AD5"/>
    <w:rsid w:val="00155DC1"/>
    <w:rsid w:val="00160042"/>
    <w:rsid w:val="001603F0"/>
    <w:rsid w:val="001612FB"/>
    <w:rsid w:val="00162599"/>
    <w:rsid w:val="00163B95"/>
    <w:rsid w:val="001642BB"/>
    <w:rsid w:val="001644D4"/>
    <w:rsid w:val="00165006"/>
    <w:rsid w:val="00166689"/>
    <w:rsid w:val="00166A77"/>
    <w:rsid w:val="0016714F"/>
    <w:rsid w:val="00167EE4"/>
    <w:rsid w:val="001727A4"/>
    <w:rsid w:val="001729AC"/>
    <w:rsid w:val="0017376C"/>
    <w:rsid w:val="001738AB"/>
    <w:rsid w:val="00173EA4"/>
    <w:rsid w:val="001741D2"/>
    <w:rsid w:val="00175857"/>
    <w:rsid w:val="001758BF"/>
    <w:rsid w:val="001765E0"/>
    <w:rsid w:val="00176A3C"/>
    <w:rsid w:val="00176D39"/>
    <w:rsid w:val="00176FFD"/>
    <w:rsid w:val="00177379"/>
    <w:rsid w:val="00177759"/>
    <w:rsid w:val="00180DA4"/>
    <w:rsid w:val="0018265E"/>
    <w:rsid w:val="00182677"/>
    <w:rsid w:val="00184486"/>
    <w:rsid w:val="0018523A"/>
    <w:rsid w:val="001857D3"/>
    <w:rsid w:val="00185E6B"/>
    <w:rsid w:val="00186862"/>
    <w:rsid w:val="0018687D"/>
    <w:rsid w:val="00187BBC"/>
    <w:rsid w:val="00190A1B"/>
    <w:rsid w:val="00190AB9"/>
    <w:rsid w:val="00190B5B"/>
    <w:rsid w:val="0019167A"/>
    <w:rsid w:val="00192528"/>
    <w:rsid w:val="001926BA"/>
    <w:rsid w:val="001932F3"/>
    <w:rsid w:val="00193307"/>
    <w:rsid w:val="001965FE"/>
    <w:rsid w:val="00196904"/>
    <w:rsid w:val="00196A5C"/>
    <w:rsid w:val="001A06A2"/>
    <w:rsid w:val="001A0EF9"/>
    <w:rsid w:val="001A1796"/>
    <w:rsid w:val="001A1F9D"/>
    <w:rsid w:val="001A39A1"/>
    <w:rsid w:val="001A4309"/>
    <w:rsid w:val="001A449D"/>
    <w:rsid w:val="001A49A2"/>
    <w:rsid w:val="001A4A57"/>
    <w:rsid w:val="001A4E6D"/>
    <w:rsid w:val="001A5408"/>
    <w:rsid w:val="001A5DD3"/>
    <w:rsid w:val="001A60AF"/>
    <w:rsid w:val="001A6F5F"/>
    <w:rsid w:val="001A7DDF"/>
    <w:rsid w:val="001B1053"/>
    <w:rsid w:val="001B14AC"/>
    <w:rsid w:val="001B1B84"/>
    <w:rsid w:val="001B4720"/>
    <w:rsid w:val="001B6B85"/>
    <w:rsid w:val="001B6F88"/>
    <w:rsid w:val="001B7040"/>
    <w:rsid w:val="001B7730"/>
    <w:rsid w:val="001B7749"/>
    <w:rsid w:val="001B7940"/>
    <w:rsid w:val="001B7BE5"/>
    <w:rsid w:val="001C0153"/>
    <w:rsid w:val="001C018F"/>
    <w:rsid w:val="001C16D5"/>
    <w:rsid w:val="001C2705"/>
    <w:rsid w:val="001C3704"/>
    <w:rsid w:val="001C37CA"/>
    <w:rsid w:val="001C3D4E"/>
    <w:rsid w:val="001C48A2"/>
    <w:rsid w:val="001C59F1"/>
    <w:rsid w:val="001C61E9"/>
    <w:rsid w:val="001C6442"/>
    <w:rsid w:val="001C6CA0"/>
    <w:rsid w:val="001C76E1"/>
    <w:rsid w:val="001C7D28"/>
    <w:rsid w:val="001D0108"/>
    <w:rsid w:val="001D0227"/>
    <w:rsid w:val="001D11AF"/>
    <w:rsid w:val="001D2168"/>
    <w:rsid w:val="001D299A"/>
    <w:rsid w:val="001D351E"/>
    <w:rsid w:val="001D4303"/>
    <w:rsid w:val="001D45E3"/>
    <w:rsid w:val="001D4B4A"/>
    <w:rsid w:val="001D4D75"/>
    <w:rsid w:val="001D5B9A"/>
    <w:rsid w:val="001D6746"/>
    <w:rsid w:val="001D6D35"/>
    <w:rsid w:val="001D6DBD"/>
    <w:rsid w:val="001E0F1F"/>
    <w:rsid w:val="001E2B7E"/>
    <w:rsid w:val="001E2BA3"/>
    <w:rsid w:val="001E3B49"/>
    <w:rsid w:val="001E3B8C"/>
    <w:rsid w:val="001E4817"/>
    <w:rsid w:val="001E5049"/>
    <w:rsid w:val="001E70D1"/>
    <w:rsid w:val="001E7388"/>
    <w:rsid w:val="001F13DD"/>
    <w:rsid w:val="001F1EC3"/>
    <w:rsid w:val="001F2161"/>
    <w:rsid w:val="001F294B"/>
    <w:rsid w:val="001F2DBC"/>
    <w:rsid w:val="001F3267"/>
    <w:rsid w:val="001F3E8D"/>
    <w:rsid w:val="001F49D3"/>
    <w:rsid w:val="001F4EC2"/>
    <w:rsid w:val="001F64DB"/>
    <w:rsid w:val="001F73E8"/>
    <w:rsid w:val="001F7C25"/>
    <w:rsid w:val="002008D8"/>
    <w:rsid w:val="00201EAF"/>
    <w:rsid w:val="0020262C"/>
    <w:rsid w:val="00202825"/>
    <w:rsid w:val="00202FA0"/>
    <w:rsid w:val="002039EC"/>
    <w:rsid w:val="00203B4A"/>
    <w:rsid w:val="002045E5"/>
    <w:rsid w:val="00204D0D"/>
    <w:rsid w:val="00205379"/>
    <w:rsid w:val="00206408"/>
    <w:rsid w:val="00206779"/>
    <w:rsid w:val="00206D2C"/>
    <w:rsid w:val="00207BB5"/>
    <w:rsid w:val="00212455"/>
    <w:rsid w:val="002126EC"/>
    <w:rsid w:val="00212A92"/>
    <w:rsid w:val="002139CE"/>
    <w:rsid w:val="00215820"/>
    <w:rsid w:val="00216056"/>
    <w:rsid w:val="00217F11"/>
    <w:rsid w:val="0022063C"/>
    <w:rsid w:val="00221648"/>
    <w:rsid w:val="00224537"/>
    <w:rsid w:val="00225415"/>
    <w:rsid w:val="0022585F"/>
    <w:rsid w:val="002260DD"/>
    <w:rsid w:val="00226C4C"/>
    <w:rsid w:val="00227D1F"/>
    <w:rsid w:val="00230331"/>
    <w:rsid w:val="0023077B"/>
    <w:rsid w:val="00230B1C"/>
    <w:rsid w:val="002344C1"/>
    <w:rsid w:val="00235956"/>
    <w:rsid w:val="00241F04"/>
    <w:rsid w:val="00243262"/>
    <w:rsid w:val="00244908"/>
    <w:rsid w:val="0024518B"/>
    <w:rsid w:val="002454ED"/>
    <w:rsid w:val="00245504"/>
    <w:rsid w:val="0024556E"/>
    <w:rsid w:val="002459D9"/>
    <w:rsid w:val="00245C1A"/>
    <w:rsid w:val="00246B21"/>
    <w:rsid w:val="002470A2"/>
    <w:rsid w:val="00247576"/>
    <w:rsid w:val="00247C9A"/>
    <w:rsid w:val="002508F9"/>
    <w:rsid w:val="0025160C"/>
    <w:rsid w:val="002521CA"/>
    <w:rsid w:val="002521D9"/>
    <w:rsid w:val="00252A45"/>
    <w:rsid w:val="00252D4D"/>
    <w:rsid w:val="00252F15"/>
    <w:rsid w:val="002535D0"/>
    <w:rsid w:val="00253631"/>
    <w:rsid w:val="002539B3"/>
    <w:rsid w:val="002540D8"/>
    <w:rsid w:val="00254F7D"/>
    <w:rsid w:val="0025521C"/>
    <w:rsid w:val="0025730A"/>
    <w:rsid w:val="0025784B"/>
    <w:rsid w:val="002578B4"/>
    <w:rsid w:val="00257C3E"/>
    <w:rsid w:val="002602C2"/>
    <w:rsid w:val="002609C7"/>
    <w:rsid w:val="00260EED"/>
    <w:rsid w:val="00261CA6"/>
    <w:rsid w:val="002625B6"/>
    <w:rsid w:val="00263D54"/>
    <w:rsid w:val="00263D75"/>
    <w:rsid w:val="00264E91"/>
    <w:rsid w:val="0026505E"/>
    <w:rsid w:val="0026507C"/>
    <w:rsid w:val="00265962"/>
    <w:rsid w:val="00265D77"/>
    <w:rsid w:val="00266346"/>
    <w:rsid w:val="002665AD"/>
    <w:rsid w:val="002666C9"/>
    <w:rsid w:val="00266DE9"/>
    <w:rsid w:val="00270136"/>
    <w:rsid w:val="00270BC7"/>
    <w:rsid w:val="00270F38"/>
    <w:rsid w:val="00270F6F"/>
    <w:rsid w:val="00272C24"/>
    <w:rsid w:val="00272FCF"/>
    <w:rsid w:val="00273CF2"/>
    <w:rsid w:val="00274F5B"/>
    <w:rsid w:val="002752CE"/>
    <w:rsid w:val="002752D5"/>
    <w:rsid w:val="00275674"/>
    <w:rsid w:val="00277779"/>
    <w:rsid w:val="00280037"/>
    <w:rsid w:val="00280836"/>
    <w:rsid w:val="0028259E"/>
    <w:rsid w:val="00282E1A"/>
    <w:rsid w:val="00283595"/>
    <w:rsid w:val="00284790"/>
    <w:rsid w:val="00285425"/>
    <w:rsid w:val="00285874"/>
    <w:rsid w:val="00285A80"/>
    <w:rsid w:val="00285DDD"/>
    <w:rsid w:val="002879B9"/>
    <w:rsid w:val="00290B38"/>
    <w:rsid w:val="00290BB6"/>
    <w:rsid w:val="0029113B"/>
    <w:rsid w:val="002915F4"/>
    <w:rsid w:val="002927B9"/>
    <w:rsid w:val="002934C0"/>
    <w:rsid w:val="00293532"/>
    <w:rsid w:val="00293DA9"/>
    <w:rsid w:val="00295241"/>
    <w:rsid w:val="00295786"/>
    <w:rsid w:val="00296244"/>
    <w:rsid w:val="00297DF2"/>
    <w:rsid w:val="002A1B50"/>
    <w:rsid w:val="002A2FD7"/>
    <w:rsid w:val="002A6335"/>
    <w:rsid w:val="002A64F1"/>
    <w:rsid w:val="002A668D"/>
    <w:rsid w:val="002A6A25"/>
    <w:rsid w:val="002A6EC4"/>
    <w:rsid w:val="002B0E91"/>
    <w:rsid w:val="002B14C6"/>
    <w:rsid w:val="002B1F17"/>
    <w:rsid w:val="002B2E94"/>
    <w:rsid w:val="002B334F"/>
    <w:rsid w:val="002B3CCB"/>
    <w:rsid w:val="002B454E"/>
    <w:rsid w:val="002B4F91"/>
    <w:rsid w:val="002B5C9A"/>
    <w:rsid w:val="002B6779"/>
    <w:rsid w:val="002B71C0"/>
    <w:rsid w:val="002B7A34"/>
    <w:rsid w:val="002C0A32"/>
    <w:rsid w:val="002C166A"/>
    <w:rsid w:val="002C1A00"/>
    <w:rsid w:val="002C2224"/>
    <w:rsid w:val="002C2796"/>
    <w:rsid w:val="002C31AD"/>
    <w:rsid w:val="002C34F7"/>
    <w:rsid w:val="002C3523"/>
    <w:rsid w:val="002C41C0"/>
    <w:rsid w:val="002C434E"/>
    <w:rsid w:val="002C4689"/>
    <w:rsid w:val="002C49A8"/>
    <w:rsid w:val="002C5B6B"/>
    <w:rsid w:val="002C5D97"/>
    <w:rsid w:val="002C7385"/>
    <w:rsid w:val="002D0219"/>
    <w:rsid w:val="002D1549"/>
    <w:rsid w:val="002D2DBB"/>
    <w:rsid w:val="002D2E20"/>
    <w:rsid w:val="002D3AED"/>
    <w:rsid w:val="002D42A2"/>
    <w:rsid w:val="002D4BBB"/>
    <w:rsid w:val="002D54A6"/>
    <w:rsid w:val="002E05EF"/>
    <w:rsid w:val="002E1234"/>
    <w:rsid w:val="002E37C1"/>
    <w:rsid w:val="002E483A"/>
    <w:rsid w:val="002E5D55"/>
    <w:rsid w:val="002E6392"/>
    <w:rsid w:val="002E6A7A"/>
    <w:rsid w:val="002F0863"/>
    <w:rsid w:val="002F08BF"/>
    <w:rsid w:val="002F10B7"/>
    <w:rsid w:val="002F1E49"/>
    <w:rsid w:val="002F20F5"/>
    <w:rsid w:val="002F22E3"/>
    <w:rsid w:val="002F2C64"/>
    <w:rsid w:val="002F412C"/>
    <w:rsid w:val="002F4555"/>
    <w:rsid w:val="002F478B"/>
    <w:rsid w:val="002F498B"/>
    <w:rsid w:val="002F4E9C"/>
    <w:rsid w:val="002F5358"/>
    <w:rsid w:val="002F53E1"/>
    <w:rsid w:val="002F7331"/>
    <w:rsid w:val="0030035E"/>
    <w:rsid w:val="00300B23"/>
    <w:rsid w:val="00302D08"/>
    <w:rsid w:val="003048EE"/>
    <w:rsid w:val="003049A2"/>
    <w:rsid w:val="003052C8"/>
    <w:rsid w:val="003053F2"/>
    <w:rsid w:val="00305465"/>
    <w:rsid w:val="00307144"/>
    <w:rsid w:val="00310189"/>
    <w:rsid w:val="00311FAB"/>
    <w:rsid w:val="0031256C"/>
    <w:rsid w:val="003127CB"/>
    <w:rsid w:val="00312F62"/>
    <w:rsid w:val="00314C5A"/>
    <w:rsid w:val="00314D6C"/>
    <w:rsid w:val="00315674"/>
    <w:rsid w:val="003156D0"/>
    <w:rsid w:val="003158A0"/>
    <w:rsid w:val="00315D41"/>
    <w:rsid w:val="00316D2A"/>
    <w:rsid w:val="0031785A"/>
    <w:rsid w:val="0032038B"/>
    <w:rsid w:val="00322317"/>
    <w:rsid w:val="00322A7C"/>
    <w:rsid w:val="00323078"/>
    <w:rsid w:val="0032449E"/>
    <w:rsid w:val="00324937"/>
    <w:rsid w:val="00325017"/>
    <w:rsid w:val="00327B9B"/>
    <w:rsid w:val="00327C74"/>
    <w:rsid w:val="00330DBD"/>
    <w:rsid w:val="00331F0C"/>
    <w:rsid w:val="00332839"/>
    <w:rsid w:val="00332A1A"/>
    <w:rsid w:val="0033307B"/>
    <w:rsid w:val="0033338C"/>
    <w:rsid w:val="00333CDA"/>
    <w:rsid w:val="00334282"/>
    <w:rsid w:val="0033481B"/>
    <w:rsid w:val="00334AC6"/>
    <w:rsid w:val="00334E16"/>
    <w:rsid w:val="00335B6C"/>
    <w:rsid w:val="003368B1"/>
    <w:rsid w:val="003402D3"/>
    <w:rsid w:val="00340B84"/>
    <w:rsid w:val="003426E2"/>
    <w:rsid w:val="00343282"/>
    <w:rsid w:val="00343434"/>
    <w:rsid w:val="00343522"/>
    <w:rsid w:val="00343ABC"/>
    <w:rsid w:val="003463FE"/>
    <w:rsid w:val="003469CE"/>
    <w:rsid w:val="00346ACF"/>
    <w:rsid w:val="00346AD3"/>
    <w:rsid w:val="00346D90"/>
    <w:rsid w:val="003475A5"/>
    <w:rsid w:val="0035324E"/>
    <w:rsid w:val="003554B3"/>
    <w:rsid w:val="003560F3"/>
    <w:rsid w:val="0035657D"/>
    <w:rsid w:val="00356632"/>
    <w:rsid w:val="003602A6"/>
    <w:rsid w:val="00362270"/>
    <w:rsid w:val="00362581"/>
    <w:rsid w:val="00362CD5"/>
    <w:rsid w:val="0036315E"/>
    <w:rsid w:val="0036434A"/>
    <w:rsid w:val="00364635"/>
    <w:rsid w:val="00364D58"/>
    <w:rsid w:val="00366124"/>
    <w:rsid w:val="00367035"/>
    <w:rsid w:val="003672D3"/>
    <w:rsid w:val="00371861"/>
    <w:rsid w:val="00371D01"/>
    <w:rsid w:val="00371DE0"/>
    <w:rsid w:val="00371E05"/>
    <w:rsid w:val="00372E68"/>
    <w:rsid w:val="00373745"/>
    <w:rsid w:val="00373ABA"/>
    <w:rsid w:val="00374124"/>
    <w:rsid w:val="003751F1"/>
    <w:rsid w:val="00375C64"/>
    <w:rsid w:val="00376E5C"/>
    <w:rsid w:val="00377C73"/>
    <w:rsid w:val="0038029E"/>
    <w:rsid w:val="003816F3"/>
    <w:rsid w:val="00383BFC"/>
    <w:rsid w:val="003845A9"/>
    <w:rsid w:val="00384AEA"/>
    <w:rsid w:val="00385D42"/>
    <w:rsid w:val="00386B99"/>
    <w:rsid w:val="00387182"/>
    <w:rsid w:val="0038762A"/>
    <w:rsid w:val="00390883"/>
    <w:rsid w:val="00390C2E"/>
    <w:rsid w:val="003914D4"/>
    <w:rsid w:val="003922F8"/>
    <w:rsid w:val="003926FF"/>
    <w:rsid w:val="0039421C"/>
    <w:rsid w:val="00395933"/>
    <w:rsid w:val="00395B24"/>
    <w:rsid w:val="00396145"/>
    <w:rsid w:val="00396342"/>
    <w:rsid w:val="003A0F45"/>
    <w:rsid w:val="003A1FD2"/>
    <w:rsid w:val="003A24B7"/>
    <w:rsid w:val="003A2D38"/>
    <w:rsid w:val="003A35EA"/>
    <w:rsid w:val="003A397A"/>
    <w:rsid w:val="003A3FFE"/>
    <w:rsid w:val="003A4433"/>
    <w:rsid w:val="003A48C4"/>
    <w:rsid w:val="003A6466"/>
    <w:rsid w:val="003A647C"/>
    <w:rsid w:val="003A69EA"/>
    <w:rsid w:val="003A6DD3"/>
    <w:rsid w:val="003A7ECC"/>
    <w:rsid w:val="003B0DCB"/>
    <w:rsid w:val="003B0E2A"/>
    <w:rsid w:val="003B2C72"/>
    <w:rsid w:val="003B2D06"/>
    <w:rsid w:val="003B4EFF"/>
    <w:rsid w:val="003B51F6"/>
    <w:rsid w:val="003B6010"/>
    <w:rsid w:val="003B69AF"/>
    <w:rsid w:val="003B705E"/>
    <w:rsid w:val="003B717F"/>
    <w:rsid w:val="003B7C49"/>
    <w:rsid w:val="003B7FED"/>
    <w:rsid w:val="003C015E"/>
    <w:rsid w:val="003C067F"/>
    <w:rsid w:val="003C06E2"/>
    <w:rsid w:val="003C091B"/>
    <w:rsid w:val="003C0FD4"/>
    <w:rsid w:val="003C1333"/>
    <w:rsid w:val="003C15AC"/>
    <w:rsid w:val="003C20FF"/>
    <w:rsid w:val="003C426F"/>
    <w:rsid w:val="003C4B84"/>
    <w:rsid w:val="003C5D90"/>
    <w:rsid w:val="003C633F"/>
    <w:rsid w:val="003C65E4"/>
    <w:rsid w:val="003C6C52"/>
    <w:rsid w:val="003D2650"/>
    <w:rsid w:val="003D4F7F"/>
    <w:rsid w:val="003D560C"/>
    <w:rsid w:val="003D7D4B"/>
    <w:rsid w:val="003E05FB"/>
    <w:rsid w:val="003E1EE6"/>
    <w:rsid w:val="003E31A8"/>
    <w:rsid w:val="003E461F"/>
    <w:rsid w:val="003E4B77"/>
    <w:rsid w:val="003E5874"/>
    <w:rsid w:val="003E6397"/>
    <w:rsid w:val="003E70C3"/>
    <w:rsid w:val="003E78BB"/>
    <w:rsid w:val="003F0213"/>
    <w:rsid w:val="003F03F0"/>
    <w:rsid w:val="003F1897"/>
    <w:rsid w:val="003F193E"/>
    <w:rsid w:val="003F1F29"/>
    <w:rsid w:val="003F2CBC"/>
    <w:rsid w:val="003F34F1"/>
    <w:rsid w:val="003F7135"/>
    <w:rsid w:val="004009D7"/>
    <w:rsid w:val="00400AC9"/>
    <w:rsid w:val="0040273D"/>
    <w:rsid w:val="004034DE"/>
    <w:rsid w:val="0040498C"/>
    <w:rsid w:val="00410F21"/>
    <w:rsid w:val="00411AE8"/>
    <w:rsid w:val="00413AB9"/>
    <w:rsid w:val="00413B74"/>
    <w:rsid w:val="004157C5"/>
    <w:rsid w:val="0041634E"/>
    <w:rsid w:val="00416416"/>
    <w:rsid w:val="00416FC5"/>
    <w:rsid w:val="0041770D"/>
    <w:rsid w:val="00417CEF"/>
    <w:rsid w:val="00420091"/>
    <w:rsid w:val="004202EB"/>
    <w:rsid w:val="00420919"/>
    <w:rsid w:val="00420A27"/>
    <w:rsid w:val="00420B71"/>
    <w:rsid w:val="00421404"/>
    <w:rsid w:val="004229F3"/>
    <w:rsid w:val="00422F37"/>
    <w:rsid w:val="00423621"/>
    <w:rsid w:val="0042364E"/>
    <w:rsid w:val="00423862"/>
    <w:rsid w:val="00423CF5"/>
    <w:rsid w:val="004243AC"/>
    <w:rsid w:val="0042475A"/>
    <w:rsid w:val="00431E6B"/>
    <w:rsid w:val="004341FA"/>
    <w:rsid w:val="0043444C"/>
    <w:rsid w:val="004356F6"/>
    <w:rsid w:val="004359C1"/>
    <w:rsid w:val="00435C5F"/>
    <w:rsid w:val="00436D6E"/>
    <w:rsid w:val="00437B2E"/>
    <w:rsid w:val="00437F2F"/>
    <w:rsid w:val="00441B17"/>
    <w:rsid w:val="00441D21"/>
    <w:rsid w:val="00441E98"/>
    <w:rsid w:val="00443C24"/>
    <w:rsid w:val="004448E6"/>
    <w:rsid w:val="0044688B"/>
    <w:rsid w:val="00447A84"/>
    <w:rsid w:val="004512CA"/>
    <w:rsid w:val="0045164F"/>
    <w:rsid w:val="004516DF"/>
    <w:rsid w:val="00451724"/>
    <w:rsid w:val="00452DFF"/>
    <w:rsid w:val="00453162"/>
    <w:rsid w:val="004532F7"/>
    <w:rsid w:val="00455A18"/>
    <w:rsid w:val="00455B22"/>
    <w:rsid w:val="00456669"/>
    <w:rsid w:val="00457166"/>
    <w:rsid w:val="0046034E"/>
    <w:rsid w:val="00461BBB"/>
    <w:rsid w:val="00461F8C"/>
    <w:rsid w:val="00462858"/>
    <w:rsid w:val="004628FB"/>
    <w:rsid w:val="00462F25"/>
    <w:rsid w:val="004636B5"/>
    <w:rsid w:val="00465794"/>
    <w:rsid w:val="00467FA2"/>
    <w:rsid w:val="0047018F"/>
    <w:rsid w:val="004707D0"/>
    <w:rsid w:val="00470B42"/>
    <w:rsid w:val="00471E7C"/>
    <w:rsid w:val="00472027"/>
    <w:rsid w:val="0047340C"/>
    <w:rsid w:val="00474956"/>
    <w:rsid w:val="00474A15"/>
    <w:rsid w:val="00475EE4"/>
    <w:rsid w:val="004766AE"/>
    <w:rsid w:val="0048018E"/>
    <w:rsid w:val="004804CF"/>
    <w:rsid w:val="00484962"/>
    <w:rsid w:val="00484F6D"/>
    <w:rsid w:val="004860C4"/>
    <w:rsid w:val="0048706C"/>
    <w:rsid w:val="00487F1B"/>
    <w:rsid w:val="004906C0"/>
    <w:rsid w:val="00490E32"/>
    <w:rsid w:val="00492BA9"/>
    <w:rsid w:val="00492D60"/>
    <w:rsid w:val="00492FCB"/>
    <w:rsid w:val="0049338A"/>
    <w:rsid w:val="0049417F"/>
    <w:rsid w:val="00494404"/>
    <w:rsid w:val="0049441E"/>
    <w:rsid w:val="00494640"/>
    <w:rsid w:val="00495581"/>
    <w:rsid w:val="00495E67"/>
    <w:rsid w:val="00496009"/>
    <w:rsid w:val="00496161"/>
    <w:rsid w:val="0049697D"/>
    <w:rsid w:val="004A3362"/>
    <w:rsid w:val="004A3FF4"/>
    <w:rsid w:val="004A4F61"/>
    <w:rsid w:val="004A52FC"/>
    <w:rsid w:val="004A59BC"/>
    <w:rsid w:val="004B027F"/>
    <w:rsid w:val="004B0359"/>
    <w:rsid w:val="004B1180"/>
    <w:rsid w:val="004B15D6"/>
    <w:rsid w:val="004B221B"/>
    <w:rsid w:val="004B321A"/>
    <w:rsid w:val="004B32E0"/>
    <w:rsid w:val="004B3EFA"/>
    <w:rsid w:val="004B4DDB"/>
    <w:rsid w:val="004B4E10"/>
    <w:rsid w:val="004B4FF0"/>
    <w:rsid w:val="004B676A"/>
    <w:rsid w:val="004C00AA"/>
    <w:rsid w:val="004C0DB1"/>
    <w:rsid w:val="004C2A87"/>
    <w:rsid w:val="004C32C2"/>
    <w:rsid w:val="004C390B"/>
    <w:rsid w:val="004C4D7B"/>
    <w:rsid w:val="004C4ED3"/>
    <w:rsid w:val="004C760A"/>
    <w:rsid w:val="004C7C29"/>
    <w:rsid w:val="004D1187"/>
    <w:rsid w:val="004D1FFD"/>
    <w:rsid w:val="004D27E8"/>
    <w:rsid w:val="004D2A0E"/>
    <w:rsid w:val="004D2EA5"/>
    <w:rsid w:val="004D32A6"/>
    <w:rsid w:val="004D37B3"/>
    <w:rsid w:val="004D3DF9"/>
    <w:rsid w:val="004D4127"/>
    <w:rsid w:val="004D5099"/>
    <w:rsid w:val="004D53E5"/>
    <w:rsid w:val="004D5CCB"/>
    <w:rsid w:val="004D71C7"/>
    <w:rsid w:val="004D7ADD"/>
    <w:rsid w:val="004E0AB1"/>
    <w:rsid w:val="004E237C"/>
    <w:rsid w:val="004E2FE4"/>
    <w:rsid w:val="004E3D92"/>
    <w:rsid w:val="004E4AFE"/>
    <w:rsid w:val="004E58CE"/>
    <w:rsid w:val="004E6845"/>
    <w:rsid w:val="004E7041"/>
    <w:rsid w:val="004E76E7"/>
    <w:rsid w:val="004F1DDA"/>
    <w:rsid w:val="004F24AC"/>
    <w:rsid w:val="004F2E3E"/>
    <w:rsid w:val="004F575B"/>
    <w:rsid w:val="004F5A66"/>
    <w:rsid w:val="004F68D9"/>
    <w:rsid w:val="004F7A22"/>
    <w:rsid w:val="00500769"/>
    <w:rsid w:val="00500D49"/>
    <w:rsid w:val="00501912"/>
    <w:rsid w:val="00501A12"/>
    <w:rsid w:val="0050384E"/>
    <w:rsid w:val="00505898"/>
    <w:rsid w:val="00505A69"/>
    <w:rsid w:val="005066FA"/>
    <w:rsid w:val="00507D9B"/>
    <w:rsid w:val="0051071E"/>
    <w:rsid w:val="00511124"/>
    <w:rsid w:val="0051150C"/>
    <w:rsid w:val="0051346D"/>
    <w:rsid w:val="00513EAE"/>
    <w:rsid w:val="005145EA"/>
    <w:rsid w:val="005146E7"/>
    <w:rsid w:val="00516806"/>
    <w:rsid w:val="00521685"/>
    <w:rsid w:val="005218E8"/>
    <w:rsid w:val="00524277"/>
    <w:rsid w:val="00524E9E"/>
    <w:rsid w:val="0052588A"/>
    <w:rsid w:val="00525A49"/>
    <w:rsid w:val="00525E29"/>
    <w:rsid w:val="005262EA"/>
    <w:rsid w:val="00526F30"/>
    <w:rsid w:val="00527E1A"/>
    <w:rsid w:val="00531130"/>
    <w:rsid w:val="005312E6"/>
    <w:rsid w:val="0053313C"/>
    <w:rsid w:val="005342FA"/>
    <w:rsid w:val="005349D1"/>
    <w:rsid w:val="00534EDF"/>
    <w:rsid w:val="0053528B"/>
    <w:rsid w:val="005355B2"/>
    <w:rsid w:val="00535613"/>
    <w:rsid w:val="005359EB"/>
    <w:rsid w:val="005372F3"/>
    <w:rsid w:val="00540B87"/>
    <w:rsid w:val="005418A9"/>
    <w:rsid w:val="00541A0D"/>
    <w:rsid w:val="0054201E"/>
    <w:rsid w:val="0054254A"/>
    <w:rsid w:val="00543FD7"/>
    <w:rsid w:val="00544319"/>
    <w:rsid w:val="00545F31"/>
    <w:rsid w:val="005466B5"/>
    <w:rsid w:val="005469BD"/>
    <w:rsid w:val="00546E49"/>
    <w:rsid w:val="00547B3F"/>
    <w:rsid w:val="005529DD"/>
    <w:rsid w:val="00552FF4"/>
    <w:rsid w:val="00554314"/>
    <w:rsid w:val="00554F98"/>
    <w:rsid w:val="00556547"/>
    <w:rsid w:val="00557D4D"/>
    <w:rsid w:val="00557E6E"/>
    <w:rsid w:val="005601AA"/>
    <w:rsid w:val="00560A45"/>
    <w:rsid w:val="00560F3D"/>
    <w:rsid w:val="0056103A"/>
    <w:rsid w:val="00561168"/>
    <w:rsid w:val="0056161F"/>
    <w:rsid w:val="005619B7"/>
    <w:rsid w:val="005620DE"/>
    <w:rsid w:val="005629B3"/>
    <w:rsid w:val="005639EC"/>
    <w:rsid w:val="00563F75"/>
    <w:rsid w:val="00564522"/>
    <w:rsid w:val="005671E8"/>
    <w:rsid w:val="00571033"/>
    <w:rsid w:val="0057187A"/>
    <w:rsid w:val="00572E19"/>
    <w:rsid w:val="005732B6"/>
    <w:rsid w:val="00573750"/>
    <w:rsid w:val="00573AC4"/>
    <w:rsid w:val="00575A52"/>
    <w:rsid w:val="00575C56"/>
    <w:rsid w:val="00576084"/>
    <w:rsid w:val="00576A67"/>
    <w:rsid w:val="00577AA3"/>
    <w:rsid w:val="005801FC"/>
    <w:rsid w:val="0058062E"/>
    <w:rsid w:val="00581B96"/>
    <w:rsid w:val="005830AF"/>
    <w:rsid w:val="005843B1"/>
    <w:rsid w:val="00584C8E"/>
    <w:rsid w:val="00584C8F"/>
    <w:rsid w:val="00584FBB"/>
    <w:rsid w:val="005857A9"/>
    <w:rsid w:val="00585860"/>
    <w:rsid w:val="00585B33"/>
    <w:rsid w:val="005860D0"/>
    <w:rsid w:val="00590C41"/>
    <w:rsid w:val="00590E38"/>
    <w:rsid w:val="00594840"/>
    <w:rsid w:val="00594FC7"/>
    <w:rsid w:val="00595016"/>
    <w:rsid w:val="005951C6"/>
    <w:rsid w:val="00595AD3"/>
    <w:rsid w:val="00597112"/>
    <w:rsid w:val="00597AAE"/>
    <w:rsid w:val="005A0123"/>
    <w:rsid w:val="005A1D4F"/>
    <w:rsid w:val="005A222C"/>
    <w:rsid w:val="005A31C7"/>
    <w:rsid w:val="005A37A1"/>
    <w:rsid w:val="005A4DF8"/>
    <w:rsid w:val="005A4F1F"/>
    <w:rsid w:val="005A5CB6"/>
    <w:rsid w:val="005A659E"/>
    <w:rsid w:val="005A71E8"/>
    <w:rsid w:val="005A76F8"/>
    <w:rsid w:val="005A7A7C"/>
    <w:rsid w:val="005B058B"/>
    <w:rsid w:val="005B1426"/>
    <w:rsid w:val="005B20CD"/>
    <w:rsid w:val="005B4898"/>
    <w:rsid w:val="005B4E77"/>
    <w:rsid w:val="005B512B"/>
    <w:rsid w:val="005B5795"/>
    <w:rsid w:val="005B5E3F"/>
    <w:rsid w:val="005B6453"/>
    <w:rsid w:val="005B6BF3"/>
    <w:rsid w:val="005B6D60"/>
    <w:rsid w:val="005C0A8E"/>
    <w:rsid w:val="005C1767"/>
    <w:rsid w:val="005C1D17"/>
    <w:rsid w:val="005C29E7"/>
    <w:rsid w:val="005C3412"/>
    <w:rsid w:val="005C42EF"/>
    <w:rsid w:val="005C48DD"/>
    <w:rsid w:val="005C4C49"/>
    <w:rsid w:val="005C5616"/>
    <w:rsid w:val="005D02C4"/>
    <w:rsid w:val="005D2484"/>
    <w:rsid w:val="005D314C"/>
    <w:rsid w:val="005D3CD7"/>
    <w:rsid w:val="005D3F0C"/>
    <w:rsid w:val="005D4874"/>
    <w:rsid w:val="005D6661"/>
    <w:rsid w:val="005D6C4F"/>
    <w:rsid w:val="005E02F5"/>
    <w:rsid w:val="005E0510"/>
    <w:rsid w:val="005E06DE"/>
    <w:rsid w:val="005E0A29"/>
    <w:rsid w:val="005E118C"/>
    <w:rsid w:val="005E176E"/>
    <w:rsid w:val="005E19F4"/>
    <w:rsid w:val="005E218E"/>
    <w:rsid w:val="005E35A0"/>
    <w:rsid w:val="005E35DD"/>
    <w:rsid w:val="005E55C9"/>
    <w:rsid w:val="005E610E"/>
    <w:rsid w:val="005E6B8C"/>
    <w:rsid w:val="005E6DA6"/>
    <w:rsid w:val="005F0D1B"/>
    <w:rsid w:val="005F1865"/>
    <w:rsid w:val="005F23B1"/>
    <w:rsid w:val="005F2AA8"/>
    <w:rsid w:val="005F2BE2"/>
    <w:rsid w:val="005F6ACA"/>
    <w:rsid w:val="005F6E8A"/>
    <w:rsid w:val="005F7916"/>
    <w:rsid w:val="00600620"/>
    <w:rsid w:val="006007BD"/>
    <w:rsid w:val="00600B13"/>
    <w:rsid w:val="0060116F"/>
    <w:rsid w:val="006013C8"/>
    <w:rsid w:val="0060270D"/>
    <w:rsid w:val="00602EC5"/>
    <w:rsid w:val="006034DE"/>
    <w:rsid w:val="00604611"/>
    <w:rsid w:val="00604AF3"/>
    <w:rsid w:val="00604CB7"/>
    <w:rsid w:val="00605012"/>
    <w:rsid w:val="0060547B"/>
    <w:rsid w:val="00610151"/>
    <w:rsid w:val="00611586"/>
    <w:rsid w:val="00611687"/>
    <w:rsid w:val="006131BE"/>
    <w:rsid w:val="006135F3"/>
    <w:rsid w:val="00615F79"/>
    <w:rsid w:val="00615FC3"/>
    <w:rsid w:val="00616B9B"/>
    <w:rsid w:val="006173A6"/>
    <w:rsid w:val="006212EC"/>
    <w:rsid w:val="00621887"/>
    <w:rsid w:val="00621D75"/>
    <w:rsid w:val="00621E34"/>
    <w:rsid w:val="006229F6"/>
    <w:rsid w:val="00623028"/>
    <w:rsid w:val="006230D5"/>
    <w:rsid w:val="00624520"/>
    <w:rsid w:val="0063004F"/>
    <w:rsid w:val="0063099B"/>
    <w:rsid w:val="00631912"/>
    <w:rsid w:val="00631C93"/>
    <w:rsid w:val="00631F93"/>
    <w:rsid w:val="00632300"/>
    <w:rsid w:val="00632799"/>
    <w:rsid w:val="00632BB7"/>
    <w:rsid w:val="00633385"/>
    <w:rsid w:val="00633650"/>
    <w:rsid w:val="006343A6"/>
    <w:rsid w:val="00634543"/>
    <w:rsid w:val="00635B36"/>
    <w:rsid w:val="00636871"/>
    <w:rsid w:val="00636D1A"/>
    <w:rsid w:val="0064031E"/>
    <w:rsid w:val="00640F4E"/>
    <w:rsid w:val="006418A4"/>
    <w:rsid w:val="00641DBA"/>
    <w:rsid w:val="0064349A"/>
    <w:rsid w:val="006435DC"/>
    <w:rsid w:val="00643DE0"/>
    <w:rsid w:val="00644E85"/>
    <w:rsid w:val="00644F8F"/>
    <w:rsid w:val="006462E8"/>
    <w:rsid w:val="00646860"/>
    <w:rsid w:val="006474E9"/>
    <w:rsid w:val="006538D4"/>
    <w:rsid w:val="00655C5D"/>
    <w:rsid w:val="00657116"/>
    <w:rsid w:val="00660093"/>
    <w:rsid w:val="00660522"/>
    <w:rsid w:val="0066063F"/>
    <w:rsid w:val="00661CE3"/>
    <w:rsid w:val="00662BB0"/>
    <w:rsid w:val="00662E05"/>
    <w:rsid w:val="0066350C"/>
    <w:rsid w:val="00663878"/>
    <w:rsid w:val="00664056"/>
    <w:rsid w:val="006640B6"/>
    <w:rsid w:val="00664A46"/>
    <w:rsid w:val="006655F6"/>
    <w:rsid w:val="00665E3D"/>
    <w:rsid w:val="0066615F"/>
    <w:rsid w:val="00667773"/>
    <w:rsid w:val="0067045E"/>
    <w:rsid w:val="00670743"/>
    <w:rsid w:val="00670843"/>
    <w:rsid w:val="006709B7"/>
    <w:rsid w:val="00672277"/>
    <w:rsid w:val="00672919"/>
    <w:rsid w:val="006736CD"/>
    <w:rsid w:val="006748B9"/>
    <w:rsid w:val="00674ABA"/>
    <w:rsid w:val="0067506F"/>
    <w:rsid w:val="00680038"/>
    <w:rsid w:val="0068157D"/>
    <w:rsid w:val="006823D2"/>
    <w:rsid w:val="00682E93"/>
    <w:rsid w:val="006831EB"/>
    <w:rsid w:val="00683D41"/>
    <w:rsid w:val="00684491"/>
    <w:rsid w:val="00684813"/>
    <w:rsid w:val="0068568E"/>
    <w:rsid w:val="00687192"/>
    <w:rsid w:val="00690D6F"/>
    <w:rsid w:val="00690EE2"/>
    <w:rsid w:val="00691924"/>
    <w:rsid w:val="0069256E"/>
    <w:rsid w:val="006934AB"/>
    <w:rsid w:val="006941EA"/>
    <w:rsid w:val="00694640"/>
    <w:rsid w:val="00696400"/>
    <w:rsid w:val="006969F8"/>
    <w:rsid w:val="0069714A"/>
    <w:rsid w:val="006A03A8"/>
    <w:rsid w:val="006A0E20"/>
    <w:rsid w:val="006A1B5A"/>
    <w:rsid w:val="006A1F55"/>
    <w:rsid w:val="006A2002"/>
    <w:rsid w:val="006A358E"/>
    <w:rsid w:val="006A503A"/>
    <w:rsid w:val="006A5695"/>
    <w:rsid w:val="006A61FE"/>
    <w:rsid w:val="006A7F74"/>
    <w:rsid w:val="006B0292"/>
    <w:rsid w:val="006B0676"/>
    <w:rsid w:val="006B12CA"/>
    <w:rsid w:val="006B187D"/>
    <w:rsid w:val="006B2392"/>
    <w:rsid w:val="006B2FAB"/>
    <w:rsid w:val="006B3371"/>
    <w:rsid w:val="006B3904"/>
    <w:rsid w:val="006B5B7D"/>
    <w:rsid w:val="006B6537"/>
    <w:rsid w:val="006B6DCC"/>
    <w:rsid w:val="006B714C"/>
    <w:rsid w:val="006B73CB"/>
    <w:rsid w:val="006B7B66"/>
    <w:rsid w:val="006C1951"/>
    <w:rsid w:val="006C1A8C"/>
    <w:rsid w:val="006C2960"/>
    <w:rsid w:val="006C2C45"/>
    <w:rsid w:val="006C3350"/>
    <w:rsid w:val="006C3ECA"/>
    <w:rsid w:val="006C4E4B"/>
    <w:rsid w:val="006C5F57"/>
    <w:rsid w:val="006C649A"/>
    <w:rsid w:val="006D0ECF"/>
    <w:rsid w:val="006D2679"/>
    <w:rsid w:val="006D2CD0"/>
    <w:rsid w:val="006D2F66"/>
    <w:rsid w:val="006D35E0"/>
    <w:rsid w:val="006D3FDA"/>
    <w:rsid w:val="006D4A4B"/>
    <w:rsid w:val="006D4C92"/>
    <w:rsid w:val="006D4EB6"/>
    <w:rsid w:val="006D5531"/>
    <w:rsid w:val="006D5814"/>
    <w:rsid w:val="006D5EC6"/>
    <w:rsid w:val="006E0056"/>
    <w:rsid w:val="006E1412"/>
    <w:rsid w:val="006E1D37"/>
    <w:rsid w:val="006E2E1D"/>
    <w:rsid w:val="006E2FF7"/>
    <w:rsid w:val="006E35BF"/>
    <w:rsid w:val="006E56AB"/>
    <w:rsid w:val="006E5E14"/>
    <w:rsid w:val="006E6D49"/>
    <w:rsid w:val="006E6DAC"/>
    <w:rsid w:val="006E7850"/>
    <w:rsid w:val="006E793E"/>
    <w:rsid w:val="006E7A90"/>
    <w:rsid w:val="006F053F"/>
    <w:rsid w:val="006F193B"/>
    <w:rsid w:val="006F1D6A"/>
    <w:rsid w:val="006F45F3"/>
    <w:rsid w:val="006F5808"/>
    <w:rsid w:val="006F581D"/>
    <w:rsid w:val="006F6585"/>
    <w:rsid w:val="007016C2"/>
    <w:rsid w:val="00701D26"/>
    <w:rsid w:val="00701EBE"/>
    <w:rsid w:val="00702357"/>
    <w:rsid w:val="00702443"/>
    <w:rsid w:val="007028D9"/>
    <w:rsid w:val="00703D99"/>
    <w:rsid w:val="00704627"/>
    <w:rsid w:val="00704A68"/>
    <w:rsid w:val="00704A7A"/>
    <w:rsid w:val="007050A1"/>
    <w:rsid w:val="0070528A"/>
    <w:rsid w:val="0070549A"/>
    <w:rsid w:val="00707218"/>
    <w:rsid w:val="00707C3A"/>
    <w:rsid w:val="00710F5E"/>
    <w:rsid w:val="00711694"/>
    <w:rsid w:val="00712B1D"/>
    <w:rsid w:val="00712B2A"/>
    <w:rsid w:val="00714581"/>
    <w:rsid w:val="00714F19"/>
    <w:rsid w:val="00716324"/>
    <w:rsid w:val="00716455"/>
    <w:rsid w:val="007171C5"/>
    <w:rsid w:val="00720280"/>
    <w:rsid w:val="00721521"/>
    <w:rsid w:val="00723BDE"/>
    <w:rsid w:val="00726290"/>
    <w:rsid w:val="00726A5C"/>
    <w:rsid w:val="00726C66"/>
    <w:rsid w:val="00727860"/>
    <w:rsid w:val="00730350"/>
    <w:rsid w:val="00730614"/>
    <w:rsid w:val="00731163"/>
    <w:rsid w:val="007313AA"/>
    <w:rsid w:val="007313EE"/>
    <w:rsid w:val="00731956"/>
    <w:rsid w:val="007325D9"/>
    <w:rsid w:val="0073481F"/>
    <w:rsid w:val="007352D9"/>
    <w:rsid w:val="00735610"/>
    <w:rsid w:val="00735E6A"/>
    <w:rsid w:val="007360CA"/>
    <w:rsid w:val="00736260"/>
    <w:rsid w:val="00736DC0"/>
    <w:rsid w:val="00742606"/>
    <w:rsid w:val="007434A2"/>
    <w:rsid w:val="00743B94"/>
    <w:rsid w:val="00744A50"/>
    <w:rsid w:val="00745AB7"/>
    <w:rsid w:val="007500D7"/>
    <w:rsid w:val="007502F4"/>
    <w:rsid w:val="00750A80"/>
    <w:rsid w:val="007510A6"/>
    <w:rsid w:val="00751676"/>
    <w:rsid w:val="00751C92"/>
    <w:rsid w:val="00752B71"/>
    <w:rsid w:val="00752C19"/>
    <w:rsid w:val="00752E40"/>
    <w:rsid w:val="007538B9"/>
    <w:rsid w:val="00753BFF"/>
    <w:rsid w:val="00755CE5"/>
    <w:rsid w:val="0075606D"/>
    <w:rsid w:val="00756530"/>
    <w:rsid w:val="00760EC0"/>
    <w:rsid w:val="00760EDE"/>
    <w:rsid w:val="00762070"/>
    <w:rsid w:val="00763BBF"/>
    <w:rsid w:val="007650E2"/>
    <w:rsid w:val="00765470"/>
    <w:rsid w:val="00765F26"/>
    <w:rsid w:val="00766AEA"/>
    <w:rsid w:val="00770789"/>
    <w:rsid w:val="00771CED"/>
    <w:rsid w:val="00772042"/>
    <w:rsid w:val="00772594"/>
    <w:rsid w:val="00772CD7"/>
    <w:rsid w:val="007730AB"/>
    <w:rsid w:val="00773243"/>
    <w:rsid w:val="00773BEB"/>
    <w:rsid w:val="00773E1E"/>
    <w:rsid w:val="00774086"/>
    <w:rsid w:val="007753BA"/>
    <w:rsid w:val="007754AF"/>
    <w:rsid w:val="00775AD0"/>
    <w:rsid w:val="00776BDB"/>
    <w:rsid w:val="0077705D"/>
    <w:rsid w:val="00777A1D"/>
    <w:rsid w:val="0078003A"/>
    <w:rsid w:val="00780771"/>
    <w:rsid w:val="00780AF2"/>
    <w:rsid w:val="00780BA9"/>
    <w:rsid w:val="0078154A"/>
    <w:rsid w:val="0078325D"/>
    <w:rsid w:val="007832C5"/>
    <w:rsid w:val="00784035"/>
    <w:rsid w:val="00784BAF"/>
    <w:rsid w:val="007854D4"/>
    <w:rsid w:val="00786C54"/>
    <w:rsid w:val="0079002F"/>
    <w:rsid w:val="00790921"/>
    <w:rsid w:val="007929CF"/>
    <w:rsid w:val="00794093"/>
    <w:rsid w:val="00794A83"/>
    <w:rsid w:val="00796FF4"/>
    <w:rsid w:val="007A0074"/>
    <w:rsid w:val="007A0AC9"/>
    <w:rsid w:val="007A2A75"/>
    <w:rsid w:val="007A4C6D"/>
    <w:rsid w:val="007A4D47"/>
    <w:rsid w:val="007A5585"/>
    <w:rsid w:val="007A5594"/>
    <w:rsid w:val="007A5CF8"/>
    <w:rsid w:val="007A6289"/>
    <w:rsid w:val="007A6E4C"/>
    <w:rsid w:val="007A6F28"/>
    <w:rsid w:val="007A6FA2"/>
    <w:rsid w:val="007B016E"/>
    <w:rsid w:val="007B03C3"/>
    <w:rsid w:val="007B03C6"/>
    <w:rsid w:val="007B0DB1"/>
    <w:rsid w:val="007B18CE"/>
    <w:rsid w:val="007B190B"/>
    <w:rsid w:val="007B2087"/>
    <w:rsid w:val="007B2319"/>
    <w:rsid w:val="007B2923"/>
    <w:rsid w:val="007B2961"/>
    <w:rsid w:val="007B3EF0"/>
    <w:rsid w:val="007B57C4"/>
    <w:rsid w:val="007B5FA4"/>
    <w:rsid w:val="007B6C04"/>
    <w:rsid w:val="007C1479"/>
    <w:rsid w:val="007C2CDA"/>
    <w:rsid w:val="007C3906"/>
    <w:rsid w:val="007C3BF6"/>
    <w:rsid w:val="007C4D13"/>
    <w:rsid w:val="007C6478"/>
    <w:rsid w:val="007C7278"/>
    <w:rsid w:val="007D0FD2"/>
    <w:rsid w:val="007D1312"/>
    <w:rsid w:val="007D19E5"/>
    <w:rsid w:val="007D21EC"/>
    <w:rsid w:val="007D2A25"/>
    <w:rsid w:val="007D2EF8"/>
    <w:rsid w:val="007D3426"/>
    <w:rsid w:val="007D4C5F"/>
    <w:rsid w:val="007D4D8E"/>
    <w:rsid w:val="007D4DEF"/>
    <w:rsid w:val="007D5328"/>
    <w:rsid w:val="007D561F"/>
    <w:rsid w:val="007D7FD2"/>
    <w:rsid w:val="007E0BDC"/>
    <w:rsid w:val="007E10DF"/>
    <w:rsid w:val="007E12D8"/>
    <w:rsid w:val="007E13D9"/>
    <w:rsid w:val="007E1CE4"/>
    <w:rsid w:val="007E2B78"/>
    <w:rsid w:val="007E41BE"/>
    <w:rsid w:val="007E4DB6"/>
    <w:rsid w:val="007E5C2F"/>
    <w:rsid w:val="007E650C"/>
    <w:rsid w:val="007E7CD4"/>
    <w:rsid w:val="007F12AC"/>
    <w:rsid w:val="007F2742"/>
    <w:rsid w:val="007F7606"/>
    <w:rsid w:val="007F7FE7"/>
    <w:rsid w:val="00800074"/>
    <w:rsid w:val="0080023A"/>
    <w:rsid w:val="008013BE"/>
    <w:rsid w:val="00801800"/>
    <w:rsid w:val="00801B5B"/>
    <w:rsid w:val="0080350E"/>
    <w:rsid w:val="008045BA"/>
    <w:rsid w:val="00804854"/>
    <w:rsid w:val="0080491E"/>
    <w:rsid w:val="00805020"/>
    <w:rsid w:val="008058AC"/>
    <w:rsid w:val="00807577"/>
    <w:rsid w:val="00807627"/>
    <w:rsid w:val="00810F8D"/>
    <w:rsid w:val="00811F4C"/>
    <w:rsid w:val="00812B27"/>
    <w:rsid w:val="00816104"/>
    <w:rsid w:val="00816384"/>
    <w:rsid w:val="00817228"/>
    <w:rsid w:val="00817860"/>
    <w:rsid w:val="00820FEB"/>
    <w:rsid w:val="00821F56"/>
    <w:rsid w:val="00822A89"/>
    <w:rsid w:val="00823BDD"/>
    <w:rsid w:val="00825C13"/>
    <w:rsid w:val="0082649B"/>
    <w:rsid w:val="008264E8"/>
    <w:rsid w:val="0082704E"/>
    <w:rsid w:val="008276B4"/>
    <w:rsid w:val="00831448"/>
    <w:rsid w:val="00831927"/>
    <w:rsid w:val="00831A91"/>
    <w:rsid w:val="00831F2C"/>
    <w:rsid w:val="008338B2"/>
    <w:rsid w:val="008349D1"/>
    <w:rsid w:val="008351F2"/>
    <w:rsid w:val="00835680"/>
    <w:rsid w:val="00836D58"/>
    <w:rsid w:val="00840C5D"/>
    <w:rsid w:val="00840DFE"/>
    <w:rsid w:val="00841BD3"/>
    <w:rsid w:val="00841C31"/>
    <w:rsid w:val="008424D2"/>
    <w:rsid w:val="0084273D"/>
    <w:rsid w:val="00842BC1"/>
    <w:rsid w:val="00843E8E"/>
    <w:rsid w:val="00844C63"/>
    <w:rsid w:val="00844E3F"/>
    <w:rsid w:val="0084531D"/>
    <w:rsid w:val="008454DE"/>
    <w:rsid w:val="008459D6"/>
    <w:rsid w:val="00845A83"/>
    <w:rsid w:val="0084606F"/>
    <w:rsid w:val="00850768"/>
    <w:rsid w:val="00852DDE"/>
    <w:rsid w:val="00854344"/>
    <w:rsid w:val="008550FC"/>
    <w:rsid w:val="0086091A"/>
    <w:rsid w:val="008609FD"/>
    <w:rsid w:val="00861311"/>
    <w:rsid w:val="00862574"/>
    <w:rsid w:val="008625B8"/>
    <w:rsid w:val="00864033"/>
    <w:rsid w:val="00865BF6"/>
    <w:rsid w:val="00865E93"/>
    <w:rsid w:val="008712BB"/>
    <w:rsid w:val="0087276C"/>
    <w:rsid w:val="00872E46"/>
    <w:rsid w:val="00874379"/>
    <w:rsid w:val="00874DE8"/>
    <w:rsid w:val="0087596E"/>
    <w:rsid w:val="008768DF"/>
    <w:rsid w:val="00876D43"/>
    <w:rsid w:val="00876FBE"/>
    <w:rsid w:val="008777C0"/>
    <w:rsid w:val="008778F5"/>
    <w:rsid w:val="00877A9C"/>
    <w:rsid w:val="00880101"/>
    <w:rsid w:val="00880A38"/>
    <w:rsid w:val="00881894"/>
    <w:rsid w:val="00883CA1"/>
    <w:rsid w:val="008879E3"/>
    <w:rsid w:val="00890439"/>
    <w:rsid w:val="00893DCA"/>
    <w:rsid w:val="00893F9B"/>
    <w:rsid w:val="008942D3"/>
    <w:rsid w:val="008976DC"/>
    <w:rsid w:val="008A0496"/>
    <w:rsid w:val="008A1041"/>
    <w:rsid w:val="008A1782"/>
    <w:rsid w:val="008A2484"/>
    <w:rsid w:val="008A289C"/>
    <w:rsid w:val="008A3E54"/>
    <w:rsid w:val="008A56EF"/>
    <w:rsid w:val="008A5AC1"/>
    <w:rsid w:val="008A6309"/>
    <w:rsid w:val="008A651F"/>
    <w:rsid w:val="008A6DC4"/>
    <w:rsid w:val="008A6F8E"/>
    <w:rsid w:val="008B03C7"/>
    <w:rsid w:val="008B0ED3"/>
    <w:rsid w:val="008B0FAB"/>
    <w:rsid w:val="008B108D"/>
    <w:rsid w:val="008B251D"/>
    <w:rsid w:val="008B2688"/>
    <w:rsid w:val="008B370D"/>
    <w:rsid w:val="008B3EC0"/>
    <w:rsid w:val="008B43F2"/>
    <w:rsid w:val="008B45A2"/>
    <w:rsid w:val="008B4C0C"/>
    <w:rsid w:val="008C0C3D"/>
    <w:rsid w:val="008C0DF5"/>
    <w:rsid w:val="008C1A4F"/>
    <w:rsid w:val="008C2018"/>
    <w:rsid w:val="008C26D9"/>
    <w:rsid w:val="008C32BD"/>
    <w:rsid w:val="008C3976"/>
    <w:rsid w:val="008C474A"/>
    <w:rsid w:val="008C4758"/>
    <w:rsid w:val="008C5587"/>
    <w:rsid w:val="008C60FC"/>
    <w:rsid w:val="008C634B"/>
    <w:rsid w:val="008C6834"/>
    <w:rsid w:val="008C6D50"/>
    <w:rsid w:val="008C7167"/>
    <w:rsid w:val="008C7503"/>
    <w:rsid w:val="008D0B28"/>
    <w:rsid w:val="008D13BF"/>
    <w:rsid w:val="008D1617"/>
    <w:rsid w:val="008D17AB"/>
    <w:rsid w:val="008D2794"/>
    <w:rsid w:val="008D37DA"/>
    <w:rsid w:val="008D64D6"/>
    <w:rsid w:val="008E1105"/>
    <w:rsid w:val="008E17FB"/>
    <w:rsid w:val="008E3906"/>
    <w:rsid w:val="008E47B0"/>
    <w:rsid w:val="008E4D43"/>
    <w:rsid w:val="008E53C3"/>
    <w:rsid w:val="008E5817"/>
    <w:rsid w:val="008E59D1"/>
    <w:rsid w:val="008E5B3C"/>
    <w:rsid w:val="008E6315"/>
    <w:rsid w:val="008E7051"/>
    <w:rsid w:val="008F0FA4"/>
    <w:rsid w:val="008F11E0"/>
    <w:rsid w:val="008F1693"/>
    <w:rsid w:val="008F1F5F"/>
    <w:rsid w:val="008F2371"/>
    <w:rsid w:val="008F448C"/>
    <w:rsid w:val="008F6350"/>
    <w:rsid w:val="008F6394"/>
    <w:rsid w:val="008F78BC"/>
    <w:rsid w:val="008F79F7"/>
    <w:rsid w:val="008F7B63"/>
    <w:rsid w:val="008F7D6A"/>
    <w:rsid w:val="00900F33"/>
    <w:rsid w:val="0090245E"/>
    <w:rsid w:val="00903527"/>
    <w:rsid w:val="00903B58"/>
    <w:rsid w:val="00904E4C"/>
    <w:rsid w:val="009054CB"/>
    <w:rsid w:val="00907190"/>
    <w:rsid w:val="0090792D"/>
    <w:rsid w:val="00907B1B"/>
    <w:rsid w:val="00911E0C"/>
    <w:rsid w:val="0091297E"/>
    <w:rsid w:val="00912F94"/>
    <w:rsid w:val="009137C3"/>
    <w:rsid w:val="00913859"/>
    <w:rsid w:val="00914527"/>
    <w:rsid w:val="00915055"/>
    <w:rsid w:val="009157E1"/>
    <w:rsid w:val="00915853"/>
    <w:rsid w:val="00915D06"/>
    <w:rsid w:val="00915EC7"/>
    <w:rsid w:val="009203DF"/>
    <w:rsid w:val="009212EF"/>
    <w:rsid w:val="009219FC"/>
    <w:rsid w:val="00922198"/>
    <w:rsid w:val="00922283"/>
    <w:rsid w:val="009248B0"/>
    <w:rsid w:val="0092590B"/>
    <w:rsid w:val="00925C49"/>
    <w:rsid w:val="00925E60"/>
    <w:rsid w:val="009264B3"/>
    <w:rsid w:val="00927ECF"/>
    <w:rsid w:val="00930699"/>
    <w:rsid w:val="00930A16"/>
    <w:rsid w:val="00933318"/>
    <w:rsid w:val="00933D27"/>
    <w:rsid w:val="00934C87"/>
    <w:rsid w:val="00935202"/>
    <w:rsid w:val="00936267"/>
    <w:rsid w:val="009365E0"/>
    <w:rsid w:val="00940D29"/>
    <w:rsid w:val="00941793"/>
    <w:rsid w:val="00941C64"/>
    <w:rsid w:val="00942385"/>
    <w:rsid w:val="00942BA2"/>
    <w:rsid w:val="009438F5"/>
    <w:rsid w:val="00944C86"/>
    <w:rsid w:val="00945C5A"/>
    <w:rsid w:val="0094669B"/>
    <w:rsid w:val="00951122"/>
    <w:rsid w:val="00952F48"/>
    <w:rsid w:val="009535AE"/>
    <w:rsid w:val="00954086"/>
    <w:rsid w:val="009542C2"/>
    <w:rsid w:val="009554A1"/>
    <w:rsid w:val="0095594A"/>
    <w:rsid w:val="0095705A"/>
    <w:rsid w:val="0095777F"/>
    <w:rsid w:val="00957DE8"/>
    <w:rsid w:val="0096037C"/>
    <w:rsid w:val="00960939"/>
    <w:rsid w:val="00960ECB"/>
    <w:rsid w:val="009615D6"/>
    <w:rsid w:val="009616E2"/>
    <w:rsid w:val="009626EB"/>
    <w:rsid w:val="00963F1C"/>
    <w:rsid w:val="00965B2C"/>
    <w:rsid w:val="00966220"/>
    <w:rsid w:val="00967855"/>
    <w:rsid w:val="00973554"/>
    <w:rsid w:val="00974D81"/>
    <w:rsid w:val="00975E0C"/>
    <w:rsid w:val="00977CEB"/>
    <w:rsid w:val="009801F0"/>
    <w:rsid w:val="009805F6"/>
    <w:rsid w:val="00980736"/>
    <w:rsid w:val="00980AE8"/>
    <w:rsid w:val="00980B17"/>
    <w:rsid w:val="00980BC8"/>
    <w:rsid w:val="00980C9D"/>
    <w:rsid w:val="0098187B"/>
    <w:rsid w:val="00981A39"/>
    <w:rsid w:val="0098317E"/>
    <w:rsid w:val="0098570D"/>
    <w:rsid w:val="00985858"/>
    <w:rsid w:val="00985D00"/>
    <w:rsid w:val="00987097"/>
    <w:rsid w:val="00987986"/>
    <w:rsid w:val="00987B8C"/>
    <w:rsid w:val="0099020D"/>
    <w:rsid w:val="009907E8"/>
    <w:rsid w:val="00990A84"/>
    <w:rsid w:val="00991585"/>
    <w:rsid w:val="00991BEA"/>
    <w:rsid w:val="0099264E"/>
    <w:rsid w:val="00992903"/>
    <w:rsid w:val="00992FB2"/>
    <w:rsid w:val="00993E9D"/>
    <w:rsid w:val="009942D6"/>
    <w:rsid w:val="009944EA"/>
    <w:rsid w:val="009947CD"/>
    <w:rsid w:val="00994953"/>
    <w:rsid w:val="009949B2"/>
    <w:rsid w:val="00994E4F"/>
    <w:rsid w:val="00994FCF"/>
    <w:rsid w:val="009974B9"/>
    <w:rsid w:val="009A0C7D"/>
    <w:rsid w:val="009A143C"/>
    <w:rsid w:val="009A1DE0"/>
    <w:rsid w:val="009A3A9C"/>
    <w:rsid w:val="009A4451"/>
    <w:rsid w:val="009A4BAE"/>
    <w:rsid w:val="009A55AD"/>
    <w:rsid w:val="009A77F4"/>
    <w:rsid w:val="009B046C"/>
    <w:rsid w:val="009B13FA"/>
    <w:rsid w:val="009B1E2D"/>
    <w:rsid w:val="009B2C04"/>
    <w:rsid w:val="009B3575"/>
    <w:rsid w:val="009B3AE4"/>
    <w:rsid w:val="009B3CBB"/>
    <w:rsid w:val="009B3D0A"/>
    <w:rsid w:val="009B48AB"/>
    <w:rsid w:val="009B4AD9"/>
    <w:rsid w:val="009B5608"/>
    <w:rsid w:val="009B56D1"/>
    <w:rsid w:val="009B5C09"/>
    <w:rsid w:val="009B67CE"/>
    <w:rsid w:val="009B6D81"/>
    <w:rsid w:val="009B6D93"/>
    <w:rsid w:val="009B6E0E"/>
    <w:rsid w:val="009C378E"/>
    <w:rsid w:val="009C3ACC"/>
    <w:rsid w:val="009C515E"/>
    <w:rsid w:val="009C59FB"/>
    <w:rsid w:val="009C64D3"/>
    <w:rsid w:val="009C6F3B"/>
    <w:rsid w:val="009C7FE3"/>
    <w:rsid w:val="009D0E43"/>
    <w:rsid w:val="009D1467"/>
    <w:rsid w:val="009D1733"/>
    <w:rsid w:val="009D29E8"/>
    <w:rsid w:val="009D2F52"/>
    <w:rsid w:val="009D402A"/>
    <w:rsid w:val="009D5B8B"/>
    <w:rsid w:val="009E0264"/>
    <w:rsid w:val="009E061C"/>
    <w:rsid w:val="009E19C8"/>
    <w:rsid w:val="009E23FD"/>
    <w:rsid w:val="009E2967"/>
    <w:rsid w:val="009E3BAA"/>
    <w:rsid w:val="009E4937"/>
    <w:rsid w:val="009E4FA6"/>
    <w:rsid w:val="009E50DD"/>
    <w:rsid w:val="009E56B1"/>
    <w:rsid w:val="009E58C9"/>
    <w:rsid w:val="009E5FA1"/>
    <w:rsid w:val="009E6B83"/>
    <w:rsid w:val="009E6BD5"/>
    <w:rsid w:val="009E6FD4"/>
    <w:rsid w:val="009E7802"/>
    <w:rsid w:val="009E7D93"/>
    <w:rsid w:val="009F2A31"/>
    <w:rsid w:val="009F2D9C"/>
    <w:rsid w:val="009F3079"/>
    <w:rsid w:val="009F3880"/>
    <w:rsid w:val="009F45DE"/>
    <w:rsid w:val="009F5C33"/>
    <w:rsid w:val="009F7620"/>
    <w:rsid w:val="00A011F2"/>
    <w:rsid w:val="00A016AE"/>
    <w:rsid w:val="00A03EAC"/>
    <w:rsid w:val="00A0524E"/>
    <w:rsid w:val="00A06C34"/>
    <w:rsid w:val="00A07B8E"/>
    <w:rsid w:val="00A10107"/>
    <w:rsid w:val="00A10FE3"/>
    <w:rsid w:val="00A11CA6"/>
    <w:rsid w:val="00A12176"/>
    <w:rsid w:val="00A154F6"/>
    <w:rsid w:val="00A17247"/>
    <w:rsid w:val="00A20905"/>
    <w:rsid w:val="00A20C49"/>
    <w:rsid w:val="00A21C2A"/>
    <w:rsid w:val="00A23B8E"/>
    <w:rsid w:val="00A26067"/>
    <w:rsid w:val="00A260AC"/>
    <w:rsid w:val="00A260CF"/>
    <w:rsid w:val="00A26583"/>
    <w:rsid w:val="00A26913"/>
    <w:rsid w:val="00A269CA"/>
    <w:rsid w:val="00A27BA7"/>
    <w:rsid w:val="00A31E0C"/>
    <w:rsid w:val="00A325E7"/>
    <w:rsid w:val="00A3349D"/>
    <w:rsid w:val="00A336EE"/>
    <w:rsid w:val="00A33EB2"/>
    <w:rsid w:val="00A34A5B"/>
    <w:rsid w:val="00A35254"/>
    <w:rsid w:val="00A35413"/>
    <w:rsid w:val="00A359AC"/>
    <w:rsid w:val="00A377E7"/>
    <w:rsid w:val="00A40427"/>
    <w:rsid w:val="00A41413"/>
    <w:rsid w:val="00A4159D"/>
    <w:rsid w:val="00A41932"/>
    <w:rsid w:val="00A42C54"/>
    <w:rsid w:val="00A43BD9"/>
    <w:rsid w:val="00A446C4"/>
    <w:rsid w:val="00A45FB1"/>
    <w:rsid w:val="00A46CCC"/>
    <w:rsid w:val="00A46FF0"/>
    <w:rsid w:val="00A51241"/>
    <w:rsid w:val="00A51CFE"/>
    <w:rsid w:val="00A54245"/>
    <w:rsid w:val="00A54F4E"/>
    <w:rsid w:val="00A55BD0"/>
    <w:rsid w:val="00A56A85"/>
    <w:rsid w:val="00A570A9"/>
    <w:rsid w:val="00A602D5"/>
    <w:rsid w:val="00A607D9"/>
    <w:rsid w:val="00A633CC"/>
    <w:rsid w:val="00A63DF1"/>
    <w:rsid w:val="00A64353"/>
    <w:rsid w:val="00A652AE"/>
    <w:rsid w:val="00A65E7B"/>
    <w:rsid w:val="00A667B0"/>
    <w:rsid w:val="00A67C16"/>
    <w:rsid w:val="00A715C4"/>
    <w:rsid w:val="00A72450"/>
    <w:rsid w:val="00A7263F"/>
    <w:rsid w:val="00A7295C"/>
    <w:rsid w:val="00A72FEB"/>
    <w:rsid w:val="00A74677"/>
    <w:rsid w:val="00A75A0E"/>
    <w:rsid w:val="00A760AE"/>
    <w:rsid w:val="00A76875"/>
    <w:rsid w:val="00A76B09"/>
    <w:rsid w:val="00A76C13"/>
    <w:rsid w:val="00A80C95"/>
    <w:rsid w:val="00A818D4"/>
    <w:rsid w:val="00A81EB9"/>
    <w:rsid w:val="00A82C82"/>
    <w:rsid w:val="00A835CC"/>
    <w:rsid w:val="00A83D9B"/>
    <w:rsid w:val="00A8417C"/>
    <w:rsid w:val="00A84C3E"/>
    <w:rsid w:val="00A90252"/>
    <w:rsid w:val="00A90A29"/>
    <w:rsid w:val="00A9253E"/>
    <w:rsid w:val="00A92E79"/>
    <w:rsid w:val="00A92E7B"/>
    <w:rsid w:val="00A92F9D"/>
    <w:rsid w:val="00A94608"/>
    <w:rsid w:val="00A94648"/>
    <w:rsid w:val="00A950B6"/>
    <w:rsid w:val="00A95BB7"/>
    <w:rsid w:val="00A96A65"/>
    <w:rsid w:val="00A97352"/>
    <w:rsid w:val="00A97A0A"/>
    <w:rsid w:val="00AA0213"/>
    <w:rsid w:val="00AA156C"/>
    <w:rsid w:val="00AA35C0"/>
    <w:rsid w:val="00AA367B"/>
    <w:rsid w:val="00AA38B3"/>
    <w:rsid w:val="00AA419D"/>
    <w:rsid w:val="00AA5574"/>
    <w:rsid w:val="00AA6B2A"/>
    <w:rsid w:val="00AA76B7"/>
    <w:rsid w:val="00AA7AE9"/>
    <w:rsid w:val="00AA7D51"/>
    <w:rsid w:val="00AB121B"/>
    <w:rsid w:val="00AB19BD"/>
    <w:rsid w:val="00AB1C56"/>
    <w:rsid w:val="00AB41C1"/>
    <w:rsid w:val="00AB4437"/>
    <w:rsid w:val="00AB4873"/>
    <w:rsid w:val="00AB528B"/>
    <w:rsid w:val="00AB5BE4"/>
    <w:rsid w:val="00AB5C5C"/>
    <w:rsid w:val="00AB6175"/>
    <w:rsid w:val="00AB7453"/>
    <w:rsid w:val="00AB7C3F"/>
    <w:rsid w:val="00AB7E9C"/>
    <w:rsid w:val="00AC1240"/>
    <w:rsid w:val="00AC1D2B"/>
    <w:rsid w:val="00AC4CD9"/>
    <w:rsid w:val="00AC4F22"/>
    <w:rsid w:val="00AC6BC8"/>
    <w:rsid w:val="00AC7594"/>
    <w:rsid w:val="00AD01CB"/>
    <w:rsid w:val="00AD0A4F"/>
    <w:rsid w:val="00AD12A8"/>
    <w:rsid w:val="00AD58B0"/>
    <w:rsid w:val="00AD5C65"/>
    <w:rsid w:val="00AE023F"/>
    <w:rsid w:val="00AE0796"/>
    <w:rsid w:val="00AE1D99"/>
    <w:rsid w:val="00AE31F9"/>
    <w:rsid w:val="00AE356B"/>
    <w:rsid w:val="00AE40A6"/>
    <w:rsid w:val="00AE4F69"/>
    <w:rsid w:val="00AE5DBC"/>
    <w:rsid w:val="00AF02AE"/>
    <w:rsid w:val="00AF02BF"/>
    <w:rsid w:val="00AF108C"/>
    <w:rsid w:val="00AF1510"/>
    <w:rsid w:val="00AF1EB5"/>
    <w:rsid w:val="00AF213A"/>
    <w:rsid w:val="00AF3577"/>
    <w:rsid w:val="00AF35F9"/>
    <w:rsid w:val="00AF3DD9"/>
    <w:rsid w:val="00AF4FFC"/>
    <w:rsid w:val="00AF728E"/>
    <w:rsid w:val="00AF79AF"/>
    <w:rsid w:val="00B02F7E"/>
    <w:rsid w:val="00B0405F"/>
    <w:rsid w:val="00B04B01"/>
    <w:rsid w:val="00B04FC6"/>
    <w:rsid w:val="00B05C7D"/>
    <w:rsid w:val="00B0609B"/>
    <w:rsid w:val="00B11E54"/>
    <w:rsid w:val="00B14854"/>
    <w:rsid w:val="00B1521F"/>
    <w:rsid w:val="00B159DC"/>
    <w:rsid w:val="00B17947"/>
    <w:rsid w:val="00B179C3"/>
    <w:rsid w:val="00B17CAB"/>
    <w:rsid w:val="00B20200"/>
    <w:rsid w:val="00B202CF"/>
    <w:rsid w:val="00B219BC"/>
    <w:rsid w:val="00B22033"/>
    <w:rsid w:val="00B22419"/>
    <w:rsid w:val="00B229B3"/>
    <w:rsid w:val="00B22A0F"/>
    <w:rsid w:val="00B2309F"/>
    <w:rsid w:val="00B257F9"/>
    <w:rsid w:val="00B25FE1"/>
    <w:rsid w:val="00B26907"/>
    <w:rsid w:val="00B27610"/>
    <w:rsid w:val="00B30D14"/>
    <w:rsid w:val="00B324ED"/>
    <w:rsid w:val="00B3384C"/>
    <w:rsid w:val="00B3429F"/>
    <w:rsid w:val="00B346C3"/>
    <w:rsid w:val="00B36ACE"/>
    <w:rsid w:val="00B375B9"/>
    <w:rsid w:val="00B37BBF"/>
    <w:rsid w:val="00B37FD8"/>
    <w:rsid w:val="00B401C9"/>
    <w:rsid w:val="00B40FA7"/>
    <w:rsid w:val="00B41135"/>
    <w:rsid w:val="00B4471C"/>
    <w:rsid w:val="00B451A6"/>
    <w:rsid w:val="00B46026"/>
    <w:rsid w:val="00B466EE"/>
    <w:rsid w:val="00B467F1"/>
    <w:rsid w:val="00B469AD"/>
    <w:rsid w:val="00B47780"/>
    <w:rsid w:val="00B51632"/>
    <w:rsid w:val="00B5680F"/>
    <w:rsid w:val="00B56EE2"/>
    <w:rsid w:val="00B57F91"/>
    <w:rsid w:val="00B60133"/>
    <w:rsid w:val="00B60768"/>
    <w:rsid w:val="00B610E5"/>
    <w:rsid w:val="00B610EB"/>
    <w:rsid w:val="00B61D68"/>
    <w:rsid w:val="00B63755"/>
    <w:rsid w:val="00B650EC"/>
    <w:rsid w:val="00B65288"/>
    <w:rsid w:val="00B66407"/>
    <w:rsid w:val="00B673BA"/>
    <w:rsid w:val="00B67EBB"/>
    <w:rsid w:val="00B715DE"/>
    <w:rsid w:val="00B71E25"/>
    <w:rsid w:val="00B722DE"/>
    <w:rsid w:val="00B72561"/>
    <w:rsid w:val="00B7319D"/>
    <w:rsid w:val="00B73977"/>
    <w:rsid w:val="00B73C0A"/>
    <w:rsid w:val="00B73D50"/>
    <w:rsid w:val="00B75057"/>
    <w:rsid w:val="00B76982"/>
    <w:rsid w:val="00B76C44"/>
    <w:rsid w:val="00B77945"/>
    <w:rsid w:val="00B77B3C"/>
    <w:rsid w:val="00B809F4"/>
    <w:rsid w:val="00B81F27"/>
    <w:rsid w:val="00B83F87"/>
    <w:rsid w:val="00B846D8"/>
    <w:rsid w:val="00B872CA"/>
    <w:rsid w:val="00B918D4"/>
    <w:rsid w:val="00B91F3E"/>
    <w:rsid w:val="00B92369"/>
    <w:rsid w:val="00B925ED"/>
    <w:rsid w:val="00B92AE2"/>
    <w:rsid w:val="00B9515E"/>
    <w:rsid w:val="00B9643B"/>
    <w:rsid w:val="00B97CD4"/>
    <w:rsid w:val="00BA22F2"/>
    <w:rsid w:val="00BA2EFA"/>
    <w:rsid w:val="00BA36F1"/>
    <w:rsid w:val="00BA3DBC"/>
    <w:rsid w:val="00BA43AF"/>
    <w:rsid w:val="00BA4B84"/>
    <w:rsid w:val="00BA5758"/>
    <w:rsid w:val="00BA5E00"/>
    <w:rsid w:val="00BA731A"/>
    <w:rsid w:val="00BB03BA"/>
    <w:rsid w:val="00BB0CAB"/>
    <w:rsid w:val="00BB0D57"/>
    <w:rsid w:val="00BB0DD9"/>
    <w:rsid w:val="00BB1601"/>
    <w:rsid w:val="00BB18CE"/>
    <w:rsid w:val="00BB1BC5"/>
    <w:rsid w:val="00BB1DFE"/>
    <w:rsid w:val="00BB2147"/>
    <w:rsid w:val="00BB2D52"/>
    <w:rsid w:val="00BB2DA2"/>
    <w:rsid w:val="00BB33C7"/>
    <w:rsid w:val="00BB39EA"/>
    <w:rsid w:val="00BB3AEE"/>
    <w:rsid w:val="00BB56DC"/>
    <w:rsid w:val="00BB61A1"/>
    <w:rsid w:val="00BB62F1"/>
    <w:rsid w:val="00BB63E9"/>
    <w:rsid w:val="00BB65C9"/>
    <w:rsid w:val="00BB69D5"/>
    <w:rsid w:val="00BC234A"/>
    <w:rsid w:val="00BC50B6"/>
    <w:rsid w:val="00BC679A"/>
    <w:rsid w:val="00BC74E1"/>
    <w:rsid w:val="00BD1B84"/>
    <w:rsid w:val="00BD2C11"/>
    <w:rsid w:val="00BD2D8E"/>
    <w:rsid w:val="00BD597C"/>
    <w:rsid w:val="00BD6828"/>
    <w:rsid w:val="00BD6A21"/>
    <w:rsid w:val="00BD6ACA"/>
    <w:rsid w:val="00BD745F"/>
    <w:rsid w:val="00BE04E4"/>
    <w:rsid w:val="00BE183D"/>
    <w:rsid w:val="00BE2B86"/>
    <w:rsid w:val="00BE38CC"/>
    <w:rsid w:val="00BE4376"/>
    <w:rsid w:val="00BE5521"/>
    <w:rsid w:val="00BE5A5E"/>
    <w:rsid w:val="00BE5A84"/>
    <w:rsid w:val="00BE754E"/>
    <w:rsid w:val="00BE7B94"/>
    <w:rsid w:val="00BE7F12"/>
    <w:rsid w:val="00BF118C"/>
    <w:rsid w:val="00BF19ED"/>
    <w:rsid w:val="00BF1FF5"/>
    <w:rsid w:val="00BF2AE6"/>
    <w:rsid w:val="00BF2B95"/>
    <w:rsid w:val="00BF2D0A"/>
    <w:rsid w:val="00BF3E19"/>
    <w:rsid w:val="00BF5D7A"/>
    <w:rsid w:val="00BF5EF5"/>
    <w:rsid w:val="00BF64F9"/>
    <w:rsid w:val="00BF7141"/>
    <w:rsid w:val="00BF7445"/>
    <w:rsid w:val="00C0004F"/>
    <w:rsid w:val="00C01289"/>
    <w:rsid w:val="00C021C8"/>
    <w:rsid w:val="00C02D33"/>
    <w:rsid w:val="00C048AC"/>
    <w:rsid w:val="00C07108"/>
    <w:rsid w:val="00C0769E"/>
    <w:rsid w:val="00C10A69"/>
    <w:rsid w:val="00C10D60"/>
    <w:rsid w:val="00C11E9C"/>
    <w:rsid w:val="00C1232C"/>
    <w:rsid w:val="00C12616"/>
    <w:rsid w:val="00C13FC3"/>
    <w:rsid w:val="00C142AD"/>
    <w:rsid w:val="00C15431"/>
    <w:rsid w:val="00C1547C"/>
    <w:rsid w:val="00C16590"/>
    <w:rsid w:val="00C20B5C"/>
    <w:rsid w:val="00C21220"/>
    <w:rsid w:val="00C2202C"/>
    <w:rsid w:val="00C22C3C"/>
    <w:rsid w:val="00C22D52"/>
    <w:rsid w:val="00C24BA7"/>
    <w:rsid w:val="00C25574"/>
    <w:rsid w:val="00C26319"/>
    <w:rsid w:val="00C330EC"/>
    <w:rsid w:val="00C33EA4"/>
    <w:rsid w:val="00C34851"/>
    <w:rsid w:val="00C36442"/>
    <w:rsid w:val="00C371EC"/>
    <w:rsid w:val="00C400CE"/>
    <w:rsid w:val="00C410FD"/>
    <w:rsid w:val="00C4179C"/>
    <w:rsid w:val="00C421E6"/>
    <w:rsid w:val="00C42239"/>
    <w:rsid w:val="00C4234F"/>
    <w:rsid w:val="00C428AD"/>
    <w:rsid w:val="00C454D2"/>
    <w:rsid w:val="00C4640C"/>
    <w:rsid w:val="00C464EC"/>
    <w:rsid w:val="00C47FE0"/>
    <w:rsid w:val="00C50804"/>
    <w:rsid w:val="00C51069"/>
    <w:rsid w:val="00C514B2"/>
    <w:rsid w:val="00C514F4"/>
    <w:rsid w:val="00C51E96"/>
    <w:rsid w:val="00C535E3"/>
    <w:rsid w:val="00C539FB"/>
    <w:rsid w:val="00C53E21"/>
    <w:rsid w:val="00C54518"/>
    <w:rsid w:val="00C549F1"/>
    <w:rsid w:val="00C555F1"/>
    <w:rsid w:val="00C55684"/>
    <w:rsid w:val="00C55916"/>
    <w:rsid w:val="00C560E6"/>
    <w:rsid w:val="00C5687E"/>
    <w:rsid w:val="00C56CEC"/>
    <w:rsid w:val="00C60121"/>
    <w:rsid w:val="00C614F1"/>
    <w:rsid w:val="00C62C62"/>
    <w:rsid w:val="00C63161"/>
    <w:rsid w:val="00C63235"/>
    <w:rsid w:val="00C64E42"/>
    <w:rsid w:val="00C66240"/>
    <w:rsid w:val="00C666AB"/>
    <w:rsid w:val="00C668A3"/>
    <w:rsid w:val="00C66963"/>
    <w:rsid w:val="00C66D3E"/>
    <w:rsid w:val="00C67121"/>
    <w:rsid w:val="00C70E2F"/>
    <w:rsid w:val="00C71BA4"/>
    <w:rsid w:val="00C72A09"/>
    <w:rsid w:val="00C72A70"/>
    <w:rsid w:val="00C74EA2"/>
    <w:rsid w:val="00C800B8"/>
    <w:rsid w:val="00C81486"/>
    <w:rsid w:val="00C81B66"/>
    <w:rsid w:val="00C82383"/>
    <w:rsid w:val="00C823B6"/>
    <w:rsid w:val="00C82E6F"/>
    <w:rsid w:val="00C8673E"/>
    <w:rsid w:val="00C901B6"/>
    <w:rsid w:val="00C9029B"/>
    <w:rsid w:val="00C925D2"/>
    <w:rsid w:val="00C930D4"/>
    <w:rsid w:val="00C932FB"/>
    <w:rsid w:val="00C93495"/>
    <w:rsid w:val="00C939EE"/>
    <w:rsid w:val="00C93A66"/>
    <w:rsid w:val="00C96008"/>
    <w:rsid w:val="00C96661"/>
    <w:rsid w:val="00C96988"/>
    <w:rsid w:val="00CA05B2"/>
    <w:rsid w:val="00CA0EEF"/>
    <w:rsid w:val="00CA246D"/>
    <w:rsid w:val="00CA3168"/>
    <w:rsid w:val="00CA4A5D"/>
    <w:rsid w:val="00CA4E50"/>
    <w:rsid w:val="00CA50D9"/>
    <w:rsid w:val="00CA5E52"/>
    <w:rsid w:val="00CB2F5E"/>
    <w:rsid w:val="00CB3560"/>
    <w:rsid w:val="00CB393F"/>
    <w:rsid w:val="00CB437C"/>
    <w:rsid w:val="00CB5251"/>
    <w:rsid w:val="00CB5636"/>
    <w:rsid w:val="00CB582F"/>
    <w:rsid w:val="00CB7B49"/>
    <w:rsid w:val="00CC0029"/>
    <w:rsid w:val="00CC0C4E"/>
    <w:rsid w:val="00CC0E97"/>
    <w:rsid w:val="00CC150B"/>
    <w:rsid w:val="00CC20CC"/>
    <w:rsid w:val="00CC278E"/>
    <w:rsid w:val="00CC2A47"/>
    <w:rsid w:val="00CC5178"/>
    <w:rsid w:val="00CD1E89"/>
    <w:rsid w:val="00CD26DC"/>
    <w:rsid w:val="00CD469D"/>
    <w:rsid w:val="00CD69BB"/>
    <w:rsid w:val="00CD6B60"/>
    <w:rsid w:val="00CE071A"/>
    <w:rsid w:val="00CE0B11"/>
    <w:rsid w:val="00CE11D1"/>
    <w:rsid w:val="00CE41E6"/>
    <w:rsid w:val="00CE6043"/>
    <w:rsid w:val="00CE6EA2"/>
    <w:rsid w:val="00CF7845"/>
    <w:rsid w:val="00CF7B51"/>
    <w:rsid w:val="00D00927"/>
    <w:rsid w:val="00D01FB7"/>
    <w:rsid w:val="00D054A7"/>
    <w:rsid w:val="00D05DC8"/>
    <w:rsid w:val="00D063E9"/>
    <w:rsid w:val="00D072FC"/>
    <w:rsid w:val="00D07FD0"/>
    <w:rsid w:val="00D10BE3"/>
    <w:rsid w:val="00D10F21"/>
    <w:rsid w:val="00D110D4"/>
    <w:rsid w:val="00D115B6"/>
    <w:rsid w:val="00D11E99"/>
    <w:rsid w:val="00D1234B"/>
    <w:rsid w:val="00D125A1"/>
    <w:rsid w:val="00D14332"/>
    <w:rsid w:val="00D14351"/>
    <w:rsid w:val="00D14374"/>
    <w:rsid w:val="00D14550"/>
    <w:rsid w:val="00D14640"/>
    <w:rsid w:val="00D14FB9"/>
    <w:rsid w:val="00D155FC"/>
    <w:rsid w:val="00D15882"/>
    <w:rsid w:val="00D16166"/>
    <w:rsid w:val="00D16D7B"/>
    <w:rsid w:val="00D172A4"/>
    <w:rsid w:val="00D221FA"/>
    <w:rsid w:val="00D222A6"/>
    <w:rsid w:val="00D243BC"/>
    <w:rsid w:val="00D24497"/>
    <w:rsid w:val="00D24806"/>
    <w:rsid w:val="00D258EC"/>
    <w:rsid w:val="00D270DE"/>
    <w:rsid w:val="00D30232"/>
    <w:rsid w:val="00D3043B"/>
    <w:rsid w:val="00D31951"/>
    <w:rsid w:val="00D3376B"/>
    <w:rsid w:val="00D34040"/>
    <w:rsid w:val="00D3416F"/>
    <w:rsid w:val="00D34371"/>
    <w:rsid w:val="00D34E69"/>
    <w:rsid w:val="00D36186"/>
    <w:rsid w:val="00D375EE"/>
    <w:rsid w:val="00D37BC5"/>
    <w:rsid w:val="00D4031A"/>
    <w:rsid w:val="00D4224D"/>
    <w:rsid w:val="00D42D86"/>
    <w:rsid w:val="00D43218"/>
    <w:rsid w:val="00D43537"/>
    <w:rsid w:val="00D4454A"/>
    <w:rsid w:val="00D44D9F"/>
    <w:rsid w:val="00D44E3E"/>
    <w:rsid w:val="00D46D99"/>
    <w:rsid w:val="00D51904"/>
    <w:rsid w:val="00D5358A"/>
    <w:rsid w:val="00D53A1E"/>
    <w:rsid w:val="00D53EBF"/>
    <w:rsid w:val="00D54004"/>
    <w:rsid w:val="00D540AE"/>
    <w:rsid w:val="00D55B52"/>
    <w:rsid w:val="00D563E1"/>
    <w:rsid w:val="00D56745"/>
    <w:rsid w:val="00D57071"/>
    <w:rsid w:val="00D57873"/>
    <w:rsid w:val="00D57FC3"/>
    <w:rsid w:val="00D60D56"/>
    <w:rsid w:val="00D62699"/>
    <w:rsid w:val="00D62CB9"/>
    <w:rsid w:val="00D63D02"/>
    <w:rsid w:val="00D63E11"/>
    <w:rsid w:val="00D641B9"/>
    <w:rsid w:val="00D64B43"/>
    <w:rsid w:val="00D6777B"/>
    <w:rsid w:val="00D67EAF"/>
    <w:rsid w:val="00D701C8"/>
    <w:rsid w:val="00D71B8D"/>
    <w:rsid w:val="00D72B70"/>
    <w:rsid w:val="00D7347E"/>
    <w:rsid w:val="00D73F76"/>
    <w:rsid w:val="00D7660D"/>
    <w:rsid w:val="00D76FBC"/>
    <w:rsid w:val="00D77974"/>
    <w:rsid w:val="00D77C8D"/>
    <w:rsid w:val="00D80120"/>
    <w:rsid w:val="00D80AF2"/>
    <w:rsid w:val="00D81157"/>
    <w:rsid w:val="00D81A0F"/>
    <w:rsid w:val="00D82620"/>
    <w:rsid w:val="00D83489"/>
    <w:rsid w:val="00D834A5"/>
    <w:rsid w:val="00D83FEE"/>
    <w:rsid w:val="00D851EC"/>
    <w:rsid w:val="00D85356"/>
    <w:rsid w:val="00D8763F"/>
    <w:rsid w:val="00D878E9"/>
    <w:rsid w:val="00D90873"/>
    <w:rsid w:val="00D9313C"/>
    <w:rsid w:val="00D9560B"/>
    <w:rsid w:val="00D970AA"/>
    <w:rsid w:val="00D970EF"/>
    <w:rsid w:val="00D9725F"/>
    <w:rsid w:val="00DA01B1"/>
    <w:rsid w:val="00DA11A2"/>
    <w:rsid w:val="00DA14ED"/>
    <w:rsid w:val="00DA2C82"/>
    <w:rsid w:val="00DA2E2A"/>
    <w:rsid w:val="00DA2F6D"/>
    <w:rsid w:val="00DA3CCE"/>
    <w:rsid w:val="00DA3DF0"/>
    <w:rsid w:val="00DA4CCB"/>
    <w:rsid w:val="00DA4D8F"/>
    <w:rsid w:val="00DA556E"/>
    <w:rsid w:val="00DA6C41"/>
    <w:rsid w:val="00DA7126"/>
    <w:rsid w:val="00DB1D28"/>
    <w:rsid w:val="00DB20F1"/>
    <w:rsid w:val="00DB276E"/>
    <w:rsid w:val="00DB28B8"/>
    <w:rsid w:val="00DB2EF1"/>
    <w:rsid w:val="00DB347E"/>
    <w:rsid w:val="00DB3489"/>
    <w:rsid w:val="00DB3DE1"/>
    <w:rsid w:val="00DB49BC"/>
    <w:rsid w:val="00DB5DA0"/>
    <w:rsid w:val="00DB716C"/>
    <w:rsid w:val="00DC03EC"/>
    <w:rsid w:val="00DC16BE"/>
    <w:rsid w:val="00DC1DAA"/>
    <w:rsid w:val="00DC206D"/>
    <w:rsid w:val="00DC2E7A"/>
    <w:rsid w:val="00DC35F1"/>
    <w:rsid w:val="00DC49CE"/>
    <w:rsid w:val="00DC5325"/>
    <w:rsid w:val="00DC5C85"/>
    <w:rsid w:val="00DC67E6"/>
    <w:rsid w:val="00DC6C3A"/>
    <w:rsid w:val="00DC78DC"/>
    <w:rsid w:val="00DD021D"/>
    <w:rsid w:val="00DD06A7"/>
    <w:rsid w:val="00DD1472"/>
    <w:rsid w:val="00DD1FC8"/>
    <w:rsid w:val="00DD4236"/>
    <w:rsid w:val="00DD44F1"/>
    <w:rsid w:val="00DD5C5C"/>
    <w:rsid w:val="00DD600E"/>
    <w:rsid w:val="00DD618E"/>
    <w:rsid w:val="00DD644B"/>
    <w:rsid w:val="00DE0987"/>
    <w:rsid w:val="00DE1963"/>
    <w:rsid w:val="00DE2213"/>
    <w:rsid w:val="00DE3067"/>
    <w:rsid w:val="00DE383D"/>
    <w:rsid w:val="00DE44B0"/>
    <w:rsid w:val="00DE56B3"/>
    <w:rsid w:val="00DE5D71"/>
    <w:rsid w:val="00DE7B9B"/>
    <w:rsid w:val="00DF0861"/>
    <w:rsid w:val="00DF1A15"/>
    <w:rsid w:val="00DF1A3E"/>
    <w:rsid w:val="00DF2FCA"/>
    <w:rsid w:val="00DF49EA"/>
    <w:rsid w:val="00DF62BE"/>
    <w:rsid w:val="00DF65CB"/>
    <w:rsid w:val="00DF68D6"/>
    <w:rsid w:val="00DF751C"/>
    <w:rsid w:val="00DF795C"/>
    <w:rsid w:val="00DF79A8"/>
    <w:rsid w:val="00E00684"/>
    <w:rsid w:val="00E027BC"/>
    <w:rsid w:val="00E035E1"/>
    <w:rsid w:val="00E03AA9"/>
    <w:rsid w:val="00E06831"/>
    <w:rsid w:val="00E06D58"/>
    <w:rsid w:val="00E0704F"/>
    <w:rsid w:val="00E0771C"/>
    <w:rsid w:val="00E0772E"/>
    <w:rsid w:val="00E11DCF"/>
    <w:rsid w:val="00E11F55"/>
    <w:rsid w:val="00E1214F"/>
    <w:rsid w:val="00E12D3D"/>
    <w:rsid w:val="00E14B18"/>
    <w:rsid w:val="00E14EA5"/>
    <w:rsid w:val="00E15509"/>
    <w:rsid w:val="00E1726F"/>
    <w:rsid w:val="00E17FD2"/>
    <w:rsid w:val="00E2075B"/>
    <w:rsid w:val="00E20E3F"/>
    <w:rsid w:val="00E21133"/>
    <w:rsid w:val="00E227A6"/>
    <w:rsid w:val="00E2327E"/>
    <w:rsid w:val="00E232FE"/>
    <w:rsid w:val="00E237E9"/>
    <w:rsid w:val="00E24825"/>
    <w:rsid w:val="00E254A2"/>
    <w:rsid w:val="00E25795"/>
    <w:rsid w:val="00E266EF"/>
    <w:rsid w:val="00E26B15"/>
    <w:rsid w:val="00E279EC"/>
    <w:rsid w:val="00E27DDF"/>
    <w:rsid w:val="00E27FC0"/>
    <w:rsid w:val="00E3037A"/>
    <w:rsid w:val="00E30BBC"/>
    <w:rsid w:val="00E30E07"/>
    <w:rsid w:val="00E34A68"/>
    <w:rsid w:val="00E34BCB"/>
    <w:rsid w:val="00E36B8A"/>
    <w:rsid w:val="00E4043A"/>
    <w:rsid w:val="00E407D8"/>
    <w:rsid w:val="00E40C4A"/>
    <w:rsid w:val="00E41047"/>
    <w:rsid w:val="00E41088"/>
    <w:rsid w:val="00E41151"/>
    <w:rsid w:val="00E41C46"/>
    <w:rsid w:val="00E4260A"/>
    <w:rsid w:val="00E4280A"/>
    <w:rsid w:val="00E44440"/>
    <w:rsid w:val="00E44BAB"/>
    <w:rsid w:val="00E45DB6"/>
    <w:rsid w:val="00E473C1"/>
    <w:rsid w:val="00E47428"/>
    <w:rsid w:val="00E506DB"/>
    <w:rsid w:val="00E50A2A"/>
    <w:rsid w:val="00E50E46"/>
    <w:rsid w:val="00E51870"/>
    <w:rsid w:val="00E51B67"/>
    <w:rsid w:val="00E51F12"/>
    <w:rsid w:val="00E52A69"/>
    <w:rsid w:val="00E53A8B"/>
    <w:rsid w:val="00E54143"/>
    <w:rsid w:val="00E549A0"/>
    <w:rsid w:val="00E54C5F"/>
    <w:rsid w:val="00E54E54"/>
    <w:rsid w:val="00E55949"/>
    <w:rsid w:val="00E614C4"/>
    <w:rsid w:val="00E6251A"/>
    <w:rsid w:val="00E637BC"/>
    <w:rsid w:val="00E65567"/>
    <w:rsid w:val="00E65B64"/>
    <w:rsid w:val="00E65F66"/>
    <w:rsid w:val="00E66B9F"/>
    <w:rsid w:val="00E66F4C"/>
    <w:rsid w:val="00E675AB"/>
    <w:rsid w:val="00E71063"/>
    <w:rsid w:val="00E710D6"/>
    <w:rsid w:val="00E7223A"/>
    <w:rsid w:val="00E72F7D"/>
    <w:rsid w:val="00E730E2"/>
    <w:rsid w:val="00E73D36"/>
    <w:rsid w:val="00E755A8"/>
    <w:rsid w:val="00E75EAF"/>
    <w:rsid w:val="00E76012"/>
    <w:rsid w:val="00E76E45"/>
    <w:rsid w:val="00E777C9"/>
    <w:rsid w:val="00E77B06"/>
    <w:rsid w:val="00E77D3E"/>
    <w:rsid w:val="00E80520"/>
    <w:rsid w:val="00E81932"/>
    <w:rsid w:val="00E81DA6"/>
    <w:rsid w:val="00E82945"/>
    <w:rsid w:val="00E82B9D"/>
    <w:rsid w:val="00E84212"/>
    <w:rsid w:val="00E854B0"/>
    <w:rsid w:val="00E86086"/>
    <w:rsid w:val="00E86342"/>
    <w:rsid w:val="00E870B7"/>
    <w:rsid w:val="00E87CB0"/>
    <w:rsid w:val="00E90127"/>
    <w:rsid w:val="00E9086C"/>
    <w:rsid w:val="00E91436"/>
    <w:rsid w:val="00E91A0F"/>
    <w:rsid w:val="00E91D70"/>
    <w:rsid w:val="00E92689"/>
    <w:rsid w:val="00E93B02"/>
    <w:rsid w:val="00E93F19"/>
    <w:rsid w:val="00E9436B"/>
    <w:rsid w:val="00E94A71"/>
    <w:rsid w:val="00E9556E"/>
    <w:rsid w:val="00E96569"/>
    <w:rsid w:val="00E9679B"/>
    <w:rsid w:val="00E97B86"/>
    <w:rsid w:val="00EA03CE"/>
    <w:rsid w:val="00EA15B6"/>
    <w:rsid w:val="00EA23E5"/>
    <w:rsid w:val="00EA305B"/>
    <w:rsid w:val="00EA3279"/>
    <w:rsid w:val="00EA4272"/>
    <w:rsid w:val="00EA4E2E"/>
    <w:rsid w:val="00EA65E7"/>
    <w:rsid w:val="00EA7481"/>
    <w:rsid w:val="00EA7B06"/>
    <w:rsid w:val="00EB00C6"/>
    <w:rsid w:val="00EB0DF0"/>
    <w:rsid w:val="00EB1418"/>
    <w:rsid w:val="00EB1774"/>
    <w:rsid w:val="00EB2CCB"/>
    <w:rsid w:val="00EB3965"/>
    <w:rsid w:val="00EB3E5A"/>
    <w:rsid w:val="00EB4838"/>
    <w:rsid w:val="00EB5587"/>
    <w:rsid w:val="00EB6634"/>
    <w:rsid w:val="00EB67BA"/>
    <w:rsid w:val="00EB684B"/>
    <w:rsid w:val="00EB7A07"/>
    <w:rsid w:val="00EC11AE"/>
    <w:rsid w:val="00EC1791"/>
    <w:rsid w:val="00EC1E23"/>
    <w:rsid w:val="00EC266E"/>
    <w:rsid w:val="00EC4B57"/>
    <w:rsid w:val="00EC57A7"/>
    <w:rsid w:val="00EC57B9"/>
    <w:rsid w:val="00EC5F25"/>
    <w:rsid w:val="00EC6486"/>
    <w:rsid w:val="00EC70A7"/>
    <w:rsid w:val="00EC7F47"/>
    <w:rsid w:val="00ED0817"/>
    <w:rsid w:val="00ED0B72"/>
    <w:rsid w:val="00ED251C"/>
    <w:rsid w:val="00ED2531"/>
    <w:rsid w:val="00ED3F2E"/>
    <w:rsid w:val="00ED422C"/>
    <w:rsid w:val="00ED42E1"/>
    <w:rsid w:val="00ED45F8"/>
    <w:rsid w:val="00ED57A3"/>
    <w:rsid w:val="00ED6023"/>
    <w:rsid w:val="00ED6356"/>
    <w:rsid w:val="00ED695F"/>
    <w:rsid w:val="00ED7291"/>
    <w:rsid w:val="00ED7DD9"/>
    <w:rsid w:val="00EE0548"/>
    <w:rsid w:val="00EE20AD"/>
    <w:rsid w:val="00EE2256"/>
    <w:rsid w:val="00EE2EC5"/>
    <w:rsid w:val="00EE2FFB"/>
    <w:rsid w:val="00EE3B80"/>
    <w:rsid w:val="00EE3DC7"/>
    <w:rsid w:val="00EE46BE"/>
    <w:rsid w:val="00EE5E52"/>
    <w:rsid w:val="00EE6014"/>
    <w:rsid w:val="00EE6823"/>
    <w:rsid w:val="00EF2335"/>
    <w:rsid w:val="00EF29B5"/>
    <w:rsid w:val="00EF3113"/>
    <w:rsid w:val="00EF3F84"/>
    <w:rsid w:val="00F001A2"/>
    <w:rsid w:val="00F0108A"/>
    <w:rsid w:val="00F014E2"/>
    <w:rsid w:val="00F019B5"/>
    <w:rsid w:val="00F025F7"/>
    <w:rsid w:val="00F026CD"/>
    <w:rsid w:val="00F04D50"/>
    <w:rsid w:val="00F054FE"/>
    <w:rsid w:val="00F05B57"/>
    <w:rsid w:val="00F06BA5"/>
    <w:rsid w:val="00F06FF1"/>
    <w:rsid w:val="00F07A79"/>
    <w:rsid w:val="00F07BBA"/>
    <w:rsid w:val="00F125E3"/>
    <w:rsid w:val="00F130AC"/>
    <w:rsid w:val="00F131EB"/>
    <w:rsid w:val="00F14447"/>
    <w:rsid w:val="00F1466F"/>
    <w:rsid w:val="00F1668F"/>
    <w:rsid w:val="00F176AC"/>
    <w:rsid w:val="00F21B7F"/>
    <w:rsid w:val="00F21C54"/>
    <w:rsid w:val="00F22AD2"/>
    <w:rsid w:val="00F2328C"/>
    <w:rsid w:val="00F26947"/>
    <w:rsid w:val="00F26A43"/>
    <w:rsid w:val="00F27714"/>
    <w:rsid w:val="00F30725"/>
    <w:rsid w:val="00F31306"/>
    <w:rsid w:val="00F31FEE"/>
    <w:rsid w:val="00F3276E"/>
    <w:rsid w:val="00F33A56"/>
    <w:rsid w:val="00F33D3C"/>
    <w:rsid w:val="00F342DF"/>
    <w:rsid w:val="00F3483D"/>
    <w:rsid w:val="00F35811"/>
    <w:rsid w:val="00F359DA"/>
    <w:rsid w:val="00F367E2"/>
    <w:rsid w:val="00F37067"/>
    <w:rsid w:val="00F37545"/>
    <w:rsid w:val="00F37A91"/>
    <w:rsid w:val="00F40687"/>
    <w:rsid w:val="00F41518"/>
    <w:rsid w:val="00F43283"/>
    <w:rsid w:val="00F43761"/>
    <w:rsid w:val="00F43855"/>
    <w:rsid w:val="00F45CF5"/>
    <w:rsid w:val="00F47AEA"/>
    <w:rsid w:val="00F47DB0"/>
    <w:rsid w:val="00F5024E"/>
    <w:rsid w:val="00F50877"/>
    <w:rsid w:val="00F50942"/>
    <w:rsid w:val="00F50C1B"/>
    <w:rsid w:val="00F50E34"/>
    <w:rsid w:val="00F51581"/>
    <w:rsid w:val="00F516EF"/>
    <w:rsid w:val="00F51E5B"/>
    <w:rsid w:val="00F5284F"/>
    <w:rsid w:val="00F53C32"/>
    <w:rsid w:val="00F53EF7"/>
    <w:rsid w:val="00F54219"/>
    <w:rsid w:val="00F54472"/>
    <w:rsid w:val="00F549AB"/>
    <w:rsid w:val="00F54BF2"/>
    <w:rsid w:val="00F55DE2"/>
    <w:rsid w:val="00F56B92"/>
    <w:rsid w:val="00F576B5"/>
    <w:rsid w:val="00F57D9E"/>
    <w:rsid w:val="00F57F84"/>
    <w:rsid w:val="00F60AAB"/>
    <w:rsid w:val="00F61DD5"/>
    <w:rsid w:val="00F6200D"/>
    <w:rsid w:val="00F62BFC"/>
    <w:rsid w:val="00F63B03"/>
    <w:rsid w:val="00F63D62"/>
    <w:rsid w:val="00F64959"/>
    <w:rsid w:val="00F6705B"/>
    <w:rsid w:val="00F70163"/>
    <w:rsid w:val="00F7038B"/>
    <w:rsid w:val="00F7094C"/>
    <w:rsid w:val="00F712BE"/>
    <w:rsid w:val="00F71463"/>
    <w:rsid w:val="00F715F7"/>
    <w:rsid w:val="00F71998"/>
    <w:rsid w:val="00F720C9"/>
    <w:rsid w:val="00F72381"/>
    <w:rsid w:val="00F72EE2"/>
    <w:rsid w:val="00F7320E"/>
    <w:rsid w:val="00F7506A"/>
    <w:rsid w:val="00F76816"/>
    <w:rsid w:val="00F807C2"/>
    <w:rsid w:val="00F80932"/>
    <w:rsid w:val="00F80AB4"/>
    <w:rsid w:val="00F80CB5"/>
    <w:rsid w:val="00F81B6F"/>
    <w:rsid w:val="00F82D7F"/>
    <w:rsid w:val="00F83821"/>
    <w:rsid w:val="00F83D08"/>
    <w:rsid w:val="00F84BE7"/>
    <w:rsid w:val="00F8562C"/>
    <w:rsid w:val="00F8795A"/>
    <w:rsid w:val="00F902A2"/>
    <w:rsid w:val="00F907F6"/>
    <w:rsid w:val="00F90D10"/>
    <w:rsid w:val="00F91D2D"/>
    <w:rsid w:val="00F92011"/>
    <w:rsid w:val="00F92355"/>
    <w:rsid w:val="00F9315E"/>
    <w:rsid w:val="00F93963"/>
    <w:rsid w:val="00F93EEE"/>
    <w:rsid w:val="00F94291"/>
    <w:rsid w:val="00F95EB6"/>
    <w:rsid w:val="00F96628"/>
    <w:rsid w:val="00F97CF1"/>
    <w:rsid w:val="00F97E44"/>
    <w:rsid w:val="00FA0EAF"/>
    <w:rsid w:val="00FA14CF"/>
    <w:rsid w:val="00FA1D8D"/>
    <w:rsid w:val="00FA44B1"/>
    <w:rsid w:val="00FA70B5"/>
    <w:rsid w:val="00FA77CA"/>
    <w:rsid w:val="00FB0792"/>
    <w:rsid w:val="00FB0CA9"/>
    <w:rsid w:val="00FB13AB"/>
    <w:rsid w:val="00FB3194"/>
    <w:rsid w:val="00FB45B1"/>
    <w:rsid w:val="00FB470F"/>
    <w:rsid w:val="00FB4F35"/>
    <w:rsid w:val="00FB5CF2"/>
    <w:rsid w:val="00FB6252"/>
    <w:rsid w:val="00FB67A1"/>
    <w:rsid w:val="00FB6AEF"/>
    <w:rsid w:val="00FB7982"/>
    <w:rsid w:val="00FC0734"/>
    <w:rsid w:val="00FC0FC5"/>
    <w:rsid w:val="00FC186C"/>
    <w:rsid w:val="00FC22EE"/>
    <w:rsid w:val="00FC382C"/>
    <w:rsid w:val="00FC4AEA"/>
    <w:rsid w:val="00FC5577"/>
    <w:rsid w:val="00FC588F"/>
    <w:rsid w:val="00FC5DB9"/>
    <w:rsid w:val="00FC604D"/>
    <w:rsid w:val="00FC61FA"/>
    <w:rsid w:val="00FC7595"/>
    <w:rsid w:val="00FD0DA2"/>
    <w:rsid w:val="00FD19E3"/>
    <w:rsid w:val="00FD3983"/>
    <w:rsid w:val="00FD430B"/>
    <w:rsid w:val="00FD44CF"/>
    <w:rsid w:val="00FD5305"/>
    <w:rsid w:val="00FD5A7D"/>
    <w:rsid w:val="00FD5E2C"/>
    <w:rsid w:val="00FD6598"/>
    <w:rsid w:val="00FD6D9B"/>
    <w:rsid w:val="00FD77C5"/>
    <w:rsid w:val="00FE04D9"/>
    <w:rsid w:val="00FE071B"/>
    <w:rsid w:val="00FE0C39"/>
    <w:rsid w:val="00FE0EB7"/>
    <w:rsid w:val="00FE1B30"/>
    <w:rsid w:val="00FE1E78"/>
    <w:rsid w:val="00FE2155"/>
    <w:rsid w:val="00FE2FE0"/>
    <w:rsid w:val="00FE31E5"/>
    <w:rsid w:val="00FE5FD4"/>
    <w:rsid w:val="00FE7B44"/>
    <w:rsid w:val="00FF009B"/>
    <w:rsid w:val="00FF00FC"/>
    <w:rsid w:val="00FF0E9D"/>
    <w:rsid w:val="00FF1D66"/>
    <w:rsid w:val="00FF23E8"/>
    <w:rsid w:val="00FF29BF"/>
    <w:rsid w:val="00FF2A64"/>
    <w:rsid w:val="00FF34CD"/>
    <w:rsid w:val="00FF4C9C"/>
    <w:rsid w:val="00FF7051"/>
    <w:rsid w:val="00FF7052"/>
    <w:rsid w:val="00FF7498"/>
    <w:rsid w:val="4C31C1F2"/>
    <w:rsid w:val="64E84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ADCB84"/>
  <w15:docId w15:val="{4E1285B3-D7A1-2040-B312-D1D7E2B7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listitemcontent2">
    <w:name w:val="ss_listitemcontent2"/>
    <w:basedOn w:val="DefaultParagraphFont"/>
    <w:rsid w:val="00E035E1"/>
  </w:style>
  <w:style w:type="character" w:customStyle="1" w:styleId="ssit2">
    <w:name w:val="ss_it2"/>
    <w:basedOn w:val="DefaultParagraphFont"/>
    <w:rsid w:val="00E035E1"/>
    <w:rPr>
      <w:i/>
      <w:iCs/>
    </w:rPr>
  </w:style>
  <w:style w:type="character" w:customStyle="1" w:styleId="ssro2">
    <w:name w:val="ss_ro2"/>
    <w:basedOn w:val="DefaultParagraphFont"/>
    <w:rsid w:val="00E035E1"/>
    <w:rPr>
      <w:b w:val="0"/>
      <w:bCs w:val="0"/>
    </w:rPr>
  </w:style>
  <w:style w:type="character" w:customStyle="1" w:styleId="Heading2Char">
    <w:name w:val="Heading 2 Char"/>
    <w:basedOn w:val="DefaultParagraphFont"/>
    <w:link w:val="Heading2"/>
    <w:rsid w:val="00062C16"/>
    <w:rPr>
      <w:b/>
      <w:sz w:val="24"/>
      <w:szCs w:val="24"/>
      <w:lang w:eastAsia="en-US"/>
    </w:rPr>
  </w:style>
  <w:style w:type="paragraph" w:customStyle="1" w:styleId="Default">
    <w:name w:val="Default"/>
    <w:rsid w:val="0049697D"/>
    <w:pPr>
      <w:autoSpaceDE w:val="0"/>
      <w:autoSpaceDN w:val="0"/>
      <w:adjustRightInd w:val="0"/>
    </w:pPr>
    <w:rPr>
      <w:color w:val="000000"/>
      <w:sz w:val="24"/>
      <w:szCs w:val="24"/>
    </w:rPr>
  </w:style>
  <w:style w:type="paragraph" w:styleId="ListParagraph">
    <w:name w:val="List Paragraph"/>
    <w:basedOn w:val="Normal"/>
    <w:uiPriority w:val="1"/>
    <w:qFormat/>
    <w:rsid w:val="00C925D2"/>
    <w:pPr>
      <w:ind w:left="720"/>
      <w:contextualSpacing/>
    </w:pPr>
  </w:style>
  <w:style w:type="character" w:customStyle="1" w:styleId="frag-name2">
    <w:name w:val="frag-name2"/>
    <w:basedOn w:val="DefaultParagraphFont"/>
    <w:rsid w:val="001F294B"/>
  </w:style>
  <w:style w:type="character" w:customStyle="1" w:styleId="frag-no">
    <w:name w:val="frag-no"/>
    <w:basedOn w:val="DefaultParagraphFont"/>
    <w:rsid w:val="008E17FB"/>
  </w:style>
  <w:style w:type="character" w:customStyle="1" w:styleId="CommentTextChar">
    <w:name w:val="Comment Text Char"/>
    <w:basedOn w:val="DefaultParagraphFont"/>
    <w:link w:val="CommentText"/>
    <w:semiHidden/>
    <w:rsid w:val="00BB2D52"/>
    <w:rPr>
      <w:lang w:eastAsia="en-US"/>
    </w:rPr>
  </w:style>
  <w:style w:type="numbering" w:customStyle="1" w:styleId="FCListNo1">
    <w:name w:val="FCListNo1"/>
    <w:uiPriority w:val="99"/>
    <w:rsid w:val="006229F6"/>
  </w:style>
  <w:style w:type="paragraph" w:customStyle="1" w:styleId="Normal-15withspacing">
    <w:name w:val="Normal - 1.5 with spacing"/>
    <w:basedOn w:val="Normal"/>
    <w:rsid w:val="00A325E7"/>
    <w:pPr>
      <w:numPr>
        <w:numId w:val="36"/>
      </w:numPr>
      <w:jc w:val="left"/>
    </w:pPr>
    <w:rPr>
      <w:rFonts w:ascii="Garamond" w:eastAsiaTheme="minorEastAsia" w:hAnsi="Garamond"/>
      <w:szCs w:val="24"/>
      <w:lang w:eastAsia="ja-JP"/>
    </w:rPr>
  </w:style>
  <w:style w:type="character" w:customStyle="1" w:styleId="Normal-15withspacingChar">
    <w:name w:val="Normal - 1.5 with spacing Char"/>
    <w:basedOn w:val="DefaultParagraphFont"/>
    <w:rsid w:val="00A325E7"/>
    <w:rPr>
      <w:rFonts w:ascii="Garamond" w:eastAsia="Times New Roman" w:hAnsi="Garamond" w:cs="Times New Roman"/>
      <w:sz w:val="24"/>
      <w:szCs w:val="24"/>
    </w:rPr>
  </w:style>
  <w:style w:type="paragraph" w:customStyle="1" w:styleId="15">
    <w:name w:val="1.5"/>
    <w:basedOn w:val="Normal"/>
    <w:qFormat/>
    <w:rsid w:val="00A325E7"/>
    <w:pPr>
      <w:numPr>
        <w:numId w:val="37"/>
      </w:numPr>
      <w:spacing w:before="120" w:after="120"/>
    </w:pPr>
    <w:rPr>
      <w:rFonts w:ascii="Garamond" w:eastAsiaTheme="minorEastAsia" w:hAnsi="Garamond"/>
      <w:szCs w:val="24"/>
      <w:lang w:eastAsia="en-AU"/>
    </w:rPr>
  </w:style>
  <w:style w:type="character" w:styleId="FootnoteReference">
    <w:name w:val="footnote reference"/>
    <w:basedOn w:val="DefaultParagraphFont"/>
    <w:unhideWhenUsed/>
    <w:rsid w:val="00A325E7"/>
    <w:rPr>
      <w:vertAlign w:val="superscript"/>
    </w:rPr>
  </w:style>
  <w:style w:type="paragraph" w:styleId="FootnoteText">
    <w:name w:val="footnote text"/>
    <w:basedOn w:val="Normal"/>
    <w:link w:val="FootnoteTextChar"/>
    <w:unhideWhenUsed/>
    <w:rsid w:val="00A325E7"/>
    <w:pPr>
      <w:tabs>
        <w:tab w:val="left" w:pos="720"/>
        <w:tab w:val="left" w:pos="1440"/>
        <w:tab w:val="left" w:pos="2160"/>
        <w:tab w:val="left" w:pos="2880"/>
        <w:tab w:val="left" w:pos="3600"/>
      </w:tabs>
      <w:spacing w:after="120" w:line="240" w:lineRule="auto"/>
    </w:pPr>
    <w:rPr>
      <w:rFonts w:ascii="Garamond" w:eastAsia="Times New Roman" w:hAnsi="Garamond" w:cstheme="minorBidi"/>
      <w:sz w:val="18"/>
      <w:szCs w:val="24"/>
      <w:lang w:eastAsia="en-AU"/>
    </w:rPr>
  </w:style>
  <w:style w:type="character" w:customStyle="1" w:styleId="FootnoteTextChar">
    <w:name w:val="Footnote Text Char"/>
    <w:basedOn w:val="DefaultParagraphFont"/>
    <w:link w:val="FootnoteText"/>
    <w:rsid w:val="00A325E7"/>
    <w:rPr>
      <w:rFonts w:ascii="Garamond" w:eastAsia="Times New Roman" w:hAnsi="Garamond" w:cstheme="minorBid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7265">
      <w:bodyDiv w:val="1"/>
      <w:marLeft w:val="0"/>
      <w:marRight w:val="0"/>
      <w:marTop w:val="0"/>
      <w:marBottom w:val="0"/>
      <w:divBdr>
        <w:top w:val="none" w:sz="0" w:space="0" w:color="auto"/>
        <w:left w:val="none" w:sz="0" w:space="0" w:color="auto"/>
        <w:bottom w:val="none" w:sz="0" w:space="0" w:color="auto"/>
        <w:right w:val="none" w:sz="0" w:space="0" w:color="auto"/>
      </w:divBdr>
      <w:divsChild>
        <w:div w:id="1768453619">
          <w:marLeft w:val="0"/>
          <w:marRight w:val="0"/>
          <w:marTop w:val="0"/>
          <w:marBottom w:val="0"/>
          <w:divBdr>
            <w:top w:val="none" w:sz="0" w:space="0" w:color="auto"/>
            <w:left w:val="none" w:sz="0" w:space="0" w:color="auto"/>
            <w:bottom w:val="none" w:sz="0" w:space="0" w:color="auto"/>
            <w:right w:val="none" w:sz="0" w:space="0" w:color="auto"/>
          </w:divBdr>
          <w:divsChild>
            <w:div w:id="106511040">
              <w:marLeft w:val="0"/>
              <w:marRight w:val="0"/>
              <w:marTop w:val="0"/>
              <w:marBottom w:val="0"/>
              <w:divBdr>
                <w:top w:val="none" w:sz="0" w:space="0" w:color="auto"/>
                <w:left w:val="none" w:sz="0" w:space="0" w:color="auto"/>
                <w:bottom w:val="none" w:sz="0" w:space="0" w:color="auto"/>
                <w:right w:val="none" w:sz="0" w:space="0" w:color="auto"/>
              </w:divBdr>
              <w:divsChild>
                <w:div w:id="2074547802">
                  <w:marLeft w:val="0"/>
                  <w:marRight w:val="0"/>
                  <w:marTop w:val="0"/>
                  <w:marBottom w:val="0"/>
                  <w:divBdr>
                    <w:top w:val="none" w:sz="0" w:space="0" w:color="auto"/>
                    <w:left w:val="none" w:sz="0" w:space="0" w:color="auto"/>
                    <w:bottom w:val="none" w:sz="0" w:space="0" w:color="auto"/>
                    <w:right w:val="none" w:sz="0" w:space="0" w:color="auto"/>
                  </w:divBdr>
                  <w:divsChild>
                    <w:div w:id="987244577">
                      <w:marLeft w:val="0"/>
                      <w:marRight w:val="300"/>
                      <w:marTop w:val="0"/>
                      <w:marBottom w:val="0"/>
                      <w:divBdr>
                        <w:top w:val="none" w:sz="0" w:space="0" w:color="auto"/>
                        <w:left w:val="none" w:sz="0" w:space="0" w:color="auto"/>
                        <w:bottom w:val="none" w:sz="0" w:space="0" w:color="auto"/>
                        <w:right w:val="none" w:sz="0" w:space="0" w:color="auto"/>
                      </w:divBdr>
                      <w:divsChild>
                        <w:div w:id="739720007">
                          <w:marLeft w:val="0"/>
                          <w:marRight w:val="0"/>
                          <w:marTop w:val="0"/>
                          <w:marBottom w:val="0"/>
                          <w:divBdr>
                            <w:top w:val="none" w:sz="0" w:space="0" w:color="auto"/>
                            <w:left w:val="none" w:sz="0" w:space="0" w:color="auto"/>
                            <w:bottom w:val="none" w:sz="0" w:space="0" w:color="auto"/>
                            <w:right w:val="none" w:sz="0" w:space="0" w:color="auto"/>
                          </w:divBdr>
                          <w:divsChild>
                            <w:div w:id="709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22301">
      <w:bodyDiv w:val="1"/>
      <w:marLeft w:val="0"/>
      <w:marRight w:val="750"/>
      <w:marTop w:val="0"/>
      <w:marBottom w:val="0"/>
      <w:divBdr>
        <w:top w:val="none" w:sz="0" w:space="0" w:color="auto"/>
        <w:left w:val="none" w:sz="0" w:space="0" w:color="auto"/>
        <w:bottom w:val="none" w:sz="0" w:space="0" w:color="auto"/>
        <w:right w:val="none" w:sz="0" w:space="0" w:color="auto"/>
      </w:divBdr>
      <w:divsChild>
        <w:div w:id="2047831536">
          <w:marLeft w:val="0"/>
          <w:marRight w:val="0"/>
          <w:marTop w:val="0"/>
          <w:marBottom w:val="0"/>
          <w:divBdr>
            <w:top w:val="none" w:sz="0" w:space="0" w:color="auto"/>
            <w:left w:val="none" w:sz="0" w:space="0" w:color="auto"/>
            <w:bottom w:val="none" w:sz="0" w:space="0" w:color="auto"/>
            <w:right w:val="none" w:sz="0" w:space="0" w:color="auto"/>
          </w:divBdr>
          <w:divsChild>
            <w:div w:id="1682001969">
              <w:marLeft w:val="0"/>
              <w:marRight w:val="0"/>
              <w:marTop w:val="0"/>
              <w:marBottom w:val="0"/>
              <w:divBdr>
                <w:top w:val="none" w:sz="0" w:space="0" w:color="auto"/>
                <w:left w:val="none" w:sz="0" w:space="0" w:color="auto"/>
                <w:bottom w:val="none" w:sz="0" w:space="0" w:color="auto"/>
                <w:right w:val="none" w:sz="0" w:space="0" w:color="auto"/>
              </w:divBdr>
              <w:divsChild>
                <w:div w:id="1002899729">
                  <w:marLeft w:val="0"/>
                  <w:marRight w:val="0"/>
                  <w:marTop w:val="0"/>
                  <w:marBottom w:val="0"/>
                  <w:divBdr>
                    <w:top w:val="none" w:sz="0" w:space="0" w:color="auto"/>
                    <w:left w:val="none" w:sz="0" w:space="0" w:color="auto"/>
                    <w:bottom w:val="none" w:sz="0" w:space="0" w:color="auto"/>
                    <w:right w:val="none" w:sz="0" w:space="0" w:color="auto"/>
                  </w:divBdr>
                  <w:divsChild>
                    <w:div w:id="1290360059">
                      <w:marLeft w:val="-225"/>
                      <w:marRight w:val="-225"/>
                      <w:marTop w:val="0"/>
                      <w:marBottom w:val="0"/>
                      <w:divBdr>
                        <w:top w:val="none" w:sz="0" w:space="0" w:color="auto"/>
                        <w:left w:val="none" w:sz="0" w:space="0" w:color="auto"/>
                        <w:bottom w:val="none" w:sz="0" w:space="0" w:color="auto"/>
                        <w:right w:val="none" w:sz="0" w:space="0" w:color="auto"/>
                      </w:divBdr>
                      <w:divsChild>
                        <w:div w:id="2084915477">
                          <w:marLeft w:val="0"/>
                          <w:marRight w:val="0"/>
                          <w:marTop w:val="0"/>
                          <w:marBottom w:val="0"/>
                          <w:divBdr>
                            <w:top w:val="none" w:sz="0" w:space="0" w:color="auto"/>
                            <w:left w:val="none" w:sz="0" w:space="0" w:color="auto"/>
                            <w:bottom w:val="none" w:sz="0" w:space="0" w:color="auto"/>
                            <w:right w:val="none" w:sz="0" w:space="0" w:color="auto"/>
                          </w:divBdr>
                          <w:divsChild>
                            <w:div w:id="479153157">
                              <w:marLeft w:val="0"/>
                              <w:marRight w:val="0"/>
                              <w:marTop w:val="0"/>
                              <w:marBottom w:val="0"/>
                              <w:divBdr>
                                <w:top w:val="none" w:sz="0" w:space="0" w:color="auto"/>
                                <w:left w:val="none" w:sz="0" w:space="0" w:color="auto"/>
                                <w:bottom w:val="none" w:sz="0" w:space="0" w:color="auto"/>
                                <w:right w:val="none" w:sz="0" w:space="0" w:color="auto"/>
                              </w:divBdr>
                              <w:divsChild>
                                <w:div w:id="546261415">
                                  <w:marLeft w:val="0"/>
                                  <w:marRight w:val="0"/>
                                  <w:marTop w:val="0"/>
                                  <w:marBottom w:val="0"/>
                                  <w:divBdr>
                                    <w:top w:val="none" w:sz="0" w:space="0" w:color="auto"/>
                                    <w:left w:val="none" w:sz="0" w:space="0" w:color="auto"/>
                                    <w:bottom w:val="none" w:sz="0" w:space="0" w:color="auto"/>
                                    <w:right w:val="none" w:sz="0" w:space="0" w:color="auto"/>
                                  </w:divBdr>
                                  <w:divsChild>
                                    <w:div w:id="2030837072">
                                      <w:marLeft w:val="0"/>
                                      <w:marRight w:val="0"/>
                                      <w:marTop w:val="0"/>
                                      <w:marBottom w:val="0"/>
                                      <w:divBdr>
                                        <w:top w:val="none" w:sz="0" w:space="0" w:color="auto"/>
                                        <w:left w:val="none" w:sz="0" w:space="0" w:color="auto"/>
                                        <w:bottom w:val="none" w:sz="0" w:space="0" w:color="auto"/>
                                        <w:right w:val="none" w:sz="0" w:space="0" w:color="auto"/>
                                      </w:divBdr>
                                      <w:divsChild>
                                        <w:div w:id="1838305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401025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68991608">
                                                  <w:marLeft w:val="0"/>
                                                  <w:marRight w:val="0"/>
                                                  <w:marTop w:val="0"/>
                                                  <w:marBottom w:val="0"/>
                                                  <w:divBdr>
                                                    <w:top w:val="none" w:sz="0" w:space="0" w:color="auto"/>
                                                    <w:left w:val="none" w:sz="0" w:space="0" w:color="auto"/>
                                                    <w:bottom w:val="none" w:sz="0" w:space="0" w:color="auto"/>
                                                    <w:right w:val="none" w:sz="0" w:space="0" w:color="auto"/>
                                                  </w:divBdr>
                                                  <w:divsChild>
                                                    <w:div w:id="277183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0052186">
                                                  <w:marLeft w:val="0"/>
                                                  <w:marRight w:val="0"/>
                                                  <w:marTop w:val="0"/>
                                                  <w:marBottom w:val="0"/>
                                                  <w:divBdr>
                                                    <w:top w:val="none" w:sz="0" w:space="0" w:color="auto"/>
                                                    <w:left w:val="none" w:sz="0" w:space="0" w:color="auto"/>
                                                    <w:bottom w:val="none" w:sz="0" w:space="0" w:color="auto"/>
                                                    <w:right w:val="none" w:sz="0" w:space="0" w:color="auto"/>
                                                  </w:divBdr>
                                                  <w:divsChild>
                                                    <w:div w:id="7003202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6842393">
                                                  <w:marLeft w:val="0"/>
                                                  <w:marRight w:val="0"/>
                                                  <w:marTop w:val="0"/>
                                                  <w:marBottom w:val="0"/>
                                                  <w:divBdr>
                                                    <w:top w:val="none" w:sz="0" w:space="0" w:color="auto"/>
                                                    <w:left w:val="none" w:sz="0" w:space="0" w:color="auto"/>
                                                    <w:bottom w:val="none" w:sz="0" w:space="0" w:color="auto"/>
                                                    <w:right w:val="none" w:sz="0" w:space="0" w:color="auto"/>
                                                  </w:divBdr>
                                                  <w:divsChild>
                                                    <w:div w:id="3368820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971">
      <w:bodyDiv w:val="1"/>
      <w:marLeft w:val="0"/>
      <w:marRight w:val="0"/>
      <w:marTop w:val="0"/>
      <w:marBottom w:val="0"/>
      <w:divBdr>
        <w:top w:val="none" w:sz="0" w:space="0" w:color="auto"/>
        <w:left w:val="none" w:sz="0" w:space="0" w:color="auto"/>
        <w:bottom w:val="none" w:sz="0" w:space="0" w:color="auto"/>
        <w:right w:val="none" w:sz="0" w:space="0" w:color="auto"/>
      </w:divBdr>
      <w:divsChild>
        <w:div w:id="1815945437">
          <w:marLeft w:val="0"/>
          <w:marRight w:val="0"/>
          <w:marTop w:val="0"/>
          <w:marBottom w:val="0"/>
          <w:divBdr>
            <w:top w:val="none" w:sz="0" w:space="0" w:color="auto"/>
            <w:left w:val="none" w:sz="0" w:space="0" w:color="auto"/>
            <w:bottom w:val="none" w:sz="0" w:space="0" w:color="auto"/>
            <w:right w:val="none" w:sz="0" w:space="0" w:color="auto"/>
          </w:divBdr>
          <w:divsChild>
            <w:div w:id="20178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nsw.gov.au/"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4395-5040-499B-900C-F942577C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47</Pages>
  <Words>17284</Words>
  <Characters>98525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Fokas v Mansfield as Trustee of the Bankrupt Estate of Maria Fokas (No 2) [2020] FCA 30</vt:lpstr>
    </vt:vector>
  </TitlesOfParts>
  <Company>Federal Court of Australia</Company>
  <LinksUpToDate>false</LinksUpToDate>
  <CharactersWithSpaces>115578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Fokas v Mansfield as Trustee of the Bankrupt Estate of Maria Fokas (No 2) [2020] FCA 30</dc:title>
  <dc:subject/>
  <dc:creator>Moira Kelly</dc:creator>
  <cp:keywords/>
  <cp:lastModifiedBy>Amy Chan</cp:lastModifiedBy>
  <cp:revision>4</cp:revision>
  <cp:lastPrinted>2020-01-30T00:10:00Z</cp:lastPrinted>
  <dcterms:created xsi:type="dcterms:W3CDTF">2020-01-30T00:11:00Z</dcterms:created>
  <dcterms:modified xsi:type="dcterms:W3CDTF">2020-01-30T02:27:00Z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WHEELAHAN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