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605F88">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C4ECA">
      <w:pPr>
        <w:pStyle w:val="MediaNeutralStyle"/>
      </w:pPr>
      <w:bookmarkStart w:id="0" w:name="MNC"/>
      <w:r>
        <w:t xml:space="preserve">Dallas Buyers Club LLC v </w:t>
      </w:r>
      <w:proofErr w:type="spellStart"/>
      <w:r>
        <w:t>i</w:t>
      </w:r>
      <w:r w:rsidR="0092372D">
        <w:t>i</w:t>
      </w:r>
      <w:r w:rsidR="00790F72">
        <w:t>Net</w:t>
      </w:r>
      <w:proofErr w:type="spellEnd"/>
      <w:r w:rsidR="00790F72">
        <w:t xml:space="preserve"> L</w:t>
      </w:r>
      <w:r w:rsidR="00C363E4">
        <w:t>imi</w:t>
      </w:r>
      <w:r w:rsidR="00790F72">
        <w:t>t</w:t>
      </w:r>
      <w:r w:rsidR="00C363E4">
        <w:t>e</w:t>
      </w:r>
      <w:r>
        <w:t xml:space="preserve">d </w:t>
      </w:r>
      <w:r w:rsidR="000A79F6">
        <w:t xml:space="preserve">(No </w:t>
      </w:r>
      <w:r w:rsidR="00A7679C">
        <w:t>4</w:t>
      </w:r>
      <w:r w:rsidR="000A79F6">
        <w:t xml:space="preserve">) </w:t>
      </w:r>
      <w:r>
        <w:t xml:space="preserve">[2015] </w:t>
      </w:r>
      <w:proofErr w:type="spellStart"/>
      <w:r>
        <w:t>FCA</w:t>
      </w:r>
      <w:proofErr w:type="spellEnd"/>
      <w:r w:rsidR="00EC6CCF">
        <w:t xml:space="preserve"> 838</w:t>
      </w:r>
      <w:r w:rsidR="000A79F6">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E14506">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A7679C" w:rsidP="00C363E4">
            <w:pPr>
              <w:pStyle w:val="Normal1linespace"/>
              <w:widowControl w:val="0"/>
              <w:jc w:val="left"/>
            </w:pPr>
            <w:r>
              <w:t xml:space="preserve">Dallas Buyers Club LLC v </w:t>
            </w:r>
            <w:proofErr w:type="spellStart"/>
            <w:r>
              <w:t>iiN</w:t>
            </w:r>
            <w:r w:rsidR="00EC6CCF">
              <w:t>et</w:t>
            </w:r>
            <w:proofErr w:type="spellEnd"/>
            <w:r w:rsidR="00EC6CCF">
              <w:t xml:space="preserve"> Limited (No 4) [2015] </w:t>
            </w:r>
            <w:proofErr w:type="spellStart"/>
            <w:r w:rsidR="00EC6CCF">
              <w:t>FCA</w:t>
            </w:r>
            <w:proofErr w:type="spellEnd"/>
            <w:r w:rsidR="00EC6CCF">
              <w:t xml:space="preserve"> 838</w:t>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8D18D4">
            <w:pPr>
              <w:pStyle w:val="Normal1linespace"/>
              <w:widowControl w:val="0"/>
              <w:jc w:val="left"/>
              <w:rPr>
                <w:b/>
              </w:rPr>
            </w:pPr>
            <w:bookmarkStart w:id="1" w:name="JudgmentFP"/>
            <w:r>
              <w:rPr>
                <w:b/>
              </w:rPr>
              <w:t xml:space="preserve">DALLAS BUYERS CLUB LLC and VOLTAGE PICTURES LLC v </w:t>
            </w:r>
            <w:proofErr w:type="spellStart"/>
            <w:r>
              <w:rPr>
                <w:b/>
              </w:rPr>
              <w:t>IINET</w:t>
            </w:r>
            <w:proofErr w:type="spellEnd"/>
            <w:r>
              <w:rPr>
                <w:b/>
              </w:rPr>
              <w:t xml:space="preserve"> LIMITED, INTERNODE PTY LTD, </w:t>
            </w:r>
            <w:proofErr w:type="spellStart"/>
            <w:r>
              <w:rPr>
                <w:b/>
              </w:rPr>
              <w:t>AMNET</w:t>
            </w:r>
            <w:proofErr w:type="spellEnd"/>
            <w:r>
              <w:rPr>
                <w:b/>
              </w:rPr>
              <w:t xml:space="preserve"> BROADBAND PTY LTD, DODO SERVICES PTY LTD, AD</w:t>
            </w:r>
            <w:r w:rsidR="00790F72">
              <w:rPr>
                <w:b/>
              </w:rPr>
              <w:t>AM INTERNET PTY LTD and WIDEBAND</w:t>
            </w:r>
            <w:r>
              <w:rPr>
                <w:b/>
              </w:rPr>
              <w:t xml:space="preserve"> NETWORKS PTY LTD</w:t>
            </w:r>
            <w:bookmarkEnd w:id="1"/>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rsidP="00746DC2">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E41337">
              <w:rPr>
                <w:szCs w:val="24"/>
              </w:rPr>
              <w:t>NSD</w:t>
            </w:r>
            <w:proofErr w:type="spellEnd"/>
            <w:r w:rsidR="00E41337">
              <w:rPr>
                <w:szCs w:val="24"/>
              </w:rPr>
              <w:t xml:space="preserve"> 1051 of 2014</w:t>
            </w:r>
            <w:r>
              <w:rPr>
                <w:szCs w:val="24"/>
              </w:rPr>
              <w:fldChar w:fldCharType="end"/>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rsidP="00746DC2">
            <w:pPr>
              <w:pStyle w:val="Normal1linespace"/>
              <w:widowControl w:val="0"/>
            </w:pPr>
            <w:r>
              <w:t>Judge:</w:t>
            </w:r>
          </w:p>
        </w:tc>
        <w:tc>
          <w:tcPr>
            <w:tcW w:w="5989" w:type="dxa"/>
            <w:shd w:val="clear" w:color="auto" w:fill="auto"/>
          </w:tcPr>
          <w:p w:rsidR="00395B24" w:rsidRDefault="002C7385">
            <w:pPr>
              <w:pStyle w:val="Normal1linespace"/>
              <w:widowControl w:val="0"/>
              <w:jc w:val="left"/>
              <w:rPr>
                <w:b/>
              </w:rPr>
            </w:pPr>
            <w:r w:rsidRPr="00E41337">
              <w:rPr>
                <w:b/>
              </w:rPr>
              <w:fldChar w:fldCharType="begin" w:fldLock="1"/>
            </w:r>
            <w:r w:rsidRPr="00E41337">
              <w:rPr>
                <w:b/>
              </w:rPr>
              <w:instrText xml:space="preserve"> REF  Judge  \* MERGEFORMAT </w:instrText>
            </w:r>
            <w:r w:rsidRPr="00E41337">
              <w:rPr>
                <w:b/>
              </w:rPr>
              <w:fldChar w:fldCharType="separate"/>
            </w:r>
            <w:r w:rsidR="00E41337" w:rsidRPr="00E41337">
              <w:rPr>
                <w:b/>
                <w:caps/>
                <w:szCs w:val="24"/>
              </w:rPr>
              <w:t>PERRAM J</w:t>
            </w:r>
            <w:r w:rsidRPr="00E41337">
              <w:rPr>
                <w:b/>
              </w:rPr>
              <w:fldChar w:fldCharType="end"/>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2974E6" w:rsidP="00C363E4">
            <w:pPr>
              <w:pStyle w:val="Normal1linespace"/>
              <w:widowControl w:val="0"/>
              <w:jc w:val="left"/>
            </w:pPr>
            <w:r>
              <w:t>14 August 2015</w:t>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7A23EE" w:rsidRDefault="00D4578A">
            <w:pPr>
              <w:pStyle w:val="Normal1linespace"/>
              <w:widowControl w:val="0"/>
              <w:jc w:val="left"/>
            </w:pPr>
            <w:r w:rsidRPr="00D4578A">
              <w:rPr>
                <w:b/>
              </w:rPr>
              <w:t>DISCOVERY</w:t>
            </w:r>
            <w:r>
              <w:t xml:space="preserve"> – application for preliminary discovery </w:t>
            </w:r>
            <w:r w:rsidR="00D55C32">
              <w:t>–</w:t>
            </w:r>
            <w:r>
              <w:t xml:space="preserve"> </w:t>
            </w:r>
            <w:r w:rsidR="004F62E0">
              <w:t xml:space="preserve">manner in which such applications should be </w:t>
            </w:r>
            <w:r w:rsidR="00712F27">
              <w:t>conducted</w:t>
            </w:r>
            <w:r w:rsidR="004F62E0">
              <w:t xml:space="preserve"> – </w:t>
            </w:r>
            <w:r w:rsidR="00D55C32">
              <w:t>whether what is being pursued is a genuine right to obtain relief – nature of demands to be put to prospective respondents</w:t>
            </w:r>
          </w:p>
          <w:p w:rsidR="00D4578A" w:rsidRDefault="00D4578A">
            <w:pPr>
              <w:pStyle w:val="Normal1linespace"/>
              <w:widowControl w:val="0"/>
              <w:jc w:val="left"/>
            </w:pPr>
          </w:p>
          <w:p w:rsidR="00D4578A" w:rsidRDefault="00D4578A">
            <w:pPr>
              <w:pStyle w:val="Normal1linespace"/>
              <w:widowControl w:val="0"/>
              <w:jc w:val="left"/>
            </w:pPr>
            <w:r w:rsidRPr="00D55C32">
              <w:rPr>
                <w:b/>
              </w:rPr>
              <w:t>COPYRIGHT</w:t>
            </w:r>
            <w:r w:rsidR="00D55C32">
              <w:t xml:space="preserve"> – actions for infringement – operation of s 115 of the </w:t>
            </w:r>
            <w:r w:rsidR="00D55C32" w:rsidRPr="00D55C32">
              <w:rPr>
                <w:i/>
              </w:rPr>
              <w:t>Copyright Act 1968</w:t>
            </w:r>
            <w:r w:rsidR="00D55C32">
              <w:t xml:space="preserve"> (</w:t>
            </w:r>
            <w:proofErr w:type="spellStart"/>
            <w:r w:rsidR="00D55C32">
              <w:t>Cth</w:t>
            </w:r>
            <w:proofErr w:type="spellEnd"/>
            <w:r w:rsidR="00D55C32">
              <w:t xml:space="preserve">) – whether open to assess damages of copyright owner on basis of foregone licence fee in circumstances – whether s 115(4) permits regard to infringements of </w:t>
            </w:r>
            <w:r w:rsidR="00AD5B57">
              <w:t>an</w:t>
            </w:r>
            <w:r w:rsidR="00D55C32">
              <w:t xml:space="preserve">other’s copyright – whether </w:t>
            </w:r>
            <w:r w:rsidR="004F62E0">
              <w:t>s 115(6) enlivened</w:t>
            </w:r>
          </w:p>
          <w:p w:rsidR="004F62E0" w:rsidRDefault="004F62E0">
            <w:pPr>
              <w:pStyle w:val="Normal1linespace"/>
              <w:widowControl w:val="0"/>
              <w:jc w:val="left"/>
            </w:pPr>
          </w:p>
          <w:p w:rsidR="004F62E0" w:rsidRDefault="004F62E0" w:rsidP="004F62E0">
            <w:pPr>
              <w:pStyle w:val="Normal1linespace"/>
              <w:widowControl w:val="0"/>
              <w:jc w:val="left"/>
            </w:pPr>
            <w:r w:rsidRPr="004F62E0">
              <w:rPr>
                <w:b/>
              </w:rPr>
              <w:t>PRACTICE AND PROCEDURE</w:t>
            </w:r>
            <w:r>
              <w:t xml:space="preserve"> – securing undertaking</w:t>
            </w:r>
            <w:r w:rsidR="00CB1069">
              <w:t xml:space="preserve"> of</w:t>
            </w:r>
            <w:r>
              <w:t xml:space="preserve"> party without domestic presence – amount and nature of bond</w:t>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9E0F93" w:rsidRDefault="009E0F93" w:rsidP="009E0F93">
            <w:pPr>
              <w:pStyle w:val="Normal1linespace"/>
              <w:widowControl w:val="0"/>
              <w:jc w:val="left"/>
            </w:pPr>
            <w:r>
              <w:rPr>
                <w:i/>
              </w:rPr>
              <w:t>Copyright Act 1968</w:t>
            </w:r>
            <w:r w:rsidR="002974E6">
              <w:t xml:space="preserve"> (</w:t>
            </w:r>
            <w:proofErr w:type="spellStart"/>
            <w:r w:rsidR="002974E6">
              <w:t>Cth</w:t>
            </w:r>
            <w:proofErr w:type="spellEnd"/>
            <w:r w:rsidR="002974E6">
              <w:t xml:space="preserve">) </w:t>
            </w:r>
            <w:r>
              <w:t>s 115</w:t>
            </w:r>
          </w:p>
          <w:p w:rsidR="00395B24" w:rsidRDefault="009E0F93" w:rsidP="009E0F93">
            <w:pPr>
              <w:pStyle w:val="Normal1linespace"/>
              <w:widowControl w:val="0"/>
              <w:jc w:val="left"/>
            </w:pPr>
            <w:r>
              <w:rPr>
                <w:i/>
              </w:rPr>
              <w:t>Federal Court of Australia Act 1976</w:t>
            </w:r>
            <w:r w:rsidR="002974E6">
              <w:t xml:space="preserve"> (</w:t>
            </w:r>
            <w:proofErr w:type="spellStart"/>
            <w:r w:rsidR="002974E6">
              <w:t>Cth</w:t>
            </w:r>
            <w:proofErr w:type="spellEnd"/>
            <w:r w:rsidR="002974E6">
              <w:t xml:space="preserve">) </w:t>
            </w:r>
            <w:r>
              <w:t xml:space="preserve">s </w:t>
            </w:r>
            <w:proofErr w:type="spellStart"/>
            <w:r>
              <w:t>31A</w:t>
            </w:r>
            <w:proofErr w:type="spellEnd"/>
            <w:r w:rsidR="00B06D07">
              <w:t>(2)</w:t>
            </w:r>
            <w:r>
              <w:t xml:space="preserve"> </w:t>
            </w:r>
          </w:p>
          <w:p w:rsidR="009E0F93" w:rsidRDefault="009E0F93" w:rsidP="009E0F93">
            <w:pPr>
              <w:pStyle w:val="Normal1linespace"/>
              <w:widowControl w:val="0"/>
              <w:jc w:val="left"/>
            </w:pPr>
            <w:r w:rsidRPr="009E0F93">
              <w:rPr>
                <w:i/>
              </w:rPr>
              <w:t>Federal Court Rules</w:t>
            </w:r>
            <w:r w:rsidR="002974E6">
              <w:rPr>
                <w:i/>
              </w:rPr>
              <w:t xml:space="preserve"> 2011</w:t>
            </w:r>
            <w:r w:rsidR="002974E6">
              <w:t xml:space="preserve"> (</w:t>
            </w:r>
            <w:proofErr w:type="spellStart"/>
            <w:r w:rsidR="002974E6">
              <w:t>Cth</w:t>
            </w:r>
            <w:proofErr w:type="spellEnd"/>
            <w:r w:rsidR="002974E6">
              <w:t xml:space="preserve">) </w:t>
            </w:r>
            <w:r>
              <w:t>r 7.22</w:t>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9E0F93" w:rsidRDefault="009E0F93" w:rsidP="00154FDC">
            <w:pPr>
              <w:pStyle w:val="Normal1linespace"/>
              <w:widowControl w:val="0"/>
              <w:jc w:val="left"/>
            </w:pPr>
            <w:r>
              <w:rPr>
                <w:i/>
              </w:rPr>
              <w:t xml:space="preserve">Autodesk Australia Pty Ltd v Cheung </w:t>
            </w:r>
            <w:r>
              <w:t xml:space="preserve">(1990) 94 </w:t>
            </w:r>
            <w:proofErr w:type="spellStart"/>
            <w:r>
              <w:t>ALR</w:t>
            </w:r>
            <w:proofErr w:type="spellEnd"/>
            <w:r>
              <w:t xml:space="preserve"> 472</w:t>
            </w:r>
            <w:r w:rsidR="002974E6">
              <w:t xml:space="preserve"> considered</w:t>
            </w:r>
          </w:p>
          <w:p w:rsidR="00AD5B57" w:rsidRDefault="00AD5B57" w:rsidP="00154FDC">
            <w:pPr>
              <w:pStyle w:val="Normal1linespace"/>
              <w:widowControl w:val="0"/>
              <w:jc w:val="left"/>
            </w:pPr>
            <w:r w:rsidRPr="00E41337">
              <w:rPr>
                <w:i/>
              </w:rPr>
              <w:t>Dallas Buyers Club</w:t>
            </w:r>
            <w:r>
              <w:rPr>
                <w:i/>
              </w:rPr>
              <w:t xml:space="preserve"> LLC</w:t>
            </w:r>
            <w:r w:rsidRPr="00E41337">
              <w:rPr>
                <w:i/>
              </w:rPr>
              <w:t xml:space="preserve"> v </w:t>
            </w:r>
            <w:proofErr w:type="spellStart"/>
            <w:r w:rsidRPr="00E41337">
              <w:rPr>
                <w:i/>
              </w:rPr>
              <w:t>iiNet</w:t>
            </w:r>
            <w:proofErr w:type="spellEnd"/>
            <w:r w:rsidRPr="00E41337">
              <w:rPr>
                <w:i/>
              </w:rPr>
              <w:t xml:space="preserve"> Limited</w:t>
            </w:r>
            <w:r>
              <w:t xml:space="preserve"> [2015] </w:t>
            </w:r>
            <w:proofErr w:type="spellStart"/>
            <w:r>
              <w:t>FCA</w:t>
            </w:r>
            <w:proofErr w:type="spellEnd"/>
            <w:r>
              <w:t xml:space="preserve"> 317 cited</w:t>
            </w:r>
          </w:p>
          <w:p w:rsidR="00AD5B57" w:rsidRDefault="00AD5B57" w:rsidP="00154FDC">
            <w:pPr>
              <w:pStyle w:val="Normal1linespace"/>
              <w:widowControl w:val="0"/>
              <w:jc w:val="left"/>
            </w:pPr>
            <w:r>
              <w:rPr>
                <w:i/>
              </w:rPr>
              <w:t xml:space="preserve">Dallas Buyers Club LLC v </w:t>
            </w:r>
            <w:proofErr w:type="spellStart"/>
            <w:r>
              <w:rPr>
                <w:i/>
              </w:rPr>
              <w:t>iiNet</w:t>
            </w:r>
            <w:proofErr w:type="spellEnd"/>
            <w:r>
              <w:rPr>
                <w:i/>
              </w:rPr>
              <w:t xml:space="preserve"> Limited (No 3)</w:t>
            </w:r>
            <w:r>
              <w:t xml:space="preserve"> [2015] </w:t>
            </w:r>
            <w:proofErr w:type="spellStart"/>
            <w:r>
              <w:t>FCA</w:t>
            </w:r>
            <w:proofErr w:type="spellEnd"/>
            <w:r>
              <w:t xml:space="preserve"> 422 cited</w:t>
            </w:r>
          </w:p>
          <w:p w:rsidR="009E0F93" w:rsidRDefault="009E0F93" w:rsidP="009E0F93">
            <w:pPr>
              <w:pStyle w:val="Normal1linespace"/>
              <w:widowControl w:val="0"/>
              <w:jc w:val="left"/>
            </w:pPr>
            <w:r>
              <w:rPr>
                <w:i/>
              </w:rPr>
              <w:t xml:space="preserve">Golden Eye (International) Ltd v Telefonica UK Ltd </w:t>
            </w:r>
            <w:r>
              <w:t xml:space="preserve">[2012] </w:t>
            </w:r>
            <w:proofErr w:type="spellStart"/>
            <w:r>
              <w:t>EWHC</w:t>
            </w:r>
            <w:proofErr w:type="spellEnd"/>
            <w:r>
              <w:t xml:space="preserve"> 723</w:t>
            </w:r>
            <w:r w:rsidR="000C0E7E">
              <w:t xml:space="preserve"> (</w:t>
            </w:r>
            <w:proofErr w:type="spellStart"/>
            <w:r w:rsidR="000C0E7E">
              <w:t>Ch</w:t>
            </w:r>
            <w:proofErr w:type="spellEnd"/>
            <w:r w:rsidR="000C0E7E">
              <w:t>)</w:t>
            </w:r>
            <w:r w:rsidR="002974E6">
              <w:t xml:space="preserve"> cited</w:t>
            </w:r>
          </w:p>
          <w:p w:rsidR="009E0F93" w:rsidRDefault="00FE154B" w:rsidP="00154FDC">
            <w:pPr>
              <w:pStyle w:val="Normal1linespace"/>
              <w:widowControl w:val="0"/>
              <w:jc w:val="left"/>
            </w:pPr>
            <w:r w:rsidRPr="00656632">
              <w:rPr>
                <w:i/>
              </w:rPr>
              <w:t>Halal</w:t>
            </w:r>
            <w:r>
              <w:t xml:space="preserve"> </w:t>
            </w:r>
            <w:r w:rsidRPr="00FE154B">
              <w:rPr>
                <w:i/>
              </w:rPr>
              <w:t>Certification Authority Pty Ltd</w:t>
            </w:r>
            <w:r>
              <w:t xml:space="preserve"> </w:t>
            </w:r>
            <w:r w:rsidRPr="00656632">
              <w:rPr>
                <w:i/>
              </w:rPr>
              <w:t xml:space="preserve">v </w:t>
            </w:r>
            <w:proofErr w:type="spellStart"/>
            <w:r w:rsidRPr="00656632">
              <w:rPr>
                <w:i/>
              </w:rPr>
              <w:t>Scadilone</w:t>
            </w:r>
            <w:proofErr w:type="spellEnd"/>
            <w:r w:rsidRPr="00656632">
              <w:rPr>
                <w:i/>
              </w:rPr>
              <w:t xml:space="preserve"> </w:t>
            </w:r>
            <w:r>
              <w:rPr>
                <w:i/>
              </w:rPr>
              <w:t xml:space="preserve">Pty Ltd </w:t>
            </w:r>
            <w:r>
              <w:lastRenderedPageBreak/>
              <w:t xml:space="preserve">(2014) 107 </w:t>
            </w:r>
            <w:proofErr w:type="spellStart"/>
            <w:r>
              <w:t>IPR</w:t>
            </w:r>
            <w:proofErr w:type="spellEnd"/>
            <w:r>
              <w:t xml:space="preserve"> 23</w:t>
            </w:r>
            <w:r w:rsidR="002974E6">
              <w:t xml:space="preserve"> considered</w:t>
            </w:r>
          </w:p>
          <w:p w:rsidR="009E0F93" w:rsidRDefault="009E0F93" w:rsidP="009E0F93">
            <w:pPr>
              <w:pStyle w:val="Normal1linespace"/>
              <w:widowControl w:val="0"/>
              <w:jc w:val="left"/>
            </w:pPr>
            <w:r>
              <w:rPr>
                <w:i/>
              </w:rPr>
              <w:t xml:space="preserve">Voltage Pictures LLC v John Doe </w:t>
            </w:r>
            <w:r>
              <w:t>[2014] FC 161</w:t>
            </w:r>
            <w:r w:rsidR="002974E6">
              <w:t xml:space="preserve"> cited</w:t>
            </w:r>
          </w:p>
          <w:p w:rsidR="00AD5B57" w:rsidRDefault="00AD5B57" w:rsidP="009E0F93">
            <w:pPr>
              <w:pStyle w:val="Normal1linespace"/>
              <w:widowControl w:val="0"/>
              <w:jc w:val="left"/>
            </w:pPr>
          </w:p>
          <w:p w:rsidR="00AD5B57" w:rsidRDefault="00AD5B57" w:rsidP="009E0F93">
            <w:pPr>
              <w:pStyle w:val="Normal1linespace"/>
              <w:widowControl w:val="0"/>
              <w:jc w:val="left"/>
            </w:pPr>
            <w:r>
              <w:t xml:space="preserve">Explanatory Memorandum to the </w:t>
            </w:r>
            <w:r w:rsidRPr="00851F18">
              <w:rPr>
                <w:i/>
              </w:rPr>
              <w:t>Copyright Amendment Bill 2006</w:t>
            </w:r>
            <w:r>
              <w:t xml:space="preserve"> (</w:t>
            </w:r>
            <w:proofErr w:type="spellStart"/>
            <w:r>
              <w:t>Cth</w:t>
            </w:r>
            <w:proofErr w:type="spellEnd"/>
            <w:r>
              <w:t>)</w:t>
            </w:r>
          </w:p>
        </w:tc>
      </w:tr>
      <w:tr w:rsidR="00E14506" w:rsidRPr="00E14506" w:rsidTr="00E14506">
        <w:tc>
          <w:tcPr>
            <w:tcW w:w="3085" w:type="dxa"/>
            <w:shd w:val="clear" w:color="auto" w:fill="auto"/>
          </w:tcPr>
          <w:p w:rsidR="00E14506" w:rsidRPr="00E14506" w:rsidRDefault="00E14506" w:rsidP="00E14506">
            <w:pPr>
              <w:pStyle w:val="Normal1linespace"/>
              <w:jc w:val="left"/>
            </w:pPr>
          </w:p>
        </w:tc>
        <w:tc>
          <w:tcPr>
            <w:tcW w:w="5989" w:type="dxa"/>
            <w:shd w:val="clear" w:color="auto" w:fill="auto"/>
          </w:tcPr>
          <w:p w:rsidR="00E14506" w:rsidRPr="00E14506" w:rsidRDefault="00E14506" w:rsidP="00E14506">
            <w:pPr>
              <w:pStyle w:val="Normal1linespace"/>
              <w:jc w:val="left"/>
            </w:pPr>
          </w:p>
        </w:tc>
      </w:tr>
      <w:tr w:rsidR="00E14506" w:rsidRPr="00E14506" w:rsidTr="00E14506">
        <w:tc>
          <w:tcPr>
            <w:tcW w:w="3085" w:type="dxa"/>
            <w:shd w:val="clear" w:color="auto" w:fill="auto"/>
          </w:tcPr>
          <w:p w:rsidR="00E14506" w:rsidRPr="00E14506" w:rsidRDefault="00E14506" w:rsidP="00E14506">
            <w:pPr>
              <w:pStyle w:val="Normal1linespace"/>
              <w:jc w:val="left"/>
            </w:pPr>
            <w:bookmarkStart w:id="2" w:name="CounselDate" w:colFirst="0" w:colLast="2"/>
            <w:r w:rsidRPr="00E14506">
              <w:t>Date of hearing:</w:t>
            </w:r>
          </w:p>
        </w:tc>
        <w:tc>
          <w:tcPr>
            <w:tcW w:w="5989" w:type="dxa"/>
            <w:shd w:val="clear" w:color="auto" w:fill="auto"/>
          </w:tcPr>
          <w:p w:rsidR="00E14506" w:rsidRPr="00E14506" w:rsidRDefault="002974E6" w:rsidP="00E14506">
            <w:pPr>
              <w:pStyle w:val="Normal1linespace"/>
              <w:jc w:val="left"/>
            </w:pPr>
            <w:r>
              <w:t>18 June 2015</w:t>
            </w:r>
          </w:p>
        </w:tc>
      </w:tr>
      <w:tr w:rsidR="00A94CCE" w:rsidRPr="00E14506" w:rsidTr="00E14506">
        <w:tc>
          <w:tcPr>
            <w:tcW w:w="3085" w:type="dxa"/>
            <w:shd w:val="clear" w:color="auto" w:fill="auto"/>
          </w:tcPr>
          <w:p w:rsidR="00A94CCE" w:rsidRPr="00E14506" w:rsidRDefault="00A94CCE" w:rsidP="00E14506">
            <w:pPr>
              <w:pStyle w:val="Normal1linespace"/>
              <w:jc w:val="left"/>
            </w:pPr>
          </w:p>
        </w:tc>
        <w:tc>
          <w:tcPr>
            <w:tcW w:w="5989" w:type="dxa"/>
            <w:shd w:val="clear" w:color="auto" w:fill="auto"/>
          </w:tcPr>
          <w:p w:rsidR="00A94CCE" w:rsidRDefault="00A94CCE" w:rsidP="00E14506">
            <w:pPr>
              <w:pStyle w:val="Normal1linespace"/>
              <w:jc w:val="left"/>
            </w:pPr>
          </w:p>
        </w:tc>
      </w:tr>
      <w:tr w:rsidR="00A94CCE" w:rsidRPr="00E14506" w:rsidTr="00E14506">
        <w:tc>
          <w:tcPr>
            <w:tcW w:w="3085" w:type="dxa"/>
            <w:shd w:val="clear" w:color="auto" w:fill="auto"/>
          </w:tcPr>
          <w:p w:rsidR="00A94CCE" w:rsidRPr="00E14506" w:rsidRDefault="00A94CCE" w:rsidP="00E14506">
            <w:pPr>
              <w:pStyle w:val="Normal1linespace"/>
              <w:jc w:val="left"/>
            </w:pPr>
            <w:r>
              <w:t>Date</w:t>
            </w:r>
            <w:r w:rsidR="00F32403">
              <w:t>s</w:t>
            </w:r>
            <w:r>
              <w:t xml:space="preserve"> of </w:t>
            </w:r>
            <w:r w:rsidR="00F32403">
              <w:t xml:space="preserve">further </w:t>
            </w:r>
            <w:r w:rsidR="005E3ABC">
              <w:t xml:space="preserve">written </w:t>
            </w:r>
            <w:r>
              <w:t>submissions:</w:t>
            </w:r>
          </w:p>
        </w:tc>
        <w:tc>
          <w:tcPr>
            <w:tcW w:w="5989" w:type="dxa"/>
            <w:shd w:val="clear" w:color="auto" w:fill="auto"/>
          </w:tcPr>
          <w:p w:rsidR="005E3ABC" w:rsidRDefault="005E3ABC" w:rsidP="00F32403">
            <w:pPr>
              <w:pStyle w:val="Normal1linespace"/>
              <w:jc w:val="left"/>
            </w:pPr>
          </w:p>
          <w:p w:rsidR="00A94CCE" w:rsidRDefault="00F32403" w:rsidP="00F32403">
            <w:pPr>
              <w:pStyle w:val="Normal1linespace"/>
              <w:jc w:val="left"/>
            </w:pPr>
            <w:r>
              <w:t>2, 15, 29, 31 July 2015</w:t>
            </w:r>
          </w:p>
        </w:tc>
      </w:tr>
      <w:tr w:rsidR="00E14506" w:rsidRPr="00E14506" w:rsidTr="00E14506">
        <w:tc>
          <w:tcPr>
            <w:tcW w:w="3085" w:type="dxa"/>
            <w:shd w:val="clear" w:color="auto" w:fill="auto"/>
          </w:tcPr>
          <w:p w:rsidR="00E14506" w:rsidRPr="00E14506" w:rsidRDefault="00E14506" w:rsidP="00E14506">
            <w:pPr>
              <w:pStyle w:val="Normal1linespace"/>
              <w:jc w:val="left"/>
            </w:pPr>
          </w:p>
        </w:tc>
        <w:tc>
          <w:tcPr>
            <w:tcW w:w="5989" w:type="dxa"/>
            <w:shd w:val="clear" w:color="auto" w:fill="auto"/>
          </w:tcPr>
          <w:p w:rsidR="00E14506" w:rsidRPr="00E14506" w:rsidRDefault="00E14506" w:rsidP="00E14506">
            <w:pPr>
              <w:pStyle w:val="Normal1linespace"/>
              <w:jc w:val="left"/>
            </w:pPr>
          </w:p>
        </w:tc>
      </w:tr>
      <w:bookmarkEnd w:id="2"/>
      <w:tr w:rsidR="00E14506" w:rsidTr="00E14506">
        <w:tc>
          <w:tcPr>
            <w:tcW w:w="3085" w:type="dxa"/>
            <w:shd w:val="clear" w:color="auto" w:fill="auto"/>
          </w:tcPr>
          <w:p w:rsidR="00E14506" w:rsidRDefault="00E14506" w:rsidP="00E14506">
            <w:pPr>
              <w:pStyle w:val="Normal1linespace"/>
              <w:widowControl w:val="0"/>
              <w:jc w:val="left"/>
            </w:pPr>
            <w:r>
              <w:t>Place:</w:t>
            </w:r>
          </w:p>
        </w:tc>
        <w:tc>
          <w:tcPr>
            <w:tcW w:w="5989" w:type="dxa"/>
            <w:shd w:val="clear" w:color="auto" w:fill="auto"/>
          </w:tcPr>
          <w:p w:rsidR="00E14506" w:rsidRDefault="00346800" w:rsidP="00E14506">
            <w:pPr>
              <w:pStyle w:val="Normal1linespace"/>
              <w:widowControl w:val="0"/>
              <w:jc w:val="left"/>
            </w:pPr>
            <w:fldSimple w:instr=" DOCVARIABLE  Place_SentenceCase  \* MERGEFORMAT ">
              <w:r w:rsidR="00E41337">
                <w:t>Sydney</w:t>
              </w:r>
            </w:fldSimple>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E14506">
            <w:pPr>
              <w:pStyle w:val="Normal1linespace"/>
              <w:widowControl w:val="0"/>
              <w:jc w:val="left"/>
            </w:pPr>
            <w:r>
              <w:t>Division:</w:t>
            </w:r>
          </w:p>
        </w:tc>
        <w:tc>
          <w:tcPr>
            <w:tcW w:w="5989" w:type="dxa"/>
            <w:shd w:val="clear" w:color="auto" w:fill="auto"/>
          </w:tcPr>
          <w:p w:rsidR="00E14506" w:rsidRPr="00C67B37" w:rsidRDefault="00E14506" w:rsidP="00E14506">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E41337">
              <w:rPr>
                <w:caps/>
                <w:szCs w:val="24"/>
              </w:rPr>
              <w:t>GENERAL DIVISION</w:t>
            </w:r>
            <w:r>
              <w:rPr>
                <w:caps/>
              </w:rPr>
              <w:fldChar w:fldCharType="end"/>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rPr>
                <w:b/>
              </w:rPr>
            </w:pPr>
          </w:p>
        </w:tc>
      </w:tr>
      <w:tr w:rsidR="00E14506" w:rsidTr="00E14506">
        <w:tc>
          <w:tcPr>
            <w:tcW w:w="3085" w:type="dxa"/>
            <w:shd w:val="clear" w:color="auto" w:fill="auto"/>
          </w:tcPr>
          <w:p w:rsidR="00E14506" w:rsidRDefault="00E14506" w:rsidP="00E14506">
            <w:pPr>
              <w:pStyle w:val="Normal1linespace"/>
              <w:widowControl w:val="0"/>
              <w:jc w:val="left"/>
            </w:pPr>
            <w:r>
              <w:t>Category:</w:t>
            </w:r>
          </w:p>
        </w:tc>
        <w:tc>
          <w:tcPr>
            <w:tcW w:w="5989" w:type="dxa"/>
            <w:shd w:val="clear" w:color="auto" w:fill="auto"/>
          </w:tcPr>
          <w:p w:rsidR="00E14506" w:rsidRDefault="00E14506" w:rsidP="00790F72">
            <w:pPr>
              <w:pStyle w:val="Normal1linespace"/>
              <w:widowControl w:val="0"/>
              <w:jc w:val="left"/>
            </w:pPr>
            <w:r w:rsidRPr="00790F72">
              <w:t>C</w:t>
            </w:r>
            <w:r w:rsidR="00790F72" w:rsidRPr="00790F72">
              <w:t>atchwords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E14506">
            <w:pPr>
              <w:pStyle w:val="Normal1linespace"/>
              <w:widowControl w:val="0"/>
              <w:jc w:val="left"/>
            </w:pPr>
            <w:r>
              <w:t>Number of paragraphs:</w:t>
            </w:r>
          </w:p>
        </w:tc>
        <w:tc>
          <w:tcPr>
            <w:tcW w:w="5989" w:type="dxa"/>
            <w:shd w:val="clear" w:color="auto" w:fill="auto"/>
          </w:tcPr>
          <w:p w:rsidR="00E14506" w:rsidRDefault="00886405" w:rsidP="00D4578A">
            <w:pPr>
              <w:pStyle w:val="Normal1linespace"/>
              <w:widowControl w:val="0"/>
              <w:jc w:val="left"/>
            </w:pPr>
            <w:bookmarkStart w:id="3" w:name="PlaceCategoryParagraphs"/>
            <w:r>
              <w:t>3</w:t>
            </w:r>
            <w:r w:rsidR="00D4578A">
              <w:t>8</w:t>
            </w:r>
            <w:bookmarkEnd w:id="3"/>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bookmarkStart w:id="4" w:name="Counsel" w:colFirst="0" w:colLast="2"/>
            <w:r>
              <w:t xml:space="preserve">Counsel for the </w:t>
            </w:r>
            <w:r w:rsidR="00B06BAF">
              <w:t xml:space="preserve">Prospective </w:t>
            </w:r>
            <w:r>
              <w:t>Applicant</w:t>
            </w:r>
            <w:r w:rsidR="00B06BAF">
              <w:t>s</w:t>
            </w:r>
            <w:r>
              <w:t>:</w:t>
            </w:r>
          </w:p>
        </w:tc>
        <w:tc>
          <w:tcPr>
            <w:tcW w:w="5989" w:type="dxa"/>
            <w:shd w:val="clear" w:color="auto" w:fill="auto"/>
          </w:tcPr>
          <w:p w:rsidR="00E14506" w:rsidRDefault="00E14506" w:rsidP="00E14506">
            <w:pPr>
              <w:pStyle w:val="Normal1linespace"/>
              <w:widowControl w:val="0"/>
              <w:jc w:val="left"/>
            </w:pPr>
            <w:bookmarkStart w:id="5" w:name="AppCounsel"/>
            <w:bookmarkEnd w:id="5"/>
          </w:p>
          <w:p w:rsidR="00B06BAF" w:rsidRDefault="00B06BAF" w:rsidP="00E14506">
            <w:pPr>
              <w:pStyle w:val="Normal1linespace"/>
              <w:widowControl w:val="0"/>
              <w:jc w:val="left"/>
            </w:pPr>
            <w:r>
              <w:t>Mr I Pike SC</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t xml:space="preserve">Solicitor for the </w:t>
            </w:r>
            <w:r w:rsidR="00B06BAF">
              <w:t xml:space="preserve">Prospective </w:t>
            </w:r>
            <w:r>
              <w:t>Applicant</w:t>
            </w:r>
            <w:r w:rsidR="00B06BAF">
              <w:t>s</w:t>
            </w:r>
            <w:r>
              <w:t>:</w:t>
            </w:r>
          </w:p>
        </w:tc>
        <w:tc>
          <w:tcPr>
            <w:tcW w:w="5989" w:type="dxa"/>
            <w:shd w:val="clear" w:color="auto" w:fill="auto"/>
          </w:tcPr>
          <w:p w:rsidR="00E14506" w:rsidRDefault="00E14506" w:rsidP="00E14506">
            <w:pPr>
              <w:pStyle w:val="Normal1linespace"/>
              <w:widowControl w:val="0"/>
              <w:jc w:val="left"/>
            </w:pPr>
          </w:p>
          <w:p w:rsidR="00B06BAF" w:rsidRDefault="00B06BAF" w:rsidP="00E14506">
            <w:pPr>
              <w:pStyle w:val="Normal1linespace"/>
              <w:widowControl w:val="0"/>
              <w:jc w:val="left"/>
            </w:pPr>
            <w:r>
              <w:t>Marque Lawyers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t>Counsel for the Respondent</w:t>
            </w:r>
            <w:r w:rsidR="00B06BAF">
              <w:t>s</w:t>
            </w:r>
            <w:r>
              <w:t>:</w:t>
            </w:r>
          </w:p>
        </w:tc>
        <w:tc>
          <w:tcPr>
            <w:tcW w:w="5989" w:type="dxa"/>
            <w:shd w:val="clear" w:color="auto" w:fill="auto"/>
          </w:tcPr>
          <w:p w:rsidR="00E14506" w:rsidRDefault="00B06BAF" w:rsidP="00E14506">
            <w:pPr>
              <w:pStyle w:val="Normal1linespace"/>
              <w:widowControl w:val="0"/>
              <w:jc w:val="left"/>
            </w:pPr>
            <w:r>
              <w:t xml:space="preserve">Mr </w:t>
            </w:r>
            <w:proofErr w:type="spellStart"/>
            <w:r>
              <w:t>RPL</w:t>
            </w:r>
            <w:proofErr w:type="spellEnd"/>
            <w:r>
              <w:t xml:space="preserve"> Lancaster SC and Mr C Burgess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t>Solicitor for the Respondent</w:t>
            </w:r>
            <w:r w:rsidR="00B06BAF">
              <w:t>s</w:t>
            </w:r>
            <w:r>
              <w:t>:</w:t>
            </w:r>
          </w:p>
        </w:tc>
        <w:tc>
          <w:tcPr>
            <w:tcW w:w="5989" w:type="dxa"/>
            <w:shd w:val="clear" w:color="auto" w:fill="auto"/>
          </w:tcPr>
          <w:p w:rsidR="00E14506" w:rsidRDefault="00E14506" w:rsidP="00E14506">
            <w:pPr>
              <w:pStyle w:val="Normal1linespace"/>
              <w:widowControl w:val="0"/>
              <w:jc w:val="left"/>
            </w:pPr>
          </w:p>
          <w:p w:rsidR="00B06BAF" w:rsidRDefault="00B06BAF" w:rsidP="00E14506">
            <w:pPr>
              <w:pStyle w:val="Normal1linespace"/>
              <w:widowControl w:val="0"/>
              <w:jc w:val="left"/>
            </w:pPr>
            <w:r>
              <w:t>Thomson Geer Lawyers</w:t>
            </w:r>
          </w:p>
        </w:tc>
      </w:tr>
      <w:bookmarkEnd w:id="4"/>
    </w:tbl>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E41337">
            <w:pPr>
              <w:pStyle w:val="NormalHeadings"/>
              <w:spacing w:after="120"/>
              <w:jc w:val="left"/>
              <w:rPr>
                <w:caps/>
                <w:szCs w:val="24"/>
              </w:rPr>
            </w:pPr>
            <w:bookmarkStart w:id="6" w:name="State"/>
            <w:r>
              <w:rPr>
                <w:caps/>
                <w:szCs w:val="24"/>
              </w:rPr>
              <w:t>NEW SOUTH WALES</w:t>
            </w:r>
            <w:bookmarkEnd w:id="6"/>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E41337">
            <w:pPr>
              <w:pStyle w:val="NormalHeadings"/>
              <w:spacing w:after="120"/>
              <w:jc w:val="left"/>
              <w:rPr>
                <w:caps/>
                <w:szCs w:val="24"/>
              </w:rPr>
            </w:pPr>
            <w:bookmarkStart w:id="7" w:name="Division"/>
            <w:r>
              <w:rPr>
                <w:caps/>
                <w:szCs w:val="24"/>
              </w:rPr>
              <w:t>GENERAL DIVISION</w:t>
            </w:r>
            <w:bookmarkEnd w:id="7"/>
          </w:p>
        </w:tc>
        <w:tc>
          <w:tcPr>
            <w:tcW w:w="2471" w:type="dxa"/>
          </w:tcPr>
          <w:p w:rsidR="00395B24" w:rsidRDefault="00E41337">
            <w:pPr>
              <w:pStyle w:val="NormalHeadings"/>
              <w:tabs>
                <w:tab w:val="right" w:pos="3609"/>
              </w:tabs>
              <w:jc w:val="right"/>
              <w:rPr>
                <w:szCs w:val="24"/>
              </w:rPr>
            </w:pPr>
            <w:bookmarkStart w:id="8" w:name="Num"/>
            <w:proofErr w:type="spellStart"/>
            <w:r>
              <w:rPr>
                <w:szCs w:val="24"/>
              </w:rPr>
              <w:t>NSD</w:t>
            </w:r>
            <w:proofErr w:type="spellEnd"/>
            <w:r>
              <w:rPr>
                <w:szCs w:val="24"/>
              </w:rPr>
              <w:t xml:space="preserve"> 1051 of 2014</w:t>
            </w:r>
            <w:bookmarkEnd w:id="8"/>
          </w:p>
        </w:tc>
      </w:tr>
    </w:tbl>
    <w:p w:rsidR="00395B24" w:rsidRPr="00E41337" w:rsidRDefault="002C7385">
      <w:pPr>
        <w:pStyle w:val="AppealTable"/>
        <w:rPr>
          <w:sz w:val="24"/>
        </w:rPr>
      </w:pPr>
      <w:bookmarkStart w:id="9" w:name="AppealTable"/>
      <w:r w:rsidRPr="00E41337">
        <w:rPr>
          <w:sz w:val="24"/>
        </w:rPr>
        <w:t xml:space="preserve"> </w:t>
      </w:r>
      <w:bookmarkEnd w:id="9"/>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0" w:name="Parties"/>
            <w:r>
              <w:rPr>
                <w:caps/>
                <w:szCs w:val="24"/>
              </w:rPr>
              <w:t>BETWEEN:</w:t>
            </w:r>
          </w:p>
        </w:tc>
        <w:tc>
          <w:tcPr>
            <w:tcW w:w="6866" w:type="dxa"/>
          </w:tcPr>
          <w:p w:rsidR="008D18D4" w:rsidRDefault="008D18D4">
            <w:pPr>
              <w:pStyle w:val="NormalHeadings"/>
              <w:jc w:val="left"/>
              <w:rPr>
                <w:szCs w:val="24"/>
              </w:rPr>
            </w:pPr>
            <w:bookmarkStart w:id="11" w:name="Applicant"/>
            <w:r>
              <w:rPr>
                <w:szCs w:val="24"/>
              </w:rPr>
              <w:t>DALLAS BUYERS CLUB LLC</w:t>
            </w:r>
          </w:p>
          <w:p w:rsidR="008D18D4" w:rsidRDefault="008D18D4">
            <w:pPr>
              <w:pStyle w:val="NormalHeadings"/>
              <w:jc w:val="left"/>
              <w:rPr>
                <w:szCs w:val="24"/>
              </w:rPr>
            </w:pPr>
            <w:r>
              <w:rPr>
                <w:szCs w:val="24"/>
              </w:rPr>
              <w:t xml:space="preserve">First </w:t>
            </w:r>
            <w:r w:rsidR="00B06BAF">
              <w:rPr>
                <w:szCs w:val="24"/>
              </w:rPr>
              <w:t xml:space="preserve">Prospective </w:t>
            </w:r>
            <w:r>
              <w:rPr>
                <w:szCs w:val="24"/>
              </w:rPr>
              <w:t>Applicant</w:t>
            </w:r>
          </w:p>
          <w:p w:rsidR="008D18D4" w:rsidRDefault="008D18D4">
            <w:pPr>
              <w:pStyle w:val="NormalHeadings"/>
              <w:jc w:val="left"/>
              <w:rPr>
                <w:szCs w:val="24"/>
              </w:rPr>
            </w:pPr>
          </w:p>
          <w:p w:rsidR="008D18D4" w:rsidRDefault="008D18D4">
            <w:pPr>
              <w:pStyle w:val="NormalHeadings"/>
              <w:jc w:val="left"/>
              <w:rPr>
                <w:szCs w:val="24"/>
              </w:rPr>
            </w:pPr>
            <w:r>
              <w:rPr>
                <w:szCs w:val="24"/>
              </w:rPr>
              <w:t>VOLTAGE PICTURES LLC</w:t>
            </w:r>
          </w:p>
          <w:p w:rsidR="008D18D4" w:rsidRDefault="008D18D4">
            <w:pPr>
              <w:pStyle w:val="NormalHeadings"/>
              <w:jc w:val="left"/>
              <w:rPr>
                <w:szCs w:val="24"/>
              </w:rPr>
            </w:pPr>
            <w:r>
              <w:rPr>
                <w:szCs w:val="24"/>
              </w:rPr>
              <w:t xml:space="preserve">Second </w:t>
            </w:r>
            <w:r w:rsidR="00B06BAF">
              <w:rPr>
                <w:szCs w:val="24"/>
              </w:rPr>
              <w:t xml:space="preserve">Prospective </w:t>
            </w:r>
            <w:r>
              <w:rPr>
                <w:szCs w:val="24"/>
              </w:rPr>
              <w:t>Applicant</w:t>
            </w:r>
          </w:p>
          <w:bookmarkEnd w:id="11"/>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D18D4" w:rsidRDefault="008D18D4">
            <w:pPr>
              <w:pStyle w:val="NormalHeadings"/>
              <w:jc w:val="left"/>
              <w:rPr>
                <w:szCs w:val="24"/>
              </w:rPr>
            </w:pPr>
            <w:bookmarkStart w:id="12" w:name="Respondent"/>
            <w:proofErr w:type="spellStart"/>
            <w:r>
              <w:rPr>
                <w:szCs w:val="24"/>
              </w:rPr>
              <w:t>IINET</w:t>
            </w:r>
            <w:proofErr w:type="spellEnd"/>
            <w:r>
              <w:rPr>
                <w:szCs w:val="24"/>
              </w:rPr>
              <w:t xml:space="preserve"> LIMITED</w:t>
            </w:r>
          </w:p>
          <w:p w:rsidR="008D18D4" w:rsidRDefault="008D18D4">
            <w:pPr>
              <w:pStyle w:val="NormalHeadings"/>
              <w:jc w:val="left"/>
              <w:rPr>
                <w:szCs w:val="24"/>
              </w:rPr>
            </w:pPr>
            <w:r>
              <w:rPr>
                <w:szCs w:val="24"/>
              </w:rPr>
              <w:t>First Respondent</w:t>
            </w:r>
          </w:p>
          <w:p w:rsidR="008D18D4" w:rsidRDefault="008D18D4">
            <w:pPr>
              <w:pStyle w:val="NormalHeadings"/>
              <w:jc w:val="left"/>
              <w:rPr>
                <w:szCs w:val="24"/>
              </w:rPr>
            </w:pPr>
          </w:p>
          <w:p w:rsidR="008D18D4" w:rsidRDefault="008D18D4">
            <w:pPr>
              <w:pStyle w:val="NormalHeadings"/>
              <w:jc w:val="left"/>
              <w:rPr>
                <w:szCs w:val="24"/>
              </w:rPr>
            </w:pPr>
            <w:r>
              <w:rPr>
                <w:szCs w:val="24"/>
              </w:rPr>
              <w:t>INTERNODE PTY LTD</w:t>
            </w:r>
          </w:p>
          <w:p w:rsidR="008D18D4" w:rsidRDefault="008D18D4">
            <w:pPr>
              <w:pStyle w:val="NormalHeadings"/>
              <w:jc w:val="left"/>
              <w:rPr>
                <w:szCs w:val="24"/>
              </w:rPr>
            </w:pPr>
            <w:r>
              <w:rPr>
                <w:szCs w:val="24"/>
              </w:rPr>
              <w:t>Second Respondent</w:t>
            </w:r>
          </w:p>
          <w:p w:rsidR="008D18D4" w:rsidRDefault="008D18D4">
            <w:pPr>
              <w:pStyle w:val="NormalHeadings"/>
              <w:jc w:val="left"/>
              <w:rPr>
                <w:szCs w:val="24"/>
              </w:rPr>
            </w:pPr>
          </w:p>
          <w:p w:rsidR="008D18D4" w:rsidRDefault="008D18D4">
            <w:pPr>
              <w:pStyle w:val="NormalHeadings"/>
              <w:jc w:val="left"/>
              <w:rPr>
                <w:szCs w:val="24"/>
              </w:rPr>
            </w:pPr>
            <w:proofErr w:type="spellStart"/>
            <w:r>
              <w:rPr>
                <w:szCs w:val="24"/>
              </w:rPr>
              <w:t>AMNET</w:t>
            </w:r>
            <w:proofErr w:type="spellEnd"/>
            <w:r>
              <w:rPr>
                <w:szCs w:val="24"/>
              </w:rPr>
              <w:t xml:space="preserve"> BROADBAND PTY LTD</w:t>
            </w:r>
          </w:p>
          <w:p w:rsidR="008D18D4" w:rsidRDefault="008D18D4">
            <w:pPr>
              <w:pStyle w:val="NormalHeadings"/>
              <w:jc w:val="left"/>
              <w:rPr>
                <w:szCs w:val="24"/>
              </w:rPr>
            </w:pPr>
            <w:r>
              <w:rPr>
                <w:szCs w:val="24"/>
              </w:rPr>
              <w:t>Third Respondent</w:t>
            </w:r>
          </w:p>
          <w:p w:rsidR="008D18D4" w:rsidRDefault="008D18D4">
            <w:pPr>
              <w:pStyle w:val="NormalHeadings"/>
              <w:jc w:val="left"/>
              <w:rPr>
                <w:szCs w:val="24"/>
              </w:rPr>
            </w:pPr>
          </w:p>
          <w:p w:rsidR="008D18D4" w:rsidRDefault="008D18D4">
            <w:pPr>
              <w:pStyle w:val="NormalHeadings"/>
              <w:jc w:val="left"/>
              <w:rPr>
                <w:szCs w:val="24"/>
              </w:rPr>
            </w:pPr>
            <w:r>
              <w:rPr>
                <w:szCs w:val="24"/>
              </w:rPr>
              <w:t>DODO SERVICES PTY LTD</w:t>
            </w:r>
          </w:p>
          <w:p w:rsidR="008D18D4" w:rsidRDefault="008D18D4">
            <w:pPr>
              <w:pStyle w:val="NormalHeadings"/>
              <w:jc w:val="left"/>
              <w:rPr>
                <w:szCs w:val="24"/>
              </w:rPr>
            </w:pPr>
            <w:r>
              <w:rPr>
                <w:szCs w:val="24"/>
              </w:rPr>
              <w:t>Fourth Respondent</w:t>
            </w:r>
          </w:p>
          <w:p w:rsidR="008D18D4" w:rsidRDefault="008D18D4">
            <w:pPr>
              <w:pStyle w:val="NormalHeadings"/>
              <w:jc w:val="left"/>
              <w:rPr>
                <w:szCs w:val="24"/>
              </w:rPr>
            </w:pPr>
          </w:p>
          <w:p w:rsidR="008D18D4" w:rsidRDefault="008D18D4">
            <w:pPr>
              <w:pStyle w:val="NormalHeadings"/>
              <w:jc w:val="left"/>
              <w:rPr>
                <w:szCs w:val="24"/>
              </w:rPr>
            </w:pPr>
            <w:r>
              <w:rPr>
                <w:szCs w:val="24"/>
              </w:rPr>
              <w:t>ADAM INTERNET PTY LTD</w:t>
            </w:r>
          </w:p>
          <w:p w:rsidR="008D18D4" w:rsidRDefault="008D18D4">
            <w:pPr>
              <w:pStyle w:val="NormalHeadings"/>
              <w:jc w:val="left"/>
              <w:rPr>
                <w:szCs w:val="24"/>
              </w:rPr>
            </w:pPr>
            <w:r>
              <w:rPr>
                <w:szCs w:val="24"/>
              </w:rPr>
              <w:t>Fifth Respondent</w:t>
            </w:r>
          </w:p>
          <w:p w:rsidR="008D18D4" w:rsidRDefault="008D18D4">
            <w:pPr>
              <w:pStyle w:val="NormalHeadings"/>
              <w:jc w:val="left"/>
              <w:rPr>
                <w:szCs w:val="24"/>
              </w:rPr>
            </w:pPr>
          </w:p>
          <w:p w:rsidR="008D18D4" w:rsidRDefault="008D18D4">
            <w:pPr>
              <w:pStyle w:val="NormalHeadings"/>
              <w:jc w:val="left"/>
              <w:rPr>
                <w:szCs w:val="24"/>
              </w:rPr>
            </w:pPr>
            <w:r>
              <w:rPr>
                <w:szCs w:val="24"/>
              </w:rPr>
              <w:t>WIDEBAN</w:t>
            </w:r>
            <w:r w:rsidR="00B06BAF">
              <w:rPr>
                <w:szCs w:val="24"/>
              </w:rPr>
              <w:t>D</w:t>
            </w:r>
            <w:r>
              <w:rPr>
                <w:szCs w:val="24"/>
              </w:rPr>
              <w:t xml:space="preserve"> NETWORKS PTY LTD</w:t>
            </w:r>
          </w:p>
          <w:p w:rsidR="008D18D4" w:rsidRDefault="008D18D4">
            <w:pPr>
              <w:pStyle w:val="NormalHeadings"/>
              <w:jc w:val="left"/>
              <w:rPr>
                <w:szCs w:val="24"/>
              </w:rPr>
            </w:pPr>
            <w:r>
              <w:rPr>
                <w:szCs w:val="24"/>
              </w:rPr>
              <w:t>Sixth Respondent</w:t>
            </w:r>
          </w:p>
          <w:bookmarkEnd w:id="12"/>
          <w:p w:rsidR="00395B24" w:rsidRDefault="00395B24">
            <w:pPr>
              <w:pStyle w:val="NormalHeadings"/>
              <w:jc w:val="left"/>
              <w:rPr>
                <w:szCs w:val="24"/>
              </w:rPr>
            </w:pPr>
          </w:p>
        </w:tc>
      </w:tr>
      <w:bookmarkEnd w:id="10"/>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41337">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886405">
            <w:pPr>
              <w:pStyle w:val="NormalHeadings"/>
              <w:jc w:val="left"/>
              <w:rPr>
                <w:caps/>
                <w:szCs w:val="24"/>
              </w:rPr>
            </w:pPr>
            <w:bookmarkStart w:id="14" w:name="Judge"/>
            <w:r>
              <w:rPr>
                <w:caps/>
                <w:szCs w:val="24"/>
              </w:rPr>
              <w:t>PERRAM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974E6" w:rsidP="002974E6">
            <w:pPr>
              <w:pStyle w:val="NormalHeadings"/>
              <w:jc w:val="left"/>
              <w:rPr>
                <w:caps/>
                <w:szCs w:val="24"/>
              </w:rPr>
            </w:pPr>
            <w:bookmarkStart w:id="15" w:name="Judgment_Dated"/>
            <w:r>
              <w:rPr>
                <w:caps/>
                <w:szCs w:val="24"/>
              </w:rPr>
              <w:t>14</w:t>
            </w:r>
            <w:r w:rsidR="00E41337">
              <w:rPr>
                <w:caps/>
                <w:szCs w:val="24"/>
              </w:rPr>
              <w:t xml:space="preserve"> </w:t>
            </w:r>
            <w:r>
              <w:rPr>
                <w:caps/>
                <w:szCs w:val="24"/>
              </w:rPr>
              <w:t xml:space="preserve">AUGUST </w:t>
            </w:r>
            <w:r w:rsidR="00E41337">
              <w:rPr>
                <w:caps/>
                <w:szCs w:val="24"/>
              </w:rPr>
              <w:t>2015</w:t>
            </w:r>
            <w:bookmarkEnd w:id="15"/>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E41337">
            <w:pPr>
              <w:pStyle w:val="NormalHeadings"/>
              <w:jc w:val="left"/>
              <w:rPr>
                <w:caps/>
                <w:szCs w:val="24"/>
              </w:rPr>
            </w:pPr>
            <w:bookmarkStart w:id="16" w:name="Place"/>
            <w:r>
              <w:rPr>
                <w:caps/>
                <w:szCs w:val="24"/>
              </w:rPr>
              <w:t>SYDNEY</w:t>
            </w:r>
            <w:bookmarkEnd w:id="16"/>
          </w:p>
        </w:tc>
      </w:tr>
    </w:tbl>
    <w:p w:rsidR="000A79F6" w:rsidRDefault="000A79F6">
      <w:pPr>
        <w:pStyle w:val="NormalHeadings"/>
        <w:rPr>
          <w:b w:val="0"/>
        </w:rPr>
      </w:pPr>
    </w:p>
    <w:p w:rsidR="000A79F6" w:rsidRDefault="000A79F6">
      <w:pPr>
        <w:pStyle w:val="NormalHeadings"/>
        <w:rPr>
          <w:b w:val="0"/>
        </w:rPr>
      </w:pPr>
    </w:p>
    <w:p w:rsidR="00395B24" w:rsidRDefault="002C7385">
      <w:pPr>
        <w:pStyle w:val="NormalHeadings"/>
      </w:pPr>
      <w:r>
        <w:t>THE COURT ORDERS THAT:</w:t>
      </w:r>
    </w:p>
    <w:p w:rsidR="00B5405C" w:rsidRDefault="00B5405C">
      <w:pPr>
        <w:pStyle w:val="NormalHeadings"/>
      </w:pPr>
    </w:p>
    <w:p w:rsidR="001824C0" w:rsidRDefault="00E41337" w:rsidP="001824C0">
      <w:pPr>
        <w:pStyle w:val="ListNo1"/>
        <w:numPr>
          <w:ilvl w:val="0"/>
          <w:numId w:val="30"/>
        </w:numPr>
      </w:pPr>
      <w:bookmarkStart w:id="17" w:name="Order_Start_Text"/>
      <w:bookmarkEnd w:id="17"/>
      <w:r>
        <w:t>T</w:t>
      </w:r>
      <w:r w:rsidR="001824C0">
        <w:t>he Prospective Applicants’ a</w:t>
      </w:r>
      <w:r w:rsidR="00EC62C0">
        <w:t>pplication to lift the stay of O</w:t>
      </w:r>
      <w:r w:rsidR="001824C0">
        <w:t>rder 1 made on 6 May 2015</w:t>
      </w:r>
      <w:r>
        <w:t xml:space="preserve"> </w:t>
      </w:r>
      <w:proofErr w:type="gramStart"/>
      <w:r>
        <w:t>be</w:t>
      </w:r>
      <w:proofErr w:type="gramEnd"/>
      <w:r>
        <w:t xml:space="preserve"> dismissed</w:t>
      </w:r>
      <w:r w:rsidR="001824C0">
        <w:t>.</w:t>
      </w:r>
    </w:p>
    <w:p w:rsidR="001824C0" w:rsidRDefault="001824C0" w:rsidP="001824C0">
      <w:pPr>
        <w:pStyle w:val="ListNo1"/>
        <w:numPr>
          <w:ilvl w:val="0"/>
          <w:numId w:val="30"/>
        </w:numPr>
      </w:pPr>
      <w:r>
        <w:t>The Prospective Applicants pay the Respondents</w:t>
      </w:r>
      <w:r w:rsidR="00E41337">
        <w:t>’</w:t>
      </w:r>
      <w:r>
        <w:t xml:space="preserve"> costs of that application.</w:t>
      </w:r>
    </w:p>
    <w:p w:rsidR="00A7679C" w:rsidRDefault="00A7679C" w:rsidP="004D53E5">
      <w:pPr>
        <w:pStyle w:val="SingleSpace"/>
      </w:pPr>
    </w:p>
    <w:p w:rsidR="001824C0" w:rsidRDefault="001824C0" w:rsidP="004D53E5">
      <w:pPr>
        <w:pStyle w:val="SingleSpace"/>
      </w:pPr>
    </w:p>
    <w:p w:rsidR="001824C0" w:rsidRDefault="001824C0" w:rsidP="004D53E5">
      <w:pPr>
        <w:pStyle w:val="SingleSpace"/>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18" w:name="ReasonsPage"/>
            <w:bookmarkEnd w:id="18"/>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E41337">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E41337">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E41337" w:rsidRPr="00E41337">
              <w:rPr>
                <w:caps/>
                <w:szCs w:val="24"/>
              </w:rPr>
              <w:t>NSD</w:t>
            </w:r>
            <w:proofErr w:type="spellEnd"/>
            <w:r w:rsidR="00E41337">
              <w:rPr>
                <w:szCs w:val="24"/>
              </w:rPr>
              <w:t xml:space="preserve"> 1051 of 2014</w:t>
            </w:r>
            <w:r>
              <w:rPr>
                <w:caps/>
                <w:szCs w:val="24"/>
              </w:rPr>
              <w:fldChar w:fldCharType="end"/>
            </w:r>
          </w:p>
        </w:tc>
      </w:tr>
    </w:tbl>
    <w:p w:rsidR="00395B24" w:rsidRDefault="00346800">
      <w:pPr>
        <w:pStyle w:val="AppealTable"/>
      </w:pPr>
      <w:fldSimple w:instr=" Ref AppealTable  \* MERGEFORMAT " w:fldLock="1">
        <w:r w:rsidR="00E41337" w:rsidRPr="00E41337">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E41337"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E41337" w:rsidRPr="00E41337">
              <w:rPr>
                <w:caps/>
                <w:szCs w:val="24"/>
              </w:rPr>
              <w:t>DALLAS</w:t>
            </w:r>
            <w:r w:rsidR="00E41337">
              <w:rPr>
                <w:szCs w:val="24"/>
              </w:rPr>
              <w:t xml:space="preserve"> BUYERS CLUB LLC</w:t>
            </w:r>
          </w:p>
          <w:p w:rsidR="00E41337" w:rsidRDefault="00E41337">
            <w:pPr>
              <w:pStyle w:val="NormalHeadings"/>
              <w:jc w:val="left"/>
              <w:rPr>
                <w:szCs w:val="24"/>
              </w:rPr>
            </w:pPr>
            <w:r>
              <w:rPr>
                <w:szCs w:val="24"/>
              </w:rPr>
              <w:t>First Prospective Applicant</w:t>
            </w:r>
          </w:p>
          <w:p w:rsidR="00E41337" w:rsidRDefault="00E41337">
            <w:pPr>
              <w:pStyle w:val="NormalHeadings"/>
              <w:jc w:val="left"/>
              <w:rPr>
                <w:szCs w:val="24"/>
              </w:rPr>
            </w:pPr>
          </w:p>
          <w:p w:rsidR="00E41337" w:rsidRDefault="00E41337">
            <w:pPr>
              <w:pStyle w:val="NormalHeadings"/>
              <w:jc w:val="left"/>
              <w:rPr>
                <w:szCs w:val="24"/>
              </w:rPr>
            </w:pPr>
            <w:r>
              <w:rPr>
                <w:szCs w:val="24"/>
              </w:rPr>
              <w:t>VOLTAGE PICTURES LLC</w:t>
            </w:r>
          </w:p>
          <w:p w:rsidR="00E41337" w:rsidRDefault="00E41337">
            <w:pPr>
              <w:pStyle w:val="NormalHeadings"/>
              <w:jc w:val="left"/>
              <w:rPr>
                <w:szCs w:val="24"/>
              </w:rPr>
            </w:pPr>
            <w:r>
              <w:rPr>
                <w:szCs w:val="24"/>
              </w:rPr>
              <w:t>Second Prospective 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41337"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proofErr w:type="spellStart"/>
            <w:r w:rsidR="00E41337" w:rsidRPr="00E41337">
              <w:rPr>
                <w:caps/>
                <w:szCs w:val="24"/>
              </w:rPr>
              <w:t>IINET</w:t>
            </w:r>
            <w:proofErr w:type="spellEnd"/>
            <w:r w:rsidR="00E41337">
              <w:rPr>
                <w:szCs w:val="24"/>
              </w:rPr>
              <w:t xml:space="preserve"> LIMITED</w:t>
            </w:r>
          </w:p>
          <w:p w:rsidR="00E41337" w:rsidRDefault="00E41337">
            <w:pPr>
              <w:pStyle w:val="NormalHeadings"/>
              <w:jc w:val="left"/>
              <w:rPr>
                <w:szCs w:val="24"/>
              </w:rPr>
            </w:pPr>
            <w:r>
              <w:rPr>
                <w:szCs w:val="24"/>
              </w:rPr>
              <w:t>First Respondent</w:t>
            </w:r>
          </w:p>
          <w:p w:rsidR="00E41337" w:rsidRDefault="00E41337">
            <w:pPr>
              <w:pStyle w:val="NormalHeadings"/>
              <w:jc w:val="left"/>
              <w:rPr>
                <w:szCs w:val="24"/>
              </w:rPr>
            </w:pPr>
          </w:p>
          <w:p w:rsidR="00E41337" w:rsidRDefault="00E41337">
            <w:pPr>
              <w:pStyle w:val="NormalHeadings"/>
              <w:jc w:val="left"/>
              <w:rPr>
                <w:szCs w:val="24"/>
              </w:rPr>
            </w:pPr>
            <w:r>
              <w:rPr>
                <w:szCs w:val="24"/>
              </w:rPr>
              <w:t>INTERNODE PTY LTD</w:t>
            </w:r>
          </w:p>
          <w:p w:rsidR="00E41337" w:rsidRDefault="00E41337">
            <w:pPr>
              <w:pStyle w:val="NormalHeadings"/>
              <w:jc w:val="left"/>
              <w:rPr>
                <w:szCs w:val="24"/>
              </w:rPr>
            </w:pPr>
            <w:r>
              <w:rPr>
                <w:szCs w:val="24"/>
              </w:rPr>
              <w:t>Second Respondent</w:t>
            </w:r>
          </w:p>
          <w:p w:rsidR="00E41337" w:rsidRDefault="00E41337">
            <w:pPr>
              <w:pStyle w:val="NormalHeadings"/>
              <w:jc w:val="left"/>
              <w:rPr>
                <w:szCs w:val="24"/>
              </w:rPr>
            </w:pPr>
          </w:p>
          <w:p w:rsidR="00E41337" w:rsidRDefault="00E41337">
            <w:pPr>
              <w:pStyle w:val="NormalHeadings"/>
              <w:jc w:val="left"/>
              <w:rPr>
                <w:szCs w:val="24"/>
              </w:rPr>
            </w:pPr>
            <w:proofErr w:type="spellStart"/>
            <w:r>
              <w:rPr>
                <w:szCs w:val="24"/>
              </w:rPr>
              <w:t>AMNET</w:t>
            </w:r>
            <w:proofErr w:type="spellEnd"/>
            <w:r>
              <w:rPr>
                <w:szCs w:val="24"/>
              </w:rPr>
              <w:t xml:space="preserve"> BROADBAND PTY LTD</w:t>
            </w:r>
          </w:p>
          <w:p w:rsidR="00E41337" w:rsidRDefault="00E41337">
            <w:pPr>
              <w:pStyle w:val="NormalHeadings"/>
              <w:jc w:val="left"/>
              <w:rPr>
                <w:szCs w:val="24"/>
              </w:rPr>
            </w:pPr>
            <w:r>
              <w:rPr>
                <w:szCs w:val="24"/>
              </w:rPr>
              <w:t>Third Respondent</w:t>
            </w:r>
          </w:p>
          <w:p w:rsidR="00E41337" w:rsidRDefault="00E41337">
            <w:pPr>
              <w:pStyle w:val="NormalHeadings"/>
              <w:jc w:val="left"/>
              <w:rPr>
                <w:szCs w:val="24"/>
              </w:rPr>
            </w:pPr>
          </w:p>
          <w:p w:rsidR="00E41337" w:rsidRDefault="00E41337">
            <w:pPr>
              <w:pStyle w:val="NormalHeadings"/>
              <w:jc w:val="left"/>
              <w:rPr>
                <w:szCs w:val="24"/>
              </w:rPr>
            </w:pPr>
            <w:r>
              <w:rPr>
                <w:szCs w:val="24"/>
              </w:rPr>
              <w:t>DODO SERVICES PTY LTD</w:t>
            </w:r>
          </w:p>
          <w:p w:rsidR="00E41337" w:rsidRDefault="00E41337">
            <w:pPr>
              <w:pStyle w:val="NormalHeadings"/>
              <w:jc w:val="left"/>
              <w:rPr>
                <w:szCs w:val="24"/>
              </w:rPr>
            </w:pPr>
            <w:r>
              <w:rPr>
                <w:szCs w:val="24"/>
              </w:rPr>
              <w:t>Fourth Respondent</w:t>
            </w:r>
          </w:p>
          <w:p w:rsidR="00E41337" w:rsidRDefault="00E41337">
            <w:pPr>
              <w:pStyle w:val="NormalHeadings"/>
              <w:jc w:val="left"/>
              <w:rPr>
                <w:szCs w:val="24"/>
              </w:rPr>
            </w:pPr>
          </w:p>
          <w:p w:rsidR="00E41337" w:rsidRDefault="00E41337">
            <w:pPr>
              <w:pStyle w:val="NormalHeadings"/>
              <w:jc w:val="left"/>
              <w:rPr>
                <w:szCs w:val="24"/>
              </w:rPr>
            </w:pPr>
            <w:r>
              <w:rPr>
                <w:szCs w:val="24"/>
              </w:rPr>
              <w:t>ADAM INTERNET PTY LTD</w:t>
            </w:r>
          </w:p>
          <w:p w:rsidR="00E41337" w:rsidRDefault="00E41337">
            <w:pPr>
              <w:pStyle w:val="NormalHeadings"/>
              <w:jc w:val="left"/>
              <w:rPr>
                <w:szCs w:val="24"/>
              </w:rPr>
            </w:pPr>
            <w:r>
              <w:rPr>
                <w:szCs w:val="24"/>
              </w:rPr>
              <w:t>Fifth Respondent</w:t>
            </w:r>
          </w:p>
          <w:p w:rsidR="00E41337" w:rsidRDefault="00E41337">
            <w:pPr>
              <w:pStyle w:val="NormalHeadings"/>
              <w:jc w:val="left"/>
              <w:rPr>
                <w:szCs w:val="24"/>
              </w:rPr>
            </w:pPr>
          </w:p>
          <w:p w:rsidR="00E41337" w:rsidRDefault="00E41337">
            <w:pPr>
              <w:pStyle w:val="NormalHeadings"/>
              <w:jc w:val="left"/>
              <w:rPr>
                <w:szCs w:val="24"/>
              </w:rPr>
            </w:pPr>
            <w:r>
              <w:rPr>
                <w:szCs w:val="24"/>
              </w:rPr>
              <w:t>WIDEBAND NETWORKS PTY LTD</w:t>
            </w:r>
          </w:p>
          <w:p w:rsidR="00E41337" w:rsidRDefault="00E41337">
            <w:pPr>
              <w:pStyle w:val="NormalHeadings"/>
              <w:jc w:val="left"/>
              <w:rPr>
                <w:szCs w:val="24"/>
              </w:rPr>
            </w:pPr>
            <w:r>
              <w:rPr>
                <w:szCs w:val="24"/>
              </w:rPr>
              <w:t>Sixth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E41337">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E41337">
              <w:rPr>
                <w:caps/>
                <w:szCs w:val="24"/>
              </w:rPr>
              <w:t>PERRAM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2974E6">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2974E6">
              <w:rPr>
                <w:caps/>
                <w:szCs w:val="24"/>
              </w:rPr>
              <w:t>14</w:t>
            </w:r>
            <w:r w:rsidR="00E41337">
              <w:rPr>
                <w:caps/>
                <w:szCs w:val="24"/>
              </w:rPr>
              <w:t xml:space="preserve"> </w:t>
            </w:r>
            <w:r w:rsidR="002974E6">
              <w:rPr>
                <w:caps/>
                <w:szCs w:val="24"/>
              </w:rPr>
              <w:t>AUGUST</w:t>
            </w:r>
            <w:r w:rsidR="00E41337">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41337">
              <w:rPr>
                <w:caps/>
                <w:szCs w:val="24"/>
              </w:rPr>
              <w:t>SYDNEY</w:t>
            </w:r>
            <w:r>
              <w:rPr>
                <w:caps/>
                <w:szCs w:val="24"/>
              </w:rPr>
              <w:fldChar w:fldCharType="end"/>
            </w:r>
          </w:p>
        </w:tc>
      </w:tr>
    </w:tbl>
    <w:p w:rsidR="00395B24" w:rsidRDefault="00395B24" w:rsidP="002B0E91">
      <w:pPr>
        <w:pStyle w:val="BodyText"/>
      </w:pPr>
    </w:p>
    <w:p w:rsidR="00FC4ECA" w:rsidRDefault="00FC4ECA" w:rsidP="002B0E91">
      <w:pPr>
        <w:pStyle w:val="BodyText"/>
      </w:pPr>
    </w:p>
    <w:p w:rsidR="00395B24" w:rsidRDefault="002C7385" w:rsidP="00EB2CCB">
      <w:pPr>
        <w:pStyle w:val="StyleBold"/>
        <w:keepNext/>
        <w:jc w:val="center"/>
        <w:rPr>
          <w:b/>
        </w:rPr>
      </w:pPr>
      <w:r>
        <w:rPr>
          <w:b/>
        </w:rPr>
        <w:t>REASONS FOR JUDGMENT</w:t>
      </w:r>
    </w:p>
    <w:p w:rsidR="00524170" w:rsidRDefault="00E41337" w:rsidP="00E41337">
      <w:pPr>
        <w:pStyle w:val="Heading2"/>
      </w:pPr>
      <w:r>
        <w:t>1.    Introduction</w:t>
      </w:r>
    </w:p>
    <w:p w:rsidR="00524170" w:rsidRDefault="00524170" w:rsidP="00524170">
      <w:pPr>
        <w:pStyle w:val="ParaNumbering"/>
      </w:pPr>
      <w:r>
        <w:t xml:space="preserve">In </w:t>
      </w:r>
      <w:r w:rsidRPr="00E41337">
        <w:rPr>
          <w:i/>
        </w:rPr>
        <w:t>D</w:t>
      </w:r>
      <w:r w:rsidR="00E41337" w:rsidRPr="00E41337">
        <w:rPr>
          <w:i/>
        </w:rPr>
        <w:t xml:space="preserve">allas </w:t>
      </w:r>
      <w:r w:rsidRPr="00E41337">
        <w:rPr>
          <w:i/>
        </w:rPr>
        <w:t>B</w:t>
      </w:r>
      <w:r w:rsidR="00E41337" w:rsidRPr="00E41337">
        <w:rPr>
          <w:i/>
        </w:rPr>
        <w:t xml:space="preserve">uyers </w:t>
      </w:r>
      <w:r w:rsidRPr="00E41337">
        <w:rPr>
          <w:i/>
        </w:rPr>
        <w:t>C</w:t>
      </w:r>
      <w:r w:rsidR="00E41337" w:rsidRPr="00E41337">
        <w:rPr>
          <w:i/>
        </w:rPr>
        <w:t>lub</w:t>
      </w:r>
      <w:r w:rsidR="00AD5B57">
        <w:rPr>
          <w:i/>
        </w:rPr>
        <w:t xml:space="preserve"> LLC</w:t>
      </w:r>
      <w:r w:rsidR="00E41337" w:rsidRPr="00E41337">
        <w:rPr>
          <w:i/>
        </w:rPr>
        <w:t xml:space="preserve"> v </w:t>
      </w:r>
      <w:proofErr w:type="spellStart"/>
      <w:r w:rsidR="00E41337" w:rsidRPr="00E41337">
        <w:rPr>
          <w:i/>
        </w:rPr>
        <w:t>iiNet</w:t>
      </w:r>
      <w:proofErr w:type="spellEnd"/>
      <w:r w:rsidR="00E41337" w:rsidRPr="00E41337">
        <w:rPr>
          <w:i/>
        </w:rPr>
        <w:t xml:space="preserve"> Limited</w:t>
      </w:r>
      <w:r w:rsidR="00E41337">
        <w:t xml:space="preserve"> [2015] </w:t>
      </w:r>
      <w:proofErr w:type="spellStart"/>
      <w:r w:rsidR="00E41337">
        <w:t>FCA</w:t>
      </w:r>
      <w:proofErr w:type="spellEnd"/>
      <w:r w:rsidR="00E41337">
        <w:t xml:space="preserve"> </w:t>
      </w:r>
      <w:r w:rsidR="00EB5225">
        <w:t>317</w:t>
      </w:r>
      <w:r w:rsidR="00E41337">
        <w:t xml:space="preserve"> (‘</w:t>
      </w:r>
      <w:proofErr w:type="spellStart"/>
      <w:r w:rsidR="00E41337" w:rsidRPr="00EB5225">
        <w:rPr>
          <w:i/>
        </w:rPr>
        <w:t>DBC</w:t>
      </w:r>
      <w:proofErr w:type="spellEnd"/>
      <w:r w:rsidR="00E41337" w:rsidRPr="00EB5225">
        <w:rPr>
          <w:i/>
        </w:rPr>
        <w:t xml:space="preserve"> v </w:t>
      </w:r>
      <w:proofErr w:type="spellStart"/>
      <w:r w:rsidR="00E41337" w:rsidRPr="00EB5225">
        <w:rPr>
          <w:i/>
        </w:rPr>
        <w:t>iiNet</w:t>
      </w:r>
      <w:proofErr w:type="spellEnd"/>
      <w:r w:rsidR="00EB5225">
        <w:t>’</w:t>
      </w:r>
      <w:r w:rsidR="00E41337">
        <w:t>)</w:t>
      </w:r>
      <w:r>
        <w:t xml:space="preserve"> th</w:t>
      </w:r>
      <w:r w:rsidR="002974E6">
        <w:t>is</w:t>
      </w:r>
      <w:r>
        <w:t xml:space="preserve"> Court concluded that, in principle, the respondent ISPs were obliged to provide the </w:t>
      </w:r>
      <w:r w:rsidR="00EB5225">
        <w:t xml:space="preserve">prospective </w:t>
      </w:r>
      <w:r>
        <w:t>applicants (</w:t>
      </w:r>
      <w:r w:rsidR="00E41337">
        <w:t xml:space="preserve">together </w:t>
      </w:r>
      <w:r>
        <w:t>‘</w:t>
      </w:r>
      <w:proofErr w:type="spellStart"/>
      <w:r>
        <w:t>DBC</w:t>
      </w:r>
      <w:proofErr w:type="spellEnd"/>
      <w:r>
        <w:t xml:space="preserve">’) with account holder details by way of preliminary discovery.  </w:t>
      </w:r>
      <w:r w:rsidR="00E41337">
        <w:t>Following further argument on procedural issues, o</w:t>
      </w:r>
      <w:r>
        <w:t>rders giving effect to that conclusion were made on 6 May 2015</w:t>
      </w:r>
      <w:r w:rsidR="00E41337">
        <w:t xml:space="preserve">:  </w:t>
      </w:r>
      <w:r w:rsidR="00E41337">
        <w:rPr>
          <w:i/>
        </w:rPr>
        <w:t xml:space="preserve">Dallas Buyers Club LLC v </w:t>
      </w:r>
      <w:proofErr w:type="spellStart"/>
      <w:r w:rsidR="00E41337">
        <w:rPr>
          <w:i/>
        </w:rPr>
        <w:t>iiNet</w:t>
      </w:r>
      <w:proofErr w:type="spellEnd"/>
      <w:r w:rsidR="00AD5B57">
        <w:rPr>
          <w:i/>
        </w:rPr>
        <w:t xml:space="preserve"> Limited</w:t>
      </w:r>
      <w:r w:rsidR="00E41337">
        <w:rPr>
          <w:i/>
        </w:rPr>
        <w:t xml:space="preserve"> (No</w:t>
      </w:r>
      <w:r w:rsidR="002974E6">
        <w:rPr>
          <w:i/>
        </w:rPr>
        <w:t xml:space="preserve"> </w:t>
      </w:r>
      <w:r w:rsidR="00E41337">
        <w:rPr>
          <w:i/>
        </w:rPr>
        <w:t>3)</w:t>
      </w:r>
      <w:r w:rsidR="00E41337">
        <w:t xml:space="preserve"> [2015] </w:t>
      </w:r>
      <w:proofErr w:type="spellStart"/>
      <w:r w:rsidR="00E41337">
        <w:t>FCA</w:t>
      </w:r>
      <w:proofErr w:type="spellEnd"/>
      <w:r w:rsidR="00E41337">
        <w:t xml:space="preserve"> 422</w:t>
      </w:r>
      <w:r>
        <w:t xml:space="preserve">.  The preliminary discovery order itself (Order </w:t>
      </w:r>
      <w:r w:rsidR="00E41337">
        <w:t>1</w:t>
      </w:r>
      <w:r>
        <w:t xml:space="preserve">) was, however, stayed pending </w:t>
      </w:r>
      <w:proofErr w:type="spellStart"/>
      <w:r>
        <w:t>DBC</w:t>
      </w:r>
      <w:proofErr w:type="spellEnd"/>
      <w:r>
        <w:t xml:space="preserve"> providing to </w:t>
      </w:r>
      <w:r>
        <w:lastRenderedPageBreak/>
        <w:t xml:space="preserve">this Court a copy of the correspondence it was proposing to engage in with the account holders:  Order </w:t>
      </w:r>
      <w:r w:rsidR="00E41337">
        <w:t>5</w:t>
      </w:r>
      <w:r w:rsidR="002974E6">
        <w:t xml:space="preserve"> and [13]</w:t>
      </w:r>
      <w:r>
        <w:t xml:space="preserve">. The purpose of the stay </w:t>
      </w:r>
      <w:r w:rsidR="002974E6">
        <w:t xml:space="preserve">and the Court’s consideration of the correspondence </w:t>
      </w:r>
      <w:proofErr w:type="gramStart"/>
      <w:r>
        <w:t>was</w:t>
      </w:r>
      <w:proofErr w:type="gramEnd"/>
      <w:r>
        <w:t xml:space="preserve"> to ensure that </w:t>
      </w:r>
      <w:proofErr w:type="spellStart"/>
      <w:r>
        <w:t>DBC</w:t>
      </w:r>
      <w:proofErr w:type="spellEnd"/>
      <w:r>
        <w:t xml:space="preserve"> did not engage in what the respondent ISPs referred to as ‘speculative invoicing’.</w:t>
      </w:r>
    </w:p>
    <w:p w:rsidR="00524170" w:rsidRDefault="00524170" w:rsidP="00524170">
      <w:pPr>
        <w:pStyle w:val="ParaNumbering"/>
      </w:pPr>
      <w:proofErr w:type="spellStart"/>
      <w:r>
        <w:t>DBC</w:t>
      </w:r>
      <w:proofErr w:type="spellEnd"/>
      <w:r>
        <w:t xml:space="preserve"> has now </w:t>
      </w:r>
      <w:r w:rsidR="002974E6">
        <w:t>sought</w:t>
      </w:r>
      <w:r>
        <w:t xml:space="preserve"> to lift the stay and has proffered to the Court several versions of what it proposes to say to the account holders</w:t>
      </w:r>
      <w:r w:rsidR="002974E6">
        <w:t>,</w:t>
      </w:r>
      <w:r>
        <w:t xml:space="preserve"> together with an undertaking only to communicate in those terms.</w:t>
      </w:r>
    </w:p>
    <w:p w:rsidR="00E41337" w:rsidRDefault="00524170" w:rsidP="00524170">
      <w:pPr>
        <w:pStyle w:val="ParaNumbering"/>
      </w:pPr>
      <w:r>
        <w:t xml:space="preserve">I </w:t>
      </w:r>
      <w:r w:rsidR="002974E6">
        <w:t xml:space="preserve">have </w:t>
      </w:r>
      <w:r>
        <w:t>conclude</w:t>
      </w:r>
      <w:r w:rsidR="002974E6">
        <w:t>d</w:t>
      </w:r>
      <w:r>
        <w:t xml:space="preserve"> that what </w:t>
      </w:r>
      <w:proofErr w:type="spellStart"/>
      <w:r>
        <w:t>DBC</w:t>
      </w:r>
      <w:proofErr w:type="spellEnd"/>
      <w:r>
        <w:t xml:space="preserve"> proposes ought </w:t>
      </w:r>
      <w:proofErr w:type="gramStart"/>
      <w:r>
        <w:t>not</w:t>
      </w:r>
      <w:proofErr w:type="gramEnd"/>
      <w:r>
        <w:t xml:space="preserve"> be permitted.  </w:t>
      </w:r>
    </w:p>
    <w:p w:rsidR="00E41337" w:rsidRDefault="00E41337" w:rsidP="00E41337">
      <w:pPr>
        <w:pStyle w:val="Heading2"/>
      </w:pPr>
      <w:r>
        <w:t xml:space="preserve">2.  </w:t>
      </w:r>
      <w:r w:rsidR="00886405">
        <w:t xml:space="preserve">  </w:t>
      </w:r>
      <w:r>
        <w:t>The Discretion</w:t>
      </w:r>
    </w:p>
    <w:p w:rsidR="00524170" w:rsidRDefault="00524170" w:rsidP="00524170">
      <w:pPr>
        <w:pStyle w:val="ParaNumbering"/>
      </w:pPr>
      <w:r>
        <w:t xml:space="preserve">Whilst </w:t>
      </w:r>
      <w:proofErr w:type="spellStart"/>
      <w:r>
        <w:t>DBC</w:t>
      </w:r>
      <w:proofErr w:type="spellEnd"/>
      <w:r>
        <w:t xml:space="preserve"> has satisfied the jurisdictional prerequisites to the power in </w:t>
      </w:r>
      <w:r w:rsidR="002974E6">
        <w:t>r</w:t>
      </w:r>
      <w:r>
        <w:t xml:space="preserve"> 7.22</w:t>
      </w:r>
      <w:r w:rsidR="002974E6">
        <w:t xml:space="preserve"> of the </w:t>
      </w:r>
      <w:r w:rsidR="002974E6" w:rsidRPr="002974E6">
        <w:rPr>
          <w:i/>
        </w:rPr>
        <w:t>Federal Court Rules 2011</w:t>
      </w:r>
      <w:r w:rsidR="002974E6">
        <w:t xml:space="preserve"> (</w:t>
      </w:r>
      <w:proofErr w:type="spellStart"/>
      <w:r w:rsidR="002974E6">
        <w:t>Cth</w:t>
      </w:r>
      <w:proofErr w:type="spellEnd"/>
      <w:r w:rsidR="002974E6">
        <w:t>)</w:t>
      </w:r>
      <w:r>
        <w:t xml:space="preserve"> being enlivened by showing that (a) it might have a right to sue the account holders (or others) for copyright infringement and (b) that the respondent ISPs can assist in identifying the account holders, th</w:t>
      </w:r>
      <w:r w:rsidR="00E41337">
        <w:t xml:space="preserve">at </w:t>
      </w:r>
      <w:r>
        <w:t>power nevertheless remains a discretionary one.</w:t>
      </w:r>
      <w:r w:rsidR="00FA4AF0">
        <w:t xml:space="preserve">  Subject to the question of the terms of the correspondence</w:t>
      </w:r>
      <w:r w:rsidR="002974E6">
        <w:t>,</w:t>
      </w:r>
      <w:r w:rsidR="00FA4AF0">
        <w:t xml:space="preserve"> I determined in </w:t>
      </w:r>
      <w:proofErr w:type="spellStart"/>
      <w:r w:rsidR="00FA4AF0">
        <w:rPr>
          <w:i/>
        </w:rPr>
        <w:t>DBC</w:t>
      </w:r>
      <w:proofErr w:type="spellEnd"/>
      <w:r w:rsidR="00FA4AF0">
        <w:rPr>
          <w:i/>
        </w:rPr>
        <w:t xml:space="preserve"> v </w:t>
      </w:r>
      <w:proofErr w:type="spellStart"/>
      <w:r w:rsidR="00FA4AF0">
        <w:rPr>
          <w:i/>
        </w:rPr>
        <w:t>iiNet</w:t>
      </w:r>
      <w:proofErr w:type="spellEnd"/>
      <w:r w:rsidR="00FA4AF0">
        <w:rPr>
          <w:i/>
        </w:rPr>
        <w:t xml:space="preserve"> </w:t>
      </w:r>
      <w:r w:rsidR="00FA4AF0">
        <w:t xml:space="preserve">that the discretion should be exercised in </w:t>
      </w:r>
      <w:proofErr w:type="spellStart"/>
      <w:r w:rsidR="002974E6">
        <w:t>DBC</w:t>
      </w:r>
      <w:r w:rsidR="00FA4AF0">
        <w:t>’s</w:t>
      </w:r>
      <w:proofErr w:type="spellEnd"/>
      <w:r w:rsidR="00FA4AF0">
        <w:t xml:space="preserve"> favour.</w:t>
      </w:r>
    </w:p>
    <w:p w:rsidR="00524170" w:rsidRDefault="00524170" w:rsidP="00524170">
      <w:pPr>
        <w:pStyle w:val="ParaNumbering"/>
      </w:pPr>
      <w:r>
        <w:t>The exercise of the discretion is mo</w:t>
      </w:r>
      <w:r w:rsidR="008F3B82">
        <w:t>u</w:t>
      </w:r>
      <w:r>
        <w:t xml:space="preserve">lded by the scope, purpose and ambit of the rule itself.  The centrepiece of the rule is the idea that what a prospective applicant for preliminary discovery is ultimately seeking to </w:t>
      </w:r>
      <w:r w:rsidR="008F3B82">
        <w:t>vindicate</w:t>
      </w:r>
      <w:r>
        <w:t xml:space="preserve"> is </w:t>
      </w:r>
      <w:r w:rsidRPr="00E41337">
        <w:rPr>
          <w:i/>
        </w:rPr>
        <w:t xml:space="preserve">a right to obtain relief </w:t>
      </w:r>
      <w:r>
        <w:t xml:space="preserve">against an unidentified person.  This focus on a right to obtain relief emerges from the use of those words in </w:t>
      </w:r>
      <w:r w:rsidR="002974E6">
        <w:t>r </w:t>
      </w:r>
      <w:r>
        <w:t>7.22(1)(a)</w:t>
      </w:r>
      <w:r w:rsidR="000C0E7E">
        <w:t>,</w:t>
      </w:r>
      <w:r>
        <w:t xml:space="preserve"> </w:t>
      </w:r>
      <w:r w:rsidR="00C043D3">
        <w:t>whilst</w:t>
      </w:r>
      <w:r>
        <w:t xml:space="preserve"> the discretionary nature of the power</w:t>
      </w:r>
      <w:r w:rsidR="00C043D3">
        <w:t xml:space="preserve"> derives</w:t>
      </w:r>
      <w:r>
        <w:t xml:space="preserve"> from the </w:t>
      </w:r>
      <w:r w:rsidR="00A94684">
        <w:t xml:space="preserve">use of the </w:t>
      </w:r>
      <w:r>
        <w:t>word ‘may’ (</w:t>
      </w:r>
      <w:r w:rsidR="00C043D3">
        <w:t>rather than</w:t>
      </w:r>
      <w:r>
        <w:t xml:space="preserve"> ‘must’) in </w:t>
      </w:r>
      <w:r w:rsidR="000C0E7E">
        <w:t>r</w:t>
      </w:r>
      <w:r>
        <w:t xml:space="preserve"> 7.22(2)</w:t>
      </w:r>
      <w:r w:rsidR="000C0E7E">
        <w:t>.  It is convenient to set out the text of the rule in full</w:t>
      </w:r>
      <w:r>
        <w:t>:</w:t>
      </w:r>
    </w:p>
    <w:p w:rsidR="0007473D" w:rsidRDefault="0007473D" w:rsidP="0007473D">
      <w:pPr>
        <w:pStyle w:val="Quote1"/>
      </w:pPr>
      <w:proofErr w:type="gramStart"/>
      <w:r>
        <w:t>‘7.22  Order</w:t>
      </w:r>
      <w:proofErr w:type="gramEnd"/>
      <w:r>
        <w:t xml:space="preserve"> for discovery to ascertain description of respondent</w:t>
      </w:r>
    </w:p>
    <w:p w:rsidR="0007473D" w:rsidRDefault="0007473D" w:rsidP="0007473D">
      <w:pPr>
        <w:pStyle w:val="Quote1"/>
        <w:spacing w:before="120"/>
        <w:ind w:left="1440" w:hanging="703"/>
      </w:pPr>
      <w:r>
        <w:t xml:space="preserve">(1)  </w:t>
      </w:r>
      <w:r>
        <w:tab/>
        <w:t xml:space="preserve">A prospective applicant may apply to the Court for an order under </w:t>
      </w:r>
      <w:proofErr w:type="spellStart"/>
      <w:r>
        <w:t>subrule</w:t>
      </w:r>
      <w:proofErr w:type="spellEnd"/>
      <w:r>
        <w:t xml:space="preserve"> (2) if the prospective applicant satisfies the Court that:</w:t>
      </w:r>
    </w:p>
    <w:p w:rsidR="0007473D" w:rsidRDefault="0007473D" w:rsidP="0007473D">
      <w:pPr>
        <w:pStyle w:val="Quote2"/>
        <w:spacing w:before="120"/>
        <w:ind w:left="2160" w:hanging="720"/>
      </w:pPr>
      <w:r>
        <w:t>(a)</w:t>
      </w:r>
      <w:r>
        <w:tab/>
      </w:r>
      <w:proofErr w:type="gramStart"/>
      <w:r>
        <w:t>there</w:t>
      </w:r>
      <w:proofErr w:type="gramEnd"/>
      <w:r>
        <w:t xml:space="preserve"> may be </w:t>
      </w:r>
      <w:r w:rsidRPr="00C043D3">
        <w:rPr>
          <w:i/>
        </w:rPr>
        <w:t xml:space="preserve">a right </w:t>
      </w:r>
      <w:r>
        <w:t xml:space="preserve">for the prospective applicant </w:t>
      </w:r>
      <w:r w:rsidRPr="00C043D3">
        <w:rPr>
          <w:i/>
        </w:rPr>
        <w:t xml:space="preserve">to obtain relief </w:t>
      </w:r>
      <w:r>
        <w:t>against a prospective respondent; and</w:t>
      </w:r>
    </w:p>
    <w:p w:rsidR="0007473D" w:rsidRDefault="0007473D" w:rsidP="0007473D">
      <w:pPr>
        <w:pStyle w:val="Quote2"/>
        <w:spacing w:before="120"/>
        <w:ind w:left="2160" w:hanging="720"/>
      </w:pPr>
      <w:r>
        <w:t xml:space="preserve">(b) </w:t>
      </w:r>
      <w:r>
        <w:tab/>
      </w:r>
      <w:proofErr w:type="gramStart"/>
      <w:r>
        <w:t>the</w:t>
      </w:r>
      <w:proofErr w:type="gramEnd"/>
      <w:r>
        <w:t xml:space="preserve"> prospective applicant is unable to ascertain the description of the prospective respondent; and</w:t>
      </w:r>
    </w:p>
    <w:p w:rsidR="0007473D" w:rsidRDefault="0007473D" w:rsidP="0007473D">
      <w:pPr>
        <w:pStyle w:val="Quote2"/>
        <w:spacing w:before="120"/>
        <w:ind w:left="2160" w:hanging="720"/>
      </w:pPr>
      <w:r>
        <w:t xml:space="preserve">(c) </w:t>
      </w:r>
      <w:r>
        <w:tab/>
      </w:r>
      <w:proofErr w:type="gramStart"/>
      <w:r>
        <w:t>another</w:t>
      </w:r>
      <w:proofErr w:type="gramEnd"/>
      <w:r>
        <w:t xml:space="preserve"> person (the other person):</w:t>
      </w:r>
    </w:p>
    <w:p w:rsidR="0007473D" w:rsidRDefault="0007473D" w:rsidP="0007473D">
      <w:pPr>
        <w:pStyle w:val="Quote3"/>
        <w:spacing w:before="120"/>
        <w:ind w:left="2880" w:hanging="720"/>
      </w:pPr>
      <w:r>
        <w:t>(</w:t>
      </w:r>
      <w:proofErr w:type="spellStart"/>
      <w:r>
        <w:t>i</w:t>
      </w:r>
      <w:proofErr w:type="spellEnd"/>
      <w:r>
        <w:t xml:space="preserve">) </w:t>
      </w:r>
      <w:r>
        <w:tab/>
      </w:r>
      <w:proofErr w:type="gramStart"/>
      <w:r>
        <w:t>knows</w:t>
      </w:r>
      <w:proofErr w:type="gramEnd"/>
      <w:r>
        <w:t xml:space="preserve"> or is likely to know the prospective respondent’s description; or</w:t>
      </w:r>
    </w:p>
    <w:p w:rsidR="0007473D" w:rsidRDefault="0007473D" w:rsidP="0007473D">
      <w:pPr>
        <w:pStyle w:val="Quote3"/>
        <w:spacing w:before="120"/>
        <w:ind w:left="2880" w:hanging="720"/>
      </w:pPr>
      <w:r>
        <w:t xml:space="preserve">(ii) </w:t>
      </w:r>
      <w:r>
        <w:tab/>
      </w:r>
      <w:proofErr w:type="gramStart"/>
      <w:r>
        <w:t>has</w:t>
      </w:r>
      <w:proofErr w:type="gramEnd"/>
      <w:r>
        <w:t>, or is likely to have, or has had, or is likely to have had, control of a document that would help ascertain the prospective respondent’s description.</w:t>
      </w:r>
    </w:p>
    <w:p w:rsidR="00C043D3" w:rsidRDefault="00C043D3" w:rsidP="0007473D">
      <w:pPr>
        <w:pStyle w:val="Quote3"/>
        <w:spacing w:before="120"/>
        <w:ind w:left="2880" w:hanging="720"/>
      </w:pPr>
    </w:p>
    <w:p w:rsidR="00C043D3" w:rsidRDefault="00C043D3" w:rsidP="00C043D3">
      <w:pPr>
        <w:pStyle w:val="Quote1"/>
        <w:ind w:left="1440" w:hanging="703"/>
      </w:pPr>
      <w:r>
        <w:t>(2)</w:t>
      </w:r>
      <w:r>
        <w:tab/>
        <w:t xml:space="preserve">If the Court is satisfied of the matters mentioned in </w:t>
      </w:r>
      <w:proofErr w:type="spellStart"/>
      <w:r>
        <w:t>subrule</w:t>
      </w:r>
      <w:proofErr w:type="spellEnd"/>
      <w:r>
        <w:t xml:space="preserve"> (1), the Court </w:t>
      </w:r>
      <w:r w:rsidRPr="00EB5225">
        <w:rPr>
          <w:i/>
        </w:rPr>
        <w:t>may</w:t>
      </w:r>
      <w:r>
        <w:t xml:space="preserve"> order the other person:</w:t>
      </w:r>
    </w:p>
    <w:p w:rsidR="00C043D3" w:rsidRDefault="00C043D3" w:rsidP="00C043D3">
      <w:pPr>
        <w:pStyle w:val="Quote2"/>
        <w:spacing w:before="120"/>
        <w:ind w:left="2160" w:hanging="720"/>
      </w:pPr>
      <w:r>
        <w:t>(a)</w:t>
      </w:r>
      <w:r>
        <w:tab/>
      </w:r>
      <w:proofErr w:type="gramStart"/>
      <w:r>
        <w:t>to</w:t>
      </w:r>
      <w:proofErr w:type="gramEnd"/>
      <w:r>
        <w:t xml:space="preserve"> attend before the Court to be examined orally only about the prospective respondent’s description; and</w:t>
      </w:r>
    </w:p>
    <w:p w:rsidR="00C043D3" w:rsidRDefault="00C043D3" w:rsidP="00C043D3">
      <w:pPr>
        <w:pStyle w:val="Quote2"/>
        <w:spacing w:before="120"/>
        <w:ind w:left="2160" w:hanging="720"/>
      </w:pPr>
      <w:r>
        <w:t>(b)</w:t>
      </w:r>
      <w:r>
        <w:tab/>
      </w:r>
      <w:proofErr w:type="gramStart"/>
      <w:r>
        <w:t>to</w:t>
      </w:r>
      <w:proofErr w:type="gramEnd"/>
      <w:r>
        <w:t xml:space="preserve"> produce to the Court at that examination any document or thing in the person’s control relating to the prospective respondent’s description; and</w:t>
      </w:r>
    </w:p>
    <w:p w:rsidR="00C043D3" w:rsidRDefault="00C043D3" w:rsidP="00C043D3">
      <w:pPr>
        <w:pStyle w:val="Quote2"/>
        <w:spacing w:before="120"/>
        <w:ind w:left="2160" w:hanging="720"/>
      </w:pPr>
      <w:r>
        <w:t>(c)</w:t>
      </w:r>
      <w:r>
        <w:tab/>
      </w:r>
      <w:proofErr w:type="gramStart"/>
      <w:r>
        <w:t>to</w:t>
      </w:r>
      <w:proofErr w:type="gramEnd"/>
      <w:r>
        <w:t xml:space="preserve"> give discovery to the prospective applicant of all documents that are or have been in the person’s control relating to the prospective respondent’s description.</w:t>
      </w:r>
    </w:p>
    <w:p w:rsidR="00C043D3" w:rsidRDefault="00C043D3" w:rsidP="00C043D3">
      <w:pPr>
        <w:pStyle w:val="Quote2"/>
      </w:pPr>
    </w:p>
    <w:p w:rsidR="00C043D3" w:rsidRDefault="00C043D3" w:rsidP="00C043D3">
      <w:pPr>
        <w:pStyle w:val="Quote2"/>
      </w:pPr>
      <w:r>
        <w:t>Note 1:       Control and description are defined in the Dictionary.</w:t>
      </w:r>
    </w:p>
    <w:p w:rsidR="00C043D3" w:rsidRDefault="00C043D3" w:rsidP="00C043D3">
      <w:pPr>
        <w:pStyle w:val="Quote2"/>
      </w:pPr>
      <w:r>
        <w:t>Note 2:       For how discovery is to be made, see rule 7.25.</w:t>
      </w:r>
    </w:p>
    <w:p w:rsidR="00C043D3" w:rsidRDefault="00C043D3" w:rsidP="00C043D3">
      <w:pPr>
        <w:pStyle w:val="Quote2"/>
      </w:pPr>
    </w:p>
    <w:p w:rsidR="00C043D3" w:rsidRDefault="00C043D3" w:rsidP="00C043D3">
      <w:pPr>
        <w:pStyle w:val="Quote1"/>
        <w:ind w:left="1440" w:hanging="703"/>
      </w:pPr>
      <w:r>
        <w:t>(3)</w:t>
      </w:r>
      <w:r>
        <w:tab/>
        <w:t>The prospective applicant must provide the person with sufficient conduct money to permit the person to travel to the Court.</w:t>
      </w:r>
    </w:p>
    <w:p w:rsidR="00C043D3" w:rsidRDefault="00C043D3" w:rsidP="00C043D3">
      <w:pPr>
        <w:pStyle w:val="Quote2"/>
      </w:pPr>
    </w:p>
    <w:p w:rsidR="00C043D3" w:rsidRDefault="00C043D3" w:rsidP="00C043D3">
      <w:pPr>
        <w:pStyle w:val="Quote2"/>
      </w:pPr>
      <w:r>
        <w:t>Note:          Conduct money is defined in the Dictionary.’</w:t>
      </w:r>
    </w:p>
    <w:p w:rsidR="0007473D" w:rsidRDefault="0007473D" w:rsidP="0007473D">
      <w:pPr>
        <w:pStyle w:val="Quote1"/>
      </w:pPr>
    </w:p>
    <w:p w:rsidR="00C043D3" w:rsidRDefault="000C0E7E" w:rsidP="0007473D">
      <w:pPr>
        <w:pStyle w:val="Quote1"/>
      </w:pPr>
      <w:r>
        <w:t>[M</w:t>
      </w:r>
      <w:r w:rsidR="00C043D3">
        <w:t>y emphasis</w:t>
      </w:r>
      <w:r>
        <w:t>]</w:t>
      </w:r>
    </w:p>
    <w:p w:rsidR="00C043D3" w:rsidRDefault="00C043D3" w:rsidP="0007473D">
      <w:pPr>
        <w:pStyle w:val="Quote1"/>
      </w:pPr>
    </w:p>
    <w:p w:rsidR="00524170" w:rsidRDefault="00524170" w:rsidP="0007473D">
      <w:pPr>
        <w:pStyle w:val="ParaNumbering"/>
      </w:pPr>
      <w:r>
        <w:t xml:space="preserve">In </w:t>
      </w:r>
      <w:proofErr w:type="spellStart"/>
      <w:r w:rsidR="00C043D3" w:rsidRPr="00C043D3">
        <w:rPr>
          <w:i/>
        </w:rPr>
        <w:t>DBC</w:t>
      </w:r>
      <w:proofErr w:type="spellEnd"/>
      <w:r w:rsidR="00C043D3" w:rsidRPr="00C043D3">
        <w:rPr>
          <w:i/>
        </w:rPr>
        <w:t xml:space="preserve"> v </w:t>
      </w:r>
      <w:proofErr w:type="spellStart"/>
      <w:r w:rsidR="00C043D3" w:rsidRPr="00C043D3">
        <w:rPr>
          <w:i/>
        </w:rPr>
        <w:t>iiNet</w:t>
      </w:r>
      <w:proofErr w:type="spellEnd"/>
      <w:r w:rsidR="00C043D3">
        <w:t xml:space="preserve"> </w:t>
      </w:r>
      <w:r w:rsidR="00A94684">
        <w:t>my precise conclusion was</w:t>
      </w:r>
      <w:r w:rsidR="00C043D3">
        <w:t xml:space="preserve"> that </w:t>
      </w:r>
      <w:proofErr w:type="spellStart"/>
      <w:r>
        <w:t>DBC</w:t>
      </w:r>
      <w:proofErr w:type="spellEnd"/>
      <w:r>
        <w:t xml:space="preserve"> </w:t>
      </w:r>
      <w:r w:rsidR="00C043D3">
        <w:t>might well</w:t>
      </w:r>
      <w:r>
        <w:t xml:space="preserve"> have a right to sue </w:t>
      </w:r>
      <w:r w:rsidR="00C043D3">
        <w:t xml:space="preserve">for copyright infringement under s 115(1) of the </w:t>
      </w:r>
      <w:r w:rsidR="00C043D3" w:rsidRPr="0007473D">
        <w:rPr>
          <w:i/>
        </w:rPr>
        <w:t>Copyright Act 1968</w:t>
      </w:r>
      <w:r w:rsidR="00C043D3">
        <w:t xml:space="preserve"> (</w:t>
      </w:r>
      <w:proofErr w:type="spellStart"/>
      <w:r w:rsidR="00C043D3">
        <w:t>Cth</w:t>
      </w:r>
      <w:proofErr w:type="spellEnd"/>
      <w:r w:rsidR="00C043D3">
        <w:t xml:space="preserve">) </w:t>
      </w:r>
      <w:r>
        <w:t>persons who ha</w:t>
      </w:r>
      <w:r w:rsidR="00C043D3">
        <w:t>d</w:t>
      </w:r>
      <w:r>
        <w:t xml:space="preserve"> been </w:t>
      </w:r>
      <w:r w:rsidR="00C043D3">
        <w:t>sharing</w:t>
      </w:r>
      <w:r>
        <w:t xml:space="preserve"> </w:t>
      </w:r>
      <w:r w:rsidR="00C043D3">
        <w:rPr>
          <w:i/>
        </w:rPr>
        <w:t xml:space="preserve">Dallas Buyers Club </w:t>
      </w:r>
      <w:r w:rsidR="00C043D3">
        <w:t xml:space="preserve">(‘the Film’) over the </w:t>
      </w:r>
      <w:proofErr w:type="spellStart"/>
      <w:r>
        <w:t>BitTorrent</w:t>
      </w:r>
      <w:proofErr w:type="spellEnd"/>
      <w:r w:rsidR="00C043D3">
        <w:t xml:space="preserve"> network</w:t>
      </w:r>
      <w:r>
        <w:t>.</w:t>
      </w:r>
      <w:r w:rsidR="0007473D">
        <w:t xml:space="preserve"> </w:t>
      </w:r>
      <w:r>
        <w:t xml:space="preserve"> </w:t>
      </w:r>
      <w:r w:rsidR="00C043D3">
        <w:t xml:space="preserve">The requirements of </w:t>
      </w:r>
      <w:proofErr w:type="spellStart"/>
      <w:r w:rsidR="00C043D3">
        <w:t>subr</w:t>
      </w:r>
      <w:proofErr w:type="spellEnd"/>
      <w:r w:rsidR="00C043D3">
        <w:t xml:space="preserve"> (</w:t>
      </w:r>
      <w:r w:rsidR="00EB5225">
        <w:t>1</w:t>
      </w:r>
      <w:r w:rsidR="00C043D3">
        <w:t xml:space="preserve">) literally were met.  </w:t>
      </w:r>
      <w:r>
        <w:t xml:space="preserve">However, in considering whether the discretion in </w:t>
      </w:r>
      <w:proofErr w:type="spellStart"/>
      <w:r>
        <w:t>sub</w:t>
      </w:r>
      <w:r w:rsidR="00C043D3">
        <w:t>r</w:t>
      </w:r>
      <w:proofErr w:type="spellEnd"/>
      <w:r>
        <w:t xml:space="preserve"> (2) should be exercised</w:t>
      </w:r>
      <w:r w:rsidR="00C043D3">
        <w:t>,</w:t>
      </w:r>
      <w:r>
        <w:t xml:space="preserve"> it is relevant to consider whether </w:t>
      </w:r>
      <w:proofErr w:type="spellStart"/>
      <w:r w:rsidR="00C043D3">
        <w:t>DBC</w:t>
      </w:r>
      <w:proofErr w:type="spellEnd"/>
      <w:r>
        <w:t xml:space="preserve"> has any right to obtain the sums of money that it now proposes to demand from</w:t>
      </w:r>
      <w:r w:rsidR="00C043D3">
        <w:t xml:space="preserve"> infringers (accepting</w:t>
      </w:r>
      <w:r w:rsidR="00EB5225">
        <w:t>, of course,</w:t>
      </w:r>
      <w:r w:rsidR="00C043D3">
        <w:t xml:space="preserve"> that not all account holders </w:t>
      </w:r>
      <w:r w:rsidR="00EB5225">
        <w:t xml:space="preserve">will necessarily be </w:t>
      </w:r>
      <w:r w:rsidR="00C043D3">
        <w:t>infringers)</w:t>
      </w:r>
      <w:r>
        <w:t xml:space="preserve">.  To give an extreme example to underscore the point: whilst it is obvious that people using </w:t>
      </w:r>
      <w:proofErr w:type="spellStart"/>
      <w:r>
        <w:t>BitTorrent</w:t>
      </w:r>
      <w:proofErr w:type="spellEnd"/>
      <w:r>
        <w:t xml:space="preserve"> to copy </w:t>
      </w:r>
      <w:r w:rsidR="000C0E7E">
        <w:t>the</w:t>
      </w:r>
      <w:r>
        <w:t xml:space="preserve"> </w:t>
      </w:r>
      <w:r w:rsidR="00FA4AF0">
        <w:t>F</w:t>
      </w:r>
      <w:r w:rsidR="000C0E7E">
        <w:t xml:space="preserve">ilm without </w:t>
      </w:r>
      <w:proofErr w:type="spellStart"/>
      <w:r w:rsidR="000C0E7E">
        <w:t>DBC’</w:t>
      </w:r>
      <w:r>
        <w:t>s</w:t>
      </w:r>
      <w:proofErr w:type="spellEnd"/>
      <w:r>
        <w:t xml:space="preserve"> permission are breaching its copyright (so that </w:t>
      </w:r>
      <w:proofErr w:type="spellStart"/>
      <w:r>
        <w:t>sub</w:t>
      </w:r>
      <w:r w:rsidR="00C043D3">
        <w:t>r</w:t>
      </w:r>
      <w:proofErr w:type="spellEnd"/>
      <w:r>
        <w:t xml:space="preserve"> (1) is satisfied), the Court would not give access to the information (under </w:t>
      </w:r>
      <w:proofErr w:type="spellStart"/>
      <w:r>
        <w:t>sub</w:t>
      </w:r>
      <w:r w:rsidR="000C0E7E">
        <w:t>r</w:t>
      </w:r>
      <w:proofErr w:type="spellEnd"/>
      <w:r>
        <w:t xml:space="preserve"> (2)) if </w:t>
      </w:r>
      <w:proofErr w:type="spellStart"/>
      <w:r>
        <w:t>DBC</w:t>
      </w:r>
      <w:proofErr w:type="spellEnd"/>
      <w:r>
        <w:t xml:space="preserve"> proposed to </w:t>
      </w:r>
      <w:r w:rsidR="000C0E7E">
        <w:t xml:space="preserve">use it so that </w:t>
      </w:r>
      <w:r>
        <w:t xml:space="preserve">stones </w:t>
      </w:r>
      <w:r w:rsidR="000C0E7E">
        <w:t xml:space="preserve">might be thrown </w:t>
      </w:r>
      <w:r>
        <w:t>at the</w:t>
      </w:r>
      <w:r w:rsidR="00C043D3">
        <w:t xml:space="preserve"> </w:t>
      </w:r>
      <w:r>
        <w:t>i</w:t>
      </w:r>
      <w:r w:rsidR="00C043D3">
        <w:t>nf</w:t>
      </w:r>
      <w:r>
        <w:t>r</w:t>
      </w:r>
      <w:r w:rsidR="00C043D3">
        <w:t>in</w:t>
      </w:r>
      <w:r w:rsidR="00EB5225">
        <w:t>g</w:t>
      </w:r>
      <w:r w:rsidR="00C043D3">
        <w:t>ers</w:t>
      </w:r>
      <w:r w:rsidR="00FA4AF0">
        <w:t>’</w:t>
      </w:r>
      <w:r>
        <w:t xml:space="preserve"> windows. </w:t>
      </w:r>
      <w:r w:rsidR="0007473D">
        <w:t xml:space="preserve"> </w:t>
      </w:r>
      <w:r>
        <w:t>This is because</w:t>
      </w:r>
      <w:r w:rsidR="00EB5225">
        <w:t xml:space="preserve"> the</w:t>
      </w:r>
      <w:r>
        <w:t xml:space="preserve"> breaking </w:t>
      </w:r>
      <w:r w:rsidR="00EB5225">
        <w:t xml:space="preserve">of </w:t>
      </w:r>
      <w:r>
        <w:t xml:space="preserve">windows has nothing to do with the exercise of a right to obtain relief within </w:t>
      </w:r>
      <w:r w:rsidR="002F5A31">
        <w:t xml:space="preserve">the meaning of </w:t>
      </w:r>
      <w:r w:rsidR="000C0E7E">
        <w:t>r</w:t>
      </w:r>
      <w:r>
        <w:t xml:space="preserve"> 7.22(1).</w:t>
      </w:r>
    </w:p>
    <w:p w:rsidR="00524170" w:rsidRDefault="00524170" w:rsidP="0007473D">
      <w:pPr>
        <w:pStyle w:val="ParaNumbering"/>
      </w:pPr>
      <w:r>
        <w:t xml:space="preserve">It is true that English and Canadian authorities have exercised a power to superintend the correspondence that parties in the position of </w:t>
      </w:r>
      <w:proofErr w:type="spellStart"/>
      <w:r w:rsidR="000C0E7E">
        <w:t>DBC</w:t>
      </w:r>
      <w:proofErr w:type="spellEnd"/>
      <w:r>
        <w:t xml:space="preserve"> have proposed to send</w:t>
      </w:r>
      <w:r w:rsidR="00EB5225">
        <w:t xml:space="preserve">:  cf.  </w:t>
      </w:r>
      <w:r w:rsidR="00EB5225">
        <w:rPr>
          <w:i/>
        </w:rPr>
        <w:t>Golden Eye (In</w:t>
      </w:r>
      <w:r w:rsidR="009E0F93">
        <w:rPr>
          <w:i/>
        </w:rPr>
        <w:t>t</w:t>
      </w:r>
      <w:r w:rsidR="00EB5225">
        <w:rPr>
          <w:i/>
        </w:rPr>
        <w:t xml:space="preserve">ernational) Ltd v Telefonica UK Ltd </w:t>
      </w:r>
      <w:r w:rsidR="00EB5225">
        <w:t xml:space="preserve">[2012] </w:t>
      </w:r>
      <w:proofErr w:type="spellStart"/>
      <w:r w:rsidR="00EB5225">
        <w:t>EWHC</w:t>
      </w:r>
      <w:proofErr w:type="spellEnd"/>
      <w:r w:rsidR="00EB5225">
        <w:t xml:space="preserve"> 723</w:t>
      </w:r>
      <w:r w:rsidR="000C0E7E">
        <w:t xml:space="preserve"> (</w:t>
      </w:r>
      <w:proofErr w:type="spellStart"/>
      <w:r w:rsidR="000C0E7E">
        <w:t>Ch</w:t>
      </w:r>
      <w:proofErr w:type="spellEnd"/>
      <w:r w:rsidR="000C0E7E">
        <w:t>)</w:t>
      </w:r>
      <w:r w:rsidR="00EB5225">
        <w:t xml:space="preserve">; </w:t>
      </w:r>
      <w:r w:rsidR="00EB5225">
        <w:rPr>
          <w:i/>
        </w:rPr>
        <w:t xml:space="preserve">Voltage Pictures LLC v John Doe </w:t>
      </w:r>
      <w:r w:rsidR="00EB5225">
        <w:t>[2014] FC 161</w:t>
      </w:r>
      <w:r>
        <w:t xml:space="preserve">. </w:t>
      </w:r>
      <w:r w:rsidR="0007473D">
        <w:t xml:space="preserve"> </w:t>
      </w:r>
      <w:r>
        <w:t>Those decisions suggest that those Courts will exercise a supervisory role</w:t>
      </w:r>
      <w:r w:rsidR="007D4D0A">
        <w:t>,</w:t>
      </w:r>
      <w:r>
        <w:t xml:space="preserve"> almost akin to that of a consumer protection authority</w:t>
      </w:r>
      <w:r w:rsidR="007D4D0A">
        <w:t>,</w:t>
      </w:r>
      <w:r w:rsidR="008F3B82">
        <w:t xml:space="preserve"> in scrutinis</w:t>
      </w:r>
      <w:r>
        <w:t xml:space="preserve">ing </w:t>
      </w:r>
      <w:r w:rsidR="00EB5225">
        <w:t xml:space="preserve">proposed </w:t>
      </w:r>
      <w:r>
        <w:t>correspondence</w:t>
      </w:r>
      <w:r w:rsidR="00EB5225">
        <w:t xml:space="preserve"> with account holders</w:t>
      </w:r>
      <w:r>
        <w:t>.</w:t>
      </w:r>
      <w:r w:rsidR="0007473D">
        <w:t xml:space="preserve"> </w:t>
      </w:r>
      <w:r>
        <w:t xml:space="preserve"> This reasoning flows from the fact that in </w:t>
      </w:r>
      <w:r>
        <w:lastRenderedPageBreak/>
        <w:t>both the United Kingdom and Canada there are human rights instruments which guarantee privacy</w:t>
      </w:r>
      <w:r w:rsidR="007D4D0A">
        <w:t>,</w:t>
      </w:r>
      <w:r>
        <w:t xml:space="preserve"> the application of which requires the Courts in those countries to engage in a proportionality analysis foreign to Australian law. </w:t>
      </w:r>
    </w:p>
    <w:p w:rsidR="00524170" w:rsidRDefault="00524170" w:rsidP="0007473D">
      <w:pPr>
        <w:pStyle w:val="ParaNumbering"/>
      </w:pPr>
      <w:r>
        <w:t>I do not accept that this Court has such a role</w:t>
      </w:r>
      <w:r w:rsidR="00EB5225">
        <w:t xml:space="preserve"> beyond the role indicated at [86] in </w:t>
      </w:r>
      <w:proofErr w:type="spellStart"/>
      <w:r w:rsidR="00EB5225">
        <w:rPr>
          <w:i/>
        </w:rPr>
        <w:t>DBC</w:t>
      </w:r>
      <w:proofErr w:type="spellEnd"/>
      <w:r w:rsidR="00EB5225">
        <w:rPr>
          <w:i/>
        </w:rPr>
        <w:t xml:space="preserve"> v </w:t>
      </w:r>
      <w:proofErr w:type="spellStart"/>
      <w:r w:rsidR="00EB5225">
        <w:rPr>
          <w:i/>
        </w:rPr>
        <w:t>iiNet</w:t>
      </w:r>
      <w:proofErr w:type="spellEnd"/>
      <w:r>
        <w:t xml:space="preserve">. However, I do accept that the Court needs to be satisfied when it exercises the discretion under </w:t>
      </w:r>
      <w:r w:rsidR="007D4D0A">
        <w:t>r</w:t>
      </w:r>
      <w:r>
        <w:t xml:space="preserve"> 7.22(2) (by allowing the application or, as here, by lifti</w:t>
      </w:r>
      <w:r w:rsidR="007D4D0A">
        <w:t>ng an earlier stay) that what a prospective</w:t>
      </w:r>
      <w:r>
        <w:t xml:space="preserve"> applicant is proposing to do with the</w:t>
      </w:r>
      <w:r w:rsidR="007D4D0A">
        <w:t xml:space="preserve"> information thereby garnered accords with</w:t>
      </w:r>
      <w:r>
        <w:t xml:space="preserve"> a purpose contemplated by </w:t>
      </w:r>
      <w:r w:rsidR="007D4D0A">
        <w:t>r</w:t>
      </w:r>
      <w:r>
        <w:t xml:space="preserve"> 7.22. </w:t>
      </w:r>
      <w:r w:rsidR="00235452">
        <w:t xml:space="preserve"> </w:t>
      </w:r>
      <w:r>
        <w:t>In cases such as the present, that inquiry will devolve into an examination of whether the individual monetary demands which are</w:t>
      </w:r>
      <w:r w:rsidR="002F5A31">
        <w:t xml:space="preserve"> proposed</w:t>
      </w:r>
      <w:r>
        <w:t xml:space="preserve"> to be made could plausibly be sued for. </w:t>
      </w:r>
      <w:r w:rsidR="00235452">
        <w:t xml:space="preserve"> </w:t>
      </w:r>
      <w:r>
        <w:t xml:space="preserve">If they could not, then it would not be a proper exercise of the discretion to permit release of the </w:t>
      </w:r>
      <w:r w:rsidR="002F5A31">
        <w:t>account holders</w:t>
      </w:r>
      <w:r w:rsidR="00EB5225">
        <w:t>’</w:t>
      </w:r>
      <w:r w:rsidR="002F5A31">
        <w:t xml:space="preserve"> </w:t>
      </w:r>
      <w:r>
        <w:t>information.</w:t>
      </w:r>
    </w:p>
    <w:p w:rsidR="002F5A31" w:rsidRDefault="002F5A31" w:rsidP="002F5A31">
      <w:pPr>
        <w:pStyle w:val="Heading2"/>
      </w:pPr>
      <w:r>
        <w:t xml:space="preserve">3.   </w:t>
      </w:r>
      <w:r w:rsidR="00886405">
        <w:t xml:space="preserve"> </w:t>
      </w:r>
      <w:r>
        <w:t>The Demands</w:t>
      </w:r>
    </w:p>
    <w:p w:rsidR="00524170" w:rsidRDefault="00524170" w:rsidP="00235452">
      <w:pPr>
        <w:pStyle w:val="ParaNumbering"/>
      </w:pPr>
      <w:r>
        <w:t xml:space="preserve">What demands does </w:t>
      </w:r>
      <w:proofErr w:type="spellStart"/>
      <w:r>
        <w:t>DBC</w:t>
      </w:r>
      <w:proofErr w:type="spellEnd"/>
      <w:r>
        <w:t xml:space="preserve"> make? </w:t>
      </w:r>
      <w:r w:rsidR="00235452">
        <w:t xml:space="preserve"> </w:t>
      </w:r>
      <w:r>
        <w:t xml:space="preserve">It would be fair to say that </w:t>
      </w:r>
      <w:proofErr w:type="spellStart"/>
      <w:r>
        <w:t>DBC</w:t>
      </w:r>
      <w:proofErr w:type="spellEnd"/>
      <w:r>
        <w:t xml:space="preserve"> has not rushed to make its position clear.</w:t>
      </w:r>
      <w:r w:rsidR="00235452">
        <w:t xml:space="preserve"> </w:t>
      </w:r>
      <w:r>
        <w:t xml:space="preserve"> At the first hearing, it did not </w:t>
      </w:r>
      <w:r w:rsidR="008F3B82">
        <w:t xml:space="preserve">precisely </w:t>
      </w:r>
      <w:r>
        <w:t>disclose what it was going to do with the information once it obtained it.</w:t>
      </w:r>
      <w:r w:rsidR="00235452">
        <w:t xml:space="preserve"> </w:t>
      </w:r>
      <w:r>
        <w:t xml:space="preserve"> </w:t>
      </w:r>
      <w:r w:rsidR="00A94684">
        <w:t xml:space="preserve">One of </w:t>
      </w:r>
      <w:proofErr w:type="spellStart"/>
      <w:r w:rsidR="00A94684">
        <w:t>DBC’s</w:t>
      </w:r>
      <w:proofErr w:type="spellEnd"/>
      <w:r w:rsidR="00A94684">
        <w:t xml:space="preserve"> executives, </w:t>
      </w:r>
      <w:r>
        <w:t xml:space="preserve">Mr </w:t>
      </w:r>
      <w:proofErr w:type="spellStart"/>
      <w:r>
        <w:t>Wickstrom</w:t>
      </w:r>
      <w:proofErr w:type="spellEnd"/>
      <w:r w:rsidR="00A94684">
        <w:t>,</w:t>
      </w:r>
      <w:r>
        <w:t xml:space="preserve"> was cross-examined and it was put to him that </w:t>
      </w:r>
      <w:proofErr w:type="spellStart"/>
      <w:r>
        <w:t>DBC</w:t>
      </w:r>
      <w:proofErr w:type="spellEnd"/>
      <w:r>
        <w:t xml:space="preserve"> was a speculative </w:t>
      </w:r>
      <w:proofErr w:type="spellStart"/>
      <w:r>
        <w:t>invoicer</w:t>
      </w:r>
      <w:proofErr w:type="spellEnd"/>
      <w:r>
        <w:t xml:space="preserve">. </w:t>
      </w:r>
      <w:r w:rsidR="00235452">
        <w:t xml:space="preserve"> </w:t>
      </w:r>
      <w:r>
        <w:t xml:space="preserve">As I said in </w:t>
      </w:r>
      <w:proofErr w:type="spellStart"/>
      <w:r w:rsidRPr="00235452">
        <w:rPr>
          <w:i/>
        </w:rPr>
        <w:t>DBC</w:t>
      </w:r>
      <w:proofErr w:type="spellEnd"/>
      <w:r w:rsidRPr="00235452">
        <w:rPr>
          <w:i/>
        </w:rPr>
        <w:t xml:space="preserve"> </w:t>
      </w:r>
      <w:r w:rsidR="007D4D0A">
        <w:rPr>
          <w:i/>
        </w:rPr>
        <w:t xml:space="preserve">v </w:t>
      </w:r>
      <w:proofErr w:type="spellStart"/>
      <w:r w:rsidR="007D4D0A">
        <w:rPr>
          <w:i/>
        </w:rPr>
        <w:t>iiNet</w:t>
      </w:r>
      <w:proofErr w:type="spellEnd"/>
      <w:r w:rsidR="007D4D0A">
        <w:t xml:space="preserve"> at [81]</w:t>
      </w:r>
      <w:r>
        <w:t xml:space="preserve">, the evidence satisfied me that </w:t>
      </w:r>
      <w:proofErr w:type="spellStart"/>
      <w:r>
        <w:t>DBC</w:t>
      </w:r>
      <w:proofErr w:type="spellEnd"/>
      <w:r>
        <w:t>, in this country, would be as aggressive</w:t>
      </w:r>
      <w:r w:rsidR="00A94684">
        <w:t xml:space="preserve"> in its correspondence with account holders</w:t>
      </w:r>
      <w:r>
        <w:t xml:space="preserve"> as it could be </w:t>
      </w:r>
      <w:r w:rsidR="007D4D0A">
        <w:t>whilst remaining</w:t>
      </w:r>
      <w:r w:rsidR="00A94684">
        <w:t xml:space="preserve"> </w:t>
      </w:r>
      <w:r>
        <w:t xml:space="preserve">within the law. </w:t>
      </w:r>
      <w:r w:rsidR="00235452">
        <w:t xml:space="preserve"> </w:t>
      </w:r>
      <w:r>
        <w:t>That still left wholly unanswered</w:t>
      </w:r>
      <w:r w:rsidR="002F5A31">
        <w:t xml:space="preserve">, however, </w:t>
      </w:r>
      <w:r>
        <w:t>what it was actually going to do.</w:t>
      </w:r>
    </w:p>
    <w:p w:rsidR="00524170" w:rsidRDefault="00524170" w:rsidP="00235452">
      <w:pPr>
        <w:pStyle w:val="ParaNumbering"/>
      </w:pPr>
      <w:r>
        <w:t xml:space="preserve">The next round </w:t>
      </w:r>
      <w:r w:rsidR="008F3B82">
        <w:t>in the proceedings saw this Court make orders on</w:t>
      </w:r>
      <w:r>
        <w:t xml:space="preserve"> </w:t>
      </w:r>
      <w:r w:rsidR="007D4D0A">
        <w:t>6</w:t>
      </w:r>
      <w:r>
        <w:t xml:space="preserve"> May 2015 </w:t>
      </w:r>
      <w:r w:rsidR="008F3B82">
        <w:t xml:space="preserve">which </w:t>
      </w:r>
      <w:r>
        <w:t>indicated that whilst satisfied</w:t>
      </w:r>
      <w:r w:rsidR="00A94684">
        <w:t>,</w:t>
      </w:r>
      <w:r>
        <w:t xml:space="preserve"> in principle</w:t>
      </w:r>
      <w:r w:rsidR="00A94684">
        <w:t>,</w:t>
      </w:r>
      <w:r>
        <w:t xml:space="preserve"> that </w:t>
      </w:r>
      <w:proofErr w:type="spellStart"/>
      <w:r>
        <w:t>DBC</w:t>
      </w:r>
      <w:proofErr w:type="spellEnd"/>
      <w:r>
        <w:t xml:space="preserve"> was entitled to preliminary discovery, the Court was not going to open the sluice gates until it saw the proposed correspondence and until </w:t>
      </w:r>
      <w:proofErr w:type="spellStart"/>
      <w:r>
        <w:t>DBC</w:t>
      </w:r>
      <w:proofErr w:type="spellEnd"/>
      <w:r>
        <w:t xml:space="preserve"> satisfied the Court that it was that </w:t>
      </w:r>
      <w:r w:rsidR="00A94684">
        <w:t xml:space="preserve">approved </w:t>
      </w:r>
      <w:r>
        <w:t>correspondence, and not something else,</w:t>
      </w:r>
      <w:r w:rsidR="00A94684">
        <w:t xml:space="preserve"> such as a </w:t>
      </w:r>
      <w:r w:rsidR="005C3C90">
        <w:t>dead cat</w:t>
      </w:r>
      <w:r w:rsidR="007D4D0A">
        <w:t>,</w:t>
      </w:r>
      <w:r>
        <w:t xml:space="preserve"> that </w:t>
      </w:r>
      <w:proofErr w:type="spellStart"/>
      <w:r>
        <w:t>DBC</w:t>
      </w:r>
      <w:proofErr w:type="spellEnd"/>
      <w:r>
        <w:t xml:space="preserve"> was going to send</w:t>
      </w:r>
      <w:r w:rsidR="00A94684">
        <w:t xml:space="preserve"> to account holders</w:t>
      </w:r>
      <w:r>
        <w:t xml:space="preserve">. </w:t>
      </w:r>
    </w:p>
    <w:p w:rsidR="00524170" w:rsidRDefault="00524170" w:rsidP="00235452">
      <w:pPr>
        <w:pStyle w:val="ParaNumbering"/>
      </w:pPr>
      <w:r>
        <w:t xml:space="preserve">This brought forth the first draft letter. </w:t>
      </w:r>
      <w:r w:rsidR="00235452">
        <w:t xml:space="preserve"> </w:t>
      </w:r>
      <w:r>
        <w:t xml:space="preserve">There is no need to set it out. </w:t>
      </w:r>
      <w:r w:rsidR="00235452">
        <w:t xml:space="preserve"> </w:t>
      </w:r>
      <w:r>
        <w:t xml:space="preserve">It was quite long and, on the whole, negative about people copying </w:t>
      </w:r>
      <w:r w:rsidR="002F5A31">
        <w:t>the</w:t>
      </w:r>
      <w:r>
        <w:t xml:space="preserve"> Film, which is hardly surprising. </w:t>
      </w:r>
      <w:r w:rsidR="00235452">
        <w:t xml:space="preserve"> </w:t>
      </w:r>
      <w:r>
        <w:t xml:space="preserve">Critically, however, it did not make any demand for a sum of money. </w:t>
      </w:r>
      <w:r w:rsidR="00235452">
        <w:t xml:space="preserve"> </w:t>
      </w:r>
      <w:r>
        <w:t>Instead, it encouraged recipient</w:t>
      </w:r>
      <w:r w:rsidR="00EB5225">
        <w:t>s</w:t>
      </w:r>
      <w:r>
        <w:t xml:space="preserve"> to make a telephone call to discuss the matter</w:t>
      </w:r>
      <w:r w:rsidR="007D4D0A">
        <w:t xml:space="preserve"> or to engage in email correspondence with an unidentified representative of </w:t>
      </w:r>
      <w:proofErr w:type="spellStart"/>
      <w:r w:rsidR="007D4D0A">
        <w:t>DBC</w:t>
      </w:r>
      <w:proofErr w:type="spellEnd"/>
      <w:r>
        <w:t>.</w:t>
      </w:r>
    </w:p>
    <w:p w:rsidR="00524170" w:rsidRPr="002E0F63" w:rsidRDefault="00524170" w:rsidP="00235452">
      <w:pPr>
        <w:pStyle w:val="ParaNumbering"/>
      </w:pPr>
      <w:r w:rsidRPr="002E0F63">
        <w:t xml:space="preserve">In response to this manoeuvre, it was suggested in correspondence between the parties and my chambers that I would need to see the scripts of what was to be discussed. </w:t>
      </w:r>
      <w:r w:rsidR="00235452" w:rsidRPr="002E0F63">
        <w:t xml:space="preserve"> </w:t>
      </w:r>
      <w:r w:rsidRPr="002E0F63">
        <w:t xml:space="preserve">These were </w:t>
      </w:r>
      <w:r w:rsidRPr="002E0F63">
        <w:lastRenderedPageBreak/>
        <w:t>forthcoming</w:t>
      </w:r>
      <w:r w:rsidR="00A94684">
        <w:t xml:space="preserve"> in due course </w:t>
      </w:r>
      <w:r w:rsidRPr="002E0F63">
        <w:t>but the</w:t>
      </w:r>
      <w:r w:rsidR="00A94684">
        <w:t>y</w:t>
      </w:r>
      <w:r w:rsidRPr="002E0F63">
        <w:t>, too, omitted any reference to the amounts of money which were to be demanded.</w:t>
      </w:r>
    </w:p>
    <w:p w:rsidR="00524170" w:rsidRPr="002E0F63" w:rsidRDefault="00524170" w:rsidP="00235452">
      <w:pPr>
        <w:pStyle w:val="ParaNumbering"/>
      </w:pPr>
      <w:r w:rsidRPr="002E0F63">
        <w:t>There was then a hearing on</w:t>
      </w:r>
      <w:r w:rsidR="002F5A31">
        <w:t xml:space="preserve"> 18 June 2015</w:t>
      </w:r>
      <w:r w:rsidR="007D4D0A">
        <w:t>,</w:t>
      </w:r>
      <w:r w:rsidR="002F5A31">
        <w:t xml:space="preserve"> </w:t>
      </w:r>
      <w:r w:rsidRPr="002E0F63">
        <w:t xml:space="preserve">during which I indicated that I was not going to approve anything unless I was shown what it was that </w:t>
      </w:r>
      <w:proofErr w:type="spellStart"/>
      <w:r w:rsidRPr="002E0F63">
        <w:t>DBC</w:t>
      </w:r>
      <w:proofErr w:type="spellEnd"/>
      <w:r w:rsidRPr="002E0F63">
        <w:t xml:space="preserve"> was proposing to demand </w:t>
      </w:r>
      <w:r w:rsidR="007D4D0A" w:rsidRPr="002E0F63">
        <w:t xml:space="preserve">monetarily </w:t>
      </w:r>
      <w:r w:rsidRPr="002E0F63">
        <w:t>or, as I put it at the time, the methodology underlying its approach to the amounts it was going to claim.</w:t>
      </w:r>
    </w:p>
    <w:p w:rsidR="00524170" w:rsidRPr="002E0F63" w:rsidRDefault="00524170" w:rsidP="00235452">
      <w:pPr>
        <w:pStyle w:val="ParaNumbering"/>
      </w:pPr>
      <w:r w:rsidRPr="002E0F63">
        <w:t xml:space="preserve">A written submission was then prepared by </w:t>
      </w:r>
      <w:proofErr w:type="spellStart"/>
      <w:r w:rsidRPr="002E0F63">
        <w:t>DBC</w:t>
      </w:r>
      <w:proofErr w:type="spellEnd"/>
      <w:r w:rsidRPr="002E0F63">
        <w:t xml:space="preserve"> which set out in some detail what </w:t>
      </w:r>
      <w:proofErr w:type="spellStart"/>
      <w:r w:rsidR="002F5A31">
        <w:t>DBC</w:t>
      </w:r>
      <w:proofErr w:type="spellEnd"/>
      <w:r w:rsidR="002F5A31">
        <w:t xml:space="preserve"> w</w:t>
      </w:r>
      <w:r w:rsidRPr="002E0F63">
        <w:t xml:space="preserve">as going to </w:t>
      </w:r>
      <w:r w:rsidR="002F5A31">
        <w:t>demand</w:t>
      </w:r>
      <w:r w:rsidR="00A94684">
        <w:t xml:space="preserve"> as a matter of money</w:t>
      </w:r>
      <w:r w:rsidRPr="002E0F63">
        <w:t xml:space="preserve">. </w:t>
      </w:r>
      <w:r w:rsidR="00235452" w:rsidRPr="002E0F63">
        <w:t xml:space="preserve"> </w:t>
      </w:r>
      <w:r w:rsidRPr="002E0F63">
        <w:t xml:space="preserve">At </w:t>
      </w:r>
      <w:proofErr w:type="spellStart"/>
      <w:r w:rsidRPr="002E0F63">
        <w:t>DBC’s</w:t>
      </w:r>
      <w:proofErr w:type="spellEnd"/>
      <w:r w:rsidRPr="002E0F63">
        <w:t xml:space="preserve"> instigation I made a confidentiality order in relation to that submission (which was </w:t>
      </w:r>
      <w:r w:rsidR="002F5A31">
        <w:t>lodged on 2 July 2015</w:t>
      </w:r>
      <w:r w:rsidRPr="002E0F63">
        <w:t>) because it disclo</w:t>
      </w:r>
      <w:r w:rsidR="008F3B82">
        <w:t xml:space="preserve">sed </w:t>
      </w:r>
      <w:proofErr w:type="spellStart"/>
      <w:r w:rsidR="008F3B82">
        <w:t>DBC’s</w:t>
      </w:r>
      <w:proofErr w:type="spellEnd"/>
      <w:r w:rsidR="008F3B82">
        <w:t xml:space="preserve"> bottom-</w:t>
      </w:r>
      <w:r w:rsidRPr="002E0F63">
        <w:t xml:space="preserve">line negotiating position </w:t>
      </w:r>
      <w:r w:rsidR="00EB5225">
        <w:t xml:space="preserve">which </w:t>
      </w:r>
      <w:r w:rsidRPr="002E0F63">
        <w:t>would destroy, or at least seriously impact upon, its ability to negotiate</w:t>
      </w:r>
      <w:r w:rsidR="00EB5225">
        <w:t xml:space="preserve">.  </w:t>
      </w:r>
      <w:r w:rsidRPr="002E0F63">
        <w:t>Access was</w:t>
      </w:r>
      <w:r w:rsidR="007D4D0A">
        <w:t>,</w:t>
      </w:r>
      <w:r w:rsidRPr="002E0F63">
        <w:t xml:space="preserve"> however</w:t>
      </w:r>
      <w:r w:rsidR="007D4D0A">
        <w:t>,</w:t>
      </w:r>
      <w:r w:rsidRPr="002E0F63">
        <w:t xml:space="preserve"> granted to the respondent ISPs</w:t>
      </w:r>
      <w:r w:rsidR="002F5A31">
        <w:t>’</w:t>
      </w:r>
      <w:r w:rsidRPr="002E0F63">
        <w:t xml:space="preserve"> lawyers. </w:t>
      </w:r>
      <w:r w:rsidR="00235452" w:rsidRPr="002E0F63">
        <w:t xml:space="preserve"> </w:t>
      </w:r>
      <w:r w:rsidRPr="002E0F63">
        <w:t xml:space="preserve">They in turn put on a submission on </w:t>
      </w:r>
      <w:r w:rsidR="002F5A31">
        <w:t>15 July 2015</w:t>
      </w:r>
      <w:r w:rsidRPr="002E0F63">
        <w:t xml:space="preserve"> in which the</w:t>
      </w:r>
      <w:r w:rsidR="002F5A31">
        <w:t>y</w:t>
      </w:r>
      <w:r w:rsidRPr="002E0F63">
        <w:t xml:space="preserve"> submitted that what </w:t>
      </w:r>
      <w:proofErr w:type="spellStart"/>
      <w:r w:rsidRPr="002E0F63">
        <w:t>DBC</w:t>
      </w:r>
      <w:proofErr w:type="spellEnd"/>
      <w:r w:rsidRPr="002E0F63">
        <w:t xml:space="preserve"> was</w:t>
      </w:r>
      <w:r w:rsidR="00FA4AF0">
        <w:t xml:space="preserve"> now</w:t>
      </w:r>
      <w:r w:rsidRPr="002E0F63">
        <w:t xml:space="preserve"> proposing was plainly ‘speculative invoicing’.</w:t>
      </w:r>
      <w:r w:rsidR="00A94684">
        <w:t xml:space="preserve">  Further submissions were then received at the Court’s invitation on the operation of s 115(5)</w:t>
      </w:r>
      <w:r w:rsidR="007D4D0A">
        <w:t>-(8),</w:t>
      </w:r>
      <w:r w:rsidR="00A94684">
        <w:t xml:space="preserve"> with the last </w:t>
      </w:r>
      <w:r w:rsidR="007D4D0A">
        <w:t xml:space="preserve">of these </w:t>
      </w:r>
      <w:r w:rsidR="00A94684">
        <w:t xml:space="preserve">being received on </w:t>
      </w:r>
      <w:r w:rsidR="007D4D0A">
        <w:t>31 </w:t>
      </w:r>
      <w:r w:rsidR="00A94684">
        <w:t>July 2015.</w:t>
      </w:r>
    </w:p>
    <w:p w:rsidR="00524170" w:rsidRDefault="00524170" w:rsidP="00235452">
      <w:pPr>
        <w:pStyle w:val="ParaNumbering"/>
      </w:pPr>
      <w:r>
        <w:t xml:space="preserve">I will not publish the actual figures that </w:t>
      </w:r>
      <w:proofErr w:type="spellStart"/>
      <w:r>
        <w:t>DBC</w:t>
      </w:r>
      <w:proofErr w:type="spellEnd"/>
      <w:r>
        <w:t xml:space="preserve"> proposes to demand for the confidentiality reasons I have just mentioned. </w:t>
      </w:r>
      <w:r w:rsidR="00235452">
        <w:t xml:space="preserve"> </w:t>
      </w:r>
      <w:r w:rsidR="007D4D0A">
        <w:t>But I will indicate that they</w:t>
      </w:r>
      <w:r>
        <w:t xml:space="preserve"> consist </w:t>
      </w:r>
      <w:r w:rsidR="007D4D0A">
        <w:t>of</w:t>
      </w:r>
      <w:r>
        <w:t xml:space="preserve"> four heads:</w:t>
      </w:r>
    </w:p>
    <w:p w:rsidR="00524170" w:rsidRDefault="00524170" w:rsidP="00235452">
      <w:pPr>
        <w:pStyle w:val="ListNo1"/>
        <w:numPr>
          <w:ilvl w:val="0"/>
          <w:numId w:val="39"/>
        </w:numPr>
        <w:ind w:hanging="578"/>
      </w:pPr>
      <w:proofErr w:type="gramStart"/>
      <w:r>
        <w:t>a</w:t>
      </w:r>
      <w:proofErr w:type="gramEnd"/>
      <w:r>
        <w:t xml:space="preserve"> claim for the cost of an actual purchase of a single copy of the Film f</w:t>
      </w:r>
      <w:r w:rsidR="00EB5225">
        <w:t>or</w:t>
      </w:r>
      <w:r>
        <w:t xml:space="preserve"> each copy of the Film downloaded. </w:t>
      </w:r>
      <w:r w:rsidR="00235452">
        <w:t xml:space="preserve"> </w:t>
      </w:r>
      <w:r>
        <w:t>This is quite a bit more than the cost of renting a copy of the Film on a 48 hour basis from a platform such as iTunes.</w:t>
      </w:r>
      <w:r w:rsidR="00235452">
        <w:t xml:space="preserve"> </w:t>
      </w:r>
      <w:r>
        <w:t xml:space="preserve"> Here </w:t>
      </w:r>
      <w:proofErr w:type="spellStart"/>
      <w:r>
        <w:t>DBC’s</w:t>
      </w:r>
      <w:proofErr w:type="spellEnd"/>
      <w:r>
        <w:t xml:space="preserve"> argument is </w:t>
      </w:r>
      <w:r w:rsidR="00FE154B">
        <w:t>quite</w:t>
      </w:r>
      <w:r>
        <w:t xml:space="preserve"> clear:</w:t>
      </w:r>
      <w:r w:rsidR="00235452">
        <w:t xml:space="preserve"> </w:t>
      </w:r>
      <w:r>
        <w:t xml:space="preserve"> the copy that has ended up on the infringers’ hard drives is not a 48 hour </w:t>
      </w:r>
      <w:r w:rsidR="00EB5225">
        <w:t xml:space="preserve">rental </w:t>
      </w:r>
      <w:r>
        <w:t>copy but a permanent one;</w:t>
      </w:r>
    </w:p>
    <w:p w:rsidR="00524170" w:rsidRDefault="00524170" w:rsidP="00A94684">
      <w:pPr>
        <w:pStyle w:val="ListNo1"/>
        <w:numPr>
          <w:ilvl w:val="0"/>
          <w:numId w:val="39"/>
        </w:numPr>
        <w:ind w:hanging="578"/>
      </w:pPr>
      <w:proofErr w:type="gramStart"/>
      <w:r>
        <w:t>a</w:t>
      </w:r>
      <w:proofErr w:type="gramEnd"/>
      <w:r>
        <w:t xml:space="preserve"> claim for an amount relating to each infringers’ uploading activities. </w:t>
      </w:r>
      <w:r w:rsidR="00235452">
        <w:t xml:space="preserve"> </w:t>
      </w:r>
      <w:r>
        <w:t xml:space="preserve">Here </w:t>
      </w:r>
      <w:proofErr w:type="spellStart"/>
      <w:r>
        <w:t>DBC</w:t>
      </w:r>
      <w:proofErr w:type="spellEnd"/>
      <w:r>
        <w:t xml:space="preserve"> suggested that the number of uploads was potentially very large given the way </w:t>
      </w:r>
      <w:proofErr w:type="spellStart"/>
      <w:r>
        <w:t>BitTorrent</w:t>
      </w:r>
      <w:proofErr w:type="spellEnd"/>
      <w:r>
        <w:t xml:space="preserve"> operates</w:t>
      </w:r>
      <w:r w:rsidR="00FE154B">
        <w:t>,</w:t>
      </w:r>
      <w:r>
        <w:t xml:space="preserve"> </w:t>
      </w:r>
      <w:r w:rsidR="00A94684">
        <w:t>with</w:t>
      </w:r>
      <w:r>
        <w:t xml:space="preserve"> each user sharing the </w:t>
      </w:r>
      <w:r w:rsidR="00A94684">
        <w:t>F</w:t>
      </w:r>
      <w:r>
        <w:t xml:space="preserve">ilm with other users by means of transfers of slivers across the network. </w:t>
      </w:r>
      <w:proofErr w:type="spellStart"/>
      <w:r>
        <w:t>DBC</w:t>
      </w:r>
      <w:proofErr w:type="spellEnd"/>
      <w:r>
        <w:t xml:space="preserve"> submitted that it was entitled to obtain a one-off licence fee from each uploader on the basis that each was engaged in </w:t>
      </w:r>
      <w:r w:rsidR="00FA4AF0">
        <w:t xml:space="preserve">the widespread </w:t>
      </w:r>
      <w:r w:rsidR="002F5A31">
        <w:t>distributi</w:t>
      </w:r>
      <w:r w:rsidR="00FA4AF0">
        <w:t>on of</w:t>
      </w:r>
      <w:r w:rsidR="002F5A31">
        <w:t xml:space="preserve"> </w:t>
      </w:r>
      <w:r>
        <w:t xml:space="preserve">the film. </w:t>
      </w:r>
      <w:r w:rsidR="00235452">
        <w:t xml:space="preserve"> </w:t>
      </w:r>
      <w:r>
        <w:t xml:space="preserve">It is not trespassing on </w:t>
      </w:r>
      <w:proofErr w:type="spellStart"/>
      <w:r>
        <w:t>DBC’s</w:t>
      </w:r>
      <w:proofErr w:type="spellEnd"/>
      <w:r>
        <w:t xml:space="preserve"> legitimate confidentiality concerns to say that the sum sought by </w:t>
      </w:r>
      <w:proofErr w:type="spellStart"/>
      <w:r>
        <w:t>DBC</w:t>
      </w:r>
      <w:proofErr w:type="spellEnd"/>
      <w:r>
        <w:t xml:space="preserve"> in relation</w:t>
      </w:r>
      <w:r w:rsidR="00FE154B">
        <w:t xml:space="preserve"> to</w:t>
      </w:r>
      <w:r>
        <w:t xml:space="preserve"> this</w:t>
      </w:r>
      <w:r w:rsidR="00EB5225">
        <w:t xml:space="preserve"> head of damages was</w:t>
      </w:r>
      <w:r>
        <w:t xml:space="preserve"> substantial;</w:t>
      </w:r>
    </w:p>
    <w:p w:rsidR="00524170" w:rsidRDefault="00524170" w:rsidP="00235452">
      <w:pPr>
        <w:pStyle w:val="ListNo1"/>
        <w:numPr>
          <w:ilvl w:val="0"/>
          <w:numId w:val="39"/>
        </w:numPr>
        <w:ind w:hanging="578"/>
      </w:pPr>
      <w:r>
        <w:lastRenderedPageBreak/>
        <w:t xml:space="preserve">a claim for additional damages under s 115(4) (i.e. punitive damages) depending on how many copies of </w:t>
      </w:r>
      <w:r w:rsidRPr="002F5A31">
        <w:rPr>
          <w:i/>
        </w:rPr>
        <w:t>other</w:t>
      </w:r>
      <w:r>
        <w:t xml:space="preserve"> </w:t>
      </w:r>
      <w:r w:rsidR="00FE154B">
        <w:t>copyrighted works</w:t>
      </w:r>
      <w:r>
        <w:t xml:space="preserve"> ha</w:t>
      </w:r>
      <w:r w:rsidR="002F5A31">
        <w:t>d</w:t>
      </w:r>
      <w:r>
        <w:t xml:space="preserve"> been downloaded by </w:t>
      </w:r>
      <w:r w:rsidR="002F5A31">
        <w:t>each</w:t>
      </w:r>
      <w:r>
        <w:t xml:space="preserve"> infringer; and</w:t>
      </w:r>
    </w:p>
    <w:p w:rsidR="00524170" w:rsidRDefault="00524170" w:rsidP="00235452">
      <w:pPr>
        <w:pStyle w:val="ListNo1"/>
        <w:numPr>
          <w:ilvl w:val="0"/>
          <w:numId w:val="39"/>
        </w:numPr>
        <w:ind w:hanging="578"/>
      </w:pPr>
      <w:proofErr w:type="gramStart"/>
      <w:r>
        <w:t>a</w:t>
      </w:r>
      <w:proofErr w:type="gramEnd"/>
      <w:r>
        <w:t xml:space="preserve"> claim for damages </w:t>
      </w:r>
      <w:r w:rsidR="002F5A31">
        <w:t xml:space="preserve">arising from </w:t>
      </w:r>
      <w:r>
        <w:t xml:space="preserve">the amount of money it has cost </w:t>
      </w:r>
      <w:proofErr w:type="spellStart"/>
      <w:r>
        <w:t>DBC</w:t>
      </w:r>
      <w:proofErr w:type="spellEnd"/>
      <w:r>
        <w:t xml:space="preserve"> to obtain each infringer’s name.</w:t>
      </w:r>
    </w:p>
    <w:p w:rsidR="00524170" w:rsidRDefault="00025F57" w:rsidP="00025F57">
      <w:pPr>
        <w:pStyle w:val="Heading2"/>
      </w:pPr>
      <w:r>
        <w:t>4.    Permissible Demands</w:t>
      </w:r>
    </w:p>
    <w:p w:rsidR="00EB5225" w:rsidRDefault="00EB5225" w:rsidP="00EB5225">
      <w:pPr>
        <w:pStyle w:val="ParaNumbering"/>
      </w:pPr>
      <w:r>
        <w:t>Despite the protestations of the respondent ISPs</w:t>
      </w:r>
      <w:r w:rsidR="004F5038">
        <w:t>,</w:t>
      </w:r>
      <w:r>
        <w:t xml:space="preserve"> I do not see any real difficulties with the sums claimed in (a) and (d).  Certainly, there may be debates to be had in the future about them but, for the </w:t>
      </w:r>
      <w:proofErr w:type="gramStart"/>
      <w:r>
        <w:t>present,</w:t>
      </w:r>
      <w:proofErr w:type="gramEnd"/>
      <w:r>
        <w:t xml:space="preserve"> both claims are plausible on their face. </w:t>
      </w:r>
    </w:p>
    <w:p w:rsidR="00524170" w:rsidRDefault="00524170" w:rsidP="00025F57">
      <w:pPr>
        <w:pStyle w:val="ParaNumbering"/>
      </w:pPr>
      <w:r>
        <w:t xml:space="preserve">As to (a), maybe ultimately the rental price will turn out to be what most infringers would have paid if they had not </w:t>
      </w:r>
      <w:r w:rsidR="00FA4AF0">
        <w:t>downloaded</w:t>
      </w:r>
      <w:r w:rsidR="00025F57">
        <w:t xml:space="preserve"> the Film </w:t>
      </w:r>
      <w:r w:rsidR="00FA4AF0">
        <w:t>using</w:t>
      </w:r>
      <w:r w:rsidR="00025F57">
        <w:t xml:space="preserve"> </w:t>
      </w:r>
      <w:proofErr w:type="spellStart"/>
      <w:r>
        <w:t>BitTorrent</w:t>
      </w:r>
      <w:proofErr w:type="spellEnd"/>
      <w:r>
        <w:t xml:space="preserve">. </w:t>
      </w:r>
      <w:r w:rsidR="00235452">
        <w:t xml:space="preserve"> </w:t>
      </w:r>
      <w:r>
        <w:t xml:space="preserve">Maybe the evidence will ultimately show that some of the infringers were true pirates and, sailing under the Jolly Roger, would only ever have acquired a copy of the Film </w:t>
      </w:r>
      <w:r w:rsidR="00FA4AF0">
        <w:t>if they did not have to</w:t>
      </w:r>
      <w:r>
        <w:t xml:space="preserve"> pay for it. </w:t>
      </w:r>
      <w:r w:rsidR="00235452">
        <w:t xml:space="preserve"> </w:t>
      </w:r>
      <w:r>
        <w:t xml:space="preserve">Maybe some </w:t>
      </w:r>
      <w:r w:rsidR="00FA4AF0">
        <w:t>regard</w:t>
      </w:r>
      <w:r>
        <w:t xml:space="preserve"> will </w:t>
      </w:r>
      <w:r w:rsidR="00EB5225">
        <w:t>eventually</w:t>
      </w:r>
      <w:r>
        <w:t xml:space="preserve"> need to be taken </w:t>
      </w:r>
      <w:r w:rsidR="00025F57">
        <w:t>of</w:t>
      </w:r>
      <w:r>
        <w:t xml:space="preserve"> the difference between </w:t>
      </w:r>
      <w:r w:rsidR="00EB5225">
        <w:t xml:space="preserve">the </w:t>
      </w:r>
      <w:r>
        <w:t xml:space="preserve">prices charged by retail outlets and the size of the revenue streams flowing to </w:t>
      </w:r>
      <w:proofErr w:type="spellStart"/>
      <w:r>
        <w:t>DBC</w:t>
      </w:r>
      <w:proofErr w:type="spellEnd"/>
      <w:r>
        <w:t xml:space="preserve">. </w:t>
      </w:r>
      <w:r w:rsidR="00235452">
        <w:t xml:space="preserve"> </w:t>
      </w:r>
      <w:r>
        <w:t xml:space="preserve">But even taking account of all of those future possibilities, the idea that </w:t>
      </w:r>
      <w:proofErr w:type="spellStart"/>
      <w:r>
        <w:t>DBC’s</w:t>
      </w:r>
      <w:proofErr w:type="spellEnd"/>
      <w:r>
        <w:t xml:space="preserve"> damages should equal the value of what was taken </w:t>
      </w:r>
      <w:r w:rsidR="00EB5225">
        <w:t xml:space="preserve">from it </w:t>
      </w:r>
      <w:r>
        <w:t xml:space="preserve">without </w:t>
      </w:r>
      <w:r w:rsidR="00EB5225">
        <w:t xml:space="preserve">its </w:t>
      </w:r>
      <w:r>
        <w:t>permission is not</w:t>
      </w:r>
      <w:r w:rsidR="004F5038">
        <w:t>,</w:t>
      </w:r>
      <w:r>
        <w:t xml:space="preserve"> self-evidently</w:t>
      </w:r>
      <w:r w:rsidR="004F5038">
        <w:t>,</w:t>
      </w:r>
      <w:r>
        <w:t xml:space="preserve"> a ridiculous claim and, indeed, has a certain biblical charm. </w:t>
      </w:r>
      <w:r w:rsidR="00235452">
        <w:t xml:space="preserve"> </w:t>
      </w:r>
      <w:r>
        <w:t>Significantly, if such a demand were made in a</w:t>
      </w:r>
      <w:r w:rsidR="00025F57">
        <w:t>ctual proceedings</w:t>
      </w:r>
      <w:r>
        <w:t xml:space="preserve"> I do not think </w:t>
      </w:r>
      <w:r w:rsidR="00025F57">
        <w:t>th</w:t>
      </w:r>
      <w:r w:rsidR="00FA4AF0">
        <w:t>at those proceedings</w:t>
      </w:r>
      <w:r>
        <w:t xml:space="preserve"> would be summarily dismissed without a trial on the basis that </w:t>
      </w:r>
      <w:r w:rsidR="00EF3D29">
        <w:t>they were</w:t>
      </w:r>
      <w:r>
        <w:t xml:space="preserve"> hopeless.</w:t>
      </w:r>
    </w:p>
    <w:p w:rsidR="00524170" w:rsidRDefault="00524170" w:rsidP="00235452">
      <w:pPr>
        <w:pStyle w:val="ParaNumbering"/>
      </w:pPr>
      <w:r>
        <w:t>So too with (d).</w:t>
      </w:r>
      <w:r w:rsidR="00235452">
        <w:t xml:space="preserve"> </w:t>
      </w:r>
      <w:r>
        <w:t xml:space="preserve"> </w:t>
      </w:r>
      <w:proofErr w:type="spellStart"/>
      <w:r>
        <w:t>DBC</w:t>
      </w:r>
      <w:proofErr w:type="spellEnd"/>
      <w:r>
        <w:t xml:space="preserve"> has spent a lot of money </w:t>
      </w:r>
      <w:r w:rsidR="00EF3D29">
        <w:t>on</w:t>
      </w:r>
      <w:r>
        <w:t xml:space="preserve"> the technological exercise involved in identifying the IP addresses using Maverick</w:t>
      </w:r>
      <w:r w:rsidR="00FE154B">
        <w:t xml:space="preserve"> Monitor</w:t>
      </w:r>
      <w:r>
        <w:t xml:space="preserve"> and then quite a bit more in these proceedings on Mr Pike SC and his instructing solicitors. </w:t>
      </w:r>
      <w:r w:rsidR="00235452">
        <w:t xml:space="preserve"> </w:t>
      </w:r>
      <w:r>
        <w:t>Whilst the ISP</w:t>
      </w:r>
      <w:r w:rsidR="00EF3D29">
        <w:t>s</w:t>
      </w:r>
      <w:r>
        <w:t xml:space="preserve"> have been ordered to bear a good portion of those costs</w:t>
      </w:r>
      <w:r w:rsidR="00EF3D29">
        <w:t>,</w:t>
      </w:r>
      <w:r>
        <w:t xml:space="preserve"> </w:t>
      </w:r>
      <w:proofErr w:type="spellStart"/>
      <w:r>
        <w:t>DBC</w:t>
      </w:r>
      <w:proofErr w:type="spellEnd"/>
      <w:r>
        <w:t xml:space="preserve"> is nevertheless still going to be left out of pocket because the cost order was limited to 75% and because the costs indemnity, in any event, is never full. </w:t>
      </w:r>
      <w:r w:rsidR="00235452">
        <w:t xml:space="preserve"> </w:t>
      </w:r>
      <w:r>
        <w:t>That shortfall</w:t>
      </w:r>
      <w:r w:rsidR="00EF3D29">
        <w:t>, which is an actual expense in its books</w:t>
      </w:r>
      <w:r w:rsidR="00EB5225">
        <w:t>,</w:t>
      </w:r>
      <w:r>
        <w:t xml:space="preserve"> would never have been suffered by </w:t>
      </w:r>
      <w:proofErr w:type="spellStart"/>
      <w:r>
        <w:t>DBC</w:t>
      </w:r>
      <w:proofErr w:type="spellEnd"/>
      <w:r>
        <w:t xml:space="preserve"> but for the infringing activity and it seems to me be to be squarely within the kind of consequential loss which can be recovered on ordinary principles. </w:t>
      </w:r>
      <w:r w:rsidR="00235452">
        <w:t xml:space="preserve"> </w:t>
      </w:r>
      <w:r w:rsidR="00FE154B">
        <w:t>Although this sum is</w:t>
      </w:r>
      <w:r>
        <w:t xml:space="preserve"> likely to be quite large in absolute terms it becomes much less significant</w:t>
      </w:r>
      <w:r w:rsidR="00FE154B">
        <w:t xml:space="preserve"> when</w:t>
      </w:r>
      <w:r>
        <w:t xml:space="preserve"> distributed over a large number of infringers.</w:t>
      </w:r>
    </w:p>
    <w:p w:rsidR="00524170" w:rsidRDefault="00524170" w:rsidP="00235452">
      <w:pPr>
        <w:pStyle w:val="ParaNumbering"/>
      </w:pPr>
      <w:r>
        <w:lastRenderedPageBreak/>
        <w:t xml:space="preserve">If matters had rested there I would have given </w:t>
      </w:r>
      <w:proofErr w:type="spellStart"/>
      <w:r>
        <w:t>DBC</w:t>
      </w:r>
      <w:proofErr w:type="spellEnd"/>
      <w:r>
        <w:t xml:space="preserve"> access to the </w:t>
      </w:r>
      <w:r w:rsidR="004F5038">
        <w:t>account holder</w:t>
      </w:r>
      <w:r>
        <w:t xml:space="preserve"> information by lifting the stay. </w:t>
      </w:r>
      <w:r w:rsidR="00235452">
        <w:t xml:space="preserve"> </w:t>
      </w:r>
      <w:r>
        <w:t xml:space="preserve">However, I do not think that claims (b) and (c) are within the purposes for which the power in </w:t>
      </w:r>
      <w:r w:rsidR="00FE154B">
        <w:t>r</w:t>
      </w:r>
      <w:r>
        <w:t xml:space="preserve"> 7.22 can be used</w:t>
      </w:r>
      <w:r w:rsidR="00FE154B">
        <w:t>.</w:t>
      </w:r>
    </w:p>
    <w:p w:rsidR="00EF3D29" w:rsidRDefault="00EF3D29" w:rsidP="00EF3D29">
      <w:pPr>
        <w:pStyle w:val="Heading2"/>
      </w:pPr>
      <w:r>
        <w:t xml:space="preserve">5. </w:t>
      </w:r>
      <w:r w:rsidR="00886405">
        <w:t xml:space="preserve"> </w:t>
      </w:r>
      <w:r>
        <w:t xml:space="preserve">  Impermissible Demands</w:t>
      </w:r>
    </w:p>
    <w:p w:rsidR="00524170" w:rsidRDefault="00EB5225" w:rsidP="00235452">
      <w:pPr>
        <w:pStyle w:val="ParaNumbering"/>
      </w:pPr>
      <w:r>
        <w:t xml:space="preserve">For the reasons given in </w:t>
      </w:r>
      <w:proofErr w:type="spellStart"/>
      <w:r>
        <w:rPr>
          <w:i/>
        </w:rPr>
        <w:t>DBC</w:t>
      </w:r>
      <w:proofErr w:type="spellEnd"/>
      <w:r>
        <w:rPr>
          <w:i/>
        </w:rPr>
        <w:t xml:space="preserve"> v </w:t>
      </w:r>
      <w:proofErr w:type="spellStart"/>
      <w:r>
        <w:rPr>
          <w:i/>
        </w:rPr>
        <w:t>iiNet</w:t>
      </w:r>
      <w:proofErr w:type="spellEnd"/>
      <w:r w:rsidR="00FE154B">
        <w:t xml:space="preserve">, </w:t>
      </w:r>
      <w:r>
        <w:t>t</w:t>
      </w:r>
      <w:r w:rsidR="00524170">
        <w:t xml:space="preserve">here is no doubt that by sharing the Film online over </w:t>
      </w:r>
      <w:proofErr w:type="spellStart"/>
      <w:r w:rsidR="00524170">
        <w:t>BitTorrent</w:t>
      </w:r>
      <w:proofErr w:type="spellEnd"/>
      <w:r w:rsidR="00524170">
        <w:t xml:space="preserve"> each person doing so infringed </w:t>
      </w:r>
      <w:proofErr w:type="spellStart"/>
      <w:r w:rsidR="00524170">
        <w:t>DBC’s</w:t>
      </w:r>
      <w:proofErr w:type="spellEnd"/>
      <w:r w:rsidR="00524170">
        <w:t xml:space="preserve"> copyright. </w:t>
      </w:r>
      <w:r w:rsidR="00235452">
        <w:t xml:space="preserve"> </w:t>
      </w:r>
      <w:r w:rsidR="00524170">
        <w:t xml:space="preserve">Further, it seems to me that each act of sharing with a different user probably constituted a separate act of infringement. </w:t>
      </w:r>
      <w:r w:rsidR="00235452">
        <w:t xml:space="preserve"> </w:t>
      </w:r>
      <w:r w:rsidR="00524170">
        <w:t xml:space="preserve">This has the consequence that the way </w:t>
      </w:r>
      <w:proofErr w:type="spellStart"/>
      <w:r w:rsidR="00524170">
        <w:t>BitTorrent</w:t>
      </w:r>
      <w:proofErr w:type="spellEnd"/>
      <w:r w:rsidR="00524170">
        <w:t xml:space="preserve"> interacts with s 115 is likely to mean that very many more infringements</w:t>
      </w:r>
      <w:r>
        <w:t xml:space="preserve"> m</w:t>
      </w:r>
      <w:r w:rsidR="00FA4AF0">
        <w:t>a</w:t>
      </w:r>
      <w:r>
        <w:t>y</w:t>
      </w:r>
      <w:r w:rsidR="00524170">
        <w:t xml:space="preserve"> occur than ultimately copies are made. </w:t>
      </w:r>
      <w:r w:rsidR="00235452">
        <w:t xml:space="preserve"> </w:t>
      </w:r>
      <w:r w:rsidR="00524170">
        <w:t>To take a</w:t>
      </w:r>
      <w:r w:rsidR="00EF3D29">
        <w:t xml:space="preserve"> wholly</w:t>
      </w:r>
      <w:r w:rsidR="00524170">
        <w:t xml:space="preserve"> unrealistic but usefully illustrative example, if 2 people each with an original version of the Film (i.e. one</w:t>
      </w:r>
      <w:r w:rsidR="00FE154B">
        <w:t>s which were</w:t>
      </w:r>
      <w:r w:rsidR="00524170">
        <w:t xml:space="preserve"> not obtained using </w:t>
      </w:r>
      <w:proofErr w:type="spellStart"/>
      <w:r w:rsidR="00524170">
        <w:t>BitTorrent</w:t>
      </w:r>
      <w:proofErr w:type="spellEnd"/>
      <w:r w:rsidR="00524170">
        <w:t>) both share it with one other person</w:t>
      </w:r>
      <w:r w:rsidR="00EF3D29">
        <w:t xml:space="preserve"> over the </w:t>
      </w:r>
      <w:proofErr w:type="spellStart"/>
      <w:r w:rsidR="00EF3D29">
        <w:t>BitTorrent</w:t>
      </w:r>
      <w:proofErr w:type="spellEnd"/>
      <w:r w:rsidR="00EF3D29">
        <w:t xml:space="preserve"> network</w:t>
      </w:r>
      <w:r w:rsidR="00524170">
        <w:t xml:space="preserve">, the recipients both infringe once each by downloading and the uploaders also infringe once each by sharing. </w:t>
      </w:r>
      <w:r w:rsidR="00235452">
        <w:t xml:space="preserve"> </w:t>
      </w:r>
      <w:r w:rsidR="00524170">
        <w:t xml:space="preserve">The result is two copies and four infringements.  If one person with an original version shares with 1,000 people there are at least 2,000 infringements. </w:t>
      </w:r>
      <w:r w:rsidR="007A0E0A">
        <w:t xml:space="preserve"> </w:t>
      </w:r>
      <w:r w:rsidR="00524170">
        <w:t xml:space="preserve">In practice, because what </w:t>
      </w:r>
      <w:proofErr w:type="gramStart"/>
      <w:r w:rsidR="00524170">
        <w:t>is</w:t>
      </w:r>
      <w:proofErr w:type="gramEnd"/>
      <w:r w:rsidR="00524170">
        <w:t xml:space="preserve"> shared are </w:t>
      </w:r>
      <w:r w:rsidR="00EF3D29">
        <w:t>slivers</w:t>
      </w:r>
      <w:r w:rsidR="00524170">
        <w:t xml:space="preserve"> of films rather than whole films the result is likely to be that an astronomical number of infringements occur. </w:t>
      </w:r>
      <w:r w:rsidR="007A0E0A">
        <w:t xml:space="preserve"> </w:t>
      </w:r>
      <w:r w:rsidR="00524170">
        <w:t>Ultimately, it is safe</w:t>
      </w:r>
      <w:r w:rsidR="00FA4AF0">
        <w:t>,</w:t>
      </w:r>
      <w:r w:rsidR="00524170">
        <w:t xml:space="preserve"> I think</w:t>
      </w:r>
      <w:r w:rsidR="00FA4AF0">
        <w:t>,</w:t>
      </w:r>
      <w:r w:rsidR="00524170">
        <w:t xml:space="preserve"> to assume that any Court looking at this process is likely to focus in relation to damages on what comes out at the end (i.e. whole copies of films) rather than on the numerical impact of the slivers shared over the network.</w:t>
      </w:r>
    </w:p>
    <w:p w:rsidR="00EF3D29" w:rsidRDefault="00524170" w:rsidP="007A0E0A">
      <w:pPr>
        <w:pStyle w:val="ParaNumbering"/>
      </w:pPr>
      <w:r w:rsidRPr="002E0F63">
        <w:t xml:space="preserve">But those issues are not the problem which arises here. </w:t>
      </w:r>
      <w:r w:rsidR="007A0E0A" w:rsidRPr="002E0F63">
        <w:t xml:space="preserve"> </w:t>
      </w:r>
      <w:r w:rsidR="004F5038">
        <w:t>That</w:t>
      </w:r>
      <w:r w:rsidRPr="002E0F63">
        <w:t xml:space="preserve"> problem is </w:t>
      </w:r>
      <w:proofErr w:type="spellStart"/>
      <w:r w:rsidRPr="002E0F63">
        <w:t>DBC’s</w:t>
      </w:r>
      <w:proofErr w:type="spellEnd"/>
      <w:r w:rsidRPr="002E0F63">
        <w:t xml:space="preserve"> claim to </w:t>
      </w:r>
      <w:r w:rsidR="004F5038">
        <w:t xml:space="preserve">an entitlement to damages which correspond to the licence fee each uploader would need to have paid </w:t>
      </w:r>
      <w:proofErr w:type="spellStart"/>
      <w:r w:rsidR="004F5038">
        <w:t>DBC</w:t>
      </w:r>
      <w:proofErr w:type="spellEnd"/>
      <w:r w:rsidR="004F5038">
        <w:t xml:space="preserve"> in order for it to have authorised their sharing of the Film via </w:t>
      </w:r>
      <w:proofErr w:type="spellStart"/>
      <w:r w:rsidR="004F5038">
        <w:t>BitTorrent</w:t>
      </w:r>
      <w:proofErr w:type="spellEnd"/>
      <w:r w:rsidRPr="002E0F63">
        <w:t>.</w:t>
      </w:r>
      <w:r w:rsidR="007A0E0A" w:rsidRPr="002E0F63">
        <w:t xml:space="preserve"> </w:t>
      </w:r>
      <w:r w:rsidR="00EF3D29">
        <w:t xml:space="preserve"> </w:t>
      </w:r>
      <w:r w:rsidR="00FA4AF0">
        <w:t>But th</w:t>
      </w:r>
      <w:r w:rsidR="00A94684">
        <w:t>at</w:t>
      </w:r>
      <w:r w:rsidR="00FA4AF0">
        <w:t xml:space="preserve"> debate</w:t>
      </w:r>
      <w:r w:rsidR="00EF3D29">
        <w:t xml:space="preserve"> arises from the counterfactual inquiry that the calculation of </w:t>
      </w:r>
      <w:r w:rsidR="00FA4AF0">
        <w:t>damages often throws up.  Here the Court would seek</w:t>
      </w:r>
      <w:r w:rsidR="00EF3D29">
        <w:t xml:space="preserve"> to put </w:t>
      </w:r>
      <w:proofErr w:type="spellStart"/>
      <w:r w:rsidR="00EF3D29">
        <w:t>DBC</w:t>
      </w:r>
      <w:proofErr w:type="spellEnd"/>
      <w:r w:rsidR="00EF3D29">
        <w:t xml:space="preserve"> back in the posit</w:t>
      </w:r>
      <w:r w:rsidR="00FA4AF0">
        <w:t>i</w:t>
      </w:r>
      <w:r w:rsidR="00EF3D29">
        <w:t>on it would have been</w:t>
      </w:r>
      <w:r w:rsidR="00FE154B">
        <w:t xml:space="preserve"> in</w:t>
      </w:r>
      <w:r w:rsidR="00EF3D29">
        <w:t xml:space="preserve"> if the infringements had never </w:t>
      </w:r>
      <w:r w:rsidR="00A94684">
        <w:t>occurred</w:t>
      </w:r>
      <w:r w:rsidR="00EF3D29">
        <w:t xml:space="preserve">.  But there are many different ways </w:t>
      </w:r>
      <w:r w:rsidR="00A94684">
        <w:t>in which the infringements might not have</w:t>
      </w:r>
      <w:r w:rsidR="00EF3D29">
        <w:t xml:space="preserve"> occurred.  One </w:t>
      </w:r>
      <w:r w:rsidR="00EB5225">
        <w:t>counterfactual</w:t>
      </w:r>
      <w:r w:rsidR="00EF3D29">
        <w:t xml:space="preserve"> is that</w:t>
      </w:r>
      <w:r w:rsidR="00FE154B">
        <w:t xml:space="preserve"> the</w:t>
      </w:r>
      <w:r w:rsidR="00EF3D29">
        <w:t xml:space="preserve"> </w:t>
      </w:r>
      <w:r w:rsidR="00FA4AF0">
        <w:t>infringer</w:t>
      </w:r>
      <w:r w:rsidR="00EF3D29">
        <w:t xml:space="preserve"> might not have used </w:t>
      </w:r>
      <w:proofErr w:type="spellStart"/>
      <w:r w:rsidR="00EF3D29">
        <w:t>BitTorrent</w:t>
      </w:r>
      <w:proofErr w:type="spellEnd"/>
      <w:r w:rsidR="00EF3D29">
        <w:t xml:space="preserve"> </w:t>
      </w:r>
      <w:r w:rsidR="00A94684">
        <w:t xml:space="preserve">at all </w:t>
      </w:r>
      <w:r w:rsidR="00EF3D29">
        <w:t xml:space="preserve">but instead </w:t>
      </w:r>
      <w:r w:rsidR="00FE154B">
        <w:t>rent</w:t>
      </w:r>
      <w:r w:rsidR="00EF3D29">
        <w:t xml:space="preserve">ed the </w:t>
      </w:r>
      <w:r w:rsidR="00A94684">
        <w:t>F</w:t>
      </w:r>
      <w:r w:rsidR="00EF3D29">
        <w:t>ilm legitimately</w:t>
      </w:r>
      <w:r w:rsidR="00EB5225">
        <w:t xml:space="preserve"> from another source</w:t>
      </w:r>
      <w:r w:rsidR="00EF3D29">
        <w:t>.  Another is that the</w:t>
      </w:r>
      <w:r w:rsidR="00EB5225">
        <w:t xml:space="preserve"> infringer might </w:t>
      </w:r>
      <w:r w:rsidR="00EF3D29">
        <w:t xml:space="preserve">have foregone </w:t>
      </w:r>
      <w:r w:rsidR="00EB5225">
        <w:t xml:space="preserve">watching the </w:t>
      </w:r>
      <w:r w:rsidR="00A94684">
        <w:t>F</w:t>
      </w:r>
      <w:r w:rsidR="00EB5225">
        <w:t>ilm</w:t>
      </w:r>
      <w:r w:rsidR="00EF3D29">
        <w:t xml:space="preserve"> al</w:t>
      </w:r>
      <w:r w:rsidR="00A94684">
        <w:t>together</w:t>
      </w:r>
      <w:r w:rsidR="00EF3D29">
        <w:t>.  Yet another is that the</w:t>
      </w:r>
      <w:r w:rsidR="00EB5225">
        <w:t xml:space="preserve"> infringer</w:t>
      </w:r>
      <w:r w:rsidR="00EF3D29">
        <w:t xml:space="preserve"> might have seen </w:t>
      </w:r>
      <w:r w:rsidR="00656632">
        <w:t xml:space="preserve">the </w:t>
      </w:r>
      <w:r w:rsidR="00A94684">
        <w:t>F</w:t>
      </w:r>
      <w:r w:rsidR="00656632">
        <w:t>ilm</w:t>
      </w:r>
      <w:r w:rsidR="00EF3D29">
        <w:t xml:space="preserve"> at the cinema.  </w:t>
      </w:r>
      <w:proofErr w:type="spellStart"/>
      <w:r w:rsidR="00EF3D29">
        <w:t>DBC’s</w:t>
      </w:r>
      <w:proofErr w:type="spellEnd"/>
      <w:r w:rsidR="00EF3D29">
        <w:t xml:space="preserve"> </w:t>
      </w:r>
      <w:r w:rsidR="00FA4AF0">
        <w:t xml:space="preserve">particular </w:t>
      </w:r>
      <w:r w:rsidR="00EF3D29">
        <w:t xml:space="preserve">version of </w:t>
      </w:r>
      <w:r w:rsidR="00543397">
        <w:t xml:space="preserve">the counterfactual </w:t>
      </w:r>
      <w:r w:rsidR="00EF3D29">
        <w:t xml:space="preserve">is that the </w:t>
      </w:r>
      <w:r w:rsidR="00656632">
        <w:t>inf</w:t>
      </w:r>
      <w:r w:rsidR="00543397">
        <w:t>r</w:t>
      </w:r>
      <w:r w:rsidR="00656632">
        <w:t>inger</w:t>
      </w:r>
      <w:r w:rsidR="00EF3D29">
        <w:t xml:space="preserve"> would still have shared the Film o</w:t>
      </w:r>
      <w:r w:rsidR="00656632">
        <w:t>ver</w:t>
      </w:r>
      <w:r w:rsidR="00EF3D29">
        <w:t xml:space="preserve"> </w:t>
      </w:r>
      <w:proofErr w:type="spellStart"/>
      <w:r w:rsidR="00EF3D29">
        <w:t>BitTorrent</w:t>
      </w:r>
      <w:proofErr w:type="spellEnd"/>
      <w:r w:rsidR="00EF3D29">
        <w:t xml:space="preserve"> but would have sought </w:t>
      </w:r>
      <w:proofErr w:type="spellStart"/>
      <w:r w:rsidR="00EF3D29">
        <w:t>DBC’s</w:t>
      </w:r>
      <w:proofErr w:type="spellEnd"/>
      <w:r w:rsidR="00EF3D29">
        <w:t xml:space="preserve"> permission to do so first and paid the </w:t>
      </w:r>
      <w:r w:rsidR="00320376">
        <w:t>appropriate licence f</w:t>
      </w:r>
      <w:r w:rsidR="00EF3D29">
        <w:t xml:space="preserve">ee that </w:t>
      </w:r>
      <w:proofErr w:type="spellStart"/>
      <w:r w:rsidR="00EF3D29">
        <w:t>DBC</w:t>
      </w:r>
      <w:proofErr w:type="spellEnd"/>
      <w:r w:rsidR="00EF3D29">
        <w:t xml:space="preserve"> </w:t>
      </w:r>
      <w:r w:rsidR="00EF3D29">
        <w:lastRenderedPageBreak/>
        <w:t>would</w:t>
      </w:r>
      <w:r w:rsidR="00FA4AF0">
        <w:t xml:space="preserve"> then</w:t>
      </w:r>
      <w:r w:rsidR="00EF3D29">
        <w:t xml:space="preserve"> have </w:t>
      </w:r>
      <w:r w:rsidR="00656632">
        <w:t>demanded</w:t>
      </w:r>
      <w:r w:rsidR="00EF3D29">
        <w:t xml:space="preserve">.  All of these </w:t>
      </w:r>
      <w:r w:rsidR="00FA4AF0">
        <w:t xml:space="preserve">differing </w:t>
      </w:r>
      <w:r w:rsidR="00656632">
        <w:t xml:space="preserve">scenarios </w:t>
      </w:r>
      <w:r w:rsidR="00EF3D29">
        <w:t xml:space="preserve">are theoretically available ways of calculating </w:t>
      </w:r>
      <w:proofErr w:type="spellStart"/>
      <w:r w:rsidR="00EF3D29">
        <w:t>DBC’s</w:t>
      </w:r>
      <w:proofErr w:type="spellEnd"/>
      <w:r w:rsidR="00EF3D29">
        <w:t xml:space="preserve"> damages.</w:t>
      </w:r>
    </w:p>
    <w:p w:rsidR="00524170" w:rsidRPr="002E0F63" w:rsidRDefault="00656632" w:rsidP="007A0E0A">
      <w:pPr>
        <w:pStyle w:val="ParaNumbering"/>
      </w:pPr>
      <w:r>
        <w:t xml:space="preserve">Which of them is to be chosen is a question of fact.  And this </w:t>
      </w:r>
      <w:r w:rsidR="004F5038">
        <w:t>remains</w:t>
      </w:r>
      <w:r>
        <w:t xml:space="preserve"> true when it is alleged that the foregone licence fee approach is to be applied.  </w:t>
      </w:r>
      <w:r w:rsidR="00524170" w:rsidRPr="002E0F63">
        <w:t xml:space="preserve">In </w:t>
      </w:r>
      <w:r>
        <w:rPr>
          <w:i/>
        </w:rPr>
        <w:t xml:space="preserve">Autodesk Australia Pty Ltd v Cheung </w:t>
      </w:r>
      <w:r>
        <w:t xml:space="preserve">(1990) 94 </w:t>
      </w:r>
      <w:proofErr w:type="spellStart"/>
      <w:r>
        <w:t>ALR</w:t>
      </w:r>
      <w:proofErr w:type="spellEnd"/>
      <w:r>
        <w:t xml:space="preserve"> 472</w:t>
      </w:r>
      <w:r w:rsidR="00FE154B">
        <w:t xml:space="preserve"> </w:t>
      </w:r>
      <w:r>
        <w:t>Wilcox J</w:t>
      </w:r>
      <w:r w:rsidR="00524170" w:rsidRPr="002E0F63">
        <w:t xml:space="preserve"> declined to award damages on this basis because the evidence did not support the idea </w:t>
      </w:r>
      <w:r>
        <w:t>in that case t</w:t>
      </w:r>
      <w:r w:rsidR="00524170" w:rsidRPr="002E0F63">
        <w:t xml:space="preserve">hat the infringer would have sought the suggested licence </w:t>
      </w:r>
      <w:r>
        <w:t xml:space="preserve">to avoid </w:t>
      </w:r>
      <w:r w:rsidR="00524170" w:rsidRPr="002E0F63">
        <w:t xml:space="preserve">the infringement. </w:t>
      </w:r>
      <w:r w:rsidR="007A0E0A" w:rsidRPr="002E0F63">
        <w:t xml:space="preserve"> </w:t>
      </w:r>
      <w:r w:rsidR="00524170" w:rsidRPr="002E0F63">
        <w:t xml:space="preserve">In </w:t>
      </w:r>
      <w:r w:rsidR="00524170" w:rsidRPr="00656632">
        <w:rPr>
          <w:i/>
        </w:rPr>
        <w:t>Halal</w:t>
      </w:r>
      <w:r>
        <w:t xml:space="preserve"> </w:t>
      </w:r>
      <w:r w:rsidR="00FE154B" w:rsidRPr="00FE154B">
        <w:rPr>
          <w:i/>
        </w:rPr>
        <w:t>Certification Authority Pty Ltd</w:t>
      </w:r>
      <w:r w:rsidR="00FE154B">
        <w:t xml:space="preserve"> </w:t>
      </w:r>
      <w:r w:rsidRPr="00656632">
        <w:rPr>
          <w:i/>
        </w:rPr>
        <w:t xml:space="preserve">v </w:t>
      </w:r>
      <w:proofErr w:type="spellStart"/>
      <w:r w:rsidRPr="00656632">
        <w:rPr>
          <w:i/>
        </w:rPr>
        <w:t>Scadilone</w:t>
      </w:r>
      <w:proofErr w:type="spellEnd"/>
      <w:r w:rsidRPr="00656632">
        <w:rPr>
          <w:i/>
        </w:rPr>
        <w:t xml:space="preserve"> </w:t>
      </w:r>
      <w:r w:rsidR="00FE154B">
        <w:rPr>
          <w:i/>
        </w:rPr>
        <w:t xml:space="preserve">Pty Ltd </w:t>
      </w:r>
      <w:r>
        <w:t xml:space="preserve">(2014) 107 </w:t>
      </w:r>
      <w:proofErr w:type="spellStart"/>
      <w:r>
        <w:t>IPR</w:t>
      </w:r>
      <w:proofErr w:type="spellEnd"/>
      <w:r>
        <w:t xml:space="preserve"> 23,</w:t>
      </w:r>
      <w:r w:rsidR="00524170" w:rsidRPr="002E0F63">
        <w:t xml:space="preserve"> admittedly a trade mark case, the Court declined to award damages on a foregone licence basis because it w</w:t>
      </w:r>
      <w:r>
        <w:t>as satisfied that the</w:t>
      </w:r>
      <w:r w:rsidR="00B33FF0">
        <w:t xml:space="preserve"> relevant</w:t>
      </w:r>
      <w:r>
        <w:t xml:space="preserve"> infringer</w:t>
      </w:r>
      <w:r w:rsidR="00524170" w:rsidRPr="002E0F63">
        <w:t xml:space="preserve">, if </w:t>
      </w:r>
      <w:r w:rsidR="00B33FF0">
        <w:t>it</w:t>
      </w:r>
      <w:r w:rsidR="00524170" w:rsidRPr="002E0F63">
        <w:t xml:space="preserve"> had not </w:t>
      </w:r>
      <w:r>
        <w:t>forged</w:t>
      </w:r>
      <w:r w:rsidR="00524170" w:rsidRPr="002E0F63">
        <w:t xml:space="preserve"> the applicant’s halal certificate to </w:t>
      </w:r>
      <w:r>
        <w:t>certify</w:t>
      </w:r>
      <w:r w:rsidR="00EF3D29">
        <w:t xml:space="preserve"> the </w:t>
      </w:r>
      <w:r w:rsidR="00524170" w:rsidRPr="002E0F63">
        <w:t xml:space="preserve">kebabs </w:t>
      </w:r>
      <w:r w:rsidR="00B33FF0">
        <w:t>it</w:t>
      </w:r>
      <w:r w:rsidR="00EF3D29">
        <w:t xml:space="preserve"> supplied </w:t>
      </w:r>
      <w:r w:rsidR="00524170" w:rsidRPr="002E0F63">
        <w:t xml:space="preserve">to </w:t>
      </w:r>
      <w:r>
        <w:t xml:space="preserve">various </w:t>
      </w:r>
      <w:r w:rsidR="00524170" w:rsidRPr="002E0F63">
        <w:t>kebab shops</w:t>
      </w:r>
      <w:r w:rsidR="00543397">
        <w:t xml:space="preserve"> as halal</w:t>
      </w:r>
      <w:r w:rsidR="00524170" w:rsidRPr="002E0F63">
        <w:t xml:space="preserve">, would </w:t>
      </w:r>
      <w:r w:rsidR="007A0E0A" w:rsidRPr="002E0F63">
        <w:t xml:space="preserve">have </w:t>
      </w:r>
      <w:r>
        <w:t>forged</w:t>
      </w:r>
      <w:r w:rsidR="00524170" w:rsidRPr="002E0F63">
        <w:t xml:space="preserve"> someone else’s </w:t>
      </w:r>
      <w:r w:rsidR="00B33FF0">
        <w:t xml:space="preserve">in order </w:t>
      </w:r>
      <w:r w:rsidR="00524170" w:rsidRPr="002E0F63">
        <w:t>to do the same thing.</w:t>
      </w:r>
      <w:r w:rsidR="00EF3D29">
        <w:t xml:space="preserve">  </w:t>
      </w:r>
      <w:r w:rsidR="00FA4AF0">
        <w:t xml:space="preserve">The </w:t>
      </w:r>
      <w:r w:rsidR="004F5038">
        <w:t>licence counterfactual</w:t>
      </w:r>
      <w:r w:rsidR="00FA4AF0">
        <w:t xml:space="preserve"> was inapplicable because </w:t>
      </w:r>
      <w:r w:rsidR="00543397">
        <w:t>t</w:t>
      </w:r>
      <w:r w:rsidR="00FA4AF0">
        <w:t>h</w:t>
      </w:r>
      <w:r w:rsidR="00EF3D29">
        <w:t xml:space="preserve">e </w:t>
      </w:r>
      <w:r w:rsidR="00543397">
        <w:t xml:space="preserve">infringer </w:t>
      </w:r>
      <w:r w:rsidR="00EF3D29">
        <w:t>would never have sought a licence from the applicants</w:t>
      </w:r>
      <w:r w:rsidR="00FA4AF0">
        <w:t xml:space="preserve"> at all</w:t>
      </w:r>
      <w:r w:rsidR="00EF3D29">
        <w:t>.</w:t>
      </w:r>
    </w:p>
    <w:p w:rsidR="00524170" w:rsidRDefault="00524170" w:rsidP="007A0E0A">
      <w:pPr>
        <w:pStyle w:val="ParaNumbering"/>
      </w:pPr>
      <w:r>
        <w:t xml:space="preserve">In this case, the idea that any court would assess </w:t>
      </w:r>
      <w:proofErr w:type="spellStart"/>
      <w:r>
        <w:t>DBC’s</w:t>
      </w:r>
      <w:proofErr w:type="spellEnd"/>
      <w:r>
        <w:t xml:space="preserve"> damages on the basis that </w:t>
      </w:r>
      <w:proofErr w:type="spellStart"/>
      <w:r>
        <w:t>BitTorrent</w:t>
      </w:r>
      <w:proofErr w:type="spellEnd"/>
      <w:r>
        <w:t xml:space="preserve"> users who were going to share the Film over the </w:t>
      </w:r>
      <w:proofErr w:type="spellStart"/>
      <w:r w:rsidR="00656632">
        <w:t>BitTorrent</w:t>
      </w:r>
      <w:proofErr w:type="spellEnd"/>
      <w:r w:rsidR="00656632">
        <w:t xml:space="preserve"> </w:t>
      </w:r>
      <w:r>
        <w:t xml:space="preserve">network would </w:t>
      </w:r>
      <w:r w:rsidR="00656632">
        <w:t xml:space="preserve">have avoided infringement by </w:t>
      </w:r>
      <w:r w:rsidR="00FA4AF0">
        <w:t>a</w:t>
      </w:r>
      <w:r>
        <w:t>pproach</w:t>
      </w:r>
      <w:r w:rsidR="00FA4AF0">
        <w:t>ing</w:t>
      </w:r>
      <w:r>
        <w:t xml:space="preserve"> </w:t>
      </w:r>
      <w:proofErr w:type="spellStart"/>
      <w:r>
        <w:t>DBC</w:t>
      </w:r>
      <w:proofErr w:type="spellEnd"/>
      <w:r>
        <w:t xml:space="preserve"> to negotiate a </w:t>
      </w:r>
      <w:r w:rsidR="00656632">
        <w:t xml:space="preserve">distribution </w:t>
      </w:r>
      <w:r w:rsidR="00FA4AF0">
        <w:t>arrangement in return</w:t>
      </w:r>
      <w:r w:rsidR="00656632">
        <w:t xml:space="preserve"> for a </w:t>
      </w:r>
      <w:r w:rsidR="00FA4AF0">
        <w:t xml:space="preserve">licence </w:t>
      </w:r>
      <w:r>
        <w:t>fee is so surreal as not to be taken seriously.  If such a claim were made in a proceeding for copyright infringement in this Court I am satisfied that it would be dismissed summarily</w:t>
      </w:r>
      <w:r w:rsidR="00B33FF0">
        <w:t xml:space="preserve"> without trial under s </w:t>
      </w:r>
      <w:proofErr w:type="spellStart"/>
      <w:proofErr w:type="gramStart"/>
      <w:r w:rsidR="00B33FF0">
        <w:t>31A</w:t>
      </w:r>
      <w:proofErr w:type="spellEnd"/>
      <w:r w:rsidR="00B33FF0">
        <w:t>(</w:t>
      </w:r>
      <w:proofErr w:type="gramEnd"/>
      <w:r w:rsidR="00B33FF0">
        <w:t>2)</w:t>
      </w:r>
      <w:r>
        <w:t xml:space="preserve"> of the </w:t>
      </w:r>
      <w:r w:rsidRPr="007A0E0A">
        <w:rPr>
          <w:i/>
        </w:rPr>
        <w:t>Federal Court of Australia Act 1976</w:t>
      </w:r>
      <w:r>
        <w:t xml:space="preserve"> (</w:t>
      </w:r>
      <w:proofErr w:type="spellStart"/>
      <w:r>
        <w:t>Cth</w:t>
      </w:r>
      <w:proofErr w:type="spellEnd"/>
      <w:r>
        <w:t>) as a case having no reasonable prospects of success.</w:t>
      </w:r>
    </w:p>
    <w:p w:rsidR="00524170" w:rsidRDefault="00524170" w:rsidP="007A0E0A">
      <w:pPr>
        <w:pStyle w:val="ParaNumbering"/>
      </w:pPr>
      <w:r>
        <w:t xml:space="preserve">In relation to the foreshadowed claims for additional (or punitive) damages under s 115(4) </w:t>
      </w:r>
      <w:r w:rsidR="00EF3D29">
        <w:t xml:space="preserve">a similar </w:t>
      </w:r>
      <w:r>
        <w:t xml:space="preserve">problem </w:t>
      </w:r>
      <w:r w:rsidR="00886405">
        <w:t xml:space="preserve">arises.   </w:t>
      </w:r>
      <w:proofErr w:type="spellStart"/>
      <w:r w:rsidR="00886405">
        <w:t>DBC</w:t>
      </w:r>
      <w:proofErr w:type="spellEnd"/>
      <w:r w:rsidR="00886405">
        <w:t xml:space="preserve"> seeks </w:t>
      </w:r>
      <w:r>
        <w:t xml:space="preserve">to have those damages assessed by reference to how many copies of </w:t>
      </w:r>
      <w:r w:rsidRPr="00886405">
        <w:rPr>
          <w:i/>
        </w:rPr>
        <w:t>other</w:t>
      </w:r>
      <w:r>
        <w:t xml:space="preserve"> films </w:t>
      </w:r>
      <w:r w:rsidR="00886405">
        <w:t>each</w:t>
      </w:r>
      <w:r>
        <w:t xml:space="preserve"> infringer downloaded</w:t>
      </w:r>
      <w:r w:rsidR="00886405">
        <w:t xml:space="preserve"> using </w:t>
      </w:r>
      <w:proofErr w:type="spellStart"/>
      <w:r w:rsidR="00886405">
        <w:t>BitTorrent</w:t>
      </w:r>
      <w:proofErr w:type="spellEnd"/>
      <w:r>
        <w:t xml:space="preserve">.  </w:t>
      </w:r>
      <w:r w:rsidR="00886405">
        <w:t xml:space="preserve">The more that the downloader had downloaded the higher the additional damagers </w:t>
      </w:r>
      <w:r w:rsidR="00FA4AF0">
        <w:t>would</w:t>
      </w:r>
      <w:r w:rsidR="00886405">
        <w:t xml:space="preserve"> rise.  </w:t>
      </w:r>
      <w:r>
        <w:t>The text of s</w:t>
      </w:r>
      <w:r w:rsidR="007A0E0A">
        <w:t> </w:t>
      </w:r>
      <w:r>
        <w:t>115(4) is:</w:t>
      </w:r>
    </w:p>
    <w:p w:rsidR="007A0E0A" w:rsidRDefault="007A0E0A" w:rsidP="007A0E0A">
      <w:pPr>
        <w:pStyle w:val="Quote1"/>
      </w:pPr>
      <w:proofErr w:type="gramStart"/>
      <w:r>
        <w:t>‘</w:t>
      </w:r>
      <w:r w:rsidRPr="00B33FF0">
        <w:rPr>
          <w:b/>
        </w:rPr>
        <w:t>115  Actions</w:t>
      </w:r>
      <w:proofErr w:type="gramEnd"/>
      <w:r w:rsidRPr="00B33FF0">
        <w:rPr>
          <w:b/>
        </w:rPr>
        <w:t xml:space="preserve"> for infringement</w:t>
      </w:r>
    </w:p>
    <w:p w:rsidR="007A0E0A" w:rsidRDefault="007A0E0A" w:rsidP="007A0E0A">
      <w:pPr>
        <w:pStyle w:val="Quote1"/>
      </w:pPr>
    </w:p>
    <w:p w:rsidR="007A0E0A" w:rsidRDefault="007A0E0A" w:rsidP="007A0E0A">
      <w:pPr>
        <w:pStyle w:val="Quote1"/>
      </w:pPr>
      <w:r>
        <w:t>…</w:t>
      </w:r>
    </w:p>
    <w:p w:rsidR="007A0E0A" w:rsidRDefault="007A0E0A" w:rsidP="007A0E0A">
      <w:pPr>
        <w:pStyle w:val="Quote1"/>
      </w:pPr>
    </w:p>
    <w:p w:rsidR="007A0E0A" w:rsidRDefault="007A0E0A" w:rsidP="007A0E0A">
      <w:pPr>
        <w:pStyle w:val="Quote1"/>
        <w:ind w:left="1440" w:hanging="703"/>
      </w:pPr>
      <w:r>
        <w:t>(4)</w:t>
      </w:r>
      <w:r>
        <w:tab/>
        <w:t>Where, in an action under this section:</w:t>
      </w:r>
    </w:p>
    <w:p w:rsidR="007A0E0A" w:rsidRDefault="007A0E0A" w:rsidP="007A0E0A">
      <w:pPr>
        <w:pStyle w:val="Quote2"/>
        <w:spacing w:before="120"/>
        <w:ind w:left="2160" w:hanging="720"/>
      </w:pPr>
      <w:r>
        <w:t>(a)</w:t>
      </w:r>
      <w:r>
        <w:tab/>
      </w:r>
      <w:proofErr w:type="gramStart"/>
      <w:r>
        <w:t>an</w:t>
      </w:r>
      <w:proofErr w:type="gramEnd"/>
      <w:r>
        <w:t xml:space="preserve"> infringement of copyright is established; and</w:t>
      </w:r>
    </w:p>
    <w:p w:rsidR="007A0E0A" w:rsidRDefault="007A0E0A" w:rsidP="007A0E0A">
      <w:pPr>
        <w:pStyle w:val="Quote2"/>
        <w:spacing w:before="120"/>
        <w:ind w:left="2160" w:hanging="720"/>
      </w:pPr>
      <w:r>
        <w:t>(b)</w:t>
      </w:r>
      <w:r>
        <w:tab/>
      </w:r>
      <w:proofErr w:type="gramStart"/>
      <w:r>
        <w:t>the</w:t>
      </w:r>
      <w:proofErr w:type="gramEnd"/>
      <w:r>
        <w:t xml:space="preserve"> court is satisfied that it is proper to do so, having regard to:</w:t>
      </w:r>
    </w:p>
    <w:p w:rsidR="007A0E0A" w:rsidRDefault="007A0E0A" w:rsidP="007A0E0A">
      <w:pPr>
        <w:pStyle w:val="Quote3"/>
        <w:spacing w:before="120"/>
        <w:ind w:left="2880" w:hanging="720"/>
      </w:pPr>
      <w:r>
        <w:t>(</w:t>
      </w:r>
      <w:proofErr w:type="spellStart"/>
      <w:r>
        <w:t>i</w:t>
      </w:r>
      <w:proofErr w:type="spellEnd"/>
      <w:r>
        <w:t>)</w:t>
      </w:r>
      <w:r>
        <w:tab/>
      </w:r>
      <w:proofErr w:type="gramStart"/>
      <w:r>
        <w:t>the</w:t>
      </w:r>
      <w:proofErr w:type="gramEnd"/>
      <w:r>
        <w:t xml:space="preserve"> flagrancy of the infringement; and</w:t>
      </w:r>
    </w:p>
    <w:p w:rsidR="007A0E0A" w:rsidRDefault="007A0E0A" w:rsidP="007A0E0A">
      <w:pPr>
        <w:pStyle w:val="Quote3"/>
        <w:spacing w:before="120"/>
        <w:ind w:left="2880" w:hanging="720"/>
      </w:pPr>
      <w:r>
        <w:t>(</w:t>
      </w:r>
      <w:proofErr w:type="spellStart"/>
      <w:proofErr w:type="gramStart"/>
      <w:r>
        <w:t>ia</w:t>
      </w:r>
      <w:proofErr w:type="spellEnd"/>
      <w:proofErr w:type="gramEnd"/>
      <w:r>
        <w:t>)</w:t>
      </w:r>
      <w:r>
        <w:tab/>
        <w:t>the need to deter similar infringements of copyright; and</w:t>
      </w:r>
    </w:p>
    <w:p w:rsidR="007A0E0A" w:rsidRDefault="007A0E0A" w:rsidP="007A0E0A">
      <w:pPr>
        <w:pStyle w:val="Quote3"/>
        <w:spacing w:before="120"/>
        <w:ind w:left="2880" w:hanging="720"/>
      </w:pPr>
      <w:r>
        <w:lastRenderedPageBreak/>
        <w:t>(</w:t>
      </w:r>
      <w:proofErr w:type="spellStart"/>
      <w:proofErr w:type="gramStart"/>
      <w:r>
        <w:t>ib</w:t>
      </w:r>
      <w:proofErr w:type="spellEnd"/>
      <w:proofErr w:type="gramEnd"/>
      <w:r>
        <w:t>)</w:t>
      </w:r>
      <w:r>
        <w:tab/>
        <w:t>the conduct of the defendant after the act constituting the infringement or, if relevant, after the defendant was informed that the defendant had allegedly infringed the plaintiff’s copyright; and</w:t>
      </w:r>
    </w:p>
    <w:p w:rsidR="007A0E0A" w:rsidRDefault="007A0E0A" w:rsidP="007A0E0A">
      <w:pPr>
        <w:pStyle w:val="Quote3"/>
        <w:spacing w:before="120"/>
        <w:ind w:left="2880" w:hanging="720"/>
      </w:pPr>
      <w:r>
        <w:t>(ii)</w:t>
      </w:r>
      <w:r>
        <w:tab/>
        <w:t>whether the infringement involved the conversion of a work or other subject</w:t>
      </w:r>
      <w:r>
        <w:rPr>
          <w:rFonts w:ascii="MS Mincho" w:eastAsia="MS Mincho" w:hAnsi="MS Mincho" w:cs="MS Mincho" w:hint="eastAsia"/>
        </w:rPr>
        <w:t>‑</w:t>
      </w:r>
      <w:r>
        <w:t xml:space="preserve">matter from hardcopy or </w:t>
      </w:r>
      <w:proofErr w:type="spellStart"/>
      <w:r>
        <w:t>analog</w:t>
      </w:r>
      <w:proofErr w:type="spellEnd"/>
      <w:r>
        <w:t xml:space="preserve"> form into a digital or other electronic machine</w:t>
      </w:r>
      <w:r>
        <w:rPr>
          <w:rFonts w:ascii="MS Mincho" w:eastAsia="MS Mincho" w:hAnsi="MS Mincho" w:cs="MS Mincho" w:hint="eastAsia"/>
        </w:rPr>
        <w:t>‑</w:t>
      </w:r>
      <w:r>
        <w:t>readable form; and</w:t>
      </w:r>
    </w:p>
    <w:p w:rsidR="007A0E0A" w:rsidRDefault="007A0E0A" w:rsidP="007A0E0A">
      <w:pPr>
        <w:pStyle w:val="Quote3"/>
        <w:spacing w:before="120"/>
        <w:ind w:left="2880" w:hanging="720"/>
      </w:pPr>
      <w:r>
        <w:t>(iii)</w:t>
      </w:r>
      <w:r>
        <w:tab/>
      </w:r>
      <w:proofErr w:type="gramStart"/>
      <w:r>
        <w:t>any</w:t>
      </w:r>
      <w:proofErr w:type="gramEnd"/>
      <w:r>
        <w:t xml:space="preserve"> benefit shown to have accrued to the defendant by reason of the infringement; and</w:t>
      </w:r>
    </w:p>
    <w:p w:rsidR="007A0E0A" w:rsidRDefault="007A0E0A" w:rsidP="007A0E0A">
      <w:pPr>
        <w:pStyle w:val="Quote3"/>
        <w:spacing w:before="120"/>
        <w:ind w:left="2880" w:hanging="720"/>
      </w:pPr>
      <w:r>
        <w:t>(iv)</w:t>
      </w:r>
      <w:r>
        <w:tab/>
      </w:r>
      <w:proofErr w:type="gramStart"/>
      <w:r>
        <w:t>all</w:t>
      </w:r>
      <w:proofErr w:type="gramEnd"/>
      <w:r>
        <w:t xml:space="preserve"> other relevant matters;</w:t>
      </w:r>
    </w:p>
    <w:p w:rsidR="007A0E0A" w:rsidRDefault="007A0E0A" w:rsidP="007A0E0A">
      <w:pPr>
        <w:pStyle w:val="Quote2"/>
        <w:spacing w:before="120"/>
      </w:pPr>
      <w:proofErr w:type="gramStart"/>
      <w:r>
        <w:t>the</w:t>
      </w:r>
      <w:proofErr w:type="gramEnd"/>
      <w:r>
        <w:t xml:space="preserve"> court may, in assessing damages for the infringement, award such additional damages as it considers appropriate in the circumstances.</w:t>
      </w:r>
      <w:r w:rsidR="00B33FF0">
        <w:t>’</w:t>
      </w:r>
    </w:p>
    <w:p w:rsidR="00524170" w:rsidRDefault="00524170" w:rsidP="007A0E0A">
      <w:pPr>
        <w:pStyle w:val="Quote1"/>
      </w:pPr>
    </w:p>
    <w:p w:rsidR="00524170" w:rsidRDefault="00524170" w:rsidP="007A0E0A">
      <w:pPr>
        <w:pStyle w:val="ParaNumbering"/>
      </w:pPr>
      <w:r>
        <w:t>The wording of this section is</w:t>
      </w:r>
      <w:r w:rsidR="00886405">
        <w:t xml:space="preserve"> </w:t>
      </w:r>
      <w:r>
        <w:t xml:space="preserve">inconsistent with it being used to calculate damages on the basis of infringements </w:t>
      </w:r>
      <w:r w:rsidR="00886405">
        <w:t>other than the one the downloader is being sued for.</w:t>
      </w:r>
      <w:r>
        <w:t xml:space="preserve"> </w:t>
      </w:r>
      <w:r w:rsidR="00656632">
        <w:t xml:space="preserve"> </w:t>
      </w:r>
      <w:r w:rsidR="00FA4AF0">
        <w:t xml:space="preserve">It does not permit recourse to other acts of infringement of other people’s copyright. </w:t>
      </w:r>
      <w:r w:rsidR="00656632">
        <w:t xml:space="preserve"> Such a claim w</w:t>
      </w:r>
      <w:r w:rsidR="00FA4AF0">
        <w:t>ould</w:t>
      </w:r>
      <w:r w:rsidR="00656632">
        <w:t xml:space="preserve"> be summarily dismissed.</w:t>
      </w:r>
    </w:p>
    <w:p w:rsidR="00543397" w:rsidRDefault="00543397" w:rsidP="007A0E0A">
      <w:pPr>
        <w:pStyle w:val="ParaNumbering"/>
      </w:pPr>
      <w:r>
        <w:t xml:space="preserve">After the provision by </w:t>
      </w:r>
      <w:proofErr w:type="spellStart"/>
      <w:r w:rsidR="004F5038">
        <w:t>DBC</w:t>
      </w:r>
      <w:proofErr w:type="spellEnd"/>
      <w:r w:rsidR="004F5038">
        <w:t xml:space="preserve"> </w:t>
      </w:r>
      <w:r>
        <w:t>of its proposed methodology, the Court raised with the parties on 22 July 201</w:t>
      </w:r>
      <w:r w:rsidR="004F5038">
        <w:t>5</w:t>
      </w:r>
      <w:r>
        <w:t xml:space="preserve"> the impact of </w:t>
      </w:r>
      <w:proofErr w:type="spellStart"/>
      <w:r>
        <w:t>s</w:t>
      </w:r>
      <w:r w:rsidR="004F5038">
        <w:t>s</w:t>
      </w:r>
      <w:proofErr w:type="spellEnd"/>
      <w:r>
        <w:t xml:space="preserve"> 115(5)-(8).  These </w:t>
      </w:r>
      <w:r w:rsidR="008967BB">
        <w:t xml:space="preserve">subsections </w:t>
      </w:r>
      <w:r>
        <w:t>provide:</w:t>
      </w:r>
    </w:p>
    <w:p w:rsidR="00543397" w:rsidRDefault="00134898" w:rsidP="00543397">
      <w:pPr>
        <w:pStyle w:val="Quote1"/>
      </w:pPr>
      <w:proofErr w:type="gramStart"/>
      <w:r>
        <w:t>‘</w:t>
      </w:r>
      <w:r w:rsidR="00543397" w:rsidRPr="008967BB">
        <w:rPr>
          <w:b/>
        </w:rPr>
        <w:t>115  Actions</w:t>
      </w:r>
      <w:proofErr w:type="gramEnd"/>
      <w:r w:rsidR="00543397" w:rsidRPr="008967BB">
        <w:rPr>
          <w:b/>
        </w:rPr>
        <w:t xml:space="preserve"> for infringement</w:t>
      </w:r>
    </w:p>
    <w:p w:rsidR="00543397" w:rsidRDefault="00543397" w:rsidP="00543397">
      <w:pPr>
        <w:pStyle w:val="Quote1"/>
      </w:pPr>
    </w:p>
    <w:p w:rsidR="00543397" w:rsidRDefault="00543397" w:rsidP="00543397">
      <w:pPr>
        <w:pStyle w:val="Quote1"/>
      </w:pPr>
      <w:r>
        <w:t>…</w:t>
      </w:r>
    </w:p>
    <w:p w:rsidR="00543397" w:rsidRDefault="00543397" w:rsidP="00543397">
      <w:pPr>
        <w:pStyle w:val="Quote1"/>
      </w:pPr>
    </w:p>
    <w:p w:rsidR="00543397" w:rsidRPr="00543397" w:rsidRDefault="00543397" w:rsidP="00543397">
      <w:pPr>
        <w:pStyle w:val="Quote1"/>
        <w:rPr>
          <w:i/>
        </w:rPr>
      </w:pPr>
      <w:r w:rsidRPr="00543397">
        <w:rPr>
          <w:i/>
        </w:rPr>
        <w:t>Consideration for relief for electronic commercial infringement</w:t>
      </w:r>
    </w:p>
    <w:p w:rsidR="00543397" w:rsidRDefault="00543397" w:rsidP="00543397">
      <w:pPr>
        <w:pStyle w:val="Quote1"/>
      </w:pPr>
    </w:p>
    <w:p w:rsidR="00543397" w:rsidRDefault="00543397" w:rsidP="00134898">
      <w:pPr>
        <w:pStyle w:val="Quote1"/>
        <w:ind w:left="1440" w:hanging="703"/>
      </w:pPr>
      <w:r>
        <w:t>(5)</w:t>
      </w:r>
      <w:r>
        <w:tab/>
        <w:t>Subsection (6) applies to a court hearing an action for infringement of copyright if the court is satisfied that:</w:t>
      </w:r>
    </w:p>
    <w:p w:rsidR="00543397" w:rsidRDefault="00543397" w:rsidP="00134898">
      <w:pPr>
        <w:pStyle w:val="Quote2"/>
        <w:spacing w:before="120"/>
        <w:ind w:left="2160" w:hanging="720"/>
      </w:pPr>
      <w:r>
        <w:t>(a)</w:t>
      </w:r>
      <w:r>
        <w:tab/>
        <w:t xml:space="preserve">the infringement (the </w:t>
      </w:r>
      <w:r w:rsidRPr="008967BB">
        <w:rPr>
          <w:b/>
          <w:i/>
        </w:rPr>
        <w:t>proved infringement</w:t>
      </w:r>
      <w:r>
        <w:t>) occurred (whether as a result of the doing of an act comprised in the copyright, the authorising of the doing of such an act or the doing of another act); and</w:t>
      </w:r>
    </w:p>
    <w:p w:rsidR="00543397" w:rsidRDefault="00543397" w:rsidP="00134898">
      <w:pPr>
        <w:pStyle w:val="Quote2"/>
        <w:spacing w:before="120"/>
        <w:ind w:left="2160" w:hanging="720"/>
      </w:pPr>
      <w:r>
        <w:t>(b)</w:t>
      </w:r>
      <w:r>
        <w:tab/>
      </w:r>
      <w:proofErr w:type="gramStart"/>
      <w:r>
        <w:t>the</w:t>
      </w:r>
      <w:proofErr w:type="gramEnd"/>
      <w:r>
        <w:t xml:space="preserve"> proved infringement involved a communication of a work or other subject</w:t>
      </w:r>
      <w:r>
        <w:rPr>
          <w:rFonts w:ascii="MS Mincho" w:eastAsia="MS Mincho" w:hAnsi="MS Mincho" w:cs="MS Mincho" w:hint="eastAsia"/>
        </w:rPr>
        <w:t>‑</w:t>
      </w:r>
      <w:r>
        <w:t>matter to the public; and</w:t>
      </w:r>
    </w:p>
    <w:p w:rsidR="00543397" w:rsidRDefault="00543397" w:rsidP="00134898">
      <w:pPr>
        <w:pStyle w:val="Quote2"/>
        <w:spacing w:before="120"/>
        <w:ind w:left="2160" w:hanging="720"/>
      </w:pPr>
      <w:r>
        <w:t>(c)</w:t>
      </w:r>
      <w:r>
        <w:tab/>
      </w:r>
      <w:proofErr w:type="gramStart"/>
      <w:r>
        <w:t>because</w:t>
      </w:r>
      <w:proofErr w:type="gramEnd"/>
      <w:r>
        <w:t xml:space="preserve"> the work or other subject</w:t>
      </w:r>
      <w:r>
        <w:rPr>
          <w:rFonts w:ascii="MS Mincho" w:eastAsia="MS Mincho" w:hAnsi="MS Mincho" w:cs="MS Mincho" w:hint="eastAsia"/>
        </w:rPr>
        <w:t>‑</w:t>
      </w:r>
      <w:r>
        <w:t xml:space="preserve">matter was communicated to the public, it is likely that there were other infringements (the </w:t>
      </w:r>
      <w:r w:rsidRPr="008967BB">
        <w:rPr>
          <w:b/>
          <w:i/>
        </w:rPr>
        <w:t>likely infringements</w:t>
      </w:r>
      <w:r>
        <w:t>) of the copyright by the defendant that the plaintiff did not prove in the action; and</w:t>
      </w:r>
    </w:p>
    <w:p w:rsidR="00543397" w:rsidRDefault="00543397" w:rsidP="00134898">
      <w:pPr>
        <w:pStyle w:val="Quote2"/>
        <w:spacing w:before="120"/>
        <w:ind w:left="2160" w:hanging="720"/>
      </w:pPr>
      <w:r>
        <w:t>(d)</w:t>
      </w:r>
      <w:r>
        <w:tab/>
      </w:r>
      <w:proofErr w:type="gramStart"/>
      <w:r>
        <w:t>taken</w:t>
      </w:r>
      <w:proofErr w:type="gramEnd"/>
      <w:r>
        <w:t xml:space="preserve"> together, the proved infringement and likely infringements were on a commercial scale.</w:t>
      </w:r>
    </w:p>
    <w:p w:rsidR="00543397" w:rsidRDefault="00543397" w:rsidP="00543397">
      <w:pPr>
        <w:pStyle w:val="Quote1"/>
        <w:ind w:left="2160" w:hanging="720"/>
      </w:pPr>
    </w:p>
    <w:p w:rsidR="00543397" w:rsidRDefault="00543397" w:rsidP="00134898">
      <w:pPr>
        <w:pStyle w:val="Quote1"/>
        <w:ind w:left="1440" w:hanging="703"/>
      </w:pPr>
      <w:r>
        <w:t>(6)</w:t>
      </w:r>
      <w:r>
        <w:tab/>
        <w:t>The court may have regard to the likelihood of the likely infringements (as well as the proved infringement) in deciding what relief to grant in the action.</w:t>
      </w:r>
    </w:p>
    <w:p w:rsidR="00543397" w:rsidRDefault="00543397" w:rsidP="00543397">
      <w:pPr>
        <w:pStyle w:val="Quote1"/>
        <w:ind w:left="2160" w:hanging="720"/>
      </w:pPr>
    </w:p>
    <w:p w:rsidR="00543397" w:rsidRDefault="00543397" w:rsidP="00543397">
      <w:pPr>
        <w:pStyle w:val="Quote1"/>
        <w:ind w:left="1440" w:hanging="703"/>
      </w:pPr>
      <w:r>
        <w:t>(7)</w:t>
      </w:r>
      <w:r>
        <w:tab/>
        <w:t>In determining for the purposes of paragraph (5</w:t>
      </w:r>
      <w:proofErr w:type="gramStart"/>
      <w:r>
        <w:t>)(</w:t>
      </w:r>
      <w:proofErr w:type="gramEnd"/>
      <w:r>
        <w:t xml:space="preserve">d) whether, taken together, </w:t>
      </w:r>
      <w:r>
        <w:lastRenderedPageBreak/>
        <w:t>the proved infringement and the likely infringements were on a commercial scale, the following matters are to be taken into account:</w:t>
      </w:r>
    </w:p>
    <w:p w:rsidR="00543397" w:rsidRDefault="00543397" w:rsidP="00134898">
      <w:pPr>
        <w:pStyle w:val="Quote2"/>
        <w:spacing w:before="120"/>
        <w:ind w:left="2160" w:hanging="720"/>
      </w:pPr>
      <w:r>
        <w:t>(a)</w:t>
      </w:r>
      <w:r>
        <w:tab/>
      </w:r>
      <w:proofErr w:type="gramStart"/>
      <w:r>
        <w:t>the</w:t>
      </w:r>
      <w:proofErr w:type="gramEnd"/>
      <w:r>
        <w:t xml:space="preserve"> volume and value of any articles that:</w:t>
      </w:r>
    </w:p>
    <w:p w:rsidR="00543397" w:rsidRDefault="00543397" w:rsidP="00134898">
      <w:pPr>
        <w:pStyle w:val="Quote3"/>
        <w:spacing w:before="120"/>
        <w:ind w:left="2880" w:hanging="720"/>
      </w:pPr>
      <w:r>
        <w:t>(</w:t>
      </w:r>
      <w:proofErr w:type="spellStart"/>
      <w:r>
        <w:t>i</w:t>
      </w:r>
      <w:proofErr w:type="spellEnd"/>
      <w:r>
        <w:t>)</w:t>
      </w:r>
      <w:r>
        <w:tab/>
      </w:r>
      <w:proofErr w:type="gramStart"/>
      <w:r>
        <w:t>are</w:t>
      </w:r>
      <w:proofErr w:type="gramEnd"/>
      <w:r>
        <w:t xml:space="preserve"> infringing copies that constitute the proved infringement; or</w:t>
      </w:r>
    </w:p>
    <w:p w:rsidR="00543397" w:rsidRDefault="00543397" w:rsidP="00134898">
      <w:pPr>
        <w:pStyle w:val="Quote3"/>
        <w:spacing w:before="120"/>
        <w:ind w:left="2880" w:hanging="720"/>
      </w:pPr>
      <w:r>
        <w:t>(ii)</w:t>
      </w:r>
      <w:r>
        <w:tab/>
      </w:r>
      <w:proofErr w:type="gramStart"/>
      <w:r>
        <w:t>assuming</w:t>
      </w:r>
      <w:proofErr w:type="gramEnd"/>
      <w:r>
        <w:t xml:space="preserve"> the likely infringements actually occurred, would be infringing copies constituting those infringements;</w:t>
      </w:r>
    </w:p>
    <w:p w:rsidR="00543397" w:rsidRDefault="00543397" w:rsidP="00134898">
      <w:pPr>
        <w:pStyle w:val="Quote2"/>
        <w:spacing w:before="120"/>
        <w:ind w:left="2160" w:hanging="720"/>
      </w:pPr>
      <w:r>
        <w:t>(b)</w:t>
      </w:r>
      <w:r>
        <w:tab/>
      </w:r>
      <w:proofErr w:type="gramStart"/>
      <w:r>
        <w:t>any</w:t>
      </w:r>
      <w:proofErr w:type="gramEnd"/>
      <w:r>
        <w:t xml:space="preserve"> other relevant matter.</w:t>
      </w:r>
    </w:p>
    <w:p w:rsidR="00543397" w:rsidRDefault="00543397" w:rsidP="00543397">
      <w:pPr>
        <w:pStyle w:val="Quote1"/>
        <w:ind w:left="2160" w:hanging="720"/>
      </w:pPr>
    </w:p>
    <w:p w:rsidR="00543397" w:rsidRDefault="00543397" w:rsidP="00134898">
      <w:pPr>
        <w:pStyle w:val="Quote1"/>
      </w:pPr>
      <w:r>
        <w:t>(8)</w:t>
      </w:r>
      <w:r>
        <w:tab/>
        <w:t>In subsection (7):</w:t>
      </w:r>
    </w:p>
    <w:p w:rsidR="00543397" w:rsidRDefault="00543397" w:rsidP="005C3C90">
      <w:pPr>
        <w:pStyle w:val="Quote2"/>
      </w:pPr>
      <w:proofErr w:type="gramStart"/>
      <w:r w:rsidRPr="008967BB">
        <w:rPr>
          <w:b/>
          <w:i/>
        </w:rPr>
        <w:t>article</w:t>
      </w:r>
      <w:proofErr w:type="gramEnd"/>
      <w:r w:rsidRPr="00543397">
        <w:rPr>
          <w:b/>
        </w:rPr>
        <w:t xml:space="preserve"> </w:t>
      </w:r>
      <w:r>
        <w:t>includes a reproduction or copy of a work or other subject</w:t>
      </w:r>
      <w:r>
        <w:rPr>
          <w:rFonts w:ascii="MS Mincho" w:eastAsia="MS Mincho" w:hAnsi="MS Mincho" w:cs="MS Mincho" w:hint="eastAsia"/>
        </w:rPr>
        <w:t>‑</w:t>
      </w:r>
      <w:r>
        <w:t>matter, being a reproduction or copy in electronic form.</w:t>
      </w:r>
      <w:r w:rsidR="00134898">
        <w:t>’</w:t>
      </w:r>
    </w:p>
    <w:p w:rsidR="00543397" w:rsidRDefault="00543397" w:rsidP="00543397">
      <w:pPr>
        <w:pStyle w:val="Quote1"/>
      </w:pPr>
    </w:p>
    <w:p w:rsidR="00543397" w:rsidRDefault="00134898" w:rsidP="00134898">
      <w:pPr>
        <w:pStyle w:val="ParaNumbering"/>
      </w:pPr>
      <w:r>
        <w:t xml:space="preserve">Written submissions were received from both parties with that process ending on </w:t>
      </w:r>
      <w:r w:rsidR="008967BB">
        <w:t>31 July 2015</w:t>
      </w:r>
      <w:r>
        <w:t>.</w:t>
      </w:r>
    </w:p>
    <w:p w:rsidR="00134898" w:rsidRDefault="00134898" w:rsidP="00134898">
      <w:pPr>
        <w:pStyle w:val="ParaNumbering"/>
      </w:pPr>
      <w:r>
        <w:t>The explanatory memorandum which accompanied this amendment plainly suggests that it was intended to be directed at file sharing.  The relevant portion of that memorandum reads:</w:t>
      </w:r>
    </w:p>
    <w:p w:rsidR="00134898" w:rsidRDefault="00134898" w:rsidP="00134898">
      <w:pPr>
        <w:pStyle w:val="Quote1"/>
        <w:ind w:left="1440" w:hanging="703"/>
      </w:pPr>
      <w:r>
        <w:t>‘4.3</w:t>
      </w:r>
      <w:r>
        <w:tab/>
        <w:t>In order to deal with issues that have arisen in cases involving large numbers of likely infringements over the Internet, new subs-</w:t>
      </w:r>
      <w:proofErr w:type="spellStart"/>
      <w:r>
        <w:t>ss</w:t>
      </w:r>
      <w:proofErr w:type="spellEnd"/>
      <w:r>
        <w:t xml:space="preserve"> 115(5)-(8) give a court a</w:t>
      </w:r>
      <w:r w:rsidR="008967BB">
        <w:t>dditional power to grant relief</w:t>
      </w:r>
      <w:r>
        <w:t xml:space="preserve"> in civil actions to copyright owners in certain commercial scale Internet infringement cases.  This applies where the court is satisfied that:</w:t>
      </w:r>
    </w:p>
    <w:p w:rsidR="00134898" w:rsidRDefault="00134898" w:rsidP="00B46D10">
      <w:pPr>
        <w:pStyle w:val="Quote2"/>
        <w:numPr>
          <w:ilvl w:val="0"/>
          <w:numId w:val="42"/>
        </w:numPr>
        <w:spacing w:after="120"/>
        <w:ind w:left="1831" w:hanging="357"/>
      </w:pPr>
      <w:r>
        <w:t>the respondent has committed an infringement (including by authorisation),</w:t>
      </w:r>
    </w:p>
    <w:p w:rsidR="00134898" w:rsidRDefault="00134898" w:rsidP="00B46D10">
      <w:pPr>
        <w:pStyle w:val="Quote2"/>
        <w:numPr>
          <w:ilvl w:val="0"/>
          <w:numId w:val="42"/>
        </w:numPr>
        <w:spacing w:after="120"/>
        <w:ind w:left="1831" w:hanging="357"/>
      </w:pPr>
      <w:r>
        <w:t>it involved a communication of a work or other subject-matter to the public,</w:t>
      </w:r>
    </w:p>
    <w:p w:rsidR="00134898" w:rsidRDefault="00134898" w:rsidP="00B46D10">
      <w:pPr>
        <w:pStyle w:val="Quote2"/>
        <w:numPr>
          <w:ilvl w:val="0"/>
          <w:numId w:val="42"/>
        </w:numPr>
        <w:spacing w:after="120"/>
        <w:ind w:left="1831" w:hanging="357"/>
      </w:pPr>
      <w:r>
        <w:t>because of this communication, it is likely there were other infringements of the copyright by the defendant that the plaintiff did not prove, and</w:t>
      </w:r>
    </w:p>
    <w:p w:rsidR="00134898" w:rsidRDefault="00134898" w:rsidP="00B46D10">
      <w:pPr>
        <w:pStyle w:val="Quote2"/>
        <w:numPr>
          <w:ilvl w:val="0"/>
          <w:numId w:val="42"/>
        </w:numPr>
        <w:spacing w:after="120"/>
        <w:ind w:left="1831" w:hanging="357"/>
      </w:pPr>
      <w:proofErr w:type="gramStart"/>
      <w:r>
        <w:t>taken</w:t>
      </w:r>
      <w:proofErr w:type="gramEnd"/>
      <w:r>
        <w:t xml:space="preserve"> together, the proved infringement and the likely infringements occurred on a commercial scale.</w:t>
      </w:r>
    </w:p>
    <w:p w:rsidR="00134898" w:rsidRDefault="00134898" w:rsidP="00B14646">
      <w:pPr>
        <w:pStyle w:val="Quote1"/>
        <w:spacing w:before="120"/>
        <w:ind w:left="1440" w:hanging="703"/>
      </w:pPr>
      <w:r>
        <w:t xml:space="preserve"> 4.4</w:t>
      </w:r>
      <w:r>
        <w:tab/>
        <w:t>W</w:t>
      </w:r>
      <w:r w:rsidR="008967BB">
        <w:t>here a court is satisfied of the</w:t>
      </w:r>
      <w:r>
        <w:t>se matters, it may have regard to the high probability of the likely infringements (as well as the proved infringements) in deciding what relief to grant in the action.</w:t>
      </w:r>
    </w:p>
    <w:p w:rsidR="00134898" w:rsidRDefault="00134898" w:rsidP="00B14646">
      <w:pPr>
        <w:pStyle w:val="Quote1"/>
        <w:spacing w:before="120"/>
        <w:ind w:left="1440" w:hanging="703"/>
      </w:pPr>
      <w:r>
        <w:t xml:space="preserve"> 4.5</w:t>
      </w:r>
      <w:r>
        <w:tab/>
        <w:t>New paragraph 115(5)(c) is intended to be wide enough to capture commercial-scale Internet infringements that occur through peer-to-peer file sharing or by way of hy</w:t>
      </w:r>
      <w:r w:rsidR="00B14646">
        <w:t>p</w:t>
      </w:r>
      <w:r>
        <w:t xml:space="preserve">ertext linking or downloads from remote websites. This is consistent with the definition of ‘communicate’ in sub-s 10(1) which includes </w:t>
      </w:r>
      <w:proofErr w:type="gramStart"/>
      <w:r>
        <w:t>‘to make available online or electronically transmit</w:t>
      </w:r>
      <w:proofErr w:type="gramEnd"/>
      <w:r>
        <w:t>’.</w:t>
      </w:r>
    </w:p>
    <w:p w:rsidR="00B14646" w:rsidRDefault="00B14646" w:rsidP="00B14646">
      <w:pPr>
        <w:pStyle w:val="Quote1"/>
        <w:spacing w:before="120"/>
        <w:ind w:left="1440" w:hanging="703"/>
      </w:pPr>
      <w:r>
        <w:t xml:space="preserve"> 4.6</w:t>
      </w:r>
      <w:r>
        <w:tab/>
        <w:t>Pursuant to new paragraph 115(5)(d) the proved and likely infringements, taken together, must be on a ‘commercial scale’ before the court can have regard to such infringements in deciding what relief to grant.  This is a safeguard to ensure that a plaintiff could not apply for this relief on the basis of an insufficient number of infringements.</w:t>
      </w:r>
    </w:p>
    <w:p w:rsidR="00B14646" w:rsidRDefault="00B14646" w:rsidP="00B14646">
      <w:pPr>
        <w:pStyle w:val="Quote1"/>
        <w:spacing w:before="120"/>
        <w:ind w:left="1440" w:hanging="703"/>
      </w:pPr>
      <w:r>
        <w:t xml:space="preserve"> 4.7</w:t>
      </w:r>
      <w:r>
        <w:tab/>
        <w:t xml:space="preserve">Subsection (6) provides that the court may have regard to the high probability </w:t>
      </w:r>
      <w:r>
        <w:lastRenderedPageBreak/>
        <w:t>of the likely infringements (as well as the proved infringements) in deciding what relief to grant. It is the intention of the Bill that the determination of ‘commercial scale’ not be limited to proven infringements only.  There are cases where it is appropriate to point to likely infringements to enable a plaintiff to meet the ‘commercial scale’ threshold.  The pla</w:t>
      </w:r>
      <w:r w:rsidR="008967BB">
        <w:t>intiff is required to establish</w:t>
      </w:r>
      <w:r>
        <w:t>, at least, that an infringement has occurred (see new paragraph 115(5</w:t>
      </w:r>
      <w:proofErr w:type="gramStart"/>
      <w:r>
        <w:t>)(</w:t>
      </w:r>
      <w:proofErr w:type="gramEnd"/>
      <w:r>
        <w:t>a)).  Once this is established, the court may have regard to likely infringements in the determination of scale.</w:t>
      </w:r>
    </w:p>
    <w:p w:rsidR="00B14646" w:rsidRDefault="00B14646" w:rsidP="00B14646">
      <w:pPr>
        <w:pStyle w:val="Quote1"/>
        <w:spacing w:before="120"/>
        <w:ind w:left="1440" w:hanging="703"/>
      </w:pPr>
      <w:r>
        <w:t xml:space="preserve"> 4.8</w:t>
      </w:r>
      <w:r>
        <w:tab/>
        <w:t>New subs-s 115(7) provides for the matters that the Court may consider in determining if the infringement has occurred ‘on a commercial scale’ for the purposes of new paragraph 115(5</w:t>
      </w:r>
      <w:proofErr w:type="gramStart"/>
      <w:r>
        <w:t>)(</w:t>
      </w:r>
      <w:proofErr w:type="gramEnd"/>
      <w:r>
        <w:t>d).  This includes the volume and value of articles that are infringing copies constituting the proved infringements or infringing copies constituting the likely infringements assuming they actually occurred.’</w:t>
      </w:r>
    </w:p>
    <w:p w:rsidR="00B14646" w:rsidRDefault="00B14646" w:rsidP="00134898">
      <w:pPr>
        <w:pStyle w:val="Quote1"/>
        <w:ind w:left="1440" w:hanging="703"/>
      </w:pPr>
    </w:p>
    <w:p w:rsidR="00B14646" w:rsidRDefault="00B14646" w:rsidP="00B14646">
      <w:pPr>
        <w:pStyle w:val="ParaNumbering"/>
      </w:pPr>
      <w:r>
        <w:t>If the explanatory memorandum is to be believed</w:t>
      </w:r>
      <w:r w:rsidR="00B217BF">
        <w:t>,</w:t>
      </w:r>
      <w:r>
        <w:t xml:space="preserve"> </w:t>
      </w:r>
      <w:proofErr w:type="spellStart"/>
      <w:r>
        <w:t>s</w:t>
      </w:r>
      <w:r w:rsidR="004F5038">
        <w:t>s</w:t>
      </w:r>
      <w:proofErr w:type="spellEnd"/>
      <w:r>
        <w:t xml:space="preserve"> 115(5)-(8) are aimed squarely at peer-to-peer file sharing.  There are aspects of the provisions which are puzzling from a drafting perspective.  The use of the expression ‘on a commercial scal</w:t>
      </w:r>
      <w:r w:rsidR="00B217BF">
        <w:t>e’ is not defined although subs </w:t>
      </w:r>
      <w:r>
        <w:t>(7) tells one what one is to take into account in determining whether a particular infringement was on such a scale.  This appears to be focussed on the possibility that whilst one might be able to show that a particular user shared three copies of a work</w:t>
      </w:r>
      <w:r w:rsidR="00B217BF">
        <w:t xml:space="preserve"> by uploading it,</w:t>
      </w:r>
      <w:r>
        <w:t xml:space="preserve"> one might not be able to show much about what those three individual</w:t>
      </w:r>
      <w:r w:rsidR="00B217BF">
        <w:t xml:space="preserve"> downloader</w:t>
      </w:r>
      <w:r>
        <w:t>s went on to do by way of sharing themselves.</w:t>
      </w:r>
    </w:p>
    <w:p w:rsidR="00B14646" w:rsidRDefault="00B14646" w:rsidP="00B14646">
      <w:pPr>
        <w:pStyle w:val="ParaNumbering"/>
      </w:pPr>
      <w:r>
        <w:t xml:space="preserve">The focus of the provisions in subs </w:t>
      </w:r>
      <w:r w:rsidR="00DC6E87">
        <w:t>(</w:t>
      </w:r>
      <w:r>
        <w:t>7) is on the reproduction of articles</w:t>
      </w:r>
      <w:r w:rsidR="0052784F">
        <w:t>, an expression</w:t>
      </w:r>
      <w:r>
        <w:t xml:space="preserve"> which is defined to be a copy of the work</w:t>
      </w:r>
      <w:r w:rsidR="00B217BF">
        <w:t xml:space="preserve"> or other subject-matter</w:t>
      </w:r>
      <w:r>
        <w:t xml:space="preserve"> in subs (</w:t>
      </w:r>
      <w:r w:rsidR="0052784F">
        <w:t>8</w:t>
      </w:r>
      <w:r>
        <w:t>).  The</w:t>
      </w:r>
      <w:r w:rsidR="00DC6E87">
        <w:t xml:space="preserve"> provisions</w:t>
      </w:r>
      <w:r>
        <w:t xml:space="preserve"> appear</w:t>
      </w:r>
      <w:r w:rsidR="00B217BF">
        <w:t>,</w:t>
      </w:r>
      <w:r>
        <w:t xml:space="preserve"> therefore</w:t>
      </w:r>
      <w:r w:rsidR="00B217BF">
        <w:t>,</w:t>
      </w:r>
      <w:r>
        <w:t xml:space="preserve"> to have been drafted upon an assumption, which the evidence before me did not support, that individual users share whole copies</w:t>
      </w:r>
      <w:r w:rsidR="004F5038">
        <w:t>,</w:t>
      </w:r>
      <w:r>
        <w:t xml:space="preserve"> whereas in fact they share slivers.  </w:t>
      </w:r>
      <w:r w:rsidR="00DC6E87">
        <w:t>In that regard, t</w:t>
      </w:r>
      <w:r>
        <w:t>he calculus thrown up by s 115(7</w:t>
      </w:r>
      <w:proofErr w:type="gramStart"/>
      <w:r>
        <w:t>)(</w:t>
      </w:r>
      <w:proofErr w:type="gramEnd"/>
      <w:r>
        <w:t>a)(</w:t>
      </w:r>
      <w:proofErr w:type="spellStart"/>
      <w:r>
        <w:t>i</w:t>
      </w:r>
      <w:proofErr w:type="spellEnd"/>
      <w:r>
        <w:t>) seems to be particularly problematic</w:t>
      </w:r>
      <w:r w:rsidR="00B217BF">
        <w:t xml:space="preserve"> and bespeaks, seemingly, a lack of understanding of the mechanics of peer-to-peer file sharing</w:t>
      </w:r>
      <w:r>
        <w:t>.</w:t>
      </w:r>
    </w:p>
    <w:p w:rsidR="00B14646" w:rsidRDefault="00E35F26" w:rsidP="00B14646">
      <w:pPr>
        <w:pStyle w:val="ParaNumbering"/>
      </w:pPr>
      <w:r>
        <w:t>There are many uncertainties about these provisions but I do not think that they presently need to be resolved.  The parties had differing views about</w:t>
      </w:r>
      <w:r w:rsidR="00B217BF">
        <w:t xml:space="preserve"> whether the requirements of s </w:t>
      </w:r>
      <w:r>
        <w:t>115(5</w:t>
      </w:r>
      <w:proofErr w:type="gramStart"/>
      <w:r>
        <w:t>)(</w:t>
      </w:r>
      <w:proofErr w:type="gramEnd"/>
      <w:r>
        <w:t>c)-(d) could properly be</w:t>
      </w:r>
      <w:r w:rsidR="0052784F">
        <w:t xml:space="preserve"> se</w:t>
      </w:r>
      <w:r>
        <w:t xml:space="preserve">en as having been satisfied in this case.  </w:t>
      </w:r>
    </w:p>
    <w:p w:rsidR="00E35F26" w:rsidRDefault="00E35F26" w:rsidP="00B14646">
      <w:pPr>
        <w:pStyle w:val="ParaNumbering"/>
      </w:pPr>
      <w:r>
        <w:t xml:space="preserve">The matter can, I </w:t>
      </w:r>
      <w:r w:rsidR="00DC6E87">
        <w:t>think</w:t>
      </w:r>
      <w:r>
        <w:t xml:space="preserve">, be resolved without becoming mired in that swamp.  The present application is concerned with what </w:t>
      </w:r>
      <w:proofErr w:type="spellStart"/>
      <w:r w:rsidR="00B217BF">
        <w:t>DBC</w:t>
      </w:r>
      <w:proofErr w:type="spellEnd"/>
      <w:r w:rsidR="00B217BF">
        <w:t xml:space="preserve"> </w:t>
      </w:r>
      <w:r>
        <w:t xml:space="preserve">can, or cannot, demand of potential infringers.  Assuming in their favour that these provisions are enlivened the question then becomes what do they want?  In particular, what are they going to demand of account holders?  </w:t>
      </w:r>
      <w:proofErr w:type="spellStart"/>
      <w:r>
        <w:t>DBC</w:t>
      </w:r>
      <w:proofErr w:type="spellEnd"/>
      <w:r>
        <w:t xml:space="preserve"> has made </w:t>
      </w:r>
      <w:r w:rsidR="00DC6E87">
        <w:t xml:space="preserve">no </w:t>
      </w:r>
      <w:r w:rsidR="00B217BF">
        <w:t xml:space="preserve">submission to </w:t>
      </w:r>
      <w:r>
        <w:t xml:space="preserve">me about how these damages might be calculated or what they will </w:t>
      </w:r>
      <w:r>
        <w:lastRenderedPageBreak/>
        <w:t>seek</w:t>
      </w:r>
      <w:r w:rsidR="00B217BF">
        <w:t>, beyond asserting that these provisions lend further support to the reasonableness of the figures sought in their proposed methodology</w:t>
      </w:r>
      <w:r>
        <w:t>.  Fo</w:t>
      </w:r>
      <w:r w:rsidR="00DC6E87">
        <w:t>r</w:t>
      </w:r>
      <w:r>
        <w:t xml:space="preserve"> example, it may be that these provisions </w:t>
      </w:r>
      <w:r w:rsidR="00DC6E87">
        <w:t>would</w:t>
      </w:r>
      <w:r>
        <w:t xml:space="preserve"> justify the conclusion that the Film was copied many thousands of times using </w:t>
      </w:r>
      <w:proofErr w:type="spellStart"/>
      <w:r>
        <w:t>BitTorrent</w:t>
      </w:r>
      <w:proofErr w:type="spellEnd"/>
      <w:r>
        <w:t xml:space="preserve"> and that infringers are to be held liable for further downstream infringements. I have no particular problem with such an analysis but </w:t>
      </w:r>
      <w:proofErr w:type="spellStart"/>
      <w:r>
        <w:t>DBC</w:t>
      </w:r>
      <w:proofErr w:type="spellEnd"/>
      <w:r>
        <w:t xml:space="preserve"> still has to explain what it is going to demand of the people it writes to.  Nothing has been submitted to me on that topic.  In those circumstances s 115(</w:t>
      </w:r>
      <w:r w:rsidR="00B217BF">
        <w:t>5</w:t>
      </w:r>
      <w:r>
        <w:t>)-(8) presently go</w:t>
      </w:r>
      <w:r w:rsidR="0052784F">
        <w:t>es</w:t>
      </w:r>
      <w:r>
        <w:t xml:space="preserve"> nowhere.</w:t>
      </w:r>
    </w:p>
    <w:p w:rsidR="00886405" w:rsidRDefault="00886405" w:rsidP="00886405">
      <w:pPr>
        <w:pStyle w:val="Heading2"/>
      </w:pPr>
      <w:r>
        <w:t>6.    Conclusions</w:t>
      </w:r>
    </w:p>
    <w:p w:rsidR="00524170" w:rsidRDefault="00524170" w:rsidP="007A0E0A">
      <w:pPr>
        <w:pStyle w:val="ParaNumbering"/>
      </w:pPr>
      <w:r>
        <w:t xml:space="preserve">The power in </w:t>
      </w:r>
      <w:r w:rsidR="00B217BF">
        <w:t>r</w:t>
      </w:r>
      <w:r>
        <w:t xml:space="preserve"> 7.22</w:t>
      </w:r>
      <w:r w:rsidR="00B217BF">
        <w:t xml:space="preserve"> of the </w:t>
      </w:r>
      <w:r w:rsidR="00B217BF" w:rsidRPr="00B217BF">
        <w:rPr>
          <w:i/>
        </w:rPr>
        <w:t>Federal Court Rules 2011</w:t>
      </w:r>
      <w:r w:rsidR="00B217BF">
        <w:t xml:space="preserve"> (</w:t>
      </w:r>
      <w:proofErr w:type="spellStart"/>
      <w:r w:rsidR="00B217BF">
        <w:t>Cth</w:t>
      </w:r>
      <w:proofErr w:type="spellEnd"/>
      <w:r w:rsidR="00B217BF">
        <w:t>)</w:t>
      </w:r>
      <w:r>
        <w:t xml:space="preserve"> can be used, I accept, to garner information about unidentified wrongdoers not only to sue them but also to negotiate with them. However, in both cases the power does not extend to facilitating court cases or negotiating positions lacking legal substance.</w:t>
      </w:r>
      <w:r w:rsidR="00FA4AF0">
        <w:t xml:space="preserve">  Claims (b) and (c) are untenable claims and are outside the</w:t>
      </w:r>
      <w:r w:rsidR="004F5038">
        <w:t xml:space="preserve"> proper ambit of the</w:t>
      </w:r>
      <w:r w:rsidR="00FA4AF0">
        <w:t xml:space="preserve"> power.</w:t>
      </w:r>
    </w:p>
    <w:p w:rsidR="00886405" w:rsidRDefault="00524170" w:rsidP="007A0E0A">
      <w:pPr>
        <w:pStyle w:val="ParaNumbering"/>
      </w:pPr>
      <w:r>
        <w:t xml:space="preserve">In those circumstances, I decline to lift the stay at this stage. </w:t>
      </w:r>
      <w:r w:rsidR="002E0F63">
        <w:t xml:space="preserve"> </w:t>
      </w:r>
      <w:r>
        <w:t xml:space="preserve">I will, however, lift the stay if the Court receives </w:t>
      </w:r>
      <w:proofErr w:type="spellStart"/>
      <w:r>
        <w:t>DBC’s</w:t>
      </w:r>
      <w:proofErr w:type="spellEnd"/>
      <w:r>
        <w:t xml:space="preserve"> written undertaking only to use the information obtained under the preliminary discovery orders for the purposes </w:t>
      </w:r>
      <w:r w:rsidR="00656632">
        <w:t xml:space="preserve">described above </w:t>
      </w:r>
      <w:r>
        <w:t xml:space="preserve">in (a) and (d). </w:t>
      </w:r>
      <w:r w:rsidR="002E0F63">
        <w:t xml:space="preserve"> </w:t>
      </w:r>
    </w:p>
    <w:p w:rsidR="00524170" w:rsidRDefault="00656632" w:rsidP="007A0E0A">
      <w:pPr>
        <w:pStyle w:val="ParaNumbering"/>
      </w:pPr>
      <w:r>
        <w:t xml:space="preserve">Because </w:t>
      </w:r>
      <w:proofErr w:type="spellStart"/>
      <w:r w:rsidR="00524170">
        <w:t>DBC</w:t>
      </w:r>
      <w:proofErr w:type="spellEnd"/>
      <w:r w:rsidR="00524170">
        <w:t xml:space="preserve"> has no presence in Australia the Court</w:t>
      </w:r>
      <w:r>
        <w:t xml:space="preserve"> is unable</w:t>
      </w:r>
      <w:r w:rsidR="00524170">
        <w:t xml:space="preserve"> to punish it for contempt if </w:t>
      </w:r>
      <w:r w:rsidR="00886405">
        <w:t xml:space="preserve">it </w:t>
      </w:r>
      <w:r w:rsidR="00524170">
        <w:t xml:space="preserve">fails to honour </w:t>
      </w:r>
      <w:r>
        <w:t>that</w:t>
      </w:r>
      <w:r w:rsidR="00524170">
        <w:t xml:space="preserve"> undertaking</w:t>
      </w:r>
      <w:r w:rsidR="00FA4AF0">
        <w:t xml:space="preserve">. </w:t>
      </w:r>
      <w:r w:rsidR="00524170">
        <w:t xml:space="preserve"> I will </w:t>
      </w:r>
      <w:r>
        <w:t xml:space="preserve">therefore </w:t>
      </w:r>
      <w:r w:rsidR="00524170">
        <w:t xml:space="preserve">require its undertaking to be secured by the lodging of a bond. </w:t>
      </w:r>
      <w:r w:rsidR="002E0F63">
        <w:t xml:space="preserve"> </w:t>
      </w:r>
      <w:r w:rsidR="00524170">
        <w:t xml:space="preserve">Having had access to what it is that </w:t>
      </w:r>
      <w:proofErr w:type="spellStart"/>
      <w:r w:rsidR="00524170">
        <w:t>DBC</w:t>
      </w:r>
      <w:proofErr w:type="spellEnd"/>
      <w:r w:rsidR="00524170">
        <w:t xml:space="preserve"> proposes to demand under (b) and (c) and the </w:t>
      </w:r>
      <w:r w:rsidR="00886405">
        <w:t xml:space="preserve">potential revenue it might make if it breached </w:t>
      </w:r>
      <w:r w:rsidR="00FA4AF0">
        <w:t>its</w:t>
      </w:r>
      <w:r w:rsidR="00886405">
        <w:t xml:space="preserve"> undertaking </w:t>
      </w:r>
      <w:r>
        <w:t xml:space="preserve">to the Court </w:t>
      </w:r>
      <w:r w:rsidR="00886405">
        <w:t>not to demand such sums</w:t>
      </w:r>
      <w:r w:rsidR="00FA4AF0">
        <w:t>,</w:t>
      </w:r>
      <w:r w:rsidR="00886405">
        <w:t xml:space="preserve"> </w:t>
      </w:r>
      <w:r w:rsidR="00524170">
        <w:t>it seems to me that I should set the bond at a level which will ensure that it</w:t>
      </w:r>
      <w:r>
        <w:t xml:space="preserve"> </w:t>
      </w:r>
      <w:r w:rsidR="00886405">
        <w:t>will</w:t>
      </w:r>
      <w:r>
        <w:t xml:space="preserve"> </w:t>
      </w:r>
      <w:r w:rsidR="00886405">
        <w:t>not be profitable</w:t>
      </w:r>
      <w:r w:rsidR="00FA4AF0">
        <w:t xml:space="preserve"> for it</w:t>
      </w:r>
      <w:r w:rsidR="00886405">
        <w:t xml:space="preserve"> to do so</w:t>
      </w:r>
      <w:r w:rsidR="00524170">
        <w:t xml:space="preserve">. </w:t>
      </w:r>
      <w:r w:rsidR="002E0F63">
        <w:t xml:space="preserve"> </w:t>
      </w:r>
      <w:r w:rsidR="00524170">
        <w:t xml:space="preserve">I will set the bond at $600,000 which, if the undertaking is given, is to be lodged by bank guarantee with the Registrar. </w:t>
      </w:r>
    </w:p>
    <w:p w:rsidR="00524170" w:rsidRDefault="00524170" w:rsidP="002E0F63">
      <w:pPr>
        <w:pStyle w:val="ParaNumbering"/>
      </w:pPr>
      <w:r>
        <w:t>For the future, i</w:t>
      </w:r>
      <w:r w:rsidR="002E0F63">
        <w:t>n</w:t>
      </w:r>
      <w:r>
        <w:t xml:space="preserve"> cases where preliminary discovery is sought against persons such as ISPs with a view to contacting a large class of </w:t>
      </w:r>
      <w:r w:rsidR="004F5038">
        <w:t>potential defendants</w:t>
      </w:r>
      <w:r>
        <w:t xml:space="preserve">, it </w:t>
      </w:r>
      <w:r w:rsidR="00B217BF">
        <w:t>will be</w:t>
      </w:r>
      <w:r>
        <w:t xml:space="preserve"> an essential step in that process that the </w:t>
      </w:r>
      <w:r w:rsidR="00B217BF">
        <w:t>prospective</w:t>
      </w:r>
      <w:r>
        <w:t xml:space="preserve"> applicant discharge at the hearing of the application the burden of proving that it seeks preliminary discovery for a purpose countenanced by </w:t>
      </w:r>
      <w:r w:rsidR="00B217BF">
        <w:t>r</w:t>
      </w:r>
      <w:r>
        <w:t xml:space="preserve"> 7.22 and, in particular, </w:t>
      </w:r>
      <w:r w:rsidR="00B217BF">
        <w:t xml:space="preserve">that it put on evidence of </w:t>
      </w:r>
      <w:r>
        <w:t>the nature of the demands</w:t>
      </w:r>
      <w:r w:rsidR="004F5038">
        <w:t xml:space="preserve"> or claims</w:t>
      </w:r>
      <w:r>
        <w:t xml:space="preserve"> it proposes to make. </w:t>
      </w:r>
      <w:r w:rsidR="002E0F63">
        <w:t xml:space="preserve"> </w:t>
      </w:r>
      <w:r>
        <w:t>Whilst the UK and Canadian cases explain why two hearings occurred in this case, there is no real reason for this to occur in the future.</w:t>
      </w:r>
      <w:r w:rsidR="002E0F63">
        <w:t xml:space="preserve"> </w:t>
      </w:r>
      <w:r>
        <w:t xml:space="preserve"> </w:t>
      </w:r>
      <w:r w:rsidR="00886405">
        <w:t xml:space="preserve">Further, I </w:t>
      </w:r>
      <w:r>
        <w:t>do not think it is appropriate for the Court to examine the content of any correspondence</w:t>
      </w:r>
      <w:r w:rsidR="00B217BF">
        <w:t>,</w:t>
      </w:r>
      <w:r>
        <w:t xml:space="preserve"> other than</w:t>
      </w:r>
      <w:r w:rsidR="00886405">
        <w:t xml:space="preserve"> to </w:t>
      </w:r>
      <w:r>
        <w:t xml:space="preserve">discern whether the </w:t>
      </w:r>
      <w:r w:rsidR="004F5038">
        <w:t>prospective</w:t>
      </w:r>
      <w:r>
        <w:t xml:space="preserve"> applicant’s purpose is within </w:t>
      </w:r>
      <w:r w:rsidR="00B217BF">
        <w:t>r</w:t>
      </w:r>
      <w:r>
        <w:t xml:space="preserve"> 7.22.</w:t>
      </w:r>
      <w:r w:rsidR="002E0F63">
        <w:t xml:space="preserve"> </w:t>
      </w:r>
      <w:r w:rsidR="00B217BF">
        <w:t xml:space="preserve"> Ordinarily</w:t>
      </w:r>
      <w:r>
        <w:t xml:space="preserve"> it will be useful to grant the </w:t>
      </w:r>
      <w:r>
        <w:lastRenderedPageBreak/>
        <w:t>preliminary discovery on the basis of an undertaking only to use the information for the purposes specified and</w:t>
      </w:r>
      <w:r w:rsidR="00B217BF">
        <w:t>,</w:t>
      </w:r>
      <w:r>
        <w:t xml:space="preserve"> where the </w:t>
      </w:r>
      <w:r w:rsidR="004F5038">
        <w:t>prospective</w:t>
      </w:r>
      <w:r>
        <w:t xml:space="preserve"> applicant is absent from the jurisdiction</w:t>
      </w:r>
      <w:r w:rsidR="00B217BF">
        <w:t>,</w:t>
      </w:r>
      <w:r>
        <w:t xml:space="preserve"> to require security for that undertaking.</w:t>
      </w:r>
    </w:p>
    <w:p w:rsidR="00524170" w:rsidRPr="002E0F63" w:rsidRDefault="00524170" w:rsidP="002E0F63">
      <w:pPr>
        <w:pStyle w:val="ParaNumbering"/>
      </w:pPr>
      <w:r w:rsidRPr="002E0F63">
        <w:t xml:space="preserve">Finally, as in </w:t>
      </w:r>
      <w:r w:rsidR="00656632">
        <w:rPr>
          <w:i/>
        </w:rPr>
        <w:t>Voltage v John Doe</w:t>
      </w:r>
      <w:r w:rsidR="00B217BF">
        <w:t xml:space="preserve">, </w:t>
      </w:r>
      <w:r w:rsidRPr="002E0F63">
        <w:t xml:space="preserve">I think it appropriate </w:t>
      </w:r>
      <w:r w:rsidR="00FA4AF0">
        <w:t xml:space="preserve">if this matter goes further </w:t>
      </w:r>
      <w:r w:rsidRPr="002E0F63">
        <w:t xml:space="preserve">that </w:t>
      </w:r>
      <w:proofErr w:type="spellStart"/>
      <w:r w:rsidRPr="002E0F63">
        <w:t>DBC</w:t>
      </w:r>
      <w:proofErr w:type="spellEnd"/>
      <w:r w:rsidRPr="002E0F63">
        <w:t xml:space="preserve"> should also undertake that any proceedings it commences should be commenced in this Court rather than </w:t>
      </w:r>
      <w:r w:rsidR="00B217BF">
        <w:t xml:space="preserve">in </w:t>
      </w:r>
      <w:r w:rsidRPr="002E0F63">
        <w:t>the Federal Circuit Court</w:t>
      </w:r>
      <w:r w:rsidR="00656632">
        <w:t>.  A</w:t>
      </w:r>
      <w:r w:rsidRPr="002E0F63">
        <w:t xml:space="preserve">nd, at least in the first instance, </w:t>
      </w:r>
      <w:r w:rsidR="00FA4AF0">
        <w:t xml:space="preserve">if the undertaking is forthcoming </w:t>
      </w:r>
      <w:r w:rsidRPr="002E0F63">
        <w:t xml:space="preserve">I will direct the Registrar that any such case which is filed should be listed before me for directions. </w:t>
      </w:r>
      <w:r w:rsidR="002E0F63" w:rsidRPr="002E0F63">
        <w:t xml:space="preserve"> </w:t>
      </w:r>
      <w:r w:rsidRPr="002E0F63">
        <w:t>In particular, any multi-respondent or reverse class action suit should come before me for directions before it is served on any respondent.</w:t>
      </w:r>
    </w:p>
    <w:p w:rsidR="00524170" w:rsidRDefault="00524170" w:rsidP="002E0F63">
      <w:pPr>
        <w:pStyle w:val="ParaNumbering"/>
      </w:pPr>
      <w:r>
        <w:t xml:space="preserve">The present application </w:t>
      </w:r>
      <w:r w:rsidR="00886405">
        <w:t xml:space="preserve">will be </w:t>
      </w:r>
      <w:r>
        <w:t>dismissed with costs.</w:t>
      </w:r>
    </w:p>
    <w:p w:rsidR="002E0F63" w:rsidRDefault="002E0F63" w:rsidP="00CB1069">
      <w:pPr>
        <w:pStyle w:val="BodyText"/>
      </w:pPr>
      <w:bookmarkStart w:id="19" w:name="Certification"/>
    </w:p>
    <w:tbl>
      <w:tblPr>
        <w:tblW w:w="0" w:type="auto"/>
        <w:tblLook w:val="04A0" w:firstRow="1" w:lastRow="0" w:firstColumn="1" w:lastColumn="0" w:noHBand="0" w:noVBand="1"/>
      </w:tblPr>
      <w:tblGrid>
        <w:gridCol w:w="3794"/>
      </w:tblGrid>
      <w:tr w:rsidR="002E0F63" w:rsidRPr="002E0F63">
        <w:tc>
          <w:tcPr>
            <w:tcW w:w="3794" w:type="dxa"/>
            <w:shd w:val="clear" w:color="auto" w:fill="auto"/>
          </w:tcPr>
          <w:p w:rsidR="002E0F63" w:rsidRPr="002E0F63" w:rsidRDefault="002E0F63" w:rsidP="00B217BF">
            <w:pPr>
              <w:pStyle w:val="Normal1linespace"/>
            </w:pPr>
            <w:r w:rsidRPr="002E0F63">
              <w:t xml:space="preserve">I certify that the preceding </w:t>
            </w:r>
            <w:bookmarkStart w:id="20" w:name="NumberWord"/>
            <w:r w:rsidR="00B217BF">
              <w:t>thirty-eight</w:t>
            </w:r>
            <w:bookmarkEnd w:id="20"/>
            <w:r w:rsidRPr="002E0F63">
              <w:t xml:space="preserve"> (</w:t>
            </w:r>
            <w:bookmarkStart w:id="21" w:name="NumberNumeral"/>
            <w:r w:rsidR="00886405">
              <w:t>3</w:t>
            </w:r>
            <w:r w:rsidR="00B217BF">
              <w:t>8</w:t>
            </w:r>
            <w:bookmarkEnd w:id="21"/>
            <w:r w:rsidRPr="002E0F63">
              <w:t xml:space="preserve">) numbered </w:t>
            </w:r>
            <w:bookmarkStart w:id="22" w:name="CertPara"/>
            <w:r w:rsidR="00886405">
              <w:t>paragraphs are</w:t>
            </w:r>
            <w:bookmarkEnd w:id="22"/>
            <w:r w:rsidRPr="002E0F63">
              <w:t xml:space="preserve"> a true copy of the Reasons for Judgment herein of the Honourable </w:t>
            </w:r>
            <w:bookmarkStart w:id="23" w:name="Justice"/>
            <w:r w:rsidR="00886405">
              <w:t>Justice Perram</w:t>
            </w:r>
            <w:bookmarkEnd w:id="23"/>
            <w:r w:rsidRPr="002E0F63">
              <w:t>.</w:t>
            </w:r>
          </w:p>
        </w:tc>
      </w:tr>
    </w:tbl>
    <w:p w:rsidR="002E0F63" w:rsidRDefault="002E0F63" w:rsidP="00CB1069">
      <w:pPr>
        <w:pStyle w:val="BodyText"/>
      </w:pPr>
    </w:p>
    <w:p w:rsidR="002E0F63" w:rsidRDefault="002E0F63" w:rsidP="00CB1069">
      <w:pPr>
        <w:pStyle w:val="BodyText"/>
      </w:pPr>
      <w:r>
        <w:t>Associate:</w:t>
      </w:r>
    </w:p>
    <w:p w:rsidR="002E0F63" w:rsidRDefault="002E0F63" w:rsidP="00CB1069">
      <w:pPr>
        <w:pStyle w:val="BodyText"/>
        <w:tabs>
          <w:tab w:val="left" w:pos="1134"/>
        </w:tabs>
      </w:pPr>
      <w:r>
        <w:t>Dated:</w:t>
      </w:r>
      <w:r>
        <w:tab/>
      </w:r>
      <w:bookmarkStart w:id="24" w:name="CertifyDated"/>
      <w:r w:rsidR="00B217BF">
        <w:t>14 August</w:t>
      </w:r>
      <w:r w:rsidR="00886405">
        <w:t xml:space="preserve"> 2015</w:t>
      </w:r>
      <w:bookmarkEnd w:id="24"/>
    </w:p>
    <w:p w:rsidR="002E0F63" w:rsidRDefault="002E0F63" w:rsidP="00CB1069">
      <w:pPr>
        <w:pStyle w:val="BodyText"/>
      </w:pPr>
    </w:p>
    <w:p w:rsidR="002E0F63" w:rsidRDefault="002E0F63">
      <w:pPr>
        <w:spacing w:line="240" w:lineRule="auto"/>
        <w:jc w:val="left"/>
      </w:pPr>
      <w:bookmarkStart w:id="25" w:name="_GoBack"/>
      <w:bookmarkEnd w:id="19"/>
      <w:bookmarkEnd w:id="25"/>
    </w:p>
    <w:sectPr w:rsidR="002E0F63">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69" w:rsidRDefault="00CB1069">
      <w:pPr>
        <w:spacing w:line="20" w:lineRule="exact"/>
      </w:pPr>
    </w:p>
    <w:p w:rsidR="00CB1069" w:rsidRDefault="00CB1069"/>
    <w:p w:rsidR="00CB1069" w:rsidRDefault="00CB1069"/>
  </w:endnote>
  <w:endnote w:type="continuationSeparator" w:id="0">
    <w:p w:rsidR="00CB1069" w:rsidRDefault="00CB1069">
      <w:r>
        <w:t xml:space="preserve"> </w:t>
      </w:r>
    </w:p>
    <w:p w:rsidR="00CB1069" w:rsidRDefault="00CB1069"/>
    <w:p w:rsidR="00CB1069" w:rsidRDefault="00CB1069"/>
  </w:endnote>
  <w:endnote w:type="continuationNotice" w:id="1">
    <w:p w:rsidR="00CB1069" w:rsidRDefault="00CB1069">
      <w:r>
        <w:t xml:space="preserve"> </w:t>
      </w:r>
    </w:p>
    <w:p w:rsidR="00CB1069" w:rsidRDefault="00CB1069"/>
    <w:p w:rsidR="00CB1069" w:rsidRDefault="00CB1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CB1069">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Pr="00944F6A" w:rsidRDefault="00CB1069" w:rsidP="00944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CB106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69" w:rsidRDefault="00CB1069"/>
    <w:p w:rsidR="00CB1069" w:rsidRDefault="00CB1069"/>
    <w:p w:rsidR="00CB1069" w:rsidRDefault="00CB1069"/>
  </w:footnote>
  <w:footnote w:type="continuationSeparator" w:id="0">
    <w:p w:rsidR="00CB1069" w:rsidRDefault="00CB1069">
      <w:r>
        <w:continuationSeparator/>
      </w:r>
    </w:p>
    <w:p w:rsidR="00CB1069" w:rsidRDefault="00CB1069"/>
    <w:p w:rsidR="00CB1069" w:rsidRDefault="00CB10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CB106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85D97">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CB1069">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CB1069">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CB106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CB1069">
    <w:pPr>
      <w:tabs>
        <w:tab w:val="center" w:pos="4512"/>
      </w:tabs>
      <w:suppressAutoHyphens/>
    </w:pPr>
    <w:r>
      <w:tab/>
      <w:t xml:space="preserve">- </w:t>
    </w:r>
    <w:r>
      <w:fldChar w:fldCharType="begin"/>
    </w:r>
    <w:r>
      <w:instrText>page \* arabic</w:instrText>
    </w:r>
    <w:r>
      <w:fldChar w:fldCharType="separate"/>
    </w:r>
    <w:r w:rsidR="00585D97">
      <w:rPr>
        <w:noProof/>
      </w:rPr>
      <w:t>13</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CB106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D02A6B4E">
      <w:start w:val="1"/>
      <w:numFmt w:val="bullet"/>
      <w:pStyle w:val="Quote2Bullet"/>
      <w:lvlText w:val=""/>
      <w:lvlJc w:val="left"/>
      <w:pPr>
        <w:ind w:left="2160" w:hanging="360"/>
      </w:pPr>
      <w:rPr>
        <w:rFonts w:ascii="Wingdings" w:hAnsi="Wingdings" w:hint="default"/>
      </w:rPr>
    </w:lvl>
    <w:lvl w:ilvl="1" w:tplc="0AB63E78" w:tentative="1">
      <w:start w:val="1"/>
      <w:numFmt w:val="bullet"/>
      <w:lvlText w:val="o"/>
      <w:lvlJc w:val="left"/>
      <w:pPr>
        <w:ind w:left="2880" w:hanging="360"/>
      </w:pPr>
      <w:rPr>
        <w:rFonts w:ascii="Courier New" w:hAnsi="Courier New" w:cs="Courier New" w:hint="default"/>
      </w:rPr>
    </w:lvl>
    <w:lvl w:ilvl="2" w:tplc="F9CE0DA8" w:tentative="1">
      <w:start w:val="1"/>
      <w:numFmt w:val="bullet"/>
      <w:lvlText w:val=""/>
      <w:lvlJc w:val="left"/>
      <w:pPr>
        <w:ind w:left="3600" w:hanging="360"/>
      </w:pPr>
      <w:rPr>
        <w:rFonts w:ascii="Wingdings" w:hAnsi="Wingdings" w:hint="default"/>
      </w:rPr>
    </w:lvl>
    <w:lvl w:ilvl="3" w:tplc="3B00E932" w:tentative="1">
      <w:start w:val="1"/>
      <w:numFmt w:val="bullet"/>
      <w:lvlText w:val=""/>
      <w:lvlJc w:val="left"/>
      <w:pPr>
        <w:ind w:left="4320" w:hanging="360"/>
      </w:pPr>
      <w:rPr>
        <w:rFonts w:ascii="Symbol" w:hAnsi="Symbol" w:hint="default"/>
      </w:rPr>
    </w:lvl>
    <w:lvl w:ilvl="4" w:tplc="C67659B2" w:tentative="1">
      <w:start w:val="1"/>
      <w:numFmt w:val="bullet"/>
      <w:lvlText w:val="o"/>
      <w:lvlJc w:val="left"/>
      <w:pPr>
        <w:ind w:left="5040" w:hanging="360"/>
      </w:pPr>
      <w:rPr>
        <w:rFonts w:ascii="Courier New" w:hAnsi="Courier New" w:cs="Courier New" w:hint="default"/>
      </w:rPr>
    </w:lvl>
    <w:lvl w:ilvl="5" w:tplc="78A6170C" w:tentative="1">
      <w:start w:val="1"/>
      <w:numFmt w:val="bullet"/>
      <w:lvlText w:val=""/>
      <w:lvlJc w:val="left"/>
      <w:pPr>
        <w:ind w:left="5760" w:hanging="360"/>
      </w:pPr>
      <w:rPr>
        <w:rFonts w:ascii="Wingdings" w:hAnsi="Wingdings" w:hint="default"/>
      </w:rPr>
    </w:lvl>
    <w:lvl w:ilvl="6" w:tplc="8344268C" w:tentative="1">
      <w:start w:val="1"/>
      <w:numFmt w:val="bullet"/>
      <w:lvlText w:val=""/>
      <w:lvlJc w:val="left"/>
      <w:pPr>
        <w:ind w:left="6480" w:hanging="360"/>
      </w:pPr>
      <w:rPr>
        <w:rFonts w:ascii="Symbol" w:hAnsi="Symbol" w:hint="default"/>
      </w:rPr>
    </w:lvl>
    <w:lvl w:ilvl="7" w:tplc="4A24987E" w:tentative="1">
      <w:start w:val="1"/>
      <w:numFmt w:val="bullet"/>
      <w:lvlText w:val="o"/>
      <w:lvlJc w:val="left"/>
      <w:pPr>
        <w:ind w:left="7200" w:hanging="360"/>
      </w:pPr>
      <w:rPr>
        <w:rFonts w:ascii="Courier New" w:hAnsi="Courier New" w:cs="Courier New" w:hint="default"/>
      </w:rPr>
    </w:lvl>
    <w:lvl w:ilvl="8" w:tplc="92A682AE" w:tentative="1">
      <w:start w:val="1"/>
      <w:numFmt w:val="bullet"/>
      <w:lvlText w:val=""/>
      <w:lvlJc w:val="left"/>
      <w:pPr>
        <w:ind w:left="7920" w:hanging="360"/>
      </w:pPr>
      <w:rPr>
        <w:rFonts w:ascii="Wingdings" w:hAnsi="Wingdings" w:hint="default"/>
      </w:rPr>
    </w:lvl>
  </w:abstractNum>
  <w:abstractNum w:abstractNumId="11">
    <w:nsid w:val="0E853A62"/>
    <w:multiLevelType w:val="singleLevel"/>
    <w:tmpl w:val="DFD0A93E"/>
    <w:lvl w:ilvl="0">
      <w:start w:val="1"/>
      <w:numFmt w:val="lowerLetter"/>
      <w:lvlText w:val="(%1)"/>
      <w:lvlJc w:val="left"/>
      <w:pPr>
        <w:tabs>
          <w:tab w:val="num" w:pos="720"/>
        </w:tabs>
        <w:ind w:left="720" w:hanging="720"/>
      </w:pPr>
      <w:rPr>
        <w:rFonts w:hint="default"/>
      </w:rPr>
    </w:lvl>
  </w:abstractNum>
  <w:abstractNum w:abstractNumId="12">
    <w:nsid w:val="16197E95"/>
    <w:multiLevelType w:val="singleLevel"/>
    <w:tmpl w:val="8ADA5E62"/>
    <w:lvl w:ilvl="0">
      <w:start w:val="1"/>
      <w:numFmt w:val="lowerLetter"/>
      <w:pStyle w:val="ListNo3"/>
      <w:lvlText w:val="(%1)"/>
      <w:lvlJc w:val="left"/>
      <w:pPr>
        <w:ind w:left="720" w:hanging="360"/>
      </w:pPr>
      <w:rPr>
        <w:rFonts w:hint="default"/>
      </w:rPr>
    </w:lvl>
  </w:abstractNum>
  <w:abstractNum w:abstractNumId="13">
    <w:nsid w:val="164514A3"/>
    <w:multiLevelType w:val="multilevel"/>
    <w:tmpl w:val="0F0EC90E"/>
    <w:numStyleLink w:val="FCListNo"/>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7B6464D"/>
    <w:multiLevelType w:val="hybridMultilevel"/>
    <w:tmpl w:val="91AE664A"/>
    <w:lvl w:ilvl="0" w:tplc="A9FCA6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1DD360CF"/>
    <w:multiLevelType w:val="multilevel"/>
    <w:tmpl w:val="0F0EC90E"/>
    <w:numStyleLink w:val="FCListNo"/>
  </w:abstractNum>
  <w:abstractNum w:abstractNumId="18">
    <w:nsid w:val="28881862"/>
    <w:multiLevelType w:val="hybridMultilevel"/>
    <w:tmpl w:val="785AAE42"/>
    <w:lvl w:ilvl="0" w:tplc="49BC3AD6">
      <w:start w:val="8"/>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2CA56C02"/>
    <w:multiLevelType w:val="hybridMultilevel"/>
    <w:tmpl w:val="55EEE930"/>
    <w:lvl w:ilvl="0" w:tplc="6D2C8DB8">
      <w:start w:val="8"/>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2">
    <w:nsid w:val="33561E2E"/>
    <w:multiLevelType w:val="hybridMultilevel"/>
    <w:tmpl w:val="E0D27D0E"/>
    <w:lvl w:ilvl="0" w:tplc="D46CABA0">
      <w:start w:val="1"/>
      <w:numFmt w:val="bullet"/>
      <w:pStyle w:val="Quote3Bullet"/>
      <w:lvlText w:val=""/>
      <w:lvlJc w:val="left"/>
      <w:pPr>
        <w:ind w:left="2880" w:hanging="360"/>
      </w:pPr>
      <w:rPr>
        <w:rFonts w:ascii="Wingdings" w:hAnsi="Wingdings" w:hint="default"/>
      </w:rPr>
    </w:lvl>
    <w:lvl w:ilvl="1" w:tplc="8892AF48" w:tentative="1">
      <w:start w:val="1"/>
      <w:numFmt w:val="bullet"/>
      <w:lvlText w:val="o"/>
      <w:lvlJc w:val="left"/>
      <w:pPr>
        <w:ind w:left="3600" w:hanging="360"/>
      </w:pPr>
      <w:rPr>
        <w:rFonts w:ascii="Courier New" w:hAnsi="Courier New" w:cs="Courier New" w:hint="default"/>
      </w:rPr>
    </w:lvl>
    <w:lvl w:ilvl="2" w:tplc="F12CAB06" w:tentative="1">
      <w:start w:val="1"/>
      <w:numFmt w:val="bullet"/>
      <w:lvlText w:val=""/>
      <w:lvlJc w:val="left"/>
      <w:pPr>
        <w:ind w:left="4320" w:hanging="360"/>
      </w:pPr>
      <w:rPr>
        <w:rFonts w:ascii="Wingdings" w:hAnsi="Wingdings" w:hint="default"/>
      </w:rPr>
    </w:lvl>
    <w:lvl w:ilvl="3" w:tplc="7E6672B8" w:tentative="1">
      <w:start w:val="1"/>
      <w:numFmt w:val="bullet"/>
      <w:lvlText w:val=""/>
      <w:lvlJc w:val="left"/>
      <w:pPr>
        <w:ind w:left="5040" w:hanging="360"/>
      </w:pPr>
      <w:rPr>
        <w:rFonts w:ascii="Symbol" w:hAnsi="Symbol" w:hint="default"/>
      </w:rPr>
    </w:lvl>
    <w:lvl w:ilvl="4" w:tplc="5E1022D2" w:tentative="1">
      <w:start w:val="1"/>
      <w:numFmt w:val="bullet"/>
      <w:lvlText w:val="o"/>
      <w:lvlJc w:val="left"/>
      <w:pPr>
        <w:ind w:left="5760" w:hanging="360"/>
      </w:pPr>
      <w:rPr>
        <w:rFonts w:ascii="Courier New" w:hAnsi="Courier New" w:cs="Courier New" w:hint="default"/>
      </w:rPr>
    </w:lvl>
    <w:lvl w:ilvl="5" w:tplc="2834D7B8" w:tentative="1">
      <w:start w:val="1"/>
      <w:numFmt w:val="bullet"/>
      <w:lvlText w:val=""/>
      <w:lvlJc w:val="left"/>
      <w:pPr>
        <w:ind w:left="6480" w:hanging="360"/>
      </w:pPr>
      <w:rPr>
        <w:rFonts w:ascii="Wingdings" w:hAnsi="Wingdings" w:hint="default"/>
      </w:rPr>
    </w:lvl>
    <w:lvl w:ilvl="6" w:tplc="377AC670" w:tentative="1">
      <w:start w:val="1"/>
      <w:numFmt w:val="bullet"/>
      <w:lvlText w:val=""/>
      <w:lvlJc w:val="left"/>
      <w:pPr>
        <w:ind w:left="7200" w:hanging="360"/>
      </w:pPr>
      <w:rPr>
        <w:rFonts w:ascii="Symbol" w:hAnsi="Symbol" w:hint="default"/>
      </w:rPr>
    </w:lvl>
    <w:lvl w:ilvl="7" w:tplc="294A8970" w:tentative="1">
      <w:start w:val="1"/>
      <w:numFmt w:val="bullet"/>
      <w:lvlText w:val="o"/>
      <w:lvlJc w:val="left"/>
      <w:pPr>
        <w:ind w:left="7920" w:hanging="360"/>
      </w:pPr>
      <w:rPr>
        <w:rFonts w:ascii="Courier New" w:hAnsi="Courier New" w:cs="Courier New" w:hint="default"/>
      </w:rPr>
    </w:lvl>
    <w:lvl w:ilvl="8" w:tplc="09D0DFE4" w:tentative="1">
      <w:start w:val="1"/>
      <w:numFmt w:val="bullet"/>
      <w:lvlText w:val=""/>
      <w:lvlJc w:val="left"/>
      <w:pPr>
        <w:ind w:left="8640" w:hanging="360"/>
      </w:pPr>
      <w:rPr>
        <w:rFonts w:ascii="Wingdings" w:hAnsi="Wingdings" w:hint="default"/>
      </w:rPr>
    </w:lvl>
  </w:abstractNum>
  <w:abstractNum w:abstractNumId="23">
    <w:nsid w:val="401A65EE"/>
    <w:multiLevelType w:val="hybridMultilevel"/>
    <w:tmpl w:val="EFC28DC2"/>
    <w:lvl w:ilvl="0" w:tplc="FF9A7B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743E77"/>
    <w:multiLevelType w:val="multilevel"/>
    <w:tmpl w:val="0F0EC90E"/>
    <w:numStyleLink w:val="FCListNo"/>
  </w:abstractNum>
  <w:abstractNum w:abstractNumId="25">
    <w:nsid w:val="48B03A73"/>
    <w:multiLevelType w:val="hybridMultilevel"/>
    <w:tmpl w:val="22B2868E"/>
    <w:lvl w:ilvl="0" w:tplc="D0B8DE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E7E6C3E"/>
    <w:multiLevelType w:val="singleLevel"/>
    <w:tmpl w:val="B010E9B0"/>
    <w:lvl w:ilvl="0">
      <w:start w:val="1"/>
      <w:numFmt w:val="lowerLetter"/>
      <w:lvlText w:val="(%1)"/>
      <w:lvlJc w:val="left"/>
      <w:pPr>
        <w:tabs>
          <w:tab w:val="num" w:pos="720"/>
        </w:tabs>
        <w:ind w:left="720" w:hanging="720"/>
      </w:pPr>
      <w:rPr>
        <w:rFonts w:hint="default"/>
      </w:rPr>
    </w:lvl>
  </w:abstractNum>
  <w:abstractNum w:abstractNumId="29">
    <w:nsid w:val="50E53350"/>
    <w:multiLevelType w:val="singleLevel"/>
    <w:tmpl w:val="A6A8F236"/>
    <w:lvl w:ilvl="0">
      <w:start w:val="1"/>
      <w:numFmt w:val="lowerLetter"/>
      <w:lvlText w:val="(%1)"/>
      <w:lvlJc w:val="left"/>
      <w:pPr>
        <w:tabs>
          <w:tab w:val="num" w:pos="720"/>
        </w:tabs>
        <w:ind w:left="720" w:hanging="720"/>
      </w:pPr>
      <w:rPr>
        <w:rFonts w:hint="default"/>
      </w:rPr>
    </w:lvl>
  </w:abstractNum>
  <w:abstractNum w:abstractNumId="30">
    <w:nsid w:val="58905E0B"/>
    <w:multiLevelType w:val="multilevel"/>
    <w:tmpl w:val="0F0EC90E"/>
    <w:numStyleLink w:val="FCListNo"/>
  </w:abstractNum>
  <w:abstractNum w:abstractNumId="31">
    <w:nsid w:val="5AD32532"/>
    <w:multiLevelType w:val="singleLevel"/>
    <w:tmpl w:val="8F5C526E"/>
    <w:lvl w:ilvl="0">
      <w:start w:val="1"/>
      <w:numFmt w:val="lowerLetter"/>
      <w:lvlText w:val="(%1)"/>
      <w:lvlJc w:val="left"/>
      <w:pPr>
        <w:tabs>
          <w:tab w:val="num" w:pos="720"/>
        </w:tabs>
        <w:ind w:left="720" w:hanging="720"/>
      </w:pPr>
      <w:rPr>
        <w:rFonts w:hint="default"/>
      </w:rPr>
    </w:lvl>
  </w:abstractNum>
  <w:abstractNum w:abstractNumId="32">
    <w:nsid w:val="5CB13D2F"/>
    <w:multiLevelType w:val="singleLevel"/>
    <w:tmpl w:val="9EE8BE36"/>
    <w:lvl w:ilvl="0">
      <w:start w:val="1"/>
      <w:numFmt w:val="decimal"/>
      <w:lvlText w:val="%1."/>
      <w:lvlJc w:val="left"/>
      <w:pPr>
        <w:tabs>
          <w:tab w:val="num" w:pos="720"/>
        </w:tabs>
        <w:ind w:left="720" w:hanging="720"/>
      </w:pPr>
      <w:rPr>
        <w:rFonts w:hint="default"/>
      </w:rPr>
    </w:lvl>
  </w:abstractNum>
  <w:abstractNum w:abstractNumId="33">
    <w:nsid w:val="5E617673"/>
    <w:multiLevelType w:val="hybridMultilevel"/>
    <w:tmpl w:val="5268FA46"/>
    <w:lvl w:ilvl="0" w:tplc="560EB430">
      <w:start w:val="1"/>
      <w:numFmt w:val="decimal"/>
      <w:lvlText w:val="(%1)"/>
      <w:lvlJc w:val="left"/>
      <w:pPr>
        <w:ind w:left="1097" w:hanging="360"/>
      </w:pPr>
      <w:rPr>
        <w:rFonts w:hint="default"/>
      </w:rPr>
    </w:lvl>
    <w:lvl w:ilvl="1" w:tplc="11D2F740" w:tentative="1">
      <w:start w:val="1"/>
      <w:numFmt w:val="lowerLetter"/>
      <w:lvlText w:val="%2."/>
      <w:lvlJc w:val="left"/>
      <w:pPr>
        <w:ind w:left="1817" w:hanging="360"/>
      </w:pPr>
    </w:lvl>
    <w:lvl w:ilvl="2" w:tplc="D974C4A0" w:tentative="1">
      <w:start w:val="1"/>
      <w:numFmt w:val="lowerRoman"/>
      <w:lvlText w:val="%3."/>
      <w:lvlJc w:val="right"/>
      <w:pPr>
        <w:ind w:left="2537" w:hanging="180"/>
      </w:pPr>
    </w:lvl>
    <w:lvl w:ilvl="3" w:tplc="AE3C9EE0" w:tentative="1">
      <w:start w:val="1"/>
      <w:numFmt w:val="decimal"/>
      <w:lvlText w:val="%4."/>
      <w:lvlJc w:val="left"/>
      <w:pPr>
        <w:ind w:left="3257" w:hanging="360"/>
      </w:pPr>
    </w:lvl>
    <w:lvl w:ilvl="4" w:tplc="A5B80B2A" w:tentative="1">
      <w:start w:val="1"/>
      <w:numFmt w:val="lowerLetter"/>
      <w:lvlText w:val="%5."/>
      <w:lvlJc w:val="left"/>
      <w:pPr>
        <w:ind w:left="3977" w:hanging="360"/>
      </w:pPr>
    </w:lvl>
    <w:lvl w:ilvl="5" w:tplc="92EA80E8" w:tentative="1">
      <w:start w:val="1"/>
      <w:numFmt w:val="lowerRoman"/>
      <w:lvlText w:val="%6."/>
      <w:lvlJc w:val="right"/>
      <w:pPr>
        <w:ind w:left="4697" w:hanging="180"/>
      </w:pPr>
    </w:lvl>
    <w:lvl w:ilvl="6" w:tplc="DE0290F4" w:tentative="1">
      <w:start w:val="1"/>
      <w:numFmt w:val="decimal"/>
      <w:lvlText w:val="%7."/>
      <w:lvlJc w:val="left"/>
      <w:pPr>
        <w:ind w:left="5417" w:hanging="360"/>
      </w:pPr>
    </w:lvl>
    <w:lvl w:ilvl="7" w:tplc="6D4A30CE" w:tentative="1">
      <w:start w:val="1"/>
      <w:numFmt w:val="lowerLetter"/>
      <w:lvlText w:val="%8."/>
      <w:lvlJc w:val="left"/>
      <w:pPr>
        <w:ind w:left="6137" w:hanging="360"/>
      </w:pPr>
    </w:lvl>
    <w:lvl w:ilvl="8" w:tplc="C66A729A" w:tentative="1">
      <w:start w:val="1"/>
      <w:numFmt w:val="lowerRoman"/>
      <w:lvlText w:val="%9."/>
      <w:lvlJc w:val="right"/>
      <w:pPr>
        <w:ind w:left="6857" w:hanging="180"/>
      </w:pPr>
    </w:lvl>
  </w:abstractNum>
  <w:abstractNum w:abstractNumId="34">
    <w:nsid w:val="606C52EA"/>
    <w:multiLevelType w:val="singleLevel"/>
    <w:tmpl w:val="C07CD230"/>
    <w:lvl w:ilvl="0">
      <w:start w:val="1"/>
      <w:numFmt w:val="decimal"/>
      <w:lvlText w:val="%1."/>
      <w:lvlJc w:val="left"/>
      <w:pPr>
        <w:tabs>
          <w:tab w:val="num" w:pos="720"/>
        </w:tabs>
        <w:ind w:left="720" w:hanging="720"/>
      </w:pPr>
      <w:rPr>
        <w:rFonts w:hint="default"/>
      </w:rPr>
    </w:lvl>
  </w:abstractNum>
  <w:abstractNum w:abstractNumId="3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6E714434"/>
    <w:multiLevelType w:val="multilevel"/>
    <w:tmpl w:val="0F0EC90E"/>
    <w:numStyleLink w:val="FCListNo"/>
  </w:abstractNum>
  <w:abstractNum w:abstractNumId="37">
    <w:nsid w:val="6F9B6398"/>
    <w:multiLevelType w:val="hybridMultilevel"/>
    <w:tmpl w:val="0E4CBD92"/>
    <w:lvl w:ilvl="0" w:tplc="84F8B6F6">
      <w:start w:val="1"/>
      <w:numFmt w:val="bullet"/>
      <w:pStyle w:val="Quote1Bullet"/>
      <w:lvlText w:val=""/>
      <w:lvlJc w:val="left"/>
      <w:pPr>
        <w:ind w:left="1457" w:hanging="360"/>
      </w:pPr>
      <w:rPr>
        <w:rFonts w:ascii="Wingdings" w:hAnsi="Wingdings" w:hint="default"/>
      </w:rPr>
    </w:lvl>
    <w:lvl w:ilvl="1" w:tplc="A8DEC756" w:tentative="1">
      <w:start w:val="1"/>
      <w:numFmt w:val="bullet"/>
      <w:lvlText w:val="o"/>
      <w:lvlJc w:val="left"/>
      <w:pPr>
        <w:ind w:left="2177" w:hanging="360"/>
      </w:pPr>
      <w:rPr>
        <w:rFonts w:ascii="Courier New" w:hAnsi="Courier New" w:cs="Courier New" w:hint="default"/>
      </w:rPr>
    </w:lvl>
    <w:lvl w:ilvl="2" w:tplc="C8B8EB10" w:tentative="1">
      <w:start w:val="1"/>
      <w:numFmt w:val="bullet"/>
      <w:lvlText w:val=""/>
      <w:lvlJc w:val="left"/>
      <w:pPr>
        <w:ind w:left="2897" w:hanging="360"/>
      </w:pPr>
      <w:rPr>
        <w:rFonts w:ascii="Wingdings" w:hAnsi="Wingdings" w:hint="default"/>
      </w:rPr>
    </w:lvl>
    <w:lvl w:ilvl="3" w:tplc="79B6CF64" w:tentative="1">
      <w:start w:val="1"/>
      <w:numFmt w:val="bullet"/>
      <w:lvlText w:val=""/>
      <w:lvlJc w:val="left"/>
      <w:pPr>
        <w:ind w:left="3617" w:hanging="360"/>
      </w:pPr>
      <w:rPr>
        <w:rFonts w:ascii="Symbol" w:hAnsi="Symbol" w:hint="default"/>
      </w:rPr>
    </w:lvl>
    <w:lvl w:ilvl="4" w:tplc="E904FB32" w:tentative="1">
      <w:start w:val="1"/>
      <w:numFmt w:val="bullet"/>
      <w:lvlText w:val="o"/>
      <w:lvlJc w:val="left"/>
      <w:pPr>
        <w:ind w:left="4337" w:hanging="360"/>
      </w:pPr>
      <w:rPr>
        <w:rFonts w:ascii="Courier New" w:hAnsi="Courier New" w:cs="Courier New" w:hint="default"/>
      </w:rPr>
    </w:lvl>
    <w:lvl w:ilvl="5" w:tplc="57DC2416" w:tentative="1">
      <w:start w:val="1"/>
      <w:numFmt w:val="bullet"/>
      <w:lvlText w:val=""/>
      <w:lvlJc w:val="left"/>
      <w:pPr>
        <w:ind w:left="5057" w:hanging="360"/>
      </w:pPr>
      <w:rPr>
        <w:rFonts w:ascii="Wingdings" w:hAnsi="Wingdings" w:hint="default"/>
      </w:rPr>
    </w:lvl>
    <w:lvl w:ilvl="6" w:tplc="ADEA6346" w:tentative="1">
      <w:start w:val="1"/>
      <w:numFmt w:val="bullet"/>
      <w:lvlText w:val=""/>
      <w:lvlJc w:val="left"/>
      <w:pPr>
        <w:ind w:left="5777" w:hanging="360"/>
      </w:pPr>
      <w:rPr>
        <w:rFonts w:ascii="Symbol" w:hAnsi="Symbol" w:hint="default"/>
      </w:rPr>
    </w:lvl>
    <w:lvl w:ilvl="7" w:tplc="0412A6D0" w:tentative="1">
      <w:start w:val="1"/>
      <w:numFmt w:val="bullet"/>
      <w:lvlText w:val="o"/>
      <w:lvlJc w:val="left"/>
      <w:pPr>
        <w:ind w:left="6497" w:hanging="360"/>
      </w:pPr>
      <w:rPr>
        <w:rFonts w:ascii="Courier New" w:hAnsi="Courier New" w:cs="Courier New" w:hint="default"/>
      </w:rPr>
    </w:lvl>
    <w:lvl w:ilvl="8" w:tplc="E45C3964" w:tentative="1">
      <w:start w:val="1"/>
      <w:numFmt w:val="bullet"/>
      <w:lvlText w:val=""/>
      <w:lvlJc w:val="left"/>
      <w:pPr>
        <w:ind w:left="7217" w:hanging="360"/>
      </w:pPr>
      <w:rPr>
        <w:rFonts w:ascii="Wingdings" w:hAnsi="Wingdings" w:hint="default"/>
      </w:rPr>
    </w:lvl>
  </w:abstractNum>
  <w:abstractNum w:abstractNumId="38">
    <w:nsid w:val="736A0CDF"/>
    <w:multiLevelType w:val="hybridMultilevel"/>
    <w:tmpl w:val="EA72DD68"/>
    <w:lvl w:ilvl="0" w:tplc="6D2C8DB8">
      <w:start w:val="8"/>
      <w:numFmt w:val="bullet"/>
      <w:lvlText w:val="-"/>
      <w:lvlJc w:val="left"/>
      <w:pPr>
        <w:ind w:left="1355" w:hanging="360"/>
      </w:pPr>
      <w:rPr>
        <w:rFonts w:ascii="Times New Roman" w:eastAsia="Batang" w:hAnsi="Times New Roman" w:cs="Times New Roman" w:hint="default"/>
      </w:rPr>
    </w:lvl>
    <w:lvl w:ilvl="1" w:tplc="0C090003" w:tentative="1">
      <w:start w:val="1"/>
      <w:numFmt w:val="bullet"/>
      <w:lvlText w:val="o"/>
      <w:lvlJc w:val="left"/>
      <w:pPr>
        <w:ind w:left="2075" w:hanging="360"/>
      </w:pPr>
      <w:rPr>
        <w:rFonts w:ascii="Courier New" w:hAnsi="Courier New" w:cs="Courier New" w:hint="default"/>
      </w:rPr>
    </w:lvl>
    <w:lvl w:ilvl="2" w:tplc="0C090005" w:tentative="1">
      <w:start w:val="1"/>
      <w:numFmt w:val="bullet"/>
      <w:lvlText w:val=""/>
      <w:lvlJc w:val="left"/>
      <w:pPr>
        <w:ind w:left="2795" w:hanging="360"/>
      </w:pPr>
      <w:rPr>
        <w:rFonts w:ascii="Wingdings" w:hAnsi="Wingdings" w:hint="default"/>
      </w:rPr>
    </w:lvl>
    <w:lvl w:ilvl="3" w:tplc="0C090001" w:tentative="1">
      <w:start w:val="1"/>
      <w:numFmt w:val="bullet"/>
      <w:lvlText w:val=""/>
      <w:lvlJc w:val="left"/>
      <w:pPr>
        <w:ind w:left="3515" w:hanging="360"/>
      </w:pPr>
      <w:rPr>
        <w:rFonts w:ascii="Symbol" w:hAnsi="Symbol" w:hint="default"/>
      </w:rPr>
    </w:lvl>
    <w:lvl w:ilvl="4" w:tplc="0C090003" w:tentative="1">
      <w:start w:val="1"/>
      <w:numFmt w:val="bullet"/>
      <w:lvlText w:val="o"/>
      <w:lvlJc w:val="left"/>
      <w:pPr>
        <w:ind w:left="4235" w:hanging="360"/>
      </w:pPr>
      <w:rPr>
        <w:rFonts w:ascii="Courier New" w:hAnsi="Courier New" w:cs="Courier New" w:hint="default"/>
      </w:rPr>
    </w:lvl>
    <w:lvl w:ilvl="5" w:tplc="0C090005" w:tentative="1">
      <w:start w:val="1"/>
      <w:numFmt w:val="bullet"/>
      <w:lvlText w:val=""/>
      <w:lvlJc w:val="left"/>
      <w:pPr>
        <w:ind w:left="4955" w:hanging="360"/>
      </w:pPr>
      <w:rPr>
        <w:rFonts w:ascii="Wingdings" w:hAnsi="Wingdings" w:hint="default"/>
      </w:rPr>
    </w:lvl>
    <w:lvl w:ilvl="6" w:tplc="0C090001" w:tentative="1">
      <w:start w:val="1"/>
      <w:numFmt w:val="bullet"/>
      <w:lvlText w:val=""/>
      <w:lvlJc w:val="left"/>
      <w:pPr>
        <w:ind w:left="5675" w:hanging="360"/>
      </w:pPr>
      <w:rPr>
        <w:rFonts w:ascii="Symbol" w:hAnsi="Symbol" w:hint="default"/>
      </w:rPr>
    </w:lvl>
    <w:lvl w:ilvl="7" w:tplc="0C090003" w:tentative="1">
      <w:start w:val="1"/>
      <w:numFmt w:val="bullet"/>
      <w:lvlText w:val="o"/>
      <w:lvlJc w:val="left"/>
      <w:pPr>
        <w:ind w:left="6395" w:hanging="360"/>
      </w:pPr>
      <w:rPr>
        <w:rFonts w:ascii="Courier New" w:hAnsi="Courier New" w:cs="Courier New" w:hint="default"/>
      </w:rPr>
    </w:lvl>
    <w:lvl w:ilvl="8" w:tplc="0C090005" w:tentative="1">
      <w:start w:val="1"/>
      <w:numFmt w:val="bullet"/>
      <w:lvlText w:val=""/>
      <w:lvlJc w:val="left"/>
      <w:pPr>
        <w:ind w:left="7115" w:hanging="360"/>
      </w:pPr>
      <w:rPr>
        <w:rFonts w:ascii="Wingdings" w:hAnsi="Wingdings" w:hint="default"/>
      </w:rPr>
    </w:lvl>
  </w:abstractNum>
  <w:abstractNum w:abstractNumId="39">
    <w:nsid w:val="79FC176A"/>
    <w:multiLevelType w:val="singleLevel"/>
    <w:tmpl w:val="C07CD230"/>
    <w:lvl w:ilvl="0">
      <w:start w:val="1"/>
      <w:numFmt w:val="decimal"/>
      <w:lvlText w:val="%1."/>
      <w:lvlJc w:val="left"/>
      <w:pPr>
        <w:tabs>
          <w:tab w:val="num" w:pos="720"/>
        </w:tabs>
        <w:ind w:left="720" w:hanging="720"/>
      </w:pPr>
      <w:rPr>
        <w:rFonts w:hint="default"/>
      </w:rPr>
    </w:lvl>
  </w:abstractNum>
  <w:abstractNum w:abstractNumId="4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26"/>
  </w:num>
  <w:num w:numId="15">
    <w:abstractNumId w:val="27"/>
  </w:num>
  <w:num w:numId="16">
    <w:abstractNumId w:val="40"/>
  </w:num>
  <w:num w:numId="17">
    <w:abstractNumId w:val="16"/>
  </w:num>
  <w:num w:numId="18">
    <w:abstractNumId w:val="37"/>
  </w:num>
  <w:num w:numId="19">
    <w:abstractNumId w:val="10"/>
  </w:num>
  <w:num w:numId="20">
    <w:abstractNumId w:val="22"/>
  </w:num>
  <w:num w:numId="21">
    <w:abstractNumId w:val="20"/>
  </w:num>
  <w:num w:numId="22">
    <w:abstractNumId w:val="20"/>
  </w:num>
  <w:num w:numId="23">
    <w:abstractNumId w:val="12"/>
  </w:num>
  <w:num w:numId="24">
    <w:abstractNumId w:val="11"/>
  </w:num>
  <w:num w:numId="25">
    <w:abstractNumId w:val="28"/>
  </w:num>
  <w:num w:numId="26">
    <w:abstractNumId w:val="33"/>
  </w:num>
  <w:num w:numId="27">
    <w:abstractNumId w:val="29"/>
  </w:num>
  <w:num w:numId="28">
    <w:abstractNumId w:val="31"/>
  </w:num>
  <w:num w:numId="29">
    <w:abstractNumId w:val="32"/>
  </w:num>
  <w:num w:numId="30">
    <w:abstractNumId w:val="39"/>
  </w:num>
  <w:num w:numId="31">
    <w:abstractNumId w:val="34"/>
  </w:num>
  <w:num w:numId="32">
    <w:abstractNumId w:val="36"/>
  </w:num>
  <w:num w:numId="33">
    <w:abstractNumId w:val="23"/>
  </w:num>
  <w:num w:numId="34">
    <w:abstractNumId w:val="25"/>
  </w:num>
  <w:num w:numId="35">
    <w:abstractNumId w:val="30"/>
  </w:num>
  <w:num w:numId="36">
    <w:abstractNumId w:val="13"/>
  </w:num>
  <w:num w:numId="37">
    <w:abstractNumId w:val="24"/>
  </w:num>
  <w:num w:numId="38">
    <w:abstractNumId w:val="17"/>
  </w:num>
  <w:num w:numId="39">
    <w:abstractNumId w:val="15"/>
  </w:num>
  <w:num w:numId="40">
    <w:abstractNumId w:val="18"/>
  </w:num>
  <w:num w:numId="41">
    <w:abstractNumId w:val="21"/>
  </w:num>
  <w:num w:numId="42">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90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Dallas Buyers Club LLC|Voltage Pictures LLC"/>
    <w:docVar w:name="CounselParties" w:val="Applicant"/>
    <w:docVar w:name="CounselType" w:val="Solicitor for the "/>
    <w:docVar w:name="Division" w:val="GENERAL DIVISION"/>
    <w:docVar w:name="DocCreated" w:val="True"/>
    <w:docVar w:name="FileNumbers" w:val="NSD 1051 of 2014"/>
    <w:docVar w:name="FullCourt" w:val="False"/>
    <w:docVar w:name="HearingDate" w:val="xx March 2015"/>
    <w:docVar w:name="Judgdate" w:val="xx  July 2015"/>
    <w:docVar w:name="Judge" w:val="Perram"/>
    <w:docVar w:name="JudgePlace" w:val="SYDNEY"/>
    <w:docVar w:name="lstEntryList" w:val="-1"/>
    <w:docVar w:name="myEntryList" w:val="Counsel for the First Applicant=|Solicitor for the First Applicant=|Counsel for the Second Applicant=|Solicitor for the Second Applicant=|Counsel for the First Respondent=|Solicitor for the First Respondent=|Counsel for the Second Respondent=|Solicitor for the Second Respondent=|Counsel for the Third Respondent=|Solicitor for the Third Respondent=|Counsel for the Fourth Respondent=|Solicitor for the Fourth Respondent=|Counsel for the Fifth Respondent=|Solicitor for the Fifth Respondent=|Counsel for the Sixth Respondent=|Solicitor for the Sixth Respondent="/>
    <w:docVar w:name="NSD" w:val="NSD NSD 1051 of 2014"/>
    <w:docVar w:name="NumApps" w:val="6"/>
    <w:docVar w:name="NumApps_" w:val="2"/>
    <w:docVar w:name="NumJudges" w:val="Single Judge"/>
    <w:docVar w:name="Parties" w:val="Respondent"/>
    <w:docVar w:name="Place_SentenceCase" w:val="Sydney"/>
    <w:docVar w:name="Respondent" w:val="iiNet Limited|Internode Pty Ltd|Amnet Broadband Pty Ltd|Dodo Services Pty Ltd|Adam Internet Pty Ltd|Widebank Networks Pty Ltd"/>
    <w:docVar w:name="ResState" w:val="NEW SOUTH WALES"/>
    <w:docVar w:name="Single" w:val="True"/>
  </w:docVars>
  <w:rsids>
    <w:rsidRoot w:val="008D18D4"/>
    <w:rsid w:val="000002DE"/>
    <w:rsid w:val="000011EC"/>
    <w:rsid w:val="00004F71"/>
    <w:rsid w:val="00010AE9"/>
    <w:rsid w:val="000172BF"/>
    <w:rsid w:val="00021290"/>
    <w:rsid w:val="00022044"/>
    <w:rsid w:val="00025F57"/>
    <w:rsid w:val="000336FA"/>
    <w:rsid w:val="00040106"/>
    <w:rsid w:val="000467D0"/>
    <w:rsid w:val="00046A29"/>
    <w:rsid w:val="00057AE7"/>
    <w:rsid w:val="000662AF"/>
    <w:rsid w:val="00071A07"/>
    <w:rsid w:val="0007473D"/>
    <w:rsid w:val="0008199C"/>
    <w:rsid w:val="00086A7E"/>
    <w:rsid w:val="000979EB"/>
    <w:rsid w:val="000A2C65"/>
    <w:rsid w:val="000A56B1"/>
    <w:rsid w:val="000A79F6"/>
    <w:rsid w:val="000B07CB"/>
    <w:rsid w:val="000B2C9C"/>
    <w:rsid w:val="000C0E7E"/>
    <w:rsid w:val="000C12F2"/>
    <w:rsid w:val="000C1354"/>
    <w:rsid w:val="000C455A"/>
    <w:rsid w:val="000D1C83"/>
    <w:rsid w:val="000D2137"/>
    <w:rsid w:val="000D37D1"/>
    <w:rsid w:val="000D74DE"/>
    <w:rsid w:val="000F3E0E"/>
    <w:rsid w:val="000F540E"/>
    <w:rsid w:val="000F7106"/>
    <w:rsid w:val="001128BD"/>
    <w:rsid w:val="00116F6B"/>
    <w:rsid w:val="00124FE4"/>
    <w:rsid w:val="00131E2C"/>
    <w:rsid w:val="00134898"/>
    <w:rsid w:val="00145B76"/>
    <w:rsid w:val="00154FDC"/>
    <w:rsid w:val="00157AAA"/>
    <w:rsid w:val="00172549"/>
    <w:rsid w:val="001727A4"/>
    <w:rsid w:val="001738AB"/>
    <w:rsid w:val="001763B4"/>
    <w:rsid w:val="001824C0"/>
    <w:rsid w:val="00183CA7"/>
    <w:rsid w:val="00184E66"/>
    <w:rsid w:val="00185F5E"/>
    <w:rsid w:val="00187BBC"/>
    <w:rsid w:val="001A01F5"/>
    <w:rsid w:val="001A1375"/>
    <w:rsid w:val="001A34A6"/>
    <w:rsid w:val="001A34EB"/>
    <w:rsid w:val="001A7E60"/>
    <w:rsid w:val="001B14AC"/>
    <w:rsid w:val="001B7940"/>
    <w:rsid w:val="001C3B11"/>
    <w:rsid w:val="001C4EFD"/>
    <w:rsid w:val="001D5FDD"/>
    <w:rsid w:val="001E3B49"/>
    <w:rsid w:val="001E5F2E"/>
    <w:rsid w:val="001E7388"/>
    <w:rsid w:val="001E7EBD"/>
    <w:rsid w:val="001F2B3A"/>
    <w:rsid w:val="001F4B75"/>
    <w:rsid w:val="0020074F"/>
    <w:rsid w:val="00204133"/>
    <w:rsid w:val="00205C9E"/>
    <w:rsid w:val="002126ED"/>
    <w:rsid w:val="00220FD6"/>
    <w:rsid w:val="00230C07"/>
    <w:rsid w:val="00235452"/>
    <w:rsid w:val="0023763F"/>
    <w:rsid w:val="00245567"/>
    <w:rsid w:val="002535D0"/>
    <w:rsid w:val="002543D0"/>
    <w:rsid w:val="00255691"/>
    <w:rsid w:val="002602C2"/>
    <w:rsid w:val="002666AA"/>
    <w:rsid w:val="00267DD4"/>
    <w:rsid w:val="00274AA3"/>
    <w:rsid w:val="00274F5B"/>
    <w:rsid w:val="0027793F"/>
    <w:rsid w:val="00280836"/>
    <w:rsid w:val="00282254"/>
    <w:rsid w:val="002850FB"/>
    <w:rsid w:val="002860EE"/>
    <w:rsid w:val="00286A10"/>
    <w:rsid w:val="002974E6"/>
    <w:rsid w:val="00297D12"/>
    <w:rsid w:val="002A08E3"/>
    <w:rsid w:val="002A1B50"/>
    <w:rsid w:val="002B0439"/>
    <w:rsid w:val="002B0E91"/>
    <w:rsid w:val="002B4A1A"/>
    <w:rsid w:val="002C31AD"/>
    <w:rsid w:val="002C513C"/>
    <w:rsid w:val="002C7385"/>
    <w:rsid w:val="002D1673"/>
    <w:rsid w:val="002E0F63"/>
    <w:rsid w:val="002F1663"/>
    <w:rsid w:val="002F1E49"/>
    <w:rsid w:val="002F3C26"/>
    <w:rsid w:val="002F4E9C"/>
    <w:rsid w:val="002F5A31"/>
    <w:rsid w:val="002F7A9A"/>
    <w:rsid w:val="00320376"/>
    <w:rsid w:val="00320BB1"/>
    <w:rsid w:val="00321917"/>
    <w:rsid w:val="00324ACA"/>
    <w:rsid w:val="0032758F"/>
    <w:rsid w:val="00335EE3"/>
    <w:rsid w:val="003463FE"/>
    <w:rsid w:val="00346800"/>
    <w:rsid w:val="00346D27"/>
    <w:rsid w:val="00352AB3"/>
    <w:rsid w:val="00356632"/>
    <w:rsid w:val="003579ED"/>
    <w:rsid w:val="00361584"/>
    <w:rsid w:val="003643A2"/>
    <w:rsid w:val="00381010"/>
    <w:rsid w:val="003845A9"/>
    <w:rsid w:val="00384834"/>
    <w:rsid w:val="00390883"/>
    <w:rsid w:val="003958F4"/>
    <w:rsid w:val="00395B24"/>
    <w:rsid w:val="003A2D38"/>
    <w:rsid w:val="003A75E8"/>
    <w:rsid w:val="003B057E"/>
    <w:rsid w:val="003B2C72"/>
    <w:rsid w:val="003B54D2"/>
    <w:rsid w:val="003C20FF"/>
    <w:rsid w:val="003C586F"/>
    <w:rsid w:val="003E234C"/>
    <w:rsid w:val="003F193E"/>
    <w:rsid w:val="003F321C"/>
    <w:rsid w:val="003F3D16"/>
    <w:rsid w:val="003F7F8D"/>
    <w:rsid w:val="00410F44"/>
    <w:rsid w:val="00413775"/>
    <w:rsid w:val="00430965"/>
    <w:rsid w:val="0043414A"/>
    <w:rsid w:val="00443B0B"/>
    <w:rsid w:val="004543C4"/>
    <w:rsid w:val="00456265"/>
    <w:rsid w:val="004563BF"/>
    <w:rsid w:val="00461699"/>
    <w:rsid w:val="00463CF4"/>
    <w:rsid w:val="00472027"/>
    <w:rsid w:val="004748A3"/>
    <w:rsid w:val="00481B3D"/>
    <w:rsid w:val="00485605"/>
    <w:rsid w:val="0049417F"/>
    <w:rsid w:val="004A6319"/>
    <w:rsid w:val="004B00F5"/>
    <w:rsid w:val="004C56F0"/>
    <w:rsid w:val="004D5353"/>
    <w:rsid w:val="004D53E5"/>
    <w:rsid w:val="004D5CD5"/>
    <w:rsid w:val="004E1DB8"/>
    <w:rsid w:val="004F4DB4"/>
    <w:rsid w:val="004F5038"/>
    <w:rsid w:val="004F62E0"/>
    <w:rsid w:val="0051060F"/>
    <w:rsid w:val="0051346D"/>
    <w:rsid w:val="00513EAE"/>
    <w:rsid w:val="00514467"/>
    <w:rsid w:val="0052137E"/>
    <w:rsid w:val="00524170"/>
    <w:rsid w:val="005263F0"/>
    <w:rsid w:val="0052784F"/>
    <w:rsid w:val="0053163C"/>
    <w:rsid w:val="00531CA6"/>
    <w:rsid w:val="005359EB"/>
    <w:rsid w:val="0054084B"/>
    <w:rsid w:val="0054162B"/>
    <w:rsid w:val="00541EFF"/>
    <w:rsid w:val="0054254A"/>
    <w:rsid w:val="00543397"/>
    <w:rsid w:val="005466B5"/>
    <w:rsid w:val="00554D74"/>
    <w:rsid w:val="00571354"/>
    <w:rsid w:val="00573CF5"/>
    <w:rsid w:val="00582CE1"/>
    <w:rsid w:val="00583478"/>
    <w:rsid w:val="00585AC8"/>
    <w:rsid w:val="00585D97"/>
    <w:rsid w:val="00596DE6"/>
    <w:rsid w:val="005A4DF8"/>
    <w:rsid w:val="005B7BB3"/>
    <w:rsid w:val="005C1767"/>
    <w:rsid w:val="005C3C90"/>
    <w:rsid w:val="005C42EF"/>
    <w:rsid w:val="005D09FB"/>
    <w:rsid w:val="005D5008"/>
    <w:rsid w:val="005D52C1"/>
    <w:rsid w:val="005E02F5"/>
    <w:rsid w:val="005E176E"/>
    <w:rsid w:val="005E35A0"/>
    <w:rsid w:val="005E3ABC"/>
    <w:rsid w:val="005F48F3"/>
    <w:rsid w:val="00602E26"/>
    <w:rsid w:val="00605F88"/>
    <w:rsid w:val="00614B90"/>
    <w:rsid w:val="00624520"/>
    <w:rsid w:val="00630B0F"/>
    <w:rsid w:val="00632516"/>
    <w:rsid w:val="00636871"/>
    <w:rsid w:val="00641C36"/>
    <w:rsid w:val="00643DE0"/>
    <w:rsid w:val="00644E85"/>
    <w:rsid w:val="00650ABF"/>
    <w:rsid w:val="006510AC"/>
    <w:rsid w:val="00656632"/>
    <w:rsid w:val="0066190A"/>
    <w:rsid w:val="00662BB0"/>
    <w:rsid w:val="00667804"/>
    <w:rsid w:val="006803CC"/>
    <w:rsid w:val="0068088F"/>
    <w:rsid w:val="00695B3C"/>
    <w:rsid w:val="006A1D64"/>
    <w:rsid w:val="006A3FDA"/>
    <w:rsid w:val="006A5695"/>
    <w:rsid w:val="006A583A"/>
    <w:rsid w:val="006A690E"/>
    <w:rsid w:val="006B3904"/>
    <w:rsid w:val="006B5B7D"/>
    <w:rsid w:val="006B7785"/>
    <w:rsid w:val="006C57F2"/>
    <w:rsid w:val="006C6A09"/>
    <w:rsid w:val="006C7508"/>
    <w:rsid w:val="006D0121"/>
    <w:rsid w:val="006D0ECF"/>
    <w:rsid w:val="006D148D"/>
    <w:rsid w:val="006D4B23"/>
    <w:rsid w:val="006E4CBB"/>
    <w:rsid w:val="006F1C62"/>
    <w:rsid w:val="006F25C1"/>
    <w:rsid w:val="00707218"/>
    <w:rsid w:val="0071072A"/>
    <w:rsid w:val="00712B1D"/>
    <w:rsid w:val="00712F27"/>
    <w:rsid w:val="0071739A"/>
    <w:rsid w:val="00722582"/>
    <w:rsid w:val="00722D4B"/>
    <w:rsid w:val="00724739"/>
    <w:rsid w:val="00731FB0"/>
    <w:rsid w:val="007325D9"/>
    <w:rsid w:val="00735D73"/>
    <w:rsid w:val="007362D0"/>
    <w:rsid w:val="007432DD"/>
    <w:rsid w:val="00746DC2"/>
    <w:rsid w:val="0075436C"/>
    <w:rsid w:val="00757A92"/>
    <w:rsid w:val="007638F3"/>
    <w:rsid w:val="00770758"/>
    <w:rsid w:val="00773C91"/>
    <w:rsid w:val="00780A85"/>
    <w:rsid w:val="00790F72"/>
    <w:rsid w:val="007927ED"/>
    <w:rsid w:val="007929CF"/>
    <w:rsid w:val="0079473D"/>
    <w:rsid w:val="007976F7"/>
    <w:rsid w:val="007A0E0A"/>
    <w:rsid w:val="007A23EE"/>
    <w:rsid w:val="007B13A8"/>
    <w:rsid w:val="007B366A"/>
    <w:rsid w:val="007C215C"/>
    <w:rsid w:val="007D4D0A"/>
    <w:rsid w:val="007D561F"/>
    <w:rsid w:val="007E3C79"/>
    <w:rsid w:val="007E4380"/>
    <w:rsid w:val="007F06BD"/>
    <w:rsid w:val="007F08D9"/>
    <w:rsid w:val="007F12C1"/>
    <w:rsid w:val="008116AF"/>
    <w:rsid w:val="008177CE"/>
    <w:rsid w:val="00831927"/>
    <w:rsid w:val="008352B4"/>
    <w:rsid w:val="008354D3"/>
    <w:rsid w:val="008361A8"/>
    <w:rsid w:val="0084273D"/>
    <w:rsid w:val="00845A83"/>
    <w:rsid w:val="00851F18"/>
    <w:rsid w:val="008657B2"/>
    <w:rsid w:val="00867FAB"/>
    <w:rsid w:val="00886405"/>
    <w:rsid w:val="00890D7F"/>
    <w:rsid w:val="00894C54"/>
    <w:rsid w:val="008967BB"/>
    <w:rsid w:val="00897008"/>
    <w:rsid w:val="008A070D"/>
    <w:rsid w:val="008A6112"/>
    <w:rsid w:val="008B1309"/>
    <w:rsid w:val="008C67BE"/>
    <w:rsid w:val="008C6D50"/>
    <w:rsid w:val="008D18D4"/>
    <w:rsid w:val="008E1838"/>
    <w:rsid w:val="008E50FF"/>
    <w:rsid w:val="008E6315"/>
    <w:rsid w:val="008F3B82"/>
    <w:rsid w:val="008F3F6D"/>
    <w:rsid w:val="008F4DC0"/>
    <w:rsid w:val="0090485D"/>
    <w:rsid w:val="009054CB"/>
    <w:rsid w:val="009110A4"/>
    <w:rsid w:val="00913507"/>
    <w:rsid w:val="0092243E"/>
    <w:rsid w:val="0092372D"/>
    <w:rsid w:val="00932EC9"/>
    <w:rsid w:val="00934622"/>
    <w:rsid w:val="00935CCD"/>
    <w:rsid w:val="00940BE7"/>
    <w:rsid w:val="00941AEE"/>
    <w:rsid w:val="00942C16"/>
    <w:rsid w:val="00943D34"/>
    <w:rsid w:val="00944F6A"/>
    <w:rsid w:val="00950B36"/>
    <w:rsid w:val="00950F11"/>
    <w:rsid w:val="0095191B"/>
    <w:rsid w:val="00957544"/>
    <w:rsid w:val="00967855"/>
    <w:rsid w:val="009768FB"/>
    <w:rsid w:val="00980736"/>
    <w:rsid w:val="00993BD5"/>
    <w:rsid w:val="00993CF0"/>
    <w:rsid w:val="009971C1"/>
    <w:rsid w:val="009A60B8"/>
    <w:rsid w:val="009B13FA"/>
    <w:rsid w:val="009B1B3D"/>
    <w:rsid w:val="009B1E2D"/>
    <w:rsid w:val="009C3785"/>
    <w:rsid w:val="009C3E20"/>
    <w:rsid w:val="009C5692"/>
    <w:rsid w:val="009C5858"/>
    <w:rsid w:val="009C62A3"/>
    <w:rsid w:val="009C7B38"/>
    <w:rsid w:val="009D1356"/>
    <w:rsid w:val="009E0F93"/>
    <w:rsid w:val="009E4FA6"/>
    <w:rsid w:val="009E67FB"/>
    <w:rsid w:val="009E7D93"/>
    <w:rsid w:val="009F2522"/>
    <w:rsid w:val="00A0220B"/>
    <w:rsid w:val="00A0280B"/>
    <w:rsid w:val="00A03EAC"/>
    <w:rsid w:val="00A06461"/>
    <w:rsid w:val="00A069F5"/>
    <w:rsid w:val="00A11CA6"/>
    <w:rsid w:val="00A160FF"/>
    <w:rsid w:val="00A20C49"/>
    <w:rsid w:val="00A3203A"/>
    <w:rsid w:val="00A359AC"/>
    <w:rsid w:val="00A4095D"/>
    <w:rsid w:val="00A42689"/>
    <w:rsid w:val="00A759B5"/>
    <w:rsid w:val="00A7679C"/>
    <w:rsid w:val="00A82F7A"/>
    <w:rsid w:val="00A86430"/>
    <w:rsid w:val="00A92B4B"/>
    <w:rsid w:val="00A9398D"/>
    <w:rsid w:val="00A94684"/>
    <w:rsid w:val="00A94CCE"/>
    <w:rsid w:val="00A950B6"/>
    <w:rsid w:val="00AB41C1"/>
    <w:rsid w:val="00AB6018"/>
    <w:rsid w:val="00AC0D41"/>
    <w:rsid w:val="00AD5B57"/>
    <w:rsid w:val="00AD75A3"/>
    <w:rsid w:val="00AE055E"/>
    <w:rsid w:val="00AE4D5A"/>
    <w:rsid w:val="00AF2295"/>
    <w:rsid w:val="00AF5E39"/>
    <w:rsid w:val="00B022A2"/>
    <w:rsid w:val="00B04286"/>
    <w:rsid w:val="00B06BAF"/>
    <w:rsid w:val="00B06D07"/>
    <w:rsid w:val="00B1122B"/>
    <w:rsid w:val="00B14646"/>
    <w:rsid w:val="00B15A60"/>
    <w:rsid w:val="00B217BF"/>
    <w:rsid w:val="00B33FF0"/>
    <w:rsid w:val="00B40590"/>
    <w:rsid w:val="00B46D10"/>
    <w:rsid w:val="00B530D5"/>
    <w:rsid w:val="00B5405C"/>
    <w:rsid w:val="00B57B61"/>
    <w:rsid w:val="00B62F54"/>
    <w:rsid w:val="00B7145C"/>
    <w:rsid w:val="00B74C49"/>
    <w:rsid w:val="00B77899"/>
    <w:rsid w:val="00B81137"/>
    <w:rsid w:val="00B8179A"/>
    <w:rsid w:val="00B84189"/>
    <w:rsid w:val="00B8465A"/>
    <w:rsid w:val="00B9599B"/>
    <w:rsid w:val="00B966E3"/>
    <w:rsid w:val="00BA3DBC"/>
    <w:rsid w:val="00BB2DA2"/>
    <w:rsid w:val="00BB56DC"/>
    <w:rsid w:val="00BB65AF"/>
    <w:rsid w:val="00BB7398"/>
    <w:rsid w:val="00BC5F14"/>
    <w:rsid w:val="00BE18A5"/>
    <w:rsid w:val="00BE375D"/>
    <w:rsid w:val="00BF3E2B"/>
    <w:rsid w:val="00C043D3"/>
    <w:rsid w:val="00C070A7"/>
    <w:rsid w:val="00C1668A"/>
    <w:rsid w:val="00C24207"/>
    <w:rsid w:val="00C3184C"/>
    <w:rsid w:val="00C336C3"/>
    <w:rsid w:val="00C33958"/>
    <w:rsid w:val="00C34990"/>
    <w:rsid w:val="00C363E4"/>
    <w:rsid w:val="00C36442"/>
    <w:rsid w:val="00C36A6F"/>
    <w:rsid w:val="00C40421"/>
    <w:rsid w:val="00C41714"/>
    <w:rsid w:val="00C43480"/>
    <w:rsid w:val="00C45CD9"/>
    <w:rsid w:val="00C5358A"/>
    <w:rsid w:val="00C53CAB"/>
    <w:rsid w:val="00C53EA8"/>
    <w:rsid w:val="00C5675C"/>
    <w:rsid w:val="00C64EAD"/>
    <w:rsid w:val="00C66593"/>
    <w:rsid w:val="00C70998"/>
    <w:rsid w:val="00C7229B"/>
    <w:rsid w:val="00C742A0"/>
    <w:rsid w:val="00C74846"/>
    <w:rsid w:val="00C763BF"/>
    <w:rsid w:val="00C8006E"/>
    <w:rsid w:val="00C82820"/>
    <w:rsid w:val="00C925BB"/>
    <w:rsid w:val="00CA3E4F"/>
    <w:rsid w:val="00CB0D45"/>
    <w:rsid w:val="00CB1069"/>
    <w:rsid w:val="00CC7093"/>
    <w:rsid w:val="00CD62C4"/>
    <w:rsid w:val="00CD64DF"/>
    <w:rsid w:val="00CD726A"/>
    <w:rsid w:val="00CE4D7B"/>
    <w:rsid w:val="00D0120F"/>
    <w:rsid w:val="00D01C00"/>
    <w:rsid w:val="00D03E7D"/>
    <w:rsid w:val="00D07702"/>
    <w:rsid w:val="00D10F21"/>
    <w:rsid w:val="00D1251E"/>
    <w:rsid w:val="00D17F3B"/>
    <w:rsid w:val="00D244BC"/>
    <w:rsid w:val="00D245A1"/>
    <w:rsid w:val="00D2745C"/>
    <w:rsid w:val="00D2778C"/>
    <w:rsid w:val="00D35336"/>
    <w:rsid w:val="00D36511"/>
    <w:rsid w:val="00D375EE"/>
    <w:rsid w:val="00D44283"/>
    <w:rsid w:val="00D4578A"/>
    <w:rsid w:val="00D511D7"/>
    <w:rsid w:val="00D55C32"/>
    <w:rsid w:val="00D63A9E"/>
    <w:rsid w:val="00D67E36"/>
    <w:rsid w:val="00D75936"/>
    <w:rsid w:val="00D83AEF"/>
    <w:rsid w:val="00D866EC"/>
    <w:rsid w:val="00D910FB"/>
    <w:rsid w:val="00D9725F"/>
    <w:rsid w:val="00DA14ED"/>
    <w:rsid w:val="00DA3136"/>
    <w:rsid w:val="00DA3409"/>
    <w:rsid w:val="00DA670F"/>
    <w:rsid w:val="00DB3DE1"/>
    <w:rsid w:val="00DB716C"/>
    <w:rsid w:val="00DC1DD2"/>
    <w:rsid w:val="00DC6E87"/>
    <w:rsid w:val="00DC7198"/>
    <w:rsid w:val="00DC77A9"/>
    <w:rsid w:val="00DD25C6"/>
    <w:rsid w:val="00DD335E"/>
    <w:rsid w:val="00DD4236"/>
    <w:rsid w:val="00DE1444"/>
    <w:rsid w:val="00E01B34"/>
    <w:rsid w:val="00E01C7C"/>
    <w:rsid w:val="00E027BC"/>
    <w:rsid w:val="00E14506"/>
    <w:rsid w:val="00E14EA5"/>
    <w:rsid w:val="00E2085D"/>
    <w:rsid w:val="00E232F3"/>
    <w:rsid w:val="00E304E3"/>
    <w:rsid w:val="00E35F26"/>
    <w:rsid w:val="00E41337"/>
    <w:rsid w:val="00E44BF4"/>
    <w:rsid w:val="00E50910"/>
    <w:rsid w:val="00E52645"/>
    <w:rsid w:val="00E53A97"/>
    <w:rsid w:val="00E55B25"/>
    <w:rsid w:val="00E6154D"/>
    <w:rsid w:val="00E76E45"/>
    <w:rsid w:val="00E824A5"/>
    <w:rsid w:val="00E9187C"/>
    <w:rsid w:val="00E93999"/>
    <w:rsid w:val="00EA2BF5"/>
    <w:rsid w:val="00EA4E2E"/>
    <w:rsid w:val="00EA6FD9"/>
    <w:rsid w:val="00EB2115"/>
    <w:rsid w:val="00EB2CCB"/>
    <w:rsid w:val="00EB5225"/>
    <w:rsid w:val="00EB6075"/>
    <w:rsid w:val="00EC62C0"/>
    <w:rsid w:val="00EC6969"/>
    <w:rsid w:val="00EC6A05"/>
    <w:rsid w:val="00EC6CCF"/>
    <w:rsid w:val="00ED65BB"/>
    <w:rsid w:val="00ED7DD9"/>
    <w:rsid w:val="00EE2AC3"/>
    <w:rsid w:val="00EE2E0E"/>
    <w:rsid w:val="00EE6614"/>
    <w:rsid w:val="00EE7E29"/>
    <w:rsid w:val="00EF238B"/>
    <w:rsid w:val="00EF3113"/>
    <w:rsid w:val="00EF3D29"/>
    <w:rsid w:val="00EF3ECA"/>
    <w:rsid w:val="00EF3F84"/>
    <w:rsid w:val="00F001F8"/>
    <w:rsid w:val="00F02F5E"/>
    <w:rsid w:val="00F176AC"/>
    <w:rsid w:val="00F27714"/>
    <w:rsid w:val="00F32403"/>
    <w:rsid w:val="00F4166B"/>
    <w:rsid w:val="00F42636"/>
    <w:rsid w:val="00F50E34"/>
    <w:rsid w:val="00F612E9"/>
    <w:rsid w:val="00F62FD8"/>
    <w:rsid w:val="00F6324D"/>
    <w:rsid w:val="00F75C67"/>
    <w:rsid w:val="00F7654F"/>
    <w:rsid w:val="00F809BF"/>
    <w:rsid w:val="00F830D9"/>
    <w:rsid w:val="00F871D9"/>
    <w:rsid w:val="00FA4AF0"/>
    <w:rsid w:val="00FA4C35"/>
    <w:rsid w:val="00FA5B6D"/>
    <w:rsid w:val="00FB1019"/>
    <w:rsid w:val="00FC4ECA"/>
    <w:rsid w:val="00FC588F"/>
    <w:rsid w:val="00FC75B6"/>
    <w:rsid w:val="00FE154B"/>
    <w:rsid w:val="00FE1806"/>
    <w:rsid w:val="00FE1B30"/>
    <w:rsid w:val="00FE7B44"/>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23"/>
      </w:numPr>
      <w:tabs>
        <w:tab w:val="num" w:pos="1440"/>
      </w:tabs>
      <w:ind w:left="1440" w:hanging="720"/>
    </w:pPr>
  </w:style>
  <w:style w:type="paragraph" w:customStyle="1" w:styleId="ListNo3">
    <w:name w:val="List No 3"/>
    <w:basedOn w:val="ListNo2"/>
    <w:rsid w:val="00E14EA5"/>
    <w:pPr>
      <w:numPr>
        <w:ilvl w:val="2"/>
      </w:numPr>
      <w:tabs>
        <w:tab w:val="num" w:pos="2160"/>
      </w:tabs>
      <w:ind w:left="216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subsection">
    <w:name w:val="subsection"/>
    <w:aliases w:val="ss"/>
    <w:basedOn w:val="Normal"/>
    <w:link w:val="subsectionChar"/>
    <w:rsid w:val="006D148D"/>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rsid w:val="006D148D"/>
    <w:rPr>
      <w:rFonts w:eastAsia="Times New Roman"/>
      <w:sz w:val="22"/>
    </w:rPr>
  </w:style>
  <w:style w:type="paragraph" w:customStyle="1" w:styleId="paragraph">
    <w:name w:val="paragraph"/>
    <w:aliases w:val="a"/>
    <w:basedOn w:val="Normal"/>
    <w:link w:val="paragraphChar"/>
    <w:rsid w:val="00D2745C"/>
    <w:pPr>
      <w:tabs>
        <w:tab w:val="right" w:pos="1531"/>
      </w:tabs>
      <w:spacing w:before="40" w:line="240" w:lineRule="auto"/>
      <w:ind w:left="1644" w:hanging="1644"/>
      <w:jc w:val="left"/>
    </w:pPr>
    <w:rPr>
      <w:rFonts w:eastAsia="Times New Roman"/>
      <w:sz w:val="22"/>
      <w:lang w:eastAsia="en-AU"/>
    </w:rPr>
  </w:style>
  <w:style w:type="paragraph" w:customStyle="1" w:styleId="notetext">
    <w:name w:val="note(text)"/>
    <w:aliases w:val="n"/>
    <w:basedOn w:val="Normal"/>
    <w:rsid w:val="00D2745C"/>
    <w:pPr>
      <w:spacing w:before="122" w:line="198" w:lineRule="exact"/>
      <w:ind w:left="1985" w:hanging="851"/>
      <w:jc w:val="left"/>
    </w:pPr>
    <w:rPr>
      <w:rFonts w:eastAsia="Times New Roman"/>
      <w:sz w:val="18"/>
      <w:lang w:eastAsia="en-AU"/>
    </w:rPr>
  </w:style>
  <w:style w:type="paragraph" w:customStyle="1" w:styleId="paragraphsub">
    <w:name w:val="paragraph(sub)"/>
    <w:aliases w:val="aa"/>
    <w:basedOn w:val="Normal"/>
    <w:rsid w:val="00D2745C"/>
    <w:pPr>
      <w:tabs>
        <w:tab w:val="right" w:pos="1985"/>
      </w:tabs>
      <w:spacing w:before="40" w:line="240" w:lineRule="auto"/>
      <w:ind w:left="2098" w:hanging="2098"/>
      <w:jc w:val="left"/>
    </w:pPr>
    <w:rPr>
      <w:rFonts w:eastAsia="Times New Roman"/>
      <w:sz w:val="22"/>
      <w:lang w:eastAsia="en-AU"/>
    </w:rPr>
  </w:style>
  <w:style w:type="paragraph" w:customStyle="1" w:styleId="Definition">
    <w:name w:val="Definition"/>
    <w:aliases w:val="dd"/>
    <w:basedOn w:val="Normal"/>
    <w:rsid w:val="000F3E0E"/>
    <w:pPr>
      <w:spacing w:before="180" w:line="240" w:lineRule="auto"/>
      <w:ind w:left="1134"/>
      <w:jc w:val="left"/>
    </w:pPr>
    <w:rPr>
      <w:rFonts w:eastAsia="Times New Roman"/>
      <w:sz w:val="22"/>
      <w:lang w:eastAsia="en-AU"/>
    </w:rPr>
  </w:style>
  <w:style w:type="paragraph" w:customStyle="1" w:styleId="paragraphsub-sub">
    <w:name w:val="paragraph(sub-sub)"/>
    <w:aliases w:val="aaa"/>
    <w:basedOn w:val="Normal"/>
    <w:rsid w:val="000F3E0E"/>
    <w:pPr>
      <w:tabs>
        <w:tab w:val="right" w:pos="2722"/>
      </w:tabs>
      <w:spacing w:before="40" w:line="240" w:lineRule="auto"/>
      <w:ind w:left="2835" w:hanging="2835"/>
      <w:jc w:val="left"/>
    </w:pPr>
    <w:rPr>
      <w:rFonts w:eastAsia="Times New Roman"/>
      <w:sz w:val="22"/>
      <w:lang w:eastAsia="en-AU"/>
    </w:rPr>
  </w:style>
  <w:style w:type="paragraph" w:customStyle="1" w:styleId="ActHead5">
    <w:name w:val="ActHead 5"/>
    <w:aliases w:val="s"/>
    <w:basedOn w:val="Normal"/>
    <w:next w:val="subsection"/>
    <w:qFormat/>
    <w:rsid w:val="00AD75A3"/>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AD75A3"/>
  </w:style>
  <w:style w:type="paragraph" w:customStyle="1" w:styleId="subsection2">
    <w:name w:val="subsection2"/>
    <w:aliases w:val="ss2"/>
    <w:basedOn w:val="Normal"/>
    <w:next w:val="subsection"/>
    <w:rsid w:val="00AD75A3"/>
    <w:pPr>
      <w:spacing w:before="40" w:line="240" w:lineRule="auto"/>
      <w:ind w:left="1134"/>
      <w:jc w:val="left"/>
    </w:pPr>
    <w:rPr>
      <w:rFonts w:eastAsia="Times New Roman"/>
      <w:sz w:val="22"/>
      <w:lang w:eastAsia="en-AU"/>
    </w:rPr>
  </w:style>
  <w:style w:type="character" w:customStyle="1" w:styleId="paragraphChar">
    <w:name w:val="paragraph Char"/>
    <w:aliases w:val="a Char"/>
    <w:basedOn w:val="DefaultParagraphFont"/>
    <w:link w:val="paragraph"/>
    <w:rsid w:val="00AD75A3"/>
    <w:rPr>
      <w:rFonts w:eastAsia="Times New Roman"/>
      <w:sz w:val="22"/>
    </w:rPr>
  </w:style>
  <w:style w:type="character" w:customStyle="1" w:styleId="BodyTextChar">
    <w:name w:val="Body Text Char"/>
    <w:basedOn w:val="DefaultParagraphFont"/>
    <w:link w:val="BodyText"/>
    <w:rsid w:val="00E1450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23"/>
      </w:numPr>
      <w:tabs>
        <w:tab w:val="num" w:pos="1440"/>
      </w:tabs>
      <w:ind w:left="1440" w:hanging="720"/>
    </w:pPr>
  </w:style>
  <w:style w:type="paragraph" w:customStyle="1" w:styleId="ListNo3">
    <w:name w:val="List No 3"/>
    <w:basedOn w:val="ListNo2"/>
    <w:rsid w:val="00E14EA5"/>
    <w:pPr>
      <w:numPr>
        <w:ilvl w:val="2"/>
      </w:numPr>
      <w:tabs>
        <w:tab w:val="num" w:pos="2160"/>
      </w:tabs>
      <w:ind w:left="216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subsection">
    <w:name w:val="subsection"/>
    <w:aliases w:val="ss"/>
    <w:basedOn w:val="Normal"/>
    <w:link w:val="subsectionChar"/>
    <w:rsid w:val="006D148D"/>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rsid w:val="006D148D"/>
    <w:rPr>
      <w:rFonts w:eastAsia="Times New Roman"/>
      <w:sz w:val="22"/>
    </w:rPr>
  </w:style>
  <w:style w:type="paragraph" w:customStyle="1" w:styleId="paragraph">
    <w:name w:val="paragraph"/>
    <w:aliases w:val="a"/>
    <w:basedOn w:val="Normal"/>
    <w:link w:val="paragraphChar"/>
    <w:rsid w:val="00D2745C"/>
    <w:pPr>
      <w:tabs>
        <w:tab w:val="right" w:pos="1531"/>
      </w:tabs>
      <w:spacing w:before="40" w:line="240" w:lineRule="auto"/>
      <w:ind w:left="1644" w:hanging="1644"/>
      <w:jc w:val="left"/>
    </w:pPr>
    <w:rPr>
      <w:rFonts w:eastAsia="Times New Roman"/>
      <w:sz w:val="22"/>
      <w:lang w:eastAsia="en-AU"/>
    </w:rPr>
  </w:style>
  <w:style w:type="paragraph" w:customStyle="1" w:styleId="notetext">
    <w:name w:val="note(text)"/>
    <w:aliases w:val="n"/>
    <w:basedOn w:val="Normal"/>
    <w:rsid w:val="00D2745C"/>
    <w:pPr>
      <w:spacing w:before="122" w:line="198" w:lineRule="exact"/>
      <w:ind w:left="1985" w:hanging="851"/>
      <w:jc w:val="left"/>
    </w:pPr>
    <w:rPr>
      <w:rFonts w:eastAsia="Times New Roman"/>
      <w:sz w:val="18"/>
      <w:lang w:eastAsia="en-AU"/>
    </w:rPr>
  </w:style>
  <w:style w:type="paragraph" w:customStyle="1" w:styleId="paragraphsub">
    <w:name w:val="paragraph(sub)"/>
    <w:aliases w:val="aa"/>
    <w:basedOn w:val="Normal"/>
    <w:rsid w:val="00D2745C"/>
    <w:pPr>
      <w:tabs>
        <w:tab w:val="right" w:pos="1985"/>
      </w:tabs>
      <w:spacing w:before="40" w:line="240" w:lineRule="auto"/>
      <w:ind w:left="2098" w:hanging="2098"/>
      <w:jc w:val="left"/>
    </w:pPr>
    <w:rPr>
      <w:rFonts w:eastAsia="Times New Roman"/>
      <w:sz w:val="22"/>
      <w:lang w:eastAsia="en-AU"/>
    </w:rPr>
  </w:style>
  <w:style w:type="paragraph" w:customStyle="1" w:styleId="Definition">
    <w:name w:val="Definition"/>
    <w:aliases w:val="dd"/>
    <w:basedOn w:val="Normal"/>
    <w:rsid w:val="000F3E0E"/>
    <w:pPr>
      <w:spacing w:before="180" w:line="240" w:lineRule="auto"/>
      <w:ind w:left="1134"/>
      <w:jc w:val="left"/>
    </w:pPr>
    <w:rPr>
      <w:rFonts w:eastAsia="Times New Roman"/>
      <w:sz w:val="22"/>
      <w:lang w:eastAsia="en-AU"/>
    </w:rPr>
  </w:style>
  <w:style w:type="paragraph" w:customStyle="1" w:styleId="paragraphsub-sub">
    <w:name w:val="paragraph(sub-sub)"/>
    <w:aliases w:val="aaa"/>
    <w:basedOn w:val="Normal"/>
    <w:rsid w:val="000F3E0E"/>
    <w:pPr>
      <w:tabs>
        <w:tab w:val="right" w:pos="2722"/>
      </w:tabs>
      <w:spacing w:before="40" w:line="240" w:lineRule="auto"/>
      <w:ind w:left="2835" w:hanging="2835"/>
      <w:jc w:val="left"/>
    </w:pPr>
    <w:rPr>
      <w:rFonts w:eastAsia="Times New Roman"/>
      <w:sz w:val="22"/>
      <w:lang w:eastAsia="en-AU"/>
    </w:rPr>
  </w:style>
  <w:style w:type="paragraph" w:customStyle="1" w:styleId="ActHead5">
    <w:name w:val="ActHead 5"/>
    <w:aliases w:val="s"/>
    <w:basedOn w:val="Normal"/>
    <w:next w:val="subsection"/>
    <w:qFormat/>
    <w:rsid w:val="00AD75A3"/>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AD75A3"/>
  </w:style>
  <w:style w:type="paragraph" w:customStyle="1" w:styleId="subsection2">
    <w:name w:val="subsection2"/>
    <w:aliases w:val="ss2"/>
    <w:basedOn w:val="Normal"/>
    <w:next w:val="subsection"/>
    <w:rsid w:val="00AD75A3"/>
    <w:pPr>
      <w:spacing w:before="40" w:line="240" w:lineRule="auto"/>
      <w:ind w:left="1134"/>
      <w:jc w:val="left"/>
    </w:pPr>
    <w:rPr>
      <w:rFonts w:eastAsia="Times New Roman"/>
      <w:sz w:val="22"/>
      <w:lang w:eastAsia="en-AU"/>
    </w:rPr>
  </w:style>
  <w:style w:type="character" w:customStyle="1" w:styleId="paragraphChar">
    <w:name w:val="paragraph Char"/>
    <w:aliases w:val="a Char"/>
    <w:basedOn w:val="DefaultParagraphFont"/>
    <w:link w:val="paragraph"/>
    <w:rsid w:val="00AD75A3"/>
    <w:rPr>
      <w:rFonts w:eastAsia="Times New Roman"/>
      <w:sz w:val="22"/>
    </w:rPr>
  </w:style>
  <w:style w:type="character" w:customStyle="1" w:styleId="BodyTextChar">
    <w:name w:val="Body Text Char"/>
    <w:basedOn w:val="DefaultParagraphFont"/>
    <w:link w:val="BodyText"/>
    <w:rsid w:val="00E145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6BB2-FA1D-4F6F-B5C8-C7770D41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16</Pages>
  <Words>5511</Words>
  <Characters>27795</Characters>
  <Application>Microsoft Office Word</Application>
  <DocSecurity>0</DocSecurity>
  <Lines>646</Lines>
  <Paragraphs>262</Paragraphs>
  <ScaleCrop>false</ScaleCrop>
  <HeadingPairs>
    <vt:vector size="2" baseType="variant">
      <vt:variant>
        <vt:lpstr>Title</vt:lpstr>
      </vt:variant>
      <vt:variant>
        <vt:i4>1</vt:i4>
      </vt:variant>
    </vt:vector>
  </HeadingPairs>
  <TitlesOfParts>
    <vt:vector size="1" baseType="lpstr">
      <vt:lpstr>Dallas Buyers Club LLC v iiNet Limited (No 4) [2015] FCA 838</vt:lpstr>
    </vt:vector>
  </TitlesOfParts>
  <Company>Federal Court of Australia</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Buyers Club LLC v iiNet Limited (No 4) [2015] FCA 838</dc:title>
  <dc:creator>Robin Delahunty</dc:creator>
  <cp:lastModifiedBy>Aurora Lee</cp:lastModifiedBy>
  <cp:revision>3</cp:revision>
  <cp:lastPrinted>2015-08-10T23:32:00Z</cp:lastPrinted>
  <dcterms:created xsi:type="dcterms:W3CDTF">2015-08-13T23:45:00Z</dcterms:created>
  <dcterms:modified xsi:type="dcterms:W3CDTF">2015-08-13T23:45:00Z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14 AUGUST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1051 of 2014</vt:lpwstr>
  </property>
  <property fmtid="{D5CDD505-2E9C-101B-9397-08002B2CF9AE}" pid="8" name="Pages">
    <vt:lpwstr>12</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