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C4C7C" w14:textId="77777777" w:rsidR="00395B24" w:rsidRDefault="002304D9" w:rsidP="00A22932">
      <w:pPr>
        <w:pStyle w:val="CourtTitle"/>
      </w:pPr>
      <w:r>
        <w:fldChar w:fldCharType="begin"/>
      </w:r>
      <w:r>
        <w:instrText>DOCPROPERTY  Court  \* MERGEFORMAT</w:instrText>
      </w:r>
      <w:r>
        <w:fldChar w:fldCharType="separate"/>
      </w:r>
      <w:r w:rsidR="00453113">
        <w:t>Federal Court of Australia</w:t>
      </w:r>
      <w:r>
        <w:fldChar w:fldCharType="end"/>
      </w:r>
    </w:p>
    <w:p w14:paraId="00DF2497" w14:textId="77777777" w:rsidR="004D7950" w:rsidRDefault="004D7950">
      <w:pPr>
        <w:pStyle w:val="NormalHeadings"/>
        <w:jc w:val="center"/>
        <w:rPr>
          <w:sz w:val="32"/>
        </w:rPr>
      </w:pPr>
    </w:p>
    <w:bookmarkStart w:id="0" w:name="MNC"/>
    <w:p w14:paraId="0B8B6BC8" w14:textId="7D1DFA56" w:rsidR="00374CC4" w:rsidRDefault="00695517" w:rsidP="001A2B40">
      <w:pPr>
        <w:pStyle w:val="MNC"/>
      </w:pPr>
      <w:sdt>
        <w:sdtPr>
          <w:alias w:val="MNC"/>
          <w:tag w:val="MNC"/>
          <w:id w:val="343289786"/>
          <w:lock w:val="sdtLocked"/>
          <w:placeholder>
            <w:docPart w:val="1297B0E2F63C4BE7B65244E07F72EF59"/>
          </w:placeholder>
          <w:dataBinding w:prefixMappings="xmlns:ns0='http://schemas.globalmacros.com/FCA'" w:xpath="/ns0:root[1]/ns0:Name[1]" w:storeItemID="{687E7CCB-4AA5-44E7-B148-17BA2B6F57C0}"/>
          <w:text w:multiLine="1"/>
        </w:sdtPr>
        <w:sdtEndPr/>
        <w:sdtContent>
          <w:r w:rsidR="00A24086">
            <w:t xml:space="preserve"> McEwan v Office of the Australian Information Commissioner [2023] FCAFC</w:t>
          </w:r>
          <w:r w:rsidR="00E316E7">
            <w:t xml:space="preserve"> 137</w:t>
          </w:r>
          <w:r w:rsidR="00A24086">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453113" w14:paraId="0CE752DA" w14:textId="77777777" w:rsidTr="00F43086">
        <w:tc>
          <w:tcPr>
            <w:tcW w:w="3084" w:type="dxa"/>
            <w:shd w:val="clear" w:color="auto" w:fill="auto"/>
          </w:tcPr>
          <w:p w14:paraId="7EB29099" w14:textId="77777777" w:rsidR="00453113" w:rsidRDefault="00453113"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23624B16" w14:textId="77777777" w:rsidR="00453113" w:rsidRDefault="00D65022" w:rsidP="002539B3">
            <w:pPr>
              <w:pStyle w:val="CasesLegislationAppealFrom"/>
              <w:spacing w:after="60"/>
            </w:pPr>
            <w:fldSimple w:instr="DOCPROPERTY  AppealFrom  \* MERGEFORMAT">
              <w:r w:rsidR="00453113" w:rsidRPr="00453113">
                <w:rPr>
                  <w:i/>
                </w:rPr>
                <w:t>McEwan v Office of the Australian Information Commissioner</w:t>
              </w:r>
              <w:r w:rsidR="00453113">
                <w:t xml:space="preserve"> (No 2) [2022] FCA 1488</w:t>
              </w:r>
            </w:fldSimple>
          </w:p>
        </w:tc>
      </w:tr>
      <w:tr w:rsidR="00453113" w14:paraId="5D7C6B18" w14:textId="77777777" w:rsidTr="00F43086">
        <w:tc>
          <w:tcPr>
            <w:tcW w:w="3084" w:type="dxa"/>
            <w:shd w:val="clear" w:color="auto" w:fill="auto"/>
          </w:tcPr>
          <w:p w14:paraId="21623017" w14:textId="77777777" w:rsidR="00453113" w:rsidRDefault="00453113" w:rsidP="00663878">
            <w:pPr>
              <w:pStyle w:val="Normal1linespace"/>
              <w:widowControl w:val="0"/>
              <w:jc w:val="left"/>
            </w:pPr>
          </w:p>
        </w:tc>
        <w:tc>
          <w:tcPr>
            <w:tcW w:w="5989" w:type="dxa"/>
            <w:shd w:val="clear" w:color="auto" w:fill="auto"/>
          </w:tcPr>
          <w:p w14:paraId="4EDBB35A" w14:textId="77777777" w:rsidR="00453113" w:rsidRDefault="00453113" w:rsidP="00663878">
            <w:pPr>
              <w:pStyle w:val="Normal1linespace"/>
              <w:widowControl w:val="0"/>
              <w:jc w:val="left"/>
            </w:pPr>
          </w:p>
        </w:tc>
      </w:tr>
      <w:bookmarkEnd w:id="1"/>
      <w:tr w:rsidR="00395B24" w14:paraId="2B8DCBFA" w14:textId="77777777" w:rsidTr="00F43086">
        <w:tc>
          <w:tcPr>
            <w:tcW w:w="3084" w:type="dxa"/>
            <w:shd w:val="clear" w:color="auto" w:fill="auto"/>
          </w:tcPr>
          <w:p w14:paraId="09256B09" w14:textId="66570C6F" w:rsidR="00395B24" w:rsidRDefault="005E3B46" w:rsidP="00663878">
            <w:pPr>
              <w:pStyle w:val="Normal1linespace"/>
              <w:widowControl w:val="0"/>
              <w:jc w:val="left"/>
            </w:pPr>
            <w:r>
              <w:t>File number</w:t>
            </w:r>
            <w:r w:rsidR="002C7385">
              <w:t>:</w:t>
            </w:r>
          </w:p>
        </w:tc>
        <w:tc>
          <w:tcPr>
            <w:tcW w:w="5989" w:type="dxa"/>
            <w:shd w:val="clear" w:color="auto" w:fill="auto"/>
          </w:tcPr>
          <w:p w14:paraId="7B8800A6" w14:textId="77777777" w:rsidR="00395B24" w:rsidRPr="00453113" w:rsidRDefault="00D65022" w:rsidP="00453113">
            <w:pPr>
              <w:pStyle w:val="Normal1linespace"/>
              <w:jc w:val="left"/>
            </w:pPr>
            <w:fldSimple w:instr="REF  FileNo  \* MERGEFORMAT" w:fldLock="1">
              <w:r w:rsidR="00453113" w:rsidRPr="00453113">
                <w:t>QUD 427 of 2022</w:t>
              </w:r>
            </w:fldSimple>
          </w:p>
        </w:tc>
      </w:tr>
      <w:tr w:rsidR="00395B24" w14:paraId="1116C07A" w14:textId="77777777" w:rsidTr="00F43086">
        <w:tc>
          <w:tcPr>
            <w:tcW w:w="3084" w:type="dxa"/>
            <w:shd w:val="clear" w:color="auto" w:fill="auto"/>
          </w:tcPr>
          <w:p w14:paraId="79D71068" w14:textId="77777777" w:rsidR="00395B24" w:rsidRDefault="00395B24" w:rsidP="00663878">
            <w:pPr>
              <w:pStyle w:val="Normal1linespace"/>
              <w:widowControl w:val="0"/>
              <w:jc w:val="left"/>
            </w:pPr>
          </w:p>
        </w:tc>
        <w:tc>
          <w:tcPr>
            <w:tcW w:w="5989" w:type="dxa"/>
            <w:shd w:val="clear" w:color="auto" w:fill="auto"/>
          </w:tcPr>
          <w:p w14:paraId="4A9D56C6" w14:textId="77777777" w:rsidR="00395B24" w:rsidRDefault="00395B24" w:rsidP="00663878">
            <w:pPr>
              <w:pStyle w:val="Normal1linespace"/>
              <w:widowControl w:val="0"/>
              <w:jc w:val="left"/>
            </w:pPr>
          </w:p>
        </w:tc>
      </w:tr>
      <w:tr w:rsidR="00395B24" w14:paraId="7AD22D86" w14:textId="77777777" w:rsidTr="00F43086">
        <w:tc>
          <w:tcPr>
            <w:tcW w:w="3084" w:type="dxa"/>
            <w:shd w:val="clear" w:color="auto" w:fill="auto"/>
          </w:tcPr>
          <w:p w14:paraId="30E2B3EE"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041D805D" w14:textId="02823107" w:rsidR="00395B24" w:rsidRDefault="002C7385" w:rsidP="00663878">
            <w:pPr>
              <w:pStyle w:val="Normal1linespace"/>
              <w:widowControl w:val="0"/>
              <w:jc w:val="left"/>
              <w:rPr>
                <w:b/>
              </w:rPr>
            </w:pPr>
            <w:r w:rsidRPr="00453113">
              <w:rPr>
                <w:b/>
              </w:rPr>
              <w:fldChar w:fldCharType="begin" w:fldLock="1"/>
            </w:r>
            <w:r w:rsidRPr="00453113">
              <w:rPr>
                <w:b/>
              </w:rPr>
              <w:instrText xml:space="preserve"> REF  Judge  \* MERGEFORMAT </w:instrText>
            </w:r>
            <w:r w:rsidRPr="00453113">
              <w:rPr>
                <w:b/>
              </w:rPr>
              <w:fldChar w:fldCharType="separate"/>
            </w:r>
            <w:r w:rsidR="001A7B75">
              <w:rPr>
                <w:b/>
              </w:rPr>
              <w:t xml:space="preserve">CHARLESWORTH, </w:t>
            </w:r>
            <w:r w:rsidR="00453113" w:rsidRPr="00453113">
              <w:rPr>
                <w:b/>
                <w:caps/>
                <w:szCs w:val="24"/>
              </w:rPr>
              <w:t>SARAH C DERRINGTON</w:t>
            </w:r>
            <w:r w:rsidR="0069108F">
              <w:rPr>
                <w:b/>
                <w:caps/>
                <w:szCs w:val="24"/>
              </w:rPr>
              <w:t xml:space="preserve"> AND</w:t>
            </w:r>
            <w:r w:rsidR="001A7B75">
              <w:rPr>
                <w:b/>
                <w:caps/>
                <w:szCs w:val="24"/>
              </w:rPr>
              <w:t xml:space="preserve"> MEAGHER</w:t>
            </w:r>
            <w:r w:rsidR="00453113" w:rsidRPr="00453113">
              <w:rPr>
                <w:b/>
                <w:caps/>
                <w:szCs w:val="24"/>
              </w:rPr>
              <w:t xml:space="preserve"> </w:t>
            </w:r>
            <w:r w:rsidR="001A7B75">
              <w:rPr>
                <w:b/>
                <w:caps/>
                <w:szCs w:val="24"/>
              </w:rPr>
              <w:t>J</w:t>
            </w:r>
            <w:r w:rsidR="00453113" w:rsidRPr="00453113">
              <w:rPr>
                <w:b/>
                <w:caps/>
                <w:szCs w:val="24"/>
              </w:rPr>
              <w:t>J</w:t>
            </w:r>
            <w:r w:rsidRPr="00453113">
              <w:rPr>
                <w:b/>
              </w:rPr>
              <w:fldChar w:fldCharType="end"/>
            </w:r>
          </w:p>
        </w:tc>
      </w:tr>
      <w:tr w:rsidR="00395B24" w14:paraId="5FE70FA2" w14:textId="77777777" w:rsidTr="00F43086">
        <w:tc>
          <w:tcPr>
            <w:tcW w:w="3084" w:type="dxa"/>
            <w:shd w:val="clear" w:color="auto" w:fill="auto"/>
          </w:tcPr>
          <w:p w14:paraId="6C29614B" w14:textId="77777777" w:rsidR="00395B24" w:rsidRDefault="00395B24" w:rsidP="00663878">
            <w:pPr>
              <w:pStyle w:val="Normal1linespace"/>
              <w:widowControl w:val="0"/>
              <w:jc w:val="left"/>
            </w:pPr>
          </w:p>
        </w:tc>
        <w:tc>
          <w:tcPr>
            <w:tcW w:w="5989" w:type="dxa"/>
            <w:shd w:val="clear" w:color="auto" w:fill="auto"/>
          </w:tcPr>
          <w:p w14:paraId="0A865E94" w14:textId="77777777" w:rsidR="00395B24" w:rsidRDefault="00395B24" w:rsidP="00663878">
            <w:pPr>
              <w:pStyle w:val="Normal1linespace"/>
              <w:widowControl w:val="0"/>
              <w:jc w:val="left"/>
            </w:pPr>
          </w:p>
        </w:tc>
      </w:tr>
      <w:tr w:rsidR="00395B24" w14:paraId="04D5E686" w14:textId="77777777" w:rsidTr="00F43086">
        <w:tc>
          <w:tcPr>
            <w:tcW w:w="3084" w:type="dxa"/>
            <w:shd w:val="clear" w:color="auto" w:fill="auto"/>
          </w:tcPr>
          <w:p w14:paraId="3E4F98B6" w14:textId="77777777" w:rsidR="00395B24" w:rsidRDefault="002C7385" w:rsidP="00663878">
            <w:pPr>
              <w:pStyle w:val="Normal1linespace"/>
              <w:widowControl w:val="0"/>
              <w:jc w:val="left"/>
            </w:pPr>
            <w:r>
              <w:t>Date of judgment:</w:t>
            </w:r>
          </w:p>
        </w:tc>
        <w:tc>
          <w:tcPr>
            <w:tcW w:w="5989" w:type="dxa"/>
            <w:shd w:val="clear" w:color="auto" w:fill="auto"/>
          </w:tcPr>
          <w:p w14:paraId="0EA25650" w14:textId="0803BF61" w:rsidR="00395B24" w:rsidRDefault="00BC0CAC" w:rsidP="00663878">
            <w:pPr>
              <w:pStyle w:val="Normal1linespace"/>
              <w:widowControl w:val="0"/>
              <w:jc w:val="left"/>
            </w:pPr>
            <w:bookmarkStart w:id="2" w:name="JudgmentDate"/>
            <w:bookmarkEnd w:id="2"/>
            <w:r>
              <w:t>18 August 2023</w:t>
            </w:r>
          </w:p>
        </w:tc>
      </w:tr>
      <w:tr w:rsidR="00395B24" w14:paraId="438F2E99" w14:textId="77777777" w:rsidTr="00F43086">
        <w:tc>
          <w:tcPr>
            <w:tcW w:w="3084" w:type="dxa"/>
            <w:shd w:val="clear" w:color="auto" w:fill="auto"/>
          </w:tcPr>
          <w:p w14:paraId="1CF963A5" w14:textId="77777777" w:rsidR="00395B24" w:rsidRDefault="00395B24" w:rsidP="00663878">
            <w:pPr>
              <w:pStyle w:val="Normal1linespace"/>
              <w:widowControl w:val="0"/>
              <w:jc w:val="left"/>
            </w:pPr>
          </w:p>
        </w:tc>
        <w:tc>
          <w:tcPr>
            <w:tcW w:w="5989" w:type="dxa"/>
            <w:shd w:val="clear" w:color="auto" w:fill="auto"/>
          </w:tcPr>
          <w:p w14:paraId="267076ED" w14:textId="77777777" w:rsidR="00395B24" w:rsidRDefault="00395B24" w:rsidP="00663878">
            <w:pPr>
              <w:pStyle w:val="Normal1linespace"/>
              <w:widowControl w:val="0"/>
              <w:jc w:val="left"/>
            </w:pPr>
          </w:p>
        </w:tc>
      </w:tr>
      <w:tr w:rsidR="00395B24" w14:paraId="2D6A3601" w14:textId="77777777" w:rsidTr="00F43086">
        <w:tc>
          <w:tcPr>
            <w:tcW w:w="3084" w:type="dxa"/>
            <w:shd w:val="clear" w:color="auto" w:fill="auto"/>
          </w:tcPr>
          <w:p w14:paraId="66FB8EE1" w14:textId="77777777" w:rsidR="00395B24" w:rsidRDefault="002C7385" w:rsidP="00663878">
            <w:pPr>
              <w:pStyle w:val="Normal1linespace"/>
              <w:widowControl w:val="0"/>
              <w:jc w:val="left"/>
            </w:pPr>
            <w:r>
              <w:t>Catchwords:</w:t>
            </w:r>
          </w:p>
        </w:tc>
        <w:tc>
          <w:tcPr>
            <w:tcW w:w="5989" w:type="dxa"/>
            <w:shd w:val="clear" w:color="auto" w:fill="auto"/>
          </w:tcPr>
          <w:p w14:paraId="5BA52BC6" w14:textId="659CF921" w:rsidR="00E64E89" w:rsidRDefault="00692CD3" w:rsidP="00692CD3">
            <w:pPr>
              <w:pStyle w:val="Normal1linespace"/>
              <w:widowControl w:val="0"/>
              <w:jc w:val="left"/>
            </w:pPr>
            <w:bookmarkStart w:id="3" w:name="Catchwords"/>
            <w:r w:rsidRPr="00FE230F">
              <w:rPr>
                <w:b/>
              </w:rPr>
              <w:t>ADMINISTRATIVE LAW</w:t>
            </w:r>
            <w:r>
              <w:t xml:space="preserve"> – </w:t>
            </w:r>
            <w:r w:rsidR="00E64E89">
              <w:t xml:space="preserve">Privacy – </w:t>
            </w:r>
            <w:r>
              <w:t xml:space="preserve">appeal from dismissal of application to review decision of Australian Information Commissioner (AIC) not to investigate complaint – where appellant alleged officers within the Australian Taxation Officer made disclosures of protected information during an investigation contrary to the </w:t>
            </w:r>
            <w:r w:rsidRPr="00692CD3">
              <w:rPr>
                <w:i/>
              </w:rPr>
              <w:t>Privacy Act 1988</w:t>
            </w:r>
            <w:r>
              <w:t xml:space="preserve"> (</w:t>
            </w:r>
            <w:proofErr w:type="spellStart"/>
            <w:r>
              <w:t>Cth</w:t>
            </w:r>
            <w:proofErr w:type="spellEnd"/>
            <w:r>
              <w:t>) – whether disclosures authorised by</w:t>
            </w:r>
            <w:r w:rsidR="00FE230F">
              <w:t xml:space="preserve"> </w:t>
            </w:r>
            <w:proofErr w:type="spellStart"/>
            <w:r w:rsidR="00FE230F">
              <w:t>Ch</w:t>
            </w:r>
            <w:proofErr w:type="spellEnd"/>
            <w:r w:rsidR="00FE230F">
              <w:t xml:space="preserve"> 5, Pt 5.1 </w:t>
            </w:r>
            <w:proofErr w:type="spellStart"/>
            <w:r w:rsidR="00FE230F">
              <w:t>Subdiv</w:t>
            </w:r>
            <w:proofErr w:type="spellEnd"/>
            <w:r w:rsidR="00FE230F">
              <w:t xml:space="preserve"> 355-B </w:t>
            </w:r>
            <w:r>
              <w:t xml:space="preserve">of </w:t>
            </w:r>
            <w:proofErr w:type="spellStart"/>
            <w:r>
              <w:t>Sch</w:t>
            </w:r>
            <w:proofErr w:type="spellEnd"/>
            <w:r>
              <w:t xml:space="preserve"> 1 to the </w:t>
            </w:r>
            <w:r w:rsidRPr="00692CD3">
              <w:rPr>
                <w:i/>
              </w:rPr>
              <w:t>Taxation Administration Act 1953</w:t>
            </w:r>
            <w:r>
              <w:t xml:space="preserve"> (</w:t>
            </w:r>
            <w:proofErr w:type="spellStart"/>
            <w:r>
              <w:t>Cth</w:t>
            </w:r>
            <w:proofErr w:type="spellEnd"/>
            <w:r>
              <w:t xml:space="preserve">) – whether officers performing duties “as a taxation officer” </w:t>
            </w:r>
          </w:p>
          <w:p w14:paraId="6A8D2331" w14:textId="77777777" w:rsidR="00E64E89" w:rsidRDefault="00E64E89" w:rsidP="00E64E89">
            <w:pPr>
              <w:pStyle w:val="Normal1linespace"/>
              <w:widowControl w:val="0"/>
              <w:jc w:val="left"/>
            </w:pPr>
          </w:p>
          <w:p w14:paraId="438C0DF4" w14:textId="77777777" w:rsidR="00FE230F" w:rsidRDefault="00E64E89" w:rsidP="00FE230F">
            <w:pPr>
              <w:pStyle w:val="Normal1linespace"/>
              <w:widowControl w:val="0"/>
              <w:jc w:val="left"/>
            </w:pPr>
            <w:r w:rsidRPr="00FE230F">
              <w:rPr>
                <w:b/>
              </w:rPr>
              <w:t>HIGH COURT AND FEDERAL COURT</w:t>
            </w:r>
            <w:r>
              <w:t xml:space="preserve"> – equitable jurisdiction of Federal Court of Australia to set aside a perfected judgment other than in the exercise of appellate jurisdiction – where appellant </w:t>
            </w:r>
            <w:r w:rsidR="00FE230F">
              <w:t xml:space="preserve">seeks to allege documents said to be before the Australian Information Commissioner were tampered with – where no fraud alleged before the primary judge –  </w:t>
            </w:r>
            <w:r>
              <w:t xml:space="preserve">application of principles in </w:t>
            </w:r>
            <w:r w:rsidRPr="00FE230F">
              <w:rPr>
                <w:i/>
              </w:rPr>
              <w:t>Clone Pty Ltd</w:t>
            </w:r>
            <w:r w:rsidR="00FE230F" w:rsidRPr="00FE230F">
              <w:rPr>
                <w:i/>
              </w:rPr>
              <w:t xml:space="preserve"> </w:t>
            </w:r>
            <w:r w:rsidRPr="00FE230F">
              <w:rPr>
                <w:i/>
              </w:rPr>
              <w:t xml:space="preserve">v Players Pty Ltd (in </w:t>
            </w:r>
            <w:proofErr w:type="spellStart"/>
            <w:r w:rsidRPr="00FE230F">
              <w:rPr>
                <w:i/>
              </w:rPr>
              <w:t>liq</w:t>
            </w:r>
            <w:proofErr w:type="spellEnd"/>
            <w:r w:rsidRPr="00FE230F">
              <w:rPr>
                <w:i/>
              </w:rPr>
              <w:t>)</w:t>
            </w:r>
            <w:r w:rsidR="00FE230F">
              <w:t xml:space="preserve"> (2018) 264 CLR 165</w:t>
            </w:r>
          </w:p>
          <w:p w14:paraId="6F002CD8" w14:textId="77777777" w:rsidR="00FE230F" w:rsidRDefault="00FE230F" w:rsidP="00FE230F">
            <w:pPr>
              <w:pStyle w:val="Normal1linespace"/>
              <w:widowControl w:val="0"/>
              <w:jc w:val="left"/>
            </w:pPr>
          </w:p>
          <w:p w14:paraId="74C54730" w14:textId="77777777" w:rsidR="00FE230F" w:rsidRDefault="00FE230F" w:rsidP="00FE230F">
            <w:pPr>
              <w:pStyle w:val="Normal1linespace"/>
              <w:widowControl w:val="0"/>
              <w:jc w:val="left"/>
            </w:pPr>
            <w:r w:rsidRPr="00FE230F">
              <w:rPr>
                <w:b/>
              </w:rPr>
              <w:t>STATUTORY INTERPRETATION</w:t>
            </w:r>
            <w:r>
              <w:t xml:space="preserve"> – </w:t>
            </w:r>
            <w:r w:rsidRPr="00692CD3">
              <w:rPr>
                <w:i/>
              </w:rPr>
              <w:t>Taxation Administration Act 1953</w:t>
            </w:r>
            <w:r>
              <w:t xml:space="preserve"> (</w:t>
            </w:r>
            <w:proofErr w:type="spellStart"/>
            <w:r>
              <w:t>Cth</w:t>
            </w:r>
            <w:proofErr w:type="spellEnd"/>
            <w:r>
              <w:t>) (</w:t>
            </w:r>
            <w:r w:rsidRPr="00594E60">
              <w:rPr>
                <w:b/>
              </w:rPr>
              <w:t>TAA</w:t>
            </w:r>
            <w:r>
              <w:t xml:space="preserve">) –  where appellant alleged officers within the Australian Taxation Officer made disclosures of protected information during an investigation contrary to the </w:t>
            </w:r>
            <w:r w:rsidRPr="00692CD3">
              <w:rPr>
                <w:i/>
              </w:rPr>
              <w:t xml:space="preserve">Privacy Act </w:t>
            </w:r>
            <w:r w:rsidRPr="00E6631F">
              <w:rPr>
                <w:i/>
              </w:rPr>
              <w:t>1988</w:t>
            </w:r>
            <w:r>
              <w:t xml:space="preserve"> (</w:t>
            </w:r>
            <w:proofErr w:type="spellStart"/>
            <w:r>
              <w:t>Cth</w:t>
            </w:r>
            <w:proofErr w:type="spellEnd"/>
            <w:r>
              <w:t xml:space="preserve">) – whether disclosures authorised by s 355-50 of </w:t>
            </w:r>
            <w:proofErr w:type="spellStart"/>
            <w:r>
              <w:t>Sch</w:t>
            </w:r>
            <w:proofErr w:type="spellEnd"/>
            <w:r>
              <w:t xml:space="preserve"> 1 to the</w:t>
            </w:r>
            <w:r>
              <w:rPr>
                <w:i/>
              </w:rPr>
              <w:t xml:space="preserve"> </w:t>
            </w:r>
            <w:r w:rsidRPr="00594E60">
              <w:t>TAA</w:t>
            </w:r>
            <w:r>
              <w:rPr>
                <w:i/>
              </w:rPr>
              <w:t xml:space="preserve"> </w:t>
            </w:r>
            <w:r>
              <w:t>– whether officers performing duties “as a taxation officer” – whether those duties restricted to “collection and recovery of income tax and other liabilities” – whether meaning of “entity” in s 355-50 restricted to another taxation officer</w:t>
            </w:r>
          </w:p>
          <w:p w14:paraId="4F48EBDB" w14:textId="77777777" w:rsidR="00FE230F" w:rsidRDefault="00FE230F" w:rsidP="00FE230F">
            <w:pPr>
              <w:pStyle w:val="Normal1linespace"/>
              <w:widowControl w:val="0"/>
              <w:jc w:val="left"/>
            </w:pPr>
          </w:p>
          <w:p w14:paraId="3B8D0E4B" w14:textId="77777777" w:rsidR="00395B24" w:rsidRDefault="00FE230F" w:rsidP="00FE230F">
            <w:pPr>
              <w:pStyle w:val="Normal1linespace"/>
              <w:widowControl w:val="0"/>
              <w:jc w:val="left"/>
            </w:pPr>
            <w:r w:rsidRPr="005D5E40">
              <w:rPr>
                <w:b/>
              </w:rPr>
              <w:t>TAXATION</w:t>
            </w:r>
            <w:r>
              <w:t xml:space="preserve"> </w:t>
            </w:r>
            <w:r w:rsidRPr="00FE230F">
              <w:t xml:space="preserve">– power of taxation officer to disclose </w:t>
            </w:r>
            <w:r w:rsidRPr="00FE230F">
              <w:lastRenderedPageBreak/>
              <w:t>protected information und</w:t>
            </w:r>
            <w:r>
              <w:t xml:space="preserve">er Ch5, Pt 5.1 </w:t>
            </w:r>
            <w:proofErr w:type="spellStart"/>
            <w:r>
              <w:t>Subdiv</w:t>
            </w:r>
            <w:proofErr w:type="spellEnd"/>
            <w:r>
              <w:t xml:space="preserve"> 355-B of </w:t>
            </w:r>
            <w:proofErr w:type="spellStart"/>
            <w:r>
              <w:t>S</w:t>
            </w:r>
            <w:r w:rsidRPr="00FE230F">
              <w:t>ch</w:t>
            </w:r>
            <w:proofErr w:type="spellEnd"/>
            <w:r w:rsidRPr="00FE230F">
              <w:t xml:space="preserve"> 1 to the </w:t>
            </w:r>
            <w:r w:rsidRPr="00FE230F">
              <w:rPr>
                <w:i/>
              </w:rPr>
              <w:t>Taxation Administration Act 1953</w:t>
            </w:r>
            <w:r w:rsidRPr="00FE230F">
              <w:t xml:space="preserve"> (</w:t>
            </w:r>
            <w:proofErr w:type="spellStart"/>
            <w:r w:rsidRPr="00FE230F">
              <w:t>Cth</w:t>
            </w:r>
            <w:proofErr w:type="spellEnd"/>
            <w:r w:rsidRPr="00FE230F">
              <w:t xml:space="preserve">) – where disclosure alleged to amount to breach of Australian Privacy Principles – where disclosure made in the context of an investigation by the Australian Taxation Office to a third party – </w:t>
            </w:r>
            <w:r w:rsidR="005D5E40">
              <w:t xml:space="preserve">whether officers performing duties “as a taxation officer” – whether those duties restricted to “collection and recovery of income tax and other liabilities” – </w:t>
            </w:r>
            <w:r w:rsidRPr="00FE230F">
              <w:t>whether disclosure otherwise authorised by law</w:t>
            </w:r>
            <w:r w:rsidR="00E64E89">
              <w:t xml:space="preserve"> </w:t>
            </w:r>
            <w:bookmarkEnd w:id="3"/>
          </w:p>
        </w:tc>
      </w:tr>
      <w:tr w:rsidR="00395B24" w14:paraId="66149528" w14:textId="77777777" w:rsidTr="00F43086">
        <w:tc>
          <w:tcPr>
            <w:tcW w:w="3084" w:type="dxa"/>
            <w:shd w:val="clear" w:color="auto" w:fill="auto"/>
          </w:tcPr>
          <w:p w14:paraId="5EA68746" w14:textId="77777777" w:rsidR="00395B24" w:rsidRDefault="00395B24" w:rsidP="00663878">
            <w:pPr>
              <w:pStyle w:val="Normal1linespace"/>
              <w:widowControl w:val="0"/>
              <w:jc w:val="left"/>
            </w:pPr>
          </w:p>
        </w:tc>
        <w:tc>
          <w:tcPr>
            <w:tcW w:w="5989" w:type="dxa"/>
            <w:shd w:val="clear" w:color="auto" w:fill="auto"/>
          </w:tcPr>
          <w:p w14:paraId="35A06A23" w14:textId="77777777" w:rsidR="00395B24" w:rsidRDefault="00395B24" w:rsidP="00663878">
            <w:pPr>
              <w:pStyle w:val="Normal1linespace"/>
              <w:widowControl w:val="0"/>
              <w:jc w:val="left"/>
            </w:pPr>
          </w:p>
        </w:tc>
      </w:tr>
      <w:tr w:rsidR="00395B24" w14:paraId="7DEA0A96" w14:textId="77777777" w:rsidTr="00F43086">
        <w:tc>
          <w:tcPr>
            <w:tcW w:w="3084" w:type="dxa"/>
            <w:shd w:val="clear" w:color="auto" w:fill="auto"/>
          </w:tcPr>
          <w:p w14:paraId="3EAB1492" w14:textId="77777777" w:rsidR="00395B24" w:rsidRDefault="002C7385" w:rsidP="00663878">
            <w:pPr>
              <w:pStyle w:val="Normal1linespace"/>
              <w:widowControl w:val="0"/>
              <w:jc w:val="left"/>
            </w:pPr>
            <w:r>
              <w:t>Legislation:</w:t>
            </w:r>
          </w:p>
        </w:tc>
        <w:tc>
          <w:tcPr>
            <w:tcW w:w="5989" w:type="dxa"/>
            <w:shd w:val="clear" w:color="auto" w:fill="auto"/>
          </w:tcPr>
          <w:p w14:paraId="4440F43D" w14:textId="77777777" w:rsidR="009C36D5" w:rsidRPr="009C36D5" w:rsidRDefault="009C36D5" w:rsidP="009C36D5">
            <w:pPr>
              <w:pStyle w:val="CasesLegislationAppealFrom"/>
              <w:spacing w:after="60"/>
            </w:pPr>
            <w:bookmarkStart w:id="4" w:name="Legislation"/>
            <w:r w:rsidRPr="009C36D5">
              <w:rPr>
                <w:i/>
              </w:rPr>
              <w:t xml:space="preserve">Acts Interpretation Act 1901 </w:t>
            </w:r>
            <w:r w:rsidRPr="009C36D5">
              <w:t>(</w:t>
            </w:r>
            <w:proofErr w:type="spellStart"/>
            <w:r w:rsidRPr="009C36D5">
              <w:t>Cth</w:t>
            </w:r>
            <w:proofErr w:type="spellEnd"/>
            <w:r w:rsidRPr="009C36D5">
              <w:t>)</w:t>
            </w:r>
            <w:r>
              <w:t xml:space="preserve"> s 15AA</w:t>
            </w:r>
          </w:p>
          <w:p w14:paraId="0AE6A1C7" w14:textId="77777777" w:rsidR="009C36D5" w:rsidRPr="009C36D5" w:rsidRDefault="009C36D5" w:rsidP="009C36D5">
            <w:pPr>
              <w:pStyle w:val="CasesLegislationAppealFrom"/>
              <w:spacing w:after="60"/>
            </w:pPr>
            <w:r w:rsidRPr="009C36D5">
              <w:rPr>
                <w:i/>
              </w:rPr>
              <w:t>Crimes Act 1914</w:t>
            </w:r>
            <w:r w:rsidRPr="009C36D5">
              <w:t xml:space="preserve"> (</w:t>
            </w:r>
            <w:proofErr w:type="spellStart"/>
            <w:r w:rsidRPr="009C36D5">
              <w:t>Cth</w:t>
            </w:r>
            <w:proofErr w:type="spellEnd"/>
            <w:r w:rsidRPr="009C36D5">
              <w:t>)</w:t>
            </w:r>
            <w:r>
              <w:t xml:space="preserve"> </w:t>
            </w:r>
            <w:proofErr w:type="spellStart"/>
            <w:r>
              <w:t>ss</w:t>
            </w:r>
            <w:proofErr w:type="spellEnd"/>
            <w:r w:rsidR="00692CD3">
              <w:t xml:space="preserve"> 3E, 3ZQU(1), 3ZQU(4)</w:t>
            </w:r>
          </w:p>
          <w:p w14:paraId="4CD90C0F" w14:textId="21D1CC35" w:rsidR="009C36D5" w:rsidRPr="009C36D5" w:rsidRDefault="009C36D5" w:rsidP="009C36D5">
            <w:pPr>
              <w:pStyle w:val="CasesLegislationAppealFrom"/>
              <w:spacing w:after="60"/>
            </w:pPr>
            <w:r w:rsidRPr="009C36D5">
              <w:rPr>
                <w:i/>
              </w:rPr>
              <w:t>Income Tax Assessment Act 1936</w:t>
            </w:r>
            <w:r w:rsidR="00777622">
              <w:t xml:space="preserve"> (</w:t>
            </w:r>
            <w:proofErr w:type="spellStart"/>
            <w:r w:rsidR="00777622">
              <w:t>Cth</w:t>
            </w:r>
            <w:proofErr w:type="spellEnd"/>
            <w:r w:rsidR="00777622">
              <w:t>) s 16(</w:t>
            </w:r>
            <w:r>
              <w:t>2)</w:t>
            </w:r>
          </w:p>
          <w:p w14:paraId="3DB08134" w14:textId="77777777" w:rsidR="009C36D5" w:rsidRPr="009C36D5" w:rsidRDefault="009C36D5" w:rsidP="009C36D5">
            <w:pPr>
              <w:pStyle w:val="CasesLegislationAppealFrom"/>
              <w:spacing w:after="60"/>
            </w:pPr>
            <w:r w:rsidRPr="009C36D5">
              <w:rPr>
                <w:i/>
              </w:rPr>
              <w:t>Privacy Act 1988</w:t>
            </w:r>
            <w:r w:rsidRPr="009C36D5">
              <w:t xml:space="preserve"> (</w:t>
            </w:r>
            <w:proofErr w:type="spellStart"/>
            <w:r w:rsidRPr="009C36D5">
              <w:t>Cth</w:t>
            </w:r>
            <w:proofErr w:type="spellEnd"/>
            <w:r w:rsidRPr="009C36D5">
              <w:t>)</w:t>
            </w:r>
            <w:r>
              <w:t xml:space="preserve"> </w:t>
            </w:r>
            <w:proofErr w:type="spellStart"/>
            <w:r>
              <w:t>ss</w:t>
            </w:r>
            <w:proofErr w:type="spellEnd"/>
            <w:r>
              <w:t xml:space="preserve"> </w:t>
            </w:r>
            <w:r w:rsidR="00692CD3">
              <w:t xml:space="preserve">2A, </w:t>
            </w:r>
            <w:r>
              <w:t>6, 14, 15, 41(1)</w:t>
            </w:r>
          </w:p>
          <w:p w14:paraId="375974FE" w14:textId="77777777" w:rsidR="009C36D5" w:rsidRPr="009C36D5" w:rsidRDefault="009C36D5" w:rsidP="009C36D5">
            <w:pPr>
              <w:pStyle w:val="CasesLegislationAppealFrom"/>
              <w:spacing w:after="60"/>
            </w:pPr>
            <w:r w:rsidRPr="009C36D5">
              <w:rPr>
                <w:i/>
              </w:rPr>
              <w:t>Taxation Administration Act 1953</w:t>
            </w:r>
            <w:r w:rsidRPr="009C36D5">
              <w:t xml:space="preserve"> (</w:t>
            </w:r>
            <w:proofErr w:type="spellStart"/>
            <w:r w:rsidRPr="009C36D5">
              <w:t>Cth</w:t>
            </w:r>
            <w:proofErr w:type="spellEnd"/>
            <w:r>
              <w:t xml:space="preserve">) </w:t>
            </w:r>
            <w:proofErr w:type="spellStart"/>
            <w:r>
              <w:t>Sch</w:t>
            </w:r>
            <w:proofErr w:type="spellEnd"/>
            <w:r>
              <w:t xml:space="preserve"> 1 </w:t>
            </w:r>
            <w:proofErr w:type="spellStart"/>
            <w:r>
              <w:t>ss</w:t>
            </w:r>
            <w:proofErr w:type="spellEnd"/>
            <w:r>
              <w:t xml:space="preserve"> 355-25, 355-50</w:t>
            </w:r>
            <w:r w:rsidRPr="009C36D5">
              <w:t>)</w:t>
            </w:r>
            <w:bookmarkEnd w:id="4"/>
            <w:r>
              <w:t xml:space="preserve">  </w:t>
            </w:r>
          </w:p>
        </w:tc>
      </w:tr>
      <w:tr w:rsidR="00395B24" w14:paraId="09AD5083" w14:textId="77777777" w:rsidTr="00F43086">
        <w:tc>
          <w:tcPr>
            <w:tcW w:w="3084" w:type="dxa"/>
            <w:shd w:val="clear" w:color="auto" w:fill="auto"/>
          </w:tcPr>
          <w:p w14:paraId="16A5264A" w14:textId="77777777" w:rsidR="00395B24" w:rsidRDefault="00395B24" w:rsidP="00663878">
            <w:pPr>
              <w:pStyle w:val="Normal1linespace"/>
              <w:widowControl w:val="0"/>
              <w:jc w:val="left"/>
            </w:pPr>
          </w:p>
        </w:tc>
        <w:tc>
          <w:tcPr>
            <w:tcW w:w="5989" w:type="dxa"/>
            <w:shd w:val="clear" w:color="auto" w:fill="auto"/>
          </w:tcPr>
          <w:p w14:paraId="58BA99DB" w14:textId="77777777" w:rsidR="00395B24" w:rsidRDefault="00395B24" w:rsidP="00663878">
            <w:pPr>
              <w:pStyle w:val="Normal1linespace"/>
              <w:widowControl w:val="0"/>
              <w:jc w:val="left"/>
            </w:pPr>
          </w:p>
        </w:tc>
      </w:tr>
      <w:tr w:rsidR="00395B24" w14:paraId="774598B5" w14:textId="77777777" w:rsidTr="00F43086">
        <w:tc>
          <w:tcPr>
            <w:tcW w:w="3084" w:type="dxa"/>
            <w:shd w:val="clear" w:color="auto" w:fill="auto"/>
          </w:tcPr>
          <w:p w14:paraId="58F65EEC" w14:textId="77777777" w:rsidR="00395B24" w:rsidRDefault="002C7385" w:rsidP="00663878">
            <w:pPr>
              <w:pStyle w:val="Normal1linespace"/>
              <w:widowControl w:val="0"/>
              <w:jc w:val="left"/>
            </w:pPr>
            <w:r>
              <w:t>Cases cited:</w:t>
            </w:r>
          </w:p>
        </w:tc>
        <w:tc>
          <w:tcPr>
            <w:tcW w:w="5989" w:type="dxa"/>
            <w:shd w:val="clear" w:color="auto" w:fill="auto"/>
          </w:tcPr>
          <w:p w14:paraId="7EA45973" w14:textId="39523E0B" w:rsidR="009C36D5" w:rsidRPr="009C36D5" w:rsidRDefault="009C36D5" w:rsidP="009C36D5">
            <w:pPr>
              <w:pStyle w:val="CasesLegislationAppealFrom"/>
              <w:spacing w:after="60"/>
            </w:pPr>
            <w:bookmarkStart w:id="5" w:name="Cases_Cited"/>
            <w:r w:rsidRPr="009C36D5">
              <w:rPr>
                <w:i/>
              </w:rPr>
              <w:t>Canadian Pacific Tobacco Company Ltd v Stapleton</w:t>
            </w:r>
            <w:r w:rsidR="00452FAD">
              <w:t xml:space="preserve"> </w:t>
            </w:r>
            <w:r w:rsidRPr="009C36D5">
              <w:t>(1952) 86 CLR 1</w:t>
            </w:r>
          </w:p>
          <w:p w14:paraId="02088931" w14:textId="77777777" w:rsidR="009C36D5" w:rsidRPr="009C36D5" w:rsidRDefault="009C36D5" w:rsidP="009C36D5">
            <w:pPr>
              <w:pStyle w:val="CasesLegislationAppealFrom"/>
              <w:spacing w:after="60"/>
            </w:pPr>
            <w:r w:rsidRPr="009C36D5">
              <w:rPr>
                <w:i/>
              </w:rPr>
              <w:t xml:space="preserve">Certain Lloyd’s Underwriters v Cross </w:t>
            </w:r>
            <w:r w:rsidRPr="009C36D5">
              <w:rPr>
                <w:rFonts w:hint="eastAsia"/>
                <w:lang w:val="en"/>
              </w:rPr>
              <w:t>[2012] HCA 56;</w:t>
            </w:r>
            <w:r w:rsidRPr="009C36D5">
              <w:t xml:space="preserve"> (2012) 248 CLR 378</w:t>
            </w:r>
          </w:p>
          <w:p w14:paraId="3470E645" w14:textId="77777777" w:rsidR="00850746" w:rsidRDefault="00FF5C34" w:rsidP="009C36D5">
            <w:pPr>
              <w:pStyle w:val="CasesLegislationAppealFrom"/>
              <w:spacing w:after="60"/>
            </w:pPr>
            <w:r>
              <w:rPr>
                <w:i/>
              </w:rPr>
              <w:t>Clone Pty Ltd and Players Pty Ltd (In Liquidation) (Receivers &amp; Managers Appointed)</w:t>
            </w:r>
            <w:r w:rsidRPr="00850746">
              <w:t xml:space="preserve"> </w:t>
            </w:r>
            <w:r>
              <w:t>[2018] HCA 12; (2018) 261 CLR 165</w:t>
            </w:r>
          </w:p>
          <w:p w14:paraId="316C76BE" w14:textId="5CEABD66" w:rsidR="007811BE" w:rsidRDefault="007811BE" w:rsidP="009C36D5">
            <w:pPr>
              <w:pStyle w:val="CasesLegislationAppealFrom"/>
              <w:spacing w:after="60"/>
              <w:rPr>
                <w:i/>
              </w:rPr>
            </w:pPr>
            <w:r w:rsidRPr="009C36D5">
              <w:rPr>
                <w:i/>
              </w:rPr>
              <w:t>Commissioner of Taxation v Consolidated Media Holdings Ltd</w:t>
            </w:r>
            <w:r w:rsidRPr="009C36D5">
              <w:rPr>
                <w:i/>
                <w:iCs/>
                <w:lang w:val="en"/>
              </w:rPr>
              <w:t xml:space="preserve"> </w:t>
            </w:r>
            <w:r w:rsidRPr="009C36D5">
              <w:rPr>
                <w:iCs/>
                <w:lang w:val="en"/>
              </w:rPr>
              <w:t xml:space="preserve">[2012] HCA 55; </w:t>
            </w:r>
            <w:r w:rsidRPr="009C36D5">
              <w:t>(2012) 250 CLR 503</w:t>
            </w:r>
          </w:p>
          <w:p w14:paraId="25FED76A" w14:textId="033C640A" w:rsidR="007811BE" w:rsidRPr="009C36D5" w:rsidRDefault="009C36D5" w:rsidP="009C36D5">
            <w:pPr>
              <w:pStyle w:val="CasesLegislationAppealFrom"/>
              <w:spacing w:after="60"/>
            </w:pPr>
            <w:r w:rsidRPr="009C36D5">
              <w:rPr>
                <w:i/>
              </w:rPr>
              <w:t>Consolidated Press Holding</w:t>
            </w:r>
            <w:r w:rsidR="007811BE">
              <w:rPr>
                <w:i/>
              </w:rPr>
              <w:t xml:space="preserve"> Ltd</w:t>
            </w:r>
            <w:r w:rsidRPr="009C36D5">
              <w:rPr>
                <w:i/>
              </w:rPr>
              <w:t xml:space="preserve"> v </w:t>
            </w:r>
            <w:r w:rsidR="007811BE">
              <w:rPr>
                <w:i/>
              </w:rPr>
              <w:t xml:space="preserve">Federal </w:t>
            </w:r>
            <w:r w:rsidRPr="009C36D5">
              <w:rPr>
                <w:i/>
              </w:rPr>
              <w:t>Commissioner of Taxation</w:t>
            </w:r>
            <w:r w:rsidRPr="009C36D5">
              <w:t xml:space="preserve"> [1994] FCA 1367; 57 FCR 348</w:t>
            </w:r>
          </w:p>
          <w:p w14:paraId="35EEF2BE" w14:textId="6F11A0F7" w:rsidR="009C36D5" w:rsidRDefault="009C36D5" w:rsidP="009C36D5">
            <w:pPr>
              <w:pStyle w:val="CasesLegislationAppealFrom"/>
              <w:spacing w:after="60"/>
            </w:pPr>
            <w:r w:rsidRPr="009C36D5">
              <w:rPr>
                <w:i/>
              </w:rPr>
              <w:t>Federal Commissioner of Taxation v Consolidated Media Holdings Ltd</w:t>
            </w:r>
            <w:r w:rsidRPr="009C36D5">
              <w:rPr>
                <w:i/>
                <w:iCs/>
                <w:lang w:val="en"/>
              </w:rPr>
              <w:t xml:space="preserve"> </w:t>
            </w:r>
            <w:r w:rsidRPr="009C36D5">
              <w:rPr>
                <w:iCs/>
                <w:lang w:val="en"/>
              </w:rPr>
              <w:t xml:space="preserve">[2012] HCA 55; </w:t>
            </w:r>
            <w:r w:rsidRPr="009C36D5">
              <w:t>(2012) 250 CLR 503</w:t>
            </w:r>
          </w:p>
          <w:p w14:paraId="12590FC8" w14:textId="2893890B" w:rsidR="007811BE" w:rsidRPr="009C36D5" w:rsidRDefault="007811BE" w:rsidP="009C36D5">
            <w:pPr>
              <w:pStyle w:val="CasesLegislationAppealFrom"/>
              <w:spacing w:after="60"/>
            </w:pPr>
            <w:r>
              <w:rPr>
                <w:i/>
              </w:rPr>
              <w:t xml:space="preserve">Federal </w:t>
            </w:r>
            <w:r w:rsidRPr="009C36D5">
              <w:rPr>
                <w:i/>
              </w:rPr>
              <w:t>Commissioner of Taxation v Nestle Australia Ltd</w:t>
            </w:r>
            <w:r w:rsidRPr="009C36D5">
              <w:t xml:space="preserve"> [1986] FCA 479; 12 FCR 257</w:t>
            </w:r>
          </w:p>
          <w:p w14:paraId="2AE326FC" w14:textId="45B9BDFA" w:rsidR="009C36D5" w:rsidRPr="009C36D5" w:rsidRDefault="009C36D5" w:rsidP="009C36D5">
            <w:pPr>
              <w:pStyle w:val="CasesLegislationAppealFrom"/>
              <w:spacing w:after="60"/>
            </w:pPr>
            <w:r w:rsidRPr="009C36D5">
              <w:rPr>
                <w:i/>
              </w:rPr>
              <w:t xml:space="preserve">Jordan, Commissioner of Taxation v </w:t>
            </w:r>
            <w:r w:rsidR="007811BE">
              <w:rPr>
                <w:i/>
              </w:rPr>
              <w:t>Second Commissioner of Taxation</w:t>
            </w:r>
            <w:r w:rsidR="007811BE" w:rsidRPr="009C36D5">
              <w:t xml:space="preserve"> </w:t>
            </w:r>
            <w:r w:rsidRPr="009C36D5">
              <w:t>[2019] FCA 1602</w:t>
            </w:r>
          </w:p>
          <w:p w14:paraId="675B61B8" w14:textId="77777777" w:rsidR="009C36D5" w:rsidRPr="009C36D5" w:rsidRDefault="009C36D5" w:rsidP="009C36D5">
            <w:pPr>
              <w:pStyle w:val="CasesLegislationAppealFrom"/>
              <w:spacing w:after="60"/>
            </w:pPr>
            <w:r w:rsidRPr="009C36D5">
              <w:rPr>
                <w:i/>
                <w:iCs/>
              </w:rPr>
              <w:t xml:space="preserve">Project Blue Sky </w:t>
            </w:r>
            <w:proofErr w:type="spellStart"/>
            <w:r w:rsidRPr="009C36D5">
              <w:rPr>
                <w:i/>
                <w:iCs/>
              </w:rPr>
              <w:t>Inc</w:t>
            </w:r>
            <w:proofErr w:type="spellEnd"/>
            <w:r w:rsidRPr="009C36D5">
              <w:rPr>
                <w:i/>
                <w:iCs/>
              </w:rPr>
              <w:t xml:space="preserve"> v Australian Broadcasting Authority </w:t>
            </w:r>
            <w:r w:rsidRPr="009C36D5">
              <w:t>[1998] HCA 28; (1998) 194 CLR 355</w:t>
            </w:r>
          </w:p>
          <w:p w14:paraId="37C0B752" w14:textId="77777777" w:rsidR="009C36D5" w:rsidRPr="009C36D5" w:rsidRDefault="009C36D5" w:rsidP="009C36D5">
            <w:pPr>
              <w:pStyle w:val="CasesLegislationAppealFrom"/>
              <w:spacing w:after="60"/>
            </w:pPr>
            <w:r w:rsidRPr="009C36D5">
              <w:rPr>
                <w:i/>
              </w:rPr>
              <w:t>SZTAL v Minister for Immigration and Border Protection</w:t>
            </w:r>
            <w:r w:rsidRPr="009C36D5">
              <w:t xml:space="preserve"> [2017] HCA 34; (2017) 262 CLR 362</w:t>
            </w:r>
            <w:bookmarkEnd w:id="5"/>
          </w:p>
        </w:tc>
      </w:tr>
      <w:tr w:rsidR="00453113" w14:paraId="54A03C99" w14:textId="77777777" w:rsidTr="00F43086">
        <w:tc>
          <w:tcPr>
            <w:tcW w:w="3084" w:type="dxa"/>
            <w:shd w:val="clear" w:color="auto" w:fill="auto"/>
          </w:tcPr>
          <w:p w14:paraId="44004260" w14:textId="77777777" w:rsidR="00453113" w:rsidRDefault="00453113" w:rsidP="008409DF">
            <w:pPr>
              <w:pStyle w:val="Normal1linespace"/>
              <w:widowControl w:val="0"/>
            </w:pPr>
          </w:p>
        </w:tc>
        <w:tc>
          <w:tcPr>
            <w:tcW w:w="5989" w:type="dxa"/>
            <w:shd w:val="clear" w:color="auto" w:fill="auto"/>
          </w:tcPr>
          <w:p w14:paraId="58FF48FF" w14:textId="77777777" w:rsidR="00453113" w:rsidRDefault="00453113" w:rsidP="008409DF">
            <w:pPr>
              <w:pStyle w:val="Normal1linespace"/>
              <w:widowControl w:val="0"/>
              <w:jc w:val="left"/>
            </w:pPr>
          </w:p>
        </w:tc>
      </w:tr>
      <w:tr w:rsidR="00453113" w14:paraId="2360E123" w14:textId="77777777" w:rsidTr="00F43086">
        <w:tc>
          <w:tcPr>
            <w:tcW w:w="3084" w:type="dxa"/>
            <w:shd w:val="clear" w:color="auto" w:fill="auto"/>
          </w:tcPr>
          <w:p w14:paraId="22418AE2" w14:textId="77777777" w:rsidR="00453113" w:rsidRDefault="00453113" w:rsidP="00501A12">
            <w:pPr>
              <w:pStyle w:val="Normal1linespace"/>
              <w:widowControl w:val="0"/>
            </w:pPr>
            <w:r>
              <w:t>Division:</w:t>
            </w:r>
          </w:p>
        </w:tc>
        <w:tc>
          <w:tcPr>
            <w:tcW w:w="5989" w:type="dxa"/>
            <w:shd w:val="clear" w:color="auto" w:fill="auto"/>
          </w:tcPr>
          <w:p w14:paraId="4779B6A6" w14:textId="77777777" w:rsidR="00453113" w:rsidRPr="00F17599" w:rsidRDefault="00DD338D" w:rsidP="00501A12">
            <w:pPr>
              <w:pStyle w:val="Normal1linespace"/>
              <w:widowControl w:val="0"/>
              <w:jc w:val="left"/>
            </w:pPr>
            <w:r>
              <w:fldChar w:fldCharType="begin"/>
            </w:r>
            <w:r>
              <w:instrText>DOCPROPERTY  Division</w:instrText>
            </w:r>
            <w:r>
              <w:fldChar w:fldCharType="separate"/>
            </w:r>
            <w:r w:rsidR="00453113">
              <w:t>General Division</w:t>
            </w:r>
            <w:r>
              <w:fldChar w:fldCharType="end"/>
            </w:r>
          </w:p>
        </w:tc>
      </w:tr>
      <w:tr w:rsidR="00453113" w14:paraId="1E32F4A8" w14:textId="77777777" w:rsidTr="00F43086">
        <w:tc>
          <w:tcPr>
            <w:tcW w:w="3084" w:type="dxa"/>
            <w:shd w:val="clear" w:color="auto" w:fill="auto"/>
          </w:tcPr>
          <w:p w14:paraId="56A9C598" w14:textId="77777777" w:rsidR="00453113" w:rsidRDefault="00453113" w:rsidP="00501A12">
            <w:pPr>
              <w:pStyle w:val="Normal1linespace"/>
              <w:widowControl w:val="0"/>
            </w:pPr>
            <w:bookmarkStart w:id="6" w:name="Registry_rows" w:colFirst="0" w:colLast="1"/>
          </w:p>
        </w:tc>
        <w:tc>
          <w:tcPr>
            <w:tcW w:w="5989" w:type="dxa"/>
            <w:shd w:val="clear" w:color="auto" w:fill="auto"/>
          </w:tcPr>
          <w:p w14:paraId="4A0E35CE" w14:textId="77777777" w:rsidR="00453113" w:rsidRDefault="00453113" w:rsidP="00501A12">
            <w:pPr>
              <w:pStyle w:val="Normal1linespace"/>
              <w:widowControl w:val="0"/>
              <w:jc w:val="left"/>
            </w:pPr>
          </w:p>
        </w:tc>
      </w:tr>
      <w:tr w:rsidR="00453113" w14:paraId="48D94665" w14:textId="77777777" w:rsidTr="00F43086">
        <w:tc>
          <w:tcPr>
            <w:tcW w:w="3084" w:type="dxa"/>
            <w:shd w:val="clear" w:color="auto" w:fill="auto"/>
          </w:tcPr>
          <w:p w14:paraId="23E09C30" w14:textId="77777777" w:rsidR="00453113" w:rsidRDefault="00453113" w:rsidP="00501A12">
            <w:pPr>
              <w:pStyle w:val="Normal1linespace"/>
              <w:widowControl w:val="0"/>
            </w:pPr>
            <w:r>
              <w:t>Registry:</w:t>
            </w:r>
          </w:p>
        </w:tc>
        <w:tc>
          <w:tcPr>
            <w:tcW w:w="5989" w:type="dxa"/>
            <w:shd w:val="clear" w:color="auto" w:fill="auto"/>
          </w:tcPr>
          <w:p w14:paraId="7AD49807" w14:textId="77777777" w:rsidR="00453113" w:rsidRPr="00F17599" w:rsidRDefault="00DD338D" w:rsidP="00501A12">
            <w:pPr>
              <w:pStyle w:val="Normal1linespace"/>
              <w:widowControl w:val="0"/>
              <w:jc w:val="left"/>
            </w:pPr>
            <w:r>
              <w:fldChar w:fldCharType="begin"/>
            </w:r>
            <w:r>
              <w:instrText>DOCPROPERTY  Registry</w:instrText>
            </w:r>
            <w:r>
              <w:fldChar w:fldCharType="separate"/>
            </w:r>
            <w:r w:rsidR="00453113">
              <w:t>Queensland</w:t>
            </w:r>
            <w:r>
              <w:fldChar w:fldCharType="end"/>
            </w:r>
          </w:p>
        </w:tc>
      </w:tr>
      <w:tr w:rsidR="00453113" w14:paraId="546319AE" w14:textId="77777777" w:rsidTr="00F43086">
        <w:tc>
          <w:tcPr>
            <w:tcW w:w="3084" w:type="dxa"/>
            <w:shd w:val="clear" w:color="auto" w:fill="auto"/>
          </w:tcPr>
          <w:p w14:paraId="526E624A" w14:textId="2D3A0252" w:rsidR="00453113" w:rsidRDefault="00453113" w:rsidP="00501A12">
            <w:pPr>
              <w:pStyle w:val="Normal1linespace"/>
              <w:widowControl w:val="0"/>
            </w:pPr>
            <w:bookmarkStart w:id="7" w:name="NPARow" w:colFirst="0" w:colLast="1"/>
            <w:bookmarkEnd w:id="6"/>
          </w:p>
        </w:tc>
        <w:tc>
          <w:tcPr>
            <w:tcW w:w="5989" w:type="dxa"/>
            <w:shd w:val="clear" w:color="auto" w:fill="auto"/>
          </w:tcPr>
          <w:p w14:paraId="6FBD834D" w14:textId="77777777" w:rsidR="00453113" w:rsidRPr="00F17599" w:rsidRDefault="00453113" w:rsidP="00501A12">
            <w:pPr>
              <w:pStyle w:val="Normal1linespace"/>
              <w:widowControl w:val="0"/>
              <w:jc w:val="left"/>
              <w:rPr>
                <w:b/>
              </w:rPr>
            </w:pPr>
          </w:p>
        </w:tc>
      </w:tr>
      <w:tr w:rsidR="00453113" w14:paraId="06961F3F" w14:textId="77777777" w:rsidTr="00F43086">
        <w:tc>
          <w:tcPr>
            <w:tcW w:w="3084" w:type="dxa"/>
            <w:shd w:val="clear" w:color="auto" w:fill="auto"/>
          </w:tcPr>
          <w:p w14:paraId="78DD1A06" w14:textId="77777777" w:rsidR="00453113" w:rsidRDefault="00453113" w:rsidP="00501A12">
            <w:pPr>
              <w:pStyle w:val="Normal1linespace"/>
              <w:widowControl w:val="0"/>
            </w:pPr>
            <w:r>
              <w:t>National Practice Area:</w:t>
            </w:r>
          </w:p>
        </w:tc>
        <w:tc>
          <w:tcPr>
            <w:tcW w:w="5989" w:type="dxa"/>
            <w:shd w:val="clear" w:color="auto" w:fill="auto"/>
          </w:tcPr>
          <w:p w14:paraId="553C5502" w14:textId="224C2CD0" w:rsidR="00453113" w:rsidRPr="00F17599" w:rsidRDefault="00D65022" w:rsidP="008409DF">
            <w:pPr>
              <w:pStyle w:val="Normal1linespace"/>
              <w:widowControl w:val="0"/>
              <w:jc w:val="left"/>
              <w:rPr>
                <w:b/>
              </w:rPr>
            </w:pPr>
            <w:fldSimple w:instr="DOCPROPERTY  &quot;Practice Area&quot;  \* MERGEFORMAT">
              <w:r w:rsidR="00453113">
                <w:t>Administrative and Constitutional Law and Human Rights</w:t>
              </w:r>
            </w:fldSimple>
          </w:p>
        </w:tc>
      </w:tr>
      <w:bookmarkEnd w:id="7"/>
      <w:tr w:rsidR="00453113" w14:paraId="47BAA982" w14:textId="77777777" w:rsidTr="00F43086">
        <w:tc>
          <w:tcPr>
            <w:tcW w:w="3084" w:type="dxa"/>
            <w:shd w:val="clear" w:color="auto" w:fill="auto"/>
          </w:tcPr>
          <w:p w14:paraId="48396E7B" w14:textId="77777777" w:rsidR="00453113" w:rsidRDefault="00453113" w:rsidP="00501A12">
            <w:pPr>
              <w:pStyle w:val="Normal1linespace"/>
              <w:widowControl w:val="0"/>
            </w:pPr>
          </w:p>
        </w:tc>
        <w:tc>
          <w:tcPr>
            <w:tcW w:w="5989" w:type="dxa"/>
            <w:shd w:val="clear" w:color="auto" w:fill="auto"/>
          </w:tcPr>
          <w:p w14:paraId="5E50402B" w14:textId="77777777" w:rsidR="00453113" w:rsidRDefault="00453113" w:rsidP="00501A12">
            <w:pPr>
              <w:pStyle w:val="Normal1linespace"/>
              <w:widowControl w:val="0"/>
              <w:jc w:val="left"/>
            </w:pPr>
          </w:p>
        </w:tc>
      </w:tr>
      <w:tr w:rsidR="00453113" w14:paraId="1E91C637" w14:textId="77777777" w:rsidTr="00F43086">
        <w:tc>
          <w:tcPr>
            <w:tcW w:w="3084" w:type="dxa"/>
            <w:shd w:val="clear" w:color="auto" w:fill="auto"/>
          </w:tcPr>
          <w:p w14:paraId="5F05ABAE" w14:textId="77777777" w:rsidR="00453113" w:rsidRDefault="00453113" w:rsidP="00501A12">
            <w:pPr>
              <w:pStyle w:val="Normal1linespace"/>
              <w:widowControl w:val="0"/>
            </w:pPr>
            <w:r>
              <w:t>Number of paragraphs:</w:t>
            </w:r>
          </w:p>
        </w:tc>
        <w:tc>
          <w:tcPr>
            <w:tcW w:w="5989" w:type="dxa"/>
            <w:shd w:val="clear" w:color="auto" w:fill="auto"/>
          </w:tcPr>
          <w:p w14:paraId="779808AD" w14:textId="247318C8" w:rsidR="00453113" w:rsidRDefault="001C640D" w:rsidP="00501A12">
            <w:pPr>
              <w:pStyle w:val="Normal1linespace"/>
              <w:widowControl w:val="0"/>
              <w:jc w:val="left"/>
            </w:pPr>
            <w:bookmarkStart w:id="8" w:name="PlaceCategoryParagraphs"/>
            <w:r>
              <w:t>39</w:t>
            </w:r>
            <w:bookmarkEnd w:id="8"/>
          </w:p>
        </w:tc>
      </w:tr>
      <w:tr w:rsidR="00453113" w14:paraId="3385EDF7" w14:textId="77777777" w:rsidTr="00F43086">
        <w:tc>
          <w:tcPr>
            <w:tcW w:w="3084" w:type="dxa"/>
            <w:shd w:val="clear" w:color="auto" w:fill="auto"/>
          </w:tcPr>
          <w:p w14:paraId="56AD65F2" w14:textId="77777777" w:rsidR="00453113" w:rsidRDefault="00453113" w:rsidP="00453113">
            <w:pPr>
              <w:pStyle w:val="Normal1linespace"/>
              <w:widowControl w:val="0"/>
              <w:jc w:val="left"/>
            </w:pPr>
          </w:p>
        </w:tc>
        <w:tc>
          <w:tcPr>
            <w:tcW w:w="5989" w:type="dxa"/>
            <w:shd w:val="clear" w:color="auto" w:fill="auto"/>
          </w:tcPr>
          <w:p w14:paraId="552CD220" w14:textId="77777777" w:rsidR="00453113" w:rsidRDefault="00453113" w:rsidP="00453113">
            <w:pPr>
              <w:pStyle w:val="Normal1linespace"/>
              <w:widowControl w:val="0"/>
              <w:jc w:val="left"/>
            </w:pPr>
          </w:p>
        </w:tc>
      </w:tr>
      <w:tr w:rsidR="00453113" w14:paraId="2BFE9CDF" w14:textId="77777777" w:rsidTr="00F43086">
        <w:tc>
          <w:tcPr>
            <w:tcW w:w="3084" w:type="dxa"/>
            <w:shd w:val="clear" w:color="auto" w:fill="auto"/>
          </w:tcPr>
          <w:p w14:paraId="3406FC7D" w14:textId="77777777" w:rsidR="00453113" w:rsidRDefault="00453113" w:rsidP="00453113">
            <w:pPr>
              <w:pStyle w:val="Normal1linespace"/>
              <w:widowControl w:val="0"/>
              <w:jc w:val="left"/>
            </w:pPr>
            <w:bookmarkStart w:id="9" w:name="CounselDate" w:colFirst="0" w:colLast="2"/>
            <w:r w:rsidRPr="006A24E3">
              <w:lastRenderedPageBreak/>
              <w:t>Date of hearing:</w:t>
            </w:r>
          </w:p>
        </w:tc>
        <w:tc>
          <w:tcPr>
            <w:tcW w:w="5989" w:type="dxa"/>
            <w:shd w:val="clear" w:color="auto" w:fill="auto"/>
          </w:tcPr>
          <w:p w14:paraId="0B11267F" w14:textId="77777777" w:rsidR="00453113" w:rsidRDefault="00453113" w:rsidP="00453113">
            <w:pPr>
              <w:pStyle w:val="Normal1linespace"/>
              <w:widowControl w:val="0"/>
              <w:jc w:val="left"/>
            </w:pPr>
            <w:bookmarkStart w:id="10" w:name="HearingDate"/>
            <w:r>
              <w:t xml:space="preserve">9 August 2023 </w:t>
            </w:r>
            <w:bookmarkEnd w:id="10"/>
          </w:p>
        </w:tc>
      </w:tr>
      <w:tr w:rsidR="00453113" w14:paraId="25AC17C8" w14:textId="77777777" w:rsidTr="00F43086">
        <w:tc>
          <w:tcPr>
            <w:tcW w:w="3084" w:type="dxa"/>
            <w:shd w:val="clear" w:color="auto" w:fill="auto"/>
          </w:tcPr>
          <w:p w14:paraId="61D4DC78" w14:textId="77777777" w:rsidR="00453113" w:rsidRDefault="00453113" w:rsidP="00453113">
            <w:pPr>
              <w:pStyle w:val="Normal1linespace"/>
              <w:widowControl w:val="0"/>
              <w:jc w:val="left"/>
            </w:pPr>
          </w:p>
        </w:tc>
        <w:tc>
          <w:tcPr>
            <w:tcW w:w="5989" w:type="dxa"/>
            <w:shd w:val="clear" w:color="auto" w:fill="auto"/>
          </w:tcPr>
          <w:p w14:paraId="3E1AD00B" w14:textId="77777777" w:rsidR="00453113" w:rsidRDefault="00453113" w:rsidP="00453113">
            <w:pPr>
              <w:pStyle w:val="Normal1linespace"/>
              <w:widowControl w:val="0"/>
              <w:jc w:val="left"/>
            </w:pPr>
          </w:p>
        </w:tc>
      </w:tr>
      <w:tr w:rsidR="00453113" w14:paraId="71E3F045" w14:textId="77777777" w:rsidTr="00F43086">
        <w:tc>
          <w:tcPr>
            <w:tcW w:w="3084" w:type="dxa"/>
            <w:shd w:val="clear" w:color="auto" w:fill="auto"/>
          </w:tcPr>
          <w:p w14:paraId="561908B4" w14:textId="2F1E4E41" w:rsidR="00453113" w:rsidRDefault="00355EDA" w:rsidP="002304D9">
            <w:pPr>
              <w:pStyle w:val="Normal1linespace"/>
              <w:widowControl w:val="0"/>
              <w:jc w:val="left"/>
            </w:pPr>
            <w:r>
              <w:t xml:space="preserve">Counsel for the </w:t>
            </w:r>
            <w:r w:rsidR="002304D9">
              <w:t>Appellant</w:t>
            </w:r>
            <w:r w:rsidR="0069108F">
              <w:t>:</w:t>
            </w:r>
          </w:p>
        </w:tc>
        <w:tc>
          <w:tcPr>
            <w:tcW w:w="5989" w:type="dxa"/>
            <w:shd w:val="clear" w:color="auto" w:fill="auto"/>
          </w:tcPr>
          <w:p w14:paraId="196FD24F" w14:textId="0FDA8DB2" w:rsidR="00453113" w:rsidRDefault="00CD1258" w:rsidP="002304D9">
            <w:pPr>
              <w:pStyle w:val="Normal1linespace"/>
              <w:widowControl w:val="0"/>
              <w:jc w:val="left"/>
            </w:pPr>
            <w:r>
              <w:t xml:space="preserve">The </w:t>
            </w:r>
            <w:r w:rsidR="002304D9">
              <w:t>Appellant</w:t>
            </w:r>
            <w:r>
              <w:t xml:space="preserve"> represented herself</w:t>
            </w:r>
          </w:p>
        </w:tc>
      </w:tr>
      <w:tr w:rsidR="00453113" w14:paraId="5F46E463" w14:textId="77777777" w:rsidTr="00F43086">
        <w:tc>
          <w:tcPr>
            <w:tcW w:w="3084" w:type="dxa"/>
            <w:shd w:val="clear" w:color="auto" w:fill="auto"/>
          </w:tcPr>
          <w:p w14:paraId="50858386" w14:textId="77777777" w:rsidR="00453113" w:rsidRDefault="00453113" w:rsidP="00453113">
            <w:pPr>
              <w:pStyle w:val="Normal1linespace"/>
              <w:widowControl w:val="0"/>
              <w:jc w:val="left"/>
            </w:pPr>
          </w:p>
        </w:tc>
        <w:tc>
          <w:tcPr>
            <w:tcW w:w="5989" w:type="dxa"/>
            <w:shd w:val="clear" w:color="auto" w:fill="auto"/>
          </w:tcPr>
          <w:p w14:paraId="2D137A48" w14:textId="77777777" w:rsidR="00453113" w:rsidRDefault="00453113" w:rsidP="00453113">
            <w:pPr>
              <w:pStyle w:val="Normal1linespace"/>
              <w:widowControl w:val="0"/>
              <w:jc w:val="left"/>
            </w:pPr>
          </w:p>
        </w:tc>
      </w:tr>
      <w:tr w:rsidR="002E2ACC" w14:paraId="5CE99B12" w14:textId="77777777" w:rsidTr="00F43086">
        <w:tc>
          <w:tcPr>
            <w:tcW w:w="3084" w:type="dxa"/>
            <w:shd w:val="clear" w:color="auto" w:fill="auto"/>
          </w:tcPr>
          <w:p w14:paraId="5BC7E64F" w14:textId="73B86179" w:rsidR="002E2ACC" w:rsidRDefault="002E2ACC" w:rsidP="00453113">
            <w:pPr>
              <w:pStyle w:val="Normal1linespace"/>
              <w:widowControl w:val="0"/>
              <w:jc w:val="left"/>
            </w:pPr>
            <w:r>
              <w:t>Counsel for the First Respondent:</w:t>
            </w:r>
          </w:p>
        </w:tc>
        <w:tc>
          <w:tcPr>
            <w:tcW w:w="5989" w:type="dxa"/>
            <w:shd w:val="clear" w:color="auto" w:fill="auto"/>
          </w:tcPr>
          <w:p w14:paraId="1EDB44C2" w14:textId="30D3CE39" w:rsidR="002E2ACC" w:rsidRDefault="002E2ACC" w:rsidP="00453113">
            <w:pPr>
              <w:pStyle w:val="Normal1linespace"/>
              <w:widowControl w:val="0"/>
              <w:jc w:val="left"/>
            </w:pPr>
            <w:r>
              <w:t xml:space="preserve">Mr B </w:t>
            </w:r>
            <w:proofErr w:type="spellStart"/>
            <w:r>
              <w:t>McGlade</w:t>
            </w:r>
            <w:proofErr w:type="spellEnd"/>
          </w:p>
        </w:tc>
      </w:tr>
      <w:tr w:rsidR="002E2ACC" w14:paraId="39AAB06B" w14:textId="77777777" w:rsidTr="00F43086">
        <w:tc>
          <w:tcPr>
            <w:tcW w:w="3084" w:type="dxa"/>
            <w:shd w:val="clear" w:color="auto" w:fill="auto"/>
          </w:tcPr>
          <w:p w14:paraId="7944BE06" w14:textId="77777777" w:rsidR="002E2ACC" w:rsidRDefault="002E2ACC" w:rsidP="00453113">
            <w:pPr>
              <w:pStyle w:val="Normal1linespace"/>
              <w:widowControl w:val="0"/>
              <w:jc w:val="left"/>
            </w:pPr>
          </w:p>
        </w:tc>
        <w:tc>
          <w:tcPr>
            <w:tcW w:w="5989" w:type="dxa"/>
            <w:shd w:val="clear" w:color="auto" w:fill="auto"/>
          </w:tcPr>
          <w:p w14:paraId="5D3AF3E0" w14:textId="77777777" w:rsidR="002E2ACC" w:rsidRDefault="002E2ACC" w:rsidP="00453113">
            <w:pPr>
              <w:pStyle w:val="Normal1linespace"/>
              <w:widowControl w:val="0"/>
              <w:jc w:val="left"/>
            </w:pPr>
          </w:p>
        </w:tc>
      </w:tr>
      <w:tr w:rsidR="00453113" w14:paraId="50DEA1EE" w14:textId="77777777" w:rsidTr="00F43086">
        <w:tc>
          <w:tcPr>
            <w:tcW w:w="3084" w:type="dxa"/>
            <w:shd w:val="clear" w:color="auto" w:fill="auto"/>
          </w:tcPr>
          <w:p w14:paraId="3DB487B3" w14:textId="0D9C007F" w:rsidR="00453113" w:rsidRDefault="00F9731F" w:rsidP="00453113">
            <w:pPr>
              <w:pStyle w:val="Normal1linespace"/>
              <w:widowControl w:val="0"/>
              <w:jc w:val="left"/>
            </w:pPr>
            <w:r>
              <w:t>Solicitors</w:t>
            </w:r>
            <w:r w:rsidR="002B00B4">
              <w:t xml:space="preserve"> for the First Respondent:</w:t>
            </w:r>
          </w:p>
        </w:tc>
        <w:tc>
          <w:tcPr>
            <w:tcW w:w="5989" w:type="dxa"/>
            <w:shd w:val="clear" w:color="auto" w:fill="auto"/>
          </w:tcPr>
          <w:p w14:paraId="51C6C0C8" w14:textId="77777777" w:rsidR="00453113" w:rsidRDefault="00E26243" w:rsidP="00453113">
            <w:pPr>
              <w:pStyle w:val="Normal1linespace"/>
              <w:widowControl w:val="0"/>
              <w:jc w:val="left"/>
            </w:pPr>
            <w:r>
              <w:t xml:space="preserve">HWL </w:t>
            </w:r>
            <w:proofErr w:type="spellStart"/>
            <w:r>
              <w:t>Ebsworth</w:t>
            </w:r>
            <w:proofErr w:type="spellEnd"/>
            <w:r>
              <w:t xml:space="preserve"> Lawyers</w:t>
            </w:r>
          </w:p>
        </w:tc>
      </w:tr>
      <w:tr w:rsidR="00453113" w14:paraId="270ED9DA" w14:textId="77777777" w:rsidTr="00F43086">
        <w:tc>
          <w:tcPr>
            <w:tcW w:w="3084" w:type="dxa"/>
            <w:shd w:val="clear" w:color="auto" w:fill="auto"/>
          </w:tcPr>
          <w:p w14:paraId="07F7092C" w14:textId="77777777" w:rsidR="00453113" w:rsidRDefault="00453113" w:rsidP="00453113">
            <w:pPr>
              <w:pStyle w:val="Normal1linespace"/>
              <w:widowControl w:val="0"/>
              <w:jc w:val="left"/>
            </w:pPr>
          </w:p>
        </w:tc>
        <w:tc>
          <w:tcPr>
            <w:tcW w:w="5989" w:type="dxa"/>
            <w:shd w:val="clear" w:color="auto" w:fill="auto"/>
          </w:tcPr>
          <w:p w14:paraId="2B278B11" w14:textId="77777777" w:rsidR="00453113" w:rsidRDefault="00453113" w:rsidP="00453113">
            <w:pPr>
              <w:pStyle w:val="Normal1linespace"/>
              <w:widowControl w:val="0"/>
              <w:jc w:val="left"/>
            </w:pPr>
          </w:p>
        </w:tc>
      </w:tr>
      <w:tr w:rsidR="00F9731F" w14:paraId="58CCAD2A" w14:textId="77777777" w:rsidTr="00F43086">
        <w:tc>
          <w:tcPr>
            <w:tcW w:w="3084" w:type="dxa"/>
            <w:shd w:val="clear" w:color="auto" w:fill="auto"/>
          </w:tcPr>
          <w:p w14:paraId="699C7CE0" w14:textId="6C6D1DCD" w:rsidR="00F9731F" w:rsidRDefault="00FF5F68" w:rsidP="00453113">
            <w:pPr>
              <w:pStyle w:val="Normal1linespace"/>
              <w:widowControl w:val="0"/>
              <w:jc w:val="left"/>
            </w:pPr>
            <w:r>
              <w:t>Counsel for the Second Respondent:</w:t>
            </w:r>
          </w:p>
        </w:tc>
        <w:tc>
          <w:tcPr>
            <w:tcW w:w="5989" w:type="dxa"/>
            <w:shd w:val="clear" w:color="auto" w:fill="auto"/>
          </w:tcPr>
          <w:p w14:paraId="336F884C" w14:textId="044E7727" w:rsidR="00F9731F" w:rsidRDefault="00FF5F68" w:rsidP="00453113">
            <w:pPr>
              <w:pStyle w:val="Normal1linespace"/>
              <w:widowControl w:val="0"/>
              <w:jc w:val="left"/>
            </w:pPr>
            <w:r>
              <w:t>Dr R Schulte with Mr S Walpole</w:t>
            </w:r>
          </w:p>
        </w:tc>
      </w:tr>
      <w:tr w:rsidR="00FF5F68" w14:paraId="1DDADE00" w14:textId="77777777" w:rsidTr="00F43086">
        <w:tc>
          <w:tcPr>
            <w:tcW w:w="3084" w:type="dxa"/>
            <w:shd w:val="clear" w:color="auto" w:fill="auto"/>
          </w:tcPr>
          <w:p w14:paraId="25144B90" w14:textId="77777777" w:rsidR="00FF5F68" w:rsidRDefault="00FF5F68" w:rsidP="00453113">
            <w:pPr>
              <w:pStyle w:val="Normal1linespace"/>
              <w:widowControl w:val="0"/>
              <w:jc w:val="left"/>
            </w:pPr>
          </w:p>
        </w:tc>
        <w:tc>
          <w:tcPr>
            <w:tcW w:w="5989" w:type="dxa"/>
            <w:shd w:val="clear" w:color="auto" w:fill="auto"/>
          </w:tcPr>
          <w:p w14:paraId="16A39D6B" w14:textId="77777777" w:rsidR="00FF5F68" w:rsidRDefault="00FF5F68" w:rsidP="00453113">
            <w:pPr>
              <w:pStyle w:val="Normal1linespace"/>
              <w:widowControl w:val="0"/>
              <w:jc w:val="left"/>
            </w:pPr>
          </w:p>
        </w:tc>
      </w:tr>
      <w:tr w:rsidR="00453113" w14:paraId="43442677" w14:textId="77777777" w:rsidTr="00F43086">
        <w:tc>
          <w:tcPr>
            <w:tcW w:w="3084" w:type="dxa"/>
            <w:shd w:val="clear" w:color="auto" w:fill="auto"/>
          </w:tcPr>
          <w:p w14:paraId="7FC84F64" w14:textId="77417034" w:rsidR="00453113" w:rsidRDefault="00F9731F" w:rsidP="00453113">
            <w:pPr>
              <w:pStyle w:val="Normal1linespace"/>
              <w:widowControl w:val="0"/>
              <w:jc w:val="left"/>
            </w:pPr>
            <w:r>
              <w:t>Solicitors</w:t>
            </w:r>
            <w:r w:rsidR="00453113">
              <w:t xml:space="preserve"> for the Second Respondent</w:t>
            </w:r>
            <w:r w:rsidR="002B00B4">
              <w:t>:</w:t>
            </w:r>
          </w:p>
        </w:tc>
        <w:tc>
          <w:tcPr>
            <w:tcW w:w="5989" w:type="dxa"/>
            <w:shd w:val="clear" w:color="auto" w:fill="auto"/>
          </w:tcPr>
          <w:p w14:paraId="429AAF4E" w14:textId="6AB295E1" w:rsidR="00453113" w:rsidRDefault="00DD0696" w:rsidP="00453113">
            <w:pPr>
              <w:pStyle w:val="Normal1linespace"/>
              <w:widowControl w:val="0"/>
              <w:jc w:val="left"/>
            </w:pPr>
            <w:r>
              <w:t>Australian Government Solicitor</w:t>
            </w:r>
          </w:p>
        </w:tc>
      </w:tr>
    </w:tbl>
    <w:p w14:paraId="288488FC" w14:textId="77777777" w:rsidR="00B17D6E" w:rsidRDefault="00B17D6E">
      <w:pPr>
        <w:pStyle w:val="Normal1linespace"/>
      </w:pPr>
      <w:bookmarkStart w:id="11" w:name="CompletionTable"/>
      <w:bookmarkEnd w:id="9"/>
    </w:p>
    <w:bookmarkEnd w:id="11"/>
    <w:p w14:paraId="7F87F8A5" w14:textId="77777777" w:rsidR="007470BD" w:rsidRDefault="007470BD">
      <w:pPr>
        <w:pStyle w:val="Normal1linespace"/>
      </w:pPr>
    </w:p>
    <w:p w14:paraId="1E5ACEA0" w14:textId="77777777" w:rsidR="00E94CBF" w:rsidRDefault="00E94CBF">
      <w:pPr>
        <w:pStyle w:val="Normal1linespace"/>
      </w:pPr>
    </w:p>
    <w:p w14:paraId="1CB58D32" w14:textId="77777777" w:rsidR="00395B24" w:rsidRDefault="00395B24">
      <w:pPr>
        <w:pStyle w:val="Normal1linespace"/>
        <w:sectPr w:rsidR="00395B24" w:rsidSect="001F2473">
          <w:footerReference w:type="default" r:id="rId12"/>
          <w:endnotePr>
            <w:numFmt w:val="decimal"/>
          </w:endnotePr>
          <w:type w:val="continuous"/>
          <w:pgSz w:w="11907" w:h="16840" w:code="9"/>
          <w:pgMar w:top="1440" w:right="1440" w:bottom="1440" w:left="1440" w:header="851" w:footer="768" w:gutter="0"/>
          <w:pgNumType w:start="1"/>
          <w:cols w:space="720"/>
          <w:noEndnote/>
          <w:titlePg/>
        </w:sectPr>
      </w:pPr>
    </w:p>
    <w:p w14:paraId="7BF66C0F"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9264487" w14:textId="77777777" w:rsidTr="00E81DA6">
        <w:tc>
          <w:tcPr>
            <w:tcW w:w="6912" w:type="dxa"/>
            <w:gridSpan w:val="2"/>
          </w:tcPr>
          <w:p w14:paraId="379C84CB" w14:textId="77777777" w:rsidR="00A46CCC" w:rsidRPr="001765E0" w:rsidRDefault="00A46CCC" w:rsidP="00525A49">
            <w:pPr>
              <w:pStyle w:val="NormalHeadings"/>
            </w:pPr>
          </w:p>
        </w:tc>
        <w:tc>
          <w:tcPr>
            <w:tcW w:w="2330" w:type="dxa"/>
          </w:tcPr>
          <w:p w14:paraId="0A9F37A4" w14:textId="77777777" w:rsidR="00A46CCC" w:rsidRDefault="00453113" w:rsidP="00F92355">
            <w:pPr>
              <w:pStyle w:val="NormalHeadings"/>
              <w:jc w:val="right"/>
            </w:pPr>
            <w:bookmarkStart w:id="12" w:name="FileNo"/>
            <w:r>
              <w:t>QUD 427 of 2022</w:t>
            </w:r>
            <w:bookmarkEnd w:id="12"/>
          </w:p>
        </w:tc>
      </w:tr>
      <w:tr w:rsidR="00A76C13" w14:paraId="19286643" w14:textId="77777777" w:rsidTr="008409DF">
        <w:tc>
          <w:tcPr>
            <w:tcW w:w="9242" w:type="dxa"/>
            <w:gridSpan w:val="3"/>
          </w:tcPr>
          <w:p w14:paraId="6C1FC07D" w14:textId="77777777" w:rsidR="00A76C13" w:rsidRPr="00A76C13" w:rsidRDefault="00453113" w:rsidP="00453113">
            <w:pPr>
              <w:pStyle w:val="NormalHeadings"/>
              <w:jc w:val="left"/>
            </w:pPr>
            <w:bookmarkStart w:id="13" w:name="InTheMatterOf"/>
            <w:r>
              <w:t xml:space="preserve"> </w:t>
            </w:r>
            <w:bookmarkEnd w:id="13"/>
          </w:p>
        </w:tc>
      </w:tr>
      <w:tr w:rsidR="00A46CCC" w14:paraId="37BCEF38" w14:textId="77777777" w:rsidTr="008409DF">
        <w:trPr>
          <w:trHeight w:val="386"/>
        </w:trPr>
        <w:tc>
          <w:tcPr>
            <w:tcW w:w="2376" w:type="dxa"/>
          </w:tcPr>
          <w:p w14:paraId="3DE7CCB7" w14:textId="77777777" w:rsidR="00A46CCC" w:rsidRDefault="00A46CCC" w:rsidP="008409DF">
            <w:pPr>
              <w:pStyle w:val="NormalHeadings"/>
              <w:jc w:val="left"/>
              <w:rPr>
                <w:caps/>
                <w:szCs w:val="24"/>
              </w:rPr>
            </w:pPr>
            <w:bookmarkStart w:id="14" w:name="Parties"/>
            <w:r>
              <w:rPr>
                <w:caps/>
                <w:szCs w:val="24"/>
              </w:rPr>
              <w:t>BETWEEN:</w:t>
            </w:r>
          </w:p>
        </w:tc>
        <w:tc>
          <w:tcPr>
            <w:tcW w:w="6866" w:type="dxa"/>
            <w:gridSpan w:val="2"/>
          </w:tcPr>
          <w:p w14:paraId="00A5610D" w14:textId="77777777" w:rsidR="00453113" w:rsidRDefault="00453113" w:rsidP="00453113">
            <w:pPr>
              <w:pStyle w:val="NormalHeadings"/>
              <w:jc w:val="left"/>
            </w:pPr>
            <w:bookmarkStart w:id="15" w:name="Applicant"/>
            <w:r>
              <w:t>MS JULIE MCEWAN</w:t>
            </w:r>
          </w:p>
          <w:p w14:paraId="6388D7A8" w14:textId="77777777" w:rsidR="00453113" w:rsidRDefault="00453113" w:rsidP="00453113">
            <w:pPr>
              <w:pStyle w:val="PartyType"/>
            </w:pPr>
            <w:r>
              <w:t>Appellant</w:t>
            </w:r>
          </w:p>
          <w:bookmarkEnd w:id="15"/>
          <w:p w14:paraId="13C6411F" w14:textId="77777777" w:rsidR="00A46CCC" w:rsidRPr="006555B4" w:rsidRDefault="00A46CCC" w:rsidP="008409DF">
            <w:pPr>
              <w:pStyle w:val="NormalHeadings"/>
              <w:jc w:val="left"/>
            </w:pPr>
          </w:p>
        </w:tc>
      </w:tr>
      <w:tr w:rsidR="00A46CCC" w14:paraId="755BAFE0" w14:textId="77777777" w:rsidTr="008409DF">
        <w:trPr>
          <w:trHeight w:val="386"/>
        </w:trPr>
        <w:tc>
          <w:tcPr>
            <w:tcW w:w="2376" w:type="dxa"/>
          </w:tcPr>
          <w:p w14:paraId="66321095" w14:textId="77777777" w:rsidR="00A46CCC" w:rsidRDefault="00A46CCC" w:rsidP="008409DF">
            <w:pPr>
              <w:pStyle w:val="NormalHeadings"/>
              <w:jc w:val="left"/>
              <w:rPr>
                <w:caps/>
                <w:szCs w:val="24"/>
              </w:rPr>
            </w:pPr>
            <w:r>
              <w:rPr>
                <w:caps/>
                <w:szCs w:val="24"/>
              </w:rPr>
              <w:t>AND:</w:t>
            </w:r>
          </w:p>
        </w:tc>
        <w:tc>
          <w:tcPr>
            <w:tcW w:w="6866" w:type="dxa"/>
            <w:gridSpan w:val="2"/>
          </w:tcPr>
          <w:p w14:paraId="29B30AC8" w14:textId="77777777" w:rsidR="00453113" w:rsidRDefault="00453113" w:rsidP="00453113">
            <w:pPr>
              <w:pStyle w:val="NormalHeadings"/>
              <w:jc w:val="left"/>
            </w:pPr>
            <w:bookmarkStart w:id="16" w:name="Respondent"/>
            <w:r>
              <w:t>THE OFFICE OF THE AUSTRALIAN INFORMATION COMMISSIONER</w:t>
            </w:r>
          </w:p>
          <w:p w14:paraId="54B16EA6" w14:textId="77777777" w:rsidR="00453113" w:rsidRDefault="00453113" w:rsidP="00453113">
            <w:pPr>
              <w:pStyle w:val="PartyType"/>
            </w:pPr>
            <w:r>
              <w:t>First Respondent</w:t>
            </w:r>
          </w:p>
          <w:p w14:paraId="35EEC7E6" w14:textId="77777777" w:rsidR="00453113" w:rsidRDefault="00453113" w:rsidP="008409DF">
            <w:pPr>
              <w:pStyle w:val="NormalHeadings"/>
              <w:jc w:val="left"/>
              <w:rPr>
                <w:szCs w:val="24"/>
              </w:rPr>
            </w:pPr>
          </w:p>
          <w:p w14:paraId="2477841E" w14:textId="77777777" w:rsidR="00453113" w:rsidRDefault="00453113" w:rsidP="00453113">
            <w:pPr>
              <w:pStyle w:val="NormalHeadings"/>
              <w:jc w:val="left"/>
            </w:pPr>
            <w:r>
              <w:t>THE COMMISSIONER OF TAXATION</w:t>
            </w:r>
          </w:p>
          <w:p w14:paraId="18144A45" w14:textId="77777777" w:rsidR="00453113" w:rsidRDefault="00453113" w:rsidP="00453113">
            <w:pPr>
              <w:pStyle w:val="PartyType"/>
            </w:pPr>
            <w:r>
              <w:t>Second Respondent</w:t>
            </w:r>
          </w:p>
          <w:bookmarkEnd w:id="16"/>
          <w:p w14:paraId="5D71E499" w14:textId="77777777" w:rsidR="00A46CCC" w:rsidRPr="006555B4" w:rsidRDefault="00A46CCC" w:rsidP="008409DF">
            <w:pPr>
              <w:pStyle w:val="NormalHeadings"/>
              <w:jc w:val="left"/>
            </w:pPr>
          </w:p>
        </w:tc>
      </w:tr>
    </w:tbl>
    <w:p w14:paraId="59770C99" w14:textId="77777777" w:rsidR="00395B24" w:rsidRDefault="00395B24">
      <w:pPr>
        <w:pStyle w:val="NormalHeadings"/>
      </w:pPr>
      <w:bookmarkStart w:id="17" w:name="CrossClaimPosition"/>
      <w:bookmarkEnd w:id="14"/>
      <w:bookmarkEnd w:id="17"/>
    </w:p>
    <w:tbl>
      <w:tblPr>
        <w:tblW w:w="9242" w:type="dxa"/>
        <w:tblLayout w:type="fixed"/>
        <w:tblLook w:val="0000" w:firstRow="0" w:lastRow="0" w:firstColumn="0" w:lastColumn="0" w:noHBand="0" w:noVBand="0"/>
        <w:tblCaption w:val="Judge"/>
        <w:tblDescription w:val="Judge"/>
      </w:tblPr>
      <w:tblGrid>
        <w:gridCol w:w="2376"/>
        <w:gridCol w:w="6866"/>
      </w:tblGrid>
      <w:tr w:rsidR="00395B24" w14:paraId="0EF2BB80" w14:textId="77777777" w:rsidTr="002461B1">
        <w:tc>
          <w:tcPr>
            <w:tcW w:w="2376" w:type="dxa"/>
          </w:tcPr>
          <w:p w14:paraId="472B3CE6"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bookmarkStart w:id="19" w:name="Judge"/>
        <w:tc>
          <w:tcPr>
            <w:tcW w:w="6866" w:type="dxa"/>
          </w:tcPr>
          <w:p w14:paraId="60CC0BEF" w14:textId="77777777" w:rsidR="00395B24" w:rsidRDefault="001A7B75" w:rsidP="001A7B75">
            <w:pPr>
              <w:pStyle w:val="NormalHeadings"/>
              <w:jc w:val="left"/>
              <w:rPr>
                <w:caps/>
                <w:szCs w:val="24"/>
              </w:rPr>
            </w:pPr>
            <w:r w:rsidRPr="001A7B75">
              <w:fldChar w:fldCharType="begin" w:fldLock="1"/>
            </w:r>
            <w:r w:rsidRPr="001A7B75">
              <w:instrText xml:space="preserve"> REF  Judge  \* MERGEFORMAT </w:instrText>
            </w:r>
            <w:r w:rsidRPr="001A7B75">
              <w:fldChar w:fldCharType="separate"/>
            </w:r>
            <w:r w:rsidRPr="001A7B75">
              <w:t xml:space="preserve">CHARLESWORTH, </w:t>
            </w:r>
            <w:r w:rsidR="00510A3D">
              <w:rPr>
                <w:caps/>
                <w:szCs w:val="24"/>
              </w:rPr>
              <w:t>SARAH C DERRINGTON AND</w:t>
            </w:r>
            <w:r w:rsidRPr="001A7B75">
              <w:rPr>
                <w:caps/>
                <w:szCs w:val="24"/>
              </w:rPr>
              <w:t xml:space="preserve"> MEAGHER JJ</w:t>
            </w:r>
            <w:r w:rsidRPr="001A7B75">
              <w:fldChar w:fldCharType="end"/>
            </w:r>
            <w:bookmarkEnd w:id="19"/>
          </w:p>
        </w:tc>
      </w:tr>
      <w:tr w:rsidR="00395B24" w14:paraId="1587EC2F" w14:textId="77777777" w:rsidTr="002461B1">
        <w:tc>
          <w:tcPr>
            <w:tcW w:w="2376" w:type="dxa"/>
          </w:tcPr>
          <w:p w14:paraId="110FD1A7" w14:textId="77777777" w:rsidR="00395B24" w:rsidRDefault="002C7385">
            <w:pPr>
              <w:pStyle w:val="NormalHeadings"/>
              <w:spacing w:after="120"/>
              <w:jc w:val="left"/>
              <w:rPr>
                <w:caps/>
                <w:szCs w:val="24"/>
              </w:rPr>
            </w:pPr>
            <w:r>
              <w:rPr>
                <w:caps/>
                <w:szCs w:val="24"/>
              </w:rPr>
              <w:t>DATE OF ORDER:</w:t>
            </w:r>
          </w:p>
        </w:tc>
        <w:tc>
          <w:tcPr>
            <w:tcW w:w="6866" w:type="dxa"/>
          </w:tcPr>
          <w:p w14:paraId="26EAB754" w14:textId="4D39AB50" w:rsidR="00395B24" w:rsidRDefault="00BC0CAC">
            <w:pPr>
              <w:pStyle w:val="NormalHeadings"/>
              <w:jc w:val="left"/>
              <w:rPr>
                <w:caps/>
                <w:szCs w:val="24"/>
              </w:rPr>
            </w:pPr>
            <w:bookmarkStart w:id="20" w:name="Judgment_Dated"/>
            <w:bookmarkEnd w:id="20"/>
            <w:r>
              <w:rPr>
                <w:caps/>
                <w:szCs w:val="24"/>
              </w:rPr>
              <w:t>18 August 2023</w:t>
            </w:r>
          </w:p>
        </w:tc>
      </w:tr>
    </w:tbl>
    <w:p w14:paraId="1A7C724F" w14:textId="77777777" w:rsidR="00395B24" w:rsidRDefault="00395B24">
      <w:pPr>
        <w:pStyle w:val="NormalHeadings"/>
        <w:rPr>
          <w:b w:val="0"/>
        </w:rPr>
      </w:pPr>
    </w:p>
    <w:p w14:paraId="333A131F" w14:textId="77777777" w:rsidR="008D1617" w:rsidRDefault="008D1617">
      <w:pPr>
        <w:pStyle w:val="NormalHeadings"/>
        <w:rPr>
          <w:b w:val="0"/>
        </w:rPr>
      </w:pPr>
    </w:p>
    <w:p w14:paraId="55FC5E9B" w14:textId="77777777" w:rsidR="00395B24" w:rsidRDefault="002C7385">
      <w:pPr>
        <w:pStyle w:val="NormalHeadings"/>
      </w:pPr>
      <w:r>
        <w:t>THE COURT ORDERS THAT:</w:t>
      </w:r>
    </w:p>
    <w:p w14:paraId="4DC6520D" w14:textId="77777777" w:rsidR="007F60DF" w:rsidRDefault="007F60DF" w:rsidP="00243E5E">
      <w:pPr>
        <w:pStyle w:val="NormalHeadings"/>
      </w:pPr>
    </w:p>
    <w:p w14:paraId="4C468C39" w14:textId="423500EB" w:rsidR="001A6C52" w:rsidRDefault="00BC0CAC" w:rsidP="001A6C52">
      <w:pPr>
        <w:pStyle w:val="Order1"/>
      </w:pPr>
      <w:r>
        <w:t>The appeal be dismissed.</w:t>
      </w:r>
    </w:p>
    <w:p w14:paraId="06711B1B" w14:textId="11337F48" w:rsidR="00BC0CAC" w:rsidRDefault="00BC0CAC" w:rsidP="001A6C52">
      <w:pPr>
        <w:pStyle w:val="Order1"/>
      </w:pPr>
      <w:r>
        <w:t xml:space="preserve">The appellant pay the </w:t>
      </w:r>
      <w:r w:rsidR="00510A3D">
        <w:t>f</w:t>
      </w:r>
      <w:r>
        <w:t xml:space="preserve">irst and </w:t>
      </w:r>
      <w:r w:rsidR="00510A3D">
        <w:t>s</w:t>
      </w:r>
      <w:r>
        <w:t xml:space="preserve">econd </w:t>
      </w:r>
      <w:r w:rsidR="00832CCF">
        <w:t>r</w:t>
      </w:r>
      <w:r>
        <w:t>espondents’ cost</w:t>
      </w:r>
      <w:r w:rsidR="00510A3D">
        <w:t>s</w:t>
      </w:r>
      <w:r>
        <w:t xml:space="preserve"> to be assessed if not agreed.</w:t>
      </w:r>
    </w:p>
    <w:p w14:paraId="497E35D5" w14:textId="77777777" w:rsidR="001A6C52" w:rsidRDefault="001A6C52" w:rsidP="001A6C52">
      <w:pPr>
        <w:pStyle w:val="BodyText"/>
      </w:pPr>
    </w:p>
    <w:p w14:paraId="09E3FF07" w14:textId="77777777" w:rsidR="00A431E6" w:rsidRDefault="00A431E6" w:rsidP="001A6C52">
      <w:pPr>
        <w:pStyle w:val="BodyText"/>
      </w:pPr>
    </w:p>
    <w:p w14:paraId="5F1FD0C5" w14:textId="77777777" w:rsidR="005B04DE" w:rsidRDefault="005B04DE" w:rsidP="001A6C52">
      <w:pPr>
        <w:pStyle w:val="BodyText"/>
      </w:pPr>
    </w:p>
    <w:p w14:paraId="7A9EAB7E" w14:textId="77777777" w:rsidR="005B04DE" w:rsidRDefault="005B04DE" w:rsidP="001A6C52">
      <w:pPr>
        <w:pStyle w:val="BodyText"/>
      </w:pPr>
    </w:p>
    <w:p w14:paraId="25015626" w14:textId="77777777" w:rsidR="005B04DE" w:rsidRDefault="005B04DE" w:rsidP="001A6C52">
      <w:pPr>
        <w:pStyle w:val="BodyText"/>
      </w:pPr>
    </w:p>
    <w:p w14:paraId="2E950009" w14:textId="77777777" w:rsidR="005B04DE" w:rsidRDefault="005B04DE" w:rsidP="001A6C52">
      <w:pPr>
        <w:pStyle w:val="BodyText"/>
      </w:pPr>
    </w:p>
    <w:p w14:paraId="104D8655" w14:textId="77777777" w:rsidR="005B04DE" w:rsidRDefault="005B04DE" w:rsidP="001A6C52">
      <w:pPr>
        <w:pStyle w:val="BodyText"/>
      </w:pPr>
    </w:p>
    <w:p w14:paraId="2FF08070" w14:textId="77777777" w:rsidR="005B04DE" w:rsidRDefault="005B04DE" w:rsidP="001A6C52">
      <w:pPr>
        <w:pStyle w:val="BodyText"/>
      </w:pPr>
    </w:p>
    <w:p w14:paraId="24F9FFE4" w14:textId="77777777" w:rsidR="005B04DE" w:rsidRDefault="005B04DE" w:rsidP="001A6C52">
      <w:pPr>
        <w:pStyle w:val="BodyText"/>
      </w:pPr>
    </w:p>
    <w:p w14:paraId="1A21F08E" w14:textId="77777777" w:rsidR="005B04DE" w:rsidRDefault="005B04DE" w:rsidP="001A6C52">
      <w:pPr>
        <w:pStyle w:val="BodyText"/>
      </w:pPr>
    </w:p>
    <w:p w14:paraId="2D705322" w14:textId="77777777" w:rsidR="005B04DE" w:rsidRDefault="005B04DE" w:rsidP="001A6C52">
      <w:pPr>
        <w:pStyle w:val="BodyText"/>
      </w:pPr>
    </w:p>
    <w:p w14:paraId="08655D9D" w14:textId="77777777" w:rsidR="005B04DE" w:rsidRDefault="005B04DE" w:rsidP="001A6C52">
      <w:pPr>
        <w:pStyle w:val="BodyText"/>
      </w:pPr>
    </w:p>
    <w:p w14:paraId="7AA81012" w14:textId="77777777" w:rsidR="005B04DE" w:rsidRDefault="005B04DE" w:rsidP="001A6C52">
      <w:pPr>
        <w:pStyle w:val="BodyText"/>
      </w:pPr>
    </w:p>
    <w:p w14:paraId="0ABB706F" w14:textId="77777777" w:rsidR="0050309C" w:rsidRDefault="00453113"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53D51157" w14:textId="77777777" w:rsidR="00E23577" w:rsidRDefault="00E23577" w:rsidP="002B0E91">
      <w:pPr>
        <w:pStyle w:val="BodyText"/>
      </w:pPr>
    </w:p>
    <w:p w14:paraId="3007073B" w14:textId="77777777" w:rsidR="00395B24" w:rsidRDefault="00395B24">
      <w:pPr>
        <w:pStyle w:val="NormalHeadings"/>
        <w:spacing w:before="240" w:after="120"/>
        <w:rPr>
          <w:b w:val="0"/>
        </w:rPr>
        <w:sectPr w:rsidR="00395B24" w:rsidSect="0092590B">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fmt="lowerRoman" w:start="1"/>
          <w:cols w:space="720"/>
          <w:noEndnote/>
          <w:titlePg/>
        </w:sectPr>
      </w:pPr>
    </w:p>
    <w:p w14:paraId="18AD26FF"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45BDBFD4" w14:textId="04F8D40E" w:rsidR="00694BEB" w:rsidRDefault="00BC0CAC" w:rsidP="005E0510">
      <w:pPr>
        <w:pStyle w:val="NormalHeadings"/>
        <w:spacing w:line="360" w:lineRule="auto"/>
        <w:jc w:val="left"/>
        <w:rPr>
          <w:sz w:val="26"/>
          <w:szCs w:val="26"/>
        </w:rPr>
      </w:pPr>
      <w:r>
        <w:rPr>
          <w:sz w:val="26"/>
          <w:szCs w:val="26"/>
        </w:rPr>
        <w:t>THE COURT</w:t>
      </w:r>
      <w:r w:rsidR="006A1ABD">
        <w:rPr>
          <w:sz w:val="26"/>
          <w:szCs w:val="26"/>
        </w:rPr>
        <w:t xml:space="preserve">: </w:t>
      </w:r>
    </w:p>
    <w:p w14:paraId="1B7514E4" w14:textId="0EC0FB17" w:rsidR="00996746" w:rsidRDefault="00996746" w:rsidP="00CD1346">
      <w:pPr>
        <w:pStyle w:val="ParaNumbering"/>
      </w:pPr>
      <w:r>
        <w:t xml:space="preserve">Pursuant to provisions of the </w:t>
      </w:r>
      <w:r w:rsidRPr="009C36D5">
        <w:rPr>
          <w:b/>
          <w:i/>
        </w:rPr>
        <w:t>Privacy Act</w:t>
      </w:r>
      <w:r w:rsidRPr="009C36D5">
        <w:rPr>
          <w:i/>
        </w:rPr>
        <w:t xml:space="preserve"> 1988</w:t>
      </w:r>
      <w:r w:rsidRPr="009C36D5">
        <w:t xml:space="preserve"> (</w:t>
      </w:r>
      <w:proofErr w:type="spellStart"/>
      <w:r w:rsidRPr="009C36D5">
        <w:t>Cth</w:t>
      </w:r>
      <w:proofErr w:type="spellEnd"/>
      <w:r w:rsidRPr="009C36D5">
        <w:t>)</w:t>
      </w:r>
      <w:r w:rsidR="00777622">
        <w:t>,</w:t>
      </w:r>
      <w:r>
        <w:t xml:space="preserve"> Ms Julie McEwan complained to the Australian Information Commissioner (</w:t>
      </w:r>
      <w:r w:rsidRPr="00996746">
        <w:rPr>
          <w:b/>
        </w:rPr>
        <w:t>AIC</w:t>
      </w:r>
      <w:r>
        <w:t xml:space="preserve">) about the disclosure to third parties in </w:t>
      </w:r>
      <w:r w:rsidR="00071EA2">
        <w:t>the course of an investigation i</w:t>
      </w:r>
      <w:r w:rsidR="00340711">
        <w:t>nto her tax affairs</w:t>
      </w:r>
      <w:r>
        <w:t xml:space="preserve"> by officers within the Australian Tax Office (</w:t>
      </w:r>
      <w:r w:rsidRPr="00996746">
        <w:rPr>
          <w:b/>
        </w:rPr>
        <w:t>ATO</w:t>
      </w:r>
      <w:r>
        <w:t>). The AIC declined to investigate Ms McEwan’s complaint being satisfied, under s 41(1</w:t>
      </w:r>
      <w:proofErr w:type="gramStart"/>
      <w:r>
        <w:t>)(</w:t>
      </w:r>
      <w:proofErr w:type="gramEnd"/>
      <w:r>
        <w:t xml:space="preserve">a) </w:t>
      </w:r>
      <w:r w:rsidR="002E1703">
        <w:t xml:space="preserve">and (da) </w:t>
      </w:r>
      <w:r>
        <w:t xml:space="preserve">of the </w:t>
      </w:r>
      <w:r w:rsidRPr="00FF5C34">
        <w:rPr>
          <w:i/>
        </w:rPr>
        <w:t>Privacy Act</w:t>
      </w:r>
      <w:r>
        <w:t>, that there had been no interference with Ms McEwan’s privacy</w:t>
      </w:r>
      <w:r w:rsidR="002E1703">
        <w:t xml:space="preserve"> and an investigation was not warranted in all the circumstances</w:t>
      </w:r>
      <w:r>
        <w:t>.</w:t>
      </w:r>
    </w:p>
    <w:p w14:paraId="75AF1F61" w14:textId="473E582B" w:rsidR="003A6E87" w:rsidRDefault="003A6E87" w:rsidP="003A6E87">
      <w:pPr>
        <w:pStyle w:val="ParaNumbering"/>
      </w:pPr>
      <w:r>
        <w:t xml:space="preserve">The primary judge dismissed Ms McEwan’s application for judicial review of the AIC’s decision. It was </w:t>
      </w:r>
      <w:r w:rsidRPr="00944A14">
        <w:t>common ground</w:t>
      </w:r>
      <w:r>
        <w:t xml:space="preserve"> before the primary judge</w:t>
      </w:r>
      <w:r w:rsidR="00944A14">
        <w:t xml:space="preserve">, </w:t>
      </w:r>
      <w:r w:rsidR="00340711">
        <w:t>at PJ[3]</w:t>
      </w:r>
      <w:r w:rsidR="00944A14">
        <w:t>,</w:t>
      </w:r>
      <w:r>
        <w:t xml:space="preserve"> that the resolution of the application turned on whether the disclosures were authorised by s 355-50 of </w:t>
      </w:r>
      <w:proofErr w:type="spellStart"/>
      <w:r>
        <w:t>Sch</w:t>
      </w:r>
      <w:proofErr w:type="spellEnd"/>
      <w:r>
        <w:t xml:space="preserve"> 1 to the </w:t>
      </w:r>
      <w:r w:rsidRPr="009C36D5">
        <w:rPr>
          <w:i/>
        </w:rPr>
        <w:t>Taxation Administration Act 1953</w:t>
      </w:r>
      <w:r w:rsidRPr="009C36D5">
        <w:t xml:space="preserve"> (</w:t>
      </w:r>
      <w:proofErr w:type="spellStart"/>
      <w:r w:rsidRPr="009C36D5">
        <w:t>Cth</w:t>
      </w:r>
      <w:proofErr w:type="spellEnd"/>
      <w:r w:rsidRPr="009C36D5">
        <w:t xml:space="preserve">) </w:t>
      </w:r>
      <w:r>
        <w:t>(</w:t>
      </w:r>
      <w:r w:rsidRPr="003A6E87">
        <w:rPr>
          <w:b/>
        </w:rPr>
        <w:t>TAA</w:t>
      </w:r>
      <w:r>
        <w:t>). If they were so authorised, then</w:t>
      </w:r>
      <w:r w:rsidR="00E6631F">
        <w:t>:</w:t>
      </w:r>
    </w:p>
    <w:p w14:paraId="5A53C10D" w14:textId="77777777" w:rsidR="003A6E87" w:rsidRDefault="003A6E87" w:rsidP="003A6E87">
      <w:pPr>
        <w:pStyle w:val="ParaNumbering"/>
        <w:numPr>
          <w:ilvl w:val="0"/>
          <w:numId w:val="29"/>
        </w:numPr>
      </w:pPr>
      <w:r>
        <w:t>the disclosures were permitted under the Australian Privacy Principles (</w:t>
      </w:r>
      <w:r w:rsidRPr="003A6E87">
        <w:rPr>
          <w:b/>
        </w:rPr>
        <w:t>APP</w:t>
      </w:r>
      <w:r>
        <w:t xml:space="preserve">) 6.2(b) of </w:t>
      </w:r>
      <w:proofErr w:type="spellStart"/>
      <w:r>
        <w:t>Sch</w:t>
      </w:r>
      <w:proofErr w:type="spellEnd"/>
      <w:r>
        <w:t xml:space="preserve"> 1 to the </w:t>
      </w:r>
      <w:r w:rsidRPr="003A6E87">
        <w:rPr>
          <w:i/>
        </w:rPr>
        <w:t>Privacy Act</w:t>
      </w:r>
      <w:r>
        <w:t>; and</w:t>
      </w:r>
    </w:p>
    <w:p w14:paraId="5A21F074" w14:textId="77777777" w:rsidR="003A6E87" w:rsidRDefault="003A6E87" w:rsidP="003A6E87">
      <w:pPr>
        <w:pStyle w:val="ParaNumbering"/>
        <w:numPr>
          <w:ilvl w:val="0"/>
          <w:numId w:val="29"/>
        </w:numPr>
      </w:pPr>
      <w:proofErr w:type="gramStart"/>
      <w:r>
        <w:t>the</w:t>
      </w:r>
      <w:proofErr w:type="gramEnd"/>
      <w:r>
        <w:t xml:space="preserve"> AIC’s satisfaction-based conclusion that there had been no unlawful interference with Ms McEwan’s privacy was not attended by error.</w:t>
      </w:r>
    </w:p>
    <w:p w14:paraId="63127F16" w14:textId="5E0EC4F6" w:rsidR="00996746" w:rsidRDefault="003A6E87" w:rsidP="00CD1346">
      <w:pPr>
        <w:pStyle w:val="ParaNumbering"/>
      </w:pPr>
      <w:r>
        <w:t>Ms McEwan</w:t>
      </w:r>
      <w:r w:rsidR="000A345E">
        <w:t xml:space="preserve"> appe</w:t>
      </w:r>
      <w:r>
        <w:t>a</w:t>
      </w:r>
      <w:r w:rsidR="000A345E">
        <w:t>l</w:t>
      </w:r>
      <w:r>
        <w:t xml:space="preserve">s from the primary judge’s findings that the impugned disclosures </w:t>
      </w:r>
      <w:r w:rsidR="000A345E">
        <w:t>were authorised under s 355-50(1) of the TAA (</w:t>
      </w:r>
      <w:proofErr w:type="gramStart"/>
      <w:r w:rsidR="000A345E">
        <w:t>PJ[</w:t>
      </w:r>
      <w:proofErr w:type="gramEnd"/>
      <w:r w:rsidR="000A345E">
        <w:t xml:space="preserve">21]-[22]), and </w:t>
      </w:r>
      <w:r w:rsidR="00340711">
        <w:t>additionally</w:t>
      </w:r>
      <w:r w:rsidR="000A345E">
        <w:t xml:space="preserve"> authorised under Items 1 and 3 of s 355-50(2)</w:t>
      </w:r>
      <w:r w:rsidR="002E1703">
        <w:t xml:space="preserve"> (PJ[23])</w:t>
      </w:r>
      <w:r w:rsidR="000A345E">
        <w:t>. Her grounds of appeal are as follows:</w:t>
      </w:r>
    </w:p>
    <w:p w14:paraId="57A24CE0" w14:textId="77777777" w:rsidR="000A345E" w:rsidRPr="000A345E" w:rsidRDefault="000A345E" w:rsidP="000A345E">
      <w:pPr>
        <w:pStyle w:val="Quote1"/>
        <w:ind w:left="1440" w:hanging="703"/>
      </w:pPr>
      <w:r>
        <w:t>1.</w:t>
      </w:r>
      <w:r>
        <w:tab/>
      </w:r>
      <w:r w:rsidRPr="000A345E">
        <w:t>His Honour erred in agreeing with the First Respondent’s decision not to</w:t>
      </w:r>
      <w:r>
        <w:t xml:space="preserve"> </w:t>
      </w:r>
      <w:r w:rsidRPr="000A345E">
        <w:t xml:space="preserve">investigate pursuant to s41 of the Privacy Act 1988 </w:t>
      </w:r>
      <w:proofErr w:type="gramStart"/>
      <w:r w:rsidRPr="000A345E">
        <w:t>s1(</w:t>
      </w:r>
      <w:proofErr w:type="gramEnd"/>
      <w:r w:rsidRPr="000A345E">
        <w:t>a) “the act or practice is</w:t>
      </w:r>
      <w:r>
        <w:t xml:space="preserve"> </w:t>
      </w:r>
      <w:r w:rsidRPr="000A345E">
        <w:t>not an interference with the privacy of an individual”; of which was based on</w:t>
      </w:r>
      <w:r>
        <w:t xml:space="preserve"> </w:t>
      </w:r>
      <w:r w:rsidRPr="000A345E">
        <w:t xml:space="preserve">s355-50 </w:t>
      </w:r>
      <w:r w:rsidRPr="000A345E">
        <w:rPr>
          <w:i/>
          <w:iCs/>
        </w:rPr>
        <w:t xml:space="preserve">Tax Administration Act 1953 </w:t>
      </w:r>
      <w:r w:rsidRPr="000A345E">
        <w:t>(</w:t>
      </w:r>
      <w:r w:rsidRPr="000A345E">
        <w:rPr>
          <w:b/>
          <w:bCs/>
        </w:rPr>
        <w:t>TAA</w:t>
      </w:r>
      <w:r w:rsidRPr="000A345E">
        <w:t>) authorised a taxation officer to</w:t>
      </w:r>
      <w:r>
        <w:t xml:space="preserve"> </w:t>
      </w:r>
      <w:r w:rsidRPr="000A345E">
        <w:t xml:space="preserve">make the disclosure to John </w:t>
      </w:r>
      <w:proofErr w:type="spellStart"/>
      <w:r w:rsidRPr="000A345E">
        <w:t>Mactaggart</w:t>
      </w:r>
      <w:proofErr w:type="spellEnd"/>
      <w:r w:rsidRPr="000A345E">
        <w:t xml:space="preserve"> and Richard Hoult.</w:t>
      </w:r>
    </w:p>
    <w:p w14:paraId="086C1E12" w14:textId="77777777" w:rsidR="000A345E" w:rsidRPr="000A345E" w:rsidRDefault="000A345E" w:rsidP="000A345E">
      <w:pPr>
        <w:pStyle w:val="Quote1"/>
        <w:ind w:left="1440" w:hanging="703"/>
      </w:pPr>
      <w:r w:rsidRPr="000A345E">
        <w:t xml:space="preserve">2. </w:t>
      </w:r>
      <w:r>
        <w:tab/>
      </w:r>
      <w:r w:rsidRPr="000A345E">
        <w:t>His Honour erred in finding that section 355-50 of the TAA operates to</w:t>
      </w:r>
      <w:r>
        <w:t xml:space="preserve"> </w:t>
      </w:r>
      <w:r w:rsidRPr="000A345E">
        <w:t>authorise a taxation officer to “</w:t>
      </w:r>
      <w:r w:rsidR="003C6392">
        <w:rPr>
          <w:b/>
          <w:bCs/>
        </w:rPr>
        <w:t>make a record of</w:t>
      </w:r>
      <w:r>
        <w:t xml:space="preserve">” taxpayer protected </w:t>
      </w:r>
      <w:r w:rsidRPr="000A345E">
        <w:t>information and “</w:t>
      </w:r>
      <w:r w:rsidRPr="000A345E">
        <w:rPr>
          <w:b/>
          <w:bCs/>
        </w:rPr>
        <w:t>disclose to</w:t>
      </w:r>
      <w:r w:rsidRPr="000A345E">
        <w:t xml:space="preserve">” the taxpayer </w:t>
      </w:r>
      <w:r>
        <w:t xml:space="preserve">protected information to anyone </w:t>
      </w:r>
      <w:r w:rsidRPr="000A345E">
        <w:t>when performing their duties.</w:t>
      </w:r>
    </w:p>
    <w:p w14:paraId="36CA5335" w14:textId="77777777" w:rsidR="000A345E" w:rsidRPr="000A345E" w:rsidRDefault="000A345E" w:rsidP="000A345E">
      <w:pPr>
        <w:pStyle w:val="Quote1"/>
        <w:ind w:left="1440" w:hanging="703"/>
      </w:pPr>
      <w:r w:rsidRPr="000A345E">
        <w:t xml:space="preserve">3. </w:t>
      </w:r>
      <w:r>
        <w:tab/>
      </w:r>
      <w:r w:rsidRPr="000A345E">
        <w:t>His Honour erred in finding that section 355-50 of the TAA operates to</w:t>
      </w:r>
      <w:r>
        <w:t xml:space="preserve"> </w:t>
      </w:r>
      <w:r w:rsidRPr="000A345E">
        <w:t>authorise a taxation officer to “</w:t>
      </w:r>
      <w:r w:rsidRPr="000A345E">
        <w:rPr>
          <w:b/>
          <w:bCs/>
        </w:rPr>
        <w:t>make a record of</w:t>
      </w:r>
      <w:r>
        <w:t xml:space="preserve">” of taxpayer protected </w:t>
      </w:r>
      <w:r w:rsidRPr="000A345E">
        <w:t>information and “</w:t>
      </w:r>
      <w:r w:rsidRPr="000A345E">
        <w:rPr>
          <w:b/>
          <w:bCs/>
        </w:rPr>
        <w:t>disclose to</w:t>
      </w:r>
      <w:r w:rsidRPr="000A345E">
        <w:t xml:space="preserve">” the taxpayer protected information </w:t>
      </w:r>
      <w:r w:rsidRPr="000A345E">
        <w:rPr>
          <w:b/>
          <w:bCs/>
        </w:rPr>
        <w:t>obtained by</w:t>
      </w:r>
      <w:r>
        <w:t xml:space="preserve"> </w:t>
      </w:r>
      <w:r w:rsidRPr="000A345E">
        <w:rPr>
          <w:b/>
          <w:bCs/>
        </w:rPr>
        <w:t xml:space="preserve">a warrant </w:t>
      </w:r>
      <w:r w:rsidRPr="000A345E">
        <w:t>and disclose it to anyone when performing their duties.</w:t>
      </w:r>
    </w:p>
    <w:p w14:paraId="0AE6FAB7" w14:textId="77777777" w:rsidR="000A345E" w:rsidRPr="000A345E" w:rsidRDefault="000A345E" w:rsidP="000A345E">
      <w:pPr>
        <w:pStyle w:val="Quote1"/>
        <w:ind w:left="1440" w:hanging="703"/>
      </w:pPr>
      <w:r w:rsidRPr="000A345E">
        <w:t xml:space="preserve">4. </w:t>
      </w:r>
      <w:r>
        <w:tab/>
      </w:r>
      <w:r w:rsidRPr="000A345E">
        <w:t>His Honour erred in finding that “Any Entity” as</w:t>
      </w:r>
      <w:r>
        <w:t xml:space="preserve"> listed in the table in section </w:t>
      </w:r>
      <w:r w:rsidRPr="000A345E">
        <w:lastRenderedPageBreak/>
        <w:t>355-50 of the TAA means “anyone, any person, any ta</w:t>
      </w:r>
      <w:r>
        <w:t xml:space="preserve">xpayer, any trust, any </w:t>
      </w:r>
      <w:r w:rsidRPr="000A345E">
        <w:t>company”, the operation of s355-50 to be b</w:t>
      </w:r>
      <w:r>
        <w:t xml:space="preserve">road enough to allow a taxation </w:t>
      </w:r>
      <w:r w:rsidRPr="000A345E">
        <w:t>officer to make records and disclose taxpa</w:t>
      </w:r>
      <w:r>
        <w:t xml:space="preserve">yer information to “anyone (any </w:t>
      </w:r>
      <w:r w:rsidRPr="000A345E">
        <w:t>entity)” when performing their duties.</w:t>
      </w:r>
    </w:p>
    <w:p w14:paraId="5A2CE584" w14:textId="77777777" w:rsidR="000A345E" w:rsidRPr="000A345E" w:rsidRDefault="000A345E" w:rsidP="000A345E">
      <w:pPr>
        <w:pStyle w:val="Quote1"/>
      </w:pPr>
      <w:r w:rsidRPr="000A345E">
        <w:t xml:space="preserve">5. </w:t>
      </w:r>
      <w:r>
        <w:tab/>
      </w:r>
      <w:r w:rsidRPr="000A345E">
        <w:t>There are inconsistencies within the judgment.</w:t>
      </w:r>
    </w:p>
    <w:p w14:paraId="076DEB26" w14:textId="77777777" w:rsidR="000A345E" w:rsidRPr="000A345E" w:rsidRDefault="000A345E" w:rsidP="000A345E">
      <w:pPr>
        <w:pStyle w:val="Quote1"/>
      </w:pPr>
      <w:r w:rsidRPr="000A345E">
        <w:t xml:space="preserve">6. </w:t>
      </w:r>
      <w:r>
        <w:tab/>
      </w:r>
      <w:r w:rsidRPr="000A345E">
        <w:t>There has been a serious error at law and the error causes injustice.</w:t>
      </w:r>
    </w:p>
    <w:p w14:paraId="1EE2BD64" w14:textId="77777777" w:rsidR="000A345E" w:rsidRPr="000A345E" w:rsidRDefault="000A345E" w:rsidP="000A345E">
      <w:pPr>
        <w:pStyle w:val="Quote1"/>
        <w:ind w:left="1440" w:hanging="703"/>
      </w:pPr>
      <w:r w:rsidRPr="000A345E">
        <w:t xml:space="preserve">7. </w:t>
      </w:r>
      <w:r>
        <w:tab/>
      </w:r>
      <w:r w:rsidRPr="000A345E">
        <w:t>His Honour failed to address and place any weight on tampered evidence</w:t>
      </w:r>
      <w:r>
        <w:t xml:space="preserve"> </w:t>
      </w:r>
      <w:r w:rsidRPr="000A345E">
        <w:t>relevant to the proceeding that was placed into the Court Application Book</w:t>
      </w:r>
      <w:r>
        <w:t xml:space="preserve"> </w:t>
      </w:r>
      <w:r w:rsidRPr="000A345E">
        <w:rPr>
          <w:b/>
          <w:bCs/>
        </w:rPr>
        <w:t xml:space="preserve">page 639 </w:t>
      </w:r>
      <w:r w:rsidRPr="000A345E">
        <w:t>by the First Respondent;</w:t>
      </w:r>
    </w:p>
    <w:p w14:paraId="7B885BB9" w14:textId="77777777" w:rsidR="000A345E" w:rsidRDefault="000A345E" w:rsidP="00355EDA">
      <w:pPr>
        <w:pStyle w:val="Quote2"/>
        <w:ind w:left="2160" w:hanging="720"/>
      </w:pPr>
      <w:r w:rsidRPr="000A345E">
        <w:t xml:space="preserve">7.1 </w:t>
      </w:r>
      <w:r>
        <w:tab/>
      </w:r>
      <w:r w:rsidRPr="000A345E">
        <w:t>The relevant evidence to the proceedings was tampered with and</w:t>
      </w:r>
      <w:r>
        <w:t xml:space="preserve"> materially changed and appears to be fraudulent, grounds for a retrial;</w:t>
      </w:r>
    </w:p>
    <w:p w14:paraId="3933C377" w14:textId="77777777" w:rsidR="000A345E" w:rsidRDefault="000A345E" w:rsidP="00355EDA">
      <w:pPr>
        <w:pStyle w:val="Quote2"/>
        <w:ind w:left="2160" w:hanging="720"/>
      </w:pPr>
      <w:r>
        <w:t>7.2</w:t>
      </w:r>
      <w:r>
        <w:tab/>
        <w:t>The appellant raised concerns of fraud and reasonable diligence was taken prior to the judgment to discover fraud;</w:t>
      </w:r>
    </w:p>
    <w:p w14:paraId="11DE7E6E" w14:textId="6FB544D3" w:rsidR="000A345E" w:rsidRDefault="000A345E" w:rsidP="00355EDA">
      <w:pPr>
        <w:pStyle w:val="Quote2"/>
        <w:ind w:left="2160" w:hanging="720"/>
      </w:pPr>
      <w:r>
        <w:t>7.3</w:t>
      </w:r>
      <w:r>
        <w:tab/>
      </w:r>
      <w:r w:rsidR="00276081">
        <w:t xml:space="preserve">The </w:t>
      </w:r>
      <w:r>
        <w:t>First Respondent has failed to act in good faith by verifying the authenticity of the evidence.</w:t>
      </w:r>
    </w:p>
    <w:p w14:paraId="0CB8EEA6" w14:textId="1C6D6791" w:rsidR="002E1703" w:rsidRPr="000A345E" w:rsidRDefault="002E1703" w:rsidP="00FF5C34">
      <w:pPr>
        <w:pStyle w:val="Quote1"/>
      </w:pPr>
      <w:r>
        <w:t>(</w:t>
      </w:r>
      <w:r w:rsidR="00E6631F">
        <w:t>E</w:t>
      </w:r>
      <w:r>
        <w:t>mphasis in original)</w:t>
      </w:r>
    </w:p>
    <w:p w14:paraId="1FA4FF68" w14:textId="3C2412B5" w:rsidR="00B56E7D" w:rsidRDefault="00BC5023" w:rsidP="00965724">
      <w:pPr>
        <w:pStyle w:val="ParaNumbering"/>
      </w:pPr>
      <w:r>
        <w:t xml:space="preserve">The gravamen of Ms McEwan’s </w:t>
      </w:r>
      <w:r w:rsidR="009C5108">
        <w:t xml:space="preserve">complaint </w:t>
      </w:r>
      <w:r>
        <w:t>is her</w:t>
      </w:r>
      <w:r w:rsidR="009C5108">
        <w:t xml:space="preserve"> belief that the document at page 639 of the Court Application Book before the primary judge, described as the </w:t>
      </w:r>
      <w:r w:rsidR="009C5108" w:rsidRPr="009C5108">
        <w:rPr>
          <w:b/>
        </w:rPr>
        <w:t>Draft PV</w:t>
      </w:r>
      <w:r w:rsidR="009C5108">
        <w:t xml:space="preserve">, is fraudulent and/or has been tampered with such that it cannot be the true Preliminary View prepared by Mr Timothy </w:t>
      </w:r>
      <w:proofErr w:type="spellStart"/>
      <w:r w:rsidR="009C5108">
        <w:t>Tanyous</w:t>
      </w:r>
      <w:proofErr w:type="spellEnd"/>
      <w:r w:rsidR="009C5108">
        <w:t xml:space="preserve">. The consequence, as submitted by Ms McEwan, is that the Commissioner did not have before her all the </w:t>
      </w:r>
      <w:r w:rsidR="00CE372A">
        <w:t>necessary materials</w:t>
      </w:r>
      <w:r w:rsidR="009C5108">
        <w:t xml:space="preserve"> for her to reach the required state of satisfaction prescribed by s 41(a) of the </w:t>
      </w:r>
      <w:r w:rsidR="009C5108" w:rsidRPr="009C5108">
        <w:rPr>
          <w:i/>
        </w:rPr>
        <w:t>Privacy Act</w:t>
      </w:r>
      <w:r w:rsidR="009C5108">
        <w:t xml:space="preserve"> and </w:t>
      </w:r>
      <w:r w:rsidR="00B56E7D">
        <w:t>that, in any event, the primary judge was wrong to have found that the disclosures were for the primary purpose of law enforcement because he misconstrued s 355-50 of the TAA.</w:t>
      </w:r>
    </w:p>
    <w:p w14:paraId="17E6EA29" w14:textId="77777777" w:rsidR="000A345E" w:rsidRDefault="000A345E" w:rsidP="00CD1346">
      <w:pPr>
        <w:pStyle w:val="ParaNumbering"/>
      </w:pPr>
      <w:r>
        <w:t>For the reasons below, the appeal must be dismissed.</w:t>
      </w:r>
    </w:p>
    <w:p w14:paraId="10B1F546" w14:textId="77777777" w:rsidR="000A345E" w:rsidRDefault="000A345E" w:rsidP="003C6392">
      <w:pPr>
        <w:pStyle w:val="Heading2"/>
      </w:pPr>
      <w:r>
        <w:t>The legislative framework</w:t>
      </w:r>
    </w:p>
    <w:p w14:paraId="161B31C2" w14:textId="1F3FBA5A" w:rsidR="003C6392" w:rsidRDefault="003C6392" w:rsidP="003C6392">
      <w:pPr>
        <w:pStyle w:val="ParaNumbering"/>
      </w:pPr>
      <w:r w:rsidRPr="003A3185">
        <w:t xml:space="preserve">Section 15 of the </w:t>
      </w:r>
      <w:r w:rsidRPr="003C6392">
        <w:rPr>
          <w:i/>
        </w:rPr>
        <w:t>Privacy Act</w:t>
      </w:r>
      <w:r w:rsidRPr="003A3185">
        <w:t xml:space="preserve"> </w:t>
      </w:r>
      <w:r>
        <w:t>obliges a</w:t>
      </w:r>
      <w:r w:rsidR="00CE372A">
        <w:t>n</w:t>
      </w:r>
      <w:r>
        <w:t xml:space="preserve"> “APP entity” not to do an act or engage in a practice that breaches an “Australian Privacy Principle”.  </w:t>
      </w:r>
      <w:r w:rsidRPr="003A3185">
        <w:t xml:space="preserve">Section 14 of the </w:t>
      </w:r>
      <w:r w:rsidRPr="003C6392">
        <w:rPr>
          <w:i/>
        </w:rPr>
        <w:t>Privacy Act</w:t>
      </w:r>
      <w:r w:rsidRPr="003A3185">
        <w:t xml:space="preserve"> </w:t>
      </w:r>
      <w:r>
        <w:t>provides that the APP</w:t>
      </w:r>
      <w:r w:rsidR="00CE372A">
        <w:t>’s</w:t>
      </w:r>
      <w:r>
        <w:t xml:space="preserve"> are set out in </w:t>
      </w:r>
      <w:proofErr w:type="spellStart"/>
      <w:r>
        <w:t>Sch</w:t>
      </w:r>
      <w:proofErr w:type="spellEnd"/>
      <w:r>
        <w:t xml:space="preserve"> 1.</w:t>
      </w:r>
    </w:p>
    <w:p w14:paraId="2C50A337" w14:textId="77777777" w:rsidR="003C6392" w:rsidRDefault="003C6392" w:rsidP="003C6392">
      <w:pPr>
        <w:pStyle w:val="ParaNumbering"/>
      </w:pPr>
      <w:r>
        <w:t xml:space="preserve">An “APP entity” is defined by s 6 of the </w:t>
      </w:r>
      <w:r w:rsidRPr="003C6392">
        <w:rPr>
          <w:i/>
        </w:rPr>
        <w:t>Privacy Act</w:t>
      </w:r>
      <w:r>
        <w:t xml:space="preserve"> to mean an agency or organisation.  In turn, s 6 provides that an “agency” means, materially, a department or a body, whether incorporated or not, established or appointed for a public purpose by or under a Commonwealth law.  It is uncontroversial that the ATO is an agency and, thus, an APP entity. </w:t>
      </w:r>
    </w:p>
    <w:p w14:paraId="2C923040" w14:textId="77777777" w:rsidR="003C6392" w:rsidRDefault="003C6392" w:rsidP="003C6392">
      <w:pPr>
        <w:pStyle w:val="ParaNumbering"/>
      </w:pPr>
      <w:r>
        <w:t xml:space="preserve">Section 41(1) of the </w:t>
      </w:r>
      <w:r w:rsidRPr="003C6392">
        <w:rPr>
          <w:i/>
        </w:rPr>
        <w:t>Privacy Act</w:t>
      </w:r>
      <w:r>
        <w:t xml:space="preserve"> provides materially:</w:t>
      </w:r>
    </w:p>
    <w:p w14:paraId="7F51D4B9" w14:textId="77777777" w:rsidR="003C6392" w:rsidRDefault="003C6392" w:rsidP="003C6392">
      <w:pPr>
        <w:pStyle w:val="Quote1"/>
        <w:ind w:left="1440" w:hanging="703"/>
      </w:pPr>
      <w:r w:rsidRPr="0006521B">
        <w:lastRenderedPageBreak/>
        <w:t>(1)</w:t>
      </w:r>
      <w:r>
        <w:tab/>
      </w:r>
      <w:r w:rsidRPr="0006521B">
        <w:t>The Commissioner may decide not to investigate, or not to investigate further, an act or practice about which a complaint has been made under section 36 if the Commissioner is satisfied that:</w:t>
      </w:r>
    </w:p>
    <w:p w14:paraId="015AB65F" w14:textId="77777777" w:rsidR="003C6392" w:rsidRDefault="003C6392" w:rsidP="003C6392">
      <w:pPr>
        <w:pStyle w:val="Quote2"/>
        <w:ind w:left="2160" w:hanging="720"/>
      </w:pPr>
      <w:r>
        <w:t>(a)</w:t>
      </w:r>
      <w:r>
        <w:tab/>
      </w:r>
      <w:proofErr w:type="gramStart"/>
      <w:r w:rsidRPr="0006521B">
        <w:t>the</w:t>
      </w:r>
      <w:proofErr w:type="gramEnd"/>
      <w:r w:rsidRPr="0006521B">
        <w:t xml:space="preserve"> act or practice is not an interference with the privacy of an individual; or</w:t>
      </w:r>
    </w:p>
    <w:p w14:paraId="1013030D" w14:textId="77777777" w:rsidR="003C6392" w:rsidRDefault="003C6392" w:rsidP="003C6392">
      <w:pPr>
        <w:pStyle w:val="Quote2"/>
      </w:pPr>
      <w:r>
        <w:t>…</w:t>
      </w:r>
    </w:p>
    <w:p w14:paraId="4468C777" w14:textId="77777777" w:rsidR="003C6392" w:rsidRDefault="003C6392" w:rsidP="003C6392">
      <w:pPr>
        <w:pStyle w:val="Quote2"/>
        <w:ind w:left="2160" w:hanging="720"/>
      </w:pPr>
      <w:r>
        <w:t>(</w:t>
      </w:r>
      <w:proofErr w:type="gramStart"/>
      <w:r>
        <w:t>da</w:t>
      </w:r>
      <w:proofErr w:type="gramEnd"/>
      <w:r>
        <w:t>)</w:t>
      </w:r>
      <w:r>
        <w:tab/>
      </w:r>
      <w:r w:rsidRPr="0006521B">
        <w:t>an investigation, or further investigation, of the act or practice is not warranted having regard to all the circumstances; or</w:t>
      </w:r>
    </w:p>
    <w:p w14:paraId="02B8F8FD" w14:textId="2C2AE0B9" w:rsidR="003C6392" w:rsidRDefault="003C6392" w:rsidP="003C6392">
      <w:pPr>
        <w:pStyle w:val="ParaNumbering"/>
      </w:pPr>
      <w:r w:rsidRPr="00DE61F7">
        <w:t xml:space="preserve">It is also necessary to set out the material part of </w:t>
      </w:r>
      <w:r w:rsidR="00C17546">
        <w:t>APP</w:t>
      </w:r>
      <w:r>
        <w:t xml:space="preserve"> 6:</w:t>
      </w:r>
    </w:p>
    <w:p w14:paraId="0D34A821" w14:textId="77777777" w:rsidR="003C6392" w:rsidRPr="004106B4" w:rsidRDefault="003C6392" w:rsidP="003C6392">
      <w:pPr>
        <w:pStyle w:val="Quote1"/>
        <w:rPr>
          <w:b/>
        </w:rPr>
      </w:pPr>
      <w:bookmarkStart w:id="23" w:name="_Toc119509108"/>
      <w:r w:rsidRPr="004106B4">
        <w:rPr>
          <w:rStyle w:val="CharSectno"/>
          <w:b/>
        </w:rPr>
        <w:t>6</w:t>
      </w:r>
      <w:r w:rsidRPr="004106B4">
        <w:rPr>
          <w:b/>
        </w:rPr>
        <w:tab/>
        <w:t>Australian Privacy Principle 6—use or disclosure of personal information</w:t>
      </w:r>
      <w:bookmarkEnd w:id="23"/>
    </w:p>
    <w:p w14:paraId="38229F88" w14:textId="77777777" w:rsidR="003C6392" w:rsidRPr="00CA6CDC" w:rsidRDefault="003C6392" w:rsidP="003C6392">
      <w:pPr>
        <w:pStyle w:val="Quote2"/>
        <w:rPr>
          <w:i/>
        </w:rPr>
      </w:pPr>
      <w:r w:rsidRPr="00CA6CDC">
        <w:rPr>
          <w:i/>
        </w:rPr>
        <w:t>Use or disclosure</w:t>
      </w:r>
    </w:p>
    <w:p w14:paraId="234EEEF4" w14:textId="77777777" w:rsidR="003C6392" w:rsidRPr="0032318E" w:rsidRDefault="003C6392" w:rsidP="003C6392">
      <w:pPr>
        <w:pStyle w:val="Quote2"/>
        <w:ind w:left="2160" w:hanging="720"/>
      </w:pPr>
      <w:r>
        <w:t>6.1</w:t>
      </w:r>
      <w:r>
        <w:tab/>
      </w:r>
      <w:r w:rsidRPr="0032318E">
        <w:t>If an APP entity holds personal information about an individual that was collected for a particular purpose (the</w:t>
      </w:r>
      <w:r w:rsidRPr="00FF5C34">
        <w:rPr>
          <w:i/>
        </w:rPr>
        <w:t xml:space="preserve"> </w:t>
      </w:r>
      <w:r w:rsidRPr="00FF5C34">
        <w:rPr>
          <w:b/>
          <w:i/>
        </w:rPr>
        <w:t>primary purpose</w:t>
      </w:r>
      <w:r w:rsidRPr="0032318E">
        <w:t xml:space="preserve">), the entity must not use or disclose the information for another purpose (the </w:t>
      </w:r>
      <w:r w:rsidRPr="00FF5C34">
        <w:rPr>
          <w:b/>
          <w:i/>
        </w:rPr>
        <w:t>secondary purpose</w:t>
      </w:r>
      <w:r w:rsidRPr="0032318E">
        <w:t>) unless:</w:t>
      </w:r>
    </w:p>
    <w:p w14:paraId="2631C6EE" w14:textId="77777777" w:rsidR="003C6392" w:rsidRPr="0032318E" w:rsidRDefault="003C6392" w:rsidP="003C6392">
      <w:pPr>
        <w:pStyle w:val="Quote3"/>
        <w:ind w:left="2880" w:hanging="720"/>
      </w:pPr>
      <w:r w:rsidRPr="0032318E">
        <w:t>(a)</w:t>
      </w:r>
      <w:r w:rsidRPr="0032318E">
        <w:tab/>
      </w:r>
      <w:proofErr w:type="gramStart"/>
      <w:r w:rsidRPr="0032318E">
        <w:t>the</w:t>
      </w:r>
      <w:proofErr w:type="gramEnd"/>
      <w:r w:rsidRPr="0032318E">
        <w:t xml:space="preserve"> individual has consented to the use or disclosure of the information; or</w:t>
      </w:r>
    </w:p>
    <w:p w14:paraId="5EA96C74" w14:textId="77777777" w:rsidR="003C6392" w:rsidRPr="0032318E" w:rsidRDefault="003C6392" w:rsidP="003C6392">
      <w:pPr>
        <w:pStyle w:val="Quote3"/>
        <w:ind w:left="2880" w:hanging="720"/>
      </w:pPr>
      <w:r w:rsidRPr="0032318E">
        <w:t>(b)</w:t>
      </w:r>
      <w:r w:rsidRPr="0032318E">
        <w:tab/>
      </w:r>
      <w:proofErr w:type="gramStart"/>
      <w:r w:rsidRPr="0032318E">
        <w:t>subclause</w:t>
      </w:r>
      <w:proofErr w:type="gramEnd"/>
      <w:r w:rsidRPr="0032318E">
        <w:t> 6.2 or 6.3 applies in relation to the use or disclosure of the information.</w:t>
      </w:r>
    </w:p>
    <w:p w14:paraId="24B28FBC" w14:textId="77777777" w:rsidR="003C6392" w:rsidRPr="00FF5C34" w:rsidRDefault="003C6392" w:rsidP="003C6392">
      <w:pPr>
        <w:pStyle w:val="Quote3"/>
        <w:ind w:left="2880" w:hanging="720"/>
        <w:rPr>
          <w:sz w:val="18"/>
        </w:rPr>
      </w:pPr>
      <w:r w:rsidRPr="00FF5C34">
        <w:rPr>
          <w:sz w:val="18"/>
        </w:rPr>
        <w:t>Note:</w:t>
      </w:r>
      <w:r w:rsidRPr="00FF5C34">
        <w:rPr>
          <w:sz w:val="18"/>
        </w:rPr>
        <w:tab/>
        <w:t>Australian Privacy Principle 8 sets out requirements for the disclosure of personal information to a person who is not in Australia or an external Territory.</w:t>
      </w:r>
    </w:p>
    <w:p w14:paraId="7140E0DB" w14:textId="77777777" w:rsidR="003C6392" w:rsidRPr="0032318E" w:rsidRDefault="003C6392" w:rsidP="003C6392">
      <w:pPr>
        <w:pStyle w:val="Quote2"/>
        <w:ind w:left="2160" w:hanging="720"/>
      </w:pPr>
      <w:r w:rsidRPr="0032318E">
        <w:t>6.2</w:t>
      </w:r>
      <w:r w:rsidRPr="0032318E">
        <w:tab/>
        <w:t>This subclause applies in relation to the use or disclosure of personal information about an individual if:</w:t>
      </w:r>
    </w:p>
    <w:p w14:paraId="60FF2F49" w14:textId="77777777" w:rsidR="003C6392" w:rsidRPr="0032318E" w:rsidRDefault="003C6392" w:rsidP="003C6392">
      <w:pPr>
        <w:pStyle w:val="Quote3"/>
        <w:ind w:left="2880" w:hanging="720"/>
      </w:pPr>
      <w:r w:rsidRPr="0032318E">
        <w:t>(a)</w:t>
      </w:r>
      <w:r w:rsidRPr="0032318E">
        <w:tab/>
      </w:r>
      <w:proofErr w:type="gramStart"/>
      <w:r w:rsidRPr="0032318E">
        <w:t>the</w:t>
      </w:r>
      <w:proofErr w:type="gramEnd"/>
      <w:r w:rsidRPr="0032318E">
        <w:t xml:space="preserve"> individual would reasonably expect the APP entity to use or disclose the information for the secondary purpose and the secondary purpose is:</w:t>
      </w:r>
    </w:p>
    <w:p w14:paraId="38C5FBEE" w14:textId="77777777" w:rsidR="003C6392" w:rsidRPr="0032318E" w:rsidRDefault="003C6392" w:rsidP="003C6392">
      <w:pPr>
        <w:pStyle w:val="Quote4"/>
        <w:ind w:left="3600" w:hanging="720"/>
      </w:pPr>
      <w:r w:rsidRPr="0032318E">
        <w:t>(</w:t>
      </w:r>
      <w:proofErr w:type="spellStart"/>
      <w:r w:rsidRPr="0032318E">
        <w:t>i</w:t>
      </w:r>
      <w:proofErr w:type="spellEnd"/>
      <w:r w:rsidRPr="0032318E">
        <w:t>)</w:t>
      </w:r>
      <w:r w:rsidRPr="0032318E">
        <w:tab/>
      </w:r>
      <w:proofErr w:type="gramStart"/>
      <w:r w:rsidRPr="0032318E">
        <w:t>if</w:t>
      </w:r>
      <w:proofErr w:type="gramEnd"/>
      <w:r w:rsidRPr="0032318E">
        <w:t xml:space="preserve"> the information is sensitive information—directly related to the primary purpose; or</w:t>
      </w:r>
    </w:p>
    <w:p w14:paraId="1E5EAF55" w14:textId="77777777" w:rsidR="003C6392" w:rsidRPr="0032318E" w:rsidRDefault="003C6392" w:rsidP="003C6392">
      <w:pPr>
        <w:pStyle w:val="Quote4"/>
        <w:ind w:left="3600" w:hanging="720"/>
      </w:pPr>
      <w:r w:rsidRPr="0032318E">
        <w:t>(ii)</w:t>
      </w:r>
      <w:r w:rsidRPr="0032318E">
        <w:tab/>
      </w:r>
      <w:proofErr w:type="gramStart"/>
      <w:r w:rsidRPr="0032318E">
        <w:t>if</w:t>
      </w:r>
      <w:proofErr w:type="gramEnd"/>
      <w:r w:rsidRPr="0032318E">
        <w:t xml:space="preserve"> the information is not sensitive information—related to the primary purpose; or</w:t>
      </w:r>
    </w:p>
    <w:p w14:paraId="31790980" w14:textId="77777777" w:rsidR="003C6392" w:rsidRPr="0032318E" w:rsidRDefault="003C6392" w:rsidP="003C6392">
      <w:pPr>
        <w:pStyle w:val="Quote3"/>
        <w:ind w:left="2880" w:hanging="720"/>
      </w:pPr>
      <w:r w:rsidRPr="0032318E">
        <w:t>(b)</w:t>
      </w:r>
      <w:r w:rsidRPr="0032318E">
        <w:tab/>
      </w:r>
      <w:proofErr w:type="gramStart"/>
      <w:r w:rsidRPr="0032318E">
        <w:t>the</w:t>
      </w:r>
      <w:proofErr w:type="gramEnd"/>
      <w:r w:rsidRPr="0032318E">
        <w:t xml:space="preserve"> use or disclosure of the information is required or authorised by or under an Australian law or a court/tribunal order; or</w:t>
      </w:r>
    </w:p>
    <w:p w14:paraId="0B6E4121" w14:textId="77777777" w:rsidR="003C6392" w:rsidRPr="0032318E" w:rsidRDefault="003C6392" w:rsidP="003C6392">
      <w:pPr>
        <w:pStyle w:val="Quote3"/>
        <w:ind w:left="2880" w:hanging="720"/>
      </w:pPr>
      <w:r w:rsidRPr="0032318E">
        <w:t>(c)</w:t>
      </w:r>
      <w:r w:rsidRPr="0032318E">
        <w:tab/>
      </w:r>
      <w:proofErr w:type="gramStart"/>
      <w:r w:rsidRPr="0032318E">
        <w:t>a</w:t>
      </w:r>
      <w:proofErr w:type="gramEnd"/>
      <w:r w:rsidRPr="0032318E">
        <w:t xml:space="preserve"> permitted general situation exists in relation to the use or disclosure of the information by the APP entity; or</w:t>
      </w:r>
    </w:p>
    <w:p w14:paraId="1FC5495C" w14:textId="77777777" w:rsidR="003C6392" w:rsidRPr="0032318E" w:rsidRDefault="003C6392" w:rsidP="003C6392">
      <w:pPr>
        <w:pStyle w:val="Quote3"/>
        <w:ind w:left="2880" w:hanging="720"/>
      </w:pPr>
      <w:r w:rsidRPr="0032318E">
        <w:t>(d)</w:t>
      </w:r>
      <w:r w:rsidRPr="0032318E">
        <w:tab/>
      </w:r>
      <w:proofErr w:type="gramStart"/>
      <w:r w:rsidRPr="0032318E">
        <w:t>the</w:t>
      </w:r>
      <w:proofErr w:type="gramEnd"/>
      <w:r w:rsidRPr="0032318E">
        <w:t xml:space="preserve"> APP entity is an organisation and a permitted health situation exists in relation to the use or disclosure of the information by the entity; or</w:t>
      </w:r>
    </w:p>
    <w:p w14:paraId="6E9C1500" w14:textId="77777777" w:rsidR="003C6392" w:rsidRPr="0032318E" w:rsidRDefault="003C6392" w:rsidP="003C6392">
      <w:pPr>
        <w:pStyle w:val="Quote3"/>
        <w:ind w:left="2880" w:hanging="720"/>
      </w:pPr>
      <w:r w:rsidRPr="0032318E">
        <w:t>(e)</w:t>
      </w:r>
      <w:r w:rsidRPr="0032318E">
        <w:tab/>
      </w:r>
      <w:proofErr w:type="gramStart"/>
      <w:r w:rsidRPr="0032318E">
        <w:t>the</w:t>
      </w:r>
      <w:proofErr w:type="gramEnd"/>
      <w:r w:rsidRPr="0032318E">
        <w:t xml:space="preserve"> APP entity reasonably believes that the use or disclosure of the information is reasonably necessary for one or more </w:t>
      </w:r>
      <w:r w:rsidRPr="0032318E">
        <w:lastRenderedPageBreak/>
        <w:t>enforcement related activities conducted by, or on behalf of, an enforcement body.</w:t>
      </w:r>
    </w:p>
    <w:p w14:paraId="74DEA53F" w14:textId="77777777" w:rsidR="003C6392" w:rsidRPr="00FF5C34" w:rsidRDefault="003C6392" w:rsidP="003C6392">
      <w:pPr>
        <w:pStyle w:val="Quote3"/>
        <w:ind w:left="2880" w:hanging="720"/>
        <w:rPr>
          <w:sz w:val="18"/>
        </w:rPr>
      </w:pPr>
      <w:r w:rsidRPr="00FF5C34">
        <w:rPr>
          <w:sz w:val="18"/>
        </w:rPr>
        <w:t>Note:</w:t>
      </w:r>
      <w:r w:rsidRPr="00FF5C34">
        <w:rPr>
          <w:sz w:val="18"/>
        </w:rPr>
        <w:tab/>
        <w:t xml:space="preserve">For </w:t>
      </w:r>
      <w:r w:rsidRPr="00FF5C34">
        <w:rPr>
          <w:b/>
          <w:i/>
          <w:sz w:val="18"/>
        </w:rPr>
        <w:t>permitted general situation,</w:t>
      </w:r>
      <w:r w:rsidRPr="00FF5C34">
        <w:rPr>
          <w:sz w:val="18"/>
        </w:rPr>
        <w:t xml:space="preserve"> see section 16A. For </w:t>
      </w:r>
      <w:r w:rsidRPr="00FF5C34">
        <w:rPr>
          <w:b/>
          <w:i/>
          <w:sz w:val="18"/>
        </w:rPr>
        <w:t>permitted health situation</w:t>
      </w:r>
      <w:r w:rsidRPr="00FF5C34">
        <w:rPr>
          <w:sz w:val="18"/>
        </w:rPr>
        <w:t>, see section 16B.</w:t>
      </w:r>
    </w:p>
    <w:p w14:paraId="1C7652A8" w14:textId="77777777" w:rsidR="00965724" w:rsidRPr="0032318E" w:rsidRDefault="003C6392" w:rsidP="00965724">
      <w:pPr>
        <w:pStyle w:val="Quote1"/>
      </w:pPr>
      <w:r>
        <w:t>(Emphasis in original.)</w:t>
      </w:r>
    </w:p>
    <w:p w14:paraId="024DB8BF" w14:textId="77777777" w:rsidR="006B507A" w:rsidRDefault="006B507A" w:rsidP="006B507A">
      <w:pPr>
        <w:pStyle w:val="Heading2"/>
      </w:pPr>
      <w:r>
        <w:t>Grounds 2</w:t>
      </w:r>
      <w:r w:rsidR="00AD5EAC">
        <w:t xml:space="preserve"> </w:t>
      </w:r>
      <w:r>
        <w:t>and 4</w:t>
      </w:r>
    </w:p>
    <w:p w14:paraId="7AB53653" w14:textId="4E6F796C" w:rsidR="000A345E" w:rsidRDefault="003C6392" w:rsidP="00CD1346">
      <w:pPr>
        <w:pStyle w:val="ParaNumbering"/>
      </w:pPr>
      <w:r>
        <w:t>It is convenient to deal first with Ms McEwan</w:t>
      </w:r>
      <w:r w:rsidR="008F108A">
        <w:t>’</w:t>
      </w:r>
      <w:r w:rsidR="00F203BB">
        <w:t>s second and fourth g</w:t>
      </w:r>
      <w:r>
        <w:t>rounds of appeal, which challenge the primary judge’s construction of s 355-50. Unless Ms McEwan succeeds on these grounds, the appeal must fail.</w:t>
      </w:r>
    </w:p>
    <w:p w14:paraId="14F1FE2D" w14:textId="03FBD1C8" w:rsidR="000D6E9C" w:rsidRDefault="003C6392" w:rsidP="003C6392">
      <w:pPr>
        <w:pStyle w:val="ParaNumbering"/>
      </w:pPr>
      <w:r>
        <w:t xml:space="preserve">The proper construction of  s 355-50 of </w:t>
      </w:r>
      <w:proofErr w:type="spellStart"/>
      <w:r>
        <w:t>Sch</w:t>
      </w:r>
      <w:proofErr w:type="spellEnd"/>
      <w:r>
        <w:t xml:space="preserve"> 1 to the </w:t>
      </w:r>
      <w:r w:rsidRPr="00594E60">
        <w:t>TAA</w:t>
      </w:r>
      <w:r w:rsidRPr="000D6E9C">
        <w:rPr>
          <w:i/>
        </w:rPr>
        <w:t xml:space="preserve"> </w:t>
      </w:r>
      <w:r>
        <w:t>is dependent, first and foremost, on the text adopted by Parliament but also on the context in which that provision appears and the evident scope and subject matter o</w:t>
      </w:r>
      <w:r w:rsidR="000D6E9C">
        <w:t>f the provision in that context:</w:t>
      </w:r>
      <w:r w:rsidR="000D6E9C" w:rsidRPr="000D6E9C">
        <w:t xml:space="preserve"> see, in particular, s 15AA of the </w:t>
      </w:r>
      <w:r w:rsidR="000D6E9C" w:rsidRPr="000D6E9C">
        <w:rPr>
          <w:i/>
        </w:rPr>
        <w:t>Acts Interpretation Act 1901</w:t>
      </w:r>
      <w:r w:rsidR="000D6E9C" w:rsidRPr="000D6E9C">
        <w:t xml:space="preserve"> (</w:t>
      </w:r>
      <w:proofErr w:type="spellStart"/>
      <w:r w:rsidR="000D6E9C" w:rsidRPr="000D6E9C">
        <w:t>Cth</w:t>
      </w:r>
      <w:proofErr w:type="spellEnd"/>
      <w:r w:rsidR="000D6E9C" w:rsidRPr="000D6E9C">
        <w:t xml:space="preserve">); </w:t>
      </w:r>
      <w:r w:rsidR="000D6E9C" w:rsidRPr="009C36D5">
        <w:rPr>
          <w:i/>
          <w:iCs/>
        </w:rPr>
        <w:t xml:space="preserve">Project Blue Sky </w:t>
      </w:r>
      <w:proofErr w:type="spellStart"/>
      <w:r w:rsidR="000D6E9C" w:rsidRPr="009C36D5">
        <w:rPr>
          <w:i/>
          <w:iCs/>
        </w:rPr>
        <w:t>Inc</w:t>
      </w:r>
      <w:proofErr w:type="spellEnd"/>
      <w:r w:rsidR="000D6E9C" w:rsidRPr="009C36D5">
        <w:rPr>
          <w:i/>
          <w:iCs/>
        </w:rPr>
        <w:t xml:space="preserve"> v Australian Broadcasting Authority </w:t>
      </w:r>
      <w:r w:rsidR="000D6E9C" w:rsidRPr="009C36D5">
        <w:t>[1998] HCA 28; (1998) 194 CLR 355</w:t>
      </w:r>
      <w:r w:rsidR="000D6E9C" w:rsidRPr="000D6E9C">
        <w:t xml:space="preserve"> at [69]; </w:t>
      </w:r>
      <w:r w:rsidR="000D6E9C" w:rsidRPr="009C36D5">
        <w:rPr>
          <w:i/>
        </w:rPr>
        <w:t>Commissioner of Taxation v Consolidated Media Holdings Ltd</w:t>
      </w:r>
      <w:r w:rsidR="000D6E9C" w:rsidRPr="009C36D5">
        <w:rPr>
          <w:i/>
          <w:iCs/>
          <w:lang w:val="en"/>
        </w:rPr>
        <w:t xml:space="preserve"> </w:t>
      </w:r>
      <w:r w:rsidR="000D6E9C" w:rsidRPr="009C36D5">
        <w:rPr>
          <w:iCs/>
          <w:lang w:val="en"/>
        </w:rPr>
        <w:t xml:space="preserve">[2012] HCA 55; </w:t>
      </w:r>
      <w:r w:rsidR="000D6E9C" w:rsidRPr="009C36D5">
        <w:t>(2012) 250 CLR 503</w:t>
      </w:r>
      <w:r w:rsidR="000D6E9C" w:rsidRPr="000D6E9C">
        <w:t xml:space="preserve"> at [39]; </w:t>
      </w:r>
      <w:r w:rsidR="000D6E9C" w:rsidRPr="009C36D5">
        <w:rPr>
          <w:i/>
        </w:rPr>
        <w:t xml:space="preserve">Certain Lloyd’s Underwriters v Cross </w:t>
      </w:r>
      <w:r w:rsidR="000D6E9C" w:rsidRPr="009C36D5">
        <w:rPr>
          <w:rFonts w:hint="eastAsia"/>
          <w:lang w:val="en"/>
        </w:rPr>
        <w:t>[2012] HCA 56;</w:t>
      </w:r>
      <w:r w:rsidR="000D6E9C" w:rsidRPr="009C36D5">
        <w:t xml:space="preserve"> (2012) 248 CLR 378 </w:t>
      </w:r>
      <w:r w:rsidR="000D6E9C" w:rsidRPr="000D6E9C">
        <w:t xml:space="preserve">at [25]-[26]; </w:t>
      </w:r>
      <w:r w:rsidR="000D6E9C" w:rsidRPr="009C36D5">
        <w:rPr>
          <w:i/>
        </w:rPr>
        <w:t>SZTAL v Minister for Immigration and Border Protection</w:t>
      </w:r>
      <w:r w:rsidR="000D6E9C" w:rsidRPr="009C36D5">
        <w:t xml:space="preserve"> [2017] HCA 34; (2017) 262 CLR 362</w:t>
      </w:r>
      <w:r w:rsidR="000D6E9C" w:rsidRPr="000D6E9C">
        <w:t xml:space="preserve"> at [14].</w:t>
      </w:r>
    </w:p>
    <w:p w14:paraId="22B0BDAB" w14:textId="77777777" w:rsidR="003C6392" w:rsidRDefault="000D6E9C" w:rsidP="003C6392">
      <w:pPr>
        <w:pStyle w:val="ParaNumbering"/>
      </w:pPr>
      <w:r>
        <w:t>I</w:t>
      </w:r>
      <w:r w:rsidR="003C6392">
        <w:t xml:space="preserve">t is </w:t>
      </w:r>
      <w:r>
        <w:t xml:space="preserve">therefore useful </w:t>
      </w:r>
      <w:r w:rsidR="003C6392">
        <w:t xml:space="preserve">to set out not only the text of s 355-50 but also certain other provisions within </w:t>
      </w:r>
      <w:proofErr w:type="spellStart"/>
      <w:r w:rsidR="003C6392">
        <w:t>Ch</w:t>
      </w:r>
      <w:proofErr w:type="spellEnd"/>
      <w:r w:rsidR="003C6392">
        <w:t xml:space="preserve"> 5, Pt 5.1, </w:t>
      </w:r>
      <w:proofErr w:type="spellStart"/>
      <w:r w:rsidR="003C6392">
        <w:t>subdiv</w:t>
      </w:r>
      <w:proofErr w:type="spellEnd"/>
      <w:r w:rsidR="003C6392">
        <w:t xml:space="preserve"> 355-B, disclosure of protected information by taxation officers in </w:t>
      </w:r>
      <w:proofErr w:type="spellStart"/>
      <w:r>
        <w:t>S</w:t>
      </w:r>
      <w:r w:rsidR="003C6392">
        <w:t>ch</w:t>
      </w:r>
      <w:proofErr w:type="spellEnd"/>
      <w:r w:rsidR="003C6392">
        <w:t xml:space="preserve"> 1 to the</w:t>
      </w:r>
      <w:r>
        <w:t xml:space="preserve"> </w:t>
      </w:r>
      <w:r w:rsidRPr="00594E60">
        <w:t>TAA</w:t>
      </w:r>
      <w:r w:rsidR="003C6392">
        <w:t>:</w:t>
      </w:r>
    </w:p>
    <w:p w14:paraId="7169213C" w14:textId="77777777" w:rsidR="003C6392" w:rsidRPr="00053672" w:rsidRDefault="003C6392" w:rsidP="003C6392">
      <w:pPr>
        <w:pStyle w:val="Quote1"/>
        <w:rPr>
          <w:b/>
        </w:rPr>
      </w:pPr>
      <w:r>
        <w:rPr>
          <w:b/>
        </w:rPr>
        <w:t xml:space="preserve">Subdivision 355-B – </w:t>
      </w:r>
      <w:r w:rsidRPr="00053672">
        <w:rPr>
          <w:b/>
        </w:rPr>
        <w:t xml:space="preserve">Disclosure of protected information by taxation officers </w:t>
      </w:r>
    </w:p>
    <w:p w14:paraId="692CEC03" w14:textId="77777777" w:rsidR="003C6392" w:rsidRPr="00053672" w:rsidRDefault="003C6392" w:rsidP="003C6392">
      <w:pPr>
        <w:pStyle w:val="Quote1"/>
        <w:rPr>
          <w:b/>
        </w:rPr>
      </w:pPr>
      <w:r w:rsidRPr="00053672">
        <w:rPr>
          <w:b/>
        </w:rPr>
        <w:t>Guide to Subdivision 355-B</w:t>
      </w:r>
    </w:p>
    <w:p w14:paraId="7B671A9C" w14:textId="77777777" w:rsidR="003C6392" w:rsidRPr="00053672" w:rsidRDefault="003C6392" w:rsidP="003C6392">
      <w:pPr>
        <w:pStyle w:val="Quote1"/>
        <w:ind w:left="1457" w:hanging="720"/>
        <w:rPr>
          <w:b/>
        </w:rPr>
      </w:pPr>
      <w:r w:rsidRPr="00053672">
        <w:rPr>
          <w:b/>
        </w:rPr>
        <w:t>355-20</w:t>
      </w:r>
      <w:r w:rsidRPr="00053672">
        <w:rPr>
          <w:b/>
        </w:rPr>
        <w:tab/>
        <w:t xml:space="preserve">What this Subdivision is about </w:t>
      </w:r>
    </w:p>
    <w:p w14:paraId="3D74C59D" w14:textId="77777777" w:rsidR="003C6392" w:rsidRDefault="003C6392" w:rsidP="003C6392">
      <w:pPr>
        <w:pStyle w:val="Quote1"/>
      </w:pPr>
      <w:r w:rsidRPr="002E7341">
        <w:t>The main protection for taxpayer confidentiality is in this Subdivision. It is an offence for taxation officers to disclose tax information that identifies an entity, or is reasonably capable of being used to identify an entity, except in certain specified circumstances.</w:t>
      </w:r>
    </w:p>
    <w:p w14:paraId="43CDE416" w14:textId="77777777" w:rsidR="003C6392" w:rsidRPr="00060ADA" w:rsidRDefault="003C6392" w:rsidP="00AD3D8F">
      <w:pPr>
        <w:pStyle w:val="Quote1"/>
        <w:widowControl/>
        <w:rPr>
          <w:b/>
        </w:rPr>
      </w:pPr>
      <w:r w:rsidRPr="00060ADA">
        <w:rPr>
          <w:b/>
        </w:rPr>
        <w:t>Table of sections</w:t>
      </w:r>
    </w:p>
    <w:p w14:paraId="4CB407D8" w14:textId="77777777" w:rsidR="003C6392" w:rsidRPr="00FF5C34" w:rsidRDefault="003C6392" w:rsidP="00AD3D8F">
      <w:pPr>
        <w:pStyle w:val="Quote2"/>
      </w:pPr>
      <w:r w:rsidRPr="00FF5C34">
        <w:t>Operative provisions</w:t>
      </w:r>
    </w:p>
    <w:p w14:paraId="319DB9DE" w14:textId="77777777" w:rsidR="003C6392" w:rsidRPr="00FF5C34" w:rsidRDefault="003C6392" w:rsidP="00AD3D8F">
      <w:pPr>
        <w:pStyle w:val="Quote2"/>
      </w:pPr>
      <w:r w:rsidRPr="00FF5C34">
        <w:t>355-25</w:t>
      </w:r>
      <w:r w:rsidRPr="00FF5C34">
        <w:tab/>
        <w:t>Offence—disclosure of protected information by taxation officers</w:t>
      </w:r>
    </w:p>
    <w:p w14:paraId="0AF04FAB" w14:textId="77777777" w:rsidR="003C6392" w:rsidRPr="00FF5C34" w:rsidRDefault="003C6392" w:rsidP="00AD3D8F">
      <w:pPr>
        <w:pStyle w:val="Quote2"/>
      </w:pPr>
      <w:r w:rsidRPr="00FF5C34">
        <w:t>355-30</w:t>
      </w:r>
      <w:r w:rsidRPr="00FF5C34">
        <w:tab/>
        <w:t xml:space="preserve">Meaning of </w:t>
      </w:r>
      <w:r w:rsidRPr="00FF5C34">
        <w:rPr>
          <w:i/>
        </w:rPr>
        <w:t>protected information</w:t>
      </w:r>
      <w:r w:rsidRPr="00FF5C34">
        <w:t xml:space="preserve"> and </w:t>
      </w:r>
      <w:r w:rsidRPr="00FF5C34">
        <w:rPr>
          <w:i/>
        </w:rPr>
        <w:t>taxation officer</w:t>
      </w:r>
    </w:p>
    <w:p w14:paraId="402D1AAE" w14:textId="77777777" w:rsidR="003C6392" w:rsidRPr="00FF5C34" w:rsidRDefault="003C6392" w:rsidP="00AD3D8F">
      <w:pPr>
        <w:pStyle w:val="Quote2"/>
      </w:pPr>
      <w:r w:rsidRPr="00FF5C34">
        <w:t>355-35</w:t>
      </w:r>
      <w:r w:rsidRPr="00FF5C34">
        <w:tab/>
        <w:t>Consent is not a defence</w:t>
      </w:r>
    </w:p>
    <w:p w14:paraId="1D654A99" w14:textId="77777777" w:rsidR="003C6392" w:rsidRPr="00FF5C34" w:rsidRDefault="003C6392" w:rsidP="00AD3D8F">
      <w:pPr>
        <w:pStyle w:val="Quote2"/>
      </w:pPr>
      <w:r w:rsidRPr="00FF5C34">
        <w:t>355-40</w:t>
      </w:r>
      <w:r w:rsidRPr="00FF5C34">
        <w:tab/>
        <w:t>Generality of Subdivision not limited</w:t>
      </w:r>
    </w:p>
    <w:p w14:paraId="51EB8AB3" w14:textId="77777777" w:rsidR="003C6392" w:rsidRPr="00FF5C34" w:rsidRDefault="000D6E9C" w:rsidP="00AD3D8F">
      <w:pPr>
        <w:pStyle w:val="Quote2"/>
      </w:pPr>
      <w:r w:rsidRPr="00FF5C34">
        <w:lastRenderedPageBreak/>
        <w:t>…</w:t>
      </w:r>
    </w:p>
    <w:p w14:paraId="5434DAEE" w14:textId="77777777" w:rsidR="003C6392" w:rsidRPr="00FF5C34" w:rsidRDefault="003C6392" w:rsidP="00AD3D8F">
      <w:pPr>
        <w:pStyle w:val="Quote2"/>
      </w:pPr>
      <w:r w:rsidRPr="00FF5C34">
        <w:t>355-50</w:t>
      </w:r>
      <w:r w:rsidRPr="00FF5C34">
        <w:tab/>
        <w:t>Exception—disclosure in performing duties</w:t>
      </w:r>
    </w:p>
    <w:p w14:paraId="0ABFB781" w14:textId="77777777" w:rsidR="003C6392" w:rsidRPr="00FF5C34" w:rsidRDefault="003C6392" w:rsidP="00AD3D8F">
      <w:pPr>
        <w:pStyle w:val="Quote2"/>
      </w:pPr>
      <w:r w:rsidRPr="00FF5C34">
        <w:t>355-55</w:t>
      </w:r>
      <w:r w:rsidRPr="00FF5C34">
        <w:tab/>
        <w:t>Exception—disclosure to Ministers</w:t>
      </w:r>
    </w:p>
    <w:p w14:paraId="77EF7792" w14:textId="77777777" w:rsidR="003C6392" w:rsidRPr="002E7341" w:rsidRDefault="000D6E9C" w:rsidP="00FF5C34">
      <w:pPr>
        <w:pStyle w:val="Quote1"/>
        <w:ind w:left="1440"/>
      </w:pPr>
      <w:r w:rsidRPr="00FF5C34">
        <w:rPr>
          <w:sz w:val="20"/>
        </w:rPr>
        <w:t>…</w:t>
      </w:r>
    </w:p>
    <w:p w14:paraId="38CB2695" w14:textId="77777777" w:rsidR="003C6392" w:rsidRPr="00053672" w:rsidRDefault="003C6392" w:rsidP="003C6392">
      <w:pPr>
        <w:pStyle w:val="Quote1"/>
        <w:ind w:left="1457" w:hanging="720"/>
        <w:rPr>
          <w:b/>
        </w:rPr>
      </w:pPr>
      <w:r w:rsidRPr="00053672">
        <w:rPr>
          <w:b/>
        </w:rPr>
        <w:t>Operative provisions</w:t>
      </w:r>
    </w:p>
    <w:p w14:paraId="6493F66C" w14:textId="77777777" w:rsidR="003C6392" w:rsidRPr="00053672" w:rsidRDefault="003C6392" w:rsidP="003C6392">
      <w:pPr>
        <w:pStyle w:val="Quote1"/>
        <w:ind w:left="1457" w:hanging="720"/>
        <w:rPr>
          <w:b/>
        </w:rPr>
      </w:pPr>
      <w:r w:rsidRPr="00053672">
        <w:rPr>
          <w:b/>
        </w:rPr>
        <w:t>355-25</w:t>
      </w:r>
      <w:r w:rsidRPr="00053672">
        <w:rPr>
          <w:b/>
        </w:rPr>
        <w:tab/>
        <w:t>Offence</w:t>
      </w:r>
      <w:r>
        <w:rPr>
          <w:b/>
        </w:rPr>
        <w:t xml:space="preserve"> – </w:t>
      </w:r>
      <w:r w:rsidRPr="00053672">
        <w:rPr>
          <w:b/>
        </w:rPr>
        <w:t>disclosure of protected information by taxation officers</w:t>
      </w:r>
    </w:p>
    <w:p w14:paraId="1B617457" w14:textId="77777777" w:rsidR="003C6392" w:rsidRDefault="003C6392" w:rsidP="003C6392">
      <w:pPr>
        <w:pStyle w:val="Quote1"/>
        <w:ind w:left="1457" w:hanging="720"/>
      </w:pPr>
      <w:r>
        <w:t>(1)</w:t>
      </w:r>
      <w:r>
        <w:tab/>
        <w:t>An entity commits an offence if:</w:t>
      </w:r>
    </w:p>
    <w:p w14:paraId="04B8DEB0" w14:textId="77777777" w:rsidR="003C6392" w:rsidRDefault="003C6392" w:rsidP="003C6392">
      <w:pPr>
        <w:pStyle w:val="Quote2"/>
      </w:pPr>
      <w:r>
        <w:t>(a)</w:t>
      </w:r>
      <w:r>
        <w:tab/>
      </w:r>
      <w:proofErr w:type="gramStart"/>
      <w:r>
        <w:t>the</w:t>
      </w:r>
      <w:proofErr w:type="gramEnd"/>
      <w:r>
        <w:t xml:space="preserve"> entity is or was a taxation officer; and</w:t>
      </w:r>
    </w:p>
    <w:p w14:paraId="4343B870" w14:textId="77777777" w:rsidR="003C6392" w:rsidRDefault="003C6392" w:rsidP="003C6392">
      <w:pPr>
        <w:pStyle w:val="Quote2"/>
      </w:pPr>
      <w:r>
        <w:t>(b)</w:t>
      </w:r>
      <w:r>
        <w:tab/>
      </w:r>
      <w:proofErr w:type="gramStart"/>
      <w:r>
        <w:t>the</w:t>
      </w:r>
      <w:proofErr w:type="gramEnd"/>
      <w:r>
        <w:t xml:space="preserve"> entity:</w:t>
      </w:r>
    </w:p>
    <w:p w14:paraId="18078ADD" w14:textId="77777777" w:rsidR="003C6392" w:rsidRDefault="003C6392" w:rsidP="003C6392">
      <w:pPr>
        <w:pStyle w:val="Quote3"/>
        <w:ind w:left="2880" w:hanging="720"/>
      </w:pPr>
      <w:r>
        <w:t>(</w:t>
      </w:r>
      <w:proofErr w:type="spellStart"/>
      <w:r>
        <w:t>i</w:t>
      </w:r>
      <w:proofErr w:type="spellEnd"/>
      <w:r>
        <w:t>)</w:t>
      </w:r>
      <w:r>
        <w:tab/>
      </w:r>
      <w:proofErr w:type="gramStart"/>
      <w:r>
        <w:t>makes</w:t>
      </w:r>
      <w:proofErr w:type="gramEnd"/>
      <w:r>
        <w:t xml:space="preserve"> a record of information; or</w:t>
      </w:r>
    </w:p>
    <w:p w14:paraId="74670285" w14:textId="77777777" w:rsidR="003C6392" w:rsidRDefault="003C6392" w:rsidP="003C6392">
      <w:pPr>
        <w:pStyle w:val="Quote3"/>
        <w:ind w:left="2880" w:hanging="720"/>
      </w:pPr>
      <w:r>
        <w:t>(ii)</w:t>
      </w:r>
      <w:r>
        <w:tab/>
      </w:r>
      <w:proofErr w:type="gramStart"/>
      <w:r>
        <w:t>discloses</w:t>
      </w:r>
      <w:proofErr w:type="gramEnd"/>
      <w:r>
        <w:t xml:space="preserve"> information to another entity (other than the entity to whom the information relates or an entity covered by subsection (2)) or to a court or tribunal; and</w:t>
      </w:r>
    </w:p>
    <w:p w14:paraId="2ED89809" w14:textId="77777777" w:rsidR="003C6392" w:rsidRDefault="003C6392" w:rsidP="003C6392">
      <w:pPr>
        <w:pStyle w:val="Quote2"/>
        <w:ind w:left="2160" w:hanging="720"/>
      </w:pPr>
      <w:r>
        <w:t>(c)</w:t>
      </w:r>
      <w:r>
        <w:tab/>
      </w:r>
      <w:proofErr w:type="gramStart"/>
      <w:r>
        <w:t>the</w:t>
      </w:r>
      <w:proofErr w:type="gramEnd"/>
      <w:r>
        <w:t xml:space="preserve"> information is *protected information; and</w:t>
      </w:r>
    </w:p>
    <w:p w14:paraId="464D6484" w14:textId="77777777" w:rsidR="003C6392" w:rsidRDefault="003C6392" w:rsidP="003C6392">
      <w:pPr>
        <w:pStyle w:val="Quote2"/>
        <w:ind w:left="2160" w:hanging="720"/>
      </w:pPr>
      <w:r>
        <w:t>(d)</w:t>
      </w:r>
      <w:r>
        <w:tab/>
      </w:r>
      <w:proofErr w:type="gramStart"/>
      <w:r>
        <w:t>the</w:t>
      </w:r>
      <w:proofErr w:type="gramEnd"/>
      <w:r>
        <w:t xml:space="preserve"> information was acquired by the first-mentioned entity as a taxation officer.</w:t>
      </w:r>
    </w:p>
    <w:p w14:paraId="2215EE3A" w14:textId="77777777" w:rsidR="003C6392" w:rsidRDefault="003C6392" w:rsidP="00FF5C34">
      <w:pPr>
        <w:pStyle w:val="Quote1"/>
        <w:ind w:left="1457" w:hanging="17"/>
      </w:pPr>
      <w:r>
        <w:t>Penalty:  Imprisonment for 2 years.</w:t>
      </w:r>
    </w:p>
    <w:p w14:paraId="3E60EB7B" w14:textId="77777777" w:rsidR="003C6392" w:rsidRDefault="003C6392" w:rsidP="003C6392">
      <w:pPr>
        <w:pStyle w:val="Quote1"/>
        <w:ind w:left="1457" w:hanging="720"/>
      </w:pPr>
      <w:r>
        <w:t>(2)</w:t>
      </w:r>
      <w:r>
        <w:tab/>
        <w:t xml:space="preserve">An entity (the </w:t>
      </w:r>
      <w:r w:rsidRPr="00053672">
        <w:rPr>
          <w:b/>
          <w:i/>
        </w:rPr>
        <w:t>covered entity</w:t>
      </w:r>
      <w:r>
        <w:t xml:space="preserve">) is covered by this subsection in relation to protected information that relates to another entity (the </w:t>
      </w:r>
      <w:r w:rsidRPr="00F325CC">
        <w:rPr>
          <w:b/>
          <w:i/>
        </w:rPr>
        <w:t>primary</w:t>
      </w:r>
      <w:r>
        <w:t xml:space="preserve"> </w:t>
      </w:r>
      <w:r w:rsidRPr="00053672">
        <w:rPr>
          <w:b/>
          <w:i/>
        </w:rPr>
        <w:t>entity</w:t>
      </w:r>
      <w:r>
        <w:t>) if:</w:t>
      </w:r>
    </w:p>
    <w:p w14:paraId="2736A14E" w14:textId="77777777" w:rsidR="003C6392" w:rsidRDefault="003C6392" w:rsidP="003C6392">
      <w:pPr>
        <w:pStyle w:val="Quote2"/>
        <w:ind w:left="2160" w:hanging="720"/>
      </w:pPr>
      <w:r>
        <w:t>(a)</w:t>
      </w:r>
      <w:r>
        <w:tab/>
      </w:r>
      <w:proofErr w:type="gramStart"/>
      <w:r>
        <w:t>the</w:t>
      </w:r>
      <w:proofErr w:type="gramEnd"/>
      <w:r>
        <w:t xml:space="preserve"> covered entity is the primary entity’s registered tax agent or BAS agent; or</w:t>
      </w:r>
    </w:p>
    <w:p w14:paraId="75D6FC15" w14:textId="77777777" w:rsidR="003C6392" w:rsidRDefault="003C6392" w:rsidP="003C6392">
      <w:pPr>
        <w:pStyle w:val="Quote2"/>
        <w:ind w:left="2160" w:hanging="720"/>
      </w:pPr>
      <w:r>
        <w:t>(b)</w:t>
      </w:r>
      <w:r>
        <w:tab/>
        <w:t>the covered entity is a legal practitioner representing the primary entity in relation to the primary entity’s affairs relating to one or more taxation laws; or</w:t>
      </w:r>
    </w:p>
    <w:p w14:paraId="5391AE29" w14:textId="77777777" w:rsidR="003C6392" w:rsidRDefault="003C6392" w:rsidP="003C6392">
      <w:pPr>
        <w:pStyle w:val="Quote2"/>
        <w:ind w:left="2160" w:hanging="720"/>
      </w:pPr>
      <w:r>
        <w:t>(</w:t>
      </w:r>
      <w:proofErr w:type="spellStart"/>
      <w:proofErr w:type="gramStart"/>
      <w:r>
        <w:t>ba</w:t>
      </w:r>
      <w:proofErr w:type="spellEnd"/>
      <w:proofErr w:type="gramEnd"/>
      <w:r>
        <w:t>)</w:t>
      </w:r>
      <w:r>
        <w:tab/>
        <w:t xml:space="preserve">the covered entity is a public officer (within the meaning of section 252 or 252A of the </w:t>
      </w:r>
      <w:r w:rsidRPr="00FF5C34">
        <w:rPr>
          <w:i/>
        </w:rPr>
        <w:t>Income Tax Assessment Act 1936</w:t>
      </w:r>
      <w:r>
        <w:t>) of the primary entity; or</w:t>
      </w:r>
    </w:p>
    <w:p w14:paraId="16D3308A" w14:textId="77777777" w:rsidR="003C6392" w:rsidRDefault="003C6392" w:rsidP="003C6392">
      <w:pPr>
        <w:pStyle w:val="Quote2"/>
        <w:ind w:left="2160" w:hanging="720"/>
      </w:pPr>
      <w:r>
        <w:t>(c)</w:t>
      </w:r>
      <w:r>
        <w:tab/>
      </w:r>
      <w:proofErr w:type="gramStart"/>
      <w:r>
        <w:t>the</w:t>
      </w:r>
      <w:proofErr w:type="gramEnd"/>
      <w:r>
        <w:t xml:space="preserve"> primary entity is an incapacitated entity and the covered entity is a representative of the incapacitated entity; or</w:t>
      </w:r>
    </w:p>
    <w:p w14:paraId="3EF9E936" w14:textId="77777777" w:rsidR="003C6392" w:rsidRDefault="003C6392" w:rsidP="003C6392">
      <w:pPr>
        <w:pStyle w:val="Quote2"/>
        <w:ind w:left="2160" w:hanging="720"/>
      </w:pPr>
      <w:r>
        <w:t>(d)</w:t>
      </w:r>
      <w:r>
        <w:tab/>
      </w:r>
      <w:proofErr w:type="gramStart"/>
      <w:r>
        <w:t>the</w:t>
      </w:r>
      <w:proofErr w:type="gramEnd"/>
      <w:r>
        <w:t xml:space="preserve"> covered entity is the primary entity’s legal personal representative; or</w:t>
      </w:r>
    </w:p>
    <w:p w14:paraId="1474969C" w14:textId="77777777" w:rsidR="003C6392" w:rsidRDefault="003C6392" w:rsidP="003C6392">
      <w:pPr>
        <w:pStyle w:val="Quote2"/>
        <w:ind w:left="2160" w:hanging="720"/>
      </w:pPr>
      <w:r>
        <w:t>(e)</w:t>
      </w:r>
      <w:r>
        <w:tab/>
      </w:r>
      <w:proofErr w:type="gramStart"/>
      <w:r>
        <w:t>the</w:t>
      </w:r>
      <w:proofErr w:type="gramEnd"/>
      <w:r>
        <w:t xml:space="preserve"> covered entity is the primary entity's guardian where the primary entity is a minor or suffers from mental incapacity; or</w:t>
      </w:r>
    </w:p>
    <w:p w14:paraId="57C297EA" w14:textId="77777777" w:rsidR="003C6392" w:rsidRDefault="003C6392" w:rsidP="003C6392">
      <w:pPr>
        <w:pStyle w:val="Quote2"/>
        <w:ind w:left="2160" w:hanging="720"/>
      </w:pPr>
      <w:r>
        <w:t>(f)</w:t>
      </w:r>
      <w:r>
        <w:tab/>
      </w:r>
      <w:proofErr w:type="gramStart"/>
      <w:r>
        <w:t>the</w:t>
      </w:r>
      <w:proofErr w:type="gramEnd"/>
      <w:r>
        <w:t xml:space="preserve"> covered entity and the primary entity are members of the same* consolidated group or MEC group; or</w:t>
      </w:r>
    </w:p>
    <w:p w14:paraId="5F4AE384" w14:textId="77777777" w:rsidR="003C6392" w:rsidRDefault="003C6392" w:rsidP="003C6392">
      <w:pPr>
        <w:pStyle w:val="Quote2"/>
        <w:ind w:left="2160" w:hanging="720"/>
      </w:pPr>
      <w:r>
        <w:t>(g)</w:t>
      </w:r>
      <w:r>
        <w:tab/>
        <w:t>the covered entity is a representative of the primary entity who has been nominated by the primary entity in the approved form to act on that entity’s behalf with respect to protected information; or</w:t>
      </w:r>
    </w:p>
    <w:p w14:paraId="5707344A" w14:textId="77777777" w:rsidR="003C6392" w:rsidRDefault="003C6392" w:rsidP="003C6392">
      <w:pPr>
        <w:pStyle w:val="Quote2"/>
        <w:ind w:left="2160" w:hanging="720"/>
      </w:pPr>
      <w:r>
        <w:lastRenderedPageBreak/>
        <w:t>(h)</w:t>
      </w:r>
      <w:r>
        <w:tab/>
      </w:r>
      <w:proofErr w:type="gramStart"/>
      <w:r>
        <w:t>the</w:t>
      </w:r>
      <w:proofErr w:type="gramEnd"/>
      <w:r>
        <w:t xml:space="preserve"> covered entity is the registered tax agent or BAS agent of another covered entity mentioned in paragraph (c), (d) or (e) in relation to the relevant primary entity mentioned in those paragraphs; or</w:t>
      </w:r>
    </w:p>
    <w:p w14:paraId="4A6DE5F4" w14:textId="77777777" w:rsidR="003C6392" w:rsidRDefault="003C6392" w:rsidP="003C6392">
      <w:pPr>
        <w:pStyle w:val="Quote2"/>
        <w:ind w:left="2160" w:hanging="720"/>
      </w:pPr>
      <w:r>
        <w:t>(</w:t>
      </w:r>
      <w:proofErr w:type="spellStart"/>
      <w:r>
        <w:t>i</w:t>
      </w:r>
      <w:proofErr w:type="spellEnd"/>
      <w:r>
        <w:t>)</w:t>
      </w:r>
      <w:r>
        <w:tab/>
      </w:r>
      <w:proofErr w:type="gramStart"/>
      <w:r>
        <w:t>the</w:t>
      </w:r>
      <w:proofErr w:type="gramEnd"/>
      <w:r>
        <w:t xml:space="preserve"> covered entity is a legal practitioner representing another covered entity mentioned in paragraph (c), (d) or (e) in relation to the affairs of the relevant primary entity mentioned in those paragraphs relating to one or more taxation laws.</w:t>
      </w:r>
    </w:p>
    <w:p w14:paraId="751BB122" w14:textId="77777777" w:rsidR="003C6392" w:rsidRPr="00053672" w:rsidRDefault="003C6392" w:rsidP="003C6392">
      <w:pPr>
        <w:pStyle w:val="Quote1"/>
        <w:rPr>
          <w:b/>
        </w:rPr>
      </w:pPr>
      <w:r w:rsidRPr="00053672">
        <w:rPr>
          <w:b/>
        </w:rPr>
        <w:t xml:space="preserve">355-30 </w:t>
      </w:r>
      <w:r w:rsidRPr="00053672">
        <w:rPr>
          <w:b/>
        </w:rPr>
        <w:tab/>
        <w:t xml:space="preserve">Meaning of </w:t>
      </w:r>
      <w:r w:rsidRPr="00053672">
        <w:rPr>
          <w:b/>
          <w:i/>
        </w:rPr>
        <w:t>protected information</w:t>
      </w:r>
      <w:r w:rsidRPr="00053672">
        <w:rPr>
          <w:b/>
        </w:rPr>
        <w:t xml:space="preserve"> and </w:t>
      </w:r>
      <w:r w:rsidRPr="00053672">
        <w:rPr>
          <w:b/>
          <w:i/>
        </w:rPr>
        <w:t>taxation officer</w:t>
      </w:r>
      <w:r w:rsidRPr="00053672">
        <w:rPr>
          <w:b/>
        </w:rPr>
        <w:t xml:space="preserve"> </w:t>
      </w:r>
    </w:p>
    <w:p w14:paraId="426749FB" w14:textId="77777777" w:rsidR="003C6392" w:rsidRDefault="003C6392" w:rsidP="003C6392">
      <w:pPr>
        <w:pStyle w:val="Quote1"/>
      </w:pPr>
      <w:r>
        <w:t>(1)</w:t>
      </w:r>
      <w:r>
        <w:tab/>
      </w:r>
      <w:r w:rsidRPr="00F325CC">
        <w:rPr>
          <w:b/>
          <w:i/>
        </w:rPr>
        <w:t xml:space="preserve">Protected information </w:t>
      </w:r>
      <w:r>
        <w:t>means information that:</w:t>
      </w:r>
    </w:p>
    <w:p w14:paraId="0F8DF9EE" w14:textId="77777777" w:rsidR="003C6392" w:rsidRDefault="003C6392" w:rsidP="003C6392">
      <w:pPr>
        <w:pStyle w:val="Quote2"/>
        <w:ind w:left="2160" w:hanging="720"/>
      </w:pPr>
      <w:r>
        <w:t>(</w:t>
      </w:r>
      <w:proofErr w:type="gramStart"/>
      <w:r>
        <w:t>a</w:t>
      </w:r>
      <w:proofErr w:type="gramEnd"/>
      <w:r>
        <w:t>)</w:t>
      </w:r>
      <w:r>
        <w:tab/>
        <w:t xml:space="preserve">was disclosed or obtained under or for the purposes of a law that was a taxation law (other than the </w:t>
      </w:r>
      <w:r w:rsidRPr="00F325CC">
        <w:rPr>
          <w:i/>
        </w:rPr>
        <w:t>Tax Agent Services Act 2009</w:t>
      </w:r>
      <w:r>
        <w:t xml:space="preserve">) when the information was disclosed or obtained; and </w:t>
      </w:r>
    </w:p>
    <w:p w14:paraId="54B9C779" w14:textId="77777777" w:rsidR="003C6392" w:rsidRDefault="003C6392" w:rsidP="003C6392">
      <w:pPr>
        <w:pStyle w:val="Quote2"/>
        <w:ind w:left="2160" w:hanging="720"/>
      </w:pPr>
      <w:r>
        <w:t>(b)</w:t>
      </w:r>
      <w:r>
        <w:tab/>
      </w:r>
      <w:proofErr w:type="gramStart"/>
      <w:r>
        <w:t>relates</w:t>
      </w:r>
      <w:proofErr w:type="gramEnd"/>
      <w:r>
        <w:t xml:space="preserve"> to the affairs of an entity; and </w:t>
      </w:r>
    </w:p>
    <w:p w14:paraId="762646A5" w14:textId="77777777" w:rsidR="003C6392" w:rsidRDefault="003C6392" w:rsidP="003C6392">
      <w:pPr>
        <w:pStyle w:val="Quote2"/>
        <w:ind w:left="2160" w:hanging="720"/>
      </w:pPr>
      <w:r>
        <w:t>(c)</w:t>
      </w:r>
      <w:r>
        <w:tab/>
      </w:r>
      <w:proofErr w:type="gramStart"/>
      <w:r>
        <w:t>identifies</w:t>
      </w:r>
      <w:proofErr w:type="gramEnd"/>
      <w:r>
        <w:t>, or is reasonably capable of being used to identify, the entity.</w:t>
      </w:r>
    </w:p>
    <w:p w14:paraId="3571120A" w14:textId="77777777" w:rsidR="003C6392" w:rsidRDefault="003C6392" w:rsidP="00FF5C34">
      <w:pPr>
        <w:pStyle w:val="Quote1"/>
        <w:ind w:left="2160" w:hanging="703"/>
      </w:pPr>
      <w:r w:rsidRPr="00FF5C34">
        <w:rPr>
          <w:sz w:val="18"/>
        </w:rPr>
        <w:t>Note:</w:t>
      </w:r>
      <w:r w:rsidRPr="00FF5C34">
        <w:rPr>
          <w:sz w:val="18"/>
        </w:rPr>
        <w:tab/>
        <w:t>Tax file numbers do not constitute protected information because they are not, by themselves, reasonably capable of being used to identify an entity. For offences relating to tax file numbers, see Subdivision BA of Division 2 of Part III.</w:t>
      </w:r>
    </w:p>
    <w:p w14:paraId="4DCDEB44" w14:textId="77777777" w:rsidR="003C6392" w:rsidRDefault="003C6392" w:rsidP="003C6392">
      <w:pPr>
        <w:pStyle w:val="Quote1"/>
      </w:pPr>
      <w:r>
        <w:t>(2)</w:t>
      </w:r>
      <w:r>
        <w:tab/>
      </w:r>
      <w:r w:rsidRPr="00F325CC">
        <w:rPr>
          <w:b/>
          <w:i/>
        </w:rPr>
        <w:t>Taxation officer</w:t>
      </w:r>
      <w:r>
        <w:t xml:space="preserve"> means:</w:t>
      </w:r>
    </w:p>
    <w:p w14:paraId="6FC75D2D" w14:textId="77777777" w:rsidR="003C6392" w:rsidRDefault="003C6392" w:rsidP="003C6392">
      <w:pPr>
        <w:pStyle w:val="Quote2"/>
        <w:ind w:left="2160" w:hanging="720"/>
      </w:pPr>
      <w:r>
        <w:t>(a)</w:t>
      </w:r>
      <w:r>
        <w:tab/>
      </w:r>
      <w:proofErr w:type="gramStart"/>
      <w:r>
        <w:t>the</w:t>
      </w:r>
      <w:proofErr w:type="gramEnd"/>
      <w:r>
        <w:t xml:space="preserve"> Commissioner or a Second Commissioner; or </w:t>
      </w:r>
    </w:p>
    <w:p w14:paraId="4E4E8082" w14:textId="77777777" w:rsidR="003C6392" w:rsidRDefault="003C6392" w:rsidP="003C6392">
      <w:pPr>
        <w:pStyle w:val="Quote2"/>
        <w:ind w:left="2160" w:hanging="720"/>
      </w:pPr>
      <w:r>
        <w:t>(b)</w:t>
      </w:r>
      <w:r>
        <w:tab/>
      </w:r>
      <w:proofErr w:type="gramStart"/>
      <w:r>
        <w:t>an</w:t>
      </w:r>
      <w:proofErr w:type="gramEnd"/>
      <w:r>
        <w:t xml:space="preserve"> individual appointed or engaged under the </w:t>
      </w:r>
      <w:r w:rsidRPr="00053672">
        <w:rPr>
          <w:i/>
        </w:rPr>
        <w:t>Public Service Act 1999</w:t>
      </w:r>
      <w:r>
        <w:t xml:space="preserve"> and performing duties in the Australian Taxation Office.</w:t>
      </w:r>
    </w:p>
    <w:p w14:paraId="34A4CA21" w14:textId="77777777" w:rsidR="003C6392" w:rsidRDefault="003C6392" w:rsidP="00FF5C34">
      <w:pPr>
        <w:pStyle w:val="Quote1"/>
        <w:ind w:left="2160" w:hanging="703"/>
      </w:pPr>
      <w:r w:rsidRPr="00FF5C34">
        <w:rPr>
          <w:sz w:val="18"/>
        </w:rPr>
        <w:t xml:space="preserve">Note: </w:t>
      </w:r>
      <w:r w:rsidRPr="00FF5C34">
        <w:rPr>
          <w:sz w:val="18"/>
        </w:rPr>
        <w:tab/>
        <w:t xml:space="preserve">This Division applies to certain other entities as if they were taxation officers: see section 355-15. </w:t>
      </w:r>
    </w:p>
    <w:p w14:paraId="30EB11BB" w14:textId="77777777" w:rsidR="003C6392" w:rsidRPr="00053672" w:rsidRDefault="003C6392" w:rsidP="003C6392">
      <w:pPr>
        <w:pStyle w:val="Quote1"/>
        <w:keepNext/>
        <w:ind w:left="1440" w:hanging="703"/>
        <w:rPr>
          <w:b/>
        </w:rPr>
      </w:pPr>
      <w:r w:rsidRPr="00053672">
        <w:rPr>
          <w:b/>
        </w:rPr>
        <w:t>355-35</w:t>
      </w:r>
      <w:r w:rsidRPr="00053672">
        <w:rPr>
          <w:b/>
        </w:rPr>
        <w:tab/>
        <w:t xml:space="preserve">Consent is not a defence </w:t>
      </w:r>
    </w:p>
    <w:p w14:paraId="4514002F" w14:textId="77777777" w:rsidR="003C6392" w:rsidRDefault="003C6392" w:rsidP="003C6392">
      <w:pPr>
        <w:pStyle w:val="Quote1"/>
        <w:keepNext/>
      </w:pPr>
      <w:r>
        <w:t>It is not a defence to a prosecution for an offence against section 355-25 that the entity to whom the information relates has consented to:</w:t>
      </w:r>
    </w:p>
    <w:p w14:paraId="2B57EF54" w14:textId="77777777" w:rsidR="003C6392" w:rsidRDefault="003C6392" w:rsidP="003C6392">
      <w:pPr>
        <w:pStyle w:val="Quote1"/>
      </w:pPr>
      <w:r>
        <w:t>(a)</w:t>
      </w:r>
      <w:r>
        <w:tab/>
      </w:r>
      <w:proofErr w:type="gramStart"/>
      <w:r>
        <w:t>the</w:t>
      </w:r>
      <w:proofErr w:type="gramEnd"/>
      <w:r>
        <w:t xml:space="preserve"> making of the record; or </w:t>
      </w:r>
    </w:p>
    <w:p w14:paraId="678544B4" w14:textId="77777777" w:rsidR="003C6392" w:rsidRDefault="003C6392" w:rsidP="003C6392">
      <w:pPr>
        <w:pStyle w:val="Quote1"/>
      </w:pPr>
      <w:r>
        <w:t>(b)</w:t>
      </w:r>
      <w:r>
        <w:tab/>
      </w:r>
      <w:proofErr w:type="gramStart"/>
      <w:r>
        <w:t>the</w:t>
      </w:r>
      <w:proofErr w:type="gramEnd"/>
      <w:r>
        <w:t xml:space="preserve"> disclosure of the information.</w:t>
      </w:r>
    </w:p>
    <w:p w14:paraId="7EA98966" w14:textId="77777777" w:rsidR="003C6392" w:rsidRPr="00053672" w:rsidRDefault="003C6392" w:rsidP="003C6392">
      <w:pPr>
        <w:pStyle w:val="Quote1"/>
        <w:ind w:left="1440" w:hanging="703"/>
        <w:rPr>
          <w:b/>
        </w:rPr>
      </w:pPr>
      <w:r w:rsidRPr="00053672">
        <w:rPr>
          <w:b/>
        </w:rPr>
        <w:t>355-40</w:t>
      </w:r>
      <w:r w:rsidRPr="00053672">
        <w:rPr>
          <w:b/>
        </w:rPr>
        <w:tab/>
        <w:t xml:space="preserve">Generality of Subdivision not limited </w:t>
      </w:r>
    </w:p>
    <w:p w14:paraId="4909105B" w14:textId="77777777" w:rsidR="003C6392" w:rsidRDefault="003C6392" w:rsidP="003C6392">
      <w:pPr>
        <w:pStyle w:val="Quote1"/>
      </w:pPr>
      <w:r>
        <w:t>Except as provided by section 355-60, nothing in this Subdivision limits the generality of anything else in it.</w:t>
      </w:r>
    </w:p>
    <w:p w14:paraId="7BC54819" w14:textId="77777777" w:rsidR="003C6392" w:rsidRPr="00FF5C34" w:rsidRDefault="003C6392" w:rsidP="003C6392">
      <w:pPr>
        <w:pStyle w:val="Quote1"/>
        <w:ind w:left="1440" w:hanging="703"/>
        <w:rPr>
          <w:sz w:val="18"/>
        </w:rPr>
      </w:pPr>
      <w:r w:rsidRPr="00FF5C34">
        <w:rPr>
          <w:sz w:val="18"/>
        </w:rPr>
        <w:t>Note:</w:t>
      </w:r>
      <w:r w:rsidRPr="00FF5C34">
        <w:rPr>
          <w:sz w:val="18"/>
        </w:rPr>
        <w:tab/>
        <w:t xml:space="preserve">This means that each provision in this Subdivision (other than section 355-60) has an independent operation and is not to be interpreted by reference to any other provision within the Subdivision. </w:t>
      </w:r>
    </w:p>
    <w:p w14:paraId="5A6BED81" w14:textId="77777777" w:rsidR="003C6392" w:rsidRPr="00053672" w:rsidRDefault="003C6392" w:rsidP="003C6392">
      <w:pPr>
        <w:pStyle w:val="Quote1"/>
        <w:ind w:left="1440" w:hanging="703"/>
        <w:rPr>
          <w:b/>
        </w:rPr>
      </w:pPr>
      <w:r>
        <w:rPr>
          <w:b/>
        </w:rPr>
        <w:t>355-</w:t>
      </w:r>
      <w:r w:rsidRPr="00053672">
        <w:rPr>
          <w:b/>
        </w:rPr>
        <w:t>50</w:t>
      </w:r>
      <w:r>
        <w:rPr>
          <w:b/>
        </w:rPr>
        <w:tab/>
      </w:r>
      <w:r w:rsidRPr="00053672">
        <w:rPr>
          <w:b/>
        </w:rPr>
        <w:t>Exception—disclosure in performing duties</w:t>
      </w:r>
    </w:p>
    <w:p w14:paraId="7983429B" w14:textId="77777777" w:rsidR="003C6392" w:rsidRDefault="003C6392" w:rsidP="003C6392">
      <w:pPr>
        <w:pStyle w:val="Quote1"/>
      </w:pPr>
      <w:r>
        <w:t>(1)</w:t>
      </w:r>
      <w:r>
        <w:tab/>
        <w:t>Section 355-25 does not apply if:</w:t>
      </w:r>
    </w:p>
    <w:p w14:paraId="3B9F1EDB" w14:textId="77777777" w:rsidR="003C6392" w:rsidRDefault="003C6392" w:rsidP="003C6392">
      <w:pPr>
        <w:pStyle w:val="Quote2"/>
        <w:ind w:left="2160" w:hanging="720"/>
      </w:pPr>
      <w:r>
        <w:t>(a)</w:t>
      </w:r>
      <w:r>
        <w:tab/>
      </w:r>
      <w:proofErr w:type="gramStart"/>
      <w:r>
        <w:t>the</w:t>
      </w:r>
      <w:proofErr w:type="gramEnd"/>
      <w:r>
        <w:t xml:space="preserve"> entity is a taxation officer; and</w:t>
      </w:r>
    </w:p>
    <w:p w14:paraId="626F9CC9" w14:textId="77777777" w:rsidR="003C6392" w:rsidRDefault="003C6392" w:rsidP="003C6392">
      <w:pPr>
        <w:pStyle w:val="Quote2"/>
        <w:ind w:left="2160" w:hanging="720"/>
      </w:pPr>
      <w:r>
        <w:t>(b)</w:t>
      </w:r>
      <w:r>
        <w:tab/>
      </w:r>
      <w:proofErr w:type="gramStart"/>
      <w:r>
        <w:t>the</w:t>
      </w:r>
      <w:proofErr w:type="gramEnd"/>
      <w:r>
        <w:t xml:space="preserve"> record or disclosure is made in performing the entity’s duties as a taxation officer.</w:t>
      </w:r>
    </w:p>
    <w:p w14:paraId="6EDEB411" w14:textId="77777777" w:rsidR="003C6392" w:rsidRPr="00FF5C34" w:rsidRDefault="003C6392" w:rsidP="00FF5C34">
      <w:pPr>
        <w:pStyle w:val="Quote1"/>
        <w:ind w:left="2160" w:hanging="720"/>
        <w:rPr>
          <w:sz w:val="18"/>
        </w:rPr>
      </w:pPr>
      <w:r w:rsidRPr="00FF5C34">
        <w:rPr>
          <w:sz w:val="18"/>
        </w:rPr>
        <w:lastRenderedPageBreak/>
        <w:t>Note 1:</w:t>
      </w:r>
      <w:r w:rsidRPr="00FF5C34">
        <w:rPr>
          <w:sz w:val="18"/>
        </w:rPr>
        <w:tab/>
        <w:t>A defendant bears an evidential burden in relation to the matters in this subsection: see subsection 13.3(3) of the Criminal Code.</w:t>
      </w:r>
    </w:p>
    <w:p w14:paraId="70AEE357" w14:textId="77777777" w:rsidR="003C6392" w:rsidRDefault="003C6392" w:rsidP="00FF5C34">
      <w:pPr>
        <w:pStyle w:val="Quote1"/>
        <w:ind w:left="2160" w:hanging="720"/>
      </w:pPr>
      <w:r w:rsidRPr="00FF5C34">
        <w:rPr>
          <w:sz w:val="18"/>
        </w:rPr>
        <w:t>Note 2:</w:t>
      </w:r>
      <w:r w:rsidRPr="00FF5C34">
        <w:rPr>
          <w:sz w:val="18"/>
        </w:rPr>
        <w:tab/>
        <w:t>An example of a duty mentioned in paragraph (b) is the duty to make available information under sections 3C, 3E and 3H.</w:t>
      </w:r>
    </w:p>
    <w:p w14:paraId="0054617E" w14:textId="77777777" w:rsidR="003C6392" w:rsidRDefault="003C6392" w:rsidP="003C6392">
      <w:pPr>
        <w:pStyle w:val="Quote1"/>
        <w:ind w:left="1440" w:hanging="703"/>
      </w:pPr>
      <w:r>
        <w:t>(2)</w:t>
      </w:r>
      <w:r>
        <w:tab/>
        <w:t>Without limiting subsection (1), records or disclosures made in performing duties as a taxation officer include those mentioned in the following table:</w:t>
      </w:r>
    </w:p>
    <w:tbl>
      <w:tblPr>
        <w:tblW w:w="7513" w:type="dxa"/>
        <w:tblInd w:w="709" w:type="dxa"/>
        <w:tblLayout w:type="fixed"/>
        <w:tblCellMar>
          <w:left w:w="107" w:type="dxa"/>
          <w:right w:w="107" w:type="dxa"/>
        </w:tblCellMar>
        <w:tblLook w:val="0000" w:firstRow="0" w:lastRow="0" w:firstColumn="0" w:lastColumn="0" w:noHBand="0" w:noVBand="0"/>
      </w:tblPr>
      <w:tblGrid>
        <w:gridCol w:w="709"/>
        <w:gridCol w:w="3118"/>
        <w:gridCol w:w="3686"/>
      </w:tblGrid>
      <w:tr w:rsidR="003C6392" w:rsidRPr="002E7341" w14:paraId="11C17BFB" w14:textId="77777777" w:rsidTr="00355EDA">
        <w:trPr>
          <w:tblHeader/>
        </w:trPr>
        <w:tc>
          <w:tcPr>
            <w:tcW w:w="7513" w:type="dxa"/>
            <w:gridSpan w:val="3"/>
            <w:tcBorders>
              <w:top w:val="single" w:sz="12" w:space="0" w:color="auto"/>
              <w:bottom w:val="single" w:sz="6" w:space="0" w:color="auto"/>
            </w:tcBorders>
            <w:shd w:val="clear" w:color="auto" w:fill="auto"/>
          </w:tcPr>
          <w:p w14:paraId="402CCD01" w14:textId="77777777" w:rsidR="003C6392" w:rsidRPr="00695517" w:rsidRDefault="003C6392" w:rsidP="008409DF">
            <w:pPr>
              <w:pStyle w:val="Small-TableswithinQuotes"/>
              <w:rPr>
                <w:b/>
                <w:sz w:val="20"/>
              </w:rPr>
            </w:pPr>
            <w:bookmarkStart w:id="24" w:name="_GoBack" w:colFirst="0" w:colLast="2"/>
            <w:r w:rsidRPr="00695517">
              <w:rPr>
                <w:b/>
                <w:sz w:val="20"/>
              </w:rPr>
              <w:t>Records or disclosures in performing duties</w:t>
            </w:r>
          </w:p>
        </w:tc>
      </w:tr>
      <w:tr w:rsidR="003C6392" w:rsidRPr="002E7341" w14:paraId="060775BD" w14:textId="77777777" w:rsidTr="0057673C">
        <w:trPr>
          <w:tblHeader/>
        </w:trPr>
        <w:tc>
          <w:tcPr>
            <w:tcW w:w="709" w:type="dxa"/>
            <w:tcBorders>
              <w:top w:val="single" w:sz="6" w:space="0" w:color="auto"/>
              <w:bottom w:val="single" w:sz="12" w:space="0" w:color="auto"/>
            </w:tcBorders>
            <w:shd w:val="clear" w:color="auto" w:fill="auto"/>
          </w:tcPr>
          <w:p w14:paraId="46BDFB2A" w14:textId="77777777" w:rsidR="003C6392" w:rsidRPr="00695517" w:rsidRDefault="003C6392" w:rsidP="008409DF">
            <w:pPr>
              <w:pStyle w:val="Small-TableswithinQuotes"/>
              <w:rPr>
                <w:b/>
                <w:sz w:val="20"/>
              </w:rPr>
            </w:pPr>
            <w:r w:rsidRPr="00695517">
              <w:rPr>
                <w:b/>
                <w:sz w:val="20"/>
              </w:rPr>
              <w:t>Item</w:t>
            </w:r>
          </w:p>
        </w:tc>
        <w:tc>
          <w:tcPr>
            <w:tcW w:w="3118" w:type="dxa"/>
            <w:tcBorders>
              <w:top w:val="single" w:sz="6" w:space="0" w:color="auto"/>
              <w:bottom w:val="single" w:sz="12" w:space="0" w:color="auto"/>
            </w:tcBorders>
            <w:shd w:val="clear" w:color="auto" w:fill="auto"/>
          </w:tcPr>
          <w:p w14:paraId="01594FD4" w14:textId="77777777" w:rsidR="003C6392" w:rsidRPr="00695517" w:rsidRDefault="003C6392" w:rsidP="008409DF">
            <w:pPr>
              <w:pStyle w:val="Small-TableswithinQuotes"/>
              <w:rPr>
                <w:b/>
                <w:sz w:val="20"/>
              </w:rPr>
            </w:pPr>
            <w:r w:rsidRPr="00695517">
              <w:rPr>
                <w:b/>
                <w:sz w:val="20"/>
              </w:rPr>
              <w:t>The record is made for or the disclosure is to ...</w:t>
            </w:r>
          </w:p>
        </w:tc>
        <w:tc>
          <w:tcPr>
            <w:tcW w:w="3686" w:type="dxa"/>
            <w:tcBorders>
              <w:top w:val="single" w:sz="6" w:space="0" w:color="auto"/>
              <w:bottom w:val="single" w:sz="12" w:space="0" w:color="auto"/>
            </w:tcBorders>
            <w:shd w:val="clear" w:color="auto" w:fill="auto"/>
          </w:tcPr>
          <w:p w14:paraId="5A583C20" w14:textId="77777777" w:rsidR="003C6392" w:rsidRPr="00695517" w:rsidRDefault="003C6392" w:rsidP="008409DF">
            <w:pPr>
              <w:pStyle w:val="Small-TableswithinQuotes"/>
              <w:rPr>
                <w:b/>
                <w:sz w:val="20"/>
              </w:rPr>
            </w:pPr>
            <w:r w:rsidRPr="00695517">
              <w:rPr>
                <w:b/>
                <w:sz w:val="20"/>
              </w:rPr>
              <w:t>and the record or disclosure ...</w:t>
            </w:r>
          </w:p>
        </w:tc>
      </w:tr>
      <w:tr w:rsidR="003C6392" w:rsidRPr="002E7341" w14:paraId="0FDAB4E9" w14:textId="77777777" w:rsidTr="00355EDA">
        <w:tc>
          <w:tcPr>
            <w:tcW w:w="709" w:type="dxa"/>
            <w:tcBorders>
              <w:top w:val="single" w:sz="12" w:space="0" w:color="auto"/>
              <w:bottom w:val="single" w:sz="2" w:space="0" w:color="auto"/>
            </w:tcBorders>
            <w:shd w:val="clear" w:color="auto" w:fill="auto"/>
          </w:tcPr>
          <w:p w14:paraId="673C97FE" w14:textId="77777777" w:rsidR="003C6392" w:rsidRPr="00695517" w:rsidRDefault="003C6392" w:rsidP="008409DF">
            <w:pPr>
              <w:pStyle w:val="Small-TableswithinQuotes"/>
              <w:rPr>
                <w:sz w:val="20"/>
              </w:rPr>
            </w:pPr>
            <w:r w:rsidRPr="00695517">
              <w:rPr>
                <w:sz w:val="20"/>
              </w:rPr>
              <w:t>1</w:t>
            </w:r>
          </w:p>
        </w:tc>
        <w:tc>
          <w:tcPr>
            <w:tcW w:w="3118" w:type="dxa"/>
            <w:tcBorders>
              <w:top w:val="single" w:sz="12" w:space="0" w:color="auto"/>
              <w:bottom w:val="single" w:sz="2" w:space="0" w:color="auto"/>
            </w:tcBorders>
            <w:shd w:val="clear" w:color="auto" w:fill="auto"/>
          </w:tcPr>
          <w:p w14:paraId="1A9FDE4A" w14:textId="77777777" w:rsidR="003C6392" w:rsidRPr="00695517" w:rsidRDefault="003C6392" w:rsidP="008409DF">
            <w:pPr>
              <w:pStyle w:val="Small-TableswithinQuotes"/>
              <w:rPr>
                <w:sz w:val="20"/>
              </w:rPr>
            </w:pPr>
            <w:r w:rsidRPr="00695517">
              <w:rPr>
                <w:sz w:val="20"/>
              </w:rPr>
              <w:t>any entity, court or tribunal</w:t>
            </w:r>
          </w:p>
        </w:tc>
        <w:tc>
          <w:tcPr>
            <w:tcW w:w="3686" w:type="dxa"/>
            <w:tcBorders>
              <w:top w:val="single" w:sz="12" w:space="0" w:color="auto"/>
              <w:bottom w:val="single" w:sz="2" w:space="0" w:color="auto"/>
            </w:tcBorders>
            <w:shd w:val="clear" w:color="auto" w:fill="auto"/>
          </w:tcPr>
          <w:p w14:paraId="021F8FC2" w14:textId="77777777" w:rsidR="003C6392" w:rsidRPr="00695517" w:rsidRDefault="003C6392" w:rsidP="008409DF">
            <w:pPr>
              <w:pStyle w:val="Small-TableswithinQuotes"/>
              <w:rPr>
                <w:sz w:val="20"/>
              </w:rPr>
            </w:pPr>
            <w:proofErr w:type="gramStart"/>
            <w:r w:rsidRPr="00695517">
              <w:rPr>
                <w:sz w:val="20"/>
              </w:rPr>
              <w:t>is</w:t>
            </w:r>
            <w:proofErr w:type="gramEnd"/>
            <w:r w:rsidRPr="00695517">
              <w:rPr>
                <w:sz w:val="20"/>
              </w:rPr>
              <w:t xml:space="preserve"> for the purpose of administering any taxation law.</w:t>
            </w:r>
          </w:p>
        </w:tc>
      </w:tr>
      <w:tr w:rsidR="003C6392" w:rsidRPr="002E7341" w14:paraId="63530868" w14:textId="77777777" w:rsidTr="00355EDA">
        <w:tc>
          <w:tcPr>
            <w:tcW w:w="709" w:type="dxa"/>
            <w:tcBorders>
              <w:top w:val="single" w:sz="2" w:space="0" w:color="auto"/>
              <w:bottom w:val="single" w:sz="2" w:space="0" w:color="auto"/>
            </w:tcBorders>
            <w:shd w:val="clear" w:color="auto" w:fill="auto"/>
          </w:tcPr>
          <w:p w14:paraId="545B014C" w14:textId="77777777" w:rsidR="003C6392" w:rsidRPr="00695517" w:rsidRDefault="003C6392" w:rsidP="008409DF">
            <w:pPr>
              <w:pStyle w:val="Small-TableswithinQuotes"/>
              <w:rPr>
                <w:sz w:val="20"/>
              </w:rPr>
            </w:pPr>
            <w:r w:rsidRPr="00695517">
              <w:rPr>
                <w:sz w:val="20"/>
              </w:rPr>
              <w:t>2</w:t>
            </w:r>
          </w:p>
        </w:tc>
        <w:tc>
          <w:tcPr>
            <w:tcW w:w="3118" w:type="dxa"/>
            <w:tcBorders>
              <w:top w:val="single" w:sz="2" w:space="0" w:color="auto"/>
              <w:bottom w:val="single" w:sz="2" w:space="0" w:color="auto"/>
            </w:tcBorders>
            <w:shd w:val="clear" w:color="auto" w:fill="auto"/>
          </w:tcPr>
          <w:p w14:paraId="424DA95C" w14:textId="77777777" w:rsidR="003C6392" w:rsidRPr="00695517" w:rsidRDefault="003C6392" w:rsidP="008409DF">
            <w:pPr>
              <w:pStyle w:val="Small-TableswithinQuotes"/>
              <w:rPr>
                <w:sz w:val="20"/>
              </w:rPr>
            </w:pPr>
            <w:r w:rsidRPr="00695517">
              <w:rPr>
                <w:sz w:val="20"/>
              </w:rPr>
              <w:t>any entity, court or tribunal</w:t>
            </w:r>
          </w:p>
        </w:tc>
        <w:tc>
          <w:tcPr>
            <w:tcW w:w="3686" w:type="dxa"/>
            <w:tcBorders>
              <w:top w:val="single" w:sz="2" w:space="0" w:color="auto"/>
              <w:bottom w:val="single" w:sz="2" w:space="0" w:color="auto"/>
            </w:tcBorders>
            <w:shd w:val="clear" w:color="auto" w:fill="auto"/>
          </w:tcPr>
          <w:p w14:paraId="386705B7" w14:textId="77777777" w:rsidR="003C6392" w:rsidRPr="00695517" w:rsidRDefault="003C6392" w:rsidP="008409DF">
            <w:pPr>
              <w:pStyle w:val="Small-TableswithinQuotes"/>
              <w:rPr>
                <w:sz w:val="20"/>
              </w:rPr>
            </w:pPr>
            <w:proofErr w:type="gramStart"/>
            <w:r w:rsidRPr="00695517">
              <w:rPr>
                <w:sz w:val="20"/>
              </w:rPr>
              <w:t>is</w:t>
            </w:r>
            <w:proofErr w:type="gramEnd"/>
            <w:r w:rsidRPr="00695517">
              <w:rPr>
                <w:sz w:val="20"/>
              </w:rPr>
              <w:t xml:space="preserve"> for the purpose of the making, or proposed or possible making, of an order under the </w:t>
            </w:r>
            <w:r w:rsidRPr="00695517">
              <w:rPr>
                <w:i/>
                <w:sz w:val="20"/>
              </w:rPr>
              <w:t>Proceeds of Crime Act 2002</w:t>
            </w:r>
            <w:r w:rsidRPr="00695517">
              <w:rPr>
                <w:sz w:val="20"/>
              </w:rPr>
              <w:t xml:space="preserve"> that is related to a taxation law.</w:t>
            </w:r>
          </w:p>
        </w:tc>
      </w:tr>
      <w:tr w:rsidR="003C6392" w:rsidRPr="002E7341" w14:paraId="41C4EC4A" w14:textId="77777777" w:rsidTr="00355EDA">
        <w:tc>
          <w:tcPr>
            <w:tcW w:w="709" w:type="dxa"/>
            <w:tcBorders>
              <w:top w:val="single" w:sz="2" w:space="0" w:color="auto"/>
              <w:bottom w:val="single" w:sz="2" w:space="0" w:color="auto"/>
            </w:tcBorders>
            <w:shd w:val="clear" w:color="auto" w:fill="auto"/>
          </w:tcPr>
          <w:p w14:paraId="03767033" w14:textId="77777777" w:rsidR="003C6392" w:rsidRPr="00695517" w:rsidRDefault="003C6392" w:rsidP="008409DF">
            <w:pPr>
              <w:pStyle w:val="Small-TableswithinQuotes"/>
              <w:rPr>
                <w:sz w:val="20"/>
              </w:rPr>
            </w:pPr>
            <w:r w:rsidRPr="00695517">
              <w:rPr>
                <w:sz w:val="20"/>
              </w:rPr>
              <w:t>3</w:t>
            </w:r>
          </w:p>
        </w:tc>
        <w:tc>
          <w:tcPr>
            <w:tcW w:w="3118" w:type="dxa"/>
            <w:tcBorders>
              <w:top w:val="single" w:sz="2" w:space="0" w:color="auto"/>
              <w:bottom w:val="single" w:sz="2" w:space="0" w:color="auto"/>
            </w:tcBorders>
            <w:shd w:val="clear" w:color="auto" w:fill="auto"/>
          </w:tcPr>
          <w:p w14:paraId="71BB1603" w14:textId="77777777" w:rsidR="003C6392" w:rsidRPr="00695517" w:rsidRDefault="003C6392" w:rsidP="008409DF">
            <w:pPr>
              <w:pStyle w:val="Small-TableswithinQuotes"/>
              <w:rPr>
                <w:sz w:val="20"/>
              </w:rPr>
            </w:pPr>
            <w:r w:rsidRPr="00695517">
              <w:rPr>
                <w:sz w:val="20"/>
              </w:rPr>
              <w:t>any entity, court or tribunal</w:t>
            </w:r>
          </w:p>
        </w:tc>
        <w:tc>
          <w:tcPr>
            <w:tcW w:w="3686" w:type="dxa"/>
            <w:tcBorders>
              <w:top w:val="single" w:sz="2" w:space="0" w:color="auto"/>
              <w:bottom w:val="single" w:sz="2" w:space="0" w:color="auto"/>
            </w:tcBorders>
            <w:shd w:val="clear" w:color="auto" w:fill="auto"/>
          </w:tcPr>
          <w:p w14:paraId="314867DA" w14:textId="77777777" w:rsidR="003C6392" w:rsidRPr="00695517" w:rsidRDefault="003C6392" w:rsidP="008409DF">
            <w:pPr>
              <w:pStyle w:val="Small-TableswithinQuotes"/>
              <w:rPr>
                <w:sz w:val="20"/>
              </w:rPr>
            </w:pPr>
            <w:proofErr w:type="gramStart"/>
            <w:r w:rsidRPr="00695517">
              <w:rPr>
                <w:sz w:val="20"/>
              </w:rPr>
              <w:t>is</w:t>
            </w:r>
            <w:proofErr w:type="gramEnd"/>
            <w:r w:rsidRPr="00695517">
              <w:rPr>
                <w:sz w:val="20"/>
              </w:rPr>
              <w:t xml:space="preserve"> for the purpose of criminal, civil or administrative proceedings (including merits review or judicial review) that are related to a taxation law.</w:t>
            </w:r>
          </w:p>
        </w:tc>
      </w:tr>
      <w:tr w:rsidR="003C6392" w:rsidRPr="002E7341" w14:paraId="20E5D499" w14:textId="77777777" w:rsidTr="00355EDA">
        <w:tc>
          <w:tcPr>
            <w:tcW w:w="709" w:type="dxa"/>
            <w:tcBorders>
              <w:top w:val="single" w:sz="2" w:space="0" w:color="auto"/>
              <w:bottom w:val="single" w:sz="2" w:space="0" w:color="auto"/>
            </w:tcBorders>
            <w:shd w:val="clear" w:color="auto" w:fill="auto"/>
          </w:tcPr>
          <w:p w14:paraId="3AA9A169" w14:textId="77777777" w:rsidR="003C6392" w:rsidRPr="00695517" w:rsidRDefault="003C6392" w:rsidP="008409DF">
            <w:pPr>
              <w:pStyle w:val="Small-TableswithinQuotes"/>
              <w:rPr>
                <w:sz w:val="20"/>
              </w:rPr>
            </w:pPr>
            <w:r w:rsidRPr="00695517">
              <w:rPr>
                <w:sz w:val="20"/>
              </w:rPr>
              <w:t>4</w:t>
            </w:r>
          </w:p>
        </w:tc>
        <w:tc>
          <w:tcPr>
            <w:tcW w:w="3118" w:type="dxa"/>
            <w:tcBorders>
              <w:top w:val="single" w:sz="2" w:space="0" w:color="auto"/>
              <w:bottom w:val="single" w:sz="2" w:space="0" w:color="auto"/>
            </w:tcBorders>
            <w:shd w:val="clear" w:color="auto" w:fill="auto"/>
          </w:tcPr>
          <w:p w14:paraId="18A1FA69" w14:textId="77777777" w:rsidR="003C6392" w:rsidRPr="00695517" w:rsidRDefault="003C6392" w:rsidP="008409DF">
            <w:pPr>
              <w:pStyle w:val="Small-TableswithinQuotes"/>
              <w:rPr>
                <w:sz w:val="20"/>
              </w:rPr>
            </w:pPr>
            <w:r w:rsidRPr="00695517">
              <w:rPr>
                <w:sz w:val="20"/>
              </w:rPr>
              <w:t>any entity</w:t>
            </w:r>
          </w:p>
        </w:tc>
        <w:tc>
          <w:tcPr>
            <w:tcW w:w="3686" w:type="dxa"/>
            <w:tcBorders>
              <w:top w:val="single" w:sz="2" w:space="0" w:color="auto"/>
              <w:bottom w:val="single" w:sz="2" w:space="0" w:color="auto"/>
            </w:tcBorders>
            <w:shd w:val="clear" w:color="auto" w:fill="auto"/>
          </w:tcPr>
          <w:p w14:paraId="191049A4" w14:textId="77777777" w:rsidR="003C6392" w:rsidRPr="00695517" w:rsidRDefault="003C6392" w:rsidP="008409DF">
            <w:pPr>
              <w:pStyle w:val="Small-TableswithinQuotes"/>
              <w:rPr>
                <w:sz w:val="20"/>
              </w:rPr>
            </w:pPr>
            <w:proofErr w:type="gramStart"/>
            <w:r w:rsidRPr="00695517">
              <w:rPr>
                <w:sz w:val="20"/>
              </w:rPr>
              <w:t>is</w:t>
            </w:r>
            <w:proofErr w:type="gramEnd"/>
            <w:r w:rsidRPr="00695517">
              <w:rPr>
                <w:sz w:val="20"/>
              </w:rPr>
              <w:t xml:space="preserve"> for the purpose of responding to a request for a statement of reasons under the </w:t>
            </w:r>
            <w:r w:rsidRPr="00695517">
              <w:rPr>
                <w:i/>
                <w:sz w:val="20"/>
              </w:rPr>
              <w:t>Administrative Decisions (Judicial Review) Act 1977</w:t>
            </w:r>
            <w:r w:rsidRPr="00695517">
              <w:rPr>
                <w:sz w:val="20"/>
              </w:rPr>
              <w:t xml:space="preserve"> in relation to a decision made under a taxation law.</w:t>
            </w:r>
          </w:p>
        </w:tc>
      </w:tr>
      <w:tr w:rsidR="003C6392" w:rsidRPr="002E7341" w14:paraId="2F55DE32" w14:textId="77777777" w:rsidTr="00355EDA">
        <w:tc>
          <w:tcPr>
            <w:tcW w:w="709" w:type="dxa"/>
            <w:tcBorders>
              <w:top w:val="single" w:sz="2" w:space="0" w:color="auto"/>
              <w:bottom w:val="single" w:sz="2" w:space="0" w:color="auto"/>
            </w:tcBorders>
            <w:shd w:val="clear" w:color="auto" w:fill="auto"/>
          </w:tcPr>
          <w:p w14:paraId="2C19B804" w14:textId="77777777" w:rsidR="003C6392" w:rsidRPr="00695517" w:rsidRDefault="003C6392" w:rsidP="008409DF">
            <w:pPr>
              <w:pStyle w:val="Small-TableswithinQuotes"/>
              <w:rPr>
                <w:sz w:val="20"/>
              </w:rPr>
            </w:pPr>
            <w:r w:rsidRPr="00695517">
              <w:rPr>
                <w:sz w:val="20"/>
              </w:rPr>
              <w:t>5</w:t>
            </w:r>
          </w:p>
        </w:tc>
        <w:tc>
          <w:tcPr>
            <w:tcW w:w="3118" w:type="dxa"/>
            <w:tcBorders>
              <w:top w:val="single" w:sz="2" w:space="0" w:color="auto"/>
              <w:bottom w:val="single" w:sz="2" w:space="0" w:color="auto"/>
            </w:tcBorders>
            <w:shd w:val="clear" w:color="auto" w:fill="auto"/>
          </w:tcPr>
          <w:p w14:paraId="71B54166" w14:textId="77777777" w:rsidR="003C6392" w:rsidRPr="00695517" w:rsidRDefault="003C6392" w:rsidP="008409DF">
            <w:pPr>
              <w:pStyle w:val="Small-TableswithinQuotes"/>
              <w:rPr>
                <w:sz w:val="20"/>
              </w:rPr>
            </w:pPr>
            <w:r w:rsidRPr="00695517">
              <w:rPr>
                <w:sz w:val="20"/>
              </w:rPr>
              <w:t>any entity</w:t>
            </w:r>
          </w:p>
        </w:tc>
        <w:tc>
          <w:tcPr>
            <w:tcW w:w="3686" w:type="dxa"/>
            <w:tcBorders>
              <w:top w:val="single" w:sz="2" w:space="0" w:color="auto"/>
              <w:bottom w:val="single" w:sz="2" w:space="0" w:color="auto"/>
            </w:tcBorders>
            <w:shd w:val="clear" w:color="auto" w:fill="auto"/>
          </w:tcPr>
          <w:p w14:paraId="519ADEFD" w14:textId="77777777" w:rsidR="003C6392" w:rsidRPr="00695517" w:rsidRDefault="003C6392" w:rsidP="008409DF">
            <w:pPr>
              <w:pStyle w:val="Small-TableswithinQuotes"/>
              <w:rPr>
                <w:sz w:val="20"/>
              </w:rPr>
            </w:pPr>
            <w:r w:rsidRPr="00695517">
              <w:rPr>
                <w:sz w:val="20"/>
              </w:rPr>
              <w:t>is for the purpose of:</w:t>
            </w:r>
          </w:p>
          <w:p w14:paraId="3D697058" w14:textId="77777777" w:rsidR="003C6392" w:rsidRPr="00695517" w:rsidRDefault="003C6392" w:rsidP="008409DF">
            <w:pPr>
              <w:pStyle w:val="Small-TableswithinQuotes"/>
              <w:rPr>
                <w:sz w:val="20"/>
              </w:rPr>
            </w:pPr>
            <w:r w:rsidRPr="00695517">
              <w:rPr>
                <w:sz w:val="20"/>
              </w:rPr>
              <w:t>(a) determining whether to make an ex gratia payment; or</w:t>
            </w:r>
          </w:p>
          <w:p w14:paraId="1107B10B" w14:textId="77777777" w:rsidR="003C6392" w:rsidRPr="00695517" w:rsidRDefault="003C6392" w:rsidP="008409DF">
            <w:pPr>
              <w:pStyle w:val="Small-TableswithinQuotes"/>
              <w:rPr>
                <w:sz w:val="20"/>
              </w:rPr>
            </w:pPr>
            <w:r w:rsidRPr="00695517">
              <w:rPr>
                <w:sz w:val="20"/>
              </w:rPr>
              <w:t>(b) administering such a payment;</w:t>
            </w:r>
          </w:p>
          <w:p w14:paraId="6F1FBB00" w14:textId="77777777" w:rsidR="003C6392" w:rsidRPr="00695517" w:rsidRDefault="003C6392" w:rsidP="008409DF">
            <w:pPr>
              <w:pStyle w:val="Small-TableswithinQuotes"/>
              <w:rPr>
                <w:sz w:val="20"/>
              </w:rPr>
            </w:pPr>
            <w:proofErr w:type="gramStart"/>
            <w:r w:rsidRPr="00695517">
              <w:rPr>
                <w:sz w:val="20"/>
              </w:rPr>
              <w:t>in</w:t>
            </w:r>
            <w:proofErr w:type="gramEnd"/>
            <w:r w:rsidRPr="00695517">
              <w:rPr>
                <w:sz w:val="20"/>
              </w:rPr>
              <w:t xml:space="preserve"> connection with administering a taxation law.</w:t>
            </w:r>
          </w:p>
        </w:tc>
      </w:tr>
      <w:tr w:rsidR="003C6392" w:rsidRPr="002E7341" w14:paraId="589B8B63" w14:textId="77777777" w:rsidTr="00355EDA">
        <w:tc>
          <w:tcPr>
            <w:tcW w:w="709" w:type="dxa"/>
            <w:tcBorders>
              <w:top w:val="single" w:sz="2" w:space="0" w:color="auto"/>
              <w:bottom w:val="single" w:sz="2" w:space="0" w:color="auto"/>
            </w:tcBorders>
            <w:shd w:val="clear" w:color="auto" w:fill="auto"/>
          </w:tcPr>
          <w:p w14:paraId="0C39ECEC" w14:textId="77777777" w:rsidR="003C6392" w:rsidRPr="00695517" w:rsidRDefault="003C6392" w:rsidP="008409DF">
            <w:pPr>
              <w:pStyle w:val="Small-TableswithinQuotes"/>
              <w:rPr>
                <w:sz w:val="20"/>
              </w:rPr>
            </w:pPr>
            <w:r w:rsidRPr="00695517">
              <w:rPr>
                <w:sz w:val="20"/>
              </w:rPr>
              <w:t>6</w:t>
            </w:r>
          </w:p>
        </w:tc>
        <w:tc>
          <w:tcPr>
            <w:tcW w:w="3118" w:type="dxa"/>
            <w:tcBorders>
              <w:top w:val="single" w:sz="2" w:space="0" w:color="auto"/>
              <w:bottom w:val="single" w:sz="2" w:space="0" w:color="auto"/>
            </w:tcBorders>
            <w:shd w:val="clear" w:color="auto" w:fill="auto"/>
          </w:tcPr>
          <w:p w14:paraId="2542DB86" w14:textId="77777777" w:rsidR="003C6392" w:rsidRPr="00695517" w:rsidRDefault="003C6392" w:rsidP="008409DF">
            <w:pPr>
              <w:pStyle w:val="Small-TableswithinQuotes"/>
              <w:rPr>
                <w:sz w:val="20"/>
              </w:rPr>
            </w:pPr>
            <w:r w:rsidRPr="00695517">
              <w:rPr>
                <w:sz w:val="20"/>
              </w:rPr>
              <w:t>any entity</w:t>
            </w:r>
          </w:p>
        </w:tc>
        <w:tc>
          <w:tcPr>
            <w:tcW w:w="3686" w:type="dxa"/>
            <w:tcBorders>
              <w:top w:val="single" w:sz="2" w:space="0" w:color="auto"/>
              <w:bottom w:val="single" w:sz="2" w:space="0" w:color="auto"/>
            </w:tcBorders>
            <w:shd w:val="clear" w:color="auto" w:fill="auto"/>
          </w:tcPr>
          <w:p w14:paraId="10EC6997" w14:textId="77777777" w:rsidR="003C6392" w:rsidRPr="00695517" w:rsidRDefault="003C6392" w:rsidP="008409DF">
            <w:pPr>
              <w:pStyle w:val="Small-TableswithinQuotes"/>
              <w:rPr>
                <w:sz w:val="20"/>
              </w:rPr>
            </w:pPr>
            <w:proofErr w:type="gramStart"/>
            <w:r w:rsidRPr="00695517">
              <w:rPr>
                <w:sz w:val="20"/>
              </w:rPr>
              <w:t>is</w:t>
            </w:r>
            <w:proofErr w:type="gramEnd"/>
            <w:r w:rsidRPr="00695517">
              <w:rPr>
                <w:sz w:val="20"/>
              </w:rPr>
              <w:t xml:space="preserve"> for the purpose of enabling the entity to understand or comply with its obligations under a taxation law.</w:t>
            </w:r>
          </w:p>
        </w:tc>
      </w:tr>
      <w:tr w:rsidR="003C6392" w:rsidRPr="002E7341" w14:paraId="0A6426DA" w14:textId="77777777" w:rsidTr="00355EDA">
        <w:tc>
          <w:tcPr>
            <w:tcW w:w="709" w:type="dxa"/>
            <w:tcBorders>
              <w:top w:val="single" w:sz="2" w:space="0" w:color="auto"/>
              <w:bottom w:val="single" w:sz="2" w:space="0" w:color="auto"/>
            </w:tcBorders>
            <w:shd w:val="clear" w:color="auto" w:fill="auto"/>
          </w:tcPr>
          <w:p w14:paraId="623F4462" w14:textId="77777777" w:rsidR="003C6392" w:rsidRPr="00695517" w:rsidRDefault="003C6392" w:rsidP="008409DF">
            <w:pPr>
              <w:pStyle w:val="Small-TableswithinQuotes"/>
              <w:rPr>
                <w:sz w:val="20"/>
              </w:rPr>
            </w:pPr>
            <w:r w:rsidRPr="00695517">
              <w:rPr>
                <w:sz w:val="20"/>
              </w:rPr>
              <w:t>7</w:t>
            </w:r>
          </w:p>
        </w:tc>
        <w:tc>
          <w:tcPr>
            <w:tcW w:w="3118" w:type="dxa"/>
            <w:tcBorders>
              <w:top w:val="single" w:sz="2" w:space="0" w:color="auto"/>
              <w:bottom w:val="single" w:sz="2" w:space="0" w:color="auto"/>
            </w:tcBorders>
            <w:shd w:val="clear" w:color="auto" w:fill="auto"/>
          </w:tcPr>
          <w:p w14:paraId="302F4143" w14:textId="77777777" w:rsidR="003C6392" w:rsidRPr="00695517" w:rsidRDefault="003C6392" w:rsidP="008409DF">
            <w:pPr>
              <w:pStyle w:val="Small-TableswithinQuotes"/>
              <w:rPr>
                <w:sz w:val="20"/>
              </w:rPr>
            </w:pPr>
            <w:r w:rsidRPr="00695517">
              <w:rPr>
                <w:sz w:val="20"/>
              </w:rPr>
              <w:t>the Secretary of the Department</w:t>
            </w:r>
          </w:p>
        </w:tc>
        <w:tc>
          <w:tcPr>
            <w:tcW w:w="3686" w:type="dxa"/>
            <w:tcBorders>
              <w:top w:val="single" w:sz="2" w:space="0" w:color="auto"/>
              <w:bottom w:val="single" w:sz="2" w:space="0" w:color="auto"/>
            </w:tcBorders>
            <w:shd w:val="clear" w:color="auto" w:fill="auto"/>
          </w:tcPr>
          <w:p w14:paraId="1FE78321" w14:textId="77777777" w:rsidR="003C6392" w:rsidRPr="00695517" w:rsidRDefault="003C6392" w:rsidP="008409DF">
            <w:pPr>
              <w:pStyle w:val="Small-TableswithinQuotes"/>
              <w:rPr>
                <w:sz w:val="20"/>
              </w:rPr>
            </w:pPr>
            <w:r w:rsidRPr="00695517">
              <w:rPr>
                <w:sz w:val="20"/>
              </w:rPr>
              <w:t>(a) is of information that does not include the name, contact details or ABN of any entity; and</w:t>
            </w:r>
          </w:p>
          <w:p w14:paraId="0F9E5006" w14:textId="77777777" w:rsidR="003C6392" w:rsidRPr="00695517" w:rsidRDefault="003C6392" w:rsidP="008409DF">
            <w:pPr>
              <w:pStyle w:val="Small-TableswithinQuotes"/>
              <w:rPr>
                <w:sz w:val="20"/>
              </w:rPr>
            </w:pPr>
            <w:r w:rsidRPr="00695517">
              <w:rPr>
                <w:sz w:val="20"/>
              </w:rPr>
              <w:t>(b) is for the purpose of:</w:t>
            </w:r>
          </w:p>
          <w:p w14:paraId="4770B126" w14:textId="77777777" w:rsidR="003C6392" w:rsidRPr="00695517" w:rsidRDefault="003C6392" w:rsidP="008409DF">
            <w:pPr>
              <w:pStyle w:val="Small-TableswithinQuotes"/>
              <w:rPr>
                <w:sz w:val="20"/>
              </w:rPr>
            </w:pPr>
            <w:r w:rsidRPr="00695517">
              <w:rPr>
                <w:sz w:val="20"/>
              </w:rPr>
              <w:t>(</w:t>
            </w:r>
            <w:proofErr w:type="spellStart"/>
            <w:r w:rsidRPr="00695517">
              <w:rPr>
                <w:sz w:val="20"/>
              </w:rPr>
              <w:t>i</w:t>
            </w:r>
            <w:proofErr w:type="spellEnd"/>
            <w:r w:rsidRPr="00695517">
              <w:rPr>
                <w:sz w:val="20"/>
              </w:rPr>
              <w:t>) the design of a taxation law; or</w:t>
            </w:r>
          </w:p>
          <w:p w14:paraId="4948D6C5" w14:textId="77777777" w:rsidR="003C6392" w:rsidRPr="00695517" w:rsidRDefault="003C6392" w:rsidP="008409DF">
            <w:pPr>
              <w:pStyle w:val="Small-TableswithinQuotes"/>
              <w:rPr>
                <w:sz w:val="20"/>
              </w:rPr>
            </w:pPr>
            <w:r w:rsidRPr="00695517">
              <w:rPr>
                <w:sz w:val="20"/>
              </w:rPr>
              <w:t xml:space="preserve">(ii) </w:t>
            </w:r>
            <w:proofErr w:type="gramStart"/>
            <w:r w:rsidRPr="00695517">
              <w:rPr>
                <w:sz w:val="20"/>
              </w:rPr>
              <w:t>the</w:t>
            </w:r>
            <w:proofErr w:type="gramEnd"/>
            <w:r w:rsidRPr="00695517">
              <w:rPr>
                <w:sz w:val="20"/>
              </w:rPr>
              <w:t xml:space="preserve"> amendment of a taxation law.</w:t>
            </w:r>
          </w:p>
        </w:tc>
      </w:tr>
      <w:tr w:rsidR="003C6392" w:rsidRPr="002E7341" w14:paraId="480F2919" w14:textId="77777777" w:rsidTr="00355EDA">
        <w:tc>
          <w:tcPr>
            <w:tcW w:w="709" w:type="dxa"/>
            <w:tcBorders>
              <w:top w:val="single" w:sz="2" w:space="0" w:color="auto"/>
              <w:bottom w:val="single" w:sz="2" w:space="0" w:color="auto"/>
            </w:tcBorders>
            <w:shd w:val="clear" w:color="auto" w:fill="auto"/>
          </w:tcPr>
          <w:p w14:paraId="3F332029" w14:textId="77777777" w:rsidR="003C6392" w:rsidRPr="00695517" w:rsidRDefault="003C6392" w:rsidP="008409DF">
            <w:pPr>
              <w:pStyle w:val="Small-TableswithinQuotes"/>
              <w:rPr>
                <w:sz w:val="20"/>
              </w:rPr>
            </w:pPr>
            <w:r w:rsidRPr="00695517">
              <w:rPr>
                <w:sz w:val="20"/>
              </w:rPr>
              <w:t>8</w:t>
            </w:r>
          </w:p>
        </w:tc>
        <w:tc>
          <w:tcPr>
            <w:tcW w:w="3118" w:type="dxa"/>
            <w:tcBorders>
              <w:top w:val="single" w:sz="2" w:space="0" w:color="auto"/>
              <w:bottom w:val="single" w:sz="2" w:space="0" w:color="auto"/>
            </w:tcBorders>
            <w:shd w:val="clear" w:color="auto" w:fill="auto"/>
          </w:tcPr>
          <w:p w14:paraId="276589C1" w14:textId="77777777" w:rsidR="003C6392" w:rsidRPr="00695517" w:rsidRDefault="003C6392" w:rsidP="008409DF">
            <w:pPr>
              <w:pStyle w:val="Small-TableswithinQuotes"/>
              <w:rPr>
                <w:sz w:val="20"/>
              </w:rPr>
            </w:pPr>
            <w:r w:rsidRPr="00695517">
              <w:rPr>
                <w:sz w:val="20"/>
              </w:rPr>
              <w:t>any board or member of a board performing a function or exercising a power under a taxation law</w:t>
            </w:r>
          </w:p>
        </w:tc>
        <w:tc>
          <w:tcPr>
            <w:tcW w:w="3686" w:type="dxa"/>
            <w:tcBorders>
              <w:top w:val="single" w:sz="2" w:space="0" w:color="auto"/>
              <w:bottom w:val="single" w:sz="2" w:space="0" w:color="auto"/>
            </w:tcBorders>
            <w:shd w:val="clear" w:color="auto" w:fill="auto"/>
          </w:tcPr>
          <w:p w14:paraId="7D62882D" w14:textId="77777777" w:rsidR="003C6392" w:rsidRPr="00695517" w:rsidRDefault="003C6392" w:rsidP="008409DF">
            <w:pPr>
              <w:pStyle w:val="Small-TableswithinQuotes"/>
              <w:rPr>
                <w:sz w:val="20"/>
              </w:rPr>
            </w:pPr>
            <w:proofErr w:type="gramStart"/>
            <w:r w:rsidRPr="00695517">
              <w:rPr>
                <w:sz w:val="20"/>
              </w:rPr>
              <w:t>is</w:t>
            </w:r>
            <w:proofErr w:type="gramEnd"/>
            <w:r w:rsidRPr="00695517">
              <w:rPr>
                <w:sz w:val="20"/>
              </w:rPr>
              <w:t xml:space="preserve"> for the purpose of performing that function or exercising that power.</w:t>
            </w:r>
          </w:p>
        </w:tc>
      </w:tr>
      <w:tr w:rsidR="003C6392" w:rsidRPr="002E7341" w14:paraId="41FE6D8F" w14:textId="77777777" w:rsidTr="0057673C">
        <w:tc>
          <w:tcPr>
            <w:tcW w:w="709" w:type="dxa"/>
            <w:tcBorders>
              <w:top w:val="single" w:sz="2" w:space="0" w:color="auto"/>
              <w:bottom w:val="single" w:sz="2" w:space="0" w:color="auto"/>
            </w:tcBorders>
            <w:shd w:val="clear" w:color="auto" w:fill="auto"/>
          </w:tcPr>
          <w:p w14:paraId="08A87C93" w14:textId="77777777" w:rsidR="003C6392" w:rsidRPr="00695517" w:rsidRDefault="003C6392" w:rsidP="008409DF">
            <w:pPr>
              <w:pStyle w:val="Small-TableswithinQuotes"/>
              <w:rPr>
                <w:sz w:val="20"/>
              </w:rPr>
            </w:pPr>
            <w:r w:rsidRPr="00695517">
              <w:rPr>
                <w:sz w:val="20"/>
              </w:rPr>
              <w:t>9</w:t>
            </w:r>
          </w:p>
        </w:tc>
        <w:tc>
          <w:tcPr>
            <w:tcW w:w="3118" w:type="dxa"/>
            <w:tcBorders>
              <w:top w:val="single" w:sz="2" w:space="0" w:color="auto"/>
              <w:bottom w:val="single" w:sz="2" w:space="0" w:color="auto"/>
            </w:tcBorders>
            <w:shd w:val="clear" w:color="auto" w:fill="auto"/>
          </w:tcPr>
          <w:p w14:paraId="42BFDABC" w14:textId="77777777" w:rsidR="003C6392" w:rsidRPr="00695517" w:rsidRDefault="003C6392" w:rsidP="008409DF">
            <w:pPr>
              <w:pStyle w:val="Small-TableswithinQuotes"/>
              <w:rPr>
                <w:sz w:val="20"/>
              </w:rPr>
            </w:pPr>
            <w:r w:rsidRPr="00695517">
              <w:rPr>
                <w:sz w:val="20"/>
              </w:rPr>
              <w:t xml:space="preserve">a competent authority referred to in an international agreement (within the meaning of section 23 of the </w:t>
            </w:r>
            <w:r w:rsidRPr="00695517">
              <w:rPr>
                <w:i/>
                <w:sz w:val="20"/>
              </w:rPr>
              <w:t>International Tax Agreements Act 1953</w:t>
            </w:r>
            <w:r w:rsidRPr="00695517">
              <w:rPr>
                <w:sz w:val="20"/>
              </w:rPr>
              <w:t>)</w:t>
            </w:r>
          </w:p>
        </w:tc>
        <w:tc>
          <w:tcPr>
            <w:tcW w:w="3686" w:type="dxa"/>
            <w:tcBorders>
              <w:top w:val="single" w:sz="2" w:space="0" w:color="auto"/>
              <w:bottom w:val="single" w:sz="2" w:space="0" w:color="auto"/>
            </w:tcBorders>
            <w:shd w:val="clear" w:color="auto" w:fill="auto"/>
          </w:tcPr>
          <w:p w14:paraId="55373523" w14:textId="77777777" w:rsidR="003C6392" w:rsidRPr="00695517" w:rsidRDefault="003C6392" w:rsidP="008409DF">
            <w:pPr>
              <w:pStyle w:val="Small-TableswithinQuotes"/>
              <w:rPr>
                <w:sz w:val="20"/>
              </w:rPr>
            </w:pPr>
            <w:proofErr w:type="gramStart"/>
            <w:r w:rsidRPr="00695517">
              <w:rPr>
                <w:sz w:val="20"/>
              </w:rPr>
              <w:t>is</w:t>
            </w:r>
            <w:proofErr w:type="gramEnd"/>
            <w:r w:rsidRPr="00695517">
              <w:rPr>
                <w:sz w:val="20"/>
              </w:rPr>
              <w:t xml:space="preserve"> for the purpose of exchanging information under such an international agreement.</w:t>
            </w:r>
          </w:p>
        </w:tc>
      </w:tr>
      <w:tr w:rsidR="003C6392" w:rsidRPr="002E7341" w14:paraId="09842D27" w14:textId="77777777" w:rsidTr="00355EDA">
        <w:tc>
          <w:tcPr>
            <w:tcW w:w="709" w:type="dxa"/>
            <w:tcBorders>
              <w:top w:val="single" w:sz="2" w:space="0" w:color="auto"/>
              <w:bottom w:val="single" w:sz="2" w:space="0" w:color="auto"/>
            </w:tcBorders>
            <w:shd w:val="clear" w:color="auto" w:fill="auto"/>
          </w:tcPr>
          <w:p w14:paraId="58BDEBBA" w14:textId="77777777" w:rsidR="003C6392" w:rsidRPr="00695517" w:rsidRDefault="003C6392" w:rsidP="008409DF">
            <w:pPr>
              <w:pStyle w:val="Small-TableswithinQuotes"/>
              <w:rPr>
                <w:sz w:val="20"/>
              </w:rPr>
            </w:pPr>
            <w:r w:rsidRPr="00695517">
              <w:rPr>
                <w:sz w:val="20"/>
              </w:rPr>
              <w:t>10</w:t>
            </w:r>
          </w:p>
        </w:tc>
        <w:tc>
          <w:tcPr>
            <w:tcW w:w="3118" w:type="dxa"/>
            <w:tcBorders>
              <w:top w:val="single" w:sz="2" w:space="0" w:color="auto"/>
              <w:bottom w:val="single" w:sz="2" w:space="0" w:color="auto"/>
            </w:tcBorders>
            <w:shd w:val="clear" w:color="auto" w:fill="auto"/>
          </w:tcPr>
          <w:p w14:paraId="0909242D" w14:textId="77777777" w:rsidR="003C6392" w:rsidRPr="00695517" w:rsidRDefault="003C6392" w:rsidP="008409DF">
            <w:pPr>
              <w:pStyle w:val="Small-TableswithinQuotes"/>
              <w:rPr>
                <w:sz w:val="20"/>
              </w:rPr>
            </w:pPr>
            <w:r w:rsidRPr="00695517">
              <w:rPr>
                <w:sz w:val="20"/>
              </w:rPr>
              <w:t xml:space="preserve">any employer (within the meaning of the </w:t>
            </w:r>
            <w:r w:rsidRPr="00695517">
              <w:rPr>
                <w:i/>
                <w:sz w:val="20"/>
              </w:rPr>
              <w:t>Superannuation Guarantee (Administration) Act 1992</w:t>
            </w:r>
            <w:r w:rsidRPr="00695517">
              <w:rPr>
                <w:sz w:val="20"/>
              </w:rPr>
              <w:t>)</w:t>
            </w:r>
          </w:p>
        </w:tc>
        <w:tc>
          <w:tcPr>
            <w:tcW w:w="3686" w:type="dxa"/>
            <w:tcBorders>
              <w:top w:val="single" w:sz="2" w:space="0" w:color="auto"/>
              <w:bottom w:val="single" w:sz="2" w:space="0" w:color="auto"/>
            </w:tcBorders>
            <w:shd w:val="clear" w:color="auto" w:fill="auto"/>
          </w:tcPr>
          <w:p w14:paraId="3EBD9183" w14:textId="77777777" w:rsidR="003C6392" w:rsidRPr="00695517" w:rsidRDefault="003C6392" w:rsidP="008409DF">
            <w:pPr>
              <w:pStyle w:val="Small-TableswithinQuotes"/>
              <w:rPr>
                <w:sz w:val="20"/>
              </w:rPr>
            </w:pPr>
            <w:proofErr w:type="gramStart"/>
            <w:r w:rsidRPr="00695517">
              <w:rPr>
                <w:sz w:val="20"/>
              </w:rPr>
              <w:t>is</w:t>
            </w:r>
            <w:proofErr w:type="gramEnd"/>
            <w:r w:rsidRPr="00695517">
              <w:rPr>
                <w:sz w:val="20"/>
              </w:rPr>
              <w:t xml:space="preserve"> for the purpose of disclosing to that employer information included in a notice given to the Commissioner under subsection 32F(1) or 32H(1A) of that Act by an employee (within the meaning of that Act) of that employer.</w:t>
            </w:r>
          </w:p>
        </w:tc>
      </w:tr>
      <w:tr w:rsidR="003C6392" w:rsidRPr="002E7341" w14:paraId="6DD5A4B7" w14:textId="77777777" w:rsidTr="00355EDA">
        <w:tc>
          <w:tcPr>
            <w:tcW w:w="709" w:type="dxa"/>
            <w:tcBorders>
              <w:top w:val="single" w:sz="2" w:space="0" w:color="auto"/>
              <w:bottom w:val="single" w:sz="12" w:space="0" w:color="auto"/>
            </w:tcBorders>
            <w:shd w:val="clear" w:color="auto" w:fill="auto"/>
          </w:tcPr>
          <w:p w14:paraId="2EC4ED7D" w14:textId="77777777" w:rsidR="003C6392" w:rsidRPr="00695517" w:rsidRDefault="003C6392" w:rsidP="008409DF">
            <w:pPr>
              <w:pStyle w:val="Small-TableswithinQuotes"/>
              <w:rPr>
                <w:sz w:val="20"/>
              </w:rPr>
            </w:pPr>
            <w:r w:rsidRPr="00695517">
              <w:rPr>
                <w:sz w:val="20"/>
              </w:rPr>
              <w:t>11</w:t>
            </w:r>
          </w:p>
        </w:tc>
        <w:tc>
          <w:tcPr>
            <w:tcW w:w="3118" w:type="dxa"/>
            <w:tcBorders>
              <w:top w:val="single" w:sz="2" w:space="0" w:color="auto"/>
              <w:bottom w:val="single" w:sz="12" w:space="0" w:color="auto"/>
            </w:tcBorders>
            <w:shd w:val="clear" w:color="auto" w:fill="auto"/>
          </w:tcPr>
          <w:p w14:paraId="53D7905A" w14:textId="77777777" w:rsidR="003C6392" w:rsidRPr="00695517" w:rsidRDefault="003C6392" w:rsidP="008409DF">
            <w:pPr>
              <w:pStyle w:val="Small-TableswithinQuotes"/>
              <w:rPr>
                <w:sz w:val="20"/>
              </w:rPr>
            </w:pPr>
            <w:r w:rsidRPr="00695517">
              <w:rPr>
                <w:sz w:val="20"/>
              </w:rPr>
              <w:t xml:space="preserve">a payer (within the meaning of Part VA of the </w:t>
            </w:r>
            <w:r w:rsidRPr="00695517">
              <w:rPr>
                <w:i/>
                <w:sz w:val="20"/>
              </w:rPr>
              <w:t>Income Tax Assessment Act 1936</w:t>
            </w:r>
            <w:r w:rsidRPr="00695517">
              <w:rPr>
                <w:sz w:val="20"/>
              </w:rPr>
              <w:t xml:space="preserve">) in relation to </w:t>
            </w:r>
            <w:r w:rsidRPr="00695517">
              <w:rPr>
                <w:sz w:val="20"/>
              </w:rPr>
              <w:lastRenderedPageBreak/>
              <w:t>whom an individual has made a TFN declaration that is in effect</w:t>
            </w:r>
          </w:p>
        </w:tc>
        <w:tc>
          <w:tcPr>
            <w:tcW w:w="3686" w:type="dxa"/>
            <w:tcBorders>
              <w:top w:val="single" w:sz="2" w:space="0" w:color="auto"/>
              <w:bottom w:val="single" w:sz="12" w:space="0" w:color="auto"/>
            </w:tcBorders>
            <w:shd w:val="clear" w:color="auto" w:fill="auto"/>
          </w:tcPr>
          <w:p w14:paraId="0FC9B287" w14:textId="77777777" w:rsidR="003C6392" w:rsidRPr="00695517" w:rsidRDefault="003C6392" w:rsidP="008409DF">
            <w:pPr>
              <w:pStyle w:val="Small-TableswithinQuotes"/>
              <w:rPr>
                <w:sz w:val="20"/>
              </w:rPr>
            </w:pPr>
            <w:r w:rsidRPr="00695517">
              <w:rPr>
                <w:sz w:val="20"/>
              </w:rPr>
              <w:lastRenderedPageBreak/>
              <w:t xml:space="preserve">(a) is of a matter that relates to the individual’s income tax or other liability </w:t>
            </w:r>
            <w:r w:rsidRPr="00695517">
              <w:rPr>
                <w:sz w:val="20"/>
              </w:rPr>
              <w:lastRenderedPageBreak/>
              <w:t>referred to in paragraph 11</w:t>
            </w:r>
            <w:r w:rsidRPr="00695517">
              <w:rPr>
                <w:sz w:val="20"/>
              </w:rPr>
              <w:noBreakHyphen/>
              <w:t>1(b), (ca), (</w:t>
            </w:r>
            <w:proofErr w:type="spellStart"/>
            <w:r w:rsidRPr="00695517">
              <w:rPr>
                <w:sz w:val="20"/>
              </w:rPr>
              <w:t>cb</w:t>
            </w:r>
            <w:proofErr w:type="spellEnd"/>
            <w:r w:rsidRPr="00695517">
              <w:rPr>
                <w:sz w:val="20"/>
              </w:rPr>
              <w:t>), (cc), (cd), (da) or (</w:t>
            </w:r>
            <w:proofErr w:type="spellStart"/>
            <w:r w:rsidRPr="00695517">
              <w:rPr>
                <w:sz w:val="20"/>
              </w:rPr>
              <w:t>db</w:t>
            </w:r>
            <w:proofErr w:type="spellEnd"/>
            <w:r w:rsidRPr="00695517">
              <w:rPr>
                <w:sz w:val="20"/>
              </w:rPr>
              <w:t>); and</w:t>
            </w:r>
          </w:p>
          <w:p w14:paraId="47D292C0" w14:textId="77777777" w:rsidR="003C6392" w:rsidRPr="00695517" w:rsidRDefault="003C6392" w:rsidP="008409DF">
            <w:pPr>
              <w:pStyle w:val="Small-TableswithinQuotes"/>
              <w:rPr>
                <w:sz w:val="20"/>
              </w:rPr>
            </w:pPr>
            <w:r w:rsidRPr="00695517">
              <w:rPr>
                <w:sz w:val="20"/>
              </w:rPr>
              <w:t>(b) is for the purpose of assisting the individual to give a declaration under section 15</w:t>
            </w:r>
            <w:r w:rsidRPr="00695517">
              <w:rPr>
                <w:sz w:val="20"/>
              </w:rPr>
              <w:noBreakHyphen/>
              <w:t>50 to the payer; and</w:t>
            </w:r>
          </w:p>
          <w:p w14:paraId="7454A1F2" w14:textId="77777777" w:rsidR="003C6392" w:rsidRPr="00695517" w:rsidRDefault="003C6392" w:rsidP="008409DF">
            <w:pPr>
              <w:pStyle w:val="Small-TableswithinQuotes"/>
              <w:rPr>
                <w:sz w:val="20"/>
              </w:rPr>
            </w:pPr>
            <w:r w:rsidRPr="00695517">
              <w:rPr>
                <w:sz w:val="20"/>
              </w:rPr>
              <w:t>(c) is made as the result of a request made by the individual to the Commissioner</w:t>
            </w:r>
          </w:p>
        </w:tc>
      </w:tr>
      <w:bookmarkEnd w:id="24"/>
    </w:tbl>
    <w:p w14:paraId="381CFE96" w14:textId="77777777" w:rsidR="003C6392" w:rsidRDefault="003C6392" w:rsidP="003C6392">
      <w:pPr>
        <w:pStyle w:val="Quote1"/>
      </w:pPr>
    </w:p>
    <w:p w14:paraId="4B5F8EF1" w14:textId="6EAB9E73" w:rsidR="003C6392" w:rsidRDefault="000D6E9C" w:rsidP="003C6392">
      <w:pPr>
        <w:pStyle w:val="Quote1"/>
      </w:pPr>
      <w:r>
        <w:t>(E</w:t>
      </w:r>
      <w:r w:rsidR="003C6392">
        <w:t>mphasis in original</w:t>
      </w:r>
      <w:r>
        <w:t>)</w:t>
      </w:r>
    </w:p>
    <w:p w14:paraId="7C663F63" w14:textId="485CE788" w:rsidR="00CD54AE" w:rsidRDefault="000D6E9C" w:rsidP="00CD54AE">
      <w:pPr>
        <w:pStyle w:val="ParaNumbering"/>
      </w:pPr>
      <w:r>
        <w:t xml:space="preserve">Ms McEwan contends that the effect of s 355-50 was that it is permissible for a taxation officer to make a disclosure to another taxation officer who was an entity in the confined sense for which s 355-50 made provision, but not otherwise. The primary judge, correctly with respect, rejected that contention </w:t>
      </w:r>
      <w:r w:rsidR="00E6631F">
        <w:t xml:space="preserve">at </w:t>
      </w:r>
      <w:proofErr w:type="gramStart"/>
      <w:r>
        <w:t>PJ[</w:t>
      </w:r>
      <w:proofErr w:type="gramEnd"/>
      <w:r>
        <w:t>21]. The text of the provision compels the conclusion that the reference to “entity” in s 355-50(1</w:t>
      </w:r>
      <w:proofErr w:type="gramStart"/>
      <w:r>
        <w:t>)(</w:t>
      </w:r>
      <w:proofErr w:type="gramEnd"/>
      <w:r>
        <w:t>a) is just to the disclosing entity</w:t>
      </w:r>
      <w:r w:rsidR="00456216">
        <w:t>. As the primary judge said</w:t>
      </w:r>
      <w:r w:rsidR="00CD54AE">
        <w:t>:</w:t>
      </w:r>
      <w:r w:rsidR="00456216">
        <w:t xml:space="preserve"> </w:t>
      </w:r>
    </w:p>
    <w:p w14:paraId="2BFB9436" w14:textId="2572900B" w:rsidR="007C793F" w:rsidRDefault="00CD54AE" w:rsidP="00E6631F">
      <w:pPr>
        <w:pStyle w:val="Quote1"/>
      </w:pPr>
      <w:r>
        <w:t>W</w:t>
      </w:r>
      <w:r w:rsidR="00456216" w:rsidRPr="00CD54AE">
        <w:t>hat follows from this is that it was permissible for officers of the Australian Taxation Office, entities within the meaning of s 355-50(1)(a), to make a record or disclosure without transgressing the offence provision in s 355-25 if the record or disclosure were made in performing the taxation officer’s duties as a taxation officer</w:t>
      </w:r>
      <w:r w:rsidR="00456216">
        <w:t>.</w:t>
      </w:r>
    </w:p>
    <w:p w14:paraId="6D719B3B" w14:textId="77777777" w:rsidR="007C793F" w:rsidRDefault="007C793F" w:rsidP="007C793F">
      <w:pPr>
        <w:pStyle w:val="ParaNumbering"/>
      </w:pPr>
      <w:r>
        <w:t xml:space="preserve">Ms McEwan sought to restrict the scope of a taxation officer’s duties to those relevant to the “collection and recovery of income tax and other liabilities”. Neither the text of the TAA nor the authorities support such a construction. The range of duties described in column 2 of the </w:t>
      </w:r>
      <w:r w:rsidR="00AD5EAC">
        <w:t>t</w:t>
      </w:r>
      <w:r>
        <w:t>able of s 355-50(2) is illustrative of the breadth of duties performed by taxation officers.</w:t>
      </w:r>
    </w:p>
    <w:p w14:paraId="3A5D0871" w14:textId="6139FB8F" w:rsidR="008224C8" w:rsidRDefault="008224C8" w:rsidP="008224C8">
      <w:pPr>
        <w:pStyle w:val="ParaNumbering"/>
      </w:pPr>
      <w:r>
        <w:t xml:space="preserve">In </w:t>
      </w:r>
      <w:r w:rsidRPr="009C36D5">
        <w:rPr>
          <w:i/>
        </w:rPr>
        <w:t xml:space="preserve">Jordan, Commissioner of Taxation v </w:t>
      </w:r>
      <w:r w:rsidR="00EB3012">
        <w:rPr>
          <w:i/>
        </w:rPr>
        <w:t>Second Commissioner of Taxation</w:t>
      </w:r>
      <w:r w:rsidR="00EB3012" w:rsidRPr="009C36D5">
        <w:t xml:space="preserve"> </w:t>
      </w:r>
      <w:r w:rsidRPr="009C36D5">
        <w:t>[2019] FCA 1602</w:t>
      </w:r>
      <w:r>
        <w:t xml:space="preserve"> at [56], White J observed that the predecessor provision to s 355</w:t>
      </w:r>
      <w:r w:rsidR="00AD5EAC">
        <w:t>-</w:t>
      </w:r>
      <w:r>
        <w:t xml:space="preserve">50 was s 16(2) of the </w:t>
      </w:r>
      <w:r w:rsidRPr="009C36D5">
        <w:rPr>
          <w:i/>
        </w:rPr>
        <w:t>Income Tax Assessment Act 1936</w:t>
      </w:r>
      <w:r w:rsidRPr="009C36D5">
        <w:t xml:space="preserve"> </w:t>
      </w:r>
      <w:r>
        <w:t>(</w:t>
      </w:r>
      <w:proofErr w:type="spellStart"/>
      <w:r>
        <w:t>Cth</w:t>
      </w:r>
      <w:proofErr w:type="spellEnd"/>
      <w:r>
        <w:t xml:space="preserve">), which precluded the disclosure by taxation officers of information “except in the performance of any duty as an officer”. As his Honour noted, that expression was considered in </w:t>
      </w:r>
      <w:r w:rsidRPr="009C36D5">
        <w:rPr>
          <w:i/>
        </w:rPr>
        <w:t>Canadian Pacific Tobacco Company Ltd v Stapleton</w:t>
      </w:r>
      <w:r w:rsidRPr="009C36D5">
        <w:t xml:space="preserve"> (1952) 86 CLR 1</w:t>
      </w:r>
      <w:r>
        <w:t>. At first instance</w:t>
      </w:r>
      <w:r w:rsidR="007C793F">
        <w:t xml:space="preserve">, </w:t>
      </w:r>
      <w:r>
        <w:t xml:space="preserve">Dixon CJ </w:t>
      </w:r>
      <w:r w:rsidR="007C793F">
        <w:t xml:space="preserve">had </w:t>
      </w:r>
      <w:r>
        <w:t>said, at 6:</w:t>
      </w:r>
    </w:p>
    <w:p w14:paraId="1E19A102" w14:textId="77777777" w:rsidR="008224C8" w:rsidRPr="001C640D" w:rsidRDefault="008224C8" w:rsidP="00550135">
      <w:pPr>
        <w:pStyle w:val="Quote1"/>
        <w:rPr>
          <w:szCs w:val="22"/>
        </w:rPr>
      </w:pPr>
      <w:r w:rsidRPr="001C640D">
        <w:t>... I think that the words “except in the performance of any duty as an officer” ought to receive a very wide interpretation. The word “duty” there is not, I think, used in a sense that is confined to a legal obligation, but really would be better represented by the word “</w:t>
      </w:r>
      <w:r w:rsidRPr="001C640D">
        <w:rPr>
          <w:szCs w:val="22"/>
        </w:rPr>
        <w:t>function”.</w:t>
      </w:r>
      <w:r w:rsidRPr="001C640D">
        <w:t xml:space="preserve"> </w:t>
      </w:r>
      <w:r w:rsidRPr="001C640D">
        <w:rPr>
          <w:szCs w:val="22"/>
        </w:rPr>
        <w:t>The exception governs all that is incidental to the carrying out of what is commonly called “the duties of an officer</w:t>
      </w:r>
      <w:r w:rsidR="00AD5EAC" w:rsidRPr="001C640D">
        <w:rPr>
          <w:szCs w:val="22"/>
        </w:rPr>
        <w:t>’</w:t>
      </w:r>
      <w:r w:rsidRPr="001C640D">
        <w:rPr>
          <w:szCs w:val="22"/>
        </w:rPr>
        <w:t>s employment”; that is to say, the functions and proper actions which his employment authorizes.</w:t>
      </w:r>
    </w:p>
    <w:p w14:paraId="584287EA" w14:textId="77777777" w:rsidR="008224C8" w:rsidRDefault="007C793F" w:rsidP="008224C8">
      <w:pPr>
        <w:pStyle w:val="ParaNumbering"/>
      </w:pPr>
      <w:r>
        <w:t xml:space="preserve">On appeal, </w:t>
      </w:r>
      <w:proofErr w:type="spellStart"/>
      <w:r>
        <w:t>McTiernan</w:t>
      </w:r>
      <w:proofErr w:type="spellEnd"/>
      <w:r>
        <w:t xml:space="preserve"> J, with whom Williams and </w:t>
      </w:r>
      <w:proofErr w:type="spellStart"/>
      <w:r>
        <w:t>Kitto</w:t>
      </w:r>
      <w:proofErr w:type="spellEnd"/>
      <w:r>
        <w:t xml:space="preserve"> J</w:t>
      </w:r>
      <w:r w:rsidR="00AD5EAC">
        <w:t>J</w:t>
      </w:r>
      <w:r>
        <w:t xml:space="preserve"> agreed, expressly endorsed that construction (at 10).</w:t>
      </w:r>
    </w:p>
    <w:p w14:paraId="0B651313" w14:textId="57CFAD07" w:rsidR="007C793F" w:rsidRDefault="00EF0BBA" w:rsidP="00CD1346">
      <w:pPr>
        <w:pStyle w:val="ParaNumbering"/>
      </w:pPr>
      <w:r>
        <w:lastRenderedPageBreak/>
        <w:t xml:space="preserve">In </w:t>
      </w:r>
      <w:r w:rsidR="00EB3012">
        <w:rPr>
          <w:i/>
        </w:rPr>
        <w:t xml:space="preserve">Federal </w:t>
      </w:r>
      <w:r w:rsidRPr="009C36D5">
        <w:rPr>
          <w:i/>
        </w:rPr>
        <w:t>Commissioner of Taxation v Nestle Australia Ltd</w:t>
      </w:r>
      <w:r w:rsidRPr="009C36D5">
        <w:t xml:space="preserve"> [1986] FCA 479; 12 FCR 257 </w:t>
      </w:r>
      <w:r>
        <w:t>at 261, t</w:t>
      </w:r>
      <w:r w:rsidR="007C793F">
        <w:t>he “performance of the duties as a taxation officer” was held to</w:t>
      </w:r>
      <w:r w:rsidR="00F1002D">
        <w:t xml:space="preserve">: </w:t>
      </w:r>
    </w:p>
    <w:p w14:paraId="3F996511" w14:textId="552DD4E3" w:rsidR="00893C9E" w:rsidRPr="001C640D" w:rsidRDefault="00EF0BBA" w:rsidP="00550135">
      <w:pPr>
        <w:pStyle w:val="Quote1"/>
      </w:pPr>
      <w:r w:rsidRPr="001C640D">
        <w:t>[</w:t>
      </w:r>
      <w:r w:rsidR="007C793F" w:rsidRPr="001C640D">
        <w:t>E</w:t>
      </w:r>
      <w:r w:rsidRPr="001C640D">
        <w:t>]</w:t>
      </w:r>
      <w:proofErr w:type="spellStart"/>
      <w:r w:rsidR="007C793F" w:rsidRPr="001C640D">
        <w:t>xtend</w:t>
      </w:r>
      <w:proofErr w:type="spellEnd"/>
      <w:r w:rsidR="00AD5EAC" w:rsidRPr="001C640D">
        <w:t xml:space="preserve"> </w:t>
      </w:r>
      <w:r w:rsidR="007C793F" w:rsidRPr="001C640D">
        <w:t>beyond the performance of work of an administrative nature such as processing returns, making assessments, considering and dealing with objections, conducting investigations into the affairs of taxpayers and matters of this nature. It includes the occasions on which he is required by the judicial process to produce documents or give evidence in courts, by affidavit or viva voce, concerning the affairs of some other person which he has acquired as an “officer”, </w:t>
      </w:r>
      <w:r w:rsidR="007C793F" w:rsidRPr="001C640D">
        <w:rPr>
          <w:iCs/>
        </w:rPr>
        <w:t>where the proceedings are referrable to the imposition, assessment or collection of revenue.</w:t>
      </w:r>
      <w:r w:rsidR="007C793F" w:rsidRPr="001C640D">
        <w:t> These include appeals to courts under Pt V of the </w:t>
      </w:r>
      <w:r w:rsidR="007C793F" w:rsidRPr="001C640D">
        <w:rPr>
          <w:iCs/>
        </w:rPr>
        <w:t>Assessment Act</w:t>
      </w:r>
      <w:r w:rsidR="007C793F" w:rsidRPr="001C640D">
        <w:t>, proceedings for the obtaining of revenue, applications challenging decisions of the Commissioner pursuant to </w:t>
      </w:r>
      <w:r w:rsidRPr="001C640D">
        <w:t>s</w:t>
      </w:r>
      <w:r w:rsidR="00F1002D" w:rsidRPr="001C640D">
        <w:t xml:space="preserve"> </w:t>
      </w:r>
      <w:r w:rsidRPr="001C640D">
        <w:t xml:space="preserve">39B </w:t>
      </w:r>
      <w:r w:rsidR="007C793F" w:rsidRPr="001C640D">
        <w:t>of the </w:t>
      </w:r>
      <w:r w:rsidRPr="001C640D">
        <w:rPr>
          <w:iCs/>
        </w:rPr>
        <w:t>Judiciary Act 1903</w:t>
      </w:r>
      <w:r w:rsidR="007C793F" w:rsidRPr="001C640D">
        <w:t> and applications for review of decisions of the Commissioner under the </w:t>
      </w:r>
      <w:r w:rsidR="007C793F" w:rsidRPr="001C640D">
        <w:rPr>
          <w:iCs/>
        </w:rPr>
        <w:t>Judicial Review Act</w:t>
      </w:r>
      <w:r w:rsidR="007C793F" w:rsidRPr="001C640D">
        <w:rPr>
          <w:i/>
          <w:iCs/>
        </w:rPr>
        <w:t> </w:t>
      </w:r>
      <w:r w:rsidR="007C793F" w:rsidRPr="001C640D">
        <w:t xml:space="preserve">with which this case is concerned. </w:t>
      </w:r>
    </w:p>
    <w:p w14:paraId="7AC71A9C" w14:textId="5219E170" w:rsidR="00EF0BBA" w:rsidRDefault="00EF0BBA" w:rsidP="00CD1346">
      <w:pPr>
        <w:pStyle w:val="ParaNumbering"/>
      </w:pPr>
      <w:r>
        <w:t xml:space="preserve">Similarly, in </w:t>
      </w:r>
      <w:r w:rsidRPr="009C36D5">
        <w:rPr>
          <w:i/>
        </w:rPr>
        <w:t xml:space="preserve">Consolidated Press </w:t>
      </w:r>
      <w:r w:rsidR="00F1002D" w:rsidRPr="009C36D5">
        <w:rPr>
          <w:i/>
        </w:rPr>
        <w:t>Holding</w:t>
      </w:r>
      <w:r w:rsidR="00F1002D">
        <w:rPr>
          <w:i/>
        </w:rPr>
        <w:t xml:space="preserve"> Ltd</w:t>
      </w:r>
      <w:r w:rsidR="00F1002D" w:rsidRPr="009C36D5">
        <w:rPr>
          <w:i/>
        </w:rPr>
        <w:t xml:space="preserve"> </w:t>
      </w:r>
      <w:r w:rsidRPr="009C36D5">
        <w:rPr>
          <w:i/>
        </w:rPr>
        <w:t xml:space="preserve">v </w:t>
      </w:r>
      <w:r w:rsidR="00F1002D">
        <w:rPr>
          <w:i/>
        </w:rPr>
        <w:t xml:space="preserve">Federal </w:t>
      </w:r>
      <w:r w:rsidRPr="009C36D5">
        <w:rPr>
          <w:i/>
        </w:rPr>
        <w:t>Commissioner of Taxation</w:t>
      </w:r>
      <w:r w:rsidRPr="009C36D5">
        <w:t xml:space="preserve"> [1994] FCA 1367; 57 FCR 348</w:t>
      </w:r>
      <w:r>
        <w:t xml:space="preserve"> at 353, the phrase was held to encompass</w:t>
      </w:r>
      <w:r w:rsidR="00F1002D">
        <w:t>:</w:t>
      </w:r>
    </w:p>
    <w:p w14:paraId="4354BFEB" w14:textId="4E3F6E9B" w:rsidR="00EF0BBA" w:rsidRPr="00EF0BBA" w:rsidRDefault="00E36075" w:rsidP="00EF0BBA">
      <w:pPr>
        <w:pStyle w:val="Quote1"/>
      </w:pPr>
      <w:r>
        <w:t>[N]</w:t>
      </w:r>
      <w:proofErr w:type="spellStart"/>
      <w:r w:rsidR="00EF0BBA" w:rsidRPr="00EF0BBA">
        <w:t>ot</w:t>
      </w:r>
      <w:proofErr w:type="spellEnd"/>
      <w:r w:rsidR="00EF0BBA" w:rsidRPr="00EF0BBA">
        <w:t xml:space="preserve"> only collecting tax and recovering unpaid amounts, but resolving disputes for taxpayers, providing advice to taxpayers concerning their rights and obligations under the taxation laws of the Commonwealth, assessing the liability to taxation of taxpayers, auditing the financial affairs of taxpayers to establish their assessable and taxable incomes and deductions and prosecuting offenders under the taxation laws</w:t>
      </w:r>
      <w:r w:rsidR="00F1002D">
        <w:t>.</w:t>
      </w:r>
    </w:p>
    <w:p w14:paraId="25536DEB" w14:textId="77777777" w:rsidR="003C6392" w:rsidRDefault="00456216" w:rsidP="00CD1346">
      <w:pPr>
        <w:pStyle w:val="ParaNumbering"/>
      </w:pPr>
      <w:r>
        <w:t>Given that the disclosures were made to prospective witnesses for the purposes of preparing witness statements in conjunction with the investigation of federal offences stemming from a taxation audit, they were self-evidently made “in performing the officers’ duties” (PJ[22]).</w:t>
      </w:r>
    </w:p>
    <w:p w14:paraId="0CAC9828" w14:textId="21BFD865" w:rsidR="00456216" w:rsidRDefault="00456216" w:rsidP="00CD1346">
      <w:pPr>
        <w:pStyle w:val="ParaNumbering"/>
      </w:pPr>
      <w:r>
        <w:t>Further, it would be contrary to the text of s 355-50(2) to restrict the use of the word “entity” in the table to an entity that is also a taxation officer. First,</w:t>
      </w:r>
      <w:r w:rsidR="008409DF">
        <w:t xml:space="preserve"> s 355-5</w:t>
      </w:r>
      <w:r>
        <w:t xml:space="preserve">0(2) is expressed to be without </w:t>
      </w:r>
      <w:r w:rsidR="008F108A">
        <w:t>any limitation to</w:t>
      </w:r>
      <w:r>
        <w:t xml:space="preserve"> subsection (1)</w:t>
      </w:r>
      <w:r w:rsidR="008F108A">
        <w:t>,</w:t>
      </w:r>
      <w:r w:rsidR="008409DF">
        <w:t xml:space="preserve"> and to be inclusive of records or disclosures made to</w:t>
      </w:r>
      <w:r>
        <w:t>, inter alia “</w:t>
      </w:r>
      <w:r w:rsidRPr="00456216">
        <w:rPr>
          <w:b/>
        </w:rPr>
        <w:t xml:space="preserve">any </w:t>
      </w:r>
      <w:r>
        <w:t>entity, court of tribunal”</w:t>
      </w:r>
      <w:r w:rsidR="008409DF">
        <w:t xml:space="preserve"> in performing duties as a taxation officer as mentioned in the table.</w:t>
      </w:r>
      <w:r>
        <w:t xml:space="preserve"> It</w:t>
      </w:r>
      <w:r w:rsidR="008409DF">
        <w:t xml:space="preserve"> would result in an absurdity if “</w:t>
      </w:r>
      <w:r w:rsidR="008409DF" w:rsidRPr="008409DF">
        <w:rPr>
          <w:b/>
        </w:rPr>
        <w:t>any</w:t>
      </w:r>
      <w:r w:rsidR="008409DF">
        <w:t xml:space="preserve"> entity” in s 355-50(2) were restricted to “</w:t>
      </w:r>
      <w:r w:rsidR="008409DF" w:rsidRPr="008409DF">
        <w:rPr>
          <w:b/>
        </w:rPr>
        <w:t xml:space="preserve">the </w:t>
      </w:r>
      <w:r w:rsidR="008409DF">
        <w:t>entity” in s 355-50(1). The statutory context indicates that it must be permissible to disclose to an entity that is not a taxation officer, not merely because the table itself refers, inter alia, to courts, tribunals, board members, competent authorities, employers and payers, but also because</w:t>
      </w:r>
      <w:r w:rsidR="00E36075">
        <w:t xml:space="preserve"> </w:t>
      </w:r>
      <w:proofErr w:type="spellStart"/>
      <w:r w:rsidR="007811BE">
        <w:t>s</w:t>
      </w:r>
      <w:r w:rsidR="008409DF">
        <w:t>ub</w:t>
      </w:r>
      <w:r w:rsidR="007811BE">
        <w:t>d</w:t>
      </w:r>
      <w:r w:rsidR="008409DF">
        <w:t>iv</w:t>
      </w:r>
      <w:proofErr w:type="spellEnd"/>
      <w:r w:rsidR="008409DF">
        <w:t xml:space="preserve"> C, which deals with the consequences of disclosure of protected information, would have no work to do</w:t>
      </w:r>
      <w:r w:rsidR="00E36075">
        <w:t xml:space="preserve"> otherwise</w:t>
      </w:r>
      <w:r w:rsidR="008409DF">
        <w:t>.</w:t>
      </w:r>
    </w:p>
    <w:p w14:paraId="5455EA75" w14:textId="22FBBB24" w:rsidR="00725FEE" w:rsidRDefault="008409DF" w:rsidP="00725FEE">
      <w:pPr>
        <w:pStyle w:val="ParaNumbering"/>
      </w:pPr>
      <w:r>
        <w:t xml:space="preserve">The primary judge’s conclusion in respect of the construction of s 355-50(1) was correct. </w:t>
      </w:r>
      <w:r w:rsidR="00E36075">
        <w:t>As such</w:t>
      </w:r>
      <w:r w:rsidR="00F203BB">
        <w:t>, G</w:t>
      </w:r>
      <w:r w:rsidR="00725FEE">
        <w:t xml:space="preserve">rounds 2 and 4 must be dismissed. </w:t>
      </w:r>
      <w:r w:rsidR="006B507A">
        <w:t>It is therefore strictly unnecessary to deal with the remaining grounds of appeal.</w:t>
      </w:r>
    </w:p>
    <w:p w14:paraId="7F105F9E" w14:textId="77777777" w:rsidR="00AD5EAC" w:rsidRDefault="00AD5EAC" w:rsidP="00944A14">
      <w:pPr>
        <w:pStyle w:val="Heading2"/>
      </w:pPr>
      <w:r>
        <w:lastRenderedPageBreak/>
        <w:t>Ground 3</w:t>
      </w:r>
    </w:p>
    <w:p w14:paraId="32313DCA" w14:textId="079BEB06" w:rsidR="00725FEE" w:rsidRDefault="00725FEE" w:rsidP="00725FEE">
      <w:pPr>
        <w:pStyle w:val="ParaNumbering"/>
      </w:pPr>
      <w:r>
        <w:t>Ms McEwan conceded below that the issue of whether s 355-50 authorised disclosure</w:t>
      </w:r>
      <w:r w:rsidR="00F203BB">
        <w:t>,</w:t>
      </w:r>
      <w:r>
        <w:t xml:space="preserve"> in circumstances where the information was obtained pursuant to a warrant issued under s 3E of the </w:t>
      </w:r>
      <w:r w:rsidRPr="009C36D5">
        <w:rPr>
          <w:b/>
          <w:i/>
        </w:rPr>
        <w:t>Crimes Act</w:t>
      </w:r>
      <w:r w:rsidRPr="009C36D5">
        <w:rPr>
          <w:i/>
        </w:rPr>
        <w:t xml:space="preserve"> 1914</w:t>
      </w:r>
      <w:r w:rsidRPr="009C36D5">
        <w:t xml:space="preserve"> (</w:t>
      </w:r>
      <w:proofErr w:type="spellStart"/>
      <w:r w:rsidRPr="009C36D5">
        <w:t>Cth</w:t>
      </w:r>
      <w:proofErr w:type="spellEnd"/>
      <w:r w:rsidRPr="009C36D5">
        <w:t>)</w:t>
      </w:r>
      <w:r w:rsidR="00F203BB">
        <w:t>,</w:t>
      </w:r>
      <w:r w:rsidRPr="009C36D5">
        <w:t xml:space="preserve"> </w:t>
      </w:r>
      <w:r>
        <w:t xml:space="preserve">was not a separate issue. Section </w:t>
      </w:r>
      <w:proofErr w:type="gramStart"/>
      <w:r>
        <w:t>3ZQU(</w:t>
      </w:r>
      <w:proofErr w:type="gramEnd"/>
      <w:r>
        <w:t xml:space="preserve">1) of the </w:t>
      </w:r>
      <w:r w:rsidRPr="00EF0BBA">
        <w:rPr>
          <w:i/>
        </w:rPr>
        <w:t>Crimes Act</w:t>
      </w:r>
      <w:r>
        <w:t xml:space="preserve"> imposes restrictions on the use or sharing of documents obtained pursuant to a warrant. Section </w:t>
      </w:r>
      <w:proofErr w:type="gramStart"/>
      <w:r>
        <w:t>3ZQU(</w:t>
      </w:r>
      <w:proofErr w:type="gramEnd"/>
      <w:r>
        <w:t>4), however, provides that sub-s 1 does not apply where use or sharing of material is authorised by another law of the Commonwealth. The disclosure of material obtained by warrant was, on the proper construction of s 355-50, thereby authorised. Ground 3 must be dismissed.</w:t>
      </w:r>
    </w:p>
    <w:p w14:paraId="261C3EEF" w14:textId="77777777" w:rsidR="0056236F" w:rsidRDefault="0056236F" w:rsidP="004255D7">
      <w:pPr>
        <w:pStyle w:val="Heading2"/>
      </w:pPr>
      <w:r>
        <w:t>Grounds 1 and 7</w:t>
      </w:r>
    </w:p>
    <w:p w14:paraId="24A7146B" w14:textId="7133D201" w:rsidR="007539ED" w:rsidRDefault="0056236F" w:rsidP="00725FEE">
      <w:pPr>
        <w:pStyle w:val="ParaNumbering"/>
      </w:pPr>
      <w:r>
        <w:t>By Ground 1, Ms McEwan challenges the primary judge’s finding that, b</w:t>
      </w:r>
      <w:r w:rsidR="007539ED">
        <w:t>ecause the disclosures were authorised by s 355-50, the AIC could be properly satisfied</w:t>
      </w:r>
      <w:r w:rsidR="00345C65">
        <w:t xml:space="preserve">, in accordance with s 41(a) of the </w:t>
      </w:r>
      <w:r w:rsidR="00345C65" w:rsidRPr="00345C65">
        <w:rPr>
          <w:i/>
        </w:rPr>
        <w:t>Privacy</w:t>
      </w:r>
      <w:r w:rsidR="007539ED" w:rsidRPr="00345C65">
        <w:rPr>
          <w:i/>
        </w:rPr>
        <w:t xml:space="preserve"> </w:t>
      </w:r>
      <w:r w:rsidR="00345C65" w:rsidRPr="00345C65">
        <w:rPr>
          <w:i/>
        </w:rPr>
        <w:t>Act</w:t>
      </w:r>
      <w:r w:rsidR="00F203BB">
        <w:t>,</w:t>
      </w:r>
      <w:r w:rsidR="00345C65">
        <w:t xml:space="preserve"> </w:t>
      </w:r>
      <w:r w:rsidR="007539ED">
        <w:t xml:space="preserve">that </w:t>
      </w:r>
      <w:r w:rsidR="00345C65">
        <w:t xml:space="preserve">there had not been an interference with Ms McEwan’s privacy and so </w:t>
      </w:r>
      <w:r w:rsidR="007539ED">
        <w:t>the privac</w:t>
      </w:r>
      <w:r>
        <w:t xml:space="preserve">y complaint should be dismissed without investigation. </w:t>
      </w:r>
    </w:p>
    <w:p w14:paraId="38C70C30" w14:textId="6C62A490" w:rsidR="0056236F" w:rsidRDefault="0056236F" w:rsidP="00725FEE">
      <w:pPr>
        <w:pStyle w:val="ParaNumbering"/>
      </w:pPr>
      <w:r>
        <w:t xml:space="preserve">As was developed in her oral submissions, Ground 1 relies not </w:t>
      </w:r>
      <w:r w:rsidR="00F203BB">
        <w:t>merely on the construction of s </w:t>
      </w:r>
      <w:r>
        <w:t>355-50 of the TAA</w:t>
      </w:r>
      <w:r w:rsidR="004255D7">
        <w:t>, which was the primary focus o</w:t>
      </w:r>
      <w:r w:rsidR="00F203BB">
        <w:t>f G</w:t>
      </w:r>
      <w:r w:rsidR="004255D7">
        <w:t>rounds 2, 3 and 4,</w:t>
      </w:r>
      <w:r>
        <w:t xml:space="preserve"> but also on the construction of s 41 of the </w:t>
      </w:r>
      <w:r w:rsidRPr="0056236F">
        <w:rPr>
          <w:i/>
        </w:rPr>
        <w:t>Privacy Act</w:t>
      </w:r>
      <w:r>
        <w:t>. Ms McEwan submitted, quite properly, that the</w:t>
      </w:r>
      <w:r w:rsidR="003779BE">
        <w:t xml:space="preserve"> </w:t>
      </w:r>
      <w:r>
        <w:t>construction of s 41 is informed by the Objects of the Act</w:t>
      </w:r>
      <w:r w:rsidR="00760463">
        <w:t xml:space="preserve">, as stipulated in s 2A of the </w:t>
      </w:r>
      <w:r w:rsidR="00760463" w:rsidRPr="00760463">
        <w:rPr>
          <w:i/>
        </w:rPr>
        <w:t>Privacy Act</w:t>
      </w:r>
      <w:r w:rsidR="00760463">
        <w:t>:</w:t>
      </w:r>
    </w:p>
    <w:p w14:paraId="472B5392" w14:textId="77777777" w:rsidR="00760463" w:rsidRDefault="00760463" w:rsidP="00760463">
      <w:pPr>
        <w:pStyle w:val="Quote1"/>
      </w:pPr>
      <w:r>
        <w:t>The objects of this Act are:</w:t>
      </w:r>
    </w:p>
    <w:p w14:paraId="6431E27A" w14:textId="77777777" w:rsidR="00760463" w:rsidRPr="00760463" w:rsidRDefault="00760463" w:rsidP="00D65022">
      <w:pPr>
        <w:pStyle w:val="Quote1"/>
      </w:pPr>
      <w:r w:rsidRPr="00760463">
        <w:t>(a</w:t>
      </w:r>
      <w:r>
        <w:t>)</w:t>
      </w:r>
      <w:r>
        <w:tab/>
      </w:r>
      <w:proofErr w:type="gramStart"/>
      <w:r w:rsidRPr="00760463">
        <w:t>to</w:t>
      </w:r>
      <w:proofErr w:type="gramEnd"/>
      <w:r w:rsidRPr="00760463">
        <w:t xml:space="preserve"> promote the protection of the privacy of individuals; and</w:t>
      </w:r>
    </w:p>
    <w:p w14:paraId="68CA4560" w14:textId="77777777" w:rsidR="00760463" w:rsidRDefault="00760463" w:rsidP="00760463">
      <w:pPr>
        <w:pStyle w:val="Quote1"/>
        <w:ind w:left="1440" w:hanging="703"/>
      </w:pPr>
      <w:r>
        <w:t>(b)</w:t>
      </w:r>
      <w:r>
        <w:tab/>
      </w:r>
      <w:proofErr w:type="gramStart"/>
      <w:r>
        <w:t>to</w:t>
      </w:r>
      <w:proofErr w:type="gramEnd"/>
      <w:r>
        <w:t xml:space="preserve"> recognise the protection of the privacy of individuals is balanced with the interests of entities in carrying out their functions or activities; and</w:t>
      </w:r>
    </w:p>
    <w:p w14:paraId="32D452A9" w14:textId="77777777" w:rsidR="00760463" w:rsidRDefault="00760463" w:rsidP="00760463">
      <w:pPr>
        <w:pStyle w:val="Quote1"/>
        <w:ind w:left="1440" w:hanging="703"/>
      </w:pPr>
      <w:r>
        <w:t>(c)</w:t>
      </w:r>
      <w:r>
        <w:tab/>
      </w:r>
      <w:proofErr w:type="gramStart"/>
      <w:r>
        <w:t>to</w:t>
      </w:r>
      <w:proofErr w:type="gramEnd"/>
      <w:r>
        <w:t xml:space="preserve"> provide the basis for nationally consistent regulation of privacy and the handling of personal information; and</w:t>
      </w:r>
    </w:p>
    <w:p w14:paraId="1673EE9F" w14:textId="77777777" w:rsidR="00760463" w:rsidRDefault="00760463" w:rsidP="00760463">
      <w:pPr>
        <w:pStyle w:val="Quote1"/>
        <w:ind w:left="1442" w:hanging="705"/>
      </w:pPr>
      <w:r>
        <w:t>(d)</w:t>
      </w:r>
      <w:r>
        <w:tab/>
      </w:r>
      <w:proofErr w:type="gramStart"/>
      <w:r>
        <w:t>to</w:t>
      </w:r>
      <w:proofErr w:type="gramEnd"/>
      <w:r>
        <w:t xml:space="preserve"> promote responsible and transparent handling of personal information by entities; and</w:t>
      </w:r>
    </w:p>
    <w:p w14:paraId="7895F957" w14:textId="77777777" w:rsidR="00760463" w:rsidRDefault="00760463" w:rsidP="00760463">
      <w:pPr>
        <w:pStyle w:val="Quote1"/>
        <w:ind w:left="1440" w:hanging="703"/>
      </w:pPr>
      <w:r>
        <w:t>(e)</w:t>
      </w:r>
      <w:r>
        <w:tab/>
      </w:r>
      <w:proofErr w:type="gramStart"/>
      <w:r>
        <w:t>to</w:t>
      </w:r>
      <w:proofErr w:type="gramEnd"/>
      <w:r>
        <w:t xml:space="preserve"> facilitate an efficient credit reporting system while ensuring that the privacy of individuals is respected; and</w:t>
      </w:r>
    </w:p>
    <w:p w14:paraId="2C8B658F" w14:textId="77777777" w:rsidR="00760463" w:rsidRDefault="00760463" w:rsidP="00760463">
      <w:pPr>
        <w:pStyle w:val="Quote1"/>
        <w:ind w:left="1440" w:hanging="703"/>
      </w:pPr>
      <w:r>
        <w:t>(f)</w:t>
      </w:r>
      <w:r>
        <w:tab/>
      </w:r>
      <w:proofErr w:type="gramStart"/>
      <w:r>
        <w:t>to</w:t>
      </w:r>
      <w:proofErr w:type="gramEnd"/>
      <w:r>
        <w:t xml:space="preserve"> facilitate the free flow of information across national borders while ensuring that the privacy of individuals is respected; and </w:t>
      </w:r>
    </w:p>
    <w:p w14:paraId="7AC3E89A" w14:textId="77777777" w:rsidR="00760463" w:rsidRDefault="00760463" w:rsidP="00760463">
      <w:pPr>
        <w:pStyle w:val="Quote1"/>
        <w:ind w:left="1440" w:hanging="703"/>
      </w:pPr>
      <w:r>
        <w:t>(g)</w:t>
      </w:r>
      <w:r>
        <w:tab/>
      </w:r>
      <w:proofErr w:type="gramStart"/>
      <w:r>
        <w:t>to</w:t>
      </w:r>
      <w:proofErr w:type="gramEnd"/>
      <w:r>
        <w:t xml:space="preserve"> provide a means for individuals to complain about an alleged interference with their privacy; and</w:t>
      </w:r>
    </w:p>
    <w:p w14:paraId="48BF4AFD" w14:textId="77777777" w:rsidR="00760463" w:rsidRDefault="00760463" w:rsidP="00760463">
      <w:pPr>
        <w:pStyle w:val="Quote1"/>
      </w:pPr>
      <w:r>
        <w:lastRenderedPageBreak/>
        <w:t>(h)</w:t>
      </w:r>
      <w:r>
        <w:tab/>
      </w:r>
      <w:proofErr w:type="gramStart"/>
      <w:r>
        <w:t>to</w:t>
      </w:r>
      <w:proofErr w:type="gramEnd"/>
      <w:r>
        <w:t xml:space="preserve"> implement Australia’s international obligation in relation to privacy.</w:t>
      </w:r>
    </w:p>
    <w:p w14:paraId="6DACAD3D" w14:textId="77777777" w:rsidR="004255D7" w:rsidRDefault="00760463" w:rsidP="00725FEE">
      <w:pPr>
        <w:pStyle w:val="ParaNumbering"/>
      </w:pPr>
      <w:r>
        <w:t xml:space="preserve">It will be apparent that there is some tension between and amongst the stated objects of the </w:t>
      </w:r>
      <w:r w:rsidRPr="004255D7">
        <w:rPr>
          <w:i/>
        </w:rPr>
        <w:t>Privacy Act</w:t>
      </w:r>
      <w:r w:rsidR="004255D7">
        <w:t xml:space="preserve"> –</w:t>
      </w:r>
      <w:r>
        <w:t xml:space="preserve"> most relevantly in the present context is the tension between </w:t>
      </w:r>
      <w:r w:rsidR="004255D7">
        <w:t xml:space="preserve">promoting the privacy of an individual and balancing that with the interests of entities, such as the ATO, in carrying out their functions or activities. Neither is prioritised over the other. </w:t>
      </w:r>
    </w:p>
    <w:p w14:paraId="147EFB7E" w14:textId="28FE381E" w:rsidR="00BA122A" w:rsidRDefault="00A441E1" w:rsidP="00725FEE">
      <w:pPr>
        <w:pStyle w:val="ParaNumbering"/>
      </w:pPr>
      <w:r>
        <w:t xml:space="preserve">The AIC is empowered to decide </w:t>
      </w:r>
      <w:r w:rsidRPr="00A441E1">
        <w:rPr>
          <w:b/>
        </w:rPr>
        <w:t>not to investigate</w:t>
      </w:r>
      <w:r>
        <w:rPr>
          <w:b/>
        </w:rPr>
        <w:t xml:space="preserve"> </w:t>
      </w:r>
      <w:r w:rsidRPr="00A441E1">
        <w:t xml:space="preserve">if </w:t>
      </w:r>
      <w:r w:rsidR="00F203BB">
        <w:t>they are</w:t>
      </w:r>
      <w:r>
        <w:t xml:space="preserve"> satisfied, relevantly in this case, that the act is not an interference with an individual’s privacy (s</w:t>
      </w:r>
      <w:r w:rsidR="00BA122A">
        <w:t xml:space="preserve"> </w:t>
      </w:r>
      <w:r>
        <w:t>41(1</w:t>
      </w:r>
      <w:proofErr w:type="gramStart"/>
      <w:r>
        <w:t>)(</w:t>
      </w:r>
      <w:proofErr w:type="gramEnd"/>
      <w:r>
        <w:t>a)) or an investigation is not warranted having regard to all the circumstances (s 41(1)(da)). It is clear from the Commissioner’s</w:t>
      </w:r>
      <w:r w:rsidR="002E1E73">
        <w:t xml:space="preserve"> d</w:t>
      </w:r>
      <w:r>
        <w:t>ecision that she was conscious of the role of the ATO in carrying out its duties, being the investigation of an “anomaly” in relation to a rese</w:t>
      </w:r>
      <w:r w:rsidR="00BA122A">
        <w:t>arch and development tax offset</w:t>
      </w:r>
      <w:r w:rsidR="00E74132">
        <w:t xml:space="preserve"> refund</w:t>
      </w:r>
      <w:r w:rsidR="00BA122A">
        <w:t>, as well as the possibility that Ms McEwan’s privacy had been interfered with by the ATO.</w:t>
      </w:r>
      <w:r>
        <w:t xml:space="preserve"> </w:t>
      </w:r>
    </w:p>
    <w:p w14:paraId="6682CDD7" w14:textId="2DAF56AC" w:rsidR="00BA122A" w:rsidRDefault="00BA122A" w:rsidP="00725FEE">
      <w:pPr>
        <w:pStyle w:val="ParaNumbering"/>
      </w:pPr>
      <w:r>
        <w:t>To the extent that Ground 1 complains that the Commissioner’s state of satisfaction was erroneously reached because of s 355-50</w:t>
      </w:r>
      <w:r w:rsidR="00F203BB">
        <w:t xml:space="preserve"> of the TAA</w:t>
      </w:r>
      <w:r>
        <w:t xml:space="preserve">, the complaint is without foundation. </w:t>
      </w:r>
      <w:r w:rsidR="00A441E1">
        <w:t>The Commissioner formed the view that Ms McEwan’s personal information was collected “for the primary purpose of the [ATO’s] investigation</w:t>
      </w:r>
      <w:r w:rsidR="001F4E0B">
        <w:t>.</w:t>
      </w:r>
      <w:r w:rsidR="00A441E1">
        <w:t>” As the Commissioner observed</w:t>
      </w:r>
      <w:r>
        <w:t>, the AIC does not administer the provisions of the TAA. Having concluded, correctly, that it was permissible for the ATO to disclose the “protected information” under s 355-50, the Commissioner reached a state of satisfaction sufficient for her to decide not to investigate.</w:t>
      </w:r>
    </w:p>
    <w:p w14:paraId="431F8C5E" w14:textId="3A9CD4BC" w:rsidR="00A441E1" w:rsidRDefault="00BA122A" w:rsidP="00725FEE">
      <w:pPr>
        <w:pStyle w:val="ParaNumbering"/>
      </w:pPr>
      <w:r>
        <w:t xml:space="preserve">However, Ms McEwan </w:t>
      </w:r>
      <w:r w:rsidR="00F203BB">
        <w:t xml:space="preserve">further </w:t>
      </w:r>
      <w:r>
        <w:t>complains that the Commissioner could not have reached the appropriate state of satisfaction required by s 41(1</w:t>
      </w:r>
      <w:proofErr w:type="gramStart"/>
      <w:r>
        <w:t>)(</w:t>
      </w:r>
      <w:proofErr w:type="gramEnd"/>
      <w:r>
        <w:t>a)</w:t>
      </w:r>
      <w:r w:rsidR="00F203BB">
        <w:t xml:space="preserve"> of the </w:t>
      </w:r>
      <w:r w:rsidR="00F203BB" w:rsidRPr="00F203BB">
        <w:rPr>
          <w:i/>
        </w:rPr>
        <w:t>Privacy Act</w:t>
      </w:r>
      <w:r>
        <w:t xml:space="preserve"> in the absence of having all the material that was before the AIC when she made the decision.</w:t>
      </w:r>
      <w:r w:rsidR="007E1D7F">
        <w:t xml:space="preserve"> By reason of the matters raised in Ground 7, Ms McEwan submitted that the Commissioner could not have had all the material before her when she made the decision not to investigate because she had only the Draft PV, which Ms McEwan alleges had been tampered w</w:t>
      </w:r>
      <w:r w:rsidR="00121C6F">
        <w:t>ith or was otherwise fraudulent, and the primary judge should have so found.</w:t>
      </w:r>
    </w:p>
    <w:p w14:paraId="2C58D521" w14:textId="06DA710A" w:rsidR="00152FDA" w:rsidRDefault="00152FDA" w:rsidP="00725FEE">
      <w:pPr>
        <w:pStyle w:val="ParaNumbering"/>
      </w:pPr>
      <w:r>
        <w:t xml:space="preserve">These are serious allegations made against the AIC. For that reason, the AIC sought and was granted leave to withdraw its submitting notice </w:t>
      </w:r>
      <w:r w:rsidR="00AD5EAC">
        <w:t xml:space="preserve">for the purpose of </w:t>
      </w:r>
      <w:r w:rsidR="00F203BB">
        <w:t>making submissions relating to G</w:t>
      </w:r>
      <w:r w:rsidR="00AD5EAC">
        <w:t>round 7.</w:t>
      </w:r>
    </w:p>
    <w:p w14:paraId="66F52ACD" w14:textId="052F5145" w:rsidR="00121C6F" w:rsidRDefault="007E1D7F" w:rsidP="00121C6F">
      <w:pPr>
        <w:pStyle w:val="ParaNumbering"/>
      </w:pPr>
      <w:r>
        <w:t xml:space="preserve">The alleged fraud is said to be manifested by discrepancies in </w:t>
      </w:r>
      <w:r w:rsidR="00152FDA">
        <w:t xml:space="preserve">two or more versions of </w:t>
      </w:r>
      <w:r>
        <w:t xml:space="preserve">the email header to the Draft PV, which was an attachment only to </w:t>
      </w:r>
      <w:r w:rsidR="00952456">
        <w:t xml:space="preserve">an internal email </w:t>
      </w:r>
      <w:r>
        <w:t xml:space="preserve">within the </w:t>
      </w:r>
      <w:r w:rsidR="00952456">
        <w:lastRenderedPageBreak/>
        <w:t xml:space="preserve">Commissioner’s office. </w:t>
      </w:r>
      <w:r w:rsidR="00152FDA">
        <w:t>No evidence was adduced as to how these discrepancies came about. There was</w:t>
      </w:r>
      <w:r w:rsidR="00BA12BD">
        <w:t>,</w:t>
      </w:r>
      <w:r w:rsidR="00152FDA">
        <w:t xml:space="preserve"> however</w:t>
      </w:r>
      <w:r w:rsidR="00BA12BD">
        <w:t>,</w:t>
      </w:r>
      <w:r w:rsidR="00152FDA">
        <w:t xml:space="preserve"> no difference in the substantive text of the Draft PV in any version before the Court. </w:t>
      </w:r>
      <w:r w:rsidR="00952456">
        <w:t>As was explained to Ms McEwan in an email dated 28 June 2022 from the solicitor for the AIC, the Draft PV was never sent because the Commissioner took a different view from that expressed in the Draft PV and decided not to investigate.</w:t>
      </w:r>
      <w:r w:rsidR="00152FDA">
        <w:t xml:space="preserve"> Ms McEwan does not accept that explanation and maintains that there was more material (she does not say how or where) that must have been before the Commissioner when she made her decision and which has not been disclosed.</w:t>
      </w:r>
    </w:p>
    <w:p w14:paraId="6677F62D" w14:textId="7ED34C58" w:rsidR="006B507A" w:rsidRDefault="006B507A" w:rsidP="00B4786B">
      <w:pPr>
        <w:pStyle w:val="ParaNumbering"/>
      </w:pPr>
      <w:r>
        <w:t xml:space="preserve">Ms McEwan did not allege fraud before the primary judge. </w:t>
      </w:r>
      <w:r w:rsidR="00121C6F">
        <w:t xml:space="preserve">Although she raised the </w:t>
      </w:r>
      <w:r>
        <w:t>discrepancies</w:t>
      </w:r>
      <w:r w:rsidR="00121C6F">
        <w:t xml:space="preserve">, it is apparent from </w:t>
      </w:r>
      <w:r w:rsidR="00BA12BD">
        <w:rPr>
          <w:szCs w:val="24"/>
        </w:rPr>
        <w:t>the transcript below</w:t>
      </w:r>
      <w:r w:rsidR="00121C6F" w:rsidRPr="00121C6F">
        <w:rPr>
          <w:szCs w:val="24"/>
        </w:rPr>
        <w:t xml:space="preserve"> that any concern Ms McEwan had with the authenticity of the document was ultimately not pressed at hearing. </w:t>
      </w:r>
      <w:r>
        <w:t xml:space="preserve">The primary judge dealt with the matter in this way, at </w:t>
      </w:r>
      <w:r w:rsidR="00692CD3">
        <w:t>PJ</w:t>
      </w:r>
      <w:r>
        <w:t>[26]-[27]:</w:t>
      </w:r>
    </w:p>
    <w:p w14:paraId="232C1848" w14:textId="77777777" w:rsidR="006B507A" w:rsidRPr="006B507A" w:rsidRDefault="006B507A" w:rsidP="006B507A">
      <w:pPr>
        <w:pStyle w:val="Quote1"/>
      </w:pPr>
      <w:r w:rsidRPr="006B507A">
        <w:t>For completeness, I should mention that, at an anterior stage of the administrative processes within the Office of the Information Commissioner, a view different to that which came ultimately to be expressed on 6 April 2022 was formed.  That became the subject of an internal communication, by email, as between a subordinate and the ultimate decision-maker within the Office of the Information Commissioner. Yet further one particular print of that email for a reason not readily apparent, came upon its retrieval and printing into hard copy to bear a year imprint 2001.</w:t>
      </w:r>
    </w:p>
    <w:p w14:paraId="6DAC4643" w14:textId="77777777" w:rsidR="006B507A" w:rsidRDefault="006B507A" w:rsidP="006B507A">
      <w:pPr>
        <w:pStyle w:val="Quote1"/>
      </w:pPr>
      <w:r w:rsidRPr="006B507A">
        <w:t xml:space="preserve">It is not for me either to investigate or speculate about how such an imprint came to occur, only to recognise that the views of the subordinate came not to be adopted.  That is not to say that those views, for reasons which doubtless seemed good to the subordinate, may not have been shared at a consideration stage with Ms McEwan.  It would be quite wrong, however, to form any conspiratorial view about the ultimate decision made by the Information Commissioner.  There is not a scintilla of evidence whatsoever which would suggest that that decision was made other than in good faith.  Further, for the reasons which I have expressed, that decision is not one where the satisfaction formed was infected by the error for which Ms McEwan contends.  </w:t>
      </w:r>
    </w:p>
    <w:p w14:paraId="05107CD1" w14:textId="77777777" w:rsidR="00121C6F" w:rsidRDefault="00121C6F" w:rsidP="00725FEE">
      <w:pPr>
        <w:pStyle w:val="ParaNumbering"/>
      </w:pPr>
      <w:r>
        <w:t xml:space="preserve">There is no basis for Ms McEwan’s contention that the primary judge failed to place any weight on “tampered evidence” relevant to the proceeding. This is because there was no evidence that any evidence had been tampered with. </w:t>
      </w:r>
    </w:p>
    <w:p w14:paraId="649116CB" w14:textId="70845D9C" w:rsidR="00121C6F" w:rsidRDefault="00121C6F" w:rsidP="00FE230F">
      <w:pPr>
        <w:pStyle w:val="ParaNumbering"/>
      </w:pPr>
      <w:r>
        <w:t>T</w:t>
      </w:r>
      <w:r w:rsidR="006B507A">
        <w:t>he allegation of fraud raised in this Court</w:t>
      </w:r>
      <w:r w:rsidR="00BA12BD">
        <w:t>,</w:t>
      </w:r>
      <w:r w:rsidR="006B507A">
        <w:t xml:space="preserve"> for the first time on appeal</w:t>
      </w:r>
      <w:r w:rsidR="00BA12BD">
        <w:t>,</w:t>
      </w:r>
      <w:r w:rsidR="006B507A">
        <w:t xml:space="preserve"> is not one that can be entertained. Ms McEwan asserted that the Commissioner had every opportunity to adduce evidence about the discrepancies in the headers to the documents but chose to stay silent. That submission cannot be accepted. An explanation was proffered in the email of 28 June 2022 referred to above. If Ms McEwan wished to challenge that explanation, her opportunity to do so was at the hearing before the primary judge</w:t>
      </w:r>
      <w:r w:rsidRPr="00121C6F">
        <w:t xml:space="preserve">. </w:t>
      </w:r>
    </w:p>
    <w:p w14:paraId="2D2464C8" w14:textId="57A87F6F" w:rsidR="00B4786B" w:rsidRPr="00121C6F" w:rsidRDefault="00B4786B" w:rsidP="00121C6F">
      <w:pPr>
        <w:pStyle w:val="ParaNumbering"/>
      </w:pPr>
      <w:r>
        <w:lastRenderedPageBreak/>
        <w:t xml:space="preserve">Ms McEwan sought to invoke the principles in </w:t>
      </w:r>
      <w:r w:rsidR="00FF5C34">
        <w:rPr>
          <w:i/>
        </w:rPr>
        <w:t>Clone Pty Ltd and Players Pty Ltd (In Liquidation) (Receivers &amp; Managers Appointed)</w:t>
      </w:r>
      <w:r w:rsidR="00FF5C34" w:rsidRPr="0065525C">
        <w:t xml:space="preserve"> [</w:t>
      </w:r>
      <w:r w:rsidR="00FF5C34">
        <w:t xml:space="preserve">2018] HCA 12; 261 CLR 165 </w:t>
      </w:r>
      <w:r>
        <w:t>in support of Ground 7. Those principles do not assist Ms McEwan. To the contrary, they establish, inter alia, that the appropriate procedure for seeking an order setting aside an earlier perfected judgment is by application in a new proceeding, and not by application in the proceeding in which the judgment was obtained (at [68]), or by extension on appeal where the matter has not been raised at first instance. Further, it is necessary to demonstrate actual fraud. Proof of misconduct, accident, surprise, mistake or lack of frankness will not suffice (at [55]-[56]).</w:t>
      </w:r>
    </w:p>
    <w:p w14:paraId="683B09DF" w14:textId="7C02B286" w:rsidR="00121C6F" w:rsidRDefault="00121C6F" w:rsidP="00121C6F">
      <w:pPr>
        <w:pStyle w:val="ParaNumbering"/>
      </w:pPr>
      <w:r>
        <w:t xml:space="preserve">In any event, </w:t>
      </w:r>
      <w:r w:rsidRPr="00604A1D">
        <w:t>the allegations go nowhere in circumstances where Ms McEwan</w:t>
      </w:r>
      <w:r w:rsidRPr="00EB5A2F">
        <w:t xml:space="preserve"> accepts that any preliminary view which might have been expressed by a subordinate was</w:t>
      </w:r>
      <w:r>
        <w:t xml:space="preserve"> overruled</w:t>
      </w:r>
      <w:r w:rsidRPr="00EB5A2F">
        <w:t xml:space="preserve"> by the delegate who was the decision-maker. The </w:t>
      </w:r>
      <w:r w:rsidR="0039390B">
        <w:t xml:space="preserve">Draft PV </w:t>
      </w:r>
      <w:r w:rsidRPr="00EB5A2F">
        <w:t>is</w:t>
      </w:r>
      <w:r w:rsidR="00BA12BD">
        <w:t>,</w:t>
      </w:r>
      <w:r w:rsidRPr="00EB5A2F">
        <w:t xml:space="preserve"> therefore</w:t>
      </w:r>
      <w:r w:rsidR="00BA12BD">
        <w:t>,</w:t>
      </w:r>
      <w:r w:rsidRPr="00EB5A2F">
        <w:t xml:space="preserve"> not the subject of this appeal and is of no relevance.</w:t>
      </w:r>
      <w:r>
        <w:t xml:space="preserve"> </w:t>
      </w:r>
    </w:p>
    <w:p w14:paraId="3BF69936" w14:textId="440EC03B" w:rsidR="00121C6F" w:rsidRPr="00604A1D" w:rsidRDefault="00121C6F" w:rsidP="00121C6F">
      <w:pPr>
        <w:pStyle w:val="ParaNumbering"/>
      </w:pPr>
      <w:r w:rsidRPr="00604A1D">
        <w:t xml:space="preserve">There is nothing before this Court that suggests that the </w:t>
      </w:r>
      <w:r w:rsidR="0039390B">
        <w:t>AIC</w:t>
      </w:r>
      <w:r w:rsidRPr="00604A1D">
        <w:t xml:space="preserve"> acted in bad faith, tampered with evidence or committed fraud. </w:t>
      </w:r>
    </w:p>
    <w:p w14:paraId="7E60875A" w14:textId="77777777" w:rsidR="006B507A" w:rsidRDefault="0039390B" w:rsidP="00725FEE">
      <w:pPr>
        <w:pStyle w:val="ParaNumbering"/>
      </w:pPr>
      <w:r>
        <w:t>Ground 7 must be dismissed.</w:t>
      </w:r>
    </w:p>
    <w:p w14:paraId="5835869F" w14:textId="1AA89754" w:rsidR="008409DF" w:rsidRDefault="00725FEE" w:rsidP="00725FEE">
      <w:pPr>
        <w:pStyle w:val="ParaNumbering"/>
      </w:pPr>
      <w:r>
        <w:t>It is unnecessary to deal with the remaining grounds of appeal.</w:t>
      </w:r>
    </w:p>
    <w:p w14:paraId="681034C4" w14:textId="1AA89754" w:rsidR="001C640D" w:rsidRDefault="001C640D" w:rsidP="001C640D">
      <w:pPr>
        <w:pStyle w:val="ParaNumbering"/>
        <w:numPr>
          <w:ilvl w:val="0"/>
          <w:numId w:val="0"/>
        </w:numPr>
      </w:pPr>
    </w:p>
    <w:p w14:paraId="0D3D1A10" w14:textId="1AA89754" w:rsidR="001C640D" w:rsidRDefault="001C640D" w:rsidP="001C640D">
      <w:pPr>
        <w:pStyle w:val="ParaNumbering"/>
        <w:numPr>
          <w:ilvl w:val="0"/>
          <w:numId w:val="0"/>
        </w:numPr>
      </w:pPr>
    </w:p>
    <w:p w14:paraId="19B155BE" w14:textId="1AA89754" w:rsidR="001C640D" w:rsidRDefault="001C640D" w:rsidP="001C640D">
      <w:pPr>
        <w:pStyle w:val="ParaNumbering"/>
        <w:numPr>
          <w:ilvl w:val="0"/>
          <w:numId w:val="0"/>
        </w:numPr>
      </w:pPr>
    </w:p>
    <w:p w14:paraId="00DEED1A" w14:textId="1AA89754" w:rsidR="001C640D" w:rsidRDefault="001C640D" w:rsidP="001C640D">
      <w:pPr>
        <w:pStyle w:val="ParaNumbering"/>
        <w:numPr>
          <w:ilvl w:val="0"/>
          <w:numId w:val="0"/>
        </w:numPr>
      </w:pPr>
    </w:p>
    <w:p w14:paraId="187A7694" w14:textId="7FD7AC61" w:rsidR="0039390B" w:rsidRDefault="00A225F3" w:rsidP="00A225F3">
      <w:pPr>
        <w:pStyle w:val="Heading2"/>
      </w:pPr>
      <w:r>
        <w:t>Disposition</w:t>
      </w:r>
    </w:p>
    <w:p w14:paraId="2D23C610" w14:textId="69955AF0" w:rsidR="001C640D" w:rsidRDefault="0039390B" w:rsidP="001C640D">
      <w:pPr>
        <w:pStyle w:val="ParaNumbering"/>
      </w:pPr>
      <w:r>
        <w:t xml:space="preserve">For the reasons given, the appeal must be dismissed. There is no reason why Ms McEwan should not pay </w:t>
      </w:r>
      <w:r w:rsidR="00AD5EAC">
        <w:t xml:space="preserve">each of </w:t>
      </w:r>
      <w:r>
        <w:t>the respondents</w:t>
      </w:r>
      <w:r w:rsidR="00AD5EAC">
        <w:t>’</w:t>
      </w:r>
      <w:r>
        <w:t xml:space="preserve"> costs.</w:t>
      </w:r>
    </w:p>
    <w:p w14:paraId="45D7B3F8" w14:textId="77777777" w:rsidR="00F43086" w:rsidRDefault="00F43086" w:rsidP="00815065">
      <w:pPr>
        <w:pStyle w:val="BodyText"/>
      </w:pPr>
      <w:bookmarkStart w:id="25" w:name="Certification"/>
    </w:p>
    <w:tbl>
      <w:tblPr>
        <w:tblW w:w="0" w:type="auto"/>
        <w:tblLook w:val="04A0" w:firstRow="1" w:lastRow="0" w:firstColumn="1" w:lastColumn="0" w:noHBand="0" w:noVBand="1"/>
      </w:tblPr>
      <w:tblGrid>
        <w:gridCol w:w="3969"/>
      </w:tblGrid>
      <w:tr w:rsidR="00F43086" w:rsidRPr="00F43086" w14:paraId="0C083C39" w14:textId="77777777" w:rsidTr="003C62E8">
        <w:tc>
          <w:tcPr>
            <w:tcW w:w="3969" w:type="dxa"/>
            <w:shd w:val="clear" w:color="auto" w:fill="auto"/>
          </w:tcPr>
          <w:p w14:paraId="7F200FBA" w14:textId="2FD7AAB1" w:rsidR="00F43086" w:rsidRPr="00F43086" w:rsidRDefault="00F43086" w:rsidP="003C62E8">
            <w:pPr>
              <w:pStyle w:val="Normal1linespace"/>
            </w:pPr>
            <w:r w:rsidRPr="00F43086">
              <w:t xml:space="preserve">I certify that the preceding </w:t>
            </w:r>
            <w:bookmarkStart w:id="26" w:name="NumberWord"/>
            <w:r w:rsidR="001C640D">
              <w:t>thirty-nine</w:t>
            </w:r>
            <w:bookmarkEnd w:id="26"/>
            <w:r w:rsidRPr="00F43086">
              <w:t xml:space="preserve"> (</w:t>
            </w:r>
            <w:bookmarkStart w:id="27" w:name="NumberNumeral"/>
            <w:r w:rsidR="001C640D">
              <w:t>39</w:t>
            </w:r>
            <w:bookmarkEnd w:id="27"/>
            <w:r w:rsidRPr="00F43086">
              <w:t xml:space="preserve">) numbered </w:t>
            </w:r>
            <w:bookmarkStart w:id="28" w:name="CertPara"/>
            <w:r w:rsidR="001C640D">
              <w:t>paragraphs are</w:t>
            </w:r>
            <w:bookmarkEnd w:id="28"/>
            <w:r w:rsidRPr="00F43086">
              <w:t xml:space="preserve"> a true copy of the Reasons for Judgment of </w:t>
            </w:r>
            <w:bookmarkStart w:id="29" w:name="bkHonourable"/>
            <w:r w:rsidRPr="00F43086">
              <w:t xml:space="preserve">the Honourable </w:t>
            </w:r>
            <w:bookmarkStart w:id="30" w:name="Justice"/>
            <w:bookmarkEnd w:id="29"/>
            <w:r w:rsidR="001C640D">
              <w:t>Justice</w:t>
            </w:r>
            <w:r w:rsidR="00680D82">
              <w:t xml:space="preserve">s </w:t>
            </w:r>
            <w:proofErr w:type="spellStart"/>
            <w:r w:rsidR="00680D82">
              <w:t>Charlesworth</w:t>
            </w:r>
            <w:proofErr w:type="spellEnd"/>
            <w:r w:rsidR="00680D82">
              <w:t>,</w:t>
            </w:r>
            <w:r w:rsidR="001C640D">
              <w:t xml:space="preserve"> Sarah C Derringto</w:t>
            </w:r>
            <w:r w:rsidR="00680D82">
              <w:t>n and Meagher</w:t>
            </w:r>
            <w:bookmarkEnd w:id="30"/>
            <w:r w:rsidRPr="00F43086">
              <w:t>.</w:t>
            </w:r>
          </w:p>
        </w:tc>
      </w:tr>
    </w:tbl>
    <w:p w14:paraId="32FB0EAE" w14:textId="5B6BF7BA" w:rsidR="00F43086" w:rsidRDefault="00F43086" w:rsidP="00815065">
      <w:pPr>
        <w:pStyle w:val="BodyText"/>
      </w:pPr>
    </w:p>
    <w:p w14:paraId="646EF6FC" w14:textId="65BC1FAD" w:rsidR="00F43086" w:rsidRDefault="00F43086" w:rsidP="00815065">
      <w:pPr>
        <w:pStyle w:val="BodyText"/>
      </w:pPr>
    </w:p>
    <w:p w14:paraId="10061038" w14:textId="023DE35A" w:rsidR="00F43086" w:rsidRDefault="00F43086" w:rsidP="00815065">
      <w:pPr>
        <w:pStyle w:val="BodyText"/>
      </w:pPr>
    </w:p>
    <w:p w14:paraId="53A8F2AF" w14:textId="07DD479B" w:rsidR="00F43086" w:rsidRDefault="00F43086" w:rsidP="00815065">
      <w:pPr>
        <w:pStyle w:val="BodyText"/>
      </w:pPr>
      <w:r>
        <w:t>Associate:</w:t>
      </w:r>
      <w:r w:rsidR="003C62E8">
        <w:tab/>
      </w:r>
    </w:p>
    <w:p w14:paraId="13730236" w14:textId="77777777" w:rsidR="00F43086" w:rsidRDefault="00F43086" w:rsidP="00815065">
      <w:pPr>
        <w:pStyle w:val="BodyText"/>
      </w:pPr>
    </w:p>
    <w:p w14:paraId="3E2894E7" w14:textId="0F9E9FD7" w:rsidR="00F43086" w:rsidRDefault="00F43086" w:rsidP="00815065">
      <w:pPr>
        <w:pStyle w:val="BodyText"/>
        <w:tabs>
          <w:tab w:val="left" w:pos="1134"/>
        </w:tabs>
      </w:pPr>
      <w:r>
        <w:t>Dated:</w:t>
      </w:r>
      <w:r>
        <w:tab/>
      </w:r>
      <w:bookmarkStart w:id="31" w:name="CertifyDated"/>
      <w:r w:rsidR="001C640D">
        <w:t>18 August 2023</w:t>
      </w:r>
      <w:bookmarkEnd w:id="31"/>
    </w:p>
    <w:p w14:paraId="35E5401B" w14:textId="77777777" w:rsidR="00F43086" w:rsidRDefault="00F43086" w:rsidP="00815065">
      <w:pPr>
        <w:pStyle w:val="BodyText"/>
      </w:pPr>
    </w:p>
    <w:bookmarkEnd w:id="25"/>
    <w:p w14:paraId="23356FD3" w14:textId="77777777" w:rsidR="00F43086" w:rsidRDefault="00F43086" w:rsidP="00F43086">
      <w:pPr>
        <w:pStyle w:val="BodyText"/>
      </w:pPr>
    </w:p>
    <w:sectPr w:rsidR="00F43086" w:rsidSect="00A84FD0">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B0031" w14:textId="77777777" w:rsidR="006F1CE6" w:rsidRDefault="006F1CE6">
      <w:pPr>
        <w:spacing w:line="20" w:lineRule="exact"/>
      </w:pPr>
    </w:p>
    <w:p w14:paraId="5EC34F76" w14:textId="77777777" w:rsidR="006F1CE6" w:rsidRDefault="006F1CE6"/>
    <w:p w14:paraId="05CC3EC8" w14:textId="77777777" w:rsidR="006F1CE6" w:rsidRDefault="006F1CE6"/>
  </w:endnote>
  <w:endnote w:type="continuationSeparator" w:id="0">
    <w:p w14:paraId="69960481" w14:textId="77777777" w:rsidR="006F1CE6" w:rsidRDefault="006F1CE6">
      <w:r>
        <w:t xml:space="preserve"> </w:t>
      </w:r>
    </w:p>
    <w:p w14:paraId="3B37A673" w14:textId="77777777" w:rsidR="006F1CE6" w:rsidRDefault="006F1CE6"/>
    <w:p w14:paraId="60F95E98" w14:textId="77777777" w:rsidR="006F1CE6" w:rsidRDefault="006F1CE6"/>
  </w:endnote>
  <w:endnote w:type="continuationNotice" w:id="1">
    <w:p w14:paraId="24A3B342" w14:textId="77777777" w:rsidR="006F1CE6" w:rsidRDefault="006F1CE6">
      <w:r>
        <w:t xml:space="preserve"> </w:t>
      </w:r>
    </w:p>
    <w:p w14:paraId="3720A01A" w14:textId="77777777" w:rsidR="006F1CE6" w:rsidRDefault="006F1CE6"/>
    <w:p w14:paraId="79AAD6F7" w14:textId="77777777" w:rsidR="006F1CE6" w:rsidRDefault="006F1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9C9E" w14:textId="2C6EE597" w:rsidR="00FE230F" w:rsidRPr="00C47B9D" w:rsidRDefault="00FE230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0" behindDoc="0" locked="0" layoutInCell="1" allowOverlap="1" wp14:anchorId="73F14900" wp14:editId="0A8A685C">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7162F"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E316E7">
          <w:rPr>
            <w:bCs/>
            <w:sz w:val="18"/>
            <w:szCs w:val="18"/>
          </w:rPr>
          <w:t xml:space="preserve"> McEwan v Office of the Australian Information Commissioner [2023] FCAFC 137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788" w14:textId="23313EA9" w:rsidR="00FE230F" w:rsidRPr="00C47B9D" w:rsidRDefault="00FE230F"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2" behindDoc="0" locked="0" layoutInCell="1" allowOverlap="1" wp14:anchorId="7AD23F80" wp14:editId="6EDB0689">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07CED" id="Straight Connector 6"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638E46F6D4F64DB89BC80A37B0A1FCDF"/>
        </w:placeholder>
        <w:dataBinding w:prefixMappings="xmlns:ns0='http://schemas.globalmacros.com/FCA'" w:xpath="/ns0:root[1]/ns0:Name[1]" w:storeItemID="{687E7CCB-4AA5-44E7-B148-17BA2B6F57C0}"/>
        <w:text w:multiLine="1"/>
      </w:sdtPr>
      <w:sdtEndPr/>
      <w:sdtContent>
        <w:r w:rsidR="00E316E7">
          <w:rPr>
            <w:bCs/>
            <w:sz w:val="18"/>
            <w:szCs w:val="18"/>
          </w:rPr>
          <w:t xml:space="preserve"> McEwan v Office of the Australian Information Commissioner [2023] FCAFC 137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31BF7">
      <w:rPr>
        <w:bCs/>
        <w:noProof/>
        <w:sz w:val="20"/>
      </w:rPr>
      <w:t>1</w:t>
    </w:r>
    <w:r w:rsidRPr="00EA7F6D">
      <w:rPr>
        <w:bCs/>
        <w:noProof/>
        <w:sz w:val="20"/>
      </w:rPr>
      <w:fldChar w:fldCharType="end"/>
    </w:r>
  </w:p>
  <w:p w14:paraId="7495669E" w14:textId="404D0668" w:rsidR="00FE230F" w:rsidRPr="00A84FD0" w:rsidRDefault="00FE230F" w:rsidP="00A84FD0">
    <w:pPr>
      <w:pStyle w:val="Footer"/>
      <w:jc w:val="center"/>
      <w:rPr>
        <w:sz w:val="28"/>
      </w:rPr>
    </w:pPr>
    <w:r>
      <w:rPr>
        <w:b/>
        <w:sz w:val="28"/>
      </w:rPr>
      <w:t xml:space="preserve">DRAFT - Judgment Template v.1.3 - </w:t>
    </w:r>
    <w:r>
      <w:rPr>
        <w:b/>
        <w:sz w:val="28"/>
      </w:rPr>
      <w:fldChar w:fldCharType="begin"/>
    </w:r>
    <w:r>
      <w:rPr>
        <w:b/>
        <w:sz w:val="28"/>
      </w:rPr>
      <w:instrText xml:space="preserve"> DATE  \@ "d MMMM yyyy"  \* MERGEFORMAT </w:instrText>
    </w:r>
    <w:r>
      <w:rPr>
        <w:b/>
        <w:sz w:val="28"/>
      </w:rPr>
      <w:fldChar w:fldCharType="separate"/>
    </w:r>
    <w:r w:rsidR="00695517">
      <w:rPr>
        <w:b/>
        <w:noProof/>
        <w:sz w:val="28"/>
      </w:rPr>
      <w:t>18 August 2023</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695517">
      <w:rPr>
        <w:b/>
        <w:noProof/>
        <w:sz w:val="28"/>
      </w:rPr>
      <w:t>11:54 AM</w:t>
    </w:r>
    <w:r>
      <w:rPr>
        <w:b/>
        <w:sz w:val="28"/>
      </w:rPr>
      <w:fldChar w:fldCharType="end"/>
    </w:r>
  </w:p>
  <w:p w14:paraId="23AC52D6" w14:textId="77777777" w:rsidR="00443C1C" w:rsidRDefault="00443C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BFDE" w14:textId="2A57C4BA" w:rsidR="00FE230F" w:rsidRPr="00C47B9D" w:rsidRDefault="00FE230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1" behindDoc="0" locked="0" layoutInCell="1" allowOverlap="1" wp14:anchorId="6396AB7B" wp14:editId="263D7550">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6E371"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A0F93579C28F44A39DC541E9D92C79A2"/>
        </w:placeholder>
        <w:dataBinding w:prefixMappings="xmlns:ns0='http://schemas.globalmacros.com/FCA'" w:xpath="/ns0:root[1]/ns0:Name[1]" w:storeItemID="{687E7CCB-4AA5-44E7-B148-17BA2B6F57C0}"/>
        <w:text w:multiLine="1"/>
      </w:sdtPr>
      <w:sdtEndPr/>
      <w:sdtContent>
        <w:r w:rsidR="00E316E7">
          <w:rPr>
            <w:bCs/>
            <w:sz w:val="18"/>
            <w:szCs w:val="18"/>
          </w:rPr>
          <w:t xml:space="preserve"> McEwan v Office of the Australian Information Commissioner [2023] FCAFC 137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95517">
      <w:rPr>
        <w:bCs/>
        <w:noProof/>
        <w:sz w:val="20"/>
      </w:rPr>
      <w:t>i</w:t>
    </w:r>
    <w:r w:rsidRPr="00EA7F6D">
      <w:rPr>
        <w:bCs/>
        <w:noProof/>
        <w:sz w:val="20"/>
      </w:rPr>
      <w:fldChar w:fldCharType="end"/>
    </w:r>
  </w:p>
  <w:p w14:paraId="63AB21C4" w14:textId="77777777" w:rsidR="00443C1C" w:rsidRDefault="00443C1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858B" w14:textId="7B1E0646" w:rsidR="00FE230F" w:rsidRPr="00C47B9D" w:rsidRDefault="00FE230F" w:rsidP="00C479B5">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4" behindDoc="0" locked="0" layoutInCell="1" allowOverlap="1" wp14:anchorId="1ECA398F" wp14:editId="4F0EDE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B296EC" id="Straight Connector 7"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69BCF24AA6A47C999650EA606ED03D7"/>
        </w:placeholder>
        <w:dataBinding w:prefixMappings="xmlns:ns0='http://schemas.globalmacros.com/FCA'" w:xpath="/ns0:root[1]/ns0:Name[1]" w:storeItemID="{687E7CCB-4AA5-44E7-B148-17BA2B6F57C0}"/>
        <w:text w:multiLine="1"/>
      </w:sdtPr>
      <w:sdtEndPr/>
      <w:sdtContent>
        <w:r w:rsidR="00E316E7">
          <w:rPr>
            <w:bCs/>
            <w:sz w:val="18"/>
            <w:szCs w:val="18"/>
          </w:rPr>
          <w:t xml:space="preserve"> McEwan v Office of the Australian Information Commissioner [2023] FCAFC 137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95517">
      <w:rPr>
        <w:bCs/>
        <w:noProof/>
        <w:sz w:val="20"/>
      </w:rPr>
      <w:t>9</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2A55" w14:textId="43B22F76" w:rsidR="00FE230F" w:rsidRPr="00C47B9D" w:rsidRDefault="00FE230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8243" behindDoc="0" locked="0" layoutInCell="1" allowOverlap="1" wp14:anchorId="088C9688" wp14:editId="147788FF">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C8124" id="Straight Connector 3"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1FE545B252EE4F47A8DB90AF1B063F10"/>
        </w:placeholder>
        <w:dataBinding w:prefixMappings="xmlns:ns0='http://schemas.globalmacros.com/FCA'" w:xpath="/ns0:root[1]/ns0:Name[1]" w:storeItemID="{687E7CCB-4AA5-44E7-B148-17BA2B6F57C0}"/>
        <w:text w:multiLine="1"/>
      </w:sdtPr>
      <w:sdtEndPr/>
      <w:sdtContent>
        <w:r w:rsidR="00E316E7">
          <w:rPr>
            <w:bCs/>
            <w:sz w:val="18"/>
            <w:szCs w:val="18"/>
          </w:rPr>
          <w:t xml:space="preserve"> McEwan v Office of the Australian Information Commissioner [2023] FCAFC 137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95517">
      <w:rPr>
        <w:bCs/>
        <w:noProof/>
        <w:sz w:val="20"/>
      </w:rPr>
      <w:t>1</w:t>
    </w:r>
    <w:r w:rsidRPr="00EA7F6D">
      <w:rPr>
        <w:bCs/>
        <w:noProof/>
        <w:sz w:val="20"/>
      </w:rPr>
      <w:fldChar w:fldCharType="end"/>
    </w:r>
  </w:p>
  <w:p w14:paraId="7786B091" w14:textId="77777777" w:rsidR="00443C1C" w:rsidRDefault="00443C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FC4F2" w14:textId="77777777" w:rsidR="006F1CE6" w:rsidRDefault="006F1CE6"/>
  </w:footnote>
  <w:footnote w:type="continuationSeparator" w:id="0">
    <w:p w14:paraId="749B29BF" w14:textId="77777777" w:rsidR="006F1CE6" w:rsidRDefault="006F1CE6">
      <w:r>
        <w:continuationSeparator/>
      </w:r>
    </w:p>
    <w:p w14:paraId="7F9D8988" w14:textId="77777777" w:rsidR="006F1CE6" w:rsidRDefault="006F1CE6"/>
    <w:p w14:paraId="59B21E11" w14:textId="77777777" w:rsidR="006F1CE6" w:rsidRDefault="006F1CE6"/>
  </w:footnote>
  <w:footnote w:type="continuationNotice" w:id="1">
    <w:p w14:paraId="0841C1B2" w14:textId="77777777" w:rsidR="006F1CE6" w:rsidRDefault="006F1C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725E" w14:textId="77777777" w:rsidR="00FE230F" w:rsidRDefault="00FE230F">
    <w:pPr>
      <w:tabs>
        <w:tab w:val="center" w:pos="4512"/>
      </w:tabs>
      <w:suppressAutoHyphens/>
    </w:pPr>
  </w:p>
  <w:p w14:paraId="19F15D90" w14:textId="77777777" w:rsidR="00443C1C" w:rsidRDefault="00443C1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68DE" w14:textId="77777777" w:rsidR="00FE230F" w:rsidRDefault="00FE230F">
    <w:pPr>
      <w:pStyle w:val="Header"/>
      <w:tabs>
        <w:tab w:val="clear" w:pos="4320"/>
        <w:tab w:val="clear" w:pos="8640"/>
      </w:tabs>
      <w:jc w:val="right"/>
    </w:pPr>
  </w:p>
  <w:p w14:paraId="478EAC2D" w14:textId="77777777" w:rsidR="00443C1C" w:rsidRDefault="00443C1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3A52B" w14:textId="77777777" w:rsidR="00FE230F" w:rsidRDefault="00FE230F"/>
  <w:p w14:paraId="4DE29F60" w14:textId="77777777" w:rsidR="00443C1C" w:rsidRDefault="00443C1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BEC7" w14:textId="77777777" w:rsidR="00FE230F" w:rsidRDefault="00FE230F">
    <w:pPr>
      <w:tabs>
        <w:tab w:val="center" w:pos="4512"/>
      </w:tabs>
      <w:suppressAutoHyphens/>
    </w:pPr>
  </w:p>
  <w:p w14:paraId="67394908" w14:textId="77777777" w:rsidR="00443C1C" w:rsidRDefault="00443C1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EA3C8" w14:textId="77777777" w:rsidR="00FE230F" w:rsidRDefault="00FE230F" w:rsidP="00A436E8">
    <w:pPr>
      <w:pStyle w:val="Header"/>
      <w:tabs>
        <w:tab w:val="clear" w:pos="4320"/>
        <w:tab w:val="clear" w:pos="8640"/>
      </w:tabs>
    </w:pPr>
  </w:p>
  <w:p w14:paraId="5C4FFCC4" w14:textId="77777777" w:rsidR="00443C1C" w:rsidRDefault="00443C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2BB1727C"/>
    <w:multiLevelType w:val="hybridMultilevel"/>
    <w:tmpl w:val="FB8A914A"/>
    <w:lvl w:ilvl="0" w:tplc="48E623D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8AF426C"/>
    <w:multiLevelType w:val="hybridMultilevel"/>
    <w:tmpl w:val="B4583458"/>
    <w:lvl w:ilvl="0" w:tplc="DDB4E7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3C77D4A"/>
    <w:multiLevelType w:val="hybridMultilevel"/>
    <w:tmpl w:val="219CC2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3"/>
  </w:num>
  <w:num w:numId="14">
    <w:abstractNumId w:val="24"/>
  </w:num>
  <w:num w:numId="15">
    <w:abstractNumId w:val="27"/>
  </w:num>
  <w:num w:numId="16">
    <w:abstractNumId w:val="13"/>
  </w:num>
  <w:num w:numId="17">
    <w:abstractNumId w:val="26"/>
  </w:num>
  <w:num w:numId="18">
    <w:abstractNumId w:val="11"/>
  </w:num>
  <w:num w:numId="19">
    <w:abstractNumId w:val="19"/>
  </w:num>
  <w:num w:numId="20">
    <w:abstractNumId w:val="15"/>
  </w:num>
  <w:num w:numId="21">
    <w:abstractNumId w:val="16"/>
  </w:num>
  <w:num w:numId="22">
    <w:abstractNumId w:val="22"/>
  </w:num>
  <w:num w:numId="23">
    <w:abstractNumId w:val="10"/>
  </w:num>
  <w:num w:numId="24">
    <w:abstractNumId w:val="10"/>
  </w:num>
  <w:num w:numId="25">
    <w:abstractNumId w:val="12"/>
  </w:num>
  <w:num w:numId="26">
    <w:abstractNumId w:val="18"/>
  </w:num>
  <w:num w:numId="27">
    <w:abstractNumId w:val="18"/>
  </w:num>
  <w:num w:numId="28">
    <w:abstractNumId w:val="18"/>
  </w:num>
  <w:num w:numId="29">
    <w:abstractNumId w:val="20"/>
  </w:num>
  <w:num w:numId="30">
    <w:abstractNumId w:val="17"/>
  </w:num>
  <w:num w:numId="31">
    <w:abstractNumId w:val="21"/>
  </w:num>
  <w:num w:numId="32">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McEwan v Office of the Australian Information Commissioner (No 2) [2022] FCA 1488"/>
    <w:docVar w:name="Appellant" w:val="Ms Julie McEwan"/>
    <w:docVar w:name="CounselParties" w:val="Appell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QUD 427 of 2022"/>
    <w:docVar w:name="Initiators" w:val="(and another named in the Schedule)"/>
    <w:docVar w:name="Judgdate" w:val="18 August 2023"/>
    <w:docVar w:name="Judge" w:val="Sarah C Derrington"/>
    <w:docVar w:name="JudgeType" w:val="Justice"/>
    <w:docVar w:name="lstEntryList" w:val="-1"/>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ESAndAnother" w:val="True"/>
    <w:docVar w:name="RESAndOthers" w:val="False"/>
    <w:docVar w:name="Respondent" w:val="The Office of the Australian Information Commissioner|The Commissioner of Taxation"/>
    <w:docVar w:name="ResState" w:val="Queensland"/>
    <w:docVar w:name="SubArea" w:val="(none)"/>
  </w:docVars>
  <w:rsids>
    <w:rsidRoot w:val="00453113"/>
    <w:rsid w:val="00000747"/>
    <w:rsid w:val="000115C5"/>
    <w:rsid w:val="0001469E"/>
    <w:rsid w:val="000151C7"/>
    <w:rsid w:val="00015993"/>
    <w:rsid w:val="00021CCB"/>
    <w:rsid w:val="00022289"/>
    <w:rsid w:val="000237E9"/>
    <w:rsid w:val="00027398"/>
    <w:rsid w:val="0003166F"/>
    <w:rsid w:val="0003201A"/>
    <w:rsid w:val="0003207A"/>
    <w:rsid w:val="00032F9F"/>
    <w:rsid w:val="00041C07"/>
    <w:rsid w:val="00045BB7"/>
    <w:rsid w:val="00055719"/>
    <w:rsid w:val="0005641B"/>
    <w:rsid w:val="0006196A"/>
    <w:rsid w:val="000650F0"/>
    <w:rsid w:val="00071EA2"/>
    <w:rsid w:val="00071FB3"/>
    <w:rsid w:val="00077768"/>
    <w:rsid w:val="00081497"/>
    <w:rsid w:val="000831EC"/>
    <w:rsid w:val="00084126"/>
    <w:rsid w:val="00085255"/>
    <w:rsid w:val="000A1E32"/>
    <w:rsid w:val="000A2E76"/>
    <w:rsid w:val="000A345E"/>
    <w:rsid w:val="000A4807"/>
    <w:rsid w:val="000A4BE4"/>
    <w:rsid w:val="000A76E2"/>
    <w:rsid w:val="000C023E"/>
    <w:rsid w:val="000C405D"/>
    <w:rsid w:val="000C5195"/>
    <w:rsid w:val="000C62EF"/>
    <w:rsid w:val="000D2137"/>
    <w:rsid w:val="000D3FD2"/>
    <w:rsid w:val="000D4B2E"/>
    <w:rsid w:val="000D6E9C"/>
    <w:rsid w:val="000E37B0"/>
    <w:rsid w:val="000E3FC8"/>
    <w:rsid w:val="000E7BAE"/>
    <w:rsid w:val="000F133D"/>
    <w:rsid w:val="000F3760"/>
    <w:rsid w:val="0010536B"/>
    <w:rsid w:val="0011145C"/>
    <w:rsid w:val="001128BD"/>
    <w:rsid w:val="0011419D"/>
    <w:rsid w:val="00114B02"/>
    <w:rsid w:val="00121C6F"/>
    <w:rsid w:val="001226C0"/>
    <w:rsid w:val="00122F7B"/>
    <w:rsid w:val="00126E4A"/>
    <w:rsid w:val="00126EC8"/>
    <w:rsid w:val="0012731C"/>
    <w:rsid w:val="00132054"/>
    <w:rsid w:val="00134617"/>
    <w:rsid w:val="00134964"/>
    <w:rsid w:val="001351B9"/>
    <w:rsid w:val="00152FDA"/>
    <w:rsid w:val="00155CD2"/>
    <w:rsid w:val="00157799"/>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A7B75"/>
    <w:rsid w:val="001B1053"/>
    <w:rsid w:val="001B14AC"/>
    <w:rsid w:val="001B7940"/>
    <w:rsid w:val="001C171A"/>
    <w:rsid w:val="001C2FE0"/>
    <w:rsid w:val="001C37CA"/>
    <w:rsid w:val="001C4085"/>
    <w:rsid w:val="001C640D"/>
    <w:rsid w:val="001D4303"/>
    <w:rsid w:val="001D6746"/>
    <w:rsid w:val="001E0C61"/>
    <w:rsid w:val="001E3B49"/>
    <w:rsid w:val="001E4A05"/>
    <w:rsid w:val="001E6A19"/>
    <w:rsid w:val="001E7388"/>
    <w:rsid w:val="001F13DD"/>
    <w:rsid w:val="001F2473"/>
    <w:rsid w:val="001F2DBC"/>
    <w:rsid w:val="001F48B9"/>
    <w:rsid w:val="001F4E0B"/>
    <w:rsid w:val="001F73E8"/>
    <w:rsid w:val="0020262C"/>
    <w:rsid w:val="00202723"/>
    <w:rsid w:val="00211A3E"/>
    <w:rsid w:val="00213F20"/>
    <w:rsid w:val="00214055"/>
    <w:rsid w:val="00215BCA"/>
    <w:rsid w:val="002160F5"/>
    <w:rsid w:val="00217AC4"/>
    <w:rsid w:val="00221461"/>
    <w:rsid w:val="00224537"/>
    <w:rsid w:val="002304D9"/>
    <w:rsid w:val="00235956"/>
    <w:rsid w:val="00243E5E"/>
    <w:rsid w:val="002461B1"/>
    <w:rsid w:val="002467A6"/>
    <w:rsid w:val="00247C9A"/>
    <w:rsid w:val="0025160C"/>
    <w:rsid w:val="002535D0"/>
    <w:rsid w:val="002539B3"/>
    <w:rsid w:val="0025581F"/>
    <w:rsid w:val="00256336"/>
    <w:rsid w:val="00257C3E"/>
    <w:rsid w:val="002602C2"/>
    <w:rsid w:val="002666C9"/>
    <w:rsid w:val="00270136"/>
    <w:rsid w:val="00270FD7"/>
    <w:rsid w:val="00274F5B"/>
    <w:rsid w:val="00276081"/>
    <w:rsid w:val="00280836"/>
    <w:rsid w:val="00282E1A"/>
    <w:rsid w:val="002840F1"/>
    <w:rsid w:val="00285922"/>
    <w:rsid w:val="0029113B"/>
    <w:rsid w:val="002934C0"/>
    <w:rsid w:val="00293E1F"/>
    <w:rsid w:val="0029764C"/>
    <w:rsid w:val="002A046E"/>
    <w:rsid w:val="002A1B50"/>
    <w:rsid w:val="002B00B4"/>
    <w:rsid w:val="002B0E91"/>
    <w:rsid w:val="002B132C"/>
    <w:rsid w:val="002B23D1"/>
    <w:rsid w:val="002B3F23"/>
    <w:rsid w:val="002B4EB5"/>
    <w:rsid w:val="002B5AF5"/>
    <w:rsid w:val="002B5C54"/>
    <w:rsid w:val="002B6779"/>
    <w:rsid w:val="002B71C0"/>
    <w:rsid w:val="002B7A34"/>
    <w:rsid w:val="002C31AD"/>
    <w:rsid w:val="002C7385"/>
    <w:rsid w:val="002D2DBB"/>
    <w:rsid w:val="002D37D8"/>
    <w:rsid w:val="002D54A6"/>
    <w:rsid w:val="002E1703"/>
    <w:rsid w:val="002E1E73"/>
    <w:rsid w:val="002E2ACC"/>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0711"/>
    <w:rsid w:val="00343ABC"/>
    <w:rsid w:val="00345C65"/>
    <w:rsid w:val="003463FE"/>
    <w:rsid w:val="003472FC"/>
    <w:rsid w:val="00347D41"/>
    <w:rsid w:val="003554B3"/>
    <w:rsid w:val="00355EDA"/>
    <w:rsid w:val="00356632"/>
    <w:rsid w:val="00357C7E"/>
    <w:rsid w:val="003653B6"/>
    <w:rsid w:val="00370327"/>
    <w:rsid w:val="00372D7A"/>
    <w:rsid w:val="00374CC4"/>
    <w:rsid w:val="003774B2"/>
    <w:rsid w:val="003779BE"/>
    <w:rsid w:val="00380F2D"/>
    <w:rsid w:val="00382FF6"/>
    <w:rsid w:val="003845A9"/>
    <w:rsid w:val="003850C9"/>
    <w:rsid w:val="00390883"/>
    <w:rsid w:val="003922F8"/>
    <w:rsid w:val="0039390B"/>
    <w:rsid w:val="00395B24"/>
    <w:rsid w:val="003A2D38"/>
    <w:rsid w:val="003A6E87"/>
    <w:rsid w:val="003A7ECC"/>
    <w:rsid w:val="003B2C72"/>
    <w:rsid w:val="003B58B4"/>
    <w:rsid w:val="003C1333"/>
    <w:rsid w:val="003C20FF"/>
    <w:rsid w:val="003C395B"/>
    <w:rsid w:val="003C550A"/>
    <w:rsid w:val="003C6055"/>
    <w:rsid w:val="003C62E8"/>
    <w:rsid w:val="003C6392"/>
    <w:rsid w:val="003D2650"/>
    <w:rsid w:val="003D560C"/>
    <w:rsid w:val="003D5C00"/>
    <w:rsid w:val="003E3154"/>
    <w:rsid w:val="003E5874"/>
    <w:rsid w:val="003E72D3"/>
    <w:rsid w:val="003F193E"/>
    <w:rsid w:val="003F242C"/>
    <w:rsid w:val="003F34F1"/>
    <w:rsid w:val="004031D8"/>
    <w:rsid w:val="004104B6"/>
    <w:rsid w:val="00411AE8"/>
    <w:rsid w:val="00413B74"/>
    <w:rsid w:val="00422480"/>
    <w:rsid w:val="004255D7"/>
    <w:rsid w:val="004342F3"/>
    <w:rsid w:val="00435C5F"/>
    <w:rsid w:val="00436155"/>
    <w:rsid w:val="00436460"/>
    <w:rsid w:val="00441E98"/>
    <w:rsid w:val="00443C1C"/>
    <w:rsid w:val="00450F3A"/>
    <w:rsid w:val="00452FAD"/>
    <w:rsid w:val="00453113"/>
    <w:rsid w:val="004532F7"/>
    <w:rsid w:val="00456216"/>
    <w:rsid w:val="004606B2"/>
    <w:rsid w:val="00464D51"/>
    <w:rsid w:val="00472027"/>
    <w:rsid w:val="004804CF"/>
    <w:rsid w:val="00483314"/>
    <w:rsid w:val="00484962"/>
    <w:rsid w:val="00484F6D"/>
    <w:rsid w:val="00484FB7"/>
    <w:rsid w:val="0048554D"/>
    <w:rsid w:val="0049338A"/>
    <w:rsid w:val="0049417F"/>
    <w:rsid w:val="00496D41"/>
    <w:rsid w:val="004A07B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0A3D"/>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0135"/>
    <w:rsid w:val="00554314"/>
    <w:rsid w:val="0056236F"/>
    <w:rsid w:val="00562829"/>
    <w:rsid w:val="005629B3"/>
    <w:rsid w:val="0057128A"/>
    <w:rsid w:val="005724F6"/>
    <w:rsid w:val="00573AC4"/>
    <w:rsid w:val="0057673C"/>
    <w:rsid w:val="005801FC"/>
    <w:rsid w:val="00582B24"/>
    <w:rsid w:val="00585BA9"/>
    <w:rsid w:val="00587359"/>
    <w:rsid w:val="00594E60"/>
    <w:rsid w:val="00595016"/>
    <w:rsid w:val="00597AAE"/>
    <w:rsid w:val="005A222C"/>
    <w:rsid w:val="005A24F4"/>
    <w:rsid w:val="005A4DF8"/>
    <w:rsid w:val="005A78C8"/>
    <w:rsid w:val="005B04DE"/>
    <w:rsid w:val="005B1426"/>
    <w:rsid w:val="005C0A8E"/>
    <w:rsid w:val="005C1767"/>
    <w:rsid w:val="005C185C"/>
    <w:rsid w:val="005C42EF"/>
    <w:rsid w:val="005D4CAA"/>
    <w:rsid w:val="005D5E40"/>
    <w:rsid w:val="005E02F5"/>
    <w:rsid w:val="005E0510"/>
    <w:rsid w:val="005E176E"/>
    <w:rsid w:val="005E218E"/>
    <w:rsid w:val="005E35A0"/>
    <w:rsid w:val="005E3B46"/>
    <w:rsid w:val="005E7E24"/>
    <w:rsid w:val="005F0D1B"/>
    <w:rsid w:val="005F1865"/>
    <w:rsid w:val="006007BD"/>
    <w:rsid w:val="006013C8"/>
    <w:rsid w:val="0060270D"/>
    <w:rsid w:val="00604342"/>
    <w:rsid w:val="00604611"/>
    <w:rsid w:val="006107C5"/>
    <w:rsid w:val="00611586"/>
    <w:rsid w:val="00612D26"/>
    <w:rsid w:val="00615855"/>
    <w:rsid w:val="00617641"/>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53C7A"/>
    <w:rsid w:val="0065525C"/>
    <w:rsid w:val="00657ED8"/>
    <w:rsid w:val="0066063F"/>
    <w:rsid w:val="00662BB0"/>
    <w:rsid w:val="00663878"/>
    <w:rsid w:val="00663D47"/>
    <w:rsid w:val="00667773"/>
    <w:rsid w:val="00670743"/>
    <w:rsid w:val="00680A85"/>
    <w:rsid w:val="00680D82"/>
    <w:rsid w:val="00681ADF"/>
    <w:rsid w:val="00690EE2"/>
    <w:rsid w:val="0069108F"/>
    <w:rsid w:val="00692CD3"/>
    <w:rsid w:val="00693854"/>
    <w:rsid w:val="00694BEB"/>
    <w:rsid w:val="00695517"/>
    <w:rsid w:val="006A0E20"/>
    <w:rsid w:val="006A1ABD"/>
    <w:rsid w:val="006A24E3"/>
    <w:rsid w:val="006A5695"/>
    <w:rsid w:val="006B0439"/>
    <w:rsid w:val="006B2D2A"/>
    <w:rsid w:val="006B3904"/>
    <w:rsid w:val="006B507A"/>
    <w:rsid w:val="006B5B7D"/>
    <w:rsid w:val="006C5B46"/>
    <w:rsid w:val="006C6E39"/>
    <w:rsid w:val="006D0ECF"/>
    <w:rsid w:val="006D3D5B"/>
    <w:rsid w:val="006D4C92"/>
    <w:rsid w:val="006D4EB6"/>
    <w:rsid w:val="006D7FBC"/>
    <w:rsid w:val="006E35BF"/>
    <w:rsid w:val="006E7850"/>
    <w:rsid w:val="006F19D8"/>
    <w:rsid w:val="006F1CE6"/>
    <w:rsid w:val="006F37CD"/>
    <w:rsid w:val="006F46D6"/>
    <w:rsid w:val="006F4BBB"/>
    <w:rsid w:val="007028D9"/>
    <w:rsid w:val="00707218"/>
    <w:rsid w:val="00710D04"/>
    <w:rsid w:val="00712B1D"/>
    <w:rsid w:val="00715751"/>
    <w:rsid w:val="007171BA"/>
    <w:rsid w:val="00717616"/>
    <w:rsid w:val="00725322"/>
    <w:rsid w:val="00725FEE"/>
    <w:rsid w:val="007325D9"/>
    <w:rsid w:val="0073413F"/>
    <w:rsid w:val="0073583B"/>
    <w:rsid w:val="007360CA"/>
    <w:rsid w:val="0074667B"/>
    <w:rsid w:val="007470BD"/>
    <w:rsid w:val="007539ED"/>
    <w:rsid w:val="00755839"/>
    <w:rsid w:val="00760463"/>
    <w:rsid w:val="00760EC0"/>
    <w:rsid w:val="007711BD"/>
    <w:rsid w:val="0077240D"/>
    <w:rsid w:val="00777622"/>
    <w:rsid w:val="0078003A"/>
    <w:rsid w:val="00780771"/>
    <w:rsid w:val="007811BE"/>
    <w:rsid w:val="00790506"/>
    <w:rsid w:val="007929CF"/>
    <w:rsid w:val="00797BA8"/>
    <w:rsid w:val="007A081D"/>
    <w:rsid w:val="007A49E7"/>
    <w:rsid w:val="007A6F28"/>
    <w:rsid w:val="007B03C6"/>
    <w:rsid w:val="007B0DB1"/>
    <w:rsid w:val="007B5673"/>
    <w:rsid w:val="007B7238"/>
    <w:rsid w:val="007B76FF"/>
    <w:rsid w:val="007C3BF6"/>
    <w:rsid w:val="007C67B3"/>
    <w:rsid w:val="007C793F"/>
    <w:rsid w:val="007D0FD2"/>
    <w:rsid w:val="007D2EF8"/>
    <w:rsid w:val="007D561F"/>
    <w:rsid w:val="007D7FD2"/>
    <w:rsid w:val="007E13D9"/>
    <w:rsid w:val="007E1D7F"/>
    <w:rsid w:val="007E2AEC"/>
    <w:rsid w:val="007E41BE"/>
    <w:rsid w:val="007E4DB6"/>
    <w:rsid w:val="007E6733"/>
    <w:rsid w:val="007E7CD4"/>
    <w:rsid w:val="007F12AC"/>
    <w:rsid w:val="007F4501"/>
    <w:rsid w:val="007F60DF"/>
    <w:rsid w:val="00801800"/>
    <w:rsid w:val="00801861"/>
    <w:rsid w:val="00801B5B"/>
    <w:rsid w:val="00805A30"/>
    <w:rsid w:val="008216E7"/>
    <w:rsid w:val="008224C8"/>
    <w:rsid w:val="00825BE6"/>
    <w:rsid w:val="008276B4"/>
    <w:rsid w:val="00831927"/>
    <w:rsid w:val="00832CCF"/>
    <w:rsid w:val="00837288"/>
    <w:rsid w:val="00837B8E"/>
    <w:rsid w:val="008409DF"/>
    <w:rsid w:val="00841892"/>
    <w:rsid w:val="00841BD3"/>
    <w:rsid w:val="0084273D"/>
    <w:rsid w:val="00844E3F"/>
    <w:rsid w:val="00845155"/>
    <w:rsid w:val="00845A83"/>
    <w:rsid w:val="00846BB9"/>
    <w:rsid w:val="00850746"/>
    <w:rsid w:val="00861ADE"/>
    <w:rsid w:val="008649D5"/>
    <w:rsid w:val="008712BB"/>
    <w:rsid w:val="00872D67"/>
    <w:rsid w:val="008830E7"/>
    <w:rsid w:val="00890EDE"/>
    <w:rsid w:val="00892B38"/>
    <w:rsid w:val="00893C9E"/>
    <w:rsid w:val="008A1741"/>
    <w:rsid w:val="008A2484"/>
    <w:rsid w:val="008A52F3"/>
    <w:rsid w:val="008B1E1A"/>
    <w:rsid w:val="008C26D9"/>
    <w:rsid w:val="008C6D50"/>
    <w:rsid w:val="008C7167"/>
    <w:rsid w:val="008C7503"/>
    <w:rsid w:val="008D1617"/>
    <w:rsid w:val="008D330F"/>
    <w:rsid w:val="008D48C1"/>
    <w:rsid w:val="008E6315"/>
    <w:rsid w:val="008F0480"/>
    <w:rsid w:val="008F07FC"/>
    <w:rsid w:val="008F108A"/>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4E07"/>
    <w:rsid w:val="009365E0"/>
    <w:rsid w:val="00942A94"/>
    <w:rsid w:val="00942BA2"/>
    <w:rsid w:val="009432B7"/>
    <w:rsid w:val="00944A14"/>
    <w:rsid w:val="00944C86"/>
    <w:rsid w:val="00947C02"/>
    <w:rsid w:val="00950BE6"/>
    <w:rsid w:val="00952456"/>
    <w:rsid w:val="009568D4"/>
    <w:rsid w:val="00957DE8"/>
    <w:rsid w:val="00960ECB"/>
    <w:rsid w:val="009615D6"/>
    <w:rsid w:val="00965724"/>
    <w:rsid w:val="00967855"/>
    <w:rsid w:val="00971CD1"/>
    <w:rsid w:val="009723A0"/>
    <w:rsid w:val="00974709"/>
    <w:rsid w:val="009801AE"/>
    <w:rsid w:val="00980736"/>
    <w:rsid w:val="00981A39"/>
    <w:rsid w:val="00982D56"/>
    <w:rsid w:val="00983DBF"/>
    <w:rsid w:val="00987097"/>
    <w:rsid w:val="00991123"/>
    <w:rsid w:val="00991CAB"/>
    <w:rsid w:val="00996746"/>
    <w:rsid w:val="009A21E8"/>
    <w:rsid w:val="009A3A9C"/>
    <w:rsid w:val="009A3AD7"/>
    <w:rsid w:val="009B046C"/>
    <w:rsid w:val="009B13FA"/>
    <w:rsid w:val="009B1E2D"/>
    <w:rsid w:val="009C36D5"/>
    <w:rsid w:val="009C5108"/>
    <w:rsid w:val="009C59FB"/>
    <w:rsid w:val="009C6F3B"/>
    <w:rsid w:val="009D1467"/>
    <w:rsid w:val="009D328D"/>
    <w:rsid w:val="009E21DA"/>
    <w:rsid w:val="009E4FA6"/>
    <w:rsid w:val="009E7D93"/>
    <w:rsid w:val="009F3C34"/>
    <w:rsid w:val="009F462C"/>
    <w:rsid w:val="009F5C33"/>
    <w:rsid w:val="00A026F0"/>
    <w:rsid w:val="00A03EAC"/>
    <w:rsid w:val="00A04DBB"/>
    <w:rsid w:val="00A0771C"/>
    <w:rsid w:val="00A07EA0"/>
    <w:rsid w:val="00A11C03"/>
    <w:rsid w:val="00A11CA6"/>
    <w:rsid w:val="00A20C49"/>
    <w:rsid w:val="00A225F3"/>
    <w:rsid w:val="00A22932"/>
    <w:rsid w:val="00A24086"/>
    <w:rsid w:val="00A269CA"/>
    <w:rsid w:val="00A336EE"/>
    <w:rsid w:val="00A33F46"/>
    <w:rsid w:val="00A3427E"/>
    <w:rsid w:val="00A3467E"/>
    <w:rsid w:val="00A359AC"/>
    <w:rsid w:val="00A40F83"/>
    <w:rsid w:val="00A410FB"/>
    <w:rsid w:val="00A41413"/>
    <w:rsid w:val="00A431E6"/>
    <w:rsid w:val="00A436E8"/>
    <w:rsid w:val="00A441E1"/>
    <w:rsid w:val="00A44EC1"/>
    <w:rsid w:val="00A45FB1"/>
    <w:rsid w:val="00A46A0F"/>
    <w:rsid w:val="00A46CCC"/>
    <w:rsid w:val="00A47996"/>
    <w:rsid w:val="00A50785"/>
    <w:rsid w:val="00A51CFE"/>
    <w:rsid w:val="00A5204D"/>
    <w:rsid w:val="00A56E77"/>
    <w:rsid w:val="00A61605"/>
    <w:rsid w:val="00A65F97"/>
    <w:rsid w:val="00A73B04"/>
    <w:rsid w:val="00A76C13"/>
    <w:rsid w:val="00A84FD0"/>
    <w:rsid w:val="00A92E79"/>
    <w:rsid w:val="00A950B6"/>
    <w:rsid w:val="00A95D45"/>
    <w:rsid w:val="00AA3EA8"/>
    <w:rsid w:val="00AA72CA"/>
    <w:rsid w:val="00AB41C1"/>
    <w:rsid w:val="00AB4CF2"/>
    <w:rsid w:val="00AB6CCA"/>
    <w:rsid w:val="00AC223F"/>
    <w:rsid w:val="00AC33B1"/>
    <w:rsid w:val="00AC6C64"/>
    <w:rsid w:val="00AD12A8"/>
    <w:rsid w:val="00AD3D8F"/>
    <w:rsid w:val="00AD5EAC"/>
    <w:rsid w:val="00AE023F"/>
    <w:rsid w:val="00AF32CE"/>
    <w:rsid w:val="00AF3577"/>
    <w:rsid w:val="00AF35F9"/>
    <w:rsid w:val="00B0424C"/>
    <w:rsid w:val="00B05C7D"/>
    <w:rsid w:val="00B15D57"/>
    <w:rsid w:val="00B16347"/>
    <w:rsid w:val="00B17D6E"/>
    <w:rsid w:val="00B24013"/>
    <w:rsid w:val="00B2435E"/>
    <w:rsid w:val="00B346C3"/>
    <w:rsid w:val="00B37800"/>
    <w:rsid w:val="00B4005C"/>
    <w:rsid w:val="00B4227E"/>
    <w:rsid w:val="00B42295"/>
    <w:rsid w:val="00B4471C"/>
    <w:rsid w:val="00B451A6"/>
    <w:rsid w:val="00B4786B"/>
    <w:rsid w:val="00B56D6E"/>
    <w:rsid w:val="00B56E7D"/>
    <w:rsid w:val="00B62098"/>
    <w:rsid w:val="00B64347"/>
    <w:rsid w:val="00B65DC6"/>
    <w:rsid w:val="00B67AC2"/>
    <w:rsid w:val="00B722DE"/>
    <w:rsid w:val="00B748A1"/>
    <w:rsid w:val="00B751E3"/>
    <w:rsid w:val="00B75BA6"/>
    <w:rsid w:val="00B76C44"/>
    <w:rsid w:val="00B8184A"/>
    <w:rsid w:val="00B82283"/>
    <w:rsid w:val="00B828D8"/>
    <w:rsid w:val="00B83F87"/>
    <w:rsid w:val="00B855C2"/>
    <w:rsid w:val="00B87CDC"/>
    <w:rsid w:val="00B910C1"/>
    <w:rsid w:val="00B937E0"/>
    <w:rsid w:val="00B95152"/>
    <w:rsid w:val="00BA122A"/>
    <w:rsid w:val="00BA12BD"/>
    <w:rsid w:val="00BA2CA4"/>
    <w:rsid w:val="00BA2EFA"/>
    <w:rsid w:val="00BA3DBC"/>
    <w:rsid w:val="00BA707A"/>
    <w:rsid w:val="00BB1AFB"/>
    <w:rsid w:val="00BB27AE"/>
    <w:rsid w:val="00BB2DA2"/>
    <w:rsid w:val="00BB56DC"/>
    <w:rsid w:val="00BB60B7"/>
    <w:rsid w:val="00BC0CAC"/>
    <w:rsid w:val="00BC5023"/>
    <w:rsid w:val="00BC619A"/>
    <w:rsid w:val="00BE183D"/>
    <w:rsid w:val="00BE2A26"/>
    <w:rsid w:val="00BE43DD"/>
    <w:rsid w:val="00BE62A3"/>
    <w:rsid w:val="00BE7D9B"/>
    <w:rsid w:val="00BF24C2"/>
    <w:rsid w:val="00BF2922"/>
    <w:rsid w:val="00BF55E7"/>
    <w:rsid w:val="00BF5D7A"/>
    <w:rsid w:val="00C01C2E"/>
    <w:rsid w:val="00C02D33"/>
    <w:rsid w:val="00C04B53"/>
    <w:rsid w:val="00C1232C"/>
    <w:rsid w:val="00C17546"/>
    <w:rsid w:val="00C2397B"/>
    <w:rsid w:val="00C27C6B"/>
    <w:rsid w:val="00C3594D"/>
    <w:rsid w:val="00C36442"/>
    <w:rsid w:val="00C400CE"/>
    <w:rsid w:val="00C410FD"/>
    <w:rsid w:val="00C41A01"/>
    <w:rsid w:val="00C457DE"/>
    <w:rsid w:val="00C479B5"/>
    <w:rsid w:val="00C47DD3"/>
    <w:rsid w:val="00C5316F"/>
    <w:rsid w:val="00C53562"/>
    <w:rsid w:val="00C539FB"/>
    <w:rsid w:val="00C64B0A"/>
    <w:rsid w:val="00C66AA3"/>
    <w:rsid w:val="00C66E57"/>
    <w:rsid w:val="00C724D7"/>
    <w:rsid w:val="00C74150"/>
    <w:rsid w:val="00C75594"/>
    <w:rsid w:val="00C85982"/>
    <w:rsid w:val="00C96E51"/>
    <w:rsid w:val="00CA0466"/>
    <w:rsid w:val="00CA246D"/>
    <w:rsid w:val="00CA50D9"/>
    <w:rsid w:val="00CB3054"/>
    <w:rsid w:val="00CB5636"/>
    <w:rsid w:val="00CB5F30"/>
    <w:rsid w:val="00CC3EE5"/>
    <w:rsid w:val="00CC5A72"/>
    <w:rsid w:val="00CC6E47"/>
    <w:rsid w:val="00CD1258"/>
    <w:rsid w:val="00CD1346"/>
    <w:rsid w:val="00CD54AE"/>
    <w:rsid w:val="00CD771E"/>
    <w:rsid w:val="00CE372A"/>
    <w:rsid w:val="00CE425C"/>
    <w:rsid w:val="00CE58AC"/>
    <w:rsid w:val="00CF5A80"/>
    <w:rsid w:val="00CF7152"/>
    <w:rsid w:val="00D045EE"/>
    <w:rsid w:val="00D05091"/>
    <w:rsid w:val="00D10CA6"/>
    <w:rsid w:val="00D10D54"/>
    <w:rsid w:val="00D10F21"/>
    <w:rsid w:val="00D134CF"/>
    <w:rsid w:val="00D1573B"/>
    <w:rsid w:val="00D2467D"/>
    <w:rsid w:val="00D24806"/>
    <w:rsid w:val="00D34040"/>
    <w:rsid w:val="00D34E69"/>
    <w:rsid w:val="00D36C78"/>
    <w:rsid w:val="00D375EE"/>
    <w:rsid w:val="00D55AE8"/>
    <w:rsid w:val="00D56056"/>
    <w:rsid w:val="00D6085F"/>
    <w:rsid w:val="00D62699"/>
    <w:rsid w:val="00D65022"/>
    <w:rsid w:val="00D778E9"/>
    <w:rsid w:val="00D812BF"/>
    <w:rsid w:val="00D82620"/>
    <w:rsid w:val="00D85707"/>
    <w:rsid w:val="00D94071"/>
    <w:rsid w:val="00D9725F"/>
    <w:rsid w:val="00DA01B1"/>
    <w:rsid w:val="00DA11A2"/>
    <w:rsid w:val="00DA14ED"/>
    <w:rsid w:val="00DA26D6"/>
    <w:rsid w:val="00DB2EF1"/>
    <w:rsid w:val="00DB3DE1"/>
    <w:rsid w:val="00DB4E5A"/>
    <w:rsid w:val="00DB5DA0"/>
    <w:rsid w:val="00DB716C"/>
    <w:rsid w:val="00DC5C85"/>
    <w:rsid w:val="00DC7C5D"/>
    <w:rsid w:val="00DD0696"/>
    <w:rsid w:val="00DD18BC"/>
    <w:rsid w:val="00DD338D"/>
    <w:rsid w:val="00DD38BA"/>
    <w:rsid w:val="00DD4236"/>
    <w:rsid w:val="00DD44F1"/>
    <w:rsid w:val="00DD6957"/>
    <w:rsid w:val="00DD6E7A"/>
    <w:rsid w:val="00DE0B35"/>
    <w:rsid w:val="00DE1FBC"/>
    <w:rsid w:val="00DE3067"/>
    <w:rsid w:val="00DE789C"/>
    <w:rsid w:val="00DF3EEE"/>
    <w:rsid w:val="00DF75E1"/>
    <w:rsid w:val="00E027BC"/>
    <w:rsid w:val="00E045BE"/>
    <w:rsid w:val="00E10F0D"/>
    <w:rsid w:val="00E14EA5"/>
    <w:rsid w:val="00E2070E"/>
    <w:rsid w:val="00E21133"/>
    <w:rsid w:val="00E2327E"/>
    <w:rsid w:val="00E23577"/>
    <w:rsid w:val="00E26243"/>
    <w:rsid w:val="00E266EF"/>
    <w:rsid w:val="00E316E7"/>
    <w:rsid w:val="00E326A8"/>
    <w:rsid w:val="00E36075"/>
    <w:rsid w:val="00E37801"/>
    <w:rsid w:val="00E47428"/>
    <w:rsid w:val="00E56C8E"/>
    <w:rsid w:val="00E5716B"/>
    <w:rsid w:val="00E57F1F"/>
    <w:rsid w:val="00E64E89"/>
    <w:rsid w:val="00E6631F"/>
    <w:rsid w:val="00E66B9F"/>
    <w:rsid w:val="00E70572"/>
    <w:rsid w:val="00E70A6A"/>
    <w:rsid w:val="00E710D6"/>
    <w:rsid w:val="00E73DA4"/>
    <w:rsid w:val="00E74132"/>
    <w:rsid w:val="00E76E45"/>
    <w:rsid w:val="00E777C9"/>
    <w:rsid w:val="00E81DA6"/>
    <w:rsid w:val="00E82AB0"/>
    <w:rsid w:val="00E84212"/>
    <w:rsid w:val="00E9086C"/>
    <w:rsid w:val="00E90AAA"/>
    <w:rsid w:val="00E90ECB"/>
    <w:rsid w:val="00E91A0F"/>
    <w:rsid w:val="00E94A71"/>
    <w:rsid w:val="00E94CBF"/>
    <w:rsid w:val="00EA03CE"/>
    <w:rsid w:val="00EA23E5"/>
    <w:rsid w:val="00EA4E2E"/>
    <w:rsid w:val="00EB2417"/>
    <w:rsid w:val="00EB2CCB"/>
    <w:rsid w:val="00EB3012"/>
    <w:rsid w:val="00EB7A25"/>
    <w:rsid w:val="00EC0F3E"/>
    <w:rsid w:val="00EC41E2"/>
    <w:rsid w:val="00EC57A7"/>
    <w:rsid w:val="00ED0817"/>
    <w:rsid w:val="00ED7DD9"/>
    <w:rsid w:val="00EE445B"/>
    <w:rsid w:val="00EF0BBA"/>
    <w:rsid w:val="00EF3113"/>
    <w:rsid w:val="00EF3F84"/>
    <w:rsid w:val="00F1002D"/>
    <w:rsid w:val="00F176AC"/>
    <w:rsid w:val="00F203BB"/>
    <w:rsid w:val="00F26F28"/>
    <w:rsid w:val="00F27714"/>
    <w:rsid w:val="00F31BF7"/>
    <w:rsid w:val="00F3276E"/>
    <w:rsid w:val="00F33273"/>
    <w:rsid w:val="00F33D3C"/>
    <w:rsid w:val="00F33D99"/>
    <w:rsid w:val="00F37A91"/>
    <w:rsid w:val="00F408A0"/>
    <w:rsid w:val="00F43086"/>
    <w:rsid w:val="00F45CF5"/>
    <w:rsid w:val="00F47828"/>
    <w:rsid w:val="00F47DB0"/>
    <w:rsid w:val="00F50C3F"/>
    <w:rsid w:val="00F50E34"/>
    <w:rsid w:val="00F51AFB"/>
    <w:rsid w:val="00F53EF7"/>
    <w:rsid w:val="00F54BF2"/>
    <w:rsid w:val="00F775AC"/>
    <w:rsid w:val="00F8053D"/>
    <w:rsid w:val="00F81B5E"/>
    <w:rsid w:val="00F8792F"/>
    <w:rsid w:val="00F9214D"/>
    <w:rsid w:val="00F92355"/>
    <w:rsid w:val="00F93963"/>
    <w:rsid w:val="00F94291"/>
    <w:rsid w:val="00F9731F"/>
    <w:rsid w:val="00FA298A"/>
    <w:rsid w:val="00FA5B66"/>
    <w:rsid w:val="00FB0B9C"/>
    <w:rsid w:val="00FB26CA"/>
    <w:rsid w:val="00FB30EB"/>
    <w:rsid w:val="00FB4A4D"/>
    <w:rsid w:val="00FB7982"/>
    <w:rsid w:val="00FC0734"/>
    <w:rsid w:val="00FC0FC5"/>
    <w:rsid w:val="00FC588F"/>
    <w:rsid w:val="00FC6879"/>
    <w:rsid w:val="00FD43C2"/>
    <w:rsid w:val="00FD57CC"/>
    <w:rsid w:val="00FD65C0"/>
    <w:rsid w:val="00FE1B30"/>
    <w:rsid w:val="00FE230F"/>
    <w:rsid w:val="00FE7B44"/>
    <w:rsid w:val="00FF5C34"/>
    <w:rsid w:val="00FF5F68"/>
    <w:rsid w:val="00FF619E"/>
    <w:rsid w:val="33A46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37720C0"/>
  <w15:docId w15:val="{F86E8573-6E44-439A-A7D7-1B22AC59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CharSectno">
    <w:name w:val="CharSectno"/>
    <w:basedOn w:val="DefaultParagraphFont"/>
    <w:qFormat/>
    <w:rsid w:val="003C6392"/>
  </w:style>
  <w:style w:type="paragraph" w:styleId="ListParagraph">
    <w:name w:val="List Paragraph"/>
    <w:basedOn w:val="Normal"/>
    <w:uiPriority w:val="34"/>
    <w:qFormat/>
    <w:rsid w:val="00121C6F"/>
    <w:pPr>
      <w:spacing w:after="160" w:line="259"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944A1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836973">
      <w:bodyDiv w:val="1"/>
      <w:marLeft w:val="0"/>
      <w:marRight w:val="0"/>
      <w:marTop w:val="0"/>
      <w:marBottom w:val="0"/>
      <w:divBdr>
        <w:top w:val="none" w:sz="0" w:space="0" w:color="auto"/>
        <w:left w:val="none" w:sz="0" w:space="0" w:color="auto"/>
        <w:bottom w:val="none" w:sz="0" w:space="0" w:color="auto"/>
        <w:right w:val="none" w:sz="0" w:space="0" w:color="auto"/>
      </w:divBdr>
      <w:divsChild>
        <w:div w:id="9247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13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sey\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97B0E2F63C4BE7B65244E07F72EF59"/>
        <w:category>
          <w:name w:val="General"/>
          <w:gallery w:val="placeholder"/>
        </w:category>
        <w:types>
          <w:type w:val="bbPlcHdr"/>
        </w:types>
        <w:behaviors>
          <w:behavior w:val="content"/>
        </w:behaviors>
        <w:guid w:val="{D6B603E7-E934-497D-9933-3302CC199414}"/>
      </w:docPartPr>
      <w:docPartBody>
        <w:p w:rsidR="0011273D" w:rsidRDefault="0011273D">
          <w:pPr>
            <w:pStyle w:val="1297B0E2F63C4BE7B65244E07F72EF59"/>
          </w:pPr>
          <w:r>
            <w:rPr>
              <w:rStyle w:val="PlaceholderText"/>
            </w:rPr>
            <w:t>MNC Text</w:t>
          </w:r>
        </w:p>
      </w:docPartBody>
    </w:docPart>
    <w:docPart>
      <w:docPartPr>
        <w:name w:val="638E46F6D4F64DB89BC80A37B0A1FCDF"/>
        <w:category>
          <w:name w:val="General"/>
          <w:gallery w:val="placeholder"/>
        </w:category>
        <w:types>
          <w:type w:val="bbPlcHdr"/>
        </w:types>
        <w:behaviors>
          <w:behavior w:val="content"/>
        </w:behaviors>
        <w:guid w:val="{47B01183-6B6C-4F94-902B-14C86A81059D}"/>
      </w:docPartPr>
      <w:docPartBody>
        <w:p w:rsidR="0011273D" w:rsidRDefault="0011273D">
          <w:pPr>
            <w:pStyle w:val="638E46F6D4F64DB89BC80A37B0A1FCDF"/>
          </w:pPr>
          <w:r w:rsidRPr="005C44BE">
            <w:rPr>
              <w:rStyle w:val="PlaceholderText"/>
            </w:rPr>
            <w:t>Click or tap here to enter text.</w:t>
          </w:r>
        </w:p>
      </w:docPartBody>
    </w:docPart>
    <w:docPart>
      <w:docPartPr>
        <w:name w:val="A0F93579C28F44A39DC541E9D92C79A2"/>
        <w:category>
          <w:name w:val="General"/>
          <w:gallery w:val="placeholder"/>
        </w:category>
        <w:types>
          <w:type w:val="bbPlcHdr"/>
        </w:types>
        <w:behaviors>
          <w:behavior w:val="content"/>
        </w:behaviors>
        <w:guid w:val="{F32224FF-4D05-4B79-9318-F30626FFD873}"/>
      </w:docPartPr>
      <w:docPartBody>
        <w:p w:rsidR="0011273D" w:rsidRDefault="0011273D">
          <w:pPr>
            <w:pStyle w:val="A0F93579C28F44A39DC541E9D92C79A2"/>
          </w:pPr>
          <w:r w:rsidRPr="005C44BE">
            <w:rPr>
              <w:rStyle w:val="PlaceholderText"/>
            </w:rPr>
            <w:t>Click or tap here to enter text.</w:t>
          </w:r>
        </w:p>
      </w:docPartBody>
    </w:docPart>
    <w:docPart>
      <w:docPartPr>
        <w:name w:val="269BCF24AA6A47C999650EA606ED03D7"/>
        <w:category>
          <w:name w:val="General"/>
          <w:gallery w:val="placeholder"/>
        </w:category>
        <w:types>
          <w:type w:val="bbPlcHdr"/>
        </w:types>
        <w:behaviors>
          <w:behavior w:val="content"/>
        </w:behaviors>
        <w:guid w:val="{4DD030CA-58AD-4A60-B6D8-C918D1FBF344}"/>
      </w:docPartPr>
      <w:docPartBody>
        <w:p w:rsidR="0011273D" w:rsidRDefault="0011273D">
          <w:pPr>
            <w:pStyle w:val="269BCF24AA6A47C999650EA606ED03D7"/>
          </w:pPr>
          <w:r w:rsidRPr="005C44BE">
            <w:rPr>
              <w:rStyle w:val="PlaceholderText"/>
            </w:rPr>
            <w:t>Click or tap here to enter text.</w:t>
          </w:r>
        </w:p>
      </w:docPartBody>
    </w:docPart>
    <w:docPart>
      <w:docPartPr>
        <w:name w:val="1FE545B252EE4F47A8DB90AF1B063F10"/>
        <w:category>
          <w:name w:val="General"/>
          <w:gallery w:val="placeholder"/>
        </w:category>
        <w:types>
          <w:type w:val="bbPlcHdr"/>
        </w:types>
        <w:behaviors>
          <w:behavior w:val="content"/>
        </w:behaviors>
        <w:guid w:val="{4105DE6C-90E7-4846-BA24-CCB6D35C8C5D}"/>
      </w:docPartPr>
      <w:docPartBody>
        <w:p w:rsidR="0011273D" w:rsidRDefault="0011273D">
          <w:pPr>
            <w:pStyle w:val="1FE545B252EE4F47A8DB90AF1B063F10"/>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3D"/>
    <w:rsid w:val="0011273D"/>
    <w:rsid w:val="005E531A"/>
    <w:rsid w:val="007F4008"/>
    <w:rsid w:val="00976E14"/>
    <w:rsid w:val="00AD7A3D"/>
    <w:rsid w:val="00AE582E"/>
    <w:rsid w:val="00C83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297B0E2F63C4BE7B65244E07F72EF59">
    <w:name w:val="1297B0E2F63C4BE7B65244E07F72EF59"/>
  </w:style>
  <w:style w:type="paragraph" w:customStyle="1" w:styleId="638E46F6D4F64DB89BC80A37B0A1FCDF">
    <w:name w:val="638E46F6D4F64DB89BC80A37B0A1FCDF"/>
  </w:style>
  <w:style w:type="paragraph" w:customStyle="1" w:styleId="A0F93579C28F44A39DC541E9D92C79A2">
    <w:name w:val="A0F93579C28F44A39DC541E9D92C79A2"/>
  </w:style>
  <w:style w:type="paragraph" w:customStyle="1" w:styleId="269BCF24AA6A47C999650EA606ED03D7">
    <w:name w:val="269BCF24AA6A47C999650EA606ED03D7"/>
  </w:style>
  <w:style w:type="paragraph" w:customStyle="1" w:styleId="1FE545B252EE4F47A8DB90AF1B063F10">
    <w:name w:val="1FE545B252EE4F47A8DB90AF1B063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38CD8FC737549AA49F52A6CDD024B" ma:contentTypeVersion="15" ma:contentTypeDescription="Create a new document." ma:contentTypeScope="" ma:versionID="8a282c736a98b3b767c8766c82286c35">
  <xsd:schema xmlns:xsd="http://www.w3.org/2001/XMLSchema" xmlns:xs="http://www.w3.org/2001/XMLSchema" xmlns:p="http://schemas.microsoft.com/office/2006/metadata/properties" xmlns:ns3="9cb67157-2a84-4d71-9bf6-5197b63f335a" xmlns:ns4="84bcf370-1fc0-4423-ab46-412737d5c97d" targetNamespace="http://schemas.microsoft.com/office/2006/metadata/properties" ma:root="true" ma:fieldsID="237405b1d514d4c858c1568e32dbeecb" ns3:_="" ns4:_="">
    <xsd:import namespace="9cb67157-2a84-4d71-9bf6-5197b63f335a"/>
    <xsd:import namespace="84bcf370-1fc0-4423-ab46-412737d5c9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67157-2a84-4d71-9bf6-5197b63f3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cf370-1fc0-4423-ab46-412737d5c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http://schemas.globalmacros.com/FCA">
  <Name> McEwan v Office of the Australian Information Commissioner [2023] FCAFC 137 </Name>
</root>
</file>

<file path=customXml/item3.xml><?xml version="1.0" encoding="utf-8"?>
<p:properties xmlns:p="http://schemas.microsoft.com/office/2006/metadata/properties" xmlns:xsi="http://www.w3.org/2001/XMLSchema-instance" xmlns:pc="http://schemas.microsoft.com/office/infopath/2007/PartnerControls">
  <documentManagement>
    <_activity xmlns="9cb67157-2a84-4d71-9bf6-5197b63f33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78DF-6DF0-4A00-B830-D6542BBC4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67157-2a84-4d71-9bf6-5197b63f335a"/>
    <ds:schemaRef ds:uri="84bcf370-1fc0-4423-ab46-412737d5c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E7CCB-4AA5-44E7-B148-17BA2B6F57C0}">
  <ds:schemaRefs>
    <ds:schemaRef ds:uri="http://schemas.globalmacros.com/FCA"/>
  </ds:schemaRefs>
</ds:datastoreItem>
</file>

<file path=customXml/itemProps3.xml><?xml version="1.0" encoding="utf-8"?>
<ds:datastoreItem xmlns:ds="http://schemas.openxmlformats.org/officeDocument/2006/customXml" ds:itemID="{A5E98C26-ED63-4A96-BC5D-227C627D855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4bcf370-1fc0-4423-ab46-412737d5c97d"/>
    <ds:schemaRef ds:uri="http://purl.org/dc/terms/"/>
    <ds:schemaRef ds:uri="http://schemas.openxmlformats.org/package/2006/metadata/core-properties"/>
    <ds:schemaRef ds:uri="9cb67157-2a84-4d71-9bf6-5197b63f335a"/>
    <ds:schemaRef ds:uri="http://www.w3.org/XML/1998/namespace"/>
    <ds:schemaRef ds:uri="http://purl.org/dc/dcmitype/"/>
  </ds:schemaRefs>
</ds:datastoreItem>
</file>

<file path=customXml/itemProps4.xml><?xml version="1.0" encoding="utf-8"?>
<ds:datastoreItem xmlns:ds="http://schemas.openxmlformats.org/officeDocument/2006/customXml" ds:itemID="{258EBB68-B388-4300-A98D-F887D0443E7D}">
  <ds:schemaRefs>
    <ds:schemaRef ds:uri="http://schemas.microsoft.com/sharepoint/v3/contenttype/forms"/>
  </ds:schemaRefs>
</ds:datastoreItem>
</file>

<file path=customXml/itemProps5.xml><?xml version="1.0" encoding="utf-8"?>
<ds:datastoreItem xmlns:ds="http://schemas.openxmlformats.org/officeDocument/2006/customXml" ds:itemID="{381E83D6-FCC6-491A-95B3-99BDCC27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7</TotalTime>
  <Pages>18</Pages>
  <Words>5845</Words>
  <Characters>29917</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McEwan v Office of the Australian Information Commissioner [2023] FCAFC 137</vt:lpstr>
    </vt:vector>
  </TitlesOfParts>
  <Company>Federal Court of Australia</Company>
  <LinksUpToDate>false</LinksUpToDate>
  <CharactersWithSpaces>35691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McEwan v Office of the Australian Information Commissioner [2023] FCAFC 137</dc:title>
  <dc:subject/>
  <dc:creator>Sandra Casey</dc:creator>
  <cp:keywords/>
  <dc:description>v1.3</dc:description>
  <cp:lastModifiedBy>Sandra Casey</cp:lastModifiedBy>
  <cp:revision>5</cp:revision>
  <cp:lastPrinted>2023-08-17T23:26:00Z</cp:lastPrinted>
  <dcterms:created xsi:type="dcterms:W3CDTF">2023-08-18T01:29:00Z</dcterms:created>
  <dcterms:modified xsi:type="dcterms:W3CDTF">2023-08-18T01:57:00Z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McEwan v Office of the Australian Information Commissioner (No 2) [2022] FCA 1488</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y fmtid="{D5CDD505-2E9C-101B-9397-08002B2CF9AE}" pid="28" name="ContentTypeId">
    <vt:lpwstr>0x01010089038CD8FC737549AA49F52A6CDD024B</vt:lpwstr>
  </property>
</Properties>
</file>