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70B19" w:rsidP="00A22932">
      <w:pPr>
        <w:pStyle w:val="CourtTitle"/>
      </w:pPr>
      <w:r>
        <w:t>Federal Court of Australia</w:t>
      </w:r>
    </w:p>
    <w:p w:rsidR="004D7950" w:rsidRDefault="004D7950">
      <w:pPr>
        <w:pStyle w:val="NormalHeadings"/>
        <w:jc w:val="center"/>
        <w:rPr>
          <w:sz w:val="32"/>
        </w:rPr>
      </w:pPr>
    </w:p>
    <w:bookmarkStart w:id="0" w:name="MNC"/>
    <w:p w:rsidR="00374CC4" w:rsidRDefault="00C86191" w:rsidP="001A2B40">
      <w:pPr>
        <w:pStyle w:val="MNC"/>
      </w:pPr>
      <w:sdt>
        <w:sdtPr>
          <w:alias w:val="MNC"/>
          <w:tag w:val="MNC"/>
          <w:id w:val="343289786"/>
          <w:lock w:val="sdtLocked"/>
          <w:placeholder>
            <w:docPart w:val="0CEBF3BBCE61419DB423DBE22E567D24"/>
          </w:placeholder>
          <w:dataBinding w:prefixMappings="xmlns:ns0='http://schemas.globalmacros.com/FCA'" w:xpath="/ns0:root[1]/ns0:Name[1]" w:storeItemID="{687E7CCB-4AA5-44E7-B148-17BA2B6F57C0}"/>
          <w:text w:multiLine="1"/>
        </w:sdtPr>
        <w:sdtEndPr/>
        <w:sdtContent>
          <w:r w:rsidR="0083379F">
            <w:t>Connelly, in the matter of TSK QLD Pty Ltd (in liq) v</w:t>
          </w:r>
          <w:r w:rsidR="00FF3A79">
            <w:t xml:space="preserve"> Torquejobs Pty Ltd [2022] FCA 823 </w:t>
          </w:r>
        </w:sdtContent>
      </w:sdt>
      <w:bookmarkEnd w:id="0"/>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83379F">
        <w:tc>
          <w:tcPr>
            <w:tcW w:w="3083" w:type="dxa"/>
            <w:shd w:val="clear" w:color="auto" w:fill="auto"/>
          </w:tcPr>
          <w:p w:rsidR="00395B24" w:rsidRDefault="002C7385" w:rsidP="00663878">
            <w:pPr>
              <w:pStyle w:val="Normal1linespace"/>
              <w:widowControl w:val="0"/>
              <w:jc w:val="left"/>
            </w:pPr>
            <w:r>
              <w:t>File number(s):</w:t>
            </w:r>
          </w:p>
        </w:tc>
        <w:tc>
          <w:tcPr>
            <w:tcW w:w="5990" w:type="dxa"/>
            <w:shd w:val="clear" w:color="auto" w:fill="auto"/>
          </w:tcPr>
          <w:p w:rsidR="00395B24" w:rsidRPr="00A70B19" w:rsidRDefault="00A70B19" w:rsidP="00A70B19">
            <w:pPr>
              <w:pStyle w:val="Normal1linespace"/>
              <w:jc w:val="left"/>
            </w:pPr>
            <w:r w:rsidRPr="00A70B19">
              <w:t>QUD 126 of 2022</w:t>
            </w:r>
          </w:p>
        </w:tc>
      </w:tr>
      <w:tr w:rsidR="00395B24" w:rsidTr="0083379F">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83379F">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A70B19" w:rsidP="00663878">
            <w:pPr>
              <w:pStyle w:val="Normal1linespace"/>
              <w:widowControl w:val="0"/>
              <w:jc w:val="left"/>
              <w:rPr>
                <w:b/>
              </w:rPr>
            </w:pPr>
            <w:r w:rsidRPr="00A70B19">
              <w:rPr>
                <w:b/>
                <w:caps/>
                <w:szCs w:val="24"/>
              </w:rPr>
              <w:t>DOWNES J</w:t>
            </w:r>
          </w:p>
        </w:tc>
      </w:tr>
      <w:tr w:rsidR="00395B24" w:rsidTr="0083379F">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83379F">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A70B19" w:rsidP="00663878">
            <w:pPr>
              <w:pStyle w:val="Normal1linespace"/>
              <w:widowControl w:val="0"/>
              <w:jc w:val="left"/>
            </w:pPr>
            <w:bookmarkStart w:id="1" w:name="JudgmentDate"/>
            <w:r>
              <w:t>7 July 2022</w:t>
            </w:r>
            <w:bookmarkEnd w:id="1"/>
          </w:p>
        </w:tc>
      </w:tr>
      <w:tr w:rsidR="00043B0C" w:rsidTr="0083379F">
        <w:tc>
          <w:tcPr>
            <w:tcW w:w="3083" w:type="dxa"/>
            <w:shd w:val="clear" w:color="auto" w:fill="auto"/>
          </w:tcPr>
          <w:p w:rsidR="00043B0C" w:rsidRDefault="00043B0C" w:rsidP="00663878">
            <w:pPr>
              <w:pStyle w:val="Normal1linespace"/>
              <w:widowControl w:val="0"/>
              <w:jc w:val="left"/>
            </w:pPr>
          </w:p>
        </w:tc>
        <w:tc>
          <w:tcPr>
            <w:tcW w:w="5990" w:type="dxa"/>
            <w:shd w:val="clear" w:color="auto" w:fill="auto"/>
          </w:tcPr>
          <w:p w:rsidR="00043B0C" w:rsidRDefault="00043B0C" w:rsidP="00663878">
            <w:pPr>
              <w:pStyle w:val="Normal1linespace"/>
              <w:widowControl w:val="0"/>
              <w:jc w:val="left"/>
            </w:pPr>
          </w:p>
        </w:tc>
      </w:tr>
      <w:tr w:rsidR="00043B0C" w:rsidTr="0083379F">
        <w:tc>
          <w:tcPr>
            <w:tcW w:w="3083" w:type="dxa"/>
            <w:shd w:val="clear" w:color="auto" w:fill="auto"/>
          </w:tcPr>
          <w:p w:rsidR="00043B0C" w:rsidRDefault="00043B0C" w:rsidP="00663878">
            <w:pPr>
              <w:pStyle w:val="Normal1linespace"/>
              <w:widowControl w:val="0"/>
              <w:jc w:val="left"/>
            </w:pPr>
            <w:r>
              <w:t>Date of publication of reasons:</w:t>
            </w:r>
          </w:p>
        </w:tc>
        <w:tc>
          <w:tcPr>
            <w:tcW w:w="5990" w:type="dxa"/>
            <w:shd w:val="clear" w:color="auto" w:fill="auto"/>
          </w:tcPr>
          <w:p w:rsidR="00043B0C" w:rsidRDefault="00043B0C" w:rsidP="00663878">
            <w:pPr>
              <w:pStyle w:val="Normal1linespace"/>
              <w:widowControl w:val="0"/>
              <w:jc w:val="left"/>
            </w:pPr>
            <w:r>
              <w:t>15 July 2022</w:t>
            </w:r>
          </w:p>
        </w:tc>
      </w:tr>
      <w:tr w:rsidR="00395B24" w:rsidTr="0083379F">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83379F">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CA4483" w:rsidP="00A12F2C">
            <w:pPr>
              <w:pStyle w:val="Normal1linespace"/>
              <w:widowControl w:val="0"/>
              <w:jc w:val="left"/>
            </w:pPr>
            <w:bookmarkStart w:id="2" w:name="Catchwords"/>
            <w:r>
              <w:rPr>
                <w:b/>
              </w:rPr>
              <w:t>COSTS</w:t>
            </w:r>
            <w:r>
              <w:t xml:space="preserve"> – application by liquidators of company for costs of application for warrant pursuant to s 530</w:t>
            </w:r>
            <w:r w:rsidR="00972A13">
              <w:t xml:space="preserve">C </w:t>
            </w:r>
            <w:r w:rsidR="00972A13">
              <w:rPr>
                <w:i/>
              </w:rPr>
              <w:t xml:space="preserve">Corporations Act 2001 </w:t>
            </w:r>
            <w:r w:rsidR="00972A13">
              <w:t xml:space="preserve">(Cth) which resulted in consent order – prior to filing application, liquidators served notices under s 530B </w:t>
            </w:r>
            <w:r w:rsidR="00972A13">
              <w:rPr>
                <w:i/>
              </w:rPr>
              <w:t xml:space="preserve">Corporations Act 2001 </w:t>
            </w:r>
            <w:r w:rsidR="00972A13">
              <w:t xml:space="preserve">(Cth) and proposed regime to enable claims for privacy and legal professional privilege to be determined – books were being held by new company which had acquired business of company in liquidation and was employing its former director and chief financial officer – </w:t>
            </w:r>
            <w:r w:rsidR="0006017D">
              <w:t xml:space="preserve">new company </w:t>
            </w:r>
            <w:r w:rsidR="00A12F2C">
              <w:t>did not agree to the</w:t>
            </w:r>
            <w:r w:rsidR="0006017D">
              <w:t xml:space="preserve"> regime proposed by liquidators – </w:t>
            </w:r>
            <w:r w:rsidR="00972A13">
              <w:t>liquidator deposed to concerns about documents being concealed, destroyed or removed</w:t>
            </w:r>
            <w:r w:rsidR="00715751">
              <w:t xml:space="preserve"> </w:t>
            </w:r>
            <w:r w:rsidR="00972A13">
              <w:t xml:space="preserve">– </w:t>
            </w:r>
            <w:r w:rsidR="0006017D">
              <w:t xml:space="preserve">liquidators had proper basis to seek the issue of the warrant in the circumstances – </w:t>
            </w:r>
            <w:r w:rsidR="00972A13">
              <w:t>costs awarded in favour of liquidators</w:t>
            </w:r>
            <w:r w:rsidR="002C7385">
              <w:t xml:space="preserve"> </w:t>
            </w:r>
            <w:bookmarkEnd w:id="2"/>
          </w:p>
        </w:tc>
      </w:tr>
      <w:tr w:rsidR="00395B24" w:rsidTr="0083379F">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83379F">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3507AA" w:rsidRPr="003507AA" w:rsidRDefault="003507AA" w:rsidP="003507AA">
            <w:pPr>
              <w:pStyle w:val="CasesLegislationAppealFrom"/>
              <w:spacing w:after="60"/>
            </w:pPr>
            <w:bookmarkStart w:id="3" w:name="Legislation"/>
            <w:r w:rsidRPr="003507AA">
              <w:rPr>
                <w:i/>
              </w:rPr>
              <w:t>Corporations Act</w:t>
            </w:r>
            <w:r w:rsidRPr="003507AA">
              <w:t xml:space="preserve"> </w:t>
            </w:r>
            <w:r w:rsidRPr="003507AA">
              <w:rPr>
                <w:i/>
              </w:rPr>
              <w:t>2001</w:t>
            </w:r>
            <w:r w:rsidRPr="003507AA">
              <w:t xml:space="preserve"> (Cth</w:t>
            </w:r>
            <w:r>
              <w:t>) ss 286, 436A, 530B, 530C</w:t>
            </w:r>
            <w:bookmarkEnd w:id="3"/>
          </w:p>
        </w:tc>
      </w:tr>
      <w:tr w:rsidR="00395B24" w:rsidTr="0083379F">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83379F">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395B24" w:rsidRPr="003507AA" w:rsidRDefault="003507AA" w:rsidP="003507AA">
            <w:pPr>
              <w:pStyle w:val="CasesLegislationAppealFrom"/>
              <w:spacing w:after="60"/>
            </w:pPr>
            <w:bookmarkStart w:id="4" w:name="Cases_Cited"/>
            <w:r w:rsidRPr="003507AA">
              <w:rPr>
                <w:i/>
              </w:rPr>
              <w:t>Re Carrello (as the liquidator of Drilling Australia Proprietary Limited) (in liquidation)</w:t>
            </w:r>
            <w:r w:rsidRPr="003507AA">
              <w:t xml:space="preserve"> (2019)</w:t>
            </w:r>
            <w:r w:rsidR="00B94125">
              <w:t xml:space="preserve"> 139 ACSR 187;</w:t>
            </w:r>
            <w:r w:rsidRPr="003507AA">
              <w:t xml:space="preserve"> [2019] FCA 1563</w:t>
            </w:r>
            <w:bookmarkEnd w:id="4"/>
          </w:p>
        </w:tc>
      </w:tr>
      <w:tr w:rsidR="00A70B19" w:rsidTr="0083379F">
        <w:tc>
          <w:tcPr>
            <w:tcW w:w="3083" w:type="dxa"/>
            <w:shd w:val="clear" w:color="auto" w:fill="auto"/>
          </w:tcPr>
          <w:p w:rsidR="00A70B19" w:rsidRDefault="00A70B19" w:rsidP="00625045">
            <w:pPr>
              <w:pStyle w:val="Normal1linespace"/>
              <w:widowControl w:val="0"/>
            </w:pPr>
          </w:p>
        </w:tc>
        <w:tc>
          <w:tcPr>
            <w:tcW w:w="5990" w:type="dxa"/>
            <w:shd w:val="clear" w:color="auto" w:fill="auto"/>
          </w:tcPr>
          <w:p w:rsidR="00A70B19" w:rsidRDefault="00A70B19" w:rsidP="00625045">
            <w:pPr>
              <w:pStyle w:val="Normal1linespace"/>
              <w:widowControl w:val="0"/>
              <w:jc w:val="left"/>
            </w:pPr>
          </w:p>
        </w:tc>
      </w:tr>
      <w:tr w:rsidR="00A70B19" w:rsidTr="0083379F">
        <w:tc>
          <w:tcPr>
            <w:tcW w:w="3083" w:type="dxa"/>
            <w:shd w:val="clear" w:color="auto" w:fill="auto"/>
          </w:tcPr>
          <w:p w:rsidR="00A70B19" w:rsidRDefault="00A70B19" w:rsidP="00501A12">
            <w:pPr>
              <w:pStyle w:val="Normal1linespace"/>
              <w:widowControl w:val="0"/>
            </w:pPr>
            <w:r>
              <w:t>Division:</w:t>
            </w:r>
          </w:p>
        </w:tc>
        <w:tc>
          <w:tcPr>
            <w:tcW w:w="5990" w:type="dxa"/>
            <w:shd w:val="clear" w:color="auto" w:fill="auto"/>
          </w:tcPr>
          <w:p w:rsidR="00A70B19" w:rsidRPr="00F17599" w:rsidRDefault="00A70B19" w:rsidP="00501A12">
            <w:pPr>
              <w:pStyle w:val="Normal1linespace"/>
              <w:widowControl w:val="0"/>
              <w:jc w:val="left"/>
            </w:pPr>
            <w:r>
              <w:t>General Division</w:t>
            </w:r>
          </w:p>
        </w:tc>
      </w:tr>
      <w:tr w:rsidR="00A70B19" w:rsidTr="0083379F">
        <w:tc>
          <w:tcPr>
            <w:tcW w:w="3083" w:type="dxa"/>
            <w:shd w:val="clear" w:color="auto" w:fill="auto"/>
          </w:tcPr>
          <w:p w:rsidR="00A70B19" w:rsidRDefault="00A70B19" w:rsidP="00501A12">
            <w:pPr>
              <w:pStyle w:val="Normal1linespace"/>
              <w:widowControl w:val="0"/>
            </w:pPr>
            <w:bookmarkStart w:id="5" w:name="Registry_rows" w:colFirst="0" w:colLast="1"/>
          </w:p>
        </w:tc>
        <w:tc>
          <w:tcPr>
            <w:tcW w:w="5990" w:type="dxa"/>
            <w:shd w:val="clear" w:color="auto" w:fill="auto"/>
          </w:tcPr>
          <w:p w:rsidR="00A70B19" w:rsidRDefault="00A70B19" w:rsidP="00501A12">
            <w:pPr>
              <w:pStyle w:val="Normal1linespace"/>
              <w:widowControl w:val="0"/>
              <w:jc w:val="left"/>
            </w:pPr>
          </w:p>
        </w:tc>
      </w:tr>
      <w:tr w:rsidR="00A70B19" w:rsidTr="0083379F">
        <w:tc>
          <w:tcPr>
            <w:tcW w:w="3083" w:type="dxa"/>
            <w:shd w:val="clear" w:color="auto" w:fill="auto"/>
          </w:tcPr>
          <w:p w:rsidR="00A70B19" w:rsidRDefault="00A70B19" w:rsidP="00501A12">
            <w:pPr>
              <w:pStyle w:val="Normal1linespace"/>
              <w:widowControl w:val="0"/>
            </w:pPr>
            <w:r>
              <w:t>Registry:</w:t>
            </w:r>
          </w:p>
        </w:tc>
        <w:tc>
          <w:tcPr>
            <w:tcW w:w="5990" w:type="dxa"/>
            <w:shd w:val="clear" w:color="auto" w:fill="auto"/>
          </w:tcPr>
          <w:p w:rsidR="00A70B19" w:rsidRPr="00F17599" w:rsidRDefault="00A70B19" w:rsidP="00501A12">
            <w:pPr>
              <w:pStyle w:val="Normal1linespace"/>
              <w:widowControl w:val="0"/>
              <w:jc w:val="left"/>
            </w:pPr>
            <w:r>
              <w:t>Queensland</w:t>
            </w:r>
          </w:p>
        </w:tc>
      </w:tr>
      <w:tr w:rsidR="00A70B19" w:rsidTr="0083379F">
        <w:tc>
          <w:tcPr>
            <w:tcW w:w="3083" w:type="dxa"/>
            <w:shd w:val="clear" w:color="auto" w:fill="auto"/>
          </w:tcPr>
          <w:p w:rsidR="00A70B19" w:rsidRDefault="00A70B19" w:rsidP="00501A12">
            <w:pPr>
              <w:pStyle w:val="Normal1linespace"/>
              <w:widowControl w:val="0"/>
            </w:pPr>
            <w:bookmarkStart w:id="6" w:name="NPARow" w:colFirst="0" w:colLast="1"/>
            <w:bookmarkEnd w:id="5"/>
          </w:p>
        </w:tc>
        <w:tc>
          <w:tcPr>
            <w:tcW w:w="5990" w:type="dxa"/>
            <w:shd w:val="clear" w:color="auto" w:fill="auto"/>
          </w:tcPr>
          <w:p w:rsidR="00A70B19" w:rsidRPr="00F17599" w:rsidRDefault="00A70B19" w:rsidP="00501A12">
            <w:pPr>
              <w:pStyle w:val="Normal1linespace"/>
              <w:widowControl w:val="0"/>
              <w:jc w:val="left"/>
              <w:rPr>
                <w:b/>
              </w:rPr>
            </w:pPr>
          </w:p>
        </w:tc>
      </w:tr>
      <w:tr w:rsidR="00A70B19" w:rsidTr="0083379F">
        <w:tc>
          <w:tcPr>
            <w:tcW w:w="3083" w:type="dxa"/>
            <w:shd w:val="clear" w:color="auto" w:fill="auto"/>
          </w:tcPr>
          <w:p w:rsidR="00A70B19" w:rsidRDefault="00A70B19" w:rsidP="00501A12">
            <w:pPr>
              <w:pStyle w:val="Normal1linespace"/>
              <w:widowControl w:val="0"/>
            </w:pPr>
            <w:r>
              <w:t>National Practice Area:</w:t>
            </w:r>
          </w:p>
        </w:tc>
        <w:tc>
          <w:tcPr>
            <w:tcW w:w="5990" w:type="dxa"/>
            <w:shd w:val="clear" w:color="auto" w:fill="auto"/>
          </w:tcPr>
          <w:p w:rsidR="00A70B19" w:rsidRPr="00F17599" w:rsidRDefault="00A70B19" w:rsidP="00625045">
            <w:pPr>
              <w:pStyle w:val="Normal1linespace"/>
              <w:widowControl w:val="0"/>
              <w:jc w:val="left"/>
              <w:rPr>
                <w:b/>
              </w:rPr>
            </w:pPr>
            <w:r>
              <w:t>Commercial and Corporations</w:t>
            </w:r>
          </w:p>
        </w:tc>
      </w:tr>
      <w:tr w:rsidR="00A70B19" w:rsidTr="0083379F">
        <w:tc>
          <w:tcPr>
            <w:tcW w:w="3083" w:type="dxa"/>
            <w:shd w:val="clear" w:color="auto" w:fill="auto"/>
          </w:tcPr>
          <w:p w:rsidR="00A70B19" w:rsidRDefault="00A70B19" w:rsidP="00501A12">
            <w:pPr>
              <w:pStyle w:val="Normal1linespace"/>
              <w:widowControl w:val="0"/>
            </w:pPr>
            <w:bookmarkStart w:id="7" w:name="SubAreaRow" w:colFirst="0" w:colLast="1"/>
            <w:bookmarkEnd w:id="6"/>
          </w:p>
        </w:tc>
        <w:tc>
          <w:tcPr>
            <w:tcW w:w="5990" w:type="dxa"/>
            <w:shd w:val="clear" w:color="auto" w:fill="auto"/>
          </w:tcPr>
          <w:p w:rsidR="00A70B19" w:rsidRDefault="00A70B19" w:rsidP="00625045">
            <w:pPr>
              <w:pStyle w:val="Normal1linespace"/>
              <w:widowControl w:val="0"/>
              <w:jc w:val="left"/>
            </w:pPr>
          </w:p>
        </w:tc>
      </w:tr>
      <w:tr w:rsidR="00A70B19" w:rsidTr="0083379F">
        <w:tc>
          <w:tcPr>
            <w:tcW w:w="3083" w:type="dxa"/>
            <w:shd w:val="clear" w:color="auto" w:fill="auto"/>
          </w:tcPr>
          <w:p w:rsidR="00A70B19" w:rsidRDefault="00A70B19" w:rsidP="00501A12">
            <w:pPr>
              <w:pStyle w:val="Normal1linespace"/>
              <w:widowControl w:val="0"/>
            </w:pPr>
            <w:r>
              <w:t>Sub-area:</w:t>
            </w:r>
          </w:p>
        </w:tc>
        <w:tc>
          <w:tcPr>
            <w:tcW w:w="5990" w:type="dxa"/>
            <w:shd w:val="clear" w:color="auto" w:fill="auto"/>
          </w:tcPr>
          <w:p w:rsidR="00A70B19" w:rsidRPr="00837288" w:rsidRDefault="00A70B19" w:rsidP="00625045">
            <w:pPr>
              <w:pStyle w:val="Normal1linespace"/>
              <w:widowControl w:val="0"/>
              <w:jc w:val="left"/>
            </w:pPr>
            <w:r w:rsidRPr="00A70B19">
              <w:rPr>
                <w:lang w:val="en-US"/>
              </w:rPr>
              <w:t>Corporations and Corporate</w:t>
            </w:r>
            <w:r>
              <w:t xml:space="preserve"> Insolvency</w:t>
            </w:r>
          </w:p>
        </w:tc>
      </w:tr>
      <w:bookmarkEnd w:id="7"/>
      <w:tr w:rsidR="00A70B19" w:rsidTr="0083379F">
        <w:tc>
          <w:tcPr>
            <w:tcW w:w="3083" w:type="dxa"/>
            <w:shd w:val="clear" w:color="auto" w:fill="auto"/>
          </w:tcPr>
          <w:p w:rsidR="00A70B19" w:rsidRDefault="00A70B19" w:rsidP="00501A12">
            <w:pPr>
              <w:pStyle w:val="Normal1linespace"/>
              <w:widowControl w:val="0"/>
            </w:pPr>
          </w:p>
        </w:tc>
        <w:tc>
          <w:tcPr>
            <w:tcW w:w="5990" w:type="dxa"/>
            <w:shd w:val="clear" w:color="auto" w:fill="auto"/>
          </w:tcPr>
          <w:p w:rsidR="00A70B19" w:rsidRDefault="00A70B19" w:rsidP="00501A12">
            <w:pPr>
              <w:pStyle w:val="Normal1linespace"/>
              <w:widowControl w:val="0"/>
              <w:jc w:val="left"/>
            </w:pPr>
          </w:p>
        </w:tc>
      </w:tr>
      <w:tr w:rsidR="00A70B19" w:rsidTr="0083379F">
        <w:tc>
          <w:tcPr>
            <w:tcW w:w="3083" w:type="dxa"/>
            <w:shd w:val="clear" w:color="auto" w:fill="auto"/>
          </w:tcPr>
          <w:p w:rsidR="00A70B19" w:rsidRDefault="00A70B19" w:rsidP="00501A12">
            <w:pPr>
              <w:pStyle w:val="Normal1linespace"/>
              <w:widowControl w:val="0"/>
            </w:pPr>
            <w:r>
              <w:t>Number of paragraphs:</w:t>
            </w:r>
          </w:p>
        </w:tc>
        <w:tc>
          <w:tcPr>
            <w:tcW w:w="5990" w:type="dxa"/>
            <w:shd w:val="clear" w:color="auto" w:fill="auto"/>
          </w:tcPr>
          <w:p w:rsidR="00A70B19" w:rsidRDefault="00A6511B" w:rsidP="00501A12">
            <w:pPr>
              <w:pStyle w:val="Normal1linespace"/>
              <w:widowControl w:val="0"/>
              <w:jc w:val="left"/>
            </w:pPr>
            <w:bookmarkStart w:id="8" w:name="PlaceCategoryParagraphs"/>
            <w:r>
              <w:t>50</w:t>
            </w:r>
            <w:bookmarkEnd w:id="8"/>
          </w:p>
        </w:tc>
      </w:tr>
      <w:tr w:rsidR="00A70B19" w:rsidTr="0083379F">
        <w:tc>
          <w:tcPr>
            <w:tcW w:w="3083" w:type="dxa"/>
            <w:shd w:val="clear" w:color="auto" w:fill="auto"/>
          </w:tcPr>
          <w:p w:rsidR="00A70B19" w:rsidRDefault="00A70B19" w:rsidP="00A70B19">
            <w:pPr>
              <w:pStyle w:val="Normal1linespace"/>
              <w:widowControl w:val="0"/>
              <w:jc w:val="left"/>
            </w:pPr>
          </w:p>
        </w:tc>
        <w:tc>
          <w:tcPr>
            <w:tcW w:w="5990" w:type="dxa"/>
            <w:shd w:val="clear" w:color="auto" w:fill="auto"/>
          </w:tcPr>
          <w:p w:rsidR="00A70B19" w:rsidRDefault="00A70B19" w:rsidP="00A70B19">
            <w:pPr>
              <w:pStyle w:val="Normal1linespace"/>
              <w:widowControl w:val="0"/>
              <w:jc w:val="left"/>
            </w:pPr>
          </w:p>
        </w:tc>
      </w:tr>
      <w:tr w:rsidR="00A70B19" w:rsidTr="0083379F">
        <w:tc>
          <w:tcPr>
            <w:tcW w:w="3083" w:type="dxa"/>
            <w:shd w:val="clear" w:color="auto" w:fill="auto"/>
          </w:tcPr>
          <w:p w:rsidR="00A70B19" w:rsidRDefault="00A70B19" w:rsidP="00A70B19">
            <w:pPr>
              <w:pStyle w:val="Normal1linespace"/>
              <w:widowControl w:val="0"/>
              <w:jc w:val="left"/>
            </w:pPr>
            <w:bookmarkStart w:id="9" w:name="CounselDate" w:colFirst="0" w:colLast="2"/>
            <w:r w:rsidRPr="006A24E3">
              <w:t>Date of hearing:</w:t>
            </w:r>
          </w:p>
        </w:tc>
        <w:tc>
          <w:tcPr>
            <w:tcW w:w="5990" w:type="dxa"/>
            <w:shd w:val="clear" w:color="auto" w:fill="auto"/>
          </w:tcPr>
          <w:p w:rsidR="00A70B19" w:rsidRDefault="00C35092" w:rsidP="00A70B19">
            <w:pPr>
              <w:pStyle w:val="Normal1linespace"/>
              <w:widowControl w:val="0"/>
              <w:jc w:val="left"/>
            </w:pPr>
            <w:bookmarkStart w:id="10" w:name="HearingDate"/>
            <w:r>
              <w:t>7 July 2022</w:t>
            </w:r>
            <w:r w:rsidR="00A70B19">
              <w:t xml:space="preserve"> </w:t>
            </w:r>
            <w:bookmarkEnd w:id="10"/>
          </w:p>
        </w:tc>
      </w:tr>
      <w:tr w:rsidR="00A70B19" w:rsidTr="0083379F">
        <w:tc>
          <w:tcPr>
            <w:tcW w:w="3083" w:type="dxa"/>
            <w:shd w:val="clear" w:color="auto" w:fill="auto"/>
          </w:tcPr>
          <w:p w:rsidR="00A70B19" w:rsidRDefault="00A70B19" w:rsidP="00A70B19">
            <w:pPr>
              <w:pStyle w:val="Normal1linespace"/>
              <w:widowControl w:val="0"/>
              <w:jc w:val="left"/>
            </w:pPr>
          </w:p>
        </w:tc>
        <w:tc>
          <w:tcPr>
            <w:tcW w:w="5990" w:type="dxa"/>
            <w:shd w:val="clear" w:color="auto" w:fill="auto"/>
          </w:tcPr>
          <w:p w:rsidR="00A70B19" w:rsidRDefault="00A70B19" w:rsidP="00A70B19">
            <w:pPr>
              <w:pStyle w:val="Normal1linespace"/>
              <w:widowControl w:val="0"/>
              <w:jc w:val="left"/>
            </w:pPr>
          </w:p>
        </w:tc>
      </w:tr>
      <w:tr w:rsidR="0083379F" w:rsidTr="0083379F">
        <w:tc>
          <w:tcPr>
            <w:tcW w:w="3083" w:type="dxa"/>
            <w:shd w:val="clear" w:color="auto" w:fill="auto"/>
          </w:tcPr>
          <w:p w:rsidR="0083379F" w:rsidRDefault="0083379F" w:rsidP="0083379F">
            <w:pPr>
              <w:pStyle w:val="Normal1linespace"/>
              <w:widowControl w:val="0"/>
              <w:jc w:val="left"/>
            </w:pPr>
            <w:bookmarkStart w:id="11" w:name="Counsel" w:colFirst="0" w:colLast="2"/>
            <w:bookmarkEnd w:id="9"/>
            <w:r>
              <w:lastRenderedPageBreak/>
              <w:t>Counsel for the Applicant:</w:t>
            </w:r>
          </w:p>
        </w:tc>
        <w:tc>
          <w:tcPr>
            <w:tcW w:w="5990" w:type="dxa"/>
            <w:shd w:val="clear" w:color="auto" w:fill="auto"/>
          </w:tcPr>
          <w:p w:rsidR="0083379F" w:rsidRDefault="0083379F" w:rsidP="0083379F">
            <w:pPr>
              <w:pStyle w:val="Normal1linespace"/>
              <w:widowControl w:val="0"/>
              <w:jc w:val="left"/>
            </w:pPr>
            <w:bookmarkStart w:id="12" w:name="AppCounsel"/>
            <w:bookmarkEnd w:id="12"/>
            <w:r>
              <w:t>Mr P O’Brien</w:t>
            </w:r>
          </w:p>
        </w:tc>
      </w:tr>
      <w:tr w:rsidR="0083379F" w:rsidTr="0083379F">
        <w:tc>
          <w:tcPr>
            <w:tcW w:w="3083" w:type="dxa"/>
            <w:shd w:val="clear" w:color="auto" w:fill="auto"/>
          </w:tcPr>
          <w:p w:rsidR="0083379F" w:rsidRDefault="0083379F" w:rsidP="0083379F">
            <w:pPr>
              <w:pStyle w:val="Normal1linespace"/>
              <w:widowControl w:val="0"/>
              <w:jc w:val="left"/>
            </w:pPr>
          </w:p>
        </w:tc>
        <w:tc>
          <w:tcPr>
            <w:tcW w:w="5990" w:type="dxa"/>
            <w:shd w:val="clear" w:color="auto" w:fill="auto"/>
          </w:tcPr>
          <w:p w:rsidR="0083379F" w:rsidRDefault="0083379F" w:rsidP="0083379F">
            <w:pPr>
              <w:pStyle w:val="Normal1linespace"/>
              <w:widowControl w:val="0"/>
              <w:jc w:val="left"/>
            </w:pPr>
          </w:p>
        </w:tc>
      </w:tr>
      <w:tr w:rsidR="0083379F" w:rsidTr="0083379F">
        <w:tc>
          <w:tcPr>
            <w:tcW w:w="3083" w:type="dxa"/>
            <w:shd w:val="clear" w:color="auto" w:fill="auto"/>
          </w:tcPr>
          <w:p w:rsidR="0083379F" w:rsidRDefault="0083379F" w:rsidP="0083379F">
            <w:pPr>
              <w:pStyle w:val="Normal1linespace"/>
              <w:widowControl w:val="0"/>
              <w:jc w:val="left"/>
            </w:pPr>
            <w:r>
              <w:t>Solicitor for the Applicant:</w:t>
            </w:r>
          </w:p>
        </w:tc>
        <w:tc>
          <w:tcPr>
            <w:tcW w:w="5989" w:type="dxa"/>
            <w:shd w:val="clear" w:color="auto" w:fill="auto"/>
          </w:tcPr>
          <w:p w:rsidR="0083379F" w:rsidRDefault="0083379F" w:rsidP="0083379F">
            <w:pPr>
              <w:pStyle w:val="Normal1linespace"/>
              <w:widowControl w:val="0"/>
              <w:jc w:val="left"/>
            </w:pPr>
            <w:r>
              <w:t>McInnes Wilson Lawyers</w:t>
            </w:r>
          </w:p>
        </w:tc>
      </w:tr>
      <w:tr w:rsidR="0083379F" w:rsidTr="0083379F">
        <w:tc>
          <w:tcPr>
            <w:tcW w:w="3083" w:type="dxa"/>
            <w:shd w:val="clear" w:color="auto" w:fill="auto"/>
          </w:tcPr>
          <w:p w:rsidR="0083379F" w:rsidRDefault="0083379F" w:rsidP="0083379F">
            <w:pPr>
              <w:pStyle w:val="Normal1linespace"/>
              <w:widowControl w:val="0"/>
              <w:jc w:val="left"/>
            </w:pPr>
          </w:p>
        </w:tc>
        <w:tc>
          <w:tcPr>
            <w:tcW w:w="5989" w:type="dxa"/>
            <w:shd w:val="clear" w:color="auto" w:fill="auto"/>
          </w:tcPr>
          <w:p w:rsidR="0083379F" w:rsidRDefault="0083379F" w:rsidP="0083379F">
            <w:pPr>
              <w:pStyle w:val="Normal1linespace"/>
              <w:widowControl w:val="0"/>
              <w:jc w:val="left"/>
            </w:pPr>
          </w:p>
        </w:tc>
      </w:tr>
      <w:tr w:rsidR="0083379F" w:rsidTr="0083379F">
        <w:tc>
          <w:tcPr>
            <w:tcW w:w="3083" w:type="dxa"/>
            <w:shd w:val="clear" w:color="auto" w:fill="auto"/>
          </w:tcPr>
          <w:p w:rsidR="0083379F" w:rsidRDefault="0083379F" w:rsidP="0083379F">
            <w:pPr>
              <w:pStyle w:val="Normal1linespace"/>
              <w:widowControl w:val="0"/>
              <w:jc w:val="left"/>
            </w:pPr>
            <w:r>
              <w:t>Counsel for the Respondents:</w:t>
            </w:r>
          </w:p>
        </w:tc>
        <w:tc>
          <w:tcPr>
            <w:tcW w:w="5989" w:type="dxa"/>
            <w:shd w:val="clear" w:color="auto" w:fill="auto"/>
          </w:tcPr>
          <w:p w:rsidR="0083379F" w:rsidRDefault="0083379F" w:rsidP="0083379F">
            <w:pPr>
              <w:pStyle w:val="Normal1linespace"/>
              <w:widowControl w:val="0"/>
              <w:jc w:val="left"/>
            </w:pPr>
            <w:r>
              <w:t>Mr B Kidston</w:t>
            </w:r>
          </w:p>
        </w:tc>
      </w:tr>
      <w:tr w:rsidR="0083379F" w:rsidTr="0083379F">
        <w:tc>
          <w:tcPr>
            <w:tcW w:w="3083" w:type="dxa"/>
            <w:shd w:val="clear" w:color="auto" w:fill="auto"/>
          </w:tcPr>
          <w:p w:rsidR="0083379F" w:rsidRDefault="0083379F" w:rsidP="0083379F">
            <w:pPr>
              <w:pStyle w:val="Normal1linespace"/>
              <w:widowControl w:val="0"/>
              <w:jc w:val="left"/>
            </w:pPr>
          </w:p>
        </w:tc>
        <w:tc>
          <w:tcPr>
            <w:tcW w:w="5989" w:type="dxa"/>
            <w:shd w:val="clear" w:color="auto" w:fill="auto"/>
          </w:tcPr>
          <w:p w:rsidR="0083379F" w:rsidRDefault="0083379F" w:rsidP="0083379F">
            <w:pPr>
              <w:pStyle w:val="Normal1linespace"/>
              <w:widowControl w:val="0"/>
              <w:jc w:val="left"/>
            </w:pPr>
          </w:p>
        </w:tc>
      </w:tr>
      <w:tr w:rsidR="0083379F" w:rsidTr="0083379F">
        <w:tc>
          <w:tcPr>
            <w:tcW w:w="3083" w:type="dxa"/>
            <w:shd w:val="clear" w:color="auto" w:fill="auto"/>
          </w:tcPr>
          <w:p w:rsidR="0083379F" w:rsidRDefault="0083379F" w:rsidP="0083379F">
            <w:pPr>
              <w:pStyle w:val="Normal1linespace"/>
              <w:widowControl w:val="0"/>
              <w:jc w:val="left"/>
            </w:pPr>
            <w:r>
              <w:t>Solicitor for the Respondents:</w:t>
            </w:r>
          </w:p>
        </w:tc>
        <w:tc>
          <w:tcPr>
            <w:tcW w:w="5989" w:type="dxa"/>
            <w:shd w:val="clear" w:color="auto" w:fill="auto"/>
          </w:tcPr>
          <w:p w:rsidR="0083379F" w:rsidRDefault="0083379F" w:rsidP="0083379F">
            <w:pPr>
              <w:pStyle w:val="Normal1linespace"/>
              <w:widowControl w:val="0"/>
              <w:jc w:val="left"/>
            </w:pPr>
            <w:r>
              <w:t>Enyo Lawyers</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70B19" w:rsidP="00F92355">
            <w:pPr>
              <w:pStyle w:val="NormalHeadings"/>
              <w:jc w:val="right"/>
            </w:pPr>
            <w:bookmarkStart w:id="13" w:name="FileNo"/>
            <w:r>
              <w:t>QUD 126 of 2022</w:t>
            </w:r>
            <w:bookmarkEnd w:id="13"/>
          </w:p>
        </w:tc>
      </w:tr>
      <w:tr w:rsidR="00A76C13" w:rsidTr="00625045">
        <w:tc>
          <w:tcPr>
            <w:tcW w:w="9242" w:type="dxa"/>
            <w:gridSpan w:val="3"/>
          </w:tcPr>
          <w:p w:rsidR="00A76C13" w:rsidRPr="00A76C13" w:rsidRDefault="00A70B19" w:rsidP="00A70B19">
            <w:pPr>
              <w:pStyle w:val="NormalHeadings"/>
              <w:jc w:val="left"/>
            </w:pPr>
            <w:bookmarkStart w:id="14" w:name="InTheMatterOf"/>
            <w:r>
              <w:t xml:space="preserve"> </w:t>
            </w:r>
            <w:bookmarkEnd w:id="14"/>
          </w:p>
        </w:tc>
      </w:tr>
      <w:tr w:rsidR="00A46CCC" w:rsidTr="00625045">
        <w:trPr>
          <w:trHeight w:val="386"/>
        </w:trPr>
        <w:tc>
          <w:tcPr>
            <w:tcW w:w="2376" w:type="dxa"/>
          </w:tcPr>
          <w:p w:rsidR="00A46CCC" w:rsidRDefault="00A46CCC" w:rsidP="00625045">
            <w:pPr>
              <w:pStyle w:val="NormalHeadings"/>
              <w:jc w:val="left"/>
              <w:rPr>
                <w:caps/>
                <w:szCs w:val="24"/>
              </w:rPr>
            </w:pPr>
            <w:bookmarkStart w:id="15" w:name="Parties"/>
            <w:r>
              <w:rPr>
                <w:caps/>
                <w:szCs w:val="24"/>
              </w:rPr>
              <w:t>BETWEEN:</w:t>
            </w:r>
          </w:p>
        </w:tc>
        <w:tc>
          <w:tcPr>
            <w:tcW w:w="6866" w:type="dxa"/>
            <w:gridSpan w:val="2"/>
          </w:tcPr>
          <w:p w:rsidR="00A70B19" w:rsidRDefault="00A70B19" w:rsidP="00A70B19">
            <w:pPr>
              <w:pStyle w:val="NormalHeadings"/>
              <w:jc w:val="left"/>
            </w:pPr>
            <w:bookmarkStart w:id="16" w:name="Applicant"/>
            <w:r>
              <w:t xml:space="preserve">ANTHONY NORMAN CONNELLY AND WILLIAM JAMES HARRIS IN THEIR CAPACITY AS LIQUIDATORS OF TSK QLD PTY LTD (IN LIQUIDATION) ACN 605 921 506 </w:t>
            </w:r>
          </w:p>
          <w:p w:rsidR="00A46CCC" w:rsidRDefault="00A70B19" w:rsidP="00B570C5">
            <w:pPr>
              <w:pStyle w:val="PartyType"/>
            </w:pPr>
            <w:r>
              <w:t>Applicant</w:t>
            </w:r>
            <w:r w:rsidR="00CA5979">
              <w:t>s</w:t>
            </w:r>
            <w:bookmarkEnd w:id="16"/>
          </w:p>
          <w:p w:rsidR="00714A4B" w:rsidRPr="006555B4" w:rsidRDefault="00714A4B" w:rsidP="00B570C5">
            <w:pPr>
              <w:pStyle w:val="PartyType"/>
            </w:pPr>
          </w:p>
        </w:tc>
      </w:tr>
      <w:tr w:rsidR="00A46CCC" w:rsidTr="00625045">
        <w:trPr>
          <w:trHeight w:val="386"/>
        </w:trPr>
        <w:tc>
          <w:tcPr>
            <w:tcW w:w="2376" w:type="dxa"/>
          </w:tcPr>
          <w:p w:rsidR="00A46CCC" w:rsidRDefault="00A46CCC" w:rsidP="00625045">
            <w:pPr>
              <w:pStyle w:val="NormalHeadings"/>
              <w:jc w:val="left"/>
              <w:rPr>
                <w:caps/>
                <w:szCs w:val="24"/>
              </w:rPr>
            </w:pPr>
            <w:r>
              <w:rPr>
                <w:caps/>
                <w:szCs w:val="24"/>
              </w:rPr>
              <w:t>AND:</w:t>
            </w:r>
          </w:p>
        </w:tc>
        <w:tc>
          <w:tcPr>
            <w:tcW w:w="6866" w:type="dxa"/>
            <w:gridSpan w:val="2"/>
          </w:tcPr>
          <w:p w:rsidR="00A70B19" w:rsidRDefault="00A70B19" w:rsidP="00A70B19">
            <w:pPr>
              <w:pStyle w:val="NormalHeadings"/>
              <w:jc w:val="left"/>
            </w:pPr>
            <w:bookmarkStart w:id="17" w:name="Respondent"/>
            <w:r>
              <w:t>TORQUEJOBS PTY LTD</w:t>
            </w:r>
          </w:p>
          <w:p w:rsidR="00A70B19" w:rsidRDefault="00A70B19" w:rsidP="00A70B19">
            <w:pPr>
              <w:pStyle w:val="PartyType"/>
            </w:pPr>
            <w:r>
              <w:t>First Respondent</w:t>
            </w:r>
          </w:p>
          <w:p w:rsidR="00A70B19" w:rsidRDefault="00A70B19" w:rsidP="00625045">
            <w:pPr>
              <w:pStyle w:val="NormalHeadings"/>
              <w:jc w:val="left"/>
              <w:rPr>
                <w:szCs w:val="24"/>
              </w:rPr>
            </w:pPr>
          </w:p>
          <w:p w:rsidR="00A70B19" w:rsidRDefault="00A70B19" w:rsidP="00A70B19">
            <w:pPr>
              <w:pStyle w:val="NormalHeadings"/>
              <w:jc w:val="left"/>
            </w:pPr>
            <w:r>
              <w:t>NERYDA JANSE VAN RENSBURG AS TRUSTEE FOR THE JANSE VAN RENSBURG FAMILY TRUST TRADING AS "QUALITY IT"</w:t>
            </w:r>
          </w:p>
          <w:p w:rsidR="00A70B19" w:rsidRDefault="00A70B19" w:rsidP="00A70B19">
            <w:pPr>
              <w:pStyle w:val="PartyType"/>
            </w:pPr>
            <w:r>
              <w:t>Second Respondent</w:t>
            </w:r>
          </w:p>
          <w:bookmarkEnd w:id="17"/>
          <w:p w:rsidR="00A46CCC" w:rsidRPr="006555B4" w:rsidRDefault="00A46CCC" w:rsidP="00625045">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A70B19">
            <w:pPr>
              <w:pStyle w:val="NormalHeadings"/>
              <w:jc w:val="left"/>
              <w:rPr>
                <w:caps/>
                <w:szCs w:val="24"/>
              </w:rPr>
            </w:pPr>
            <w:bookmarkStart w:id="20" w:name="Judge"/>
            <w:r>
              <w:rPr>
                <w:caps/>
                <w:szCs w:val="24"/>
              </w:rPr>
              <w:t>DOWNES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70B19">
            <w:pPr>
              <w:pStyle w:val="NormalHeadings"/>
              <w:jc w:val="left"/>
              <w:rPr>
                <w:caps/>
                <w:szCs w:val="24"/>
              </w:rPr>
            </w:pPr>
            <w:bookmarkStart w:id="21" w:name="Judgment_Dated"/>
            <w:r>
              <w:rPr>
                <w:caps/>
                <w:szCs w:val="24"/>
              </w:rPr>
              <w:t>7 JULY 2022</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A70B19" w:rsidP="00A70B19">
      <w:pPr>
        <w:pStyle w:val="Order1"/>
      </w:pPr>
      <w:r>
        <w:t>The first and second respondents pay the applicants’ costs of and incidental to the originating application filed 14 April 2022.</w:t>
      </w:r>
    </w:p>
    <w:p w:rsidR="0050309C" w:rsidRDefault="00A70B19"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C7524D" w:rsidRPr="00045BB7" w:rsidRDefault="00C7524D" w:rsidP="00045BB7">
      <w:pPr>
        <w:pStyle w:val="NormalHeadings"/>
        <w:spacing w:line="480" w:lineRule="auto"/>
        <w:jc w:val="center"/>
        <w:rPr>
          <w:sz w:val="28"/>
          <w:szCs w:val="28"/>
        </w:rPr>
      </w:pPr>
      <w:r>
        <w:rPr>
          <w:sz w:val="28"/>
          <w:szCs w:val="28"/>
        </w:rPr>
        <w:t>(</w:t>
      </w:r>
      <w:r w:rsidR="00232AF8">
        <w:rPr>
          <w:sz w:val="28"/>
          <w:szCs w:val="28"/>
        </w:rPr>
        <w:t>REVISED FROM TRANSCRIPT</w:t>
      </w:r>
      <w:r>
        <w:rPr>
          <w:sz w:val="28"/>
          <w:szCs w:val="28"/>
        </w:rPr>
        <w:t>)</w:t>
      </w:r>
    </w:p>
    <w:p w:rsidR="00694BEB" w:rsidRDefault="00A70B19" w:rsidP="005E0510">
      <w:pPr>
        <w:pStyle w:val="NormalHeadings"/>
        <w:spacing w:line="360" w:lineRule="auto"/>
        <w:jc w:val="left"/>
        <w:rPr>
          <w:sz w:val="26"/>
          <w:szCs w:val="26"/>
        </w:rPr>
      </w:pPr>
      <w:r>
        <w:rPr>
          <w:sz w:val="26"/>
          <w:szCs w:val="26"/>
        </w:rPr>
        <w:t xml:space="preserve">DOWNES J: </w:t>
      </w:r>
    </w:p>
    <w:p w:rsidR="00CA5979" w:rsidRDefault="00A70B19" w:rsidP="00A70B19">
      <w:pPr>
        <w:pStyle w:val="ParaNumbering"/>
      </w:pPr>
      <w:r w:rsidRPr="00774AA9">
        <w:t xml:space="preserve">TSK </w:t>
      </w:r>
      <w:r w:rsidR="00CA5979">
        <w:t>QLD</w:t>
      </w:r>
      <w:r w:rsidR="00CA5979" w:rsidRPr="00774AA9">
        <w:t xml:space="preserve"> </w:t>
      </w:r>
      <w:r w:rsidR="00CA5979">
        <w:t>Pty Ltd</w:t>
      </w:r>
      <w:r w:rsidRPr="00774AA9">
        <w:t xml:space="preserve"> (in liquidation)</w:t>
      </w:r>
      <w:r w:rsidR="00CA5979">
        <w:t xml:space="preserve"> (</w:t>
      </w:r>
      <w:r w:rsidR="00CA5979">
        <w:rPr>
          <w:b/>
        </w:rPr>
        <w:t>the Company</w:t>
      </w:r>
      <w:r w:rsidR="00CA5979">
        <w:t>)</w:t>
      </w:r>
      <w:r w:rsidRPr="00774AA9">
        <w:t xml:space="preserve"> was registered on 19 May 2015 and had at that time, as one of its directors, Mr Ciano St John Lopez.  The </w:t>
      </w:r>
      <w:r w:rsidR="00CA5979">
        <w:t>C</w:t>
      </w:r>
      <w:r w:rsidRPr="00774AA9">
        <w:t xml:space="preserve">ompany held the business name </w:t>
      </w:r>
      <w:r w:rsidR="00CA5979">
        <w:t>“</w:t>
      </w:r>
      <w:r w:rsidRPr="00774AA9">
        <w:t>Torquejobs</w:t>
      </w:r>
      <w:r w:rsidR="00CA5979">
        <w:t>”</w:t>
      </w:r>
      <w:r w:rsidRPr="00774AA9">
        <w:t xml:space="preserve"> from 6 February 2020 until 10 July 2021.  Mr Savvas Papadopoulos was appointed director and secretary of the </w:t>
      </w:r>
      <w:r w:rsidR="00CA5979">
        <w:t>C</w:t>
      </w:r>
      <w:r w:rsidR="00CA5979" w:rsidRPr="00774AA9">
        <w:t xml:space="preserve">ompany </w:t>
      </w:r>
      <w:r w:rsidRPr="00774AA9">
        <w:t xml:space="preserve">on 15 January 2016 and was the sole director of the </w:t>
      </w:r>
      <w:r w:rsidR="00CA5979">
        <w:t>C</w:t>
      </w:r>
      <w:r w:rsidR="00CA5979" w:rsidRPr="00774AA9">
        <w:t xml:space="preserve">ompany </w:t>
      </w:r>
      <w:r w:rsidR="003507AA">
        <w:t>on and from 8 November 2016.</w:t>
      </w:r>
    </w:p>
    <w:p w:rsidR="00CA5979" w:rsidRDefault="00A70B19" w:rsidP="00625045">
      <w:pPr>
        <w:pStyle w:val="ParaNumbering"/>
      </w:pPr>
      <w:r w:rsidRPr="00774AA9">
        <w:t>Leopho Pty Ltd</w:t>
      </w:r>
      <w:r w:rsidR="00CA5979">
        <w:t xml:space="preserve"> (</w:t>
      </w:r>
      <w:r w:rsidRPr="00CA4483">
        <w:rPr>
          <w:b/>
        </w:rPr>
        <w:t>Leopho</w:t>
      </w:r>
      <w:r w:rsidR="00CA5979">
        <w:t>)</w:t>
      </w:r>
      <w:r w:rsidRPr="00774AA9">
        <w:t xml:space="preserve"> is now the sole shareholder of the </w:t>
      </w:r>
      <w:r w:rsidR="00CA5979">
        <w:t>C</w:t>
      </w:r>
      <w:r w:rsidRPr="00774AA9">
        <w:t>ompany.</w:t>
      </w:r>
      <w:r w:rsidR="00CA5979">
        <w:t xml:space="preserve">  </w:t>
      </w:r>
      <w:r w:rsidRPr="00774AA9">
        <w:t>Mr Papadopoulos is the sole director, secre</w:t>
      </w:r>
      <w:r w:rsidR="003507AA">
        <w:t>tary and shareholder of Leopho.</w:t>
      </w:r>
    </w:p>
    <w:p w:rsidR="00CA5979" w:rsidRDefault="00A70B19" w:rsidP="00625045">
      <w:pPr>
        <w:pStyle w:val="ParaNumbering"/>
      </w:pPr>
      <w:r w:rsidRPr="00774AA9">
        <w:t>On 19 March 2021</w:t>
      </w:r>
      <w:r w:rsidR="00CA5979">
        <w:t>,</w:t>
      </w:r>
      <w:r w:rsidRPr="00774AA9">
        <w:t xml:space="preserve"> a company called ACN 648 846 520 Pty Ltd was incorporated </w:t>
      </w:r>
      <w:r>
        <w:t>and on 12 June 2021</w:t>
      </w:r>
      <w:r w:rsidR="00CA5979">
        <w:t>,</w:t>
      </w:r>
      <w:r>
        <w:t xml:space="preserve"> that company changed its name to Torquejobs</w:t>
      </w:r>
      <w:r w:rsidR="00CA5979">
        <w:t xml:space="preserve"> Pty Ltd (</w:t>
      </w:r>
      <w:r w:rsidR="00CA5979" w:rsidRPr="00CA4483">
        <w:rPr>
          <w:b/>
        </w:rPr>
        <w:t>Torquejobs</w:t>
      </w:r>
      <w:r w:rsidR="00CA5979">
        <w:t>)</w:t>
      </w:r>
      <w:r>
        <w:t>.  The sole director and secretary of Torquejobs</w:t>
      </w:r>
      <w:r w:rsidR="00CA5979">
        <w:t xml:space="preserve">, </w:t>
      </w:r>
      <w:r>
        <w:t>which is the first respondent, is Mr Lopez.  The sole shareholder of Torquejobs is Green Candle Pty Ltd</w:t>
      </w:r>
      <w:r w:rsidR="00CA5979">
        <w:t xml:space="preserve"> (</w:t>
      </w:r>
      <w:r w:rsidRPr="00A12F2C">
        <w:rPr>
          <w:b/>
        </w:rPr>
        <w:t>Green Candle</w:t>
      </w:r>
      <w:r w:rsidR="00CA5979">
        <w:t>)</w:t>
      </w:r>
      <w:r>
        <w:t xml:space="preserve"> and Mr Lopez is the sole director, secretary and sole shareholder of Green Candle.</w:t>
      </w:r>
    </w:p>
    <w:p w:rsidR="0091587B" w:rsidRDefault="00A70B19" w:rsidP="00625045">
      <w:pPr>
        <w:pStyle w:val="ParaNumbering"/>
      </w:pPr>
      <w:r>
        <w:t xml:space="preserve">The </w:t>
      </w:r>
      <w:r w:rsidR="0091587B">
        <w:t xml:space="preserve">Company formerly </w:t>
      </w:r>
      <w:r>
        <w:t>operated a business providing recruitment and labour hire services to customers in the mining, resources, energy, engineering, construction, manufacturing and logistics industries.</w:t>
      </w:r>
      <w:r w:rsidR="0091587B">
        <w:t xml:space="preserve">  </w:t>
      </w:r>
      <w:r>
        <w:t xml:space="preserve">It traded as both </w:t>
      </w:r>
      <w:r w:rsidR="0091587B">
        <w:t>“</w:t>
      </w:r>
      <w:r>
        <w:t>Torquejobs</w:t>
      </w:r>
      <w:r w:rsidR="0091587B">
        <w:t>”</w:t>
      </w:r>
      <w:r>
        <w:t xml:space="preserve"> and </w:t>
      </w:r>
      <w:r w:rsidR="0091587B">
        <w:t>“</w:t>
      </w:r>
      <w:r>
        <w:t>Torque Recruitment Group</w:t>
      </w:r>
      <w:r w:rsidR="0091587B">
        <w:t>”</w:t>
      </w:r>
      <w:r>
        <w:t xml:space="preserve">.  The </w:t>
      </w:r>
      <w:r w:rsidR="0091587B">
        <w:t xml:space="preserve">Company’s </w:t>
      </w:r>
      <w:r>
        <w:t>revenue was approximately $34 million in the 2018 financial year, $90 million in the 2019 financial year and $82 million in the 2020 financial year.  In 2021</w:t>
      </w:r>
      <w:r w:rsidR="0091587B">
        <w:t>,</w:t>
      </w:r>
      <w:r>
        <w:t xml:space="preserve"> the </w:t>
      </w:r>
      <w:r w:rsidR="0091587B">
        <w:t xml:space="preserve">Company </w:t>
      </w:r>
      <w:r>
        <w:t>employed or contracted in the order of 500 staff and operated from leased premises located at Brisbane Airport, Kewdale in Western Australia and Melbourne</w:t>
      </w:r>
      <w:r w:rsidR="0091587B">
        <w:t xml:space="preserve"> in</w:t>
      </w:r>
      <w:r w:rsidR="003507AA">
        <w:t xml:space="preserve"> Victoria.</w:t>
      </w:r>
    </w:p>
    <w:p w:rsidR="00A70B19" w:rsidRDefault="00A70B19" w:rsidP="00625045">
      <w:pPr>
        <w:pStyle w:val="ParaNumbering"/>
      </w:pPr>
      <w:r>
        <w:t>On or about 24 October 2021</w:t>
      </w:r>
      <w:r w:rsidR="0091587B">
        <w:t>,</w:t>
      </w:r>
      <w:r>
        <w:t xml:space="preserve"> the </w:t>
      </w:r>
      <w:r w:rsidR="0091587B">
        <w:t xml:space="preserve">Company </w:t>
      </w:r>
      <w:r>
        <w:t>sold its business to Torquejobs, that is, the first respondent, pursuant to a business sale agreement executed on or about 1 June 2021.  Mr Papadopoulos is now working for Torquejobs.</w:t>
      </w:r>
    </w:p>
    <w:p w:rsidR="00D34137" w:rsidRDefault="00A70B19" w:rsidP="00A70B19">
      <w:pPr>
        <w:pStyle w:val="ParaNumbering"/>
      </w:pPr>
      <w:r>
        <w:t>The sale agreement provided, amongst other things, that the purchase price was calculated pursuant to a formula which included taking into account 20</w:t>
      </w:r>
      <w:r w:rsidR="00D34137">
        <w:t>%</w:t>
      </w:r>
      <w:r>
        <w:t xml:space="preserve"> of the receivables value as at the date of purchase.  The </w:t>
      </w:r>
      <w:r w:rsidR="00D34137">
        <w:t xml:space="preserve">Company’s </w:t>
      </w:r>
      <w:r>
        <w:t xml:space="preserve">books and records were sold as part of that business sale transaction in October 2021 and the </w:t>
      </w:r>
      <w:r w:rsidR="00D34137">
        <w:t xml:space="preserve">Company </w:t>
      </w:r>
      <w:r>
        <w:t>did not retain a c</w:t>
      </w:r>
      <w:r w:rsidR="003507AA">
        <w:t>opy of those books and records.</w:t>
      </w:r>
    </w:p>
    <w:p w:rsidR="00A70B19" w:rsidRDefault="00A70B19" w:rsidP="00A70B19">
      <w:pPr>
        <w:pStyle w:val="ParaNumbering"/>
      </w:pPr>
      <w:r>
        <w:lastRenderedPageBreak/>
        <w:t>On 14 January 2022</w:t>
      </w:r>
      <w:r w:rsidR="00D34137">
        <w:t>,</w:t>
      </w:r>
      <w:r>
        <w:t xml:space="preserve"> Mr Papadopoulos resolved that Gavin Morton of Morton &amp; Lee Insolvency be appointed as a voluntary administrator of the </w:t>
      </w:r>
      <w:r w:rsidR="00D34137">
        <w:t xml:space="preserve">Company </w:t>
      </w:r>
      <w:r>
        <w:t xml:space="preserve">pursuant to </w:t>
      </w:r>
      <w:r w:rsidRPr="003507AA">
        <w:t xml:space="preserve">section 436A of the </w:t>
      </w:r>
      <w:r w:rsidRPr="003507AA">
        <w:rPr>
          <w:i/>
        </w:rPr>
        <w:t>Corporations Act</w:t>
      </w:r>
      <w:r w:rsidRPr="003507AA">
        <w:t xml:space="preserve"> </w:t>
      </w:r>
      <w:r w:rsidRPr="003507AA">
        <w:rPr>
          <w:i/>
        </w:rPr>
        <w:t>2001</w:t>
      </w:r>
      <w:r w:rsidR="00D34137" w:rsidRPr="003507AA">
        <w:t xml:space="preserve"> (Cth)</w:t>
      </w:r>
      <w:r w:rsidR="00D34137">
        <w:t xml:space="preserve"> (</w:t>
      </w:r>
      <w:r w:rsidRPr="00CA4483">
        <w:rPr>
          <w:b/>
        </w:rPr>
        <w:t>the Act</w:t>
      </w:r>
      <w:r w:rsidR="00D34137">
        <w:t>)</w:t>
      </w:r>
      <w:r>
        <w:t>.</w:t>
      </w:r>
    </w:p>
    <w:p w:rsidR="00A12F2C" w:rsidRDefault="00A70B19" w:rsidP="00A70B19">
      <w:pPr>
        <w:pStyle w:val="ParaNumbering"/>
      </w:pPr>
      <w:r>
        <w:t xml:space="preserve">Mr Morton reported in his report to creditors that he sought to obtain the books and records of the </w:t>
      </w:r>
      <w:r w:rsidR="00D34137">
        <w:t xml:space="preserve">Company </w:t>
      </w:r>
      <w:r>
        <w:t xml:space="preserve">from Mr Papadopoulos, Viden Group and the </w:t>
      </w:r>
      <w:r w:rsidR="00010248">
        <w:t>C</w:t>
      </w:r>
      <w:r>
        <w:t xml:space="preserve">ompany’s former chief financial officer, Mr </w:t>
      </w:r>
      <w:r w:rsidR="005975D9">
        <w:t xml:space="preserve">Duncan </w:t>
      </w:r>
      <w:r>
        <w:t xml:space="preserve">Bremner.  </w:t>
      </w:r>
      <w:r w:rsidR="00D34137">
        <w:t xml:space="preserve">He reported that responses </w:t>
      </w:r>
      <w:r>
        <w:t xml:space="preserve">to his requests were not timely which hampered his ability to conduct his investigations and, in his opinion, the </w:t>
      </w:r>
      <w:r w:rsidR="00D34137">
        <w:t xml:space="preserve">Company </w:t>
      </w:r>
      <w:r>
        <w:t xml:space="preserve">had not complied with its obligations to keep books and records under </w:t>
      </w:r>
      <w:r w:rsidRPr="003507AA">
        <w:t>section 286 of the Act</w:t>
      </w:r>
      <w:r w:rsidR="003507AA">
        <w:t>.</w:t>
      </w:r>
    </w:p>
    <w:p w:rsidR="00A70B19" w:rsidRDefault="00A70B19" w:rsidP="00A70B19">
      <w:pPr>
        <w:pStyle w:val="ParaNumbering"/>
      </w:pPr>
      <w:r>
        <w:t>At the resumed second meeting on 21 March 2022</w:t>
      </w:r>
      <w:r w:rsidR="00D34137">
        <w:t>,</w:t>
      </w:r>
      <w:r>
        <w:t xml:space="preserve"> the creditors of the </w:t>
      </w:r>
      <w:r w:rsidR="00D34137">
        <w:t xml:space="preserve">Company </w:t>
      </w:r>
      <w:r>
        <w:t xml:space="preserve">resolved to wind up the </w:t>
      </w:r>
      <w:r w:rsidR="00D34137">
        <w:t xml:space="preserve">Company </w:t>
      </w:r>
      <w:r>
        <w:t xml:space="preserve">and appointed Mr Anthony Connelly and Mr William Harris as the joint and several liquidators of the </w:t>
      </w:r>
      <w:r w:rsidR="00D34137">
        <w:t>Company</w:t>
      </w:r>
      <w:r>
        <w:t>.</w:t>
      </w:r>
    </w:p>
    <w:p w:rsidR="00D34137" w:rsidRDefault="00A70B19" w:rsidP="00A70B19">
      <w:pPr>
        <w:pStyle w:val="ParaNumbering"/>
      </w:pPr>
      <w:r>
        <w:t xml:space="preserve">From the records available to the liquidators, the liquidators have not identified any amount that has been paid by Torquejobs to the </w:t>
      </w:r>
      <w:r w:rsidR="00D34137">
        <w:t xml:space="preserve">Company </w:t>
      </w:r>
      <w:r>
        <w:t xml:space="preserve">as the purchase price for the </w:t>
      </w:r>
      <w:r w:rsidR="00D34137">
        <w:t xml:space="preserve">Company’s </w:t>
      </w:r>
      <w:r>
        <w:t>business under t</w:t>
      </w:r>
      <w:r w:rsidR="003507AA">
        <w:t>he terms of the sale agreement.</w:t>
      </w:r>
    </w:p>
    <w:p w:rsidR="00A70B19" w:rsidRDefault="00A70B19" w:rsidP="00A70B19">
      <w:pPr>
        <w:pStyle w:val="ParaNumbering"/>
      </w:pPr>
      <w:r>
        <w:t>Based on the information available to the liquidators, the liquidators</w:t>
      </w:r>
      <w:r w:rsidR="00A12F2C">
        <w:t>’</w:t>
      </w:r>
      <w:r>
        <w:t xml:space="preserve"> investigations indicate that, amongst other things:</w:t>
      </w:r>
    </w:p>
    <w:p w:rsidR="003507AA" w:rsidRDefault="00D34137" w:rsidP="003507AA">
      <w:pPr>
        <w:pStyle w:val="ListNo1alt"/>
      </w:pPr>
      <w:r>
        <w:t>w</w:t>
      </w:r>
      <w:r w:rsidR="00A70B19">
        <w:t xml:space="preserve">hile the </w:t>
      </w:r>
      <w:r>
        <w:t xml:space="preserve">Company </w:t>
      </w:r>
      <w:r w:rsidR="00A70B19">
        <w:t xml:space="preserve">had unpaid taxation and other statutory liabilities exceeding $19 million and negative net assets exceeding $13 million, it </w:t>
      </w:r>
      <w:r>
        <w:t xml:space="preserve">had </w:t>
      </w:r>
      <w:r w:rsidR="00A70B19">
        <w:t>sold all of its business assets and, in particular, more than $11 million of receivables assets.  It did so for a price which involved discounting the receivables assets by 80</w:t>
      </w:r>
      <w:r>
        <w:t xml:space="preserve">% </w:t>
      </w:r>
      <w:r w:rsidR="00A70B19">
        <w:t>on the basis of the purported u</w:t>
      </w:r>
      <w:r>
        <w:t>n</w:t>
      </w:r>
      <w:r w:rsidR="00A70B19">
        <w:t xml:space="preserve">collectability of those receivables and describing nominal or nil values to the </w:t>
      </w:r>
      <w:r>
        <w:t xml:space="preserve">Company’s </w:t>
      </w:r>
      <w:r w:rsidR="00A70B19">
        <w:t xml:space="preserve">other assets, which values were substantially lower than the values recorded in the </w:t>
      </w:r>
      <w:r>
        <w:t xml:space="preserve">Company’s </w:t>
      </w:r>
      <w:r w:rsidR="00A70B19">
        <w:t>balance sheet</w:t>
      </w:r>
      <w:r>
        <w:t>;</w:t>
      </w:r>
    </w:p>
    <w:p w:rsidR="00A70B19" w:rsidRDefault="00D34137" w:rsidP="003507AA">
      <w:pPr>
        <w:pStyle w:val="ListNo1alt"/>
      </w:pPr>
      <w:r>
        <w:t xml:space="preserve">the </w:t>
      </w:r>
      <w:r w:rsidR="00A70B19">
        <w:t xml:space="preserve">purchaser under the transaction was an entity controlled by a former joint venture partner of the </w:t>
      </w:r>
      <w:r>
        <w:t>Company.</w:t>
      </w:r>
    </w:p>
    <w:p w:rsidR="00D34137" w:rsidRDefault="00A70B19" w:rsidP="00A70B19">
      <w:pPr>
        <w:pStyle w:val="ParaNumbering"/>
      </w:pPr>
      <w:r>
        <w:t>On 30 March 2022, Mr Conn</w:t>
      </w:r>
      <w:r w:rsidR="009957B9">
        <w:t>e</w:t>
      </w:r>
      <w:r>
        <w:t xml:space="preserve">lly sent a notice by email to Mr Lopez at Torquejobs care of MinterEllison on the Gold Coast seeking various documents and asking certain questions in relation to the acquisition by that company of the business of the Company.  In addition, a notice was served pursuant to section </w:t>
      </w:r>
      <w:r w:rsidRPr="003507AA">
        <w:t xml:space="preserve">530B </w:t>
      </w:r>
      <w:r>
        <w:t xml:space="preserve">of the Act requiring delivery of books of the </w:t>
      </w:r>
      <w:r w:rsidR="00D34137">
        <w:t xml:space="preserve">Company </w:t>
      </w:r>
      <w:r>
        <w:t>to the liquidator</w:t>
      </w:r>
      <w:r w:rsidR="00D34137">
        <w:t>s</w:t>
      </w:r>
      <w:r w:rsidR="003507AA">
        <w:t>.</w:t>
      </w:r>
    </w:p>
    <w:p w:rsidR="00A70B19" w:rsidRDefault="00A70B19" w:rsidP="00A70B19">
      <w:pPr>
        <w:pStyle w:val="ParaNumbering"/>
      </w:pPr>
      <w:r>
        <w:lastRenderedPageBreak/>
        <w:t xml:space="preserve">Pausing there, </w:t>
      </w:r>
      <w:r w:rsidR="005975D9">
        <w:t>sub</w:t>
      </w:r>
      <w:r>
        <w:t>section</w:t>
      </w:r>
      <w:r w:rsidRPr="003507AA">
        <w:t xml:space="preserve"> 530B</w:t>
      </w:r>
      <w:r w:rsidR="005975D9" w:rsidRPr="003507AA">
        <w:t>(1)</w:t>
      </w:r>
      <w:r>
        <w:t xml:space="preserve"> of the Act provides that:</w:t>
      </w:r>
    </w:p>
    <w:p w:rsidR="005975D9" w:rsidRDefault="005975D9" w:rsidP="00A70B19">
      <w:pPr>
        <w:pStyle w:val="Quote1"/>
      </w:pPr>
      <w:r>
        <w:t xml:space="preserve">(1) </w:t>
      </w:r>
      <w:r>
        <w:tab/>
      </w:r>
      <w:r w:rsidR="00A70B19" w:rsidRPr="00A70B19">
        <w:t>A person is not entitled, as against the liquidator of a company</w:t>
      </w:r>
      <w:r>
        <w:t>:</w:t>
      </w:r>
    </w:p>
    <w:p w:rsidR="005975D9" w:rsidRDefault="005975D9" w:rsidP="005975D9">
      <w:pPr>
        <w:pStyle w:val="Quote2"/>
      </w:pPr>
      <w:r>
        <w:t xml:space="preserve">(a) </w:t>
      </w:r>
      <w:r>
        <w:tab/>
      </w:r>
      <w:r w:rsidR="00A70B19" w:rsidRPr="00A70B19">
        <w:t>to retain possession of books of the company</w:t>
      </w:r>
      <w:r>
        <w:t>;</w:t>
      </w:r>
      <w:r w:rsidR="00A70B19" w:rsidRPr="00A70B19">
        <w:t xml:space="preserve"> or </w:t>
      </w:r>
    </w:p>
    <w:p w:rsidR="005975D9" w:rsidRDefault="005975D9" w:rsidP="005975D9">
      <w:pPr>
        <w:pStyle w:val="Quote2"/>
      </w:pPr>
      <w:r>
        <w:t xml:space="preserve">(b) </w:t>
      </w:r>
      <w:r>
        <w:tab/>
      </w:r>
      <w:r w:rsidR="00A70B19" w:rsidRPr="00A70B19">
        <w:t xml:space="preserve">to claim </w:t>
      </w:r>
      <w:r>
        <w:t>or enforce a lien on such books;</w:t>
      </w:r>
    </w:p>
    <w:p w:rsidR="00A70B19" w:rsidRPr="00A70B19" w:rsidRDefault="00A70B19" w:rsidP="005975D9">
      <w:pPr>
        <w:pStyle w:val="Quote2"/>
        <w:rPr>
          <w:i/>
        </w:rPr>
      </w:pPr>
      <w:r w:rsidRPr="00A70B19">
        <w:t>but such a lien is not otherwise prejudiced.</w:t>
      </w:r>
    </w:p>
    <w:p w:rsidR="00A70B19" w:rsidRPr="00A70B19" w:rsidRDefault="00A70B19" w:rsidP="00A70B19">
      <w:pPr>
        <w:pStyle w:val="ParaNumbering"/>
      </w:pPr>
      <w:r w:rsidRPr="00A70B19">
        <w:t>Subsection 530B(3) of the Act provides that:</w:t>
      </w:r>
    </w:p>
    <w:p w:rsidR="00CD1346" w:rsidRDefault="00A70B19" w:rsidP="00A70B19">
      <w:pPr>
        <w:pStyle w:val="Quote1"/>
      </w:pPr>
      <w:r w:rsidRPr="00A70B19">
        <w:t>A person must not engage in conduct that results in the hindering or obstruction of a liquidator of a company in obtaining possession of books of the company.</w:t>
      </w:r>
    </w:p>
    <w:p w:rsidR="00A70B19" w:rsidRPr="00A70B19" w:rsidRDefault="00A70B19" w:rsidP="00CA4483">
      <w:pPr>
        <w:pStyle w:val="ParaNumbering"/>
      </w:pPr>
      <w:r w:rsidRPr="00A70B19">
        <w:t>Subsection 530B(4)</w:t>
      </w:r>
      <w:r w:rsidR="00D34137">
        <w:t xml:space="preserve"> of the Act</w:t>
      </w:r>
      <w:r w:rsidRPr="00A70B19">
        <w:t xml:space="preserve"> enables a</w:t>
      </w:r>
      <w:r w:rsidR="005975D9">
        <w:t xml:space="preserve"> </w:t>
      </w:r>
      <w:r w:rsidRPr="00A70B19">
        <w:t>liquidator of a company to give to a person a written notice requiring the person to deliver to the liquidator, as specified in the notice, books so specified that are in the person's possession.</w:t>
      </w:r>
    </w:p>
    <w:p w:rsidR="00A70B19" w:rsidRPr="00A70B19" w:rsidRDefault="00A70B19" w:rsidP="00A70B19">
      <w:pPr>
        <w:pStyle w:val="ParaNumbering"/>
      </w:pPr>
      <w:r w:rsidRPr="00A70B19">
        <w:t xml:space="preserve">Subsection 530B(5) </w:t>
      </w:r>
      <w:r w:rsidR="00D34137">
        <w:t xml:space="preserve">of the Act </w:t>
      </w:r>
      <w:r w:rsidRPr="00A70B19">
        <w:t>requires that:</w:t>
      </w:r>
    </w:p>
    <w:p w:rsidR="00A70B19" w:rsidRDefault="00A70B19" w:rsidP="00A70B19">
      <w:pPr>
        <w:pStyle w:val="Quote1"/>
      </w:pPr>
      <w:r w:rsidRPr="00A70B19">
        <w:t>A notice under subsection (4) must specify a period of at least 3 days as the period within which the notice must be complied with.</w:t>
      </w:r>
    </w:p>
    <w:p w:rsidR="00D34137" w:rsidRDefault="00A70B19" w:rsidP="00A70B19">
      <w:pPr>
        <w:pStyle w:val="ParaNumbering"/>
      </w:pPr>
      <w:r>
        <w:t>Subsection 530B(6)</w:t>
      </w:r>
      <w:r w:rsidR="00D34137">
        <w:t xml:space="preserve"> of the Act</w:t>
      </w:r>
      <w:r>
        <w:t xml:space="preserve"> imposes an obligation on the person who receives su</w:t>
      </w:r>
      <w:r w:rsidR="003507AA">
        <w:t>ch a notice to comply with it.</w:t>
      </w:r>
    </w:p>
    <w:p w:rsidR="00A70B19" w:rsidRDefault="00A70B19" w:rsidP="00A70B19">
      <w:pPr>
        <w:pStyle w:val="ParaNumbering"/>
      </w:pPr>
      <w:r>
        <w:t xml:space="preserve">MinterEllison responded to the notice on 4 April 2022 by </w:t>
      </w:r>
      <w:r w:rsidR="00D34137">
        <w:t xml:space="preserve">providing </w:t>
      </w:r>
      <w:r>
        <w:t xml:space="preserve">a copy of </w:t>
      </w:r>
      <w:r w:rsidR="00D34137">
        <w:t xml:space="preserve">the </w:t>
      </w:r>
      <w:r>
        <w:t>books and records which that firm had in its possession or under its control falling within the categories set out in the notice and stating that:</w:t>
      </w:r>
    </w:p>
    <w:p w:rsidR="00A70B19" w:rsidRDefault="00A70B19" w:rsidP="00A70B19">
      <w:pPr>
        <w:pStyle w:val="Quote1"/>
      </w:pPr>
      <w:r>
        <w:t>We have forwarded on the correspondence you addressed to Torquejobs dated 30 March 2022.  We do not have instructions to respond on behalf of Torquejobs P</w:t>
      </w:r>
      <w:r w:rsidR="00D34137">
        <w:t>ty Ltd</w:t>
      </w:r>
      <w:r>
        <w:t xml:space="preserve"> to this letter.</w:t>
      </w:r>
    </w:p>
    <w:p w:rsidR="00A70B19" w:rsidRDefault="00A70B19" w:rsidP="00A70B19">
      <w:pPr>
        <w:pStyle w:val="ParaNumbering"/>
      </w:pPr>
      <w:r>
        <w:t xml:space="preserve">A further section 530B notice was issued to Torquejobs on 5 April 2022; that </w:t>
      </w:r>
      <w:r w:rsidR="00D34137">
        <w:t xml:space="preserve">notice </w:t>
      </w:r>
      <w:r>
        <w:t>was sent directly to Mr Brem</w:t>
      </w:r>
      <w:r w:rsidR="00D34137">
        <w:t>n</w:t>
      </w:r>
      <w:r>
        <w:t xml:space="preserve">er, the former chief financial officer of the </w:t>
      </w:r>
      <w:r w:rsidR="00D34137">
        <w:t>Company</w:t>
      </w:r>
      <w:r>
        <w:t xml:space="preserve">, who is now employed by the first respondent.  </w:t>
      </w:r>
      <w:r w:rsidR="00D34137">
        <w:t xml:space="preserve">In </w:t>
      </w:r>
      <w:r>
        <w:t>that request</w:t>
      </w:r>
      <w:r w:rsidR="00D34137">
        <w:t>,</w:t>
      </w:r>
      <w:r>
        <w:t xml:space="preserve"> there was reference to the electronic records that were</w:t>
      </w:r>
      <w:r w:rsidR="00D34137">
        <w:t xml:space="preserve"> being</w:t>
      </w:r>
      <w:r>
        <w:t xml:space="preserve"> sought and, in particular, </w:t>
      </w:r>
      <w:r w:rsidR="00D34137">
        <w:t xml:space="preserve">the notice </w:t>
      </w:r>
      <w:r w:rsidR="00A12F2C">
        <w:t>stated that Mr Conne</w:t>
      </w:r>
      <w:r>
        <w:t xml:space="preserve">lly understood that some or all of the </w:t>
      </w:r>
      <w:r w:rsidR="00D34137">
        <w:t xml:space="preserve">Company’s </w:t>
      </w:r>
      <w:r>
        <w:t>electronic records are now held by or</w:t>
      </w:r>
      <w:r w:rsidR="00D34137">
        <w:t xml:space="preserve"> are</w:t>
      </w:r>
      <w:r>
        <w:t xml:space="preserve"> accessible by Torquejobs’ IT service provider, Quality</w:t>
      </w:r>
      <w:r w:rsidR="0021115E">
        <w:t xml:space="preserve"> </w:t>
      </w:r>
      <w:r>
        <w:t>IT.  Mr Conn</w:t>
      </w:r>
      <w:r w:rsidR="00A12F2C">
        <w:t>e</w:t>
      </w:r>
      <w:r>
        <w:t>lly stated in the notice that he required that the electronic records, in particular, be made available to him urgently.  He proposed that Torquejobs compl</w:t>
      </w:r>
      <w:r w:rsidR="00D34137">
        <w:t>y</w:t>
      </w:r>
      <w:r>
        <w:t xml:space="preserve"> with its obligation to produce the </w:t>
      </w:r>
      <w:r w:rsidR="00D34137">
        <w:t xml:space="preserve">Company’s </w:t>
      </w:r>
      <w:r>
        <w:t>books held by Quality</w:t>
      </w:r>
      <w:r w:rsidR="0021115E">
        <w:t xml:space="preserve"> </w:t>
      </w:r>
      <w:r>
        <w:t>IT by permitting</w:t>
      </w:r>
      <w:r w:rsidR="0021115E">
        <w:t xml:space="preserve"> his staff to attend at Quality </w:t>
      </w:r>
      <w:r>
        <w:t>IT</w:t>
      </w:r>
      <w:r w:rsidR="00D34137">
        <w:t>’</w:t>
      </w:r>
      <w:r>
        <w:t>s premises and take an image of the relevant servers or data.  He requested confirmation that Torquejobs was agreeable to this approach.</w:t>
      </w:r>
    </w:p>
    <w:p w:rsidR="00A70B19" w:rsidRDefault="00A70B19" w:rsidP="00A70B19">
      <w:pPr>
        <w:pStyle w:val="ParaNumbering"/>
      </w:pPr>
      <w:r>
        <w:lastRenderedPageBreak/>
        <w:t>On the second page of that notice, Mr Conn</w:t>
      </w:r>
      <w:r w:rsidR="009957B9">
        <w:t>e</w:t>
      </w:r>
      <w:r>
        <w:t xml:space="preserve">lly set out under the heading </w:t>
      </w:r>
      <w:r w:rsidR="00D34137">
        <w:t>“</w:t>
      </w:r>
      <w:r>
        <w:t>Privilege and Confidentiality</w:t>
      </w:r>
      <w:r w:rsidR="00D34137">
        <w:t>”</w:t>
      </w:r>
      <w:r>
        <w:t xml:space="preserve"> a proposed regime dealing with any concerns, in effect, that the first respondent could have about handing over the records that were sought under that notice.  In particular, the notice stated:</w:t>
      </w:r>
    </w:p>
    <w:p w:rsidR="00A70B19" w:rsidRDefault="00A70B19" w:rsidP="00A70B19">
      <w:pPr>
        <w:pStyle w:val="Quote1"/>
      </w:pPr>
      <w:r>
        <w:t>To the extent that Torquejobs intends to press a claim for legal professional privilege (or some other claim to withhold possession) over particular electronic records held by Torquejobs or its IT service provider, please let me know immediately.</w:t>
      </w:r>
    </w:p>
    <w:p w:rsidR="00D34137" w:rsidRDefault="00A70B19" w:rsidP="00A70B19">
      <w:pPr>
        <w:pStyle w:val="ParaNumbering"/>
      </w:pPr>
      <w:r>
        <w:t xml:space="preserve">The notice then proposed a regime </w:t>
      </w:r>
      <w:r w:rsidR="00D34137">
        <w:t>as follows:</w:t>
      </w:r>
    </w:p>
    <w:p w:rsidR="00D703B6" w:rsidRDefault="00D703B6" w:rsidP="00CA4483">
      <w:pPr>
        <w:pStyle w:val="Quote1"/>
      </w:pPr>
      <w:r>
        <w:t>In that event, with a view to effecting the immediate preservation of TSK’s books and records and subsequent resolution of Torquejobs’ claims, I am prepared to agree to the following regime:</w:t>
      </w:r>
    </w:p>
    <w:p w:rsidR="00D703B6" w:rsidRDefault="003507AA" w:rsidP="003507AA">
      <w:pPr>
        <w:pStyle w:val="Quote2"/>
        <w:ind w:left="2160" w:hanging="720"/>
      </w:pPr>
      <w:r>
        <w:t>a.</w:t>
      </w:r>
      <w:r w:rsidR="00D703B6">
        <w:tab/>
        <w:t>By 4:00pm on 8 April 2022, Torquejobs will cooperate to permit my staff to image all of the data files which contain or are likely to contain electronic records of TSK, and deliver the imaged data to the custody of an independent firm of solicitors nominated by me;</w:t>
      </w:r>
    </w:p>
    <w:p w:rsidR="00D703B6" w:rsidRDefault="003507AA" w:rsidP="003507AA">
      <w:pPr>
        <w:pStyle w:val="Quote2"/>
      </w:pPr>
      <w:r>
        <w:t>b.</w:t>
      </w:r>
      <w:r w:rsidR="00D703B6">
        <w:tab/>
        <w:t>By 4:00pm on 15 April 2022:</w:t>
      </w:r>
    </w:p>
    <w:p w:rsidR="00D703B6" w:rsidRDefault="00D703B6" w:rsidP="003507AA">
      <w:pPr>
        <w:pStyle w:val="Quote3"/>
        <w:ind w:left="2880" w:hanging="720"/>
      </w:pPr>
      <w:r>
        <w:t xml:space="preserve">(i) </w:t>
      </w:r>
      <w:r>
        <w:tab/>
        <w:t>Torquejobs will identify in writing what, if any, documents are the subject of a claim for privilege (or any other claim which may affect my entitlement to possession of the data) and sufficient particulars of the basis of any such claim to allow me to understand the nature of the document and basis of the claim; and</w:t>
      </w:r>
    </w:p>
    <w:p w:rsidR="00D703B6" w:rsidRDefault="00D703B6" w:rsidP="003507AA">
      <w:pPr>
        <w:pStyle w:val="Quote3"/>
        <w:ind w:left="2880" w:hanging="720"/>
      </w:pPr>
      <w:r>
        <w:t xml:space="preserve">(ii) </w:t>
      </w:r>
      <w:r>
        <w:tab/>
        <w:t>Any data which is not the subject of such a claim will be released to me;</w:t>
      </w:r>
    </w:p>
    <w:p w:rsidR="00D703B6" w:rsidRDefault="003507AA" w:rsidP="003507AA">
      <w:pPr>
        <w:pStyle w:val="Quote2"/>
        <w:ind w:left="2160" w:hanging="720"/>
      </w:pPr>
      <w:r>
        <w:t>c.</w:t>
      </w:r>
      <w:r w:rsidR="00D703B6">
        <w:tab/>
        <w:t>By 4:00pm on 22 April 2022, I will provide a response to the claims made;</w:t>
      </w:r>
    </w:p>
    <w:p w:rsidR="00D34137" w:rsidRDefault="003507AA" w:rsidP="003507AA">
      <w:pPr>
        <w:pStyle w:val="Quote2"/>
        <w:ind w:left="2160" w:hanging="720"/>
      </w:pPr>
      <w:r>
        <w:t>d.</w:t>
      </w:r>
      <w:r w:rsidR="00D703B6">
        <w:tab/>
        <w:t>By 4:00pm on 29 April 2022, Torquejobs must apply to the Court for orders restraining release of documents the subject of unresolved claims, failing which the balance of the data will be released to me.</w:t>
      </w:r>
    </w:p>
    <w:p w:rsidR="00A70B19" w:rsidRDefault="00A70B19" w:rsidP="00A70B19">
      <w:pPr>
        <w:pStyle w:val="ParaNumbering"/>
      </w:pPr>
      <w:r>
        <w:t>As can be seen, the regime proposed, in effect, that an independent firm of solicitors nominated by Mr Conn</w:t>
      </w:r>
      <w:r w:rsidR="009957B9">
        <w:t>e</w:t>
      </w:r>
      <w:r>
        <w:t>lly would receive the image</w:t>
      </w:r>
      <w:r w:rsidR="00D34137">
        <w:t>d</w:t>
      </w:r>
      <w:r>
        <w:t xml:space="preserve"> data and then a process would be engaged in for the purposes of deciding if and to what extent the liqu</w:t>
      </w:r>
      <w:r w:rsidR="003507AA">
        <w:t>idators could obtain that data.</w:t>
      </w:r>
    </w:p>
    <w:p w:rsidR="00A70B19" w:rsidRDefault="00A70B19" w:rsidP="00A70B19">
      <w:pPr>
        <w:pStyle w:val="ParaNumbering"/>
      </w:pPr>
      <w:r>
        <w:t>On 7 April 2022, solicitors acting for the first respondent, Torquejobs, wrote to Mr Conn</w:t>
      </w:r>
      <w:r w:rsidR="009957B9">
        <w:t>e</w:t>
      </w:r>
      <w:r>
        <w:t xml:space="preserve">lly raising issues including the scope of what may or may not be books and records of the </w:t>
      </w:r>
      <w:r w:rsidR="00D34137">
        <w:t>C</w:t>
      </w:r>
      <w:r>
        <w:t>ompany, legal professional privilege and, potentially, privacy issues.  The letter stated that the proposal to deal with legal professional privilege was inequitable as it placed all the burden on Torquejobs and was rejected.  No al</w:t>
      </w:r>
      <w:r w:rsidR="003507AA">
        <w:t>ternative process was proposed.</w:t>
      </w:r>
    </w:p>
    <w:p w:rsidR="00097678" w:rsidRDefault="00A70B19" w:rsidP="00625045">
      <w:pPr>
        <w:pStyle w:val="ParaNumbering"/>
      </w:pPr>
      <w:r>
        <w:lastRenderedPageBreak/>
        <w:t>A request was made</w:t>
      </w:r>
      <w:r w:rsidR="00097678">
        <w:t xml:space="preserve"> in that letter</w:t>
      </w:r>
      <w:r>
        <w:t xml:space="preserve"> for an explanation as to why there was any urgency and, otherwise, it was proposed that books and records of the </w:t>
      </w:r>
      <w:r w:rsidR="00097678">
        <w:t xml:space="preserve">Company </w:t>
      </w:r>
      <w:r>
        <w:t xml:space="preserve">which could be identified as belonging to the </w:t>
      </w:r>
      <w:r w:rsidR="00097678">
        <w:t xml:space="preserve">Company </w:t>
      </w:r>
      <w:r>
        <w:t xml:space="preserve">be provided, and to the extent that documents sought are not books and records of the </w:t>
      </w:r>
      <w:r w:rsidR="00097678">
        <w:t xml:space="preserve">Company, </w:t>
      </w:r>
      <w:r>
        <w:t>they would not be provided.  The letter also proposed that there would be consideration and the withholding of all remaining documents and a particularisation in the usual fashion of any claim for privilege.</w:t>
      </w:r>
      <w:r w:rsidR="00097678">
        <w:t xml:space="preserve">  </w:t>
      </w:r>
      <w:r>
        <w:t>The letter stated that Torquejobs would endeavour to provide books and records that day and the bala</w:t>
      </w:r>
      <w:r w:rsidR="003507AA">
        <w:t>nce on Tuesday, 12 April 2022.</w:t>
      </w:r>
    </w:p>
    <w:p w:rsidR="00A70B19" w:rsidRDefault="00A70B19" w:rsidP="00625045">
      <w:pPr>
        <w:pStyle w:val="ParaNumbering"/>
      </w:pPr>
      <w:r>
        <w:t xml:space="preserve">In a response of the same day, that is, 7 April 2022, </w:t>
      </w:r>
      <w:r w:rsidR="00097678">
        <w:t xml:space="preserve">the </w:t>
      </w:r>
      <w:r>
        <w:t xml:space="preserve">solicitors for the liquidators articulated why there was urgency in obtaining the records, and that explanation spans nearly two pages </w:t>
      </w:r>
      <w:r w:rsidR="00097678">
        <w:t xml:space="preserve">of </w:t>
      </w:r>
      <w:r>
        <w:t xml:space="preserve">that letter.  </w:t>
      </w:r>
      <w:r w:rsidR="00097678">
        <w:t xml:space="preserve">The letter </w:t>
      </w:r>
      <w:r>
        <w:t>raised concerns about difficulties by the administrator and</w:t>
      </w:r>
      <w:r w:rsidR="00097678">
        <w:t xml:space="preserve"> then the</w:t>
      </w:r>
      <w:r>
        <w:t xml:space="preserve"> liquidators in obtaining records which the liquidators considered were critical to the affairs of the </w:t>
      </w:r>
      <w:r w:rsidR="00097678">
        <w:t>Company</w:t>
      </w:r>
      <w:r>
        <w:t xml:space="preserve">, and it also raised concerns about the transfer of </w:t>
      </w:r>
      <w:r w:rsidR="00097678">
        <w:t xml:space="preserve">Company </w:t>
      </w:r>
      <w:r>
        <w:t xml:space="preserve">records to Torquejobs and the circumstances of the sale of the business of the </w:t>
      </w:r>
      <w:r w:rsidR="00097678">
        <w:t xml:space="preserve">Company </w:t>
      </w:r>
      <w:r>
        <w:t>to Torquejobs.</w:t>
      </w:r>
      <w:r w:rsidR="00097678">
        <w:t xml:space="preserve">  The letter</w:t>
      </w:r>
      <w:r>
        <w:t xml:space="preserve"> stated: </w:t>
      </w:r>
    </w:p>
    <w:p w:rsidR="00A70B19" w:rsidRDefault="00A70B19" w:rsidP="00A70B19">
      <w:pPr>
        <w:pStyle w:val="Quote1"/>
      </w:pPr>
      <w:r>
        <w:t>H</w:t>
      </w:r>
      <w:r w:rsidRPr="00F413CF">
        <w:t xml:space="preserve">aving regard to the time </w:t>
      </w:r>
      <w:r>
        <w:t xml:space="preserve">which has now elapsed since the </w:t>
      </w:r>
      <w:r w:rsidR="0021115E">
        <w:t>former</w:t>
      </w:r>
      <w:r>
        <w:t xml:space="preserve"> voluntary administr</w:t>
      </w:r>
      <w:r w:rsidR="0021115E">
        <w:t>ators’ initial request for the C</w:t>
      </w:r>
      <w:r>
        <w:t xml:space="preserve">ompany’s books and records, the continuing difficulty experienced by our clients in obtaining those records and that the books are apparently held by </w:t>
      </w:r>
      <w:r w:rsidR="0021115E">
        <w:t>Torque</w:t>
      </w:r>
      <w:r>
        <w:t xml:space="preserve"> without oversight from our clients to ensure their integrity is maintained, our clients consider that steps to secure the records are required to be undertaken urgently.</w:t>
      </w:r>
    </w:p>
    <w:p w:rsidR="00A70B19" w:rsidRDefault="00A70B19" w:rsidP="00A70B19">
      <w:pPr>
        <w:pStyle w:val="ParaNumbering"/>
      </w:pPr>
      <w:r>
        <w:t>The letter continued:</w:t>
      </w:r>
    </w:p>
    <w:p w:rsidR="00097678" w:rsidRPr="00CA4483" w:rsidRDefault="00BF5566" w:rsidP="00CA4483">
      <w:pPr>
        <w:pStyle w:val="Quote1"/>
        <w:rPr>
          <w:highlight w:val="yellow"/>
        </w:rPr>
      </w:pPr>
      <w:r>
        <w:t>Torquejobs’ concerns</w:t>
      </w:r>
      <w:r w:rsidR="00A70B19" w:rsidRPr="00A70B19">
        <w:t xml:space="preserve"> about legal professional privilege, privacy and limiting the data col</w:t>
      </w:r>
      <w:r w:rsidR="00A70B19" w:rsidRPr="00CA4483">
        <w:t xml:space="preserve">lection to records of the company could be adequately dealt with by the regime proposed in </w:t>
      </w:r>
      <w:r>
        <w:t>our</w:t>
      </w:r>
      <w:r w:rsidR="00A70B19" w:rsidRPr="00CA4483">
        <w:t xml:space="preserve"> client’s correspondence</w:t>
      </w:r>
      <w:r w:rsidR="00CA4483" w:rsidRPr="00CA4483">
        <w:t xml:space="preserve"> [</w:t>
      </w:r>
      <w:r w:rsidR="00A70B19" w:rsidRPr="00CA4483">
        <w:t>which</w:t>
      </w:r>
      <w:r>
        <w:t xml:space="preserve"> is a reference to the letter of</w:t>
      </w:r>
      <w:r w:rsidR="00A70B19" w:rsidRPr="00CA4483">
        <w:t xml:space="preserve"> notice of 5 April 2022</w:t>
      </w:r>
      <w:r w:rsidR="00CA4483" w:rsidRPr="00CA4483">
        <w:t>]</w:t>
      </w:r>
      <w:r w:rsidR="003507AA">
        <w:t>.</w:t>
      </w:r>
    </w:p>
    <w:p w:rsidR="00A70B19" w:rsidRDefault="00A70B19" w:rsidP="00A70B19">
      <w:pPr>
        <w:pStyle w:val="ParaNumbering"/>
      </w:pPr>
      <w:r>
        <w:t xml:space="preserve">The letter from the liquidators’ solicitors stated that that regime provided for an image of the data to be taken and then placed in the custody of an independent firm of solicitors while Torquejobs’ </w:t>
      </w:r>
      <w:r w:rsidR="00BF5566">
        <w:t>concerns</w:t>
      </w:r>
      <w:r>
        <w:t xml:space="preserve"> were resolved.  The letter </w:t>
      </w:r>
      <w:r w:rsidR="00097678">
        <w:t xml:space="preserve">then </w:t>
      </w:r>
      <w:r>
        <w:t>stated:</w:t>
      </w:r>
    </w:p>
    <w:p w:rsidR="00A70B19" w:rsidRDefault="00A70B19" w:rsidP="00A70B19">
      <w:pPr>
        <w:pStyle w:val="Quote1"/>
      </w:pPr>
      <w:r w:rsidRPr="00A70B19">
        <w:t>It is unclear what aspect of that regime your client considers to be inequitable</w:t>
      </w:r>
      <w:r w:rsidR="00BF5566">
        <w:t>,</w:t>
      </w:r>
      <w:r w:rsidRPr="00A70B19">
        <w:t xml:space="preserve"> and what </w:t>
      </w:r>
      <w:r w:rsidR="00BF5566">
        <w:t>“</w:t>
      </w:r>
      <w:r w:rsidRPr="00A70B19">
        <w:t>drastic effects</w:t>
      </w:r>
      <w:r w:rsidR="00BF5566">
        <w:t>”</w:t>
      </w:r>
      <w:r w:rsidRPr="00A70B19">
        <w:t xml:space="preserve"> will be occasioned by Torquejobs if it permits </w:t>
      </w:r>
      <w:r w:rsidR="00BF5566">
        <w:t>[</w:t>
      </w:r>
      <w:r w:rsidRPr="00A70B19">
        <w:t>the liquidators</w:t>
      </w:r>
      <w:r w:rsidR="00BF5566">
        <w:t>]</w:t>
      </w:r>
      <w:r w:rsidRPr="00A70B19">
        <w:t xml:space="preserve"> to make a copy of various electronic data under its control and then participate in an orderly process to determine any claims of Torquejobs about the release of that data to </w:t>
      </w:r>
      <w:r w:rsidR="00BF5566">
        <w:t>[</w:t>
      </w:r>
      <w:r w:rsidRPr="00A70B19">
        <w:t>the liquidators</w:t>
      </w:r>
      <w:r w:rsidR="00BF5566">
        <w:t>]</w:t>
      </w:r>
      <w:r w:rsidRPr="00A70B19">
        <w:t>.</w:t>
      </w:r>
    </w:p>
    <w:p w:rsidR="00A70B19" w:rsidRDefault="00A70B19" w:rsidP="00A70B19">
      <w:pPr>
        <w:pStyle w:val="ParaNumbering"/>
      </w:pPr>
      <w:r w:rsidRPr="00A70B19">
        <w:t>The letter stated that:</w:t>
      </w:r>
    </w:p>
    <w:p w:rsidR="00A70B19" w:rsidRDefault="00A70B19" w:rsidP="00A70B19">
      <w:pPr>
        <w:pStyle w:val="Quote1"/>
      </w:pPr>
      <w:r w:rsidRPr="00A70B19">
        <w:t>Any claims for privilege or the like can be assessed an</w:t>
      </w:r>
      <w:r w:rsidR="00BF5566">
        <w:t xml:space="preserve">d resolved after a copy of the </w:t>
      </w:r>
      <w:r w:rsidR="00BF5566">
        <w:lastRenderedPageBreak/>
        <w:t>C</w:t>
      </w:r>
      <w:r w:rsidRPr="00A70B19">
        <w:t>ompany’s records has been secured.</w:t>
      </w:r>
    </w:p>
    <w:p w:rsidR="00097678" w:rsidRPr="00CA4483" w:rsidRDefault="00A70B19" w:rsidP="00CA4483">
      <w:pPr>
        <w:pStyle w:val="ParaNumbering"/>
        <w:rPr>
          <w:shd w:val="clear" w:color="auto" w:fill="FFFFFF"/>
        </w:rPr>
      </w:pPr>
      <w:r w:rsidRPr="00CA4483">
        <w:t>The letter concluded, seeking that</w:t>
      </w:r>
      <w:r w:rsidR="00097678" w:rsidRPr="00CA4483">
        <w:t>,</w:t>
      </w:r>
      <w:r w:rsidRPr="00CA4483">
        <w:t xml:space="preserve"> by no later than 8 April 2022</w:t>
      </w:r>
      <w:r w:rsidR="00097678" w:rsidRPr="00CA4483">
        <w:t>,</w:t>
      </w:r>
      <w:r w:rsidRPr="00CA4483">
        <w:t xml:space="preserve"> the liquidators’ staff be permitted to attend and take an image of the relevant servers or data on the basis set out in the liquidators’ letter to Torquejobs of 5 April 2022.  The letter stated that if that timeframe was not met, then</w:t>
      </w:r>
      <w:r w:rsidR="00097678" w:rsidRPr="00CA4483">
        <w:t xml:space="preserve"> th</w:t>
      </w:r>
      <w:r w:rsidRPr="00CA4483">
        <w:t>ere</w:t>
      </w:r>
      <w:r w:rsidR="00BF5566">
        <w:t xml:space="preserve"> will be an application to the C</w:t>
      </w:r>
      <w:r w:rsidRPr="00CA4483">
        <w:t xml:space="preserve">ourt for the issue of a warrant under section 530C of the Act without further notice </w:t>
      </w:r>
      <w:r w:rsidRPr="00CA4483">
        <w:rPr>
          <w:shd w:val="clear" w:color="auto" w:fill="FFFFFF"/>
        </w:rPr>
        <w:t>and</w:t>
      </w:r>
      <w:r w:rsidR="00097678" w:rsidRPr="00CA4483">
        <w:rPr>
          <w:shd w:val="clear" w:color="auto" w:fill="FFFFFF"/>
        </w:rPr>
        <w:t xml:space="preserve"> </w:t>
      </w:r>
      <w:r w:rsidRPr="00CA4483">
        <w:rPr>
          <w:shd w:val="clear" w:color="auto" w:fill="FFFFFF"/>
        </w:rPr>
        <w:t>costs will be sought on that a</w:t>
      </w:r>
      <w:r w:rsidR="003507AA">
        <w:rPr>
          <w:shd w:val="clear" w:color="auto" w:fill="FFFFFF"/>
        </w:rPr>
        <w:t>pplication if it was necessary.</w:t>
      </w:r>
    </w:p>
    <w:p w:rsidR="00A70B19" w:rsidRPr="00CA4483" w:rsidRDefault="00097678" w:rsidP="00CA4483">
      <w:pPr>
        <w:pStyle w:val="ParaNumbering"/>
        <w:rPr>
          <w:shd w:val="clear" w:color="auto" w:fill="FFFFFF"/>
        </w:rPr>
      </w:pPr>
      <w:r>
        <w:rPr>
          <w:shd w:val="clear" w:color="auto" w:fill="FFFFFF"/>
        </w:rPr>
        <w:t>S</w:t>
      </w:r>
      <w:r w:rsidR="00A70B19" w:rsidRPr="00CA4483">
        <w:rPr>
          <w:shd w:val="clear" w:color="auto" w:fill="FFFFFF"/>
        </w:rPr>
        <w:t xml:space="preserve">ection </w:t>
      </w:r>
      <w:r w:rsidR="00A70B19" w:rsidRPr="003507AA">
        <w:rPr>
          <w:shd w:val="clear" w:color="auto" w:fill="FFFFFF"/>
        </w:rPr>
        <w:t xml:space="preserve">530C </w:t>
      </w:r>
      <w:r w:rsidR="00A70B19" w:rsidRPr="00CA4483">
        <w:rPr>
          <w:shd w:val="clear" w:color="auto" w:fill="FFFFFF"/>
        </w:rPr>
        <w:t>of the Act relevantly provides that:</w:t>
      </w:r>
    </w:p>
    <w:p w:rsidR="00EF6941" w:rsidRDefault="00EF6941" w:rsidP="00CA4483">
      <w:pPr>
        <w:pStyle w:val="Quote1"/>
        <w:rPr>
          <w:b/>
          <w:bCs/>
          <w:shd w:val="clear" w:color="auto" w:fill="FFFFFF"/>
        </w:rPr>
      </w:pPr>
      <w:r>
        <w:rPr>
          <w:b/>
          <w:shd w:val="clear" w:color="auto" w:fill="FFFFFF"/>
        </w:rPr>
        <w:t>530C</w:t>
      </w:r>
      <w:r>
        <w:rPr>
          <w:b/>
          <w:shd w:val="clear" w:color="auto" w:fill="FFFFFF"/>
        </w:rPr>
        <w:tab/>
      </w:r>
      <w:r w:rsidRPr="00EF6941">
        <w:rPr>
          <w:b/>
          <w:bCs/>
          <w:shd w:val="clear" w:color="auto" w:fill="FFFFFF"/>
        </w:rPr>
        <w:t>Warrant to search for, and seize, company’s property or books</w:t>
      </w:r>
    </w:p>
    <w:p w:rsidR="00EF6941" w:rsidRDefault="00EF6941" w:rsidP="00CA4483">
      <w:pPr>
        <w:pStyle w:val="Quote1"/>
        <w:rPr>
          <w:szCs w:val="22"/>
        </w:rPr>
      </w:pPr>
      <w:r>
        <w:rPr>
          <w:bCs/>
          <w:shd w:val="clear" w:color="auto" w:fill="FFFFFF"/>
        </w:rPr>
        <w:t xml:space="preserve">(1) </w:t>
      </w:r>
      <w:r>
        <w:rPr>
          <w:bCs/>
          <w:shd w:val="clear" w:color="auto" w:fill="FFFFFF"/>
        </w:rPr>
        <w:tab/>
      </w:r>
      <w:r>
        <w:rPr>
          <w:szCs w:val="22"/>
        </w:rPr>
        <w:t>The Court may issue a warrant under subsection (2) if:</w:t>
      </w:r>
    </w:p>
    <w:p w:rsidR="00EF6941" w:rsidRDefault="00EF6941" w:rsidP="0083379F">
      <w:pPr>
        <w:pStyle w:val="Quote2"/>
        <w:ind w:left="2160" w:hanging="720"/>
        <w:rPr>
          <w:szCs w:val="22"/>
        </w:rPr>
      </w:pPr>
      <w:r>
        <w:rPr>
          <w:shd w:val="clear" w:color="auto" w:fill="FFFFFF"/>
        </w:rPr>
        <w:t xml:space="preserve">(a) </w:t>
      </w:r>
      <w:r>
        <w:rPr>
          <w:shd w:val="clear" w:color="auto" w:fill="FFFFFF"/>
        </w:rPr>
        <w:tab/>
      </w:r>
      <w:r>
        <w:rPr>
          <w:szCs w:val="22"/>
        </w:rPr>
        <w:t>a company is being wound up or a provi</w:t>
      </w:r>
      <w:r w:rsidR="0083379F">
        <w:rPr>
          <w:szCs w:val="22"/>
        </w:rPr>
        <w:t xml:space="preserve">sional liquidator of a company </w:t>
      </w:r>
      <w:r>
        <w:rPr>
          <w:szCs w:val="22"/>
        </w:rPr>
        <w:t>is acting; and</w:t>
      </w:r>
    </w:p>
    <w:p w:rsidR="00EF6941" w:rsidRDefault="00EF6941" w:rsidP="0083379F">
      <w:pPr>
        <w:pStyle w:val="Quote2"/>
        <w:ind w:left="2160" w:hanging="720"/>
        <w:rPr>
          <w:szCs w:val="22"/>
        </w:rPr>
      </w:pPr>
      <w:r>
        <w:rPr>
          <w:shd w:val="clear" w:color="auto" w:fill="FFFFFF"/>
        </w:rPr>
        <w:t xml:space="preserve">(b) </w:t>
      </w:r>
      <w:r>
        <w:rPr>
          <w:shd w:val="clear" w:color="auto" w:fill="FFFFFF"/>
        </w:rPr>
        <w:tab/>
      </w:r>
      <w:r>
        <w:rPr>
          <w:szCs w:val="22"/>
        </w:rPr>
        <w:t>on application by the liquidator or provi</w:t>
      </w:r>
      <w:r w:rsidR="0083379F">
        <w:rPr>
          <w:szCs w:val="22"/>
        </w:rPr>
        <w:t xml:space="preserve">sional liquidator, as the case </w:t>
      </w:r>
      <w:r>
        <w:rPr>
          <w:szCs w:val="22"/>
        </w:rPr>
        <w:t>may be, or by ASIC, the Court is satisfied that a person:</w:t>
      </w:r>
    </w:p>
    <w:p w:rsidR="00EF6941" w:rsidRDefault="00EF6941" w:rsidP="0083379F">
      <w:pPr>
        <w:pStyle w:val="Quote3"/>
        <w:ind w:left="2880" w:hanging="720"/>
        <w:rPr>
          <w:szCs w:val="22"/>
        </w:rPr>
      </w:pPr>
      <w:r>
        <w:rPr>
          <w:shd w:val="clear" w:color="auto" w:fill="FFFFFF"/>
        </w:rPr>
        <w:t xml:space="preserve">(i) </w:t>
      </w:r>
      <w:r>
        <w:rPr>
          <w:shd w:val="clear" w:color="auto" w:fill="FFFFFF"/>
        </w:rPr>
        <w:tab/>
      </w:r>
      <w:r>
        <w:rPr>
          <w:szCs w:val="22"/>
        </w:rPr>
        <w:t>has concealed or removed pr</w:t>
      </w:r>
      <w:r w:rsidR="0083379F">
        <w:rPr>
          <w:szCs w:val="22"/>
        </w:rPr>
        <w:t xml:space="preserve">operty of the company with the </w:t>
      </w:r>
      <w:r>
        <w:rPr>
          <w:szCs w:val="22"/>
        </w:rPr>
        <w:t>result that the taking of the proper</w:t>
      </w:r>
      <w:r w:rsidR="0083379F">
        <w:rPr>
          <w:szCs w:val="22"/>
        </w:rPr>
        <w:t xml:space="preserve">ty into the custody or control </w:t>
      </w:r>
      <w:r>
        <w:rPr>
          <w:szCs w:val="22"/>
        </w:rPr>
        <w:t>of the liquidator or provisional l</w:t>
      </w:r>
      <w:r w:rsidR="0083379F">
        <w:rPr>
          <w:szCs w:val="22"/>
        </w:rPr>
        <w:t xml:space="preserve">iquidator will be prevented or </w:t>
      </w:r>
      <w:r>
        <w:rPr>
          <w:szCs w:val="22"/>
        </w:rPr>
        <w:t>delayed; or</w:t>
      </w:r>
    </w:p>
    <w:p w:rsidR="00EF6941" w:rsidRDefault="00EF6941" w:rsidP="0083379F">
      <w:pPr>
        <w:pStyle w:val="Quote3"/>
        <w:ind w:left="2880" w:hanging="720"/>
        <w:rPr>
          <w:shd w:val="clear" w:color="auto" w:fill="FFFFFF"/>
        </w:rPr>
      </w:pPr>
      <w:r>
        <w:rPr>
          <w:shd w:val="clear" w:color="auto" w:fill="FFFFFF"/>
        </w:rPr>
        <w:t xml:space="preserve">(ii) </w:t>
      </w:r>
      <w:r>
        <w:rPr>
          <w:shd w:val="clear" w:color="auto" w:fill="FFFFFF"/>
        </w:rPr>
        <w:tab/>
      </w:r>
      <w:r w:rsidRPr="00EF6941">
        <w:rPr>
          <w:shd w:val="clear" w:color="auto" w:fill="FFFFFF"/>
        </w:rPr>
        <w:t>has concealed, destroyed or removed books of the company or is about to do so.</w:t>
      </w:r>
    </w:p>
    <w:p w:rsidR="00EF6941" w:rsidRDefault="00EF6941" w:rsidP="0083379F">
      <w:pPr>
        <w:pStyle w:val="Quote1"/>
        <w:ind w:left="1440" w:hanging="703"/>
        <w:rPr>
          <w:szCs w:val="22"/>
        </w:rPr>
      </w:pPr>
      <w:r>
        <w:rPr>
          <w:shd w:val="clear" w:color="auto" w:fill="FFFFFF"/>
        </w:rPr>
        <w:t xml:space="preserve">(2) </w:t>
      </w:r>
      <w:r>
        <w:rPr>
          <w:shd w:val="clear" w:color="auto" w:fill="FFFFFF"/>
        </w:rPr>
        <w:tab/>
      </w:r>
      <w:r>
        <w:rPr>
          <w:szCs w:val="22"/>
        </w:rPr>
        <w:t>The warrant may authorise a specified person, w</w:t>
      </w:r>
      <w:r w:rsidR="0083379F">
        <w:rPr>
          <w:szCs w:val="22"/>
        </w:rPr>
        <w:t xml:space="preserve">ith such help as is reasonably </w:t>
      </w:r>
      <w:r>
        <w:rPr>
          <w:szCs w:val="22"/>
        </w:rPr>
        <w:t>necessary:</w:t>
      </w:r>
    </w:p>
    <w:p w:rsidR="00EF6941" w:rsidRDefault="00EF6941" w:rsidP="0083379F">
      <w:pPr>
        <w:pStyle w:val="Quote2"/>
        <w:ind w:left="2160" w:hanging="720"/>
        <w:rPr>
          <w:szCs w:val="22"/>
        </w:rPr>
      </w:pPr>
      <w:r>
        <w:t xml:space="preserve">(a) </w:t>
      </w:r>
      <w:r>
        <w:tab/>
      </w:r>
      <w:r>
        <w:rPr>
          <w:szCs w:val="22"/>
        </w:rPr>
        <w:t xml:space="preserve">to search for and seize property </w:t>
      </w:r>
      <w:r w:rsidR="0083379F">
        <w:rPr>
          <w:szCs w:val="22"/>
        </w:rPr>
        <w:t xml:space="preserve">or books of the company in the </w:t>
      </w:r>
      <w:r>
        <w:rPr>
          <w:szCs w:val="22"/>
        </w:rPr>
        <w:t>possession of the person referred to in subsection (1); and</w:t>
      </w:r>
    </w:p>
    <w:p w:rsidR="00EF6941" w:rsidRPr="00CA4483" w:rsidRDefault="00EF6941" w:rsidP="0083379F">
      <w:pPr>
        <w:pStyle w:val="Quote2"/>
        <w:ind w:left="2160" w:hanging="720"/>
        <w:rPr>
          <w:szCs w:val="22"/>
        </w:rPr>
      </w:pPr>
      <w:r>
        <w:rPr>
          <w:szCs w:val="22"/>
        </w:rPr>
        <w:t xml:space="preserve">(b) </w:t>
      </w:r>
      <w:r>
        <w:rPr>
          <w:szCs w:val="22"/>
        </w:rPr>
        <w:tab/>
        <w:t xml:space="preserve">to deliver, as specified in the warrant, </w:t>
      </w:r>
      <w:r w:rsidR="0083379F">
        <w:rPr>
          <w:szCs w:val="22"/>
        </w:rPr>
        <w:t xml:space="preserve">property or books seized under </w:t>
      </w:r>
      <w:r>
        <w:rPr>
          <w:szCs w:val="22"/>
        </w:rPr>
        <w:t>it.</w:t>
      </w:r>
    </w:p>
    <w:p w:rsidR="00097678" w:rsidRDefault="00687349" w:rsidP="00687349">
      <w:pPr>
        <w:pStyle w:val="ParaNumbering"/>
        <w:rPr>
          <w:shd w:val="clear" w:color="auto" w:fill="FFFFFF"/>
        </w:rPr>
      </w:pPr>
      <w:r>
        <w:rPr>
          <w:shd w:val="clear" w:color="auto" w:fill="FFFFFF"/>
        </w:rPr>
        <w:t>In this case</w:t>
      </w:r>
      <w:r w:rsidR="00097678">
        <w:rPr>
          <w:shd w:val="clear" w:color="auto" w:fill="FFFFFF"/>
        </w:rPr>
        <w:t>,</w:t>
      </w:r>
      <w:r>
        <w:rPr>
          <w:shd w:val="clear" w:color="auto" w:fill="FFFFFF"/>
        </w:rPr>
        <w:t xml:space="preserve"> as the books of the </w:t>
      </w:r>
      <w:r w:rsidR="00097678">
        <w:rPr>
          <w:shd w:val="clear" w:color="auto" w:fill="FFFFFF"/>
        </w:rPr>
        <w:t xml:space="preserve">Company </w:t>
      </w:r>
      <w:r>
        <w:rPr>
          <w:shd w:val="clear" w:color="auto" w:fill="FFFFFF"/>
        </w:rPr>
        <w:t xml:space="preserve">had been removed and were now being held by the purchaser under the sale transaction, it is apparent that the requirements of section 530C of the Act </w:t>
      </w:r>
      <w:r w:rsidR="00097678">
        <w:rPr>
          <w:shd w:val="clear" w:color="auto" w:fill="FFFFFF"/>
        </w:rPr>
        <w:t xml:space="preserve">were </w:t>
      </w:r>
      <w:r w:rsidR="003507AA">
        <w:rPr>
          <w:shd w:val="clear" w:color="auto" w:fill="FFFFFF"/>
        </w:rPr>
        <w:t>satisfied.</w:t>
      </w:r>
    </w:p>
    <w:p w:rsidR="00097678" w:rsidRDefault="00687349" w:rsidP="00687349">
      <w:pPr>
        <w:pStyle w:val="ParaNumbering"/>
        <w:rPr>
          <w:shd w:val="clear" w:color="auto" w:fill="FFFFFF"/>
        </w:rPr>
      </w:pPr>
      <w:r>
        <w:rPr>
          <w:shd w:val="clear" w:color="auto" w:fill="FFFFFF"/>
        </w:rPr>
        <w:t>The timeframe referred to in the letter from the liqui</w:t>
      </w:r>
      <w:r w:rsidR="003507AA">
        <w:rPr>
          <w:shd w:val="clear" w:color="auto" w:fill="FFFFFF"/>
        </w:rPr>
        <w:t>dators’ solicitors was not met.</w:t>
      </w:r>
    </w:p>
    <w:p w:rsidR="00097678" w:rsidRPr="00CA4483" w:rsidRDefault="00687349" w:rsidP="00625045">
      <w:pPr>
        <w:pStyle w:val="ParaNumbering"/>
      </w:pPr>
      <w:r>
        <w:rPr>
          <w:shd w:val="clear" w:color="auto" w:fill="FFFFFF"/>
        </w:rPr>
        <w:t>Instead, on 8 April 2022</w:t>
      </w:r>
      <w:r w:rsidR="00097678">
        <w:rPr>
          <w:shd w:val="clear" w:color="auto" w:fill="FFFFFF"/>
        </w:rPr>
        <w:t>,</w:t>
      </w:r>
      <w:r>
        <w:rPr>
          <w:shd w:val="clear" w:color="auto" w:fill="FFFFFF"/>
        </w:rPr>
        <w:t xml:space="preserve"> another letter was written by Torquejobs’ solicitors complaining, amongst other things, about the section 530B notice being incompetent because it expressed a requirement for </w:t>
      </w:r>
      <w:r w:rsidR="00097678">
        <w:rPr>
          <w:shd w:val="clear" w:color="auto" w:fill="FFFFFF"/>
        </w:rPr>
        <w:t xml:space="preserve">delivery of the </w:t>
      </w:r>
      <w:r>
        <w:rPr>
          <w:shd w:val="clear" w:color="auto" w:fill="FFFFFF"/>
        </w:rPr>
        <w:t xml:space="preserve">books in less than three days and stating that Torquejobs was compiling all the books and records as quickly as </w:t>
      </w:r>
      <w:r w:rsidR="00963EC6">
        <w:rPr>
          <w:shd w:val="clear" w:color="auto" w:fill="FFFFFF"/>
        </w:rPr>
        <w:t>it</w:t>
      </w:r>
      <w:r>
        <w:rPr>
          <w:shd w:val="clear" w:color="auto" w:fill="FFFFFF"/>
        </w:rPr>
        <w:t xml:space="preserve"> could.  The letter repeated that the books and records of Torquejobs were not the books and records of the </w:t>
      </w:r>
      <w:r w:rsidR="00097678">
        <w:rPr>
          <w:shd w:val="clear" w:color="auto" w:fill="FFFFFF"/>
        </w:rPr>
        <w:t xml:space="preserve">Company </w:t>
      </w:r>
      <w:r w:rsidRPr="00687349">
        <w:t>and</w:t>
      </w:r>
      <w:r w:rsidR="00963EC6">
        <w:t xml:space="preserve"> that</w:t>
      </w:r>
      <w:r w:rsidR="00097678">
        <w:t xml:space="preserve"> it</w:t>
      </w:r>
      <w:r w:rsidRPr="00687349">
        <w:t xml:space="preserve"> will not </w:t>
      </w:r>
      <w:r w:rsidRPr="00687349">
        <w:lastRenderedPageBreak/>
        <w:t xml:space="preserve">be handing those books and records over, given that they contain legally privileged material and documents which are not documents of the </w:t>
      </w:r>
      <w:r w:rsidR="00097678">
        <w:t>C</w:t>
      </w:r>
      <w:r w:rsidR="00097678" w:rsidRPr="00687349">
        <w:t>ompany</w:t>
      </w:r>
      <w:r w:rsidRPr="00687349">
        <w:t>.</w:t>
      </w:r>
      <w:r w:rsidR="00097678">
        <w:t xml:space="preserve">  </w:t>
      </w:r>
      <w:r w:rsidR="00097678">
        <w:rPr>
          <w:shd w:val="clear" w:color="auto" w:fill="FFFFFF"/>
        </w:rPr>
        <w:t>The letter</w:t>
      </w:r>
      <w:r w:rsidRPr="00CA4483">
        <w:rPr>
          <w:shd w:val="clear" w:color="auto" w:fill="FFFFFF"/>
        </w:rPr>
        <w:t xml:space="preserve"> stated that the documents would be preserved for any pending litigation or to be</w:t>
      </w:r>
      <w:r w:rsidR="003507AA">
        <w:rPr>
          <w:shd w:val="clear" w:color="auto" w:fill="FFFFFF"/>
        </w:rPr>
        <w:t xml:space="preserve"> argued about at a later date.</w:t>
      </w:r>
    </w:p>
    <w:p w:rsidR="00687349" w:rsidRDefault="00687349" w:rsidP="00625045">
      <w:pPr>
        <w:pStyle w:val="ParaNumbering"/>
      </w:pPr>
      <w:r w:rsidRPr="00CA4483">
        <w:rPr>
          <w:shd w:val="clear" w:color="auto" w:fill="FFFFFF"/>
        </w:rPr>
        <w:t xml:space="preserve">Further correspondence was exchanged culminating in the delivery by Torquejobs of seven archived boxes of documents and a laptop on 13 April 2022.  Also </w:t>
      </w:r>
      <w:r>
        <w:t>on 13 April 2022</w:t>
      </w:r>
      <w:r w:rsidR="00580EA9">
        <w:t>,</w:t>
      </w:r>
      <w:r>
        <w:t xml:space="preserve"> Torquejobs</w:t>
      </w:r>
      <w:r w:rsidR="00580EA9">
        <w:t>’</w:t>
      </w:r>
      <w:r>
        <w:t xml:space="preserve"> solicitors wrote and stated that:</w:t>
      </w:r>
    </w:p>
    <w:p w:rsidR="00BF5566" w:rsidRDefault="00BF5566" w:rsidP="00687349">
      <w:pPr>
        <w:pStyle w:val="Quote1"/>
      </w:pPr>
      <w:r>
        <w:t>[</w:t>
      </w:r>
      <w:r w:rsidR="00687349" w:rsidRPr="00687349">
        <w:t>Torquejobs</w:t>
      </w:r>
      <w:r>
        <w:t>]</w:t>
      </w:r>
      <w:r w:rsidR="00687349" w:rsidRPr="00687349">
        <w:t xml:space="preserve"> instructs that it expects further material will be delivered next week, as archived records a</w:t>
      </w:r>
      <w:r w:rsidR="003507AA">
        <w:t>re being recalled from storage.</w:t>
      </w:r>
    </w:p>
    <w:p w:rsidR="00A70B19" w:rsidRDefault="00BF5566" w:rsidP="00687349">
      <w:pPr>
        <w:pStyle w:val="Quote1"/>
      </w:pPr>
      <w:r>
        <w:t>W</w:t>
      </w:r>
      <w:r w:rsidR="00687349" w:rsidRPr="00687349">
        <w:t>e are considering your clien</w:t>
      </w:r>
      <w:r>
        <w:t>t’s entitlements to Office 356 [</w:t>
      </w:r>
      <w:r w:rsidR="00687349" w:rsidRPr="00687349">
        <w:t>sic</w:t>
      </w:r>
      <w:r>
        <w:t>]</w:t>
      </w:r>
      <w:r w:rsidR="00687349" w:rsidRPr="00687349">
        <w:t xml:space="preserve"> </w:t>
      </w:r>
      <w:r w:rsidR="003507AA">
        <w:t>and expect to revert next week.</w:t>
      </w:r>
    </w:p>
    <w:p w:rsidR="00687349" w:rsidRDefault="00687349" w:rsidP="00687349">
      <w:pPr>
        <w:pStyle w:val="ParaNumbering"/>
      </w:pPr>
      <w:r>
        <w:t>By letter dated 14 April 2022, the liquidators</w:t>
      </w:r>
      <w:r w:rsidR="00580EA9">
        <w:t>’</w:t>
      </w:r>
      <w:r>
        <w:t xml:space="preserve"> solicitors refer to the delivery of one archive box and the laptop on 13 April from Taylor David Lawyers, and explained why the documents which had been supplied, both by Torquejobs and through Taylor David Lawyers, were grossly inadequate.  </w:t>
      </w:r>
      <w:r w:rsidR="00580EA9">
        <w:t>The letter</w:t>
      </w:r>
      <w:r>
        <w:t xml:space="preserve"> stated that, in particular, Torquejobs had failed to provide access to any of the </w:t>
      </w:r>
      <w:r w:rsidR="00B570C5">
        <w:t>C</w:t>
      </w:r>
      <w:r>
        <w:t xml:space="preserve">ompany’s email records or any of the electronic files on the </w:t>
      </w:r>
      <w:r w:rsidR="00BF5566">
        <w:t>“</w:t>
      </w:r>
      <w:r>
        <w:t xml:space="preserve">Windows Server 2003 </w:t>
      </w:r>
      <w:r w:rsidR="00BF5566">
        <w:t>Active Directory with D</w:t>
      </w:r>
      <w:r w:rsidRPr="00CA4483">
        <w:t xml:space="preserve">istributed </w:t>
      </w:r>
      <w:r w:rsidR="00BF5566">
        <w:t>File</w:t>
      </w:r>
      <w:r w:rsidRPr="00CA4483">
        <w:t xml:space="preserve"> </w:t>
      </w:r>
      <w:r w:rsidR="00BF5566">
        <w:t>Share”</w:t>
      </w:r>
      <w:r w:rsidRPr="00CA4483">
        <w:t>.</w:t>
      </w:r>
      <w:r>
        <w:t xml:space="preserve">  The letter stated that: </w:t>
      </w:r>
    </w:p>
    <w:p w:rsidR="00687349" w:rsidRDefault="00BF5566" w:rsidP="00687349">
      <w:pPr>
        <w:pStyle w:val="Quote1"/>
      </w:pPr>
      <w:r>
        <w:t>The sale of the C</w:t>
      </w:r>
      <w:r w:rsidR="00687349" w:rsidRPr="00687349">
        <w:t>ompany’s business to Torquejobs settled on 24 October 2021.  All electronic documents and emails acq</w:t>
      </w:r>
      <w:r>
        <w:t>uired by your clients from the C</w:t>
      </w:r>
      <w:r w:rsidR="00687349" w:rsidRPr="00687349">
        <w:t xml:space="preserve">ompany in that sale, which are dated or were created on or before 24 October </w:t>
      </w:r>
      <w:r>
        <w:t>2021, are plainly books of the C</w:t>
      </w:r>
      <w:r w:rsidR="00687349" w:rsidRPr="00687349">
        <w:t xml:space="preserve">ompany.  Any legal professional privilege claim over those documents is in the </w:t>
      </w:r>
      <w:r>
        <w:t>hands of the C</w:t>
      </w:r>
      <w:r w:rsidR="00F0769A">
        <w:t xml:space="preserve">ompany (and therefore </w:t>
      </w:r>
      <w:r w:rsidR="00687349" w:rsidRPr="00687349">
        <w:t>our clients</w:t>
      </w:r>
      <w:r w:rsidR="00F0769A">
        <w:t>)</w:t>
      </w:r>
      <w:r w:rsidR="003507AA">
        <w:t>.</w:t>
      </w:r>
    </w:p>
    <w:p w:rsidR="00A70B19" w:rsidRDefault="00687349" w:rsidP="00687349">
      <w:pPr>
        <w:pStyle w:val="ParaNumbering"/>
      </w:pPr>
      <w:r w:rsidRPr="00687349">
        <w:t>An off</w:t>
      </w:r>
      <w:r w:rsidR="00F0769A">
        <w:t>er was made that the liquidator</w:t>
      </w:r>
      <w:r w:rsidRPr="00687349">
        <w:t>s</w:t>
      </w:r>
      <w:r w:rsidR="00F0769A">
        <w:t>’</w:t>
      </w:r>
      <w:r w:rsidRPr="00687349">
        <w:t xml:space="preserve"> staff isolate an image of Office 365 email records by date range, that is,</w:t>
      </w:r>
      <w:r w:rsidR="00963EC6">
        <w:t xml:space="preserve"> to</w:t>
      </w:r>
      <w:r w:rsidRPr="00687349">
        <w:t xml:space="preserve"> copy only the emails created on and prior to 24 October 2021 without disruption to Torquejobs’ business.  The letter stated that:</w:t>
      </w:r>
    </w:p>
    <w:p w:rsidR="00687349" w:rsidRDefault="00F0769A" w:rsidP="00687349">
      <w:pPr>
        <w:pStyle w:val="Quote1"/>
      </w:pPr>
      <w:r>
        <w:t>[</w:t>
      </w:r>
      <w:r w:rsidR="00687349" w:rsidRPr="00687349">
        <w:t>The liquidators</w:t>
      </w:r>
      <w:r>
        <w:t>]</w:t>
      </w:r>
      <w:r w:rsidR="00687349" w:rsidRPr="00687349">
        <w:t xml:space="preserve"> remain available to</w:t>
      </w:r>
      <w:r>
        <w:t xml:space="preserve"> attend your clients’ premises to do so, and to image the S</w:t>
      </w:r>
      <w:r w:rsidR="00687349" w:rsidRPr="00687349">
        <w:t xml:space="preserve">erver and place it in the custody of </w:t>
      </w:r>
      <w:r w:rsidR="00F10F4B">
        <w:t>a</w:t>
      </w:r>
      <w:r w:rsidR="00687349" w:rsidRPr="00687349">
        <w:t xml:space="preserve"> third party whilst any concerns about privilege or ownership of particular files </w:t>
      </w:r>
      <w:r w:rsidR="00F10F4B">
        <w:t>is</w:t>
      </w:r>
      <w:r w:rsidR="003507AA">
        <w:t xml:space="preserve"> resolved.</w:t>
      </w:r>
    </w:p>
    <w:p w:rsidR="00687349" w:rsidRDefault="00687349" w:rsidP="00687349">
      <w:pPr>
        <w:pStyle w:val="ParaNumbering"/>
      </w:pPr>
      <w:r w:rsidRPr="00687349">
        <w:t xml:space="preserve">On that date, an application for a warrant under section 530C was filed by the liquidators, accompanied by </w:t>
      </w:r>
      <w:r w:rsidR="00580EA9">
        <w:t>an</w:t>
      </w:r>
      <w:r w:rsidR="00580EA9" w:rsidRPr="00687349">
        <w:t xml:space="preserve"> </w:t>
      </w:r>
      <w:r w:rsidRPr="00687349">
        <w:t>affidavit of Mr Connelly.  In that affidavit, Mr Connelly referred to the sale transaction to Torquejobs and another transaction.  He deposed that:</w:t>
      </w:r>
    </w:p>
    <w:p w:rsidR="00F10F4B" w:rsidRDefault="00687349" w:rsidP="00687349">
      <w:pPr>
        <w:pStyle w:val="Quote1"/>
      </w:pPr>
      <w:r>
        <w:t>From my review of the material delivered to date</w:t>
      </w:r>
      <w:r w:rsidR="00F10F4B">
        <w:t>,</w:t>
      </w:r>
      <w:r>
        <w:t xml:space="preserve"> [that is, up until 14 April 2022]</w:t>
      </w:r>
      <w:r w:rsidR="00F10F4B">
        <w:t xml:space="preserve"> I consider that [the liquidators] have not been provided with:</w:t>
      </w:r>
    </w:p>
    <w:p w:rsidR="00F10F4B" w:rsidRDefault="00F10F4B" w:rsidP="00F10F4B">
      <w:pPr>
        <w:pStyle w:val="Quote1"/>
        <w:ind w:left="1440" w:hanging="703"/>
      </w:pPr>
      <w:r>
        <w:t xml:space="preserve">(a) </w:t>
      </w:r>
      <w:r>
        <w:tab/>
      </w:r>
      <w:r w:rsidR="00687349" w:rsidRPr="00687349">
        <w:t xml:space="preserve"> the com</w:t>
      </w:r>
      <w:r>
        <w:t>plete financial records of the Company, and in particular</w:t>
      </w:r>
      <w:r w:rsidR="00687349" w:rsidRPr="00687349">
        <w:t xml:space="preserve"> its balance sheets and profit </w:t>
      </w:r>
      <w:r>
        <w:t>&amp;</w:t>
      </w:r>
      <w:r w:rsidR="00687349" w:rsidRPr="00687349">
        <w:t xml:space="preserve"> loss statements;  </w:t>
      </w:r>
    </w:p>
    <w:p w:rsidR="00F10F4B" w:rsidRDefault="00687349" w:rsidP="00687349">
      <w:pPr>
        <w:pStyle w:val="Quote1"/>
      </w:pPr>
      <w:r w:rsidRPr="00687349">
        <w:t>(b)</w:t>
      </w:r>
      <w:r w:rsidR="00F10F4B">
        <w:tab/>
      </w:r>
      <w:r w:rsidRPr="00687349">
        <w:t>any</w:t>
      </w:r>
      <w:r w:rsidR="00963EC6">
        <w:t xml:space="preserve"> ema</w:t>
      </w:r>
      <w:r w:rsidR="00F10F4B">
        <w:t>il records of the C</w:t>
      </w:r>
      <w:r w:rsidR="00963EC6">
        <w:t xml:space="preserve">ompany; </w:t>
      </w:r>
    </w:p>
    <w:p w:rsidR="00F10F4B" w:rsidRDefault="00687349" w:rsidP="00687349">
      <w:pPr>
        <w:pStyle w:val="Quote1"/>
      </w:pPr>
      <w:r w:rsidRPr="00687349">
        <w:lastRenderedPageBreak/>
        <w:t>(c)</w:t>
      </w:r>
      <w:r w:rsidR="00F10F4B">
        <w:tab/>
      </w:r>
      <w:r w:rsidRPr="00687349">
        <w:t>any other Office 365 data in respect o</w:t>
      </w:r>
      <w:r w:rsidR="00F10F4B">
        <w:t>f the C</w:t>
      </w:r>
      <w:r w:rsidR="00963EC6">
        <w:t xml:space="preserve">ompany which may exist; </w:t>
      </w:r>
      <w:r w:rsidRPr="00687349">
        <w:t xml:space="preserve">and </w:t>
      </w:r>
    </w:p>
    <w:p w:rsidR="00687349" w:rsidRDefault="00687349" w:rsidP="00F10F4B">
      <w:pPr>
        <w:pStyle w:val="Quote1"/>
        <w:ind w:left="1440" w:hanging="703"/>
      </w:pPr>
      <w:r w:rsidRPr="00687349">
        <w:t>(d)</w:t>
      </w:r>
      <w:r w:rsidR="00F10F4B">
        <w:tab/>
      </w:r>
      <w:r w:rsidRPr="00687349">
        <w:t>any ele</w:t>
      </w:r>
      <w:r w:rsidR="00F10F4B">
        <w:t>ctronic files contained in the C</w:t>
      </w:r>
      <w:r w:rsidRPr="00687349">
        <w:t xml:space="preserve">ompany’s </w:t>
      </w:r>
      <w:r w:rsidR="00F10F4B">
        <w:t>“</w:t>
      </w:r>
      <w:r w:rsidRPr="00687349">
        <w:t xml:space="preserve">Windows Server 2003 </w:t>
      </w:r>
      <w:r w:rsidR="00F10F4B">
        <w:t>Directory with D</w:t>
      </w:r>
      <w:r w:rsidRPr="00687349">
        <w:t xml:space="preserve">istributed </w:t>
      </w:r>
      <w:r w:rsidR="00F10F4B">
        <w:t>File Share”</w:t>
      </w:r>
      <w:r w:rsidRPr="00687349">
        <w:t>.</w:t>
      </w:r>
    </w:p>
    <w:p w:rsidR="00687349" w:rsidRDefault="00687349" w:rsidP="00687349">
      <w:pPr>
        <w:pStyle w:val="ParaNumbering"/>
      </w:pPr>
      <w:r>
        <w:t>Mr Connelly deposed, and he was not challenged on this opinion, that he considered that:</w:t>
      </w:r>
    </w:p>
    <w:p w:rsidR="00687349" w:rsidRDefault="009E5BC1" w:rsidP="00687349">
      <w:pPr>
        <w:pStyle w:val="Quote1"/>
      </w:pPr>
      <w:r>
        <w:t>[</w:t>
      </w:r>
      <w:r w:rsidR="00687349" w:rsidRPr="00687349">
        <w:t>T</w:t>
      </w:r>
      <w:r>
        <w:t>]</w:t>
      </w:r>
      <w:r w:rsidR="00687349" w:rsidRPr="00687349">
        <w:t xml:space="preserve">hese books and records are </w:t>
      </w:r>
      <w:r>
        <w:t>critical to the affairs of the C</w:t>
      </w:r>
      <w:r w:rsidR="00687349" w:rsidRPr="00687349">
        <w:t xml:space="preserve">ompany and to </w:t>
      </w:r>
      <w:r w:rsidR="003507AA">
        <w:t>the conduct of the winding up.</w:t>
      </w:r>
    </w:p>
    <w:p w:rsidR="00687349" w:rsidRDefault="00687349" w:rsidP="00687349">
      <w:pPr>
        <w:pStyle w:val="ParaNumbering"/>
      </w:pPr>
      <w:r w:rsidRPr="00687349">
        <w:t>Mr Connelly also deposed that:</w:t>
      </w:r>
    </w:p>
    <w:p w:rsidR="00580EA9" w:rsidRDefault="00687349" w:rsidP="009E5BC1">
      <w:pPr>
        <w:pStyle w:val="Quote1"/>
      </w:pPr>
      <w:r>
        <w:t>Based on my in</w:t>
      </w:r>
      <w:r w:rsidR="009E5BC1">
        <w:t>vestigations, the books of the C</w:t>
      </w:r>
      <w:r>
        <w:t>ompany have already been removed and are in the possession of Torquejobs and its IT service provider, Quality</w:t>
      </w:r>
      <w:r w:rsidR="0021115E">
        <w:t xml:space="preserve"> </w:t>
      </w:r>
      <w:r>
        <w:t>IT.</w:t>
      </w:r>
      <w:r w:rsidR="009E5BC1">
        <w:t xml:space="preserve"> </w:t>
      </w:r>
      <w:r>
        <w:t>Torquejobs is willing to provide direct access to its records to Mr</w:t>
      </w:r>
      <w:r w:rsidRPr="00CB7944">
        <w:t xml:space="preserve"> Papadopoulo</w:t>
      </w:r>
      <w:r w:rsidR="009E5BC1">
        <w:t>s</w:t>
      </w:r>
      <w:r>
        <w:t xml:space="preserve"> but not to </w:t>
      </w:r>
      <w:r w:rsidR="00580EA9">
        <w:t>[</w:t>
      </w:r>
      <w:r>
        <w:t>Mr Connelly</w:t>
      </w:r>
      <w:r w:rsidR="00580EA9">
        <w:t>]</w:t>
      </w:r>
      <w:r>
        <w:t>.</w:t>
      </w:r>
    </w:p>
    <w:p w:rsidR="00687349" w:rsidRDefault="00687349" w:rsidP="00687349">
      <w:pPr>
        <w:pStyle w:val="ParaNumbering"/>
      </w:pPr>
      <w:r>
        <w:t xml:space="preserve">Mr Connelly expressed a concern that Mr Papadopoulos or Torquejobs may conceal, destroy or remove books of the </w:t>
      </w:r>
      <w:r w:rsidR="00580EA9">
        <w:t>Company</w:t>
      </w:r>
      <w:r>
        <w:t xml:space="preserve">, and he explains that his concern arises from four matters:  </w:t>
      </w:r>
    </w:p>
    <w:p w:rsidR="00687349" w:rsidRDefault="00687349" w:rsidP="003507AA">
      <w:pPr>
        <w:pStyle w:val="ListNo1alt"/>
        <w:numPr>
          <w:ilvl w:val="0"/>
          <w:numId w:val="30"/>
        </w:numPr>
      </w:pPr>
      <w:r>
        <w:t xml:space="preserve">the difficulties experienced by the former voluntary administrator and the liquidators </w:t>
      </w:r>
      <w:r w:rsidR="00580EA9">
        <w:t xml:space="preserve">in </w:t>
      </w:r>
      <w:r>
        <w:t xml:space="preserve">obtaining the books and records of the </w:t>
      </w:r>
      <w:r w:rsidR="00580EA9">
        <w:t>Company</w:t>
      </w:r>
      <w:r>
        <w:t>;</w:t>
      </w:r>
    </w:p>
    <w:p w:rsidR="00687349" w:rsidRDefault="00687349" w:rsidP="005C6B1F">
      <w:pPr>
        <w:pStyle w:val="ListNo1alt"/>
        <w:numPr>
          <w:ilvl w:val="0"/>
          <w:numId w:val="30"/>
        </w:numPr>
      </w:pPr>
      <w:r>
        <w:t>T</w:t>
      </w:r>
      <w:r w:rsidR="004C0803">
        <w:t>orquejobs’</w:t>
      </w:r>
      <w:r>
        <w:t xml:space="preserve"> declinature of Mr Connelly’s proposal to immediately preserve the books of the</w:t>
      </w:r>
      <w:r w:rsidR="00580EA9">
        <w:t xml:space="preserve"> C</w:t>
      </w:r>
      <w:r>
        <w:t>ompany in its possession, on the basis of a regime designed not to prejudice any claims for privilege which may exist;</w:t>
      </w:r>
    </w:p>
    <w:p w:rsidR="00687349" w:rsidRDefault="00687349" w:rsidP="005C6B1F">
      <w:pPr>
        <w:pStyle w:val="ListNo1alt"/>
        <w:numPr>
          <w:ilvl w:val="0"/>
          <w:numId w:val="30"/>
        </w:numPr>
      </w:pPr>
      <w:r>
        <w:t xml:space="preserve">the nature of the dealings involving Torquejobs and the </w:t>
      </w:r>
      <w:r w:rsidR="00580EA9">
        <w:t>Company</w:t>
      </w:r>
      <w:r>
        <w:t>, relating to the sale of the business, which may give rise to claims against Torquejobs, Mr Papadopoulos and Mr Lopez;  and</w:t>
      </w:r>
    </w:p>
    <w:p w:rsidR="00687349" w:rsidRDefault="00687349" w:rsidP="005C6B1F">
      <w:pPr>
        <w:pStyle w:val="ListNo1alt"/>
        <w:numPr>
          <w:ilvl w:val="0"/>
          <w:numId w:val="30"/>
        </w:numPr>
      </w:pPr>
      <w:r>
        <w:t xml:space="preserve">Torquejobs and Mr Papadopoulos’ stated intentions to provide the </w:t>
      </w:r>
      <w:r w:rsidR="00580EA9">
        <w:t xml:space="preserve">Company’s </w:t>
      </w:r>
      <w:r>
        <w:t xml:space="preserve">books in the possession of Torquejobs in a manner which will permit them to assess and determine which books to deliver up without oversight to ensure all the </w:t>
      </w:r>
      <w:r w:rsidR="00580EA9">
        <w:t>C</w:t>
      </w:r>
      <w:r>
        <w:t>ompa</w:t>
      </w:r>
      <w:r w:rsidR="003507AA">
        <w:t>ny’s books have been delivered.</w:t>
      </w:r>
    </w:p>
    <w:p w:rsidR="005B7E70" w:rsidRDefault="00687349" w:rsidP="00687349">
      <w:pPr>
        <w:pStyle w:val="ParaNumbering"/>
      </w:pPr>
      <w:r>
        <w:t xml:space="preserve">Counsel for the respondents directed me to the decision of Banks-Smith J in </w:t>
      </w:r>
      <w:r w:rsidRPr="003507AA">
        <w:rPr>
          <w:i/>
        </w:rPr>
        <w:t>Re Carrello (as the liquidator of Drilling Australia Proprietary Limited) (in liquidation)</w:t>
      </w:r>
      <w:r w:rsidR="009E5BC1" w:rsidRPr="003507AA">
        <w:t xml:space="preserve"> (2019)</w:t>
      </w:r>
      <w:r w:rsidR="00B94125">
        <w:t xml:space="preserve"> 139 ACSR 187;</w:t>
      </w:r>
      <w:r w:rsidRPr="003507AA">
        <w:t xml:space="preserve"> [2019] FCA 1563</w:t>
      </w:r>
      <w:r>
        <w:t>.  In that decision, her Honour stated that:</w:t>
      </w:r>
    </w:p>
    <w:p w:rsidR="005B7E70" w:rsidRDefault="005B7E70">
      <w:pPr>
        <w:pStyle w:val="Quote1"/>
      </w:pPr>
      <w:r w:rsidRPr="00CA4483">
        <w:t xml:space="preserve">Section 530C is ordinarily ‘a remedy of last resort’: see </w:t>
      </w:r>
      <w:r w:rsidR="009E5BC1">
        <w:rPr>
          <w:i/>
          <w:iCs/>
        </w:rPr>
        <w:t xml:space="preserve">Cvitanovic v Kenna &amp; </w:t>
      </w:r>
      <w:r w:rsidRPr="00CA4483">
        <w:rPr>
          <w:i/>
          <w:iCs/>
        </w:rPr>
        <w:t xml:space="preserve">Brown Pty Ltd </w:t>
      </w:r>
      <w:r w:rsidRPr="00CA4483">
        <w:t>(1995) 18 ACSR 387.</w:t>
      </w:r>
    </w:p>
    <w:p w:rsidR="005B7E70" w:rsidRDefault="005B7E70">
      <w:pPr>
        <w:pStyle w:val="Quote1"/>
      </w:pPr>
      <w:r>
        <w:t xml:space="preserve">… </w:t>
      </w:r>
    </w:p>
    <w:p w:rsidR="005B7E70" w:rsidRDefault="005B7E70">
      <w:pPr>
        <w:pStyle w:val="Quote1"/>
      </w:pPr>
      <w:r w:rsidRPr="005B7E70">
        <w:t>Factors that have been relied upon in decid</w:t>
      </w:r>
      <w:r>
        <w:t xml:space="preserve">ing that a person has concealed </w:t>
      </w:r>
      <w:r w:rsidRPr="005B7E70">
        <w:t>or removed the property of the company include:</w:t>
      </w:r>
    </w:p>
    <w:p w:rsidR="005B7E70" w:rsidRDefault="005B7E70" w:rsidP="009E5BC1">
      <w:pPr>
        <w:pStyle w:val="Quote2"/>
        <w:ind w:left="2160" w:hanging="720"/>
      </w:pPr>
      <w:r>
        <w:lastRenderedPageBreak/>
        <w:t xml:space="preserve">(a) </w:t>
      </w:r>
      <w:r>
        <w:tab/>
      </w:r>
      <w:r w:rsidRPr="005B7E70">
        <w:t xml:space="preserve">refusals to comply with liquidators’ requests to deliver up the </w:t>
      </w:r>
      <w:r w:rsidR="009E5BC1">
        <w:t xml:space="preserve">books </w:t>
      </w:r>
      <w:r>
        <w:t xml:space="preserve">and </w:t>
      </w:r>
      <w:r w:rsidRPr="005B7E70">
        <w:t xml:space="preserve">records of the company: </w:t>
      </w:r>
      <w:r w:rsidRPr="005B7E70">
        <w:rPr>
          <w:i/>
          <w:iCs/>
        </w:rPr>
        <w:t xml:space="preserve">Vartelas v Kyriakou </w:t>
      </w:r>
      <w:r w:rsidRPr="005B7E70">
        <w:t>[2009] FCA 1489 (</w:t>
      </w:r>
      <w:r w:rsidRPr="005B7E70">
        <w:rPr>
          <w:i/>
          <w:iCs/>
        </w:rPr>
        <w:t>Vartelas</w:t>
      </w:r>
      <w:r>
        <w:t xml:space="preserve"> </w:t>
      </w:r>
      <w:r w:rsidRPr="005B7E70">
        <w:rPr>
          <w:i/>
          <w:iCs/>
        </w:rPr>
        <w:t>v Kyriakou</w:t>
      </w:r>
      <w:r w:rsidRPr="005B7E70">
        <w:t>) at [6];</w:t>
      </w:r>
    </w:p>
    <w:p w:rsidR="005B7E70" w:rsidRDefault="005B7E70" w:rsidP="009E5BC1">
      <w:pPr>
        <w:pStyle w:val="Quote2"/>
        <w:ind w:left="2160" w:hanging="720"/>
      </w:pPr>
      <w:r>
        <w:t xml:space="preserve">(b) </w:t>
      </w:r>
      <w:r>
        <w:tab/>
      </w:r>
      <w:r w:rsidRPr="005B7E70">
        <w:t>transfer of assets to, and continued use of the assets by, rela</w:t>
      </w:r>
      <w:r w:rsidR="009E5BC1">
        <w:t xml:space="preserve">ted </w:t>
      </w:r>
      <w:r w:rsidRPr="005B7E70">
        <w:t xml:space="preserve">companies or entities without proper accounting: </w:t>
      </w:r>
      <w:r w:rsidRPr="005B7E70">
        <w:rPr>
          <w:i/>
          <w:iCs/>
        </w:rPr>
        <w:t>Re Crisp (in his</w:t>
      </w:r>
      <w:r w:rsidR="009E5BC1">
        <w:t xml:space="preserve"> </w:t>
      </w:r>
      <w:r w:rsidRPr="005B7E70">
        <w:rPr>
          <w:i/>
          <w:iCs/>
        </w:rPr>
        <w:t>capacity as liquidator of Buchanan Group Holdings Pty Ltd) v</w:t>
      </w:r>
      <w:r w:rsidR="009E5BC1">
        <w:t xml:space="preserve"> </w:t>
      </w:r>
      <w:r w:rsidRPr="005B7E70">
        <w:rPr>
          <w:i/>
          <w:iCs/>
        </w:rPr>
        <w:t xml:space="preserve">Iliopoulos </w:t>
      </w:r>
      <w:r w:rsidRPr="005B7E70">
        <w:t>[2011] FCA 1521 (</w:t>
      </w:r>
      <w:r w:rsidRPr="005B7E70">
        <w:rPr>
          <w:i/>
          <w:iCs/>
        </w:rPr>
        <w:t>Crisp</w:t>
      </w:r>
      <w:r w:rsidRPr="005B7E70">
        <w:t>) at [11]</w:t>
      </w:r>
      <w:r w:rsidR="0083379F">
        <w:t xml:space="preserve"> </w:t>
      </w:r>
      <w:r w:rsidR="00172804">
        <w:t>…</w:t>
      </w:r>
    </w:p>
    <w:p w:rsidR="00172804" w:rsidRDefault="00687349" w:rsidP="00687349">
      <w:pPr>
        <w:pStyle w:val="ParaNumbering"/>
      </w:pPr>
      <w:r w:rsidRPr="00687349">
        <w:t xml:space="preserve">Having regard to this authority, and to the terms of section 530C, I am satisfied that there was a proper basis, on the facts of this case, for the liquidators to file and bring their application under section 530C.  In particular, there are serious concerns raised by the circumstances around the sale of the business to a newly incorporated company which has, as employees, the former chief financial officer and former director of the </w:t>
      </w:r>
      <w:r w:rsidR="00172804">
        <w:t>C</w:t>
      </w:r>
      <w:r w:rsidRPr="00687349">
        <w:t xml:space="preserve">ompany which is now in liquidation, as well as Mr Lopez, who was previously a director of the </w:t>
      </w:r>
      <w:r w:rsidR="00172804">
        <w:t>C</w:t>
      </w:r>
      <w:r w:rsidR="00172804" w:rsidRPr="00687349">
        <w:t>ompany</w:t>
      </w:r>
      <w:r w:rsidRPr="00687349">
        <w:t>.  It is also of serious concern that the liquidators have been unable to identify that any</w:t>
      </w:r>
      <w:r w:rsidR="00172804">
        <w:t xml:space="preserve"> of the</w:t>
      </w:r>
      <w:r w:rsidRPr="00687349">
        <w:t xml:space="preserve"> purchase price promised under the sale agreement has, in fact, been received by the </w:t>
      </w:r>
      <w:r w:rsidR="00172804">
        <w:t>C</w:t>
      </w:r>
      <w:r w:rsidR="00172804" w:rsidRPr="00687349">
        <w:t>ompany</w:t>
      </w:r>
      <w:r w:rsidR="003507AA">
        <w:t>.</w:t>
      </w:r>
    </w:p>
    <w:p w:rsidR="00625045" w:rsidRDefault="00687349" w:rsidP="00687349">
      <w:pPr>
        <w:pStyle w:val="ParaNumbering"/>
      </w:pPr>
      <w:r w:rsidRPr="00687349">
        <w:t>Once the application</w:t>
      </w:r>
      <w:r w:rsidR="00172804">
        <w:t xml:space="preserve"> for the warrant</w:t>
      </w:r>
      <w:r w:rsidRPr="00687349">
        <w:t xml:space="preserve"> </w:t>
      </w:r>
      <w:r w:rsidR="00172804">
        <w:t>wa</w:t>
      </w:r>
      <w:r w:rsidR="00172804" w:rsidRPr="00687349">
        <w:t xml:space="preserve">s </w:t>
      </w:r>
      <w:r w:rsidRPr="00687349">
        <w:t>filed and served, it was set down for hearing on 22</w:t>
      </w:r>
      <w:r w:rsidR="003507AA">
        <w:t> </w:t>
      </w:r>
      <w:r w:rsidRPr="00687349">
        <w:t>April 2022.</w:t>
      </w:r>
    </w:p>
    <w:p w:rsidR="00687349" w:rsidRDefault="00687349" w:rsidP="00687349">
      <w:pPr>
        <w:pStyle w:val="ParaNumbering"/>
      </w:pPr>
      <w:r w:rsidRPr="00687349">
        <w:t>The chronology shows that</w:t>
      </w:r>
      <w:r w:rsidR="00625045">
        <w:t>,</w:t>
      </w:r>
      <w:r w:rsidRPr="00687349">
        <w:t xml:space="preserve"> on 19 April</w:t>
      </w:r>
      <w:r w:rsidR="0083379F">
        <w:t xml:space="preserve"> 2022</w:t>
      </w:r>
      <w:r w:rsidRPr="00687349">
        <w:t>, that is, three days before the hearing of the application, a draft order was proposed by Torquejobs, which still did not permit or contain a regime</w:t>
      </w:r>
      <w:r w:rsidR="00625045">
        <w:t xml:space="preserve"> containing any</w:t>
      </w:r>
      <w:r w:rsidRPr="00687349">
        <w:t xml:space="preserve"> supervision o</w:t>
      </w:r>
      <w:r w:rsidR="00625045">
        <w:t>ver</w:t>
      </w:r>
      <w:r w:rsidRPr="00687349">
        <w:t xml:space="preserve"> the selection of the documents that would be provided to the l</w:t>
      </w:r>
      <w:r w:rsidR="003507AA">
        <w:t>iquidators.</w:t>
      </w:r>
    </w:p>
    <w:p w:rsidR="00625045" w:rsidRDefault="00687349" w:rsidP="00687349">
      <w:pPr>
        <w:pStyle w:val="ParaNumbering"/>
      </w:pPr>
      <w:r>
        <w:t>Ultimately, the parties reached agreement to an order which was made by consent on 22</w:t>
      </w:r>
      <w:r w:rsidR="0083379F">
        <w:t> </w:t>
      </w:r>
      <w:r>
        <w:t>April</w:t>
      </w:r>
      <w:r w:rsidR="0083379F">
        <w:t xml:space="preserve"> 2022 </w:t>
      </w:r>
      <w:r>
        <w:t xml:space="preserve">by Greenwood J, pursuant to which an independent person </w:t>
      </w:r>
      <w:r w:rsidR="00625045">
        <w:t xml:space="preserve">would </w:t>
      </w:r>
      <w:r>
        <w:t>supervise the selection of the documents and claims for legal professional privilege amo</w:t>
      </w:r>
      <w:r w:rsidR="003507AA">
        <w:t>ngst other things.</w:t>
      </w:r>
    </w:p>
    <w:p w:rsidR="00687349" w:rsidRDefault="00687349" w:rsidP="00687349">
      <w:pPr>
        <w:pStyle w:val="ParaNumbering"/>
      </w:pPr>
      <w:r>
        <w:t>I am therefore satisfied that it was appropriate</w:t>
      </w:r>
      <w:r w:rsidR="00B570C5">
        <w:t xml:space="preserve"> to</w:t>
      </w:r>
      <w:r>
        <w:t xml:space="preserve"> bring the application</w:t>
      </w:r>
      <w:r w:rsidR="005A5B41">
        <w:t xml:space="preserve"> for the warrant</w:t>
      </w:r>
      <w:r>
        <w:t xml:space="preserve">, </w:t>
      </w:r>
      <w:r w:rsidR="00B570C5">
        <w:t>that</w:t>
      </w:r>
      <w:r>
        <w:t xml:space="preserve"> it was necessary to do so, and that</w:t>
      </w:r>
      <w:r w:rsidR="005A5B41">
        <w:t>,</w:t>
      </w:r>
      <w:r>
        <w:t xml:space="preserve"> had the application not been brought, the</w:t>
      </w:r>
      <w:r w:rsidR="005A5B41">
        <w:t xml:space="preserve"> agreement as to the</w:t>
      </w:r>
      <w:r>
        <w:t xml:space="preserve"> regime that was ultimately</w:t>
      </w:r>
      <w:r w:rsidR="005A5B41">
        <w:t xml:space="preserve"> accepted</w:t>
      </w:r>
      <w:r>
        <w:t xml:space="preserve"> by the respondents to the applicati</w:t>
      </w:r>
      <w:r w:rsidR="003507AA">
        <w:t>on would not have been reached.</w:t>
      </w:r>
    </w:p>
    <w:p w:rsidR="002C649B" w:rsidRDefault="00963EC6" w:rsidP="00687349">
      <w:pPr>
        <w:pStyle w:val="ParaNumbering"/>
      </w:pPr>
      <w:r>
        <w:t>As to the issue of costs, t</w:t>
      </w:r>
      <w:r w:rsidR="00687349">
        <w:t>he respondents submit that the applicant</w:t>
      </w:r>
      <w:r w:rsidR="00010248">
        <w:t>s</w:t>
      </w:r>
      <w:r w:rsidR="00687349">
        <w:t xml:space="preserve"> should not have their costs because the originating process was never determined on its merits.  However, in the circumstances of this case, the liquidators, in my view, had a strong basis to obtain the warrant and did not bri</w:t>
      </w:r>
      <w:r w:rsidR="003507AA">
        <w:t>ng the application prematurely.</w:t>
      </w:r>
    </w:p>
    <w:p w:rsidR="005A5B41" w:rsidRDefault="00687349" w:rsidP="00687349">
      <w:pPr>
        <w:pStyle w:val="ParaNumbering"/>
      </w:pPr>
      <w:r>
        <w:lastRenderedPageBreak/>
        <w:t>It is also submitted by the respondents that the application was premised upon an</w:t>
      </w:r>
      <w:r w:rsidR="005A5B41">
        <w:t xml:space="preserve"> incorrect</w:t>
      </w:r>
      <w:r>
        <w:t xml:space="preserve"> understanding that the former voluntary administrator was unable to obtain the </w:t>
      </w:r>
      <w:r w:rsidR="00010248">
        <w:t>C</w:t>
      </w:r>
      <w:r>
        <w:t xml:space="preserve">ompany’s electronic records.  </w:t>
      </w:r>
      <w:r w:rsidR="005A5B41">
        <w:t>However, o</w:t>
      </w:r>
      <w:r>
        <w:t>ne aspect of the evidence relied upon by the liquidators is contained in the report</w:t>
      </w:r>
      <w:r w:rsidR="005A5B41">
        <w:t xml:space="preserve"> to the creditors</w:t>
      </w:r>
      <w:r>
        <w:t xml:space="preserve"> by the administrator, and so that concern </w:t>
      </w:r>
      <w:r w:rsidR="003507AA">
        <w:t>had a proper basis in my view.</w:t>
      </w:r>
    </w:p>
    <w:p w:rsidR="005A5B41" w:rsidRDefault="00687349" w:rsidP="00172BDC">
      <w:pPr>
        <w:pStyle w:val="ParaNumbering"/>
      </w:pPr>
      <w:r>
        <w:t xml:space="preserve">It is also submitted by the respondents that the liquidators made unreasonable demands for </w:t>
      </w:r>
      <w:r w:rsidR="005A5B41">
        <w:t xml:space="preserve">the </w:t>
      </w:r>
      <w:r>
        <w:t xml:space="preserve">records in </w:t>
      </w:r>
      <w:r w:rsidR="00010248">
        <w:t>very</w:t>
      </w:r>
      <w:r>
        <w:t xml:space="preserve"> short periods of time.  It is relevant to note that section 530B</w:t>
      </w:r>
      <w:r w:rsidR="005A5B41">
        <w:t xml:space="preserve"> of the Act</w:t>
      </w:r>
      <w:r>
        <w:t xml:space="preserve"> requires that the minimum time period that is given for compliance with the notice is at least three days.</w:t>
      </w:r>
      <w:r w:rsidR="005A5B41">
        <w:t xml:space="preserve">  </w:t>
      </w:r>
      <w:r w:rsidR="002C649B">
        <w:t>However, i</w:t>
      </w:r>
      <w:r>
        <w:t>n circumstances where liquidators are appointed</w:t>
      </w:r>
      <w:r w:rsidR="005A5B41">
        <w:t>,</w:t>
      </w:r>
      <w:r>
        <w:t xml:space="preserve"> there has been a failure to provide all relevant business records to the previously appointed administrator</w:t>
      </w:r>
      <w:r w:rsidR="005A5B41">
        <w:t xml:space="preserve"> and there is</w:t>
      </w:r>
      <w:r w:rsidR="00010248">
        <w:t xml:space="preserve"> then</w:t>
      </w:r>
      <w:r w:rsidR="005A5B41">
        <w:t xml:space="preserve"> </w:t>
      </w:r>
      <w:r>
        <w:t>a period of two weeks</w:t>
      </w:r>
      <w:r w:rsidR="005A5B41">
        <w:t>’</w:t>
      </w:r>
      <w:r>
        <w:t xml:space="preserve"> delay before filing the application</w:t>
      </w:r>
      <w:r w:rsidR="005A5B41">
        <w:t xml:space="preserve">, </w:t>
      </w:r>
      <w:r>
        <w:t>I am not satisfied the liquidators made unreasonable demands for those records in a very short period of time.</w:t>
      </w:r>
      <w:r w:rsidR="002C649B">
        <w:t xml:space="preserve">  </w:t>
      </w:r>
      <w:r>
        <w:t xml:space="preserve">I also consider that the liquidators acted reasonably in proposing at a very early stage, that is, </w:t>
      </w:r>
      <w:r w:rsidR="005A5B41">
        <w:t xml:space="preserve">on </w:t>
      </w:r>
      <w:r>
        <w:t>5 April</w:t>
      </w:r>
      <w:r w:rsidR="0083379F">
        <w:t xml:space="preserve"> 2022</w:t>
      </w:r>
      <w:r>
        <w:t xml:space="preserve">, a regime whereby concerns raised by </w:t>
      </w:r>
      <w:r w:rsidRPr="00F46549">
        <w:t>Torquejobs</w:t>
      </w:r>
      <w:r>
        <w:t xml:space="preserve"> about legal professional privilege and privacy and any other basis on which documents should not be produced could be overseen </w:t>
      </w:r>
      <w:r w:rsidR="003507AA">
        <w:t>by an independent third party.</w:t>
      </w:r>
    </w:p>
    <w:p w:rsidR="00687349" w:rsidRDefault="00687349" w:rsidP="00C9070F">
      <w:pPr>
        <w:pStyle w:val="ParaNumbering"/>
      </w:pPr>
      <w:r>
        <w:t xml:space="preserve">For </w:t>
      </w:r>
      <w:r w:rsidR="00C7524D">
        <w:t xml:space="preserve">all of </w:t>
      </w:r>
      <w:r>
        <w:t>these reasons, I am satisfied that</w:t>
      </w:r>
      <w:r w:rsidR="005A5B41">
        <w:t xml:space="preserve">, </w:t>
      </w:r>
      <w:r>
        <w:t>had the application under section 530C</w:t>
      </w:r>
      <w:r w:rsidR="005A5B41">
        <w:t xml:space="preserve"> of the Act</w:t>
      </w:r>
      <w:r>
        <w:t xml:space="preserve"> proceeded, it is very likely that it would have succeeded, and, as a consequence, I consider that the first and second respondents should pay the applicants</w:t>
      </w:r>
      <w:r w:rsidR="00615F21">
        <w:t>’</w:t>
      </w:r>
      <w:r>
        <w:t xml:space="preserve"> costs o</w:t>
      </w:r>
      <w:r w:rsidR="00615F21">
        <w:t>f and</w:t>
      </w:r>
      <w:r>
        <w:t xml:space="preserve"> incidental to the originating </w:t>
      </w:r>
      <w:r w:rsidR="004178BC">
        <w:t>application</w:t>
      </w:r>
      <w:r>
        <w:t xml:space="preserve"> filed on 14 April 2022.</w:t>
      </w:r>
    </w:p>
    <w:p w:rsidR="00CA4483" w:rsidRDefault="00CA4483" w:rsidP="00815065">
      <w:pPr>
        <w:pStyle w:val="BodyText"/>
      </w:pPr>
      <w:bookmarkStart w:id="24" w:name="Certification"/>
    </w:p>
    <w:tbl>
      <w:tblPr>
        <w:tblW w:w="0" w:type="auto"/>
        <w:tblLook w:val="04A0" w:firstRow="1" w:lastRow="0" w:firstColumn="1" w:lastColumn="0" w:noHBand="0" w:noVBand="1"/>
      </w:tblPr>
      <w:tblGrid>
        <w:gridCol w:w="3794"/>
      </w:tblGrid>
      <w:tr w:rsidR="00CA4483" w:rsidRPr="00CA4483">
        <w:tc>
          <w:tcPr>
            <w:tcW w:w="3794" w:type="dxa"/>
            <w:shd w:val="clear" w:color="auto" w:fill="auto"/>
          </w:tcPr>
          <w:p w:rsidR="00CA4483" w:rsidRPr="00CA4483" w:rsidRDefault="00CA4483" w:rsidP="00CA4483">
            <w:pPr>
              <w:pStyle w:val="Normal1linespace"/>
            </w:pPr>
            <w:r w:rsidRPr="00CA4483">
              <w:t xml:space="preserve">I certify that the preceding </w:t>
            </w:r>
            <w:bookmarkStart w:id="25" w:name="NumberWord"/>
            <w:r w:rsidR="00A6511B">
              <w:t>fifty</w:t>
            </w:r>
            <w:bookmarkEnd w:id="25"/>
            <w:r w:rsidRPr="00CA4483">
              <w:t xml:space="preserve"> (</w:t>
            </w:r>
            <w:bookmarkStart w:id="26" w:name="NumberNumeral"/>
            <w:r w:rsidR="00A6511B">
              <w:t>50</w:t>
            </w:r>
            <w:bookmarkEnd w:id="26"/>
            <w:r w:rsidRPr="00CA4483">
              <w:t xml:space="preserve">) numbered </w:t>
            </w:r>
            <w:bookmarkStart w:id="27" w:name="CertPara"/>
            <w:r w:rsidR="00A6511B">
              <w:t>paragraphs are</w:t>
            </w:r>
            <w:bookmarkEnd w:id="27"/>
            <w:r w:rsidRPr="00CA4483">
              <w:t xml:space="preserve"> a true copy of the Reasons for Judgment of </w:t>
            </w:r>
            <w:bookmarkStart w:id="28" w:name="bkHonourable"/>
            <w:r w:rsidRPr="00CA4483">
              <w:t xml:space="preserve">the Honourable </w:t>
            </w:r>
            <w:bookmarkStart w:id="29" w:name="Justice"/>
            <w:bookmarkEnd w:id="28"/>
            <w:r w:rsidR="00BA3CC3">
              <w:t>Justice Downes</w:t>
            </w:r>
            <w:bookmarkEnd w:id="29"/>
            <w:r w:rsidRPr="00CA4483">
              <w:t>.</w:t>
            </w:r>
          </w:p>
        </w:tc>
      </w:tr>
    </w:tbl>
    <w:p w:rsidR="00CA4483" w:rsidRDefault="00CA4483" w:rsidP="00815065">
      <w:pPr>
        <w:pStyle w:val="BodyText"/>
      </w:pPr>
    </w:p>
    <w:p w:rsidR="00C86191" w:rsidRDefault="00C86191" w:rsidP="00815065">
      <w:pPr>
        <w:pStyle w:val="BodyText"/>
      </w:pPr>
      <w:bookmarkStart w:id="30" w:name="_GoBack"/>
      <w:bookmarkEnd w:id="30"/>
    </w:p>
    <w:p w:rsidR="00CA4483" w:rsidRDefault="00CA4483" w:rsidP="00815065">
      <w:pPr>
        <w:pStyle w:val="BodyText"/>
      </w:pPr>
      <w:r>
        <w:t>Associate:</w:t>
      </w:r>
    </w:p>
    <w:p w:rsidR="00CA4483" w:rsidRDefault="00CA4483" w:rsidP="00815065">
      <w:pPr>
        <w:pStyle w:val="BodyText"/>
      </w:pPr>
    </w:p>
    <w:p w:rsidR="00CA4483" w:rsidRDefault="00CA4483" w:rsidP="00815065">
      <w:pPr>
        <w:pStyle w:val="BodyText"/>
        <w:tabs>
          <w:tab w:val="left" w:pos="1134"/>
        </w:tabs>
      </w:pPr>
      <w:r>
        <w:t>Dated:</w:t>
      </w:r>
      <w:r>
        <w:tab/>
      </w:r>
      <w:bookmarkStart w:id="31" w:name="CertifyDated"/>
      <w:r w:rsidR="00BA3CC3">
        <w:t>1</w:t>
      </w:r>
      <w:r w:rsidR="00EE7BC8">
        <w:t>5</w:t>
      </w:r>
      <w:r w:rsidR="00BA3CC3">
        <w:t xml:space="preserve"> July 2022</w:t>
      </w:r>
      <w:bookmarkEnd w:id="31"/>
    </w:p>
    <w:p w:rsidR="00CA4483" w:rsidRDefault="00CA4483" w:rsidP="00815065">
      <w:pPr>
        <w:pStyle w:val="BodyText"/>
      </w:pPr>
    </w:p>
    <w:bookmarkEnd w:id="24"/>
    <w:p w:rsidR="00CA4483" w:rsidRDefault="00CA4483" w:rsidP="00CA4483">
      <w:pPr>
        <w:pStyle w:val="BodyText"/>
      </w:pPr>
    </w:p>
    <w:sectPr w:rsidR="00CA4483"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45" w:rsidRDefault="00625045">
      <w:pPr>
        <w:spacing w:line="20" w:lineRule="exact"/>
      </w:pPr>
    </w:p>
    <w:p w:rsidR="00625045" w:rsidRDefault="00625045"/>
    <w:p w:rsidR="00625045" w:rsidRDefault="00625045"/>
  </w:endnote>
  <w:endnote w:type="continuationSeparator" w:id="0">
    <w:p w:rsidR="00625045" w:rsidRDefault="00625045">
      <w:r>
        <w:t xml:space="preserve"> </w:t>
      </w:r>
    </w:p>
    <w:p w:rsidR="00625045" w:rsidRDefault="00625045"/>
    <w:p w:rsidR="00625045" w:rsidRDefault="00625045"/>
  </w:endnote>
  <w:endnote w:type="continuationNotice" w:id="1">
    <w:p w:rsidR="00625045" w:rsidRDefault="00625045">
      <w:r>
        <w:t xml:space="preserve"> </w:t>
      </w:r>
    </w:p>
    <w:p w:rsidR="00625045" w:rsidRDefault="00625045"/>
    <w:p w:rsidR="00625045" w:rsidRDefault="00625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5" w:rsidRPr="00C47B9D" w:rsidRDefault="0062504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FD3B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FF3A79">
          <w:rPr>
            <w:bCs/>
            <w:sz w:val="18"/>
            <w:szCs w:val="18"/>
          </w:rPr>
          <w:t xml:space="preserve">Connelly, in the matter of TSK QLD Pty Ltd (in liq) v Torquejobs Pty Ltd [2022] FCA 823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5" w:rsidRPr="00C47B9D" w:rsidRDefault="00625045"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DF26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5682A2814624E2DAD8E71A1014651ED"/>
        </w:placeholder>
        <w:dataBinding w:prefixMappings="xmlns:ns0='http://schemas.globalmacros.com/FCA'" w:xpath="/ns0:root[1]/ns0:Name[1]" w:storeItemID="{687E7CCB-4AA5-44E7-B148-17BA2B6F57C0}"/>
        <w:text w:multiLine="1"/>
      </w:sdtPr>
      <w:sdtEndPr/>
      <w:sdtContent>
        <w:r w:rsidR="00FF3A79">
          <w:rPr>
            <w:bCs/>
            <w:sz w:val="18"/>
            <w:szCs w:val="18"/>
          </w:rPr>
          <w:t xml:space="preserve">Connelly, in the matter of TSK QLD Pty Ltd (in liq) v Torquejobs Pty Ltd [2022] FCA 823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5" w:rsidRPr="00C47B9D" w:rsidRDefault="0062504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F689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70938F2ED9541A687ABC7C50F009841"/>
        </w:placeholder>
        <w:dataBinding w:prefixMappings="xmlns:ns0='http://schemas.globalmacros.com/FCA'" w:xpath="/ns0:root[1]/ns0:Name[1]" w:storeItemID="{687E7CCB-4AA5-44E7-B148-17BA2B6F57C0}"/>
        <w:text w:multiLine="1"/>
      </w:sdtPr>
      <w:sdtEndPr/>
      <w:sdtContent>
        <w:r w:rsidR="00FF3A79">
          <w:rPr>
            <w:bCs/>
            <w:sz w:val="18"/>
            <w:szCs w:val="18"/>
          </w:rPr>
          <w:t xml:space="preserve">Connelly, in the matter of TSK QLD Pty Ltd (in liq) v Torquejobs Pty Ltd [2022] FCA 823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86191">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5" w:rsidRPr="00C47B9D" w:rsidRDefault="0062504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3774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63526BFFEA0547EB9D597D5251752525"/>
        </w:placeholder>
        <w:dataBinding w:prefixMappings="xmlns:ns0='http://schemas.globalmacros.com/FCA'" w:xpath="/ns0:root[1]/ns0:Name[1]" w:storeItemID="{687E7CCB-4AA5-44E7-B148-17BA2B6F57C0}"/>
        <w:text w:multiLine="1"/>
      </w:sdtPr>
      <w:sdtEndPr/>
      <w:sdtContent>
        <w:r w:rsidR="00FF3A79">
          <w:rPr>
            <w:bCs/>
            <w:sz w:val="18"/>
            <w:szCs w:val="18"/>
          </w:rPr>
          <w:t xml:space="preserve">Connelly, in the matter of TSK QLD Pty Ltd (in liq) v Torquejobs Pty Ltd [2022] FCA 823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86191">
      <w:rPr>
        <w:bCs/>
        <w:noProof/>
        <w:sz w:val="20"/>
      </w:rPr>
      <w:t>10</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5" w:rsidRPr="00C47B9D" w:rsidRDefault="00625045"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25F0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AC85A5C3154F4AD184ACFBC46807D91D"/>
        </w:placeholder>
        <w:dataBinding w:prefixMappings="xmlns:ns0='http://schemas.globalmacros.com/FCA'" w:xpath="/ns0:root[1]/ns0:Name[1]" w:storeItemID="{687E7CCB-4AA5-44E7-B148-17BA2B6F57C0}"/>
        <w:text w:multiLine="1"/>
      </w:sdtPr>
      <w:sdtEndPr/>
      <w:sdtContent>
        <w:r w:rsidR="00FF3A79">
          <w:rPr>
            <w:bCs/>
            <w:sz w:val="18"/>
            <w:szCs w:val="18"/>
          </w:rPr>
          <w:t xml:space="preserve">Connelly, in the matter of TSK QLD Pty Ltd (in liq) v Torquejobs Pty Ltd [2022] FCA 823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8619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45" w:rsidRDefault="00625045"/>
  </w:footnote>
  <w:footnote w:type="continuationSeparator" w:id="0">
    <w:p w:rsidR="00625045" w:rsidRDefault="00625045">
      <w:r>
        <w:continuationSeparator/>
      </w:r>
    </w:p>
    <w:p w:rsidR="00625045" w:rsidRDefault="00625045"/>
    <w:p w:rsidR="00625045" w:rsidRDefault="006250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5" w:rsidRDefault="00625045">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5" w:rsidRDefault="00625045">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5" w:rsidRDefault="0062504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5" w:rsidRDefault="00625045">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5" w:rsidRDefault="00625045"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NTHONY NORMAN CONNELLY AND WILLIAM JAMES HARRIS IN THEIR CAPACITY AS LIQUIDATORS OF TSK QLD PTY LTD (IN LIQUIDATION) ACN 605 921 506 "/>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QUD 126 of 2022"/>
    <w:docVar w:name="Initiators" w:val="(and another named in the Schedule)"/>
    <w:docVar w:name="Judgdate" w:val="7 July 2022"/>
    <w:docVar w:name="Judge" w:val="Downes"/>
    <w:docVar w:name="JudgeType" w:val="Justice"/>
    <w:docVar w:name="lstEntryList" w:val="-1"/>
    <w:docVar w:name="myEntryList" w:val="Counsel for the Applicant=Mr P O'Brien|Solicitor for the Applicant=McInnes Wilson Lawyers|Counsel for the Respondents=Mr B Kidston|Solicitor for the Respondents=Enyo Lawyers"/>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Torquejobs Pty Ltd|Neryda Janse Van Rensburg as trustee for the Janse Van Rensburg Family Trust trading as &quot;Quality IT&quot;"/>
    <w:docVar w:name="ResState" w:val="Queensland"/>
    <w:docVar w:name="SubArea" w:val="Corporations and Corporate Insolvency (C &amp; C)"/>
  </w:docVars>
  <w:rsids>
    <w:rsidRoot w:val="00A70B19"/>
    <w:rsid w:val="00000747"/>
    <w:rsid w:val="00010248"/>
    <w:rsid w:val="000115C5"/>
    <w:rsid w:val="0001469E"/>
    <w:rsid w:val="00015993"/>
    <w:rsid w:val="00021CCB"/>
    <w:rsid w:val="00022289"/>
    <w:rsid w:val="000237E9"/>
    <w:rsid w:val="00027398"/>
    <w:rsid w:val="0003201A"/>
    <w:rsid w:val="0003207A"/>
    <w:rsid w:val="00032F9F"/>
    <w:rsid w:val="00041C07"/>
    <w:rsid w:val="00043B0C"/>
    <w:rsid w:val="00045BB7"/>
    <w:rsid w:val="00055719"/>
    <w:rsid w:val="0005641B"/>
    <w:rsid w:val="0006017D"/>
    <w:rsid w:val="0006196A"/>
    <w:rsid w:val="000650F0"/>
    <w:rsid w:val="00071FB3"/>
    <w:rsid w:val="00077768"/>
    <w:rsid w:val="00081497"/>
    <w:rsid w:val="000831EC"/>
    <w:rsid w:val="00084126"/>
    <w:rsid w:val="00085255"/>
    <w:rsid w:val="00097678"/>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280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15E"/>
    <w:rsid w:val="00211A3E"/>
    <w:rsid w:val="00213F20"/>
    <w:rsid w:val="00214055"/>
    <w:rsid w:val="00215BCA"/>
    <w:rsid w:val="002160F5"/>
    <w:rsid w:val="00217AC4"/>
    <w:rsid w:val="00221461"/>
    <w:rsid w:val="00224537"/>
    <w:rsid w:val="00232AF8"/>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649B"/>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07AA"/>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178BC"/>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0803"/>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26C3A"/>
    <w:rsid w:val="00530876"/>
    <w:rsid w:val="00535613"/>
    <w:rsid w:val="005359EB"/>
    <w:rsid w:val="0054254A"/>
    <w:rsid w:val="0054500B"/>
    <w:rsid w:val="005466B5"/>
    <w:rsid w:val="00554314"/>
    <w:rsid w:val="00562829"/>
    <w:rsid w:val="005629B3"/>
    <w:rsid w:val="0057128A"/>
    <w:rsid w:val="005724F6"/>
    <w:rsid w:val="00573AC4"/>
    <w:rsid w:val="005801FC"/>
    <w:rsid w:val="00580EA9"/>
    <w:rsid w:val="00585BA9"/>
    <w:rsid w:val="00587359"/>
    <w:rsid w:val="00595016"/>
    <w:rsid w:val="005975D9"/>
    <w:rsid w:val="00597AAE"/>
    <w:rsid w:val="005A222C"/>
    <w:rsid w:val="005A4DF8"/>
    <w:rsid w:val="005A5B41"/>
    <w:rsid w:val="005A78C8"/>
    <w:rsid w:val="005B1426"/>
    <w:rsid w:val="005B7E70"/>
    <w:rsid w:val="005C0A8E"/>
    <w:rsid w:val="005C1767"/>
    <w:rsid w:val="005C185C"/>
    <w:rsid w:val="005C42EF"/>
    <w:rsid w:val="005C6B1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15F21"/>
    <w:rsid w:val="00620DA8"/>
    <w:rsid w:val="00621887"/>
    <w:rsid w:val="00624520"/>
    <w:rsid w:val="00625045"/>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87349"/>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4A4B"/>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379F"/>
    <w:rsid w:val="00837288"/>
    <w:rsid w:val="00841BD3"/>
    <w:rsid w:val="0084273D"/>
    <w:rsid w:val="00844E3F"/>
    <w:rsid w:val="00845A83"/>
    <w:rsid w:val="00846BB9"/>
    <w:rsid w:val="008649D5"/>
    <w:rsid w:val="008712BB"/>
    <w:rsid w:val="00874C35"/>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587B"/>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3EC6"/>
    <w:rsid w:val="00967855"/>
    <w:rsid w:val="00971CD1"/>
    <w:rsid w:val="00972A13"/>
    <w:rsid w:val="00974709"/>
    <w:rsid w:val="009801AE"/>
    <w:rsid w:val="00980736"/>
    <w:rsid w:val="00981A39"/>
    <w:rsid w:val="00982D56"/>
    <w:rsid w:val="00983DBF"/>
    <w:rsid w:val="00987097"/>
    <w:rsid w:val="00991123"/>
    <w:rsid w:val="00991CAB"/>
    <w:rsid w:val="009957B9"/>
    <w:rsid w:val="009A3A9C"/>
    <w:rsid w:val="009B046C"/>
    <w:rsid w:val="009B13FA"/>
    <w:rsid w:val="009B1E2D"/>
    <w:rsid w:val="009C59FB"/>
    <w:rsid w:val="009C6F3B"/>
    <w:rsid w:val="009D1467"/>
    <w:rsid w:val="009D328D"/>
    <w:rsid w:val="009E4FA6"/>
    <w:rsid w:val="009E5BC1"/>
    <w:rsid w:val="009E7D93"/>
    <w:rsid w:val="009F3C34"/>
    <w:rsid w:val="009F462C"/>
    <w:rsid w:val="009F5C33"/>
    <w:rsid w:val="00A026F0"/>
    <w:rsid w:val="00A03EAC"/>
    <w:rsid w:val="00A04DBB"/>
    <w:rsid w:val="00A07EA0"/>
    <w:rsid w:val="00A11CA6"/>
    <w:rsid w:val="00A12F2C"/>
    <w:rsid w:val="00A17A02"/>
    <w:rsid w:val="00A20C49"/>
    <w:rsid w:val="00A22932"/>
    <w:rsid w:val="00A24977"/>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11B"/>
    <w:rsid w:val="00A65F97"/>
    <w:rsid w:val="00A70B19"/>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570C5"/>
    <w:rsid w:val="00B64347"/>
    <w:rsid w:val="00B65DC6"/>
    <w:rsid w:val="00B67AC2"/>
    <w:rsid w:val="00B722DE"/>
    <w:rsid w:val="00B751E3"/>
    <w:rsid w:val="00B75BA6"/>
    <w:rsid w:val="00B76C44"/>
    <w:rsid w:val="00B8184A"/>
    <w:rsid w:val="00B82283"/>
    <w:rsid w:val="00B828D8"/>
    <w:rsid w:val="00B83F87"/>
    <w:rsid w:val="00B87CDC"/>
    <w:rsid w:val="00B910C1"/>
    <w:rsid w:val="00B94125"/>
    <w:rsid w:val="00BA2CA4"/>
    <w:rsid w:val="00BA2EFA"/>
    <w:rsid w:val="00BA3CC3"/>
    <w:rsid w:val="00BA3DBC"/>
    <w:rsid w:val="00BA707A"/>
    <w:rsid w:val="00BB1AFB"/>
    <w:rsid w:val="00BB27AE"/>
    <w:rsid w:val="00BB2DA2"/>
    <w:rsid w:val="00BB56DC"/>
    <w:rsid w:val="00BE183D"/>
    <w:rsid w:val="00BE2888"/>
    <w:rsid w:val="00BF24C2"/>
    <w:rsid w:val="00BF2922"/>
    <w:rsid w:val="00BF5566"/>
    <w:rsid w:val="00BF5D7A"/>
    <w:rsid w:val="00C01C2E"/>
    <w:rsid w:val="00C02D33"/>
    <w:rsid w:val="00C04B53"/>
    <w:rsid w:val="00C1232C"/>
    <w:rsid w:val="00C27C6B"/>
    <w:rsid w:val="00C35092"/>
    <w:rsid w:val="00C3594D"/>
    <w:rsid w:val="00C36442"/>
    <w:rsid w:val="00C400CE"/>
    <w:rsid w:val="00C410FD"/>
    <w:rsid w:val="00C457DE"/>
    <w:rsid w:val="00C47DD3"/>
    <w:rsid w:val="00C5316F"/>
    <w:rsid w:val="00C53562"/>
    <w:rsid w:val="00C539FB"/>
    <w:rsid w:val="00C6293D"/>
    <w:rsid w:val="00C66AA3"/>
    <w:rsid w:val="00C66E57"/>
    <w:rsid w:val="00C724D7"/>
    <w:rsid w:val="00C74150"/>
    <w:rsid w:val="00C7524D"/>
    <w:rsid w:val="00C75594"/>
    <w:rsid w:val="00C85982"/>
    <w:rsid w:val="00C86191"/>
    <w:rsid w:val="00CA0466"/>
    <w:rsid w:val="00CA246D"/>
    <w:rsid w:val="00CA4483"/>
    <w:rsid w:val="00CA50D9"/>
    <w:rsid w:val="00CA5979"/>
    <w:rsid w:val="00CB3054"/>
    <w:rsid w:val="00CB5636"/>
    <w:rsid w:val="00CB5F30"/>
    <w:rsid w:val="00CC3EE5"/>
    <w:rsid w:val="00CC6E47"/>
    <w:rsid w:val="00CD1346"/>
    <w:rsid w:val="00CE425C"/>
    <w:rsid w:val="00CE58AC"/>
    <w:rsid w:val="00CF01EA"/>
    <w:rsid w:val="00CF5A80"/>
    <w:rsid w:val="00D045EE"/>
    <w:rsid w:val="00D05091"/>
    <w:rsid w:val="00D10CA6"/>
    <w:rsid w:val="00D10F21"/>
    <w:rsid w:val="00D134CF"/>
    <w:rsid w:val="00D1573B"/>
    <w:rsid w:val="00D24806"/>
    <w:rsid w:val="00D34040"/>
    <w:rsid w:val="00D34137"/>
    <w:rsid w:val="00D34E69"/>
    <w:rsid w:val="00D36C78"/>
    <w:rsid w:val="00D375EE"/>
    <w:rsid w:val="00D55AE8"/>
    <w:rsid w:val="00D56056"/>
    <w:rsid w:val="00D6085F"/>
    <w:rsid w:val="00D62699"/>
    <w:rsid w:val="00D6415B"/>
    <w:rsid w:val="00D703B6"/>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3A00"/>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26B9"/>
    <w:rsid w:val="00EA4E2E"/>
    <w:rsid w:val="00EB2417"/>
    <w:rsid w:val="00EB2CCB"/>
    <w:rsid w:val="00EB7A25"/>
    <w:rsid w:val="00EC0F3E"/>
    <w:rsid w:val="00EC57A7"/>
    <w:rsid w:val="00ED0817"/>
    <w:rsid w:val="00ED7DD9"/>
    <w:rsid w:val="00EE445B"/>
    <w:rsid w:val="00EE7BC8"/>
    <w:rsid w:val="00EF3113"/>
    <w:rsid w:val="00EF3F84"/>
    <w:rsid w:val="00EF6941"/>
    <w:rsid w:val="00F0769A"/>
    <w:rsid w:val="00F10F4B"/>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 w:val="00FF3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480C779"/>
  <w15:docId w15:val="{DFE9A8D6-17B5-4BF1-B83C-8258A825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Quotations">
    <w:name w:val="Quotations"/>
    <w:basedOn w:val="Normal"/>
    <w:qFormat/>
    <w:rsid w:val="00A70B19"/>
    <w:pPr>
      <w:spacing w:line="240" w:lineRule="auto"/>
      <w:ind w:left="540"/>
      <w:jc w:val="left"/>
    </w:pPr>
    <w:rPr>
      <w:rFonts w:eastAsia="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BF3BBCE61419DB423DBE22E567D24"/>
        <w:category>
          <w:name w:val="General"/>
          <w:gallery w:val="placeholder"/>
        </w:category>
        <w:types>
          <w:type w:val="bbPlcHdr"/>
        </w:types>
        <w:behaviors>
          <w:behavior w:val="content"/>
        </w:behaviors>
        <w:guid w:val="{D95779E1-949D-4305-9D63-A83DD7290708}"/>
      </w:docPartPr>
      <w:docPartBody>
        <w:p w:rsidR="007367AE" w:rsidRDefault="007367AE">
          <w:pPr>
            <w:pStyle w:val="0CEBF3BBCE61419DB423DBE22E567D24"/>
          </w:pPr>
          <w:r>
            <w:rPr>
              <w:rStyle w:val="PlaceholderText"/>
            </w:rPr>
            <w:t>MNC Text</w:t>
          </w:r>
        </w:p>
      </w:docPartBody>
    </w:docPart>
    <w:docPart>
      <w:docPartPr>
        <w:name w:val="E5682A2814624E2DAD8E71A1014651ED"/>
        <w:category>
          <w:name w:val="General"/>
          <w:gallery w:val="placeholder"/>
        </w:category>
        <w:types>
          <w:type w:val="bbPlcHdr"/>
        </w:types>
        <w:behaviors>
          <w:behavior w:val="content"/>
        </w:behaviors>
        <w:guid w:val="{03270923-16E4-4BD1-A652-C6F0883E60BA}"/>
      </w:docPartPr>
      <w:docPartBody>
        <w:p w:rsidR="007367AE" w:rsidRDefault="007367AE">
          <w:pPr>
            <w:pStyle w:val="E5682A2814624E2DAD8E71A1014651ED"/>
          </w:pPr>
          <w:r w:rsidRPr="005C44BE">
            <w:rPr>
              <w:rStyle w:val="PlaceholderText"/>
            </w:rPr>
            <w:t>Click or tap here to enter text.</w:t>
          </w:r>
        </w:p>
      </w:docPartBody>
    </w:docPart>
    <w:docPart>
      <w:docPartPr>
        <w:name w:val="870938F2ED9541A687ABC7C50F009841"/>
        <w:category>
          <w:name w:val="General"/>
          <w:gallery w:val="placeholder"/>
        </w:category>
        <w:types>
          <w:type w:val="bbPlcHdr"/>
        </w:types>
        <w:behaviors>
          <w:behavior w:val="content"/>
        </w:behaviors>
        <w:guid w:val="{59DBD674-9856-4878-9F02-9048D9E2A5AA}"/>
      </w:docPartPr>
      <w:docPartBody>
        <w:p w:rsidR="007367AE" w:rsidRDefault="007367AE">
          <w:pPr>
            <w:pStyle w:val="870938F2ED9541A687ABC7C50F009841"/>
          </w:pPr>
          <w:r w:rsidRPr="005C44BE">
            <w:rPr>
              <w:rStyle w:val="PlaceholderText"/>
            </w:rPr>
            <w:t>Click or tap here to enter text.</w:t>
          </w:r>
        </w:p>
      </w:docPartBody>
    </w:docPart>
    <w:docPart>
      <w:docPartPr>
        <w:name w:val="63526BFFEA0547EB9D597D5251752525"/>
        <w:category>
          <w:name w:val="General"/>
          <w:gallery w:val="placeholder"/>
        </w:category>
        <w:types>
          <w:type w:val="bbPlcHdr"/>
        </w:types>
        <w:behaviors>
          <w:behavior w:val="content"/>
        </w:behaviors>
        <w:guid w:val="{8A51B6F9-6889-4E5C-8B0C-DADB7EA8DA5C}"/>
      </w:docPartPr>
      <w:docPartBody>
        <w:p w:rsidR="007367AE" w:rsidRDefault="007367AE">
          <w:pPr>
            <w:pStyle w:val="63526BFFEA0547EB9D597D5251752525"/>
          </w:pPr>
          <w:r w:rsidRPr="005C44BE">
            <w:rPr>
              <w:rStyle w:val="PlaceholderText"/>
            </w:rPr>
            <w:t>Click or tap here to enter text.</w:t>
          </w:r>
        </w:p>
      </w:docPartBody>
    </w:docPart>
    <w:docPart>
      <w:docPartPr>
        <w:name w:val="AC85A5C3154F4AD184ACFBC46807D91D"/>
        <w:category>
          <w:name w:val="General"/>
          <w:gallery w:val="placeholder"/>
        </w:category>
        <w:types>
          <w:type w:val="bbPlcHdr"/>
        </w:types>
        <w:behaviors>
          <w:behavior w:val="content"/>
        </w:behaviors>
        <w:guid w:val="{25840736-7C59-460F-BEBA-5837A1BCEF90}"/>
      </w:docPartPr>
      <w:docPartBody>
        <w:p w:rsidR="007367AE" w:rsidRDefault="007367AE">
          <w:pPr>
            <w:pStyle w:val="AC85A5C3154F4AD184ACFBC46807D91D"/>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AE"/>
    <w:rsid w:val="004E277D"/>
    <w:rsid w:val="00736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EBF3BBCE61419DB423DBE22E567D24">
    <w:name w:val="0CEBF3BBCE61419DB423DBE22E567D24"/>
  </w:style>
  <w:style w:type="paragraph" w:customStyle="1" w:styleId="E5682A2814624E2DAD8E71A1014651ED">
    <w:name w:val="E5682A2814624E2DAD8E71A1014651ED"/>
  </w:style>
  <w:style w:type="paragraph" w:customStyle="1" w:styleId="870938F2ED9541A687ABC7C50F009841">
    <w:name w:val="870938F2ED9541A687ABC7C50F009841"/>
  </w:style>
  <w:style w:type="paragraph" w:customStyle="1" w:styleId="63526BFFEA0547EB9D597D5251752525">
    <w:name w:val="63526BFFEA0547EB9D597D5251752525"/>
  </w:style>
  <w:style w:type="paragraph" w:customStyle="1" w:styleId="AC85A5C3154F4AD184ACFBC46807D91D">
    <w:name w:val="AC85A5C3154F4AD184ACFBC46807D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Connelly, in the matter of TSK QLD Pty Ltd (in liq) v Torquejobs Pty Ltd [2022] FCA 823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9BA642F4-3314-4D68-8316-A89F3955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13</Pages>
  <Words>4351</Words>
  <Characters>21496</Characters>
  <Application>Microsoft Office Word</Application>
  <DocSecurity>0</DocSecurity>
  <Lines>457</Lines>
  <Paragraphs>190</Paragraphs>
  <ScaleCrop>false</ScaleCrop>
  <HeadingPairs>
    <vt:vector size="2" baseType="variant">
      <vt:variant>
        <vt:lpstr>Title</vt:lpstr>
      </vt:variant>
      <vt:variant>
        <vt:i4>1</vt:i4>
      </vt:variant>
    </vt:vector>
  </HeadingPairs>
  <TitlesOfParts>
    <vt:vector size="1" baseType="lpstr">
      <vt:lpstr>Connelly, in the matter of TSK QLD Pty Ltd (in liq) v Torquejobs Pty Ltd [2022] FCA 823 </vt:lpstr>
    </vt:vector>
  </TitlesOfParts>
  <Company>Federal Court of Australia</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Connelly, in the matter of TSK QLD Pty Ltd (in liq) v Torquejobs Pty Ltd [2022] FCA 823</dc:title>
  <dc:creator>Pragadesh Sukumar</dc:creator>
  <dc:description>v1.3</dc:description>
  <cp:lastModifiedBy>Amy Chan</cp:lastModifiedBy>
  <cp:revision>3</cp:revision>
  <cp:lastPrinted>2022-07-14T03:11:00Z</cp:lastPrinted>
  <dcterms:created xsi:type="dcterms:W3CDTF">2022-07-15T00:25:00Z</dcterms:created>
  <dcterms:modified xsi:type="dcterms:W3CDTF">2022-07-15T00:26:00Z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