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757D6" w14:textId="0C0F554E" w:rsidR="00395B24" w:rsidRDefault="00905EBC" w:rsidP="00A22932">
      <w:pPr>
        <w:pStyle w:val="CourtTitle"/>
      </w:pPr>
      <w:fldSimple w:instr=" DOCPROPERTY  Court  \* MERGEFORMAT ">
        <w:r w:rsidR="008B3A94">
          <w:t>Federal Court of Australia</w:t>
        </w:r>
      </w:fldSimple>
    </w:p>
    <w:p w14:paraId="2BD182C3" w14:textId="77777777" w:rsidR="004D7950" w:rsidRDefault="004D7950">
      <w:pPr>
        <w:pStyle w:val="NormalHeadings"/>
        <w:jc w:val="center"/>
        <w:rPr>
          <w:sz w:val="32"/>
        </w:rPr>
      </w:pPr>
    </w:p>
    <w:bookmarkStart w:id="0" w:name="MNC"/>
    <w:p w14:paraId="1F923A66" w14:textId="40CF27AB" w:rsidR="00374CC4" w:rsidRDefault="00DA32B2" w:rsidP="001A2B40">
      <w:pPr>
        <w:pStyle w:val="MNC"/>
      </w:pPr>
      <w:sdt>
        <w:sdtPr>
          <w:rPr>
            <w:rFonts w:ascii="Asap" w:hAnsi="Asap"/>
            <w:color w:val="000000"/>
            <w:spacing w:val="-15"/>
            <w:kern w:val="36"/>
            <w:szCs w:val="28"/>
            <w:lang w:val="en-US"/>
          </w:rPr>
          <w:alias w:val="MNC"/>
          <w:tag w:val="MNC"/>
          <w:id w:val="343289786"/>
          <w:lock w:val="sdtLocked"/>
          <w:placeholder>
            <w:docPart w:val="E4C4B87E627F4C28AC5338EDBD4A5BD5"/>
          </w:placeholder>
          <w:dataBinding w:prefixMappings="xmlns:ns0='http://schemas.globalmacros.com/FCA'" w:xpath="/ns0:root[1]/ns0:Name[1]" w:storeItemID="{687E7CCB-4AA5-44E7-B148-17BA2B6F57C0}"/>
          <w:text w:multiLine="1"/>
        </w:sdtPr>
        <w:sdtEndPr/>
        <w:sdtContent>
          <w:r w:rsidR="003D60B9" w:rsidRPr="003D60B9">
            <w:rPr>
              <w:rFonts w:ascii="Asap" w:hAnsi="Asap" w:hint="eastAsia"/>
              <w:color w:val="000000"/>
              <w:spacing w:val="-15"/>
              <w:kern w:val="36"/>
              <w:szCs w:val="28"/>
              <w:lang w:val="en-US"/>
            </w:rPr>
            <w:t>Deputy Commissioner of Taxation v Huang</w:t>
          </w:r>
          <w:r w:rsidR="001F0013">
            <w:rPr>
              <w:rFonts w:ascii="Asap" w:hAnsi="Asap"/>
              <w:color w:val="000000"/>
              <w:spacing w:val="-15"/>
              <w:kern w:val="36"/>
              <w:szCs w:val="28"/>
              <w:lang w:val="en-US"/>
            </w:rPr>
            <w:t xml:space="preserve"> (No 4)</w:t>
          </w:r>
          <w:r w:rsidR="003D60B9" w:rsidRPr="003D60B9">
            <w:rPr>
              <w:rFonts w:ascii="Asap" w:hAnsi="Asap"/>
              <w:color w:val="000000"/>
              <w:spacing w:val="-15"/>
              <w:kern w:val="36"/>
              <w:szCs w:val="28"/>
              <w:lang w:val="en-US"/>
            </w:rPr>
            <w:t xml:space="preserve"> </w:t>
          </w:r>
          <w:r w:rsidR="001F0013">
            <w:rPr>
              <w:rFonts w:ascii="Asap" w:hAnsi="Asap"/>
              <w:color w:val="000000"/>
              <w:spacing w:val="-15"/>
              <w:kern w:val="36"/>
              <w:szCs w:val="28"/>
              <w:lang w:val="en-US"/>
            </w:rPr>
            <w:t xml:space="preserve">[2022] FCA 618 </w:t>
          </w:r>
          <w:r w:rsidR="003D60B9" w:rsidRPr="003D60B9">
            <w:rPr>
              <w:rFonts w:ascii="Asap" w:hAnsi="Asap"/>
              <w:color w:val="000000"/>
              <w:spacing w:val="-15"/>
              <w:kern w:val="36"/>
              <w:szCs w:val="28"/>
              <w:lang w:val="en-US"/>
            </w:rPr>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769E3985" w14:textId="77777777" w:rsidTr="008B3A94">
        <w:tc>
          <w:tcPr>
            <w:tcW w:w="3084" w:type="dxa"/>
            <w:shd w:val="clear" w:color="auto" w:fill="auto"/>
          </w:tcPr>
          <w:p w14:paraId="47D72070" w14:textId="1232E051" w:rsidR="00395B24" w:rsidRDefault="002E631F" w:rsidP="00663878">
            <w:pPr>
              <w:pStyle w:val="Normal1linespace"/>
              <w:widowControl w:val="0"/>
              <w:jc w:val="left"/>
            </w:pPr>
            <w:r>
              <w:t>File number</w:t>
            </w:r>
            <w:r w:rsidR="002C7385">
              <w:t>:</w:t>
            </w:r>
          </w:p>
        </w:tc>
        <w:tc>
          <w:tcPr>
            <w:tcW w:w="5989" w:type="dxa"/>
            <w:shd w:val="clear" w:color="auto" w:fill="auto"/>
          </w:tcPr>
          <w:p w14:paraId="23044A2C" w14:textId="77777777" w:rsidR="00395B24" w:rsidRPr="008B3A94" w:rsidRDefault="00905EBC" w:rsidP="008B3A94">
            <w:pPr>
              <w:pStyle w:val="Normal1linespace"/>
              <w:jc w:val="left"/>
            </w:pPr>
            <w:fldSimple w:instr=" REF  FileNo  \* MERGEFORMAT " w:fldLock="1">
              <w:r w:rsidR="008B3A94" w:rsidRPr="008B3A94">
                <w:t>NSD 1490 of 2019</w:t>
              </w:r>
            </w:fldSimple>
          </w:p>
        </w:tc>
      </w:tr>
      <w:tr w:rsidR="00395B24" w14:paraId="4E0B9F6C" w14:textId="77777777" w:rsidTr="008B3A94">
        <w:tc>
          <w:tcPr>
            <w:tcW w:w="3084" w:type="dxa"/>
            <w:shd w:val="clear" w:color="auto" w:fill="auto"/>
          </w:tcPr>
          <w:p w14:paraId="2F11A4B8" w14:textId="77777777" w:rsidR="00395B24" w:rsidRDefault="00395B24" w:rsidP="00663878">
            <w:pPr>
              <w:pStyle w:val="Normal1linespace"/>
              <w:widowControl w:val="0"/>
              <w:jc w:val="left"/>
            </w:pPr>
          </w:p>
        </w:tc>
        <w:tc>
          <w:tcPr>
            <w:tcW w:w="5989" w:type="dxa"/>
            <w:shd w:val="clear" w:color="auto" w:fill="auto"/>
          </w:tcPr>
          <w:p w14:paraId="52E8F4FE" w14:textId="77777777" w:rsidR="00395B24" w:rsidRDefault="00395B24" w:rsidP="00663878">
            <w:pPr>
              <w:pStyle w:val="Normal1linespace"/>
              <w:widowControl w:val="0"/>
              <w:jc w:val="left"/>
            </w:pPr>
          </w:p>
        </w:tc>
      </w:tr>
      <w:tr w:rsidR="00395B24" w14:paraId="5B310901" w14:textId="77777777" w:rsidTr="008B3A94">
        <w:tc>
          <w:tcPr>
            <w:tcW w:w="3084" w:type="dxa"/>
            <w:shd w:val="clear" w:color="auto" w:fill="auto"/>
          </w:tcPr>
          <w:p w14:paraId="2EEFC256"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3EFF1763" w14:textId="77777777" w:rsidR="00395B24" w:rsidRDefault="002C7385" w:rsidP="00663878">
            <w:pPr>
              <w:pStyle w:val="Normal1linespace"/>
              <w:widowControl w:val="0"/>
              <w:jc w:val="left"/>
              <w:rPr>
                <w:b/>
              </w:rPr>
            </w:pPr>
            <w:r w:rsidRPr="008B3A94">
              <w:rPr>
                <w:b/>
              </w:rPr>
              <w:fldChar w:fldCharType="begin" w:fldLock="1"/>
            </w:r>
            <w:r w:rsidRPr="008B3A94">
              <w:rPr>
                <w:b/>
              </w:rPr>
              <w:instrText xml:space="preserve"> REF  Judge  \* MERGEFORMAT </w:instrText>
            </w:r>
            <w:r w:rsidRPr="008B3A94">
              <w:rPr>
                <w:b/>
              </w:rPr>
              <w:fldChar w:fldCharType="separate"/>
            </w:r>
            <w:r w:rsidR="008B3A94" w:rsidRPr="008B3A94">
              <w:rPr>
                <w:b/>
                <w:caps/>
                <w:szCs w:val="24"/>
              </w:rPr>
              <w:t>JAGOT J</w:t>
            </w:r>
            <w:r w:rsidRPr="008B3A94">
              <w:rPr>
                <w:b/>
              </w:rPr>
              <w:fldChar w:fldCharType="end"/>
            </w:r>
          </w:p>
        </w:tc>
      </w:tr>
      <w:tr w:rsidR="00395B24" w14:paraId="2F35DCC3" w14:textId="77777777" w:rsidTr="008B3A94">
        <w:tc>
          <w:tcPr>
            <w:tcW w:w="3084" w:type="dxa"/>
            <w:shd w:val="clear" w:color="auto" w:fill="auto"/>
          </w:tcPr>
          <w:p w14:paraId="0333559E" w14:textId="77777777" w:rsidR="00395B24" w:rsidRDefault="00395B24" w:rsidP="00663878">
            <w:pPr>
              <w:pStyle w:val="Normal1linespace"/>
              <w:widowControl w:val="0"/>
              <w:jc w:val="left"/>
            </w:pPr>
          </w:p>
        </w:tc>
        <w:tc>
          <w:tcPr>
            <w:tcW w:w="5989" w:type="dxa"/>
            <w:shd w:val="clear" w:color="auto" w:fill="auto"/>
          </w:tcPr>
          <w:p w14:paraId="6368313D" w14:textId="77777777" w:rsidR="00395B24" w:rsidRDefault="00395B24" w:rsidP="00663878">
            <w:pPr>
              <w:pStyle w:val="Normal1linespace"/>
              <w:widowControl w:val="0"/>
              <w:jc w:val="left"/>
            </w:pPr>
          </w:p>
        </w:tc>
      </w:tr>
      <w:tr w:rsidR="00395B24" w14:paraId="65E96F16" w14:textId="77777777" w:rsidTr="008B3A94">
        <w:tc>
          <w:tcPr>
            <w:tcW w:w="3084" w:type="dxa"/>
            <w:shd w:val="clear" w:color="auto" w:fill="auto"/>
          </w:tcPr>
          <w:p w14:paraId="4062E906" w14:textId="77777777" w:rsidR="00395B24" w:rsidRDefault="002C7385" w:rsidP="00663878">
            <w:pPr>
              <w:pStyle w:val="Normal1linespace"/>
              <w:widowControl w:val="0"/>
              <w:jc w:val="left"/>
            </w:pPr>
            <w:r>
              <w:t>Date of judgment:</w:t>
            </w:r>
          </w:p>
        </w:tc>
        <w:tc>
          <w:tcPr>
            <w:tcW w:w="5989" w:type="dxa"/>
            <w:shd w:val="clear" w:color="auto" w:fill="auto"/>
          </w:tcPr>
          <w:p w14:paraId="2D927042" w14:textId="6FD627E5" w:rsidR="00395B24" w:rsidRDefault="003F25AB" w:rsidP="00663878">
            <w:pPr>
              <w:pStyle w:val="Normal1linespace"/>
              <w:widowControl w:val="0"/>
              <w:jc w:val="left"/>
            </w:pPr>
            <w:bookmarkStart w:id="1" w:name="JudgmentDate"/>
            <w:r>
              <w:t>20</w:t>
            </w:r>
            <w:r w:rsidR="008B3A94">
              <w:t xml:space="preserve"> May 2022</w:t>
            </w:r>
            <w:bookmarkEnd w:id="1"/>
          </w:p>
        </w:tc>
      </w:tr>
      <w:tr w:rsidR="000920FB" w14:paraId="38DBFC21" w14:textId="77777777" w:rsidTr="008B3A94">
        <w:tc>
          <w:tcPr>
            <w:tcW w:w="3084" w:type="dxa"/>
            <w:shd w:val="clear" w:color="auto" w:fill="auto"/>
          </w:tcPr>
          <w:p w14:paraId="47579A66" w14:textId="77777777" w:rsidR="000920FB" w:rsidRDefault="000920FB" w:rsidP="00663878">
            <w:pPr>
              <w:pStyle w:val="Normal1linespace"/>
              <w:widowControl w:val="0"/>
              <w:jc w:val="left"/>
            </w:pPr>
          </w:p>
        </w:tc>
        <w:tc>
          <w:tcPr>
            <w:tcW w:w="5989" w:type="dxa"/>
            <w:shd w:val="clear" w:color="auto" w:fill="auto"/>
          </w:tcPr>
          <w:p w14:paraId="06CB1B1E" w14:textId="77777777" w:rsidR="000920FB" w:rsidRDefault="000920FB" w:rsidP="00663878">
            <w:pPr>
              <w:pStyle w:val="Normal1linespace"/>
              <w:widowControl w:val="0"/>
              <w:jc w:val="left"/>
            </w:pPr>
          </w:p>
        </w:tc>
      </w:tr>
      <w:tr w:rsidR="000920FB" w14:paraId="0ECE5449" w14:textId="77777777" w:rsidTr="008B3A94">
        <w:tc>
          <w:tcPr>
            <w:tcW w:w="3084" w:type="dxa"/>
            <w:shd w:val="clear" w:color="auto" w:fill="auto"/>
          </w:tcPr>
          <w:p w14:paraId="6A645A99" w14:textId="77777777" w:rsidR="000920FB" w:rsidRDefault="000920FB" w:rsidP="00663878">
            <w:pPr>
              <w:pStyle w:val="Normal1linespace"/>
              <w:widowControl w:val="0"/>
              <w:jc w:val="left"/>
            </w:pPr>
            <w:r>
              <w:t xml:space="preserve">Date of publication of reasons: </w:t>
            </w:r>
          </w:p>
        </w:tc>
        <w:tc>
          <w:tcPr>
            <w:tcW w:w="5989" w:type="dxa"/>
            <w:shd w:val="clear" w:color="auto" w:fill="auto"/>
          </w:tcPr>
          <w:p w14:paraId="26F48CE7" w14:textId="118BA72B" w:rsidR="000920FB" w:rsidRDefault="00C6753B" w:rsidP="00663878">
            <w:pPr>
              <w:pStyle w:val="Normal1linespace"/>
              <w:widowControl w:val="0"/>
              <w:jc w:val="left"/>
            </w:pPr>
            <w:r>
              <w:t xml:space="preserve">25 </w:t>
            </w:r>
            <w:r w:rsidR="000920FB">
              <w:t xml:space="preserve">May 2022 </w:t>
            </w:r>
          </w:p>
        </w:tc>
      </w:tr>
      <w:tr w:rsidR="00395B24" w14:paraId="09A09FD0" w14:textId="77777777" w:rsidTr="008B3A94">
        <w:tc>
          <w:tcPr>
            <w:tcW w:w="3084" w:type="dxa"/>
            <w:shd w:val="clear" w:color="auto" w:fill="auto"/>
          </w:tcPr>
          <w:p w14:paraId="1C842A3F" w14:textId="77777777" w:rsidR="00395B24" w:rsidRDefault="00395B24" w:rsidP="00663878">
            <w:pPr>
              <w:pStyle w:val="Normal1linespace"/>
              <w:widowControl w:val="0"/>
              <w:jc w:val="left"/>
            </w:pPr>
          </w:p>
        </w:tc>
        <w:tc>
          <w:tcPr>
            <w:tcW w:w="5989" w:type="dxa"/>
            <w:shd w:val="clear" w:color="auto" w:fill="auto"/>
          </w:tcPr>
          <w:p w14:paraId="15556F6F" w14:textId="77777777" w:rsidR="00395B24" w:rsidRDefault="00395B24" w:rsidP="00663878">
            <w:pPr>
              <w:pStyle w:val="Normal1linespace"/>
              <w:widowControl w:val="0"/>
              <w:jc w:val="left"/>
            </w:pPr>
          </w:p>
        </w:tc>
      </w:tr>
      <w:tr w:rsidR="00395B24" w14:paraId="3B621759" w14:textId="77777777" w:rsidTr="008B3A94">
        <w:tc>
          <w:tcPr>
            <w:tcW w:w="3084" w:type="dxa"/>
            <w:shd w:val="clear" w:color="auto" w:fill="auto"/>
          </w:tcPr>
          <w:p w14:paraId="721FA1A9" w14:textId="77777777" w:rsidR="00395B24" w:rsidRDefault="002C7385" w:rsidP="00663878">
            <w:pPr>
              <w:pStyle w:val="Normal1linespace"/>
              <w:widowControl w:val="0"/>
              <w:jc w:val="left"/>
            </w:pPr>
            <w:r>
              <w:t>Catchwords:</w:t>
            </w:r>
          </w:p>
        </w:tc>
        <w:tc>
          <w:tcPr>
            <w:tcW w:w="5989" w:type="dxa"/>
            <w:shd w:val="clear" w:color="auto" w:fill="auto"/>
          </w:tcPr>
          <w:p w14:paraId="4289CBF4" w14:textId="19F92BA5" w:rsidR="00395B24" w:rsidRDefault="00903AAA" w:rsidP="001662AB">
            <w:pPr>
              <w:pStyle w:val="Normal1linespace"/>
              <w:widowControl w:val="0"/>
              <w:jc w:val="left"/>
            </w:pPr>
            <w:bookmarkStart w:id="2" w:name="Catchwords"/>
            <w:r>
              <w:rPr>
                <w:b/>
              </w:rPr>
              <w:t>PRACTICE AND PROCEDURE</w:t>
            </w:r>
            <w:r w:rsidR="000920FB">
              <w:rPr>
                <w:b/>
              </w:rPr>
              <w:t xml:space="preserve"> </w:t>
            </w:r>
            <w:r w:rsidR="000920FB">
              <w:t>—</w:t>
            </w:r>
            <w:r w:rsidR="00F14F04">
              <w:t xml:space="preserve"> application to vary freezing order </w:t>
            </w:r>
            <w:r w:rsidR="00495DC4">
              <w:t>to prevent use of Australian assets to pay legal expenses</w:t>
            </w:r>
            <w:r w:rsidR="00F14F04" w:rsidRPr="001662AB">
              <w:t xml:space="preserve"> </w:t>
            </w:r>
            <w:r w:rsidR="00F14F04">
              <w:t xml:space="preserve">— where </w:t>
            </w:r>
            <w:r w:rsidR="00704779">
              <w:t xml:space="preserve">substantial judgment debt </w:t>
            </w:r>
            <w:r w:rsidR="00A350C8">
              <w:t xml:space="preserve">for income tax </w:t>
            </w:r>
            <w:r w:rsidR="001662AB">
              <w:t xml:space="preserve">and penalties </w:t>
            </w:r>
            <w:r w:rsidR="00A350C8">
              <w:t>unpaid by respondent</w:t>
            </w:r>
            <w:r w:rsidR="00704779">
              <w:t xml:space="preserve"> — where enforcement of debt will be far easier against remaining Australian assets than overseas assets —</w:t>
            </w:r>
            <w:r w:rsidR="00A350C8">
              <w:t xml:space="preserve"> where substantial overseas assets sufficient to pay for ongoing legal proceedings —</w:t>
            </w:r>
            <w:r w:rsidR="00704779">
              <w:t xml:space="preserve"> variation of freezing order necessary to allow efficacious execution of order for judgment debt — application granted</w:t>
            </w:r>
            <w:r w:rsidR="002C7385">
              <w:t xml:space="preserve"> </w:t>
            </w:r>
            <w:bookmarkEnd w:id="2"/>
          </w:p>
        </w:tc>
      </w:tr>
      <w:tr w:rsidR="00395B24" w14:paraId="05BD51F0" w14:textId="77777777" w:rsidTr="008B3A94">
        <w:tc>
          <w:tcPr>
            <w:tcW w:w="3084" w:type="dxa"/>
            <w:shd w:val="clear" w:color="auto" w:fill="auto"/>
          </w:tcPr>
          <w:p w14:paraId="3D2684A7" w14:textId="77777777" w:rsidR="00395B24" w:rsidRDefault="00395B24" w:rsidP="00663878">
            <w:pPr>
              <w:pStyle w:val="Normal1linespace"/>
              <w:widowControl w:val="0"/>
              <w:jc w:val="left"/>
            </w:pPr>
          </w:p>
        </w:tc>
        <w:tc>
          <w:tcPr>
            <w:tcW w:w="5989" w:type="dxa"/>
            <w:shd w:val="clear" w:color="auto" w:fill="auto"/>
          </w:tcPr>
          <w:p w14:paraId="09BBD3E9" w14:textId="77777777" w:rsidR="00395B24" w:rsidRDefault="00395B24" w:rsidP="00663878">
            <w:pPr>
              <w:pStyle w:val="Normal1linespace"/>
              <w:widowControl w:val="0"/>
              <w:jc w:val="left"/>
            </w:pPr>
          </w:p>
        </w:tc>
      </w:tr>
      <w:tr w:rsidR="00395B24" w14:paraId="71665FE0" w14:textId="77777777" w:rsidTr="008B3A94">
        <w:tc>
          <w:tcPr>
            <w:tcW w:w="3084" w:type="dxa"/>
            <w:shd w:val="clear" w:color="auto" w:fill="auto"/>
          </w:tcPr>
          <w:p w14:paraId="4AFD11D2" w14:textId="77777777" w:rsidR="00395B24" w:rsidRDefault="002C7385" w:rsidP="00663878">
            <w:pPr>
              <w:pStyle w:val="Normal1linespace"/>
              <w:widowControl w:val="0"/>
              <w:jc w:val="left"/>
            </w:pPr>
            <w:r>
              <w:t>Legislation:</w:t>
            </w:r>
          </w:p>
        </w:tc>
        <w:tc>
          <w:tcPr>
            <w:tcW w:w="5989" w:type="dxa"/>
            <w:shd w:val="clear" w:color="auto" w:fill="auto"/>
          </w:tcPr>
          <w:p w14:paraId="69A17084" w14:textId="1E0EF649" w:rsidR="00395B24" w:rsidRPr="00903AAA" w:rsidRDefault="00903AAA" w:rsidP="00903AAA">
            <w:pPr>
              <w:pStyle w:val="CasesLegislationAppealFrom"/>
              <w:spacing w:after="60"/>
            </w:pPr>
            <w:bookmarkStart w:id="3" w:name="Legislation"/>
            <w:r w:rsidRPr="00903AAA">
              <w:rPr>
                <w:i/>
              </w:rPr>
              <w:t>Taxation Administration Act 1953</w:t>
            </w:r>
            <w:r w:rsidRPr="00903AAA">
              <w:t xml:space="preserve"> (Cth</w:t>
            </w:r>
            <w:bookmarkEnd w:id="3"/>
            <w:r>
              <w:t xml:space="preserve">), pt IVC </w:t>
            </w:r>
          </w:p>
        </w:tc>
      </w:tr>
      <w:tr w:rsidR="00395B24" w14:paraId="57751280" w14:textId="77777777" w:rsidTr="008B3A94">
        <w:tc>
          <w:tcPr>
            <w:tcW w:w="3084" w:type="dxa"/>
            <w:shd w:val="clear" w:color="auto" w:fill="auto"/>
          </w:tcPr>
          <w:p w14:paraId="7F79121A" w14:textId="77777777" w:rsidR="00395B24" w:rsidRDefault="00395B24" w:rsidP="00663878">
            <w:pPr>
              <w:pStyle w:val="Normal1linespace"/>
              <w:widowControl w:val="0"/>
              <w:jc w:val="left"/>
            </w:pPr>
          </w:p>
        </w:tc>
        <w:tc>
          <w:tcPr>
            <w:tcW w:w="5989" w:type="dxa"/>
            <w:shd w:val="clear" w:color="auto" w:fill="auto"/>
          </w:tcPr>
          <w:p w14:paraId="62B867DA" w14:textId="77777777" w:rsidR="00395B24" w:rsidRDefault="00395B24" w:rsidP="00663878">
            <w:pPr>
              <w:pStyle w:val="Normal1linespace"/>
              <w:widowControl w:val="0"/>
              <w:jc w:val="left"/>
            </w:pPr>
          </w:p>
        </w:tc>
      </w:tr>
      <w:tr w:rsidR="00395B24" w14:paraId="1788110D" w14:textId="77777777" w:rsidTr="008B3A94">
        <w:tc>
          <w:tcPr>
            <w:tcW w:w="3084" w:type="dxa"/>
            <w:shd w:val="clear" w:color="auto" w:fill="auto"/>
          </w:tcPr>
          <w:p w14:paraId="41539F74" w14:textId="77777777" w:rsidR="00395B24" w:rsidRDefault="002C7385" w:rsidP="00663878">
            <w:pPr>
              <w:pStyle w:val="Normal1linespace"/>
              <w:widowControl w:val="0"/>
              <w:jc w:val="left"/>
            </w:pPr>
            <w:r>
              <w:t>Cases cited:</w:t>
            </w:r>
          </w:p>
        </w:tc>
        <w:tc>
          <w:tcPr>
            <w:tcW w:w="5989" w:type="dxa"/>
            <w:shd w:val="clear" w:color="auto" w:fill="auto"/>
          </w:tcPr>
          <w:p w14:paraId="62CDCE10" w14:textId="77777777" w:rsidR="00903AAA" w:rsidRPr="00903AAA" w:rsidRDefault="00903AAA" w:rsidP="00903AAA">
            <w:pPr>
              <w:pStyle w:val="CasesLegislationAppealFrom"/>
              <w:spacing w:after="60"/>
            </w:pPr>
            <w:bookmarkStart w:id="4" w:name="Cases_Cited"/>
            <w:r w:rsidRPr="00903AAA">
              <w:rPr>
                <w:i/>
              </w:rPr>
              <w:t>Break Fast Investments Pty Ltd v Gravity Ventures Pty Ltd</w:t>
            </w:r>
            <w:r w:rsidRPr="00903AAA">
              <w:t xml:space="preserve"> [2013] VSC 89</w:t>
            </w:r>
          </w:p>
          <w:p w14:paraId="0C673473" w14:textId="77777777" w:rsidR="00903AAA" w:rsidRPr="00903AAA" w:rsidRDefault="00903AAA" w:rsidP="00903AAA">
            <w:pPr>
              <w:pStyle w:val="CasesLegislationAppealFrom"/>
              <w:spacing w:after="60"/>
            </w:pPr>
            <w:r w:rsidRPr="00903AAA">
              <w:rPr>
                <w:i/>
              </w:rPr>
              <w:t>Brimaud v Honeysett Instant Print Pty Ltd</w:t>
            </w:r>
            <w:r w:rsidRPr="00903AAA">
              <w:t xml:space="preserve"> (1988) 217 ALR 44</w:t>
            </w:r>
          </w:p>
          <w:p w14:paraId="6E53E42F" w14:textId="77777777" w:rsidR="00903AAA" w:rsidRPr="00903AAA" w:rsidRDefault="00903AAA" w:rsidP="00903AAA">
            <w:pPr>
              <w:pStyle w:val="CasesLegislationAppealFrom"/>
              <w:spacing w:after="60"/>
            </w:pPr>
            <w:r w:rsidRPr="00903AAA">
              <w:rPr>
                <w:i/>
              </w:rPr>
              <w:t>Deputy Commissioner of Taxation v Bollands</w:t>
            </w:r>
            <w:r w:rsidRPr="00903AAA">
              <w:t xml:space="preserve"> [2012] FCA 1050; (2012) 90 ATR 679</w:t>
            </w:r>
          </w:p>
          <w:p w14:paraId="2365D90F" w14:textId="77777777" w:rsidR="00903AAA" w:rsidRPr="00903AAA" w:rsidRDefault="00903AAA" w:rsidP="00903AAA">
            <w:pPr>
              <w:pStyle w:val="CasesLegislationAppealFrom"/>
              <w:spacing w:after="60"/>
            </w:pPr>
            <w:r w:rsidRPr="00903AAA">
              <w:rPr>
                <w:i/>
              </w:rPr>
              <w:t>Deputy Commissioner of Taxation v Huang</w:t>
            </w:r>
            <w:r w:rsidRPr="00903AAA">
              <w:t xml:space="preserve"> [2019] FCA 1537</w:t>
            </w:r>
          </w:p>
          <w:p w14:paraId="1544E334" w14:textId="77777777" w:rsidR="00903AAA" w:rsidRPr="00903AAA" w:rsidRDefault="00903AAA" w:rsidP="00903AAA">
            <w:pPr>
              <w:pStyle w:val="CasesLegislationAppealFrom"/>
              <w:spacing w:after="60"/>
            </w:pPr>
            <w:r w:rsidRPr="00903AAA">
              <w:rPr>
                <w:i/>
              </w:rPr>
              <w:t>Deputy Commissioner of Taxation v Huang</w:t>
            </w:r>
            <w:r w:rsidRPr="00903AAA">
              <w:t xml:space="preserve"> [2019] FCA 1728</w:t>
            </w:r>
          </w:p>
          <w:p w14:paraId="0ECCF1B3" w14:textId="77777777" w:rsidR="00903AAA" w:rsidRPr="00903AAA" w:rsidRDefault="00903AAA" w:rsidP="00903AAA">
            <w:pPr>
              <w:pStyle w:val="CasesLegislationAppealFrom"/>
              <w:spacing w:after="60"/>
            </w:pPr>
            <w:r w:rsidRPr="00903AAA">
              <w:rPr>
                <w:i/>
              </w:rPr>
              <w:t>Deputy Commissioner of Taxation v Huang</w:t>
            </w:r>
            <w:r w:rsidRPr="00903AAA">
              <w:t xml:space="preserve"> [2019] FCA 2122</w:t>
            </w:r>
          </w:p>
          <w:p w14:paraId="67610F28" w14:textId="248F7F73" w:rsidR="00903AAA" w:rsidRPr="00903AAA" w:rsidRDefault="00903AAA" w:rsidP="00903AAA">
            <w:pPr>
              <w:pStyle w:val="CasesLegislationAppealFrom"/>
              <w:spacing w:after="60"/>
            </w:pPr>
            <w:r w:rsidRPr="00903AAA">
              <w:rPr>
                <w:i/>
              </w:rPr>
              <w:t>Deputy Commissioner of Taxation v Huang</w:t>
            </w:r>
            <w:r w:rsidRPr="00903AAA">
              <w:t xml:space="preserve"> [2021] HCA 43; (2021) 96 ALJR 43</w:t>
            </w:r>
            <w:r w:rsidR="00A350C8">
              <w:br/>
            </w:r>
            <w:r w:rsidR="00A350C8" w:rsidRPr="00903AAA">
              <w:rPr>
                <w:i/>
              </w:rPr>
              <w:t xml:space="preserve">Deputy Commissioner of Taxation v </w:t>
            </w:r>
            <w:r w:rsidR="00A350C8" w:rsidRPr="00E50735">
              <w:rPr>
                <w:i/>
              </w:rPr>
              <w:t>Shi</w:t>
            </w:r>
            <w:r w:rsidR="00A350C8" w:rsidRPr="00903AAA">
              <w:t xml:space="preserve"> [2021] HCA 22; (2021) 95 ALJR 634</w:t>
            </w:r>
          </w:p>
          <w:p w14:paraId="42BE1C80" w14:textId="77777777" w:rsidR="00903AAA" w:rsidRPr="00903AAA" w:rsidRDefault="00903AAA" w:rsidP="00903AAA">
            <w:pPr>
              <w:pStyle w:val="CasesLegislationAppealFrom"/>
              <w:spacing w:after="60"/>
            </w:pPr>
            <w:r w:rsidRPr="00903AAA">
              <w:rPr>
                <w:i/>
              </w:rPr>
              <w:t>Goumas v McIntosh</w:t>
            </w:r>
            <w:r w:rsidRPr="00903AAA">
              <w:t xml:space="preserve"> [2002] NSWSC 713</w:t>
            </w:r>
          </w:p>
          <w:p w14:paraId="1258395D" w14:textId="77777777" w:rsidR="00903AAA" w:rsidRPr="00903AAA" w:rsidRDefault="00903AAA" w:rsidP="00903AAA">
            <w:pPr>
              <w:pStyle w:val="CasesLegislationAppealFrom"/>
              <w:spacing w:after="60"/>
            </w:pPr>
            <w:r w:rsidRPr="00903AAA">
              <w:rPr>
                <w:i/>
              </w:rPr>
              <w:t>Huang v Deputy Commissioner of Taxation</w:t>
            </w:r>
            <w:r w:rsidRPr="00903AAA">
              <w:t xml:space="preserve"> [2020] FCAFC 141; (2020) 280 FCR 260</w:t>
            </w:r>
          </w:p>
          <w:p w14:paraId="5D9D569C" w14:textId="77777777" w:rsidR="00903AAA" w:rsidRPr="00903AAA" w:rsidRDefault="00903AAA" w:rsidP="00903AAA">
            <w:pPr>
              <w:pStyle w:val="CasesLegislationAppealFrom"/>
              <w:spacing w:after="60"/>
            </w:pPr>
            <w:r w:rsidRPr="00903AAA">
              <w:rPr>
                <w:i/>
              </w:rPr>
              <w:t xml:space="preserve">Iraqi Ministry of Defence v Arcepey Shipping Co SA (No 2) </w:t>
            </w:r>
            <w:r w:rsidRPr="00903AAA">
              <w:rPr>
                <w:i/>
              </w:rPr>
              <w:lastRenderedPageBreak/>
              <w:t>(The Angel Bell)</w:t>
            </w:r>
            <w:r w:rsidRPr="00903AAA">
              <w:t xml:space="preserve"> [1981] QB 65</w:t>
            </w:r>
          </w:p>
          <w:p w14:paraId="781096DB" w14:textId="77777777" w:rsidR="00903AAA" w:rsidRPr="00903AAA" w:rsidRDefault="00903AAA" w:rsidP="00903AAA">
            <w:pPr>
              <w:pStyle w:val="CasesLegislationAppealFrom"/>
              <w:spacing w:after="60"/>
            </w:pPr>
            <w:r w:rsidRPr="00903AAA">
              <w:rPr>
                <w:i/>
              </w:rPr>
              <w:t>Linke v TT Builders Pty Ltd (No 2)</w:t>
            </w:r>
            <w:r w:rsidRPr="00903AAA">
              <w:t xml:space="preserve"> [2015] FCA 704</w:t>
            </w:r>
          </w:p>
          <w:p w14:paraId="2F7836E3" w14:textId="47EE8B66" w:rsidR="00903AAA" w:rsidRPr="00903AAA" w:rsidRDefault="00903AAA" w:rsidP="00903AAA">
            <w:pPr>
              <w:pStyle w:val="CasesLegislationAppealFrom"/>
              <w:spacing w:after="60"/>
            </w:pPr>
            <w:r w:rsidRPr="00903AAA">
              <w:rPr>
                <w:i/>
              </w:rPr>
              <w:t>Masri v Consolidated Contractors International (UK) Ltd</w:t>
            </w:r>
            <w:r w:rsidRPr="00903AAA">
              <w:t xml:space="preserve"> [2008] EWHC 2492 (Comm</w:t>
            </w:r>
            <w:r w:rsidR="008D4245">
              <w:t>)</w:t>
            </w:r>
          </w:p>
          <w:p w14:paraId="31DE6886" w14:textId="77777777" w:rsidR="00903AAA" w:rsidRPr="00903AAA" w:rsidRDefault="00903AAA" w:rsidP="00903AAA">
            <w:pPr>
              <w:pStyle w:val="CasesLegislationAppealFrom"/>
              <w:spacing w:after="60"/>
            </w:pPr>
            <w:r w:rsidRPr="00903AAA">
              <w:rPr>
                <w:i/>
              </w:rPr>
              <w:t>Michael Wilson &amp; “Partners” Ltd v Emmott</w:t>
            </w:r>
            <w:r w:rsidRPr="00903AAA">
              <w:t xml:space="preserve"> [2019] EWCA 219 (Civ); [2019] 4 WLR 53</w:t>
            </w:r>
          </w:p>
          <w:p w14:paraId="4018EEA5" w14:textId="3C5CB026" w:rsidR="00903AAA" w:rsidRPr="00903AAA" w:rsidRDefault="00903AAA" w:rsidP="00903AAA">
            <w:pPr>
              <w:pStyle w:val="CasesLegislationAppealFrom"/>
              <w:spacing w:after="60"/>
            </w:pPr>
            <w:r w:rsidRPr="00903AAA">
              <w:rPr>
                <w:i/>
              </w:rPr>
              <w:t>National Australia Bank Limited v Human Group Pty Ltd (No 2)</w:t>
            </w:r>
            <w:r w:rsidRPr="00903AAA">
              <w:t xml:space="preserve"> [2020] NSWSC 1900</w:t>
            </w:r>
            <w:bookmarkEnd w:id="4"/>
          </w:p>
        </w:tc>
      </w:tr>
      <w:tr w:rsidR="008B3A94" w14:paraId="433C102D" w14:textId="77777777" w:rsidTr="008C22EA">
        <w:tc>
          <w:tcPr>
            <w:tcW w:w="3084" w:type="dxa"/>
            <w:shd w:val="clear" w:color="auto" w:fill="auto"/>
          </w:tcPr>
          <w:p w14:paraId="5A02E2C8" w14:textId="77777777" w:rsidR="008B3A94" w:rsidRDefault="008B3A94" w:rsidP="00286CAA">
            <w:pPr>
              <w:pStyle w:val="Normal1linespace"/>
              <w:widowControl w:val="0"/>
            </w:pPr>
          </w:p>
        </w:tc>
        <w:tc>
          <w:tcPr>
            <w:tcW w:w="5989" w:type="dxa"/>
            <w:shd w:val="clear" w:color="auto" w:fill="auto"/>
          </w:tcPr>
          <w:p w14:paraId="3BC3024D" w14:textId="77777777" w:rsidR="008B3A94" w:rsidRDefault="008B3A94" w:rsidP="00286CAA">
            <w:pPr>
              <w:pStyle w:val="Normal1linespace"/>
              <w:widowControl w:val="0"/>
              <w:jc w:val="left"/>
            </w:pPr>
          </w:p>
        </w:tc>
      </w:tr>
      <w:tr w:rsidR="008B3A94" w14:paraId="17D34BD6" w14:textId="77777777" w:rsidTr="008C22EA">
        <w:tc>
          <w:tcPr>
            <w:tcW w:w="3084" w:type="dxa"/>
            <w:shd w:val="clear" w:color="auto" w:fill="auto"/>
          </w:tcPr>
          <w:p w14:paraId="72455DC5" w14:textId="77777777" w:rsidR="008B3A94" w:rsidRDefault="008B3A94" w:rsidP="00501A12">
            <w:pPr>
              <w:pStyle w:val="Normal1linespace"/>
              <w:widowControl w:val="0"/>
            </w:pPr>
            <w:r>
              <w:t>Division:</w:t>
            </w:r>
          </w:p>
        </w:tc>
        <w:tc>
          <w:tcPr>
            <w:tcW w:w="5989" w:type="dxa"/>
            <w:shd w:val="clear" w:color="auto" w:fill="auto"/>
          </w:tcPr>
          <w:p w14:paraId="6A2B3D15" w14:textId="77777777" w:rsidR="008B3A94" w:rsidRPr="00F17599" w:rsidRDefault="00905EBC" w:rsidP="00501A12">
            <w:pPr>
              <w:pStyle w:val="Normal1linespace"/>
              <w:widowControl w:val="0"/>
              <w:jc w:val="left"/>
            </w:pPr>
            <w:fldSimple w:instr=" DOCPROPERTY  Division ">
              <w:r w:rsidR="008B3A94">
                <w:t>General Division</w:t>
              </w:r>
            </w:fldSimple>
          </w:p>
        </w:tc>
      </w:tr>
      <w:tr w:rsidR="008B3A94" w14:paraId="5486A5A6" w14:textId="77777777" w:rsidTr="008C22EA">
        <w:tc>
          <w:tcPr>
            <w:tcW w:w="3084" w:type="dxa"/>
            <w:shd w:val="clear" w:color="auto" w:fill="auto"/>
          </w:tcPr>
          <w:p w14:paraId="2011183A" w14:textId="77777777" w:rsidR="008B3A94" w:rsidRDefault="008B3A94" w:rsidP="00501A12">
            <w:pPr>
              <w:pStyle w:val="Normal1linespace"/>
              <w:widowControl w:val="0"/>
            </w:pPr>
            <w:bookmarkStart w:id="5" w:name="Registry_rows" w:colFirst="0" w:colLast="1"/>
          </w:p>
        </w:tc>
        <w:tc>
          <w:tcPr>
            <w:tcW w:w="5989" w:type="dxa"/>
            <w:shd w:val="clear" w:color="auto" w:fill="auto"/>
          </w:tcPr>
          <w:p w14:paraId="4ADB277C" w14:textId="77777777" w:rsidR="008B3A94" w:rsidRDefault="008B3A94" w:rsidP="00501A12">
            <w:pPr>
              <w:pStyle w:val="Normal1linespace"/>
              <w:widowControl w:val="0"/>
              <w:jc w:val="left"/>
            </w:pPr>
          </w:p>
        </w:tc>
      </w:tr>
      <w:tr w:rsidR="008B3A94" w14:paraId="24EDC4DF" w14:textId="77777777" w:rsidTr="008C22EA">
        <w:tc>
          <w:tcPr>
            <w:tcW w:w="3084" w:type="dxa"/>
            <w:shd w:val="clear" w:color="auto" w:fill="auto"/>
          </w:tcPr>
          <w:p w14:paraId="4C8DB6D5" w14:textId="77777777" w:rsidR="008B3A94" w:rsidRDefault="008B3A94" w:rsidP="00501A12">
            <w:pPr>
              <w:pStyle w:val="Normal1linespace"/>
              <w:widowControl w:val="0"/>
            </w:pPr>
            <w:r>
              <w:t>Registry:</w:t>
            </w:r>
          </w:p>
        </w:tc>
        <w:tc>
          <w:tcPr>
            <w:tcW w:w="5989" w:type="dxa"/>
            <w:shd w:val="clear" w:color="auto" w:fill="auto"/>
          </w:tcPr>
          <w:p w14:paraId="73ABE7F0" w14:textId="77777777" w:rsidR="008B3A94" w:rsidRPr="00F17599" w:rsidRDefault="00905EBC" w:rsidP="00501A12">
            <w:pPr>
              <w:pStyle w:val="Normal1linespace"/>
              <w:widowControl w:val="0"/>
              <w:jc w:val="left"/>
            </w:pPr>
            <w:fldSimple w:instr=" DOCPROPERTY  Registry ">
              <w:r w:rsidR="008B3A94">
                <w:t>New South Wales</w:t>
              </w:r>
            </w:fldSimple>
          </w:p>
        </w:tc>
      </w:tr>
      <w:tr w:rsidR="008B3A94" w14:paraId="0AEFC18F" w14:textId="77777777" w:rsidTr="008C22EA">
        <w:tc>
          <w:tcPr>
            <w:tcW w:w="3084" w:type="dxa"/>
            <w:shd w:val="clear" w:color="auto" w:fill="auto"/>
          </w:tcPr>
          <w:p w14:paraId="50A65B07" w14:textId="77777777" w:rsidR="008B3A94" w:rsidRDefault="008B3A94" w:rsidP="00501A12">
            <w:pPr>
              <w:pStyle w:val="Normal1linespace"/>
              <w:widowControl w:val="0"/>
            </w:pPr>
            <w:bookmarkStart w:id="6" w:name="NPARow" w:colFirst="0" w:colLast="1"/>
            <w:bookmarkEnd w:id="5"/>
          </w:p>
        </w:tc>
        <w:tc>
          <w:tcPr>
            <w:tcW w:w="5989" w:type="dxa"/>
            <w:shd w:val="clear" w:color="auto" w:fill="auto"/>
          </w:tcPr>
          <w:p w14:paraId="18FF0857" w14:textId="77777777" w:rsidR="008B3A94" w:rsidRPr="00F17599" w:rsidRDefault="008B3A94" w:rsidP="00501A12">
            <w:pPr>
              <w:pStyle w:val="Normal1linespace"/>
              <w:widowControl w:val="0"/>
              <w:jc w:val="left"/>
              <w:rPr>
                <w:b/>
              </w:rPr>
            </w:pPr>
          </w:p>
        </w:tc>
      </w:tr>
      <w:tr w:rsidR="008B3A94" w14:paraId="3769EA10" w14:textId="77777777" w:rsidTr="008C22EA">
        <w:tc>
          <w:tcPr>
            <w:tcW w:w="3084" w:type="dxa"/>
            <w:shd w:val="clear" w:color="auto" w:fill="auto"/>
          </w:tcPr>
          <w:p w14:paraId="2AE13729" w14:textId="77777777" w:rsidR="008B3A94" w:rsidRDefault="008B3A94" w:rsidP="00501A12">
            <w:pPr>
              <w:pStyle w:val="Normal1linespace"/>
              <w:widowControl w:val="0"/>
            </w:pPr>
            <w:r>
              <w:t>National Practice Area:</w:t>
            </w:r>
          </w:p>
        </w:tc>
        <w:tc>
          <w:tcPr>
            <w:tcW w:w="5989" w:type="dxa"/>
            <w:shd w:val="clear" w:color="auto" w:fill="auto"/>
          </w:tcPr>
          <w:p w14:paraId="1D0DD9D1" w14:textId="77777777" w:rsidR="008B3A94" w:rsidRPr="00F17599" w:rsidRDefault="00905EBC" w:rsidP="00286CAA">
            <w:pPr>
              <w:pStyle w:val="Normal1linespace"/>
              <w:widowControl w:val="0"/>
              <w:jc w:val="left"/>
              <w:rPr>
                <w:b/>
              </w:rPr>
            </w:pPr>
            <w:fldSimple w:instr=" DOCPROPERTY  &quot;Practice Area&quot;  \* MERGEFORMAT ">
              <w:r w:rsidR="008B3A94">
                <w:t>Taxation</w:t>
              </w:r>
            </w:fldSimple>
          </w:p>
        </w:tc>
      </w:tr>
      <w:tr w:rsidR="008B3A94" w14:paraId="26117224" w14:textId="77777777" w:rsidTr="008C22EA">
        <w:tc>
          <w:tcPr>
            <w:tcW w:w="3084" w:type="dxa"/>
            <w:shd w:val="clear" w:color="auto" w:fill="auto"/>
          </w:tcPr>
          <w:p w14:paraId="7545380F" w14:textId="77777777" w:rsidR="008B3A94" w:rsidRDefault="008B3A94" w:rsidP="00501A12">
            <w:pPr>
              <w:pStyle w:val="Normal1linespace"/>
              <w:widowControl w:val="0"/>
            </w:pPr>
            <w:bookmarkStart w:id="7" w:name="SubAreaRow" w:colFirst="0" w:colLast="1"/>
            <w:bookmarkEnd w:id="6"/>
          </w:p>
        </w:tc>
        <w:tc>
          <w:tcPr>
            <w:tcW w:w="5989" w:type="dxa"/>
            <w:shd w:val="clear" w:color="auto" w:fill="auto"/>
          </w:tcPr>
          <w:p w14:paraId="7B8485E4" w14:textId="77777777" w:rsidR="008B3A94" w:rsidRDefault="008B3A94" w:rsidP="00286CAA">
            <w:pPr>
              <w:pStyle w:val="Normal1linespace"/>
              <w:widowControl w:val="0"/>
              <w:jc w:val="left"/>
            </w:pPr>
          </w:p>
        </w:tc>
      </w:tr>
      <w:bookmarkEnd w:id="7"/>
      <w:tr w:rsidR="000920FB" w14:paraId="12EFF6E3" w14:textId="77777777" w:rsidTr="008B3A94">
        <w:tc>
          <w:tcPr>
            <w:tcW w:w="3084" w:type="dxa"/>
            <w:shd w:val="clear" w:color="auto" w:fill="auto"/>
          </w:tcPr>
          <w:p w14:paraId="0654A1BA" w14:textId="77777777" w:rsidR="000920FB" w:rsidRDefault="000920FB" w:rsidP="00501A12">
            <w:pPr>
              <w:pStyle w:val="Normal1linespace"/>
              <w:widowControl w:val="0"/>
            </w:pPr>
            <w:r>
              <w:t>Number of paragraphs:</w:t>
            </w:r>
          </w:p>
        </w:tc>
        <w:tc>
          <w:tcPr>
            <w:tcW w:w="5989" w:type="dxa"/>
            <w:shd w:val="clear" w:color="auto" w:fill="auto"/>
          </w:tcPr>
          <w:p w14:paraId="77CD1D75" w14:textId="5C80E81E" w:rsidR="000920FB" w:rsidRDefault="008C22EA" w:rsidP="00501A12">
            <w:pPr>
              <w:pStyle w:val="Normal1linespace"/>
              <w:widowControl w:val="0"/>
              <w:jc w:val="left"/>
            </w:pPr>
            <w:bookmarkStart w:id="8" w:name="PlaceCategoryParagraphs"/>
            <w:r>
              <w:t>41</w:t>
            </w:r>
            <w:bookmarkEnd w:id="8"/>
          </w:p>
        </w:tc>
      </w:tr>
      <w:tr w:rsidR="000920FB" w14:paraId="28703D70" w14:textId="77777777" w:rsidTr="008B3A94">
        <w:tc>
          <w:tcPr>
            <w:tcW w:w="3084" w:type="dxa"/>
            <w:shd w:val="clear" w:color="auto" w:fill="auto"/>
          </w:tcPr>
          <w:p w14:paraId="1ADF0CCD" w14:textId="77777777" w:rsidR="000920FB" w:rsidRDefault="000920FB" w:rsidP="000920FB">
            <w:pPr>
              <w:pStyle w:val="Normal1linespace"/>
              <w:widowControl w:val="0"/>
              <w:jc w:val="left"/>
            </w:pPr>
          </w:p>
        </w:tc>
        <w:tc>
          <w:tcPr>
            <w:tcW w:w="5989" w:type="dxa"/>
            <w:shd w:val="clear" w:color="auto" w:fill="auto"/>
          </w:tcPr>
          <w:p w14:paraId="79FADFFF" w14:textId="77777777" w:rsidR="000920FB" w:rsidRDefault="000920FB" w:rsidP="000920FB">
            <w:pPr>
              <w:pStyle w:val="Normal1linespace"/>
              <w:widowControl w:val="0"/>
              <w:jc w:val="left"/>
            </w:pPr>
          </w:p>
        </w:tc>
      </w:tr>
      <w:tr w:rsidR="000920FB" w14:paraId="1A58C893" w14:textId="77777777" w:rsidTr="008B3A94">
        <w:tc>
          <w:tcPr>
            <w:tcW w:w="3084" w:type="dxa"/>
            <w:shd w:val="clear" w:color="auto" w:fill="auto"/>
          </w:tcPr>
          <w:p w14:paraId="74F1B8A4" w14:textId="77777777" w:rsidR="000920FB" w:rsidRDefault="000920FB" w:rsidP="000920FB">
            <w:pPr>
              <w:pStyle w:val="Normal1linespace"/>
              <w:widowControl w:val="0"/>
              <w:jc w:val="left"/>
            </w:pPr>
            <w:bookmarkStart w:id="9" w:name="CounselDate" w:colFirst="0" w:colLast="2"/>
            <w:r w:rsidRPr="006A24E3">
              <w:t>Date of hearing:</w:t>
            </w:r>
          </w:p>
        </w:tc>
        <w:tc>
          <w:tcPr>
            <w:tcW w:w="5989" w:type="dxa"/>
            <w:shd w:val="clear" w:color="auto" w:fill="auto"/>
          </w:tcPr>
          <w:p w14:paraId="78456C4D" w14:textId="77777777" w:rsidR="000920FB" w:rsidRDefault="008B3A94" w:rsidP="000920FB">
            <w:pPr>
              <w:pStyle w:val="Normal1linespace"/>
              <w:widowControl w:val="0"/>
              <w:jc w:val="left"/>
            </w:pPr>
            <w:bookmarkStart w:id="10" w:name="HearingDate"/>
            <w:r>
              <w:t>20 May 2022</w:t>
            </w:r>
            <w:r w:rsidR="000920FB">
              <w:t xml:space="preserve"> </w:t>
            </w:r>
            <w:bookmarkEnd w:id="10"/>
          </w:p>
        </w:tc>
      </w:tr>
      <w:tr w:rsidR="000920FB" w14:paraId="7FA3B2DB" w14:textId="77777777" w:rsidTr="008B3A94">
        <w:tc>
          <w:tcPr>
            <w:tcW w:w="3084" w:type="dxa"/>
            <w:shd w:val="clear" w:color="auto" w:fill="auto"/>
          </w:tcPr>
          <w:p w14:paraId="5B1379F4" w14:textId="77777777" w:rsidR="000920FB" w:rsidRDefault="000920FB" w:rsidP="000920FB">
            <w:pPr>
              <w:pStyle w:val="Normal1linespace"/>
              <w:widowControl w:val="0"/>
              <w:jc w:val="left"/>
            </w:pPr>
          </w:p>
        </w:tc>
        <w:tc>
          <w:tcPr>
            <w:tcW w:w="5989" w:type="dxa"/>
            <w:shd w:val="clear" w:color="auto" w:fill="auto"/>
          </w:tcPr>
          <w:p w14:paraId="153A7B95" w14:textId="77777777" w:rsidR="000920FB" w:rsidRDefault="000920FB" w:rsidP="000920FB">
            <w:pPr>
              <w:pStyle w:val="Normal1linespace"/>
              <w:widowControl w:val="0"/>
              <w:jc w:val="left"/>
            </w:pPr>
          </w:p>
        </w:tc>
      </w:tr>
      <w:tr w:rsidR="005337CF" w14:paraId="5BE23A7D" w14:textId="77777777" w:rsidTr="008B3A94">
        <w:tc>
          <w:tcPr>
            <w:tcW w:w="3084" w:type="dxa"/>
            <w:shd w:val="clear" w:color="auto" w:fill="auto"/>
          </w:tcPr>
          <w:p w14:paraId="46117072" w14:textId="77777777" w:rsidR="005337CF" w:rsidRDefault="005337CF" w:rsidP="005337CF">
            <w:pPr>
              <w:pStyle w:val="Normal1linespace"/>
              <w:widowControl w:val="0"/>
              <w:jc w:val="left"/>
            </w:pPr>
            <w:bookmarkStart w:id="11" w:name="Counsel" w:colFirst="0" w:colLast="2"/>
            <w:bookmarkEnd w:id="9"/>
            <w:r>
              <w:t>Counsel for the Applicant:</w:t>
            </w:r>
          </w:p>
        </w:tc>
        <w:tc>
          <w:tcPr>
            <w:tcW w:w="5989" w:type="dxa"/>
            <w:shd w:val="clear" w:color="auto" w:fill="auto"/>
          </w:tcPr>
          <w:p w14:paraId="2613AD0B" w14:textId="6553B53B" w:rsidR="005337CF" w:rsidRDefault="00C623D2" w:rsidP="005337CF">
            <w:pPr>
              <w:pStyle w:val="Normal1linespace"/>
              <w:widowControl w:val="0"/>
              <w:jc w:val="left"/>
            </w:pPr>
            <w:bookmarkStart w:id="12" w:name="AppCounsel"/>
            <w:bookmarkEnd w:id="12"/>
            <w:r>
              <w:t>Mr L Livingston</w:t>
            </w:r>
            <w:r w:rsidR="005337CF">
              <w:t xml:space="preserve"> SC and Ms T Epstein </w:t>
            </w:r>
          </w:p>
        </w:tc>
      </w:tr>
      <w:tr w:rsidR="008B3A94" w14:paraId="7FA745A8" w14:textId="77777777" w:rsidTr="008B3A94">
        <w:tc>
          <w:tcPr>
            <w:tcW w:w="3084" w:type="dxa"/>
            <w:shd w:val="clear" w:color="auto" w:fill="auto"/>
          </w:tcPr>
          <w:p w14:paraId="10EAAFCB" w14:textId="77777777" w:rsidR="008B3A94" w:rsidRDefault="008B3A94" w:rsidP="005337CF">
            <w:pPr>
              <w:pStyle w:val="Normal1linespace"/>
              <w:widowControl w:val="0"/>
              <w:jc w:val="left"/>
            </w:pPr>
          </w:p>
        </w:tc>
        <w:tc>
          <w:tcPr>
            <w:tcW w:w="5989" w:type="dxa"/>
            <w:shd w:val="clear" w:color="auto" w:fill="auto"/>
          </w:tcPr>
          <w:p w14:paraId="1666C52E" w14:textId="77777777" w:rsidR="008B3A94" w:rsidRDefault="008B3A94" w:rsidP="005337CF">
            <w:pPr>
              <w:pStyle w:val="Normal1linespace"/>
              <w:widowControl w:val="0"/>
              <w:jc w:val="left"/>
            </w:pPr>
          </w:p>
        </w:tc>
      </w:tr>
      <w:tr w:rsidR="008B3A94" w14:paraId="047B5656" w14:textId="77777777" w:rsidTr="008B3A94">
        <w:tc>
          <w:tcPr>
            <w:tcW w:w="3084" w:type="dxa"/>
            <w:shd w:val="clear" w:color="auto" w:fill="auto"/>
          </w:tcPr>
          <w:p w14:paraId="4F2836F7" w14:textId="77777777" w:rsidR="008B3A94" w:rsidRDefault="008B3A94" w:rsidP="005337CF">
            <w:pPr>
              <w:pStyle w:val="Normal1linespace"/>
              <w:widowControl w:val="0"/>
              <w:jc w:val="left"/>
            </w:pPr>
            <w:r>
              <w:t xml:space="preserve">Solicitor for the Applicant: </w:t>
            </w:r>
          </w:p>
        </w:tc>
        <w:tc>
          <w:tcPr>
            <w:tcW w:w="5989" w:type="dxa"/>
            <w:shd w:val="clear" w:color="auto" w:fill="auto"/>
          </w:tcPr>
          <w:p w14:paraId="54D1822A" w14:textId="77777777" w:rsidR="008B3A94" w:rsidRDefault="008B3A94" w:rsidP="005337CF">
            <w:pPr>
              <w:pStyle w:val="Normal1linespace"/>
              <w:widowControl w:val="0"/>
              <w:jc w:val="left"/>
            </w:pPr>
            <w:r>
              <w:t xml:space="preserve">Craddock Murray Neumann </w:t>
            </w:r>
          </w:p>
        </w:tc>
      </w:tr>
      <w:tr w:rsidR="008B3A94" w14:paraId="5A9BF75D" w14:textId="77777777" w:rsidTr="008B3A94">
        <w:tc>
          <w:tcPr>
            <w:tcW w:w="3084" w:type="dxa"/>
            <w:shd w:val="clear" w:color="auto" w:fill="auto"/>
          </w:tcPr>
          <w:p w14:paraId="0AABC2E3" w14:textId="77777777" w:rsidR="008B3A94" w:rsidRDefault="008B3A94" w:rsidP="005337CF">
            <w:pPr>
              <w:pStyle w:val="Normal1linespace"/>
              <w:widowControl w:val="0"/>
              <w:jc w:val="left"/>
            </w:pPr>
          </w:p>
        </w:tc>
        <w:tc>
          <w:tcPr>
            <w:tcW w:w="5989" w:type="dxa"/>
            <w:shd w:val="clear" w:color="auto" w:fill="auto"/>
          </w:tcPr>
          <w:p w14:paraId="7A60474B" w14:textId="77777777" w:rsidR="008B3A94" w:rsidRDefault="008B3A94" w:rsidP="005337CF">
            <w:pPr>
              <w:pStyle w:val="Normal1linespace"/>
              <w:widowControl w:val="0"/>
              <w:jc w:val="left"/>
            </w:pPr>
          </w:p>
        </w:tc>
      </w:tr>
      <w:tr w:rsidR="008B3A94" w14:paraId="5AEB3981" w14:textId="77777777" w:rsidTr="008B3A94">
        <w:tc>
          <w:tcPr>
            <w:tcW w:w="3084" w:type="dxa"/>
            <w:shd w:val="clear" w:color="auto" w:fill="auto"/>
          </w:tcPr>
          <w:p w14:paraId="2C6D9303" w14:textId="1F581967" w:rsidR="008B3A94" w:rsidRDefault="008B3A94" w:rsidP="005337CF">
            <w:pPr>
              <w:pStyle w:val="Normal1linespace"/>
              <w:widowControl w:val="0"/>
              <w:jc w:val="left"/>
            </w:pPr>
            <w:r>
              <w:t xml:space="preserve">Counsel for the </w:t>
            </w:r>
            <w:r w:rsidR="008C22EA">
              <w:t>First Respondent</w:t>
            </w:r>
            <w:r>
              <w:t xml:space="preserve">: </w:t>
            </w:r>
          </w:p>
        </w:tc>
        <w:tc>
          <w:tcPr>
            <w:tcW w:w="5989" w:type="dxa"/>
            <w:shd w:val="clear" w:color="auto" w:fill="auto"/>
          </w:tcPr>
          <w:p w14:paraId="02ADA6F8" w14:textId="77777777" w:rsidR="008B3A94" w:rsidRDefault="008B3A94" w:rsidP="005337CF">
            <w:pPr>
              <w:pStyle w:val="Normal1linespace"/>
              <w:widowControl w:val="0"/>
              <w:jc w:val="left"/>
            </w:pPr>
            <w:r>
              <w:t xml:space="preserve">Mr G Ng and Mr N Li </w:t>
            </w:r>
          </w:p>
        </w:tc>
      </w:tr>
      <w:tr w:rsidR="008B3A94" w14:paraId="0109E378" w14:textId="77777777" w:rsidTr="008B3A94">
        <w:tc>
          <w:tcPr>
            <w:tcW w:w="3084" w:type="dxa"/>
            <w:shd w:val="clear" w:color="auto" w:fill="auto"/>
          </w:tcPr>
          <w:p w14:paraId="0D09F9A9" w14:textId="77777777" w:rsidR="008B3A94" w:rsidRDefault="008B3A94" w:rsidP="005337CF">
            <w:pPr>
              <w:pStyle w:val="Normal1linespace"/>
              <w:widowControl w:val="0"/>
              <w:jc w:val="left"/>
            </w:pPr>
          </w:p>
        </w:tc>
        <w:tc>
          <w:tcPr>
            <w:tcW w:w="5989" w:type="dxa"/>
            <w:shd w:val="clear" w:color="auto" w:fill="auto"/>
          </w:tcPr>
          <w:p w14:paraId="52BB932C" w14:textId="77777777" w:rsidR="008B3A94" w:rsidRDefault="008B3A94" w:rsidP="005337CF">
            <w:pPr>
              <w:pStyle w:val="Normal1linespace"/>
              <w:widowControl w:val="0"/>
              <w:jc w:val="left"/>
            </w:pPr>
          </w:p>
        </w:tc>
      </w:tr>
      <w:tr w:rsidR="008B3A94" w14:paraId="7B00D820" w14:textId="77777777" w:rsidTr="008B3A94">
        <w:tc>
          <w:tcPr>
            <w:tcW w:w="3084" w:type="dxa"/>
            <w:shd w:val="clear" w:color="auto" w:fill="auto"/>
          </w:tcPr>
          <w:p w14:paraId="736815F5" w14:textId="59BBFA48" w:rsidR="008B3A94" w:rsidRDefault="008B3A94" w:rsidP="005337CF">
            <w:pPr>
              <w:pStyle w:val="Normal1linespace"/>
              <w:widowControl w:val="0"/>
              <w:jc w:val="left"/>
            </w:pPr>
            <w:r>
              <w:t xml:space="preserve">Solicitor for the </w:t>
            </w:r>
            <w:r w:rsidR="008C22EA">
              <w:t>First Respondent</w:t>
            </w:r>
            <w:r>
              <w:t xml:space="preserve">: </w:t>
            </w:r>
          </w:p>
        </w:tc>
        <w:tc>
          <w:tcPr>
            <w:tcW w:w="5989" w:type="dxa"/>
            <w:shd w:val="clear" w:color="auto" w:fill="auto"/>
          </w:tcPr>
          <w:p w14:paraId="7B1F4E04" w14:textId="77777777" w:rsidR="008B3A94" w:rsidRDefault="008B3A94" w:rsidP="005337CF">
            <w:pPr>
              <w:pStyle w:val="Normal1linespace"/>
              <w:widowControl w:val="0"/>
              <w:jc w:val="left"/>
            </w:pPr>
            <w:r>
              <w:t xml:space="preserve">Unsworth Legal </w:t>
            </w:r>
          </w:p>
        </w:tc>
      </w:tr>
      <w:tr w:rsidR="008B3A94" w14:paraId="429413F9" w14:textId="77777777" w:rsidTr="008B3A94">
        <w:tc>
          <w:tcPr>
            <w:tcW w:w="3084" w:type="dxa"/>
            <w:shd w:val="clear" w:color="auto" w:fill="auto"/>
          </w:tcPr>
          <w:p w14:paraId="6A703A62" w14:textId="77777777" w:rsidR="008B3A94" w:rsidRDefault="008B3A94" w:rsidP="005337CF">
            <w:pPr>
              <w:pStyle w:val="Normal1linespace"/>
              <w:widowControl w:val="0"/>
              <w:jc w:val="left"/>
            </w:pPr>
          </w:p>
        </w:tc>
        <w:tc>
          <w:tcPr>
            <w:tcW w:w="5989" w:type="dxa"/>
            <w:shd w:val="clear" w:color="auto" w:fill="auto"/>
          </w:tcPr>
          <w:p w14:paraId="6E7CBE0E" w14:textId="77777777" w:rsidR="008B3A94" w:rsidRDefault="008B3A94" w:rsidP="005337CF">
            <w:pPr>
              <w:pStyle w:val="Normal1linespace"/>
              <w:widowControl w:val="0"/>
              <w:jc w:val="left"/>
            </w:pPr>
          </w:p>
        </w:tc>
      </w:tr>
      <w:bookmarkEnd w:id="11"/>
    </w:tbl>
    <w:p w14:paraId="45CF1F15" w14:textId="77777777" w:rsidR="007470BD" w:rsidRDefault="007470BD">
      <w:pPr>
        <w:pStyle w:val="Normal1linespace"/>
      </w:pPr>
    </w:p>
    <w:p w14:paraId="35E84A7C" w14:textId="77777777" w:rsidR="00E94CBF" w:rsidRDefault="00E94CBF">
      <w:pPr>
        <w:pStyle w:val="Normal1linespace"/>
      </w:pPr>
    </w:p>
    <w:tbl>
      <w:tblPr>
        <w:tblpPr w:leftFromText="181" w:rightFromText="181" w:vertAnchor="page" w:horzAnchor="margin" w:tblpY="10816"/>
        <w:tblOverlap w:val="never"/>
        <w:tblW w:w="9044" w:type="dxa"/>
        <w:tblLayout w:type="fixed"/>
        <w:tblLook w:val="01E0" w:firstRow="1" w:lastRow="1" w:firstColumn="1" w:lastColumn="1" w:noHBand="0" w:noVBand="0"/>
      </w:tblPr>
      <w:tblGrid>
        <w:gridCol w:w="3052"/>
        <w:gridCol w:w="5992"/>
      </w:tblGrid>
      <w:tr w:rsidR="005F381C" w14:paraId="2F62619F" w14:textId="77777777" w:rsidTr="00370585">
        <w:tc>
          <w:tcPr>
            <w:tcW w:w="3052" w:type="dxa"/>
            <w:shd w:val="clear" w:color="auto" w:fill="auto"/>
          </w:tcPr>
          <w:p w14:paraId="72E4858E" w14:textId="77777777" w:rsidR="005F381C" w:rsidRPr="00223FB4" w:rsidRDefault="005F381C" w:rsidP="00370585">
            <w:pPr>
              <w:pStyle w:val="Normal1linespace"/>
              <w:jc w:val="left"/>
              <w:rPr>
                <w:b/>
              </w:rPr>
            </w:pPr>
            <w:r w:rsidRPr="00223FB4">
              <w:rPr>
                <w:b/>
              </w:rPr>
              <w:t>Table of Corrections</w:t>
            </w:r>
          </w:p>
        </w:tc>
        <w:tc>
          <w:tcPr>
            <w:tcW w:w="5992" w:type="dxa"/>
            <w:shd w:val="clear" w:color="auto" w:fill="auto"/>
          </w:tcPr>
          <w:p w14:paraId="43E47B7E" w14:textId="77777777" w:rsidR="005F381C" w:rsidRDefault="005F381C" w:rsidP="00370585">
            <w:pPr>
              <w:pStyle w:val="Normal1linespace"/>
              <w:widowControl w:val="0"/>
              <w:jc w:val="left"/>
              <w:rPr>
                <w:b/>
              </w:rPr>
            </w:pPr>
          </w:p>
        </w:tc>
      </w:tr>
      <w:tr w:rsidR="005F381C" w14:paraId="56056069" w14:textId="77777777" w:rsidTr="00370585">
        <w:tc>
          <w:tcPr>
            <w:tcW w:w="3052" w:type="dxa"/>
            <w:shd w:val="clear" w:color="auto" w:fill="auto"/>
          </w:tcPr>
          <w:p w14:paraId="6C47EA39" w14:textId="77777777" w:rsidR="005F381C" w:rsidRDefault="005F381C" w:rsidP="00370585">
            <w:pPr>
              <w:pStyle w:val="Normal1linespace"/>
              <w:widowControl w:val="0"/>
              <w:jc w:val="left"/>
            </w:pPr>
          </w:p>
        </w:tc>
        <w:tc>
          <w:tcPr>
            <w:tcW w:w="5992" w:type="dxa"/>
            <w:shd w:val="clear" w:color="auto" w:fill="auto"/>
          </w:tcPr>
          <w:p w14:paraId="1DF18844" w14:textId="77777777" w:rsidR="005F381C" w:rsidRDefault="005F381C" w:rsidP="00370585">
            <w:pPr>
              <w:pStyle w:val="Normal1linespace"/>
              <w:widowControl w:val="0"/>
              <w:jc w:val="left"/>
            </w:pPr>
          </w:p>
        </w:tc>
      </w:tr>
      <w:tr w:rsidR="005F381C" w14:paraId="14323F40" w14:textId="77777777" w:rsidTr="00370585">
        <w:tc>
          <w:tcPr>
            <w:tcW w:w="3052" w:type="dxa"/>
            <w:shd w:val="clear" w:color="auto" w:fill="auto"/>
          </w:tcPr>
          <w:p w14:paraId="27506F77" w14:textId="77777777" w:rsidR="005F381C" w:rsidRDefault="005F381C" w:rsidP="00370585">
            <w:pPr>
              <w:pStyle w:val="Normal1linespace"/>
              <w:widowControl w:val="0"/>
              <w:jc w:val="left"/>
            </w:pPr>
            <w:r>
              <w:t xml:space="preserve">30 May 2022 </w:t>
            </w:r>
          </w:p>
        </w:tc>
        <w:tc>
          <w:tcPr>
            <w:tcW w:w="5992" w:type="dxa"/>
            <w:shd w:val="clear" w:color="auto" w:fill="auto"/>
          </w:tcPr>
          <w:p w14:paraId="53D10178" w14:textId="77777777" w:rsidR="005F381C" w:rsidRDefault="005F381C" w:rsidP="00370585">
            <w:pPr>
              <w:pStyle w:val="Normal1linespace"/>
              <w:widowControl w:val="0"/>
              <w:jc w:val="left"/>
            </w:pPr>
            <w:r>
              <w:t xml:space="preserve">Judgment debt figure in [38(1)] corrected to </w:t>
            </w:r>
            <w:r w:rsidRPr="00CE2BC3">
              <w:t>$140,607,</w:t>
            </w:r>
            <w:r w:rsidRPr="00CE2BC3">
              <w:rPr>
                <w:u w:val="single"/>
              </w:rPr>
              <w:t>780</w:t>
            </w:r>
            <w:r w:rsidRPr="00CE2BC3">
              <w:t>.88.</w:t>
            </w:r>
          </w:p>
        </w:tc>
      </w:tr>
      <w:tr w:rsidR="005F381C" w14:paraId="6C058270" w14:textId="77777777" w:rsidTr="00370585">
        <w:tc>
          <w:tcPr>
            <w:tcW w:w="3052" w:type="dxa"/>
            <w:shd w:val="clear" w:color="auto" w:fill="auto"/>
          </w:tcPr>
          <w:p w14:paraId="66B127E1" w14:textId="77777777" w:rsidR="005F381C" w:rsidRDefault="005F381C" w:rsidP="00370585">
            <w:pPr>
              <w:pStyle w:val="Normal1linespace"/>
              <w:widowControl w:val="0"/>
              <w:jc w:val="left"/>
            </w:pPr>
          </w:p>
        </w:tc>
        <w:tc>
          <w:tcPr>
            <w:tcW w:w="5992" w:type="dxa"/>
            <w:shd w:val="clear" w:color="auto" w:fill="auto"/>
          </w:tcPr>
          <w:p w14:paraId="3553D455" w14:textId="77777777" w:rsidR="005F381C" w:rsidRDefault="005F381C" w:rsidP="00370585">
            <w:pPr>
              <w:pStyle w:val="Normal1linespace"/>
              <w:widowControl w:val="0"/>
              <w:jc w:val="left"/>
            </w:pPr>
          </w:p>
        </w:tc>
      </w:tr>
    </w:tbl>
    <w:p w14:paraId="2B7E596E"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29399765"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E7F9517" w14:textId="77777777" w:rsidTr="00E81DA6">
        <w:tc>
          <w:tcPr>
            <w:tcW w:w="6912" w:type="dxa"/>
            <w:gridSpan w:val="2"/>
          </w:tcPr>
          <w:p w14:paraId="2171CDA4" w14:textId="77777777" w:rsidR="00A46CCC" w:rsidRPr="001765E0" w:rsidRDefault="00A46CCC" w:rsidP="00525A49">
            <w:pPr>
              <w:pStyle w:val="NormalHeadings"/>
            </w:pPr>
          </w:p>
        </w:tc>
        <w:tc>
          <w:tcPr>
            <w:tcW w:w="2330" w:type="dxa"/>
          </w:tcPr>
          <w:p w14:paraId="25EADF27" w14:textId="77777777" w:rsidR="00A46CCC" w:rsidRDefault="008B3A94" w:rsidP="00F92355">
            <w:pPr>
              <w:pStyle w:val="NormalHeadings"/>
              <w:jc w:val="right"/>
            </w:pPr>
            <w:bookmarkStart w:id="13" w:name="FileNo"/>
            <w:r>
              <w:t>NSD 1490 of 2019</w:t>
            </w:r>
            <w:bookmarkEnd w:id="13"/>
          </w:p>
        </w:tc>
      </w:tr>
      <w:tr w:rsidR="00A76C13" w14:paraId="460DF006" w14:textId="77777777" w:rsidTr="005C11F2">
        <w:tc>
          <w:tcPr>
            <w:tcW w:w="9242" w:type="dxa"/>
            <w:gridSpan w:val="3"/>
          </w:tcPr>
          <w:p w14:paraId="3F87567E" w14:textId="77777777" w:rsidR="00A76C13" w:rsidRPr="00A76C13" w:rsidRDefault="008B3A94" w:rsidP="008B3A94">
            <w:pPr>
              <w:pStyle w:val="NormalHeadings"/>
              <w:jc w:val="left"/>
            </w:pPr>
            <w:bookmarkStart w:id="14" w:name="InTheMatterOf"/>
            <w:r>
              <w:t xml:space="preserve"> </w:t>
            </w:r>
            <w:bookmarkEnd w:id="14"/>
          </w:p>
        </w:tc>
      </w:tr>
      <w:tr w:rsidR="00A46CCC" w14:paraId="4E2FE354" w14:textId="77777777" w:rsidTr="005C11F2">
        <w:trPr>
          <w:trHeight w:val="386"/>
        </w:trPr>
        <w:tc>
          <w:tcPr>
            <w:tcW w:w="2376" w:type="dxa"/>
          </w:tcPr>
          <w:p w14:paraId="1FBDDE43" w14:textId="77777777" w:rsidR="00A46CCC" w:rsidRDefault="00A46CCC" w:rsidP="005C11F2">
            <w:pPr>
              <w:pStyle w:val="NormalHeadings"/>
              <w:jc w:val="left"/>
              <w:rPr>
                <w:caps/>
                <w:szCs w:val="24"/>
              </w:rPr>
            </w:pPr>
            <w:bookmarkStart w:id="15" w:name="Parties"/>
            <w:r>
              <w:rPr>
                <w:caps/>
                <w:szCs w:val="24"/>
              </w:rPr>
              <w:t>BETWEEN:</w:t>
            </w:r>
          </w:p>
        </w:tc>
        <w:tc>
          <w:tcPr>
            <w:tcW w:w="6866" w:type="dxa"/>
            <w:gridSpan w:val="2"/>
          </w:tcPr>
          <w:p w14:paraId="52048023" w14:textId="77777777" w:rsidR="008B3A94" w:rsidRDefault="008B3A94" w:rsidP="008B3A94">
            <w:pPr>
              <w:pStyle w:val="NormalHeadings"/>
              <w:jc w:val="left"/>
            </w:pPr>
            <w:bookmarkStart w:id="16" w:name="Applicant"/>
            <w:r>
              <w:t>DEPUTY COMMISSIONER OF TAXATION</w:t>
            </w:r>
          </w:p>
          <w:p w14:paraId="11B4A9B7" w14:textId="77777777" w:rsidR="008B3A94" w:rsidRDefault="008B3A94" w:rsidP="008B3A94">
            <w:pPr>
              <w:pStyle w:val="PartyType"/>
            </w:pPr>
            <w:r>
              <w:t>Applicant</w:t>
            </w:r>
          </w:p>
          <w:bookmarkEnd w:id="16"/>
          <w:p w14:paraId="5ADF93A4" w14:textId="77777777" w:rsidR="00A46CCC" w:rsidRPr="006555B4" w:rsidRDefault="00A46CCC" w:rsidP="005C11F2">
            <w:pPr>
              <w:pStyle w:val="NormalHeadings"/>
              <w:jc w:val="left"/>
            </w:pPr>
          </w:p>
        </w:tc>
      </w:tr>
      <w:tr w:rsidR="00A46CCC" w14:paraId="33C34590" w14:textId="77777777" w:rsidTr="005C11F2">
        <w:trPr>
          <w:trHeight w:val="386"/>
        </w:trPr>
        <w:tc>
          <w:tcPr>
            <w:tcW w:w="2376" w:type="dxa"/>
          </w:tcPr>
          <w:p w14:paraId="1E30E4CF" w14:textId="77777777" w:rsidR="00A46CCC" w:rsidRDefault="00A46CCC" w:rsidP="005C11F2">
            <w:pPr>
              <w:pStyle w:val="NormalHeadings"/>
              <w:jc w:val="left"/>
              <w:rPr>
                <w:caps/>
                <w:szCs w:val="24"/>
              </w:rPr>
            </w:pPr>
            <w:r>
              <w:rPr>
                <w:caps/>
                <w:szCs w:val="24"/>
              </w:rPr>
              <w:t>AND:</w:t>
            </w:r>
          </w:p>
        </w:tc>
        <w:tc>
          <w:tcPr>
            <w:tcW w:w="6866" w:type="dxa"/>
            <w:gridSpan w:val="2"/>
          </w:tcPr>
          <w:p w14:paraId="54C6A420" w14:textId="77777777" w:rsidR="008B3A94" w:rsidRDefault="008B3A94" w:rsidP="008B3A94">
            <w:pPr>
              <w:pStyle w:val="NormalHeadings"/>
              <w:jc w:val="left"/>
            </w:pPr>
            <w:bookmarkStart w:id="17" w:name="Respondent"/>
            <w:r>
              <w:t xml:space="preserve">CHANGRAN HUANG </w:t>
            </w:r>
          </w:p>
          <w:p w14:paraId="6393520A" w14:textId="77777777" w:rsidR="008B3A94" w:rsidRDefault="008B3A94" w:rsidP="008B3A94">
            <w:pPr>
              <w:pStyle w:val="PartyType"/>
            </w:pPr>
            <w:r>
              <w:t>First Respondent</w:t>
            </w:r>
          </w:p>
          <w:p w14:paraId="25BF317C" w14:textId="77777777" w:rsidR="008B3A94" w:rsidRDefault="008B3A94" w:rsidP="005C11F2">
            <w:pPr>
              <w:pStyle w:val="NormalHeadings"/>
              <w:jc w:val="left"/>
            </w:pPr>
          </w:p>
          <w:p w14:paraId="32DA3272" w14:textId="77777777" w:rsidR="008B3A94" w:rsidRDefault="008B3A94" w:rsidP="008B3A94">
            <w:pPr>
              <w:pStyle w:val="NormalHeadings"/>
              <w:jc w:val="left"/>
            </w:pPr>
            <w:r>
              <w:t xml:space="preserve">JIEFANG HUANG </w:t>
            </w:r>
          </w:p>
          <w:p w14:paraId="77CE156E" w14:textId="77777777" w:rsidR="008B3A94" w:rsidRDefault="008B3A94" w:rsidP="008B3A94">
            <w:pPr>
              <w:pStyle w:val="PartyType"/>
            </w:pPr>
            <w:r>
              <w:t>Second Respondent</w:t>
            </w:r>
          </w:p>
          <w:bookmarkEnd w:id="17"/>
          <w:p w14:paraId="38190AE2" w14:textId="77777777" w:rsidR="00A46CCC" w:rsidRPr="006555B4" w:rsidRDefault="00A46CCC" w:rsidP="005C11F2">
            <w:pPr>
              <w:pStyle w:val="NormalHeadings"/>
              <w:jc w:val="left"/>
            </w:pPr>
          </w:p>
        </w:tc>
      </w:tr>
    </w:tbl>
    <w:p w14:paraId="65506766"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3FBBDF16" w14:textId="77777777">
        <w:tc>
          <w:tcPr>
            <w:tcW w:w="2376" w:type="dxa"/>
          </w:tcPr>
          <w:p w14:paraId="589B95D6"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63D00E27" w14:textId="77777777" w:rsidR="00395B24" w:rsidRDefault="008B3A94">
            <w:pPr>
              <w:pStyle w:val="NormalHeadings"/>
              <w:jc w:val="left"/>
              <w:rPr>
                <w:caps/>
                <w:szCs w:val="24"/>
              </w:rPr>
            </w:pPr>
            <w:bookmarkStart w:id="20" w:name="Judge"/>
            <w:r>
              <w:rPr>
                <w:caps/>
                <w:szCs w:val="24"/>
              </w:rPr>
              <w:t>JAGOT J</w:t>
            </w:r>
            <w:bookmarkEnd w:id="20"/>
          </w:p>
        </w:tc>
      </w:tr>
      <w:tr w:rsidR="00395B24" w14:paraId="32903218" w14:textId="77777777">
        <w:tc>
          <w:tcPr>
            <w:tcW w:w="2376" w:type="dxa"/>
          </w:tcPr>
          <w:p w14:paraId="256A1E91" w14:textId="77777777" w:rsidR="00395B24" w:rsidRDefault="002C7385">
            <w:pPr>
              <w:pStyle w:val="NormalHeadings"/>
              <w:spacing w:after="120"/>
              <w:jc w:val="left"/>
              <w:rPr>
                <w:caps/>
                <w:szCs w:val="24"/>
              </w:rPr>
            </w:pPr>
            <w:r>
              <w:rPr>
                <w:caps/>
                <w:szCs w:val="24"/>
              </w:rPr>
              <w:t>DATE OF ORDER:</w:t>
            </w:r>
          </w:p>
        </w:tc>
        <w:tc>
          <w:tcPr>
            <w:tcW w:w="6866" w:type="dxa"/>
          </w:tcPr>
          <w:p w14:paraId="732376C4" w14:textId="4235A051" w:rsidR="00395B24" w:rsidRDefault="003F25AB">
            <w:pPr>
              <w:pStyle w:val="NormalHeadings"/>
              <w:jc w:val="left"/>
              <w:rPr>
                <w:caps/>
                <w:szCs w:val="24"/>
              </w:rPr>
            </w:pPr>
            <w:bookmarkStart w:id="21" w:name="Judgment_Dated"/>
            <w:r>
              <w:rPr>
                <w:caps/>
                <w:szCs w:val="24"/>
              </w:rPr>
              <w:t>20</w:t>
            </w:r>
            <w:r w:rsidR="008B3A94">
              <w:rPr>
                <w:caps/>
                <w:szCs w:val="24"/>
              </w:rPr>
              <w:t xml:space="preserve"> MAY 2022 </w:t>
            </w:r>
            <w:bookmarkEnd w:id="21"/>
          </w:p>
        </w:tc>
      </w:tr>
    </w:tbl>
    <w:p w14:paraId="60DE83FB" w14:textId="77777777" w:rsidR="00395B24" w:rsidRDefault="00395B24">
      <w:pPr>
        <w:pStyle w:val="NormalHeadings"/>
        <w:rPr>
          <w:b w:val="0"/>
        </w:rPr>
      </w:pPr>
    </w:p>
    <w:p w14:paraId="537A160A" w14:textId="77777777" w:rsidR="008D1617" w:rsidRDefault="008D1617">
      <w:pPr>
        <w:pStyle w:val="NormalHeadings"/>
        <w:rPr>
          <w:b w:val="0"/>
        </w:rPr>
      </w:pPr>
    </w:p>
    <w:p w14:paraId="0DAC6004" w14:textId="77777777" w:rsidR="00395B24" w:rsidRDefault="002C7385">
      <w:pPr>
        <w:pStyle w:val="NormalHeadings"/>
      </w:pPr>
      <w:r>
        <w:t>THE COURT ORDERS THAT:</w:t>
      </w:r>
    </w:p>
    <w:p w14:paraId="28EC3FE3" w14:textId="77777777" w:rsidR="007F60DF" w:rsidRDefault="007F60DF" w:rsidP="00243E5E">
      <w:pPr>
        <w:pStyle w:val="NormalHeadings"/>
      </w:pPr>
    </w:p>
    <w:p w14:paraId="0A5BB76B" w14:textId="77777777" w:rsidR="003D60B9" w:rsidRDefault="003D60B9" w:rsidP="003D60B9">
      <w:pPr>
        <w:pStyle w:val="Order1"/>
      </w:pPr>
      <w:r>
        <w:t>Order [10] in the Penal Notice directed to the first respondent made by Justice Jagot on 21 October 2019 be varied by inserting the words “</w:t>
      </w:r>
      <w:r>
        <w:rPr>
          <w:i/>
          <w:iCs/>
        </w:rPr>
        <w:t xml:space="preserve">using your ex-Australian assets for the purposes of” </w:t>
      </w:r>
      <w:r>
        <w:t>after the words “</w:t>
      </w:r>
      <w:r>
        <w:rPr>
          <w:i/>
          <w:iCs/>
        </w:rPr>
        <w:t>This order does not prohibit you from</w:t>
      </w:r>
      <w:r>
        <w:t>”. The penal notice to the first respondent as varied is annexed to these orders and marked “</w:t>
      </w:r>
      <w:r>
        <w:rPr>
          <w:b/>
          <w:bCs/>
        </w:rPr>
        <w:t>A</w:t>
      </w:r>
      <w:r>
        <w:t xml:space="preserve">”. </w:t>
      </w:r>
    </w:p>
    <w:p w14:paraId="7B983013" w14:textId="77777777" w:rsidR="003D60B9" w:rsidRDefault="003D60B9" w:rsidP="003D60B9">
      <w:pPr>
        <w:pStyle w:val="Order1"/>
      </w:pPr>
      <w:r>
        <w:t>The fir</w:t>
      </w:r>
      <w:r w:rsidR="00031492">
        <w:t>st respondent pay the applicant’</w:t>
      </w:r>
      <w:r>
        <w:t xml:space="preserve">s costs of and in connection with the interlocutory application filed on 30 March 2022 as agreed or taxed. </w:t>
      </w:r>
    </w:p>
    <w:p w14:paraId="18794F8D" w14:textId="77777777" w:rsidR="00A431E6" w:rsidRDefault="00A431E6" w:rsidP="001A6C52">
      <w:pPr>
        <w:pStyle w:val="BodyText"/>
      </w:pPr>
    </w:p>
    <w:p w14:paraId="00ED9770" w14:textId="77777777" w:rsidR="0050309C" w:rsidRDefault="008B3A94" w:rsidP="004D53E5">
      <w:pPr>
        <w:pStyle w:val="SingleSpace"/>
      </w:pPr>
      <w:bookmarkStart w:id="22" w:name="OrdersStatement"/>
      <w:r>
        <w:t>Note:</w:t>
      </w:r>
      <w:r>
        <w:tab/>
        <w:t xml:space="preserve">Entry of orders is dealt with in Rule 39.32 of the </w:t>
      </w:r>
      <w:r>
        <w:rPr>
          <w:i/>
        </w:rPr>
        <w:t>Federal Court Rules 2011</w:t>
      </w:r>
      <w:r>
        <w:t>.</w:t>
      </w:r>
      <w:bookmarkEnd w:id="22"/>
    </w:p>
    <w:p w14:paraId="35D7548B" w14:textId="77777777" w:rsidR="00E23577" w:rsidRDefault="00E23577" w:rsidP="002B0E91">
      <w:pPr>
        <w:pStyle w:val="BodyText"/>
      </w:pPr>
    </w:p>
    <w:p w14:paraId="20D31C76" w14:textId="77777777" w:rsidR="003D60B9" w:rsidRDefault="003D60B9" w:rsidP="003D60B9">
      <w:pPr>
        <w:spacing w:line="240" w:lineRule="auto"/>
        <w:jc w:val="center"/>
        <w:rPr>
          <w:b/>
          <w:bCs/>
        </w:rPr>
      </w:pPr>
      <w:r>
        <w:rPr>
          <w:b/>
        </w:rPr>
        <w:br w:type="page"/>
      </w:r>
      <w:r w:rsidRPr="003D60B9">
        <w:rPr>
          <w:b/>
          <w:bCs/>
        </w:rPr>
        <w:lastRenderedPageBreak/>
        <w:t>ANNEXURE A</w:t>
      </w:r>
    </w:p>
    <w:p w14:paraId="5DF79024" w14:textId="77777777" w:rsidR="003D60B9" w:rsidRPr="003D60B9" w:rsidRDefault="003D60B9" w:rsidP="003D60B9">
      <w:pPr>
        <w:spacing w:line="240" w:lineRule="auto"/>
        <w:jc w:val="center"/>
        <w:rPr>
          <w:b/>
          <w:bCs/>
        </w:rPr>
      </w:pPr>
    </w:p>
    <w:p w14:paraId="7D619489" w14:textId="77777777" w:rsidR="003D60B9" w:rsidRPr="008A0914" w:rsidRDefault="003D60B9" w:rsidP="003D60B9">
      <w:pPr>
        <w:pStyle w:val="CM15"/>
        <w:spacing w:line="280" w:lineRule="exact"/>
        <w:jc w:val="center"/>
        <w:rPr>
          <w:rFonts w:ascii="Arial" w:hAnsi="Arial" w:cs="Arial"/>
          <w:b/>
          <w:bCs/>
        </w:rPr>
      </w:pPr>
      <w:r w:rsidRPr="008A0914">
        <w:rPr>
          <w:rFonts w:ascii="Arial" w:hAnsi="Arial" w:cs="Arial"/>
          <w:b/>
          <w:bCs/>
        </w:rPr>
        <w:t>(</w:t>
      </w:r>
      <w:r w:rsidRPr="004B34D0">
        <w:rPr>
          <w:rFonts w:ascii="Arial" w:hAnsi="Arial" w:cs="Arial"/>
          <w:b/>
        </w:rPr>
        <w:t>CHANGRAN HUANG</w:t>
      </w:r>
      <w:r w:rsidRPr="008A0914">
        <w:rPr>
          <w:rFonts w:ascii="Arial" w:hAnsi="Arial" w:cs="Arial"/>
          <w:b/>
        </w:rPr>
        <w:t>)</w:t>
      </w:r>
    </w:p>
    <w:p w14:paraId="238C3558" w14:textId="77777777" w:rsidR="003D60B9" w:rsidRPr="008A0914" w:rsidRDefault="003D60B9" w:rsidP="003D60B9">
      <w:pPr>
        <w:pStyle w:val="CM15"/>
        <w:spacing w:line="280" w:lineRule="exact"/>
        <w:jc w:val="center"/>
        <w:rPr>
          <w:rFonts w:ascii="Arial" w:hAnsi="Arial" w:cs="Arial"/>
          <w:b/>
          <w:bCs/>
        </w:rPr>
      </w:pPr>
    </w:p>
    <w:p w14:paraId="54E74842" w14:textId="77777777" w:rsidR="003D60B9" w:rsidRPr="008A0914" w:rsidRDefault="003D60B9" w:rsidP="003D60B9">
      <w:pPr>
        <w:pStyle w:val="CM15"/>
        <w:spacing w:line="280" w:lineRule="exact"/>
        <w:jc w:val="center"/>
        <w:rPr>
          <w:rFonts w:ascii="Arial" w:hAnsi="Arial" w:cs="Arial"/>
        </w:rPr>
      </w:pPr>
      <w:r w:rsidRPr="008A0914">
        <w:rPr>
          <w:rFonts w:ascii="Arial" w:hAnsi="Arial" w:cs="Arial"/>
          <w:b/>
          <w:bCs/>
        </w:rPr>
        <w:t>PENAL NOTICE</w:t>
      </w:r>
    </w:p>
    <w:p w14:paraId="47CBFD45" w14:textId="77777777" w:rsidR="003D60B9" w:rsidRPr="008A0914" w:rsidRDefault="003D60B9" w:rsidP="003D60B9">
      <w:pPr>
        <w:pStyle w:val="CM15"/>
        <w:spacing w:line="280" w:lineRule="exact"/>
        <w:ind w:right="2940"/>
        <w:jc w:val="both"/>
        <w:rPr>
          <w:rFonts w:ascii="Arial" w:hAnsi="Arial" w:cs="Arial"/>
        </w:rPr>
      </w:pPr>
      <w:r w:rsidRPr="008A0914">
        <w:rPr>
          <w:rFonts w:ascii="Arial" w:hAnsi="Arial" w:cs="Arial"/>
          <w:b/>
          <w:bCs/>
        </w:rPr>
        <w:t xml:space="preserve">TO: </w:t>
      </w:r>
      <w:r w:rsidRPr="008A0914">
        <w:rPr>
          <w:rFonts w:ascii="Arial" w:hAnsi="Arial" w:cs="Arial"/>
          <w:b/>
          <w:bCs/>
        </w:rPr>
        <w:tab/>
      </w:r>
      <w:r w:rsidRPr="004B34D0">
        <w:rPr>
          <w:rFonts w:ascii="Arial" w:hAnsi="Arial" w:cs="Arial"/>
          <w:b/>
        </w:rPr>
        <w:t>CHANGRAN HUANG</w:t>
      </w:r>
    </w:p>
    <w:p w14:paraId="77C00C1E" w14:textId="77777777" w:rsidR="003D60B9" w:rsidRPr="008A0914" w:rsidRDefault="003D60B9" w:rsidP="003D60B9">
      <w:pPr>
        <w:pStyle w:val="CM15"/>
        <w:spacing w:line="280" w:lineRule="exact"/>
        <w:ind w:right="2940"/>
        <w:jc w:val="both"/>
        <w:rPr>
          <w:rFonts w:ascii="Arial" w:hAnsi="Arial" w:cs="Arial"/>
        </w:rPr>
      </w:pPr>
      <w:r w:rsidRPr="008A0914">
        <w:rPr>
          <w:rFonts w:ascii="Arial" w:hAnsi="Arial" w:cs="Arial"/>
          <w:b/>
          <w:bCs/>
        </w:rPr>
        <w:t>IF YOU:</w:t>
      </w:r>
    </w:p>
    <w:p w14:paraId="1D9DC2C0" w14:textId="77777777" w:rsidR="003D60B9" w:rsidRPr="008A0914" w:rsidRDefault="003D60B9" w:rsidP="003D60B9">
      <w:pPr>
        <w:pStyle w:val="Default"/>
        <w:spacing w:line="280" w:lineRule="exact"/>
        <w:ind w:left="720" w:hanging="720"/>
        <w:jc w:val="both"/>
        <w:rPr>
          <w:rFonts w:ascii="Arial" w:hAnsi="Arial" w:cs="Arial"/>
          <w:b/>
          <w:bCs/>
          <w:color w:val="auto"/>
        </w:rPr>
      </w:pPr>
      <w:r w:rsidRPr="008A0914">
        <w:rPr>
          <w:rFonts w:ascii="Arial" w:hAnsi="Arial" w:cs="Arial"/>
          <w:b/>
          <w:bCs/>
          <w:color w:val="auto"/>
        </w:rPr>
        <w:t xml:space="preserve">(A) </w:t>
      </w:r>
      <w:r w:rsidRPr="008A0914">
        <w:rPr>
          <w:rFonts w:ascii="Arial" w:hAnsi="Arial" w:cs="Arial"/>
          <w:b/>
          <w:bCs/>
          <w:color w:val="auto"/>
        </w:rPr>
        <w:tab/>
        <w:t>REFUSE OR NEGLECT TO DO ANY ACT WITHIN THE TIME SPECIFIED IN THIS ORDER FOR THE DOING OF THE ACT; OR</w:t>
      </w:r>
    </w:p>
    <w:p w14:paraId="4845104C" w14:textId="77777777" w:rsidR="003D60B9" w:rsidRPr="008A0914" w:rsidRDefault="003D60B9" w:rsidP="003D60B9">
      <w:pPr>
        <w:pStyle w:val="Default"/>
        <w:spacing w:line="280" w:lineRule="exact"/>
        <w:jc w:val="both"/>
        <w:rPr>
          <w:rFonts w:ascii="Arial" w:hAnsi="Arial" w:cs="Arial"/>
          <w:color w:val="auto"/>
        </w:rPr>
      </w:pPr>
    </w:p>
    <w:p w14:paraId="1C8F1791" w14:textId="77777777" w:rsidR="003D60B9" w:rsidRPr="008A0914" w:rsidRDefault="003D60B9" w:rsidP="003D60B9">
      <w:pPr>
        <w:pStyle w:val="Default"/>
        <w:spacing w:line="280" w:lineRule="exact"/>
        <w:ind w:left="720" w:hanging="720"/>
        <w:jc w:val="both"/>
        <w:rPr>
          <w:rFonts w:ascii="Arial" w:hAnsi="Arial" w:cs="Arial"/>
          <w:color w:val="auto"/>
        </w:rPr>
      </w:pPr>
      <w:r w:rsidRPr="008A0914">
        <w:rPr>
          <w:rFonts w:ascii="Arial" w:hAnsi="Arial" w:cs="Arial"/>
          <w:b/>
          <w:bCs/>
          <w:color w:val="auto"/>
        </w:rPr>
        <w:t xml:space="preserve">(B) </w:t>
      </w:r>
      <w:r w:rsidRPr="008A0914">
        <w:rPr>
          <w:rFonts w:ascii="Arial" w:hAnsi="Arial" w:cs="Arial"/>
          <w:b/>
          <w:bCs/>
          <w:color w:val="auto"/>
        </w:rPr>
        <w:tab/>
        <w:t>DISOBEY THE ORDER BY DOING AN ACT WHICH THE ORDER REQUIRES YOU TO ABSTAIN FROM DOING,</w:t>
      </w:r>
    </w:p>
    <w:p w14:paraId="3887D4FE" w14:textId="77777777" w:rsidR="003D60B9" w:rsidRPr="008A0914" w:rsidRDefault="003D60B9" w:rsidP="003D60B9">
      <w:pPr>
        <w:pStyle w:val="Default"/>
        <w:spacing w:line="280" w:lineRule="exact"/>
        <w:jc w:val="both"/>
        <w:rPr>
          <w:rFonts w:ascii="Arial" w:hAnsi="Arial" w:cs="Arial"/>
          <w:color w:val="auto"/>
        </w:rPr>
      </w:pPr>
    </w:p>
    <w:p w14:paraId="4E02DA68" w14:textId="77777777" w:rsidR="003D60B9" w:rsidRPr="008A0914" w:rsidRDefault="003D60B9" w:rsidP="003D60B9">
      <w:pPr>
        <w:pStyle w:val="CM15"/>
        <w:spacing w:line="280" w:lineRule="exact"/>
        <w:jc w:val="both"/>
        <w:rPr>
          <w:rFonts w:ascii="Arial" w:hAnsi="Arial" w:cs="Arial"/>
        </w:rPr>
      </w:pPr>
      <w:r w:rsidRPr="008A0914">
        <w:rPr>
          <w:rFonts w:ascii="Arial" w:hAnsi="Arial" w:cs="Arial"/>
          <w:b/>
          <w:bCs/>
        </w:rPr>
        <w:t>YOU WILL BE LIABLE TO IMPRISONMENT, SEQUESTRATION OF PROPERTY OR OTHER PUNISHMENT.</w:t>
      </w:r>
    </w:p>
    <w:p w14:paraId="5E81A238" w14:textId="77777777" w:rsidR="003D60B9" w:rsidRPr="008A0914" w:rsidRDefault="003D60B9" w:rsidP="003D60B9">
      <w:pPr>
        <w:pStyle w:val="Default"/>
        <w:spacing w:line="280" w:lineRule="exact"/>
        <w:ind w:right="175"/>
        <w:jc w:val="both"/>
        <w:rPr>
          <w:rFonts w:ascii="Arial" w:hAnsi="Arial" w:cs="Arial"/>
          <w:color w:val="auto"/>
        </w:rPr>
      </w:pPr>
      <w:r w:rsidRPr="008A0914">
        <w:rPr>
          <w:rFonts w:ascii="Arial" w:hAnsi="Arial" w:cs="Arial"/>
          <w:b/>
          <w:bCs/>
          <w:color w:val="auto"/>
        </w:rPr>
        <w:t>ANY OTHER PERSON WHO KNOWS OF THIS ORDER AND DOES ANYTHING WHICH HELPS OR PERMITS YOU TO BREACH THE TERMS OF THIS ORDER MAY BE SIMILARLY PUNISHED.</w:t>
      </w:r>
    </w:p>
    <w:p w14:paraId="2E392166" w14:textId="77777777" w:rsidR="003D60B9" w:rsidRPr="00CA2A1F" w:rsidRDefault="003D60B9" w:rsidP="003D60B9">
      <w:pPr>
        <w:pStyle w:val="CM15"/>
        <w:spacing w:line="280" w:lineRule="exact"/>
        <w:jc w:val="both"/>
        <w:rPr>
          <w:rFonts w:ascii="Arial" w:hAnsi="Arial" w:cs="Arial"/>
          <w:b/>
          <w:sz w:val="21"/>
          <w:szCs w:val="21"/>
        </w:rPr>
      </w:pPr>
      <w:r w:rsidRPr="008A0914">
        <w:rPr>
          <w:rFonts w:ascii="Arial" w:hAnsi="Arial" w:cs="Arial"/>
          <w:b/>
          <w:bCs/>
        </w:rPr>
        <w:br w:type="page"/>
      </w:r>
      <w:r w:rsidRPr="00CA2A1F">
        <w:rPr>
          <w:rFonts w:ascii="Arial" w:hAnsi="Arial" w:cs="Arial"/>
          <w:b/>
          <w:bCs/>
          <w:sz w:val="21"/>
          <w:szCs w:val="21"/>
        </w:rPr>
        <w:lastRenderedPageBreak/>
        <w:t xml:space="preserve">TO: </w:t>
      </w:r>
      <w:r w:rsidRPr="00CA2A1F">
        <w:rPr>
          <w:rFonts w:ascii="Arial" w:hAnsi="Arial" w:cs="Arial"/>
          <w:b/>
          <w:bCs/>
          <w:sz w:val="21"/>
          <w:szCs w:val="21"/>
        </w:rPr>
        <w:tab/>
      </w:r>
      <w:r w:rsidRPr="00CA2A1F">
        <w:rPr>
          <w:rFonts w:ascii="Arial" w:hAnsi="Arial" w:cs="Arial"/>
          <w:b/>
          <w:sz w:val="21"/>
          <w:szCs w:val="21"/>
        </w:rPr>
        <w:t>CHANGRAN HUANG</w:t>
      </w:r>
    </w:p>
    <w:p w14:paraId="60C324D6" w14:textId="77777777" w:rsidR="003D60B9" w:rsidRPr="008A0914" w:rsidRDefault="003D60B9" w:rsidP="003D60B9">
      <w:pPr>
        <w:pStyle w:val="CM15"/>
        <w:spacing w:line="280" w:lineRule="exact"/>
        <w:jc w:val="both"/>
        <w:rPr>
          <w:rFonts w:ascii="Arial" w:hAnsi="Arial" w:cs="Arial"/>
          <w:sz w:val="21"/>
          <w:szCs w:val="21"/>
        </w:rPr>
      </w:pPr>
      <w:r w:rsidRPr="008A0914">
        <w:rPr>
          <w:rFonts w:ascii="Arial" w:hAnsi="Arial" w:cs="Arial"/>
          <w:sz w:val="21"/>
          <w:szCs w:val="21"/>
        </w:rPr>
        <w:t>This is a ‘</w:t>
      </w:r>
      <w:r w:rsidRPr="008A0914">
        <w:rPr>
          <w:rFonts w:ascii="Arial" w:hAnsi="Arial" w:cs="Arial"/>
          <w:i/>
          <w:iCs/>
          <w:sz w:val="21"/>
          <w:szCs w:val="21"/>
        </w:rPr>
        <w:t>freezing order</w:t>
      </w:r>
      <w:r w:rsidRPr="008A0914">
        <w:rPr>
          <w:rFonts w:ascii="Arial" w:hAnsi="Arial" w:cs="Arial"/>
          <w:sz w:val="21"/>
          <w:szCs w:val="21"/>
        </w:rPr>
        <w:t>’ made against you on</w:t>
      </w:r>
      <w:r>
        <w:rPr>
          <w:rFonts w:ascii="Arial" w:hAnsi="Arial" w:cs="Arial"/>
          <w:sz w:val="21"/>
          <w:szCs w:val="21"/>
          <w:lang w:eastAsia="en-AU"/>
        </w:rPr>
        <w:t xml:space="preserve"> 21 October  </w:t>
      </w:r>
      <w:r w:rsidRPr="004B34D0">
        <w:rPr>
          <w:rFonts w:ascii="Arial" w:hAnsi="Arial" w:cs="Arial"/>
          <w:sz w:val="21"/>
          <w:szCs w:val="21"/>
          <w:lang w:eastAsia="en-AU"/>
        </w:rPr>
        <w:t>2019</w:t>
      </w:r>
      <w:r>
        <w:rPr>
          <w:rFonts w:cs="Arial"/>
          <w:szCs w:val="22"/>
          <w:lang w:eastAsia="en-AU"/>
        </w:rPr>
        <w:t xml:space="preserve"> </w:t>
      </w:r>
      <w:r w:rsidRPr="008A0914">
        <w:rPr>
          <w:rFonts w:ascii="Arial" w:hAnsi="Arial" w:cs="Arial"/>
          <w:sz w:val="21"/>
          <w:szCs w:val="21"/>
        </w:rPr>
        <w:t>by Justice</w:t>
      </w:r>
      <w:r>
        <w:rPr>
          <w:rFonts w:ascii="Arial" w:hAnsi="Arial" w:cs="Arial"/>
          <w:sz w:val="21"/>
          <w:szCs w:val="21"/>
        </w:rPr>
        <w:t xml:space="preserve"> Jagot  </w:t>
      </w:r>
      <w:r w:rsidRPr="008A0914">
        <w:rPr>
          <w:rFonts w:ascii="Arial" w:hAnsi="Arial" w:cs="Arial"/>
          <w:sz w:val="21"/>
          <w:szCs w:val="21"/>
        </w:rPr>
        <w:t>at a hearing after the Court was given the undertakings set out in Schedule A to this order</w:t>
      </w:r>
      <w:r>
        <w:rPr>
          <w:rFonts w:ascii="Arial" w:hAnsi="Arial" w:cs="Arial"/>
          <w:sz w:val="21"/>
          <w:szCs w:val="21"/>
        </w:rPr>
        <w:t>.</w:t>
      </w:r>
      <w:r w:rsidRPr="008A0914">
        <w:rPr>
          <w:rFonts w:ascii="Arial" w:hAnsi="Arial" w:cs="Arial"/>
          <w:sz w:val="21"/>
          <w:szCs w:val="21"/>
        </w:rPr>
        <w:t xml:space="preserve"> </w:t>
      </w:r>
    </w:p>
    <w:p w14:paraId="39691D54" w14:textId="77777777" w:rsidR="003D60B9" w:rsidRPr="008A0914" w:rsidRDefault="003D60B9" w:rsidP="003D60B9">
      <w:pPr>
        <w:pStyle w:val="CM15"/>
        <w:spacing w:line="280" w:lineRule="exact"/>
        <w:ind w:right="5745"/>
        <w:jc w:val="both"/>
        <w:rPr>
          <w:rFonts w:ascii="Arial" w:hAnsi="Arial" w:cs="Arial"/>
          <w:sz w:val="21"/>
          <w:szCs w:val="21"/>
        </w:rPr>
      </w:pPr>
      <w:r w:rsidRPr="008A0914">
        <w:rPr>
          <w:rFonts w:ascii="Arial" w:hAnsi="Arial" w:cs="Arial"/>
          <w:b/>
          <w:bCs/>
          <w:sz w:val="21"/>
          <w:szCs w:val="21"/>
        </w:rPr>
        <w:t>THE COURT ORDERS</w:t>
      </w:r>
      <w:r w:rsidRPr="008A0914">
        <w:rPr>
          <w:rFonts w:ascii="Arial" w:hAnsi="Arial" w:cs="Arial"/>
          <w:sz w:val="21"/>
          <w:szCs w:val="21"/>
        </w:rPr>
        <w:t>:</w:t>
      </w:r>
    </w:p>
    <w:p w14:paraId="1096F576" w14:textId="77777777" w:rsidR="003D60B9" w:rsidRPr="008A0914" w:rsidRDefault="003D60B9" w:rsidP="003D60B9">
      <w:pPr>
        <w:pStyle w:val="Default"/>
        <w:widowControl w:val="0"/>
        <w:numPr>
          <w:ilvl w:val="0"/>
          <w:numId w:val="31"/>
        </w:numPr>
        <w:spacing w:line="280" w:lineRule="exact"/>
        <w:jc w:val="both"/>
        <w:rPr>
          <w:rFonts w:ascii="Arial" w:hAnsi="Arial" w:cs="Arial"/>
          <w:color w:val="auto"/>
          <w:sz w:val="21"/>
          <w:szCs w:val="21"/>
        </w:rPr>
      </w:pPr>
      <w:r w:rsidRPr="008A0914">
        <w:rPr>
          <w:rFonts w:ascii="Arial" w:hAnsi="Arial" w:cs="Arial"/>
          <w:color w:val="auto"/>
          <w:sz w:val="21"/>
          <w:szCs w:val="21"/>
        </w:rPr>
        <w:t>Subject to the next paragraph, this order has effect</w:t>
      </w:r>
      <w:r>
        <w:rPr>
          <w:rFonts w:ascii="Arial" w:hAnsi="Arial" w:cs="Arial"/>
          <w:color w:val="auto"/>
          <w:sz w:val="21"/>
          <w:szCs w:val="21"/>
        </w:rPr>
        <w:t xml:space="preserve"> until further order.</w:t>
      </w:r>
      <w:r w:rsidRPr="008A0914">
        <w:rPr>
          <w:rFonts w:ascii="Arial" w:hAnsi="Arial" w:cs="Arial"/>
          <w:color w:val="auto"/>
          <w:sz w:val="21"/>
          <w:szCs w:val="21"/>
        </w:rPr>
        <w:br/>
      </w:r>
    </w:p>
    <w:p w14:paraId="0A537075" w14:textId="77777777" w:rsidR="003D60B9" w:rsidRPr="008A0914" w:rsidRDefault="003D60B9" w:rsidP="003D60B9">
      <w:pPr>
        <w:pStyle w:val="Default"/>
        <w:widowControl w:val="0"/>
        <w:numPr>
          <w:ilvl w:val="0"/>
          <w:numId w:val="31"/>
        </w:numPr>
        <w:spacing w:line="280" w:lineRule="exact"/>
        <w:jc w:val="both"/>
        <w:rPr>
          <w:rFonts w:ascii="Arial" w:hAnsi="Arial" w:cs="Arial"/>
          <w:color w:val="auto"/>
          <w:sz w:val="21"/>
          <w:szCs w:val="21"/>
        </w:rPr>
      </w:pPr>
      <w:r w:rsidRPr="008A0914">
        <w:rPr>
          <w:rFonts w:ascii="Arial" w:hAnsi="Arial" w:cs="Arial"/>
          <w:color w:val="auto"/>
          <w:sz w:val="21"/>
          <w:szCs w:val="21"/>
        </w:rPr>
        <w:t xml:space="preserve">Anyone served with or notified of this order, including you, may apply to the Court at any time to vary or discharge this order or so much of it as affects the person served or notified. </w:t>
      </w:r>
    </w:p>
    <w:p w14:paraId="3E0E0202" w14:textId="77777777" w:rsidR="003D60B9" w:rsidRPr="008A0914" w:rsidRDefault="003D60B9" w:rsidP="003D60B9">
      <w:pPr>
        <w:pStyle w:val="Default"/>
        <w:spacing w:line="280" w:lineRule="exact"/>
        <w:jc w:val="both"/>
        <w:rPr>
          <w:rFonts w:ascii="Arial" w:hAnsi="Arial" w:cs="Arial"/>
          <w:color w:val="auto"/>
          <w:sz w:val="21"/>
          <w:szCs w:val="21"/>
        </w:rPr>
      </w:pPr>
    </w:p>
    <w:p w14:paraId="3A6FE7D6" w14:textId="77777777" w:rsidR="003D60B9" w:rsidRPr="0086498C" w:rsidRDefault="003D60B9" w:rsidP="003D60B9">
      <w:pPr>
        <w:pStyle w:val="Default"/>
        <w:widowControl w:val="0"/>
        <w:numPr>
          <w:ilvl w:val="0"/>
          <w:numId w:val="31"/>
        </w:numPr>
        <w:spacing w:line="280" w:lineRule="exact"/>
        <w:jc w:val="both"/>
        <w:rPr>
          <w:rFonts w:ascii="Arial" w:hAnsi="Arial" w:cs="Arial"/>
          <w:color w:val="auto"/>
          <w:sz w:val="21"/>
          <w:szCs w:val="21"/>
        </w:rPr>
      </w:pPr>
      <w:r w:rsidRPr="008A0914">
        <w:rPr>
          <w:rFonts w:ascii="Arial" w:hAnsi="Arial" w:cs="Arial"/>
          <w:color w:val="auto"/>
          <w:sz w:val="21"/>
          <w:szCs w:val="21"/>
        </w:rPr>
        <w:t>In this order:</w:t>
      </w:r>
    </w:p>
    <w:p w14:paraId="721DBFCD" w14:textId="77777777" w:rsidR="003D60B9" w:rsidRPr="008A0914" w:rsidRDefault="003D60B9" w:rsidP="003D60B9">
      <w:pPr>
        <w:pStyle w:val="Default"/>
        <w:spacing w:line="280" w:lineRule="exact"/>
        <w:ind w:left="720"/>
        <w:jc w:val="both"/>
        <w:rPr>
          <w:rFonts w:ascii="Arial" w:hAnsi="Arial" w:cs="Arial"/>
          <w:color w:val="auto"/>
          <w:sz w:val="21"/>
          <w:szCs w:val="21"/>
        </w:rPr>
      </w:pPr>
      <w:r w:rsidRPr="008A0914">
        <w:rPr>
          <w:rFonts w:ascii="Arial" w:hAnsi="Arial" w:cs="Arial"/>
          <w:color w:val="auto"/>
          <w:sz w:val="21"/>
          <w:szCs w:val="21"/>
        </w:rPr>
        <w:t>(a)</w:t>
      </w:r>
      <w:r w:rsidRPr="008A0914">
        <w:rPr>
          <w:rFonts w:ascii="Arial" w:hAnsi="Arial" w:cs="Arial"/>
          <w:color w:val="auto"/>
          <w:sz w:val="21"/>
          <w:szCs w:val="21"/>
        </w:rPr>
        <w:tab/>
        <w:t>‘applicant’, if there is more than one applicant, includes all the applicants;</w:t>
      </w:r>
    </w:p>
    <w:p w14:paraId="7A540B1D" w14:textId="77777777" w:rsidR="003D60B9" w:rsidRPr="008A0914" w:rsidRDefault="003D60B9" w:rsidP="003D60B9">
      <w:pPr>
        <w:pStyle w:val="Default"/>
        <w:spacing w:line="280" w:lineRule="exact"/>
        <w:ind w:left="1440" w:hanging="720"/>
        <w:jc w:val="both"/>
        <w:rPr>
          <w:rFonts w:ascii="Arial" w:hAnsi="Arial" w:cs="Arial"/>
          <w:color w:val="auto"/>
          <w:sz w:val="21"/>
          <w:szCs w:val="21"/>
        </w:rPr>
      </w:pPr>
      <w:r w:rsidRPr="008A0914">
        <w:rPr>
          <w:rFonts w:ascii="Arial" w:hAnsi="Arial" w:cs="Arial"/>
          <w:color w:val="auto"/>
          <w:sz w:val="21"/>
          <w:szCs w:val="21"/>
        </w:rPr>
        <w:t>(b)</w:t>
      </w:r>
      <w:r w:rsidRPr="008A0914">
        <w:rPr>
          <w:rFonts w:ascii="Arial" w:hAnsi="Arial" w:cs="Arial"/>
          <w:color w:val="auto"/>
          <w:sz w:val="21"/>
          <w:szCs w:val="21"/>
        </w:rPr>
        <w:tab/>
        <w:t xml:space="preserve">‘you’, where there is more than one of you, includes all of you and includes you if you are a corporation; </w:t>
      </w:r>
    </w:p>
    <w:p w14:paraId="053B4A41" w14:textId="77777777" w:rsidR="003D60B9" w:rsidRPr="008A0914" w:rsidRDefault="003D60B9" w:rsidP="003D60B9">
      <w:pPr>
        <w:pStyle w:val="Default"/>
        <w:spacing w:line="280" w:lineRule="exact"/>
        <w:ind w:left="720"/>
        <w:jc w:val="both"/>
        <w:rPr>
          <w:rFonts w:ascii="Arial" w:hAnsi="Arial" w:cs="Arial"/>
          <w:color w:val="auto"/>
          <w:sz w:val="21"/>
          <w:szCs w:val="21"/>
        </w:rPr>
      </w:pPr>
      <w:r w:rsidRPr="008A0914">
        <w:rPr>
          <w:rFonts w:ascii="Arial" w:hAnsi="Arial" w:cs="Arial"/>
          <w:color w:val="auto"/>
          <w:sz w:val="21"/>
          <w:szCs w:val="21"/>
        </w:rPr>
        <w:t>(c)</w:t>
      </w:r>
      <w:r w:rsidRPr="008A0914">
        <w:rPr>
          <w:rFonts w:ascii="Arial" w:hAnsi="Arial" w:cs="Arial"/>
          <w:color w:val="auto"/>
          <w:sz w:val="21"/>
          <w:szCs w:val="21"/>
        </w:rPr>
        <w:tab/>
        <w:t xml:space="preserve">‘third party’ means a person other than you and the applicant; </w:t>
      </w:r>
    </w:p>
    <w:p w14:paraId="4E9C56AF" w14:textId="77777777" w:rsidR="003D60B9" w:rsidRPr="008A0914" w:rsidRDefault="003D60B9" w:rsidP="003D60B9">
      <w:pPr>
        <w:pStyle w:val="Default"/>
        <w:spacing w:line="280" w:lineRule="exact"/>
        <w:ind w:left="1440" w:hanging="720"/>
        <w:jc w:val="both"/>
        <w:rPr>
          <w:rFonts w:ascii="Arial" w:hAnsi="Arial" w:cs="Arial"/>
          <w:color w:val="auto"/>
          <w:sz w:val="21"/>
          <w:szCs w:val="21"/>
        </w:rPr>
      </w:pPr>
      <w:r w:rsidRPr="008A0914">
        <w:rPr>
          <w:rFonts w:ascii="Arial" w:hAnsi="Arial" w:cs="Arial"/>
          <w:color w:val="auto"/>
          <w:sz w:val="21"/>
          <w:szCs w:val="21"/>
        </w:rPr>
        <w:t>(d)</w:t>
      </w:r>
      <w:r w:rsidRPr="008A0914">
        <w:rPr>
          <w:rFonts w:ascii="Arial" w:hAnsi="Arial" w:cs="Arial"/>
          <w:color w:val="auto"/>
          <w:sz w:val="21"/>
          <w:szCs w:val="21"/>
        </w:rPr>
        <w:tab/>
        <w:t xml:space="preserve">‘unencumbered value’ means value free of mortgages, charges, liens or other encumbrances. </w:t>
      </w:r>
      <w:r w:rsidRPr="008A0914">
        <w:rPr>
          <w:rFonts w:ascii="Arial" w:hAnsi="Arial" w:cs="Arial"/>
          <w:color w:val="auto"/>
          <w:sz w:val="21"/>
          <w:szCs w:val="21"/>
        </w:rPr>
        <w:br/>
      </w:r>
    </w:p>
    <w:p w14:paraId="5EB664D1" w14:textId="77777777" w:rsidR="003D60B9" w:rsidRPr="008A0914" w:rsidRDefault="003D60B9" w:rsidP="003D60B9">
      <w:pPr>
        <w:pStyle w:val="Default"/>
        <w:spacing w:line="280" w:lineRule="exact"/>
        <w:ind w:left="720" w:hanging="720"/>
        <w:jc w:val="both"/>
        <w:rPr>
          <w:rFonts w:ascii="Arial" w:hAnsi="Arial" w:cs="Arial"/>
          <w:color w:val="auto"/>
          <w:sz w:val="21"/>
          <w:szCs w:val="21"/>
        </w:rPr>
      </w:pPr>
      <w:r w:rsidRPr="008A0914">
        <w:rPr>
          <w:rFonts w:ascii="Arial" w:hAnsi="Arial" w:cs="Arial"/>
          <w:color w:val="auto"/>
          <w:sz w:val="21"/>
          <w:szCs w:val="21"/>
        </w:rPr>
        <w:t>5.</w:t>
      </w:r>
      <w:r w:rsidRPr="008A0914">
        <w:rPr>
          <w:rFonts w:ascii="Arial" w:hAnsi="Arial" w:cs="Arial"/>
          <w:color w:val="auto"/>
          <w:sz w:val="21"/>
          <w:szCs w:val="21"/>
        </w:rPr>
        <w:tab/>
        <w:t>(a)</w:t>
      </w:r>
      <w:r w:rsidRPr="008A0914">
        <w:rPr>
          <w:rFonts w:ascii="Arial" w:hAnsi="Arial" w:cs="Arial"/>
          <w:color w:val="auto"/>
          <w:sz w:val="21"/>
          <w:szCs w:val="21"/>
        </w:rPr>
        <w:tab/>
        <w:t xml:space="preserve">If you are ordered to do something, you must do it by yourself or through </w:t>
      </w:r>
      <w:r w:rsidRPr="008A0914">
        <w:rPr>
          <w:rFonts w:ascii="Arial" w:hAnsi="Arial" w:cs="Arial"/>
          <w:color w:val="auto"/>
          <w:sz w:val="21"/>
          <w:szCs w:val="21"/>
        </w:rPr>
        <w:tab/>
        <w:t xml:space="preserve">directors, officers, partners, employees, agents or others acting on your behalf </w:t>
      </w:r>
    </w:p>
    <w:p w14:paraId="16469FB0" w14:textId="77777777" w:rsidR="003D60B9" w:rsidRPr="008A0914" w:rsidRDefault="003D60B9" w:rsidP="003D60B9">
      <w:pPr>
        <w:pStyle w:val="Default"/>
        <w:spacing w:line="280" w:lineRule="exact"/>
        <w:ind w:left="2160" w:hanging="720"/>
        <w:jc w:val="both"/>
        <w:rPr>
          <w:rFonts w:ascii="Arial" w:hAnsi="Arial" w:cs="Arial"/>
          <w:color w:val="auto"/>
          <w:sz w:val="21"/>
          <w:szCs w:val="21"/>
        </w:rPr>
      </w:pPr>
      <w:r w:rsidRPr="008A0914">
        <w:rPr>
          <w:rFonts w:ascii="Arial" w:hAnsi="Arial" w:cs="Arial"/>
          <w:color w:val="auto"/>
          <w:sz w:val="21"/>
          <w:szCs w:val="21"/>
        </w:rPr>
        <w:t xml:space="preserve">or on your instructions. </w:t>
      </w:r>
    </w:p>
    <w:p w14:paraId="2E68DCC9" w14:textId="77777777" w:rsidR="003D60B9" w:rsidRPr="008A0914" w:rsidRDefault="003D60B9" w:rsidP="003D60B9">
      <w:pPr>
        <w:pStyle w:val="CM17"/>
        <w:spacing w:after="240" w:line="280" w:lineRule="exact"/>
        <w:ind w:left="1440" w:hanging="720"/>
        <w:jc w:val="both"/>
        <w:rPr>
          <w:rFonts w:ascii="Arial" w:hAnsi="Arial" w:cs="Arial"/>
          <w:sz w:val="21"/>
          <w:szCs w:val="21"/>
        </w:rPr>
      </w:pPr>
      <w:r w:rsidRPr="008A0914">
        <w:rPr>
          <w:rFonts w:ascii="Arial" w:hAnsi="Arial" w:cs="Arial"/>
          <w:sz w:val="21"/>
          <w:szCs w:val="21"/>
        </w:rPr>
        <w:t>(b)</w:t>
      </w:r>
      <w:r w:rsidRPr="008A0914">
        <w:rPr>
          <w:rFonts w:ascii="Arial" w:hAnsi="Arial" w:cs="Arial"/>
          <w:sz w:val="21"/>
          <w:szCs w:val="21"/>
        </w:rPr>
        <w:tab/>
        <w:t>If you are ordered not to do something, you must not do it yourself or through directors, officers, partners, employees, agents or others acting on your behalf or on your instructions or with your encouragement or in any other way.</w:t>
      </w:r>
    </w:p>
    <w:p w14:paraId="07EAC731" w14:textId="77777777" w:rsidR="003D60B9" w:rsidRPr="008A0914" w:rsidRDefault="003D60B9" w:rsidP="003D60B9">
      <w:pPr>
        <w:pStyle w:val="CM17"/>
        <w:spacing w:after="120" w:line="280" w:lineRule="exact"/>
        <w:jc w:val="both"/>
        <w:rPr>
          <w:rFonts w:ascii="Arial" w:hAnsi="Arial" w:cs="Arial"/>
          <w:b/>
          <w:bCs/>
          <w:sz w:val="21"/>
          <w:szCs w:val="21"/>
        </w:rPr>
      </w:pPr>
      <w:r w:rsidRPr="008A0914">
        <w:rPr>
          <w:rFonts w:ascii="Arial" w:hAnsi="Arial" w:cs="Arial"/>
          <w:b/>
          <w:bCs/>
          <w:sz w:val="21"/>
          <w:szCs w:val="21"/>
        </w:rPr>
        <w:t>FREEZING OF ASSETS</w:t>
      </w:r>
    </w:p>
    <w:p w14:paraId="54E850CE" w14:textId="77777777" w:rsidR="003D60B9" w:rsidRPr="008A0914" w:rsidRDefault="003D60B9" w:rsidP="003D60B9">
      <w:pPr>
        <w:pStyle w:val="CM8"/>
        <w:spacing w:line="280" w:lineRule="exact"/>
        <w:ind w:left="1440" w:hanging="1440"/>
        <w:jc w:val="both"/>
        <w:rPr>
          <w:rFonts w:ascii="Arial" w:hAnsi="Arial" w:cs="Arial"/>
          <w:sz w:val="21"/>
          <w:szCs w:val="21"/>
        </w:rPr>
      </w:pPr>
      <w:r w:rsidRPr="008A0914">
        <w:rPr>
          <w:rFonts w:ascii="Arial" w:hAnsi="Arial" w:cs="Arial"/>
          <w:sz w:val="21"/>
          <w:szCs w:val="21"/>
        </w:rPr>
        <w:t>6.</w:t>
      </w:r>
    </w:p>
    <w:p w14:paraId="6F70DCE7" w14:textId="77777777" w:rsidR="003D60B9" w:rsidRDefault="003D60B9" w:rsidP="003D60B9">
      <w:pPr>
        <w:pStyle w:val="CM8"/>
        <w:spacing w:line="280" w:lineRule="exact"/>
        <w:ind w:left="1440" w:hanging="720"/>
        <w:jc w:val="both"/>
        <w:rPr>
          <w:rFonts w:ascii="Arial" w:hAnsi="Arial" w:cs="Arial"/>
          <w:sz w:val="21"/>
          <w:szCs w:val="21"/>
        </w:rPr>
      </w:pPr>
      <w:r w:rsidRPr="008A0914">
        <w:rPr>
          <w:rFonts w:ascii="Arial" w:hAnsi="Arial" w:cs="Arial"/>
          <w:sz w:val="21"/>
          <w:szCs w:val="21"/>
        </w:rPr>
        <w:t>(a)</w:t>
      </w:r>
      <w:r w:rsidRPr="008A0914">
        <w:rPr>
          <w:rFonts w:ascii="Arial" w:hAnsi="Arial" w:cs="Arial"/>
          <w:sz w:val="21"/>
          <w:szCs w:val="21"/>
        </w:rPr>
        <w:tab/>
        <w:t>You must not remove from Australia or in any way dispose of, deal with or diminish the value of an</w:t>
      </w:r>
      <w:r w:rsidRPr="007E376E">
        <w:rPr>
          <w:rFonts w:ascii="Arial" w:hAnsi="Arial" w:cs="Arial"/>
          <w:sz w:val="21"/>
          <w:szCs w:val="21"/>
        </w:rPr>
        <w:t>y of your assets in Australia (‘</w:t>
      </w:r>
      <w:r w:rsidRPr="007E376E">
        <w:rPr>
          <w:rFonts w:ascii="Arial" w:hAnsi="Arial" w:cs="Arial"/>
          <w:b/>
          <w:sz w:val="21"/>
          <w:szCs w:val="21"/>
        </w:rPr>
        <w:t>Australian assets</w:t>
      </w:r>
      <w:r w:rsidRPr="007E376E">
        <w:rPr>
          <w:rFonts w:ascii="Arial" w:hAnsi="Arial" w:cs="Arial"/>
          <w:sz w:val="21"/>
          <w:szCs w:val="21"/>
        </w:rPr>
        <w:t>’) up to the unencumbered value of AUD$</w:t>
      </w:r>
      <w:r w:rsidRPr="000432C5">
        <w:rPr>
          <w:rFonts w:ascii="Arial" w:hAnsi="Arial" w:cs="Arial"/>
          <w:sz w:val="21"/>
          <w:szCs w:val="21"/>
        </w:rPr>
        <w:t>140</w:t>
      </w:r>
      <w:r>
        <w:rPr>
          <w:rFonts w:ascii="Arial" w:hAnsi="Arial" w:cs="Arial"/>
          <w:sz w:val="21"/>
          <w:szCs w:val="21"/>
        </w:rPr>
        <w:t>,</w:t>
      </w:r>
      <w:r w:rsidRPr="000432C5">
        <w:rPr>
          <w:rFonts w:ascii="Arial" w:hAnsi="Arial" w:cs="Arial"/>
          <w:sz w:val="21"/>
          <w:szCs w:val="21"/>
        </w:rPr>
        <w:t>823</w:t>
      </w:r>
      <w:r>
        <w:rPr>
          <w:rFonts w:ascii="Arial" w:hAnsi="Arial" w:cs="Arial"/>
          <w:sz w:val="21"/>
          <w:szCs w:val="21"/>
        </w:rPr>
        <w:t>,</w:t>
      </w:r>
      <w:r w:rsidRPr="000432C5">
        <w:rPr>
          <w:rFonts w:ascii="Arial" w:hAnsi="Arial" w:cs="Arial"/>
          <w:sz w:val="21"/>
          <w:szCs w:val="21"/>
        </w:rPr>
        <w:t>109.76</w:t>
      </w:r>
      <w:r w:rsidRPr="006B0C42">
        <w:rPr>
          <w:rFonts w:ascii="Arial" w:hAnsi="Arial" w:cs="Arial"/>
          <w:sz w:val="21"/>
          <w:szCs w:val="21"/>
        </w:rPr>
        <w:t xml:space="preserve"> </w:t>
      </w:r>
      <w:r w:rsidRPr="008A0914">
        <w:rPr>
          <w:rFonts w:ascii="Arial" w:hAnsi="Arial" w:cs="Arial"/>
          <w:sz w:val="21"/>
          <w:szCs w:val="21"/>
        </w:rPr>
        <w:t>(‘</w:t>
      </w:r>
      <w:r w:rsidRPr="008A0914">
        <w:rPr>
          <w:rFonts w:ascii="Arial" w:hAnsi="Arial" w:cs="Arial"/>
          <w:b/>
          <w:bCs/>
          <w:sz w:val="21"/>
          <w:szCs w:val="21"/>
        </w:rPr>
        <w:t>the Relevant Amount’</w:t>
      </w:r>
      <w:r w:rsidRPr="008A0914">
        <w:rPr>
          <w:rFonts w:ascii="Arial" w:hAnsi="Arial" w:cs="Arial"/>
          <w:sz w:val="21"/>
          <w:szCs w:val="21"/>
        </w:rPr>
        <w:t>) other than to make payment to the Commissioner of Taxation.</w:t>
      </w:r>
    </w:p>
    <w:p w14:paraId="57D7839A" w14:textId="77777777" w:rsidR="003D60B9" w:rsidRPr="007E376E" w:rsidRDefault="003D60B9" w:rsidP="003D60B9">
      <w:pPr>
        <w:pStyle w:val="Default"/>
      </w:pPr>
    </w:p>
    <w:p w14:paraId="01E08430" w14:textId="77777777" w:rsidR="003D60B9" w:rsidRPr="008A0914" w:rsidRDefault="003D60B9" w:rsidP="003D60B9">
      <w:pPr>
        <w:pStyle w:val="CM3"/>
        <w:spacing w:line="280" w:lineRule="exact"/>
        <w:ind w:left="1440" w:hanging="720"/>
        <w:jc w:val="both"/>
        <w:rPr>
          <w:rFonts w:ascii="Arial" w:hAnsi="Arial" w:cs="Arial"/>
          <w:sz w:val="21"/>
          <w:szCs w:val="21"/>
        </w:rPr>
      </w:pPr>
      <w:r w:rsidRPr="008A0914">
        <w:rPr>
          <w:rFonts w:ascii="Arial" w:hAnsi="Arial" w:cs="Arial"/>
          <w:sz w:val="21"/>
          <w:szCs w:val="21"/>
        </w:rPr>
        <w:t>(b)</w:t>
      </w:r>
      <w:r w:rsidRPr="008A0914">
        <w:rPr>
          <w:rFonts w:ascii="Arial" w:hAnsi="Arial" w:cs="Arial"/>
          <w:sz w:val="21"/>
          <w:szCs w:val="21"/>
        </w:rPr>
        <w:tab/>
        <w:t xml:space="preserve">If the unencumbered value of your Australian assets exceeds the Relevant Amount, you may remove any of those assets from Australia or dispose of or deal with them or diminish their value, so long as the total unencumbered value of your Australian assets still exceeds the Relevant Amount. </w:t>
      </w:r>
    </w:p>
    <w:p w14:paraId="1D3BE5BA" w14:textId="77777777" w:rsidR="003D60B9" w:rsidRPr="008A0914" w:rsidRDefault="003D60B9" w:rsidP="003D60B9">
      <w:pPr>
        <w:pStyle w:val="CM9"/>
        <w:spacing w:line="280" w:lineRule="exact"/>
        <w:jc w:val="both"/>
        <w:rPr>
          <w:rFonts w:ascii="Arial" w:hAnsi="Arial" w:cs="Arial"/>
          <w:sz w:val="21"/>
          <w:szCs w:val="21"/>
        </w:rPr>
      </w:pPr>
      <w:r w:rsidRPr="008A0914">
        <w:rPr>
          <w:rFonts w:ascii="Arial" w:hAnsi="Arial" w:cs="Arial"/>
          <w:sz w:val="21"/>
          <w:szCs w:val="21"/>
        </w:rPr>
        <w:br w:type="page"/>
      </w:r>
    </w:p>
    <w:p w14:paraId="1DE8E492" w14:textId="77777777" w:rsidR="003D60B9" w:rsidRPr="008A0914" w:rsidRDefault="003D60B9" w:rsidP="003D60B9">
      <w:pPr>
        <w:pStyle w:val="CM3"/>
        <w:spacing w:line="280" w:lineRule="exact"/>
        <w:ind w:left="1440" w:hanging="720"/>
        <w:jc w:val="both"/>
        <w:rPr>
          <w:rFonts w:ascii="Arial" w:hAnsi="Arial" w:cs="Arial"/>
          <w:sz w:val="21"/>
          <w:szCs w:val="21"/>
        </w:rPr>
      </w:pPr>
      <w:r w:rsidRPr="008A0914">
        <w:rPr>
          <w:rFonts w:ascii="Arial" w:hAnsi="Arial" w:cs="Arial"/>
          <w:sz w:val="21"/>
          <w:szCs w:val="21"/>
        </w:rPr>
        <w:lastRenderedPageBreak/>
        <w:t>(c)</w:t>
      </w:r>
      <w:r w:rsidRPr="008A0914">
        <w:rPr>
          <w:rFonts w:ascii="Arial" w:hAnsi="Arial" w:cs="Arial"/>
          <w:sz w:val="21"/>
          <w:szCs w:val="21"/>
        </w:rPr>
        <w:tab/>
        <w:t>If the unencumbered value of your Australian assets is less than the Relevant Amount, and you have assets outside Australia (‘</w:t>
      </w:r>
      <w:r w:rsidRPr="001940FB">
        <w:rPr>
          <w:rFonts w:ascii="Arial" w:hAnsi="Arial" w:cs="Arial"/>
          <w:b/>
          <w:sz w:val="21"/>
          <w:szCs w:val="21"/>
        </w:rPr>
        <w:t>ex-Australian assets</w:t>
      </w:r>
      <w:r w:rsidRPr="008A0914">
        <w:rPr>
          <w:rFonts w:ascii="Arial" w:hAnsi="Arial" w:cs="Arial"/>
          <w:sz w:val="21"/>
          <w:szCs w:val="21"/>
        </w:rPr>
        <w:t xml:space="preserve">’): </w:t>
      </w:r>
    </w:p>
    <w:p w14:paraId="0A9570E9" w14:textId="77777777" w:rsidR="003D60B9" w:rsidRPr="008A0914" w:rsidRDefault="003D60B9" w:rsidP="003D60B9">
      <w:pPr>
        <w:pStyle w:val="Default"/>
        <w:spacing w:line="280" w:lineRule="exact"/>
        <w:ind w:left="2160" w:hanging="720"/>
        <w:jc w:val="both"/>
        <w:rPr>
          <w:rFonts w:ascii="Arial" w:hAnsi="Arial" w:cs="Arial"/>
          <w:color w:val="auto"/>
          <w:sz w:val="21"/>
          <w:szCs w:val="21"/>
        </w:rPr>
      </w:pPr>
      <w:r w:rsidRPr="008A0914">
        <w:rPr>
          <w:rFonts w:ascii="Arial" w:hAnsi="Arial" w:cs="Arial"/>
          <w:color w:val="auto"/>
          <w:sz w:val="21"/>
          <w:szCs w:val="21"/>
        </w:rPr>
        <w:t>(i)</w:t>
      </w:r>
      <w:r w:rsidRPr="008A0914">
        <w:rPr>
          <w:rFonts w:ascii="Arial" w:hAnsi="Arial" w:cs="Arial"/>
          <w:color w:val="auto"/>
          <w:sz w:val="21"/>
          <w:szCs w:val="21"/>
        </w:rPr>
        <w:tab/>
        <w:t xml:space="preserve">You must not dispose of, deal with or diminish the value of any of your Australian assets and ex-Australian assets up to the unencumbered value of your Australian and ex-Australian assets of the Relevant Amount; and </w:t>
      </w:r>
    </w:p>
    <w:p w14:paraId="22195325" w14:textId="77777777" w:rsidR="003D60B9" w:rsidRPr="008A0914" w:rsidRDefault="003D60B9" w:rsidP="003D60B9">
      <w:pPr>
        <w:pStyle w:val="Default"/>
        <w:spacing w:line="280" w:lineRule="exact"/>
        <w:ind w:left="2160" w:hanging="720"/>
        <w:jc w:val="both"/>
        <w:rPr>
          <w:rFonts w:ascii="Arial" w:hAnsi="Arial" w:cs="Arial"/>
          <w:color w:val="auto"/>
          <w:sz w:val="21"/>
          <w:szCs w:val="21"/>
        </w:rPr>
      </w:pPr>
      <w:r w:rsidRPr="008A0914">
        <w:rPr>
          <w:rFonts w:ascii="Arial" w:hAnsi="Arial" w:cs="Arial"/>
          <w:color w:val="auto"/>
          <w:sz w:val="21"/>
          <w:szCs w:val="21"/>
        </w:rPr>
        <w:t>(ii)</w:t>
      </w:r>
      <w:r w:rsidRPr="008A0914">
        <w:rPr>
          <w:rFonts w:ascii="Arial" w:hAnsi="Arial" w:cs="Arial"/>
          <w:color w:val="auto"/>
          <w:sz w:val="21"/>
          <w:szCs w:val="21"/>
        </w:rPr>
        <w:tab/>
        <w:t>You may dispose of, deal with or diminish the value of any of your ex-Australian assets, so long as the unencumbered value of your Australian assets and ex-Australian assets still exceeds the Relevant Amount.</w:t>
      </w:r>
    </w:p>
    <w:p w14:paraId="40976445" w14:textId="77777777" w:rsidR="003D60B9" w:rsidRPr="008A0914" w:rsidRDefault="003D60B9" w:rsidP="003D60B9">
      <w:pPr>
        <w:pStyle w:val="Default"/>
        <w:spacing w:line="280" w:lineRule="exact"/>
        <w:ind w:left="720"/>
        <w:jc w:val="both"/>
        <w:rPr>
          <w:rFonts w:ascii="Arial" w:hAnsi="Arial" w:cs="Arial"/>
          <w:color w:val="auto"/>
          <w:sz w:val="21"/>
          <w:szCs w:val="21"/>
        </w:rPr>
      </w:pPr>
    </w:p>
    <w:p w14:paraId="0AEE7CE4" w14:textId="77777777" w:rsidR="003D60B9" w:rsidRPr="008A0914" w:rsidRDefault="003D60B9" w:rsidP="003D60B9">
      <w:pPr>
        <w:pStyle w:val="CM2"/>
        <w:spacing w:line="280" w:lineRule="exact"/>
        <w:ind w:left="720" w:hanging="720"/>
        <w:jc w:val="both"/>
        <w:rPr>
          <w:rFonts w:ascii="Arial" w:hAnsi="Arial" w:cs="Arial"/>
          <w:sz w:val="21"/>
          <w:szCs w:val="21"/>
        </w:rPr>
      </w:pPr>
      <w:r w:rsidRPr="008A0914">
        <w:rPr>
          <w:rFonts w:ascii="Arial" w:hAnsi="Arial" w:cs="Arial"/>
          <w:sz w:val="21"/>
          <w:szCs w:val="21"/>
        </w:rPr>
        <w:t>7.</w:t>
      </w:r>
      <w:r w:rsidRPr="008A0914">
        <w:rPr>
          <w:rFonts w:ascii="Arial" w:hAnsi="Arial" w:cs="Arial"/>
          <w:sz w:val="21"/>
          <w:szCs w:val="21"/>
        </w:rPr>
        <w:tab/>
        <w:t>For the purposes of this order,</w:t>
      </w:r>
    </w:p>
    <w:p w14:paraId="7A39F7CA" w14:textId="77777777" w:rsidR="003D60B9" w:rsidRPr="008A0914" w:rsidRDefault="003D60B9" w:rsidP="003D60B9">
      <w:pPr>
        <w:pStyle w:val="Default"/>
        <w:spacing w:line="280" w:lineRule="exact"/>
        <w:ind w:left="720"/>
        <w:jc w:val="both"/>
        <w:rPr>
          <w:rFonts w:ascii="Arial" w:hAnsi="Arial" w:cs="Arial"/>
          <w:color w:val="auto"/>
          <w:sz w:val="21"/>
          <w:szCs w:val="21"/>
        </w:rPr>
      </w:pPr>
      <w:r w:rsidRPr="008A0914">
        <w:rPr>
          <w:rFonts w:ascii="Arial" w:hAnsi="Arial" w:cs="Arial"/>
          <w:color w:val="auto"/>
          <w:sz w:val="21"/>
          <w:szCs w:val="21"/>
        </w:rPr>
        <w:t>(a)</w:t>
      </w:r>
      <w:r w:rsidRPr="008A0914">
        <w:rPr>
          <w:rFonts w:ascii="Arial" w:hAnsi="Arial" w:cs="Arial"/>
          <w:color w:val="auto"/>
          <w:sz w:val="21"/>
          <w:szCs w:val="21"/>
        </w:rPr>
        <w:tab/>
        <w:t>your assets include:</w:t>
      </w:r>
    </w:p>
    <w:p w14:paraId="1CE3ECBB" w14:textId="77777777" w:rsidR="003D60B9" w:rsidRPr="008A0914" w:rsidRDefault="003D60B9" w:rsidP="003D60B9">
      <w:pPr>
        <w:pStyle w:val="Default"/>
        <w:spacing w:line="280" w:lineRule="exact"/>
        <w:ind w:left="2160" w:hanging="720"/>
        <w:jc w:val="both"/>
        <w:rPr>
          <w:rFonts w:ascii="Arial" w:hAnsi="Arial" w:cs="Arial"/>
          <w:color w:val="auto"/>
          <w:sz w:val="21"/>
          <w:szCs w:val="21"/>
        </w:rPr>
      </w:pPr>
      <w:r w:rsidRPr="008A0914">
        <w:rPr>
          <w:rFonts w:ascii="Arial" w:hAnsi="Arial" w:cs="Arial"/>
          <w:color w:val="auto"/>
          <w:sz w:val="21"/>
          <w:szCs w:val="21"/>
        </w:rPr>
        <w:t xml:space="preserve">(i) </w:t>
      </w:r>
      <w:r w:rsidRPr="008A0914">
        <w:rPr>
          <w:rFonts w:ascii="Arial" w:hAnsi="Arial" w:cs="Arial"/>
          <w:color w:val="auto"/>
          <w:sz w:val="21"/>
          <w:szCs w:val="21"/>
        </w:rPr>
        <w:tab/>
        <w:t>all your assets, whether or not they are in your name and whether they are solely or co-owned;</w:t>
      </w:r>
    </w:p>
    <w:p w14:paraId="6EFD8E95" w14:textId="77777777" w:rsidR="003D60B9" w:rsidRPr="008A0914" w:rsidRDefault="003D60B9" w:rsidP="003D60B9">
      <w:pPr>
        <w:pStyle w:val="Default"/>
        <w:spacing w:line="280" w:lineRule="exact"/>
        <w:ind w:left="2160" w:hanging="720"/>
        <w:jc w:val="both"/>
        <w:rPr>
          <w:rFonts w:ascii="Arial" w:hAnsi="Arial" w:cs="Arial"/>
          <w:color w:val="auto"/>
          <w:sz w:val="21"/>
          <w:szCs w:val="21"/>
        </w:rPr>
      </w:pPr>
      <w:r w:rsidRPr="008A0914">
        <w:rPr>
          <w:rFonts w:ascii="Arial" w:hAnsi="Arial" w:cs="Arial"/>
          <w:color w:val="auto"/>
          <w:sz w:val="21"/>
          <w:szCs w:val="21"/>
        </w:rPr>
        <w:t xml:space="preserve">(ii) </w:t>
      </w:r>
      <w:r w:rsidRPr="008A0914">
        <w:rPr>
          <w:rFonts w:ascii="Arial" w:hAnsi="Arial" w:cs="Arial"/>
          <w:color w:val="auto"/>
          <w:sz w:val="21"/>
          <w:szCs w:val="21"/>
        </w:rPr>
        <w:tab/>
        <w:t xml:space="preserve">any asset which you have the power, directly or indirectly, to dispose of or deal with as if it were your own (you are to be regarded as having such power if a third party holds or controls the asset in accordance with your direct or indirect instructions); and </w:t>
      </w:r>
    </w:p>
    <w:p w14:paraId="1053E35E" w14:textId="77777777" w:rsidR="003D60B9" w:rsidRPr="008A0914" w:rsidRDefault="003D60B9" w:rsidP="003D60B9">
      <w:pPr>
        <w:pStyle w:val="Default"/>
        <w:spacing w:line="280" w:lineRule="exact"/>
        <w:ind w:left="1440"/>
        <w:jc w:val="both"/>
        <w:rPr>
          <w:rFonts w:ascii="Arial" w:hAnsi="Arial" w:cs="Arial"/>
          <w:color w:val="auto"/>
          <w:sz w:val="21"/>
          <w:szCs w:val="21"/>
        </w:rPr>
      </w:pPr>
      <w:r w:rsidRPr="008A0914">
        <w:rPr>
          <w:rFonts w:ascii="Arial" w:hAnsi="Arial" w:cs="Arial"/>
          <w:color w:val="auto"/>
          <w:sz w:val="21"/>
          <w:szCs w:val="21"/>
        </w:rPr>
        <w:t xml:space="preserve">(iii) </w:t>
      </w:r>
      <w:r w:rsidRPr="008A0914">
        <w:rPr>
          <w:rFonts w:ascii="Arial" w:hAnsi="Arial" w:cs="Arial"/>
          <w:color w:val="auto"/>
          <w:sz w:val="21"/>
          <w:szCs w:val="21"/>
        </w:rPr>
        <w:tab/>
        <w:t>the following asset in particular, the real property at:</w:t>
      </w:r>
    </w:p>
    <w:p w14:paraId="7D463CB9" w14:textId="77777777" w:rsidR="003D60B9" w:rsidRPr="005F1F11" w:rsidRDefault="003D60B9" w:rsidP="003D60B9">
      <w:pPr>
        <w:pStyle w:val="Default"/>
        <w:widowControl w:val="0"/>
        <w:numPr>
          <w:ilvl w:val="0"/>
          <w:numId w:val="32"/>
        </w:numPr>
        <w:spacing w:line="280" w:lineRule="exact"/>
        <w:jc w:val="both"/>
        <w:rPr>
          <w:rStyle w:val="CharSchPTNo"/>
          <w:rFonts w:ascii="Arial" w:hAnsi="Arial" w:cs="Arial"/>
          <w:color w:val="auto"/>
          <w:sz w:val="21"/>
          <w:szCs w:val="21"/>
        </w:rPr>
      </w:pPr>
      <w:r w:rsidRPr="005F1F11">
        <w:rPr>
          <w:rStyle w:val="CharSchPTNo"/>
          <w:rFonts w:ascii="Arial" w:hAnsi="Arial" w:cs="Arial"/>
          <w:sz w:val="21"/>
          <w:szCs w:val="21"/>
        </w:rPr>
        <w:t>31 Douglas Ave, Chatswood NSW 2067;</w:t>
      </w:r>
    </w:p>
    <w:p w14:paraId="0A949286" w14:textId="77777777" w:rsidR="003D60B9" w:rsidRPr="005F1F11" w:rsidRDefault="003D60B9" w:rsidP="003D60B9">
      <w:pPr>
        <w:pStyle w:val="Default"/>
        <w:widowControl w:val="0"/>
        <w:numPr>
          <w:ilvl w:val="0"/>
          <w:numId w:val="32"/>
        </w:numPr>
        <w:spacing w:line="280" w:lineRule="exact"/>
        <w:jc w:val="both"/>
        <w:rPr>
          <w:rFonts w:ascii="Arial" w:hAnsi="Arial" w:cs="Arial"/>
          <w:color w:val="auto"/>
          <w:sz w:val="21"/>
          <w:szCs w:val="21"/>
        </w:rPr>
      </w:pPr>
      <w:r w:rsidRPr="005F1F11">
        <w:rPr>
          <w:rStyle w:val="CharSchPTNo"/>
          <w:rFonts w:ascii="Arial" w:hAnsi="Arial" w:cs="Arial"/>
          <w:sz w:val="21"/>
          <w:szCs w:val="21"/>
        </w:rPr>
        <w:t>Unit 5205, 438 Victoria Ave, Chatswood NSW 2067; and</w:t>
      </w:r>
    </w:p>
    <w:p w14:paraId="00C5E857" w14:textId="77777777" w:rsidR="003D60B9" w:rsidRPr="005F1F11" w:rsidRDefault="003D60B9" w:rsidP="003D60B9">
      <w:pPr>
        <w:pStyle w:val="Default"/>
        <w:widowControl w:val="0"/>
        <w:numPr>
          <w:ilvl w:val="0"/>
          <w:numId w:val="32"/>
        </w:numPr>
        <w:spacing w:line="280" w:lineRule="exact"/>
        <w:jc w:val="both"/>
        <w:rPr>
          <w:rFonts w:ascii="Arial" w:hAnsi="Arial" w:cs="Arial"/>
          <w:color w:val="auto"/>
          <w:sz w:val="21"/>
          <w:szCs w:val="21"/>
        </w:rPr>
      </w:pPr>
      <w:r w:rsidRPr="005F1F11">
        <w:rPr>
          <w:rStyle w:val="CharSchPTNo"/>
          <w:rFonts w:ascii="Arial" w:hAnsi="Arial" w:cs="Arial"/>
          <w:sz w:val="21"/>
          <w:szCs w:val="21"/>
        </w:rPr>
        <w:t>Flat B,36/F, Tower 5, Bel-Air on the Peak Island South (Phase 4), 68 Belair Peak Avenue</w:t>
      </w:r>
    </w:p>
    <w:p w14:paraId="436EF3EC" w14:textId="77777777" w:rsidR="003D60B9" w:rsidRPr="008A0914" w:rsidRDefault="003D60B9" w:rsidP="003D60B9">
      <w:pPr>
        <w:pStyle w:val="Default"/>
        <w:spacing w:line="280" w:lineRule="exact"/>
        <w:ind w:left="1440" w:hanging="720"/>
        <w:jc w:val="both"/>
        <w:rPr>
          <w:rFonts w:ascii="Arial" w:hAnsi="Arial" w:cs="Arial"/>
          <w:color w:val="auto"/>
          <w:sz w:val="21"/>
          <w:szCs w:val="21"/>
        </w:rPr>
      </w:pPr>
      <w:r w:rsidRPr="008A0914">
        <w:rPr>
          <w:rFonts w:ascii="Arial" w:hAnsi="Arial" w:cs="Arial"/>
          <w:color w:val="auto"/>
          <w:sz w:val="21"/>
          <w:szCs w:val="21"/>
        </w:rPr>
        <w:t>(b)</w:t>
      </w:r>
      <w:r w:rsidRPr="008A0914">
        <w:rPr>
          <w:rFonts w:ascii="Arial" w:hAnsi="Arial" w:cs="Arial"/>
          <w:color w:val="auto"/>
          <w:sz w:val="21"/>
          <w:szCs w:val="21"/>
        </w:rPr>
        <w:tab/>
        <w:t>the value of your assets is the value of the interest you have individually in your assets.</w:t>
      </w:r>
    </w:p>
    <w:p w14:paraId="129085EC" w14:textId="77777777" w:rsidR="003D60B9" w:rsidRDefault="003D60B9" w:rsidP="003D60B9">
      <w:pPr>
        <w:pStyle w:val="Default"/>
        <w:spacing w:line="280" w:lineRule="exact"/>
        <w:jc w:val="both"/>
        <w:rPr>
          <w:rFonts w:ascii="Arial" w:hAnsi="Arial" w:cs="Arial"/>
          <w:color w:val="auto"/>
          <w:sz w:val="21"/>
          <w:szCs w:val="21"/>
        </w:rPr>
      </w:pPr>
    </w:p>
    <w:p w14:paraId="4D6E5DDD" w14:textId="77777777" w:rsidR="003D60B9" w:rsidRPr="008A0914" w:rsidRDefault="003D60B9" w:rsidP="003D60B9">
      <w:pPr>
        <w:pStyle w:val="CM15"/>
        <w:spacing w:line="280" w:lineRule="exact"/>
        <w:jc w:val="both"/>
        <w:rPr>
          <w:rFonts w:ascii="Arial" w:hAnsi="Arial" w:cs="Arial"/>
          <w:sz w:val="21"/>
          <w:szCs w:val="21"/>
        </w:rPr>
      </w:pPr>
      <w:r>
        <w:rPr>
          <w:rFonts w:ascii="Arial" w:hAnsi="Arial" w:cs="Arial"/>
          <w:b/>
          <w:bCs/>
          <w:sz w:val="21"/>
          <w:szCs w:val="21"/>
        </w:rPr>
        <w:t>PROVISION OF INFORMATION</w:t>
      </w:r>
    </w:p>
    <w:p w14:paraId="1E13CACB" w14:textId="77777777" w:rsidR="003D60B9" w:rsidRPr="00A939D9" w:rsidRDefault="003D60B9" w:rsidP="003D60B9">
      <w:pPr>
        <w:pStyle w:val="CM15"/>
        <w:numPr>
          <w:ilvl w:val="0"/>
          <w:numId w:val="35"/>
        </w:numPr>
        <w:spacing w:after="0" w:line="280" w:lineRule="exact"/>
        <w:jc w:val="both"/>
        <w:rPr>
          <w:rFonts w:ascii="Arial" w:hAnsi="Arial" w:cs="Arial"/>
          <w:sz w:val="21"/>
          <w:szCs w:val="21"/>
        </w:rPr>
      </w:pPr>
      <w:r>
        <w:rPr>
          <w:rFonts w:ascii="Arial" w:hAnsi="Arial" w:cs="Arial"/>
          <w:sz w:val="21"/>
          <w:szCs w:val="21"/>
        </w:rPr>
        <w:t xml:space="preserve">  (a) Subject to paragraph 9, you must </w:t>
      </w:r>
      <w:r w:rsidRPr="00E762C9">
        <w:rPr>
          <w:rFonts w:ascii="Arial" w:hAnsi="Arial" w:cs="Arial"/>
          <w:sz w:val="21"/>
          <w:szCs w:val="21"/>
        </w:rPr>
        <w:t xml:space="preserve">at or before </w:t>
      </w:r>
      <w:r>
        <w:rPr>
          <w:rFonts w:ascii="Arial" w:hAnsi="Arial" w:cs="Arial"/>
          <w:sz w:val="21"/>
          <w:szCs w:val="21"/>
        </w:rPr>
        <w:t xml:space="preserve"> 11 November 2019 </w:t>
      </w:r>
      <w:r w:rsidRPr="00E762C9">
        <w:rPr>
          <w:rFonts w:ascii="Arial" w:hAnsi="Arial" w:cs="Arial"/>
          <w:sz w:val="21"/>
          <w:szCs w:val="21"/>
        </w:rPr>
        <w:t xml:space="preserve">(or within such further time as the Court may allow) swear and serve on the applicant an affidavit setting out all of your assets </w:t>
      </w:r>
      <w:r>
        <w:rPr>
          <w:rFonts w:ascii="Arial" w:hAnsi="Arial" w:cs="Arial"/>
          <w:sz w:val="21"/>
          <w:szCs w:val="21"/>
        </w:rPr>
        <w:t xml:space="preserve">within Australia, </w:t>
      </w:r>
      <w:r w:rsidRPr="00A939D9">
        <w:rPr>
          <w:rFonts w:ascii="Arial" w:hAnsi="Arial" w:cs="Arial"/>
          <w:sz w:val="21"/>
          <w:szCs w:val="21"/>
        </w:rPr>
        <w:t>giving their value, location and details (including any mortgages, charges or other encumbrances to which they are subject) and the extent of your interest in the assets.</w:t>
      </w:r>
    </w:p>
    <w:p w14:paraId="7857899C" w14:textId="77777777" w:rsidR="003D60B9" w:rsidRPr="000432C5" w:rsidRDefault="003D60B9" w:rsidP="003D60B9">
      <w:pPr>
        <w:pStyle w:val="Default"/>
      </w:pPr>
    </w:p>
    <w:p w14:paraId="51472AE5" w14:textId="77777777" w:rsidR="003D60B9" w:rsidRPr="00A939D9" w:rsidRDefault="003D60B9" w:rsidP="003D60B9">
      <w:pPr>
        <w:pStyle w:val="CM15"/>
        <w:spacing w:after="0" w:line="280" w:lineRule="exact"/>
        <w:ind w:left="709"/>
        <w:jc w:val="both"/>
        <w:rPr>
          <w:rFonts w:ascii="Arial" w:hAnsi="Arial" w:cs="Arial"/>
          <w:sz w:val="21"/>
          <w:szCs w:val="21"/>
        </w:rPr>
      </w:pPr>
      <w:r>
        <w:rPr>
          <w:rFonts w:ascii="Arial" w:hAnsi="Arial" w:cs="Arial"/>
          <w:sz w:val="21"/>
          <w:szCs w:val="21"/>
        </w:rPr>
        <w:t xml:space="preserve">(b) Subject to paragraph 9, you must </w:t>
      </w:r>
      <w:r w:rsidRPr="00E762C9">
        <w:rPr>
          <w:rFonts w:ascii="Arial" w:hAnsi="Arial" w:cs="Arial"/>
          <w:sz w:val="21"/>
          <w:szCs w:val="21"/>
        </w:rPr>
        <w:t xml:space="preserve">at or before </w:t>
      </w:r>
      <w:r>
        <w:rPr>
          <w:rFonts w:ascii="Arial" w:hAnsi="Arial" w:cs="Arial"/>
          <w:sz w:val="21"/>
          <w:szCs w:val="21"/>
        </w:rPr>
        <w:t xml:space="preserve">11 November 2019 </w:t>
      </w:r>
      <w:r w:rsidRPr="00E762C9">
        <w:rPr>
          <w:rFonts w:ascii="Arial" w:hAnsi="Arial" w:cs="Arial"/>
          <w:sz w:val="21"/>
          <w:szCs w:val="21"/>
        </w:rPr>
        <w:t>(or within such furth</w:t>
      </w:r>
      <w:r>
        <w:rPr>
          <w:rFonts w:ascii="Arial" w:hAnsi="Arial" w:cs="Arial"/>
          <w:sz w:val="21"/>
          <w:szCs w:val="21"/>
        </w:rPr>
        <w:t xml:space="preserve">er time as the Court may allow) swear and </w:t>
      </w:r>
      <w:r w:rsidRPr="00E762C9">
        <w:rPr>
          <w:rFonts w:ascii="Arial" w:hAnsi="Arial" w:cs="Arial"/>
          <w:sz w:val="21"/>
          <w:szCs w:val="21"/>
        </w:rPr>
        <w:t xml:space="preserve">serve on the applicant </w:t>
      </w:r>
      <w:r w:rsidRPr="00A939D9">
        <w:rPr>
          <w:rFonts w:ascii="Arial" w:hAnsi="Arial" w:cs="Arial"/>
          <w:sz w:val="21"/>
          <w:szCs w:val="21"/>
        </w:rPr>
        <w:t>an affidavit setting out all of your assets outside Australia, giving their value, location and details (including any mortgages, charges or other encumbrances to which they are subject) and the extent of your interest in the assets.</w:t>
      </w:r>
    </w:p>
    <w:p w14:paraId="32456B88" w14:textId="77777777" w:rsidR="003D60B9" w:rsidRDefault="003D60B9" w:rsidP="003D60B9">
      <w:pPr>
        <w:pStyle w:val="CM15"/>
        <w:spacing w:after="0" w:line="280" w:lineRule="exact"/>
        <w:ind w:left="709"/>
        <w:jc w:val="both"/>
        <w:rPr>
          <w:rFonts w:ascii="Arial" w:hAnsi="Arial" w:cs="Arial"/>
          <w:sz w:val="21"/>
          <w:szCs w:val="21"/>
        </w:rPr>
      </w:pPr>
    </w:p>
    <w:p w14:paraId="2C3B202B" w14:textId="77777777" w:rsidR="003D60B9" w:rsidRDefault="003D60B9" w:rsidP="003D60B9">
      <w:pPr>
        <w:pStyle w:val="CM15"/>
        <w:numPr>
          <w:ilvl w:val="0"/>
          <w:numId w:val="35"/>
        </w:numPr>
        <w:spacing w:after="0" w:line="280" w:lineRule="exact"/>
        <w:jc w:val="both"/>
        <w:rPr>
          <w:rFonts w:ascii="Arial" w:hAnsi="Arial" w:cs="Arial"/>
          <w:sz w:val="21"/>
          <w:szCs w:val="21"/>
        </w:rPr>
      </w:pPr>
      <w:r>
        <w:rPr>
          <w:rFonts w:ascii="Arial" w:hAnsi="Arial" w:cs="Arial"/>
          <w:sz w:val="21"/>
          <w:szCs w:val="21"/>
        </w:rPr>
        <w:t xml:space="preserve">  (a) </w:t>
      </w:r>
      <w:r w:rsidRPr="006B0C42">
        <w:rPr>
          <w:rFonts w:ascii="Arial" w:hAnsi="Arial" w:cs="Arial"/>
          <w:sz w:val="21"/>
          <w:szCs w:val="21"/>
        </w:rPr>
        <w:t>This paragraph (9) applies if you are not a corporation and you wish to object to complying with paragraph 8 on the grounds that some or all of the information required to be disclosed may tend to prove that you:</w:t>
      </w:r>
    </w:p>
    <w:p w14:paraId="734DCA57" w14:textId="77777777" w:rsidR="003D60B9" w:rsidRPr="008A0914" w:rsidRDefault="003D60B9" w:rsidP="003D60B9">
      <w:pPr>
        <w:pStyle w:val="Default"/>
        <w:spacing w:line="280" w:lineRule="exact"/>
        <w:ind w:left="1440" w:hanging="731"/>
        <w:jc w:val="both"/>
        <w:rPr>
          <w:rFonts w:ascii="Arial" w:hAnsi="Arial" w:cs="Arial"/>
          <w:color w:val="auto"/>
          <w:sz w:val="21"/>
          <w:szCs w:val="21"/>
        </w:rPr>
      </w:pPr>
      <w:r w:rsidRPr="008A0914">
        <w:rPr>
          <w:rFonts w:ascii="Arial" w:hAnsi="Arial" w:cs="Arial"/>
          <w:color w:val="auto"/>
          <w:sz w:val="21"/>
          <w:szCs w:val="21"/>
        </w:rPr>
        <w:t xml:space="preserve">(i) </w:t>
      </w:r>
      <w:r w:rsidRPr="008A0914">
        <w:rPr>
          <w:rFonts w:ascii="Arial" w:hAnsi="Arial" w:cs="Arial"/>
          <w:color w:val="auto"/>
          <w:sz w:val="21"/>
          <w:szCs w:val="21"/>
        </w:rPr>
        <w:tab/>
      </w:r>
      <w:r w:rsidRPr="006B0C42">
        <w:rPr>
          <w:rFonts w:ascii="Arial" w:hAnsi="Arial" w:cs="Arial"/>
          <w:color w:val="auto"/>
          <w:sz w:val="21"/>
          <w:szCs w:val="21"/>
        </w:rPr>
        <w:t>have committed an offence against or arising under an Australian law or a law of a foreign country; or</w:t>
      </w:r>
    </w:p>
    <w:p w14:paraId="0A5858B4" w14:textId="77777777" w:rsidR="003D60B9" w:rsidRPr="008A0914" w:rsidRDefault="003D60B9" w:rsidP="003D60B9">
      <w:pPr>
        <w:pStyle w:val="Default"/>
        <w:spacing w:line="280" w:lineRule="exact"/>
        <w:ind w:left="709"/>
        <w:jc w:val="both"/>
        <w:rPr>
          <w:rFonts w:ascii="Arial" w:hAnsi="Arial" w:cs="Arial"/>
          <w:color w:val="auto"/>
          <w:sz w:val="21"/>
          <w:szCs w:val="21"/>
        </w:rPr>
      </w:pPr>
      <w:r w:rsidRPr="008A0914">
        <w:rPr>
          <w:rFonts w:ascii="Arial" w:hAnsi="Arial" w:cs="Arial"/>
          <w:color w:val="auto"/>
          <w:sz w:val="21"/>
          <w:szCs w:val="21"/>
        </w:rPr>
        <w:t xml:space="preserve">(ii) </w:t>
      </w:r>
      <w:r w:rsidRPr="008A0914">
        <w:rPr>
          <w:rFonts w:ascii="Arial" w:hAnsi="Arial" w:cs="Arial"/>
          <w:color w:val="auto"/>
          <w:sz w:val="21"/>
          <w:szCs w:val="21"/>
        </w:rPr>
        <w:tab/>
      </w:r>
      <w:r w:rsidRPr="006B0C42">
        <w:rPr>
          <w:rFonts w:ascii="Arial" w:hAnsi="Arial" w:cs="Arial"/>
          <w:color w:val="auto"/>
          <w:sz w:val="21"/>
          <w:szCs w:val="21"/>
        </w:rPr>
        <w:t>are liable to a civil penalty.</w:t>
      </w:r>
    </w:p>
    <w:p w14:paraId="7A4FB6D9" w14:textId="77777777" w:rsidR="003D60B9" w:rsidRPr="006B0C42" w:rsidRDefault="003D60B9" w:rsidP="003D60B9">
      <w:pPr>
        <w:pStyle w:val="Default"/>
        <w:ind w:left="709"/>
      </w:pPr>
    </w:p>
    <w:p w14:paraId="5F268B48" w14:textId="77777777" w:rsidR="003D60B9" w:rsidRDefault="003D60B9" w:rsidP="003D60B9">
      <w:pPr>
        <w:pStyle w:val="CM15"/>
        <w:spacing w:after="0" w:line="280" w:lineRule="exact"/>
        <w:ind w:left="709"/>
        <w:jc w:val="both"/>
        <w:rPr>
          <w:rFonts w:ascii="Arial" w:hAnsi="Arial" w:cs="Arial"/>
          <w:sz w:val="21"/>
          <w:szCs w:val="21"/>
        </w:rPr>
      </w:pPr>
      <w:r>
        <w:rPr>
          <w:rFonts w:ascii="Arial" w:hAnsi="Arial" w:cs="Arial"/>
          <w:sz w:val="21"/>
          <w:szCs w:val="21"/>
        </w:rPr>
        <w:t xml:space="preserve">(b) </w:t>
      </w:r>
      <w:r w:rsidRPr="006B0C42">
        <w:rPr>
          <w:rFonts w:ascii="Arial" w:hAnsi="Arial" w:cs="Arial"/>
          <w:sz w:val="21"/>
          <w:szCs w:val="21"/>
        </w:rPr>
        <w:t xml:space="preserve">This paragraph (9) also applies if you are a corporation and all of the persons who are able to comply with paragraph 8 on your behalf and with whom you have been able to communicate, wish to object to your complying with paragraph 8 on the grounds that some </w:t>
      </w:r>
      <w:r w:rsidRPr="006B0C42">
        <w:rPr>
          <w:rFonts w:ascii="Arial" w:hAnsi="Arial" w:cs="Arial"/>
          <w:sz w:val="21"/>
          <w:szCs w:val="21"/>
        </w:rPr>
        <w:lastRenderedPageBreak/>
        <w:t xml:space="preserve">or all of the information required to be disclosed may tend </w:t>
      </w:r>
      <w:r>
        <w:rPr>
          <w:rFonts w:ascii="Arial" w:hAnsi="Arial" w:cs="Arial"/>
          <w:sz w:val="21"/>
          <w:szCs w:val="21"/>
        </w:rPr>
        <w:t>to prove that they respectively</w:t>
      </w:r>
      <w:r w:rsidRPr="006B0C42">
        <w:rPr>
          <w:rFonts w:ascii="Arial" w:hAnsi="Arial" w:cs="Arial"/>
          <w:sz w:val="21"/>
          <w:szCs w:val="21"/>
        </w:rPr>
        <w:t>:</w:t>
      </w:r>
    </w:p>
    <w:p w14:paraId="64BA2B16" w14:textId="77777777" w:rsidR="003D60B9" w:rsidRPr="008A0914" w:rsidRDefault="003D60B9" w:rsidP="003D60B9">
      <w:pPr>
        <w:pStyle w:val="Default"/>
        <w:spacing w:line="280" w:lineRule="exact"/>
        <w:ind w:left="1440" w:hanging="686"/>
        <w:jc w:val="both"/>
        <w:rPr>
          <w:rFonts w:ascii="Arial" w:hAnsi="Arial" w:cs="Arial"/>
          <w:color w:val="auto"/>
          <w:sz w:val="21"/>
          <w:szCs w:val="21"/>
        </w:rPr>
      </w:pPr>
      <w:r w:rsidRPr="008A0914">
        <w:rPr>
          <w:rFonts w:ascii="Arial" w:hAnsi="Arial" w:cs="Arial"/>
          <w:color w:val="auto"/>
          <w:sz w:val="21"/>
          <w:szCs w:val="21"/>
        </w:rPr>
        <w:t xml:space="preserve">(i) </w:t>
      </w:r>
      <w:r w:rsidRPr="008A0914">
        <w:rPr>
          <w:rFonts w:ascii="Arial" w:hAnsi="Arial" w:cs="Arial"/>
          <w:color w:val="auto"/>
          <w:sz w:val="21"/>
          <w:szCs w:val="21"/>
        </w:rPr>
        <w:tab/>
      </w:r>
      <w:r w:rsidRPr="006B0C42">
        <w:rPr>
          <w:rFonts w:ascii="Arial" w:hAnsi="Arial" w:cs="Arial"/>
          <w:color w:val="auto"/>
          <w:sz w:val="21"/>
          <w:szCs w:val="21"/>
        </w:rPr>
        <w:t>have committed an offence against or arising under an Australian law or a law of a foreign country; or</w:t>
      </w:r>
    </w:p>
    <w:p w14:paraId="5513D457" w14:textId="77777777" w:rsidR="003D60B9" w:rsidRPr="008A0914" w:rsidRDefault="003D60B9" w:rsidP="003D60B9">
      <w:pPr>
        <w:pStyle w:val="Default"/>
        <w:spacing w:line="280" w:lineRule="exact"/>
        <w:ind w:left="709"/>
        <w:jc w:val="both"/>
        <w:rPr>
          <w:rFonts w:ascii="Arial" w:hAnsi="Arial" w:cs="Arial"/>
          <w:color w:val="auto"/>
          <w:sz w:val="21"/>
          <w:szCs w:val="21"/>
        </w:rPr>
      </w:pPr>
      <w:r w:rsidRPr="008A0914">
        <w:rPr>
          <w:rFonts w:ascii="Arial" w:hAnsi="Arial" w:cs="Arial"/>
          <w:color w:val="auto"/>
          <w:sz w:val="21"/>
          <w:szCs w:val="21"/>
        </w:rPr>
        <w:t xml:space="preserve">(ii) </w:t>
      </w:r>
      <w:r w:rsidRPr="008A0914">
        <w:rPr>
          <w:rFonts w:ascii="Arial" w:hAnsi="Arial" w:cs="Arial"/>
          <w:color w:val="auto"/>
          <w:sz w:val="21"/>
          <w:szCs w:val="21"/>
        </w:rPr>
        <w:tab/>
      </w:r>
      <w:r w:rsidRPr="006B0C42">
        <w:rPr>
          <w:rFonts w:ascii="Arial" w:hAnsi="Arial" w:cs="Arial"/>
          <w:color w:val="auto"/>
          <w:sz w:val="21"/>
          <w:szCs w:val="21"/>
        </w:rPr>
        <w:t>are liable to a civil penalty.</w:t>
      </w:r>
    </w:p>
    <w:p w14:paraId="74C5F647" w14:textId="77777777" w:rsidR="003D60B9" w:rsidRDefault="003D60B9" w:rsidP="003D60B9">
      <w:pPr>
        <w:pStyle w:val="NormalWeb"/>
        <w:shd w:val="clear" w:color="auto" w:fill="FFFFFF"/>
        <w:spacing w:after="300"/>
        <w:textAlignment w:val="baseline"/>
        <w:rPr>
          <w:rFonts w:ascii="Arial" w:hAnsi="Arial" w:cs="Arial"/>
          <w:color w:val="3A3A3A"/>
          <w:sz w:val="18"/>
          <w:szCs w:val="18"/>
        </w:rPr>
      </w:pPr>
    </w:p>
    <w:p w14:paraId="6985F87A" w14:textId="77777777" w:rsidR="003D60B9" w:rsidRDefault="003D60B9" w:rsidP="003D60B9">
      <w:pPr>
        <w:pStyle w:val="CM15"/>
        <w:spacing w:after="0" w:line="280" w:lineRule="exact"/>
        <w:ind w:left="709"/>
        <w:jc w:val="both"/>
        <w:rPr>
          <w:rFonts w:ascii="Arial" w:hAnsi="Arial" w:cs="Arial"/>
          <w:sz w:val="21"/>
          <w:szCs w:val="21"/>
        </w:rPr>
      </w:pPr>
      <w:r>
        <w:rPr>
          <w:rFonts w:ascii="Arial" w:hAnsi="Arial" w:cs="Arial"/>
          <w:sz w:val="21"/>
          <w:szCs w:val="21"/>
        </w:rPr>
        <w:t>(c) You must:</w:t>
      </w:r>
    </w:p>
    <w:p w14:paraId="539A55BB" w14:textId="77777777" w:rsidR="003D60B9" w:rsidRPr="008A0914" w:rsidRDefault="003D60B9" w:rsidP="003D60B9">
      <w:pPr>
        <w:pStyle w:val="Default"/>
        <w:spacing w:line="280" w:lineRule="exact"/>
        <w:ind w:left="1440" w:hanging="686"/>
        <w:jc w:val="both"/>
        <w:rPr>
          <w:rFonts w:ascii="Arial" w:hAnsi="Arial" w:cs="Arial"/>
          <w:color w:val="auto"/>
          <w:sz w:val="21"/>
          <w:szCs w:val="21"/>
        </w:rPr>
      </w:pPr>
      <w:r w:rsidRPr="008A0914">
        <w:rPr>
          <w:rFonts w:ascii="Arial" w:hAnsi="Arial" w:cs="Arial"/>
          <w:color w:val="auto"/>
          <w:sz w:val="21"/>
          <w:szCs w:val="21"/>
        </w:rPr>
        <w:t xml:space="preserve">(i) </w:t>
      </w:r>
      <w:r w:rsidRPr="008A0914">
        <w:rPr>
          <w:rFonts w:ascii="Arial" w:hAnsi="Arial" w:cs="Arial"/>
          <w:color w:val="auto"/>
          <w:sz w:val="21"/>
          <w:szCs w:val="21"/>
        </w:rPr>
        <w:tab/>
      </w:r>
      <w:r w:rsidRPr="006B0C42">
        <w:rPr>
          <w:rFonts w:ascii="Arial" w:hAnsi="Arial" w:cs="Arial"/>
          <w:color w:val="auto"/>
          <w:sz w:val="21"/>
          <w:szCs w:val="21"/>
        </w:rPr>
        <w:t>disclose so much of the information required to be disclosed to which no objection is taken; and</w:t>
      </w:r>
    </w:p>
    <w:p w14:paraId="62D7D8F9" w14:textId="77777777" w:rsidR="003D60B9" w:rsidRDefault="003D60B9" w:rsidP="003D60B9">
      <w:pPr>
        <w:pStyle w:val="Default"/>
        <w:spacing w:line="280" w:lineRule="exact"/>
        <w:ind w:left="1440" w:hanging="731"/>
        <w:jc w:val="both"/>
        <w:rPr>
          <w:rFonts w:ascii="Arial" w:hAnsi="Arial" w:cs="Arial"/>
          <w:color w:val="auto"/>
          <w:sz w:val="21"/>
          <w:szCs w:val="21"/>
        </w:rPr>
      </w:pPr>
      <w:r w:rsidRPr="008A0914">
        <w:rPr>
          <w:rFonts w:ascii="Arial" w:hAnsi="Arial" w:cs="Arial"/>
          <w:color w:val="auto"/>
          <w:sz w:val="21"/>
          <w:szCs w:val="21"/>
        </w:rPr>
        <w:t xml:space="preserve">(ii) </w:t>
      </w:r>
      <w:r w:rsidRPr="008A0914">
        <w:rPr>
          <w:rFonts w:ascii="Arial" w:hAnsi="Arial" w:cs="Arial"/>
          <w:color w:val="auto"/>
          <w:sz w:val="21"/>
          <w:szCs w:val="21"/>
        </w:rPr>
        <w:tab/>
      </w:r>
      <w:r w:rsidRPr="006B0C42">
        <w:rPr>
          <w:rFonts w:ascii="Arial" w:hAnsi="Arial" w:cs="Arial"/>
          <w:color w:val="auto"/>
          <w:sz w:val="21"/>
          <w:szCs w:val="21"/>
        </w:rPr>
        <w:t>prepare an affidavit containing so much of the information required to be disclosed to which objection is taken, and deliver it to the Court in a sealed envelope; and</w:t>
      </w:r>
    </w:p>
    <w:p w14:paraId="0DABB3D5" w14:textId="77777777" w:rsidR="003D60B9" w:rsidRDefault="003D60B9" w:rsidP="003D60B9">
      <w:pPr>
        <w:pStyle w:val="Default"/>
        <w:spacing w:line="280" w:lineRule="exact"/>
        <w:ind w:left="1440" w:hanging="686"/>
        <w:jc w:val="both"/>
        <w:rPr>
          <w:rFonts w:ascii="Arial" w:hAnsi="Arial" w:cs="Arial"/>
          <w:color w:val="auto"/>
          <w:sz w:val="21"/>
          <w:szCs w:val="21"/>
        </w:rPr>
      </w:pPr>
      <w:r w:rsidRPr="008A0914">
        <w:rPr>
          <w:rFonts w:ascii="Arial" w:hAnsi="Arial" w:cs="Arial"/>
          <w:color w:val="auto"/>
          <w:sz w:val="21"/>
          <w:szCs w:val="21"/>
        </w:rPr>
        <w:t>(i</w:t>
      </w:r>
      <w:r>
        <w:rPr>
          <w:rFonts w:ascii="Arial" w:hAnsi="Arial" w:cs="Arial"/>
          <w:color w:val="auto"/>
          <w:sz w:val="21"/>
          <w:szCs w:val="21"/>
        </w:rPr>
        <w:t>ii</w:t>
      </w:r>
      <w:r w:rsidRPr="008A0914">
        <w:rPr>
          <w:rFonts w:ascii="Arial" w:hAnsi="Arial" w:cs="Arial"/>
          <w:color w:val="auto"/>
          <w:sz w:val="21"/>
          <w:szCs w:val="21"/>
        </w:rPr>
        <w:t xml:space="preserve">) </w:t>
      </w:r>
      <w:r w:rsidRPr="008A0914">
        <w:rPr>
          <w:rFonts w:ascii="Arial" w:hAnsi="Arial" w:cs="Arial"/>
          <w:color w:val="auto"/>
          <w:sz w:val="21"/>
          <w:szCs w:val="21"/>
        </w:rPr>
        <w:tab/>
      </w:r>
      <w:r w:rsidRPr="006B0C42">
        <w:rPr>
          <w:rFonts w:ascii="Arial" w:hAnsi="Arial" w:cs="Arial"/>
          <w:color w:val="auto"/>
          <w:sz w:val="21"/>
          <w:szCs w:val="21"/>
        </w:rPr>
        <w:t>file and serve on each other party a separate affidavit setting out the basis of the objection.</w:t>
      </w:r>
    </w:p>
    <w:p w14:paraId="0F1EB106" w14:textId="77777777" w:rsidR="003D60B9" w:rsidRPr="008A0914" w:rsidRDefault="003D60B9" w:rsidP="003D60B9">
      <w:pPr>
        <w:pStyle w:val="Default"/>
        <w:spacing w:line="280" w:lineRule="exact"/>
        <w:ind w:left="1440" w:hanging="686"/>
        <w:jc w:val="both"/>
        <w:rPr>
          <w:rFonts w:ascii="Arial" w:hAnsi="Arial" w:cs="Arial"/>
          <w:color w:val="auto"/>
          <w:sz w:val="21"/>
          <w:szCs w:val="21"/>
        </w:rPr>
      </w:pPr>
    </w:p>
    <w:p w14:paraId="2779E0F6" w14:textId="77777777" w:rsidR="003D60B9" w:rsidRPr="008A0914" w:rsidRDefault="003D60B9" w:rsidP="003D60B9">
      <w:pPr>
        <w:pStyle w:val="CM15"/>
        <w:spacing w:line="280" w:lineRule="exact"/>
        <w:jc w:val="both"/>
        <w:rPr>
          <w:rFonts w:ascii="Arial" w:hAnsi="Arial" w:cs="Arial"/>
          <w:sz w:val="21"/>
          <w:szCs w:val="21"/>
        </w:rPr>
      </w:pPr>
      <w:r w:rsidRPr="008A0914">
        <w:rPr>
          <w:rFonts w:ascii="Arial" w:hAnsi="Arial" w:cs="Arial"/>
          <w:b/>
          <w:bCs/>
          <w:sz w:val="21"/>
          <w:szCs w:val="21"/>
        </w:rPr>
        <w:t xml:space="preserve">EXCEPTIONS TO THIS ORDER </w:t>
      </w:r>
    </w:p>
    <w:p w14:paraId="09B81689" w14:textId="77777777" w:rsidR="003D60B9" w:rsidRPr="008A0914" w:rsidRDefault="003D60B9" w:rsidP="003D60B9">
      <w:pPr>
        <w:pStyle w:val="CM15"/>
        <w:spacing w:after="0" w:line="280" w:lineRule="exact"/>
        <w:ind w:left="720" w:hanging="720"/>
        <w:jc w:val="both"/>
        <w:rPr>
          <w:rFonts w:ascii="Arial" w:hAnsi="Arial" w:cs="Arial"/>
          <w:sz w:val="21"/>
          <w:szCs w:val="21"/>
        </w:rPr>
      </w:pPr>
      <w:r>
        <w:rPr>
          <w:rFonts w:ascii="Arial" w:hAnsi="Arial" w:cs="Arial"/>
          <w:sz w:val="21"/>
          <w:szCs w:val="21"/>
        </w:rPr>
        <w:t>10</w:t>
      </w:r>
      <w:r w:rsidRPr="008A0914">
        <w:rPr>
          <w:rFonts w:ascii="Arial" w:hAnsi="Arial" w:cs="Arial"/>
          <w:sz w:val="21"/>
          <w:szCs w:val="21"/>
        </w:rPr>
        <w:t xml:space="preserve">. </w:t>
      </w:r>
      <w:r w:rsidRPr="008A0914">
        <w:rPr>
          <w:rFonts w:ascii="Arial" w:hAnsi="Arial" w:cs="Arial"/>
          <w:sz w:val="21"/>
          <w:szCs w:val="21"/>
        </w:rPr>
        <w:tab/>
        <w:t>This order does not prohibit you from</w:t>
      </w:r>
      <w:r>
        <w:rPr>
          <w:rFonts w:ascii="Arial" w:hAnsi="Arial" w:cs="Arial"/>
          <w:sz w:val="21"/>
          <w:szCs w:val="21"/>
        </w:rPr>
        <w:t xml:space="preserve"> </w:t>
      </w:r>
      <w:r>
        <w:rPr>
          <w:rFonts w:ascii="Arial" w:hAnsi="Arial" w:cs="Arial"/>
          <w:sz w:val="21"/>
          <w:szCs w:val="21"/>
          <w:u w:val="single"/>
        </w:rPr>
        <w:t>using your ex-Australian assets for the purposes of</w:t>
      </w:r>
      <w:r w:rsidRPr="008A0914">
        <w:rPr>
          <w:rFonts w:ascii="Arial" w:hAnsi="Arial" w:cs="Arial"/>
          <w:sz w:val="21"/>
          <w:szCs w:val="21"/>
        </w:rPr>
        <w:t xml:space="preserve">: </w:t>
      </w:r>
    </w:p>
    <w:p w14:paraId="76453F16" w14:textId="77777777" w:rsidR="003D60B9" w:rsidRPr="008A0914" w:rsidRDefault="003D60B9" w:rsidP="003D60B9">
      <w:pPr>
        <w:pStyle w:val="Default"/>
        <w:spacing w:line="280" w:lineRule="exact"/>
        <w:ind w:firstLine="720"/>
        <w:jc w:val="both"/>
        <w:rPr>
          <w:rFonts w:ascii="Arial" w:hAnsi="Arial" w:cs="Arial"/>
          <w:color w:val="auto"/>
          <w:sz w:val="21"/>
          <w:szCs w:val="21"/>
        </w:rPr>
      </w:pPr>
      <w:r w:rsidRPr="008A0914">
        <w:rPr>
          <w:rFonts w:ascii="Arial" w:hAnsi="Arial" w:cs="Arial"/>
          <w:color w:val="auto"/>
          <w:sz w:val="21"/>
          <w:szCs w:val="21"/>
        </w:rPr>
        <w:t>(a)</w:t>
      </w:r>
      <w:r w:rsidRPr="008A0914">
        <w:rPr>
          <w:rFonts w:ascii="Arial" w:hAnsi="Arial" w:cs="Arial"/>
          <w:color w:val="auto"/>
          <w:sz w:val="21"/>
          <w:szCs w:val="21"/>
        </w:rPr>
        <w:tab/>
        <w:t>paying up t</w:t>
      </w:r>
      <w:r w:rsidRPr="008201C6">
        <w:rPr>
          <w:rFonts w:ascii="Arial" w:hAnsi="Arial" w:cs="Arial"/>
          <w:sz w:val="21"/>
          <w:szCs w:val="21"/>
        </w:rPr>
        <w:t>o $10,000 a</w:t>
      </w:r>
      <w:r>
        <w:rPr>
          <w:rFonts w:ascii="Arial" w:hAnsi="Arial" w:cs="Arial"/>
          <w:color w:val="auto"/>
          <w:sz w:val="21"/>
          <w:szCs w:val="21"/>
        </w:rPr>
        <w:t xml:space="preserve"> week</w:t>
      </w:r>
      <w:r w:rsidRPr="008A0914">
        <w:rPr>
          <w:rFonts w:ascii="Arial" w:hAnsi="Arial" w:cs="Arial"/>
          <w:color w:val="auto"/>
          <w:sz w:val="21"/>
          <w:szCs w:val="21"/>
        </w:rPr>
        <w:t xml:space="preserve"> on your ordinary living expenses;</w:t>
      </w:r>
    </w:p>
    <w:p w14:paraId="59922D78" w14:textId="77777777" w:rsidR="003D60B9" w:rsidRDefault="003D60B9" w:rsidP="003D60B9">
      <w:pPr>
        <w:pStyle w:val="Default"/>
        <w:spacing w:line="280" w:lineRule="exact"/>
        <w:ind w:left="1440" w:hanging="720"/>
        <w:jc w:val="both"/>
        <w:rPr>
          <w:rFonts w:ascii="Arial" w:hAnsi="Arial" w:cs="Arial"/>
          <w:color w:val="auto"/>
          <w:sz w:val="21"/>
          <w:szCs w:val="21"/>
        </w:rPr>
      </w:pPr>
      <w:r w:rsidRPr="008A0914">
        <w:rPr>
          <w:rFonts w:ascii="Arial" w:hAnsi="Arial" w:cs="Arial"/>
          <w:color w:val="auto"/>
          <w:sz w:val="21"/>
          <w:szCs w:val="21"/>
        </w:rPr>
        <w:t>(b)</w:t>
      </w:r>
      <w:r w:rsidRPr="008A0914">
        <w:rPr>
          <w:rFonts w:ascii="Arial" w:hAnsi="Arial" w:cs="Arial"/>
          <w:color w:val="auto"/>
          <w:sz w:val="21"/>
          <w:szCs w:val="21"/>
        </w:rPr>
        <w:tab/>
        <w:t>paying your reasonable legal expenses</w:t>
      </w:r>
      <w:r>
        <w:rPr>
          <w:rFonts w:ascii="Arial" w:hAnsi="Arial" w:cs="Arial"/>
          <w:color w:val="auto"/>
          <w:sz w:val="21"/>
          <w:szCs w:val="21"/>
        </w:rPr>
        <w:t xml:space="preserve"> provided</w:t>
      </w:r>
      <w:r w:rsidRPr="004607B7">
        <w:rPr>
          <w:rFonts w:ascii="Arial" w:hAnsi="Arial" w:cs="Arial"/>
          <w:color w:val="auto"/>
          <w:sz w:val="21"/>
          <w:szCs w:val="21"/>
        </w:rPr>
        <w:t xml:space="preserve"> that the solicitor for the First Respondent is to file and serve a certi</w:t>
      </w:r>
      <w:r>
        <w:rPr>
          <w:rFonts w:ascii="Arial" w:hAnsi="Arial" w:cs="Arial"/>
          <w:color w:val="auto"/>
          <w:sz w:val="21"/>
          <w:szCs w:val="21"/>
        </w:rPr>
        <w:t>ficate in the form of Schedule C</w:t>
      </w:r>
      <w:r w:rsidRPr="004607B7">
        <w:rPr>
          <w:rFonts w:ascii="Arial" w:hAnsi="Arial" w:cs="Arial"/>
          <w:color w:val="auto"/>
          <w:sz w:val="21"/>
          <w:szCs w:val="21"/>
        </w:rPr>
        <w:t xml:space="preserve"> setting out the amount of their legal expenses and</w:t>
      </w:r>
      <w:r>
        <w:rPr>
          <w:rFonts w:ascii="Arial" w:hAnsi="Arial" w:cs="Arial"/>
          <w:color w:val="auto"/>
          <w:sz w:val="21"/>
          <w:szCs w:val="21"/>
        </w:rPr>
        <w:t xml:space="preserve"> </w:t>
      </w:r>
      <w:r w:rsidRPr="004607B7">
        <w:rPr>
          <w:rFonts w:ascii="Arial" w:hAnsi="Arial" w:cs="Arial"/>
          <w:color w:val="auto"/>
          <w:sz w:val="21"/>
          <w:szCs w:val="21"/>
        </w:rPr>
        <w:t>disbursements reasonably incurred by the respondents in connection with these</w:t>
      </w:r>
      <w:r>
        <w:rPr>
          <w:rFonts w:ascii="Arial" w:hAnsi="Arial" w:cs="Arial"/>
          <w:color w:val="auto"/>
          <w:sz w:val="21"/>
          <w:szCs w:val="21"/>
        </w:rPr>
        <w:t xml:space="preserve"> </w:t>
      </w:r>
      <w:r w:rsidRPr="004607B7">
        <w:rPr>
          <w:rFonts w:ascii="Arial" w:hAnsi="Arial" w:cs="Arial"/>
          <w:color w:val="auto"/>
          <w:sz w:val="21"/>
          <w:szCs w:val="21"/>
        </w:rPr>
        <w:t>proceedings and any other proceedings in which t</w:t>
      </w:r>
      <w:r>
        <w:rPr>
          <w:rFonts w:ascii="Arial" w:hAnsi="Arial" w:cs="Arial"/>
          <w:color w:val="auto"/>
          <w:sz w:val="21"/>
          <w:szCs w:val="21"/>
        </w:rPr>
        <w:t>he first respondent is involved by 25 October 2019, and each month thereafter;</w:t>
      </w:r>
    </w:p>
    <w:p w14:paraId="57E745CF" w14:textId="77777777" w:rsidR="003D60B9" w:rsidRPr="008A0914" w:rsidRDefault="003D60B9" w:rsidP="003D60B9">
      <w:pPr>
        <w:pStyle w:val="Default"/>
        <w:spacing w:line="280" w:lineRule="exact"/>
        <w:ind w:left="1440" w:hanging="720"/>
        <w:jc w:val="both"/>
        <w:rPr>
          <w:rFonts w:ascii="Arial" w:hAnsi="Arial" w:cs="Arial"/>
          <w:color w:val="auto"/>
          <w:sz w:val="21"/>
          <w:szCs w:val="21"/>
        </w:rPr>
      </w:pPr>
      <w:r w:rsidRPr="008A0914">
        <w:rPr>
          <w:rFonts w:ascii="Arial" w:hAnsi="Arial" w:cs="Arial"/>
          <w:color w:val="auto"/>
          <w:sz w:val="21"/>
          <w:szCs w:val="21"/>
        </w:rPr>
        <w:t>(c)</w:t>
      </w:r>
      <w:r w:rsidRPr="008A0914">
        <w:rPr>
          <w:rFonts w:ascii="Arial" w:hAnsi="Arial" w:cs="Arial"/>
          <w:color w:val="auto"/>
          <w:sz w:val="21"/>
          <w:szCs w:val="21"/>
        </w:rPr>
        <w:tab/>
        <w:t xml:space="preserve">dealing with or disposing of any of your assets in the ordinary and proper course of your business, including paying business expenses bona fide and properly incurred; and </w:t>
      </w:r>
    </w:p>
    <w:p w14:paraId="5E6E01A5" w14:textId="77777777" w:rsidR="003D60B9" w:rsidRPr="008A0914" w:rsidRDefault="003D60B9" w:rsidP="003D60B9">
      <w:pPr>
        <w:pStyle w:val="Default"/>
        <w:spacing w:line="280" w:lineRule="exact"/>
        <w:ind w:left="1440" w:hanging="720"/>
        <w:jc w:val="both"/>
        <w:rPr>
          <w:rFonts w:ascii="Arial" w:hAnsi="Arial" w:cs="Arial"/>
          <w:color w:val="auto"/>
          <w:sz w:val="21"/>
          <w:szCs w:val="21"/>
        </w:rPr>
      </w:pPr>
      <w:r w:rsidRPr="008A0914">
        <w:rPr>
          <w:rFonts w:ascii="Arial" w:hAnsi="Arial" w:cs="Arial"/>
          <w:color w:val="auto"/>
          <w:sz w:val="21"/>
          <w:szCs w:val="21"/>
        </w:rPr>
        <w:t>(d)</w:t>
      </w:r>
      <w:r w:rsidRPr="008A0914">
        <w:rPr>
          <w:rFonts w:ascii="Arial" w:hAnsi="Arial" w:cs="Arial"/>
          <w:color w:val="auto"/>
          <w:sz w:val="21"/>
          <w:szCs w:val="21"/>
        </w:rPr>
        <w:tab/>
        <w:t>in relation to matters not falling within (a), (b) or (c), dealing with or disposing of any of your assets in discharging obligations bona fide and properly incurred under a contract entered into before this order was made, provided that before doing so you give the applicant, if possible, at least two working days written notice of the particulars of the obliga</w:t>
      </w:r>
      <w:r>
        <w:rPr>
          <w:rFonts w:ascii="Arial" w:hAnsi="Arial" w:cs="Arial"/>
          <w:color w:val="auto"/>
          <w:sz w:val="21"/>
          <w:szCs w:val="21"/>
        </w:rPr>
        <w:t>tion.</w:t>
      </w:r>
    </w:p>
    <w:p w14:paraId="3D4202EA" w14:textId="77777777" w:rsidR="003D60B9" w:rsidRPr="008A0914" w:rsidRDefault="003D60B9" w:rsidP="003D60B9">
      <w:pPr>
        <w:pStyle w:val="Default"/>
        <w:spacing w:line="280" w:lineRule="exact"/>
        <w:jc w:val="both"/>
        <w:rPr>
          <w:rFonts w:ascii="Arial" w:hAnsi="Arial" w:cs="Arial"/>
          <w:sz w:val="21"/>
          <w:szCs w:val="21"/>
        </w:rPr>
      </w:pPr>
    </w:p>
    <w:p w14:paraId="28769B08" w14:textId="77777777" w:rsidR="003D60B9" w:rsidRPr="008A0914" w:rsidRDefault="003D60B9" w:rsidP="003D60B9">
      <w:pPr>
        <w:pStyle w:val="Default"/>
        <w:spacing w:line="280" w:lineRule="exact"/>
        <w:ind w:left="720" w:hanging="720"/>
        <w:jc w:val="both"/>
        <w:rPr>
          <w:rFonts w:ascii="Arial" w:hAnsi="Arial" w:cs="Arial"/>
          <w:color w:val="auto"/>
          <w:sz w:val="21"/>
          <w:szCs w:val="21"/>
        </w:rPr>
      </w:pPr>
      <w:r>
        <w:rPr>
          <w:rFonts w:ascii="Arial" w:hAnsi="Arial" w:cs="Arial"/>
          <w:color w:val="auto"/>
          <w:sz w:val="21"/>
          <w:szCs w:val="21"/>
        </w:rPr>
        <w:t>11</w:t>
      </w:r>
      <w:r w:rsidRPr="008A0914">
        <w:rPr>
          <w:rFonts w:ascii="Arial" w:hAnsi="Arial" w:cs="Arial"/>
          <w:color w:val="auto"/>
          <w:sz w:val="21"/>
          <w:szCs w:val="21"/>
        </w:rPr>
        <w:t xml:space="preserve">. </w:t>
      </w:r>
      <w:r w:rsidRPr="008A0914">
        <w:rPr>
          <w:rFonts w:ascii="Arial" w:hAnsi="Arial" w:cs="Arial"/>
          <w:color w:val="auto"/>
          <w:sz w:val="21"/>
          <w:szCs w:val="21"/>
        </w:rPr>
        <w:tab/>
        <w:t xml:space="preserve">You and the applicant may agree in writing that the exceptions in the preceding paragraph are to be varied.  In that case the applicant or you must as soon as practicable file with the Court and serve on the other a minute of a proposed consent order recording the variation signed by or on behalf of the applicant and you, and the Court may order that the exceptions are varied accordingly. </w:t>
      </w:r>
    </w:p>
    <w:p w14:paraId="69265B72" w14:textId="77777777" w:rsidR="003D60B9" w:rsidRPr="008A0914" w:rsidRDefault="003D60B9" w:rsidP="003D60B9">
      <w:pPr>
        <w:pStyle w:val="Default"/>
        <w:spacing w:line="280" w:lineRule="exact"/>
        <w:jc w:val="both"/>
        <w:rPr>
          <w:rFonts w:ascii="Arial" w:hAnsi="Arial" w:cs="Arial"/>
          <w:color w:val="auto"/>
          <w:sz w:val="21"/>
          <w:szCs w:val="21"/>
        </w:rPr>
      </w:pPr>
    </w:p>
    <w:p w14:paraId="7F8F0093" w14:textId="77777777" w:rsidR="003D60B9" w:rsidRPr="008A0914" w:rsidRDefault="003D60B9" w:rsidP="003D60B9">
      <w:pPr>
        <w:pStyle w:val="Default"/>
        <w:spacing w:line="280" w:lineRule="exact"/>
        <w:jc w:val="both"/>
        <w:rPr>
          <w:rFonts w:ascii="Arial" w:hAnsi="Arial" w:cs="Arial"/>
          <w:color w:val="auto"/>
          <w:sz w:val="21"/>
          <w:szCs w:val="21"/>
        </w:rPr>
      </w:pPr>
      <w:r>
        <w:rPr>
          <w:rFonts w:ascii="Arial" w:hAnsi="Arial" w:cs="Arial"/>
          <w:color w:val="auto"/>
          <w:sz w:val="21"/>
          <w:szCs w:val="21"/>
        </w:rPr>
        <w:t>12</w:t>
      </w:r>
      <w:r w:rsidRPr="008A0914">
        <w:rPr>
          <w:rFonts w:ascii="Arial" w:hAnsi="Arial" w:cs="Arial"/>
          <w:color w:val="auto"/>
          <w:sz w:val="21"/>
          <w:szCs w:val="21"/>
        </w:rPr>
        <w:t xml:space="preserve">. </w:t>
      </w:r>
      <w:r w:rsidRPr="008A0914">
        <w:rPr>
          <w:rFonts w:ascii="Arial" w:hAnsi="Arial" w:cs="Arial"/>
          <w:color w:val="auto"/>
          <w:sz w:val="21"/>
          <w:szCs w:val="21"/>
        </w:rPr>
        <w:tab/>
        <w:t xml:space="preserve">(a) This order will cease to have effect if you: </w:t>
      </w:r>
    </w:p>
    <w:p w14:paraId="2C15F147" w14:textId="77777777" w:rsidR="003D60B9" w:rsidRPr="008A0914" w:rsidRDefault="003D60B9" w:rsidP="003D60B9">
      <w:pPr>
        <w:pStyle w:val="Default"/>
        <w:spacing w:line="280" w:lineRule="exact"/>
        <w:ind w:left="720" w:firstLine="720"/>
        <w:jc w:val="both"/>
        <w:rPr>
          <w:rFonts w:ascii="Arial" w:hAnsi="Arial" w:cs="Arial"/>
          <w:color w:val="auto"/>
          <w:sz w:val="21"/>
          <w:szCs w:val="21"/>
        </w:rPr>
      </w:pPr>
      <w:r w:rsidRPr="008A0914">
        <w:rPr>
          <w:rFonts w:ascii="Arial" w:hAnsi="Arial" w:cs="Arial"/>
          <w:color w:val="auto"/>
          <w:sz w:val="21"/>
          <w:szCs w:val="21"/>
        </w:rPr>
        <w:t xml:space="preserve">(i) </w:t>
      </w:r>
      <w:r w:rsidRPr="008A0914">
        <w:rPr>
          <w:rFonts w:ascii="Arial" w:hAnsi="Arial" w:cs="Arial"/>
          <w:color w:val="auto"/>
          <w:sz w:val="21"/>
          <w:szCs w:val="21"/>
        </w:rPr>
        <w:tab/>
        <w:t xml:space="preserve">pay the sum of </w:t>
      </w:r>
      <w:r w:rsidRPr="007E376E">
        <w:rPr>
          <w:rFonts w:ascii="Arial" w:hAnsi="Arial" w:cs="Arial"/>
          <w:sz w:val="21"/>
          <w:szCs w:val="21"/>
        </w:rPr>
        <w:t>AUD$</w:t>
      </w:r>
      <w:r w:rsidRPr="000432C5">
        <w:rPr>
          <w:rFonts w:ascii="Arial" w:hAnsi="Arial" w:cs="Arial"/>
          <w:sz w:val="21"/>
          <w:szCs w:val="21"/>
        </w:rPr>
        <w:t>140</w:t>
      </w:r>
      <w:r>
        <w:rPr>
          <w:rFonts w:ascii="Arial" w:hAnsi="Arial" w:cs="Arial"/>
          <w:sz w:val="21"/>
          <w:szCs w:val="21"/>
        </w:rPr>
        <w:t>,</w:t>
      </w:r>
      <w:r w:rsidRPr="000432C5">
        <w:rPr>
          <w:rFonts w:ascii="Arial" w:hAnsi="Arial" w:cs="Arial"/>
          <w:sz w:val="21"/>
          <w:szCs w:val="21"/>
        </w:rPr>
        <w:t>823</w:t>
      </w:r>
      <w:r>
        <w:rPr>
          <w:rFonts w:ascii="Arial" w:hAnsi="Arial" w:cs="Arial"/>
          <w:sz w:val="21"/>
          <w:szCs w:val="21"/>
        </w:rPr>
        <w:t>,</w:t>
      </w:r>
      <w:r w:rsidRPr="000432C5">
        <w:rPr>
          <w:rFonts w:ascii="Arial" w:hAnsi="Arial" w:cs="Arial"/>
          <w:sz w:val="21"/>
          <w:szCs w:val="21"/>
        </w:rPr>
        <w:t>109.76</w:t>
      </w:r>
      <w:r>
        <w:rPr>
          <w:rFonts w:ascii="Arial" w:hAnsi="Arial" w:cs="Arial"/>
          <w:sz w:val="21"/>
          <w:szCs w:val="21"/>
        </w:rPr>
        <w:t xml:space="preserve"> </w:t>
      </w:r>
      <w:r w:rsidRPr="008A0914">
        <w:rPr>
          <w:rFonts w:ascii="Arial" w:hAnsi="Arial" w:cs="Arial"/>
          <w:color w:val="auto"/>
          <w:sz w:val="21"/>
          <w:szCs w:val="21"/>
        </w:rPr>
        <w:t>into Court; or</w:t>
      </w:r>
    </w:p>
    <w:p w14:paraId="60D5FD98" w14:textId="77777777" w:rsidR="003D60B9" w:rsidRPr="008A0914" w:rsidRDefault="003D60B9" w:rsidP="003D60B9">
      <w:pPr>
        <w:pStyle w:val="Default"/>
        <w:spacing w:line="280" w:lineRule="exact"/>
        <w:ind w:left="2160" w:hanging="720"/>
        <w:jc w:val="both"/>
        <w:rPr>
          <w:rFonts w:ascii="Arial" w:hAnsi="Arial" w:cs="Arial"/>
          <w:color w:val="auto"/>
          <w:sz w:val="21"/>
          <w:szCs w:val="21"/>
        </w:rPr>
      </w:pPr>
      <w:r w:rsidRPr="008A0914">
        <w:rPr>
          <w:rFonts w:ascii="Arial" w:hAnsi="Arial" w:cs="Arial"/>
          <w:color w:val="auto"/>
          <w:sz w:val="21"/>
          <w:szCs w:val="21"/>
        </w:rPr>
        <w:t xml:space="preserve">(ii) </w:t>
      </w:r>
      <w:r w:rsidRPr="008A0914">
        <w:rPr>
          <w:rFonts w:ascii="Arial" w:hAnsi="Arial" w:cs="Arial"/>
          <w:color w:val="auto"/>
          <w:sz w:val="21"/>
          <w:szCs w:val="21"/>
        </w:rPr>
        <w:tab/>
        <w:t xml:space="preserve">pay that sum into a joint bank account in the name of your solicitor and the solicitor for the applicant as agreed in writing between them; or </w:t>
      </w:r>
    </w:p>
    <w:p w14:paraId="0C6E9108" w14:textId="77777777" w:rsidR="003D60B9" w:rsidRPr="008A0914" w:rsidRDefault="003D60B9" w:rsidP="003D60B9">
      <w:pPr>
        <w:pStyle w:val="CM15"/>
        <w:spacing w:after="0" w:line="280" w:lineRule="exact"/>
        <w:ind w:left="2160" w:hanging="720"/>
        <w:jc w:val="both"/>
        <w:rPr>
          <w:rFonts w:ascii="Arial" w:hAnsi="Arial" w:cs="Arial"/>
          <w:sz w:val="21"/>
          <w:szCs w:val="21"/>
        </w:rPr>
      </w:pPr>
      <w:r w:rsidRPr="008A0914">
        <w:rPr>
          <w:rFonts w:ascii="Arial" w:hAnsi="Arial" w:cs="Arial"/>
          <w:sz w:val="21"/>
          <w:szCs w:val="21"/>
        </w:rPr>
        <w:t xml:space="preserve">(iii) </w:t>
      </w:r>
      <w:r w:rsidRPr="008A0914">
        <w:rPr>
          <w:rFonts w:ascii="Arial" w:hAnsi="Arial" w:cs="Arial"/>
          <w:sz w:val="21"/>
          <w:szCs w:val="21"/>
        </w:rPr>
        <w:tab/>
        <w:t xml:space="preserve">provide security in that sum by a method agreed in writing with the applicant to be held subject to the order of the Court. </w:t>
      </w:r>
    </w:p>
    <w:p w14:paraId="08BE8719" w14:textId="77777777" w:rsidR="003D60B9" w:rsidRPr="008A0914" w:rsidRDefault="003D60B9" w:rsidP="003D60B9">
      <w:pPr>
        <w:pStyle w:val="Default"/>
        <w:spacing w:line="280" w:lineRule="exact"/>
        <w:ind w:left="1440" w:hanging="720"/>
        <w:jc w:val="both"/>
        <w:rPr>
          <w:rFonts w:ascii="Arial" w:hAnsi="Arial" w:cs="Arial"/>
          <w:color w:val="auto"/>
          <w:sz w:val="21"/>
          <w:szCs w:val="21"/>
        </w:rPr>
      </w:pPr>
      <w:r w:rsidRPr="008A0914">
        <w:rPr>
          <w:rFonts w:ascii="Arial" w:hAnsi="Arial" w:cs="Arial"/>
          <w:color w:val="auto"/>
          <w:sz w:val="21"/>
          <w:szCs w:val="21"/>
        </w:rPr>
        <w:t xml:space="preserve">(b) </w:t>
      </w:r>
      <w:r w:rsidRPr="008A0914">
        <w:rPr>
          <w:rFonts w:ascii="Arial" w:hAnsi="Arial" w:cs="Arial"/>
          <w:color w:val="auto"/>
          <w:sz w:val="21"/>
          <w:szCs w:val="21"/>
        </w:rPr>
        <w:tab/>
        <w:t>Any such payment and any such security will not provide the applicant with any priority over your other creditors in</w:t>
      </w:r>
      <w:r>
        <w:rPr>
          <w:rFonts w:ascii="Arial" w:hAnsi="Arial" w:cs="Arial"/>
          <w:color w:val="auto"/>
          <w:sz w:val="21"/>
          <w:szCs w:val="21"/>
        </w:rPr>
        <w:t xml:space="preserve"> the event of your insolvency.</w:t>
      </w:r>
    </w:p>
    <w:p w14:paraId="10517D7C" w14:textId="77777777" w:rsidR="003D60B9" w:rsidRPr="008A0914" w:rsidRDefault="003D60B9" w:rsidP="003D60B9">
      <w:pPr>
        <w:pStyle w:val="Default"/>
        <w:spacing w:line="280" w:lineRule="exact"/>
        <w:ind w:left="1440" w:hanging="720"/>
        <w:jc w:val="both"/>
        <w:rPr>
          <w:rFonts w:ascii="Arial" w:hAnsi="Arial" w:cs="Arial"/>
          <w:color w:val="auto"/>
          <w:sz w:val="21"/>
          <w:szCs w:val="21"/>
        </w:rPr>
      </w:pPr>
      <w:r w:rsidRPr="008A0914">
        <w:rPr>
          <w:rFonts w:ascii="Arial" w:hAnsi="Arial" w:cs="Arial"/>
          <w:color w:val="auto"/>
          <w:sz w:val="21"/>
          <w:szCs w:val="21"/>
        </w:rPr>
        <w:t xml:space="preserve">(c) </w:t>
      </w:r>
      <w:r w:rsidRPr="008A0914">
        <w:rPr>
          <w:rFonts w:ascii="Arial" w:hAnsi="Arial" w:cs="Arial"/>
          <w:color w:val="auto"/>
          <w:sz w:val="21"/>
          <w:szCs w:val="21"/>
        </w:rPr>
        <w:tab/>
        <w:t xml:space="preserve">If this order ceases to have effect pursuant (a), you must as soon as practicable file with the Court and serve on the applicant notice of that fact. </w:t>
      </w:r>
    </w:p>
    <w:p w14:paraId="2147C8C1" w14:textId="77777777" w:rsidR="003D60B9" w:rsidRDefault="003D60B9" w:rsidP="003D60B9">
      <w:pPr>
        <w:pStyle w:val="Default"/>
        <w:spacing w:line="280" w:lineRule="exact"/>
        <w:jc w:val="both"/>
        <w:rPr>
          <w:rFonts w:ascii="Arial" w:hAnsi="Arial" w:cs="Arial"/>
          <w:color w:val="auto"/>
          <w:sz w:val="21"/>
          <w:szCs w:val="21"/>
        </w:rPr>
      </w:pPr>
    </w:p>
    <w:p w14:paraId="59ED4B42" w14:textId="77777777" w:rsidR="003D60B9" w:rsidRPr="008A0914" w:rsidRDefault="003D60B9" w:rsidP="003D60B9">
      <w:pPr>
        <w:pStyle w:val="Default"/>
        <w:spacing w:line="280" w:lineRule="exact"/>
        <w:jc w:val="both"/>
        <w:rPr>
          <w:rFonts w:ascii="Arial" w:hAnsi="Arial" w:cs="Arial"/>
          <w:color w:val="auto"/>
          <w:sz w:val="21"/>
          <w:szCs w:val="21"/>
        </w:rPr>
      </w:pPr>
    </w:p>
    <w:p w14:paraId="7F6D1730" w14:textId="77777777" w:rsidR="003D60B9" w:rsidRPr="008A0914" w:rsidRDefault="003D60B9" w:rsidP="003D60B9">
      <w:pPr>
        <w:pStyle w:val="CM15"/>
        <w:spacing w:line="280" w:lineRule="exact"/>
        <w:jc w:val="both"/>
        <w:rPr>
          <w:rFonts w:ascii="Arial" w:hAnsi="Arial" w:cs="Arial"/>
          <w:sz w:val="21"/>
          <w:szCs w:val="21"/>
        </w:rPr>
      </w:pPr>
      <w:r w:rsidRPr="008A0914">
        <w:rPr>
          <w:rFonts w:ascii="Arial" w:hAnsi="Arial" w:cs="Arial"/>
          <w:b/>
          <w:bCs/>
          <w:sz w:val="21"/>
          <w:szCs w:val="21"/>
        </w:rPr>
        <w:t xml:space="preserve">COSTS </w:t>
      </w:r>
    </w:p>
    <w:p w14:paraId="171F8214" w14:textId="77777777" w:rsidR="003D60B9" w:rsidRPr="008A0914" w:rsidRDefault="003D60B9" w:rsidP="003D60B9">
      <w:pPr>
        <w:pStyle w:val="CM15"/>
        <w:spacing w:line="280" w:lineRule="exact"/>
        <w:ind w:left="720" w:hanging="720"/>
        <w:jc w:val="both"/>
        <w:rPr>
          <w:rFonts w:ascii="Arial" w:hAnsi="Arial" w:cs="Arial"/>
          <w:sz w:val="21"/>
          <w:szCs w:val="21"/>
        </w:rPr>
      </w:pPr>
      <w:r>
        <w:rPr>
          <w:rFonts w:ascii="Arial" w:hAnsi="Arial" w:cs="Arial"/>
          <w:sz w:val="21"/>
          <w:szCs w:val="21"/>
        </w:rPr>
        <w:t>13</w:t>
      </w:r>
      <w:r w:rsidRPr="008A0914">
        <w:rPr>
          <w:rFonts w:ascii="Arial" w:hAnsi="Arial" w:cs="Arial"/>
          <w:sz w:val="21"/>
          <w:szCs w:val="21"/>
        </w:rPr>
        <w:t>.</w:t>
      </w:r>
      <w:r w:rsidRPr="008A0914">
        <w:rPr>
          <w:rFonts w:ascii="Arial" w:hAnsi="Arial" w:cs="Arial"/>
          <w:sz w:val="21"/>
          <w:szCs w:val="21"/>
        </w:rPr>
        <w:tab/>
        <w:t xml:space="preserve">The costs of this application are reserved to the judge hearing the application on the Return Date. </w:t>
      </w:r>
    </w:p>
    <w:p w14:paraId="2ECDF3A3" w14:textId="77777777" w:rsidR="003D60B9" w:rsidRPr="008A0914" w:rsidRDefault="003D60B9" w:rsidP="003D60B9">
      <w:pPr>
        <w:pStyle w:val="CM15"/>
        <w:spacing w:line="280" w:lineRule="exact"/>
        <w:jc w:val="both"/>
        <w:rPr>
          <w:rFonts w:ascii="Arial" w:hAnsi="Arial" w:cs="Arial"/>
          <w:b/>
          <w:bCs/>
          <w:sz w:val="21"/>
          <w:szCs w:val="21"/>
        </w:rPr>
      </w:pPr>
      <w:r w:rsidRPr="008A0914">
        <w:rPr>
          <w:rFonts w:ascii="Arial" w:hAnsi="Arial" w:cs="Arial"/>
          <w:b/>
          <w:bCs/>
          <w:sz w:val="21"/>
          <w:szCs w:val="21"/>
        </w:rPr>
        <w:t xml:space="preserve">PERSONS OTHER THAN THE APPLICANT AND RESPONDENT </w:t>
      </w:r>
    </w:p>
    <w:p w14:paraId="2E087ACC" w14:textId="77777777" w:rsidR="003D60B9" w:rsidRPr="008A0914" w:rsidRDefault="003D60B9" w:rsidP="003D60B9">
      <w:pPr>
        <w:pStyle w:val="Default"/>
        <w:spacing w:line="280" w:lineRule="exact"/>
        <w:jc w:val="both"/>
        <w:rPr>
          <w:rFonts w:ascii="Arial" w:hAnsi="Arial" w:cs="Arial"/>
          <w:sz w:val="21"/>
          <w:szCs w:val="21"/>
        </w:rPr>
      </w:pPr>
      <w:r w:rsidRPr="008A0914">
        <w:rPr>
          <w:rFonts w:ascii="Arial" w:hAnsi="Arial" w:cs="Arial"/>
          <w:sz w:val="21"/>
          <w:szCs w:val="21"/>
        </w:rPr>
        <w:t>1</w:t>
      </w:r>
      <w:r>
        <w:rPr>
          <w:rFonts w:ascii="Arial" w:hAnsi="Arial" w:cs="Arial"/>
          <w:sz w:val="21"/>
          <w:szCs w:val="21"/>
        </w:rPr>
        <w:t>4</w:t>
      </w:r>
      <w:r w:rsidRPr="008A0914">
        <w:rPr>
          <w:rFonts w:ascii="Arial" w:hAnsi="Arial" w:cs="Arial"/>
          <w:sz w:val="21"/>
          <w:szCs w:val="21"/>
        </w:rPr>
        <w:t xml:space="preserve">. </w:t>
      </w:r>
      <w:r w:rsidRPr="008A0914">
        <w:rPr>
          <w:rFonts w:ascii="Arial" w:hAnsi="Arial" w:cs="Arial"/>
          <w:sz w:val="21"/>
          <w:szCs w:val="21"/>
        </w:rPr>
        <w:tab/>
      </w:r>
      <w:r w:rsidRPr="008A0914">
        <w:rPr>
          <w:rFonts w:ascii="Arial" w:hAnsi="Arial" w:cs="Arial"/>
          <w:b/>
          <w:bCs/>
          <w:sz w:val="21"/>
          <w:szCs w:val="21"/>
        </w:rPr>
        <w:t>Set off by banks</w:t>
      </w:r>
    </w:p>
    <w:p w14:paraId="165BC1FF" w14:textId="77777777" w:rsidR="003D60B9" w:rsidRPr="008A0914" w:rsidRDefault="003D60B9" w:rsidP="003D60B9">
      <w:pPr>
        <w:pStyle w:val="Default"/>
        <w:spacing w:line="280" w:lineRule="exact"/>
        <w:ind w:left="720"/>
        <w:jc w:val="both"/>
        <w:rPr>
          <w:rFonts w:ascii="Arial" w:hAnsi="Arial" w:cs="Arial"/>
          <w:color w:val="auto"/>
          <w:sz w:val="21"/>
          <w:szCs w:val="21"/>
        </w:rPr>
      </w:pPr>
      <w:r w:rsidRPr="008A0914">
        <w:rPr>
          <w:rFonts w:ascii="Arial" w:hAnsi="Arial" w:cs="Arial"/>
          <w:color w:val="auto"/>
          <w:sz w:val="21"/>
          <w:szCs w:val="21"/>
        </w:rPr>
        <w:t xml:space="preserve">This order does not prevent any bank from exercising any right of set off it has in respect of any facility which it gave you before it was notified of this order. </w:t>
      </w:r>
    </w:p>
    <w:p w14:paraId="592E1DF7" w14:textId="77777777" w:rsidR="003D60B9" w:rsidRPr="008A0914" w:rsidRDefault="003D60B9" w:rsidP="003D60B9">
      <w:pPr>
        <w:pStyle w:val="Default"/>
        <w:spacing w:line="280" w:lineRule="exact"/>
        <w:ind w:left="720"/>
        <w:jc w:val="both"/>
        <w:rPr>
          <w:rFonts w:ascii="Arial" w:hAnsi="Arial" w:cs="Arial"/>
          <w:color w:val="auto"/>
          <w:sz w:val="21"/>
          <w:szCs w:val="21"/>
        </w:rPr>
      </w:pPr>
    </w:p>
    <w:p w14:paraId="59406DC3" w14:textId="77777777" w:rsidR="003D60B9" w:rsidRPr="008A0914" w:rsidRDefault="003D60B9" w:rsidP="003D60B9">
      <w:pPr>
        <w:pStyle w:val="Default"/>
        <w:spacing w:line="280" w:lineRule="exact"/>
        <w:jc w:val="both"/>
        <w:rPr>
          <w:rFonts w:ascii="Arial" w:hAnsi="Arial" w:cs="Arial"/>
          <w:color w:val="auto"/>
          <w:sz w:val="21"/>
          <w:szCs w:val="21"/>
        </w:rPr>
      </w:pPr>
      <w:r w:rsidRPr="008A0914">
        <w:rPr>
          <w:rFonts w:ascii="Arial" w:hAnsi="Arial" w:cs="Arial"/>
          <w:color w:val="auto"/>
          <w:sz w:val="21"/>
          <w:szCs w:val="21"/>
        </w:rPr>
        <w:t>1</w:t>
      </w:r>
      <w:r>
        <w:rPr>
          <w:rFonts w:ascii="Arial" w:hAnsi="Arial" w:cs="Arial"/>
          <w:color w:val="auto"/>
          <w:sz w:val="21"/>
          <w:szCs w:val="21"/>
        </w:rPr>
        <w:t>5</w:t>
      </w:r>
      <w:r w:rsidRPr="008A0914">
        <w:rPr>
          <w:rFonts w:ascii="Arial" w:hAnsi="Arial" w:cs="Arial"/>
          <w:color w:val="auto"/>
          <w:sz w:val="21"/>
          <w:szCs w:val="21"/>
        </w:rPr>
        <w:t xml:space="preserve">. </w:t>
      </w:r>
      <w:r w:rsidRPr="008A0914">
        <w:rPr>
          <w:rFonts w:ascii="Arial" w:hAnsi="Arial" w:cs="Arial"/>
          <w:color w:val="auto"/>
          <w:sz w:val="21"/>
          <w:szCs w:val="21"/>
        </w:rPr>
        <w:tab/>
      </w:r>
      <w:r w:rsidRPr="008A0914">
        <w:rPr>
          <w:rFonts w:ascii="Arial" w:hAnsi="Arial" w:cs="Arial"/>
          <w:b/>
          <w:bCs/>
          <w:color w:val="auto"/>
          <w:sz w:val="21"/>
          <w:szCs w:val="21"/>
        </w:rPr>
        <w:t>Bank withdrawals by the respondent</w:t>
      </w:r>
    </w:p>
    <w:p w14:paraId="17BFB44C" w14:textId="77777777" w:rsidR="003D60B9" w:rsidRPr="008A0914" w:rsidRDefault="003D60B9" w:rsidP="003D60B9">
      <w:pPr>
        <w:pStyle w:val="Default"/>
        <w:spacing w:line="280" w:lineRule="exact"/>
        <w:ind w:left="720"/>
        <w:jc w:val="both"/>
        <w:rPr>
          <w:rFonts w:ascii="Arial" w:hAnsi="Arial" w:cs="Arial"/>
          <w:color w:val="auto"/>
          <w:sz w:val="21"/>
          <w:szCs w:val="21"/>
        </w:rPr>
      </w:pPr>
      <w:r w:rsidRPr="008A0914">
        <w:rPr>
          <w:rFonts w:ascii="Arial" w:hAnsi="Arial" w:cs="Arial"/>
          <w:color w:val="auto"/>
          <w:sz w:val="21"/>
          <w:szCs w:val="21"/>
        </w:rPr>
        <w:t xml:space="preserve">No bank need inquire as to the application or proposed application of any money withdrawn by you if the withdrawal appears to be permitted by this order. </w:t>
      </w:r>
    </w:p>
    <w:p w14:paraId="30749503" w14:textId="77777777" w:rsidR="003D60B9" w:rsidRPr="008A0914" w:rsidRDefault="003D60B9" w:rsidP="003D60B9">
      <w:pPr>
        <w:pStyle w:val="Default"/>
        <w:spacing w:line="280" w:lineRule="exact"/>
        <w:jc w:val="both"/>
        <w:rPr>
          <w:rFonts w:ascii="Arial" w:hAnsi="Arial" w:cs="Arial"/>
          <w:color w:val="auto"/>
          <w:sz w:val="21"/>
          <w:szCs w:val="21"/>
        </w:rPr>
      </w:pPr>
    </w:p>
    <w:p w14:paraId="03855FEC" w14:textId="77777777" w:rsidR="003D60B9" w:rsidRPr="008A0914" w:rsidRDefault="003D60B9" w:rsidP="003D60B9">
      <w:pPr>
        <w:pStyle w:val="CM15"/>
        <w:spacing w:after="0" w:line="280" w:lineRule="exact"/>
        <w:ind w:left="720" w:hanging="720"/>
        <w:jc w:val="both"/>
        <w:rPr>
          <w:rFonts w:ascii="Arial" w:hAnsi="Arial" w:cs="Arial"/>
          <w:sz w:val="21"/>
          <w:szCs w:val="21"/>
        </w:rPr>
      </w:pPr>
      <w:r w:rsidRPr="008A0914">
        <w:rPr>
          <w:rFonts w:ascii="Arial" w:hAnsi="Arial" w:cs="Arial"/>
          <w:sz w:val="21"/>
          <w:szCs w:val="21"/>
        </w:rPr>
        <w:t>1</w:t>
      </w:r>
      <w:r>
        <w:rPr>
          <w:rFonts w:ascii="Arial" w:hAnsi="Arial" w:cs="Arial"/>
          <w:sz w:val="21"/>
          <w:szCs w:val="21"/>
        </w:rPr>
        <w:t>6</w:t>
      </w:r>
      <w:r w:rsidRPr="008A0914">
        <w:rPr>
          <w:rFonts w:ascii="Arial" w:hAnsi="Arial" w:cs="Arial"/>
          <w:sz w:val="21"/>
          <w:szCs w:val="21"/>
        </w:rPr>
        <w:t>.</w:t>
      </w:r>
      <w:r w:rsidRPr="008A0914">
        <w:rPr>
          <w:rFonts w:ascii="Arial" w:hAnsi="Arial" w:cs="Arial"/>
          <w:sz w:val="21"/>
          <w:szCs w:val="21"/>
        </w:rPr>
        <w:tab/>
      </w:r>
      <w:r w:rsidRPr="008A0914">
        <w:rPr>
          <w:rFonts w:ascii="Arial" w:hAnsi="Arial" w:cs="Arial"/>
          <w:b/>
          <w:bCs/>
          <w:sz w:val="21"/>
          <w:szCs w:val="21"/>
        </w:rPr>
        <w:t xml:space="preserve">Persons outside Australia </w:t>
      </w:r>
    </w:p>
    <w:p w14:paraId="2EBD8D51" w14:textId="77777777" w:rsidR="003D60B9" w:rsidRPr="008A0914" w:rsidRDefault="003D60B9" w:rsidP="003D60B9">
      <w:pPr>
        <w:pStyle w:val="Default"/>
        <w:spacing w:line="280" w:lineRule="exact"/>
        <w:ind w:left="1440" w:hanging="720"/>
        <w:jc w:val="both"/>
        <w:rPr>
          <w:rFonts w:ascii="Arial" w:hAnsi="Arial" w:cs="Arial"/>
          <w:color w:val="auto"/>
          <w:sz w:val="21"/>
          <w:szCs w:val="21"/>
        </w:rPr>
      </w:pPr>
      <w:r w:rsidRPr="008A0914">
        <w:rPr>
          <w:rFonts w:ascii="Arial" w:hAnsi="Arial" w:cs="Arial"/>
          <w:color w:val="auto"/>
          <w:sz w:val="21"/>
          <w:szCs w:val="21"/>
        </w:rPr>
        <w:t xml:space="preserve">(a) </w:t>
      </w:r>
      <w:r w:rsidRPr="008A0914">
        <w:rPr>
          <w:rFonts w:ascii="Arial" w:hAnsi="Arial" w:cs="Arial"/>
          <w:color w:val="auto"/>
          <w:sz w:val="21"/>
          <w:szCs w:val="21"/>
        </w:rPr>
        <w:tab/>
        <w:t>Except as provided in subparagraph (b) below, the terms of this order do not affect or concern anyone outside Australia.</w:t>
      </w:r>
    </w:p>
    <w:p w14:paraId="38E33930" w14:textId="77777777" w:rsidR="003D60B9" w:rsidRPr="008A0914" w:rsidRDefault="003D60B9" w:rsidP="003D60B9">
      <w:pPr>
        <w:pStyle w:val="Default"/>
        <w:spacing w:line="280" w:lineRule="exact"/>
        <w:ind w:left="1440" w:hanging="720"/>
        <w:jc w:val="both"/>
        <w:rPr>
          <w:rFonts w:ascii="Arial" w:hAnsi="Arial" w:cs="Arial"/>
          <w:color w:val="auto"/>
          <w:sz w:val="21"/>
          <w:szCs w:val="21"/>
        </w:rPr>
      </w:pPr>
    </w:p>
    <w:p w14:paraId="0015BB56" w14:textId="77777777" w:rsidR="003D60B9" w:rsidRPr="008A0914" w:rsidRDefault="003D60B9" w:rsidP="003D60B9">
      <w:pPr>
        <w:pStyle w:val="Default"/>
        <w:spacing w:line="280" w:lineRule="exact"/>
        <w:ind w:left="720"/>
        <w:jc w:val="both"/>
        <w:rPr>
          <w:rFonts w:ascii="Arial" w:hAnsi="Arial" w:cs="Arial"/>
          <w:color w:val="auto"/>
          <w:sz w:val="21"/>
          <w:szCs w:val="21"/>
        </w:rPr>
      </w:pPr>
      <w:r w:rsidRPr="008A0914">
        <w:rPr>
          <w:rFonts w:ascii="Arial" w:hAnsi="Arial" w:cs="Arial"/>
          <w:color w:val="auto"/>
          <w:sz w:val="21"/>
          <w:szCs w:val="21"/>
        </w:rPr>
        <w:t xml:space="preserve">(b) </w:t>
      </w:r>
      <w:r w:rsidRPr="008A0914">
        <w:rPr>
          <w:rFonts w:ascii="Arial" w:hAnsi="Arial" w:cs="Arial"/>
          <w:color w:val="auto"/>
          <w:sz w:val="21"/>
          <w:szCs w:val="21"/>
        </w:rPr>
        <w:tab/>
        <w:t xml:space="preserve">The terms of this order will affect the following persons outside Australia: </w:t>
      </w:r>
    </w:p>
    <w:p w14:paraId="5CC07E00" w14:textId="77777777" w:rsidR="003D60B9" w:rsidRPr="008A0914" w:rsidRDefault="003D60B9" w:rsidP="003D60B9">
      <w:pPr>
        <w:pStyle w:val="Default"/>
        <w:spacing w:line="280" w:lineRule="exact"/>
        <w:ind w:left="2160" w:hanging="720"/>
        <w:jc w:val="both"/>
        <w:rPr>
          <w:rFonts w:ascii="Arial" w:hAnsi="Arial" w:cs="Arial"/>
          <w:color w:val="auto"/>
          <w:sz w:val="21"/>
          <w:szCs w:val="21"/>
        </w:rPr>
      </w:pPr>
      <w:r w:rsidRPr="008A0914">
        <w:rPr>
          <w:rFonts w:ascii="Arial" w:hAnsi="Arial" w:cs="Arial"/>
          <w:color w:val="auto"/>
          <w:sz w:val="21"/>
          <w:szCs w:val="21"/>
        </w:rPr>
        <w:t>(i)</w:t>
      </w:r>
      <w:r w:rsidRPr="008A0914">
        <w:rPr>
          <w:rFonts w:ascii="Arial" w:hAnsi="Arial" w:cs="Arial"/>
          <w:color w:val="auto"/>
          <w:sz w:val="21"/>
          <w:szCs w:val="21"/>
        </w:rPr>
        <w:tab/>
        <w:t xml:space="preserve">you and your directors, officers, employees and agents (except banks and financial institutions); </w:t>
      </w:r>
    </w:p>
    <w:p w14:paraId="5FAEA2D6" w14:textId="77777777" w:rsidR="003D60B9" w:rsidRPr="008A0914" w:rsidRDefault="003D60B9" w:rsidP="003D60B9">
      <w:pPr>
        <w:pStyle w:val="Default"/>
        <w:spacing w:line="280" w:lineRule="exact"/>
        <w:ind w:left="1440"/>
        <w:jc w:val="both"/>
        <w:rPr>
          <w:rFonts w:ascii="Arial" w:hAnsi="Arial" w:cs="Arial"/>
          <w:color w:val="auto"/>
          <w:sz w:val="21"/>
          <w:szCs w:val="21"/>
        </w:rPr>
      </w:pPr>
      <w:r w:rsidRPr="008A0914">
        <w:rPr>
          <w:rFonts w:ascii="Arial" w:hAnsi="Arial" w:cs="Arial"/>
          <w:color w:val="auto"/>
          <w:sz w:val="21"/>
          <w:szCs w:val="21"/>
        </w:rPr>
        <w:t xml:space="preserve">(ii) </w:t>
      </w:r>
      <w:r w:rsidRPr="008A0914">
        <w:rPr>
          <w:rFonts w:ascii="Arial" w:hAnsi="Arial" w:cs="Arial"/>
          <w:color w:val="auto"/>
          <w:sz w:val="21"/>
          <w:szCs w:val="21"/>
        </w:rPr>
        <w:tab/>
        <w:t xml:space="preserve">any person (including a bank or financial institution) who: </w:t>
      </w:r>
    </w:p>
    <w:p w14:paraId="49A9D53E" w14:textId="77777777" w:rsidR="003D60B9" w:rsidRPr="008A0914" w:rsidRDefault="003D60B9" w:rsidP="003D60B9">
      <w:pPr>
        <w:pStyle w:val="Default"/>
        <w:spacing w:line="280" w:lineRule="exact"/>
        <w:ind w:left="2160"/>
        <w:jc w:val="both"/>
        <w:rPr>
          <w:rFonts w:ascii="Arial" w:hAnsi="Arial" w:cs="Arial"/>
          <w:color w:val="auto"/>
          <w:sz w:val="21"/>
          <w:szCs w:val="21"/>
        </w:rPr>
      </w:pPr>
      <w:r w:rsidRPr="008A0914">
        <w:rPr>
          <w:rFonts w:ascii="Arial" w:hAnsi="Arial" w:cs="Arial"/>
          <w:color w:val="auto"/>
          <w:sz w:val="21"/>
          <w:szCs w:val="21"/>
        </w:rPr>
        <w:t xml:space="preserve">(A) is subject to the jurisdiction of this Court; and </w:t>
      </w:r>
    </w:p>
    <w:p w14:paraId="13667BC6" w14:textId="77777777" w:rsidR="003D60B9" w:rsidRPr="008A0914" w:rsidRDefault="003D60B9" w:rsidP="003D60B9">
      <w:pPr>
        <w:pStyle w:val="Default"/>
        <w:spacing w:line="280" w:lineRule="exact"/>
        <w:ind w:left="2160"/>
        <w:jc w:val="both"/>
        <w:rPr>
          <w:rFonts w:ascii="Arial" w:hAnsi="Arial" w:cs="Arial"/>
          <w:color w:val="auto"/>
          <w:sz w:val="21"/>
          <w:szCs w:val="21"/>
        </w:rPr>
      </w:pPr>
      <w:r w:rsidRPr="008A0914">
        <w:rPr>
          <w:rFonts w:ascii="Arial" w:hAnsi="Arial" w:cs="Arial"/>
          <w:color w:val="auto"/>
          <w:sz w:val="21"/>
          <w:szCs w:val="21"/>
        </w:rPr>
        <w:t xml:space="preserve">(B) has been given written notice of this order, or has actual knowledge of the substance of the order and of its requirements; and </w:t>
      </w:r>
    </w:p>
    <w:p w14:paraId="5DA72302" w14:textId="77777777" w:rsidR="003D60B9" w:rsidRPr="008A0914" w:rsidRDefault="003D60B9" w:rsidP="003D60B9">
      <w:pPr>
        <w:pStyle w:val="Default"/>
        <w:spacing w:line="280" w:lineRule="exact"/>
        <w:ind w:left="2160"/>
        <w:jc w:val="both"/>
        <w:rPr>
          <w:rFonts w:ascii="Arial" w:hAnsi="Arial" w:cs="Arial"/>
          <w:color w:val="auto"/>
          <w:sz w:val="21"/>
          <w:szCs w:val="21"/>
        </w:rPr>
      </w:pPr>
      <w:r w:rsidRPr="008A0914">
        <w:rPr>
          <w:rFonts w:ascii="Arial" w:hAnsi="Arial" w:cs="Arial"/>
          <w:color w:val="auto"/>
          <w:sz w:val="21"/>
          <w:szCs w:val="21"/>
        </w:rPr>
        <w:t xml:space="preserve">(C) is able to prevent or impede acts or omissions outside Australia which constitute or assist in a disobedience of the terms of this order; and </w:t>
      </w:r>
    </w:p>
    <w:p w14:paraId="6FF6F9E3" w14:textId="77777777" w:rsidR="003D60B9" w:rsidRPr="008A0914" w:rsidRDefault="003D60B9" w:rsidP="003D60B9">
      <w:pPr>
        <w:pStyle w:val="CM15"/>
        <w:spacing w:line="280" w:lineRule="exact"/>
        <w:ind w:left="2160" w:hanging="720"/>
        <w:jc w:val="both"/>
        <w:rPr>
          <w:rFonts w:ascii="Arial" w:hAnsi="Arial" w:cs="Arial"/>
          <w:sz w:val="21"/>
          <w:szCs w:val="21"/>
        </w:rPr>
      </w:pPr>
      <w:r w:rsidRPr="008A0914">
        <w:rPr>
          <w:rFonts w:ascii="Arial" w:hAnsi="Arial" w:cs="Arial"/>
          <w:sz w:val="21"/>
          <w:szCs w:val="21"/>
        </w:rPr>
        <w:t>(i</w:t>
      </w:r>
      <w:r>
        <w:rPr>
          <w:rFonts w:ascii="Arial" w:hAnsi="Arial" w:cs="Arial"/>
          <w:sz w:val="21"/>
          <w:szCs w:val="21"/>
        </w:rPr>
        <w:t>ii</w:t>
      </w:r>
      <w:r w:rsidRPr="008A0914">
        <w:rPr>
          <w:rFonts w:ascii="Arial" w:hAnsi="Arial" w:cs="Arial"/>
          <w:sz w:val="21"/>
          <w:szCs w:val="21"/>
        </w:rPr>
        <w:t xml:space="preserve">) </w:t>
      </w:r>
      <w:r w:rsidRPr="008A0914">
        <w:rPr>
          <w:rFonts w:ascii="Arial" w:hAnsi="Arial" w:cs="Arial"/>
          <w:sz w:val="21"/>
          <w:szCs w:val="21"/>
        </w:rPr>
        <w:tab/>
        <w:t xml:space="preserve">any other person (including a bank of financial institution), only to the extent that this order is declared enforceable by or is enforced by a court in a country or state that has jurisdiction over that person or over any of that person’s assets. </w:t>
      </w:r>
    </w:p>
    <w:p w14:paraId="70DD6476" w14:textId="77777777" w:rsidR="003D60B9" w:rsidRPr="008A0914" w:rsidRDefault="003D60B9" w:rsidP="003D60B9">
      <w:pPr>
        <w:pStyle w:val="CM15"/>
        <w:spacing w:after="0" w:line="280" w:lineRule="exact"/>
        <w:ind w:left="720" w:hanging="720"/>
        <w:jc w:val="both"/>
        <w:rPr>
          <w:rFonts w:ascii="Arial" w:hAnsi="Arial" w:cs="Arial"/>
          <w:sz w:val="21"/>
          <w:szCs w:val="21"/>
        </w:rPr>
      </w:pPr>
      <w:r w:rsidRPr="008A0914">
        <w:rPr>
          <w:rFonts w:ascii="Arial" w:hAnsi="Arial" w:cs="Arial"/>
          <w:sz w:val="21"/>
          <w:szCs w:val="21"/>
        </w:rPr>
        <w:t>1</w:t>
      </w:r>
      <w:r>
        <w:rPr>
          <w:rFonts w:ascii="Arial" w:hAnsi="Arial" w:cs="Arial"/>
          <w:sz w:val="21"/>
          <w:szCs w:val="21"/>
        </w:rPr>
        <w:t>7.</w:t>
      </w:r>
      <w:r w:rsidRPr="008A0914">
        <w:rPr>
          <w:rFonts w:ascii="Arial" w:hAnsi="Arial" w:cs="Arial"/>
          <w:sz w:val="21"/>
          <w:szCs w:val="21"/>
        </w:rPr>
        <w:t xml:space="preserve"> </w:t>
      </w:r>
      <w:r w:rsidRPr="008A0914">
        <w:rPr>
          <w:rFonts w:ascii="Arial" w:hAnsi="Arial" w:cs="Arial"/>
          <w:sz w:val="21"/>
          <w:szCs w:val="21"/>
        </w:rPr>
        <w:tab/>
      </w:r>
      <w:r w:rsidRPr="008A0914">
        <w:rPr>
          <w:rFonts w:ascii="Arial" w:hAnsi="Arial" w:cs="Arial"/>
          <w:b/>
          <w:bCs/>
          <w:sz w:val="21"/>
          <w:szCs w:val="21"/>
        </w:rPr>
        <w:t xml:space="preserve">Assets located outside Australia </w:t>
      </w:r>
    </w:p>
    <w:p w14:paraId="7863EB64" w14:textId="77777777" w:rsidR="003D60B9" w:rsidRDefault="003D60B9" w:rsidP="003D60B9">
      <w:pPr>
        <w:pStyle w:val="Default"/>
        <w:spacing w:line="280" w:lineRule="exact"/>
        <w:ind w:left="720"/>
        <w:jc w:val="both"/>
        <w:rPr>
          <w:rFonts w:ascii="Arial" w:hAnsi="Arial" w:cs="Arial"/>
          <w:color w:val="auto"/>
          <w:sz w:val="21"/>
          <w:szCs w:val="21"/>
        </w:rPr>
      </w:pPr>
      <w:r w:rsidRPr="008A0914">
        <w:rPr>
          <w:rFonts w:ascii="Arial" w:hAnsi="Arial" w:cs="Arial"/>
          <w:color w:val="auto"/>
          <w:sz w:val="21"/>
          <w:szCs w:val="21"/>
        </w:rPr>
        <w:t xml:space="preserve">Nothing in this order shall, in respect of assets located outside Australia, prevent any third party from complying or acting in conformity with what it reasonably believes to be its bona fide and properly incurred legal obligations, whether contractual or pursuant to a court order or otherwise, under the law of the country or state in which those assets are situated or under the proper law of any contract between a third party and you, provided that in the case of any future order of a court of that country or state made on your or the third party’s application, reasonable written notice of the making of the application is given to the applicant. </w:t>
      </w:r>
    </w:p>
    <w:p w14:paraId="2C4A4428" w14:textId="77777777" w:rsidR="003D60B9" w:rsidRDefault="003D60B9" w:rsidP="003D60B9">
      <w:pPr>
        <w:pStyle w:val="Default"/>
        <w:spacing w:line="280" w:lineRule="exact"/>
        <w:jc w:val="both"/>
        <w:rPr>
          <w:rFonts w:ascii="Arial" w:hAnsi="Arial" w:cs="Arial"/>
          <w:color w:val="auto"/>
          <w:sz w:val="21"/>
          <w:szCs w:val="21"/>
        </w:rPr>
      </w:pPr>
    </w:p>
    <w:p w14:paraId="38256A81" w14:textId="77777777" w:rsidR="003D60B9" w:rsidRDefault="003D60B9" w:rsidP="003D60B9">
      <w:pPr>
        <w:rPr>
          <w:rFonts w:ascii="Arial" w:hAnsi="Arial" w:cs="Arial"/>
          <w:sz w:val="21"/>
          <w:szCs w:val="21"/>
          <w:lang w:val="en-US"/>
        </w:rPr>
      </w:pPr>
      <w:r>
        <w:rPr>
          <w:rFonts w:ascii="Arial" w:hAnsi="Arial" w:cs="Arial"/>
          <w:sz w:val="21"/>
          <w:szCs w:val="21"/>
        </w:rPr>
        <w:br w:type="page"/>
      </w:r>
    </w:p>
    <w:p w14:paraId="0E73A4A4" w14:textId="77777777" w:rsidR="003D60B9" w:rsidRPr="00C72314" w:rsidRDefault="003D60B9" w:rsidP="003D60B9">
      <w:pPr>
        <w:pStyle w:val="CourtNotice"/>
        <w:rPr>
          <w:rFonts w:cs="Arial"/>
          <w:b/>
          <w:caps/>
          <w:color w:val="000000"/>
        </w:rPr>
      </w:pPr>
      <w:r w:rsidRPr="00C72314">
        <w:rPr>
          <w:rFonts w:cs="Arial"/>
          <w:b/>
          <w:caps/>
          <w:color w:val="000000"/>
        </w:rPr>
        <w:lastRenderedPageBreak/>
        <w:t>SCHEDULE C</w:t>
      </w:r>
    </w:p>
    <w:p w14:paraId="057FEFE3" w14:textId="77777777" w:rsidR="003D60B9" w:rsidRPr="00C72314" w:rsidRDefault="003D60B9" w:rsidP="003D60B9">
      <w:pPr>
        <w:pStyle w:val="CourtNotice"/>
        <w:jc w:val="center"/>
        <w:rPr>
          <w:rFonts w:cs="Arial"/>
          <w:b/>
        </w:rPr>
      </w:pPr>
      <w:r w:rsidRPr="00C72314">
        <w:rPr>
          <w:rFonts w:cs="Arial"/>
          <w:b/>
        </w:rPr>
        <w:t>CERTIFICATE</w:t>
      </w:r>
    </w:p>
    <w:p w14:paraId="182295CF" w14:textId="77777777" w:rsidR="003D60B9" w:rsidRPr="00C72314" w:rsidRDefault="003D60B9" w:rsidP="003D60B9">
      <w:pPr>
        <w:spacing w:line="240" w:lineRule="auto"/>
        <w:jc w:val="right"/>
        <w:rPr>
          <w:rFonts w:ascii="Arial" w:hAnsi="Arial" w:cs="Arial"/>
          <w:color w:val="000000"/>
        </w:rPr>
      </w:pPr>
      <w:r w:rsidRPr="00C72314">
        <w:rPr>
          <w:rFonts w:ascii="Arial" w:hAnsi="Arial" w:cs="Arial"/>
        </w:rPr>
        <w:t xml:space="preserve">No. NSD 1490 </w:t>
      </w:r>
      <w:r w:rsidRPr="00C72314">
        <w:rPr>
          <w:rFonts w:ascii="Arial" w:hAnsi="Arial" w:cs="Arial"/>
          <w:color w:val="000000"/>
        </w:rPr>
        <w:t>of 20</w:t>
      </w:r>
      <w:r w:rsidRPr="00C72314">
        <w:rPr>
          <w:rFonts w:ascii="Arial" w:hAnsi="Arial" w:cs="Arial"/>
        </w:rPr>
        <w:t>19</w:t>
      </w:r>
    </w:p>
    <w:p w14:paraId="01D9DE79" w14:textId="77777777" w:rsidR="003D60B9" w:rsidRPr="00C72314" w:rsidRDefault="003D60B9" w:rsidP="003D60B9">
      <w:pPr>
        <w:spacing w:line="240" w:lineRule="auto"/>
        <w:rPr>
          <w:rFonts w:ascii="Arial" w:hAnsi="Arial" w:cs="Arial"/>
        </w:rPr>
      </w:pPr>
      <w:r w:rsidRPr="00C72314">
        <w:rPr>
          <w:rFonts w:ascii="Arial" w:hAnsi="Arial" w:cs="Arial"/>
        </w:rPr>
        <w:t xml:space="preserve">Federal Court of </w:t>
      </w:r>
      <w:smartTag w:uri="urn:schemas-microsoft-com:office:smarttags" w:element="country-region">
        <w:smartTag w:uri="urn:schemas-microsoft-com:office:smarttags" w:element="place">
          <w:r w:rsidRPr="00C72314">
            <w:rPr>
              <w:rFonts w:ascii="Arial" w:hAnsi="Arial" w:cs="Arial"/>
            </w:rPr>
            <w:t>Australia</w:t>
          </w:r>
        </w:smartTag>
      </w:smartTag>
    </w:p>
    <w:p w14:paraId="1E388B3F" w14:textId="77777777" w:rsidR="003D60B9" w:rsidRPr="00C72314" w:rsidRDefault="003D60B9" w:rsidP="003D60B9">
      <w:pPr>
        <w:spacing w:line="240" w:lineRule="auto"/>
        <w:rPr>
          <w:rFonts w:ascii="Arial" w:hAnsi="Arial" w:cs="Arial"/>
        </w:rPr>
      </w:pPr>
      <w:r w:rsidRPr="00C72314">
        <w:rPr>
          <w:rFonts w:ascii="Arial" w:hAnsi="Arial" w:cs="Arial"/>
        </w:rPr>
        <w:t>District Registry: New South Wales</w:t>
      </w:r>
    </w:p>
    <w:p w14:paraId="7A42A7B5" w14:textId="77777777" w:rsidR="003D60B9" w:rsidRPr="00C72314" w:rsidRDefault="003D60B9" w:rsidP="003D60B9">
      <w:pPr>
        <w:spacing w:line="240" w:lineRule="auto"/>
        <w:rPr>
          <w:rFonts w:ascii="Arial" w:hAnsi="Arial" w:cs="Arial"/>
        </w:rPr>
      </w:pPr>
      <w:r w:rsidRPr="00C72314">
        <w:rPr>
          <w:rFonts w:ascii="Arial" w:hAnsi="Arial" w:cs="Arial"/>
        </w:rPr>
        <w:t>Division: General</w:t>
      </w:r>
    </w:p>
    <w:p w14:paraId="6A28C7F5" w14:textId="77777777" w:rsidR="003D60B9" w:rsidRDefault="003D60B9" w:rsidP="003D60B9">
      <w:pPr>
        <w:spacing w:line="240" w:lineRule="auto"/>
        <w:rPr>
          <w:rFonts w:ascii="Arial" w:hAnsi="Arial" w:cs="Arial"/>
          <w:b/>
        </w:rPr>
      </w:pPr>
    </w:p>
    <w:p w14:paraId="398BEFED" w14:textId="77777777" w:rsidR="003D60B9" w:rsidRPr="00C72314" w:rsidRDefault="003D60B9" w:rsidP="003D60B9">
      <w:pPr>
        <w:spacing w:line="240" w:lineRule="auto"/>
        <w:rPr>
          <w:rFonts w:ascii="Arial" w:hAnsi="Arial" w:cs="Arial"/>
        </w:rPr>
      </w:pPr>
      <w:r w:rsidRPr="00C72314">
        <w:rPr>
          <w:rFonts w:ascii="Arial" w:hAnsi="Arial" w:cs="Arial"/>
          <w:b/>
        </w:rPr>
        <w:t>DEPUTY COMMISSIONER OF TAXATION</w:t>
      </w:r>
      <w:r w:rsidRPr="00C72314">
        <w:rPr>
          <w:rFonts w:ascii="Arial" w:hAnsi="Arial" w:cs="Arial"/>
        </w:rPr>
        <w:t xml:space="preserve"> </w:t>
      </w:r>
    </w:p>
    <w:p w14:paraId="48801C7B" w14:textId="77777777" w:rsidR="003D60B9" w:rsidRPr="00C72314" w:rsidRDefault="003D60B9" w:rsidP="003D60B9">
      <w:pPr>
        <w:spacing w:line="240" w:lineRule="auto"/>
        <w:rPr>
          <w:rFonts w:ascii="Arial" w:hAnsi="Arial" w:cs="Arial"/>
          <w:b/>
        </w:rPr>
      </w:pPr>
      <w:r w:rsidRPr="00C72314">
        <w:rPr>
          <w:rFonts w:ascii="Arial" w:hAnsi="Arial" w:cs="Arial"/>
        </w:rPr>
        <w:t>Applicant</w:t>
      </w:r>
      <w:r w:rsidRPr="00C72314">
        <w:rPr>
          <w:rFonts w:ascii="Arial" w:hAnsi="Arial" w:cs="Arial"/>
          <w:b/>
        </w:rPr>
        <w:br/>
      </w:r>
    </w:p>
    <w:p w14:paraId="75D17C2A" w14:textId="77777777" w:rsidR="003D60B9" w:rsidRPr="00C72314" w:rsidRDefault="003D60B9" w:rsidP="003D60B9">
      <w:pPr>
        <w:spacing w:line="240" w:lineRule="auto"/>
        <w:ind w:left="567" w:hanging="567"/>
        <w:rPr>
          <w:rFonts w:ascii="Arial" w:hAnsi="Arial" w:cs="Arial"/>
          <w:b/>
        </w:rPr>
      </w:pPr>
      <w:r w:rsidRPr="00C72314">
        <w:rPr>
          <w:rFonts w:ascii="Arial" w:hAnsi="Arial" w:cs="Arial"/>
          <w:b/>
        </w:rPr>
        <w:t>CHANGRAN HUANG</w:t>
      </w:r>
    </w:p>
    <w:p w14:paraId="00953D2A" w14:textId="77777777" w:rsidR="003D60B9" w:rsidRPr="00C72314" w:rsidRDefault="003D60B9" w:rsidP="003D60B9">
      <w:pPr>
        <w:spacing w:line="240" w:lineRule="auto"/>
        <w:ind w:left="567" w:hanging="567"/>
        <w:rPr>
          <w:rFonts w:ascii="Arial" w:hAnsi="Arial" w:cs="Arial"/>
        </w:rPr>
      </w:pPr>
      <w:r w:rsidRPr="00C72314">
        <w:rPr>
          <w:rFonts w:ascii="Arial" w:hAnsi="Arial" w:cs="Arial"/>
        </w:rPr>
        <w:t>First Respondent</w:t>
      </w:r>
      <w:r w:rsidRPr="00C72314">
        <w:rPr>
          <w:rFonts w:ascii="Arial" w:hAnsi="Arial" w:cs="Arial"/>
        </w:rPr>
        <w:br/>
      </w:r>
    </w:p>
    <w:p w14:paraId="785828EE" w14:textId="77777777" w:rsidR="003D60B9" w:rsidRPr="00C72314" w:rsidRDefault="003D60B9" w:rsidP="003D60B9">
      <w:pPr>
        <w:spacing w:line="240" w:lineRule="auto"/>
        <w:rPr>
          <w:rStyle w:val="CharSchPTNo"/>
          <w:rFonts w:ascii="Arial" w:hAnsi="Arial" w:cs="Arial"/>
        </w:rPr>
      </w:pPr>
      <w:r w:rsidRPr="00C72314">
        <w:rPr>
          <w:rStyle w:val="CharSchPTNo"/>
          <w:rFonts w:ascii="Arial" w:hAnsi="Arial" w:cs="Arial"/>
          <w:b/>
        </w:rPr>
        <w:t>JIEFANG HUANG</w:t>
      </w:r>
    </w:p>
    <w:p w14:paraId="692726E6" w14:textId="77777777" w:rsidR="003D60B9" w:rsidRPr="00C72314" w:rsidRDefault="003D60B9" w:rsidP="003D60B9">
      <w:pPr>
        <w:spacing w:line="240" w:lineRule="auto"/>
        <w:ind w:left="567" w:hanging="567"/>
        <w:rPr>
          <w:rFonts w:ascii="Arial" w:hAnsi="Arial" w:cs="Arial"/>
        </w:rPr>
      </w:pPr>
      <w:r w:rsidRPr="00C72314">
        <w:rPr>
          <w:rFonts w:ascii="Arial" w:hAnsi="Arial" w:cs="Arial"/>
        </w:rPr>
        <w:t>Second Respondent</w:t>
      </w:r>
    </w:p>
    <w:p w14:paraId="1E0C3546" w14:textId="77777777" w:rsidR="003D60B9" w:rsidRDefault="003D60B9" w:rsidP="003D60B9">
      <w:pPr>
        <w:pStyle w:val="NumberLevel1"/>
        <w:tabs>
          <w:tab w:val="clear" w:pos="4395"/>
          <w:tab w:val="num" w:pos="567"/>
          <w:tab w:val="left" w:pos="720"/>
        </w:tabs>
        <w:ind w:left="567"/>
        <w:jc w:val="both"/>
        <w:rPr>
          <w:rStyle w:val="NumberedList11Char"/>
        </w:rPr>
      </w:pPr>
      <w:r w:rsidRPr="005822FD">
        <w:rPr>
          <w:rStyle w:val="NumberedList11Char"/>
        </w:rPr>
        <w:t>I,</w:t>
      </w:r>
      <w:r>
        <w:rPr>
          <w:rStyle w:val="NumberedList11Char"/>
          <w:lang w:val="en-AU"/>
        </w:rPr>
        <w:t xml:space="preserve"> [insert name]</w:t>
      </w:r>
      <w:r w:rsidRPr="005822FD">
        <w:rPr>
          <w:rStyle w:val="NumberedList11Char"/>
        </w:rPr>
        <w:t xml:space="preserve"> </w:t>
      </w:r>
      <w:r>
        <w:rPr>
          <w:rStyle w:val="NumberedList11Char"/>
          <w:lang w:val="en-AU"/>
        </w:rPr>
        <w:t>,</w:t>
      </w:r>
      <w:r w:rsidRPr="005822FD">
        <w:rPr>
          <w:rStyle w:val="NumberedList11Char"/>
        </w:rPr>
        <w:t xml:space="preserve"> Solicitor for the </w:t>
      </w:r>
      <w:r>
        <w:rPr>
          <w:rStyle w:val="NumberedList11Char"/>
          <w:lang w:val="en-AU"/>
        </w:rPr>
        <w:t xml:space="preserve">First </w:t>
      </w:r>
      <w:r>
        <w:rPr>
          <w:rStyle w:val="NumberedList11Char"/>
        </w:rPr>
        <w:t>Respondent</w:t>
      </w:r>
      <w:r w:rsidRPr="005822FD">
        <w:rPr>
          <w:rStyle w:val="NumberedList11Char"/>
        </w:rPr>
        <w:t>, certify that the amount of the legal expenses</w:t>
      </w:r>
      <w:r>
        <w:rPr>
          <w:rStyle w:val="NumberedList11Char"/>
          <w:lang w:val="en-AU"/>
        </w:rPr>
        <w:t xml:space="preserve"> and disbursements</w:t>
      </w:r>
      <w:r w:rsidRPr="005822FD">
        <w:rPr>
          <w:rStyle w:val="NumberedList11Char"/>
        </w:rPr>
        <w:t xml:space="preserve"> incurred by the</w:t>
      </w:r>
      <w:r>
        <w:rPr>
          <w:rStyle w:val="NumberedList11Char"/>
        </w:rPr>
        <w:t xml:space="preserve"> </w:t>
      </w:r>
      <w:r>
        <w:rPr>
          <w:rStyle w:val="NumberedList11Char"/>
          <w:lang w:val="en-AU"/>
        </w:rPr>
        <w:t xml:space="preserve">First </w:t>
      </w:r>
      <w:r>
        <w:rPr>
          <w:rStyle w:val="NumberedList11Char"/>
        </w:rPr>
        <w:t xml:space="preserve">Respondent in connection with </w:t>
      </w:r>
      <w:r>
        <w:t>this proceeding</w:t>
      </w:r>
      <w:r>
        <w:rPr>
          <w:lang w:val="en-AU"/>
        </w:rPr>
        <w:t xml:space="preserve"> and any other proceedings in which the First Respondent is involved (</w:t>
      </w:r>
      <w:r>
        <w:rPr>
          <w:b/>
          <w:lang w:val="en-AU"/>
        </w:rPr>
        <w:t>the Proceedings</w:t>
      </w:r>
      <w:r>
        <w:rPr>
          <w:lang w:val="en-AU"/>
        </w:rPr>
        <w:t>)</w:t>
      </w:r>
      <w:r>
        <w:t xml:space="preserve"> </w:t>
      </w:r>
      <w:r w:rsidRPr="005822FD">
        <w:rPr>
          <w:rStyle w:val="NumberedList11Char"/>
        </w:rPr>
        <w:t>during the period between</w:t>
      </w:r>
      <w:r w:rsidRPr="008A10D0">
        <w:rPr>
          <w:rStyle w:val="NumberedList11Char"/>
          <w:b/>
        </w:rPr>
        <w:t xml:space="preserve"> [</w:t>
      </w:r>
      <w:r w:rsidRPr="008A10D0">
        <w:rPr>
          <w:rStyle w:val="NumberedList11Char"/>
          <w:b/>
          <w:i/>
        </w:rPr>
        <w:t>insert relevant time period</w:t>
      </w:r>
      <w:r w:rsidRPr="008A10D0">
        <w:rPr>
          <w:rStyle w:val="NumberedList11Char"/>
          <w:b/>
        </w:rPr>
        <w:t>]</w:t>
      </w:r>
      <w:r w:rsidRPr="005822FD">
        <w:rPr>
          <w:rStyle w:val="NumberedList11Char"/>
        </w:rPr>
        <w:t xml:space="preserve"> is as follows:</w:t>
      </w:r>
    </w:p>
    <w:tbl>
      <w:tblPr>
        <w:tblW w:w="8460"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82"/>
        <w:gridCol w:w="2278"/>
        <w:gridCol w:w="2058"/>
        <w:gridCol w:w="1842"/>
      </w:tblGrid>
      <w:tr w:rsidR="003D60B9" w:rsidRPr="005822FD" w14:paraId="25ED8231" w14:textId="77777777" w:rsidTr="00DA32B2">
        <w:tc>
          <w:tcPr>
            <w:tcW w:w="2282" w:type="dxa"/>
            <w:shd w:val="pct10" w:color="auto" w:fill="auto"/>
            <w:hideMark/>
          </w:tcPr>
          <w:p w14:paraId="55649199" w14:textId="77777777" w:rsidR="003D60B9" w:rsidRPr="005822FD" w:rsidRDefault="003D60B9" w:rsidP="00286CAA">
            <w:pPr>
              <w:pStyle w:val="NumberLevel1"/>
              <w:widowControl w:val="0"/>
              <w:numPr>
                <w:ilvl w:val="0"/>
                <w:numId w:val="0"/>
              </w:numPr>
              <w:tabs>
                <w:tab w:val="left" w:pos="720"/>
              </w:tabs>
              <w:ind w:left="567"/>
              <w:rPr>
                <w:rStyle w:val="NumberedList11Char"/>
                <w:i/>
              </w:rPr>
            </w:pPr>
            <w:r w:rsidRPr="005822FD">
              <w:rPr>
                <w:rStyle w:val="NumberedList11Char"/>
                <w:i/>
              </w:rPr>
              <w:t>Name of Solicitor</w:t>
            </w:r>
          </w:p>
        </w:tc>
        <w:tc>
          <w:tcPr>
            <w:tcW w:w="2278" w:type="dxa"/>
            <w:shd w:val="pct10" w:color="auto" w:fill="auto"/>
            <w:hideMark/>
          </w:tcPr>
          <w:p w14:paraId="0E328C40" w14:textId="77777777" w:rsidR="003D60B9" w:rsidRPr="005822FD" w:rsidRDefault="003D60B9" w:rsidP="00286CAA">
            <w:pPr>
              <w:pStyle w:val="NumberLevel1"/>
              <w:widowControl w:val="0"/>
              <w:numPr>
                <w:ilvl w:val="0"/>
                <w:numId w:val="0"/>
              </w:numPr>
              <w:tabs>
                <w:tab w:val="left" w:pos="720"/>
              </w:tabs>
              <w:ind w:left="567"/>
              <w:rPr>
                <w:rStyle w:val="NumberedList11Char"/>
                <w:i/>
              </w:rPr>
            </w:pPr>
            <w:r w:rsidRPr="005822FD">
              <w:rPr>
                <w:rStyle w:val="NumberedList11Char"/>
                <w:i/>
              </w:rPr>
              <w:t>Hourly rate</w:t>
            </w:r>
          </w:p>
        </w:tc>
        <w:tc>
          <w:tcPr>
            <w:tcW w:w="2058" w:type="dxa"/>
            <w:shd w:val="pct10" w:color="auto" w:fill="auto"/>
            <w:hideMark/>
          </w:tcPr>
          <w:p w14:paraId="443B3BC8" w14:textId="77777777" w:rsidR="003D60B9" w:rsidRPr="005822FD" w:rsidRDefault="003D60B9" w:rsidP="00286CAA">
            <w:pPr>
              <w:pStyle w:val="NumberLevel1"/>
              <w:widowControl w:val="0"/>
              <w:numPr>
                <w:ilvl w:val="0"/>
                <w:numId w:val="0"/>
              </w:numPr>
              <w:tabs>
                <w:tab w:val="left" w:pos="720"/>
              </w:tabs>
              <w:ind w:left="567"/>
              <w:rPr>
                <w:rStyle w:val="NumberedList11Char"/>
                <w:i/>
              </w:rPr>
            </w:pPr>
            <w:r w:rsidRPr="005822FD">
              <w:rPr>
                <w:rStyle w:val="NumberedList11Char"/>
                <w:i/>
              </w:rPr>
              <w:t>Number of hours spent</w:t>
            </w:r>
          </w:p>
        </w:tc>
        <w:tc>
          <w:tcPr>
            <w:tcW w:w="1842" w:type="dxa"/>
            <w:shd w:val="pct10" w:color="auto" w:fill="auto"/>
            <w:hideMark/>
          </w:tcPr>
          <w:p w14:paraId="2F713AE7" w14:textId="77777777" w:rsidR="003D60B9" w:rsidRPr="005822FD" w:rsidRDefault="003D60B9" w:rsidP="00286CAA">
            <w:pPr>
              <w:pStyle w:val="NumberLevel1"/>
              <w:widowControl w:val="0"/>
              <w:numPr>
                <w:ilvl w:val="0"/>
                <w:numId w:val="0"/>
              </w:numPr>
              <w:tabs>
                <w:tab w:val="left" w:pos="720"/>
              </w:tabs>
              <w:ind w:left="567"/>
              <w:rPr>
                <w:rStyle w:val="NumberedList11Char"/>
                <w:i/>
              </w:rPr>
            </w:pPr>
            <w:r w:rsidRPr="005822FD">
              <w:rPr>
                <w:rStyle w:val="NumberedList11Char"/>
                <w:i/>
              </w:rPr>
              <w:t>Cost</w:t>
            </w:r>
          </w:p>
        </w:tc>
      </w:tr>
      <w:tr w:rsidR="003D60B9" w:rsidRPr="005822FD" w14:paraId="3EF29035" w14:textId="77777777" w:rsidTr="00DA32B2">
        <w:tc>
          <w:tcPr>
            <w:tcW w:w="2282" w:type="dxa"/>
          </w:tcPr>
          <w:p w14:paraId="23A85636"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2278" w:type="dxa"/>
          </w:tcPr>
          <w:p w14:paraId="0C00293E"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2058" w:type="dxa"/>
          </w:tcPr>
          <w:p w14:paraId="7D3AD7E8"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1842" w:type="dxa"/>
          </w:tcPr>
          <w:p w14:paraId="5579DBD0" w14:textId="77777777" w:rsidR="003D60B9" w:rsidRPr="005822FD" w:rsidRDefault="003D60B9" w:rsidP="00286CAA">
            <w:pPr>
              <w:pStyle w:val="NumberLevel1"/>
              <w:widowControl w:val="0"/>
              <w:numPr>
                <w:ilvl w:val="0"/>
                <w:numId w:val="0"/>
              </w:numPr>
              <w:tabs>
                <w:tab w:val="left" w:pos="720"/>
              </w:tabs>
              <w:rPr>
                <w:rStyle w:val="NumberedList11Char"/>
              </w:rPr>
            </w:pPr>
          </w:p>
        </w:tc>
      </w:tr>
      <w:tr w:rsidR="003D60B9" w:rsidRPr="005822FD" w14:paraId="65D7A35C" w14:textId="77777777" w:rsidTr="00DA32B2">
        <w:tc>
          <w:tcPr>
            <w:tcW w:w="2282" w:type="dxa"/>
          </w:tcPr>
          <w:p w14:paraId="7A930C54"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2278" w:type="dxa"/>
          </w:tcPr>
          <w:p w14:paraId="764CF2DD"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2058" w:type="dxa"/>
          </w:tcPr>
          <w:p w14:paraId="010E0E56"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1842" w:type="dxa"/>
          </w:tcPr>
          <w:p w14:paraId="1348AB13" w14:textId="77777777" w:rsidR="003D60B9" w:rsidRPr="005822FD" w:rsidRDefault="003D60B9" w:rsidP="00286CAA">
            <w:pPr>
              <w:pStyle w:val="NumberLevel1"/>
              <w:widowControl w:val="0"/>
              <w:numPr>
                <w:ilvl w:val="0"/>
                <w:numId w:val="0"/>
              </w:numPr>
              <w:tabs>
                <w:tab w:val="left" w:pos="720"/>
              </w:tabs>
              <w:rPr>
                <w:rStyle w:val="NumberedList11Char"/>
              </w:rPr>
            </w:pPr>
          </w:p>
        </w:tc>
      </w:tr>
      <w:tr w:rsidR="003D60B9" w:rsidRPr="005822FD" w14:paraId="1D282E10" w14:textId="77777777" w:rsidTr="00DA32B2">
        <w:tc>
          <w:tcPr>
            <w:tcW w:w="2282" w:type="dxa"/>
          </w:tcPr>
          <w:p w14:paraId="1CA2F341"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2278" w:type="dxa"/>
          </w:tcPr>
          <w:p w14:paraId="325AB2EC"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2058" w:type="dxa"/>
          </w:tcPr>
          <w:p w14:paraId="5C8EC4F3"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1842" w:type="dxa"/>
          </w:tcPr>
          <w:p w14:paraId="6C268779" w14:textId="77777777" w:rsidR="003D60B9" w:rsidRPr="005822FD" w:rsidRDefault="003D60B9" w:rsidP="00286CAA">
            <w:pPr>
              <w:pStyle w:val="NumberLevel1"/>
              <w:widowControl w:val="0"/>
              <w:numPr>
                <w:ilvl w:val="0"/>
                <w:numId w:val="0"/>
              </w:numPr>
              <w:tabs>
                <w:tab w:val="left" w:pos="720"/>
              </w:tabs>
              <w:rPr>
                <w:rStyle w:val="NumberedList11Char"/>
              </w:rPr>
            </w:pPr>
          </w:p>
        </w:tc>
      </w:tr>
      <w:tr w:rsidR="003D60B9" w:rsidRPr="005822FD" w14:paraId="6301DA35" w14:textId="77777777" w:rsidTr="00DA32B2">
        <w:tc>
          <w:tcPr>
            <w:tcW w:w="2282" w:type="dxa"/>
          </w:tcPr>
          <w:p w14:paraId="297BCE17"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2278" w:type="dxa"/>
          </w:tcPr>
          <w:p w14:paraId="0D9E1DA1"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2058" w:type="dxa"/>
          </w:tcPr>
          <w:p w14:paraId="05E351BB"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1842" w:type="dxa"/>
          </w:tcPr>
          <w:p w14:paraId="7CC314CC" w14:textId="77777777" w:rsidR="003D60B9" w:rsidRPr="005822FD" w:rsidRDefault="003D60B9" w:rsidP="00286CAA">
            <w:pPr>
              <w:pStyle w:val="NumberLevel1"/>
              <w:widowControl w:val="0"/>
              <w:numPr>
                <w:ilvl w:val="0"/>
                <w:numId w:val="0"/>
              </w:numPr>
              <w:tabs>
                <w:tab w:val="left" w:pos="720"/>
              </w:tabs>
              <w:rPr>
                <w:rStyle w:val="NumberedList11Char"/>
              </w:rPr>
            </w:pPr>
          </w:p>
        </w:tc>
      </w:tr>
      <w:tr w:rsidR="003D60B9" w:rsidRPr="005822FD" w14:paraId="497F43DF" w14:textId="77777777" w:rsidTr="00DA32B2">
        <w:trPr>
          <w:gridBefore w:val="3"/>
          <w:wBefore w:w="6618" w:type="dxa"/>
        </w:trPr>
        <w:tc>
          <w:tcPr>
            <w:tcW w:w="1842" w:type="dxa"/>
            <w:hideMark/>
          </w:tcPr>
          <w:p w14:paraId="591D0615" w14:textId="77777777" w:rsidR="003D60B9" w:rsidRPr="005822FD" w:rsidRDefault="003D60B9" w:rsidP="00286CAA">
            <w:pPr>
              <w:pStyle w:val="NumberLevel1"/>
              <w:widowControl w:val="0"/>
              <w:numPr>
                <w:ilvl w:val="0"/>
                <w:numId w:val="0"/>
              </w:numPr>
              <w:tabs>
                <w:tab w:val="left" w:pos="720"/>
              </w:tabs>
              <w:rPr>
                <w:rStyle w:val="NumberedList11Char"/>
                <w:b/>
              </w:rPr>
            </w:pPr>
            <w:r w:rsidRPr="005822FD">
              <w:rPr>
                <w:rStyle w:val="NumberedList11Char"/>
                <w:b/>
              </w:rPr>
              <w:t>Total cost:  $[  ]</w:t>
            </w:r>
          </w:p>
        </w:tc>
      </w:tr>
    </w:tbl>
    <w:p w14:paraId="325B9F99" w14:textId="77777777" w:rsidR="003D60B9" w:rsidRPr="005822FD" w:rsidRDefault="003D60B9" w:rsidP="003D60B9">
      <w:pPr>
        <w:pStyle w:val="NumberLevel1"/>
        <w:tabs>
          <w:tab w:val="clear" w:pos="4395"/>
          <w:tab w:val="num" w:pos="567"/>
          <w:tab w:val="left" w:pos="720"/>
        </w:tabs>
        <w:ind w:left="567"/>
        <w:jc w:val="both"/>
        <w:rPr>
          <w:rStyle w:val="NumberedList11Char"/>
        </w:rPr>
      </w:pPr>
      <w:r w:rsidRPr="005822FD">
        <w:rPr>
          <w:rStyle w:val="NumberedList11Char"/>
        </w:rPr>
        <w:t xml:space="preserve">I further certify that the amount of the disbursements incurred by the </w:t>
      </w:r>
      <w:r>
        <w:rPr>
          <w:rStyle w:val="NumberedList11Char"/>
          <w:lang w:val="en-AU"/>
        </w:rPr>
        <w:t xml:space="preserve">First </w:t>
      </w:r>
      <w:r>
        <w:rPr>
          <w:rStyle w:val="NumberedList11Char"/>
        </w:rPr>
        <w:t>Respondent</w:t>
      </w:r>
      <w:r w:rsidRPr="005822FD">
        <w:rPr>
          <w:rStyle w:val="NumberedList11Char"/>
        </w:rPr>
        <w:t xml:space="preserve"> in connection with the Proceedings during the period between </w:t>
      </w:r>
      <w:r w:rsidRPr="008A10D0">
        <w:rPr>
          <w:rStyle w:val="NumberedList11Char"/>
          <w:b/>
        </w:rPr>
        <w:t>[</w:t>
      </w:r>
      <w:r w:rsidRPr="008A10D0">
        <w:rPr>
          <w:rStyle w:val="NumberedList11Char"/>
          <w:b/>
          <w:i/>
        </w:rPr>
        <w:t>insert relevant time period</w:t>
      </w:r>
      <w:r w:rsidRPr="008A10D0">
        <w:rPr>
          <w:rStyle w:val="NumberedList11Char"/>
          <w:b/>
        </w:rPr>
        <w:t>]</w:t>
      </w:r>
      <w:r w:rsidRPr="005822FD">
        <w:rPr>
          <w:rStyle w:val="NumberedList11Char"/>
        </w:rPr>
        <w:t xml:space="preserve"> is as follows:</w:t>
      </w:r>
    </w:p>
    <w:tbl>
      <w:tblPr>
        <w:tblW w:w="8460"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78"/>
        <w:gridCol w:w="3773"/>
        <w:gridCol w:w="2409"/>
      </w:tblGrid>
      <w:tr w:rsidR="003D60B9" w:rsidRPr="005822FD" w14:paraId="3C7D5FC8" w14:textId="77777777" w:rsidTr="00DA32B2">
        <w:tc>
          <w:tcPr>
            <w:tcW w:w="2278" w:type="dxa"/>
            <w:shd w:val="pct10" w:color="auto" w:fill="auto"/>
            <w:hideMark/>
          </w:tcPr>
          <w:p w14:paraId="00068568" w14:textId="77777777" w:rsidR="003D60B9" w:rsidRPr="005822FD" w:rsidRDefault="003D60B9" w:rsidP="00286CAA">
            <w:pPr>
              <w:pStyle w:val="NumberLevel1"/>
              <w:widowControl w:val="0"/>
              <w:numPr>
                <w:ilvl w:val="0"/>
                <w:numId w:val="0"/>
              </w:numPr>
              <w:tabs>
                <w:tab w:val="left" w:pos="720"/>
              </w:tabs>
              <w:jc w:val="center"/>
              <w:rPr>
                <w:rStyle w:val="NumberedList11Char"/>
                <w:i/>
              </w:rPr>
            </w:pPr>
            <w:r w:rsidRPr="005822FD">
              <w:rPr>
                <w:rStyle w:val="NumberedList11Char"/>
                <w:i/>
              </w:rPr>
              <w:t>Date</w:t>
            </w:r>
          </w:p>
        </w:tc>
        <w:tc>
          <w:tcPr>
            <w:tcW w:w="3773" w:type="dxa"/>
            <w:shd w:val="pct10" w:color="auto" w:fill="auto"/>
            <w:hideMark/>
          </w:tcPr>
          <w:p w14:paraId="15388B93" w14:textId="77777777" w:rsidR="003D60B9" w:rsidRPr="005822FD" w:rsidRDefault="003D60B9" w:rsidP="00286CAA">
            <w:pPr>
              <w:pStyle w:val="NumberLevel1"/>
              <w:widowControl w:val="0"/>
              <w:numPr>
                <w:ilvl w:val="0"/>
                <w:numId w:val="0"/>
              </w:numPr>
              <w:tabs>
                <w:tab w:val="left" w:pos="720"/>
              </w:tabs>
              <w:jc w:val="center"/>
              <w:rPr>
                <w:rStyle w:val="NumberedList11Char"/>
                <w:i/>
              </w:rPr>
            </w:pPr>
            <w:r w:rsidRPr="005822FD">
              <w:rPr>
                <w:rStyle w:val="NumberedList11Char"/>
                <w:i/>
              </w:rPr>
              <w:t>Disbursement</w:t>
            </w:r>
          </w:p>
        </w:tc>
        <w:tc>
          <w:tcPr>
            <w:tcW w:w="2409" w:type="dxa"/>
            <w:shd w:val="pct10" w:color="auto" w:fill="auto"/>
            <w:hideMark/>
          </w:tcPr>
          <w:p w14:paraId="354F4100" w14:textId="77777777" w:rsidR="003D60B9" w:rsidRPr="005822FD" w:rsidRDefault="003D60B9" w:rsidP="00286CAA">
            <w:pPr>
              <w:pStyle w:val="NumberLevel1"/>
              <w:widowControl w:val="0"/>
              <w:numPr>
                <w:ilvl w:val="0"/>
                <w:numId w:val="0"/>
              </w:numPr>
              <w:tabs>
                <w:tab w:val="left" w:pos="720"/>
              </w:tabs>
              <w:jc w:val="center"/>
              <w:rPr>
                <w:rStyle w:val="NumberedList11Char"/>
                <w:i/>
              </w:rPr>
            </w:pPr>
            <w:r w:rsidRPr="005822FD">
              <w:rPr>
                <w:rStyle w:val="NumberedList11Char"/>
                <w:i/>
              </w:rPr>
              <w:t>Cost</w:t>
            </w:r>
          </w:p>
        </w:tc>
      </w:tr>
      <w:tr w:rsidR="003D60B9" w:rsidRPr="005822FD" w14:paraId="1344D95E" w14:textId="77777777" w:rsidTr="00DA32B2">
        <w:tc>
          <w:tcPr>
            <w:tcW w:w="2278" w:type="dxa"/>
          </w:tcPr>
          <w:p w14:paraId="30D0478F"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3773" w:type="dxa"/>
            <w:hideMark/>
          </w:tcPr>
          <w:p w14:paraId="415612DD" w14:textId="77777777" w:rsidR="003D60B9" w:rsidRPr="005822FD" w:rsidRDefault="003D60B9" w:rsidP="00286CAA">
            <w:pPr>
              <w:pStyle w:val="NumberLevel1"/>
              <w:widowControl w:val="0"/>
              <w:numPr>
                <w:ilvl w:val="0"/>
                <w:numId w:val="0"/>
              </w:numPr>
              <w:tabs>
                <w:tab w:val="left" w:pos="720"/>
              </w:tabs>
              <w:rPr>
                <w:rStyle w:val="NumberedList11Char"/>
                <w:i/>
              </w:rPr>
            </w:pPr>
            <w:r w:rsidRPr="005822FD">
              <w:rPr>
                <w:rStyle w:val="NumberedList11Char"/>
                <w:i/>
              </w:rPr>
              <w:t>[E.g. counsel’s fees]</w:t>
            </w:r>
          </w:p>
        </w:tc>
        <w:tc>
          <w:tcPr>
            <w:tcW w:w="2409" w:type="dxa"/>
          </w:tcPr>
          <w:p w14:paraId="1E1E80ED" w14:textId="77777777" w:rsidR="003D60B9" w:rsidRPr="005822FD" w:rsidRDefault="003D60B9" w:rsidP="00286CAA">
            <w:pPr>
              <w:pStyle w:val="NumberLevel1"/>
              <w:widowControl w:val="0"/>
              <w:numPr>
                <w:ilvl w:val="0"/>
                <w:numId w:val="0"/>
              </w:numPr>
              <w:tabs>
                <w:tab w:val="left" w:pos="720"/>
              </w:tabs>
              <w:rPr>
                <w:rStyle w:val="NumberedList11Char"/>
              </w:rPr>
            </w:pPr>
          </w:p>
        </w:tc>
      </w:tr>
      <w:tr w:rsidR="003D60B9" w:rsidRPr="005822FD" w14:paraId="3285BE21" w14:textId="77777777" w:rsidTr="00DA32B2">
        <w:tc>
          <w:tcPr>
            <w:tcW w:w="2278" w:type="dxa"/>
          </w:tcPr>
          <w:p w14:paraId="5353B9BF"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3773" w:type="dxa"/>
          </w:tcPr>
          <w:p w14:paraId="4E09C2FB"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2409" w:type="dxa"/>
          </w:tcPr>
          <w:p w14:paraId="6789F4EB" w14:textId="77777777" w:rsidR="003D60B9" w:rsidRPr="005822FD" w:rsidRDefault="003D60B9" w:rsidP="00286CAA">
            <w:pPr>
              <w:pStyle w:val="NumberLevel1"/>
              <w:widowControl w:val="0"/>
              <w:numPr>
                <w:ilvl w:val="0"/>
                <w:numId w:val="0"/>
              </w:numPr>
              <w:tabs>
                <w:tab w:val="left" w:pos="720"/>
              </w:tabs>
              <w:rPr>
                <w:rStyle w:val="NumberedList11Char"/>
              </w:rPr>
            </w:pPr>
          </w:p>
        </w:tc>
      </w:tr>
      <w:tr w:rsidR="003D60B9" w:rsidRPr="005822FD" w14:paraId="11EA16B3" w14:textId="77777777" w:rsidTr="00DA32B2">
        <w:tc>
          <w:tcPr>
            <w:tcW w:w="2278" w:type="dxa"/>
          </w:tcPr>
          <w:p w14:paraId="4FDBBAE6"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3773" w:type="dxa"/>
          </w:tcPr>
          <w:p w14:paraId="3B9DEB43"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2409" w:type="dxa"/>
          </w:tcPr>
          <w:p w14:paraId="34573DC9" w14:textId="77777777" w:rsidR="003D60B9" w:rsidRPr="005822FD" w:rsidRDefault="003D60B9" w:rsidP="00286CAA">
            <w:pPr>
              <w:pStyle w:val="NumberLevel1"/>
              <w:widowControl w:val="0"/>
              <w:numPr>
                <w:ilvl w:val="0"/>
                <w:numId w:val="0"/>
              </w:numPr>
              <w:tabs>
                <w:tab w:val="left" w:pos="720"/>
              </w:tabs>
              <w:rPr>
                <w:rStyle w:val="NumberedList11Char"/>
              </w:rPr>
            </w:pPr>
          </w:p>
        </w:tc>
      </w:tr>
      <w:tr w:rsidR="003D60B9" w:rsidRPr="005822FD" w14:paraId="61FC1D53" w14:textId="77777777" w:rsidTr="00DA32B2">
        <w:tc>
          <w:tcPr>
            <w:tcW w:w="2278" w:type="dxa"/>
          </w:tcPr>
          <w:p w14:paraId="5C7579DD"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3773" w:type="dxa"/>
          </w:tcPr>
          <w:p w14:paraId="21D0ECE7" w14:textId="77777777" w:rsidR="003D60B9" w:rsidRPr="005822FD" w:rsidRDefault="003D60B9" w:rsidP="00286CAA">
            <w:pPr>
              <w:pStyle w:val="NumberLevel1"/>
              <w:widowControl w:val="0"/>
              <w:numPr>
                <w:ilvl w:val="0"/>
                <w:numId w:val="0"/>
              </w:numPr>
              <w:tabs>
                <w:tab w:val="left" w:pos="720"/>
              </w:tabs>
              <w:rPr>
                <w:rStyle w:val="NumberedList11Char"/>
              </w:rPr>
            </w:pPr>
          </w:p>
        </w:tc>
        <w:tc>
          <w:tcPr>
            <w:tcW w:w="2409" w:type="dxa"/>
          </w:tcPr>
          <w:p w14:paraId="671D16AF" w14:textId="77777777" w:rsidR="003D60B9" w:rsidRPr="005822FD" w:rsidRDefault="003D60B9" w:rsidP="00286CAA">
            <w:pPr>
              <w:pStyle w:val="NumberLevel1"/>
              <w:widowControl w:val="0"/>
              <w:numPr>
                <w:ilvl w:val="0"/>
                <w:numId w:val="0"/>
              </w:numPr>
              <w:tabs>
                <w:tab w:val="left" w:pos="720"/>
              </w:tabs>
              <w:rPr>
                <w:rStyle w:val="NumberedList11Char"/>
              </w:rPr>
            </w:pPr>
          </w:p>
        </w:tc>
      </w:tr>
      <w:tr w:rsidR="003D60B9" w:rsidRPr="005822FD" w14:paraId="6B6B3FB7" w14:textId="77777777" w:rsidTr="00DA32B2">
        <w:trPr>
          <w:gridBefore w:val="2"/>
          <w:wBefore w:w="6051" w:type="dxa"/>
        </w:trPr>
        <w:tc>
          <w:tcPr>
            <w:tcW w:w="2409" w:type="dxa"/>
            <w:hideMark/>
          </w:tcPr>
          <w:p w14:paraId="1FFDEC9E" w14:textId="77777777" w:rsidR="003D60B9" w:rsidRPr="005822FD" w:rsidRDefault="003D60B9" w:rsidP="00286CAA">
            <w:pPr>
              <w:pStyle w:val="NumberLevel1"/>
              <w:widowControl w:val="0"/>
              <w:numPr>
                <w:ilvl w:val="0"/>
                <w:numId w:val="0"/>
              </w:numPr>
              <w:tabs>
                <w:tab w:val="left" w:pos="720"/>
              </w:tabs>
              <w:rPr>
                <w:rStyle w:val="NumberedList11Char"/>
                <w:b/>
              </w:rPr>
            </w:pPr>
            <w:r w:rsidRPr="005822FD">
              <w:rPr>
                <w:rStyle w:val="NumberedList11Char"/>
                <w:b/>
              </w:rPr>
              <w:t>Total cost:  $[  ]</w:t>
            </w:r>
          </w:p>
        </w:tc>
      </w:tr>
    </w:tbl>
    <w:p w14:paraId="0C7832EA" w14:textId="77777777" w:rsidR="003D60B9" w:rsidRDefault="003D60B9" w:rsidP="003D60B9">
      <w:pPr>
        <w:rPr>
          <w:rFonts w:cs="Arial"/>
          <w:color w:val="000000"/>
        </w:rPr>
      </w:pPr>
    </w:p>
    <w:p w14:paraId="7A45EFFB" w14:textId="77777777" w:rsidR="003D60B9" w:rsidRPr="005822FD" w:rsidRDefault="003D60B9" w:rsidP="003D60B9">
      <w:pPr>
        <w:pStyle w:val="NumberLevel1"/>
        <w:tabs>
          <w:tab w:val="clear" w:pos="4395"/>
          <w:tab w:val="num" w:pos="567"/>
          <w:tab w:val="left" w:pos="720"/>
        </w:tabs>
        <w:ind w:left="567"/>
        <w:jc w:val="both"/>
        <w:rPr>
          <w:rStyle w:val="NumberedList11Char"/>
        </w:rPr>
      </w:pPr>
      <w:r w:rsidRPr="005822FD">
        <w:rPr>
          <w:rStyle w:val="NumberedList11Char"/>
        </w:rPr>
        <w:t>Having regard to the complexity of the issues in dispute and the nature of the work which has been undertaken, I consider these amounts to be reasonable.</w:t>
      </w:r>
    </w:p>
    <w:p w14:paraId="68145A21" w14:textId="77777777" w:rsidR="003D60B9" w:rsidRDefault="003D60B9" w:rsidP="003D60B9">
      <w:pPr>
        <w:pStyle w:val="NumberLevel1"/>
        <w:numPr>
          <w:ilvl w:val="0"/>
          <w:numId w:val="0"/>
        </w:numPr>
        <w:tabs>
          <w:tab w:val="left" w:pos="720"/>
        </w:tabs>
        <w:spacing w:before="0" w:after="0" w:line="240" w:lineRule="auto"/>
        <w:ind w:left="567"/>
        <w:rPr>
          <w:rStyle w:val="NumberedList11Char"/>
        </w:rPr>
      </w:pPr>
    </w:p>
    <w:p w14:paraId="6FD29E32" w14:textId="77777777" w:rsidR="003D60B9" w:rsidRPr="005822FD" w:rsidRDefault="003D60B9" w:rsidP="003D60B9">
      <w:pPr>
        <w:pStyle w:val="NumberLevel1"/>
        <w:numPr>
          <w:ilvl w:val="0"/>
          <w:numId w:val="0"/>
        </w:numPr>
        <w:tabs>
          <w:tab w:val="left" w:pos="720"/>
        </w:tabs>
        <w:spacing w:before="0" w:after="0" w:line="240" w:lineRule="auto"/>
        <w:ind w:left="567"/>
        <w:rPr>
          <w:rStyle w:val="NumberedList11Char"/>
        </w:rPr>
      </w:pPr>
      <w:r w:rsidRPr="005822FD">
        <w:rPr>
          <w:rStyle w:val="NumberedList11Char"/>
        </w:rPr>
        <w:t>Date:  [</w:t>
      </w:r>
      <w:r w:rsidRPr="005822FD">
        <w:rPr>
          <w:rStyle w:val="NumberedList11Char"/>
          <w:i/>
        </w:rPr>
        <w:t>insert date</w:t>
      </w:r>
      <w:r w:rsidRPr="005822FD">
        <w:rPr>
          <w:rStyle w:val="NumberedList11Char"/>
        </w:rPr>
        <w:t>]</w:t>
      </w:r>
    </w:p>
    <w:p w14:paraId="7E0BC7D1" w14:textId="77777777" w:rsidR="003D60B9" w:rsidRPr="005822FD" w:rsidRDefault="003D60B9" w:rsidP="003D60B9">
      <w:pPr>
        <w:pStyle w:val="NumberLevel1"/>
        <w:numPr>
          <w:ilvl w:val="0"/>
          <w:numId w:val="0"/>
        </w:numPr>
        <w:tabs>
          <w:tab w:val="left" w:pos="720"/>
        </w:tabs>
        <w:spacing w:before="0" w:after="0" w:line="240" w:lineRule="auto"/>
        <w:ind w:left="567"/>
        <w:rPr>
          <w:rStyle w:val="NumberedList11Char"/>
          <w:b/>
        </w:rPr>
      </w:pPr>
    </w:p>
    <w:p w14:paraId="24FD8D3F" w14:textId="77777777" w:rsidR="003D60B9" w:rsidRPr="005822FD" w:rsidRDefault="003D60B9" w:rsidP="003D60B9">
      <w:pPr>
        <w:pStyle w:val="NumberLevel1"/>
        <w:numPr>
          <w:ilvl w:val="0"/>
          <w:numId w:val="0"/>
        </w:numPr>
        <w:tabs>
          <w:tab w:val="left" w:pos="720"/>
        </w:tabs>
        <w:spacing w:before="0" w:after="0" w:line="240" w:lineRule="auto"/>
        <w:ind w:left="567"/>
        <w:rPr>
          <w:rStyle w:val="NumberedList11Char"/>
          <w:b/>
        </w:rPr>
      </w:pPr>
    </w:p>
    <w:tbl>
      <w:tblPr>
        <w:tblW w:w="0" w:type="auto"/>
        <w:tblBorders>
          <w:top w:val="dotted" w:sz="4" w:space="0" w:color="auto"/>
        </w:tblBorders>
        <w:tblLayout w:type="fixed"/>
        <w:tblLook w:val="04A0" w:firstRow="1" w:lastRow="0" w:firstColumn="1" w:lastColumn="0" w:noHBand="0" w:noVBand="1"/>
      </w:tblPr>
      <w:tblGrid>
        <w:gridCol w:w="4678"/>
      </w:tblGrid>
      <w:tr w:rsidR="003D60B9" w:rsidRPr="005822FD" w14:paraId="732A1425" w14:textId="77777777" w:rsidTr="00286CAA">
        <w:trPr>
          <w:trHeight w:val="63"/>
        </w:trPr>
        <w:tc>
          <w:tcPr>
            <w:tcW w:w="4678" w:type="dxa"/>
            <w:tcBorders>
              <w:top w:val="dotted" w:sz="4" w:space="0" w:color="auto"/>
              <w:left w:val="nil"/>
              <w:bottom w:val="nil"/>
              <w:right w:val="nil"/>
            </w:tcBorders>
            <w:hideMark/>
          </w:tcPr>
          <w:p w14:paraId="2E206827" w14:textId="77777777" w:rsidR="003D60B9" w:rsidRDefault="003D60B9" w:rsidP="00286CAA">
            <w:pPr>
              <w:keepNext/>
              <w:keepLines/>
              <w:ind w:left="567"/>
              <w:rPr>
                <w:rFonts w:cs="Arial"/>
              </w:rPr>
            </w:pPr>
            <w:r>
              <w:rPr>
                <w:caps/>
              </w:rPr>
              <w:t>[sIGNED]</w:t>
            </w:r>
          </w:p>
          <w:p w14:paraId="2C4877D6" w14:textId="77777777" w:rsidR="003D60B9" w:rsidRPr="00B86F3E" w:rsidRDefault="003D60B9" w:rsidP="00286CAA">
            <w:pPr>
              <w:keepNext/>
              <w:keepLines/>
              <w:ind w:left="567"/>
              <w:rPr>
                <w:rFonts w:cs="Arial"/>
              </w:rPr>
            </w:pPr>
          </w:p>
        </w:tc>
      </w:tr>
    </w:tbl>
    <w:p w14:paraId="3053D39E" w14:textId="77777777" w:rsidR="003D60B9" w:rsidRDefault="003D60B9" w:rsidP="003D60B9">
      <w:pPr>
        <w:rPr>
          <w:rFonts w:cs="Arial"/>
          <w:color w:val="000000"/>
        </w:rPr>
      </w:pPr>
    </w:p>
    <w:p w14:paraId="1AEA17C3" w14:textId="77777777" w:rsidR="003D60B9" w:rsidRPr="00685255" w:rsidRDefault="003D60B9" w:rsidP="003D60B9">
      <w:pPr>
        <w:rPr>
          <w:rFonts w:ascii="Arial" w:hAnsi="Arial" w:cs="Arial"/>
          <w:sz w:val="21"/>
          <w:szCs w:val="21"/>
        </w:rPr>
      </w:pPr>
    </w:p>
    <w:p w14:paraId="219E52A2"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51D4CC92" w14:textId="77777777"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14:paraId="6BB8CDF6" w14:textId="77777777" w:rsidR="00694BEB" w:rsidRPr="00031492" w:rsidRDefault="00031492" w:rsidP="005E0510">
      <w:pPr>
        <w:pStyle w:val="NormalHeadings"/>
        <w:spacing w:line="360" w:lineRule="auto"/>
        <w:jc w:val="left"/>
        <w:rPr>
          <w:b w:val="0"/>
          <w:sz w:val="26"/>
          <w:szCs w:val="26"/>
        </w:rPr>
      </w:pPr>
      <w:r>
        <w:rPr>
          <w:sz w:val="26"/>
          <w:szCs w:val="26"/>
        </w:rPr>
        <w:t xml:space="preserve">JAGOT J: </w:t>
      </w:r>
    </w:p>
    <w:p w14:paraId="2BC236CD" w14:textId="77777777" w:rsidR="00CD1346" w:rsidRDefault="00FF3B15" w:rsidP="00CD1346">
      <w:pPr>
        <w:pStyle w:val="ParaNumbering"/>
      </w:pPr>
      <w:r>
        <w:t>These reasons for judgment explain why I made an order on 20 May 2022 in these terms:</w:t>
      </w:r>
    </w:p>
    <w:p w14:paraId="54BD279E" w14:textId="77777777" w:rsidR="00FF3B15" w:rsidRDefault="00031492" w:rsidP="00FF3B15">
      <w:pPr>
        <w:pStyle w:val="Quote1"/>
      </w:pPr>
      <w:r>
        <w:t>Order [10] in the Penal Notice directed to the first respondent made by Justice Jagot on 21 October 2019 be varied by inserting the words “</w:t>
      </w:r>
      <w:r>
        <w:rPr>
          <w:i/>
          <w:iCs/>
        </w:rPr>
        <w:t xml:space="preserve">using your ex-Australian assets for the purposes of” </w:t>
      </w:r>
      <w:r>
        <w:t>after the words “</w:t>
      </w:r>
      <w:r>
        <w:rPr>
          <w:i/>
          <w:iCs/>
        </w:rPr>
        <w:t>This order does not prohibit you from</w:t>
      </w:r>
      <w:r>
        <w:t>”. The penal notice to the first respondent as varied is annexed to these orders and marked “</w:t>
      </w:r>
      <w:r>
        <w:rPr>
          <w:b/>
          <w:bCs/>
        </w:rPr>
        <w:t>A</w:t>
      </w:r>
      <w:r>
        <w:t>”.</w:t>
      </w:r>
    </w:p>
    <w:p w14:paraId="77A5CDBC" w14:textId="00E78EE5" w:rsidR="00574FA0" w:rsidRDefault="00FF3B15" w:rsidP="001662AB">
      <w:pPr>
        <w:pStyle w:val="ParaNumbering"/>
      </w:pPr>
      <w:r>
        <w:t xml:space="preserve">In summary, I am satisfied that it is in the interest of justice that the first respondent, </w:t>
      </w:r>
      <w:r w:rsidR="001C2872">
        <w:t xml:space="preserve">Changran </w:t>
      </w:r>
      <w:r>
        <w:t>Huang, not be permitted to use his assets in Australia to pay his</w:t>
      </w:r>
      <w:r w:rsidR="002F4AAE">
        <w:t xml:space="preserve"> contemplated</w:t>
      </w:r>
      <w:r>
        <w:t xml:space="preserve"> legal expenses in connection with proceedings he has commenced in the Administrative Appeals Tribunal </w:t>
      </w:r>
      <w:r w:rsidR="007F7E51">
        <w:t>(</w:t>
      </w:r>
      <w:r w:rsidR="007F7E51" w:rsidRPr="007F7E51">
        <w:rPr>
          <w:b/>
        </w:rPr>
        <w:t>AAT</w:t>
      </w:r>
      <w:r w:rsidR="007F7E51">
        <w:t xml:space="preserve">) </w:t>
      </w:r>
      <w:r>
        <w:t xml:space="preserve">to review the </w:t>
      </w:r>
      <w:r w:rsidRPr="00542EFF">
        <w:rPr>
          <w:b/>
        </w:rPr>
        <w:t>Commissioner</w:t>
      </w:r>
      <w:r>
        <w:t xml:space="preserve"> of Taxation’s decision to disallow Mr Huang’s objections to the assessments of income tax and penalties</w:t>
      </w:r>
      <w:r w:rsidR="002F4AAE">
        <w:t xml:space="preserve"> the subject of the judgment I entered against Mr Huang in these proceedings on 19 December 2019</w:t>
      </w:r>
      <w:r w:rsidR="001662AB">
        <w:t>:</w:t>
      </w:r>
      <w:r>
        <w:t xml:space="preserve"> </w:t>
      </w:r>
      <w:r w:rsidR="001662AB" w:rsidRPr="001662AB">
        <w:rPr>
          <w:i/>
        </w:rPr>
        <w:t>Deputy Commissioner of Taxation v Huang</w:t>
      </w:r>
      <w:r w:rsidR="001662AB" w:rsidRPr="001662AB">
        <w:t xml:space="preserve"> [2019] FCA 2122</w:t>
      </w:r>
      <w:r w:rsidR="001662AB">
        <w:t>.</w:t>
      </w:r>
    </w:p>
    <w:p w14:paraId="65042E1D" w14:textId="3C749801" w:rsidR="001662AB" w:rsidRPr="001662AB" w:rsidRDefault="00FF3B15" w:rsidP="001662AB">
      <w:pPr>
        <w:pStyle w:val="ParaNumbering"/>
      </w:pPr>
      <w:r>
        <w:t>If necessary, I am also satisfied that there has been a material change in circumstances justifying the variation of the freezing o</w:t>
      </w:r>
      <w:r w:rsidR="001662AB">
        <w:t>rders I made on 21 October 2019:</w:t>
      </w:r>
      <w:r>
        <w:t xml:space="preserve"> </w:t>
      </w:r>
      <w:r w:rsidR="001662AB" w:rsidRPr="001662AB">
        <w:rPr>
          <w:i/>
        </w:rPr>
        <w:t>Deputy Commissioner of Taxation v Huang</w:t>
      </w:r>
      <w:r w:rsidR="001662AB" w:rsidRPr="001662AB">
        <w:t xml:space="preserve"> [2019] FCA 1728</w:t>
      </w:r>
      <w:r w:rsidR="001662AB">
        <w:t>.</w:t>
      </w:r>
    </w:p>
    <w:p w14:paraId="5EF955B7" w14:textId="6E54F3F7" w:rsidR="00FF3B15" w:rsidRDefault="00FF3B15" w:rsidP="00FF3B15">
      <w:pPr>
        <w:pStyle w:val="ParaNumbering"/>
      </w:pPr>
      <w:r>
        <w:t>On both accounts, this is primarily because</w:t>
      </w:r>
      <w:r w:rsidR="007F7E51">
        <w:t>: (a) </w:t>
      </w:r>
      <w:r>
        <w:t xml:space="preserve">there is now a judgment debt owed by Mr Huang to the </w:t>
      </w:r>
      <w:r w:rsidR="002F4AAE" w:rsidRPr="001662AB">
        <w:rPr>
          <w:b/>
        </w:rPr>
        <w:t xml:space="preserve">Deputy </w:t>
      </w:r>
      <w:r w:rsidRPr="001662AB">
        <w:rPr>
          <w:b/>
        </w:rPr>
        <w:t xml:space="preserve">Commissioner </w:t>
      </w:r>
      <w:r>
        <w:t xml:space="preserve">of Taxation </w:t>
      </w:r>
      <w:r w:rsidR="007F7E51">
        <w:t xml:space="preserve">for the unpaid income tax and penalties, (b) the entirety of the judgment debt remains unpaid by Mr Huang, (c) Mr Huang has now commenced the proceedings in the </w:t>
      </w:r>
      <w:r w:rsidR="00903FD5">
        <w:t>AAT</w:t>
      </w:r>
      <w:r w:rsidR="007F7E51">
        <w:t xml:space="preserve">, (d) the evidence persuades me that unless the freezing orders are varied as proposed by the </w:t>
      </w:r>
      <w:r w:rsidR="007F7E51" w:rsidRPr="001662AB">
        <w:t>Deputy Commissioner</w:t>
      </w:r>
      <w:r w:rsidR="007F7E51">
        <w:t>, the purpose of the continuation of the freezing order, to protect the efficacy of execution of the judgment debt against Mr Huang, will be or involves a real risk of being undermined, (e) the evidence persuades me that Mr Huang will have no difficulty</w:t>
      </w:r>
      <w:r w:rsidR="00903FD5">
        <w:t xml:space="preserve"> in</w:t>
      </w:r>
      <w:r w:rsidR="007F7E51">
        <w:t xml:space="preserve"> funding his proceedings in the AAT using his assets outside of Australia, and (f) there is no evidence that the variation of the freezing order will cause any prejudice to Mr Huang or any other person. </w:t>
      </w:r>
    </w:p>
    <w:p w14:paraId="1E5A3914" w14:textId="77777777" w:rsidR="007F7E51" w:rsidRDefault="007F7E51" w:rsidP="007F7E51">
      <w:pPr>
        <w:pStyle w:val="Heading2"/>
      </w:pPr>
      <w:r>
        <w:t>Background</w:t>
      </w:r>
    </w:p>
    <w:p w14:paraId="064C87D1" w14:textId="4C2032BB" w:rsidR="007F7E51" w:rsidRDefault="002A45D5" w:rsidP="002A45D5">
      <w:pPr>
        <w:pStyle w:val="ParaNumbering"/>
      </w:pPr>
      <w:r>
        <w:t>On 1</w:t>
      </w:r>
      <w:r w:rsidR="00531E5C">
        <w:t>6</w:t>
      </w:r>
      <w:r>
        <w:t xml:space="preserve"> September 2019</w:t>
      </w:r>
      <w:r w:rsidR="00DF2CFC">
        <w:t>,</w:t>
      </w:r>
      <w:r>
        <w:t xml:space="preserve"> Katzmann J made an ex parte freezing order against Mr Huang: </w:t>
      </w:r>
      <w:r w:rsidRPr="00903AAA">
        <w:rPr>
          <w:i/>
        </w:rPr>
        <w:t>Deputy Commissioner of Taxation v Huang</w:t>
      </w:r>
      <w:r w:rsidRPr="00903AAA">
        <w:t xml:space="preserve"> [2019] FCA 1537</w:t>
      </w:r>
      <w:r>
        <w:t>.</w:t>
      </w:r>
    </w:p>
    <w:p w14:paraId="4102FE58" w14:textId="5A5EEAAD" w:rsidR="002A45D5" w:rsidRDefault="002A45D5" w:rsidP="002A45D5">
      <w:pPr>
        <w:pStyle w:val="ParaNumbering"/>
      </w:pPr>
      <w:r w:rsidRPr="00F90373">
        <w:lastRenderedPageBreak/>
        <w:t>On 15 October 2019</w:t>
      </w:r>
      <w:r w:rsidR="00DF2CFC">
        <w:t>,</w:t>
      </w:r>
      <w:r w:rsidRPr="00F90373">
        <w:t xml:space="preserve"> Mr Huang made an objection to his assessed income tax under </w:t>
      </w:r>
      <w:r w:rsidRPr="00903AAA">
        <w:t xml:space="preserve">Pt IVC of the </w:t>
      </w:r>
      <w:r w:rsidRPr="00903AAA">
        <w:rPr>
          <w:i/>
        </w:rPr>
        <w:t>Taxation Administration Act 1953</w:t>
      </w:r>
      <w:r w:rsidRPr="00903AAA">
        <w:t xml:space="preserve"> (Cth</w:t>
      </w:r>
      <w:r w:rsidRPr="00F90373">
        <w:t xml:space="preserve">) (the </w:t>
      </w:r>
      <w:r w:rsidRPr="00F90373">
        <w:rPr>
          <w:b/>
        </w:rPr>
        <w:t>TAA</w:t>
      </w:r>
      <w:r w:rsidRPr="00F90373">
        <w:t>).</w:t>
      </w:r>
      <w:r>
        <w:t xml:space="preserve"> </w:t>
      </w:r>
    </w:p>
    <w:p w14:paraId="2AE45042" w14:textId="62FB3AD7" w:rsidR="002A45D5" w:rsidRDefault="002A45D5" w:rsidP="002A45D5">
      <w:pPr>
        <w:pStyle w:val="ParaNumbering"/>
      </w:pPr>
      <w:r>
        <w:t xml:space="preserve">On 21 October 2019 I made an inter partes </w:t>
      </w:r>
      <w:r w:rsidRPr="001662AB">
        <w:rPr>
          <w:b/>
        </w:rPr>
        <w:t xml:space="preserve">freezing order </w:t>
      </w:r>
      <w:r>
        <w:t xml:space="preserve">against Mr Huang: </w:t>
      </w:r>
      <w:r w:rsidRPr="00903AAA">
        <w:rPr>
          <w:i/>
        </w:rPr>
        <w:t>Deputy Commissioner of Taxation v Huang</w:t>
      </w:r>
      <w:r w:rsidRPr="00903AAA">
        <w:t xml:space="preserve"> [2019] FCA 1728</w:t>
      </w:r>
      <w:r>
        <w:t xml:space="preserve">. This freezing order has continued and is the subject of the order for variation described above. </w:t>
      </w:r>
    </w:p>
    <w:p w14:paraId="13E7C919" w14:textId="09C408E2" w:rsidR="00F6474B" w:rsidRDefault="00F6474B" w:rsidP="002A45D5">
      <w:pPr>
        <w:pStyle w:val="ParaNumbering"/>
      </w:pPr>
      <w:r>
        <w:t>On 23 October 2019</w:t>
      </w:r>
      <w:r w:rsidR="00DF2CFC">
        <w:t>,</w:t>
      </w:r>
      <w:r>
        <w:t xml:space="preserve"> Mr Huang applied for leave to appeal to appeal against the freezing order I made to the extent the order concerned his assets outside of Australia.</w:t>
      </w:r>
    </w:p>
    <w:p w14:paraId="3E1A84BF" w14:textId="5717F5B4" w:rsidR="002A45D5" w:rsidRDefault="002A45D5" w:rsidP="002A45D5">
      <w:pPr>
        <w:pStyle w:val="ParaNumbering"/>
      </w:pPr>
      <w:r w:rsidRPr="00F90373">
        <w:t>On 4 November 2019</w:t>
      </w:r>
      <w:r w:rsidR="00DF2CFC">
        <w:t>,</w:t>
      </w:r>
      <w:r w:rsidRPr="00F90373">
        <w:t xml:space="preserve"> Mr Huang made another objection to his assessed income tax under Pt IVC of the TAA.</w:t>
      </w:r>
    </w:p>
    <w:p w14:paraId="1A6363DD" w14:textId="3C990080" w:rsidR="00574FA0" w:rsidRDefault="002A45D5" w:rsidP="00A455B1">
      <w:pPr>
        <w:pStyle w:val="ParaNumbering"/>
      </w:pPr>
      <w:r>
        <w:t>On 19 December 2019</w:t>
      </w:r>
      <w:r w:rsidR="00DF2CFC">
        <w:t>,</w:t>
      </w:r>
      <w:r>
        <w:t xml:space="preserve"> I made an order that judgment </w:t>
      </w:r>
      <w:r w:rsidRPr="002A45D5">
        <w:t xml:space="preserve">be entered in favour of the </w:t>
      </w:r>
      <w:r>
        <w:t xml:space="preserve">Deputy Commissioner </w:t>
      </w:r>
      <w:r w:rsidRPr="002A45D5">
        <w:t xml:space="preserve">against </w:t>
      </w:r>
      <w:r>
        <w:t xml:space="preserve">Mr Huang </w:t>
      </w:r>
      <w:r w:rsidRPr="002A45D5">
        <w:t xml:space="preserve">in the sum of $140,607,780.88 together with general interest </w:t>
      </w:r>
      <w:r>
        <w:t xml:space="preserve">charges to the date of judgment: </w:t>
      </w:r>
      <w:r w:rsidRPr="00903AAA">
        <w:rPr>
          <w:i/>
        </w:rPr>
        <w:t>Deputy Commissioner of Taxation v Huang</w:t>
      </w:r>
      <w:r w:rsidRPr="00903AAA">
        <w:t xml:space="preserve"> [2019] FCA 2122</w:t>
      </w:r>
      <w:r>
        <w:t xml:space="preserve">. This is the judgment debt referred to above. No stay of execution was granted. The judgment debt remains unpaid. </w:t>
      </w:r>
    </w:p>
    <w:p w14:paraId="71FACBE8" w14:textId="77777777" w:rsidR="00F6474B" w:rsidRDefault="00F6474B" w:rsidP="00F6474B">
      <w:pPr>
        <w:pStyle w:val="ParaNumbering"/>
      </w:pPr>
      <w:r>
        <w:t xml:space="preserve">On 28 September 2020, the Full Court of the Federal Court allowed Mr Huang’s appeal and made orders varying the freezing order but stayed those orders until further order: </w:t>
      </w:r>
      <w:r w:rsidRPr="00903AAA">
        <w:rPr>
          <w:i/>
        </w:rPr>
        <w:t>Huang v Deputy Commissioner of Taxation</w:t>
      </w:r>
      <w:r w:rsidRPr="00903AAA">
        <w:t xml:space="preserve"> [2020] FCAFC 141; (2020) 280 FCR 260</w:t>
      </w:r>
      <w:r>
        <w:t>.</w:t>
      </w:r>
    </w:p>
    <w:p w14:paraId="3D6D6D15" w14:textId="77777777" w:rsidR="00F6474B" w:rsidRDefault="00F6474B" w:rsidP="00F6474B">
      <w:pPr>
        <w:pStyle w:val="ParaNumbering"/>
      </w:pPr>
      <w:r>
        <w:t>On 11 February 2021, the High Court granted the Deputy Commissioner special leave to appeal against the Full Court’s orders.</w:t>
      </w:r>
    </w:p>
    <w:p w14:paraId="29FE8464" w14:textId="09EB24AA" w:rsidR="00542EFF" w:rsidRDefault="00542EFF" w:rsidP="002A45D5">
      <w:pPr>
        <w:pStyle w:val="ParaNumbering"/>
      </w:pPr>
      <w:r>
        <w:t>On 15 November 2021</w:t>
      </w:r>
      <w:r w:rsidR="00F6474B">
        <w:t>,</w:t>
      </w:r>
      <w:r>
        <w:t xml:space="preserve"> the Commissioner disallowed all of Mr Huang’s objections to the assessments of </w:t>
      </w:r>
      <w:r w:rsidR="00F90373">
        <w:t xml:space="preserve">his </w:t>
      </w:r>
      <w:r>
        <w:t xml:space="preserve">income tax and </w:t>
      </w:r>
      <w:r w:rsidR="00F90373">
        <w:t xml:space="preserve">administrative </w:t>
      </w:r>
      <w:r>
        <w:t>penalties</w:t>
      </w:r>
      <w:r w:rsidR="00F90373">
        <w:t xml:space="preserve"> the subject of the judgment deb</w:t>
      </w:r>
      <w:r w:rsidR="00DF2CFC">
        <w:t>t</w:t>
      </w:r>
      <w:r>
        <w:t xml:space="preserve">. </w:t>
      </w:r>
    </w:p>
    <w:p w14:paraId="2429A7ED" w14:textId="52B46D7C" w:rsidR="00F6474B" w:rsidRDefault="00F6474B" w:rsidP="00F6474B">
      <w:pPr>
        <w:pStyle w:val="ParaNumbering"/>
      </w:pPr>
      <w:r>
        <w:t xml:space="preserve">On 8 December 2021, the High Court allowed the Deputy Commissioner’s appeal and set aside the orders of the Full Court of the Federal Court: </w:t>
      </w:r>
      <w:r w:rsidRPr="00903AAA">
        <w:rPr>
          <w:i/>
        </w:rPr>
        <w:t>Deputy Commissioner of Taxation v Huang</w:t>
      </w:r>
      <w:r w:rsidRPr="00903AAA">
        <w:t xml:space="preserve"> [2021] HCA 43; (2021) </w:t>
      </w:r>
      <w:r w:rsidR="00117E70" w:rsidRPr="00903AAA">
        <w:t>96 ALJR 43</w:t>
      </w:r>
      <w:r>
        <w:t>.</w:t>
      </w:r>
    </w:p>
    <w:p w14:paraId="6D1C0064" w14:textId="4E749C1C" w:rsidR="00542EFF" w:rsidRDefault="00542EFF" w:rsidP="002A45D5">
      <w:pPr>
        <w:pStyle w:val="ParaNumbering"/>
      </w:pPr>
      <w:r>
        <w:t>On 23 December 2021</w:t>
      </w:r>
      <w:r w:rsidR="00B9419B">
        <w:t>,</w:t>
      </w:r>
      <w:r>
        <w:t xml:space="preserve"> Mr Huang both filed an application for review of the Commissioner’s objection decisions in the AAT under Pt IVC of the TAA and </w:t>
      </w:r>
      <w:r w:rsidR="00B9419B">
        <w:t xml:space="preserve">requested that </w:t>
      </w:r>
      <w:r>
        <w:t>the Deputy Commissioner</w:t>
      </w:r>
      <w:r w:rsidR="00B9419B">
        <w:t>, in the context of this proceeding,</w:t>
      </w:r>
      <w:r>
        <w:t xml:space="preserve"> </w:t>
      </w:r>
      <w:r w:rsidR="00B9419B">
        <w:t xml:space="preserve">facilitate the use of his Australian assets </w:t>
      </w:r>
      <w:r>
        <w:t xml:space="preserve">to fund his legal </w:t>
      </w:r>
      <w:r w:rsidR="00621A6D">
        <w:t xml:space="preserve">fees and expenses </w:t>
      </w:r>
      <w:r>
        <w:t xml:space="preserve">in the AAT proceedings. </w:t>
      </w:r>
      <w:r w:rsidR="00F6474B">
        <w:t>Discussions ensued but the parties did not reach an agreed position about Mr Huang’s proposal.</w:t>
      </w:r>
    </w:p>
    <w:p w14:paraId="6647FF9A" w14:textId="6A95B5B0" w:rsidR="00542EFF" w:rsidRDefault="00542EFF" w:rsidP="002A45D5">
      <w:pPr>
        <w:pStyle w:val="ParaNumbering"/>
      </w:pPr>
      <w:r>
        <w:lastRenderedPageBreak/>
        <w:t xml:space="preserve">The Deputy Commissioner filed the interlocutory application seeking to vary order 10 of the freezing orders </w:t>
      </w:r>
      <w:r w:rsidR="00A743DF">
        <w:t xml:space="preserve">(relevantly, a provision of the annexed penal notice allowing for exceptions on the use of Mr Huang’s assets) </w:t>
      </w:r>
      <w:r>
        <w:t>on 3</w:t>
      </w:r>
      <w:r w:rsidR="00621A6D">
        <w:t>1</w:t>
      </w:r>
      <w:r>
        <w:t xml:space="preserve"> March </w:t>
      </w:r>
      <w:r w:rsidR="00F6474B">
        <w:t>2022.</w:t>
      </w:r>
    </w:p>
    <w:p w14:paraId="732599C6" w14:textId="77777777" w:rsidR="00F6474B" w:rsidRDefault="00665E44" w:rsidP="00F6474B">
      <w:pPr>
        <w:pStyle w:val="Heading2"/>
      </w:pPr>
      <w:r>
        <w:t>Principles</w:t>
      </w:r>
    </w:p>
    <w:p w14:paraId="0489312D" w14:textId="0CF26B9F" w:rsidR="00665E44" w:rsidRDefault="00665E44" w:rsidP="00665E44">
      <w:pPr>
        <w:pStyle w:val="ParaNumbering"/>
      </w:pPr>
      <w:r>
        <w:t xml:space="preserve">In </w:t>
      </w:r>
      <w:r w:rsidRPr="00903AAA">
        <w:rPr>
          <w:i/>
        </w:rPr>
        <w:t xml:space="preserve">Deputy Commissioner of Taxation v </w:t>
      </w:r>
      <w:r w:rsidRPr="00903AAA">
        <w:rPr>
          <w:b/>
          <w:i/>
        </w:rPr>
        <w:t>Shi</w:t>
      </w:r>
      <w:r w:rsidRPr="00903AAA">
        <w:t xml:space="preserve"> [2021] HCA 22; (2021) 95 ALJR 634</w:t>
      </w:r>
      <w:r w:rsidRPr="00665E44">
        <w:t xml:space="preserve"> </w:t>
      </w:r>
      <w:r>
        <w:t xml:space="preserve">at [21]–[22] Gordon J (with whom </w:t>
      </w:r>
      <w:r w:rsidRPr="00665E44">
        <w:t xml:space="preserve">Kiefel CJ, Gageler and Gleeson JJ </w:t>
      </w:r>
      <w:r>
        <w:t>agreed) identified that</w:t>
      </w:r>
      <w:r w:rsidR="00B000FE">
        <w:t xml:space="preserve"> (citations excluded)</w:t>
      </w:r>
      <w:r>
        <w:t>:</w:t>
      </w:r>
    </w:p>
    <w:p w14:paraId="1E3042B9" w14:textId="77777777" w:rsidR="00665E44" w:rsidRDefault="00665E44" w:rsidP="00665E44">
      <w:pPr>
        <w:pStyle w:val="Quote1"/>
      </w:pPr>
      <w:r>
        <w:t>The Federal Court may make a freezing order or an ancillary order, or both, against a judgment debtor or a prospective judgment debtor if the Court is satisfied, having regard to all the circumstances, that there is a danger that a judgment or a prospective judgment will be wholly or partly unsatisfied because the judgment debtor or the prospective judgment debtor might abscond, or because the assets of the judgment debtor or the prospective judgment debtor might be removed from Australia or from a place inside or outside Australia, or disposed of, dealt with or diminished in value.</w:t>
      </w:r>
    </w:p>
    <w:p w14:paraId="3C7C6F9A" w14:textId="77777777" w:rsidR="00665E44" w:rsidRDefault="00665E44" w:rsidP="00665E44">
      <w:pPr>
        <w:pStyle w:val="Quote1"/>
      </w:pPr>
      <w:r>
        <w:t xml:space="preserve">A freezing order, and an asset disclosure order, have the same fundamental purpose: “to prevent the abuse or frustration of [a court’s] process in relation to matters coming within its jurisdiction”. Freezing orders may be made, and may continue to operate, after final judgment to protect the efficacy of the execution. And for freezing orders to be effective there needs to be timely disclosure of assets. The utility in both orders lies in ensuring that the court’s processes for enforcement of a judgment are not frustrated by assets being spirited away between the time of commencement of the proceedings and eventual enforcement. </w:t>
      </w:r>
    </w:p>
    <w:p w14:paraId="759C9843" w14:textId="77777777" w:rsidR="00665E44" w:rsidRDefault="00665E44" w:rsidP="00854DE8">
      <w:pPr>
        <w:pStyle w:val="ParaNumbering"/>
      </w:pPr>
      <w:r>
        <w:t xml:space="preserve">In the present case, the freezing order was made because of the real risk of Mr Huang dissipating his assets in Australia: </w:t>
      </w:r>
      <w:r w:rsidR="00C70D1A" w:rsidRPr="002A45D5">
        <w:rPr>
          <w:i/>
        </w:rPr>
        <w:t>Deputy Commissioner of Taxation v Huang</w:t>
      </w:r>
      <w:r w:rsidR="00C70D1A" w:rsidRPr="002A45D5">
        <w:t xml:space="preserve"> [2019] FCA 1728</w:t>
      </w:r>
      <w:r w:rsidR="00C70D1A">
        <w:t xml:space="preserve"> and </w:t>
      </w:r>
      <w:r w:rsidR="00C70D1A" w:rsidRPr="00C70D1A">
        <w:rPr>
          <w:i/>
        </w:rPr>
        <w:t>Deputy Commissioner of Taxation v Huang</w:t>
      </w:r>
      <w:r w:rsidR="00C70D1A" w:rsidRPr="00C70D1A">
        <w:t xml:space="preserve"> [2019] FCA 1537</w:t>
      </w:r>
      <w:r w:rsidR="00C70D1A">
        <w:t>. The freezing order has continued in circumstances where the judgment debt remains unpaid and Mr Huang, no doubt for that reason, has not applied to vary or vacate the freezing order.</w:t>
      </w:r>
    </w:p>
    <w:p w14:paraId="138A3D26" w14:textId="77777777" w:rsidR="00C70D1A" w:rsidRDefault="00C70D1A" w:rsidP="00C70D1A">
      <w:pPr>
        <w:pStyle w:val="ParaNumbering"/>
      </w:pPr>
      <w:r>
        <w:t>I agree with the submissions for the Deputy Commissioner that it is not necessary that a material change in circumstances be proved to permit a variation of the freezing order. Rather, the question in the circumstances of the present case, where the judgment debt exists and remains unpaid, is whether it is in the interests of justice for the freezing order to be varied.</w:t>
      </w:r>
      <w:r w:rsidR="007D4584">
        <w:t xml:space="preserve"> I do not accept the submissions for Mr Huang to the contrary.</w:t>
      </w:r>
    </w:p>
    <w:p w14:paraId="3958A98E" w14:textId="0DC169B0" w:rsidR="00C70D1A" w:rsidRDefault="00C70D1A" w:rsidP="00C70D1A">
      <w:pPr>
        <w:pStyle w:val="ParaNumbering"/>
      </w:pPr>
      <w:r>
        <w:t>As Mc</w:t>
      </w:r>
      <w:r w:rsidR="00CE04CA">
        <w:t>L</w:t>
      </w:r>
      <w:r>
        <w:t xml:space="preserve">elland J explained in </w:t>
      </w:r>
      <w:r w:rsidRPr="00903AAA">
        <w:rPr>
          <w:i/>
        </w:rPr>
        <w:t>Brimaud v Honeysett Instant Print Pty Ltd</w:t>
      </w:r>
      <w:r w:rsidRPr="00903AAA">
        <w:t xml:space="preserve"> (1988) 217 ALR 44 </w:t>
      </w:r>
      <w:r>
        <w:t>at 46:</w:t>
      </w:r>
    </w:p>
    <w:p w14:paraId="196D82C2" w14:textId="50002BC0" w:rsidR="00C70D1A" w:rsidRDefault="00C70D1A" w:rsidP="00C70D1A">
      <w:pPr>
        <w:pStyle w:val="Quote1"/>
      </w:pPr>
      <w:r>
        <w:t xml:space="preserve">The overriding principle governing the approach of the court to interlocutory applications is that the court should do whatever the interests of justice require in the particular circumstances of the case. In giving effect to that general principle, and in </w:t>
      </w:r>
      <w:r>
        <w:lastRenderedPageBreak/>
        <w:t>recognition of the public and private interests earlier referred to, rules of practice have been developed in accordance with which the discretionary power of the court to set aside, vary or discharge interlocutory orders will ordinarily be exercised …</w:t>
      </w:r>
    </w:p>
    <w:p w14:paraId="193DFB9C" w14:textId="050EC9EF" w:rsidR="00C70D1A" w:rsidRDefault="00C70D1A" w:rsidP="00C70D1A">
      <w:pPr>
        <w:pStyle w:val="Quote1"/>
      </w:pPr>
      <w:r>
        <w:t>In the present case I am dealing with an interlocutory order of a substantive nature made after a contested hearing in contemplation that it would operate until the final disposition of the proceedings. In such a case the ordinary rule of practice is that an application to set aside, vary or discharge the order must be founded on a material change of circumstances since the original application was heard, or the discovery of new material which could not reasonably have been put before the court on the hearing of the original application….</w:t>
      </w:r>
    </w:p>
    <w:p w14:paraId="79EA4CCF" w14:textId="5AD0C32B" w:rsidR="00C70D1A" w:rsidRDefault="00C70D1A" w:rsidP="00C70D1A">
      <w:pPr>
        <w:pStyle w:val="ParaNumbering"/>
      </w:pPr>
      <w:r>
        <w:t xml:space="preserve">The freezing order ceased to be an order </w:t>
      </w:r>
      <w:r w:rsidR="00CE0BA2">
        <w:t>of that kind on entry of the judgment debt. On entry of the judgment debt</w:t>
      </w:r>
      <w:r w:rsidR="00F01C13">
        <w:t>,</w:t>
      </w:r>
      <w:r w:rsidR="00CE0BA2">
        <w:t xml:space="preserve"> the freezing order was no longer contemplated to operate until the final disposition of the proceeding. Its purpose became to protect the efficacy of the future execution of the judgment debt. If the interests of justice require the freezing order to be varied to fulfil that purpose, the Court has a discretion to vary the freezing order. </w:t>
      </w:r>
    </w:p>
    <w:p w14:paraId="2C91A9CC" w14:textId="77777777" w:rsidR="00CE0BA2" w:rsidRDefault="00CE0BA2" w:rsidP="00CE0BA2">
      <w:pPr>
        <w:pStyle w:val="ParaNumbering"/>
      </w:pPr>
      <w:r>
        <w:t xml:space="preserve">This is reflected in </w:t>
      </w:r>
      <w:r w:rsidRPr="00903AAA">
        <w:rPr>
          <w:i/>
        </w:rPr>
        <w:t>Break Fast Investments Pty Ltd v Gravity Ventures Pty Ltd</w:t>
      </w:r>
      <w:r w:rsidRPr="00903AAA">
        <w:t xml:space="preserve"> [2013] VSC 89 </w:t>
      </w:r>
      <w:r>
        <w:t>at [43] where Vickery J said:</w:t>
      </w:r>
    </w:p>
    <w:p w14:paraId="6B2BAFAE" w14:textId="6A5FC098" w:rsidR="00CE0BA2" w:rsidRDefault="00CE0BA2" w:rsidP="00CE0BA2">
      <w:pPr>
        <w:pStyle w:val="Quote1"/>
      </w:pPr>
      <w:r>
        <w:t>As to variations, a freezing order may be varied, on the application of the defendant, or indeed any other person who is affect</w:t>
      </w:r>
      <w:r w:rsidR="006D3FF0">
        <w:t xml:space="preserve">ed by the making of the order. </w:t>
      </w:r>
      <w:r>
        <w:t>However, any such variation that is made must not, in the ordinary course, conflict with the purpose for which the orde</w:t>
      </w:r>
      <w:r w:rsidR="006D3FF0">
        <w:t xml:space="preserve">r was made in the first place. </w:t>
      </w:r>
      <w:r>
        <w:t>Secondly, a variation must also accord with the interests of justice.</w:t>
      </w:r>
      <w:r w:rsidR="008D4245">
        <w:t xml:space="preserve"> </w:t>
      </w:r>
      <w:r>
        <w:t xml:space="preserve">In this respect, reference is made to </w:t>
      </w:r>
      <w:r w:rsidRPr="001662AB">
        <w:rPr>
          <w:i/>
        </w:rPr>
        <w:t>MG Corrosion Consultants v Gilmour</w:t>
      </w:r>
      <w:r>
        <w:t xml:space="preserve"> [</w:t>
      </w:r>
      <w:r w:rsidRPr="00CE0BA2">
        <w:t>[2012] FCA 568</w:t>
      </w:r>
      <w:r w:rsidR="00F01C13">
        <w:t xml:space="preserve"> at</w:t>
      </w:r>
      <w:r w:rsidRPr="00CE0BA2">
        <w:t xml:space="preserve"> [14]</w:t>
      </w:r>
      <w:r>
        <w:t xml:space="preserve"> where Barker J made the following observations:</w:t>
      </w:r>
    </w:p>
    <w:p w14:paraId="05FF8560" w14:textId="0D87DBF4" w:rsidR="00CE0BA2" w:rsidRDefault="00CE0BA2" w:rsidP="00CE0BA2">
      <w:pPr>
        <w:pStyle w:val="Quote2"/>
      </w:pPr>
      <w:r>
        <w:t>So far as the court’s power to vary a freezing order is concerned, there can be little doubt about it. Similarly, it is also clear that having made a freezing order a court should not be quick to reverse it save for good reason and the dictates of justice.</w:t>
      </w:r>
    </w:p>
    <w:p w14:paraId="36AC5B5D" w14:textId="77777777" w:rsidR="00CE0BA2" w:rsidRDefault="00CE0BA2" w:rsidP="00CE0BA2">
      <w:pPr>
        <w:pStyle w:val="Quote2"/>
      </w:pPr>
      <w:r>
        <w:t>…</w:t>
      </w:r>
    </w:p>
    <w:p w14:paraId="0D39CE10" w14:textId="77777777" w:rsidR="00CE0BA2" w:rsidRDefault="00CE0BA2" w:rsidP="00CE0BA2">
      <w:pPr>
        <w:pStyle w:val="Quote2"/>
      </w:pPr>
      <w:r>
        <w:t>Ultimately, the grant or discharge or variation of an interlocutory injunction, including a freezing order will be dictated by what justice demands in the particular circumstances of the case.</w:t>
      </w:r>
    </w:p>
    <w:p w14:paraId="7DA2F607" w14:textId="77777777" w:rsidR="00CE0BA2" w:rsidRDefault="00CE0BA2" w:rsidP="00CE0BA2">
      <w:pPr>
        <w:pStyle w:val="ParaNumbering"/>
      </w:pPr>
      <w:r>
        <w:t>Similarly, in</w:t>
      </w:r>
      <w:r w:rsidRPr="00903AAA">
        <w:t xml:space="preserve"> </w:t>
      </w:r>
      <w:r w:rsidRPr="00903AAA">
        <w:rPr>
          <w:i/>
        </w:rPr>
        <w:t>Linke v TT Builders Pty Ltd (No 2)</w:t>
      </w:r>
      <w:r w:rsidRPr="00903AAA">
        <w:t xml:space="preserve"> [2015] FCA 704 </w:t>
      </w:r>
      <w:r>
        <w:t>White J said at [11]:</w:t>
      </w:r>
    </w:p>
    <w:p w14:paraId="6FC56FEA" w14:textId="300DD07F" w:rsidR="00CE0BA2" w:rsidRDefault="00CE0BA2" w:rsidP="00CE0BA2">
      <w:pPr>
        <w:pStyle w:val="Quote1"/>
      </w:pPr>
      <w:r>
        <w:t xml:space="preserve">It is in the public interest that the Court’s orders are respected and obeyed. Accordingly, it is appropriate for the Court to assist judgment creditors to enforce their entitlements. Respect for the law will be undermined if judgment debtors can readily frustrate enforcements of judgments against them. Spender J referred to these considerations in </w:t>
      </w:r>
      <w:r w:rsidRPr="00CE0BA2">
        <w:rPr>
          <w:i/>
        </w:rPr>
        <w:t>Guthrie v Robertson</w:t>
      </w:r>
      <w:r>
        <w:t xml:space="preserve"> (1987) 13 FCR 336 at 337</w:t>
      </w:r>
      <w:r w:rsidR="0008610E">
        <w:t>–</w:t>
      </w:r>
      <w:r>
        <w:t>8 when he said:</w:t>
      </w:r>
    </w:p>
    <w:p w14:paraId="04634A24" w14:textId="77777777" w:rsidR="00CE0BA2" w:rsidRDefault="00CE0BA2" w:rsidP="00CE0BA2">
      <w:pPr>
        <w:pStyle w:val="Quote2"/>
      </w:pPr>
      <w:r>
        <w:t>It is obviously crucial to the efficiency of the Court’s process that its orders be obeyed, and the Court should be astute to lend whatever assistance it can to enable its orders to be enforced.</w:t>
      </w:r>
    </w:p>
    <w:p w14:paraId="701FEA5E" w14:textId="77777777" w:rsidR="00CE0BA2" w:rsidRDefault="00CE0BA2" w:rsidP="00CE0BA2">
      <w:pPr>
        <w:pStyle w:val="Quote1"/>
      </w:pPr>
      <w:r>
        <w:t xml:space="preserve">Section 53 of the Federal Court Act, s 8 of the Enforcement of Judgments Act and r </w:t>
      </w:r>
      <w:r>
        <w:lastRenderedPageBreak/>
        <w:t>41.10 reflect this public interest.</w:t>
      </w:r>
    </w:p>
    <w:p w14:paraId="136F0732" w14:textId="09ACD418" w:rsidR="00CE0BA2" w:rsidRDefault="00F7713F" w:rsidP="0008610E">
      <w:pPr>
        <w:pStyle w:val="ParaNumbering"/>
      </w:pPr>
      <w:r>
        <w:t xml:space="preserve">In </w:t>
      </w:r>
      <w:r w:rsidRPr="00903AAA">
        <w:rPr>
          <w:i/>
        </w:rPr>
        <w:t xml:space="preserve">Michael Wilson &amp; “Partners” Ltd v </w:t>
      </w:r>
      <w:r w:rsidRPr="00903AAA">
        <w:rPr>
          <w:b/>
          <w:i/>
        </w:rPr>
        <w:t>Emmott</w:t>
      </w:r>
      <w:r w:rsidRPr="00903AAA">
        <w:t xml:space="preserve"> [2019] EWCA 219 (Civ); </w:t>
      </w:r>
      <w:r w:rsidR="0008610E" w:rsidRPr="00903AAA">
        <w:t xml:space="preserve">[2019] 4 WLR 53 </w:t>
      </w:r>
      <w:r>
        <w:t>Gross LJ (with whom Peter Jackson and Rose L</w:t>
      </w:r>
      <w:r w:rsidR="00E44D66">
        <w:t>J</w:t>
      </w:r>
      <w:r>
        <w:t xml:space="preserve">J agreed) discussed the so-called </w:t>
      </w:r>
      <w:r w:rsidRPr="005C11F2">
        <w:rPr>
          <w:i/>
        </w:rPr>
        <w:t>Angel Bell</w:t>
      </w:r>
      <w:r>
        <w:t xml:space="preserve"> </w:t>
      </w:r>
      <w:r w:rsidR="005C11F2">
        <w:t>exception</w:t>
      </w:r>
      <w:r>
        <w:t xml:space="preserve"> </w:t>
      </w:r>
      <w:r w:rsidR="005C11F2">
        <w:t>(</w:t>
      </w:r>
      <w:r w:rsidR="005C11F2" w:rsidRPr="00903AAA">
        <w:rPr>
          <w:i/>
        </w:rPr>
        <w:t xml:space="preserve">Iraqi Ministry of Defence v Arcepey Shipping Co SA </w:t>
      </w:r>
      <w:r w:rsidR="0008610E" w:rsidRPr="00903AAA">
        <w:rPr>
          <w:i/>
        </w:rPr>
        <w:t xml:space="preserve">(No 2) </w:t>
      </w:r>
      <w:r w:rsidR="005C11F2" w:rsidRPr="00903AAA">
        <w:rPr>
          <w:i/>
        </w:rPr>
        <w:t>(The Angel Bell)</w:t>
      </w:r>
      <w:r w:rsidR="005C11F2" w:rsidRPr="00903AAA">
        <w:t xml:space="preserve"> [1981] QB 65</w:t>
      </w:r>
      <w:r w:rsidR="005C11F2">
        <w:t xml:space="preserve">) </w:t>
      </w:r>
      <w:r>
        <w:t>to a freezing ord</w:t>
      </w:r>
      <w:r w:rsidR="005C11F2">
        <w:t>e</w:t>
      </w:r>
      <w:r>
        <w:t xml:space="preserve">r permitting the </w:t>
      </w:r>
      <w:r w:rsidR="005C11F2">
        <w:t>defendant</w:t>
      </w:r>
      <w:r>
        <w:t xml:space="preserve"> to spend money on living expenses, in the ordinary course of business and on legal costs associated with defending the action</w:t>
      </w:r>
      <w:r w:rsidR="005C11F2">
        <w:t>. At [55]</w:t>
      </w:r>
      <w:r w:rsidR="0008610E">
        <w:t>–</w:t>
      </w:r>
      <w:r w:rsidR="005C11F2">
        <w:t>[57] Gross LJ said:</w:t>
      </w:r>
    </w:p>
    <w:p w14:paraId="2573C422" w14:textId="5B74C0C5" w:rsidR="005C11F2" w:rsidRDefault="005C11F2" w:rsidP="005C11F2">
      <w:pPr>
        <w:pStyle w:val="Quote1"/>
      </w:pPr>
      <w:r w:rsidRPr="005C11F2">
        <w:t xml:space="preserve">Thirdly, in the light of Tomlinson LJ’s further reflections in </w:t>
      </w:r>
      <w:r w:rsidRPr="005C11F2">
        <w:rPr>
          <w:i/>
        </w:rPr>
        <w:t>Nomihold</w:t>
      </w:r>
      <w:r>
        <w:t xml:space="preserve"> [</w:t>
      </w:r>
      <w:r w:rsidR="0093384A">
        <w:rPr>
          <w:i/>
        </w:rPr>
        <w:t xml:space="preserve">Nomihold </w:t>
      </w:r>
      <w:r w:rsidR="002A3DC5">
        <w:rPr>
          <w:i/>
        </w:rPr>
        <w:t>Securities Inc v Mobile Telesystems Finance SA</w:t>
      </w:r>
      <w:r w:rsidR="002A3DC5" w:rsidRPr="001662AB">
        <w:t xml:space="preserve"> [2011] EWCA Civ 1040; [2012] Bus LR 1166</w:t>
      </w:r>
      <w:r>
        <w:t>]</w:t>
      </w:r>
      <w:r w:rsidRPr="005C11F2">
        <w:t xml:space="preserve">, it cannot be said that, </w:t>
      </w:r>
      <w:r w:rsidRPr="005C11F2">
        <w:rPr>
          <w:i/>
        </w:rPr>
        <w:t>without more</w:t>
      </w:r>
      <w:r w:rsidRPr="005C11F2">
        <w:t>, the (</w:t>
      </w:r>
      <w:r w:rsidRPr="005C11F2">
        <w:rPr>
          <w:i/>
        </w:rPr>
        <w:t>Angel Bell</w:t>
      </w:r>
      <w:r w:rsidRPr="005C11F2">
        <w:t xml:space="preserve">) exception </w:t>
      </w:r>
      <w:r w:rsidRPr="005C11F2">
        <w:rPr>
          <w:i/>
        </w:rPr>
        <w:t>would</w:t>
      </w:r>
      <w:r w:rsidRPr="005C11F2">
        <w:t xml:space="preserve"> be inappropriate in a post-judgment </w:t>
      </w:r>
      <w:r w:rsidRPr="005C11F2">
        <w:rPr>
          <w:i/>
        </w:rPr>
        <w:t>Mareva</w:t>
      </w:r>
      <w:r w:rsidRPr="005C11F2">
        <w:t xml:space="preserve">. In this regard, the observations of Colman J in </w:t>
      </w:r>
      <w:r w:rsidRPr="005C11F2">
        <w:rPr>
          <w:i/>
        </w:rPr>
        <w:t>Soinco</w:t>
      </w:r>
      <w:r w:rsidRPr="005C11F2">
        <w:t xml:space="preserve"> </w:t>
      </w:r>
      <w:r>
        <w:t>[</w:t>
      </w:r>
      <w:r w:rsidRPr="005C11F2">
        <w:rPr>
          <w:i/>
        </w:rPr>
        <w:t>Soinco SACI v No</w:t>
      </w:r>
      <w:r w:rsidR="0093384A">
        <w:rPr>
          <w:i/>
        </w:rPr>
        <w:t>v</w:t>
      </w:r>
      <w:r w:rsidRPr="005C11F2">
        <w:rPr>
          <w:i/>
        </w:rPr>
        <w:t>okuznetsk Aluminium Plant</w:t>
      </w:r>
      <w:r w:rsidRPr="005C11F2">
        <w:t xml:space="preserve"> [1998] QB 406</w:t>
      </w:r>
      <w:r>
        <w:t xml:space="preserve">] </w:t>
      </w:r>
      <w:r w:rsidRPr="005C11F2">
        <w:t xml:space="preserve">and Tomlinson J in </w:t>
      </w:r>
      <w:r w:rsidRPr="005C11F2">
        <w:rPr>
          <w:i/>
        </w:rPr>
        <w:t>Masri</w:t>
      </w:r>
      <w:r>
        <w:t xml:space="preserve"> [</w:t>
      </w:r>
      <w:r w:rsidRPr="005C11F2">
        <w:rPr>
          <w:i/>
        </w:rPr>
        <w:t>Masri v Consolidated Contractors</w:t>
      </w:r>
      <w:r w:rsidR="0093384A">
        <w:rPr>
          <w:i/>
        </w:rPr>
        <w:t xml:space="preserve"> </w:t>
      </w:r>
      <w:r w:rsidR="00DB16A0">
        <w:rPr>
          <w:i/>
        </w:rPr>
        <w:t xml:space="preserve">International </w:t>
      </w:r>
      <w:r w:rsidR="0093384A">
        <w:rPr>
          <w:i/>
        </w:rPr>
        <w:t>(UK) Ltd</w:t>
      </w:r>
      <w:r w:rsidRPr="005C11F2">
        <w:t xml:space="preserve"> [2008] EWHC 2492 (Comm)</w:t>
      </w:r>
      <w:r>
        <w:t>]</w:t>
      </w:r>
      <w:r w:rsidRPr="005C11F2">
        <w:t>, went too far.</w:t>
      </w:r>
      <w:r>
        <w:t xml:space="preserve"> </w:t>
      </w:r>
    </w:p>
    <w:p w14:paraId="65382451" w14:textId="099AEC71" w:rsidR="005C11F2" w:rsidRDefault="005C11F2" w:rsidP="005C11F2">
      <w:pPr>
        <w:pStyle w:val="Quote1"/>
      </w:pPr>
      <w:r w:rsidRPr="005C11F2">
        <w:t xml:space="preserve">Fourthly, it </w:t>
      </w:r>
      <w:r w:rsidRPr="005C11F2">
        <w:rPr>
          <w:i/>
        </w:rPr>
        <w:t>can</w:t>
      </w:r>
      <w:r w:rsidRPr="005C11F2">
        <w:t xml:space="preserve"> be said, however, on the basis of </w:t>
      </w:r>
      <w:r w:rsidRPr="005C11F2">
        <w:rPr>
          <w:i/>
        </w:rPr>
        <w:t>Nomihold</w:t>
      </w:r>
      <w:r w:rsidR="002A3DC5">
        <w:t>,</w:t>
      </w:r>
      <w:r w:rsidR="008D4245">
        <w:t xml:space="preserve"> </w:t>
      </w:r>
      <w:r w:rsidRPr="005C11F2">
        <w:t xml:space="preserve">at [33], that “it will sometimes and perhaps usually be inappropriate” to include the exception in a post-judgment </w:t>
      </w:r>
      <w:r w:rsidRPr="005C11F2">
        <w:rPr>
          <w:i/>
        </w:rPr>
        <w:t>Mareva</w:t>
      </w:r>
      <w:r w:rsidRPr="005C11F2">
        <w:t xml:space="preserve"> injunction. Given the policy of the law strongly in favour of the enforcement of judgments, as already remarked, it would indeed be curious were the position otherwise </w:t>
      </w:r>
      <w:r w:rsidR="002A3DC5">
        <w:t>–</w:t>
      </w:r>
      <w:r w:rsidRPr="005C11F2">
        <w:t xml:space="preserve"> leaving the judgment debtor free to carry on business and ignore the outstanding judgment. The context is that a risk of dissipation must already have been demonstrated, as otherwise no </w:t>
      </w:r>
      <w:r w:rsidRPr="005C11F2">
        <w:rPr>
          <w:i/>
        </w:rPr>
        <w:t>Mareva</w:t>
      </w:r>
      <w:r w:rsidRPr="005C11F2">
        <w:t xml:space="preserve"> injunction (with or without the exception) would have been granted at all. Accordingly, over the period between judgment and execution taking effect, a </w:t>
      </w:r>
      <w:r w:rsidRPr="005C11F2">
        <w:rPr>
          <w:i/>
        </w:rPr>
        <w:t>Mareva</w:t>
      </w:r>
      <w:r w:rsidRPr="005C11F2">
        <w:t>, without the exception, serves to hold the ring: Sir Jeremy Cooke, judgment, at [27].</w:t>
      </w:r>
    </w:p>
    <w:p w14:paraId="35D61AB5" w14:textId="217F30EE" w:rsidR="005C11F2" w:rsidRDefault="005C11F2" w:rsidP="005C11F2">
      <w:pPr>
        <w:pStyle w:val="Quote1"/>
      </w:pPr>
      <w:r w:rsidRPr="005C11F2">
        <w:t xml:space="preserve">Fifthly, I would prefer not to characterise refusal of the exception in a post-judgment </w:t>
      </w:r>
      <w:r w:rsidRPr="005C11F2">
        <w:rPr>
          <w:i/>
        </w:rPr>
        <w:t>Mareva</w:t>
      </w:r>
      <w:r w:rsidRPr="005C11F2">
        <w:t xml:space="preserve"> as either a “starting point” or a presumption. For that matter, I would be equally reluctant to pigeon-hole refusal of the exception as a remedy of last resort; there is no warrant for so confining such a decision, save that the more draconian the relief, the greater the need for its justification. Instead and while it strikes me as an obvious matter to consider when granting a post-judgment </w:t>
      </w:r>
      <w:r w:rsidRPr="005C11F2">
        <w:rPr>
          <w:i/>
        </w:rPr>
        <w:t>Mareva</w:t>
      </w:r>
      <w:r w:rsidRPr="005C11F2">
        <w:t xml:space="preserve">, the appropriateness or otherwise of the exception in such a </w:t>
      </w:r>
      <w:r w:rsidRPr="005C11F2">
        <w:rPr>
          <w:i/>
        </w:rPr>
        <w:t>Mareva</w:t>
      </w:r>
      <w:r w:rsidRPr="005C11F2">
        <w:t xml:space="preserve"> should be treated as a question turning on all the facts in the individual case. In addressing this question, Tomlinson LJ’s test in </w:t>
      </w:r>
      <w:r w:rsidRPr="005C11F2">
        <w:rPr>
          <w:i/>
        </w:rPr>
        <w:t>Nomihold</w:t>
      </w:r>
      <w:r w:rsidRPr="005C11F2">
        <w:t xml:space="preserve">, at [33] (“it will sometimes and perhaps usually be inappropriate” to include the exception in a post-judgment </w:t>
      </w:r>
      <w:r w:rsidRPr="005C11F2">
        <w:rPr>
          <w:i/>
        </w:rPr>
        <w:t>Mareva</w:t>
      </w:r>
      <w:r w:rsidRPr="005C11F2">
        <w:t xml:space="preserve">), furnishes helpful and appropriately nuanced general guidance. Thus analysed, the decision by a Judge to permit or refuse its inclusion is a discretionary decision reached on a fact specific basis, with which this Court will be slow to interfere. Furthermore, while a Judge, when considering refusal of the exception, would no doubt have regard to the ambit of the </w:t>
      </w:r>
      <w:r w:rsidRPr="005C11F2">
        <w:rPr>
          <w:i/>
        </w:rPr>
        <w:t>Mareva</w:t>
      </w:r>
      <w:r w:rsidRPr="005C11F2">
        <w:t xml:space="preserve"> sought, the</w:t>
      </w:r>
      <w:r>
        <w:t xml:space="preserve"> </w:t>
      </w:r>
      <w:r w:rsidRPr="005C11F2">
        <w:t>assets thus frozen and the impact on the judgment debtor’s business</w:t>
      </w:r>
      <w:r>
        <w:t xml:space="preserve"> …</w:t>
      </w:r>
    </w:p>
    <w:p w14:paraId="71CB5F14" w14:textId="6106E655" w:rsidR="005C11F2" w:rsidRDefault="005C11F2" w:rsidP="005C11F2">
      <w:pPr>
        <w:pStyle w:val="ParaNumbering"/>
      </w:pPr>
      <w:r>
        <w:t>I agree that, once a judgment debt is entered, the continuation or inclusion of any exception from the freezing order for the payment of living expenses, the ordinary costs of business, and/or legal costs for any mat</w:t>
      </w:r>
      <w:r w:rsidR="00155D73">
        <w:t>t</w:t>
      </w:r>
      <w:r>
        <w:t xml:space="preserve">er involves a discretionary decision to be exercised in all of the circumstances of the case having regard to the overall interests of justice. It should not be presumed that the exception will continue (if a freezing order is continuing) or will be included </w:t>
      </w:r>
      <w:r>
        <w:lastRenderedPageBreak/>
        <w:t xml:space="preserve">(if a freezing order is to be made) </w:t>
      </w:r>
      <w:r w:rsidR="00155D73">
        <w:t>once a judgment debt has been enter</w:t>
      </w:r>
      <w:r w:rsidR="00A455B1">
        <w:t>ed</w:t>
      </w:r>
      <w:r w:rsidR="00155D73">
        <w:t xml:space="preserve">. This is different from a freezing order to protect the potential fruits of </w:t>
      </w:r>
      <w:r w:rsidR="00A455B1">
        <w:t xml:space="preserve">a </w:t>
      </w:r>
      <w:r w:rsidR="00155D73">
        <w:t>cause of action in which it is ordinarily presumed that the exception should be included</w:t>
      </w:r>
      <w:r w:rsidR="00A455B1">
        <w:t xml:space="preserve"> if the cause of action involve</w:t>
      </w:r>
      <w:r w:rsidR="000901BB">
        <w:t>s</w:t>
      </w:r>
      <w:r w:rsidR="00A455B1">
        <w:t xml:space="preserve"> an </w:t>
      </w:r>
      <w:r w:rsidR="00A455B1" w:rsidRPr="00A455B1">
        <w:rPr>
          <w:i/>
        </w:rPr>
        <w:t>in personam</w:t>
      </w:r>
      <w:r w:rsidR="00A455B1">
        <w:t xml:space="preserve"> and not a proprietary claim over the assets in question</w:t>
      </w:r>
      <w:r w:rsidR="00155D73">
        <w:t xml:space="preserve">. This is because, </w:t>
      </w:r>
      <w:r w:rsidR="000901BB">
        <w:t xml:space="preserve">in </w:t>
      </w:r>
      <w:r w:rsidR="00155D73">
        <w:t xml:space="preserve">those circumstances, the cause of action has not yet been proved and may well fail. Once a judgment debt has been entered, however, the cause of action has been proved and the Court should facilitate enforcement of the Court’s orders. </w:t>
      </w:r>
    </w:p>
    <w:p w14:paraId="220B6D7D" w14:textId="2784D296" w:rsidR="00155D73" w:rsidRDefault="00155D73" w:rsidP="005C11F2">
      <w:pPr>
        <w:pStyle w:val="ParaNumbering"/>
      </w:pPr>
      <w:r>
        <w:t xml:space="preserve">The observations in </w:t>
      </w:r>
      <w:r w:rsidRPr="00155D73">
        <w:rPr>
          <w:i/>
        </w:rPr>
        <w:t xml:space="preserve">Emmott </w:t>
      </w:r>
      <w:r>
        <w:t xml:space="preserve">are also relevant because they make the obvious point that the freezing order, if already made, was made because a risk of dissipation of the assets was proved. The public interest in ensuring that the orders of a court can be enforced, once judgment has been entered, is not confined to preventing the illegitimate dissipation of assets. The very reason that there should be no presumption in favour of the continuation or inclusion of the exception in a freezing order after judgment had been entered is that it is in the public interest for orders of a court to be able to be effectively enforced; as such, the relevant issue is the risk of dissipation of the assets undermining the efficacy of enforcement of the orders, and is not confined to the illegitimacy of that risk. Obviously, if the risk of dissipation is illegitimate </w:t>
      </w:r>
      <w:r w:rsidR="000901BB">
        <w:t xml:space="preserve">(ie, </w:t>
      </w:r>
      <w:r>
        <w:t xml:space="preserve">to avoid future enforcement) then that would be a significant discretionary factor weighing against continuation or exclusion of the exception. But the fact that the risk of dissipation is not illegitimate, does not mean that the exception must be continued or included. </w:t>
      </w:r>
    </w:p>
    <w:p w14:paraId="2B742B8E" w14:textId="2D8F79D8" w:rsidR="00155D73" w:rsidRDefault="00155D73" w:rsidP="00155D73">
      <w:pPr>
        <w:pStyle w:val="ParaNumbering"/>
      </w:pPr>
      <w:r w:rsidRPr="00903AAA">
        <w:rPr>
          <w:b/>
          <w:i/>
        </w:rPr>
        <w:t>Goumas</w:t>
      </w:r>
      <w:r w:rsidRPr="00903AAA">
        <w:rPr>
          <w:i/>
        </w:rPr>
        <w:t xml:space="preserve"> v McIntosh</w:t>
      </w:r>
      <w:r w:rsidRPr="00903AAA">
        <w:t xml:space="preserve"> [2002] NSWSC 713</w:t>
      </w:r>
      <w:r w:rsidR="008E3E84">
        <w:t xml:space="preserve"> at [27] is not authority to the contrary</w:t>
      </w:r>
      <w:r w:rsidR="000901BB">
        <w:t>, as contended by the first respondent</w:t>
      </w:r>
      <w:r w:rsidR="008E3E84">
        <w:t xml:space="preserve">. </w:t>
      </w:r>
      <w:r w:rsidR="000901BB">
        <w:t xml:space="preserve">Justice </w:t>
      </w:r>
      <w:r w:rsidR="008E3E84">
        <w:t>Barrett there said:</w:t>
      </w:r>
    </w:p>
    <w:p w14:paraId="22B7A394" w14:textId="77777777" w:rsidR="008E3E84" w:rsidRDefault="008E3E84" w:rsidP="008E3E84">
      <w:pPr>
        <w:pStyle w:val="Quote1"/>
      </w:pPr>
      <w:r>
        <w:t>It has been said repeatedly by the courts that a Mareva order must not operate as a form of de facto security for the applicants’ claims and that the sole purpose is to prevent illegitimate dissipation of assets that will otherwise be available to meet any judgment. I say “illegitimate” dissipation to emphasise that to deny access to funds needed for ordinary living purposes or to fund the conduct of the very litigation the integrity of which the order is designed to protect goes beyond the proper protective province of the jurisdiction and causes the order sought to be a means of exerting pressure foreign to the underlying purpose.</w:t>
      </w:r>
    </w:p>
    <w:p w14:paraId="7A0B390F" w14:textId="77777777" w:rsidR="008E3E84" w:rsidRDefault="008E3E84" w:rsidP="008E3E84">
      <w:pPr>
        <w:pStyle w:val="ParaNumbering"/>
      </w:pPr>
      <w:r>
        <w:t>This is all orthodox. It applies to the making of a freezing order to preserve the potential fruits of a ca</w:t>
      </w:r>
      <w:r w:rsidR="00DD5E84">
        <w:t>use of action. As</w:t>
      </w:r>
      <w:r>
        <w:t xml:space="preserve"> explained, once a judgment has been entered on the cause of action, the purpose of the freezing order is different. </w:t>
      </w:r>
    </w:p>
    <w:p w14:paraId="1B98DB8E" w14:textId="74421388" w:rsidR="008E3E84" w:rsidRDefault="008E3E84" w:rsidP="008E3E84">
      <w:pPr>
        <w:pStyle w:val="ParaNumbering"/>
      </w:pPr>
      <w:r>
        <w:lastRenderedPageBreak/>
        <w:t xml:space="preserve">Similarly, </w:t>
      </w:r>
      <w:r w:rsidRPr="00903AAA">
        <w:rPr>
          <w:i/>
        </w:rPr>
        <w:t>National Australia Bank Limited v Human Group Pty Ltd (No 2)</w:t>
      </w:r>
      <w:r w:rsidRPr="00903AAA">
        <w:t xml:space="preserve"> </w:t>
      </w:r>
      <w:r w:rsidR="00286CAA" w:rsidRPr="00903AAA">
        <w:t xml:space="preserve">[2020] NSWSC 1900 </w:t>
      </w:r>
      <w:r>
        <w:t>concerned an application made to vary a freezing order before judgment</w:t>
      </w:r>
      <w:r w:rsidR="00A455B1">
        <w:t xml:space="preserve"> in the context of a proprietary claim over the assets</w:t>
      </w:r>
      <w:r>
        <w:t>. In those circumstances Henry J said at [104]</w:t>
      </w:r>
      <w:r w:rsidR="00286CAA">
        <w:t>–</w:t>
      </w:r>
      <w:r>
        <w:t>[105]:</w:t>
      </w:r>
    </w:p>
    <w:p w14:paraId="522B87AA" w14:textId="77777777" w:rsidR="008E3E84" w:rsidRDefault="008E3E84" w:rsidP="008E3E84">
      <w:pPr>
        <w:pStyle w:val="Quote1"/>
      </w:pPr>
      <w:r w:rsidRPr="008E3E84">
        <w:t xml:space="preserve">To engage the Court’s discretion to vary the Freezing Orders, NAB must establish that there has been a material change of circumstances since the original application for the orders was heard or the discovery of new material that was not reasonably available at the time they were made: </w:t>
      </w:r>
      <w:r w:rsidRPr="008E3E84">
        <w:rPr>
          <w:i/>
        </w:rPr>
        <w:t>Brimaud v Honeysett Instant Print Pty Ltd</w:t>
      </w:r>
      <w:r w:rsidRPr="008E3E84">
        <w:t xml:space="preserve"> (1988) 217 ALR 44 at 46; </w:t>
      </w:r>
      <w:r w:rsidRPr="008E3E84">
        <w:rPr>
          <w:i/>
        </w:rPr>
        <w:t>Short v Crawley (No 42)</w:t>
      </w:r>
      <w:r w:rsidRPr="008E3E84">
        <w:t xml:space="preserve"> [2009] NSWSC 1110 at [75].</w:t>
      </w:r>
    </w:p>
    <w:p w14:paraId="6B005D9F" w14:textId="77777777" w:rsidR="008E3E84" w:rsidRDefault="008E3E84" w:rsidP="008E3E84">
      <w:pPr>
        <w:pStyle w:val="Quote1"/>
      </w:pPr>
      <w:r w:rsidRPr="008E3E84">
        <w:t xml:space="preserve">As NAB seeks to vary the Freezing Orders so as to prevent Ms Rosamond and Human Group from having recourse to ACN’s assets for the purposes of paying their living, legal and business expenses, it must also establish that it has an </w:t>
      </w:r>
      <w:r w:rsidR="00A455B1">
        <w:t xml:space="preserve">[sic] </w:t>
      </w:r>
      <w:r w:rsidRPr="008E3E84">
        <w:t>prima facie or arguable case for a proprietary claim to ACN’s assets</w:t>
      </w:r>
      <w:r>
        <w:t>…</w:t>
      </w:r>
    </w:p>
    <w:p w14:paraId="081486F0" w14:textId="239028AA" w:rsidR="00A455B1" w:rsidRDefault="00DF0223" w:rsidP="00574FA0">
      <w:pPr>
        <w:pStyle w:val="ParaNumbering"/>
      </w:pPr>
      <w:r>
        <w:t xml:space="preserve">The observation of McKerracher J in </w:t>
      </w:r>
      <w:r w:rsidR="00574FA0" w:rsidRPr="00903AAA">
        <w:rPr>
          <w:i/>
        </w:rPr>
        <w:t xml:space="preserve">Deputy Commissioner of Taxation v </w:t>
      </w:r>
      <w:r w:rsidR="00574FA0" w:rsidRPr="00903AAA">
        <w:rPr>
          <w:b/>
          <w:i/>
        </w:rPr>
        <w:t>Bollands</w:t>
      </w:r>
      <w:r w:rsidR="00574FA0" w:rsidRPr="00903AAA">
        <w:t xml:space="preserve"> [2012] FCA 1050</w:t>
      </w:r>
      <w:r w:rsidR="00286CAA" w:rsidRPr="00903AAA">
        <w:t>; (2012) 90 ATR 679</w:t>
      </w:r>
      <w:r w:rsidR="00574FA0">
        <w:t xml:space="preserve"> </w:t>
      </w:r>
      <w:r>
        <w:t>at [23] that it “</w:t>
      </w:r>
      <w:r w:rsidRPr="00DF0223">
        <w:t>is difficult to discern any point of principle which would require that a person be placed in a more prejudicial position, concerning access to resources to meet legal fees simply by reason of the need to attempt to call on a loan, rather than to access frozen funds</w:t>
      </w:r>
      <w:r>
        <w:t>” was made in the context of a</w:t>
      </w:r>
      <w:r w:rsidR="004A0845">
        <w:t>n</w:t>
      </w:r>
      <w:r>
        <w:t xml:space="preserve"> application to vary a freezing order</w:t>
      </w:r>
      <w:r w:rsidR="004A0845">
        <w:t xml:space="preserve"> where </w:t>
      </w:r>
      <w:r w:rsidR="00854DE8">
        <w:t xml:space="preserve">consent </w:t>
      </w:r>
      <w:r w:rsidR="004A0845">
        <w:t xml:space="preserve">orders had been </w:t>
      </w:r>
      <w:r w:rsidR="00854DE8">
        <w:t>entered</w:t>
      </w:r>
      <w:r w:rsidR="004A0845">
        <w:t xml:space="preserve"> but </w:t>
      </w:r>
      <w:r w:rsidR="00854DE8">
        <w:t xml:space="preserve">the </w:t>
      </w:r>
      <w:r w:rsidR="004A0845">
        <w:t>underlying factual issues and operation of those orders were still to be determined</w:t>
      </w:r>
      <w:r>
        <w:t>. Consistently with the discussion above</w:t>
      </w:r>
      <w:r w:rsidR="004A0845">
        <w:t>,</w:t>
      </w:r>
      <w:r>
        <w:t xml:space="preserve"> at [22] McKerracher J said:</w:t>
      </w:r>
    </w:p>
    <w:p w14:paraId="16896780" w14:textId="77777777" w:rsidR="00DF0223" w:rsidRDefault="008F5C98" w:rsidP="00DF0223">
      <w:pPr>
        <w:pStyle w:val="Quote1"/>
      </w:pPr>
      <w:r w:rsidRPr="008F5C98">
        <w:t xml:space="preserve">I would regard the general default position as being that a freezing order should expressly make provision for the paying of reasonable legal expenses. Clearly the rationale behind this is that any person the subject of a freezing order should not be deprived of reasonable legal advice to contest the merits of the substantive claim against which the order is based. The same logic follows in respect of a Mareva order, as noted by Barrett J in </w:t>
      </w:r>
      <w:r w:rsidRPr="008F5C98">
        <w:rPr>
          <w:i/>
        </w:rPr>
        <w:t>Goumas v McIntosh</w:t>
      </w:r>
      <w:r w:rsidRPr="008F5C98">
        <w:t xml:space="preserve"> [2002] NSWSC 713 (at [27])</w:t>
      </w:r>
      <w:r>
        <w:t>…</w:t>
      </w:r>
    </w:p>
    <w:p w14:paraId="305469D3" w14:textId="601F7655" w:rsidR="008F5C98" w:rsidRDefault="008F5C98" w:rsidP="008F5C98">
      <w:pPr>
        <w:pStyle w:val="ParaNumbering"/>
      </w:pPr>
      <w:r>
        <w:t xml:space="preserve">The focus of McKerracher J </w:t>
      </w:r>
      <w:r w:rsidR="007D4584">
        <w:t xml:space="preserve">in </w:t>
      </w:r>
      <w:r w:rsidR="007D4584" w:rsidRPr="007D4584">
        <w:rPr>
          <w:i/>
        </w:rPr>
        <w:t>Bollands</w:t>
      </w:r>
      <w:r w:rsidR="007D4584" w:rsidRPr="00574FA0">
        <w:t xml:space="preserve"> </w:t>
      </w:r>
      <w:r>
        <w:t>was the need for a person to be able to obtain legal advice to “</w:t>
      </w:r>
      <w:r w:rsidRPr="008F5C98">
        <w:t>contest the merits of the substantive claim against which the order is based</w:t>
      </w:r>
      <w:r>
        <w:t xml:space="preserve">”. </w:t>
      </w:r>
      <w:r w:rsidR="00DD5E84">
        <w:t xml:space="preserve">In the present case, by distinction, the claim has been established by entry of the judgment debt. The fact that </w:t>
      </w:r>
      <w:r w:rsidR="00551031">
        <w:t>t</w:t>
      </w:r>
      <w:r w:rsidR="00DD5E84">
        <w:t xml:space="preserve">he review proceedings in the AAT remain on foot does not change that fact. </w:t>
      </w:r>
    </w:p>
    <w:p w14:paraId="316C92B4" w14:textId="7859CB29" w:rsidR="007D4584" w:rsidRDefault="00DD5E84" w:rsidP="008F5C98">
      <w:pPr>
        <w:pStyle w:val="ParaNumbering"/>
      </w:pPr>
      <w:r>
        <w:t xml:space="preserve">I also consider that the submissions for Mr Huang mischaracterise the nature of the discretion to be exercised in another respect. It may be accepted that </w:t>
      </w:r>
      <w:r w:rsidR="007D4584">
        <w:t>t</w:t>
      </w:r>
      <w:r>
        <w:t>he purpose of a freezing order continuing</w:t>
      </w:r>
      <w:r w:rsidR="00551031">
        <w:t>,</w:t>
      </w:r>
      <w:r>
        <w:t xml:space="preserve"> or being made after judgment is entered</w:t>
      </w:r>
      <w:r w:rsidR="00551031">
        <w:t>,</w:t>
      </w:r>
      <w:r>
        <w:t xml:space="preserve"> is to protect the efficacy of the execution of the order. It may also be accepted that the concept of the “efficacy” of execution of the order is different from the </w:t>
      </w:r>
      <w:r w:rsidR="00C11EE9">
        <w:t xml:space="preserve">“convenience” of the execution. But this does not mean that considerations such as the likely capacity to be able to execute the order, and the cost and time of doing so, </w:t>
      </w:r>
      <w:r w:rsidR="00C11EE9">
        <w:lastRenderedPageBreak/>
        <w:t xml:space="preserve">are matters of mere convenience. They are matters relevant to the efficacy of future execution of the order. </w:t>
      </w:r>
    </w:p>
    <w:p w14:paraId="2D44CF12" w14:textId="05203082" w:rsidR="00574FA0" w:rsidRDefault="00C11EE9" w:rsidP="008F5C98">
      <w:pPr>
        <w:pStyle w:val="ParaNumbering"/>
      </w:pPr>
      <w:r>
        <w:t xml:space="preserve">Further, the party seeking to exclude the exception from a freezing order for the purpose of protecting the efficacy of future execution of the order does not need to prove that the variation is necessary or essential to enable any possibility of future execution. It is sufficient if, in all of the circumstances, the interests of justice facilitating the future efficacious execution of the order are served or supported by the variation and no countervailing consideration outweighs that purpose. </w:t>
      </w:r>
      <w:r w:rsidR="00A50D01">
        <w:t xml:space="preserve">For this reason it is not material that it might be possible that </w:t>
      </w:r>
      <w:r w:rsidR="00574FA0">
        <w:t>t</w:t>
      </w:r>
      <w:r w:rsidR="00A50D01">
        <w:t xml:space="preserve">he Deputy Commissioner might be able to execute </w:t>
      </w:r>
      <w:r w:rsidR="001662AB">
        <w:t xml:space="preserve">judgment </w:t>
      </w:r>
      <w:r w:rsidR="00A50D01">
        <w:t xml:space="preserve">against Mr Huang’s overseas assets by one or </w:t>
      </w:r>
      <w:r w:rsidR="00574FA0">
        <w:t xml:space="preserve">more </w:t>
      </w:r>
      <w:r w:rsidR="00A50D01">
        <w:t>methods</w:t>
      </w:r>
      <w:r w:rsidR="00574FA0">
        <w:t xml:space="preserve">. </w:t>
      </w:r>
    </w:p>
    <w:p w14:paraId="43C8AA8C" w14:textId="2FC6A3CF" w:rsidR="00DD5E84" w:rsidRDefault="00574FA0" w:rsidP="008F5C98">
      <w:pPr>
        <w:pStyle w:val="ParaNumbering"/>
      </w:pPr>
      <w:r>
        <w:t xml:space="preserve">Contrary to the submissions for Mr Huang, it is clear that the evidence enables an inference that execution against the Australian assets, if they are available for that purpose, will be more efficacious than any potential to execute against the overseas assets. There is also no basis for the submission for Mr Huang that variation of the order would have the effect of being a </w:t>
      </w:r>
      <w:r w:rsidR="00551031">
        <w:t>punitive sanction against</w:t>
      </w:r>
      <w:r>
        <w:t xml:space="preserve"> Mr Huang for not paying the amount owed under the judgment debt. </w:t>
      </w:r>
    </w:p>
    <w:p w14:paraId="0443A1DE" w14:textId="77777777" w:rsidR="00A50D01" w:rsidRDefault="00A50D01" w:rsidP="00A50D01">
      <w:pPr>
        <w:pStyle w:val="ParaNumbering"/>
      </w:pPr>
      <w:r>
        <w:t xml:space="preserve">I </w:t>
      </w:r>
      <w:r w:rsidR="007D4584">
        <w:t xml:space="preserve">also </w:t>
      </w:r>
      <w:r>
        <w:t xml:space="preserve">do not accept that the effect of the variation of the freezing order would be to provide the Deputy Commissioner with security of the kind referred to in </w:t>
      </w:r>
      <w:r w:rsidRPr="00A50D01">
        <w:rPr>
          <w:i/>
        </w:rPr>
        <w:t>Goumas</w:t>
      </w:r>
      <w:r>
        <w:rPr>
          <w:b/>
        </w:rPr>
        <w:t xml:space="preserve"> </w:t>
      </w:r>
      <w:r w:rsidRPr="00A50D01">
        <w:t xml:space="preserve">at [27]. Justice Barrett was </w:t>
      </w:r>
      <w:r>
        <w:t>t</w:t>
      </w:r>
      <w:r w:rsidRPr="00A50D01">
        <w:t xml:space="preserve">here </w:t>
      </w:r>
      <w:r>
        <w:t xml:space="preserve">referring to </w:t>
      </w:r>
      <w:r w:rsidRPr="00A50D01">
        <w:rPr>
          <w:i/>
        </w:rPr>
        <w:t>de facto</w:t>
      </w:r>
      <w:r>
        <w:t xml:space="preserve"> security for a claim. That is not the present case in which the Deputy Commissioner’s claim has been proved. In any event, preventing Mr Huang from using the Chatswood properties (perhaps worth $7,000,000) does not provide any form of effective security for the judgment debt of </w:t>
      </w:r>
      <w:r w:rsidRPr="00A50D01">
        <w:t>$140,607,780.88</w:t>
      </w:r>
      <w:r>
        <w:t>.</w:t>
      </w:r>
    </w:p>
    <w:p w14:paraId="31A56F6E" w14:textId="77777777" w:rsidR="00C11EE9" w:rsidRDefault="00C11EE9" w:rsidP="00C11EE9">
      <w:pPr>
        <w:pStyle w:val="Heading2"/>
      </w:pPr>
      <w:r>
        <w:t>The interests of justice in the circumstances of this case</w:t>
      </w:r>
    </w:p>
    <w:p w14:paraId="32B0A820" w14:textId="243B4898" w:rsidR="00574FA0" w:rsidRDefault="00574FA0" w:rsidP="00574FA0">
      <w:pPr>
        <w:pStyle w:val="ParaNumbering"/>
      </w:pPr>
      <w:r>
        <w:t>The Deputy Commissioner has not moved for execution of the judgment debt. Contrary to the submissions for Mr Huang</w:t>
      </w:r>
      <w:r w:rsidR="001662AB">
        <w:t>,</w:t>
      </w:r>
      <w:r>
        <w:t xml:space="preserve"> it is not possible to infer that the Deputy Commissioner has or might have not moved to execution for some improper purpose of sterilising Mr Huang’s assets for an indefinite period. This inference cannot be drawn because: (a) there is no evidence at all to support it, and (b) it is perfectly proper for the Deputy Commissioner not to move to execute the judgment debt in circumstances where Mr Huang had made objections to the underlying tax debts and (as he did) subsequently applied to the AAT for review of the Commissioner’s objection decisions. </w:t>
      </w:r>
    </w:p>
    <w:p w14:paraId="3E2EB34F" w14:textId="0AE470AE" w:rsidR="00574FA0" w:rsidRDefault="00574FA0" w:rsidP="00574FA0">
      <w:pPr>
        <w:pStyle w:val="ParaNumbering"/>
      </w:pPr>
      <w:r>
        <w:lastRenderedPageBreak/>
        <w:t xml:space="preserve">In this latter regard, the Deputy Commissioner referred to the provisions of the Commissioner’s published Practice Statement Law Administration </w:t>
      </w:r>
      <w:r w:rsidRPr="00665E44">
        <w:t>PS LA 2011/4</w:t>
      </w:r>
      <w:r>
        <w:t xml:space="preserve"> and </w:t>
      </w:r>
      <w:r w:rsidRPr="00665E44">
        <w:t>PS LA 2011/6</w:t>
      </w:r>
      <w:r w:rsidR="00DB16A0">
        <w:t>, which</w:t>
      </w:r>
      <w:r w:rsidRPr="00665E44">
        <w:t xml:space="preserve"> </w:t>
      </w:r>
      <w:r>
        <w:t>identify the considerations relevant to the recovery of disputed and other debts. It is not necessary to refer to the provisions of these practice statements given that the propriety of the position taken by the Deputy Commissioner about debt recovery in the present case is clear. The circumstances do not involve a freezing order being left in place “</w:t>
      </w:r>
      <w:r w:rsidRPr="00A455B1">
        <w:t>until the crack of doom</w:t>
      </w:r>
      <w:r>
        <w:t xml:space="preserve">”, which, if it were so, might give rise to a possible inference of an illegitimate purpose in maintaining the order: </w:t>
      </w:r>
      <w:r w:rsidRPr="00903AAA">
        <w:rPr>
          <w:i/>
        </w:rPr>
        <w:t xml:space="preserve">Masri </w:t>
      </w:r>
      <w:r w:rsidR="00DB16A0" w:rsidRPr="00903AAA">
        <w:rPr>
          <w:i/>
        </w:rPr>
        <w:t>v Consolidated Contractors International (UK) Ltd</w:t>
      </w:r>
      <w:r w:rsidR="00DB16A0" w:rsidRPr="00903AAA">
        <w:t xml:space="preserve"> [2008] EWHC 2492 (Comm</w:t>
      </w:r>
      <w:r w:rsidR="00A36929">
        <w:t>)</w:t>
      </w:r>
      <w:r>
        <w:t xml:space="preserve"> at [34].</w:t>
      </w:r>
    </w:p>
    <w:p w14:paraId="20A1B5D1" w14:textId="77777777" w:rsidR="00C11EE9" w:rsidRDefault="00C11EE9" w:rsidP="00C11EE9">
      <w:pPr>
        <w:pStyle w:val="ParaNumbering"/>
      </w:pPr>
      <w:r>
        <w:t>I am satisfied that the interests of justice weigh heavily in favour of making the variation to the freezing order. The unchallenged circumstances are that:</w:t>
      </w:r>
    </w:p>
    <w:p w14:paraId="76C8DDC7" w14:textId="7307F4FB" w:rsidR="00C11EE9" w:rsidRDefault="00C11EE9" w:rsidP="00C11EE9">
      <w:pPr>
        <w:pStyle w:val="ListNo1"/>
      </w:pPr>
      <w:r>
        <w:t>the judgment debt for the sum of $140,607</w:t>
      </w:r>
      <w:r w:rsidR="00FD3057">
        <w:t>,780</w:t>
      </w:r>
      <w:r>
        <w:t>.88 entered on 19 December 2019 remains unsatisfied;</w:t>
      </w:r>
    </w:p>
    <w:p w14:paraId="12F106BE" w14:textId="132C21E8" w:rsidR="00C11EE9" w:rsidRDefault="001662AB" w:rsidP="00C11EE9">
      <w:pPr>
        <w:pStyle w:val="ListNo1"/>
      </w:pPr>
      <w:r>
        <w:t xml:space="preserve">it is common ground and not confidential that </w:t>
      </w:r>
      <w:r w:rsidR="000F46FC">
        <w:t>the asset disclosure affidavit of Mr Huang</w:t>
      </w:r>
      <w:r w:rsidR="00DB16A0">
        <w:t xml:space="preserve"> affirmed </w:t>
      </w:r>
      <w:r w:rsidR="00A36929">
        <w:t xml:space="preserve">16 April 2019 </w:t>
      </w:r>
      <w:r>
        <w:t xml:space="preserve">(otherwise subject to a suppression order) </w:t>
      </w:r>
      <w:r w:rsidR="000F46FC">
        <w:t>discloses that his only remaining assets in Australia are two properties in Chatswood estimated to be worth about $7,000,000;</w:t>
      </w:r>
    </w:p>
    <w:p w14:paraId="439C6CC8" w14:textId="0080F229" w:rsidR="000F46FC" w:rsidRDefault="001662AB" w:rsidP="00C11EE9">
      <w:pPr>
        <w:pStyle w:val="ListNo1"/>
      </w:pPr>
      <w:r>
        <w:t xml:space="preserve">it is common ground and not confidential that </w:t>
      </w:r>
      <w:r w:rsidR="000F46FC">
        <w:t xml:space="preserve">the asset disclosure affidavit of Mr Huang </w:t>
      </w:r>
      <w:r>
        <w:t xml:space="preserve">(otherwise subject to a suppression order) </w:t>
      </w:r>
      <w:r w:rsidR="000F46FC">
        <w:t>discloses that Mr Huang has very substantial assets overseas;</w:t>
      </w:r>
    </w:p>
    <w:p w14:paraId="6306129D" w14:textId="6C4852B7" w:rsidR="000F46FC" w:rsidRDefault="000F46FC" w:rsidP="000F46FC">
      <w:pPr>
        <w:pStyle w:val="ListNo1"/>
      </w:pPr>
      <w:r>
        <w:t>the evidence is that before the freezing order was made</w:t>
      </w:r>
      <w:r w:rsidR="00DB16A0">
        <w:t>,</w:t>
      </w:r>
      <w:r>
        <w:t xml:space="preserve"> Mr Huang managed to transfer substantial assets outside of Australia: </w:t>
      </w:r>
      <w:r w:rsidRPr="000F46FC">
        <w:rPr>
          <w:i/>
        </w:rPr>
        <w:t>Deputy Commissioner of Taxation v Huang</w:t>
      </w:r>
      <w:r w:rsidRPr="000F46FC">
        <w:t xml:space="preserve"> [2019] FCA 1537</w:t>
      </w:r>
      <w:r>
        <w:t xml:space="preserve"> at [24];</w:t>
      </w:r>
    </w:p>
    <w:p w14:paraId="7B0508B1" w14:textId="77777777" w:rsidR="000F46FC" w:rsidRDefault="000F46FC" w:rsidP="000F46FC">
      <w:pPr>
        <w:pStyle w:val="ListNo1"/>
      </w:pPr>
      <w:r>
        <w:t>Mr Huang is not resident in Australia;</w:t>
      </w:r>
    </w:p>
    <w:p w14:paraId="0B2B7194" w14:textId="008CEE82" w:rsidR="000F46FC" w:rsidRDefault="000F46FC" w:rsidP="000F46FC">
      <w:pPr>
        <w:pStyle w:val="ListNo1"/>
      </w:pPr>
      <w:r>
        <w:t>Mr Huang has very substantial assets outside of Australia, more than sufficient to pay his legal costs in the AAT proceedings;</w:t>
      </w:r>
    </w:p>
    <w:p w14:paraId="1CB0F73C" w14:textId="7E573DC9" w:rsidR="000F46FC" w:rsidRDefault="000F46FC" w:rsidP="000F46FC">
      <w:pPr>
        <w:pStyle w:val="ListNo1"/>
      </w:pPr>
      <w:r>
        <w:t xml:space="preserve">the AAT proceedings raise potentially complex and time consuming issues, enabling it to be inferred that </w:t>
      </w:r>
      <w:r w:rsidR="00B8211A">
        <w:t>t</w:t>
      </w:r>
      <w:r>
        <w:t>he legal fees for which Mr Huang will become liable will be substantial;</w:t>
      </w:r>
    </w:p>
    <w:p w14:paraId="4C0982AD" w14:textId="77777777" w:rsidR="000F46FC" w:rsidRDefault="000F46FC" w:rsidP="000F46FC">
      <w:pPr>
        <w:pStyle w:val="ListNo1"/>
      </w:pPr>
      <w:r>
        <w:t>Mr Huang has already paid substantial legal fees after 1 November 2019 without recourse to the Chatswood properties;</w:t>
      </w:r>
    </w:p>
    <w:p w14:paraId="23E7046F" w14:textId="77777777" w:rsidR="000F46FC" w:rsidRDefault="000F46FC" w:rsidP="000F46FC">
      <w:pPr>
        <w:pStyle w:val="ListNo1"/>
      </w:pPr>
      <w:r>
        <w:lastRenderedPageBreak/>
        <w:t>while execution of the judgment debt against Mr Huang’s overseas assets may not be impossible, it is far more likely that the</w:t>
      </w:r>
      <w:r w:rsidR="00314AA7">
        <w:t xml:space="preserve"> </w:t>
      </w:r>
      <w:r>
        <w:t xml:space="preserve">Deputy </w:t>
      </w:r>
      <w:r w:rsidR="00314AA7">
        <w:t>Commissioner</w:t>
      </w:r>
      <w:r>
        <w:t xml:space="preserve"> will be able to </w:t>
      </w:r>
      <w:r w:rsidR="00314AA7">
        <w:t>satisfy at least some part of the judgment debt against the Chatswood properties;</w:t>
      </w:r>
    </w:p>
    <w:p w14:paraId="70A1EB24" w14:textId="0D94F2D8" w:rsidR="000F46FC" w:rsidRDefault="00314AA7" w:rsidP="000F46FC">
      <w:pPr>
        <w:pStyle w:val="ListNo1"/>
      </w:pPr>
      <w:r>
        <w:t>it is clear that if Mr Huang uses the Chatswood properties to fund his legal expenses in the AAT proceedings</w:t>
      </w:r>
      <w:r w:rsidR="00B8211A">
        <w:t>,</w:t>
      </w:r>
      <w:r>
        <w:t xml:space="preserve"> the only assets in Australia available for execution of the judgment deb</w:t>
      </w:r>
      <w:r w:rsidR="00B8211A">
        <w:t>t</w:t>
      </w:r>
      <w:r>
        <w:t xml:space="preserve"> will be substantially eroded; and</w:t>
      </w:r>
    </w:p>
    <w:p w14:paraId="0EC6B599" w14:textId="77777777" w:rsidR="00314AA7" w:rsidRDefault="00314AA7" w:rsidP="000F46FC">
      <w:pPr>
        <w:pStyle w:val="ListNo1"/>
      </w:pPr>
      <w:r>
        <w:t>there is no evidence of any prejudice to Mr Huang or any other party by reason of the variation of the freezing order to exclude his Australian assets from the exception in paragraph 10 of that order for legal expenses.</w:t>
      </w:r>
    </w:p>
    <w:p w14:paraId="7831693F" w14:textId="742D2A6F" w:rsidR="00314AA7" w:rsidRDefault="00314AA7" w:rsidP="00314AA7">
      <w:pPr>
        <w:pStyle w:val="ParaNumbering"/>
      </w:pPr>
      <w:r>
        <w:t xml:space="preserve">As noted, I am also satisfied that there has been a material change of circumstances since the making of the freezing order. The primary material change of circumstances is the entry of the judgment debt. That would be sufficient to enliven a power to vary the freezing order dependent on a material change of circumstances. As discussed, however, I do not accept </w:t>
      </w:r>
      <w:r w:rsidR="0035019D">
        <w:t xml:space="preserve">that </w:t>
      </w:r>
      <w:r>
        <w:t xml:space="preserve">that criterion is applicable. There are </w:t>
      </w:r>
      <w:r w:rsidR="0015252C">
        <w:t xml:space="preserve">also </w:t>
      </w:r>
      <w:r>
        <w:t xml:space="preserve">other changed circumstances which would support the exercise of the power including that: (a) the Commissioner rejected </w:t>
      </w:r>
      <w:r w:rsidR="008915A0">
        <w:t xml:space="preserve">Mr Huang’s </w:t>
      </w:r>
      <w:r>
        <w:t xml:space="preserve">objections against </w:t>
      </w:r>
      <w:r w:rsidR="008915A0">
        <w:t xml:space="preserve">his tax </w:t>
      </w:r>
      <w:r>
        <w:t xml:space="preserve">assessments, (b) Mr Huang sought review of the objection decisions in the AAT and has now indicated he wishes to use </w:t>
      </w:r>
      <w:r w:rsidR="008915A0">
        <w:t>h</w:t>
      </w:r>
      <w:r>
        <w:t xml:space="preserve">is Australian assets to fund his legal costs of the AAT proceedings which, if permitted, will erode the assets likely to be available for execution of the judgment debt, and (c) Mr Huang has never paid any part of the tax debt owing, and the Deputy Commissioner’s attempts by </w:t>
      </w:r>
      <w:r w:rsidR="008915A0">
        <w:t xml:space="preserve">39 </w:t>
      </w:r>
      <w:r>
        <w:t xml:space="preserve">garnishee orders to recover part of that debt have proved fruitless. </w:t>
      </w:r>
    </w:p>
    <w:p w14:paraId="1A9F9EB5" w14:textId="77777777" w:rsidR="007D4584" w:rsidRDefault="00574FA0" w:rsidP="00314AA7">
      <w:pPr>
        <w:pStyle w:val="ParaNumbering"/>
      </w:pPr>
      <w:r>
        <w:t xml:space="preserve">In conclusion, it is apparent that the purpose of the continuation of the freezing order to protect the efficacy of execution of the order for the judgment debt will be substantially undermined if the order is not varied. It will be undermined because by far the most likely available source of assets for execution, the presently unencumbered value of the Chatswood properties, will be substantially diminished by Mr Huang on paying legal costs he incurs in the AAT proceedings. </w:t>
      </w:r>
    </w:p>
    <w:p w14:paraId="7898534D" w14:textId="744B7C48" w:rsidR="00574FA0" w:rsidRDefault="007D4584" w:rsidP="00314AA7">
      <w:pPr>
        <w:pStyle w:val="ParaNumbering"/>
      </w:pPr>
      <w:r>
        <w:t>The variation of the freezing order was made for these reasons.</w:t>
      </w:r>
    </w:p>
    <w:p w14:paraId="0EEBCA60" w14:textId="4F48BCFF" w:rsidR="001F0013" w:rsidRDefault="001F0013" w:rsidP="001F0013">
      <w:pPr>
        <w:pStyle w:val="ParaNumbering"/>
        <w:numPr>
          <w:ilvl w:val="0"/>
          <w:numId w:val="0"/>
        </w:numPr>
      </w:pPr>
    </w:p>
    <w:p w14:paraId="3487640B" w14:textId="3DD8BCD5" w:rsidR="001F0013" w:rsidRDefault="001F0013" w:rsidP="001F0013">
      <w:pPr>
        <w:pStyle w:val="ParaNumbering"/>
        <w:numPr>
          <w:ilvl w:val="0"/>
          <w:numId w:val="0"/>
        </w:numPr>
      </w:pPr>
    </w:p>
    <w:p w14:paraId="3ED1012F" w14:textId="77777777" w:rsidR="001F0013" w:rsidRDefault="001F0013" w:rsidP="001F0013">
      <w:pPr>
        <w:pStyle w:val="ParaNumbering"/>
        <w:numPr>
          <w:ilvl w:val="0"/>
          <w:numId w:val="0"/>
        </w:numPr>
      </w:pPr>
    </w:p>
    <w:tbl>
      <w:tblPr>
        <w:tblW w:w="0" w:type="auto"/>
        <w:tblLook w:val="04A0" w:firstRow="1" w:lastRow="0" w:firstColumn="1" w:lastColumn="0" w:noHBand="0" w:noVBand="1"/>
      </w:tblPr>
      <w:tblGrid>
        <w:gridCol w:w="3794"/>
      </w:tblGrid>
      <w:tr w:rsidR="008C22EA" w:rsidRPr="008C22EA" w14:paraId="18B9D93C" w14:textId="77777777">
        <w:tc>
          <w:tcPr>
            <w:tcW w:w="3794" w:type="dxa"/>
            <w:shd w:val="clear" w:color="auto" w:fill="auto"/>
          </w:tcPr>
          <w:p w14:paraId="6F367F2D" w14:textId="31198CF6" w:rsidR="008C22EA" w:rsidRPr="008C22EA" w:rsidRDefault="008C22EA" w:rsidP="008C22EA">
            <w:pPr>
              <w:pStyle w:val="Normal1linespace"/>
            </w:pPr>
            <w:bookmarkStart w:id="24" w:name="Certification"/>
            <w:r w:rsidRPr="008C22EA">
              <w:lastRenderedPageBreak/>
              <w:t xml:space="preserve">I certify that the preceding </w:t>
            </w:r>
            <w:bookmarkStart w:id="25" w:name="NumberWord"/>
            <w:r>
              <w:t>forty-one</w:t>
            </w:r>
            <w:bookmarkEnd w:id="25"/>
            <w:r w:rsidRPr="008C22EA">
              <w:t xml:space="preserve"> (</w:t>
            </w:r>
            <w:bookmarkStart w:id="26" w:name="NumberNumeral"/>
            <w:r>
              <w:t>41</w:t>
            </w:r>
            <w:bookmarkEnd w:id="26"/>
            <w:r w:rsidRPr="008C22EA">
              <w:t xml:space="preserve">) numbered </w:t>
            </w:r>
            <w:bookmarkStart w:id="27" w:name="CertPara"/>
            <w:r>
              <w:t>paragraphs are</w:t>
            </w:r>
            <w:bookmarkEnd w:id="27"/>
            <w:r w:rsidRPr="008C22EA">
              <w:t xml:space="preserve"> a true copy of the Reasons for Judgment of </w:t>
            </w:r>
            <w:bookmarkStart w:id="28" w:name="bkHonourable"/>
            <w:r w:rsidRPr="008C22EA">
              <w:t xml:space="preserve">the Honourable </w:t>
            </w:r>
            <w:bookmarkStart w:id="29" w:name="Justice"/>
            <w:bookmarkEnd w:id="28"/>
            <w:r>
              <w:t>Justice Jagot</w:t>
            </w:r>
            <w:bookmarkEnd w:id="29"/>
            <w:r w:rsidRPr="008C22EA">
              <w:t>.</w:t>
            </w:r>
          </w:p>
        </w:tc>
      </w:tr>
    </w:tbl>
    <w:p w14:paraId="2CCF9E40" w14:textId="447F56EB" w:rsidR="008C22EA" w:rsidRDefault="008C22EA" w:rsidP="001662AB">
      <w:pPr>
        <w:pStyle w:val="BodyText"/>
      </w:pPr>
      <w:bookmarkStart w:id="30" w:name="_GoBack"/>
      <w:bookmarkEnd w:id="30"/>
    </w:p>
    <w:p w14:paraId="762CF9A1" w14:textId="1C0C8997" w:rsidR="008D4245" w:rsidRDefault="008C22EA" w:rsidP="001F0013">
      <w:pPr>
        <w:pStyle w:val="BodyText"/>
      </w:pPr>
      <w:r>
        <w:t>Associate:</w:t>
      </w:r>
      <w:r w:rsidR="008D4245">
        <w:t xml:space="preserve"> </w:t>
      </w:r>
    </w:p>
    <w:p w14:paraId="2DEDBEED" w14:textId="77777777" w:rsidR="001F0013" w:rsidRDefault="001F0013" w:rsidP="001662AB">
      <w:pPr>
        <w:pStyle w:val="BodyText"/>
        <w:tabs>
          <w:tab w:val="left" w:pos="1134"/>
        </w:tabs>
      </w:pPr>
    </w:p>
    <w:p w14:paraId="497E4DDF" w14:textId="20566858" w:rsidR="008C22EA" w:rsidRDefault="008C22EA" w:rsidP="001662AB">
      <w:pPr>
        <w:pStyle w:val="BodyText"/>
        <w:tabs>
          <w:tab w:val="left" w:pos="1134"/>
        </w:tabs>
      </w:pPr>
      <w:r>
        <w:t>Dated:</w:t>
      </w:r>
      <w:r>
        <w:tab/>
      </w:r>
      <w:bookmarkStart w:id="31" w:name="CertifyDated"/>
      <w:r w:rsidR="008D4245">
        <w:t>25</w:t>
      </w:r>
      <w:r>
        <w:t xml:space="preserve"> May 2022 </w:t>
      </w:r>
      <w:bookmarkEnd w:id="31"/>
    </w:p>
    <w:p w14:paraId="0D7E36A9" w14:textId="77777777" w:rsidR="008C22EA" w:rsidRDefault="008C22EA" w:rsidP="001662AB">
      <w:pPr>
        <w:pStyle w:val="BodyText"/>
      </w:pPr>
    </w:p>
    <w:bookmarkEnd w:id="24"/>
    <w:p w14:paraId="511BF447" w14:textId="77777777" w:rsidR="008C22EA" w:rsidRPr="00C11EE9" w:rsidRDefault="008C22EA" w:rsidP="008C22EA">
      <w:pPr>
        <w:pStyle w:val="BodyText"/>
      </w:pPr>
    </w:p>
    <w:sectPr w:rsidR="008C22EA" w:rsidRPr="00C11EE9"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0EE5" w14:textId="77777777" w:rsidR="00531BE3" w:rsidRDefault="00531BE3">
      <w:pPr>
        <w:spacing w:line="20" w:lineRule="exact"/>
      </w:pPr>
    </w:p>
    <w:p w14:paraId="0F783D96" w14:textId="77777777" w:rsidR="00531BE3" w:rsidRDefault="00531BE3"/>
    <w:p w14:paraId="12DF6788" w14:textId="77777777" w:rsidR="00531BE3" w:rsidRDefault="00531BE3"/>
  </w:endnote>
  <w:endnote w:type="continuationSeparator" w:id="0">
    <w:p w14:paraId="7836576D" w14:textId="77777777" w:rsidR="00531BE3" w:rsidRDefault="00531BE3">
      <w:r>
        <w:t xml:space="preserve"> </w:t>
      </w:r>
    </w:p>
    <w:p w14:paraId="57C4EB41" w14:textId="77777777" w:rsidR="00531BE3" w:rsidRDefault="00531BE3"/>
    <w:p w14:paraId="388203CA" w14:textId="77777777" w:rsidR="00531BE3" w:rsidRDefault="00531BE3"/>
  </w:endnote>
  <w:endnote w:type="continuationNotice" w:id="1">
    <w:p w14:paraId="7854527D" w14:textId="77777777" w:rsidR="00531BE3" w:rsidRDefault="00531BE3">
      <w:r>
        <w:t xml:space="preserve"> </w:t>
      </w:r>
    </w:p>
    <w:p w14:paraId="55ED7008" w14:textId="77777777" w:rsidR="00531BE3" w:rsidRDefault="00531BE3"/>
    <w:p w14:paraId="10EFCF08" w14:textId="77777777" w:rsidR="00531BE3" w:rsidRDefault="00531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sap">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BC37" w14:textId="77777777" w:rsidR="001662AB" w:rsidRDefault="00166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7DFD" w14:textId="5C5556E5" w:rsidR="001662AB" w:rsidRPr="00C47B9D" w:rsidRDefault="001662A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62FC4E4" wp14:editId="41A1093D">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C42C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F0013">
          <w:rPr>
            <w:bCs/>
            <w:sz w:val="18"/>
            <w:szCs w:val="18"/>
          </w:rPr>
          <w:t xml:space="preserve">Deputy Commissioner of Taxation v Huang (No 4) [2022] FCA 618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62CD" w14:textId="1DF41FEB" w:rsidR="001662AB" w:rsidRPr="001F0013" w:rsidRDefault="001662AB" w:rsidP="001F00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B64A" w14:textId="7E9BC090" w:rsidR="001662AB" w:rsidRPr="00C47B9D" w:rsidRDefault="001662AB"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9EC3BA8" wp14:editId="56B97558">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DE0C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98023BA3ECC4BE5AC6E078AA684CE6D"/>
        </w:placeholder>
        <w:dataBinding w:prefixMappings="xmlns:ns0='http://schemas.globalmacros.com/FCA'" w:xpath="/ns0:root[1]/ns0:Name[1]" w:storeItemID="{687E7CCB-4AA5-44E7-B148-17BA2B6F57C0}"/>
        <w:text w:multiLine="1"/>
      </w:sdtPr>
      <w:sdtEndPr/>
      <w:sdtContent>
        <w:r w:rsidR="001F0013">
          <w:rPr>
            <w:bCs/>
            <w:sz w:val="18"/>
            <w:szCs w:val="18"/>
          </w:rPr>
          <w:t xml:space="preserve">Deputy Commissioner of Taxation v Huang (No 4) [2022] FCA 618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A32B2">
      <w:rPr>
        <w:bCs/>
        <w:noProof/>
        <w:sz w:val="20"/>
      </w:rPr>
      <w:t>viii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BD83" w14:textId="28F670CA" w:rsidR="001662AB" w:rsidRPr="00C47B9D" w:rsidRDefault="001662A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3D79E97" wp14:editId="21EBD6BB">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87DA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D81906F3DC44DE5AD07B69188133465"/>
        </w:placeholder>
        <w:dataBinding w:prefixMappings="xmlns:ns0='http://schemas.globalmacros.com/FCA'" w:xpath="/ns0:root[1]/ns0:Name[1]" w:storeItemID="{687E7CCB-4AA5-44E7-B148-17BA2B6F57C0}"/>
        <w:text w:multiLine="1"/>
      </w:sdtPr>
      <w:sdtEndPr/>
      <w:sdtContent>
        <w:r w:rsidR="001F0013">
          <w:rPr>
            <w:bCs/>
            <w:sz w:val="18"/>
            <w:szCs w:val="18"/>
          </w:rPr>
          <w:t xml:space="preserve">Deputy Commissioner of Taxation v Huang (No 4) [2022] FCA 618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A32B2">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192E" w14:textId="481444EF" w:rsidR="001662AB" w:rsidRPr="00C47B9D" w:rsidRDefault="001662A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621165F7" wp14:editId="50819BC2">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B41C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ED3AB1396824058A8610FB5107C1D21"/>
        </w:placeholder>
        <w:dataBinding w:prefixMappings="xmlns:ns0='http://schemas.globalmacros.com/FCA'" w:xpath="/ns0:root[1]/ns0:Name[1]" w:storeItemID="{687E7CCB-4AA5-44E7-B148-17BA2B6F57C0}"/>
        <w:text w:multiLine="1"/>
      </w:sdtPr>
      <w:sdtEndPr/>
      <w:sdtContent>
        <w:r w:rsidR="001F0013">
          <w:rPr>
            <w:bCs/>
            <w:sz w:val="18"/>
            <w:szCs w:val="18"/>
          </w:rPr>
          <w:t xml:space="preserve">Deputy Commissioner of Taxation v Huang (No 4) [2022] FCA 618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A32B2">
      <w:rPr>
        <w:bCs/>
        <w:noProof/>
        <w:sz w:val="20"/>
      </w:rPr>
      <w:t>11</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986AC" w14:textId="3FEB4418" w:rsidR="001662AB" w:rsidRPr="00C47B9D" w:rsidRDefault="001662A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74131F4" wp14:editId="3B261444">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44994"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E1A61F2930B4763816CB57D9C90E93A"/>
        </w:placeholder>
        <w:dataBinding w:prefixMappings="xmlns:ns0='http://schemas.globalmacros.com/FCA'" w:xpath="/ns0:root[1]/ns0:Name[1]" w:storeItemID="{687E7CCB-4AA5-44E7-B148-17BA2B6F57C0}"/>
        <w:text w:multiLine="1"/>
      </w:sdtPr>
      <w:sdtEndPr/>
      <w:sdtContent>
        <w:r w:rsidR="001F0013">
          <w:rPr>
            <w:bCs/>
            <w:sz w:val="18"/>
            <w:szCs w:val="18"/>
          </w:rPr>
          <w:t xml:space="preserve">Deputy Commissioner of Taxation v Huang (No 4) [2022] FCA 618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A32B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F64A8" w14:textId="77777777" w:rsidR="00531BE3" w:rsidRDefault="00531BE3"/>
  </w:footnote>
  <w:footnote w:type="continuationSeparator" w:id="0">
    <w:p w14:paraId="3E8D5F92" w14:textId="77777777" w:rsidR="00531BE3" w:rsidRDefault="00531BE3">
      <w:r>
        <w:continuationSeparator/>
      </w:r>
    </w:p>
    <w:p w14:paraId="50982E4B" w14:textId="77777777" w:rsidR="00531BE3" w:rsidRDefault="00531BE3"/>
    <w:p w14:paraId="7934CD4F" w14:textId="77777777" w:rsidR="00531BE3" w:rsidRDefault="00531B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6227" w14:textId="77777777" w:rsidR="001662AB" w:rsidRDefault="00166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B6A82" w14:textId="77777777" w:rsidR="001662AB" w:rsidRDefault="00166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91A9" w14:textId="77777777" w:rsidR="001662AB" w:rsidRDefault="001662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60FA" w14:textId="77777777" w:rsidR="001662AB" w:rsidRDefault="001662AB">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417F" w14:textId="77777777" w:rsidR="001662AB" w:rsidRDefault="001662AB">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8857" w14:textId="77777777" w:rsidR="001662AB" w:rsidRDefault="001662A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F04A" w14:textId="77777777" w:rsidR="001662AB" w:rsidRDefault="001662AB">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46C8" w14:textId="77777777" w:rsidR="001662AB" w:rsidRDefault="001662AB"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D442B7F"/>
    <w:multiLevelType w:val="multilevel"/>
    <w:tmpl w:val="481CD81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70557D5"/>
    <w:multiLevelType w:val="hybridMultilevel"/>
    <w:tmpl w:val="489849EE"/>
    <w:lvl w:ilvl="0" w:tplc="0409000F">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BB11D6E"/>
    <w:multiLevelType w:val="multilevel"/>
    <w:tmpl w:val="6AE0953A"/>
    <w:lvl w:ilvl="0">
      <w:start w:val="8"/>
      <w:numFmt w:val="decimal"/>
      <w:lvlText w:val="%1."/>
      <w:lvlJc w:val="left"/>
      <w:pPr>
        <w:tabs>
          <w:tab w:val="num" w:pos="567"/>
        </w:tabs>
        <w:ind w:left="709" w:hanging="709"/>
      </w:pPr>
      <w:rPr>
        <w:rFonts w:hint="default"/>
      </w:rPr>
    </w:lvl>
    <w:lvl w:ilvl="1">
      <w:start w:val="1"/>
      <w:numFmt w:val="lowerLetter"/>
      <w:lvlText w:val="(%2)"/>
      <w:lvlJc w:val="left"/>
      <w:pPr>
        <w:tabs>
          <w:tab w:val="num" w:pos="1276"/>
        </w:tabs>
        <w:ind w:left="1418" w:hanging="709"/>
      </w:pPr>
      <w:rPr>
        <w:rFonts w:hint="default"/>
      </w:rPr>
    </w:lvl>
    <w:lvl w:ilvl="2">
      <w:start w:val="1"/>
      <w:numFmt w:val="lowerRoman"/>
      <w:lvlText w:val="(%3)"/>
      <w:lvlJc w:val="left"/>
      <w:pPr>
        <w:tabs>
          <w:tab w:val="num" w:pos="1985"/>
        </w:tabs>
        <w:ind w:left="2127" w:hanging="709"/>
      </w:pPr>
      <w:rPr>
        <w:rFonts w:hint="default"/>
      </w:rPr>
    </w:lvl>
    <w:lvl w:ilvl="3">
      <w:start w:val="1"/>
      <w:numFmt w:val="decimal"/>
      <w:lvlText w:val="%1.%2.%3.%4."/>
      <w:lvlJc w:val="left"/>
      <w:pPr>
        <w:tabs>
          <w:tab w:val="num" w:pos="2694"/>
        </w:tabs>
        <w:ind w:left="2836" w:hanging="709"/>
      </w:pPr>
      <w:rPr>
        <w:rFonts w:hint="default"/>
      </w:rPr>
    </w:lvl>
    <w:lvl w:ilvl="4">
      <w:start w:val="1"/>
      <w:numFmt w:val="decimal"/>
      <w:lvlText w:val="%1.%2.%3.%4.%5."/>
      <w:lvlJc w:val="left"/>
      <w:pPr>
        <w:tabs>
          <w:tab w:val="num" w:pos="3403"/>
        </w:tabs>
        <w:ind w:left="3545" w:hanging="709"/>
      </w:pPr>
      <w:rPr>
        <w:rFonts w:hint="default"/>
      </w:rPr>
    </w:lvl>
    <w:lvl w:ilvl="5">
      <w:start w:val="1"/>
      <w:numFmt w:val="decimal"/>
      <w:lvlText w:val="%1.%2.%3.%4.%5.%6."/>
      <w:lvlJc w:val="left"/>
      <w:pPr>
        <w:tabs>
          <w:tab w:val="num" w:pos="4112"/>
        </w:tabs>
        <w:ind w:left="4254" w:hanging="709"/>
      </w:pPr>
      <w:rPr>
        <w:rFonts w:hint="default"/>
      </w:rPr>
    </w:lvl>
    <w:lvl w:ilvl="6">
      <w:start w:val="1"/>
      <w:numFmt w:val="decimal"/>
      <w:lvlText w:val="%1.%2.%3.%4.%5.%6.%7."/>
      <w:lvlJc w:val="left"/>
      <w:pPr>
        <w:tabs>
          <w:tab w:val="num" w:pos="4821"/>
        </w:tabs>
        <w:ind w:left="4963" w:hanging="709"/>
      </w:pPr>
      <w:rPr>
        <w:rFonts w:hint="default"/>
      </w:rPr>
    </w:lvl>
    <w:lvl w:ilvl="7">
      <w:start w:val="1"/>
      <w:numFmt w:val="decimal"/>
      <w:lvlText w:val="%1.%2.%3.%4.%5.%6.%7.%8."/>
      <w:lvlJc w:val="left"/>
      <w:pPr>
        <w:tabs>
          <w:tab w:val="num" w:pos="5530"/>
        </w:tabs>
        <w:ind w:left="5672" w:hanging="709"/>
      </w:pPr>
      <w:rPr>
        <w:rFonts w:hint="default"/>
      </w:rPr>
    </w:lvl>
    <w:lvl w:ilvl="8">
      <w:start w:val="1"/>
      <w:numFmt w:val="decimal"/>
      <w:lvlText w:val="%1.%2.%3.%4.%5.%6.%7.%8.%9."/>
      <w:lvlJc w:val="left"/>
      <w:pPr>
        <w:tabs>
          <w:tab w:val="num" w:pos="6239"/>
        </w:tabs>
        <w:ind w:left="6381" w:hanging="709"/>
      </w:pPr>
      <w:rPr>
        <w:rFonts w:hint="default"/>
      </w:rPr>
    </w:lvl>
  </w:abstractNum>
  <w:abstractNum w:abstractNumId="16"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15:restartNumberingAfterBreak="0">
    <w:nsid w:val="204248D0"/>
    <w:multiLevelType w:val="multilevel"/>
    <w:tmpl w:val="2A44FB50"/>
    <w:lvl w:ilvl="0">
      <w:start w:val="1"/>
      <w:numFmt w:val="decimal"/>
      <w:pStyle w:val="NumberLevel1"/>
      <w:lvlText w:val="%1."/>
      <w:lvlJc w:val="left"/>
      <w:pPr>
        <w:tabs>
          <w:tab w:val="num" w:pos="4395"/>
        </w:tabs>
        <w:ind w:left="4395" w:hanging="567"/>
      </w:pPr>
      <w:rPr>
        <w:b w:val="0"/>
        <w:i w:val="0"/>
      </w:rPr>
    </w:lvl>
    <w:lvl w:ilvl="1">
      <w:start w:val="1"/>
      <w:numFmt w:val="lowerLetter"/>
      <w:pStyle w:val="NumberLevel2"/>
      <w:lvlText w:val="(%2)"/>
      <w:lvlJc w:val="left"/>
      <w:pPr>
        <w:tabs>
          <w:tab w:val="num" w:pos="1277"/>
        </w:tabs>
        <w:ind w:left="1277" w:hanging="567"/>
      </w:pPr>
      <w:rPr>
        <w:rFonts w:hint="default"/>
      </w:r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1" w15:restartNumberingAfterBreak="0">
    <w:nsid w:val="2E4672AF"/>
    <w:multiLevelType w:val="hybridMultilevel"/>
    <w:tmpl w:val="49C0D6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DC73CA"/>
    <w:multiLevelType w:val="hybridMultilevel"/>
    <w:tmpl w:val="FE629DF6"/>
    <w:lvl w:ilvl="0" w:tplc="8AE2AB8E">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3"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5" w15:restartNumberingAfterBreak="0">
    <w:nsid w:val="494817A7"/>
    <w:multiLevelType w:val="multilevel"/>
    <w:tmpl w:val="0F0EC90E"/>
    <w:numStyleLink w:val="FCListNo"/>
  </w:abstractNum>
  <w:abstractNum w:abstractNumId="26"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6"/>
  </w:num>
  <w:num w:numId="14">
    <w:abstractNumId w:val="27"/>
  </w:num>
  <w:num w:numId="15">
    <w:abstractNumId w:val="30"/>
  </w:num>
  <w:num w:numId="16">
    <w:abstractNumId w:val="16"/>
  </w:num>
  <w:num w:numId="17">
    <w:abstractNumId w:val="29"/>
  </w:num>
  <w:num w:numId="18">
    <w:abstractNumId w:val="11"/>
  </w:num>
  <w:num w:numId="19">
    <w:abstractNumId w:val="24"/>
  </w:num>
  <w:num w:numId="20">
    <w:abstractNumId w:val="19"/>
  </w:num>
  <w:num w:numId="21">
    <w:abstractNumId w:val="20"/>
  </w:num>
  <w:num w:numId="22">
    <w:abstractNumId w:val="25"/>
  </w:num>
  <w:num w:numId="23">
    <w:abstractNumId w:val="10"/>
  </w:num>
  <w:num w:numId="24">
    <w:abstractNumId w:val="10"/>
  </w:num>
  <w:num w:numId="25">
    <w:abstractNumId w:val="13"/>
  </w:num>
  <w:num w:numId="26">
    <w:abstractNumId w:val="23"/>
  </w:num>
  <w:num w:numId="27">
    <w:abstractNumId w:val="23"/>
  </w:num>
  <w:num w:numId="28">
    <w:abstractNumId w:val="23"/>
  </w:num>
  <w:num w:numId="29">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5"/>
  </w:num>
  <w:num w:numId="36">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Deputy Commissioner of Taxation"/>
    <w:docVar w:name="CounsellorName" w:val="Mr G Ng and Mr N Li "/>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1490 of 2019 "/>
    <w:docVar w:name="Initiators" w:val="(and another named in the Schedule)"/>
    <w:docVar w:name="Judgdate" w:val="# May 2022 "/>
    <w:docVar w:name="Judge" w:val="Jagot"/>
    <w:docVar w:name="JudgeType" w:val="Justice"/>
    <w:docVar w:name="lstEntryList" w:val="-1"/>
    <w:docVar w:name="myEntryList" w:val="Counsel for the Applicant=Mr L Livingstone SC and Ms T Epstein "/>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axation"/>
    <w:docVar w:name="RESAndAnother" w:val="True"/>
    <w:docVar w:name="RESAndOthers" w:val="False"/>
    <w:docVar w:name="Respondent" w:val="Changran Huang |Jiefang Huang "/>
    <w:docVar w:name="ResState" w:val="New South Wales"/>
    <w:docVar w:name="SubArea" w:val="(none)"/>
  </w:docVars>
  <w:rsids>
    <w:rsidRoot w:val="004D0716"/>
    <w:rsid w:val="00000747"/>
    <w:rsid w:val="000115C5"/>
    <w:rsid w:val="0001469E"/>
    <w:rsid w:val="00015993"/>
    <w:rsid w:val="00021CCB"/>
    <w:rsid w:val="00022289"/>
    <w:rsid w:val="000237E9"/>
    <w:rsid w:val="00027398"/>
    <w:rsid w:val="00031492"/>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8610E"/>
    <w:rsid w:val="000901BB"/>
    <w:rsid w:val="000920FB"/>
    <w:rsid w:val="000A2E76"/>
    <w:rsid w:val="000A4807"/>
    <w:rsid w:val="000A4BE4"/>
    <w:rsid w:val="000C023E"/>
    <w:rsid w:val="000C405D"/>
    <w:rsid w:val="000C5195"/>
    <w:rsid w:val="000C62EF"/>
    <w:rsid w:val="000D2137"/>
    <w:rsid w:val="000D3FD2"/>
    <w:rsid w:val="000D4B2E"/>
    <w:rsid w:val="000E3FC8"/>
    <w:rsid w:val="000E7BAE"/>
    <w:rsid w:val="000F133D"/>
    <w:rsid w:val="000F46FC"/>
    <w:rsid w:val="0010536B"/>
    <w:rsid w:val="001054B6"/>
    <w:rsid w:val="0011145C"/>
    <w:rsid w:val="001128BD"/>
    <w:rsid w:val="0011419D"/>
    <w:rsid w:val="00114B02"/>
    <w:rsid w:val="00117E70"/>
    <w:rsid w:val="001226C0"/>
    <w:rsid w:val="00126EC8"/>
    <w:rsid w:val="0012731C"/>
    <w:rsid w:val="00132054"/>
    <w:rsid w:val="00134964"/>
    <w:rsid w:val="001351B9"/>
    <w:rsid w:val="0015252C"/>
    <w:rsid w:val="00155CD2"/>
    <w:rsid w:val="00155D73"/>
    <w:rsid w:val="00161A4D"/>
    <w:rsid w:val="001662AB"/>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872"/>
    <w:rsid w:val="001C2FE0"/>
    <w:rsid w:val="001C37CA"/>
    <w:rsid w:val="001C4085"/>
    <w:rsid w:val="001D4303"/>
    <w:rsid w:val="001D6746"/>
    <w:rsid w:val="001E0C61"/>
    <w:rsid w:val="001E3B49"/>
    <w:rsid w:val="001E4A05"/>
    <w:rsid w:val="001E57EE"/>
    <w:rsid w:val="001E6A19"/>
    <w:rsid w:val="001E7388"/>
    <w:rsid w:val="001F0013"/>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86CAA"/>
    <w:rsid w:val="0029113B"/>
    <w:rsid w:val="002934C0"/>
    <w:rsid w:val="00293E1F"/>
    <w:rsid w:val="0029764C"/>
    <w:rsid w:val="002A1B50"/>
    <w:rsid w:val="002A3DC5"/>
    <w:rsid w:val="002A45D5"/>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31F"/>
    <w:rsid w:val="002E6A7A"/>
    <w:rsid w:val="002F1E49"/>
    <w:rsid w:val="002F4AAE"/>
    <w:rsid w:val="002F4E9C"/>
    <w:rsid w:val="002F6E15"/>
    <w:rsid w:val="00302F4E"/>
    <w:rsid w:val="0031256C"/>
    <w:rsid w:val="00314AA7"/>
    <w:rsid w:val="00314D6C"/>
    <w:rsid w:val="00316D2A"/>
    <w:rsid w:val="00322A7C"/>
    <w:rsid w:val="00322EEC"/>
    <w:rsid w:val="00323061"/>
    <w:rsid w:val="003402D3"/>
    <w:rsid w:val="0034068E"/>
    <w:rsid w:val="00343ABC"/>
    <w:rsid w:val="003463FE"/>
    <w:rsid w:val="003472FC"/>
    <w:rsid w:val="00347D41"/>
    <w:rsid w:val="0035019D"/>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D60B9"/>
    <w:rsid w:val="003E3154"/>
    <w:rsid w:val="003E5874"/>
    <w:rsid w:val="003E72D3"/>
    <w:rsid w:val="003F193E"/>
    <w:rsid w:val="003F242C"/>
    <w:rsid w:val="003F25AB"/>
    <w:rsid w:val="003F34F1"/>
    <w:rsid w:val="004031D8"/>
    <w:rsid w:val="004104B6"/>
    <w:rsid w:val="00411AE8"/>
    <w:rsid w:val="00413B74"/>
    <w:rsid w:val="004342F3"/>
    <w:rsid w:val="00435C5F"/>
    <w:rsid w:val="00436155"/>
    <w:rsid w:val="00436460"/>
    <w:rsid w:val="00441E98"/>
    <w:rsid w:val="00450F3A"/>
    <w:rsid w:val="004532F7"/>
    <w:rsid w:val="00464D51"/>
    <w:rsid w:val="00472027"/>
    <w:rsid w:val="004800E5"/>
    <w:rsid w:val="004804CF"/>
    <w:rsid w:val="00483314"/>
    <w:rsid w:val="00484962"/>
    <w:rsid w:val="00484F6D"/>
    <w:rsid w:val="00484FB7"/>
    <w:rsid w:val="0048554D"/>
    <w:rsid w:val="0049338A"/>
    <w:rsid w:val="0049417F"/>
    <w:rsid w:val="00495DC4"/>
    <w:rsid w:val="00496D41"/>
    <w:rsid w:val="004A0845"/>
    <w:rsid w:val="004A6602"/>
    <w:rsid w:val="004B3EFA"/>
    <w:rsid w:val="004C2A87"/>
    <w:rsid w:val="004C4D7B"/>
    <w:rsid w:val="004C4ED3"/>
    <w:rsid w:val="004C667B"/>
    <w:rsid w:val="004C7ECD"/>
    <w:rsid w:val="004D0716"/>
    <w:rsid w:val="004D14DA"/>
    <w:rsid w:val="004D2EA5"/>
    <w:rsid w:val="004D32A6"/>
    <w:rsid w:val="004D53E5"/>
    <w:rsid w:val="004D7950"/>
    <w:rsid w:val="004E6DC4"/>
    <w:rsid w:val="004F21C1"/>
    <w:rsid w:val="00501A12"/>
    <w:rsid w:val="0050209C"/>
    <w:rsid w:val="0050309C"/>
    <w:rsid w:val="00511BFC"/>
    <w:rsid w:val="0051327C"/>
    <w:rsid w:val="0051346D"/>
    <w:rsid w:val="00513EAE"/>
    <w:rsid w:val="0051434F"/>
    <w:rsid w:val="00516806"/>
    <w:rsid w:val="0052098C"/>
    <w:rsid w:val="00525A49"/>
    <w:rsid w:val="005262D1"/>
    <w:rsid w:val="00530876"/>
    <w:rsid w:val="00531BE3"/>
    <w:rsid w:val="00531E5C"/>
    <w:rsid w:val="005337CF"/>
    <w:rsid w:val="00535613"/>
    <w:rsid w:val="005359EB"/>
    <w:rsid w:val="0054254A"/>
    <w:rsid w:val="00542EFF"/>
    <w:rsid w:val="0054500B"/>
    <w:rsid w:val="005466B5"/>
    <w:rsid w:val="00551031"/>
    <w:rsid w:val="00554314"/>
    <w:rsid w:val="00562829"/>
    <w:rsid w:val="005629B3"/>
    <w:rsid w:val="0057128A"/>
    <w:rsid w:val="005724F6"/>
    <w:rsid w:val="00573AC4"/>
    <w:rsid w:val="00574FA0"/>
    <w:rsid w:val="005801FC"/>
    <w:rsid w:val="00585BA9"/>
    <w:rsid w:val="00587359"/>
    <w:rsid w:val="00591BC7"/>
    <w:rsid w:val="00595016"/>
    <w:rsid w:val="00597AAE"/>
    <w:rsid w:val="005A222C"/>
    <w:rsid w:val="005A4DF8"/>
    <w:rsid w:val="005A78C8"/>
    <w:rsid w:val="005B1426"/>
    <w:rsid w:val="005C0A8E"/>
    <w:rsid w:val="005C11F2"/>
    <w:rsid w:val="005C1767"/>
    <w:rsid w:val="005C185C"/>
    <w:rsid w:val="005C42EF"/>
    <w:rsid w:val="005E02F5"/>
    <w:rsid w:val="005E0510"/>
    <w:rsid w:val="005E176E"/>
    <w:rsid w:val="005E218E"/>
    <w:rsid w:val="005E35A0"/>
    <w:rsid w:val="005F0D1B"/>
    <w:rsid w:val="005F1865"/>
    <w:rsid w:val="005F381C"/>
    <w:rsid w:val="006007BD"/>
    <w:rsid w:val="006013C8"/>
    <w:rsid w:val="0060270D"/>
    <w:rsid w:val="00604342"/>
    <w:rsid w:val="00604611"/>
    <w:rsid w:val="00606808"/>
    <w:rsid w:val="00611586"/>
    <w:rsid w:val="00612D26"/>
    <w:rsid w:val="00615855"/>
    <w:rsid w:val="00620DA8"/>
    <w:rsid w:val="00621887"/>
    <w:rsid w:val="00621A6D"/>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5E44"/>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3FF0"/>
    <w:rsid w:val="006D4C92"/>
    <w:rsid w:val="006D4EB6"/>
    <w:rsid w:val="006D7FBC"/>
    <w:rsid w:val="006E35BF"/>
    <w:rsid w:val="006E7850"/>
    <w:rsid w:val="006F19D8"/>
    <w:rsid w:val="006F46D6"/>
    <w:rsid w:val="006F4BBB"/>
    <w:rsid w:val="007028D9"/>
    <w:rsid w:val="0070477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730B3"/>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4584"/>
    <w:rsid w:val="007D561F"/>
    <w:rsid w:val="007D7FD2"/>
    <w:rsid w:val="007E13D9"/>
    <w:rsid w:val="007E2AEC"/>
    <w:rsid w:val="007E41BE"/>
    <w:rsid w:val="007E4DB6"/>
    <w:rsid w:val="007E6733"/>
    <w:rsid w:val="007E7CD4"/>
    <w:rsid w:val="007F12AC"/>
    <w:rsid w:val="007F4501"/>
    <w:rsid w:val="007F60DF"/>
    <w:rsid w:val="007F7E51"/>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54DE8"/>
    <w:rsid w:val="008649D5"/>
    <w:rsid w:val="008712BB"/>
    <w:rsid w:val="008830E7"/>
    <w:rsid w:val="00890EDE"/>
    <w:rsid w:val="008915A0"/>
    <w:rsid w:val="00892B38"/>
    <w:rsid w:val="008A1741"/>
    <w:rsid w:val="008A2484"/>
    <w:rsid w:val="008A52F3"/>
    <w:rsid w:val="008A5D05"/>
    <w:rsid w:val="008B3A94"/>
    <w:rsid w:val="008C22EA"/>
    <w:rsid w:val="008C26D9"/>
    <w:rsid w:val="008C6D50"/>
    <w:rsid w:val="008C7167"/>
    <w:rsid w:val="008C7503"/>
    <w:rsid w:val="008D1617"/>
    <w:rsid w:val="008D330F"/>
    <w:rsid w:val="008D4245"/>
    <w:rsid w:val="008D48C1"/>
    <w:rsid w:val="008D6BBA"/>
    <w:rsid w:val="008E3E84"/>
    <w:rsid w:val="008E6315"/>
    <w:rsid w:val="008F0480"/>
    <w:rsid w:val="008F07FC"/>
    <w:rsid w:val="008F11E0"/>
    <w:rsid w:val="008F3EA7"/>
    <w:rsid w:val="008F5C98"/>
    <w:rsid w:val="008F78BC"/>
    <w:rsid w:val="008F7B63"/>
    <w:rsid w:val="008F7D6A"/>
    <w:rsid w:val="00901C86"/>
    <w:rsid w:val="00903603"/>
    <w:rsid w:val="00903AAA"/>
    <w:rsid w:val="00903FD5"/>
    <w:rsid w:val="009054CB"/>
    <w:rsid w:val="00905EBC"/>
    <w:rsid w:val="00911F8D"/>
    <w:rsid w:val="00912F94"/>
    <w:rsid w:val="009171BC"/>
    <w:rsid w:val="0092497E"/>
    <w:rsid w:val="0092590B"/>
    <w:rsid w:val="00925BF3"/>
    <w:rsid w:val="00925E60"/>
    <w:rsid w:val="009264B3"/>
    <w:rsid w:val="00931E4C"/>
    <w:rsid w:val="0093384A"/>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D7354"/>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0C8"/>
    <w:rsid w:val="00A359AC"/>
    <w:rsid w:val="00A36929"/>
    <w:rsid w:val="00A40F83"/>
    <w:rsid w:val="00A410FB"/>
    <w:rsid w:val="00A41413"/>
    <w:rsid w:val="00A431E6"/>
    <w:rsid w:val="00A436E8"/>
    <w:rsid w:val="00A455B1"/>
    <w:rsid w:val="00A45FB1"/>
    <w:rsid w:val="00A46A0F"/>
    <w:rsid w:val="00A46CCC"/>
    <w:rsid w:val="00A47996"/>
    <w:rsid w:val="00A50D01"/>
    <w:rsid w:val="00A51CFE"/>
    <w:rsid w:val="00A5204D"/>
    <w:rsid w:val="00A56E77"/>
    <w:rsid w:val="00A61605"/>
    <w:rsid w:val="00A65F97"/>
    <w:rsid w:val="00A73B04"/>
    <w:rsid w:val="00A743DF"/>
    <w:rsid w:val="00A76C13"/>
    <w:rsid w:val="00A84FD0"/>
    <w:rsid w:val="00A92E79"/>
    <w:rsid w:val="00A950B6"/>
    <w:rsid w:val="00A95D45"/>
    <w:rsid w:val="00AA3EA8"/>
    <w:rsid w:val="00AA7EE2"/>
    <w:rsid w:val="00AB41C1"/>
    <w:rsid w:val="00AB448E"/>
    <w:rsid w:val="00AB4CF2"/>
    <w:rsid w:val="00AB6CCA"/>
    <w:rsid w:val="00AC223F"/>
    <w:rsid w:val="00AC33B1"/>
    <w:rsid w:val="00AD12A8"/>
    <w:rsid w:val="00AE023F"/>
    <w:rsid w:val="00AF3577"/>
    <w:rsid w:val="00AF35F9"/>
    <w:rsid w:val="00B000FE"/>
    <w:rsid w:val="00B0424C"/>
    <w:rsid w:val="00B05C7D"/>
    <w:rsid w:val="00B15D57"/>
    <w:rsid w:val="00B16347"/>
    <w:rsid w:val="00B17D6E"/>
    <w:rsid w:val="00B2435E"/>
    <w:rsid w:val="00B25C71"/>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11A"/>
    <w:rsid w:val="00B82283"/>
    <w:rsid w:val="00B828D8"/>
    <w:rsid w:val="00B83F87"/>
    <w:rsid w:val="00B87CDC"/>
    <w:rsid w:val="00B910C1"/>
    <w:rsid w:val="00B9419B"/>
    <w:rsid w:val="00BA2CA4"/>
    <w:rsid w:val="00BA2EFA"/>
    <w:rsid w:val="00BA3043"/>
    <w:rsid w:val="00BA3DBC"/>
    <w:rsid w:val="00BA707A"/>
    <w:rsid w:val="00BB1AFB"/>
    <w:rsid w:val="00BB27AE"/>
    <w:rsid w:val="00BB2DA2"/>
    <w:rsid w:val="00BB3117"/>
    <w:rsid w:val="00BB56DC"/>
    <w:rsid w:val="00BE183D"/>
    <w:rsid w:val="00BF24C2"/>
    <w:rsid w:val="00BF2922"/>
    <w:rsid w:val="00BF5D7A"/>
    <w:rsid w:val="00C01C2E"/>
    <w:rsid w:val="00C02D33"/>
    <w:rsid w:val="00C04B53"/>
    <w:rsid w:val="00C11EE9"/>
    <w:rsid w:val="00C1232C"/>
    <w:rsid w:val="00C17357"/>
    <w:rsid w:val="00C27C6B"/>
    <w:rsid w:val="00C3594D"/>
    <w:rsid w:val="00C36442"/>
    <w:rsid w:val="00C400CE"/>
    <w:rsid w:val="00C410FD"/>
    <w:rsid w:val="00C457DE"/>
    <w:rsid w:val="00C47DD3"/>
    <w:rsid w:val="00C5316F"/>
    <w:rsid w:val="00C53562"/>
    <w:rsid w:val="00C539FB"/>
    <w:rsid w:val="00C623D2"/>
    <w:rsid w:val="00C66AA3"/>
    <w:rsid w:val="00C66E57"/>
    <w:rsid w:val="00C6753B"/>
    <w:rsid w:val="00C67AEF"/>
    <w:rsid w:val="00C70D1A"/>
    <w:rsid w:val="00C724D7"/>
    <w:rsid w:val="00C74150"/>
    <w:rsid w:val="00C75594"/>
    <w:rsid w:val="00C81C6C"/>
    <w:rsid w:val="00C85982"/>
    <w:rsid w:val="00CA0466"/>
    <w:rsid w:val="00CA246D"/>
    <w:rsid w:val="00CA50D9"/>
    <w:rsid w:val="00CB3054"/>
    <w:rsid w:val="00CB5636"/>
    <w:rsid w:val="00CB5F30"/>
    <w:rsid w:val="00CC3EE5"/>
    <w:rsid w:val="00CC6E47"/>
    <w:rsid w:val="00CD1346"/>
    <w:rsid w:val="00CE04CA"/>
    <w:rsid w:val="00CE0BA2"/>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67A6A"/>
    <w:rsid w:val="00D778E9"/>
    <w:rsid w:val="00D812BF"/>
    <w:rsid w:val="00D82620"/>
    <w:rsid w:val="00D85707"/>
    <w:rsid w:val="00D9725F"/>
    <w:rsid w:val="00DA01B1"/>
    <w:rsid w:val="00DA11A2"/>
    <w:rsid w:val="00DA14ED"/>
    <w:rsid w:val="00DA26D6"/>
    <w:rsid w:val="00DA32B2"/>
    <w:rsid w:val="00DB16A0"/>
    <w:rsid w:val="00DB2EF1"/>
    <w:rsid w:val="00DB3DE1"/>
    <w:rsid w:val="00DB5DA0"/>
    <w:rsid w:val="00DB716C"/>
    <w:rsid w:val="00DC5C85"/>
    <w:rsid w:val="00DC7C5D"/>
    <w:rsid w:val="00DD21BC"/>
    <w:rsid w:val="00DD4236"/>
    <w:rsid w:val="00DD44F1"/>
    <w:rsid w:val="00DD5E84"/>
    <w:rsid w:val="00DD6957"/>
    <w:rsid w:val="00DD6E7A"/>
    <w:rsid w:val="00DE3067"/>
    <w:rsid w:val="00DF0223"/>
    <w:rsid w:val="00DF2CFC"/>
    <w:rsid w:val="00DF3EEE"/>
    <w:rsid w:val="00DF75E1"/>
    <w:rsid w:val="00E027BC"/>
    <w:rsid w:val="00E045BE"/>
    <w:rsid w:val="00E10F0D"/>
    <w:rsid w:val="00E14EA5"/>
    <w:rsid w:val="00E2070E"/>
    <w:rsid w:val="00E21133"/>
    <w:rsid w:val="00E2327E"/>
    <w:rsid w:val="00E23577"/>
    <w:rsid w:val="00E266EF"/>
    <w:rsid w:val="00E326A8"/>
    <w:rsid w:val="00E44D66"/>
    <w:rsid w:val="00E47428"/>
    <w:rsid w:val="00E50735"/>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30E2"/>
    <w:rsid w:val="00EC57A7"/>
    <w:rsid w:val="00ED0817"/>
    <w:rsid w:val="00ED7DD9"/>
    <w:rsid w:val="00EE445B"/>
    <w:rsid w:val="00EF3113"/>
    <w:rsid w:val="00EF3F84"/>
    <w:rsid w:val="00F01C13"/>
    <w:rsid w:val="00F14F0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6474B"/>
    <w:rsid w:val="00F7713F"/>
    <w:rsid w:val="00F775AC"/>
    <w:rsid w:val="00F8792F"/>
    <w:rsid w:val="00F90373"/>
    <w:rsid w:val="00F9214D"/>
    <w:rsid w:val="00F92355"/>
    <w:rsid w:val="00F93963"/>
    <w:rsid w:val="00F94291"/>
    <w:rsid w:val="00FA298A"/>
    <w:rsid w:val="00FA5B66"/>
    <w:rsid w:val="00FB0B9C"/>
    <w:rsid w:val="00FB30EB"/>
    <w:rsid w:val="00FB7982"/>
    <w:rsid w:val="00FC0734"/>
    <w:rsid w:val="00FC087B"/>
    <w:rsid w:val="00FC0FC5"/>
    <w:rsid w:val="00FC588F"/>
    <w:rsid w:val="00FC6879"/>
    <w:rsid w:val="00FD3057"/>
    <w:rsid w:val="00FD43C2"/>
    <w:rsid w:val="00FD57CC"/>
    <w:rsid w:val="00FE1B30"/>
    <w:rsid w:val="00FE7B44"/>
    <w:rsid w:val="00FF3B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6F998F89"/>
  <w15:docId w15:val="{64CDE93D-8D7E-492B-B6AF-03030A5F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Default">
    <w:name w:val="Default"/>
    <w:link w:val="DefaultChar"/>
    <w:rsid w:val="003D60B9"/>
    <w:pPr>
      <w:autoSpaceDE w:val="0"/>
      <w:autoSpaceDN w:val="0"/>
      <w:adjustRightInd w:val="0"/>
    </w:pPr>
    <w:rPr>
      <w:color w:val="000000"/>
      <w:sz w:val="24"/>
      <w:szCs w:val="24"/>
    </w:rPr>
  </w:style>
  <w:style w:type="character" w:customStyle="1" w:styleId="DefaultChar">
    <w:name w:val="Default Char"/>
    <w:link w:val="Default"/>
    <w:locked/>
    <w:rsid w:val="003D60B9"/>
    <w:rPr>
      <w:color w:val="000000"/>
      <w:sz w:val="24"/>
      <w:szCs w:val="24"/>
    </w:rPr>
  </w:style>
  <w:style w:type="paragraph" w:customStyle="1" w:styleId="CM15">
    <w:name w:val="CM15"/>
    <w:basedOn w:val="Default"/>
    <w:next w:val="Default"/>
    <w:rsid w:val="003D60B9"/>
    <w:pPr>
      <w:widowControl w:val="0"/>
      <w:spacing w:after="275"/>
    </w:pPr>
    <w:rPr>
      <w:rFonts w:asciiTheme="minorHAnsi" w:eastAsiaTheme="minorHAnsi" w:hAnsiTheme="minorHAnsi" w:cstheme="minorBidi"/>
      <w:color w:val="auto"/>
      <w:lang w:val="en-US" w:eastAsia="en-US"/>
    </w:rPr>
  </w:style>
  <w:style w:type="paragraph" w:customStyle="1" w:styleId="CM17">
    <w:name w:val="CM17"/>
    <w:basedOn w:val="Default"/>
    <w:next w:val="Default"/>
    <w:rsid w:val="003D60B9"/>
    <w:pPr>
      <w:widowControl w:val="0"/>
      <w:spacing w:after="1630"/>
    </w:pPr>
    <w:rPr>
      <w:rFonts w:asciiTheme="minorHAnsi" w:eastAsiaTheme="minorHAnsi" w:hAnsiTheme="minorHAnsi" w:cstheme="minorBidi"/>
      <w:color w:val="auto"/>
      <w:lang w:val="en-US" w:eastAsia="en-US"/>
    </w:rPr>
  </w:style>
  <w:style w:type="paragraph" w:customStyle="1" w:styleId="CM2">
    <w:name w:val="CM2"/>
    <w:basedOn w:val="Default"/>
    <w:next w:val="Default"/>
    <w:rsid w:val="003D60B9"/>
    <w:pPr>
      <w:widowControl w:val="0"/>
      <w:spacing w:line="276" w:lineRule="atLeast"/>
    </w:pPr>
    <w:rPr>
      <w:rFonts w:asciiTheme="minorHAnsi" w:eastAsiaTheme="minorHAnsi" w:hAnsiTheme="minorHAnsi" w:cstheme="minorBidi"/>
      <w:color w:val="auto"/>
      <w:lang w:val="en-US" w:eastAsia="en-US"/>
    </w:rPr>
  </w:style>
  <w:style w:type="paragraph" w:customStyle="1" w:styleId="CM3">
    <w:name w:val="CM3"/>
    <w:basedOn w:val="Default"/>
    <w:next w:val="Default"/>
    <w:rsid w:val="003D60B9"/>
    <w:pPr>
      <w:widowControl w:val="0"/>
      <w:spacing w:line="276" w:lineRule="atLeast"/>
    </w:pPr>
    <w:rPr>
      <w:rFonts w:asciiTheme="minorHAnsi" w:eastAsiaTheme="minorHAnsi" w:hAnsiTheme="minorHAnsi" w:cstheme="minorBidi"/>
      <w:color w:val="auto"/>
      <w:lang w:val="en-US" w:eastAsia="en-US"/>
    </w:rPr>
  </w:style>
  <w:style w:type="paragraph" w:customStyle="1" w:styleId="CM8">
    <w:name w:val="CM8"/>
    <w:basedOn w:val="Default"/>
    <w:next w:val="Default"/>
    <w:rsid w:val="003D60B9"/>
    <w:pPr>
      <w:widowControl w:val="0"/>
      <w:spacing w:line="276" w:lineRule="atLeast"/>
    </w:pPr>
    <w:rPr>
      <w:rFonts w:asciiTheme="minorHAnsi" w:eastAsiaTheme="minorHAnsi" w:hAnsiTheme="minorHAnsi" w:cstheme="minorBidi"/>
      <w:color w:val="auto"/>
      <w:lang w:val="en-US" w:eastAsia="en-US"/>
    </w:rPr>
  </w:style>
  <w:style w:type="paragraph" w:customStyle="1" w:styleId="NumberLevel1">
    <w:name w:val="Number Level 1"/>
    <w:aliases w:val="N1"/>
    <w:basedOn w:val="Normal"/>
    <w:link w:val="NumberLevel1Char"/>
    <w:qFormat/>
    <w:rsid w:val="003D60B9"/>
    <w:pPr>
      <w:numPr>
        <w:numId w:val="30"/>
      </w:numPr>
      <w:spacing w:before="280" w:after="140" w:line="280" w:lineRule="atLeast"/>
      <w:jc w:val="left"/>
      <w:outlineLvl w:val="0"/>
    </w:pPr>
    <w:rPr>
      <w:rFonts w:ascii="Arial" w:eastAsia="Times New Roman" w:hAnsi="Arial"/>
      <w:sz w:val="22"/>
      <w:szCs w:val="22"/>
      <w:lang w:val="x-none" w:eastAsia="x-none"/>
    </w:rPr>
  </w:style>
  <w:style w:type="paragraph" w:customStyle="1" w:styleId="NumberLevel2">
    <w:name w:val="Number Level 2"/>
    <w:aliases w:val="N2"/>
    <w:basedOn w:val="Normal"/>
    <w:qFormat/>
    <w:rsid w:val="003D60B9"/>
    <w:pPr>
      <w:numPr>
        <w:ilvl w:val="1"/>
        <w:numId w:val="30"/>
      </w:numPr>
      <w:spacing w:before="280" w:after="140" w:line="280" w:lineRule="atLeast"/>
      <w:jc w:val="left"/>
      <w:outlineLvl w:val="1"/>
    </w:pPr>
    <w:rPr>
      <w:rFonts w:ascii="Arial" w:eastAsia="Times New Roman" w:hAnsi="Arial" w:cs="Arial"/>
      <w:sz w:val="22"/>
      <w:szCs w:val="22"/>
      <w:lang w:eastAsia="en-AU"/>
    </w:rPr>
  </w:style>
  <w:style w:type="paragraph" w:customStyle="1" w:styleId="NumberLevel3">
    <w:name w:val="Number Level 3"/>
    <w:aliases w:val="N3"/>
    <w:basedOn w:val="Normal"/>
    <w:qFormat/>
    <w:rsid w:val="003D60B9"/>
    <w:pPr>
      <w:numPr>
        <w:ilvl w:val="2"/>
        <w:numId w:val="30"/>
      </w:numPr>
      <w:spacing w:before="280" w:after="140" w:line="280" w:lineRule="atLeast"/>
      <w:jc w:val="left"/>
      <w:outlineLvl w:val="2"/>
    </w:pPr>
    <w:rPr>
      <w:rFonts w:ascii="Arial" w:eastAsia="Times New Roman" w:hAnsi="Arial" w:cs="Arial"/>
      <w:sz w:val="22"/>
      <w:szCs w:val="22"/>
      <w:lang w:eastAsia="en-AU"/>
    </w:rPr>
  </w:style>
  <w:style w:type="paragraph" w:customStyle="1" w:styleId="NumberLevel4">
    <w:name w:val="Number Level 4"/>
    <w:aliases w:val="N4"/>
    <w:basedOn w:val="Normal"/>
    <w:qFormat/>
    <w:rsid w:val="003D60B9"/>
    <w:pPr>
      <w:numPr>
        <w:ilvl w:val="3"/>
        <w:numId w:val="30"/>
      </w:numPr>
      <w:spacing w:before="280" w:after="140" w:line="280" w:lineRule="atLeast"/>
      <w:jc w:val="left"/>
      <w:outlineLvl w:val="3"/>
    </w:pPr>
    <w:rPr>
      <w:rFonts w:ascii="Arial" w:eastAsia="Times New Roman" w:hAnsi="Arial" w:cs="Arial"/>
      <w:sz w:val="22"/>
      <w:szCs w:val="22"/>
      <w:lang w:eastAsia="en-AU"/>
    </w:rPr>
  </w:style>
  <w:style w:type="paragraph" w:customStyle="1" w:styleId="NumberLevel5">
    <w:name w:val="Number Level 5"/>
    <w:aliases w:val="N5"/>
    <w:basedOn w:val="Normal"/>
    <w:semiHidden/>
    <w:rsid w:val="003D60B9"/>
    <w:pPr>
      <w:numPr>
        <w:ilvl w:val="4"/>
        <w:numId w:val="30"/>
      </w:numPr>
      <w:spacing w:before="280" w:after="140" w:line="280" w:lineRule="atLeast"/>
      <w:jc w:val="left"/>
      <w:outlineLvl w:val="4"/>
    </w:pPr>
    <w:rPr>
      <w:rFonts w:ascii="Arial" w:eastAsia="Times New Roman" w:hAnsi="Arial" w:cs="Arial"/>
      <w:sz w:val="22"/>
      <w:szCs w:val="22"/>
      <w:lang w:eastAsia="en-AU"/>
    </w:rPr>
  </w:style>
  <w:style w:type="paragraph" w:customStyle="1" w:styleId="NumberLevel6">
    <w:name w:val="Number Level 6"/>
    <w:basedOn w:val="Normal"/>
    <w:semiHidden/>
    <w:rsid w:val="003D60B9"/>
    <w:pPr>
      <w:numPr>
        <w:ilvl w:val="5"/>
        <w:numId w:val="30"/>
      </w:numPr>
      <w:spacing w:before="280" w:after="140" w:line="280" w:lineRule="atLeast"/>
      <w:jc w:val="left"/>
      <w:outlineLvl w:val="5"/>
    </w:pPr>
    <w:rPr>
      <w:rFonts w:ascii="Arial" w:eastAsia="Times New Roman" w:hAnsi="Arial" w:cs="Arial"/>
      <w:sz w:val="22"/>
      <w:szCs w:val="22"/>
      <w:lang w:eastAsia="en-AU"/>
    </w:rPr>
  </w:style>
  <w:style w:type="paragraph" w:customStyle="1" w:styleId="NumberLevel7">
    <w:name w:val="Number Level 7"/>
    <w:basedOn w:val="Normal"/>
    <w:semiHidden/>
    <w:rsid w:val="003D60B9"/>
    <w:pPr>
      <w:numPr>
        <w:ilvl w:val="6"/>
        <w:numId w:val="30"/>
      </w:numPr>
      <w:spacing w:before="280" w:after="140" w:line="280" w:lineRule="atLeast"/>
      <w:jc w:val="left"/>
      <w:outlineLvl w:val="6"/>
    </w:pPr>
    <w:rPr>
      <w:rFonts w:ascii="Arial" w:eastAsia="Times New Roman" w:hAnsi="Arial" w:cs="Arial"/>
      <w:sz w:val="22"/>
      <w:szCs w:val="22"/>
      <w:lang w:eastAsia="en-AU"/>
    </w:rPr>
  </w:style>
  <w:style w:type="paragraph" w:customStyle="1" w:styleId="NumberLevel8">
    <w:name w:val="Number Level 8"/>
    <w:basedOn w:val="Normal"/>
    <w:semiHidden/>
    <w:rsid w:val="003D60B9"/>
    <w:pPr>
      <w:numPr>
        <w:ilvl w:val="7"/>
        <w:numId w:val="30"/>
      </w:numPr>
      <w:spacing w:before="280" w:after="140" w:line="280" w:lineRule="atLeast"/>
      <w:jc w:val="left"/>
      <w:outlineLvl w:val="7"/>
    </w:pPr>
    <w:rPr>
      <w:rFonts w:ascii="Arial" w:eastAsia="Times New Roman" w:hAnsi="Arial" w:cs="Arial"/>
      <w:sz w:val="22"/>
      <w:szCs w:val="22"/>
      <w:lang w:eastAsia="en-AU"/>
    </w:rPr>
  </w:style>
  <w:style w:type="paragraph" w:customStyle="1" w:styleId="NumberLevel9">
    <w:name w:val="Number Level 9"/>
    <w:basedOn w:val="Normal"/>
    <w:semiHidden/>
    <w:rsid w:val="003D60B9"/>
    <w:pPr>
      <w:numPr>
        <w:ilvl w:val="8"/>
        <w:numId w:val="30"/>
      </w:numPr>
      <w:spacing w:before="280" w:after="140" w:line="280" w:lineRule="atLeast"/>
      <w:jc w:val="left"/>
      <w:outlineLvl w:val="8"/>
    </w:pPr>
    <w:rPr>
      <w:rFonts w:ascii="Arial" w:eastAsia="Times New Roman" w:hAnsi="Arial" w:cs="Arial"/>
      <w:sz w:val="22"/>
      <w:szCs w:val="22"/>
      <w:lang w:eastAsia="en-AU"/>
    </w:rPr>
  </w:style>
  <w:style w:type="character" w:customStyle="1" w:styleId="NumberLevel1Char">
    <w:name w:val="Number Level 1 Char"/>
    <w:link w:val="NumberLevel1"/>
    <w:rsid w:val="003D60B9"/>
    <w:rPr>
      <w:rFonts w:ascii="Arial" w:eastAsia="Times New Roman" w:hAnsi="Arial"/>
      <w:sz w:val="22"/>
      <w:szCs w:val="22"/>
      <w:lang w:val="x-none" w:eastAsia="x-none"/>
    </w:rPr>
  </w:style>
  <w:style w:type="character" w:customStyle="1" w:styleId="CharSchPTNo">
    <w:name w:val="CharSchPTNo"/>
    <w:basedOn w:val="DefaultParagraphFont"/>
    <w:uiPriority w:val="99"/>
    <w:rsid w:val="003D60B9"/>
  </w:style>
  <w:style w:type="paragraph" w:customStyle="1" w:styleId="CM9">
    <w:name w:val="CM9"/>
    <w:basedOn w:val="Default"/>
    <w:next w:val="Default"/>
    <w:rsid w:val="003D60B9"/>
    <w:pPr>
      <w:widowControl w:val="0"/>
      <w:spacing w:line="276" w:lineRule="atLeast"/>
    </w:pPr>
    <w:rPr>
      <w:rFonts w:eastAsia="Times New Roman" w:cstheme="minorBidi"/>
      <w:color w:val="auto"/>
      <w:lang w:val="en-US" w:eastAsia="en-US"/>
    </w:rPr>
  </w:style>
  <w:style w:type="paragraph" w:customStyle="1" w:styleId="CourtNotice">
    <w:name w:val="Court Notice"/>
    <w:basedOn w:val="Normal"/>
    <w:rsid w:val="003D60B9"/>
    <w:pPr>
      <w:spacing w:before="120" w:after="120" w:line="280" w:lineRule="atLeast"/>
      <w:jc w:val="left"/>
    </w:pPr>
    <w:rPr>
      <w:rFonts w:ascii="Arial" w:eastAsia="Times New Roman" w:hAnsi="Arial"/>
      <w:sz w:val="22"/>
      <w:szCs w:val="22"/>
      <w:lang w:eastAsia="en-AU"/>
    </w:rPr>
  </w:style>
  <w:style w:type="paragraph" w:customStyle="1" w:styleId="NumberedList1">
    <w:name w:val="Numbered List: 1)"/>
    <w:basedOn w:val="Normal"/>
    <w:semiHidden/>
    <w:rsid w:val="003D60B9"/>
    <w:pPr>
      <w:numPr>
        <w:numId w:val="33"/>
      </w:numPr>
      <w:spacing w:after="140" w:line="280" w:lineRule="atLeast"/>
      <w:jc w:val="left"/>
    </w:pPr>
    <w:rPr>
      <w:rFonts w:ascii="Arial" w:eastAsia="Times New Roman" w:hAnsi="Arial" w:cs="Arial"/>
      <w:sz w:val="22"/>
      <w:szCs w:val="22"/>
      <w:lang w:eastAsia="en-AU"/>
    </w:rPr>
  </w:style>
  <w:style w:type="character" w:customStyle="1" w:styleId="NumberedList11Char">
    <w:name w:val="Numbered List: 1) 1 Char"/>
    <w:link w:val="NumberedList11"/>
    <w:locked/>
    <w:rsid w:val="003D60B9"/>
    <w:rPr>
      <w:rFonts w:ascii="Arial" w:hAnsi="Arial" w:cs="Arial"/>
    </w:rPr>
  </w:style>
  <w:style w:type="paragraph" w:customStyle="1" w:styleId="NumberedList11">
    <w:name w:val="Numbered List: 1) 1"/>
    <w:basedOn w:val="NumberedList1"/>
    <w:link w:val="NumberedList11Char"/>
    <w:rsid w:val="003D60B9"/>
    <w:pPr>
      <w:numPr>
        <w:ilvl w:val="1"/>
      </w:numPr>
    </w:pPr>
    <w:rPr>
      <w:rFonts w:eastAsia="Batang"/>
      <w:sz w:val="20"/>
      <w:szCs w:val="20"/>
    </w:rPr>
  </w:style>
  <w:style w:type="paragraph" w:customStyle="1" w:styleId="NumberedList12">
    <w:name w:val="Numbered List: 1) 2"/>
    <w:basedOn w:val="NumberedList11"/>
    <w:semiHidden/>
    <w:rsid w:val="003D60B9"/>
    <w:pPr>
      <w:numPr>
        <w:ilvl w:val="2"/>
      </w:numPr>
      <w:tabs>
        <w:tab w:val="clear" w:pos="1276"/>
        <w:tab w:val="num" w:pos="360"/>
        <w:tab w:val="num" w:pos="1209"/>
        <w:tab w:val="num" w:pos="1418"/>
        <w:tab w:val="num" w:pos="1984"/>
        <w:tab w:val="num" w:pos="2160"/>
      </w:tabs>
      <w:ind w:left="1984" w:hanging="850"/>
    </w:pPr>
  </w:style>
  <w:style w:type="paragraph" w:customStyle="1" w:styleId="NumberedList13">
    <w:name w:val="Numbered List: 1) 3"/>
    <w:basedOn w:val="NumberedList12"/>
    <w:semiHidden/>
    <w:rsid w:val="003D60B9"/>
    <w:pPr>
      <w:numPr>
        <w:ilvl w:val="3"/>
      </w:numPr>
      <w:tabs>
        <w:tab w:val="clear" w:pos="1701"/>
        <w:tab w:val="num" w:pos="360"/>
        <w:tab w:val="num" w:pos="1209"/>
        <w:tab w:val="num" w:pos="2126"/>
        <w:tab w:val="num" w:pos="2694"/>
        <w:tab w:val="num" w:pos="2835"/>
        <w:tab w:val="num" w:pos="2880"/>
      </w:tabs>
      <w:ind w:left="2835" w:hanging="851"/>
    </w:pPr>
  </w:style>
  <w:style w:type="paragraph" w:customStyle="1" w:styleId="NumberedList14">
    <w:name w:val="Numbered List: 1) 4"/>
    <w:basedOn w:val="NumberedList13"/>
    <w:semiHidden/>
    <w:rsid w:val="003D60B9"/>
    <w:pPr>
      <w:numPr>
        <w:ilvl w:val="4"/>
      </w:numPr>
      <w:tabs>
        <w:tab w:val="clear" w:pos="2126"/>
        <w:tab w:val="num" w:pos="360"/>
        <w:tab w:val="num" w:pos="1209"/>
        <w:tab w:val="num" w:pos="3403"/>
        <w:tab w:val="num" w:pos="3600"/>
        <w:tab w:val="num" w:pos="3969"/>
      </w:tabs>
      <w:ind w:left="3969" w:hanging="1134"/>
    </w:pPr>
  </w:style>
  <w:style w:type="paragraph" w:customStyle="1" w:styleId="NumberedList15">
    <w:name w:val="Numbered List: 1) 5"/>
    <w:basedOn w:val="NumberedList14"/>
    <w:semiHidden/>
    <w:rsid w:val="003D60B9"/>
    <w:pPr>
      <w:numPr>
        <w:ilvl w:val="5"/>
      </w:numPr>
      <w:tabs>
        <w:tab w:val="clear" w:pos="2551"/>
        <w:tab w:val="num" w:pos="360"/>
        <w:tab w:val="num" w:pos="1209"/>
        <w:tab w:val="num" w:pos="3549"/>
        <w:tab w:val="num" w:pos="4112"/>
        <w:tab w:val="num" w:pos="5102"/>
      </w:tabs>
      <w:ind w:left="5102" w:hanging="1133"/>
    </w:pPr>
  </w:style>
  <w:style w:type="paragraph" w:customStyle="1" w:styleId="NumberedList16">
    <w:name w:val="Numbered List: 1) 6"/>
    <w:basedOn w:val="NumberedList15"/>
    <w:semiHidden/>
    <w:rsid w:val="003D60B9"/>
    <w:pPr>
      <w:numPr>
        <w:ilvl w:val="6"/>
      </w:numPr>
      <w:tabs>
        <w:tab w:val="clear" w:pos="2976"/>
        <w:tab w:val="num" w:pos="360"/>
        <w:tab w:val="num" w:pos="709"/>
        <w:tab w:val="num" w:pos="1209"/>
        <w:tab w:val="num" w:pos="4821"/>
        <w:tab w:val="num" w:pos="6236"/>
      </w:tabs>
      <w:ind w:left="6236" w:hanging="1134"/>
    </w:pPr>
  </w:style>
  <w:style w:type="paragraph" w:customStyle="1" w:styleId="NumberedList17">
    <w:name w:val="Numbered List: 1) 7"/>
    <w:basedOn w:val="NumberedList16"/>
    <w:semiHidden/>
    <w:rsid w:val="003D60B9"/>
    <w:pPr>
      <w:numPr>
        <w:ilvl w:val="7"/>
      </w:numPr>
      <w:tabs>
        <w:tab w:val="clear" w:pos="3402"/>
        <w:tab w:val="clear" w:pos="3969"/>
        <w:tab w:val="num" w:pos="360"/>
        <w:tab w:val="num" w:pos="709"/>
        <w:tab w:val="num" w:pos="3957"/>
        <w:tab w:val="num" w:pos="5530"/>
        <w:tab w:val="num" w:pos="7370"/>
      </w:tabs>
      <w:ind w:left="7370" w:hanging="1134"/>
    </w:pPr>
  </w:style>
  <w:style w:type="paragraph" w:customStyle="1" w:styleId="NumberedList18">
    <w:name w:val="Numbered List: 1) 8"/>
    <w:basedOn w:val="NumberedList17"/>
    <w:semiHidden/>
    <w:rsid w:val="003D60B9"/>
    <w:pPr>
      <w:numPr>
        <w:ilvl w:val="8"/>
      </w:numPr>
      <w:tabs>
        <w:tab w:val="clear" w:pos="3827"/>
        <w:tab w:val="clear" w:pos="6236"/>
        <w:tab w:val="num" w:pos="360"/>
        <w:tab w:val="num" w:pos="709"/>
        <w:tab w:val="num" w:pos="2126"/>
        <w:tab w:val="num" w:pos="4677"/>
        <w:tab w:val="num" w:pos="6239"/>
      </w:tabs>
      <w:ind w:left="7370" w:hanging="1134"/>
    </w:pPr>
  </w:style>
  <w:style w:type="paragraph" w:styleId="Revision">
    <w:name w:val="Revision"/>
    <w:hidden/>
    <w:uiPriority w:val="99"/>
    <w:semiHidden/>
    <w:rsid w:val="00A369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C4B87E627F4C28AC5338EDBD4A5BD5"/>
        <w:category>
          <w:name w:val="General"/>
          <w:gallery w:val="placeholder"/>
        </w:category>
        <w:types>
          <w:type w:val="bbPlcHdr"/>
        </w:types>
        <w:behaviors>
          <w:behavior w:val="content"/>
        </w:behaviors>
        <w:guid w:val="{BC34D8AC-B66C-4539-8A4E-8A5A911113F9}"/>
      </w:docPartPr>
      <w:docPartBody>
        <w:p w:rsidR="000E0D40" w:rsidRDefault="00EB03C8">
          <w:pPr>
            <w:pStyle w:val="E4C4B87E627F4C28AC5338EDBD4A5BD5"/>
          </w:pPr>
          <w:r>
            <w:rPr>
              <w:rStyle w:val="PlaceholderText"/>
            </w:rPr>
            <w:t>MNC Text</w:t>
          </w:r>
        </w:p>
      </w:docPartBody>
    </w:docPart>
    <w:docPart>
      <w:docPartPr>
        <w:name w:val="C98023BA3ECC4BE5AC6E078AA684CE6D"/>
        <w:category>
          <w:name w:val="General"/>
          <w:gallery w:val="placeholder"/>
        </w:category>
        <w:types>
          <w:type w:val="bbPlcHdr"/>
        </w:types>
        <w:behaviors>
          <w:behavior w:val="content"/>
        </w:behaviors>
        <w:guid w:val="{87566B79-26B3-44EE-9582-07E87D9D5021}"/>
      </w:docPartPr>
      <w:docPartBody>
        <w:p w:rsidR="000E0D40" w:rsidRDefault="00EB03C8">
          <w:pPr>
            <w:pStyle w:val="C98023BA3ECC4BE5AC6E078AA684CE6D"/>
          </w:pPr>
          <w:r w:rsidRPr="005C44BE">
            <w:rPr>
              <w:rStyle w:val="PlaceholderText"/>
            </w:rPr>
            <w:t>Click or tap here to enter text.</w:t>
          </w:r>
        </w:p>
      </w:docPartBody>
    </w:docPart>
    <w:docPart>
      <w:docPartPr>
        <w:name w:val="5D81906F3DC44DE5AD07B69188133465"/>
        <w:category>
          <w:name w:val="General"/>
          <w:gallery w:val="placeholder"/>
        </w:category>
        <w:types>
          <w:type w:val="bbPlcHdr"/>
        </w:types>
        <w:behaviors>
          <w:behavior w:val="content"/>
        </w:behaviors>
        <w:guid w:val="{99A3A4CB-8BB1-4583-8DF1-C7A2167B2C5E}"/>
      </w:docPartPr>
      <w:docPartBody>
        <w:p w:rsidR="000E0D40" w:rsidRDefault="00EB03C8">
          <w:pPr>
            <w:pStyle w:val="5D81906F3DC44DE5AD07B69188133465"/>
          </w:pPr>
          <w:r w:rsidRPr="005C44BE">
            <w:rPr>
              <w:rStyle w:val="PlaceholderText"/>
            </w:rPr>
            <w:t>Click or tap here to enter text.</w:t>
          </w:r>
        </w:p>
      </w:docPartBody>
    </w:docPart>
    <w:docPart>
      <w:docPartPr>
        <w:name w:val="CED3AB1396824058A8610FB5107C1D21"/>
        <w:category>
          <w:name w:val="General"/>
          <w:gallery w:val="placeholder"/>
        </w:category>
        <w:types>
          <w:type w:val="bbPlcHdr"/>
        </w:types>
        <w:behaviors>
          <w:behavior w:val="content"/>
        </w:behaviors>
        <w:guid w:val="{FE8C790D-A7AF-4F14-ABF6-F2F293AF2298}"/>
      </w:docPartPr>
      <w:docPartBody>
        <w:p w:rsidR="000E0D40" w:rsidRDefault="00EB03C8">
          <w:pPr>
            <w:pStyle w:val="CED3AB1396824058A8610FB5107C1D21"/>
          </w:pPr>
          <w:r w:rsidRPr="005C44BE">
            <w:rPr>
              <w:rStyle w:val="PlaceholderText"/>
            </w:rPr>
            <w:t>Click or tap here to enter text.</w:t>
          </w:r>
        </w:p>
      </w:docPartBody>
    </w:docPart>
    <w:docPart>
      <w:docPartPr>
        <w:name w:val="3E1A61F2930B4763816CB57D9C90E93A"/>
        <w:category>
          <w:name w:val="General"/>
          <w:gallery w:val="placeholder"/>
        </w:category>
        <w:types>
          <w:type w:val="bbPlcHdr"/>
        </w:types>
        <w:behaviors>
          <w:behavior w:val="content"/>
        </w:behaviors>
        <w:guid w:val="{259E6D64-6BA3-48DC-B901-A6B896C2821C}"/>
      </w:docPartPr>
      <w:docPartBody>
        <w:p w:rsidR="000E0D40" w:rsidRDefault="00EB03C8">
          <w:pPr>
            <w:pStyle w:val="3E1A61F2930B4763816CB57D9C90E93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sap">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C8"/>
    <w:rsid w:val="000E0D40"/>
    <w:rsid w:val="001D4699"/>
    <w:rsid w:val="00471BC9"/>
    <w:rsid w:val="00657414"/>
    <w:rsid w:val="007036B0"/>
    <w:rsid w:val="00C533F2"/>
    <w:rsid w:val="00E54906"/>
    <w:rsid w:val="00E64AB1"/>
    <w:rsid w:val="00EA3DA7"/>
    <w:rsid w:val="00EB0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C4B87E627F4C28AC5338EDBD4A5BD5">
    <w:name w:val="E4C4B87E627F4C28AC5338EDBD4A5BD5"/>
  </w:style>
  <w:style w:type="paragraph" w:customStyle="1" w:styleId="C98023BA3ECC4BE5AC6E078AA684CE6D">
    <w:name w:val="C98023BA3ECC4BE5AC6E078AA684CE6D"/>
  </w:style>
  <w:style w:type="paragraph" w:customStyle="1" w:styleId="5D81906F3DC44DE5AD07B69188133465">
    <w:name w:val="5D81906F3DC44DE5AD07B69188133465"/>
  </w:style>
  <w:style w:type="paragraph" w:customStyle="1" w:styleId="CED3AB1396824058A8610FB5107C1D21">
    <w:name w:val="CED3AB1396824058A8610FB5107C1D21"/>
  </w:style>
  <w:style w:type="paragraph" w:customStyle="1" w:styleId="3E1A61F2930B4763816CB57D9C90E93A">
    <w:name w:val="3E1A61F2930B4763816CB57D9C90E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Deputy Commissioner of Taxation v Huang (No 4) [2022] FCA 618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2A5CB799-9103-4003-B9D3-548857E8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21</Pages>
  <Words>7090</Words>
  <Characters>34783</Characters>
  <Application>Microsoft Office Word</Application>
  <DocSecurity>0</DocSecurity>
  <Lines>790</Lines>
  <Paragraphs>310</Paragraphs>
  <ScaleCrop>false</ScaleCrop>
  <HeadingPairs>
    <vt:vector size="2" baseType="variant">
      <vt:variant>
        <vt:lpstr>Title</vt:lpstr>
      </vt:variant>
      <vt:variant>
        <vt:i4>1</vt:i4>
      </vt:variant>
    </vt:vector>
  </HeadingPairs>
  <TitlesOfParts>
    <vt:vector size="1" baseType="lpstr">
      <vt:lpstr>Deputy Commissioner of Taxation v Huang (No 4) [2022] FCA 618  </vt:lpstr>
    </vt:vector>
  </TitlesOfParts>
  <Company>Federal Court of Australia</Company>
  <LinksUpToDate>false</LinksUpToDate>
  <CharactersWithSpaces>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Commissioner of Taxation v Huang (No 4) [2022] FCA 618</dc:title>
  <dc:creator>Justice Jagot (FCA)</dc:creator>
  <dc:description>v1.3</dc:description>
  <cp:lastModifiedBy>Federal Court of Australia</cp:lastModifiedBy>
  <cp:revision>3</cp:revision>
  <cp:lastPrinted>2006-02-06T01:31:00Z</cp:lastPrinted>
  <dcterms:created xsi:type="dcterms:W3CDTF">2022-05-29T23:15:00Z</dcterms:created>
  <dcterms:modified xsi:type="dcterms:W3CDTF">2022-05-29T23:18:00Z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19</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Taxation</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