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FD7D7C" w:rsidP="00A22932">
      <w:pPr>
        <w:pStyle w:val="CourtTitle"/>
      </w:pPr>
      <w:r>
        <w:fldChar w:fldCharType="begin"/>
      </w:r>
      <w:r>
        <w:instrText xml:space="preserve"> DOCPROPERTY  Court  \* MERGEFORMAT </w:instrText>
      </w:r>
      <w:r>
        <w:fldChar w:fldCharType="separate"/>
      </w:r>
      <w:r w:rsidR="008144AC">
        <w:t>Federal Court of Australia</w:t>
      </w:r>
      <w:r>
        <w:fldChar w:fldCharType="end"/>
      </w:r>
    </w:p>
    <w:p w:rsidR="00395B24" w:rsidRDefault="00395B24">
      <w:pPr>
        <w:pStyle w:val="NormalHeadings"/>
        <w:jc w:val="center"/>
        <w:rPr>
          <w:sz w:val="32"/>
        </w:rPr>
      </w:pPr>
    </w:p>
    <w:bookmarkStart w:id="0" w:name="MNC"/>
    <w:p w:rsidR="00374CC4" w:rsidRDefault="00FD7D7C" w:rsidP="001A2B40">
      <w:pPr>
        <w:pStyle w:val="MNC"/>
      </w:pPr>
      <w:sdt>
        <w:sdtPr>
          <w:alias w:val="MNC"/>
          <w:tag w:val="MNC"/>
          <w:id w:val="343289786"/>
          <w:lock w:val="sdtLocked"/>
          <w:placeholder>
            <w:docPart w:val="F55268DE68E946948ABC1465EB2577E2"/>
          </w:placeholder>
          <w:dataBinding w:prefixMappings="xmlns:ns0='http://schemas.globalmacros.com/FCA'" w:xpath="/ns0:root[1]/ns0:Name[1]" w:storeItemID="{687E7CCB-4AA5-44E7-B148-17BA2B6F57C0}"/>
          <w:text w:multiLine="1"/>
        </w:sdtPr>
        <w:sdtEndPr/>
        <w:sdtContent>
          <w:r w:rsidR="00BE4669">
            <w:t xml:space="preserve">Roberts-Smith v Fairfax Media Publications Pty Limited (No 31) [2022] FCA 271 </w:t>
          </w:r>
        </w:sdtContent>
      </w:sdt>
      <w:bookmarkEnd w:id="0"/>
      <w:r w:rsidR="005C185C">
        <w:t xml:space="preserve"> </w:t>
      </w:r>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rsidTr="009C0BCD">
        <w:tc>
          <w:tcPr>
            <w:tcW w:w="3084" w:type="dxa"/>
            <w:shd w:val="clear" w:color="auto" w:fill="auto"/>
          </w:tcPr>
          <w:p w:rsidR="00395B24" w:rsidRDefault="002C7385" w:rsidP="009071C5">
            <w:pPr>
              <w:pStyle w:val="Normal1linespace"/>
              <w:widowControl w:val="0"/>
              <w:jc w:val="left"/>
            </w:pPr>
            <w:r>
              <w:t>File numbers:</w:t>
            </w:r>
          </w:p>
        </w:tc>
        <w:tc>
          <w:tcPr>
            <w:tcW w:w="5989" w:type="dxa"/>
            <w:shd w:val="clear" w:color="auto" w:fill="auto"/>
          </w:tcPr>
          <w:p w:rsidR="00567338" w:rsidRPr="00567338" w:rsidRDefault="00E326A8" w:rsidP="00567338">
            <w:pPr>
              <w:pStyle w:val="Normal1linespace"/>
              <w:jc w:val="left"/>
            </w:pPr>
            <w:r w:rsidRPr="00567338">
              <w:fldChar w:fldCharType="begin" w:fldLock="1"/>
            </w:r>
            <w:r w:rsidRPr="00567338">
              <w:instrText xml:space="preserve"> REF  FileNo  \* MERGEFORMAT </w:instrText>
            </w:r>
            <w:r w:rsidRPr="00567338">
              <w:fldChar w:fldCharType="separate"/>
            </w:r>
            <w:r w:rsidR="00567338" w:rsidRPr="00567338">
              <w:t>NSD 1485 of 2018</w:t>
            </w:r>
          </w:p>
          <w:p w:rsidR="00567338" w:rsidRPr="00567338" w:rsidRDefault="00567338" w:rsidP="00567338">
            <w:pPr>
              <w:pStyle w:val="Normal1linespace"/>
              <w:jc w:val="left"/>
            </w:pPr>
            <w:r w:rsidRPr="00567338">
              <w:t>NSD 1486 of 2018</w:t>
            </w:r>
          </w:p>
          <w:p w:rsidR="00395B24" w:rsidRPr="001B1053" w:rsidRDefault="00567338" w:rsidP="00567338">
            <w:pPr>
              <w:pStyle w:val="Normal1linespace"/>
              <w:jc w:val="left"/>
            </w:pPr>
            <w:r w:rsidRPr="00567338">
              <w:t>NSD 1487 of 2018</w:t>
            </w:r>
            <w:r w:rsidR="00E326A8" w:rsidRPr="00567338">
              <w:fldChar w:fldCharType="end"/>
            </w:r>
          </w:p>
        </w:tc>
      </w:tr>
      <w:tr w:rsidR="00395B24" w:rsidTr="009C0BCD">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C0BCD">
        <w:tc>
          <w:tcPr>
            <w:tcW w:w="3084" w:type="dxa"/>
            <w:shd w:val="clear" w:color="auto" w:fill="auto"/>
          </w:tcPr>
          <w:p w:rsidR="00395B24" w:rsidRDefault="002C7385" w:rsidP="00663878">
            <w:pPr>
              <w:pStyle w:val="Normal1linespace"/>
              <w:widowControl w:val="0"/>
              <w:jc w:val="left"/>
            </w:pPr>
            <w:r>
              <w:t>Judg</w:t>
            </w:r>
            <w:r w:rsidR="005724F6">
              <w:t>ment of</w:t>
            </w:r>
            <w:r>
              <w:t>:</w:t>
            </w:r>
          </w:p>
        </w:tc>
        <w:tc>
          <w:tcPr>
            <w:tcW w:w="5989" w:type="dxa"/>
            <w:shd w:val="clear" w:color="auto" w:fill="auto"/>
          </w:tcPr>
          <w:p w:rsidR="00395B24" w:rsidRDefault="002C7385" w:rsidP="00663878">
            <w:pPr>
              <w:pStyle w:val="Normal1linespace"/>
              <w:widowControl w:val="0"/>
              <w:jc w:val="left"/>
              <w:rPr>
                <w:b/>
              </w:rPr>
            </w:pPr>
            <w:r w:rsidRPr="00567338">
              <w:rPr>
                <w:b/>
              </w:rPr>
              <w:fldChar w:fldCharType="begin" w:fldLock="1"/>
            </w:r>
            <w:r w:rsidRPr="00567338">
              <w:rPr>
                <w:b/>
              </w:rPr>
              <w:instrText xml:space="preserve"> REF  Judge  \* MERGEFORMAT </w:instrText>
            </w:r>
            <w:r w:rsidRPr="00567338">
              <w:rPr>
                <w:b/>
              </w:rPr>
              <w:fldChar w:fldCharType="separate"/>
            </w:r>
            <w:r w:rsidR="00567338" w:rsidRPr="00567338">
              <w:rPr>
                <w:b/>
                <w:caps/>
                <w:szCs w:val="24"/>
              </w:rPr>
              <w:t>ABRAHAM J</w:t>
            </w:r>
            <w:r w:rsidRPr="00567338">
              <w:rPr>
                <w:b/>
              </w:rPr>
              <w:fldChar w:fldCharType="end"/>
            </w:r>
          </w:p>
        </w:tc>
      </w:tr>
      <w:tr w:rsidR="00395B24" w:rsidTr="009C0BCD">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C0BCD">
        <w:tc>
          <w:tcPr>
            <w:tcW w:w="3084"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DD58ED" w:rsidP="00DD58ED">
            <w:pPr>
              <w:pStyle w:val="Normal1linespace"/>
              <w:widowControl w:val="0"/>
              <w:jc w:val="left"/>
            </w:pPr>
            <w:r>
              <w:t xml:space="preserve">24 March </w:t>
            </w:r>
            <w:r w:rsidR="008B5C1A">
              <w:t>202</w:t>
            </w:r>
            <w:r w:rsidR="00006CCB">
              <w:t>2</w:t>
            </w:r>
          </w:p>
        </w:tc>
      </w:tr>
      <w:tr w:rsidR="00DD58ED" w:rsidTr="009C0BCD">
        <w:tc>
          <w:tcPr>
            <w:tcW w:w="3084" w:type="dxa"/>
            <w:shd w:val="clear" w:color="auto" w:fill="auto"/>
          </w:tcPr>
          <w:p w:rsidR="00DD58ED" w:rsidRDefault="00DD58ED" w:rsidP="00663878">
            <w:pPr>
              <w:pStyle w:val="Normal1linespace"/>
              <w:widowControl w:val="0"/>
              <w:jc w:val="left"/>
            </w:pPr>
          </w:p>
        </w:tc>
        <w:tc>
          <w:tcPr>
            <w:tcW w:w="5989" w:type="dxa"/>
            <w:shd w:val="clear" w:color="auto" w:fill="auto"/>
          </w:tcPr>
          <w:p w:rsidR="00DD58ED" w:rsidRDefault="00DD58ED" w:rsidP="00DD58ED">
            <w:pPr>
              <w:pStyle w:val="Normal1linespace"/>
              <w:widowControl w:val="0"/>
              <w:jc w:val="left"/>
            </w:pPr>
          </w:p>
        </w:tc>
      </w:tr>
      <w:tr w:rsidR="00DD58ED" w:rsidTr="009C0BCD">
        <w:tc>
          <w:tcPr>
            <w:tcW w:w="3084" w:type="dxa"/>
            <w:shd w:val="clear" w:color="auto" w:fill="auto"/>
          </w:tcPr>
          <w:p w:rsidR="00DD58ED" w:rsidRDefault="00DD58ED" w:rsidP="00663878">
            <w:pPr>
              <w:pStyle w:val="Normal1linespace"/>
              <w:widowControl w:val="0"/>
              <w:jc w:val="left"/>
            </w:pPr>
            <w:r>
              <w:t>Date of publication of reasons:</w:t>
            </w:r>
          </w:p>
        </w:tc>
        <w:tc>
          <w:tcPr>
            <w:tcW w:w="5989" w:type="dxa"/>
            <w:shd w:val="clear" w:color="auto" w:fill="auto"/>
          </w:tcPr>
          <w:p w:rsidR="00DD58ED" w:rsidRDefault="00DD58ED" w:rsidP="00DD58ED">
            <w:pPr>
              <w:pStyle w:val="Normal1linespace"/>
              <w:widowControl w:val="0"/>
              <w:jc w:val="left"/>
            </w:pPr>
            <w:r>
              <w:t>1 April 2022</w:t>
            </w:r>
          </w:p>
        </w:tc>
      </w:tr>
      <w:tr w:rsidR="00395B24" w:rsidTr="009C0BCD">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C0BCD">
        <w:tc>
          <w:tcPr>
            <w:tcW w:w="3084"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E950E4" w:rsidP="00F0666E">
            <w:pPr>
              <w:pStyle w:val="Normal1linespace"/>
              <w:widowControl w:val="0"/>
              <w:jc w:val="left"/>
            </w:pPr>
            <w:r>
              <w:rPr>
                <w:b/>
              </w:rPr>
              <w:t>PRACTICE AND PROCEDURE</w:t>
            </w:r>
            <w:r>
              <w:t xml:space="preserve"> – </w:t>
            </w:r>
            <w:r w:rsidR="00F0666E">
              <w:t xml:space="preserve">subpoena issued to the </w:t>
            </w:r>
            <w:r w:rsidR="00F0666E" w:rsidRPr="000468E3">
              <w:t>Inspector</w:t>
            </w:r>
            <w:r w:rsidR="00F0666E">
              <w:noBreakHyphen/>
            </w:r>
            <w:r w:rsidR="00F0666E" w:rsidRPr="000468E3">
              <w:t xml:space="preserve">General of </w:t>
            </w:r>
            <w:r w:rsidR="00101A9C">
              <w:t xml:space="preserve">the </w:t>
            </w:r>
            <w:r w:rsidR="00F0666E" w:rsidRPr="000468E3">
              <w:t xml:space="preserve">Australian Defence Force </w:t>
            </w:r>
            <w:r w:rsidR="00F0666E">
              <w:t>(IGADF) by the applicant –</w:t>
            </w:r>
            <w:r w:rsidR="00604ABF">
              <w:t xml:space="preserve"> </w:t>
            </w:r>
            <w:r w:rsidR="00F0666E">
              <w:t xml:space="preserve">claim </w:t>
            </w:r>
            <w:r w:rsidRPr="000468E3">
              <w:t xml:space="preserve">by </w:t>
            </w:r>
            <w:r>
              <w:t>the IGADF of</w:t>
            </w:r>
            <w:r w:rsidRPr="000468E3">
              <w:t xml:space="preserve"> public interest immunity over </w:t>
            </w:r>
            <w:r>
              <w:t xml:space="preserve">documents, if they exist, which </w:t>
            </w:r>
            <w:r w:rsidRPr="004B19B4">
              <w:t xml:space="preserve">relate to </w:t>
            </w:r>
            <w:r w:rsidR="00006CCB">
              <w:t xml:space="preserve">Person 24 – </w:t>
            </w:r>
            <w:r w:rsidR="00CA70E9">
              <w:t xml:space="preserve">where public interest immunity had been previously upheld in respect to the documents sought by subpoena – where there has been a material change in circumstances – claim of public interest immunity not established  </w:t>
            </w:r>
          </w:p>
        </w:tc>
      </w:tr>
      <w:tr w:rsidR="00395B24" w:rsidTr="009C0BCD">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C0BCD">
        <w:tc>
          <w:tcPr>
            <w:tcW w:w="3084"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E12B9C" w:rsidRPr="00E2083B" w:rsidRDefault="002A10AB" w:rsidP="00E12B9C">
            <w:pPr>
              <w:pStyle w:val="CasesLegislationAppealFrom"/>
              <w:spacing w:after="60"/>
            </w:pPr>
            <w:r w:rsidRPr="00E2083B">
              <w:rPr>
                <w:i/>
              </w:rPr>
              <w:t xml:space="preserve">National Security Information (Criminal and Civil Proceedings) Act 2004 </w:t>
            </w:r>
            <w:r w:rsidRPr="00E2083B">
              <w:t>(</w:t>
            </w:r>
            <w:proofErr w:type="spellStart"/>
            <w:r w:rsidRPr="00E2083B">
              <w:t>Cth</w:t>
            </w:r>
            <w:proofErr w:type="spellEnd"/>
            <w:r w:rsidRPr="00E2083B">
              <w:t>)</w:t>
            </w:r>
            <w:r w:rsidR="0044470C">
              <w:t xml:space="preserve"> s 38B</w:t>
            </w:r>
          </w:p>
        </w:tc>
      </w:tr>
      <w:tr w:rsidR="00395B24" w:rsidTr="009C0BCD">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Pr="00E2083B" w:rsidRDefault="00395B24" w:rsidP="00663878">
            <w:pPr>
              <w:pStyle w:val="Normal1linespace"/>
              <w:widowControl w:val="0"/>
              <w:jc w:val="left"/>
            </w:pPr>
          </w:p>
        </w:tc>
      </w:tr>
      <w:tr w:rsidR="00395B24" w:rsidTr="009C0BCD">
        <w:tc>
          <w:tcPr>
            <w:tcW w:w="3084"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E2083B" w:rsidRPr="00E2083B" w:rsidRDefault="00E2083B" w:rsidP="008E6D54">
            <w:pPr>
              <w:pStyle w:val="CasesLegislationAppealFrom"/>
              <w:spacing w:after="60"/>
            </w:pPr>
            <w:proofErr w:type="spellStart"/>
            <w:r w:rsidRPr="00E2083B">
              <w:rPr>
                <w:i/>
              </w:rPr>
              <w:t>Alister</w:t>
            </w:r>
            <w:proofErr w:type="spellEnd"/>
            <w:r w:rsidRPr="00E2083B">
              <w:rPr>
                <w:i/>
              </w:rPr>
              <w:t xml:space="preserve"> v The Queen </w:t>
            </w:r>
            <w:r w:rsidRPr="00E2083B">
              <w:t>[1984] HCA 85; (1984) 154 CLR 404</w:t>
            </w:r>
          </w:p>
          <w:p w:rsidR="00E2083B" w:rsidRPr="00E2083B" w:rsidRDefault="00E2083B" w:rsidP="008E6D54">
            <w:pPr>
              <w:pStyle w:val="CasesLegislationAppealFrom"/>
              <w:spacing w:after="60"/>
            </w:pPr>
            <w:proofErr w:type="spellStart"/>
            <w:r w:rsidRPr="00E2083B">
              <w:rPr>
                <w:i/>
              </w:rPr>
              <w:t>Brimaud</w:t>
            </w:r>
            <w:proofErr w:type="spellEnd"/>
            <w:r w:rsidRPr="00E2083B">
              <w:rPr>
                <w:i/>
              </w:rPr>
              <w:t xml:space="preserve"> v </w:t>
            </w:r>
            <w:proofErr w:type="spellStart"/>
            <w:r w:rsidRPr="00E2083B">
              <w:rPr>
                <w:i/>
              </w:rPr>
              <w:t>Honeysett</w:t>
            </w:r>
            <w:proofErr w:type="spellEnd"/>
            <w:r w:rsidRPr="00E2083B">
              <w:rPr>
                <w:i/>
              </w:rPr>
              <w:t xml:space="preserve"> Instant Print Pty Ltd </w:t>
            </w:r>
            <w:r w:rsidRPr="00E2083B">
              <w:t>(1988) 217 ALR 44</w:t>
            </w:r>
          </w:p>
          <w:p w:rsidR="00E2083B" w:rsidRPr="00E2083B" w:rsidRDefault="00E2083B" w:rsidP="008E6D54">
            <w:pPr>
              <w:pStyle w:val="CasesLegislationAppealFrom"/>
              <w:spacing w:after="60"/>
              <w:rPr>
                <w:i/>
              </w:rPr>
            </w:pPr>
            <w:r w:rsidRPr="00E2083B">
              <w:rPr>
                <w:i/>
              </w:rPr>
              <w:t xml:space="preserve">Browne v Dunn </w:t>
            </w:r>
            <w:r w:rsidRPr="00E2083B">
              <w:t>(1893) 6 R. 67 (H.L)</w:t>
            </w:r>
          </w:p>
          <w:p w:rsidR="00E2083B" w:rsidRPr="00E2083B" w:rsidRDefault="00E2083B" w:rsidP="00303830">
            <w:pPr>
              <w:pStyle w:val="CasesLegislationAppealFrom"/>
              <w:spacing w:after="60"/>
            </w:pPr>
            <w:proofErr w:type="spellStart"/>
            <w:r w:rsidRPr="00E2083B">
              <w:rPr>
                <w:i/>
              </w:rPr>
              <w:t>Cantarella</w:t>
            </w:r>
            <w:proofErr w:type="spellEnd"/>
            <w:r w:rsidRPr="00E2083B">
              <w:rPr>
                <w:i/>
              </w:rPr>
              <w:t xml:space="preserve"> Bros Pty Ltd v Lavazza Australia Pty Ltd (No 2)</w:t>
            </w:r>
            <w:r w:rsidRPr="00E2083B">
              <w:t xml:space="preserve"> [2021] FCA 894 </w:t>
            </w:r>
          </w:p>
          <w:p w:rsidR="00E2083B" w:rsidRPr="00E2083B" w:rsidRDefault="00E2083B" w:rsidP="00682A7F">
            <w:pPr>
              <w:pStyle w:val="CasesLegislationAppealFrom"/>
              <w:spacing w:after="60"/>
            </w:pPr>
            <w:r w:rsidRPr="00E2083B">
              <w:rPr>
                <w:i/>
              </w:rPr>
              <w:t xml:space="preserve">Church of Scientology </w:t>
            </w:r>
            <w:proofErr w:type="spellStart"/>
            <w:r w:rsidRPr="00E2083B">
              <w:rPr>
                <w:i/>
              </w:rPr>
              <w:t>Inc</w:t>
            </w:r>
            <w:proofErr w:type="spellEnd"/>
            <w:r w:rsidRPr="00E2083B">
              <w:rPr>
                <w:i/>
              </w:rPr>
              <w:t xml:space="preserve"> v Woodward </w:t>
            </w:r>
            <w:r w:rsidRPr="00E2083B">
              <w:t xml:space="preserve">(1982) 154 CLR 25 </w:t>
            </w:r>
            <w:r w:rsidRPr="00E2083B">
              <w:rPr>
                <w:i/>
              </w:rPr>
              <w:t xml:space="preserve">Gypsy Jokers Motorcycle Club </w:t>
            </w:r>
            <w:proofErr w:type="spellStart"/>
            <w:r w:rsidRPr="00E2083B">
              <w:rPr>
                <w:i/>
              </w:rPr>
              <w:t>Inc</w:t>
            </w:r>
            <w:proofErr w:type="spellEnd"/>
            <w:r w:rsidRPr="00E2083B">
              <w:rPr>
                <w:i/>
              </w:rPr>
              <w:t xml:space="preserve"> v Commissioner of Police </w:t>
            </w:r>
            <w:r w:rsidRPr="00E2083B">
              <w:t>[2008] HCA 4; (2008) 234 CLR 532</w:t>
            </w:r>
          </w:p>
          <w:p w:rsidR="00E2083B" w:rsidRPr="00E2083B" w:rsidRDefault="00E2083B" w:rsidP="00682A7F">
            <w:pPr>
              <w:pStyle w:val="CasesLegislationAppealFrom"/>
              <w:spacing w:after="60"/>
            </w:pPr>
            <w:r w:rsidRPr="00E2083B">
              <w:rPr>
                <w:i/>
              </w:rPr>
              <w:t xml:space="preserve">Condon v Pompano </w:t>
            </w:r>
            <w:r w:rsidRPr="00E2083B">
              <w:t xml:space="preserve">[2013] HCA 7; (2013) 252 CLR 38 </w:t>
            </w:r>
          </w:p>
          <w:p w:rsidR="00E2083B" w:rsidRDefault="00E2083B" w:rsidP="00682A7F">
            <w:pPr>
              <w:pStyle w:val="CasesLegislationAppealFrom"/>
              <w:spacing w:after="60"/>
              <w:rPr>
                <w:i/>
              </w:rPr>
            </w:pPr>
            <w:r w:rsidRPr="00E2083B">
              <w:rPr>
                <w:i/>
              </w:rPr>
              <w:t>Haydon</w:t>
            </w:r>
            <w:r w:rsidRPr="00E2083B">
              <w:t xml:space="preserve"> </w:t>
            </w:r>
            <w:r w:rsidRPr="00E2083B">
              <w:rPr>
                <w:i/>
              </w:rPr>
              <w:t xml:space="preserve">v Magistrates Court (SA) </w:t>
            </w:r>
            <w:r w:rsidRPr="00E2083B">
              <w:t>[2001] SASC 65; (2001) 87 SASR 448</w:t>
            </w:r>
          </w:p>
          <w:p w:rsidR="00E2083B" w:rsidRPr="00E2083B" w:rsidRDefault="00E2083B" w:rsidP="00682A7F">
            <w:pPr>
              <w:pStyle w:val="CasesLegislationAppealFrom"/>
              <w:spacing w:after="60"/>
            </w:pPr>
            <w:r w:rsidRPr="00E2083B">
              <w:rPr>
                <w:i/>
              </w:rPr>
              <w:t xml:space="preserve">HT v The Queen </w:t>
            </w:r>
            <w:r w:rsidRPr="00E2083B">
              <w:t>[2019] HCA 40; (2019) 269 CLR 403</w:t>
            </w:r>
          </w:p>
          <w:p w:rsidR="00E2083B" w:rsidRPr="00E2083B" w:rsidRDefault="00E2083B" w:rsidP="00303830">
            <w:pPr>
              <w:pStyle w:val="CasesLegislationAppealFrom"/>
              <w:spacing w:after="60"/>
            </w:pPr>
            <w:proofErr w:type="spellStart"/>
            <w:r w:rsidRPr="00E2083B">
              <w:rPr>
                <w:i/>
              </w:rPr>
              <w:t>Pivotel</w:t>
            </w:r>
            <w:proofErr w:type="spellEnd"/>
            <w:r w:rsidRPr="00E2083B">
              <w:rPr>
                <w:i/>
              </w:rPr>
              <w:t xml:space="preserve"> Satellite Pty Ltd v Optus Mobile Pty Ltd </w:t>
            </w:r>
            <w:r w:rsidRPr="00E2083B">
              <w:t>[2010] FCA 121</w:t>
            </w:r>
          </w:p>
          <w:p w:rsidR="008E53B8" w:rsidRPr="00E2083B" w:rsidRDefault="008E53B8" w:rsidP="008E53B8">
            <w:pPr>
              <w:pStyle w:val="CasesLegislationAppealFrom"/>
              <w:spacing w:after="60"/>
            </w:pPr>
            <w:r w:rsidRPr="00E2083B">
              <w:rPr>
                <w:i/>
              </w:rPr>
              <w:t>Roberts-Smith v Fairfax Media Publications Pty Limited (No 6)</w:t>
            </w:r>
            <w:r w:rsidRPr="00E2083B">
              <w:t xml:space="preserve"> [2020] FCA 1285</w:t>
            </w:r>
          </w:p>
          <w:p w:rsidR="008E53B8" w:rsidRDefault="008E53B8" w:rsidP="008E53B8">
            <w:pPr>
              <w:pStyle w:val="CasesLegislationAppealFrom"/>
              <w:spacing w:after="60"/>
              <w:rPr>
                <w:i/>
              </w:rPr>
            </w:pPr>
            <w:r w:rsidRPr="00E2083B">
              <w:rPr>
                <w:i/>
              </w:rPr>
              <w:lastRenderedPageBreak/>
              <w:t xml:space="preserve">Roberts-Smith v Fairfax Media Publications Pty Limited (No 8) </w:t>
            </w:r>
            <w:r w:rsidRPr="00E2083B">
              <w:t>[2020] FCA 1630</w:t>
            </w:r>
          </w:p>
          <w:p w:rsidR="00E2083B" w:rsidRPr="00E2083B" w:rsidRDefault="00E2083B" w:rsidP="008E6D54">
            <w:pPr>
              <w:pStyle w:val="CasesLegislationAppealFrom"/>
              <w:spacing w:after="60"/>
            </w:pPr>
            <w:r w:rsidRPr="00E2083B">
              <w:rPr>
                <w:i/>
              </w:rPr>
              <w:t xml:space="preserve">Roberts-Smith v Fairfax Media Publications Pty Limited (No 12) </w:t>
            </w:r>
            <w:r w:rsidRPr="00E2083B">
              <w:t>[2021] FCA 465</w:t>
            </w:r>
          </w:p>
          <w:p w:rsidR="00E2083B" w:rsidRPr="00E2083B" w:rsidRDefault="00E2083B" w:rsidP="008E6D54">
            <w:pPr>
              <w:pStyle w:val="CasesLegislationAppealFrom"/>
              <w:spacing w:after="60"/>
              <w:rPr>
                <w:szCs w:val="24"/>
              </w:rPr>
            </w:pPr>
            <w:r w:rsidRPr="00E2083B">
              <w:rPr>
                <w:i/>
                <w:szCs w:val="24"/>
              </w:rPr>
              <w:t>Roberts-Smith v Fairfax Media Publications Pty Limited (No 14)</w:t>
            </w:r>
            <w:r w:rsidRPr="00E2083B">
              <w:rPr>
                <w:szCs w:val="24"/>
              </w:rPr>
              <w:t xml:space="preserve"> [2021] FCA 552</w:t>
            </w:r>
          </w:p>
          <w:p w:rsidR="00E2083B" w:rsidRPr="00E2083B" w:rsidRDefault="00E2083B" w:rsidP="008E6D54">
            <w:pPr>
              <w:pStyle w:val="CasesLegislationAppealFrom"/>
              <w:spacing w:after="60"/>
              <w:rPr>
                <w:szCs w:val="24"/>
              </w:rPr>
            </w:pPr>
            <w:r w:rsidRPr="00E2083B">
              <w:rPr>
                <w:i/>
                <w:szCs w:val="24"/>
              </w:rPr>
              <w:t>Roberts-Smith v Fairfax Media Publications Pty Limited (No 15)</w:t>
            </w:r>
            <w:r w:rsidRPr="00E2083B">
              <w:rPr>
                <w:szCs w:val="24"/>
              </w:rPr>
              <w:t xml:space="preserve"> [2021] FCA 582</w:t>
            </w:r>
          </w:p>
          <w:p w:rsidR="00E2083B" w:rsidRPr="00E2083B" w:rsidRDefault="00E2083B" w:rsidP="00303830">
            <w:pPr>
              <w:pStyle w:val="CasesLegislationAppealFrom"/>
              <w:spacing w:after="60"/>
            </w:pPr>
            <w:r w:rsidRPr="00E2083B">
              <w:rPr>
                <w:i/>
              </w:rPr>
              <w:t xml:space="preserve">Roberts-Smith v Fairfax Media Publications Pty Limited (No 24) </w:t>
            </w:r>
            <w:r w:rsidRPr="00E2083B">
              <w:t>[2021] FCA</w:t>
            </w:r>
            <w:r w:rsidRPr="00E2083B">
              <w:rPr>
                <w:spacing w:val="-6"/>
              </w:rPr>
              <w:t xml:space="preserve"> </w:t>
            </w:r>
            <w:r w:rsidRPr="00E2083B">
              <w:t>1461</w:t>
            </w:r>
          </w:p>
          <w:p w:rsidR="00682A7F" w:rsidRPr="00E2083B" w:rsidRDefault="00E2083B" w:rsidP="00E2083B">
            <w:pPr>
              <w:pStyle w:val="CasesLegislationAppealFrom"/>
              <w:spacing w:after="60"/>
            </w:pPr>
            <w:r w:rsidRPr="00E2083B">
              <w:rPr>
                <w:i/>
              </w:rPr>
              <w:t>Sankey v Whitlam</w:t>
            </w:r>
            <w:r w:rsidRPr="00E2083B">
              <w:t xml:space="preserve"> [1978] HCA 43; (1978) 142 CLR 1</w:t>
            </w:r>
            <w:r w:rsidRPr="00E2083B">
              <w:rPr>
                <w:i/>
              </w:rPr>
              <w:t xml:space="preserve"> </w:t>
            </w:r>
          </w:p>
        </w:tc>
      </w:tr>
      <w:tr w:rsidR="00567338" w:rsidTr="009C0BCD">
        <w:tc>
          <w:tcPr>
            <w:tcW w:w="3084" w:type="dxa"/>
            <w:shd w:val="clear" w:color="auto" w:fill="auto"/>
          </w:tcPr>
          <w:p w:rsidR="00567338" w:rsidRDefault="00567338" w:rsidP="0048119E">
            <w:pPr>
              <w:pStyle w:val="Normal1linespace"/>
              <w:widowControl w:val="0"/>
            </w:pPr>
          </w:p>
        </w:tc>
        <w:tc>
          <w:tcPr>
            <w:tcW w:w="5989" w:type="dxa"/>
            <w:shd w:val="clear" w:color="auto" w:fill="auto"/>
          </w:tcPr>
          <w:p w:rsidR="00567338" w:rsidRDefault="00567338" w:rsidP="0048119E">
            <w:pPr>
              <w:pStyle w:val="Normal1linespace"/>
              <w:widowControl w:val="0"/>
              <w:jc w:val="left"/>
            </w:pPr>
          </w:p>
        </w:tc>
      </w:tr>
      <w:tr w:rsidR="00567338" w:rsidTr="009C0BCD">
        <w:tc>
          <w:tcPr>
            <w:tcW w:w="3084" w:type="dxa"/>
            <w:shd w:val="clear" w:color="auto" w:fill="auto"/>
          </w:tcPr>
          <w:p w:rsidR="00567338" w:rsidRDefault="00567338" w:rsidP="00501A12">
            <w:pPr>
              <w:pStyle w:val="Normal1linespace"/>
              <w:widowControl w:val="0"/>
            </w:pPr>
            <w:r>
              <w:t>Division:</w:t>
            </w:r>
          </w:p>
        </w:tc>
        <w:tc>
          <w:tcPr>
            <w:tcW w:w="5989" w:type="dxa"/>
            <w:shd w:val="clear" w:color="auto" w:fill="auto"/>
          </w:tcPr>
          <w:p w:rsidR="00567338" w:rsidRPr="00F17599" w:rsidRDefault="00FD7D7C" w:rsidP="00501A12">
            <w:pPr>
              <w:pStyle w:val="Normal1linespace"/>
              <w:widowControl w:val="0"/>
              <w:jc w:val="left"/>
            </w:pPr>
            <w:r>
              <w:fldChar w:fldCharType="begin"/>
            </w:r>
            <w:r>
              <w:instrText xml:space="preserve"> DOCPROPERTY  Division </w:instrText>
            </w:r>
            <w:r>
              <w:fldChar w:fldCharType="separate"/>
            </w:r>
            <w:r w:rsidR="008144AC">
              <w:t>General Division</w:t>
            </w:r>
            <w:r>
              <w:fldChar w:fldCharType="end"/>
            </w:r>
          </w:p>
        </w:tc>
      </w:tr>
      <w:tr w:rsidR="00567338" w:rsidTr="009C0BCD">
        <w:tc>
          <w:tcPr>
            <w:tcW w:w="3084" w:type="dxa"/>
            <w:shd w:val="clear" w:color="auto" w:fill="auto"/>
          </w:tcPr>
          <w:p w:rsidR="00567338" w:rsidRDefault="00567338" w:rsidP="00501A12">
            <w:pPr>
              <w:pStyle w:val="Normal1linespace"/>
              <w:widowControl w:val="0"/>
            </w:pPr>
            <w:bookmarkStart w:id="1" w:name="Registry_rows" w:colFirst="0" w:colLast="1"/>
          </w:p>
        </w:tc>
        <w:tc>
          <w:tcPr>
            <w:tcW w:w="5989" w:type="dxa"/>
            <w:shd w:val="clear" w:color="auto" w:fill="auto"/>
          </w:tcPr>
          <w:p w:rsidR="00567338" w:rsidRDefault="00567338" w:rsidP="00501A12">
            <w:pPr>
              <w:pStyle w:val="Normal1linespace"/>
              <w:widowControl w:val="0"/>
              <w:jc w:val="left"/>
            </w:pPr>
          </w:p>
        </w:tc>
      </w:tr>
      <w:tr w:rsidR="00567338" w:rsidTr="009C0BCD">
        <w:tc>
          <w:tcPr>
            <w:tcW w:w="3084" w:type="dxa"/>
            <w:shd w:val="clear" w:color="auto" w:fill="auto"/>
          </w:tcPr>
          <w:p w:rsidR="00567338" w:rsidRDefault="00567338" w:rsidP="00501A12">
            <w:pPr>
              <w:pStyle w:val="Normal1linespace"/>
              <w:widowControl w:val="0"/>
            </w:pPr>
            <w:r>
              <w:t>Registry:</w:t>
            </w:r>
          </w:p>
        </w:tc>
        <w:tc>
          <w:tcPr>
            <w:tcW w:w="5989" w:type="dxa"/>
            <w:shd w:val="clear" w:color="auto" w:fill="auto"/>
          </w:tcPr>
          <w:p w:rsidR="00567338" w:rsidRPr="00F17599" w:rsidRDefault="00FD7D7C" w:rsidP="00501A12">
            <w:pPr>
              <w:pStyle w:val="Normal1linespace"/>
              <w:widowControl w:val="0"/>
              <w:jc w:val="left"/>
            </w:pPr>
            <w:r>
              <w:fldChar w:fldCharType="begin"/>
            </w:r>
            <w:r>
              <w:instrText xml:space="preserve"> DOCPROPERTY  Registry </w:instrText>
            </w:r>
            <w:r>
              <w:fldChar w:fldCharType="separate"/>
            </w:r>
            <w:r w:rsidR="008144AC">
              <w:t>New South Wales</w:t>
            </w:r>
            <w:r>
              <w:fldChar w:fldCharType="end"/>
            </w:r>
          </w:p>
        </w:tc>
      </w:tr>
      <w:tr w:rsidR="00567338" w:rsidTr="009C0BCD">
        <w:tc>
          <w:tcPr>
            <w:tcW w:w="3084" w:type="dxa"/>
            <w:shd w:val="clear" w:color="auto" w:fill="auto"/>
          </w:tcPr>
          <w:p w:rsidR="00567338" w:rsidRDefault="00567338" w:rsidP="00501A12">
            <w:pPr>
              <w:pStyle w:val="Normal1linespace"/>
              <w:widowControl w:val="0"/>
            </w:pPr>
            <w:bookmarkStart w:id="2" w:name="NPARow" w:colFirst="0" w:colLast="1"/>
            <w:bookmarkEnd w:id="1"/>
          </w:p>
        </w:tc>
        <w:tc>
          <w:tcPr>
            <w:tcW w:w="5989" w:type="dxa"/>
            <w:shd w:val="clear" w:color="auto" w:fill="auto"/>
          </w:tcPr>
          <w:p w:rsidR="00567338" w:rsidRPr="00F17599" w:rsidRDefault="00567338" w:rsidP="00501A12">
            <w:pPr>
              <w:pStyle w:val="Normal1linespace"/>
              <w:widowControl w:val="0"/>
              <w:jc w:val="left"/>
              <w:rPr>
                <w:b/>
              </w:rPr>
            </w:pPr>
          </w:p>
        </w:tc>
      </w:tr>
      <w:tr w:rsidR="00567338" w:rsidTr="009C0BCD">
        <w:tc>
          <w:tcPr>
            <w:tcW w:w="3084" w:type="dxa"/>
            <w:shd w:val="clear" w:color="auto" w:fill="auto"/>
          </w:tcPr>
          <w:p w:rsidR="00567338" w:rsidRDefault="00567338" w:rsidP="00501A12">
            <w:pPr>
              <w:pStyle w:val="Normal1linespace"/>
              <w:widowControl w:val="0"/>
            </w:pPr>
            <w:r>
              <w:t>National Practice Area:</w:t>
            </w:r>
          </w:p>
        </w:tc>
        <w:tc>
          <w:tcPr>
            <w:tcW w:w="5989" w:type="dxa"/>
            <w:shd w:val="clear" w:color="auto" w:fill="auto"/>
          </w:tcPr>
          <w:p w:rsidR="00567338" w:rsidRPr="00F17599" w:rsidRDefault="00FD7D7C" w:rsidP="0048119E">
            <w:pPr>
              <w:pStyle w:val="Normal1linespace"/>
              <w:widowControl w:val="0"/>
              <w:jc w:val="left"/>
              <w:rPr>
                <w:b/>
              </w:rPr>
            </w:pPr>
            <w:r>
              <w:fldChar w:fldCharType="begin"/>
            </w:r>
            <w:r>
              <w:instrText xml:space="preserve"> DOCPROPERTY  "Practice Area"  \* MERGEFORMAT </w:instrText>
            </w:r>
            <w:r>
              <w:fldChar w:fldCharType="separate"/>
            </w:r>
            <w:r w:rsidR="008144AC">
              <w:t>Other Federal Jurisdiction</w:t>
            </w:r>
            <w:r>
              <w:fldChar w:fldCharType="end"/>
            </w:r>
          </w:p>
        </w:tc>
      </w:tr>
      <w:bookmarkEnd w:id="2"/>
      <w:tr w:rsidR="00567338" w:rsidTr="009C0BCD">
        <w:tc>
          <w:tcPr>
            <w:tcW w:w="3084" w:type="dxa"/>
            <w:shd w:val="clear" w:color="auto" w:fill="auto"/>
          </w:tcPr>
          <w:p w:rsidR="00567338" w:rsidRDefault="00567338" w:rsidP="00501A12">
            <w:pPr>
              <w:pStyle w:val="Normal1linespace"/>
              <w:widowControl w:val="0"/>
            </w:pPr>
          </w:p>
        </w:tc>
        <w:tc>
          <w:tcPr>
            <w:tcW w:w="5989" w:type="dxa"/>
            <w:shd w:val="clear" w:color="auto" w:fill="auto"/>
          </w:tcPr>
          <w:p w:rsidR="00567338" w:rsidRDefault="00567338" w:rsidP="00501A12">
            <w:pPr>
              <w:pStyle w:val="Normal1linespace"/>
              <w:widowControl w:val="0"/>
              <w:jc w:val="left"/>
            </w:pPr>
          </w:p>
        </w:tc>
      </w:tr>
      <w:tr w:rsidR="00567338" w:rsidTr="009C0BCD">
        <w:tc>
          <w:tcPr>
            <w:tcW w:w="3084" w:type="dxa"/>
            <w:shd w:val="clear" w:color="auto" w:fill="auto"/>
          </w:tcPr>
          <w:p w:rsidR="00567338" w:rsidRDefault="00567338" w:rsidP="00501A12">
            <w:pPr>
              <w:pStyle w:val="Normal1linespace"/>
              <w:widowControl w:val="0"/>
            </w:pPr>
            <w:r>
              <w:t>Number of paragraphs:</w:t>
            </w:r>
          </w:p>
        </w:tc>
        <w:tc>
          <w:tcPr>
            <w:tcW w:w="5989" w:type="dxa"/>
            <w:shd w:val="clear" w:color="auto" w:fill="auto"/>
          </w:tcPr>
          <w:p w:rsidR="00567338" w:rsidRDefault="00633B05" w:rsidP="00501A12">
            <w:pPr>
              <w:pStyle w:val="Normal1linespace"/>
              <w:widowControl w:val="0"/>
              <w:jc w:val="left"/>
            </w:pPr>
            <w:r>
              <w:t>44</w:t>
            </w:r>
          </w:p>
        </w:tc>
      </w:tr>
      <w:tr w:rsidR="00567338" w:rsidTr="009C0BCD">
        <w:tc>
          <w:tcPr>
            <w:tcW w:w="3084" w:type="dxa"/>
            <w:shd w:val="clear" w:color="auto" w:fill="auto"/>
          </w:tcPr>
          <w:p w:rsidR="00567338" w:rsidRDefault="00567338" w:rsidP="00567338">
            <w:pPr>
              <w:pStyle w:val="Normal1linespace"/>
              <w:widowControl w:val="0"/>
              <w:jc w:val="left"/>
            </w:pPr>
          </w:p>
        </w:tc>
        <w:tc>
          <w:tcPr>
            <w:tcW w:w="5989" w:type="dxa"/>
            <w:shd w:val="clear" w:color="auto" w:fill="auto"/>
          </w:tcPr>
          <w:p w:rsidR="00567338" w:rsidRDefault="00567338" w:rsidP="00567338">
            <w:pPr>
              <w:pStyle w:val="Normal1linespace"/>
              <w:widowControl w:val="0"/>
              <w:jc w:val="left"/>
            </w:pPr>
          </w:p>
        </w:tc>
      </w:tr>
      <w:tr w:rsidR="00567338" w:rsidTr="009C0BCD">
        <w:tc>
          <w:tcPr>
            <w:tcW w:w="3084" w:type="dxa"/>
            <w:shd w:val="clear" w:color="auto" w:fill="auto"/>
          </w:tcPr>
          <w:p w:rsidR="00567338" w:rsidRDefault="00567338" w:rsidP="00567338">
            <w:pPr>
              <w:pStyle w:val="Normal1linespace"/>
              <w:widowControl w:val="0"/>
              <w:jc w:val="left"/>
            </w:pPr>
            <w:bookmarkStart w:id="3" w:name="CounselDate" w:colFirst="0" w:colLast="2"/>
            <w:r w:rsidRPr="006A24E3">
              <w:t>Date of hearing:</w:t>
            </w:r>
          </w:p>
        </w:tc>
        <w:tc>
          <w:tcPr>
            <w:tcW w:w="5989" w:type="dxa"/>
            <w:shd w:val="clear" w:color="auto" w:fill="auto"/>
          </w:tcPr>
          <w:p w:rsidR="00567338" w:rsidRDefault="00006CCB" w:rsidP="00006CCB">
            <w:pPr>
              <w:pStyle w:val="Normal1linespace"/>
              <w:widowControl w:val="0"/>
              <w:jc w:val="left"/>
            </w:pPr>
            <w:bookmarkStart w:id="4" w:name="HearingDate"/>
            <w:r>
              <w:t>18</w:t>
            </w:r>
            <w:r w:rsidR="00A57505">
              <w:t xml:space="preserve"> </w:t>
            </w:r>
            <w:r>
              <w:t>March</w:t>
            </w:r>
            <w:r w:rsidR="00A57505">
              <w:t xml:space="preserve"> </w:t>
            </w:r>
            <w:r w:rsidR="00690DCD">
              <w:t>202</w:t>
            </w:r>
            <w:r>
              <w:t>2</w:t>
            </w:r>
            <w:r w:rsidR="00567338">
              <w:t xml:space="preserve"> </w:t>
            </w:r>
            <w:bookmarkEnd w:id="4"/>
          </w:p>
        </w:tc>
      </w:tr>
      <w:tr w:rsidR="00567338" w:rsidTr="009C0BCD">
        <w:tc>
          <w:tcPr>
            <w:tcW w:w="3084" w:type="dxa"/>
            <w:shd w:val="clear" w:color="auto" w:fill="auto"/>
          </w:tcPr>
          <w:p w:rsidR="00567338" w:rsidRDefault="00567338" w:rsidP="00567338">
            <w:pPr>
              <w:pStyle w:val="Normal1linespace"/>
              <w:widowControl w:val="0"/>
              <w:jc w:val="left"/>
            </w:pPr>
          </w:p>
        </w:tc>
        <w:tc>
          <w:tcPr>
            <w:tcW w:w="5989" w:type="dxa"/>
            <w:shd w:val="clear" w:color="auto" w:fill="auto"/>
          </w:tcPr>
          <w:p w:rsidR="00567338" w:rsidRDefault="00567338" w:rsidP="00567338">
            <w:pPr>
              <w:pStyle w:val="Normal1linespace"/>
              <w:widowControl w:val="0"/>
              <w:jc w:val="left"/>
            </w:pPr>
          </w:p>
        </w:tc>
      </w:tr>
      <w:tr w:rsidR="00382D75" w:rsidTr="00382D75">
        <w:tc>
          <w:tcPr>
            <w:tcW w:w="3084" w:type="dxa"/>
            <w:shd w:val="clear" w:color="auto" w:fill="auto"/>
          </w:tcPr>
          <w:p w:rsidR="00382D75" w:rsidRDefault="00382D75" w:rsidP="00382D75">
            <w:pPr>
              <w:pStyle w:val="Normal1linespace"/>
              <w:widowControl w:val="0"/>
              <w:jc w:val="left"/>
            </w:pPr>
            <w:bookmarkStart w:id="5" w:name="Counsel" w:colFirst="0" w:colLast="2"/>
            <w:bookmarkEnd w:id="3"/>
            <w:r w:rsidRPr="004B19B4">
              <w:t>Counsel for the Applicant:</w:t>
            </w:r>
          </w:p>
        </w:tc>
        <w:tc>
          <w:tcPr>
            <w:tcW w:w="5989" w:type="dxa"/>
            <w:shd w:val="clear" w:color="auto" w:fill="auto"/>
          </w:tcPr>
          <w:p w:rsidR="00382D75" w:rsidRDefault="00382D75" w:rsidP="002F023E">
            <w:pPr>
              <w:pStyle w:val="Normal1linespace"/>
              <w:widowControl w:val="0"/>
              <w:jc w:val="left"/>
            </w:pPr>
            <w:bookmarkStart w:id="6" w:name="AppCounsel"/>
            <w:bookmarkEnd w:id="6"/>
            <w:r w:rsidRPr="004B19B4">
              <w:t xml:space="preserve">Mr A Moses SC with </w:t>
            </w:r>
            <w:r w:rsidR="002F023E">
              <w:t>Mr P Sharp</w:t>
            </w:r>
          </w:p>
        </w:tc>
      </w:tr>
      <w:tr w:rsidR="00382D75" w:rsidTr="00382D75">
        <w:tc>
          <w:tcPr>
            <w:tcW w:w="3084" w:type="dxa"/>
            <w:shd w:val="clear" w:color="auto" w:fill="auto"/>
          </w:tcPr>
          <w:p w:rsidR="00382D75" w:rsidRDefault="00382D75" w:rsidP="00382D75">
            <w:pPr>
              <w:pStyle w:val="Normal1linespace"/>
              <w:widowControl w:val="0"/>
              <w:jc w:val="left"/>
            </w:pPr>
          </w:p>
        </w:tc>
        <w:tc>
          <w:tcPr>
            <w:tcW w:w="5989" w:type="dxa"/>
            <w:shd w:val="clear" w:color="auto" w:fill="auto"/>
          </w:tcPr>
          <w:p w:rsidR="00382D75" w:rsidRDefault="00382D75" w:rsidP="00382D75">
            <w:pPr>
              <w:pStyle w:val="Normal1linespace"/>
              <w:widowControl w:val="0"/>
              <w:jc w:val="left"/>
            </w:pPr>
          </w:p>
        </w:tc>
      </w:tr>
      <w:tr w:rsidR="00382D75" w:rsidTr="00382D75">
        <w:tc>
          <w:tcPr>
            <w:tcW w:w="3084" w:type="dxa"/>
            <w:shd w:val="clear" w:color="auto" w:fill="auto"/>
          </w:tcPr>
          <w:p w:rsidR="00382D75" w:rsidRPr="00AC746D" w:rsidRDefault="00382D75" w:rsidP="00382D75">
            <w:pPr>
              <w:pStyle w:val="Normal1linespace"/>
              <w:widowControl w:val="0"/>
              <w:jc w:val="left"/>
            </w:pPr>
            <w:r w:rsidRPr="004B19B4">
              <w:t>Solicitor for the Applicant:</w:t>
            </w:r>
          </w:p>
        </w:tc>
        <w:tc>
          <w:tcPr>
            <w:tcW w:w="5989" w:type="dxa"/>
            <w:shd w:val="clear" w:color="auto" w:fill="auto"/>
          </w:tcPr>
          <w:p w:rsidR="00382D75" w:rsidRPr="00AC746D" w:rsidRDefault="00382D75" w:rsidP="00382D75">
            <w:pPr>
              <w:pStyle w:val="Normal1linespace"/>
              <w:widowControl w:val="0"/>
              <w:jc w:val="left"/>
            </w:pPr>
            <w:r w:rsidRPr="004B19B4">
              <w:t>Mark O’Brien Legal</w:t>
            </w:r>
          </w:p>
        </w:tc>
      </w:tr>
      <w:tr w:rsidR="00382D75" w:rsidTr="00382D75">
        <w:tc>
          <w:tcPr>
            <w:tcW w:w="3084" w:type="dxa"/>
            <w:shd w:val="clear" w:color="auto" w:fill="auto"/>
          </w:tcPr>
          <w:p w:rsidR="00382D75" w:rsidRPr="00AC746D" w:rsidRDefault="00382D75" w:rsidP="00382D75">
            <w:pPr>
              <w:pStyle w:val="Normal1linespace"/>
              <w:widowControl w:val="0"/>
              <w:jc w:val="left"/>
            </w:pPr>
          </w:p>
        </w:tc>
        <w:tc>
          <w:tcPr>
            <w:tcW w:w="5989" w:type="dxa"/>
            <w:shd w:val="clear" w:color="auto" w:fill="auto"/>
          </w:tcPr>
          <w:p w:rsidR="00382D75" w:rsidRPr="00AC746D" w:rsidRDefault="00382D75" w:rsidP="00382D75">
            <w:pPr>
              <w:pStyle w:val="Normal1linespace"/>
              <w:widowControl w:val="0"/>
              <w:jc w:val="left"/>
            </w:pPr>
          </w:p>
        </w:tc>
      </w:tr>
      <w:tr w:rsidR="00382D75" w:rsidTr="00382D75">
        <w:tc>
          <w:tcPr>
            <w:tcW w:w="3084" w:type="dxa"/>
            <w:shd w:val="clear" w:color="auto" w:fill="auto"/>
          </w:tcPr>
          <w:p w:rsidR="00382D75" w:rsidRPr="00AC746D" w:rsidRDefault="00382D75" w:rsidP="00382D75">
            <w:pPr>
              <w:pStyle w:val="Normal1linespace"/>
              <w:widowControl w:val="0"/>
              <w:jc w:val="left"/>
            </w:pPr>
            <w:r w:rsidRPr="004B19B4">
              <w:t>Counsel for the Respondents:</w:t>
            </w:r>
          </w:p>
        </w:tc>
        <w:tc>
          <w:tcPr>
            <w:tcW w:w="5989" w:type="dxa"/>
            <w:shd w:val="clear" w:color="auto" w:fill="auto"/>
          </w:tcPr>
          <w:p w:rsidR="00382D75" w:rsidRPr="00AC746D" w:rsidRDefault="002F023E" w:rsidP="00382D75">
            <w:pPr>
              <w:pStyle w:val="Normal1linespace"/>
              <w:widowControl w:val="0"/>
              <w:jc w:val="left"/>
            </w:pPr>
            <w:r>
              <w:t>Mr C Mitchell</w:t>
            </w:r>
          </w:p>
        </w:tc>
      </w:tr>
      <w:tr w:rsidR="00382D75" w:rsidTr="00382D75">
        <w:tc>
          <w:tcPr>
            <w:tcW w:w="3084" w:type="dxa"/>
            <w:shd w:val="clear" w:color="auto" w:fill="auto"/>
          </w:tcPr>
          <w:p w:rsidR="00382D75" w:rsidRPr="00AC746D" w:rsidRDefault="00382D75" w:rsidP="00382D75">
            <w:pPr>
              <w:pStyle w:val="Normal1linespace"/>
              <w:widowControl w:val="0"/>
              <w:jc w:val="left"/>
            </w:pPr>
          </w:p>
        </w:tc>
        <w:tc>
          <w:tcPr>
            <w:tcW w:w="5989" w:type="dxa"/>
            <w:shd w:val="clear" w:color="auto" w:fill="auto"/>
          </w:tcPr>
          <w:p w:rsidR="00382D75" w:rsidRPr="00AC746D" w:rsidRDefault="00382D75" w:rsidP="00382D75">
            <w:pPr>
              <w:pStyle w:val="Normal1linespace"/>
              <w:widowControl w:val="0"/>
              <w:jc w:val="left"/>
            </w:pPr>
          </w:p>
        </w:tc>
      </w:tr>
      <w:tr w:rsidR="00382D75" w:rsidTr="00382D75">
        <w:tc>
          <w:tcPr>
            <w:tcW w:w="3084" w:type="dxa"/>
            <w:shd w:val="clear" w:color="auto" w:fill="auto"/>
          </w:tcPr>
          <w:p w:rsidR="00382D75" w:rsidRPr="00AC746D" w:rsidRDefault="00382D75" w:rsidP="00382D75">
            <w:pPr>
              <w:pStyle w:val="Normal1linespace"/>
              <w:widowControl w:val="0"/>
              <w:jc w:val="left"/>
            </w:pPr>
            <w:r w:rsidRPr="004B19B4">
              <w:t>Solicitor for the Respondents:</w:t>
            </w:r>
          </w:p>
        </w:tc>
        <w:tc>
          <w:tcPr>
            <w:tcW w:w="5989" w:type="dxa"/>
            <w:shd w:val="clear" w:color="auto" w:fill="auto"/>
          </w:tcPr>
          <w:p w:rsidR="00382D75" w:rsidRPr="00AC746D" w:rsidRDefault="00006CCB" w:rsidP="00382D75">
            <w:pPr>
              <w:pStyle w:val="Normal1linespace"/>
              <w:widowControl w:val="0"/>
              <w:jc w:val="left"/>
            </w:pPr>
            <w:proofErr w:type="spellStart"/>
            <w:r>
              <w:t>Minter</w:t>
            </w:r>
            <w:r w:rsidR="00382D75" w:rsidRPr="004B19B4">
              <w:t>Ellison</w:t>
            </w:r>
            <w:proofErr w:type="spellEnd"/>
          </w:p>
        </w:tc>
      </w:tr>
      <w:tr w:rsidR="00382D75" w:rsidTr="00382D75">
        <w:tc>
          <w:tcPr>
            <w:tcW w:w="3084" w:type="dxa"/>
            <w:shd w:val="clear" w:color="auto" w:fill="auto"/>
          </w:tcPr>
          <w:p w:rsidR="00382D75" w:rsidRPr="004B19B4" w:rsidRDefault="00382D75" w:rsidP="00382D75">
            <w:pPr>
              <w:pStyle w:val="Normal1linespace"/>
              <w:widowControl w:val="0"/>
              <w:jc w:val="left"/>
            </w:pPr>
          </w:p>
        </w:tc>
        <w:tc>
          <w:tcPr>
            <w:tcW w:w="5989" w:type="dxa"/>
            <w:shd w:val="clear" w:color="auto" w:fill="auto"/>
          </w:tcPr>
          <w:p w:rsidR="00382D75" w:rsidRPr="00AC746D" w:rsidRDefault="00382D75" w:rsidP="00382D75">
            <w:pPr>
              <w:pStyle w:val="Normal1linespace"/>
              <w:widowControl w:val="0"/>
              <w:jc w:val="left"/>
            </w:pPr>
          </w:p>
        </w:tc>
      </w:tr>
      <w:tr w:rsidR="00382D75" w:rsidTr="00382D75">
        <w:tc>
          <w:tcPr>
            <w:tcW w:w="3084" w:type="dxa"/>
            <w:shd w:val="clear" w:color="auto" w:fill="auto"/>
          </w:tcPr>
          <w:p w:rsidR="00382D75" w:rsidRPr="004B19B4" w:rsidRDefault="00382D75" w:rsidP="00382D75">
            <w:pPr>
              <w:pStyle w:val="Normal1linespace"/>
              <w:widowControl w:val="0"/>
              <w:jc w:val="left"/>
            </w:pPr>
            <w:r w:rsidRPr="004B19B4">
              <w:t>Counsel for the Inspector</w:t>
            </w:r>
            <w:r w:rsidRPr="004B19B4">
              <w:noBreakHyphen/>
              <w:t>General of the Australian Defence Force</w:t>
            </w:r>
            <w:r w:rsidR="006E4812">
              <w:t xml:space="preserve"> and the Commonwealth</w:t>
            </w:r>
            <w:r w:rsidR="002F023E">
              <w:t>:</w:t>
            </w:r>
          </w:p>
        </w:tc>
        <w:tc>
          <w:tcPr>
            <w:tcW w:w="5989" w:type="dxa"/>
            <w:shd w:val="clear" w:color="auto" w:fill="auto"/>
          </w:tcPr>
          <w:p w:rsidR="00382D75" w:rsidRPr="00AC746D" w:rsidRDefault="002F023E" w:rsidP="00CE1E42">
            <w:pPr>
              <w:pStyle w:val="Normal1linespace"/>
              <w:widowControl w:val="0"/>
              <w:jc w:val="left"/>
            </w:pPr>
            <w:r>
              <w:t>Mr A Berger QC with M</w:t>
            </w:r>
            <w:r w:rsidR="00CE1E42">
              <w:t>r</w:t>
            </w:r>
            <w:r>
              <w:t xml:space="preserve"> J Edwards </w:t>
            </w:r>
          </w:p>
        </w:tc>
      </w:tr>
      <w:tr w:rsidR="00382D75" w:rsidTr="00382D75">
        <w:tc>
          <w:tcPr>
            <w:tcW w:w="3084" w:type="dxa"/>
            <w:shd w:val="clear" w:color="auto" w:fill="auto"/>
          </w:tcPr>
          <w:p w:rsidR="00382D75" w:rsidRPr="004B19B4" w:rsidRDefault="00382D75" w:rsidP="00382D75">
            <w:pPr>
              <w:pStyle w:val="Normal1linespace"/>
              <w:widowControl w:val="0"/>
              <w:jc w:val="left"/>
            </w:pPr>
          </w:p>
        </w:tc>
        <w:tc>
          <w:tcPr>
            <w:tcW w:w="5989" w:type="dxa"/>
            <w:shd w:val="clear" w:color="auto" w:fill="auto"/>
          </w:tcPr>
          <w:p w:rsidR="00382D75" w:rsidRPr="00AC746D" w:rsidRDefault="00382D75" w:rsidP="00382D75">
            <w:pPr>
              <w:pStyle w:val="Normal1linespace"/>
              <w:widowControl w:val="0"/>
              <w:jc w:val="left"/>
            </w:pPr>
          </w:p>
        </w:tc>
      </w:tr>
      <w:tr w:rsidR="00382D75" w:rsidTr="00382D75">
        <w:tc>
          <w:tcPr>
            <w:tcW w:w="3084" w:type="dxa"/>
            <w:shd w:val="clear" w:color="auto" w:fill="auto"/>
          </w:tcPr>
          <w:p w:rsidR="00382D75" w:rsidRPr="004B19B4" w:rsidRDefault="00382D75" w:rsidP="00382D75">
            <w:pPr>
              <w:pStyle w:val="Normal1linespace"/>
              <w:widowControl w:val="0"/>
              <w:jc w:val="left"/>
            </w:pPr>
            <w:r w:rsidRPr="004B19B4">
              <w:t>Solicitor for the Inspector</w:t>
            </w:r>
            <w:r w:rsidRPr="004B19B4">
              <w:noBreakHyphen/>
              <w:t>General of the Australian Defence Force</w:t>
            </w:r>
            <w:r w:rsidR="006E4812">
              <w:t xml:space="preserve"> and the Commonwealth</w:t>
            </w:r>
            <w:r w:rsidR="00006CCB">
              <w:t>:</w:t>
            </w:r>
          </w:p>
        </w:tc>
        <w:tc>
          <w:tcPr>
            <w:tcW w:w="5989" w:type="dxa"/>
            <w:shd w:val="clear" w:color="auto" w:fill="auto"/>
          </w:tcPr>
          <w:p w:rsidR="00382D75" w:rsidRPr="00AC746D" w:rsidRDefault="00382D75" w:rsidP="00382D75">
            <w:pPr>
              <w:pStyle w:val="Normal1linespace"/>
              <w:widowControl w:val="0"/>
              <w:jc w:val="left"/>
            </w:pPr>
            <w:r w:rsidRPr="004B19B4">
              <w:t>Australian Government Solicitor</w:t>
            </w:r>
          </w:p>
        </w:tc>
      </w:tr>
      <w:tr w:rsidR="00382D75" w:rsidTr="00382D75">
        <w:tc>
          <w:tcPr>
            <w:tcW w:w="3084" w:type="dxa"/>
            <w:shd w:val="clear" w:color="auto" w:fill="auto"/>
          </w:tcPr>
          <w:p w:rsidR="00382D75" w:rsidRPr="004B19B4" w:rsidRDefault="00382D75" w:rsidP="00382D75">
            <w:pPr>
              <w:pStyle w:val="Normal1linespace"/>
              <w:widowControl w:val="0"/>
              <w:jc w:val="left"/>
            </w:pPr>
          </w:p>
        </w:tc>
        <w:tc>
          <w:tcPr>
            <w:tcW w:w="5989" w:type="dxa"/>
            <w:shd w:val="clear" w:color="auto" w:fill="auto"/>
          </w:tcPr>
          <w:p w:rsidR="00382D75" w:rsidRPr="00AC746D" w:rsidRDefault="00382D75" w:rsidP="00382D75">
            <w:pPr>
              <w:pStyle w:val="Normal1linespace"/>
              <w:widowControl w:val="0"/>
              <w:jc w:val="left"/>
            </w:pPr>
          </w:p>
        </w:tc>
      </w:tr>
      <w:tr w:rsidR="008A51D6" w:rsidTr="00382D75">
        <w:tc>
          <w:tcPr>
            <w:tcW w:w="3084" w:type="dxa"/>
            <w:shd w:val="clear" w:color="auto" w:fill="auto"/>
          </w:tcPr>
          <w:p w:rsidR="008A51D6" w:rsidRPr="004B19B4" w:rsidRDefault="008A51D6" w:rsidP="00006CCB">
            <w:pPr>
              <w:pStyle w:val="Normal1linespace"/>
              <w:widowControl w:val="0"/>
              <w:jc w:val="left"/>
            </w:pPr>
            <w:r w:rsidRPr="004B19B4">
              <w:t xml:space="preserve">Counsel for </w:t>
            </w:r>
            <w:r w:rsidR="00DA6FD4">
              <w:t>Person</w:t>
            </w:r>
            <w:r w:rsidR="00006CCB">
              <w:t xml:space="preserve"> </w:t>
            </w:r>
            <w:r w:rsidR="00DA6FD4">
              <w:t>24</w:t>
            </w:r>
            <w:r w:rsidR="00006CCB">
              <w:t>:</w:t>
            </w:r>
          </w:p>
        </w:tc>
        <w:tc>
          <w:tcPr>
            <w:tcW w:w="5989" w:type="dxa"/>
            <w:shd w:val="clear" w:color="auto" w:fill="auto"/>
          </w:tcPr>
          <w:p w:rsidR="008A51D6" w:rsidRPr="00AC746D" w:rsidRDefault="008A51D6" w:rsidP="00DA6FD4">
            <w:pPr>
              <w:pStyle w:val="Normal1linespace"/>
              <w:widowControl w:val="0"/>
              <w:jc w:val="left"/>
            </w:pPr>
            <w:r>
              <w:t xml:space="preserve">Mr </w:t>
            </w:r>
            <w:r w:rsidR="00DA6FD4">
              <w:t xml:space="preserve">G </w:t>
            </w:r>
            <w:proofErr w:type="spellStart"/>
            <w:r w:rsidR="00DA6FD4">
              <w:t>Cridland</w:t>
            </w:r>
            <w:proofErr w:type="spellEnd"/>
          </w:p>
        </w:tc>
      </w:tr>
      <w:bookmarkEnd w:id="5"/>
    </w:tbl>
    <w:p w:rsidR="007470BD" w:rsidRDefault="007470BD">
      <w:pPr>
        <w:pStyle w:val="Normal1linespace"/>
      </w:pPr>
    </w:p>
    <w:p w:rsidR="00A57505" w:rsidRDefault="00A57505" w:rsidP="004D53E5">
      <w:pPr>
        <w:pStyle w:val="SingleSpace"/>
      </w:pPr>
    </w:p>
    <w:p w:rsidR="000324CB" w:rsidRDefault="00A57505">
      <w:pPr>
        <w:spacing w:line="240" w:lineRule="auto"/>
        <w:jc w:val="left"/>
        <w:sectPr w:rsidR="000324CB" w:rsidSect="00695044">
          <w:headerReference w:type="default" r:id="rId9"/>
          <w:footerReference w:type="default" r:id="rId10"/>
          <w:headerReference w:type="first" r:id="rId11"/>
          <w:footerReference w:type="first" r:id="rId12"/>
          <w:endnotePr>
            <w:numFmt w:val="decimal"/>
          </w:endnotePr>
          <w:pgSz w:w="11907" w:h="16840" w:code="9"/>
          <w:pgMar w:top="1440" w:right="1440" w:bottom="1440" w:left="1440" w:header="851" w:footer="851" w:gutter="0"/>
          <w:pgNumType w:start="1"/>
          <w:cols w:space="720"/>
          <w:noEndnote/>
          <w:titlePg/>
          <w:docGrid w:linePitch="326"/>
        </w:sectPr>
      </w:pPr>
      <w:r>
        <w:br w:type="page"/>
      </w:r>
    </w:p>
    <w:p w:rsidR="000324CB" w:rsidRDefault="000324CB" w:rsidP="000324CB">
      <w:pPr>
        <w:pStyle w:val="NormalHeadings"/>
        <w:spacing w:line="480" w:lineRule="auto"/>
        <w:jc w:val="center"/>
        <w:rPr>
          <w:sz w:val="28"/>
          <w:szCs w:val="28"/>
        </w:rPr>
      </w:pPr>
      <w:r>
        <w:rPr>
          <w:sz w:val="28"/>
          <w:szCs w:val="28"/>
        </w:rPr>
        <w:lastRenderedPageBreak/>
        <w:t>ORDERS</w:t>
      </w:r>
    </w:p>
    <w:tbl>
      <w:tblPr>
        <w:tblW w:w="0" w:type="auto"/>
        <w:tblLayout w:type="fixed"/>
        <w:tblLook w:val="04A0" w:firstRow="1" w:lastRow="0" w:firstColumn="1" w:lastColumn="0" w:noHBand="0" w:noVBand="1"/>
      </w:tblPr>
      <w:tblGrid>
        <w:gridCol w:w="2376"/>
        <w:gridCol w:w="4536"/>
        <w:gridCol w:w="2330"/>
      </w:tblGrid>
      <w:tr w:rsidR="000324CB" w:rsidTr="0018396D">
        <w:tc>
          <w:tcPr>
            <w:tcW w:w="6912" w:type="dxa"/>
            <w:gridSpan w:val="2"/>
          </w:tcPr>
          <w:p w:rsidR="000324CB" w:rsidRDefault="000324CB" w:rsidP="0018396D">
            <w:pPr>
              <w:pStyle w:val="NormalHeadings"/>
            </w:pPr>
          </w:p>
        </w:tc>
        <w:tc>
          <w:tcPr>
            <w:tcW w:w="2330" w:type="dxa"/>
            <w:hideMark/>
          </w:tcPr>
          <w:p w:rsidR="000324CB" w:rsidRDefault="000324CB" w:rsidP="0018396D">
            <w:pPr>
              <w:pStyle w:val="NormalHeadings"/>
              <w:jc w:val="right"/>
            </w:pPr>
            <w:bookmarkStart w:id="7" w:name="FileNo"/>
            <w:r>
              <w:t>NSD 1485 of 2018</w:t>
            </w:r>
            <w:bookmarkEnd w:id="7"/>
          </w:p>
        </w:tc>
      </w:tr>
      <w:tr w:rsidR="000324CB" w:rsidTr="0018396D">
        <w:tc>
          <w:tcPr>
            <w:tcW w:w="9242" w:type="dxa"/>
            <w:gridSpan w:val="3"/>
            <w:hideMark/>
          </w:tcPr>
          <w:p w:rsidR="000324CB" w:rsidRDefault="000324CB" w:rsidP="0018396D">
            <w:pPr>
              <w:pStyle w:val="NormalHeadings"/>
              <w:jc w:val="left"/>
            </w:pPr>
            <w:bookmarkStart w:id="8" w:name="InTheMatterOf"/>
            <w:r>
              <w:t xml:space="preserve"> </w:t>
            </w:r>
            <w:bookmarkEnd w:id="8"/>
          </w:p>
        </w:tc>
      </w:tr>
      <w:tr w:rsidR="000324CB" w:rsidTr="0018396D">
        <w:trPr>
          <w:trHeight w:val="386"/>
        </w:trPr>
        <w:tc>
          <w:tcPr>
            <w:tcW w:w="2376" w:type="dxa"/>
            <w:hideMark/>
          </w:tcPr>
          <w:p w:rsidR="000324CB" w:rsidRDefault="000324CB" w:rsidP="0018396D">
            <w:pPr>
              <w:pStyle w:val="NormalHeadings"/>
              <w:jc w:val="left"/>
              <w:rPr>
                <w:caps/>
                <w:szCs w:val="24"/>
              </w:rPr>
            </w:pPr>
            <w:bookmarkStart w:id="9" w:name="Parties"/>
            <w:r>
              <w:rPr>
                <w:caps/>
                <w:szCs w:val="24"/>
              </w:rPr>
              <w:t>BETWEEN:</w:t>
            </w:r>
          </w:p>
        </w:tc>
        <w:tc>
          <w:tcPr>
            <w:tcW w:w="6866" w:type="dxa"/>
            <w:gridSpan w:val="2"/>
          </w:tcPr>
          <w:p w:rsidR="000324CB" w:rsidRDefault="000324CB" w:rsidP="0018396D">
            <w:pPr>
              <w:pStyle w:val="NormalHeadings"/>
              <w:jc w:val="left"/>
            </w:pPr>
            <w:bookmarkStart w:id="10" w:name="Applicant"/>
            <w:r>
              <w:t>BEN ROBERTS-SMITH</w:t>
            </w:r>
          </w:p>
          <w:p w:rsidR="000324CB" w:rsidRDefault="000324CB" w:rsidP="0018396D">
            <w:pPr>
              <w:pStyle w:val="PartyType"/>
            </w:pPr>
            <w:r>
              <w:t>Applicant</w:t>
            </w:r>
            <w:bookmarkEnd w:id="10"/>
          </w:p>
          <w:p w:rsidR="000324CB" w:rsidRDefault="000324CB" w:rsidP="0018396D">
            <w:pPr>
              <w:pStyle w:val="NormalHeadings"/>
              <w:jc w:val="left"/>
            </w:pPr>
          </w:p>
        </w:tc>
      </w:tr>
      <w:tr w:rsidR="000324CB" w:rsidTr="0018396D">
        <w:trPr>
          <w:trHeight w:val="386"/>
        </w:trPr>
        <w:tc>
          <w:tcPr>
            <w:tcW w:w="2376" w:type="dxa"/>
            <w:hideMark/>
          </w:tcPr>
          <w:p w:rsidR="000324CB" w:rsidRDefault="000324CB" w:rsidP="0018396D">
            <w:pPr>
              <w:pStyle w:val="NormalHeadings"/>
              <w:jc w:val="left"/>
              <w:rPr>
                <w:caps/>
                <w:szCs w:val="24"/>
              </w:rPr>
            </w:pPr>
            <w:r>
              <w:rPr>
                <w:caps/>
                <w:szCs w:val="24"/>
              </w:rPr>
              <w:t>AND:</w:t>
            </w:r>
          </w:p>
        </w:tc>
        <w:tc>
          <w:tcPr>
            <w:tcW w:w="6866" w:type="dxa"/>
            <w:gridSpan w:val="2"/>
          </w:tcPr>
          <w:p w:rsidR="000324CB" w:rsidRDefault="000324CB" w:rsidP="0018396D">
            <w:pPr>
              <w:pStyle w:val="NormalHeadings"/>
              <w:jc w:val="left"/>
            </w:pPr>
            <w:bookmarkStart w:id="11" w:name="Respondent"/>
            <w:r>
              <w:t xml:space="preserve">FAIRFAX MEDIA PUBLICATIONS PTY LIMITED (ACN 003 357 720) </w:t>
            </w:r>
            <w:r>
              <w:rPr>
                <w:b w:val="0"/>
              </w:rPr>
              <w:t>(and others named in the Schedule)</w:t>
            </w:r>
          </w:p>
          <w:p w:rsidR="000324CB" w:rsidRDefault="000324CB" w:rsidP="0018396D">
            <w:pPr>
              <w:pStyle w:val="PartyType"/>
            </w:pPr>
            <w:r>
              <w:t>First Respondent</w:t>
            </w:r>
            <w:bookmarkEnd w:id="11"/>
          </w:p>
          <w:p w:rsidR="000324CB" w:rsidRDefault="000324CB" w:rsidP="0018396D">
            <w:pPr>
              <w:pStyle w:val="PartyType"/>
            </w:pPr>
          </w:p>
        </w:tc>
      </w:tr>
    </w:tbl>
    <w:p w:rsidR="000324CB" w:rsidRDefault="000324CB" w:rsidP="000324CB">
      <w:pPr>
        <w:pStyle w:val="NormalHeadings"/>
      </w:pPr>
      <w:bookmarkStart w:id="12" w:name="CrossClaimPosition"/>
      <w:bookmarkEnd w:id="9"/>
      <w:bookmarkEnd w:id="12"/>
    </w:p>
    <w:tbl>
      <w:tblPr>
        <w:tblW w:w="0" w:type="auto"/>
        <w:tblLayout w:type="fixed"/>
        <w:tblLook w:val="04A0" w:firstRow="1" w:lastRow="0" w:firstColumn="1" w:lastColumn="0" w:noHBand="0" w:noVBand="1"/>
      </w:tblPr>
      <w:tblGrid>
        <w:gridCol w:w="2376"/>
        <w:gridCol w:w="4536"/>
        <w:gridCol w:w="2330"/>
      </w:tblGrid>
      <w:tr w:rsidR="000324CB" w:rsidTr="0018396D">
        <w:tc>
          <w:tcPr>
            <w:tcW w:w="6912" w:type="dxa"/>
            <w:gridSpan w:val="2"/>
          </w:tcPr>
          <w:p w:rsidR="000324CB" w:rsidRDefault="000324CB" w:rsidP="0018396D">
            <w:pPr>
              <w:pStyle w:val="NormalHeadings"/>
            </w:pPr>
          </w:p>
        </w:tc>
        <w:tc>
          <w:tcPr>
            <w:tcW w:w="2330" w:type="dxa"/>
            <w:hideMark/>
          </w:tcPr>
          <w:p w:rsidR="000324CB" w:rsidRDefault="000324CB" w:rsidP="0018396D">
            <w:pPr>
              <w:pStyle w:val="NormalHeadings"/>
              <w:jc w:val="right"/>
            </w:pPr>
            <w:r>
              <w:t>NSD 1486 of 2018</w:t>
            </w:r>
          </w:p>
        </w:tc>
      </w:tr>
      <w:tr w:rsidR="000324CB" w:rsidTr="0018396D">
        <w:tc>
          <w:tcPr>
            <w:tcW w:w="9242" w:type="dxa"/>
            <w:gridSpan w:val="3"/>
            <w:hideMark/>
          </w:tcPr>
          <w:p w:rsidR="000324CB" w:rsidRDefault="000324CB" w:rsidP="0018396D">
            <w:pPr>
              <w:pStyle w:val="NormalHeadings"/>
              <w:jc w:val="left"/>
            </w:pPr>
            <w:r>
              <w:t xml:space="preserve"> </w:t>
            </w:r>
          </w:p>
        </w:tc>
      </w:tr>
      <w:tr w:rsidR="000324CB" w:rsidTr="0018396D">
        <w:trPr>
          <w:trHeight w:val="386"/>
        </w:trPr>
        <w:tc>
          <w:tcPr>
            <w:tcW w:w="2376" w:type="dxa"/>
            <w:hideMark/>
          </w:tcPr>
          <w:p w:rsidR="000324CB" w:rsidRDefault="000324CB" w:rsidP="0018396D">
            <w:pPr>
              <w:pStyle w:val="NormalHeadings"/>
              <w:jc w:val="left"/>
              <w:rPr>
                <w:caps/>
                <w:szCs w:val="24"/>
              </w:rPr>
            </w:pPr>
            <w:r>
              <w:rPr>
                <w:caps/>
                <w:szCs w:val="24"/>
              </w:rPr>
              <w:t>BETWEEN:</w:t>
            </w:r>
          </w:p>
        </w:tc>
        <w:tc>
          <w:tcPr>
            <w:tcW w:w="6866" w:type="dxa"/>
            <w:gridSpan w:val="2"/>
          </w:tcPr>
          <w:p w:rsidR="000324CB" w:rsidRDefault="000324CB" w:rsidP="0018396D">
            <w:pPr>
              <w:pStyle w:val="NormalHeadings"/>
              <w:jc w:val="left"/>
            </w:pPr>
            <w:r>
              <w:t>BEN ROBERTS-SMITH</w:t>
            </w:r>
          </w:p>
          <w:p w:rsidR="000324CB" w:rsidRDefault="000324CB" w:rsidP="0018396D">
            <w:pPr>
              <w:pStyle w:val="PartyType"/>
            </w:pPr>
            <w:r>
              <w:t>Applicant</w:t>
            </w:r>
          </w:p>
          <w:p w:rsidR="000324CB" w:rsidRDefault="000324CB" w:rsidP="0018396D">
            <w:pPr>
              <w:pStyle w:val="NormalHeadings"/>
              <w:jc w:val="left"/>
            </w:pPr>
          </w:p>
        </w:tc>
      </w:tr>
      <w:tr w:rsidR="000324CB" w:rsidTr="0018396D">
        <w:trPr>
          <w:trHeight w:val="386"/>
        </w:trPr>
        <w:tc>
          <w:tcPr>
            <w:tcW w:w="2376" w:type="dxa"/>
            <w:hideMark/>
          </w:tcPr>
          <w:p w:rsidR="000324CB" w:rsidRDefault="000324CB" w:rsidP="0018396D">
            <w:pPr>
              <w:pStyle w:val="NormalHeadings"/>
              <w:jc w:val="left"/>
              <w:rPr>
                <w:caps/>
                <w:szCs w:val="24"/>
              </w:rPr>
            </w:pPr>
            <w:r>
              <w:rPr>
                <w:caps/>
                <w:szCs w:val="24"/>
              </w:rPr>
              <w:t>AND:</w:t>
            </w:r>
          </w:p>
        </w:tc>
        <w:tc>
          <w:tcPr>
            <w:tcW w:w="6866" w:type="dxa"/>
            <w:gridSpan w:val="2"/>
          </w:tcPr>
          <w:p w:rsidR="000324CB" w:rsidRDefault="000324CB" w:rsidP="0018396D">
            <w:pPr>
              <w:pStyle w:val="NormalHeadings"/>
              <w:jc w:val="left"/>
            </w:pPr>
            <w:r>
              <w:t xml:space="preserve">THE AGE COMPANY PTY LIMITED (ACN 004 262 702) </w:t>
            </w:r>
            <w:r>
              <w:rPr>
                <w:b w:val="0"/>
              </w:rPr>
              <w:t>(and others named in the Schedule)</w:t>
            </w:r>
          </w:p>
          <w:p w:rsidR="000324CB" w:rsidRDefault="000324CB" w:rsidP="0018396D">
            <w:pPr>
              <w:pStyle w:val="PartyType"/>
            </w:pPr>
            <w:r>
              <w:t>First Respondent</w:t>
            </w:r>
          </w:p>
          <w:p w:rsidR="000324CB" w:rsidRDefault="000324CB" w:rsidP="0018396D">
            <w:pPr>
              <w:pStyle w:val="PartyType"/>
            </w:pPr>
          </w:p>
        </w:tc>
      </w:tr>
    </w:tbl>
    <w:p w:rsidR="000324CB" w:rsidRDefault="000324CB" w:rsidP="000324CB">
      <w:pPr>
        <w:pStyle w:val="NormalHeadings"/>
      </w:pPr>
    </w:p>
    <w:tbl>
      <w:tblPr>
        <w:tblW w:w="0" w:type="auto"/>
        <w:tblLayout w:type="fixed"/>
        <w:tblLook w:val="04A0" w:firstRow="1" w:lastRow="0" w:firstColumn="1" w:lastColumn="0" w:noHBand="0" w:noVBand="1"/>
      </w:tblPr>
      <w:tblGrid>
        <w:gridCol w:w="2376"/>
        <w:gridCol w:w="4536"/>
        <w:gridCol w:w="2330"/>
      </w:tblGrid>
      <w:tr w:rsidR="000324CB" w:rsidTr="0018396D">
        <w:tc>
          <w:tcPr>
            <w:tcW w:w="6912" w:type="dxa"/>
            <w:gridSpan w:val="2"/>
          </w:tcPr>
          <w:p w:rsidR="000324CB" w:rsidRDefault="000324CB" w:rsidP="0018396D">
            <w:pPr>
              <w:pStyle w:val="NormalHeadings"/>
            </w:pPr>
          </w:p>
        </w:tc>
        <w:tc>
          <w:tcPr>
            <w:tcW w:w="2330" w:type="dxa"/>
            <w:hideMark/>
          </w:tcPr>
          <w:p w:rsidR="000324CB" w:rsidRDefault="000324CB" w:rsidP="0018396D">
            <w:pPr>
              <w:pStyle w:val="NormalHeadings"/>
              <w:jc w:val="right"/>
            </w:pPr>
            <w:r>
              <w:t>NSD 1487 of 2018</w:t>
            </w:r>
          </w:p>
        </w:tc>
      </w:tr>
      <w:tr w:rsidR="000324CB" w:rsidTr="0018396D">
        <w:tc>
          <w:tcPr>
            <w:tcW w:w="9242" w:type="dxa"/>
            <w:gridSpan w:val="3"/>
            <w:hideMark/>
          </w:tcPr>
          <w:p w:rsidR="000324CB" w:rsidRDefault="000324CB" w:rsidP="0018396D">
            <w:pPr>
              <w:pStyle w:val="NormalHeadings"/>
              <w:jc w:val="left"/>
            </w:pPr>
            <w:r>
              <w:t xml:space="preserve"> </w:t>
            </w:r>
          </w:p>
        </w:tc>
      </w:tr>
      <w:tr w:rsidR="000324CB" w:rsidTr="0018396D">
        <w:trPr>
          <w:trHeight w:val="386"/>
        </w:trPr>
        <w:tc>
          <w:tcPr>
            <w:tcW w:w="2376" w:type="dxa"/>
            <w:hideMark/>
          </w:tcPr>
          <w:p w:rsidR="000324CB" w:rsidRDefault="000324CB" w:rsidP="0018396D">
            <w:pPr>
              <w:pStyle w:val="NormalHeadings"/>
              <w:jc w:val="left"/>
              <w:rPr>
                <w:caps/>
                <w:szCs w:val="24"/>
              </w:rPr>
            </w:pPr>
            <w:r>
              <w:rPr>
                <w:caps/>
                <w:szCs w:val="24"/>
              </w:rPr>
              <w:t>BETWEEN:</w:t>
            </w:r>
          </w:p>
        </w:tc>
        <w:tc>
          <w:tcPr>
            <w:tcW w:w="6866" w:type="dxa"/>
            <w:gridSpan w:val="2"/>
          </w:tcPr>
          <w:p w:rsidR="000324CB" w:rsidRDefault="000324CB" w:rsidP="0018396D">
            <w:pPr>
              <w:pStyle w:val="NormalHeadings"/>
              <w:jc w:val="left"/>
            </w:pPr>
            <w:r>
              <w:t>BEN ROBERTS-SMITH</w:t>
            </w:r>
          </w:p>
          <w:p w:rsidR="000324CB" w:rsidRDefault="000324CB" w:rsidP="0018396D">
            <w:pPr>
              <w:pStyle w:val="PartyType"/>
            </w:pPr>
            <w:r>
              <w:t>Applicant</w:t>
            </w:r>
          </w:p>
          <w:p w:rsidR="000324CB" w:rsidRDefault="000324CB" w:rsidP="0018396D">
            <w:pPr>
              <w:pStyle w:val="NormalHeadings"/>
              <w:jc w:val="left"/>
            </w:pPr>
          </w:p>
        </w:tc>
      </w:tr>
      <w:tr w:rsidR="000324CB" w:rsidTr="0018396D">
        <w:trPr>
          <w:trHeight w:val="386"/>
        </w:trPr>
        <w:tc>
          <w:tcPr>
            <w:tcW w:w="2376" w:type="dxa"/>
            <w:hideMark/>
          </w:tcPr>
          <w:p w:rsidR="000324CB" w:rsidRDefault="000324CB" w:rsidP="0018396D">
            <w:pPr>
              <w:pStyle w:val="NormalHeadings"/>
              <w:jc w:val="left"/>
              <w:rPr>
                <w:caps/>
                <w:szCs w:val="24"/>
              </w:rPr>
            </w:pPr>
            <w:r>
              <w:rPr>
                <w:caps/>
                <w:szCs w:val="24"/>
              </w:rPr>
              <w:t>AND:</w:t>
            </w:r>
          </w:p>
        </w:tc>
        <w:tc>
          <w:tcPr>
            <w:tcW w:w="6866" w:type="dxa"/>
            <w:gridSpan w:val="2"/>
          </w:tcPr>
          <w:p w:rsidR="000324CB" w:rsidRDefault="000324CB" w:rsidP="0018396D">
            <w:pPr>
              <w:pStyle w:val="NormalHeadings"/>
              <w:jc w:val="left"/>
            </w:pPr>
            <w:r>
              <w:t xml:space="preserve">THE FEDERAL CAPITAL PRESS OF AUSTRALIA PTY LIMITED (ACN 008 394 063) </w:t>
            </w:r>
            <w:r>
              <w:rPr>
                <w:b w:val="0"/>
              </w:rPr>
              <w:t>(and others named in the Schedule)</w:t>
            </w:r>
          </w:p>
          <w:p w:rsidR="000324CB" w:rsidRDefault="000324CB" w:rsidP="0018396D">
            <w:pPr>
              <w:pStyle w:val="PartyType"/>
            </w:pPr>
            <w:r>
              <w:t>First Respondent</w:t>
            </w:r>
          </w:p>
          <w:p w:rsidR="000324CB" w:rsidRDefault="000324CB" w:rsidP="0018396D">
            <w:pPr>
              <w:pStyle w:val="PartyType"/>
            </w:pPr>
          </w:p>
        </w:tc>
      </w:tr>
    </w:tbl>
    <w:p w:rsidR="000324CB" w:rsidRDefault="000324CB" w:rsidP="000324CB">
      <w:pPr>
        <w:pStyle w:val="NormalHeadings"/>
      </w:pPr>
    </w:p>
    <w:tbl>
      <w:tblPr>
        <w:tblW w:w="0" w:type="auto"/>
        <w:tblLayout w:type="fixed"/>
        <w:tblLook w:val="04A0" w:firstRow="1" w:lastRow="0" w:firstColumn="1" w:lastColumn="0" w:noHBand="0" w:noVBand="1"/>
      </w:tblPr>
      <w:tblGrid>
        <w:gridCol w:w="2376"/>
        <w:gridCol w:w="6866"/>
      </w:tblGrid>
      <w:tr w:rsidR="000324CB" w:rsidTr="0018396D">
        <w:tc>
          <w:tcPr>
            <w:tcW w:w="2376" w:type="dxa"/>
            <w:hideMark/>
          </w:tcPr>
          <w:p w:rsidR="000324CB" w:rsidRDefault="000324CB" w:rsidP="0018396D">
            <w:pPr>
              <w:pStyle w:val="NormalHeadings"/>
              <w:spacing w:after="120"/>
              <w:jc w:val="left"/>
              <w:rPr>
                <w:caps/>
                <w:szCs w:val="24"/>
              </w:rPr>
            </w:pPr>
            <w:bookmarkStart w:id="13" w:name="JudgeText"/>
            <w:r>
              <w:rPr>
                <w:caps/>
                <w:szCs w:val="24"/>
              </w:rPr>
              <w:t>order made by</w:t>
            </w:r>
            <w:bookmarkEnd w:id="13"/>
            <w:r>
              <w:rPr>
                <w:caps/>
                <w:szCs w:val="24"/>
              </w:rPr>
              <w:t>:</w:t>
            </w:r>
          </w:p>
        </w:tc>
        <w:tc>
          <w:tcPr>
            <w:tcW w:w="6866" w:type="dxa"/>
            <w:hideMark/>
          </w:tcPr>
          <w:p w:rsidR="000324CB" w:rsidRDefault="000324CB" w:rsidP="0018396D">
            <w:pPr>
              <w:pStyle w:val="NormalHeadings"/>
              <w:jc w:val="left"/>
              <w:rPr>
                <w:caps/>
                <w:szCs w:val="24"/>
              </w:rPr>
            </w:pPr>
            <w:bookmarkStart w:id="14" w:name="Judge"/>
            <w:r>
              <w:rPr>
                <w:caps/>
                <w:szCs w:val="24"/>
              </w:rPr>
              <w:t>Abraham J</w:t>
            </w:r>
            <w:bookmarkEnd w:id="14"/>
          </w:p>
        </w:tc>
      </w:tr>
      <w:tr w:rsidR="000324CB" w:rsidTr="0018396D">
        <w:tc>
          <w:tcPr>
            <w:tcW w:w="2376" w:type="dxa"/>
            <w:hideMark/>
          </w:tcPr>
          <w:p w:rsidR="000324CB" w:rsidRDefault="000324CB" w:rsidP="0018396D">
            <w:pPr>
              <w:pStyle w:val="NormalHeadings"/>
              <w:spacing w:after="120"/>
              <w:jc w:val="left"/>
              <w:rPr>
                <w:caps/>
                <w:szCs w:val="24"/>
              </w:rPr>
            </w:pPr>
            <w:r>
              <w:rPr>
                <w:caps/>
                <w:szCs w:val="24"/>
              </w:rPr>
              <w:t>DATE OF ORDER:</w:t>
            </w:r>
          </w:p>
        </w:tc>
        <w:tc>
          <w:tcPr>
            <w:tcW w:w="6866" w:type="dxa"/>
            <w:hideMark/>
          </w:tcPr>
          <w:p w:rsidR="000324CB" w:rsidRDefault="00A009B5" w:rsidP="00A009B5">
            <w:pPr>
              <w:pStyle w:val="NormalHeadings"/>
              <w:jc w:val="left"/>
              <w:rPr>
                <w:caps/>
                <w:szCs w:val="24"/>
              </w:rPr>
            </w:pPr>
            <w:bookmarkStart w:id="15" w:name="Judgment_Dated"/>
            <w:r>
              <w:rPr>
                <w:caps/>
                <w:szCs w:val="24"/>
              </w:rPr>
              <w:t>1</w:t>
            </w:r>
            <w:r w:rsidR="00BE4669">
              <w:rPr>
                <w:caps/>
                <w:szCs w:val="24"/>
              </w:rPr>
              <w:t xml:space="preserve"> </w:t>
            </w:r>
            <w:r>
              <w:rPr>
                <w:caps/>
                <w:szCs w:val="24"/>
              </w:rPr>
              <w:t>April</w:t>
            </w:r>
            <w:r w:rsidR="00BE4669">
              <w:rPr>
                <w:caps/>
                <w:szCs w:val="24"/>
              </w:rPr>
              <w:t xml:space="preserve"> </w:t>
            </w:r>
            <w:r w:rsidR="000324CB">
              <w:rPr>
                <w:caps/>
                <w:szCs w:val="24"/>
              </w:rPr>
              <w:t>202</w:t>
            </w:r>
            <w:bookmarkEnd w:id="15"/>
            <w:r w:rsidR="00006CCB">
              <w:rPr>
                <w:caps/>
                <w:szCs w:val="24"/>
              </w:rPr>
              <w:t>2</w:t>
            </w:r>
          </w:p>
        </w:tc>
      </w:tr>
    </w:tbl>
    <w:p w:rsidR="000324CB" w:rsidRDefault="000324CB" w:rsidP="000324CB">
      <w:pPr>
        <w:pStyle w:val="NormalHeadings"/>
        <w:rPr>
          <w:b w:val="0"/>
        </w:rPr>
      </w:pPr>
    </w:p>
    <w:p w:rsidR="000324CB" w:rsidRDefault="000324CB" w:rsidP="000324CB">
      <w:pPr>
        <w:pStyle w:val="NormalHeadings"/>
      </w:pPr>
      <w:r>
        <w:t>THE COURT ORDERS THAT:</w:t>
      </w:r>
    </w:p>
    <w:p w:rsidR="000324CB" w:rsidRDefault="000324CB" w:rsidP="000324CB">
      <w:pPr>
        <w:pStyle w:val="NormalHeadings"/>
      </w:pPr>
    </w:p>
    <w:p w:rsidR="00101A9C" w:rsidRDefault="00101A9C" w:rsidP="00006CCB">
      <w:pPr>
        <w:pStyle w:val="Order1"/>
      </w:pPr>
      <w:r>
        <w:t xml:space="preserve">The </w:t>
      </w:r>
      <w:r w:rsidRPr="000468E3">
        <w:t>Inspector</w:t>
      </w:r>
      <w:r>
        <w:noBreakHyphen/>
      </w:r>
      <w:r w:rsidRPr="000468E3">
        <w:t xml:space="preserve">General of </w:t>
      </w:r>
      <w:r>
        <w:t xml:space="preserve">the </w:t>
      </w:r>
      <w:r w:rsidRPr="000468E3">
        <w:t>Australian Defence Force</w:t>
      </w:r>
      <w:r>
        <w:t>’s</w:t>
      </w:r>
      <w:r w:rsidRPr="000468E3">
        <w:t xml:space="preserve"> </w:t>
      </w:r>
      <w:r>
        <w:t xml:space="preserve">(IGADF) </w:t>
      </w:r>
      <w:r w:rsidR="007D0D4C">
        <w:t xml:space="preserve">claim of public interest immunity over the document(s) </w:t>
      </w:r>
      <w:r w:rsidR="005E0387">
        <w:t>the subject of the applicant’s subpoena to the IGADF dated 15 March 2022</w:t>
      </w:r>
      <w:r w:rsidR="006F5564">
        <w:t xml:space="preserve"> is not established.</w:t>
      </w:r>
    </w:p>
    <w:p w:rsidR="00006CCB" w:rsidRDefault="00DD2E62" w:rsidP="00006CCB">
      <w:pPr>
        <w:pStyle w:val="Order1"/>
      </w:pPr>
      <w:r>
        <w:t xml:space="preserve">Pursuant to s 37AF of the </w:t>
      </w:r>
      <w:r>
        <w:rPr>
          <w:i/>
        </w:rPr>
        <w:t xml:space="preserve">Federal Court of Australia Act 1976 </w:t>
      </w:r>
      <w:r>
        <w:t>(</w:t>
      </w:r>
      <w:proofErr w:type="spellStart"/>
      <w:r>
        <w:t>Cth</w:t>
      </w:r>
      <w:proofErr w:type="spellEnd"/>
      <w:r>
        <w:t>) (the Act) and on the g</w:t>
      </w:r>
      <w:r w:rsidR="00876565">
        <w:t>rounds referred to in s 37AG(1</w:t>
      </w:r>
      <w:r w:rsidR="00876565" w:rsidRPr="007F7514">
        <w:t>)(a)</w:t>
      </w:r>
      <w:r w:rsidR="006E6477" w:rsidRPr="007F7514">
        <w:t xml:space="preserve"> and (b)</w:t>
      </w:r>
      <w:r w:rsidRPr="007F7514">
        <w:t xml:space="preserve"> of the</w:t>
      </w:r>
      <w:r>
        <w:t xml:space="preserve"> Act, there is to be no disclosure, by publication or otherwise, of:</w:t>
      </w:r>
    </w:p>
    <w:p w:rsidR="00DD2E62" w:rsidRDefault="00DE7021" w:rsidP="00752B08">
      <w:pPr>
        <w:pStyle w:val="Order2"/>
      </w:pPr>
      <w:r>
        <w:lastRenderedPageBreak/>
        <w:t>t</w:t>
      </w:r>
      <w:r w:rsidR="00DD2E62">
        <w:t xml:space="preserve">he reasons for judgment of Abraham J in </w:t>
      </w:r>
      <w:r w:rsidR="0070690D">
        <w:rPr>
          <w:i/>
        </w:rPr>
        <w:t xml:space="preserve">Roberts-Smith v Fairfax Media Publications Pty Limited </w:t>
      </w:r>
      <w:r w:rsidR="0070690D">
        <w:t>[2022] FCA 271 (</w:t>
      </w:r>
      <w:r w:rsidR="0070131B">
        <w:rPr>
          <w:i/>
        </w:rPr>
        <w:t>Roberts-Smith (No 31)</w:t>
      </w:r>
      <w:r w:rsidR="0070690D">
        <w:t>)</w:t>
      </w:r>
      <w:r w:rsidR="0070131B">
        <w:t xml:space="preserve"> </w:t>
      </w:r>
      <w:r w:rsidR="00DD2E62">
        <w:t xml:space="preserve">until </w:t>
      </w:r>
      <w:r w:rsidR="000B164B">
        <w:t>2:00 pm, 1 April 2022</w:t>
      </w:r>
      <w:r w:rsidR="00DD2E62">
        <w:t>; and</w:t>
      </w:r>
    </w:p>
    <w:p w:rsidR="00DD2E62" w:rsidRPr="0070131B" w:rsidRDefault="00DE7021" w:rsidP="00752B08">
      <w:pPr>
        <w:pStyle w:val="Order2"/>
      </w:pPr>
      <w:r>
        <w:t>t</w:t>
      </w:r>
      <w:r w:rsidR="00DD2E62" w:rsidRPr="0070131B">
        <w:t xml:space="preserve">he confidential reasons for judgment of Abraham J in </w:t>
      </w:r>
      <w:r w:rsidR="0070131B" w:rsidRPr="0070131B">
        <w:rPr>
          <w:i/>
        </w:rPr>
        <w:t>Roberts-Smith (No 31)</w:t>
      </w:r>
      <w:r w:rsidR="00DD2E62" w:rsidRPr="0070131B">
        <w:t xml:space="preserve"> until </w:t>
      </w:r>
      <w:r w:rsidR="005C6B15">
        <w:t>further order</w:t>
      </w:r>
      <w:r w:rsidR="00DD2E62" w:rsidRPr="0070131B">
        <w:t>.</w:t>
      </w:r>
    </w:p>
    <w:p w:rsidR="006A276A" w:rsidRDefault="00BE4669" w:rsidP="00583351">
      <w:pPr>
        <w:pStyle w:val="Order1"/>
      </w:pPr>
      <w:r w:rsidRPr="0070131B">
        <w:t xml:space="preserve">Order </w:t>
      </w:r>
      <w:r w:rsidR="002120BF">
        <w:t>2</w:t>
      </w:r>
      <w:r w:rsidRPr="0070131B">
        <w:t xml:space="preserve"> does not prevent disclosures to and between Authorised Persons</w:t>
      </w:r>
      <w:r w:rsidR="006A276A">
        <w:t xml:space="preserve"> within the meaning of</w:t>
      </w:r>
      <w:r w:rsidRPr="0070131B">
        <w:t xml:space="preserve"> </w:t>
      </w:r>
      <w:r w:rsidR="00AB3252">
        <w:t>Order 1</w:t>
      </w:r>
      <w:r w:rsidRPr="0070131B">
        <w:t xml:space="preserve"> made by Besanko J on </w:t>
      </w:r>
      <w:r w:rsidR="00C57201" w:rsidRPr="0070131B">
        <w:t>15 July 2020 (</w:t>
      </w:r>
      <w:r w:rsidR="000971FF" w:rsidRPr="0070131B">
        <w:t xml:space="preserve">as </w:t>
      </w:r>
      <w:r w:rsidR="00C57201" w:rsidRPr="0070131B">
        <w:t>last amended on 6 December 2021)</w:t>
      </w:r>
      <w:r w:rsidRPr="0070131B">
        <w:t xml:space="preserve"> under </w:t>
      </w:r>
      <w:proofErr w:type="spellStart"/>
      <w:r w:rsidRPr="0070131B">
        <w:t>ss</w:t>
      </w:r>
      <w:proofErr w:type="spellEnd"/>
      <w:r w:rsidRPr="0070131B">
        <w:t xml:space="preserve"> 19(3A) and 38B of the </w:t>
      </w:r>
      <w:r w:rsidRPr="008E7DE4">
        <w:rPr>
          <w:i/>
        </w:rPr>
        <w:t xml:space="preserve">National Security Information (Criminal and Civil Proceedings) Act 2004 </w:t>
      </w:r>
      <w:r w:rsidRPr="0070131B">
        <w:t>(</w:t>
      </w:r>
      <w:proofErr w:type="spellStart"/>
      <w:r w:rsidRPr="0070131B">
        <w:t>Cth</w:t>
      </w:r>
      <w:proofErr w:type="spellEnd"/>
      <w:r w:rsidRPr="0070131B">
        <w:t>)</w:t>
      </w:r>
      <w:r w:rsidR="006A276A">
        <w:t xml:space="preserve"> (NSI orders)</w:t>
      </w:r>
      <w:r w:rsidR="007B5B59" w:rsidRPr="0070131B">
        <w:t>.</w:t>
      </w:r>
    </w:p>
    <w:p w:rsidR="006A276A" w:rsidRDefault="006A276A" w:rsidP="00583351">
      <w:pPr>
        <w:pStyle w:val="Order1"/>
      </w:pPr>
      <w:r w:rsidRPr="0070131B">
        <w:t xml:space="preserve">Order </w:t>
      </w:r>
      <w:r w:rsidR="002120BF">
        <w:t>2</w:t>
      </w:r>
      <w:r w:rsidRPr="0070131B">
        <w:t xml:space="preserve"> does not prevent disclosures to and between Authorised Persons</w:t>
      </w:r>
      <w:r>
        <w:t xml:space="preserve"> within the meaning of</w:t>
      </w:r>
      <w:r w:rsidRPr="0070131B">
        <w:t xml:space="preserve"> </w:t>
      </w:r>
      <w:r w:rsidR="00AB3252">
        <w:t>O</w:t>
      </w:r>
      <w:r>
        <w:t>rder 97 of the NSI orders</w:t>
      </w:r>
      <w:r w:rsidRPr="0070131B">
        <w:t>.</w:t>
      </w:r>
    </w:p>
    <w:p w:rsidR="00A34845" w:rsidRPr="00F47CF0" w:rsidRDefault="006A276A" w:rsidP="00583351">
      <w:pPr>
        <w:pStyle w:val="Order1"/>
      </w:pPr>
      <w:r w:rsidRPr="0070131B">
        <w:t xml:space="preserve">Order </w:t>
      </w:r>
      <w:r w:rsidR="002120BF">
        <w:t>2</w:t>
      </w:r>
      <w:r w:rsidRPr="0070131B">
        <w:t xml:space="preserve"> does not prevent disclosures to and between </w:t>
      </w:r>
      <w:r>
        <w:t>the Commonwealth and/or a Commonwealth Representative within the meaning of</w:t>
      </w:r>
      <w:r w:rsidRPr="0070131B">
        <w:t xml:space="preserve"> the </w:t>
      </w:r>
      <w:r>
        <w:t xml:space="preserve">NSI </w:t>
      </w:r>
      <w:r w:rsidRPr="0070131B">
        <w:t>orders</w:t>
      </w:r>
      <w:r>
        <w:t>.</w:t>
      </w:r>
    </w:p>
    <w:p w:rsidR="000324CB" w:rsidRPr="005432C1" w:rsidRDefault="000324CB" w:rsidP="00FD7D7C">
      <w:pPr>
        <w:pStyle w:val="BodyText"/>
        <w:spacing w:before="240"/>
        <w:rPr>
          <w:b/>
        </w:rPr>
        <w:sectPr w:rsidR="000324CB" w:rsidRPr="005432C1" w:rsidSect="0018396D">
          <w:headerReference w:type="default" r:id="rId13"/>
          <w:headerReference w:type="first" r:id="rId14"/>
          <w:endnotePr>
            <w:numFmt w:val="decimal"/>
          </w:endnotePr>
          <w:pgSz w:w="11907" w:h="16840" w:code="9"/>
          <w:pgMar w:top="1440" w:right="1440" w:bottom="1440" w:left="1440" w:header="851" w:footer="851" w:gutter="0"/>
          <w:pgNumType w:fmt="lowerRoman"/>
          <w:cols w:space="720"/>
          <w:noEndnote/>
          <w:titlePg/>
        </w:sectPr>
      </w:pPr>
      <w:r w:rsidRPr="005432C1">
        <w:t>Note:</w:t>
      </w:r>
      <w:r w:rsidRPr="005432C1">
        <w:tab/>
        <w:t xml:space="preserve">Entry of orders is dealt with in Rule 39.32 of the </w:t>
      </w:r>
      <w:r w:rsidRPr="005432C1">
        <w:rPr>
          <w:i/>
        </w:rPr>
        <w:t>Federal Court Rules 2011</w:t>
      </w:r>
      <w:bookmarkStart w:id="16" w:name="_GoBack"/>
      <w:bookmarkEnd w:id="16"/>
    </w:p>
    <w:p w:rsidR="00484F6D" w:rsidRPr="00045BB7" w:rsidRDefault="00484F6D" w:rsidP="00045BB7">
      <w:pPr>
        <w:pStyle w:val="NormalHeadings"/>
        <w:spacing w:line="480" w:lineRule="auto"/>
        <w:jc w:val="center"/>
        <w:rPr>
          <w:sz w:val="28"/>
          <w:szCs w:val="28"/>
        </w:rPr>
      </w:pPr>
      <w:bookmarkStart w:id="17" w:name="ReasonsPage"/>
      <w:bookmarkEnd w:id="17"/>
      <w:r w:rsidRPr="00045BB7">
        <w:rPr>
          <w:sz w:val="28"/>
          <w:szCs w:val="28"/>
        </w:rPr>
        <w:lastRenderedPageBreak/>
        <w:t>REASONS FOR JUDGMENT</w:t>
      </w:r>
    </w:p>
    <w:p w:rsidR="00A2624A" w:rsidRPr="00A2624A" w:rsidRDefault="00567338" w:rsidP="00A2624A">
      <w:pPr>
        <w:pStyle w:val="NormalHeadings"/>
        <w:spacing w:line="360" w:lineRule="auto"/>
        <w:jc w:val="left"/>
        <w:rPr>
          <w:sz w:val="26"/>
          <w:szCs w:val="26"/>
        </w:rPr>
      </w:pPr>
      <w:r>
        <w:rPr>
          <w:sz w:val="26"/>
          <w:szCs w:val="26"/>
        </w:rPr>
        <w:t>ABRAHAM J:</w:t>
      </w:r>
    </w:p>
    <w:p w:rsidR="00A2624A" w:rsidRPr="00357616" w:rsidRDefault="00A2624A" w:rsidP="00006CCB">
      <w:pPr>
        <w:pStyle w:val="ParaNumbering"/>
        <w:rPr>
          <w:szCs w:val="24"/>
        </w:rPr>
      </w:pPr>
      <w:r w:rsidRPr="001F52F3">
        <w:rPr>
          <w:szCs w:val="24"/>
          <w:shd w:val="clear" w:color="auto" w:fill="FFFFFF"/>
        </w:rPr>
        <w:t>In August 2018, Mr Roberts</w:t>
      </w:r>
      <w:r w:rsidRPr="001F52F3">
        <w:rPr>
          <w:szCs w:val="24"/>
          <w:shd w:val="clear" w:color="auto" w:fill="FFFFFF"/>
        </w:rPr>
        <w:noBreakHyphen/>
        <w:t>Smith commenced proceedings in this Court seeking damages for alleged defamatory publications by Fairfax Media Publications Pty Ltd, The Age Company Pty Ltd, The Federal Capital Press of Australia Pty Ltd and certain journalists. The substantive hearing</w:t>
      </w:r>
      <w:r w:rsidR="009124A8" w:rsidRPr="001F52F3">
        <w:rPr>
          <w:szCs w:val="24"/>
          <w:shd w:val="clear" w:color="auto" w:fill="FFFFFF"/>
        </w:rPr>
        <w:t>, which commenced on 7 June 2021, is currently proceeding</w:t>
      </w:r>
      <w:r w:rsidRPr="001F52F3">
        <w:rPr>
          <w:szCs w:val="24"/>
          <w:shd w:val="clear" w:color="auto" w:fill="FFFFFF"/>
        </w:rPr>
        <w:t xml:space="preserve"> before Besanko J, with the </w:t>
      </w:r>
      <w:r w:rsidRPr="00357616">
        <w:rPr>
          <w:szCs w:val="24"/>
          <w:shd w:val="clear" w:color="auto" w:fill="FFFFFF"/>
        </w:rPr>
        <w:t>respondents presenting their case.</w:t>
      </w:r>
    </w:p>
    <w:p w:rsidR="006666BC" w:rsidRPr="00240B41" w:rsidRDefault="00240213" w:rsidP="00CC362B">
      <w:pPr>
        <w:pStyle w:val="ParaNumbering"/>
        <w:rPr>
          <w:szCs w:val="24"/>
        </w:rPr>
      </w:pPr>
      <w:r w:rsidRPr="00240B41">
        <w:t>Durin</w:t>
      </w:r>
      <w:r w:rsidR="00F46FC7" w:rsidRPr="00240B41">
        <w:t>g</w:t>
      </w:r>
      <w:r w:rsidR="00663C11" w:rsidRPr="00240B41">
        <w:t xml:space="preserve"> cross-examination by the a</w:t>
      </w:r>
      <w:r w:rsidRPr="00240B41">
        <w:t>pplicant of Person 24</w:t>
      </w:r>
      <w:r w:rsidR="00BF21FE" w:rsidRPr="00240B41">
        <w:t>,</w:t>
      </w:r>
      <w:r w:rsidR="00663C11" w:rsidRPr="00240B41">
        <w:t xml:space="preserve"> </w:t>
      </w:r>
      <w:r w:rsidR="002F023E" w:rsidRPr="00240B41">
        <w:t xml:space="preserve">a witness in these proceedings, </w:t>
      </w:r>
      <w:r w:rsidR="00663C11" w:rsidRPr="00240B41">
        <w:t xml:space="preserve">on the applicant’s request, </w:t>
      </w:r>
      <w:r w:rsidR="00BF21FE" w:rsidRPr="00240B41">
        <w:t>t</w:t>
      </w:r>
      <w:r w:rsidRPr="00240B41">
        <w:t xml:space="preserve">he Court issued a subpoena (the Subpoena) to the Inspector-General of the Australian Defence Force (IGADF) </w:t>
      </w:r>
      <w:r w:rsidR="00813C7A" w:rsidRPr="00240B41">
        <w:t xml:space="preserve">to produce </w:t>
      </w:r>
      <w:r w:rsidRPr="00240B41">
        <w:t xml:space="preserve">a transcript of </w:t>
      </w:r>
      <w:r w:rsidR="00BF21FE" w:rsidRPr="00240B41">
        <w:t xml:space="preserve">any </w:t>
      </w:r>
      <w:r w:rsidRPr="00240B41">
        <w:t xml:space="preserve">interview conducted </w:t>
      </w:r>
      <w:r w:rsidR="00813C7A" w:rsidRPr="00240B41">
        <w:t xml:space="preserve">with Person 24 </w:t>
      </w:r>
      <w:r w:rsidRPr="00240B41">
        <w:t xml:space="preserve">by the Afghanistan Inquiry </w:t>
      </w:r>
      <w:r w:rsidR="00C06573" w:rsidRPr="00240B41">
        <w:t xml:space="preserve">(Inquiry) </w:t>
      </w:r>
      <w:r w:rsidR="002F023E" w:rsidRPr="00240B41">
        <w:t>in relation to events</w:t>
      </w:r>
      <w:r w:rsidRPr="00240B41">
        <w:t xml:space="preserve"> on 12 April 2009</w:t>
      </w:r>
      <w:r w:rsidR="002F023E" w:rsidRPr="00240B41">
        <w:t xml:space="preserve"> at </w:t>
      </w:r>
      <w:r w:rsidR="00717C38" w:rsidRPr="00240B41">
        <w:t>Whiskey 108</w:t>
      </w:r>
      <w:r w:rsidR="002F023E" w:rsidRPr="00240B41">
        <w:t xml:space="preserve"> in the vicinity of </w:t>
      </w:r>
      <w:proofErr w:type="spellStart"/>
      <w:r w:rsidR="002F023E" w:rsidRPr="00240B41">
        <w:t>Kakarak</w:t>
      </w:r>
      <w:proofErr w:type="spellEnd"/>
      <w:r w:rsidR="002F023E" w:rsidRPr="00240B41">
        <w:t xml:space="preserve"> in the West </w:t>
      </w:r>
      <w:proofErr w:type="spellStart"/>
      <w:r w:rsidR="002F023E" w:rsidRPr="00240B41">
        <w:t>Dorafshan</w:t>
      </w:r>
      <w:proofErr w:type="spellEnd"/>
      <w:r w:rsidR="002F023E" w:rsidRPr="00240B41">
        <w:t xml:space="preserve"> district of </w:t>
      </w:r>
      <w:proofErr w:type="spellStart"/>
      <w:r w:rsidR="002F023E" w:rsidRPr="00240B41">
        <w:t>Uruzgan</w:t>
      </w:r>
      <w:proofErr w:type="spellEnd"/>
      <w:r w:rsidR="002F023E" w:rsidRPr="00240B41">
        <w:t>, Afghanistan</w:t>
      </w:r>
      <w:r w:rsidR="00F46FC7" w:rsidRPr="00240B41">
        <w:t>.</w:t>
      </w:r>
      <w:r w:rsidR="002F023E" w:rsidRPr="00240B41">
        <w:t xml:space="preserve"> </w:t>
      </w:r>
      <w:r w:rsidR="00BF21FE" w:rsidRPr="00240B41">
        <w:t>This same tra</w:t>
      </w:r>
      <w:r w:rsidR="005D1D41" w:rsidRPr="00240B41">
        <w:t>nscript</w:t>
      </w:r>
      <w:r w:rsidR="00E66441" w:rsidRPr="00240B41">
        <w:t xml:space="preserve"> (along with the transcripts of 11 other </w:t>
      </w:r>
      <w:r w:rsidR="00AF1A6D" w:rsidRPr="00240B41">
        <w:t>current or former</w:t>
      </w:r>
      <w:r w:rsidR="00D25BED" w:rsidRPr="00240B41">
        <w:t xml:space="preserve"> </w:t>
      </w:r>
      <w:r w:rsidR="00E66441" w:rsidRPr="00240B41">
        <w:t>Special Operations Command (SOCOMD) witnesses to be called by the respondents)</w:t>
      </w:r>
      <w:r w:rsidR="005D1D41" w:rsidRPr="00240B41">
        <w:t xml:space="preserve"> had previously been sought by the a</w:t>
      </w:r>
      <w:r w:rsidR="00BF21FE" w:rsidRPr="00240B41">
        <w:t>pplicant</w:t>
      </w:r>
      <w:r w:rsidR="00192191" w:rsidRPr="00240B41">
        <w:t xml:space="preserve"> </w:t>
      </w:r>
      <w:r w:rsidR="00EE46C0" w:rsidRPr="00240B41">
        <w:t xml:space="preserve">by a subpoena issued </w:t>
      </w:r>
      <w:r w:rsidR="00192191" w:rsidRPr="00240B41">
        <w:t>in July 2021</w:t>
      </w:r>
      <w:r w:rsidR="00AB35C8" w:rsidRPr="00240B41">
        <w:t>.</w:t>
      </w:r>
      <w:r w:rsidR="00E66441" w:rsidRPr="00240B41">
        <w:t xml:space="preserve"> </w:t>
      </w:r>
      <w:r w:rsidR="00AB35C8" w:rsidRPr="00240B41">
        <w:t>I upheld a</w:t>
      </w:r>
      <w:r w:rsidR="00BF21FE" w:rsidRPr="00240B41">
        <w:t xml:space="preserve"> claim</w:t>
      </w:r>
      <w:r w:rsidR="00BF21FE" w:rsidRPr="00240B41">
        <w:rPr>
          <w:spacing w:val="-4"/>
        </w:rPr>
        <w:t xml:space="preserve"> </w:t>
      </w:r>
      <w:r w:rsidR="00BF21FE" w:rsidRPr="00240B41">
        <w:t>of</w:t>
      </w:r>
      <w:r w:rsidR="00BF21FE" w:rsidRPr="00240B41">
        <w:rPr>
          <w:spacing w:val="-3"/>
        </w:rPr>
        <w:t xml:space="preserve"> </w:t>
      </w:r>
      <w:r w:rsidR="00BF21FE" w:rsidRPr="00240B41">
        <w:t>public</w:t>
      </w:r>
      <w:r w:rsidR="00BF21FE" w:rsidRPr="00240B41">
        <w:rPr>
          <w:spacing w:val="-3"/>
        </w:rPr>
        <w:t xml:space="preserve"> </w:t>
      </w:r>
      <w:r w:rsidR="00BF21FE" w:rsidRPr="00240B41">
        <w:t>interest</w:t>
      </w:r>
      <w:r w:rsidR="00BF21FE" w:rsidRPr="00240B41">
        <w:rPr>
          <w:spacing w:val="-3"/>
        </w:rPr>
        <w:t xml:space="preserve"> </w:t>
      </w:r>
      <w:r w:rsidR="00BF21FE" w:rsidRPr="00240B41">
        <w:t>immunity</w:t>
      </w:r>
      <w:r w:rsidR="00BF21FE" w:rsidRPr="00240B41">
        <w:rPr>
          <w:spacing w:val="-3"/>
        </w:rPr>
        <w:t xml:space="preserve"> </w:t>
      </w:r>
      <w:r w:rsidR="00BF21FE" w:rsidRPr="00240B41">
        <w:t>by</w:t>
      </w:r>
      <w:r w:rsidR="00BF21FE" w:rsidRPr="00240B41">
        <w:rPr>
          <w:spacing w:val="-3"/>
        </w:rPr>
        <w:t xml:space="preserve"> </w:t>
      </w:r>
      <w:r w:rsidR="00BF21FE" w:rsidRPr="00240B41">
        <w:t>the</w:t>
      </w:r>
      <w:r w:rsidR="00BF21FE" w:rsidRPr="00240B41">
        <w:rPr>
          <w:spacing w:val="-5"/>
        </w:rPr>
        <w:t xml:space="preserve"> </w:t>
      </w:r>
      <w:r w:rsidR="00BF21FE" w:rsidRPr="00240B41">
        <w:t>IGADF</w:t>
      </w:r>
      <w:r w:rsidR="00BF21FE" w:rsidRPr="00240B41">
        <w:rPr>
          <w:spacing w:val="-4"/>
        </w:rPr>
        <w:t xml:space="preserve"> </w:t>
      </w:r>
      <w:r w:rsidR="00AB35C8" w:rsidRPr="00240B41">
        <w:t>in respect of those documents (if they exist)</w:t>
      </w:r>
      <w:r w:rsidR="00C664DD" w:rsidRPr="00240B41">
        <w:rPr>
          <w:spacing w:val="-3"/>
        </w:rPr>
        <w:t xml:space="preserve">: </w:t>
      </w:r>
      <w:r w:rsidR="00BF21FE" w:rsidRPr="00240B41">
        <w:rPr>
          <w:i/>
        </w:rPr>
        <w:t xml:space="preserve">Roberts-Smith v Fairfax Media Publications Pty </w:t>
      </w:r>
      <w:r w:rsidR="00514F60" w:rsidRPr="00240B41">
        <w:rPr>
          <w:i/>
        </w:rPr>
        <w:t xml:space="preserve">Limited </w:t>
      </w:r>
      <w:r w:rsidR="00BF21FE" w:rsidRPr="00240B41">
        <w:rPr>
          <w:i/>
        </w:rPr>
        <w:t xml:space="preserve">(No 24) </w:t>
      </w:r>
      <w:r w:rsidR="00BF21FE" w:rsidRPr="00240B41">
        <w:t>[2021] FCA</w:t>
      </w:r>
      <w:r w:rsidR="00BF21FE" w:rsidRPr="00240B41">
        <w:rPr>
          <w:spacing w:val="-6"/>
        </w:rPr>
        <w:t xml:space="preserve"> </w:t>
      </w:r>
      <w:r w:rsidR="00BF21FE" w:rsidRPr="00240B41">
        <w:t>1461</w:t>
      </w:r>
      <w:r w:rsidR="00514F60" w:rsidRPr="00240B41">
        <w:t xml:space="preserve"> (</w:t>
      </w:r>
      <w:r w:rsidR="00514F60" w:rsidRPr="00240B41">
        <w:rPr>
          <w:i/>
        </w:rPr>
        <w:t>Roberts-Smith (No 24)</w:t>
      </w:r>
      <w:r w:rsidR="00514F60" w:rsidRPr="00240B41">
        <w:t>)</w:t>
      </w:r>
      <w:r w:rsidR="00BF21FE" w:rsidRPr="00240B41">
        <w:t>.</w:t>
      </w:r>
      <w:r w:rsidR="00AB35C8" w:rsidRPr="00240B41">
        <w:rPr>
          <w:szCs w:val="24"/>
        </w:rPr>
        <w:t xml:space="preserve"> </w:t>
      </w:r>
      <w:r w:rsidRPr="00240B41">
        <w:t xml:space="preserve">The IGADF </w:t>
      </w:r>
      <w:r w:rsidR="00C664DD" w:rsidRPr="00240B41">
        <w:t xml:space="preserve">again </w:t>
      </w:r>
      <w:r w:rsidRPr="00240B41">
        <w:t>claims public interest immunity</w:t>
      </w:r>
      <w:r w:rsidRPr="00240B41">
        <w:rPr>
          <w:spacing w:val="-6"/>
        </w:rPr>
        <w:t xml:space="preserve"> </w:t>
      </w:r>
      <w:r w:rsidRPr="00240B41">
        <w:t>over</w:t>
      </w:r>
      <w:r w:rsidRPr="00240B41">
        <w:rPr>
          <w:spacing w:val="-5"/>
        </w:rPr>
        <w:t xml:space="preserve"> </w:t>
      </w:r>
      <w:r w:rsidR="00C664DD" w:rsidRPr="00240B41">
        <w:t>the</w:t>
      </w:r>
      <w:r w:rsidRPr="00240B41">
        <w:rPr>
          <w:spacing w:val="-5"/>
        </w:rPr>
        <w:t xml:space="preserve"> </w:t>
      </w:r>
      <w:r w:rsidRPr="00240B41">
        <w:t>transcript</w:t>
      </w:r>
      <w:r w:rsidR="006666BC" w:rsidRPr="00240B41">
        <w:t>, if it exists,</w:t>
      </w:r>
      <w:r w:rsidRPr="00240B41">
        <w:rPr>
          <w:spacing w:val="-6"/>
        </w:rPr>
        <w:t xml:space="preserve"> </w:t>
      </w:r>
      <w:r w:rsidRPr="00240B41">
        <w:t>which</w:t>
      </w:r>
      <w:r w:rsidRPr="00240B41">
        <w:rPr>
          <w:spacing w:val="-5"/>
        </w:rPr>
        <w:t xml:space="preserve"> </w:t>
      </w:r>
      <w:r w:rsidRPr="00240B41">
        <w:t>is</w:t>
      </w:r>
      <w:r w:rsidRPr="00240B41">
        <w:rPr>
          <w:spacing w:val="-5"/>
        </w:rPr>
        <w:t xml:space="preserve"> </w:t>
      </w:r>
      <w:r w:rsidRPr="00240B41">
        <w:t>challenged</w:t>
      </w:r>
      <w:r w:rsidRPr="00240B41">
        <w:rPr>
          <w:spacing w:val="-5"/>
        </w:rPr>
        <w:t xml:space="preserve"> </w:t>
      </w:r>
      <w:r w:rsidRPr="00240B41">
        <w:t>by</w:t>
      </w:r>
      <w:r w:rsidRPr="00240B41">
        <w:rPr>
          <w:spacing w:val="-5"/>
        </w:rPr>
        <w:t xml:space="preserve"> </w:t>
      </w:r>
      <w:r w:rsidR="00C664DD" w:rsidRPr="00240B41">
        <w:t>the a</w:t>
      </w:r>
      <w:r w:rsidRPr="00240B41">
        <w:t xml:space="preserve">pplicant. </w:t>
      </w:r>
    </w:p>
    <w:p w:rsidR="00287BCE" w:rsidRPr="00C06573" w:rsidRDefault="00CE6502" w:rsidP="00287BCE">
      <w:pPr>
        <w:pStyle w:val="ParaNumbering"/>
        <w:rPr>
          <w:szCs w:val="24"/>
        </w:rPr>
      </w:pPr>
      <w:r>
        <w:t>Person 24 is a witness called by the respondents in these proceedings. He commenced his evidence on 14 March 2022. It is relevant to note</w:t>
      </w:r>
      <w:r w:rsidR="00287BCE" w:rsidRPr="00C06573">
        <w:t xml:space="preserve"> that although Person 24 has been stood down from giving evidence, he has not been released</w:t>
      </w:r>
      <w:r w:rsidR="00C06573" w:rsidRPr="00C06573">
        <w:t>,</w:t>
      </w:r>
      <w:r w:rsidR="00287BCE" w:rsidRPr="00C06573">
        <w:t xml:space="preserve"> pending the resolution of this application. </w:t>
      </w:r>
    </w:p>
    <w:p w:rsidR="00E35364" w:rsidRPr="00240B41" w:rsidRDefault="006666BC" w:rsidP="00E35364">
      <w:pPr>
        <w:pStyle w:val="ParaNumbering"/>
        <w:tabs>
          <w:tab w:val="left" w:pos="720"/>
        </w:tabs>
        <w:rPr>
          <w:szCs w:val="24"/>
        </w:rPr>
      </w:pPr>
      <w:r w:rsidRPr="00240B41">
        <w:t xml:space="preserve">Orders pursuant to s 38B of the </w:t>
      </w:r>
      <w:r w:rsidRPr="00240B41">
        <w:rPr>
          <w:i/>
        </w:rPr>
        <w:t xml:space="preserve">National Security Information (Criminal and Civil Proceedings) Act 2004 </w:t>
      </w:r>
      <w:r w:rsidRPr="00240B41">
        <w:t>(</w:t>
      </w:r>
      <w:proofErr w:type="spellStart"/>
      <w:r w:rsidRPr="00240B41">
        <w:t>Cth</w:t>
      </w:r>
      <w:proofErr w:type="spellEnd"/>
      <w:r w:rsidRPr="00240B41">
        <w:t>) (NSI</w:t>
      </w:r>
      <w:r w:rsidRPr="00240B41">
        <w:rPr>
          <w:spacing w:val="-2"/>
        </w:rPr>
        <w:t xml:space="preserve"> </w:t>
      </w:r>
      <w:r w:rsidRPr="00240B41">
        <w:t xml:space="preserve">Act) have previously been made, the most recent version being on </w:t>
      </w:r>
      <w:r w:rsidR="00D4457D" w:rsidRPr="00240B41">
        <w:t>6 December 2021</w:t>
      </w:r>
      <w:r w:rsidRPr="00240B41">
        <w:t xml:space="preserve"> (the NSI orders), which dictates the manner in which certain information must be handled in these proceedings. In addition, a confidential affidavit was relied on by the IGADF in support of</w:t>
      </w:r>
      <w:r w:rsidR="001042AD" w:rsidRPr="00240B41">
        <w:t xml:space="preserve"> his claims. T</w:t>
      </w:r>
      <w:r w:rsidRPr="00240B41">
        <w:t>o enable the parties to advance their positions it was necessary</w:t>
      </w:r>
      <w:r w:rsidR="00621826" w:rsidRPr="00240B41">
        <w:t xml:space="preserve"> to</w:t>
      </w:r>
      <w:r w:rsidRPr="00240B41">
        <w:t xml:space="preserve"> </w:t>
      </w:r>
      <w:r w:rsidR="00125404" w:rsidRPr="00240B41">
        <w:t xml:space="preserve">conduct part of this </w:t>
      </w:r>
      <w:r w:rsidRPr="00240B41">
        <w:t>appli</w:t>
      </w:r>
      <w:r w:rsidR="00125404" w:rsidRPr="00240B41">
        <w:t xml:space="preserve">cation </w:t>
      </w:r>
      <w:r w:rsidRPr="00240B41">
        <w:t xml:space="preserve">in closed court. </w:t>
      </w:r>
    </w:p>
    <w:p w:rsidR="00287BCE" w:rsidRPr="003C2F66" w:rsidRDefault="00F16F88" w:rsidP="006F3ABE">
      <w:pPr>
        <w:pStyle w:val="ParaNumbering"/>
        <w:tabs>
          <w:tab w:val="left" w:pos="720"/>
        </w:tabs>
        <w:rPr>
          <w:szCs w:val="24"/>
        </w:rPr>
      </w:pPr>
      <w:r w:rsidRPr="00F977F7">
        <w:t>As a consequence</w:t>
      </w:r>
      <w:r w:rsidR="003C2F66" w:rsidRPr="00F977F7">
        <w:t>,</w:t>
      </w:r>
      <w:r w:rsidRPr="003C2F66">
        <w:t xml:space="preserve"> I am constrained as to what can be said in an open judgment</w:t>
      </w:r>
      <w:r w:rsidR="00CC7DFC" w:rsidRPr="003C2F66">
        <w:t xml:space="preserve"> and, as such</w:t>
      </w:r>
      <w:r w:rsidR="00185CA3">
        <w:t>,</w:t>
      </w:r>
      <w:r w:rsidRPr="003C2F66">
        <w:t xml:space="preserve"> </w:t>
      </w:r>
      <w:r w:rsidR="00CC7DFC" w:rsidRPr="003C2F66">
        <w:t xml:space="preserve">I elaborate on </w:t>
      </w:r>
      <w:r w:rsidR="00576970" w:rsidRPr="003C2F66">
        <w:t xml:space="preserve">some of </w:t>
      </w:r>
      <w:r w:rsidR="00CC7DFC" w:rsidRPr="003C2F66">
        <w:t>the</w:t>
      </w:r>
      <w:r w:rsidRPr="003C2F66">
        <w:t xml:space="preserve"> matters </w:t>
      </w:r>
      <w:r w:rsidR="00CC7DFC" w:rsidRPr="003C2F66">
        <w:t xml:space="preserve">referred </w:t>
      </w:r>
      <w:r w:rsidR="00576970" w:rsidRPr="003C2F66">
        <w:t>to below and the submissions</w:t>
      </w:r>
      <w:r w:rsidR="001042AD" w:rsidRPr="003C2F66">
        <w:t xml:space="preserve"> advanced in closed court, </w:t>
      </w:r>
      <w:r w:rsidR="006F3ABE" w:rsidRPr="003C2F66">
        <w:t xml:space="preserve">in brief </w:t>
      </w:r>
      <w:r w:rsidRPr="003C2F66">
        <w:t>confidential reasons</w:t>
      </w:r>
      <w:r w:rsidR="005459E4" w:rsidRPr="003C2F66">
        <w:t xml:space="preserve"> which are supplementary to these reasons</w:t>
      </w:r>
      <w:r w:rsidRPr="003C2F66">
        <w:t>.</w:t>
      </w:r>
    </w:p>
    <w:p w:rsidR="006666BC" w:rsidRPr="009C3051" w:rsidRDefault="006F3ABE" w:rsidP="009C3051">
      <w:pPr>
        <w:pStyle w:val="ParaNumbering"/>
        <w:tabs>
          <w:tab w:val="left" w:pos="720"/>
        </w:tabs>
        <w:rPr>
          <w:szCs w:val="24"/>
        </w:rPr>
      </w:pPr>
      <w:r w:rsidRPr="003C2F66">
        <w:lastRenderedPageBreak/>
        <w:t>For the reasons given below and the confidential reasons</w:t>
      </w:r>
      <w:r w:rsidR="00CC362B" w:rsidRPr="003C2F66">
        <w:t>, the claim of public inter</w:t>
      </w:r>
      <w:r w:rsidR="00125404" w:rsidRPr="003C2F66">
        <w:t xml:space="preserve">est immunity made by the IGADF </w:t>
      </w:r>
      <w:r w:rsidR="009C3051" w:rsidRPr="003C2F66">
        <w:t>is not established</w:t>
      </w:r>
      <w:r w:rsidR="006666BC" w:rsidRPr="003C2F66">
        <w:rPr>
          <w:szCs w:val="24"/>
        </w:rPr>
        <w:t>.</w:t>
      </w:r>
      <w:r w:rsidR="009C3051">
        <w:rPr>
          <w:szCs w:val="24"/>
        </w:rPr>
        <w:t xml:space="preserve"> </w:t>
      </w:r>
    </w:p>
    <w:p w:rsidR="00FB2F5C" w:rsidRPr="003F6025" w:rsidRDefault="00FB2F5C" w:rsidP="001F52F3">
      <w:pPr>
        <w:pStyle w:val="Heading2"/>
      </w:pPr>
      <w:r w:rsidRPr="003F6025">
        <w:t xml:space="preserve">Material relied on </w:t>
      </w:r>
    </w:p>
    <w:p w:rsidR="002A53FB" w:rsidRDefault="009C3051" w:rsidP="00006CCB">
      <w:pPr>
        <w:pStyle w:val="ParaNumbering"/>
        <w:rPr>
          <w:szCs w:val="24"/>
        </w:rPr>
      </w:pPr>
      <w:r>
        <w:rPr>
          <w:szCs w:val="24"/>
        </w:rPr>
        <w:t xml:space="preserve">The applicant </w:t>
      </w:r>
      <w:r w:rsidR="00B530F2">
        <w:rPr>
          <w:szCs w:val="24"/>
        </w:rPr>
        <w:t xml:space="preserve">read the affidavit of Monica Helen Allen, </w:t>
      </w:r>
      <w:r w:rsidR="004308F1">
        <w:rPr>
          <w:szCs w:val="24"/>
        </w:rPr>
        <w:t xml:space="preserve">a </w:t>
      </w:r>
      <w:r w:rsidR="00287414">
        <w:rPr>
          <w:szCs w:val="24"/>
        </w:rPr>
        <w:t xml:space="preserve">solicitor for the applicant, </w:t>
      </w:r>
      <w:r w:rsidR="00B530F2">
        <w:rPr>
          <w:szCs w:val="24"/>
        </w:rPr>
        <w:t>dated 16 March 2022, which annexed a copy of the transcript of Person 24’s evidence given on 14 March 2022.</w:t>
      </w:r>
      <w:r w:rsidR="00E41A8B">
        <w:rPr>
          <w:szCs w:val="24"/>
        </w:rPr>
        <w:t xml:space="preserve"> </w:t>
      </w:r>
    </w:p>
    <w:p w:rsidR="002A53FB" w:rsidRDefault="002A53FB" w:rsidP="00006CCB">
      <w:pPr>
        <w:pStyle w:val="ParaNumbering"/>
        <w:rPr>
          <w:szCs w:val="24"/>
        </w:rPr>
      </w:pPr>
      <w:r>
        <w:rPr>
          <w:szCs w:val="24"/>
        </w:rPr>
        <w:t xml:space="preserve">The applicant </w:t>
      </w:r>
      <w:r w:rsidR="00E41A8B">
        <w:rPr>
          <w:szCs w:val="24"/>
        </w:rPr>
        <w:t xml:space="preserve">also tendered the </w:t>
      </w:r>
      <w:r>
        <w:rPr>
          <w:szCs w:val="24"/>
        </w:rPr>
        <w:t>following documents:</w:t>
      </w:r>
    </w:p>
    <w:p w:rsidR="00A2624A" w:rsidRDefault="002A53FB" w:rsidP="004D0462">
      <w:pPr>
        <w:pStyle w:val="ListNo1"/>
      </w:pPr>
      <w:r>
        <w:t xml:space="preserve">an </w:t>
      </w:r>
      <w:r w:rsidR="00E41A8B">
        <w:t>affidavit of Peter Llewellyn Bartlett, a solicitor for the respondents, dated 15 March 2021</w:t>
      </w:r>
      <w:r w:rsidR="000F3F38">
        <w:t xml:space="preserve"> (which</w:t>
      </w:r>
      <w:r w:rsidR="00D960F0">
        <w:t>, relevantly,</w:t>
      </w:r>
      <w:r w:rsidR="000F3F38">
        <w:t xml:space="preserve"> was relied on by the respondents in respect of an application to subpoena certain </w:t>
      </w:r>
      <w:r w:rsidR="002C5651">
        <w:t>witnesses</w:t>
      </w:r>
      <w:r w:rsidR="00DB48D4">
        <w:t>, including Person 24,</w:t>
      </w:r>
      <w:r w:rsidR="002C5651">
        <w:t xml:space="preserve"> to give evide</w:t>
      </w:r>
      <w:r w:rsidR="002C5651" w:rsidRPr="00B61574">
        <w:t xml:space="preserve">nce: see </w:t>
      </w:r>
      <w:r w:rsidR="000F3F38" w:rsidRPr="00896269">
        <w:rPr>
          <w:i/>
        </w:rPr>
        <w:t>Roberts-Smith v Fair</w:t>
      </w:r>
      <w:r w:rsidR="00642C3A" w:rsidRPr="00896269">
        <w:rPr>
          <w:i/>
        </w:rPr>
        <w:t>f</w:t>
      </w:r>
      <w:r w:rsidR="000F3F38" w:rsidRPr="00896269">
        <w:rPr>
          <w:i/>
        </w:rPr>
        <w:t xml:space="preserve">ax Media Publications Pty Limited (No 12) </w:t>
      </w:r>
      <w:r w:rsidR="000F3F38" w:rsidRPr="00896269">
        <w:t>[2021] FCA 465</w:t>
      </w:r>
      <w:r w:rsidR="00642C3A" w:rsidRPr="00B61574">
        <w:t xml:space="preserve"> </w:t>
      </w:r>
      <w:r w:rsidR="002A10AB" w:rsidRPr="00B61574">
        <w:t>(</w:t>
      </w:r>
      <w:r w:rsidR="002A10AB" w:rsidRPr="00B61574">
        <w:rPr>
          <w:i/>
        </w:rPr>
        <w:t>Roberts-S</w:t>
      </w:r>
      <w:r w:rsidR="002A10AB">
        <w:rPr>
          <w:i/>
        </w:rPr>
        <w:t xml:space="preserve">mith (No 12) </w:t>
      </w:r>
      <w:r w:rsidR="00635791">
        <w:t>at [50]-[52]</w:t>
      </w:r>
      <w:r w:rsidR="00642C3A">
        <w:t>)</w:t>
      </w:r>
      <w:r>
        <w:t>; and</w:t>
      </w:r>
    </w:p>
    <w:p w:rsidR="002A53FB" w:rsidRPr="00A2624A" w:rsidRDefault="002A53FB" w:rsidP="004D0462">
      <w:pPr>
        <w:pStyle w:val="ListNo1"/>
      </w:pPr>
      <w:r>
        <w:t>a copy of the transcript of Person 24’s evidence given on 15 March 2022.</w:t>
      </w:r>
    </w:p>
    <w:p w:rsidR="00A61E5C" w:rsidRDefault="00A44A31" w:rsidP="00006CCB">
      <w:pPr>
        <w:pStyle w:val="ParaNumbering"/>
      </w:pPr>
      <w:r>
        <w:t xml:space="preserve">The IGADF read an open affidavit of Mr James Morgan Gaynor sworn on 20 September 2021 (Open Gaynor Affidavit) and a confidential affidavit of Mr Gaynor </w:t>
      </w:r>
      <w:r w:rsidR="002A4A3A">
        <w:t>sworn</w:t>
      </w:r>
      <w:r>
        <w:t xml:space="preserve"> on 20 September 2021 (Closed Gaynor Affidavit).</w:t>
      </w:r>
      <w:r w:rsidR="00BD7F4E">
        <w:t xml:space="preserve"> </w:t>
      </w:r>
      <w:r w:rsidR="00D32853">
        <w:t>It also read the affidavit of Stacey Ha</w:t>
      </w:r>
      <w:r w:rsidR="00356C2E">
        <w:t>hn, a solicitor for the IGADF, dated 17 March 2022, w</w:t>
      </w:r>
      <w:r w:rsidR="00D32853">
        <w:t>hich annexed a bundle of subpoenas to produce documents addressed to the Department of Defence</w:t>
      </w:r>
      <w:r w:rsidR="003F4EBB">
        <w:t xml:space="preserve"> in relation to Whiskey 108</w:t>
      </w:r>
      <w:r w:rsidR="00D32853">
        <w:t>.</w:t>
      </w:r>
    </w:p>
    <w:p w:rsidR="00151F87" w:rsidRDefault="00151F87" w:rsidP="00006CCB">
      <w:pPr>
        <w:pStyle w:val="ParaNumbering"/>
      </w:pPr>
      <w:r>
        <w:t xml:space="preserve">The IGADF tendered extracts of the transcript of certain evidence given in open court by Persons 24, 41, </w:t>
      </w:r>
      <w:r w:rsidR="003B11A3">
        <w:t xml:space="preserve">14, </w:t>
      </w:r>
      <w:r>
        <w:t>40, 42, 18 and 43.</w:t>
      </w:r>
    </w:p>
    <w:p w:rsidR="00A2624A" w:rsidRDefault="00A61E5C" w:rsidP="00006CCB">
      <w:pPr>
        <w:pStyle w:val="ParaNumbering"/>
      </w:pPr>
      <w:r>
        <w:t>Both the applicant and the IGADF tendered documents in closed court</w:t>
      </w:r>
      <w:r w:rsidR="008805DC">
        <w:t xml:space="preserve"> </w:t>
      </w:r>
      <w:r>
        <w:t>which I have referred to in the confidential judgment</w:t>
      </w:r>
      <w:r w:rsidR="000F13F5">
        <w:t xml:space="preserve"> where appropriate</w:t>
      </w:r>
      <w:r w:rsidR="004D0462">
        <w:t xml:space="preserve">. </w:t>
      </w:r>
    </w:p>
    <w:p w:rsidR="00A2624A" w:rsidRDefault="00FB2F5C" w:rsidP="004D0462">
      <w:pPr>
        <w:pStyle w:val="Heading2"/>
      </w:pPr>
      <w:r w:rsidRPr="00FB2F5C">
        <w:t>Legal principles</w:t>
      </w:r>
    </w:p>
    <w:p w:rsidR="00125404" w:rsidRPr="00240B41" w:rsidRDefault="00125404" w:rsidP="00125404">
      <w:pPr>
        <w:pStyle w:val="ParaNumbering"/>
        <w:tabs>
          <w:tab w:val="left" w:pos="720"/>
        </w:tabs>
        <w:rPr>
          <w:szCs w:val="24"/>
        </w:rPr>
      </w:pPr>
      <w:r w:rsidRPr="00240B41">
        <w:t xml:space="preserve">I have summarised those principles </w:t>
      </w:r>
      <w:r w:rsidR="00C14917" w:rsidRPr="00240B41">
        <w:t xml:space="preserve">relevant to a claim of public interest immunity </w:t>
      </w:r>
      <w:r w:rsidRPr="00240B41">
        <w:t xml:space="preserve">in </w:t>
      </w:r>
      <w:r w:rsidRPr="00240B41">
        <w:rPr>
          <w:i/>
          <w:szCs w:val="24"/>
        </w:rPr>
        <w:t>Roberts-Smith v Fairfax Media Publications Pty Limited (No 14)</w:t>
      </w:r>
      <w:r w:rsidRPr="00240B41">
        <w:rPr>
          <w:szCs w:val="24"/>
        </w:rPr>
        <w:t xml:space="preserve"> [2021] FCA 552 (</w:t>
      </w:r>
      <w:r w:rsidRPr="00240B41">
        <w:rPr>
          <w:i/>
          <w:szCs w:val="24"/>
        </w:rPr>
        <w:t>Roberts-Smith (No 14)</w:t>
      </w:r>
      <w:r w:rsidRPr="00240B41">
        <w:rPr>
          <w:szCs w:val="24"/>
        </w:rPr>
        <w:t xml:space="preserve">) at [10]-[26] and </w:t>
      </w:r>
      <w:r w:rsidRPr="00240B41">
        <w:rPr>
          <w:i/>
          <w:szCs w:val="24"/>
        </w:rPr>
        <w:t>Roberts-Smith v Fairfax Media Publications Pty Limited (No 15)</w:t>
      </w:r>
      <w:r w:rsidRPr="00240B41">
        <w:rPr>
          <w:szCs w:val="24"/>
        </w:rPr>
        <w:t xml:space="preserve"> [2021] FCA 582 (</w:t>
      </w:r>
      <w:r w:rsidRPr="00240B41">
        <w:rPr>
          <w:i/>
          <w:szCs w:val="24"/>
        </w:rPr>
        <w:t>Roberts-Smith (No 15)</w:t>
      </w:r>
      <w:r w:rsidR="00C14917" w:rsidRPr="00240B41">
        <w:rPr>
          <w:szCs w:val="24"/>
        </w:rPr>
        <w:t xml:space="preserve">) at [5] </w:t>
      </w:r>
      <w:r w:rsidRPr="00240B41">
        <w:rPr>
          <w:szCs w:val="24"/>
        </w:rPr>
        <w:t xml:space="preserve">and it is unnecessary to repeat them here. </w:t>
      </w:r>
      <w:r w:rsidR="00C14917" w:rsidRPr="00240B41">
        <w:rPr>
          <w:szCs w:val="24"/>
        </w:rPr>
        <w:t xml:space="preserve">They are not in dispute. </w:t>
      </w:r>
    </w:p>
    <w:p w:rsidR="00C14917" w:rsidRDefault="00C14917" w:rsidP="00006CCB">
      <w:pPr>
        <w:pStyle w:val="ParaNumbering"/>
      </w:pPr>
      <w:r>
        <w:lastRenderedPageBreak/>
        <w:t xml:space="preserve">That said, given this application is made in circumstances where a previous claim of public interest immunity by the IGADF has been upheld in respect to the very material now sought, it is appropriate to </w:t>
      </w:r>
      <w:r w:rsidR="000E2A40">
        <w:t xml:space="preserve">briefly address </w:t>
      </w:r>
      <w:r w:rsidR="00ED2595">
        <w:t>the</w:t>
      </w:r>
      <w:r w:rsidR="00B72031">
        <w:t xml:space="preserve"> principles relevant to </w:t>
      </w:r>
      <w:r w:rsidR="00063727">
        <w:t>when an interlocutory ruling can be revisited</w:t>
      </w:r>
      <w:r w:rsidR="00AC4F6D">
        <w:t>.</w:t>
      </w:r>
    </w:p>
    <w:p w:rsidR="009E28A2" w:rsidRPr="00240B41" w:rsidRDefault="00FA7AA0" w:rsidP="009E28A2">
      <w:pPr>
        <w:pStyle w:val="ParaNumbering"/>
      </w:pPr>
      <w:r w:rsidRPr="00240B41">
        <w:t xml:space="preserve">In </w:t>
      </w:r>
      <w:proofErr w:type="spellStart"/>
      <w:r w:rsidRPr="00240B41">
        <w:rPr>
          <w:i/>
        </w:rPr>
        <w:t>Brimaud</w:t>
      </w:r>
      <w:proofErr w:type="spellEnd"/>
      <w:r w:rsidRPr="00240B41">
        <w:rPr>
          <w:i/>
        </w:rPr>
        <w:t xml:space="preserve"> v </w:t>
      </w:r>
      <w:proofErr w:type="spellStart"/>
      <w:r w:rsidRPr="00240B41">
        <w:rPr>
          <w:i/>
        </w:rPr>
        <w:t>Honeysett</w:t>
      </w:r>
      <w:proofErr w:type="spellEnd"/>
      <w:r w:rsidRPr="00240B41">
        <w:rPr>
          <w:i/>
        </w:rPr>
        <w:t xml:space="preserve"> Instant Print Pty Ltd </w:t>
      </w:r>
      <w:r w:rsidRPr="00240B41">
        <w:t>(19</w:t>
      </w:r>
      <w:r w:rsidR="003E5F22" w:rsidRPr="00240B41">
        <w:t>8</w:t>
      </w:r>
      <w:r w:rsidRPr="00240B41">
        <w:t xml:space="preserve">8) 217 ALR 44 at 46-47, </w:t>
      </w:r>
      <w:proofErr w:type="spellStart"/>
      <w:r w:rsidRPr="00240B41">
        <w:t>McLelland</w:t>
      </w:r>
      <w:proofErr w:type="spellEnd"/>
      <w:r w:rsidRPr="00240B41">
        <w:t xml:space="preserve"> J</w:t>
      </w:r>
      <w:r w:rsidRPr="00240B41">
        <w:rPr>
          <w:spacing w:val="-1"/>
        </w:rPr>
        <w:t xml:space="preserve"> </w:t>
      </w:r>
      <w:r w:rsidR="00FA7876" w:rsidRPr="00240B41">
        <w:t>observed</w:t>
      </w:r>
      <w:r w:rsidRPr="00240B41">
        <w:t>:</w:t>
      </w:r>
    </w:p>
    <w:p w:rsidR="009E28A2" w:rsidRPr="00F50B4A" w:rsidRDefault="00FA7AA0" w:rsidP="004D0462">
      <w:pPr>
        <w:pStyle w:val="Quote1"/>
      </w:pPr>
      <w:r w:rsidRPr="00F50B4A">
        <w:t>Interlocutory orders, of their very nature, create no res judicata or estoppel, and the</w:t>
      </w:r>
      <w:r w:rsidRPr="00F50B4A">
        <w:rPr>
          <w:spacing w:val="-14"/>
        </w:rPr>
        <w:t xml:space="preserve"> </w:t>
      </w:r>
      <w:r w:rsidRPr="00F50B4A">
        <w:t>court</w:t>
      </w:r>
      <w:r w:rsidRPr="00F50B4A">
        <w:rPr>
          <w:spacing w:val="-14"/>
        </w:rPr>
        <w:t xml:space="preserve"> </w:t>
      </w:r>
      <w:r w:rsidRPr="00F50B4A">
        <w:t>retains</w:t>
      </w:r>
      <w:r w:rsidRPr="00F50B4A">
        <w:rPr>
          <w:spacing w:val="-13"/>
        </w:rPr>
        <w:t xml:space="preserve"> </w:t>
      </w:r>
      <w:r w:rsidRPr="00F50B4A">
        <w:t>jurisdiction</w:t>
      </w:r>
      <w:r w:rsidRPr="00F50B4A">
        <w:rPr>
          <w:spacing w:val="-14"/>
        </w:rPr>
        <w:t xml:space="preserve"> </w:t>
      </w:r>
      <w:r w:rsidRPr="00F50B4A">
        <w:t>to</w:t>
      </w:r>
      <w:r w:rsidRPr="00F50B4A">
        <w:rPr>
          <w:spacing w:val="-13"/>
        </w:rPr>
        <w:t xml:space="preserve"> </w:t>
      </w:r>
      <w:r w:rsidRPr="00F50B4A">
        <w:t>set</w:t>
      </w:r>
      <w:r w:rsidRPr="00F50B4A">
        <w:rPr>
          <w:spacing w:val="-14"/>
        </w:rPr>
        <w:t xml:space="preserve"> </w:t>
      </w:r>
      <w:r w:rsidRPr="00F50B4A">
        <w:t>aside,</w:t>
      </w:r>
      <w:r w:rsidRPr="00F50B4A">
        <w:rPr>
          <w:spacing w:val="-14"/>
        </w:rPr>
        <w:t xml:space="preserve"> </w:t>
      </w:r>
      <w:r w:rsidRPr="00F50B4A">
        <w:t>vary</w:t>
      </w:r>
      <w:r w:rsidRPr="00F50B4A">
        <w:rPr>
          <w:spacing w:val="-13"/>
        </w:rPr>
        <w:t xml:space="preserve"> </w:t>
      </w:r>
      <w:r w:rsidRPr="00F50B4A">
        <w:t>or</w:t>
      </w:r>
      <w:r w:rsidRPr="00F50B4A">
        <w:rPr>
          <w:spacing w:val="-14"/>
        </w:rPr>
        <w:t xml:space="preserve"> </w:t>
      </w:r>
      <w:r w:rsidRPr="00F50B4A">
        <w:t>discharge</w:t>
      </w:r>
      <w:r w:rsidRPr="00F50B4A">
        <w:rPr>
          <w:spacing w:val="-13"/>
        </w:rPr>
        <w:t xml:space="preserve"> </w:t>
      </w:r>
      <w:r w:rsidRPr="00F50B4A">
        <w:t>an</w:t>
      </w:r>
      <w:r w:rsidRPr="00F50B4A">
        <w:rPr>
          <w:spacing w:val="-14"/>
        </w:rPr>
        <w:t xml:space="preserve"> </w:t>
      </w:r>
      <w:r w:rsidRPr="00F50B4A">
        <w:t>interlocutory</w:t>
      </w:r>
      <w:r w:rsidRPr="00F50B4A">
        <w:rPr>
          <w:spacing w:val="-13"/>
        </w:rPr>
        <w:t xml:space="preserve"> </w:t>
      </w:r>
      <w:r w:rsidRPr="00F50B4A">
        <w:t>order up to the time of the final disposition of the proceedings. However the general rationale</w:t>
      </w:r>
      <w:r w:rsidRPr="00F50B4A">
        <w:rPr>
          <w:spacing w:val="-16"/>
        </w:rPr>
        <w:t xml:space="preserve"> </w:t>
      </w:r>
      <w:r w:rsidRPr="00F50B4A">
        <w:t>of</w:t>
      </w:r>
      <w:r w:rsidRPr="00F50B4A">
        <w:rPr>
          <w:spacing w:val="-16"/>
        </w:rPr>
        <w:t xml:space="preserve"> </w:t>
      </w:r>
      <w:r w:rsidRPr="00F50B4A">
        <w:t>the</w:t>
      </w:r>
      <w:r w:rsidRPr="00F50B4A">
        <w:rPr>
          <w:spacing w:val="-15"/>
        </w:rPr>
        <w:t xml:space="preserve"> </w:t>
      </w:r>
      <w:r w:rsidRPr="00F50B4A">
        <w:t>principles</w:t>
      </w:r>
      <w:r w:rsidRPr="00F50B4A">
        <w:rPr>
          <w:spacing w:val="-16"/>
        </w:rPr>
        <w:t xml:space="preserve"> </w:t>
      </w:r>
      <w:r w:rsidRPr="00F50B4A">
        <w:t>last</w:t>
      </w:r>
      <w:r w:rsidRPr="00F50B4A">
        <w:rPr>
          <w:spacing w:val="-16"/>
        </w:rPr>
        <w:t xml:space="preserve"> </w:t>
      </w:r>
      <w:r w:rsidRPr="00F50B4A">
        <w:t>referred</w:t>
      </w:r>
      <w:r w:rsidRPr="00F50B4A">
        <w:rPr>
          <w:spacing w:val="-15"/>
        </w:rPr>
        <w:t xml:space="preserve"> </w:t>
      </w:r>
      <w:r w:rsidRPr="00F50B4A">
        <w:t>to</w:t>
      </w:r>
      <w:r w:rsidRPr="00F50B4A">
        <w:rPr>
          <w:spacing w:val="-16"/>
        </w:rPr>
        <w:t xml:space="preserve"> </w:t>
      </w:r>
      <w:r w:rsidRPr="00F50B4A">
        <w:t>applies</w:t>
      </w:r>
      <w:r w:rsidRPr="00F50B4A">
        <w:rPr>
          <w:spacing w:val="-15"/>
        </w:rPr>
        <w:t xml:space="preserve"> </w:t>
      </w:r>
      <w:r w:rsidRPr="00F50B4A">
        <w:t>even</w:t>
      </w:r>
      <w:r w:rsidRPr="00F50B4A">
        <w:rPr>
          <w:spacing w:val="-16"/>
        </w:rPr>
        <w:t xml:space="preserve"> </w:t>
      </w:r>
      <w:r w:rsidRPr="00F50B4A">
        <w:t>in</w:t>
      </w:r>
      <w:r w:rsidRPr="00F50B4A">
        <w:rPr>
          <w:spacing w:val="-16"/>
        </w:rPr>
        <w:t xml:space="preserve"> </w:t>
      </w:r>
      <w:r w:rsidRPr="00F50B4A">
        <w:t>the</w:t>
      </w:r>
      <w:r w:rsidRPr="00F50B4A">
        <w:rPr>
          <w:spacing w:val="-15"/>
        </w:rPr>
        <w:t xml:space="preserve"> </w:t>
      </w:r>
      <w:r w:rsidRPr="00F50B4A">
        <w:t>case</w:t>
      </w:r>
      <w:r w:rsidRPr="00F50B4A">
        <w:rPr>
          <w:spacing w:val="-16"/>
        </w:rPr>
        <w:t xml:space="preserve"> </w:t>
      </w:r>
      <w:r w:rsidRPr="00F50B4A">
        <w:t>of</w:t>
      </w:r>
      <w:r w:rsidRPr="00F50B4A">
        <w:rPr>
          <w:spacing w:val="-15"/>
        </w:rPr>
        <w:t xml:space="preserve"> </w:t>
      </w:r>
      <w:r w:rsidRPr="00F50B4A">
        <w:t xml:space="preserve">interlocutory orders. It would be conducive to great injustice and enormous waste of judicial time and resources if there were no limit on the power of a party to have any interlocutory application or order </w:t>
      </w:r>
      <w:proofErr w:type="spellStart"/>
      <w:r w:rsidRPr="00F50B4A">
        <w:t>relitigated</w:t>
      </w:r>
      <w:proofErr w:type="spellEnd"/>
      <w:r w:rsidRPr="00F50B4A">
        <w:t xml:space="preserve"> at</w:t>
      </w:r>
      <w:r w:rsidRPr="00F50B4A">
        <w:rPr>
          <w:spacing w:val="-2"/>
        </w:rPr>
        <w:t xml:space="preserve"> </w:t>
      </w:r>
      <w:r w:rsidRPr="00F50B4A">
        <w:t>will.</w:t>
      </w:r>
    </w:p>
    <w:p w:rsidR="009E28A2" w:rsidRPr="00F50B4A" w:rsidRDefault="00FA7AA0" w:rsidP="004D0462">
      <w:pPr>
        <w:pStyle w:val="Quote1"/>
      </w:pPr>
      <w:r w:rsidRPr="00F50B4A">
        <w:t>The overriding principle governing the approach of the court to interlocutory applications is that the court should do whatever the interests of justice require in the particular circumstances of the case. In giving effect to that general principle, and in recognition of the public and private interests earlier referred to, rules of practice have been developed in accordance with which the discretionary power of the court to set aside, vary or discharge interlocutory orders will ordinarily be exercised. Not all kinds of interlocutory orders attract the</w:t>
      </w:r>
      <w:r w:rsidRPr="00F50B4A">
        <w:rPr>
          <w:spacing w:val="-5"/>
        </w:rPr>
        <w:t xml:space="preserve"> </w:t>
      </w:r>
      <w:r w:rsidRPr="00F50B4A">
        <w:t>same</w:t>
      </w:r>
      <w:r w:rsidRPr="00F50B4A">
        <w:rPr>
          <w:spacing w:val="-5"/>
        </w:rPr>
        <w:t xml:space="preserve"> </w:t>
      </w:r>
      <w:r w:rsidRPr="00F50B4A">
        <w:t>considerations.</w:t>
      </w:r>
      <w:r w:rsidRPr="00F50B4A">
        <w:rPr>
          <w:spacing w:val="-5"/>
        </w:rPr>
        <w:t xml:space="preserve"> </w:t>
      </w:r>
      <w:r w:rsidRPr="00F50B4A">
        <w:t>For</w:t>
      </w:r>
      <w:r w:rsidRPr="00F50B4A">
        <w:rPr>
          <w:spacing w:val="-4"/>
        </w:rPr>
        <w:t xml:space="preserve"> </w:t>
      </w:r>
      <w:r w:rsidRPr="00F50B4A">
        <w:t>present</w:t>
      </w:r>
      <w:r w:rsidRPr="00F50B4A">
        <w:rPr>
          <w:spacing w:val="-5"/>
        </w:rPr>
        <w:t xml:space="preserve"> </w:t>
      </w:r>
      <w:r w:rsidRPr="00F50B4A">
        <w:t>purposes</w:t>
      </w:r>
      <w:r w:rsidRPr="00F50B4A">
        <w:rPr>
          <w:spacing w:val="-5"/>
        </w:rPr>
        <w:t xml:space="preserve"> </w:t>
      </w:r>
      <w:r w:rsidRPr="00F50B4A">
        <w:t>one</w:t>
      </w:r>
      <w:r w:rsidRPr="00F50B4A">
        <w:rPr>
          <w:spacing w:val="-4"/>
        </w:rPr>
        <w:t xml:space="preserve"> </w:t>
      </w:r>
      <w:r w:rsidRPr="00F50B4A">
        <w:t>may</w:t>
      </w:r>
      <w:r w:rsidRPr="00F50B4A">
        <w:rPr>
          <w:spacing w:val="-5"/>
        </w:rPr>
        <w:t xml:space="preserve"> </w:t>
      </w:r>
      <w:r w:rsidRPr="00F50B4A">
        <w:t>put</w:t>
      </w:r>
      <w:r w:rsidRPr="00F50B4A">
        <w:rPr>
          <w:spacing w:val="-5"/>
        </w:rPr>
        <w:t xml:space="preserve"> </w:t>
      </w:r>
      <w:r w:rsidRPr="00F50B4A">
        <w:t>to</w:t>
      </w:r>
      <w:r w:rsidRPr="00F50B4A">
        <w:rPr>
          <w:spacing w:val="-4"/>
        </w:rPr>
        <w:t xml:space="preserve"> </w:t>
      </w:r>
      <w:r w:rsidRPr="00F50B4A">
        <w:t>one</w:t>
      </w:r>
      <w:r w:rsidRPr="00F50B4A">
        <w:rPr>
          <w:spacing w:val="-5"/>
        </w:rPr>
        <w:t xml:space="preserve"> </w:t>
      </w:r>
      <w:r w:rsidRPr="00F50B4A">
        <w:t>side</w:t>
      </w:r>
      <w:r w:rsidRPr="00F50B4A">
        <w:rPr>
          <w:spacing w:val="-5"/>
        </w:rPr>
        <w:t xml:space="preserve"> </w:t>
      </w:r>
      <w:r w:rsidRPr="00F50B4A">
        <w:t>orders</w:t>
      </w:r>
      <w:r w:rsidRPr="00F50B4A">
        <w:rPr>
          <w:spacing w:val="-4"/>
        </w:rPr>
        <w:t xml:space="preserve"> </w:t>
      </w:r>
      <w:r w:rsidRPr="00F50B4A">
        <w:t xml:space="preserve">of a merely procedural nature (as to which see for example </w:t>
      </w:r>
      <w:proofErr w:type="spellStart"/>
      <w:r w:rsidRPr="00F50B4A">
        <w:rPr>
          <w:i/>
        </w:rPr>
        <w:t>Wilkshire</w:t>
      </w:r>
      <w:proofErr w:type="spellEnd"/>
      <w:r w:rsidRPr="00F50B4A">
        <w:rPr>
          <w:i/>
        </w:rPr>
        <w:t xml:space="preserve"> &amp; Coffey v Commonwealth </w:t>
      </w:r>
      <w:r w:rsidRPr="00F50B4A">
        <w:t xml:space="preserve">(1976) 9 ALR 325 and injunctions (or undertakings) made or given by agreement and without contest “until further order” (as to which see for example </w:t>
      </w:r>
      <w:r w:rsidRPr="00F50B4A">
        <w:rPr>
          <w:i/>
        </w:rPr>
        <w:t xml:space="preserve">Warringah Shire Council v Industrial Acceptance Corp </w:t>
      </w:r>
      <w:r w:rsidRPr="00F50B4A">
        <w:t>(unreported, SC</w:t>
      </w:r>
      <w:r w:rsidR="00F354AF">
        <w:t xml:space="preserve"> </w:t>
      </w:r>
      <w:r w:rsidRPr="00F50B4A">
        <w:t xml:space="preserve">(NSW), </w:t>
      </w:r>
      <w:proofErr w:type="spellStart"/>
      <w:r w:rsidRPr="00F50B4A">
        <w:t>McLelland</w:t>
      </w:r>
      <w:proofErr w:type="spellEnd"/>
      <w:r w:rsidRPr="00F50B4A">
        <w:t xml:space="preserve"> J, 22 November</w:t>
      </w:r>
      <w:r w:rsidRPr="00F50B4A">
        <w:rPr>
          <w:spacing w:val="-2"/>
        </w:rPr>
        <w:t xml:space="preserve"> </w:t>
      </w:r>
      <w:r w:rsidRPr="00F50B4A">
        <w:t>1979).</w:t>
      </w:r>
    </w:p>
    <w:p w:rsidR="00FA7AA0" w:rsidRPr="00F50B4A" w:rsidRDefault="00FA7AA0" w:rsidP="004D0462">
      <w:pPr>
        <w:pStyle w:val="Quote1"/>
      </w:pPr>
      <w:r w:rsidRPr="00F50B4A">
        <w:t xml:space="preserve">In the present case I am dealing with an interlocutory order of a substantive nature made after a contested hearing in contemplation that it would operate until the final disposition of the proceedings. In such a case the ordinary rule of practice is that an application to set aside, vary or discharge the order must be founded on a material change of circumstances since the original application was heard, or the discovery of new material which could not reasonably have been put before the court on the hearing of the original application: see </w:t>
      </w:r>
      <w:r w:rsidRPr="00F50B4A">
        <w:rPr>
          <w:i/>
        </w:rPr>
        <w:t>Woods</w:t>
      </w:r>
      <w:r w:rsidR="009E28A2" w:rsidRPr="00F50B4A">
        <w:rPr>
          <w:i/>
        </w:rPr>
        <w:t xml:space="preserve"> </w:t>
      </w:r>
      <w:r w:rsidRPr="00F50B4A">
        <w:rPr>
          <w:i/>
        </w:rPr>
        <w:t xml:space="preserve">v Sheriff of Queensland </w:t>
      </w:r>
      <w:r w:rsidRPr="00F50B4A">
        <w:t xml:space="preserve">(1895) 6 QLJ 163 at 164–5; </w:t>
      </w:r>
      <w:r w:rsidRPr="00F50B4A">
        <w:rPr>
          <w:i/>
        </w:rPr>
        <w:t xml:space="preserve">Hutchinson v Nominal Defendant </w:t>
      </w:r>
      <w:r w:rsidRPr="00F50B4A">
        <w:t xml:space="preserve">[1972] 1 NSWLR 443 at 447–8; </w:t>
      </w:r>
      <w:r w:rsidRPr="00F50B4A">
        <w:rPr>
          <w:i/>
        </w:rPr>
        <w:t>Chanel Ltd v F W Woolworth &amp;</w:t>
      </w:r>
      <w:r w:rsidRPr="00F50B4A">
        <w:rPr>
          <w:i/>
          <w:spacing w:val="-19"/>
        </w:rPr>
        <w:t xml:space="preserve"> </w:t>
      </w:r>
      <w:r w:rsidRPr="00F50B4A">
        <w:rPr>
          <w:i/>
        </w:rPr>
        <w:t xml:space="preserve">Co </w:t>
      </w:r>
      <w:r w:rsidRPr="00F50B4A">
        <w:t>[1981]</w:t>
      </w:r>
      <w:r w:rsidRPr="00F50B4A">
        <w:rPr>
          <w:spacing w:val="-15"/>
        </w:rPr>
        <w:t xml:space="preserve"> </w:t>
      </w:r>
      <w:r w:rsidRPr="00F50B4A">
        <w:t>1</w:t>
      </w:r>
      <w:r w:rsidRPr="00F50B4A">
        <w:rPr>
          <w:spacing w:val="-14"/>
        </w:rPr>
        <w:t xml:space="preserve"> </w:t>
      </w:r>
      <w:r w:rsidRPr="00F50B4A">
        <w:t>All</w:t>
      </w:r>
      <w:r w:rsidRPr="00F50B4A">
        <w:rPr>
          <w:spacing w:val="-14"/>
        </w:rPr>
        <w:t xml:space="preserve"> </w:t>
      </w:r>
      <w:r w:rsidRPr="00F50B4A">
        <w:t>ER</w:t>
      </w:r>
      <w:r w:rsidRPr="00F50B4A">
        <w:rPr>
          <w:spacing w:val="-15"/>
        </w:rPr>
        <w:t xml:space="preserve"> </w:t>
      </w:r>
      <w:r w:rsidRPr="00F50B4A">
        <w:t>745;</w:t>
      </w:r>
      <w:r w:rsidRPr="00F50B4A">
        <w:rPr>
          <w:spacing w:val="-14"/>
        </w:rPr>
        <w:t xml:space="preserve"> </w:t>
      </w:r>
      <w:r w:rsidRPr="00F50B4A">
        <w:t>[1981]</w:t>
      </w:r>
      <w:r w:rsidRPr="00F50B4A">
        <w:rPr>
          <w:spacing w:val="-14"/>
        </w:rPr>
        <w:t xml:space="preserve"> </w:t>
      </w:r>
      <w:r w:rsidRPr="00F50B4A">
        <w:t>1</w:t>
      </w:r>
      <w:r w:rsidRPr="00F50B4A">
        <w:rPr>
          <w:spacing w:val="-14"/>
        </w:rPr>
        <w:t xml:space="preserve"> </w:t>
      </w:r>
      <w:r w:rsidRPr="00F50B4A">
        <w:t>WLR</w:t>
      </w:r>
      <w:r w:rsidRPr="00F50B4A">
        <w:rPr>
          <w:spacing w:val="-15"/>
        </w:rPr>
        <w:t xml:space="preserve"> </w:t>
      </w:r>
      <w:r w:rsidRPr="00F50B4A">
        <w:t>485;</w:t>
      </w:r>
      <w:r w:rsidRPr="00F50B4A">
        <w:rPr>
          <w:spacing w:val="-14"/>
        </w:rPr>
        <w:t xml:space="preserve"> </w:t>
      </w:r>
      <w:r w:rsidRPr="00F50B4A">
        <w:rPr>
          <w:i/>
        </w:rPr>
        <w:t>Adam</w:t>
      </w:r>
      <w:r w:rsidRPr="00F50B4A">
        <w:rPr>
          <w:i/>
          <w:spacing w:val="-14"/>
        </w:rPr>
        <w:t xml:space="preserve"> </w:t>
      </w:r>
      <w:r w:rsidRPr="00F50B4A">
        <w:rPr>
          <w:i/>
        </w:rPr>
        <w:t>P</w:t>
      </w:r>
      <w:r w:rsidRPr="00F50B4A">
        <w:rPr>
          <w:i/>
          <w:spacing w:val="-14"/>
        </w:rPr>
        <w:t xml:space="preserve"> </w:t>
      </w:r>
      <w:r w:rsidRPr="00F50B4A">
        <w:rPr>
          <w:i/>
        </w:rPr>
        <w:t>Brown</w:t>
      </w:r>
      <w:r w:rsidRPr="00F50B4A">
        <w:rPr>
          <w:i/>
          <w:spacing w:val="-15"/>
        </w:rPr>
        <w:t xml:space="preserve"> </w:t>
      </w:r>
      <w:r w:rsidRPr="00F50B4A">
        <w:rPr>
          <w:i/>
        </w:rPr>
        <w:t>Male</w:t>
      </w:r>
      <w:r w:rsidRPr="00F50B4A">
        <w:rPr>
          <w:i/>
          <w:spacing w:val="-14"/>
        </w:rPr>
        <w:t xml:space="preserve"> </w:t>
      </w:r>
      <w:r w:rsidRPr="00F50B4A">
        <w:rPr>
          <w:i/>
        </w:rPr>
        <w:t>Fashions</w:t>
      </w:r>
      <w:r w:rsidRPr="00F50B4A">
        <w:rPr>
          <w:i/>
          <w:spacing w:val="-14"/>
        </w:rPr>
        <w:t xml:space="preserve"> </w:t>
      </w:r>
      <w:r w:rsidRPr="00F50B4A">
        <w:rPr>
          <w:i/>
        </w:rPr>
        <w:t>v</w:t>
      </w:r>
      <w:r w:rsidRPr="00F50B4A">
        <w:rPr>
          <w:i/>
          <w:spacing w:val="-14"/>
        </w:rPr>
        <w:t xml:space="preserve"> </w:t>
      </w:r>
      <w:r w:rsidRPr="00F50B4A">
        <w:rPr>
          <w:i/>
        </w:rPr>
        <w:t>Philip</w:t>
      </w:r>
      <w:r w:rsidR="009E28A2" w:rsidRPr="00F50B4A">
        <w:rPr>
          <w:i/>
        </w:rPr>
        <w:t xml:space="preserve"> </w:t>
      </w:r>
      <w:r w:rsidRPr="00F50B4A">
        <w:rPr>
          <w:i/>
        </w:rPr>
        <w:t>Morris</w:t>
      </w:r>
      <w:r w:rsidRPr="00F50B4A">
        <w:rPr>
          <w:i/>
          <w:spacing w:val="-14"/>
        </w:rPr>
        <w:t xml:space="preserve"> </w:t>
      </w:r>
      <w:r w:rsidRPr="00F50B4A">
        <w:t>(1981)</w:t>
      </w:r>
      <w:r w:rsidRPr="00F50B4A">
        <w:rPr>
          <w:spacing w:val="-13"/>
        </w:rPr>
        <w:t xml:space="preserve"> </w:t>
      </w:r>
      <w:r w:rsidRPr="00F50B4A">
        <w:t>148</w:t>
      </w:r>
      <w:r w:rsidRPr="00F50B4A">
        <w:rPr>
          <w:spacing w:val="-13"/>
        </w:rPr>
        <w:t xml:space="preserve"> </w:t>
      </w:r>
      <w:r w:rsidRPr="00F50B4A">
        <w:t>CLR</w:t>
      </w:r>
      <w:r w:rsidRPr="00F50B4A">
        <w:rPr>
          <w:spacing w:val="-14"/>
        </w:rPr>
        <w:t xml:space="preserve"> </w:t>
      </w:r>
      <w:r w:rsidRPr="00F50B4A">
        <w:t>170</w:t>
      </w:r>
      <w:r w:rsidRPr="00F50B4A">
        <w:rPr>
          <w:spacing w:val="-13"/>
        </w:rPr>
        <w:t xml:space="preserve"> </w:t>
      </w:r>
      <w:r w:rsidRPr="00F50B4A">
        <w:t>at</w:t>
      </w:r>
      <w:r w:rsidRPr="00F50B4A">
        <w:rPr>
          <w:spacing w:val="-13"/>
        </w:rPr>
        <w:t xml:space="preserve"> </w:t>
      </w:r>
      <w:r w:rsidRPr="00F50B4A">
        <w:t>177–8;</w:t>
      </w:r>
      <w:r w:rsidRPr="00F50B4A">
        <w:rPr>
          <w:spacing w:val="-14"/>
        </w:rPr>
        <w:t xml:space="preserve"> </w:t>
      </w:r>
      <w:r w:rsidRPr="00F50B4A">
        <w:t>35</w:t>
      </w:r>
      <w:r w:rsidRPr="00F50B4A">
        <w:rPr>
          <w:spacing w:val="-13"/>
        </w:rPr>
        <w:t xml:space="preserve"> </w:t>
      </w:r>
      <w:r w:rsidRPr="00F50B4A">
        <w:t>ALR</w:t>
      </w:r>
      <w:r w:rsidRPr="00F50B4A">
        <w:rPr>
          <w:spacing w:val="-13"/>
        </w:rPr>
        <w:t xml:space="preserve"> </w:t>
      </w:r>
      <w:r w:rsidRPr="00F50B4A">
        <w:t>625</w:t>
      </w:r>
      <w:r w:rsidRPr="00F50B4A">
        <w:rPr>
          <w:spacing w:val="-14"/>
        </w:rPr>
        <w:t xml:space="preserve"> </w:t>
      </w:r>
      <w:r w:rsidRPr="00F50B4A">
        <w:t>at</w:t>
      </w:r>
      <w:r w:rsidRPr="00F50B4A">
        <w:rPr>
          <w:spacing w:val="-13"/>
        </w:rPr>
        <w:t xml:space="preserve"> </w:t>
      </w:r>
      <w:r w:rsidRPr="00F50B4A">
        <w:t>629–30;</w:t>
      </w:r>
      <w:r w:rsidRPr="00F50B4A">
        <w:rPr>
          <w:spacing w:val="-13"/>
        </w:rPr>
        <w:t xml:space="preserve"> </w:t>
      </w:r>
      <w:r w:rsidRPr="00F50B4A">
        <w:rPr>
          <w:i/>
        </w:rPr>
        <w:t>Butt</w:t>
      </w:r>
      <w:r w:rsidRPr="00F50B4A">
        <w:rPr>
          <w:i/>
          <w:spacing w:val="-14"/>
        </w:rPr>
        <w:t xml:space="preserve"> </w:t>
      </w:r>
      <w:r w:rsidRPr="00F50B4A">
        <w:rPr>
          <w:i/>
        </w:rPr>
        <w:t>v</w:t>
      </w:r>
      <w:r w:rsidRPr="00F50B4A">
        <w:rPr>
          <w:i/>
          <w:spacing w:val="-13"/>
        </w:rPr>
        <w:t xml:space="preserve"> </w:t>
      </w:r>
      <w:r w:rsidRPr="00F50B4A">
        <w:rPr>
          <w:i/>
        </w:rPr>
        <w:t>Butt</w:t>
      </w:r>
      <w:r w:rsidRPr="00F50B4A">
        <w:rPr>
          <w:i/>
          <w:spacing w:val="-13"/>
        </w:rPr>
        <w:t xml:space="preserve"> </w:t>
      </w:r>
      <w:r w:rsidRPr="00F50B4A">
        <w:t>[1987]</w:t>
      </w:r>
      <w:r w:rsidR="009E28A2" w:rsidRPr="00F50B4A">
        <w:t xml:space="preserve"> </w:t>
      </w:r>
      <w:r w:rsidRPr="00F50B4A">
        <w:t>1</w:t>
      </w:r>
      <w:r w:rsidRPr="00F50B4A">
        <w:rPr>
          <w:spacing w:val="19"/>
        </w:rPr>
        <w:t xml:space="preserve"> </w:t>
      </w:r>
      <w:r w:rsidRPr="00F50B4A">
        <w:t>WLR</w:t>
      </w:r>
      <w:r w:rsidRPr="00F50B4A">
        <w:rPr>
          <w:spacing w:val="19"/>
        </w:rPr>
        <w:t xml:space="preserve"> </w:t>
      </w:r>
      <w:r w:rsidRPr="00F50B4A">
        <w:t>1351</w:t>
      </w:r>
      <w:r w:rsidRPr="00F50B4A">
        <w:rPr>
          <w:spacing w:val="20"/>
        </w:rPr>
        <w:t xml:space="preserve"> </w:t>
      </w:r>
      <w:r w:rsidRPr="00F50B4A">
        <w:t>at</w:t>
      </w:r>
      <w:r w:rsidRPr="00F50B4A">
        <w:rPr>
          <w:spacing w:val="19"/>
        </w:rPr>
        <w:t xml:space="preserve"> </w:t>
      </w:r>
      <w:r w:rsidRPr="00F50B4A">
        <w:t>1353;</w:t>
      </w:r>
      <w:r w:rsidRPr="00F50B4A">
        <w:rPr>
          <w:spacing w:val="20"/>
        </w:rPr>
        <w:t xml:space="preserve"> </w:t>
      </w:r>
      <w:r w:rsidRPr="00F50B4A">
        <w:rPr>
          <w:i/>
        </w:rPr>
        <w:t>Gordano</w:t>
      </w:r>
      <w:r w:rsidRPr="00F50B4A">
        <w:rPr>
          <w:i/>
          <w:spacing w:val="19"/>
        </w:rPr>
        <w:t xml:space="preserve"> </w:t>
      </w:r>
      <w:r w:rsidRPr="00F50B4A">
        <w:rPr>
          <w:i/>
        </w:rPr>
        <w:t>Building</w:t>
      </w:r>
      <w:r w:rsidRPr="00F50B4A">
        <w:rPr>
          <w:i/>
          <w:spacing w:val="19"/>
        </w:rPr>
        <w:t xml:space="preserve"> </w:t>
      </w:r>
      <w:r w:rsidRPr="00F50B4A">
        <w:rPr>
          <w:i/>
        </w:rPr>
        <w:t>Contractors</w:t>
      </w:r>
      <w:r w:rsidRPr="00F50B4A">
        <w:rPr>
          <w:i/>
          <w:spacing w:val="20"/>
        </w:rPr>
        <w:t xml:space="preserve"> </w:t>
      </w:r>
      <w:r w:rsidRPr="00F50B4A">
        <w:rPr>
          <w:i/>
        </w:rPr>
        <w:t>Ltd</w:t>
      </w:r>
      <w:r w:rsidRPr="00F50B4A">
        <w:rPr>
          <w:i/>
          <w:spacing w:val="19"/>
        </w:rPr>
        <w:t xml:space="preserve"> </w:t>
      </w:r>
      <w:r w:rsidRPr="00F50B4A">
        <w:rPr>
          <w:i/>
        </w:rPr>
        <w:t>v</w:t>
      </w:r>
      <w:r w:rsidRPr="00F50B4A">
        <w:rPr>
          <w:i/>
          <w:spacing w:val="20"/>
        </w:rPr>
        <w:t xml:space="preserve"> </w:t>
      </w:r>
      <w:r w:rsidRPr="00F50B4A">
        <w:rPr>
          <w:i/>
        </w:rPr>
        <w:t>Burgess</w:t>
      </w:r>
      <w:r w:rsidRPr="00F50B4A">
        <w:rPr>
          <w:i/>
          <w:spacing w:val="19"/>
        </w:rPr>
        <w:t xml:space="preserve"> </w:t>
      </w:r>
      <w:r w:rsidRPr="00F50B4A">
        <w:t>[1988]</w:t>
      </w:r>
      <w:r w:rsidRPr="00F50B4A">
        <w:rPr>
          <w:spacing w:val="20"/>
        </w:rPr>
        <w:t xml:space="preserve"> </w:t>
      </w:r>
      <w:r w:rsidRPr="00F50B4A">
        <w:t>1</w:t>
      </w:r>
      <w:r w:rsidR="009E28A2" w:rsidRPr="00F50B4A">
        <w:t xml:space="preserve"> </w:t>
      </w:r>
      <w:r w:rsidRPr="00F50B4A">
        <w:t>WLR 890 at 894.</w:t>
      </w:r>
    </w:p>
    <w:p w:rsidR="00D17AD9" w:rsidRPr="00240B41" w:rsidRDefault="00F50B4A" w:rsidP="00E64495">
      <w:pPr>
        <w:pStyle w:val="ParaNumbering"/>
      </w:pPr>
      <w:r w:rsidRPr="00240B41">
        <w:t xml:space="preserve">And see in this Court: </w:t>
      </w:r>
      <w:proofErr w:type="spellStart"/>
      <w:r w:rsidR="008666AE" w:rsidRPr="00240B41">
        <w:rPr>
          <w:i/>
        </w:rPr>
        <w:t>Pivotel</w:t>
      </w:r>
      <w:proofErr w:type="spellEnd"/>
      <w:r w:rsidR="008666AE" w:rsidRPr="00240B41">
        <w:rPr>
          <w:i/>
        </w:rPr>
        <w:t xml:space="preserve"> </w:t>
      </w:r>
      <w:r w:rsidR="00C86696" w:rsidRPr="00240B41">
        <w:rPr>
          <w:i/>
        </w:rPr>
        <w:t>Satellite Pty Ltd v Optus Mobile Pty Ltd</w:t>
      </w:r>
      <w:r w:rsidR="00B72DEA" w:rsidRPr="00240B41">
        <w:rPr>
          <w:i/>
        </w:rPr>
        <w:t xml:space="preserve"> </w:t>
      </w:r>
      <w:r w:rsidR="00B72DEA" w:rsidRPr="00240B41">
        <w:t>[2010] FCA 121</w:t>
      </w:r>
      <w:r w:rsidR="00C86696" w:rsidRPr="00240B41">
        <w:rPr>
          <w:i/>
        </w:rPr>
        <w:t xml:space="preserve"> </w:t>
      </w:r>
      <w:r w:rsidR="008666AE" w:rsidRPr="00240B41">
        <w:t>at [26]</w:t>
      </w:r>
      <w:r w:rsidR="00D17AD9" w:rsidRPr="00240B41">
        <w:t xml:space="preserve">; </w:t>
      </w:r>
      <w:proofErr w:type="spellStart"/>
      <w:r w:rsidR="00D17AD9" w:rsidRPr="00240B41">
        <w:rPr>
          <w:i/>
        </w:rPr>
        <w:t>Cantarella</w:t>
      </w:r>
      <w:proofErr w:type="spellEnd"/>
      <w:r w:rsidR="00D17AD9" w:rsidRPr="00240B41">
        <w:rPr>
          <w:i/>
        </w:rPr>
        <w:t xml:space="preserve"> Bros Pty Ltd v Lavazza Australia Pty Ltd (No 2)</w:t>
      </w:r>
      <w:r w:rsidR="00D17AD9" w:rsidRPr="00240B41">
        <w:t xml:space="preserve"> [2021] FCA 894 at</w:t>
      </w:r>
      <w:r w:rsidR="00D17AD9" w:rsidRPr="00240B41">
        <w:rPr>
          <w:spacing w:val="-9"/>
        </w:rPr>
        <w:t xml:space="preserve"> </w:t>
      </w:r>
      <w:r w:rsidR="00E64495" w:rsidRPr="00240B41">
        <w:t>[30].</w:t>
      </w:r>
    </w:p>
    <w:p w:rsidR="00D17AD9" w:rsidRDefault="00717C38" w:rsidP="00BD5578">
      <w:pPr>
        <w:pStyle w:val="Heading2"/>
      </w:pPr>
      <w:r w:rsidRPr="003F6025">
        <w:t>Submissions</w:t>
      </w:r>
      <w:r>
        <w:t xml:space="preserve"> </w:t>
      </w:r>
    </w:p>
    <w:p w:rsidR="00E64495" w:rsidRDefault="006C683B" w:rsidP="003F6025">
      <w:pPr>
        <w:pStyle w:val="ParaNumbering"/>
      </w:pPr>
      <w:r>
        <w:t>The following summary of the submissions relates to those made in open court.</w:t>
      </w:r>
    </w:p>
    <w:p w:rsidR="009B1D1D" w:rsidRDefault="009B1D1D" w:rsidP="003F6025">
      <w:pPr>
        <w:pStyle w:val="ParaNumbering"/>
      </w:pPr>
      <w:r>
        <w:lastRenderedPageBreak/>
        <w:t xml:space="preserve">The main thrust of the applicant’s submission was that the IGADF’s claim of public interest immunity should not be upheld because new material has come to light during Person 24’s cross-examination which raises </w:t>
      </w:r>
      <w:r w:rsidR="000F13F5">
        <w:t>the</w:t>
      </w:r>
      <w:r>
        <w:t xml:space="preserve"> serious question as to whether he has made prior inconsistent statements in relation to an allegation of a war crime, which substantially affects the witness’ </w:t>
      </w:r>
      <w:r w:rsidR="004D0462">
        <w:t>credibility.</w:t>
      </w:r>
    </w:p>
    <w:p w:rsidR="00AA58B2" w:rsidRDefault="00E64495" w:rsidP="003F6025">
      <w:pPr>
        <w:pStyle w:val="ParaNumbering"/>
      </w:pPr>
      <w:r>
        <w:t xml:space="preserve">The applicant submitted that </w:t>
      </w:r>
      <w:r w:rsidR="00717C38">
        <w:t>Person</w:t>
      </w:r>
      <w:r w:rsidR="003F6025">
        <w:t xml:space="preserve"> 24 is a witness called by the r</w:t>
      </w:r>
      <w:r w:rsidR="00717C38">
        <w:t xml:space="preserve">espondents in support of their case. </w:t>
      </w:r>
      <w:r w:rsidR="003F6025">
        <w:t>There was no ou</w:t>
      </w:r>
      <w:r w:rsidR="000E1635">
        <w:t xml:space="preserve">tline of evidence filed by him in circumstances where leave to issue </w:t>
      </w:r>
      <w:r w:rsidR="00CA6663">
        <w:t xml:space="preserve">a </w:t>
      </w:r>
      <w:r w:rsidR="000E1635">
        <w:t xml:space="preserve">subpoena </w:t>
      </w:r>
      <w:r w:rsidR="00CA6663">
        <w:t xml:space="preserve">to give evidence at the trial to Person 24 </w:t>
      </w:r>
      <w:r w:rsidR="000E1635">
        <w:t>was granted</w:t>
      </w:r>
      <w:r w:rsidR="00AA58B2">
        <w:t xml:space="preserve"> in respect to the </w:t>
      </w:r>
      <w:r w:rsidR="00CA6663">
        <w:t xml:space="preserve">respondents’ </w:t>
      </w:r>
      <w:r w:rsidR="00AA58B2">
        <w:t>application to lead evidence from Person 24 consistently with the content</w:t>
      </w:r>
      <w:r w:rsidR="00FA5FB3">
        <w:t xml:space="preserve">s of the Potentially Affected Person </w:t>
      </w:r>
      <w:r w:rsidR="00350D92">
        <w:t>n</w:t>
      </w:r>
      <w:r w:rsidR="00FA5FB3">
        <w:t>otice</w:t>
      </w:r>
      <w:r w:rsidR="00A90A93">
        <w:t xml:space="preserve"> (PAP notice)</w:t>
      </w:r>
      <w:r w:rsidR="00FA5FB3">
        <w:t xml:space="preserve"> served on the applicant. </w:t>
      </w:r>
    </w:p>
    <w:p w:rsidR="00717C38" w:rsidRPr="00CA6663" w:rsidRDefault="00C61A41" w:rsidP="00717C38">
      <w:pPr>
        <w:pStyle w:val="ParaNumbering"/>
      </w:pPr>
      <w:r>
        <w:t>The applicant submitted that P</w:t>
      </w:r>
      <w:r w:rsidR="00717C38">
        <w:t>erson 24 gave evidence-in-chief that he</w:t>
      </w:r>
      <w:r>
        <w:t xml:space="preserve"> witnessed </w:t>
      </w:r>
      <w:r w:rsidR="00FE0CAB">
        <w:t xml:space="preserve">the applicant </w:t>
      </w:r>
      <w:r w:rsidR="00717C38">
        <w:t xml:space="preserve">murder an unarmed PUC (person under control) during a mission involving a compound known </w:t>
      </w:r>
      <w:r w:rsidR="0070488C">
        <w:t>as W</w:t>
      </w:r>
      <w:r w:rsidR="0070488C" w:rsidRPr="00CA6663">
        <w:t>hiskey 108 on 12 April 2009</w:t>
      </w:r>
      <w:r w:rsidR="00990C7F">
        <w:t>. Person 24’s evidence is</w:t>
      </w:r>
      <w:r w:rsidR="0070488C" w:rsidRPr="00CA6663">
        <w:t xml:space="preserve">, </w:t>
      </w:r>
      <w:r w:rsidR="0056049E">
        <w:t xml:space="preserve">relevantly, </w:t>
      </w:r>
      <w:r w:rsidR="0070488C" w:rsidRPr="00CA6663">
        <w:t xml:space="preserve">as follows: </w:t>
      </w:r>
    </w:p>
    <w:p w:rsidR="00C61A41" w:rsidRPr="00071AF9" w:rsidRDefault="00C61A41" w:rsidP="009F31D3">
      <w:pPr>
        <w:pStyle w:val="Quote1"/>
      </w:pPr>
      <w:r w:rsidRPr="00CA6663">
        <w:t>Mr Roberts-Smith walked out of the compound of the spot I’ve indicated. At this stage, he was holding a man in his hand. It appeared that he had come off his feet and he was being held parallel to the ground. He was held by the pants</w:t>
      </w:r>
      <w:r w:rsidR="0070488C" w:rsidRPr="005B2F6D">
        <w:t xml:space="preserve"> </w:t>
      </w:r>
      <w:r w:rsidRPr="005B2F6D">
        <w:t>or the back of the shirt. He marched approximately 15 metres directly out from that entrance, dropped the man on the ground and immediately began with a machine gun burst into his back.</w:t>
      </w:r>
    </w:p>
    <w:p w:rsidR="002666A9" w:rsidRPr="00240B41" w:rsidRDefault="00825B38" w:rsidP="00D80204">
      <w:pPr>
        <w:pStyle w:val="ParaNumbering"/>
      </w:pPr>
      <w:r w:rsidRPr="00240B41">
        <w:t>The applicant submitted the transcript of any prior interview is likely to be probative of, and thereby have a bearing on, the credibility of Person 24</w:t>
      </w:r>
      <w:r w:rsidR="008336B9" w:rsidRPr="00240B41">
        <w:t>. It was submitted that the evidence of Person 24 is a material change of circumstance</w:t>
      </w:r>
      <w:r w:rsidR="00454D93" w:rsidRPr="00240B41">
        <w:t xml:space="preserve">s since the IGADF’s public interest immunity claim was upheld in </w:t>
      </w:r>
      <w:r w:rsidR="00454D93" w:rsidRPr="00240B41">
        <w:rPr>
          <w:i/>
        </w:rPr>
        <w:t xml:space="preserve">Roberts-Smith </w:t>
      </w:r>
      <w:r w:rsidR="0053338C" w:rsidRPr="00240B41">
        <w:t>(</w:t>
      </w:r>
      <w:r w:rsidR="00454D93" w:rsidRPr="00240B41">
        <w:rPr>
          <w:i/>
        </w:rPr>
        <w:t>No 24</w:t>
      </w:r>
      <w:r w:rsidR="0053338C" w:rsidRPr="00240B41">
        <w:t>)</w:t>
      </w:r>
      <w:r w:rsidR="008336B9" w:rsidRPr="00240B41">
        <w:t>, it is inconsistent with what is in the applicant’s PAP notice, and it could not reasonably have been relied on at the time of the hearing</w:t>
      </w:r>
      <w:r w:rsidR="00520D18" w:rsidRPr="00240B41">
        <w:t xml:space="preserve"> in </w:t>
      </w:r>
      <w:r w:rsidR="00520D18" w:rsidRPr="00240B41">
        <w:rPr>
          <w:i/>
        </w:rPr>
        <w:t xml:space="preserve">Roberts-Smith </w:t>
      </w:r>
      <w:r w:rsidR="007A75B0" w:rsidRPr="00240B41">
        <w:rPr>
          <w:i/>
        </w:rPr>
        <w:t>(</w:t>
      </w:r>
      <w:r w:rsidR="00520D18" w:rsidRPr="00240B41">
        <w:rPr>
          <w:i/>
        </w:rPr>
        <w:t>No 24</w:t>
      </w:r>
      <w:r w:rsidR="007A75B0" w:rsidRPr="00240B41">
        <w:rPr>
          <w:i/>
        </w:rPr>
        <w:t>)</w:t>
      </w:r>
      <w:r w:rsidR="008336B9" w:rsidRPr="00240B41">
        <w:t xml:space="preserve">. </w:t>
      </w:r>
      <w:r w:rsidR="005A678A" w:rsidRPr="00240B41">
        <w:t xml:space="preserve">It was submitted that denying access to the material would materially prejudice </w:t>
      </w:r>
      <w:r w:rsidR="0028583F" w:rsidRPr="00240B41">
        <w:t xml:space="preserve">the applicant’s </w:t>
      </w:r>
      <w:r w:rsidR="005A678A" w:rsidRPr="00240B41">
        <w:t>ability to challenge Person 24’s evidence</w:t>
      </w:r>
      <w:r w:rsidR="00671A6D" w:rsidRPr="00240B41">
        <w:t xml:space="preserve"> and the </w:t>
      </w:r>
      <w:r w:rsidR="0028583F" w:rsidRPr="00240B41">
        <w:t>C</w:t>
      </w:r>
      <w:r w:rsidR="00671A6D" w:rsidRPr="00240B41">
        <w:t>ourt would not have all the relevant evidence</w:t>
      </w:r>
      <w:r w:rsidR="0028583F" w:rsidRPr="00240B41">
        <w:t xml:space="preserve"> and be deprived of an opportunity of making an assessment of Person 24’s credibility informed by the existence of a prior inconsistent statement</w:t>
      </w:r>
      <w:r w:rsidR="009F31D3" w:rsidRPr="00240B41">
        <w:t>.</w:t>
      </w:r>
      <w:r w:rsidR="0028583F" w:rsidRPr="00240B41">
        <w:t xml:space="preserve"> </w:t>
      </w:r>
      <w:r w:rsidR="00671A6D" w:rsidRPr="00240B41">
        <w:t xml:space="preserve">The risk of harm of disclosure is limited, as the topic on which </w:t>
      </w:r>
      <w:r w:rsidR="007A75B0" w:rsidRPr="00240B41">
        <w:t xml:space="preserve">production </w:t>
      </w:r>
      <w:r w:rsidR="00671A6D" w:rsidRPr="00240B41">
        <w:t xml:space="preserve">is sought is limited, and it will likely be the subject of cross-examination in closed court. It was submitted </w:t>
      </w:r>
      <w:r w:rsidR="00733F28" w:rsidRPr="00240B41">
        <w:t xml:space="preserve">that production of the transcript </w:t>
      </w:r>
      <w:r w:rsidR="00671A6D" w:rsidRPr="00240B41">
        <w:t>is unlikely to cause substantial hardship to the IGADF</w:t>
      </w:r>
      <w:r w:rsidR="004809E3" w:rsidRPr="00240B41">
        <w:t>. The applicant submitted that “</w:t>
      </w:r>
      <w:r w:rsidR="00F354AF" w:rsidRPr="00240B41">
        <w:t>[</w:t>
      </w:r>
      <w:proofErr w:type="spellStart"/>
      <w:r w:rsidR="00F354AF" w:rsidRPr="00240B41">
        <w:t>i</w:t>
      </w:r>
      <w:proofErr w:type="spellEnd"/>
      <w:r w:rsidR="00F354AF" w:rsidRPr="00240B41">
        <w:t>]</w:t>
      </w:r>
      <w:r w:rsidR="004809E3" w:rsidRPr="00240B41">
        <w:t>f the documents are not produced, the Court will be shut out from discharging its functions in the administration of justice by having material kept from the Applicant and the Court which demonstrates that the witness has provided inconsistent versions of the allegation of a war crime in 2009</w:t>
      </w:r>
      <w:r w:rsidR="00F354AF" w:rsidRPr="00240B41">
        <w:t>”</w:t>
      </w:r>
      <w:r w:rsidR="004809E3" w:rsidRPr="00240B41">
        <w:t xml:space="preserve">. </w:t>
      </w:r>
      <w:r w:rsidR="000A4751" w:rsidRPr="00240B41">
        <w:t xml:space="preserve">The applicant directed the </w:t>
      </w:r>
      <w:r w:rsidR="00733F28" w:rsidRPr="00240B41">
        <w:t>C</w:t>
      </w:r>
      <w:r w:rsidR="000A4751" w:rsidRPr="00240B41">
        <w:t>ourt</w:t>
      </w:r>
      <w:r w:rsidR="00733F28" w:rsidRPr="00240B41">
        <w:t>’</w:t>
      </w:r>
      <w:r w:rsidR="000A4751" w:rsidRPr="00240B41">
        <w:t xml:space="preserve">s attention to aspects of Person 24’s </w:t>
      </w:r>
      <w:r w:rsidR="000A4751" w:rsidRPr="00240B41">
        <w:lastRenderedPageBreak/>
        <w:t xml:space="preserve">evidence to support his submission. </w:t>
      </w:r>
      <w:r w:rsidR="001349EB" w:rsidRPr="00240B41">
        <w:t xml:space="preserve">The applicant </w:t>
      </w:r>
      <w:r w:rsidR="00A11B83" w:rsidRPr="00240B41">
        <w:t xml:space="preserve">also took the Court to </w:t>
      </w:r>
      <w:r w:rsidR="001349EB" w:rsidRPr="00240B41">
        <w:t>authority</w:t>
      </w:r>
      <w:r w:rsidR="00733F28" w:rsidRPr="00240B41">
        <w:t xml:space="preserve"> including</w:t>
      </w:r>
      <w:r w:rsidR="001349EB" w:rsidRPr="00240B41">
        <w:t xml:space="preserve">, inter alia, </w:t>
      </w:r>
      <w:r w:rsidR="001349EB" w:rsidRPr="00240B41">
        <w:rPr>
          <w:i/>
        </w:rPr>
        <w:t>Sankey v Whitlam</w:t>
      </w:r>
      <w:r w:rsidR="001349EB" w:rsidRPr="00240B41">
        <w:t xml:space="preserve"> </w:t>
      </w:r>
      <w:r w:rsidR="009433DB" w:rsidRPr="00240B41">
        <w:t>[1978] HCA 43; (1978) 142 CLR 1</w:t>
      </w:r>
      <w:r w:rsidR="002C6624" w:rsidRPr="00240B41">
        <w:rPr>
          <w:i/>
        </w:rPr>
        <w:t xml:space="preserve"> </w:t>
      </w:r>
      <w:r w:rsidR="00A11B83" w:rsidRPr="00240B41">
        <w:t xml:space="preserve">at 38-39 and </w:t>
      </w:r>
      <w:r w:rsidR="00D80204" w:rsidRPr="00240B41">
        <w:rPr>
          <w:i/>
        </w:rPr>
        <w:t>Haydon</w:t>
      </w:r>
      <w:r w:rsidR="00D80204" w:rsidRPr="00240B41">
        <w:t xml:space="preserve"> </w:t>
      </w:r>
      <w:r w:rsidR="003F1320" w:rsidRPr="00240B41">
        <w:rPr>
          <w:i/>
        </w:rPr>
        <w:t xml:space="preserve">v Magistrates Court (SA) </w:t>
      </w:r>
      <w:r w:rsidR="003F1320" w:rsidRPr="00240B41">
        <w:t xml:space="preserve">[2001] SASC 65; (2001) 87 SASR 448 </w:t>
      </w:r>
      <w:r w:rsidR="00D80204" w:rsidRPr="00240B41">
        <w:t>at [28]-[31].</w:t>
      </w:r>
    </w:p>
    <w:p w:rsidR="00D17AD9" w:rsidRDefault="00451634" w:rsidP="00006CCB">
      <w:pPr>
        <w:pStyle w:val="ParaNumbering"/>
      </w:pPr>
      <w:r>
        <w:t xml:space="preserve">The IGADF </w:t>
      </w:r>
      <w:r w:rsidR="00F24A9A">
        <w:t>accepted that there had been a material change of circumstances such that, as a matter of principle</w:t>
      </w:r>
      <w:r w:rsidR="0070423A">
        <w:t>,</w:t>
      </w:r>
      <w:r w:rsidR="00F24A9A">
        <w:t xml:space="preserve"> </w:t>
      </w:r>
      <w:r w:rsidR="005B1CD3">
        <w:t xml:space="preserve">the interlocutory ruling can be revisited. However, the IGADF submitted that </w:t>
      </w:r>
      <w:r w:rsidR="006472F6">
        <w:t xml:space="preserve">the change was not sufficient to warrant an alteration in the </w:t>
      </w:r>
      <w:r w:rsidR="005B1CD3">
        <w:t xml:space="preserve">weighing process </w:t>
      </w:r>
      <w:r w:rsidR="0054494A">
        <w:t xml:space="preserve">such as </w:t>
      </w:r>
      <w:r w:rsidR="008B7F44">
        <w:t xml:space="preserve">would result </w:t>
      </w:r>
      <w:r w:rsidR="00A570B1">
        <w:t xml:space="preserve">in </w:t>
      </w:r>
      <w:r w:rsidR="008B7F44">
        <w:t xml:space="preserve">any different </w:t>
      </w:r>
      <w:r w:rsidR="005B1CD3">
        <w:t xml:space="preserve">decision. </w:t>
      </w:r>
      <w:r w:rsidR="0054494A">
        <w:t>He submitted that the public interest claim now made</w:t>
      </w:r>
      <w:r w:rsidR="008B7F44">
        <w:t>,</w:t>
      </w:r>
      <w:r w:rsidR="0054494A">
        <w:t xml:space="preserve"> should be upheld. </w:t>
      </w:r>
    </w:p>
    <w:p w:rsidR="00B618C2" w:rsidRPr="00240B41" w:rsidRDefault="008B7F44" w:rsidP="00CC2B4D">
      <w:pPr>
        <w:pStyle w:val="ParaNumbering"/>
        <w:tabs>
          <w:tab w:val="clear" w:pos="720"/>
        </w:tabs>
      </w:pPr>
      <w:r w:rsidRPr="00240B41">
        <w:t xml:space="preserve">The </w:t>
      </w:r>
      <w:r w:rsidR="00B620E5" w:rsidRPr="00240B41">
        <w:t>IGADF made six</w:t>
      </w:r>
      <w:r w:rsidRPr="00240B41">
        <w:t xml:space="preserve"> primary submissions. </w:t>
      </w:r>
      <w:r w:rsidRPr="00240B41">
        <w:rPr>
          <w:i/>
        </w:rPr>
        <w:t>First</w:t>
      </w:r>
      <w:r w:rsidRPr="00240B41">
        <w:t xml:space="preserve">, </w:t>
      </w:r>
      <w:r w:rsidR="009C779E" w:rsidRPr="00240B41">
        <w:t xml:space="preserve">in </w:t>
      </w:r>
      <w:r w:rsidR="009C779E" w:rsidRPr="00240B41">
        <w:rPr>
          <w:i/>
        </w:rPr>
        <w:t xml:space="preserve">Roberts-Smith </w:t>
      </w:r>
      <w:r w:rsidR="00DB0C88" w:rsidRPr="00240B41">
        <w:rPr>
          <w:i/>
        </w:rPr>
        <w:t>(</w:t>
      </w:r>
      <w:r w:rsidR="009C779E" w:rsidRPr="00240B41">
        <w:rPr>
          <w:i/>
        </w:rPr>
        <w:t>No</w:t>
      </w:r>
      <w:r w:rsidR="00DB0C88" w:rsidRPr="00240B41">
        <w:rPr>
          <w:i/>
        </w:rPr>
        <w:t xml:space="preserve"> </w:t>
      </w:r>
      <w:r w:rsidR="009C779E" w:rsidRPr="00240B41">
        <w:rPr>
          <w:i/>
        </w:rPr>
        <w:t>24</w:t>
      </w:r>
      <w:r w:rsidR="00DB0C88" w:rsidRPr="00240B41">
        <w:rPr>
          <w:i/>
        </w:rPr>
        <w:t>)</w:t>
      </w:r>
      <w:r w:rsidR="009C779E" w:rsidRPr="00240B41">
        <w:t xml:space="preserve">, the applicant relied upon the potential for a witness to give an inconsistent account in oral evidence at trial as a principal factor in favour of disclosure of the </w:t>
      </w:r>
      <w:r w:rsidR="009F31D3" w:rsidRPr="00240B41">
        <w:t>Inquiry</w:t>
      </w:r>
      <w:r w:rsidR="00DA3F40" w:rsidRPr="00240B41">
        <w:t xml:space="preserve"> </w:t>
      </w:r>
      <w:r w:rsidR="009C779E" w:rsidRPr="00240B41">
        <w:t>transcripts in the interests of the administration of justice. That such a scenario may now have transpired does not create a new or different circumstance that would</w:t>
      </w:r>
      <w:r w:rsidR="009C779E" w:rsidRPr="00240B41">
        <w:rPr>
          <w:spacing w:val="-4"/>
        </w:rPr>
        <w:t xml:space="preserve"> </w:t>
      </w:r>
      <w:r w:rsidR="009C779E" w:rsidRPr="00240B41">
        <w:t>cause</w:t>
      </w:r>
      <w:r w:rsidR="009C779E" w:rsidRPr="00240B41">
        <w:rPr>
          <w:spacing w:val="-6"/>
        </w:rPr>
        <w:t xml:space="preserve"> </w:t>
      </w:r>
      <w:r w:rsidR="009C779E" w:rsidRPr="00240B41">
        <w:t>the</w:t>
      </w:r>
      <w:r w:rsidR="009C779E" w:rsidRPr="00240B41">
        <w:rPr>
          <w:spacing w:val="-7"/>
        </w:rPr>
        <w:t xml:space="preserve"> </w:t>
      </w:r>
      <w:r w:rsidR="009C779E" w:rsidRPr="00240B41">
        <w:t>Court</w:t>
      </w:r>
      <w:r w:rsidR="009C779E" w:rsidRPr="00240B41">
        <w:rPr>
          <w:spacing w:val="-5"/>
        </w:rPr>
        <w:t xml:space="preserve"> </w:t>
      </w:r>
      <w:r w:rsidR="009C779E" w:rsidRPr="00240B41">
        <w:t>to</w:t>
      </w:r>
      <w:r w:rsidR="009C779E" w:rsidRPr="00240B41">
        <w:rPr>
          <w:spacing w:val="-6"/>
        </w:rPr>
        <w:t xml:space="preserve"> </w:t>
      </w:r>
      <w:r w:rsidR="009C779E" w:rsidRPr="00240B41">
        <w:t>revisit</w:t>
      </w:r>
      <w:r w:rsidR="009C779E" w:rsidRPr="00240B41">
        <w:rPr>
          <w:spacing w:val="-3"/>
        </w:rPr>
        <w:t xml:space="preserve"> </w:t>
      </w:r>
      <w:r w:rsidR="009C779E" w:rsidRPr="00240B41">
        <w:t>its</w:t>
      </w:r>
      <w:r w:rsidR="009C779E" w:rsidRPr="00240B41">
        <w:rPr>
          <w:spacing w:val="-6"/>
        </w:rPr>
        <w:t xml:space="preserve"> </w:t>
      </w:r>
      <w:r w:rsidR="009C779E" w:rsidRPr="00240B41">
        <w:t>earlier</w:t>
      </w:r>
      <w:r w:rsidR="009C779E" w:rsidRPr="00240B41">
        <w:rPr>
          <w:spacing w:val="-6"/>
        </w:rPr>
        <w:t xml:space="preserve"> </w:t>
      </w:r>
      <w:r w:rsidR="009C779E" w:rsidRPr="00240B41">
        <w:t>assessment</w:t>
      </w:r>
      <w:r w:rsidR="009C779E" w:rsidRPr="00240B41">
        <w:rPr>
          <w:spacing w:val="-5"/>
        </w:rPr>
        <w:t xml:space="preserve"> </w:t>
      </w:r>
      <w:r w:rsidR="009C779E" w:rsidRPr="00240B41">
        <w:t>of</w:t>
      </w:r>
      <w:r w:rsidR="009C779E" w:rsidRPr="00240B41">
        <w:rPr>
          <w:spacing w:val="-3"/>
        </w:rPr>
        <w:t xml:space="preserve"> </w:t>
      </w:r>
      <w:r w:rsidR="009C779E" w:rsidRPr="00240B41">
        <w:t>where</w:t>
      </w:r>
      <w:r w:rsidR="009C779E" w:rsidRPr="00240B41">
        <w:rPr>
          <w:spacing w:val="-5"/>
        </w:rPr>
        <w:t xml:space="preserve"> </w:t>
      </w:r>
      <w:r w:rsidR="009C779E" w:rsidRPr="00240B41">
        <w:t>the</w:t>
      </w:r>
      <w:r w:rsidR="009C779E" w:rsidRPr="00240B41">
        <w:rPr>
          <w:spacing w:val="-7"/>
        </w:rPr>
        <w:t xml:space="preserve"> </w:t>
      </w:r>
      <w:r w:rsidR="009C779E" w:rsidRPr="00240B41">
        <w:t>balance</w:t>
      </w:r>
      <w:r w:rsidR="009C779E" w:rsidRPr="00240B41">
        <w:rPr>
          <w:spacing w:val="-3"/>
        </w:rPr>
        <w:t xml:space="preserve"> </w:t>
      </w:r>
      <w:r w:rsidR="009C779E" w:rsidRPr="00240B41">
        <w:t>lies. The mat</w:t>
      </w:r>
      <w:r w:rsidR="009D622B" w:rsidRPr="00240B41">
        <w:t>t</w:t>
      </w:r>
      <w:r w:rsidR="009C779E" w:rsidRPr="00240B41">
        <w:t>er has already been taken into account</w:t>
      </w:r>
      <w:r w:rsidR="00C65D49" w:rsidRPr="00240B41">
        <w:t xml:space="preserve">: see </w:t>
      </w:r>
      <w:r w:rsidR="00C65D49" w:rsidRPr="00240B41">
        <w:rPr>
          <w:i/>
        </w:rPr>
        <w:t xml:space="preserve">Roberts-Smith (No 24) </w:t>
      </w:r>
      <w:r w:rsidR="00C65D49" w:rsidRPr="00240B41">
        <w:t>at [44] and [75]</w:t>
      </w:r>
      <w:r w:rsidR="009F31D3" w:rsidRPr="00240B41">
        <w:t>.</w:t>
      </w:r>
      <w:r w:rsidR="00C65D49" w:rsidRPr="00240B41">
        <w:t xml:space="preserve"> </w:t>
      </w:r>
      <w:r w:rsidR="005F49F2" w:rsidRPr="00240B41">
        <w:rPr>
          <w:i/>
        </w:rPr>
        <w:t>Second</w:t>
      </w:r>
      <w:r w:rsidR="005F49F2" w:rsidRPr="00240B41">
        <w:t xml:space="preserve">, while the </w:t>
      </w:r>
      <w:r w:rsidR="00E81960" w:rsidRPr="00240B41">
        <w:t>S</w:t>
      </w:r>
      <w:r w:rsidR="005F49F2" w:rsidRPr="00240B41">
        <w:t xml:space="preserve">ubpoena is more confined than the subpoena </w:t>
      </w:r>
      <w:r w:rsidR="00A57CB1" w:rsidRPr="00240B41">
        <w:t xml:space="preserve">the subject of </w:t>
      </w:r>
      <w:r w:rsidR="00A57CB1" w:rsidRPr="00240B41">
        <w:rPr>
          <w:i/>
        </w:rPr>
        <w:t>Roberts-Smith (No 24)</w:t>
      </w:r>
      <w:r w:rsidR="00E66441" w:rsidRPr="00240B41">
        <w:rPr>
          <w:i/>
        </w:rPr>
        <w:t xml:space="preserve"> </w:t>
      </w:r>
      <w:r w:rsidR="00E66441" w:rsidRPr="00240B41">
        <w:t xml:space="preserve">(noting that the </w:t>
      </w:r>
      <w:r w:rsidR="00C818E6" w:rsidRPr="00240B41">
        <w:t xml:space="preserve">applicant seeks the </w:t>
      </w:r>
      <w:r w:rsidR="00E66441" w:rsidRPr="00240B41">
        <w:t>transcript of only one, rather than 12</w:t>
      </w:r>
      <w:r w:rsidR="00C818E6" w:rsidRPr="00240B41">
        <w:t>,</w:t>
      </w:r>
      <w:r w:rsidR="00E66441" w:rsidRPr="00240B41">
        <w:t xml:space="preserve"> SOCOMD witnesses)</w:t>
      </w:r>
      <w:r w:rsidR="009F31D3" w:rsidRPr="00240B41">
        <w:rPr>
          <w:i/>
        </w:rPr>
        <w:t>,</w:t>
      </w:r>
      <w:r w:rsidR="00E2159D" w:rsidRPr="00240B41">
        <w:t xml:space="preserve"> </w:t>
      </w:r>
      <w:r w:rsidR="005F49F2" w:rsidRPr="00240B41">
        <w:t xml:space="preserve">that does not have the consequence that the harm to the public interest is less acute. Rather, the harm to the public interest described in the </w:t>
      </w:r>
      <w:r w:rsidR="008B5377" w:rsidRPr="00240B41">
        <w:t xml:space="preserve">Open </w:t>
      </w:r>
      <w:r w:rsidR="005F49F2" w:rsidRPr="00240B41">
        <w:t>Gaynor Affidavit and the</w:t>
      </w:r>
      <w:r w:rsidR="005F49F2" w:rsidRPr="00240B41">
        <w:rPr>
          <w:spacing w:val="-14"/>
        </w:rPr>
        <w:t xml:space="preserve"> </w:t>
      </w:r>
      <w:r w:rsidR="008B5377" w:rsidRPr="00240B41">
        <w:t>Confidential</w:t>
      </w:r>
      <w:r w:rsidR="008B5377" w:rsidRPr="00240B41">
        <w:rPr>
          <w:spacing w:val="-14"/>
        </w:rPr>
        <w:t xml:space="preserve"> </w:t>
      </w:r>
      <w:r w:rsidR="005F49F2" w:rsidRPr="00240B41">
        <w:t>Gaynor</w:t>
      </w:r>
      <w:r w:rsidR="005F49F2" w:rsidRPr="00240B41">
        <w:rPr>
          <w:spacing w:val="-10"/>
        </w:rPr>
        <w:t xml:space="preserve"> </w:t>
      </w:r>
      <w:r w:rsidR="005F49F2" w:rsidRPr="00240B41">
        <w:t>Affidavit</w:t>
      </w:r>
      <w:r w:rsidR="005F49F2" w:rsidRPr="00240B41">
        <w:rPr>
          <w:spacing w:val="-10"/>
        </w:rPr>
        <w:t xml:space="preserve"> </w:t>
      </w:r>
      <w:r w:rsidR="005F49F2" w:rsidRPr="00240B41">
        <w:t>is</w:t>
      </w:r>
      <w:r w:rsidR="005F49F2" w:rsidRPr="00240B41">
        <w:rPr>
          <w:spacing w:val="-11"/>
        </w:rPr>
        <w:t xml:space="preserve"> </w:t>
      </w:r>
      <w:r w:rsidR="005F49F2" w:rsidRPr="00240B41">
        <w:t>not</w:t>
      </w:r>
      <w:r w:rsidR="005F49F2" w:rsidRPr="00240B41">
        <w:rPr>
          <w:spacing w:val="-12"/>
        </w:rPr>
        <w:t xml:space="preserve"> </w:t>
      </w:r>
      <w:r w:rsidR="005F49F2" w:rsidRPr="00240B41">
        <w:t>contingent</w:t>
      </w:r>
      <w:r w:rsidR="005F49F2" w:rsidRPr="00240B41">
        <w:rPr>
          <w:spacing w:val="-12"/>
        </w:rPr>
        <w:t xml:space="preserve"> </w:t>
      </w:r>
      <w:r w:rsidR="005F49F2" w:rsidRPr="00240B41">
        <w:t>on</w:t>
      </w:r>
      <w:r w:rsidR="005F49F2" w:rsidRPr="00240B41">
        <w:rPr>
          <w:spacing w:val="-12"/>
        </w:rPr>
        <w:t xml:space="preserve"> </w:t>
      </w:r>
      <w:r w:rsidR="005F49F2" w:rsidRPr="00240B41">
        <w:t>the</w:t>
      </w:r>
      <w:r w:rsidR="005F49F2" w:rsidRPr="00240B41">
        <w:rPr>
          <w:spacing w:val="-14"/>
        </w:rPr>
        <w:t xml:space="preserve"> </w:t>
      </w:r>
      <w:r w:rsidR="005F49F2" w:rsidRPr="00240B41">
        <w:t>number</w:t>
      </w:r>
      <w:r w:rsidR="005F49F2" w:rsidRPr="00240B41">
        <w:rPr>
          <w:spacing w:val="-12"/>
        </w:rPr>
        <w:t xml:space="preserve"> </w:t>
      </w:r>
      <w:r w:rsidR="005F49F2" w:rsidRPr="00240B41">
        <w:t>of</w:t>
      </w:r>
      <w:r w:rsidR="005F49F2" w:rsidRPr="00240B41">
        <w:rPr>
          <w:spacing w:val="-9"/>
        </w:rPr>
        <w:t xml:space="preserve"> </w:t>
      </w:r>
      <w:r w:rsidR="005F49F2" w:rsidRPr="00240B41">
        <w:t>SOCOMD</w:t>
      </w:r>
      <w:r w:rsidR="005F49F2" w:rsidRPr="00240B41">
        <w:rPr>
          <w:spacing w:val="-12"/>
        </w:rPr>
        <w:t xml:space="preserve"> </w:t>
      </w:r>
      <w:r w:rsidR="005F49F2" w:rsidRPr="00240B41">
        <w:t>members whose</w:t>
      </w:r>
      <w:r w:rsidR="005F49F2" w:rsidRPr="00240B41">
        <w:rPr>
          <w:spacing w:val="-4"/>
        </w:rPr>
        <w:t xml:space="preserve"> </w:t>
      </w:r>
      <w:r w:rsidR="005F49F2" w:rsidRPr="00240B41">
        <w:t>transcripts</w:t>
      </w:r>
      <w:r w:rsidR="005F49F2" w:rsidRPr="00240B41">
        <w:rPr>
          <w:spacing w:val="-4"/>
        </w:rPr>
        <w:t xml:space="preserve"> </w:t>
      </w:r>
      <w:r w:rsidR="005F49F2" w:rsidRPr="00240B41">
        <w:t>are</w:t>
      </w:r>
      <w:r w:rsidR="005F49F2" w:rsidRPr="00240B41">
        <w:rPr>
          <w:spacing w:val="-5"/>
        </w:rPr>
        <w:t xml:space="preserve"> </w:t>
      </w:r>
      <w:r w:rsidR="005F49F2" w:rsidRPr="00240B41">
        <w:t>to</w:t>
      </w:r>
      <w:r w:rsidR="005F49F2" w:rsidRPr="00240B41">
        <w:rPr>
          <w:spacing w:val="-7"/>
        </w:rPr>
        <w:t xml:space="preserve"> </w:t>
      </w:r>
      <w:r w:rsidR="005F49F2" w:rsidRPr="00240B41">
        <w:t>be</w:t>
      </w:r>
      <w:r w:rsidR="005F49F2" w:rsidRPr="00240B41">
        <w:rPr>
          <w:spacing w:val="-3"/>
        </w:rPr>
        <w:t xml:space="preserve"> </w:t>
      </w:r>
      <w:r w:rsidR="005F49F2" w:rsidRPr="00240B41">
        <w:t>disclosed</w:t>
      </w:r>
      <w:r w:rsidR="00BB23F0" w:rsidRPr="00240B41">
        <w:t xml:space="preserve">. </w:t>
      </w:r>
      <w:r w:rsidR="00BB23F0" w:rsidRPr="00240B41">
        <w:rPr>
          <w:i/>
        </w:rPr>
        <w:t>Third</w:t>
      </w:r>
      <w:r w:rsidR="00BB23F0" w:rsidRPr="00240B41">
        <w:t xml:space="preserve">, the provision of the material would result </w:t>
      </w:r>
      <w:r w:rsidR="00BB23F0" w:rsidRPr="00AB015E">
        <w:t>in ‘information asym</w:t>
      </w:r>
      <w:r w:rsidR="00FE2F5D" w:rsidRPr="00AB015E">
        <w:t xml:space="preserve">metry’ referred to </w:t>
      </w:r>
      <w:r w:rsidR="00BB23F0" w:rsidRPr="00AB015E">
        <w:t xml:space="preserve">in </w:t>
      </w:r>
      <w:r w:rsidR="00FE2F5D" w:rsidRPr="00AB015E">
        <w:rPr>
          <w:i/>
        </w:rPr>
        <w:t xml:space="preserve">Roberts-Smith </w:t>
      </w:r>
      <w:r w:rsidR="00BB23F0" w:rsidRPr="00AB015E">
        <w:rPr>
          <w:i/>
        </w:rPr>
        <w:t>(No</w:t>
      </w:r>
      <w:r w:rsidR="005B2F6D" w:rsidRPr="00AB015E">
        <w:rPr>
          <w:i/>
        </w:rPr>
        <w:t xml:space="preserve"> </w:t>
      </w:r>
      <w:r w:rsidR="00BB23F0" w:rsidRPr="00AB015E">
        <w:rPr>
          <w:i/>
        </w:rPr>
        <w:t xml:space="preserve">24) </w:t>
      </w:r>
      <w:r w:rsidR="00FE2F5D" w:rsidRPr="00AB015E">
        <w:t xml:space="preserve">at [53]-[55], [77]-[78] and </w:t>
      </w:r>
      <w:r w:rsidR="005B2F6D" w:rsidRPr="00AB015E">
        <w:t>in the c</w:t>
      </w:r>
      <w:r w:rsidR="00BB23F0" w:rsidRPr="00AB015E">
        <w:t xml:space="preserve">onfidential </w:t>
      </w:r>
      <w:r w:rsidR="005B2F6D" w:rsidRPr="00AB015E">
        <w:t>r</w:t>
      </w:r>
      <w:r w:rsidR="00BB23F0" w:rsidRPr="00AB015E">
        <w:t>easons</w:t>
      </w:r>
      <w:r w:rsidR="005B2F6D" w:rsidRPr="00AB015E">
        <w:t xml:space="preserve"> which supplemented</w:t>
      </w:r>
      <w:r w:rsidR="00BB23F0" w:rsidRPr="00AB015E">
        <w:t xml:space="preserve"> </w:t>
      </w:r>
      <w:r w:rsidR="005B2F6D" w:rsidRPr="00AB015E">
        <w:t xml:space="preserve">that judgment </w:t>
      </w:r>
      <w:r w:rsidR="00FE2F5D" w:rsidRPr="00AB015E">
        <w:t>at [15].</w:t>
      </w:r>
      <w:r w:rsidR="00FE2F5D" w:rsidRPr="00240B41">
        <w:t xml:space="preserve"> </w:t>
      </w:r>
      <w:r w:rsidR="00B16609" w:rsidRPr="00240B41">
        <w:t>This is because</w:t>
      </w:r>
      <w:r w:rsidR="00B16609" w:rsidRPr="00240B41">
        <w:rPr>
          <w:spacing w:val="-7"/>
        </w:rPr>
        <w:t xml:space="preserve"> </w:t>
      </w:r>
      <w:r w:rsidR="00B16609" w:rsidRPr="00240B41">
        <w:t>the</w:t>
      </w:r>
      <w:r w:rsidR="00B16609" w:rsidRPr="00240B41">
        <w:rPr>
          <w:spacing w:val="-3"/>
        </w:rPr>
        <w:t xml:space="preserve"> </w:t>
      </w:r>
      <w:r w:rsidR="00B16609" w:rsidRPr="00240B41">
        <w:t>respondents</w:t>
      </w:r>
      <w:r w:rsidR="00B16609" w:rsidRPr="00240B41">
        <w:rPr>
          <w:spacing w:val="-3"/>
        </w:rPr>
        <w:t xml:space="preserve"> </w:t>
      </w:r>
      <w:r w:rsidR="00B16609" w:rsidRPr="00240B41">
        <w:t>are</w:t>
      </w:r>
      <w:r w:rsidR="00B16609" w:rsidRPr="00240B41">
        <w:rPr>
          <w:spacing w:val="-5"/>
        </w:rPr>
        <w:t xml:space="preserve"> </w:t>
      </w:r>
      <w:r w:rsidR="00B16609" w:rsidRPr="00240B41">
        <w:t>not</w:t>
      </w:r>
      <w:r w:rsidR="00B16609" w:rsidRPr="00240B41">
        <w:rPr>
          <w:spacing w:val="-2"/>
        </w:rPr>
        <w:t xml:space="preserve"> </w:t>
      </w:r>
      <w:r w:rsidR="00B16609" w:rsidRPr="00240B41">
        <w:t>in</w:t>
      </w:r>
      <w:r w:rsidR="00B16609" w:rsidRPr="00240B41">
        <w:rPr>
          <w:spacing w:val="-6"/>
        </w:rPr>
        <w:t xml:space="preserve"> </w:t>
      </w:r>
      <w:r w:rsidR="00B16609" w:rsidRPr="00240B41">
        <w:t>a</w:t>
      </w:r>
      <w:r w:rsidR="00B16609" w:rsidRPr="00240B41">
        <w:rPr>
          <w:spacing w:val="-3"/>
        </w:rPr>
        <w:t xml:space="preserve"> </w:t>
      </w:r>
      <w:r w:rsidR="00B16609" w:rsidRPr="00240B41">
        <w:t>position</w:t>
      </w:r>
      <w:r w:rsidR="00B16609" w:rsidRPr="00240B41">
        <w:rPr>
          <w:spacing w:val="-4"/>
        </w:rPr>
        <w:t xml:space="preserve"> </w:t>
      </w:r>
      <w:r w:rsidR="00B16609" w:rsidRPr="00240B41">
        <w:t>to</w:t>
      </w:r>
      <w:r w:rsidR="00B16609" w:rsidRPr="00240B41">
        <w:rPr>
          <w:spacing w:val="-8"/>
        </w:rPr>
        <w:t xml:space="preserve"> </w:t>
      </w:r>
      <w:r w:rsidR="00B16609" w:rsidRPr="00240B41">
        <w:t>ascertain</w:t>
      </w:r>
      <w:r w:rsidR="00B16609" w:rsidRPr="00240B41">
        <w:rPr>
          <w:spacing w:val="-5"/>
        </w:rPr>
        <w:t xml:space="preserve"> </w:t>
      </w:r>
      <w:r w:rsidR="00B16609" w:rsidRPr="00240B41">
        <w:t>whether</w:t>
      </w:r>
      <w:r w:rsidR="00B16609" w:rsidRPr="00240B41">
        <w:rPr>
          <w:spacing w:val="-3"/>
        </w:rPr>
        <w:t xml:space="preserve"> </w:t>
      </w:r>
      <w:r w:rsidR="00B16609" w:rsidRPr="00240B41">
        <w:t>or</w:t>
      </w:r>
      <w:r w:rsidR="00B16609" w:rsidRPr="00240B41">
        <w:rPr>
          <w:spacing w:val="-2"/>
        </w:rPr>
        <w:t xml:space="preserve"> </w:t>
      </w:r>
      <w:r w:rsidR="00B16609" w:rsidRPr="00240B41">
        <w:t>not</w:t>
      </w:r>
      <w:r w:rsidR="00B16609" w:rsidRPr="00240B41">
        <w:rPr>
          <w:spacing w:val="-7"/>
        </w:rPr>
        <w:t xml:space="preserve"> </w:t>
      </w:r>
      <w:r w:rsidR="00B16609" w:rsidRPr="00240B41">
        <w:t>a</w:t>
      </w:r>
      <w:r w:rsidR="00B16609" w:rsidRPr="00240B41">
        <w:rPr>
          <w:spacing w:val="-3"/>
        </w:rPr>
        <w:t xml:space="preserve"> </w:t>
      </w:r>
      <w:r w:rsidR="00B16609" w:rsidRPr="00240B41">
        <w:t>witness</w:t>
      </w:r>
      <w:r w:rsidR="00B16609" w:rsidRPr="00240B41">
        <w:rPr>
          <w:spacing w:val="-5"/>
        </w:rPr>
        <w:t xml:space="preserve"> </w:t>
      </w:r>
      <w:r w:rsidR="00B16609" w:rsidRPr="00240B41">
        <w:t xml:space="preserve">for the applicant, or the applicant himself, has or may have given a prior inconsistent account to the IGADF by virtue of the Court’s decision in </w:t>
      </w:r>
      <w:r w:rsidR="00B16609" w:rsidRPr="00240B41">
        <w:rPr>
          <w:i/>
        </w:rPr>
        <w:t xml:space="preserve">Roberts-Smith v Fairfax Media Publications Pty Limited (No 8) </w:t>
      </w:r>
      <w:r w:rsidR="00B16609" w:rsidRPr="00240B41">
        <w:t xml:space="preserve">[2020] FCA 1630 </w:t>
      </w:r>
      <w:r w:rsidR="009804BA" w:rsidRPr="00240B41">
        <w:t>(</w:t>
      </w:r>
      <w:r w:rsidR="009804BA" w:rsidRPr="00240B41">
        <w:rPr>
          <w:i/>
        </w:rPr>
        <w:t>Roberts-Smith (No 8)</w:t>
      </w:r>
      <w:r w:rsidR="009804BA" w:rsidRPr="00240B41">
        <w:t xml:space="preserve">) </w:t>
      </w:r>
      <w:r w:rsidR="00B16609" w:rsidRPr="00240B41">
        <w:t xml:space="preserve">at [2], [16]. </w:t>
      </w:r>
      <w:r w:rsidR="00FE2F5D" w:rsidRPr="00240B41">
        <w:rPr>
          <w:i/>
        </w:rPr>
        <w:t>Fourth,</w:t>
      </w:r>
      <w:r w:rsidR="00FE2F5D" w:rsidRPr="00240B41">
        <w:rPr>
          <w:b/>
          <w:i/>
        </w:rPr>
        <w:t xml:space="preserve"> </w:t>
      </w:r>
      <w:r w:rsidR="00FC66FC" w:rsidRPr="00240B41">
        <w:t>the a</w:t>
      </w:r>
      <w:r w:rsidR="001C5321" w:rsidRPr="00240B41">
        <w:t xml:space="preserve">pplicant has </w:t>
      </w:r>
      <w:r w:rsidR="00FE2F5D" w:rsidRPr="00240B41">
        <w:t>been able to challenge Person 24 as to the truth of his account, and to elicit evidence as to the occasions on which Person 24 says he has previously given the same account</w:t>
      </w:r>
      <w:r w:rsidR="005F0419" w:rsidRPr="00240B41">
        <w:t>.</w:t>
      </w:r>
      <w:r w:rsidR="00B82F7D" w:rsidRPr="00240B41">
        <w:t xml:space="preserve"> </w:t>
      </w:r>
      <w:r w:rsidR="001C5321" w:rsidRPr="00240B41">
        <w:rPr>
          <w:i/>
        </w:rPr>
        <w:t>Fifth,</w:t>
      </w:r>
      <w:r w:rsidR="001C5321" w:rsidRPr="00240B41">
        <w:rPr>
          <w:b/>
          <w:i/>
          <w:spacing w:val="-12"/>
        </w:rPr>
        <w:t xml:space="preserve"> </w:t>
      </w:r>
      <w:r w:rsidR="001C5321" w:rsidRPr="00240B41">
        <w:t>significant</w:t>
      </w:r>
      <w:r w:rsidR="001C5321" w:rsidRPr="00240B41">
        <w:rPr>
          <w:spacing w:val="-12"/>
        </w:rPr>
        <w:t xml:space="preserve"> </w:t>
      </w:r>
      <w:r w:rsidR="001C5321" w:rsidRPr="00240B41">
        <w:t>evidence</w:t>
      </w:r>
      <w:r w:rsidR="001C5321" w:rsidRPr="00240B41">
        <w:rPr>
          <w:spacing w:val="-13"/>
        </w:rPr>
        <w:t xml:space="preserve"> </w:t>
      </w:r>
      <w:r w:rsidR="001C5321" w:rsidRPr="00240B41">
        <w:t>has</w:t>
      </w:r>
      <w:r w:rsidR="001C5321" w:rsidRPr="00240B41">
        <w:rPr>
          <w:spacing w:val="-13"/>
        </w:rPr>
        <w:t xml:space="preserve"> </w:t>
      </w:r>
      <w:r w:rsidR="001C5321" w:rsidRPr="00240B41">
        <w:t>already</w:t>
      </w:r>
      <w:r w:rsidR="001C5321" w:rsidRPr="00240B41">
        <w:rPr>
          <w:spacing w:val="-15"/>
        </w:rPr>
        <w:t xml:space="preserve"> </w:t>
      </w:r>
      <w:r w:rsidR="001C5321" w:rsidRPr="00240B41">
        <w:t>been</w:t>
      </w:r>
      <w:r w:rsidR="001C5321" w:rsidRPr="00240B41">
        <w:rPr>
          <w:spacing w:val="-14"/>
        </w:rPr>
        <w:t xml:space="preserve"> </w:t>
      </w:r>
      <w:r w:rsidR="001C5321" w:rsidRPr="00240B41">
        <w:t>adduced</w:t>
      </w:r>
      <w:r w:rsidR="001C5321" w:rsidRPr="00240B41">
        <w:rPr>
          <w:spacing w:val="-16"/>
        </w:rPr>
        <w:t xml:space="preserve"> </w:t>
      </w:r>
      <w:r w:rsidR="001C5321" w:rsidRPr="00240B41">
        <w:t>from</w:t>
      </w:r>
      <w:r w:rsidR="001C5321" w:rsidRPr="00240B41">
        <w:rPr>
          <w:spacing w:val="-12"/>
        </w:rPr>
        <w:t xml:space="preserve"> </w:t>
      </w:r>
      <w:r w:rsidR="001C5321" w:rsidRPr="00240B41">
        <w:t>other</w:t>
      </w:r>
      <w:r w:rsidR="001C5321" w:rsidRPr="00240B41">
        <w:rPr>
          <w:spacing w:val="-15"/>
        </w:rPr>
        <w:t xml:space="preserve"> </w:t>
      </w:r>
      <w:r w:rsidR="001C5321" w:rsidRPr="00240B41">
        <w:t>witnesses</w:t>
      </w:r>
      <w:r w:rsidR="001C5321" w:rsidRPr="00240B41">
        <w:rPr>
          <w:spacing w:val="-10"/>
        </w:rPr>
        <w:t xml:space="preserve"> </w:t>
      </w:r>
      <w:r w:rsidR="001C5321" w:rsidRPr="00240B41">
        <w:t>(in</w:t>
      </w:r>
      <w:r w:rsidR="001C5321" w:rsidRPr="00240B41">
        <w:rPr>
          <w:spacing w:val="-13"/>
        </w:rPr>
        <w:t xml:space="preserve"> </w:t>
      </w:r>
      <w:r w:rsidR="001C5321" w:rsidRPr="00240B41">
        <w:t>addition to</w:t>
      </w:r>
      <w:r w:rsidR="001C5321" w:rsidRPr="00240B41">
        <w:rPr>
          <w:spacing w:val="-5"/>
        </w:rPr>
        <w:t xml:space="preserve"> </w:t>
      </w:r>
      <w:r w:rsidR="001C5321" w:rsidRPr="00240B41">
        <w:t>the</w:t>
      </w:r>
      <w:r w:rsidR="001C5321" w:rsidRPr="00240B41">
        <w:rPr>
          <w:spacing w:val="-5"/>
        </w:rPr>
        <w:t xml:space="preserve"> </w:t>
      </w:r>
      <w:r w:rsidR="00D838EB" w:rsidRPr="00240B41">
        <w:t>a</w:t>
      </w:r>
      <w:r w:rsidR="001C5321" w:rsidRPr="00240B41">
        <w:t>pplicant</w:t>
      </w:r>
      <w:r w:rsidR="001C5321" w:rsidRPr="00240B41">
        <w:rPr>
          <w:spacing w:val="-3"/>
        </w:rPr>
        <w:t xml:space="preserve"> </w:t>
      </w:r>
      <w:r w:rsidR="001C5321" w:rsidRPr="00240B41">
        <w:t>himself)</w:t>
      </w:r>
      <w:r w:rsidR="001C5321" w:rsidRPr="00240B41">
        <w:rPr>
          <w:spacing w:val="-4"/>
        </w:rPr>
        <w:t xml:space="preserve"> </w:t>
      </w:r>
      <w:r w:rsidR="001C5321" w:rsidRPr="00240B41">
        <w:t>to</w:t>
      </w:r>
      <w:r w:rsidR="001C5321" w:rsidRPr="00240B41">
        <w:rPr>
          <w:spacing w:val="-5"/>
        </w:rPr>
        <w:t xml:space="preserve"> </w:t>
      </w:r>
      <w:r w:rsidR="001C5321" w:rsidRPr="00240B41">
        <w:t>place</w:t>
      </w:r>
      <w:r w:rsidR="001C5321" w:rsidRPr="00240B41">
        <w:rPr>
          <w:spacing w:val="-5"/>
        </w:rPr>
        <w:t xml:space="preserve"> </w:t>
      </w:r>
      <w:r w:rsidR="001C5321" w:rsidRPr="00240B41">
        <w:t>the</w:t>
      </w:r>
      <w:r w:rsidR="001C5321" w:rsidRPr="00240B41">
        <w:rPr>
          <w:spacing w:val="-5"/>
        </w:rPr>
        <w:t xml:space="preserve"> </w:t>
      </w:r>
      <w:r w:rsidR="001C5321" w:rsidRPr="00240B41">
        <w:t>evidence</w:t>
      </w:r>
      <w:r w:rsidR="001C5321" w:rsidRPr="00240B41">
        <w:rPr>
          <w:spacing w:val="-5"/>
        </w:rPr>
        <w:t xml:space="preserve"> </w:t>
      </w:r>
      <w:r w:rsidR="001C5321" w:rsidRPr="00240B41">
        <w:t>Person</w:t>
      </w:r>
      <w:r w:rsidR="001C5321" w:rsidRPr="00240B41">
        <w:rPr>
          <w:spacing w:val="-5"/>
        </w:rPr>
        <w:t xml:space="preserve"> </w:t>
      </w:r>
      <w:r w:rsidR="001C5321" w:rsidRPr="00240B41">
        <w:t>24</w:t>
      </w:r>
      <w:r w:rsidR="001C5321" w:rsidRPr="00240B41">
        <w:rPr>
          <w:spacing w:val="-4"/>
        </w:rPr>
        <w:t xml:space="preserve"> </w:t>
      </w:r>
      <w:r w:rsidR="001C5321" w:rsidRPr="00240B41">
        <w:t>gave</w:t>
      </w:r>
      <w:r w:rsidR="001C5321" w:rsidRPr="00240B41">
        <w:rPr>
          <w:spacing w:val="-4"/>
        </w:rPr>
        <w:t xml:space="preserve"> </w:t>
      </w:r>
      <w:r w:rsidR="001C5321" w:rsidRPr="00240B41">
        <w:t>about</w:t>
      </w:r>
      <w:r w:rsidR="001C5321" w:rsidRPr="00240B41">
        <w:rPr>
          <w:spacing w:val="-6"/>
        </w:rPr>
        <w:t xml:space="preserve"> </w:t>
      </w:r>
      <w:r w:rsidR="001C5321" w:rsidRPr="00240B41">
        <w:t>the</w:t>
      </w:r>
      <w:r w:rsidR="001C5321" w:rsidRPr="00240B41">
        <w:rPr>
          <w:spacing w:val="-13"/>
        </w:rPr>
        <w:t xml:space="preserve"> </w:t>
      </w:r>
      <w:r w:rsidR="001C5321" w:rsidRPr="00240B41">
        <w:t>W</w:t>
      </w:r>
      <w:r w:rsidR="00D838EB" w:rsidRPr="00240B41">
        <w:t xml:space="preserve">hiskey </w:t>
      </w:r>
      <w:r w:rsidR="001C5321" w:rsidRPr="00240B41">
        <w:t>108</w:t>
      </w:r>
      <w:r w:rsidR="001C5321" w:rsidRPr="00240B41">
        <w:rPr>
          <w:spacing w:val="-4"/>
        </w:rPr>
        <w:t xml:space="preserve"> </w:t>
      </w:r>
      <w:r w:rsidR="001C5321" w:rsidRPr="00240B41">
        <w:t>mission in context</w:t>
      </w:r>
      <w:r w:rsidR="00B620E5" w:rsidRPr="00240B41">
        <w:t xml:space="preserve">, with the IGADF taking the Court to some of that evidence. </w:t>
      </w:r>
      <w:r w:rsidR="00B620E5" w:rsidRPr="00240B41">
        <w:rPr>
          <w:i/>
        </w:rPr>
        <w:t>Sixth</w:t>
      </w:r>
      <w:r w:rsidR="00B620E5" w:rsidRPr="00240B41">
        <w:t>, for completeness</w:t>
      </w:r>
      <w:r w:rsidR="0062603B" w:rsidRPr="00240B41">
        <w:t>,</w:t>
      </w:r>
      <w:r w:rsidR="00B620E5" w:rsidRPr="00240B41">
        <w:t xml:space="preserve"> the IGADF observed that </w:t>
      </w:r>
      <w:r w:rsidR="00F54A12" w:rsidRPr="00240B41">
        <w:t>t</w:t>
      </w:r>
      <w:r w:rsidR="00B620E5" w:rsidRPr="00240B41">
        <w:t xml:space="preserve">he fact that a successful public interest immunity claim results (or may result) in a court being denied access to relevant evidence is not novel: </w:t>
      </w:r>
      <w:r w:rsidR="00F54A12" w:rsidRPr="00240B41">
        <w:t xml:space="preserve">citing </w:t>
      </w:r>
      <w:r w:rsidR="00F54A12" w:rsidRPr="00240B41">
        <w:rPr>
          <w:i/>
        </w:rPr>
        <w:t xml:space="preserve">Church of Scientology </w:t>
      </w:r>
      <w:proofErr w:type="spellStart"/>
      <w:r w:rsidR="00F54A12" w:rsidRPr="00240B41">
        <w:rPr>
          <w:i/>
        </w:rPr>
        <w:t>Inc</w:t>
      </w:r>
      <w:proofErr w:type="spellEnd"/>
      <w:r w:rsidR="00F54A12" w:rsidRPr="00240B41">
        <w:rPr>
          <w:i/>
        </w:rPr>
        <w:t xml:space="preserve"> v Woodward </w:t>
      </w:r>
      <w:r w:rsidR="00F54A12" w:rsidRPr="00240B41">
        <w:t xml:space="preserve">(1982) </w:t>
      </w:r>
      <w:r w:rsidR="00F54A12" w:rsidRPr="00240B41">
        <w:lastRenderedPageBreak/>
        <w:t xml:space="preserve">154 CLR 25 at 61; </w:t>
      </w:r>
      <w:r w:rsidR="00F54A12" w:rsidRPr="00240B41">
        <w:rPr>
          <w:i/>
        </w:rPr>
        <w:t xml:space="preserve">Gypsy Jokers Motorcycle Club </w:t>
      </w:r>
      <w:proofErr w:type="spellStart"/>
      <w:r w:rsidR="00F54A12" w:rsidRPr="00240B41">
        <w:rPr>
          <w:i/>
        </w:rPr>
        <w:t>Inc</w:t>
      </w:r>
      <w:proofErr w:type="spellEnd"/>
      <w:r w:rsidR="00F54A12" w:rsidRPr="00240B41">
        <w:rPr>
          <w:i/>
        </w:rPr>
        <w:t xml:space="preserve"> v Commissioner of Police </w:t>
      </w:r>
      <w:r w:rsidR="0062603B" w:rsidRPr="00240B41">
        <w:t xml:space="preserve">[2008] HCA 4; </w:t>
      </w:r>
      <w:r w:rsidR="00F54A12" w:rsidRPr="00240B41">
        <w:t xml:space="preserve">(2008) 234 CLR 532 at [24]; </w:t>
      </w:r>
      <w:r w:rsidR="00F54A12" w:rsidRPr="00240B41">
        <w:rPr>
          <w:i/>
        </w:rPr>
        <w:t xml:space="preserve">Condon v Pompano </w:t>
      </w:r>
      <w:r w:rsidR="0062603B" w:rsidRPr="00240B41">
        <w:t xml:space="preserve">[2013] HCA 7; </w:t>
      </w:r>
      <w:r w:rsidR="00F54A12" w:rsidRPr="00240B41">
        <w:t xml:space="preserve">(2013) 252 CLR 38 at [148]; </w:t>
      </w:r>
      <w:r w:rsidR="00F54A12" w:rsidRPr="00240B41">
        <w:rPr>
          <w:i/>
        </w:rPr>
        <w:t xml:space="preserve">HT v The Queen </w:t>
      </w:r>
      <w:r w:rsidR="0062603B" w:rsidRPr="00240B41">
        <w:t xml:space="preserve">[2019] HCA 40; </w:t>
      </w:r>
      <w:r w:rsidR="00F54A12" w:rsidRPr="00240B41">
        <w:t>(2019) 269 CLR 403 at [29].</w:t>
      </w:r>
      <w:r w:rsidR="00000811" w:rsidRPr="00240B41">
        <w:t xml:space="preserve"> </w:t>
      </w:r>
    </w:p>
    <w:p w:rsidR="00CC2B4D" w:rsidRDefault="00B618C2" w:rsidP="00DB599E">
      <w:pPr>
        <w:pStyle w:val="ParaNumbering"/>
        <w:tabs>
          <w:tab w:val="clear" w:pos="720"/>
        </w:tabs>
      </w:pPr>
      <w:r>
        <w:t xml:space="preserve">The IGADF observed that many public interest immunity claims have been made in the context of these proceedings </w:t>
      </w:r>
      <w:r w:rsidR="00991AC4">
        <w:t xml:space="preserve">which were </w:t>
      </w:r>
      <w:r>
        <w:t>either upheld or not challenged by the parties</w:t>
      </w:r>
      <w:r w:rsidR="00991AC4">
        <w:t>. This has</w:t>
      </w:r>
      <w:r>
        <w:t xml:space="preserve"> had an impact on the body of evidence by which the Court will determine the proceedings, but it does not mean that the Court is unable to </w:t>
      </w:r>
      <w:r w:rsidR="00F76C7F">
        <w:t>“</w:t>
      </w:r>
      <w:proofErr w:type="spellStart"/>
      <w:r>
        <w:t>discharg</w:t>
      </w:r>
      <w:proofErr w:type="spellEnd"/>
      <w:r>
        <w:t>[e] its functions in</w:t>
      </w:r>
      <w:r w:rsidR="00DB599E">
        <w:t xml:space="preserve"> the administration of justice</w:t>
      </w:r>
      <w:r w:rsidR="00F76C7F">
        <w:t>”</w:t>
      </w:r>
      <w:r w:rsidR="00D46C40">
        <w:t xml:space="preserve"> (as asserted by the applicant)</w:t>
      </w:r>
      <w:r w:rsidR="003D085E">
        <w:t>.</w:t>
      </w:r>
      <w:r w:rsidR="00991AC4">
        <w:t xml:space="preserve"> </w:t>
      </w:r>
      <w:r w:rsidR="00AA1EFB">
        <w:t xml:space="preserve">The </w:t>
      </w:r>
      <w:r w:rsidR="00000811">
        <w:t>IGADF also noted that if his immunity claim is rejected, disclosure of the Person 24 transcript could not occur until the Attorney-General</w:t>
      </w:r>
      <w:r w:rsidR="00AA1EFB">
        <w:t xml:space="preserve"> for the Commonwealth</w:t>
      </w:r>
      <w:r w:rsidR="00000811">
        <w:t xml:space="preserve"> has acted on the notice that the </w:t>
      </w:r>
      <w:r w:rsidR="00903F56">
        <w:t>a</w:t>
      </w:r>
      <w:r w:rsidR="00000811">
        <w:t xml:space="preserve">pplicant has issued in respect of the </w:t>
      </w:r>
      <w:r w:rsidR="00757E85">
        <w:t>S</w:t>
      </w:r>
      <w:r w:rsidR="00000811">
        <w:t>ubpoena under s 38D(1)(c) of the NSI Act.</w:t>
      </w:r>
      <w:r w:rsidR="00CC2B4D">
        <w:t xml:space="preserve"> </w:t>
      </w:r>
    </w:p>
    <w:p w:rsidR="006C683B" w:rsidRDefault="006C683B" w:rsidP="00CC2B4D">
      <w:pPr>
        <w:pStyle w:val="ParaNumbering"/>
        <w:tabs>
          <w:tab w:val="clear" w:pos="720"/>
        </w:tabs>
      </w:pPr>
      <w:r>
        <w:t xml:space="preserve">The respondents did not make any submissions. </w:t>
      </w:r>
    </w:p>
    <w:p w:rsidR="00F44100" w:rsidRDefault="00F44100" w:rsidP="00CC2B4D">
      <w:pPr>
        <w:pStyle w:val="ParaNumbering"/>
        <w:tabs>
          <w:tab w:val="clear" w:pos="720"/>
        </w:tabs>
      </w:pPr>
      <w:r>
        <w:t>Counsel for Person 24 did not make any submission, but said he relied on the brief written submission he had filed for the purposes of</w:t>
      </w:r>
      <w:r w:rsidR="00B75333">
        <w:t xml:space="preserve"> </w:t>
      </w:r>
      <w:r w:rsidR="00B75333">
        <w:rPr>
          <w:i/>
        </w:rPr>
        <w:t>Roberts-Smith (No 24)</w:t>
      </w:r>
      <w:r>
        <w:t xml:space="preserve">. </w:t>
      </w:r>
      <w:r w:rsidR="00F977F7">
        <w:t xml:space="preserve">I have taken those submissions into account, to the extent that they are relevant </w:t>
      </w:r>
      <w:r w:rsidR="00122899">
        <w:t>to</w:t>
      </w:r>
      <w:r w:rsidR="00F977F7">
        <w:t xml:space="preserve"> this application.</w:t>
      </w:r>
    </w:p>
    <w:p w:rsidR="00CC2B4D" w:rsidRDefault="000A6AC2" w:rsidP="00BD5578">
      <w:pPr>
        <w:pStyle w:val="Heading2"/>
      </w:pPr>
      <w:r w:rsidRPr="00CC2B4D">
        <w:t xml:space="preserve">Consideration </w:t>
      </w:r>
    </w:p>
    <w:p w:rsidR="00B316D7" w:rsidRDefault="00A81071" w:rsidP="004E4A31">
      <w:pPr>
        <w:pStyle w:val="ParaNumbering"/>
        <w:tabs>
          <w:tab w:val="clear" w:pos="720"/>
        </w:tabs>
      </w:pPr>
      <w:r>
        <w:t xml:space="preserve">As noted above, in support of his claims of public interest immunity, the IGADF relies, inter alia, on the same </w:t>
      </w:r>
      <w:r w:rsidR="00B316D7">
        <w:t xml:space="preserve">open and confidential affidavits of Mr Gaynor sworn on 20 September 2021, as were relied on in </w:t>
      </w:r>
      <w:r w:rsidR="00B316D7" w:rsidRPr="005F0419">
        <w:rPr>
          <w:i/>
        </w:rPr>
        <w:t>Roberts-Smith (No 24)</w:t>
      </w:r>
      <w:r w:rsidR="00B316D7">
        <w:t xml:space="preserve">. </w:t>
      </w:r>
      <w:r w:rsidR="008B1CCB">
        <w:t>That material from the open affidavit is summarised at [</w:t>
      </w:r>
      <w:r w:rsidR="009E11EB">
        <w:t>12</w:t>
      </w:r>
      <w:r w:rsidR="008B1CCB">
        <w:t>]-[</w:t>
      </w:r>
      <w:r w:rsidR="009E11EB">
        <w:t>28</w:t>
      </w:r>
      <w:r w:rsidR="008B1CCB">
        <w:t>]</w:t>
      </w:r>
      <w:r w:rsidR="00EC4998">
        <w:t xml:space="preserve">. </w:t>
      </w:r>
      <w:r w:rsidR="00CC2B4D">
        <w:t>As I observed, although it was inappropriate to recite the evidence in t</w:t>
      </w:r>
      <w:r w:rsidR="004E4A31">
        <w:t>he confidential affidavit, it sufficed</w:t>
      </w:r>
      <w:r w:rsidR="00CC2B4D">
        <w:t xml:space="preserve"> to say that it add</w:t>
      </w:r>
      <w:r w:rsidR="00683029">
        <w:t>ed</w:t>
      </w:r>
      <w:r w:rsidR="00CC2B4D">
        <w:t xml:space="preserve"> weight to </w:t>
      </w:r>
      <w:r w:rsidR="00032997">
        <w:t xml:space="preserve">the IGADF’s </w:t>
      </w:r>
      <w:r w:rsidR="00CC2B4D">
        <w:t xml:space="preserve">claim for public interest immunity. </w:t>
      </w:r>
      <w:r w:rsidR="00EC4998">
        <w:t xml:space="preserve">I accepted his evidence </w:t>
      </w:r>
      <w:r w:rsidR="00435657">
        <w:t>in the open and confidential affidavits and concluded</w:t>
      </w:r>
      <w:r w:rsidR="00936F67">
        <w:t>,</w:t>
      </w:r>
      <w:r w:rsidR="00435657">
        <w:t xml:space="preserve"> inter alia, that significant weight can be attached to the opinions he expresse</w:t>
      </w:r>
      <w:r w:rsidR="00683029">
        <w:t>d</w:t>
      </w:r>
      <w:r w:rsidR="00435657">
        <w:t xml:space="preserve"> about the impact of disclosure of the information sought: at [62]-[63].</w:t>
      </w:r>
      <w:r w:rsidR="004E4A31">
        <w:t xml:space="preserve"> Those conclusions apply in this application. </w:t>
      </w:r>
    </w:p>
    <w:p w:rsidR="00EC375E" w:rsidRPr="007F797F" w:rsidRDefault="0043724E" w:rsidP="00EC375E">
      <w:pPr>
        <w:pStyle w:val="ParaNumbering"/>
      </w:pPr>
      <w:r>
        <w:t xml:space="preserve">In </w:t>
      </w:r>
      <w:r w:rsidRPr="001A5CBD">
        <w:rPr>
          <w:i/>
        </w:rPr>
        <w:t>Roberts Smith (No 24)</w:t>
      </w:r>
      <w:r w:rsidR="00936F67">
        <w:rPr>
          <w:i/>
        </w:rPr>
        <w:t>,</w:t>
      </w:r>
      <w:r>
        <w:t xml:space="preserve"> the orders made were interlocutory, of a substantial nature, and </w:t>
      </w:r>
      <w:r w:rsidR="00480177">
        <w:t xml:space="preserve">made after a contested hearing and </w:t>
      </w:r>
      <w:r w:rsidR="00480177" w:rsidRPr="009C3CD0">
        <w:rPr>
          <w:lang w:eastAsia="en-AU"/>
        </w:rPr>
        <w:t xml:space="preserve">in contemplation that the order will operate until the final disposition of the </w:t>
      </w:r>
      <w:r w:rsidR="003431B3">
        <w:rPr>
          <w:lang w:eastAsia="en-AU"/>
        </w:rPr>
        <w:t>matter</w:t>
      </w:r>
      <w:r w:rsidR="00480177">
        <w:rPr>
          <w:lang w:eastAsia="en-AU"/>
        </w:rPr>
        <w:t>.</w:t>
      </w:r>
      <w:r w:rsidR="00480177">
        <w:t xml:space="preserve"> The</w:t>
      </w:r>
      <w:r>
        <w:t xml:space="preserve"> document sought in respect to Person 24 falls squarely within those orders. As such, a material change of circumstances is relied on by the applicant to </w:t>
      </w:r>
      <w:r w:rsidRPr="007F797F">
        <w:t xml:space="preserve">contend the ruling should be reconsidered in respect to the documents sought.  </w:t>
      </w:r>
    </w:p>
    <w:p w:rsidR="004E4A31" w:rsidRDefault="00716155" w:rsidP="003209DB">
      <w:pPr>
        <w:pStyle w:val="ParaNumbering"/>
      </w:pPr>
      <w:r w:rsidRPr="007F797F">
        <w:lastRenderedPageBreak/>
        <w:t>T</w:t>
      </w:r>
      <w:r w:rsidR="00EC375E" w:rsidRPr="007F797F">
        <w:t>he applicant</w:t>
      </w:r>
      <w:r w:rsidRPr="007F797F">
        <w:t>’s contention</w:t>
      </w:r>
      <w:r w:rsidR="00EC375E" w:rsidRPr="007F797F">
        <w:t xml:space="preserve"> that in </w:t>
      </w:r>
      <w:r w:rsidR="00EC375E" w:rsidRPr="007F797F">
        <w:rPr>
          <w:i/>
        </w:rPr>
        <w:t>Roberts Smith (No 24)</w:t>
      </w:r>
      <w:r w:rsidR="00EC375E" w:rsidRPr="007F797F">
        <w:t xml:space="preserve"> at [75] I held out that the rul</w:t>
      </w:r>
      <w:r w:rsidR="00EC375E">
        <w:t xml:space="preserve">ing could be reconsidered in the event of </w:t>
      </w:r>
      <w:r w:rsidR="003431B3">
        <w:t xml:space="preserve">a </w:t>
      </w:r>
      <w:r w:rsidR="00EC375E">
        <w:t>chang</w:t>
      </w:r>
      <w:r w:rsidR="00EC375E" w:rsidRPr="007F797F">
        <w:t>e</w:t>
      </w:r>
      <w:r w:rsidR="00501014" w:rsidRPr="007F797F">
        <w:t xml:space="preserve"> of circumstances</w:t>
      </w:r>
      <w:r w:rsidRPr="007F797F">
        <w:t xml:space="preserve"> </w:t>
      </w:r>
      <w:r w:rsidR="00EC375E" w:rsidRPr="007F797F">
        <w:t>involves a</w:t>
      </w:r>
      <w:r w:rsidR="00EC375E">
        <w:t xml:space="preserve"> misreading</w:t>
      </w:r>
      <w:r w:rsidR="00501014">
        <w:t xml:space="preserve"> of the passage. That said, it is of no moment to the</w:t>
      </w:r>
      <w:r w:rsidR="00A61929">
        <w:t xml:space="preserve"> resolution of this application. </w:t>
      </w:r>
      <w:r w:rsidR="007706C2">
        <w:t>In any event, t</w:t>
      </w:r>
      <w:r w:rsidR="004E4A31">
        <w:t xml:space="preserve">he IGADF accepted that there </w:t>
      </w:r>
      <w:r w:rsidR="00DC183D">
        <w:t xml:space="preserve">has been </w:t>
      </w:r>
      <w:r w:rsidR="004E4A31">
        <w:t xml:space="preserve">a material change </w:t>
      </w:r>
      <w:r w:rsidR="006E4BE2">
        <w:t xml:space="preserve">since </w:t>
      </w:r>
      <w:r w:rsidR="006E4BE2" w:rsidRPr="005F0419">
        <w:rPr>
          <w:i/>
        </w:rPr>
        <w:t>Roberts-S</w:t>
      </w:r>
      <w:r w:rsidR="00B00844" w:rsidRPr="005F0419">
        <w:rPr>
          <w:i/>
        </w:rPr>
        <w:t xml:space="preserve">mith (No 24) </w:t>
      </w:r>
      <w:r w:rsidR="00B00844">
        <w:t>such as to permit that ruling to be revisited in respect to the material sought in relation to Person 24.</w:t>
      </w:r>
      <w:r w:rsidR="004361C6">
        <w:t xml:space="preserve"> </w:t>
      </w:r>
    </w:p>
    <w:p w:rsidR="004654F4" w:rsidRPr="00240B41" w:rsidRDefault="00B00844" w:rsidP="004654F4">
      <w:pPr>
        <w:pStyle w:val="ParaNumbering"/>
      </w:pPr>
      <w:r w:rsidRPr="00240B41">
        <w:t xml:space="preserve">The IGADF also </w:t>
      </w:r>
      <w:r w:rsidR="004361C6" w:rsidRPr="00240B41">
        <w:t xml:space="preserve">properly </w:t>
      </w:r>
      <w:r w:rsidRPr="00240B41">
        <w:t xml:space="preserve">accepted </w:t>
      </w:r>
      <w:r w:rsidR="004361C6" w:rsidRPr="00240B41">
        <w:t xml:space="preserve">that in that circumstance, </w:t>
      </w:r>
      <w:r w:rsidR="004E4A31" w:rsidRPr="00240B41">
        <w:t xml:space="preserve">there was a relevant public interest consideration on each side of the equation (that harm would be done by disclosure of the documents sought and the proper administration of justice would be frustrated or impaired if the documents were withheld), and that the balancing exercise described in </w:t>
      </w:r>
      <w:proofErr w:type="spellStart"/>
      <w:r w:rsidR="004E4A31" w:rsidRPr="00240B41">
        <w:rPr>
          <w:i/>
        </w:rPr>
        <w:t>Alister</w:t>
      </w:r>
      <w:proofErr w:type="spellEnd"/>
      <w:r w:rsidR="004E4A31" w:rsidRPr="00240B41">
        <w:rPr>
          <w:i/>
        </w:rPr>
        <w:t xml:space="preserve"> v The Queen </w:t>
      </w:r>
      <w:r w:rsidR="004E4A31" w:rsidRPr="00240B41">
        <w:t>[1984] HCA 85; (1984) 154 CLR 404 (</w:t>
      </w:r>
      <w:proofErr w:type="spellStart"/>
      <w:r w:rsidR="004E4A31" w:rsidRPr="00240B41">
        <w:rPr>
          <w:i/>
        </w:rPr>
        <w:t>Alister</w:t>
      </w:r>
      <w:proofErr w:type="spellEnd"/>
      <w:r w:rsidR="004361C6" w:rsidRPr="00240B41">
        <w:t>) is to be performed.</w:t>
      </w:r>
    </w:p>
    <w:p w:rsidR="00F754A7" w:rsidRDefault="00D547C7" w:rsidP="004654F4">
      <w:pPr>
        <w:pStyle w:val="ParaNumbering"/>
      </w:pPr>
      <w:r>
        <w:t>The observa</w:t>
      </w:r>
      <w:r w:rsidR="00F754A7">
        <w:t xml:space="preserve">tions </w:t>
      </w:r>
      <w:r>
        <w:t xml:space="preserve">made in </w:t>
      </w:r>
      <w:r w:rsidR="000F745C" w:rsidRPr="00626797">
        <w:rPr>
          <w:i/>
        </w:rPr>
        <w:t>Roberts-Smith (No 24)</w:t>
      </w:r>
      <w:r w:rsidR="000F745C">
        <w:t xml:space="preserve"> at [65] </w:t>
      </w:r>
      <w:proofErr w:type="spellStart"/>
      <w:r w:rsidR="000F745C">
        <w:t>ff</w:t>
      </w:r>
      <w:proofErr w:type="spellEnd"/>
      <w:r w:rsidR="000F745C">
        <w:t xml:space="preserve"> in </w:t>
      </w:r>
      <w:r>
        <w:t>respect to the public interest considerati</w:t>
      </w:r>
      <w:r w:rsidRPr="005E5AEE">
        <w:t>on</w:t>
      </w:r>
      <w:r w:rsidR="00F754A7" w:rsidRPr="005E5AEE">
        <w:t>s</w:t>
      </w:r>
      <w:r w:rsidRPr="005E5AEE">
        <w:t xml:space="preserve"> </w:t>
      </w:r>
      <w:r w:rsidR="00B6346D" w:rsidRPr="005E5AEE">
        <w:t xml:space="preserve">that </w:t>
      </w:r>
      <w:r w:rsidR="00F2015C" w:rsidRPr="005E5AEE">
        <w:t>arose</w:t>
      </w:r>
      <w:r w:rsidR="00B6346D" w:rsidRPr="005E5AEE">
        <w:t xml:space="preserve"> in connection with the</w:t>
      </w:r>
      <w:r w:rsidR="00F2015C" w:rsidRPr="005E5AEE">
        <w:t xml:space="preserve"> documents </w:t>
      </w:r>
      <w:r w:rsidR="00F754A7" w:rsidRPr="005E5AEE">
        <w:t>sought from the IGADF</w:t>
      </w:r>
      <w:r w:rsidR="00B6346D" w:rsidRPr="005E5AEE">
        <w:t xml:space="preserve"> in</w:t>
      </w:r>
      <w:r w:rsidR="00B6346D">
        <w:t xml:space="preserve"> that matter</w:t>
      </w:r>
      <w:r w:rsidR="00DC5CB1">
        <w:t>, similarly apply in this applicatio</w:t>
      </w:r>
      <w:r w:rsidR="00DC5CB1" w:rsidRPr="00F33DC3">
        <w:t xml:space="preserve">n. </w:t>
      </w:r>
      <w:r w:rsidR="005E5351" w:rsidRPr="00F33DC3">
        <w:t xml:space="preserve">I take those matters into account. </w:t>
      </w:r>
      <w:r w:rsidR="00DC5CB1" w:rsidRPr="00F33DC3">
        <w:t>It</w:t>
      </w:r>
      <w:r w:rsidR="00DC5CB1">
        <w:t xml:space="preserve"> is unnecessary to repeat </w:t>
      </w:r>
      <w:r w:rsidR="00F754A7">
        <w:t>them here.</w:t>
      </w:r>
      <w:r w:rsidR="00134971">
        <w:t xml:space="preserve"> </w:t>
      </w:r>
    </w:p>
    <w:p w:rsidR="00497227" w:rsidRDefault="00F754A7" w:rsidP="004654F4">
      <w:pPr>
        <w:pStyle w:val="ParaNumbering"/>
      </w:pPr>
      <w:r>
        <w:t xml:space="preserve">It is appropriate to add the following observations. </w:t>
      </w:r>
    </w:p>
    <w:p w:rsidR="00E95AA2" w:rsidRPr="00240B41" w:rsidRDefault="00022B42" w:rsidP="006176FD">
      <w:pPr>
        <w:pStyle w:val="ParaNumbering"/>
      </w:pPr>
      <w:r w:rsidRPr="00240B41">
        <w:rPr>
          <w:i/>
        </w:rPr>
        <w:t xml:space="preserve">First, </w:t>
      </w:r>
      <w:r w:rsidRPr="00240B41">
        <w:t xml:space="preserve">this application is </w:t>
      </w:r>
      <w:r w:rsidR="008219CF" w:rsidRPr="00240B41">
        <w:t xml:space="preserve">based on the evidence </w:t>
      </w:r>
      <w:r w:rsidR="00B20A79" w:rsidRPr="00240B41">
        <w:t>given by</w:t>
      </w:r>
      <w:r w:rsidR="008219CF" w:rsidRPr="00240B41">
        <w:t xml:space="preserve"> Person 24 </w:t>
      </w:r>
      <w:r w:rsidR="00A42FCD" w:rsidRPr="00240B41">
        <w:t xml:space="preserve">at </w:t>
      </w:r>
      <w:r w:rsidR="008219CF" w:rsidRPr="00240B41">
        <w:t>the hearing in relation to Whis</w:t>
      </w:r>
      <w:r w:rsidR="003C7388" w:rsidRPr="00240B41">
        <w:t xml:space="preserve">key 108 which </w:t>
      </w:r>
      <w:r w:rsidR="008219CF" w:rsidRPr="00240B41">
        <w:t xml:space="preserve">is </w:t>
      </w:r>
      <w:r w:rsidR="00F662C9" w:rsidRPr="00240B41">
        <w:t xml:space="preserve">said to be </w:t>
      </w:r>
      <w:r w:rsidR="008219CF" w:rsidRPr="00240B41">
        <w:t xml:space="preserve">inconsistent with </w:t>
      </w:r>
      <w:r w:rsidR="003C7388" w:rsidRPr="00240B41">
        <w:t xml:space="preserve">his version as summarised </w:t>
      </w:r>
      <w:r w:rsidR="008219CF" w:rsidRPr="00240B41">
        <w:t>in the applicant’s PAP notice</w:t>
      </w:r>
      <w:r w:rsidR="003C7388" w:rsidRPr="00240B41">
        <w:t xml:space="preserve">. </w:t>
      </w:r>
      <w:r w:rsidR="00AA730B" w:rsidRPr="00240B41">
        <w:t xml:space="preserve">The nature of </w:t>
      </w:r>
      <w:r w:rsidR="00777DA9" w:rsidRPr="00240B41">
        <w:t xml:space="preserve">the </w:t>
      </w:r>
      <w:r w:rsidR="00AA730B" w:rsidRPr="00240B41">
        <w:t xml:space="preserve">PAP notice is described by Colvin J in </w:t>
      </w:r>
      <w:r w:rsidR="00AA730B" w:rsidRPr="00240B41">
        <w:rPr>
          <w:i/>
        </w:rPr>
        <w:t xml:space="preserve">Roberts-Smith </w:t>
      </w:r>
      <w:r w:rsidR="00B15A41" w:rsidRPr="00240B41">
        <w:rPr>
          <w:i/>
        </w:rPr>
        <w:t xml:space="preserve">v Fairfax Media Publications Pty Limited </w:t>
      </w:r>
      <w:r w:rsidR="00AA730B" w:rsidRPr="00240B41">
        <w:rPr>
          <w:i/>
        </w:rPr>
        <w:t>(No 6)</w:t>
      </w:r>
      <w:r w:rsidR="00AA730B" w:rsidRPr="00240B41">
        <w:t xml:space="preserve"> </w:t>
      </w:r>
      <w:r w:rsidR="00B15A41" w:rsidRPr="00240B41">
        <w:t xml:space="preserve">[2020] FCA 1285 </w:t>
      </w:r>
      <w:r w:rsidR="00E65E3A" w:rsidRPr="00240B41">
        <w:t>(</w:t>
      </w:r>
      <w:r w:rsidR="00E65E3A" w:rsidRPr="00240B41">
        <w:rPr>
          <w:i/>
        </w:rPr>
        <w:t>Roberts-Smith (No 6)</w:t>
      </w:r>
      <w:r w:rsidR="00E65E3A" w:rsidRPr="00240B41">
        <w:t xml:space="preserve">) </w:t>
      </w:r>
      <w:r w:rsidR="00AA730B" w:rsidRPr="00240B41">
        <w:t xml:space="preserve">at </w:t>
      </w:r>
      <w:r w:rsidR="00086FD8" w:rsidRPr="00240B41">
        <w:t xml:space="preserve">[60]-[61], recited in </w:t>
      </w:r>
      <w:r w:rsidR="00086FD8" w:rsidRPr="00240B41">
        <w:rPr>
          <w:i/>
        </w:rPr>
        <w:t>Roberts-Smith (</w:t>
      </w:r>
      <w:r w:rsidR="00B15A41" w:rsidRPr="00240B41">
        <w:rPr>
          <w:i/>
        </w:rPr>
        <w:t>N</w:t>
      </w:r>
      <w:r w:rsidR="00086FD8" w:rsidRPr="00240B41">
        <w:rPr>
          <w:i/>
        </w:rPr>
        <w:t>o 14)</w:t>
      </w:r>
      <w:r w:rsidR="00086FD8" w:rsidRPr="00240B41">
        <w:t xml:space="preserve"> at [79]. </w:t>
      </w:r>
      <w:r w:rsidR="00710050" w:rsidRPr="00240B41">
        <w:t>The applic</w:t>
      </w:r>
      <w:r w:rsidR="00134971" w:rsidRPr="00240B41">
        <w:t>ant repeatedly</w:t>
      </w:r>
      <w:r w:rsidR="004519BA" w:rsidRPr="00240B41">
        <w:t xml:space="preserve"> </w:t>
      </w:r>
      <w:r w:rsidR="00F662C9" w:rsidRPr="00240B41">
        <w:t>characterised Person 24’s</w:t>
      </w:r>
      <w:r w:rsidR="00710050" w:rsidRPr="00240B41">
        <w:t xml:space="preserve"> </w:t>
      </w:r>
      <w:r w:rsidR="003C7388" w:rsidRPr="00240B41">
        <w:t xml:space="preserve">evidence as </w:t>
      </w:r>
      <w:r w:rsidR="000C3F8D" w:rsidRPr="00240B41">
        <w:t>fa</w:t>
      </w:r>
      <w:r w:rsidR="00710050" w:rsidRPr="00240B41">
        <w:t>lse</w:t>
      </w:r>
      <w:r w:rsidR="00A80178" w:rsidRPr="00240B41">
        <w:t xml:space="preserve">. </w:t>
      </w:r>
      <w:r w:rsidR="00710050" w:rsidRPr="00240B41">
        <w:t>That characteri</w:t>
      </w:r>
      <w:r w:rsidR="00B90751" w:rsidRPr="00240B41">
        <w:t xml:space="preserve">sation does not assist </w:t>
      </w:r>
      <w:r w:rsidR="00F662C9" w:rsidRPr="00240B41">
        <w:t xml:space="preserve">the argument, </w:t>
      </w:r>
      <w:r w:rsidR="00B90751" w:rsidRPr="00240B41">
        <w:t>as an inconsistency in a witness’ evidence</w:t>
      </w:r>
      <w:r w:rsidR="00364102" w:rsidRPr="00240B41">
        <w:t xml:space="preserve"> </w:t>
      </w:r>
      <w:r w:rsidR="00B90751" w:rsidRPr="00240B41">
        <w:t>does not</w:t>
      </w:r>
      <w:r w:rsidR="0039481B" w:rsidRPr="00240B41">
        <w:t>,</w:t>
      </w:r>
      <w:r w:rsidR="00364102" w:rsidRPr="00240B41">
        <w:t xml:space="preserve"> in and of itself</w:t>
      </w:r>
      <w:r w:rsidR="0039481B" w:rsidRPr="00240B41">
        <w:t>,</w:t>
      </w:r>
      <w:r w:rsidR="00B90751" w:rsidRPr="00240B41">
        <w:t xml:space="preserve"> nece</w:t>
      </w:r>
      <w:r w:rsidR="0000597A" w:rsidRPr="00240B41">
        <w:t>ssarily carry that connotation.</w:t>
      </w:r>
      <w:r w:rsidR="00684978" w:rsidRPr="00240B41">
        <w:t xml:space="preserve"> </w:t>
      </w:r>
      <w:r w:rsidR="004205E6" w:rsidRPr="00240B41">
        <w:t xml:space="preserve">Suffice to say, </w:t>
      </w:r>
      <w:r w:rsidR="00275FE3" w:rsidRPr="00240B41">
        <w:t xml:space="preserve">I approach </w:t>
      </w:r>
      <w:r w:rsidR="0000597A" w:rsidRPr="00240B41">
        <w:t>this application</w:t>
      </w:r>
      <w:r w:rsidR="00275FE3" w:rsidRPr="00240B41">
        <w:t xml:space="preserve"> on the basis </w:t>
      </w:r>
      <w:r w:rsidR="00DA0AE0" w:rsidRPr="00240B41">
        <w:t xml:space="preserve">that, on the evidence before me, </w:t>
      </w:r>
      <w:r w:rsidR="00275FE3" w:rsidRPr="00240B41">
        <w:t xml:space="preserve">prima facie </w:t>
      </w:r>
      <w:r w:rsidR="0089015C" w:rsidRPr="00240B41">
        <w:t xml:space="preserve">there is </w:t>
      </w:r>
      <w:r w:rsidR="00275FE3" w:rsidRPr="00240B41">
        <w:t xml:space="preserve">an inconsistency between the evidence of </w:t>
      </w:r>
      <w:r w:rsidR="00E95AA2" w:rsidRPr="00240B41">
        <w:t xml:space="preserve">Person 24 and what is recorded in the applicant’s PAP notice in respect to </w:t>
      </w:r>
      <w:r w:rsidR="00EE0609" w:rsidRPr="00240B41">
        <w:t xml:space="preserve">Person 24’s </w:t>
      </w:r>
      <w:r w:rsidR="00E95AA2" w:rsidRPr="00240B41">
        <w:t>evidence</w:t>
      </w:r>
      <w:r w:rsidR="0089015C" w:rsidRPr="00240B41">
        <w:t xml:space="preserve"> of </w:t>
      </w:r>
      <w:r w:rsidR="006176FD" w:rsidRPr="00240B41">
        <w:t xml:space="preserve">witnessing the applicant murder an unarmed PUC </w:t>
      </w:r>
      <w:r w:rsidR="00E95AA2" w:rsidRPr="00240B41">
        <w:t xml:space="preserve">during a mission involving a compound known as Whisky 108 on 12 April 2009. </w:t>
      </w:r>
      <w:r w:rsidR="00CD5D87" w:rsidRPr="00240B41">
        <w:t>I note that t</w:t>
      </w:r>
      <w:r w:rsidR="00A33F88" w:rsidRPr="00240B41">
        <w:t xml:space="preserve">he respondents allege in their defence of truth that the applicant murdered a PUC at Whiskey 108: Second Further Amended Defence to Statement of Claim at [40]-[52]. </w:t>
      </w:r>
      <w:r w:rsidR="0089015C" w:rsidRPr="00240B41">
        <w:t xml:space="preserve">This </w:t>
      </w:r>
      <w:r w:rsidR="00735ED1" w:rsidRPr="00240B41">
        <w:t xml:space="preserve">is a </w:t>
      </w:r>
      <w:r w:rsidR="0089015C" w:rsidRPr="00240B41">
        <w:t xml:space="preserve">topic of </w:t>
      </w:r>
      <w:r w:rsidR="00735ED1" w:rsidRPr="00240B41">
        <w:t>significance</w:t>
      </w:r>
      <w:r w:rsidR="0089015C" w:rsidRPr="00240B41">
        <w:t xml:space="preserve">. </w:t>
      </w:r>
      <w:r w:rsidR="007C63D8" w:rsidRPr="00240B41">
        <w:t xml:space="preserve">The IGADF did not submit otherwise. </w:t>
      </w:r>
    </w:p>
    <w:p w:rsidR="00022B42" w:rsidRPr="009156E2" w:rsidRDefault="006176FD" w:rsidP="00414FC6">
      <w:pPr>
        <w:pStyle w:val="ParaNumbering"/>
      </w:pPr>
      <w:r w:rsidRPr="009156E2">
        <w:rPr>
          <w:i/>
        </w:rPr>
        <w:t>Second</w:t>
      </w:r>
      <w:r w:rsidR="00EE5AEB" w:rsidRPr="009156E2">
        <w:t xml:space="preserve">, </w:t>
      </w:r>
      <w:r w:rsidR="00B2378F" w:rsidRPr="009156E2">
        <w:t xml:space="preserve">the material sought in </w:t>
      </w:r>
      <w:r w:rsidR="00B2378F" w:rsidRPr="009156E2">
        <w:rPr>
          <w:i/>
        </w:rPr>
        <w:t>Roberts-Smith (</w:t>
      </w:r>
      <w:r w:rsidR="00F80089" w:rsidRPr="009156E2">
        <w:rPr>
          <w:i/>
        </w:rPr>
        <w:t>N</w:t>
      </w:r>
      <w:r w:rsidR="00B2378F" w:rsidRPr="009156E2">
        <w:rPr>
          <w:i/>
        </w:rPr>
        <w:t>o 24),</w:t>
      </w:r>
      <w:r w:rsidR="00C56054" w:rsidRPr="009156E2">
        <w:rPr>
          <w:i/>
        </w:rPr>
        <w:t xml:space="preserve"> </w:t>
      </w:r>
      <w:r w:rsidR="00C56054" w:rsidRPr="009156E2">
        <w:t xml:space="preserve">was directed </w:t>
      </w:r>
      <w:r w:rsidR="00EE5AEB" w:rsidRPr="009156E2">
        <w:t xml:space="preserve">to prior statements of </w:t>
      </w:r>
      <w:r w:rsidR="00A22FA9" w:rsidRPr="009156E2">
        <w:t xml:space="preserve">current </w:t>
      </w:r>
      <w:r w:rsidR="00D25BED" w:rsidRPr="009156E2">
        <w:t>or</w:t>
      </w:r>
      <w:r w:rsidR="00A22FA9" w:rsidRPr="009156E2">
        <w:t xml:space="preserve"> former </w:t>
      </w:r>
      <w:r w:rsidR="00EE5AEB" w:rsidRPr="009156E2">
        <w:t>SOCOMD witnesses to be called by the respondents</w:t>
      </w:r>
      <w:r w:rsidR="00EE5AEB" w:rsidRPr="009156E2">
        <w:rPr>
          <w:lang w:val="en"/>
        </w:rPr>
        <w:t>, because of the</w:t>
      </w:r>
      <w:r w:rsidR="006C38CA" w:rsidRPr="009156E2">
        <w:rPr>
          <w:lang w:val="en"/>
        </w:rPr>
        <w:t xml:space="preserve"> </w:t>
      </w:r>
      <w:r w:rsidR="006C38CA" w:rsidRPr="009156E2">
        <w:rPr>
          <w:lang w:val="en"/>
        </w:rPr>
        <w:lastRenderedPageBreak/>
        <w:t>respondents’</w:t>
      </w:r>
      <w:r w:rsidR="00EE5AEB" w:rsidRPr="009156E2">
        <w:rPr>
          <w:lang w:val="en"/>
        </w:rPr>
        <w:t xml:space="preserve"> reliance on the </w:t>
      </w:r>
      <w:proofErr w:type="spellStart"/>
      <w:r w:rsidR="00EE5AEB" w:rsidRPr="009156E2">
        <w:rPr>
          <w:lang w:val="en"/>
        </w:rPr>
        <w:t>defence</w:t>
      </w:r>
      <w:proofErr w:type="spellEnd"/>
      <w:r w:rsidR="00EE5AEB" w:rsidRPr="009156E2">
        <w:rPr>
          <w:lang w:val="en"/>
        </w:rPr>
        <w:t xml:space="preserve"> of truth. The potential relevance of this</w:t>
      </w:r>
      <w:r w:rsidR="00C56054" w:rsidRPr="009156E2">
        <w:rPr>
          <w:lang w:val="en"/>
        </w:rPr>
        <w:t xml:space="preserve"> material was </w:t>
      </w:r>
      <w:r w:rsidR="00EE5AEB" w:rsidRPr="009156E2">
        <w:rPr>
          <w:lang w:val="en"/>
        </w:rPr>
        <w:t>directed</w:t>
      </w:r>
      <w:r w:rsidR="00C56054" w:rsidRPr="009156E2">
        <w:rPr>
          <w:lang w:val="en"/>
        </w:rPr>
        <w:t xml:space="preserve"> to the credit of the witnesses, in the form of prior inconsistent statements. That </w:t>
      </w:r>
      <w:r w:rsidR="00007A27" w:rsidRPr="009156E2">
        <w:rPr>
          <w:lang w:val="en"/>
        </w:rPr>
        <w:t xml:space="preserve">eventuality was taken into account in the weighing process in </w:t>
      </w:r>
      <w:r w:rsidR="00007A27" w:rsidRPr="009156E2">
        <w:rPr>
          <w:i/>
        </w:rPr>
        <w:t>Roberts-Smith (</w:t>
      </w:r>
      <w:r w:rsidR="00F80089" w:rsidRPr="009156E2">
        <w:rPr>
          <w:i/>
        </w:rPr>
        <w:t>N</w:t>
      </w:r>
      <w:r w:rsidR="00007A27" w:rsidRPr="009156E2">
        <w:rPr>
          <w:i/>
        </w:rPr>
        <w:t>o 24)</w:t>
      </w:r>
      <w:r w:rsidR="00FB2E56" w:rsidRPr="009156E2">
        <w:rPr>
          <w:i/>
        </w:rPr>
        <w:t xml:space="preserve"> </w:t>
      </w:r>
      <w:r w:rsidR="00FB2E56" w:rsidRPr="009156E2">
        <w:t>at [75]-[79]</w:t>
      </w:r>
      <w:r w:rsidR="00007A27" w:rsidRPr="009156E2">
        <w:rPr>
          <w:i/>
        </w:rPr>
        <w:t xml:space="preserve">. </w:t>
      </w:r>
      <w:r w:rsidR="00007A27" w:rsidRPr="009156E2">
        <w:t xml:space="preserve">As the IGADF submitted, this application </w:t>
      </w:r>
      <w:r w:rsidR="00022B42" w:rsidRPr="009156E2">
        <w:t xml:space="preserve">is based on a factual matter foreseen and considered in that </w:t>
      </w:r>
      <w:r w:rsidR="00080C24" w:rsidRPr="009156E2">
        <w:t>judgment</w:t>
      </w:r>
      <w:r w:rsidR="00022B42" w:rsidRPr="009156E2">
        <w:t xml:space="preserve">. </w:t>
      </w:r>
      <w:r w:rsidR="00833CC4" w:rsidRPr="009156E2">
        <w:t>That the foreseen circumstance eventuate</w:t>
      </w:r>
      <w:r w:rsidR="003C2662" w:rsidRPr="009156E2">
        <w:t>d does not, without more, establish there has been a</w:t>
      </w:r>
      <w:r w:rsidR="00833CC4" w:rsidRPr="009156E2">
        <w:t xml:space="preserve"> material change</w:t>
      </w:r>
      <w:r w:rsidR="003C2662" w:rsidRPr="009156E2">
        <w:t xml:space="preserve"> of circumstance such as to reopen the ruling</w:t>
      </w:r>
      <w:r w:rsidR="00833CC4" w:rsidRPr="009156E2">
        <w:t xml:space="preserve">. </w:t>
      </w:r>
      <w:r w:rsidR="00FF0763" w:rsidRPr="009156E2">
        <w:t xml:space="preserve">However, </w:t>
      </w:r>
      <w:r w:rsidR="00261980" w:rsidRPr="009156E2">
        <w:t xml:space="preserve">this individual application is now </w:t>
      </w:r>
      <w:r w:rsidR="006B61E8" w:rsidRPr="009156E2">
        <w:t xml:space="preserve">advanced </w:t>
      </w:r>
      <w:r w:rsidR="00261980" w:rsidRPr="009156E2">
        <w:t>on a more concrete foundation</w:t>
      </w:r>
      <w:r w:rsidR="00382FFE" w:rsidRPr="009156E2">
        <w:t>, as the app</w:t>
      </w:r>
      <w:r w:rsidR="00382FFE" w:rsidRPr="009264EB">
        <w:t xml:space="preserve">licant </w:t>
      </w:r>
      <w:r w:rsidR="00404D9E" w:rsidRPr="009264EB">
        <w:t>points to</w:t>
      </w:r>
      <w:r w:rsidR="006B61E8" w:rsidRPr="009264EB">
        <w:t xml:space="preserve"> evidence of an incon</w:t>
      </w:r>
      <w:r w:rsidR="006B61E8" w:rsidRPr="009156E2">
        <w:t>sistency, and on a matter of significance.</w:t>
      </w:r>
      <w:r w:rsidR="00223E8E" w:rsidRPr="009156E2">
        <w:t xml:space="preserve"> </w:t>
      </w:r>
      <w:r w:rsidR="00261980" w:rsidRPr="009156E2">
        <w:t>I</w:t>
      </w:r>
      <w:r w:rsidR="00FF0763" w:rsidRPr="009156E2">
        <w:t xml:space="preserve">n a context where </w:t>
      </w:r>
      <w:r w:rsidR="00A11748" w:rsidRPr="009156E2">
        <w:t xml:space="preserve">it </w:t>
      </w:r>
      <w:r w:rsidR="00FF0763" w:rsidRPr="009156E2">
        <w:t xml:space="preserve">is accepted </w:t>
      </w:r>
      <w:r w:rsidR="00A11748" w:rsidRPr="009156E2">
        <w:t xml:space="preserve">by the IGADF </w:t>
      </w:r>
      <w:r w:rsidR="00FF0763" w:rsidRPr="009156E2">
        <w:t xml:space="preserve">that there is a material change of circumstance, the nature of the topic on which the inconsistency </w:t>
      </w:r>
      <w:r w:rsidR="00833CC4" w:rsidRPr="009156E2">
        <w:t xml:space="preserve">relates </w:t>
      </w:r>
      <w:r w:rsidR="00414FC6" w:rsidRPr="009156E2">
        <w:t xml:space="preserve">and the extent </w:t>
      </w:r>
      <w:r w:rsidR="00833CC4" w:rsidRPr="009156E2">
        <w:t xml:space="preserve">or significance of it, </w:t>
      </w:r>
      <w:r w:rsidR="00A11748" w:rsidRPr="009156E2">
        <w:t xml:space="preserve">must be part of the weighing process. </w:t>
      </w:r>
      <w:r w:rsidR="00EE511F" w:rsidRPr="009156E2">
        <w:t>That must be so given the nature of the balancing exercise being conducted</w:t>
      </w:r>
      <w:r w:rsidR="00B07D78" w:rsidRPr="009156E2">
        <w:t>. Th</w:t>
      </w:r>
      <w:r w:rsidR="00414FC6" w:rsidRPr="009156E2">
        <w:t xml:space="preserve">e topic and </w:t>
      </w:r>
      <w:r w:rsidR="003A2971" w:rsidRPr="009156E2">
        <w:t xml:space="preserve">the </w:t>
      </w:r>
      <w:r w:rsidR="00414FC6" w:rsidRPr="009156E2">
        <w:t>extent of</w:t>
      </w:r>
      <w:r w:rsidR="004D3751" w:rsidRPr="009156E2">
        <w:t xml:space="preserve"> the</w:t>
      </w:r>
      <w:r w:rsidR="00414FC6" w:rsidRPr="009156E2">
        <w:t xml:space="preserve"> </w:t>
      </w:r>
      <w:r w:rsidR="00B07D78" w:rsidRPr="009156E2">
        <w:t xml:space="preserve">alleged </w:t>
      </w:r>
      <w:r w:rsidR="00414FC6" w:rsidRPr="009156E2">
        <w:t>inconsistency impact</w:t>
      </w:r>
      <w:r w:rsidR="00B07D78" w:rsidRPr="009156E2">
        <w:t>s</w:t>
      </w:r>
      <w:r w:rsidR="00414FC6" w:rsidRPr="009156E2">
        <w:t xml:space="preserve"> on the</w:t>
      </w:r>
      <w:r w:rsidR="004D3751" w:rsidRPr="009156E2">
        <w:t xml:space="preserve"> Court’s</w:t>
      </w:r>
      <w:r w:rsidR="00414FC6" w:rsidRPr="009156E2">
        <w:t xml:space="preserve"> assessment </w:t>
      </w:r>
      <w:r w:rsidR="004D3751" w:rsidRPr="009156E2">
        <w:t xml:space="preserve">on whether </w:t>
      </w:r>
      <w:r w:rsidR="00414FC6" w:rsidRPr="009156E2">
        <w:t>t</w:t>
      </w:r>
      <w:r w:rsidR="00EE511F" w:rsidRPr="009156E2">
        <w:t xml:space="preserve">he proper </w:t>
      </w:r>
      <w:r w:rsidR="00414FC6" w:rsidRPr="009156E2">
        <w:t xml:space="preserve">administration of justice </w:t>
      </w:r>
      <w:r w:rsidR="004D3751" w:rsidRPr="009156E2">
        <w:t xml:space="preserve">might be </w:t>
      </w:r>
      <w:r w:rsidR="00EE511F" w:rsidRPr="009156E2">
        <w:t>frustra</w:t>
      </w:r>
      <w:r w:rsidR="00414FC6" w:rsidRPr="009156E2">
        <w:t>ted or impaired if the document was</w:t>
      </w:r>
      <w:r w:rsidR="00EE511F" w:rsidRPr="009156E2">
        <w:t xml:space="preserve"> withheld</w:t>
      </w:r>
      <w:r w:rsidR="00414FC6" w:rsidRPr="009156E2">
        <w:rPr>
          <w:i/>
        </w:rPr>
        <w:t>.</w:t>
      </w:r>
      <w:r w:rsidR="004F6FD1" w:rsidRPr="009156E2">
        <w:t xml:space="preserve"> </w:t>
      </w:r>
      <w:r w:rsidR="00CF63D4" w:rsidRPr="009156E2">
        <w:t xml:space="preserve">I note </w:t>
      </w:r>
      <w:r w:rsidR="001768D5" w:rsidRPr="009156E2">
        <w:t xml:space="preserve">in this context that the applicant </w:t>
      </w:r>
      <w:r w:rsidR="00CF63D4" w:rsidRPr="009156E2">
        <w:t xml:space="preserve">also </w:t>
      </w:r>
      <w:r w:rsidR="001768D5" w:rsidRPr="009156E2">
        <w:t xml:space="preserve">relies on </w:t>
      </w:r>
      <w:r w:rsidR="00CF63D4" w:rsidRPr="009156E2">
        <w:t xml:space="preserve">the fact </w:t>
      </w:r>
      <w:r w:rsidR="00427FD5" w:rsidRPr="009156E2">
        <w:t xml:space="preserve">that Person 24 has </w:t>
      </w:r>
      <w:r w:rsidR="00651F7A" w:rsidRPr="009156E2">
        <w:t>given</w:t>
      </w:r>
      <w:r w:rsidR="00427FD5" w:rsidRPr="009156E2">
        <w:t xml:space="preserve"> evidence that he </w:t>
      </w:r>
      <w:r w:rsidR="008122BC" w:rsidRPr="009156E2">
        <w:t xml:space="preserve">told </w:t>
      </w:r>
      <w:r w:rsidR="00956423">
        <w:t>somebody</w:t>
      </w:r>
      <w:r w:rsidR="00C07473" w:rsidRPr="009156E2">
        <w:t xml:space="preserve"> </w:t>
      </w:r>
      <w:r w:rsidR="00FD65F5" w:rsidRPr="009156E2">
        <w:t xml:space="preserve">in 2017 or 2018 </w:t>
      </w:r>
      <w:r w:rsidR="004D3751" w:rsidRPr="009156E2">
        <w:t xml:space="preserve">about </w:t>
      </w:r>
      <w:r w:rsidR="008122BC" w:rsidRPr="009156E2">
        <w:t xml:space="preserve">this </w:t>
      </w:r>
      <w:r w:rsidR="00651F7A" w:rsidRPr="009156E2">
        <w:t xml:space="preserve">account of </w:t>
      </w:r>
      <w:r w:rsidR="008122BC" w:rsidRPr="009156E2">
        <w:t xml:space="preserve">the </w:t>
      </w:r>
      <w:r w:rsidR="00651F7A" w:rsidRPr="009156E2">
        <w:t>events</w:t>
      </w:r>
      <w:r w:rsidR="001768D5" w:rsidRPr="009156E2">
        <w:t>.</w:t>
      </w:r>
    </w:p>
    <w:p w:rsidR="00424573" w:rsidRPr="00B04FB8" w:rsidRDefault="00F46BEE" w:rsidP="00000DD0">
      <w:pPr>
        <w:pStyle w:val="ParaNumbering"/>
      </w:pPr>
      <w:r w:rsidRPr="009156E2">
        <w:rPr>
          <w:i/>
        </w:rPr>
        <w:t>Third,</w:t>
      </w:r>
      <w:r w:rsidRPr="009156E2">
        <w:t xml:space="preserve"> </w:t>
      </w:r>
      <w:r w:rsidR="008327D9" w:rsidRPr="009156E2">
        <w:t>in an attempt to distinguish these circumstances</w:t>
      </w:r>
      <w:r w:rsidR="00000DD0" w:rsidRPr="009156E2">
        <w:t xml:space="preserve"> from </w:t>
      </w:r>
      <w:r w:rsidR="005D0FD1" w:rsidRPr="009156E2">
        <w:t xml:space="preserve">those described in </w:t>
      </w:r>
      <w:r w:rsidR="005D0FD1" w:rsidRPr="009156E2">
        <w:rPr>
          <w:i/>
        </w:rPr>
        <w:t>Roberts</w:t>
      </w:r>
      <w:r w:rsidR="008327D9" w:rsidRPr="009156E2">
        <w:rPr>
          <w:i/>
        </w:rPr>
        <w:t>-Smith</w:t>
      </w:r>
      <w:r w:rsidR="008327D9" w:rsidRPr="009156E2">
        <w:t xml:space="preserve"> </w:t>
      </w:r>
      <w:r w:rsidR="008327D9" w:rsidRPr="009156E2">
        <w:rPr>
          <w:i/>
        </w:rPr>
        <w:t>(No 24)</w:t>
      </w:r>
      <w:r w:rsidR="008327D9" w:rsidRPr="009156E2">
        <w:t xml:space="preserve"> </w:t>
      </w:r>
      <w:r w:rsidR="00694200" w:rsidRPr="009156E2">
        <w:t xml:space="preserve">at [82] </w:t>
      </w:r>
      <w:r w:rsidR="008327D9" w:rsidRPr="009156E2">
        <w:t>a</w:t>
      </w:r>
      <w:r w:rsidR="00694200" w:rsidRPr="009156E2">
        <w:t xml:space="preserve">nd </w:t>
      </w:r>
      <w:r w:rsidR="005D0FD1" w:rsidRPr="009156E2">
        <w:t xml:space="preserve">to compare them favourably to </w:t>
      </w:r>
      <w:r w:rsidR="00000DD0" w:rsidRPr="009156E2">
        <w:t>those of the Afghan witnesses</w:t>
      </w:r>
      <w:r w:rsidR="005D0FD1" w:rsidRPr="009156E2">
        <w:t xml:space="preserve"> who gave evidence without subpoena</w:t>
      </w:r>
      <w:r w:rsidR="00000DD0" w:rsidRPr="009156E2">
        <w:t xml:space="preserve"> (addressed in </w:t>
      </w:r>
      <w:r w:rsidR="00000DD0" w:rsidRPr="009156E2">
        <w:rPr>
          <w:i/>
        </w:rPr>
        <w:t>Roberts-Smith (No 14)</w:t>
      </w:r>
      <w:r w:rsidR="00000DD0" w:rsidRPr="009156E2">
        <w:t>), t</w:t>
      </w:r>
      <w:r w:rsidR="005619B8" w:rsidRPr="009156E2">
        <w:t xml:space="preserve">he applicant submitted that although Person 24 was subpoenaed </w:t>
      </w:r>
      <w:r w:rsidR="0031028E" w:rsidRPr="009156E2">
        <w:t xml:space="preserve">to give evidence, </w:t>
      </w:r>
      <w:r w:rsidR="005619B8" w:rsidRPr="009156E2">
        <w:t xml:space="preserve">he has given evidence that </w:t>
      </w:r>
      <w:r w:rsidR="00E31EC7" w:rsidRPr="009156E2">
        <w:t xml:space="preserve">he willingly </w:t>
      </w:r>
      <w:r w:rsidR="00086B0F" w:rsidRPr="009156E2">
        <w:t>came to C</w:t>
      </w:r>
      <w:r w:rsidR="00E31EC7" w:rsidRPr="009156E2">
        <w:t xml:space="preserve">ourt </w:t>
      </w:r>
      <w:r w:rsidR="00720D9E" w:rsidRPr="009156E2">
        <w:t>to back up his friends</w:t>
      </w:r>
      <w:r w:rsidR="00E31EC7" w:rsidRPr="009156E2">
        <w:t xml:space="preserve"> and he was “happy”</w:t>
      </w:r>
      <w:r w:rsidR="00086B0F" w:rsidRPr="009156E2">
        <w:t xml:space="preserve"> to do so</w:t>
      </w:r>
      <w:r w:rsidR="0031028E" w:rsidRPr="009156E2">
        <w:t>.</w:t>
      </w:r>
      <w:r w:rsidR="00086B0F" w:rsidRPr="009156E2">
        <w:t xml:space="preserve"> That</w:t>
      </w:r>
      <w:r w:rsidR="002C6B53" w:rsidRPr="009156E2">
        <w:t xml:space="preserve">, </w:t>
      </w:r>
      <w:r w:rsidR="00694200" w:rsidRPr="009156E2">
        <w:t xml:space="preserve">on the evidence before me, </w:t>
      </w:r>
      <w:r w:rsidR="00F70380" w:rsidRPr="009156E2">
        <w:t xml:space="preserve">at the very least, </w:t>
      </w:r>
      <w:r w:rsidR="00086B0F" w:rsidRPr="009156E2">
        <w:t>rather overstate</w:t>
      </w:r>
      <w:r w:rsidR="00F70380" w:rsidRPr="009156E2">
        <w:t>s</w:t>
      </w:r>
      <w:r w:rsidR="00086B0F" w:rsidRPr="009156E2">
        <w:t xml:space="preserve"> his evidence. </w:t>
      </w:r>
      <w:r w:rsidR="001822C4" w:rsidRPr="009156E2">
        <w:t xml:space="preserve">On any scenario he was subpoenaed to give evidence without his knowledge, as is apparent from </w:t>
      </w:r>
      <w:r w:rsidR="001822C4" w:rsidRPr="009156E2">
        <w:rPr>
          <w:i/>
        </w:rPr>
        <w:t>Roberts-Smith (No 12)</w:t>
      </w:r>
      <w:r w:rsidR="00E51D6C" w:rsidRPr="009156E2">
        <w:t>.</w:t>
      </w:r>
      <w:r w:rsidR="001822C4" w:rsidRPr="009156E2">
        <w:t xml:space="preserve"> </w:t>
      </w:r>
      <w:r w:rsidR="002A7EF8" w:rsidRPr="009156E2">
        <w:t>Although, a</w:t>
      </w:r>
      <w:r w:rsidR="00B73F13" w:rsidRPr="009156E2">
        <w:t>s the</w:t>
      </w:r>
      <w:r w:rsidR="00720D9E" w:rsidRPr="009156E2">
        <w:t xml:space="preserve"> applicant submitted</w:t>
      </w:r>
      <w:r w:rsidR="0087568D" w:rsidRPr="009156E2">
        <w:t>,</w:t>
      </w:r>
      <w:r w:rsidR="00720D9E" w:rsidRPr="009156E2">
        <w:t xml:space="preserve"> </w:t>
      </w:r>
      <w:r w:rsidR="00B73F13" w:rsidRPr="009156E2">
        <w:t>he did not a</w:t>
      </w:r>
      <w:r w:rsidR="00B73F13" w:rsidRPr="009264EB">
        <w:t xml:space="preserve">pply to be excused </w:t>
      </w:r>
      <w:r w:rsidR="00FB7518" w:rsidRPr="009264EB">
        <w:t xml:space="preserve">from doing so </w:t>
      </w:r>
      <w:r w:rsidR="00B73F13" w:rsidRPr="009264EB">
        <w:t>by ha</w:t>
      </w:r>
      <w:r w:rsidR="00B73F13" w:rsidRPr="009156E2">
        <w:t xml:space="preserve">ving the subpoena set aside, </w:t>
      </w:r>
      <w:r w:rsidR="002A7EF8" w:rsidRPr="009156E2">
        <w:t xml:space="preserve">that does not support a contention that </w:t>
      </w:r>
      <w:r w:rsidR="00E0372A">
        <w:t>the</w:t>
      </w:r>
      <w:r w:rsidR="00E0372A" w:rsidRPr="009156E2">
        <w:t xml:space="preserve"> </w:t>
      </w:r>
      <w:r w:rsidR="002A7EF8" w:rsidRPr="009156E2">
        <w:t>witness is willing or happy to give evidence. There are limited circumstances in which a witness can be excused from giving evidence, and simply not wishing to do so</w:t>
      </w:r>
      <w:r w:rsidR="0087568D" w:rsidRPr="009156E2">
        <w:t>,</w:t>
      </w:r>
      <w:r w:rsidR="002A7EF8" w:rsidRPr="009156E2">
        <w:t xml:space="preserve"> would be insufficient. </w:t>
      </w:r>
      <w:r w:rsidR="002C6B53" w:rsidRPr="009156E2">
        <w:t xml:space="preserve">Moreover, this submission fails to grapple with the nature of the </w:t>
      </w:r>
      <w:r w:rsidR="00D1665F" w:rsidRPr="009156E2">
        <w:t xml:space="preserve">broader </w:t>
      </w:r>
      <w:r w:rsidR="002C6B53" w:rsidRPr="009156E2">
        <w:t xml:space="preserve">public interest considerations which </w:t>
      </w:r>
      <w:r w:rsidR="00D1665F" w:rsidRPr="009156E2">
        <w:t xml:space="preserve">arise from disclosure of material of the nature sought. </w:t>
      </w:r>
      <w:r w:rsidR="003209DB" w:rsidRPr="009156E2">
        <w:t xml:space="preserve">The submission fails to recognise that there </w:t>
      </w:r>
      <w:r w:rsidR="00220492" w:rsidRPr="009156E2">
        <w:t xml:space="preserve">are </w:t>
      </w:r>
      <w:r w:rsidR="003209DB" w:rsidRPr="009156E2">
        <w:t xml:space="preserve">a </w:t>
      </w:r>
      <w:r w:rsidR="003209DB" w:rsidRPr="000C0F8F">
        <w:t xml:space="preserve">number of matters </w:t>
      </w:r>
      <w:r w:rsidR="00424573" w:rsidRPr="000C0F8F">
        <w:t xml:space="preserve">which distinguished this matter from the circumstances considered in respect to the Afghan witnesses: see for example </w:t>
      </w:r>
      <w:r w:rsidR="00424573" w:rsidRPr="000C0F8F">
        <w:rPr>
          <w:i/>
        </w:rPr>
        <w:t xml:space="preserve">Roberts-Smith (No 24) </w:t>
      </w:r>
      <w:r w:rsidR="00424573" w:rsidRPr="000C0F8F">
        <w:t>at [80].</w:t>
      </w:r>
      <w:r w:rsidR="00A57443" w:rsidRPr="000C0F8F">
        <w:t xml:space="preserve"> </w:t>
      </w:r>
    </w:p>
    <w:p w:rsidR="00D04210" w:rsidRPr="000A1E8C" w:rsidRDefault="00E64495" w:rsidP="00AD45B7">
      <w:pPr>
        <w:pStyle w:val="ParaNumbering"/>
      </w:pPr>
      <w:r w:rsidRPr="00240B41">
        <w:rPr>
          <w:i/>
        </w:rPr>
        <w:t>Fourth</w:t>
      </w:r>
      <w:r w:rsidRPr="00240B41">
        <w:t xml:space="preserve">, </w:t>
      </w:r>
      <w:r w:rsidR="00E6544B" w:rsidRPr="00240B41">
        <w:t xml:space="preserve">the IGADF correctly submitted that there is evidence </w:t>
      </w:r>
      <w:r w:rsidR="00670CB9" w:rsidRPr="00240B41">
        <w:t xml:space="preserve">other than that given by Person 24 </w:t>
      </w:r>
      <w:r w:rsidR="00E6544B" w:rsidRPr="00240B41">
        <w:t xml:space="preserve">which is directed to Whiskey 108 and that there have been a substantial number of </w:t>
      </w:r>
      <w:r w:rsidR="00E6544B" w:rsidRPr="00240B41">
        <w:lastRenderedPageBreak/>
        <w:t>documents provided to the respondents, as a result of subpoenas being issued, in respect to that mission</w:t>
      </w:r>
      <w:r w:rsidR="00E6544B" w:rsidRPr="00E0372A">
        <w:t xml:space="preserve">. </w:t>
      </w:r>
      <w:r w:rsidR="00BA46DD" w:rsidRPr="00E0372A">
        <w:t xml:space="preserve">The allegations as to the </w:t>
      </w:r>
      <w:r w:rsidR="00587D10" w:rsidRPr="00E0372A">
        <w:t xml:space="preserve">events </w:t>
      </w:r>
      <w:r w:rsidR="00A61E0B" w:rsidRPr="00E0372A">
        <w:t>on 12 Ap</w:t>
      </w:r>
      <w:r w:rsidR="00A61E0B">
        <w:t xml:space="preserve">ril 2009 at </w:t>
      </w:r>
      <w:r w:rsidR="00587D10" w:rsidRPr="00240B41">
        <w:t xml:space="preserve">Whiskey 108 will be considered in light of all the evidence led on the topic. </w:t>
      </w:r>
      <w:r w:rsidR="00936552" w:rsidRPr="00240B41">
        <w:t>Also, o</w:t>
      </w:r>
      <w:r w:rsidR="00D04210" w:rsidRPr="00240B41">
        <w:t xml:space="preserve">f course, any assessment of a witness’ evidence </w:t>
      </w:r>
      <w:r w:rsidR="0037449F" w:rsidRPr="00240B41">
        <w:t>(including their credibilit</w:t>
      </w:r>
      <w:r w:rsidR="0037449F" w:rsidRPr="00444FFE">
        <w:t xml:space="preserve">y) </w:t>
      </w:r>
      <w:r w:rsidR="00D04210" w:rsidRPr="00444FFE">
        <w:t xml:space="preserve">is </w:t>
      </w:r>
      <w:r w:rsidR="00BA46DD" w:rsidRPr="00444FFE">
        <w:t xml:space="preserve">to be considered </w:t>
      </w:r>
      <w:r w:rsidR="00D04210" w:rsidRPr="00444FFE">
        <w:t>in the</w:t>
      </w:r>
      <w:r w:rsidR="00D04210" w:rsidRPr="00240B41">
        <w:t xml:space="preserve"> context of the whole of the evidence. </w:t>
      </w:r>
      <w:r w:rsidR="00E35316" w:rsidRPr="00240B41">
        <w:t xml:space="preserve">Person 24’s </w:t>
      </w:r>
      <w:r w:rsidR="009D4ED4" w:rsidRPr="00240B41">
        <w:t xml:space="preserve">evidence will not be considered in a </w:t>
      </w:r>
      <w:r w:rsidR="009D4ED4" w:rsidRPr="00240B41">
        <w:rPr>
          <w:lang w:eastAsia="en-AU"/>
        </w:rPr>
        <w:t>vacuum</w:t>
      </w:r>
      <w:r w:rsidR="00E35316" w:rsidRPr="00240B41">
        <w:rPr>
          <w:lang w:eastAsia="en-AU"/>
        </w:rPr>
        <w:t>.</w:t>
      </w:r>
      <w:r w:rsidR="009D4ED4" w:rsidRPr="00240B41">
        <w:rPr>
          <w:lang w:eastAsia="en-AU"/>
        </w:rPr>
        <w:t xml:space="preserve"> </w:t>
      </w:r>
      <w:r w:rsidR="00C30E8A" w:rsidRPr="00240B41">
        <w:t>However, the submission that the applicant has been able to challenge</w:t>
      </w:r>
      <w:r w:rsidR="005461DE" w:rsidRPr="00240B41">
        <w:t xml:space="preserve"> </w:t>
      </w:r>
      <w:r w:rsidR="00101292" w:rsidRPr="00240B41">
        <w:t>Pe</w:t>
      </w:r>
      <w:r w:rsidR="00101292" w:rsidRPr="00444FFE">
        <w:t xml:space="preserve">rson 24’s </w:t>
      </w:r>
      <w:r w:rsidR="005461DE" w:rsidRPr="00444FFE">
        <w:t>evidence</w:t>
      </w:r>
      <w:r w:rsidR="009D3208" w:rsidRPr="00444FFE">
        <w:t xml:space="preserve"> on this topic</w:t>
      </w:r>
      <w:r w:rsidR="005461DE" w:rsidRPr="00444FFE">
        <w:t>,</w:t>
      </w:r>
      <w:r w:rsidR="00332D1A" w:rsidRPr="00240B41">
        <w:t xml:space="preserve"> fails to recognise that putting to a witness that his evidence is false, if deni</w:t>
      </w:r>
      <w:r w:rsidR="00332D1A" w:rsidRPr="00444FFE">
        <w:t>ed, does not</w:t>
      </w:r>
      <w:r w:rsidR="00444FFE" w:rsidRPr="00444FFE">
        <w:t>,</w:t>
      </w:r>
      <w:r w:rsidR="00332D1A" w:rsidRPr="00444FFE">
        <w:t xml:space="preserve"> </w:t>
      </w:r>
      <w:r w:rsidR="00792275" w:rsidRPr="00444FFE">
        <w:t>without more</w:t>
      </w:r>
      <w:r w:rsidR="00444FFE" w:rsidRPr="00444FFE">
        <w:t>,</w:t>
      </w:r>
      <w:r w:rsidR="00792275">
        <w:t xml:space="preserve"> </w:t>
      </w:r>
      <w:r w:rsidR="00332D1A" w:rsidRPr="00240B41">
        <w:t xml:space="preserve">advance the applicant’s case. </w:t>
      </w:r>
      <w:r w:rsidR="00FF3297" w:rsidRPr="00240B41">
        <w:t>I appreciate in this context that the IGADF submit the</w:t>
      </w:r>
      <w:r w:rsidR="00FF3297" w:rsidRPr="00240B41">
        <w:rPr>
          <w:spacing w:val="-8"/>
        </w:rPr>
        <w:t xml:space="preserve"> </w:t>
      </w:r>
      <w:r w:rsidR="00FF3297" w:rsidRPr="00240B41">
        <w:t>rule</w:t>
      </w:r>
      <w:r w:rsidR="00FF3297" w:rsidRPr="00240B41">
        <w:rPr>
          <w:spacing w:val="-4"/>
        </w:rPr>
        <w:t xml:space="preserve"> </w:t>
      </w:r>
      <w:r w:rsidR="00FF3297" w:rsidRPr="00240B41">
        <w:t xml:space="preserve">in </w:t>
      </w:r>
      <w:r w:rsidR="00FF3297" w:rsidRPr="00240B41">
        <w:rPr>
          <w:i/>
        </w:rPr>
        <w:t xml:space="preserve">Browne v Dunn </w:t>
      </w:r>
      <w:r w:rsidR="00FF3297" w:rsidRPr="00240B41">
        <w:t>(1893) 6 R. 67 (H.L) does not require that a witness “be cross-examined on every point”, but only that he or she “be given an opportunity to comment on or explain some matter about which the opposing party intends to make comment”</w:t>
      </w:r>
      <w:r w:rsidR="00185CA3">
        <w:t>,</w:t>
      </w:r>
      <w:r w:rsidR="00FF3297" w:rsidRPr="00240B41">
        <w:t xml:space="preserve"> citing </w:t>
      </w:r>
      <w:r w:rsidR="00FF3297" w:rsidRPr="00240B41">
        <w:rPr>
          <w:i/>
        </w:rPr>
        <w:t xml:space="preserve">Cross On Evidence </w:t>
      </w:r>
      <w:r w:rsidR="00FF3297" w:rsidRPr="00240B41">
        <w:t>(12</w:t>
      </w:r>
      <w:proofErr w:type="spellStart"/>
      <w:r w:rsidR="00FF3297" w:rsidRPr="00240B41">
        <w:rPr>
          <w:position w:val="8"/>
          <w:sz w:val="14"/>
        </w:rPr>
        <w:t>th</w:t>
      </w:r>
      <w:proofErr w:type="spellEnd"/>
      <w:r w:rsidR="00FF3297" w:rsidRPr="00240B41">
        <w:rPr>
          <w:position w:val="8"/>
          <w:sz w:val="14"/>
        </w:rPr>
        <w:t xml:space="preserve"> </w:t>
      </w:r>
      <w:proofErr w:type="spellStart"/>
      <w:r w:rsidR="00FF3297" w:rsidRPr="00240B41">
        <w:t>ed</w:t>
      </w:r>
      <w:proofErr w:type="spellEnd"/>
      <w:r w:rsidR="00FF3297" w:rsidRPr="00240B41">
        <w:t>, 2020) at</w:t>
      </w:r>
      <w:r w:rsidR="00FF3297" w:rsidRPr="00240B41">
        <w:rPr>
          <w:spacing w:val="-22"/>
        </w:rPr>
        <w:t xml:space="preserve"> </w:t>
      </w:r>
      <w:r w:rsidR="00FF3297" w:rsidRPr="00240B41">
        <w:t xml:space="preserve">[17440]. </w:t>
      </w:r>
      <w:r w:rsidR="00766EAA" w:rsidRPr="00240B41">
        <w:t xml:space="preserve">However, </w:t>
      </w:r>
      <w:r w:rsidR="00AD45B7" w:rsidRPr="00240B41">
        <w:t>i</w:t>
      </w:r>
      <w:r w:rsidR="00766EAA" w:rsidRPr="00240B41">
        <w:t xml:space="preserve">t may be </w:t>
      </w:r>
      <w:r w:rsidR="00AD45B7" w:rsidRPr="00E23EC8">
        <w:t>that</w:t>
      </w:r>
      <w:r w:rsidR="00766EAA" w:rsidRPr="00E23EC8">
        <w:t xml:space="preserve"> stat</w:t>
      </w:r>
      <w:r w:rsidR="00792275" w:rsidRPr="00E23EC8">
        <w:t xml:space="preserve">ements </w:t>
      </w:r>
      <w:r w:rsidR="00766EAA" w:rsidRPr="00E23EC8">
        <w:t>in the PAP notice need t</w:t>
      </w:r>
      <w:r w:rsidR="00766EAA" w:rsidRPr="00240B41">
        <w:t>o be put into their proper context, the su</w:t>
      </w:r>
      <w:r w:rsidR="00766EAA" w:rsidRPr="000A1E8C">
        <w:t>mmary may be incomplete or inaccurate, or the witness, if asked, may provide an explanation.</w:t>
      </w:r>
      <w:r w:rsidR="006D2C9E" w:rsidRPr="000A1E8C">
        <w:t xml:space="preserve"> </w:t>
      </w:r>
      <w:r w:rsidR="00DD062E" w:rsidRPr="000A1E8C">
        <w:t>That said</w:t>
      </w:r>
      <w:r w:rsidR="00AD45B7" w:rsidRPr="000A1E8C">
        <w:t xml:space="preserve">, </w:t>
      </w:r>
      <w:r w:rsidR="000B79D6" w:rsidRPr="000A1E8C">
        <w:t xml:space="preserve">I </w:t>
      </w:r>
      <w:r w:rsidR="00DC1B46" w:rsidRPr="000A1E8C">
        <w:t>accept t</w:t>
      </w:r>
      <w:r w:rsidR="004875D4" w:rsidRPr="000A1E8C">
        <w:t>he applicant’s submission that the material sought is</w:t>
      </w:r>
      <w:r w:rsidR="000B79D6" w:rsidRPr="000A1E8C">
        <w:t xml:space="preserve"> </w:t>
      </w:r>
      <w:r w:rsidR="007F0363" w:rsidRPr="000A1E8C">
        <w:t>potential</w:t>
      </w:r>
      <w:r w:rsidR="004875D4" w:rsidRPr="000A1E8C">
        <w:t>ly</w:t>
      </w:r>
      <w:r w:rsidR="007F0363" w:rsidRPr="000A1E8C">
        <w:t xml:space="preserve"> </w:t>
      </w:r>
      <w:r w:rsidR="004875D4" w:rsidRPr="000A1E8C">
        <w:t>significant</w:t>
      </w:r>
      <w:r w:rsidR="0087568D" w:rsidRPr="000A1E8C">
        <w:t xml:space="preserve"> to an assessment of </w:t>
      </w:r>
      <w:r w:rsidR="00DC1B46" w:rsidRPr="000A1E8C">
        <w:t xml:space="preserve">the </w:t>
      </w:r>
      <w:r w:rsidR="000B79D6" w:rsidRPr="000A1E8C">
        <w:t xml:space="preserve">credit of Person </w:t>
      </w:r>
      <w:r w:rsidR="00DC1B46" w:rsidRPr="000A1E8C">
        <w:t xml:space="preserve">24 given the nature of his evidence and the </w:t>
      </w:r>
      <w:r w:rsidR="000B79D6" w:rsidRPr="000A1E8C">
        <w:t xml:space="preserve">topic on </w:t>
      </w:r>
      <w:r w:rsidR="00DC1B46" w:rsidRPr="000A1E8C">
        <w:t>which it was given</w:t>
      </w:r>
      <w:r w:rsidR="00AD45B7" w:rsidRPr="000A1E8C">
        <w:t>.</w:t>
      </w:r>
    </w:p>
    <w:p w:rsidR="00435EA0" w:rsidRDefault="00CE4D36" w:rsidP="00A946DE">
      <w:pPr>
        <w:pStyle w:val="ParaNumbering"/>
      </w:pPr>
      <w:r w:rsidRPr="00324EC4">
        <w:rPr>
          <w:i/>
        </w:rPr>
        <w:t xml:space="preserve">Fifth, </w:t>
      </w:r>
      <w:r w:rsidR="00A61929" w:rsidRPr="00324EC4">
        <w:t>the applicant</w:t>
      </w:r>
      <w:r w:rsidR="00DC1B46" w:rsidRPr="00324EC4">
        <w:t xml:space="preserve"> repeatedly submitted, as he has</w:t>
      </w:r>
      <w:r w:rsidR="00A61929" w:rsidRPr="00324EC4">
        <w:t xml:space="preserve"> in previous applications, that the only reason the witness is giving evidence is because the PAP notice was provided t</w:t>
      </w:r>
      <w:r w:rsidR="00A61929">
        <w:t xml:space="preserve">o the respondents (in a redacted form) as a result of </w:t>
      </w:r>
      <w:r w:rsidR="00A946DE">
        <w:t xml:space="preserve">the ruling by Colvin J in </w:t>
      </w:r>
      <w:r w:rsidR="00A946DE" w:rsidRPr="00A946DE">
        <w:rPr>
          <w:i/>
        </w:rPr>
        <w:t>Roberts-Smith (N</w:t>
      </w:r>
      <w:r w:rsidR="00A946DE" w:rsidRPr="00AF322C">
        <w:rPr>
          <w:i/>
        </w:rPr>
        <w:t>o 6)</w:t>
      </w:r>
      <w:r w:rsidR="00A946DE" w:rsidRPr="00AF322C">
        <w:t xml:space="preserve"> and </w:t>
      </w:r>
      <w:r w:rsidR="00A946DE" w:rsidRPr="00AF322C">
        <w:rPr>
          <w:i/>
        </w:rPr>
        <w:t xml:space="preserve">Roberts-Smith (No 8). </w:t>
      </w:r>
      <w:r w:rsidR="00A946DE" w:rsidRPr="00AF322C">
        <w:t xml:space="preserve">For the reasons previously expressed in </w:t>
      </w:r>
      <w:r w:rsidR="00A946DE" w:rsidRPr="00AF322C">
        <w:rPr>
          <w:i/>
        </w:rPr>
        <w:t xml:space="preserve">Roberts-Smith (No 24) </w:t>
      </w:r>
      <w:r w:rsidR="00A946DE" w:rsidRPr="00AF322C">
        <w:t>at [</w:t>
      </w:r>
      <w:r w:rsidR="00490AC5" w:rsidRPr="00AF322C">
        <w:t>69</w:t>
      </w:r>
      <w:r w:rsidR="00A946DE" w:rsidRPr="00AF322C">
        <w:t xml:space="preserve">], and </w:t>
      </w:r>
      <w:r w:rsidR="00A05D5F" w:rsidRPr="00AF322C">
        <w:t xml:space="preserve">in the </w:t>
      </w:r>
      <w:r w:rsidR="00A946DE" w:rsidRPr="00AF322C">
        <w:t>confidential reasons at [</w:t>
      </w:r>
      <w:r w:rsidR="00EB06A8" w:rsidRPr="00AF322C">
        <w:t>14</w:t>
      </w:r>
      <w:r w:rsidR="00A946DE" w:rsidRPr="00AF322C">
        <w:t xml:space="preserve">], that does not assist with the resolution of this application. It </w:t>
      </w:r>
      <w:r w:rsidR="008658D2" w:rsidRPr="00AF322C">
        <w:t>is to focus on the wrong question</w:t>
      </w:r>
      <w:r w:rsidR="00A946DE" w:rsidRPr="00AF322C">
        <w:t>. That said,</w:t>
      </w:r>
      <w:r w:rsidR="00C462C5" w:rsidRPr="00AF322C">
        <w:t xml:space="preserve"> as noted in </w:t>
      </w:r>
      <w:r w:rsidR="00C462C5" w:rsidRPr="00AF322C">
        <w:rPr>
          <w:i/>
        </w:rPr>
        <w:t xml:space="preserve">Roberts-Smith (No 24) </w:t>
      </w:r>
      <w:r w:rsidR="00C462C5" w:rsidRPr="00AF322C">
        <w:t>at [67],</w:t>
      </w:r>
      <w:r w:rsidR="00A946DE" w:rsidRPr="00AF322C">
        <w:t xml:space="preserve"> the fact t</w:t>
      </w:r>
      <w:r w:rsidR="00A946DE">
        <w:t>hat the PAP notice was provided is</w:t>
      </w:r>
      <w:r w:rsidR="00C462C5">
        <w:t xml:space="preserve"> part of</w:t>
      </w:r>
      <w:r w:rsidR="00A946DE">
        <w:t xml:space="preserve"> </w:t>
      </w:r>
      <w:r w:rsidR="008658D2">
        <w:t xml:space="preserve">the </w:t>
      </w:r>
      <w:r w:rsidR="009D6149">
        <w:t xml:space="preserve">factual context in which this application arises. </w:t>
      </w:r>
    </w:p>
    <w:p w:rsidR="00B66CF4" w:rsidRDefault="008E2927" w:rsidP="00A635BD">
      <w:pPr>
        <w:pStyle w:val="ParaNumbering"/>
      </w:pPr>
      <w:r w:rsidRPr="008E2927">
        <w:rPr>
          <w:i/>
        </w:rPr>
        <w:t>Sixth</w:t>
      </w:r>
      <w:r>
        <w:t xml:space="preserve">, the provision of the material sought will, as the IGADF submitted, result in </w:t>
      </w:r>
      <w:r w:rsidR="00251B77">
        <w:t xml:space="preserve">an </w:t>
      </w:r>
      <w:r>
        <w:t>information asymmetry between the parties, in that the respondent</w:t>
      </w:r>
      <w:r w:rsidR="00251B77">
        <w:t>s</w:t>
      </w:r>
      <w:r>
        <w:t xml:space="preserve"> </w:t>
      </w:r>
      <w:r w:rsidR="00251B77">
        <w:t xml:space="preserve">have </w:t>
      </w:r>
      <w:r>
        <w:t>not, and cannot</w:t>
      </w:r>
      <w:r w:rsidR="00251B77">
        <w:t>,</w:t>
      </w:r>
      <w:r>
        <w:t xml:space="preserve"> have access to material relating to the applicant and his witnesses</w:t>
      </w:r>
      <w:r w:rsidR="007D3650">
        <w:t xml:space="preserve">: see on this issue, </w:t>
      </w:r>
      <w:r w:rsidR="007D3650">
        <w:rPr>
          <w:i/>
        </w:rPr>
        <w:t xml:space="preserve">Roberts-Smith (No 24) </w:t>
      </w:r>
      <w:r w:rsidR="007D3650">
        <w:t xml:space="preserve">at </w:t>
      </w:r>
      <w:r w:rsidR="00C37F7B">
        <w:t xml:space="preserve">[53]-[55] and </w:t>
      </w:r>
      <w:r w:rsidR="007D3650">
        <w:t>[77]-[78]</w:t>
      </w:r>
      <w:r>
        <w:t xml:space="preserve">. </w:t>
      </w:r>
      <w:r w:rsidR="00E82178">
        <w:t xml:space="preserve">However, it is important to recall that </w:t>
      </w:r>
      <w:r w:rsidR="00251B77">
        <w:t>the S</w:t>
      </w:r>
      <w:r w:rsidR="00E82178">
        <w:t xml:space="preserve">ubpoena relates to only one witness, and has arisen in </w:t>
      </w:r>
      <w:r w:rsidR="009D0D9F">
        <w:t xml:space="preserve">very </w:t>
      </w:r>
      <w:r w:rsidR="00E82178">
        <w:t>particul</w:t>
      </w:r>
      <w:r w:rsidR="00E82178" w:rsidRPr="00590832">
        <w:t xml:space="preserve">ar </w:t>
      </w:r>
      <w:r w:rsidR="0065676B" w:rsidRPr="00590832">
        <w:t xml:space="preserve">factual </w:t>
      </w:r>
      <w:r w:rsidR="009D0D9F" w:rsidRPr="00590832">
        <w:t>circ</w:t>
      </w:r>
      <w:r w:rsidR="009D0D9F">
        <w:t xml:space="preserve">umstances. Any decision </w:t>
      </w:r>
      <w:r w:rsidR="00590832">
        <w:t xml:space="preserve">in relation to this witness </w:t>
      </w:r>
      <w:r w:rsidR="009D0D9F">
        <w:t>can have no broader application</w:t>
      </w:r>
      <w:r w:rsidR="00590832">
        <w:t>, for example, in respect to the other SOCOMD witnesses</w:t>
      </w:r>
      <w:r w:rsidR="00893A42">
        <w:t>.</w:t>
      </w:r>
      <w:r w:rsidR="00590832">
        <w:t xml:space="preserve"> </w:t>
      </w:r>
      <w:r w:rsidR="00D92002">
        <w:t>So much was accepted by the applicant in h</w:t>
      </w:r>
      <w:r w:rsidR="004560CE">
        <w:t>i</w:t>
      </w:r>
      <w:r w:rsidR="004560CE" w:rsidRPr="002C40E4">
        <w:t>s submissions.</w:t>
      </w:r>
      <w:r w:rsidR="00E41B3C" w:rsidRPr="002C40E4">
        <w:t xml:space="preserve"> </w:t>
      </w:r>
      <w:r w:rsidR="00720A85" w:rsidRPr="002C40E4">
        <w:t xml:space="preserve">The applicant submitted, relying on the affidavit of Mr Bartlett, that the respondents intended </w:t>
      </w:r>
      <w:r w:rsidR="002C40E4" w:rsidRPr="002C40E4">
        <w:t xml:space="preserve">to lead </w:t>
      </w:r>
      <w:r w:rsidR="00720A85" w:rsidRPr="002C40E4">
        <w:t xml:space="preserve">evidence consistent with the content of the PAP notice and that </w:t>
      </w:r>
      <w:r w:rsidR="002C40E4" w:rsidRPr="002C40E4">
        <w:t xml:space="preserve">the applicant </w:t>
      </w:r>
      <w:r w:rsidR="00720A85" w:rsidRPr="002C40E4">
        <w:t>had not been provided with any advance notice of the evidence that was ultimately given</w:t>
      </w:r>
      <w:r w:rsidR="002C40E4" w:rsidRPr="002C40E4">
        <w:t xml:space="preserve"> by Person 24</w:t>
      </w:r>
      <w:r w:rsidR="00720A85" w:rsidRPr="002C40E4">
        <w:t>.</w:t>
      </w:r>
      <w:r w:rsidR="00B47951" w:rsidRPr="002C40E4">
        <w:t xml:space="preserve"> So much may be </w:t>
      </w:r>
      <w:r w:rsidR="00B47951" w:rsidRPr="002C40E4">
        <w:lastRenderedPageBreak/>
        <w:t xml:space="preserve">accepted, although </w:t>
      </w:r>
      <w:r w:rsidR="000051D1">
        <w:t xml:space="preserve">I note that in </w:t>
      </w:r>
      <w:r w:rsidR="000051D1">
        <w:rPr>
          <w:i/>
        </w:rPr>
        <w:t xml:space="preserve">Roberts-Smith (No 12), </w:t>
      </w:r>
      <w:r w:rsidR="000051D1">
        <w:t>the ruling in which Besanko J granted the respondents’ application for leave to issue subpoenas to certain witnesses, including Person 24, to give evidence, his Honour</w:t>
      </w:r>
      <w:r w:rsidR="000051D1">
        <w:rPr>
          <w:i/>
        </w:rPr>
        <w:t xml:space="preserve"> </w:t>
      </w:r>
      <w:r w:rsidR="000051D1">
        <w:t xml:space="preserve">at [54] did not order outlines of evidence to be filed on the basis that the PAP notice provided sufficient notice to the applicant of those witnesses’ evidence. </w:t>
      </w:r>
      <w:r w:rsidR="006A1DDA">
        <w:t>In any case</w:t>
      </w:r>
      <w:r w:rsidR="000051D1">
        <w:t xml:space="preserve">, </w:t>
      </w:r>
      <w:r w:rsidR="00B47951" w:rsidRPr="002C40E4">
        <w:t xml:space="preserve">it is unclear how that impacts on this application, other than </w:t>
      </w:r>
      <w:r w:rsidR="00EA311E">
        <w:t xml:space="preserve">to indicate that </w:t>
      </w:r>
      <w:r w:rsidR="00B47951" w:rsidRPr="002C40E4">
        <w:t xml:space="preserve">the applicant had a lack of notice of the detail of the evidence </w:t>
      </w:r>
      <w:r w:rsidR="000051D1">
        <w:t xml:space="preserve">ultimately </w:t>
      </w:r>
      <w:r w:rsidR="00B47951" w:rsidRPr="002C40E4">
        <w:t>giv</w:t>
      </w:r>
      <w:r w:rsidR="00B47951" w:rsidRPr="00EA311E">
        <w:t>en</w:t>
      </w:r>
      <w:r w:rsidR="000051D1">
        <w:t xml:space="preserve"> by Person 24 at the hearing</w:t>
      </w:r>
      <w:r w:rsidR="00B47951" w:rsidRPr="00EA311E">
        <w:t>.</w:t>
      </w:r>
      <w:r w:rsidR="00720A85" w:rsidRPr="00EA311E">
        <w:t xml:space="preserve"> </w:t>
      </w:r>
      <w:r w:rsidR="009D0D9F" w:rsidRPr="00EA311E">
        <w:t>The respondent</w:t>
      </w:r>
      <w:r w:rsidR="00610555" w:rsidRPr="00EA311E">
        <w:t>s</w:t>
      </w:r>
      <w:r w:rsidR="009D0D9F" w:rsidRPr="00EA311E">
        <w:t xml:space="preserve"> ha</w:t>
      </w:r>
      <w:r w:rsidR="00610555" w:rsidRPr="00EA311E">
        <w:t>ve</w:t>
      </w:r>
      <w:r w:rsidR="009D0D9F" w:rsidRPr="00EA311E">
        <w:t xml:space="preserve"> called Person 24 in support of </w:t>
      </w:r>
      <w:r w:rsidR="00610555" w:rsidRPr="00E450B9">
        <w:t>their</w:t>
      </w:r>
      <w:r w:rsidR="00610555" w:rsidRPr="003F5172">
        <w:t xml:space="preserve"> </w:t>
      </w:r>
      <w:r w:rsidR="009D0D9F" w:rsidRPr="003F5172">
        <w:t xml:space="preserve">case, and regardless of any issue of </w:t>
      </w:r>
      <w:r w:rsidR="009D0D9F" w:rsidRPr="00EA311E">
        <w:t xml:space="preserve">knowledge </w:t>
      </w:r>
      <w:r w:rsidR="00A22592" w:rsidRPr="00EA311E">
        <w:t xml:space="preserve">on their part </w:t>
      </w:r>
      <w:r w:rsidR="009D0D9F" w:rsidRPr="00EA311E">
        <w:t>as to what the contents of his evidence would be</w:t>
      </w:r>
      <w:r w:rsidR="0065676B" w:rsidRPr="00EA311E">
        <w:t xml:space="preserve"> before he was called</w:t>
      </w:r>
      <w:r w:rsidR="009D0D9F" w:rsidRPr="00EA311E">
        <w:t xml:space="preserve">, </w:t>
      </w:r>
      <w:r w:rsidR="00857176">
        <w:t xml:space="preserve">they </w:t>
      </w:r>
      <w:r w:rsidR="00226639" w:rsidRPr="00EA311E">
        <w:t>ha</w:t>
      </w:r>
      <w:r w:rsidR="005D74CA" w:rsidRPr="00EA311E">
        <w:t>ve</w:t>
      </w:r>
      <w:r w:rsidR="00226639" w:rsidRPr="00EA311E">
        <w:t xml:space="preserve"> material in the form of the PAP notice which</w:t>
      </w:r>
      <w:r w:rsidR="00906B73" w:rsidRPr="00EA311E">
        <w:t xml:space="preserve">, in part, is </w:t>
      </w:r>
      <w:r w:rsidR="00226639" w:rsidRPr="00EA311E">
        <w:t xml:space="preserve">prima facie inconsistent. </w:t>
      </w:r>
      <w:r w:rsidR="00797EBB" w:rsidRPr="00EA311E">
        <w:t>The respo</w:t>
      </w:r>
      <w:r w:rsidR="00797EBB">
        <w:t>ndents</w:t>
      </w:r>
      <w:r w:rsidR="00CE2C82">
        <w:t>’</w:t>
      </w:r>
      <w:r w:rsidR="00797EBB">
        <w:t xml:space="preserve"> </w:t>
      </w:r>
      <w:r w:rsidR="00876CEE">
        <w:t xml:space="preserve">reliance </w:t>
      </w:r>
      <w:r w:rsidR="00797EBB">
        <w:t xml:space="preserve">on </w:t>
      </w:r>
      <w:r w:rsidR="00797EBB" w:rsidRPr="00BB0AB6">
        <w:t xml:space="preserve">his evidence must be </w:t>
      </w:r>
      <w:r w:rsidR="00CE2C82" w:rsidRPr="00BB0AB6">
        <w:t xml:space="preserve">considered </w:t>
      </w:r>
      <w:r w:rsidR="00797EBB" w:rsidRPr="00BB0AB6">
        <w:t xml:space="preserve">in that context. The respondents did not raise any issue of </w:t>
      </w:r>
      <w:r w:rsidR="005348A3" w:rsidRPr="00BB0AB6">
        <w:t>information asymmetry as a con</w:t>
      </w:r>
      <w:r w:rsidR="00456A81" w:rsidRPr="00E450B9">
        <w:t xml:space="preserve">sideration in this application, which is to be </w:t>
      </w:r>
      <w:r w:rsidR="00456A81" w:rsidRPr="00BB0AB6">
        <w:t xml:space="preserve">contrasted to </w:t>
      </w:r>
      <w:r w:rsidR="00BB0AB6" w:rsidRPr="00BB0AB6">
        <w:t xml:space="preserve">the </w:t>
      </w:r>
      <w:r w:rsidR="00456A81" w:rsidRPr="00BB0AB6">
        <w:t>submissions made by the respondent</w:t>
      </w:r>
      <w:r w:rsidR="00BB0AB6" w:rsidRPr="00BB0AB6">
        <w:t>s</w:t>
      </w:r>
      <w:r w:rsidR="00456A81" w:rsidRPr="00BB0AB6">
        <w:t xml:space="preserve"> in respect to </w:t>
      </w:r>
      <w:r w:rsidR="00456A81" w:rsidRPr="00BB0AB6">
        <w:rPr>
          <w:i/>
        </w:rPr>
        <w:t>Roberts-Smith (No 24).</w:t>
      </w:r>
      <w:r w:rsidR="00456A81">
        <w:t xml:space="preserve"> </w:t>
      </w:r>
    </w:p>
    <w:p w:rsidR="00471222" w:rsidRPr="000A1E8C" w:rsidRDefault="00893A42" w:rsidP="0051101C">
      <w:pPr>
        <w:pStyle w:val="ParaNumbering"/>
      </w:pPr>
      <w:r>
        <w:rPr>
          <w:i/>
        </w:rPr>
        <w:t>Seventh</w:t>
      </w:r>
      <w:r w:rsidR="00926E16" w:rsidRPr="00B3508A">
        <w:rPr>
          <w:i/>
        </w:rPr>
        <w:t xml:space="preserve">, </w:t>
      </w:r>
      <w:r w:rsidR="00926E16" w:rsidRPr="00B3508A">
        <w:t xml:space="preserve">the </w:t>
      </w:r>
      <w:r w:rsidR="00A635BD" w:rsidRPr="00063727">
        <w:t xml:space="preserve">applicant’s submission </w:t>
      </w:r>
      <w:r w:rsidR="00FD2880" w:rsidRPr="00B31A0B">
        <w:t xml:space="preserve">as to the harm done by the release of the document sought </w:t>
      </w:r>
      <w:r w:rsidR="00BD640E" w:rsidRPr="006706CE">
        <w:t xml:space="preserve">largely </w:t>
      </w:r>
      <w:r w:rsidR="00FD2880" w:rsidRPr="006706CE">
        <w:t>fails to address the broader</w:t>
      </w:r>
      <w:r w:rsidR="00FD2880">
        <w:t xml:space="preserve"> public policy </w:t>
      </w:r>
      <w:r w:rsidR="00A635BD">
        <w:t xml:space="preserve">considerations referred to in </w:t>
      </w:r>
      <w:r w:rsidR="00A635BD" w:rsidRPr="00A27709">
        <w:rPr>
          <w:i/>
        </w:rPr>
        <w:t>Roberts Smith (No 24)</w:t>
      </w:r>
      <w:r w:rsidR="00264AE4" w:rsidRPr="00A27709">
        <w:rPr>
          <w:i/>
        </w:rPr>
        <w:t xml:space="preserve"> </w:t>
      </w:r>
      <w:r w:rsidR="00264AE4">
        <w:t>at [97]-[98]</w:t>
      </w:r>
      <w:r w:rsidR="00A635BD">
        <w:t xml:space="preserve">, but focusses </w:t>
      </w:r>
      <w:r w:rsidR="00BD640E">
        <w:t xml:space="preserve">almost </w:t>
      </w:r>
      <w:r w:rsidR="00A635BD">
        <w:t xml:space="preserve">entirely </w:t>
      </w:r>
      <w:r w:rsidR="0041035F">
        <w:t xml:space="preserve">on </w:t>
      </w:r>
      <w:r w:rsidR="00A27709">
        <w:t>his cas</w:t>
      </w:r>
      <w:r w:rsidR="00A27709" w:rsidRPr="00D1139A">
        <w:t>e.</w:t>
      </w:r>
      <w:r w:rsidR="00BD640E" w:rsidRPr="00D1139A">
        <w:t xml:space="preserve"> </w:t>
      </w:r>
      <w:r w:rsidR="009F22A2">
        <w:t>That said, it may be accepted that what is sou</w:t>
      </w:r>
      <w:r w:rsidR="007C4417">
        <w:t>ght is much more limited</w:t>
      </w:r>
      <w:r w:rsidR="004E3F09">
        <w:t>,</w:t>
      </w:r>
      <w:r w:rsidR="00C018EE">
        <w:t xml:space="preserve"> relating to one person</w:t>
      </w:r>
      <w:r w:rsidR="00565DC7">
        <w:t xml:space="preserve"> a</w:t>
      </w:r>
      <w:r w:rsidR="00565DC7" w:rsidRPr="00DD35B7">
        <w:t>nd the events at one location on a specific day</w:t>
      </w:r>
      <w:r w:rsidR="007C4417" w:rsidRPr="00DD35B7">
        <w:t>, an</w:t>
      </w:r>
      <w:r w:rsidR="007C4417">
        <w:t>d arises in</w:t>
      </w:r>
      <w:r w:rsidR="009F22A2">
        <w:t xml:space="preserve"> a very particular factual context</w:t>
      </w:r>
      <w:r w:rsidR="007C4417">
        <w:t>,</w:t>
      </w:r>
      <w:r w:rsidR="009F22A2">
        <w:t xml:space="preserve"> which did not exist at the time </w:t>
      </w:r>
      <w:r w:rsidR="00EF1C1E">
        <w:rPr>
          <w:i/>
        </w:rPr>
        <w:t xml:space="preserve">Roberts-Smith (No 24) </w:t>
      </w:r>
      <w:r w:rsidR="00EF1C1E">
        <w:t>was decided</w:t>
      </w:r>
      <w:r w:rsidR="009F22A2">
        <w:t>.</w:t>
      </w:r>
      <w:r w:rsidR="007C4417">
        <w:t xml:space="preserve"> </w:t>
      </w:r>
      <w:r w:rsidR="00264AE4" w:rsidDel="00471222">
        <w:t xml:space="preserve">The public </w:t>
      </w:r>
      <w:r w:rsidR="00C56858" w:rsidDel="00471222">
        <w:t>policy issues referred to in [97] and [98] are to be considered in</w:t>
      </w:r>
      <w:r w:rsidR="00C018EE" w:rsidDel="00471222">
        <w:t xml:space="preserve"> that</w:t>
      </w:r>
      <w:r w:rsidR="00C56858" w:rsidDel="00471222">
        <w:t xml:space="preserve"> light</w:t>
      </w:r>
      <w:r w:rsidR="00C018EE" w:rsidDel="00471222">
        <w:t>.</w:t>
      </w:r>
      <w:r w:rsidR="00EF1C1E">
        <w:t xml:space="preserve"> </w:t>
      </w:r>
      <w:r w:rsidR="00471222" w:rsidRPr="00D1139A">
        <w:t>On the other hand, the IGADF’s s</w:t>
      </w:r>
      <w:r w:rsidR="00471222" w:rsidRPr="000A1E8C">
        <w:t xml:space="preserve">ubmissions focussed on the broader policy issues that arose at the time of </w:t>
      </w:r>
      <w:r w:rsidR="00471222" w:rsidRPr="000A1E8C">
        <w:rPr>
          <w:i/>
        </w:rPr>
        <w:t xml:space="preserve">Roberts-Smith (No 24), </w:t>
      </w:r>
      <w:r w:rsidR="00471222" w:rsidRPr="000A1E8C">
        <w:t xml:space="preserve">and while </w:t>
      </w:r>
      <w:r w:rsidR="00CF470E" w:rsidRPr="000A1E8C">
        <w:t xml:space="preserve">plainly </w:t>
      </w:r>
      <w:r w:rsidR="00471222" w:rsidRPr="000A1E8C">
        <w:t xml:space="preserve">still relevant, </w:t>
      </w:r>
      <w:r w:rsidR="00442242" w:rsidRPr="000A1E8C">
        <w:t xml:space="preserve">the weight to be attached to </w:t>
      </w:r>
      <w:r w:rsidR="00185CA3" w:rsidRPr="000A1E8C">
        <w:t xml:space="preserve">those policy concerns </w:t>
      </w:r>
      <w:r w:rsidR="00471222" w:rsidRPr="000A1E8C">
        <w:t xml:space="preserve">must now </w:t>
      </w:r>
      <w:r w:rsidR="00471222" w:rsidRPr="00253391">
        <w:t xml:space="preserve">be considered in </w:t>
      </w:r>
      <w:r w:rsidR="00565DC7" w:rsidRPr="00253391">
        <w:t xml:space="preserve">the context of </w:t>
      </w:r>
      <w:r w:rsidR="00471222" w:rsidRPr="00253391">
        <w:t>this differen</w:t>
      </w:r>
      <w:r w:rsidR="00471222" w:rsidRPr="000A1E8C">
        <w:t xml:space="preserve">t factual context. </w:t>
      </w:r>
    </w:p>
    <w:p w:rsidR="00800728" w:rsidRPr="0005312C" w:rsidRDefault="004124DD" w:rsidP="00800728">
      <w:pPr>
        <w:pStyle w:val="ParaNumbering"/>
      </w:pPr>
      <w:bookmarkStart w:id="18" w:name="_Ref98853260"/>
      <w:r w:rsidRPr="00CC4D7B">
        <w:t>I have addressed Mr Gaynor’s evidence as to the effectiveness of the NSI orders in</w:t>
      </w:r>
      <w:r w:rsidR="00B81D57" w:rsidRPr="00CC4D7B">
        <w:t xml:space="preserve"> minimising any potential harm caused by disclosure in</w:t>
      </w:r>
      <w:r w:rsidRPr="00CC4D7B">
        <w:t xml:space="preserve"> previous judgments</w:t>
      </w:r>
      <w:r w:rsidR="006B52C4" w:rsidRPr="00CC4D7B">
        <w:t xml:space="preserve">: see for example: </w:t>
      </w:r>
      <w:r w:rsidR="003D4424" w:rsidRPr="00CC4D7B">
        <w:rPr>
          <w:i/>
        </w:rPr>
        <w:t>Roberts-Smith (</w:t>
      </w:r>
      <w:r w:rsidR="009F7A03" w:rsidRPr="00CC4D7B">
        <w:rPr>
          <w:i/>
        </w:rPr>
        <w:t>N</w:t>
      </w:r>
      <w:r w:rsidR="003D4424" w:rsidRPr="00CC4D7B">
        <w:rPr>
          <w:i/>
        </w:rPr>
        <w:t>o 14)</w:t>
      </w:r>
      <w:r w:rsidR="003D4424" w:rsidRPr="00CC4D7B">
        <w:t xml:space="preserve"> at [92]; </w:t>
      </w:r>
      <w:r w:rsidR="003D4424" w:rsidRPr="00CC4D7B">
        <w:rPr>
          <w:i/>
        </w:rPr>
        <w:t>Roberts-Smith (No 24)</w:t>
      </w:r>
      <w:r w:rsidR="003D4424" w:rsidRPr="00CC4D7B">
        <w:t xml:space="preserve"> at [</w:t>
      </w:r>
      <w:r w:rsidR="000C4A6C" w:rsidRPr="00CC4D7B">
        <w:t>95</w:t>
      </w:r>
      <w:r w:rsidR="003D4424" w:rsidRPr="00CC4D7B">
        <w:t>].</w:t>
      </w:r>
      <w:r w:rsidRPr="00CC4D7B">
        <w:t xml:space="preserve"> </w:t>
      </w:r>
      <w:r w:rsidR="006B52C4" w:rsidRPr="00CC4D7B">
        <w:t xml:space="preserve">Again, that must be considered in light of </w:t>
      </w:r>
      <w:r w:rsidR="000C4A6C" w:rsidRPr="00CC4D7B">
        <w:t xml:space="preserve">this case </w:t>
      </w:r>
      <w:r w:rsidR="006B52C4" w:rsidRPr="00CC4D7B">
        <w:t>being a mu</w:t>
      </w:r>
      <w:r w:rsidR="000E5DC9" w:rsidRPr="00CC4D7B">
        <w:t xml:space="preserve">ch more limited application. </w:t>
      </w:r>
      <w:r w:rsidR="000E5DC9" w:rsidRPr="000A1E8C">
        <w:t>The IGADF made submissions expressing concern about the number and type of people who could have acce</w:t>
      </w:r>
      <w:r w:rsidR="005D564C" w:rsidRPr="000A1E8C">
        <w:t>ss to a</w:t>
      </w:r>
      <w:r w:rsidR="00BD4F3B" w:rsidRPr="000A1E8C">
        <w:t xml:space="preserve"> document</w:t>
      </w:r>
      <w:r w:rsidR="005D564C" w:rsidRPr="000A1E8C">
        <w:t xml:space="preserve"> if one </w:t>
      </w:r>
      <w:r w:rsidR="00BD4F3B" w:rsidRPr="000A1E8C">
        <w:t xml:space="preserve">is </w:t>
      </w:r>
      <w:r w:rsidR="000E5DC9" w:rsidRPr="000A1E8C">
        <w:t xml:space="preserve">released. </w:t>
      </w:r>
      <w:r w:rsidR="002417E9" w:rsidRPr="000A1E8C">
        <w:t xml:space="preserve">In that regard, </w:t>
      </w:r>
      <w:r w:rsidR="00521191" w:rsidRPr="000A1E8C">
        <w:t xml:space="preserve">the applicant submitted that he </w:t>
      </w:r>
      <w:r w:rsidR="002417E9" w:rsidRPr="000A1E8C">
        <w:t>would consent to amendments to the NSI orders w</w:t>
      </w:r>
      <w:r w:rsidR="00521191" w:rsidRPr="000A1E8C">
        <w:t xml:space="preserve">hich would have the effect </w:t>
      </w:r>
      <w:r w:rsidR="00453FFF" w:rsidRPr="000A1E8C">
        <w:t>of limiting</w:t>
      </w:r>
      <w:r w:rsidR="002417E9" w:rsidRPr="000A1E8C">
        <w:t xml:space="preserve"> access </w:t>
      </w:r>
      <w:r w:rsidR="00453FFF" w:rsidRPr="000A1E8C">
        <w:t xml:space="preserve">to </w:t>
      </w:r>
      <w:r w:rsidR="005D564C" w:rsidRPr="000A1E8C">
        <w:t>any</w:t>
      </w:r>
      <w:r w:rsidR="00521191" w:rsidRPr="000A1E8C">
        <w:t xml:space="preserve"> document </w:t>
      </w:r>
      <w:r w:rsidR="005D564C" w:rsidRPr="000A1E8C">
        <w:t xml:space="preserve">produced, </w:t>
      </w:r>
      <w:r w:rsidR="002417E9" w:rsidRPr="000A1E8C">
        <w:t>to</w:t>
      </w:r>
      <w:r w:rsidR="002417E9" w:rsidRPr="005D564C">
        <w:t xml:space="preserve"> the applicant’s lawyers and any cross-examination relating to it would only occur in closed court.</w:t>
      </w:r>
      <w:r w:rsidR="00521191" w:rsidRPr="00442242">
        <w:t xml:space="preserve"> </w:t>
      </w:r>
      <w:r w:rsidR="001C6689" w:rsidRPr="00442242">
        <w:t>I</w:t>
      </w:r>
      <w:r w:rsidR="003D4424" w:rsidRPr="00442242">
        <w:t>rrespective</w:t>
      </w:r>
      <w:r w:rsidR="00BD4F3B" w:rsidRPr="00442242">
        <w:t xml:space="preserve"> of the terms of the NSI orders being</w:t>
      </w:r>
      <w:r w:rsidR="00BD4F3B" w:rsidRPr="005D564C">
        <w:t xml:space="preserve"> amended, </w:t>
      </w:r>
      <w:r w:rsidR="003D4424" w:rsidRPr="005D564C">
        <w:t>the applicant</w:t>
      </w:r>
      <w:r w:rsidR="00446D4B" w:rsidRPr="005D564C">
        <w:t>’s counsel</w:t>
      </w:r>
      <w:r w:rsidR="003D4424" w:rsidRPr="005D564C">
        <w:t xml:space="preserve"> has given an undertaking th</w:t>
      </w:r>
      <w:r w:rsidR="003D4424" w:rsidRPr="00253391">
        <w:t xml:space="preserve">at </w:t>
      </w:r>
      <w:r w:rsidR="00D320AD" w:rsidRPr="00253391">
        <w:t>if a</w:t>
      </w:r>
      <w:r w:rsidR="002E271D" w:rsidRPr="00253391">
        <w:t xml:space="preserve"> document is</w:t>
      </w:r>
      <w:r w:rsidR="002E271D" w:rsidRPr="005D564C">
        <w:t xml:space="preserve"> ordered to be produced, access </w:t>
      </w:r>
      <w:r w:rsidR="003106CA" w:rsidRPr="005D564C">
        <w:t xml:space="preserve">would be limited </w:t>
      </w:r>
      <w:r w:rsidR="002E271D" w:rsidRPr="005D564C">
        <w:t xml:space="preserve">to the applicant’s lawyers </w:t>
      </w:r>
      <w:r w:rsidR="002E271D" w:rsidRPr="005D564C">
        <w:lastRenderedPageBreak/>
        <w:t xml:space="preserve">and any cross-examination relating to it would only occur in closed court. </w:t>
      </w:r>
      <w:r w:rsidR="00C02A13" w:rsidRPr="005D564C">
        <w:t xml:space="preserve">The applicant himself </w:t>
      </w:r>
      <w:r w:rsidR="00C02A13" w:rsidRPr="00B560E8">
        <w:t>would no</w:t>
      </w:r>
      <w:r w:rsidR="00D11BDB" w:rsidRPr="00B560E8">
        <w:t>t have access to the document.</w:t>
      </w:r>
      <w:r w:rsidR="00C02A13" w:rsidRPr="00062BE5">
        <w:t xml:space="preserve"> </w:t>
      </w:r>
      <w:r w:rsidR="00732A9D" w:rsidRPr="00446D4B">
        <w:t>Giving an undertaking to the Court is a serious matter and</w:t>
      </w:r>
      <w:r w:rsidR="00C638D9" w:rsidRPr="00446D4B">
        <w:t>,</w:t>
      </w:r>
      <w:r w:rsidR="00732A9D" w:rsidRPr="00446D4B">
        <w:t xml:space="preserve"> therefore</w:t>
      </w:r>
      <w:r w:rsidR="00C638D9" w:rsidRPr="00446D4B">
        <w:t>,</w:t>
      </w:r>
      <w:r w:rsidR="00732A9D" w:rsidRPr="003106CA">
        <w:t xml:space="preserve"> I act on that basis. </w:t>
      </w:r>
      <w:r w:rsidR="00CC6282" w:rsidRPr="00062BE5">
        <w:t xml:space="preserve">The IGADF also made submissions as to the difficulty </w:t>
      </w:r>
      <w:r w:rsidR="0015237D" w:rsidRPr="00062BE5">
        <w:t xml:space="preserve">it foresaw </w:t>
      </w:r>
      <w:r w:rsidR="00CC6282" w:rsidRPr="00062BE5">
        <w:t xml:space="preserve">of the parties to the proceedings agreeing to amendments to the NSI orders to accommodate this document if it is required to be produced, </w:t>
      </w:r>
      <w:r w:rsidR="0015237D" w:rsidRPr="00062BE5">
        <w:t xml:space="preserve">given they have different </w:t>
      </w:r>
      <w:r w:rsidR="0015237D" w:rsidRPr="0005312C">
        <w:t xml:space="preserve">interests. As just explained, the applicant has made </w:t>
      </w:r>
      <w:r w:rsidR="00FE7AD0" w:rsidRPr="0005312C">
        <w:t xml:space="preserve">his </w:t>
      </w:r>
      <w:r w:rsidR="0015237D" w:rsidRPr="0005312C">
        <w:t>position clear. Given the circumstances</w:t>
      </w:r>
      <w:r w:rsidR="00CC4D7B" w:rsidRPr="0005312C">
        <w:t>,</w:t>
      </w:r>
      <w:r w:rsidR="0015237D" w:rsidRPr="0005312C">
        <w:t xml:space="preserve"> it is difficult </w:t>
      </w:r>
      <w:r w:rsidR="0015237D" w:rsidRPr="00253391">
        <w:t xml:space="preserve">to see </w:t>
      </w:r>
      <w:r w:rsidR="00E54025" w:rsidRPr="00253391">
        <w:t xml:space="preserve">a basis </w:t>
      </w:r>
      <w:r w:rsidR="001C592F" w:rsidRPr="00253391">
        <w:t xml:space="preserve">the </w:t>
      </w:r>
      <w:r w:rsidR="0015237D" w:rsidRPr="00253391">
        <w:t>re</w:t>
      </w:r>
      <w:r w:rsidR="0015237D" w:rsidRPr="0005312C">
        <w:t xml:space="preserve">spondents </w:t>
      </w:r>
      <w:r w:rsidR="001C592F" w:rsidRPr="0005312C">
        <w:t xml:space="preserve">would </w:t>
      </w:r>
      <w:r w:rsidR="0015237D" w:rsidRPr="0005312C">
        <w:t>not agree</w:t>
      </w:r>
      <w:r w:rsidR="001C592F" w:rsidRPr="0005312C">
        <w:t xml:space="preserve"> to that propos</w:t>
      </w:r>
      <w:r w:rsidR="0068773A" w:rsidRPr="0005312C">
        <w:t>ed course</w:t>
      </w:r>
      <w:r w:rsidR="0015237D" w:rsidRPr="0005312C">
        <w:t>.</w:t>
      </w:r>
      <w:bookmarkEnd w:id="18"/>
    </w:p>
    <w:p w:rsidR="00B560E8" w:rsidRPr="0005312C" w:rsidRDefault="00B560E8" w:rsidP="00EC79D7">
      <w:pPr>
        <w:pStyle w:val="ParaNumbering"/>
      </w:pPr>
      <w:r w:rsidRPr="0005312C">
        <w:t xml:space="preserve">The document sought relates potentially to the credibility of Person 24. Denying access to the document sought would likely </w:t>
      </w:r>
      <w:r w:rsidR="00EC79D7" w:rsidRPr="0005312C">
        <w:t xml:space="preserve">deprive the applicant of the opportunity to challenge Person 24’s evidence on the basis that, on the material before this Court, he has prima facie made a prior inconsistent statement on a significant aspect of his evidence. In that context it would likely </w:t>
      </w:r>
      <w:r w:rsidRPr="0005312C">
        <w:t>deprive the trial judge of an opportunity of making an informed decision as to the assessment of Person 24’s credibility</w:t>
      </w:r>
      <w:r w:rsidR="00EC79D7" w:rsidRPr="0005312C">
        <w:t>.</w:t>
      </w:r>
    </w:p>
    <w:p w:rsidR="006B4AED" w:rsidRDefault="00F708A1" w:rsidP="006B4AED">
      <w:pPr>
        <w:pStyle w:val="ParaNumbering"/>
      </w:pPr>
      <w:r w:rsidRPr="0005312C">
        <w:t xml:space="preserve">During </w:t>
      </w:r>
      <w:r w:rsidR="006F0F01" w:rsidRPr="0005312C">
        <w:t xml:space="preserve">oral </w:t>
      </w:r>
      <w:r w:rsidRPr="0005312C">
        <w:t>submissions</w:t>
      </w:r>
      <w:r w:rsidR="000B1D0C" w:rsidRPr="0005312C">
        <w:t>,</w:t>
      </w:r>
      <w:r w:rsidRPr="0005312C">
        <w:t xml:space="preserve"> the a</w:t>
      </w:r>
      <w:r w:rsidRPr="00344ED2">
        <w:t xml:space="preserve">pplicant described his earlier application </w:t>
      </w:r>
      <w:r w:rsidR="00A764EA" w:rsidRPr="00344ED2">
        <w:t xml:space="preserve">the subject of </w:t>
      </w:r>
      <w:r w:rsidR="00A764EA" w:rsidRPr="00344ED2">
        <w:rPr>
          <w:i/>
        </w:rPr>
        <w:t xml:space="preserve">Roberts-Smith (No 24) </w:t>
      </w:r>
      <w:r w:rsidRPr="00344ED2">
        <w:t>as a “</w:t>
      </w:r>
      <w:r w:rsidRPr="0005312C">
        <w:t xml:space="preserve">fishing expedition”, although that was not the description then proffered. </w:t>
      </w:r>
      <w:r w:rsidR="002C7E13" w:rsidRPr="0005312C">
        <w:t>It is not an inapt description. T</w:t>
      </w:r>
      <w:r w:rsidR="00344ED2" w:rsidRPr="0005312C">
        <w:t xml:space="preserve">hat subpoena was issued relating to 12 </w:t>
      </w:r>
      <w:r w:rsidR="00212958" w:rsidRPr="0005312C">
        <w:t xml:space="preserve">current or former </w:t>
      </w:r>
      <w:r w:rsidR="00344ED2" w:rsidRPr="0005312C">
        <w:t>S</w:t>
      </w:r>
      <w:r w:rsidR="00212958" w:rsidRPr="0005312C">
        <w:t>O</w:t>
      </w:r>
      <w:r w:rsidR="00344ED2" w:rsidRPr="0005312C">
        <w:t>COM</w:t>
      </w:r>
      <w:r w:rsidR="00212958" w:rsidRPr="0005312C">
        <w:t>D persons who were expected to be called as wi</w:t>
      </w:r>
      <w:r w:rsidR="00CB1FFB" w:rsidRPr="0005312C">
        <w:t>tnesses by the respondent</w:t>
      </w:r>
      <w:r w:rsidR="007D249F" w:rsidRPr="0005312C">
        <w:t>s</w:t>
      </w:r>
      <w:r w:rsidR="002C7E13" w:rsidRPr="0005312C">
        <w:t xml:space="preserve">, in anticipation of them giving evidence. Each case must be considered on its own facts. </w:t>
      </w:r>
      <w:r w:rsidR="00C80BCD" w:rsidRPr="0005312C">
        <w:t xml:space="preserve">As explained, this application arises in a very </w:t>
      </w:r>
      <w:r w:rsidR="00E54306" w:rsidRPr="0005312C">
        <w:t xml:space="preserve">different factual context </w:t>
      </w:r>
      <w:r w:rsidR="00C80BCD" w:rsidRPr="0005312C">
        <w:t>to that which existed at the</w:t>
      </w:r>
      <w:r w:rsidR="00C80BCD" w:rsidRPr="00344ED2">
        <w:t xml:space="preserve"> time of </w:t>
      </w:r>
      <w:r w:rsidR="00C80BCD" w:rsidRPr="00344ED2">
        <w:rPr>
          <w:i/>
        </w:rPr>
        <w:t>Roberts-Smith (No 24)</w:t>
      </w:r>
      <w:r w:rsidR="002F3423">
        <w:rPr>
          <w:i/>
        </w:rPr>
        <w:t>.</w:t>
      </w:r>
      <w:r w:rsidR="002F3423">
        <w:t xml:space="preserve"> In the present matter,</w:t>
      </w:r>
      <w:r w:rsidR="00C80BCD" w:rsidRPr="00344ED2">
        <w:t xml:space="preserve"> the applicant </w:t>
      </w:r>
      <w:r w:rsidR="002F3423">
        <w:t>has relied</w:t>
      </w:r>
      <w:r w:rsidR="002F3423" w:rsidRPr="00344ED2">
        <w:t xml:space="preserve"> </w:t>
      </w:r>
      <w:r w:rsidR="00955C6F" w:rsidRPr="00344ED2">
        <w:t xml:space="preserve">on </w:t>
      </w:r>
      <w:r w:rsidR="00C80BCD" w:rsidRPr="00344ED2">
        <w:t>the evidence given by P</w:t>
      </w:r>
      <w:r w:rsidR="00C80BCD" w:rsidRPr="007D33BB">
        <w:t xml:space="preserve">erson 24 </w:t>
      </w:r>
      <w:r w:rsidR="00955C6F" w:rsidRPr="007D33BB">
        <w:t xml:space="preserve">in the hearing </w:t>
      </w:r>
      <w:r w:rsidR="00C80BCD" w:rsidRPr="007D33BB">
        <w:t>and on material in the PAP not</w:t>
      </w:r>
      <w:r w:rsidR="00955C6F" w:rsidRPr="007D33BB">
        <w:t xml:space="preserve">ice </w:t>
      </w:r>
      <w:r w:rsidR="00A36FE9" w:rsidRPr="007D33BB">
        <w:t xml:space="preserve">which prima facie is </w:t>
      </w:r>
      <w:r w:rsidR="00C80BCD" w:rsidRPr="007D33BB">
        <w:t>inconsisten</w:t>
      </w:r>
      <w:r w:rsidR="001F5B34" w:rsidRPr="007D33BB">
        <w:t>t</w:t>
      </w:r>
      <w:r w:rsidR="00A17274" w:rsidRPr="007D33BB">
        <w:t xml:space="preserve"> with an aspect of the evidence</w:t>
      </w:r>
      <w:r w:rsidR="00955C6F" w:rsidRPr="007D33BB">
        <w:t xml:space="preserve">, </w:t>
      </w:r>
      <w:r w:rsidR="001F5B34" w:rsidRPr="007D33BB">
        <w:t>on a significant top</w:t>
      </w:r>
      <w:r w:rsidR="001F5B34" w:rsidRPr="00B05EDB">
        <w:t>ic</w:t>
      </w:r>
      <w:r w:rsidR="00F4101E" w:rsidRPr="00B05EDB">
        <w:t xml:space="preserve">. </w:t>
      </w:r>
      <w:r w:rsidR="00B70FED" w:rsidRPr="00B05EDB">
        <w:t xml:space="preserve">The material sought is limited to the events on 12 April </w:t>
      </w:r>
      <w:r w:rsidR="001B655B" w:rsidRPr="00B05EDB">
        <w:t>2009 at Whiskey 108.</w:t>
      </w:r>
      <w:r w:rsidR="001B655B">
        <w:t xml:space="preserve"> </w:t>
      </w:r>
      <w:r w:rsidR="00F4101E" w:rsidRPr="007D33BB">
        <w:t>T</w:t>
      </w:r>
      <w:r w:rsidR="00FF18E3" w:rsidRPr="007D33BB">
        <w:t>he probative</w:t>
      </w:r>
      <w:r w:rsidR="00F4101E" w:rsidRPr="007D33BB">
        <w:t xml:space="preserve"> value of the material</w:t>
      </w:r>
      <w:r w:rsidR="00FF18E3" w:rsidRPr="007D33BB">
        <w:t xml:space="preserve"> in </w:t>
      </w:r>
      <w:r w:rsidR="0045187A" w:rsidRPr="007D33BB">
        <w:t xml:space="preserve">assessing </w:t>
      </w:r>
      <w:r w:rsidR="00FF18E3" w:rsidRPr="007D33BB">
        <w:t xml:space="preserve">Person </w:t>
      </w:r>
      <w:r w:rsidR="0045187A" w:rsidRPr="007D33BB">
        <w:t>24’s credibility may be high</w:t>
      </w:r>
      <w:r w:rsidR="008B28BE" w:rsidRPr="007D33BB">
        <w:t>.</w:t>
      </w:r>
      <w:r w:rsidR="004F78B1" w:rsidRPr="007D33BB">
        <w:t xml:space="preserve"> </w:t>
      </w:r>
      <w:r w:rsidR="000E321E" w:rsidRPr="007D33BB">
        <w:t>T</w:t>
      </w:r>
      <w:r w:rsidR="004F78B1" w:rsidRPr="007D33BB">
        <w:t>he</w:t>
      </w:r>
      <w:r w:rsidR="00A868C1" w:rsidRPr="007D33BB">
        <w:t xml:space="preserve"> credibility</w:t>
      </w:r>
      <w:r w:rsidR="00A868C1" w:rsidRPr="00344ED2">
        <w:t xml:space="preserve"> of the witness will</w:t>
      </w:r>
      <w:r w:rsidR="00A868C1" w:rsidRPr="00A764EA">
        <w:t xml:space="preserve"> be a</w:t>
      </w:r>
      <w:r w:rsidR="00A868C1">
        <w:t xml:space="preserve"> matter for the trial judge to assess in light of all the evidence, at the end of the hear</w:t>
      </w:r>
      <w:r w:rsidR="00A868C1" w:rsidRPr="00FF3297">
        <w:t>ing.</w:t>
      </w:r>
      <w:r w:rsidR="001F5B34" w:rsidRPr="00344ED2">
        <w:t xml:space="preserve"> </w:t>
      </w:r>
      <w:r w:rsidR="006125CF" w:rsidRPr="00FF3297">
        <w:t xml:space="preserve">It is sufficient to say </w:t>
      </w:r>
      <w:r w:rsidR="00C018EE" w:rsidRPr="00FF3297">
        <w:t xml:space="preserve">at this stage </w:t>
      </w:r>
      <w:r w:rsidR="006125CF" w:rsidRPr="00FF3297">
        <w:t>that</w:t>
      </w:r>
      <w:r w:rsidR="001B1283" w:rsidRPr="00FF3297">
        <w:t>, given</w:t>
      </w:r>
      <w:r w:rsidR="00401F0F" w:rsidRPr="00FF3297">
        <w:t xml:space="preserve"> the topic of</w:t>
      </w:r>
      <w:r w:rsidR="001C022A" w:rsidRPr="00FF3297">
        <w:t xml:space="preserve"> Person 24’s evidence </w:t>
      </w:r>
      <w:r w:rsidR="00401F0F" w:rsidRPr="00FF3297">
        <w:t xml:space="preserve">which </w:t>
      </w:r>
      <w:r w:rsidR="001C022A" w:rsidRPr="002668EF">
        <w:t>i</w:t>
      </w:r>
      <w:r w:rsidR="00401F0F" w:rsidRPr="002668EF">
        <w:t xml:space="preserve">s </w:t>
      </w:r>
      <w:r w:rsidR="001C022A" w:rsidRPr="006706CE">
        <w:t>sought to be relied on</w:t>
      </w:r>
      <w:r w:rsidR="00996735" w:rsidRPr="006706CE">
        <w:t xml:space="preserve"> by the respondents</w:t>
      </w:r>
      <w:r w:rsidR="001C022A" w:rsidRPr="006706CE">
        <w:t xml:space="preserve">, </w:t>
      </w:r>
      <w:r w:rsidR="006125CF" w:rsidRPr="00B3508A">
        <w:t>and the nature of the alleged inconsistency</w:t>
      </w:r>
      <w:r w:rsidR="001B1283" w:rsidRPr="00063727">
        <w:t>,</w:t>
      </w:r>
      <w:r w:rsidR="006125CF" w:rsidRPr="00B31A0B">
        <w:t xml:space="preserve"> the material </w:t>
      </w:r>
      <w:r w:rsidR="00144265" w:rsidRPr="00A33F88">
        <w:t>sought b</w:t>
      </w:r>
      <w:r w:rsidR="00144265" w:rsidRPr="007D33BB">
        <w:t xml:space="preserve">y the Subpoena </w:t>
      </w:r>
      <w:r w:rsidR="000E321E" w:rsidRPr="007D33BB">
        <w:t>may</w:t>
      </w:r>
      <w:r w:rsidR="00AC7667" w:rsidRPr="007D33BB">
        <w:t xml:space="preserve"> </w:t>
      </w:r>
      <w:r w:rsidR="006125CF" w:rsidRPr="007D33BB">
        <w:t xml:space="preserve">affect the </w:t>
      </w:r>
      <w:r w:rsidR="00401F0F" w:rsidRPr="007D33BB">
        <w:t>asses</w:t>
      </w:r>
      <w:r w:rsidR="00401F0F">
        <w:t xml:space="preserve">sment of the </w:t>
      </w:r>
      <w:r w:rsidR="006125CF">
        <w:t>credit of this witness</w:t>
      </w:r>
      <w:r w:rsidR="00344ED2">
        <w:t>.</w:t>
      </w:r>
      <w:r w:rsidR="006B4AED">
        <w:t xml:space="preserve"> </w:t>
      </w:r>
    </w:p>
    <w:p w:rsidR="00B97AE4" w:rsidRDefault="00D15470" w:rsidP="00B945D6">
      <w:pPr>
        <w:pStyle w:val="ParaNumbering"/>
      </w:pPr>
      <w:r>
        <w:t>As noted above, some submissions were made in closed court due to the application of the NSI orders to certain material, and I have addressed aspect</w:t>
      </w:r>
      <w:r w:rsidR="004B7DC1">
        <w:t xml:space="preserve">s of </w:t>
      </w:r>
      <w:r w:rsidR="004B7DC1" w:rsidRPr="00FA1298">
        <w:t xml:space="preserve">those submissions in </w:t>
      </w:r>
      <w:r w:rsidRPr="00FA1298">
        <w:t>confidential</w:t>
      </w:r>
      <w:r>
        <w:t xml:space="preserve"> reasons which </w:t>
      </w:r>
      <w:r w:rsidR="00B2068F">
        <w:t xml:space="preserve">supplement </w:t>
      </w:r>
      <w:r>
        <w:t xml:space="preserve">this judgment. </w:t>
      </w:r>
      <w:r w:rsidR="00B2068F">
        <w:t>Those matters have been considered in the balancing process.</w:t>
      </w:r>
      <w:r w:rsidR="006E1233">
        <w:t xml:space="preserve"> </w:t>
      </w:r>
      <w:r>
        <w:t xml:space="preserve">Balancing all the considerations in the very particular circumstances of this case, I am </w:t>
      </w:r>
      <w:r>
        <w:lastRenderedPageBreak/>
        <w:t xml:space="preserve">satisfied that there should be production of </w:t>
      </w:r>
      <w:r w:rsidR="00026776">
        <w:t xml:space="preserve">the </w:t>
      </w:r>
      <w:r>
        <w:t>document</w:t>
      </w:r>
      <w:r w:rsidR="004B7DC1">
        <w:t xml:space="preserve">. </w:t>
      </w:r>
      <w:r w:rsidR="00C92D33">
        <w:t xml:space="preserve">This conclusion has no broader application. Rather, and to be </w:t>
      </w:r>
      <w:r w:rsidR="00B85B08">
        <w:t xml:space="preserve">clear, </w:t>
      </w:r>
      <w:r w:rsidR="00E33BD1">
        <w:t xml:space="preserve">this conclusion would be otherwise </w:t>
      </w:r>
      <w:r w:rsidR="00B85B08">
        <w:t xml:space="preserve">but for the very particular </w:t>
      </w:r>
      <w:r w:rsidR="00C92D33">
        <w:t xml:space="preserve">factual circumstances of this application. </w:t>
      </w:r>
      <w:r w:rsidR="006D7627">
        <w:t xml:space="preserve">The conclusion in respect to the documents in respect to </w:t>
      </w:r>
      <w:r w:rsidR="00FD5193">
        <w:t xml:space="preserve">all other </w:t>
      </w:r>
      <w:r w:rsidR="00C209A2">
        <w:t xml:space="preserve">witnesses </w:t>
      </w:r>
      <w:r w:rsidR="006D7627">
        <w:t xml:space="preserve">to which </w:t>
      </w:r>
      <w:r w:rsidR="006D7627" w:rsidRPr="00B945D6">
        <w:rPr>
          <w:i/>
        </w:rPr>
        <w:t>Roberts-Smith (No 24)</w:t>
      </w:r>
      <w:r w:rsidR="006D7627">
        <w:t xml:space="preserve"> relates, still holds. </w:t>
      </w:r>
      <w:r w:rsidR="00D471B9">
        <w:t xml:space="preserve">As noted above, </w:t>
      </w:r>
      <w:r w:rsidR="00CA4CEC">
        <w:t>the applicant did not contend</w:t>
      </w:r>
      <w:r w:rsidR="005E567D">
        <w:t xml:space="preserve"> otherwise</w:t>
      </w:r>
      <w:r w:rsidR="00D471B9">
        <w:t xml:space="preserve">. </w:t>
      </w:r>
    </w:p>
    <w:p w:rsidR="00921204" w:rsidRPr="00391B1C" w:rsidRDefault="00391B1C" w:rsidP="00BD5578">
      <w:pPr>
        <w:pStyle w:val="Heading2"/>
        <w:rPr>
          <w:highlight w:val="yellow"/>
        </w:rPr>
      </w:pPr>
      <w:r w:rsidRPr="00BD5578">
        <w:t xml:space="preserve">Conclusion </w:t>
      </w:r>
    </w:p>
    <w:p w:rsidR="00391B1C" w:rsidRPr="00FA1298" w:rsidRDefault="00391B1C" w:rsidP="00391B1C">
      <w:pPr>
        <w:pStyle w:val="ParaNumbering"/>
      </w:pPr>
      <w:r w:rsidRPr="00FA1298">
        <w:t>For the reasons above</w:t>
      </w:r>
      <w:r w:rsidR="006D45F0" w:rsidRPr="00FA1298">
        <w:t>,</w:t>
      </w:r>
      <w:r w:rsidRPr="00FA1298">
        <w:t xml:space="preserve"> and those g</w:t>
      </w:r>
      <w:r w:rsidR="003B348A" w:rsidRPr="00FA1298">
        <w:t xml:space="preserve">iven in the confidential reasons, </w:t>
      </w:r>
      <w:r w:rsidR="00325AB8" w:rsidRPr="00FA1298">
        <w:t xml:space="preserve">there has been a material change of circumstance in respect to the document sought </w:t>
      </w:r>
      <w:r w:rsidR="003B348A" w:rsidRPr="00FA1298">
        <w:t xml:space="preserve">since </w:t>
      </w:r>
      <w:r w:rsidR="003B348A" w:rsidRPr="00FA1298">
        <w:rPr>
          <w:i/>
        </w:rPr>
        <w:t>Roberts-Smith (</w:t>
      </w:r>
      <w:r w:rsidR="00F90BB1" w:rsidRPr="00FA1298">
        <w:rPr>
          <w:i/>
        </w:rPr>
        <w:t>N</w:t>
      </w:r>
      <w:r w:rsidR="003B348A" w:rsidRPr="00FA1298">
        <w:rPr>
          <w:i/>
        </w:rPr>
        <w:t>o 24)</w:t>
      </w:r>
      <w:r w:rsidR="003B348A" w:rsidRPr="00FA1298">
        <w:t xml:space="preserve"> </w:t>
      </w:r>
      <w:r w:rsidR="00325AB8" w:rsidRPr="00FA1298">
        <w:t xml:space="preserve">and </w:t>
      </w:r>
      <w:r w:rsidRPr="00FA1298">
        <w:t xml:space="preserve">the IGADF has not established </w:t>
      </w:r>
      <w:r w:rsidR="00325AB8" w:rsidRPr="00FA1298">
        <w:t xml:space="preserve">its claim for immunity over that document. </w:t>
      </w:r>
      <w:r w:rsidR="009433DB" w:rsidRPr="00FA1298">
        <w:t>I expect that the amendments to the NSI orders</w:t>
      </w:r>
      <w:r w:rsidR="00FA1298" w:rsidRPr="00FA1298">
        <w:t>,</w:t>
      </w:r>
      <w:r w:rsidR="009433DB" w:rsidRPr="00FA1298">
        <w:t xml:space="preserve"> considered necessary by the IGADF</w:t>
      </w:r>
      <w:r w:rsidR="00FA1298" w:rsidRPr="00FA1298">
        <w:t>,</w:t>
      </w:r>
      <w:r w:rsidR="009433DB" w:rsidRPr="00FA1298">
        <w:t xml:space="preserve"> will be made before the production of the document.</w:t>
      </w:r>
    </w:p>
    <w:p w:rsidR="00391B1C" w:rsidRDefault="003B348A" w:rsidP="00391B1C">
      <w:pPr>
        <w:pStyle w:val="ParaNumbering"/>
      </w:pPr>
      <w:r w:rsidRPr="00FA1298">
        <w:t xml:space="preserve">Given that conclusion, the </w:t>
      </w:r>
      <w:r w:rsidR="00391B1C" w:rsidRPr="00FA1298">
        <w:t>IGAD</w:t>
      </w:r>
      <w:r w:rsidR="00391B1C">
        <w:t xml:space="preserve">F </w:t>
      </w:r>
      <w:r>
        <w:t xml:space="preserve">will be provided with </w:t>
      </w:r>
      <w:r w:rsidR="00391B1C">
        <w:t>an opportunity to consid</w:t>
      </w:r>
      <w:r>
        <w:t>er whether to seek review of this</w:t>
      </w:r>
      <w:r w:rsidR="00391B1C">
        <w:t xml:space="preserve"> decision, before permitting the documents to be inspected or copied by any perso</w:t>
      </w:r>
      <w:r w:rsidR="00391B1C" w:rsidRPr="00253391">
        <w:t xml:space="preserve">n: </w:t>
      </w:r>
      <w:r w:rsidR="00391B1C" w:rsidRPr="00253391">
        <w:rPr>
          <w:i/>
        </w:rPr>
        <w:t xml:space="preserve">Sankey </w:t>
      </w:r>
      <w:r w:rsidR="008A1A53" w:rsidRPr="00253391">
        <w:rPr>
          <w:i/>
        </w:rPr>
        <w:t xml:space="preserve">v Whitlam </w:t>
      </w:r>
      <w:r w:rsidR="00391B1C" w:rsidRPr="00253391">
        <w:t>at</w:t>
      </w:r>
      <w:r w:rsidR="00391B1C">
        <w:t xml:space="preserve"> 43; </w:t>
      </w:r>
      <w:proofErr w:type="spellStart"/>
      <w:r w:rsidR="00391B1C">
        <w:rPr>
          <w:i/>
        </w:rPr>
        <w:t>Alister</w:t>
      </w:r>
      <w:proofErr w:type="spellEnd"/>
      <w:r w:rsidR="00377F73">
        <w:rPr>
          <w:i/>
        </w:rPr>
        <w:t xml:space="preserve"> </w:t>
      </w:r>
      <w:r w:rsidR="00391B1C">
        <w:t>at</w:t>
      </w:r>
      <w:r w:rsidR="00391B1C">
        <w:rPr>
          <w:spacing w:val="-7"/>
        </w:rPr>
        <w:t xml:space="preserve"> </w:t>
      </w:r>
      <w:r w:rsidR="00391B1C">
        <w:t>415.</w:t>
      </w:r>
    </w:p>
    <w:p w:rsidR="00240B41" w:rsidRDefault="00240B41" w:rsidP="00815065">
      <w:pPr>
        <w:pStyle w:val="BodyText"/>
      </w:pPr>
      <w:bookmarkStart w:id="19" w:name="Certification"/>
    </w:p>
    <w:tbl>
      <w:tblPr>
        <w:tblW w:w="0" w:type="auto"/>
        <w:tblLook w:val="04A0" w:firstRow="1" w:lastRow="0" w:firstColumn="1" w:lastColumn="0" w:noHBand="0" w:noVBand="1"/>
      </w:tblPr>
      <w:tblGrid>
        <w:gridCol w:w="3794"/>
      </w:tblGrid>
      <w:tr w:rsidR="00240B41" w:rsidRPr="00240B41">
        <w:tc>
          <w:tcPr>
            <w:tcW w:w="3794" w:type="dxa"/>
            <w:shd w:val="clear" w:color="auto" w:fill="auto"/>
          </w:tcPr>
          <w:p w:rsidR="00240B41" w:rsidRPr="00240B41" w:rsidRDefault="00240B41" w:rsidP="00240B41">
            <w:pPr>
              <w:pStyle w:val="Normal1linespace"/>
            </w:pPr>
            <w:r w:rsidRPr="00240B41">
              <w:t xml:space="preserve">I certify that the preceding </w:t>
            </w:r>
            <w:bookmarkStart w:id="20" w:name="NumberWord"/>
            <w:r>
              <w:t>forty-four</w:t>
            </w:r>
            <w:bookmarkEnd w:id="20"/>
            <w:r w:rsidRPr="00240B41">
              <w:t xml:space="preserve"> (</w:t>
            </w:r>
            <w:bookmarkStart w:id="21" w:name="NumberNumeral"/>
            <w:r>
              <w:t>44</w:t>
            </w:r>
            <w:bookmarkEnd w:id="21"/>
            <w:r w:rsidRPr="00240B41">
              <w:t xml:space="preserve">) numbered </w:t>
            </w:r>
            <w:bookmarkStart w:id="22" w:name="CertPara"/>
            <w:r>
              <w:t>paragraphs are</w:t>
            </w:r>
            <w:bookmarkEnd w:id="22"/>
            <w:r w:rsidRPr="00240B41">
              <w:t xml:space="preserve"> a true copy of the Reasons for Judgment of </w:t>
            </w:r>
            <w:bookmarkStart w:id="23" w:name="bkHonourable"/>
            <w:r w:rsidRPr="00240B41">
              <w:t xml:space="preserve">the Honourable </w:t>
            </w:r>
            <w:bookmarkStart w:id="24" w:name="Justice"/>
            <w:bookmarkEnd w:id="23"/>
            <w:r>
              <w:t>Justice Abraham</w:t>
            </w:r>
            <w:bookmarkEnd w:id="24"/>
            <w:r w:rsidRPr="00240B41">
              <w:t>.</w:t>
            </w:r>
          </w:p>
        </w:tc>
      </w:tr>
    </w:tbl>
    <w:p w:rsidR="00240B41" w:rsidRDefault="00240B41" w:rsidP="00815065">
      <w:pPr>
        <w:pStyle w:val="BodyText"/>
      </w:pPr>
    </w:p>
    <w:p w:rsidR="00240B41" w:rsidRDefault="00240B41" w:rsidP="00815065">
      <w:pPr>
        <w:pStyle w:val="BodyText"/>
      </w:pPr>
      <w:r>
        <w:t>Associate:</w:t>
      </w:r>
    </w:p>
    <w:p w:rsidR="00240B41" w:rsidRDefault="00240B41" w:rsidP="00815065">
      <w:pPr>
        <w:pStyle w:val="BodyText"/>
      </w:pPr>
    </w:p>
    <w:p w:rsidR="00240B41" w:rsidRDefault="00240B41" w:rsidP="00815065">
      <w:pPr>
        <w:pStyle w:val="BodyText"/>
        <w:tabs>
          <w:tab w:val="left" w:pos="1134"/>
        </w:tabs>
      </w:pPr>
      <w:r>
        <w:t>Dated:</w:t>
      </w:r>
      <w:r>
        <w:tab/>
      </w:r>
      <w:bookmarkStart w:id="25" w:name="CertifyDated"/>
      <w:r w:rsidR="00934B79">
        <w:t>1</w:t>
      </w:r>
      <w:r w:rsidR="00663A8D">
        <w:t xml:space="preserve"> </w:t>
      </w:r>
      <w:r w:rsidR="00934B79">
        <w:t>April</w:t>
      </w:r>
      <w:r>
        <w:t xml:space="preserve"> 2022</w:t>
      </w:r>
      <w:bookmarkEnd w:id="25"/>
    </w:p>
    <w:p w:rsidR="00240B41" w:rsidRDefault="00240B41" w:rsidP="00815065">
      <w:pPr>
        <w:pStyle w:val="BodyText"/>
      </w:pPr>
    </w:p>
    <w:bookmarkEnd w:id="19"/>
    <w:p w:rsidR="00D30424" w:rsidRDefault="00D30424" w:rsidP="00240B41">
      <w:pPr>
        <w:pStyle w:val="BodyText"/>
        <w:rPr>
          <w:highlight w:val="yellow"/>
        </w:rPr>
      </w:pPr>
      <w:r>
        <w:rPr>
          <w:highlight w:val="yellow"/>
        </w:rPr>
        <w:br w:type="page"/>
      </w:r>
    </w:p>
    <w:p w:rsidR="00A46103" w:rsidRPr="00D50B22" w:rsidRDefault="00A46103" w:rsidP="00F60E2C">
      <w:pPr>
        <w:pStyle w:val="BodyText"/>
        <w:jc w:val="center"/>
        <w:rPr>
          <w:b/>
        </w:rPr>
      </w:pPr>
      <w:r w:rsidRPr="00D50B22">
        <w:rPr>
          <w:b/>
        </w:rPr>
        <w:lastRenderedPageBreak/>
        <w:t>SCHEDULE OF PARTIES</w:t>
      </w:r>
    </w:p>
    <w:p w:rsidR="00A46103" w:rsidRPr="00663089" w:rsidRDefault="00A46103" w:rsidP="00A46103">
      <w:pPr>
        <w:pStyle w:val="BodyText"/>
      </w:pPr>
    </w:p>
    <w:tbl>
      <w:tblPr>
        <w:tblW w:w="9242" w:type="dxa"/>
        <w:tblLayout w:type="fixed"/>
        <w:tblLook w:val="0000" w:firstRow="0" w:lastRow="0" w:firstColumn="0" w:lastColumn="0" w:noHBand="0" w:noVBand="0"/>
        <w:tblCaption w:val="SOP Table"/>
        <w:tblDescription w:val="SOP Table"/>
      </w:tblPr>
      <w:tblGrid>
        <w:gridCol w:w="3368"/>
        <w:gridCol w:w="5874"/>
      </w:tblGrid>
      <w:tr w:rsidR="00A46103" w:rsidTr="00150731">
        <w:tc>
          <w:tcPr>
            <w:tcW w:w="3368" w:type="dxa"/>
          </w:tcPr>
          <w:p w:rsidR="00A46103" w:rsidRDefault="00A46103" w:rsidP="00150731">
            <w:pPr>
              <w:pStyle w:val="NormalHeadings"/>
              <w:jc w:val="left"/>
              <w:rPr>
                <w:caps/>
                <w:szCs w:val="24"/>
              </w:rPr>
            </w:pPr>
          </w:p>
        </w:tc>
        <w:tc>
          <w:tcPr>
            <w:tcW w:w="5874" w:type="dxa"/>
          </w:tcPr>
          <w:p w:rsidR="00A46103" w:rsidRDefault="00A46103" w:rsidP="00150731">
            <w:pPr>
              <w:pStyle w:val="NormalHeadings"/>
              <w:jc w:val="right"/>
            </w:pPr>
            <w:r>
              <w:t>NSD 1485 of 2018</w:t>
            </w:r>
          </w:p>
          <w:p w:rsidR="00A46103" w:rsidRDefault="00A46103" w:rsidP="00150731">
            <w:pPr>
              <w:pStyle w:val="NormalHeadings"/>
              <w:jc w:val="right"/>
            </w:pPr>
            <w:r>
              <w:t>NSD 1486 of 2018</w:t>
            </w:r>
          </w:p>
          <w:p w:rsidR="00A46103" w:rsidRDefault="00A46103" w:rsidP="00150731">
            <w:pPr>
              <w:pStyle w:val="NormalHeadings"/>
              <w:jc w:val="right"/>
            </w:pPr>
            <w:r>
              <w:t>NSD 1487 of 2018</w:t>
            </w:r>
          </w:p>
        </w:tc>
      </w:tr>
      <w:tr w:rsidR="00A46103" w:rsidTr="00150731">
        <w:trPr>
          <w:trHeight w:val="386"/>
        </w:trPr>
        <w:tc>
          <w:tcPr>
            <w:tcW w:w="3368" w:type="dxa"/>
          </w:tcPr>
          <w:p w:rsidR="00A46103" w:rsidRDefault="00A46103" w:rsidP="00150731">
            <w:pPr>
              <w:pStyle w:val="BodyTextBold"/>
              <w:spacing w:before="180"/>
              <w:jc w:val="left"/>
            </w:pPr>
            <w:bookmarkStart w:id="26" w:name="SOP_RespondentsRows" w:colFirst="0" w:colLast="1"/>
            <w:r>
              <w:t>Respondents</w:t>
            </w:r>
          </w:p>
        </w:tc>
        <w:tc>
          <w:tcPr>
            <w:tcW w:w="5874" w:type="dxa"/>
            <w:tcMar>
              <w:left w:w="28" w:type="dxa"/>
            </w:tcMar>
          </w:tcPr>
          <w:p w:rsidR="00A46103" w:rsidRDefault="00A46103" w:rsidP="00150731">
            <w:pPr>
              <w:pStyle w:val="BodyText"/>
              <w:jc w:val="left"/>
            </w:pPr>
          </w:p>
        </w:tc>
      </w:tr>
      <w:tr w:rsidR="00A46103" w:rsidTr="00150731">
        <w:trPr>
          <w:trHeight w:val="386"/>
        </w:trPr>
        <w:tc>
          <w:tcPr>
            <w:tcW w:w="3368" w:type="dxa"/>
          </w:tcPr>
          <w:p w:rsidR="00A46103" w:rsidRDefault="00A46103" w:rsidP="00150731">
            <w:pPr>
              <w:pStyle w:val="BodyText"/>
              <w:spacing w:after="240" w:line="240" w:lineRule="auto"/>
              <w:jc w:val="left"/>
            </w:pPr>
            <w:bookmarkStart w:id="27" w:name="SOP_FirstRespondent"/>
            <w:bookmarkEnd w:id="27"/>
            <w:r>
              <w:t>Second Respondent:</w:t>
            </w:r>
          </w:p>
        </w:tc>
        <w:tc>
          <w:tcPr>
            <w:tcW w:w="5874" w:type="dxa"/>
            <w:tcMar>
              <w:left w:w="28" w:type="dxa"/>
            </w:tcMar>
          </w:tcPr>
          <w:p w:rsidR="00A46103" w:rsidRDefault="00A46103" w:rsidP="00150731">
            <w:pPr>
              <w:pStyle w:val="BodyText"/>
              <w:spacing w:after="240" w:line="240" w:lineRule="auto"/>
              <w:jc w:val="left"/>
            </w:pPr>
            <w:r>
              <w:t>NICK MCKENZIE</w:t>
            </w:r>
          </w:p>
        </w:tc>
      </w:tr>
      <w:tr w:rsidR="00A46103" w:rsidTr="00150731">
        <w:trPr>
          <w:trHeight w:val="386"/>
        </w:trPr>
        <w:tc>
          <w:tcPr>
            <w:tcW w:w="3368" w:type="dxa"/>
          </w:tcPr>
          <w:p w:rsidR="00A46103" w:rsidRDefault="00A46103" w:rsidP="00150731">
            <w:pPr>
              <w:pStyle w:val="BodyText"/>
              <w:spacing w:after="240" w:line="240" w:lineRule="auto"/>
              <w:jc w:val="left"/>
            </w:pPr>
            <w:r>
              <w:t>Third Respondent:</w:t>
            </w:r>
          </w:p>
        </w:tc>
        <w:tc>
          <w:tcPr>
            <w:tcW w:w="5874" w:type="dxa"/>
            <w:tcMar>
              <w:left w:w="28" w:type="dxa"/>
            </w:tcMar>
          </w:tcPr>
          <w:p w:rsidR="00A46103" w:rsidRDefault="00A46103" w:rsidP="00150731">
            <w:pPr>
              <w:pStyle w:val="BodyText"/>
              <w:spacing w:after="240" w:line="240" w:lineRule="auto"/>
              <w:jc w:val="left"/>
            </w:pPr>
            <w:r>
              <w:t>CHRIS MASTERS</w:t>
            </w:r>
          </w:p>
        </w:tc>
      </w:tr>
      <w:tr w:rsidR="00A46103" w:rsidTr="00150731">
        <w:trPr>
          <w:trHeight w:val="386"/>
        </w:trPr>
        <w:tc>
          <w:tcPr>
            <w:tcW w:w="3368" w:type="dxa"/>
          </w:tcPr>
          <w:p w:rsidR="00A46103" w:rsidRDefault="00A46103" w:rsidP="00150731">
            <w:pPr>
              <w:pStyle w:val="BodyText"/>
              <w:spacing w:after="240" w:line="240" w:lineRule="auto"/>
              <w:jc w:val="left"/>
            </w:pPr>
            <w:r>
              <w:t>Fourth Respondent:</w:t>
            </w:r>
          </w:p>
        </w:tc>
        <w:tc>
          <w:tcPr>
            <w:tcW w:w="5874" w:type="dxa"/>
            <w:tcMar>
              <w:left w:w="28" w:type="dxa"/>
            </w:tcMar>
          </w:tcPr>
          <w:p w:rsidR="00A46103" w:rsidRDefault="00A46103" w:rsidP="00150731">
            <w:pPr>
              <w:pStyle w:val="BodyText"/>
              <w:spacing w:after="240" w:line="240" w:lineRule="auto"/>
              <w:jc w:val="left"/>
            </w:pPr>
            <w:r>
              <w:t>DAVID WROE</w:t>
            </w:r>
          </w:p>
        </w:tc>
      </w:tr>
      <w:tr w:rsidR="00FF234E" w:rsidTr="00150731">
        <w:trPr>
          <w:trHeight w:val="386"/>
        </w:trPr>
        <w:tc>
          <w:tcPr>
            <w:tcW w:w="3368" w:type="dxa"/>
          </w:tcPr>
          <w:p w:rsidR="00FF234E" w:rsidRPr="00FF234E" w:rsidRDefault="00FF234E" w:rsidP="00150731">
            <w:pPr>
              <w:pStyle w:val="BodyText"/>
              <w:spacing w:after="240" w:line="240" w:lineRule="auto"/>
              <w:jc w:val="left"/>
              <w:rPr>
                <w:b/>
              </w:rPr>
            </w:pPr>
            <w:r>
              <w:rPr>
                <w:b/>
              </w:rPr>
              <w:t>Interested Persons</w:t>
            </w:r>
          </w:p>
        </w:tc>
        <w:tc>
          <w:tcPr>
            <w:tcW w:w="5874" w:type="dxa"/>
            <w:tcMar>
              <w:left w:w="28" w:type="dxa"/>
            </w:tcMar>
          </w:tcPr>
          <w:p w:rsidR="00FF234E" w:rsidRDefault="00FF234E" w:rsidP="00150731">
            <w:pPr>
              <w:pStyle w:val="BodyText"/>
              <w:spacing w:after="240" w:line="240" w:lineRule="auto"/>
              <w:jc w:val="left"/>
            </w:pPr>
          </w:p>
        </w:tc>
      </w:tr>
      <w:tr w:rsidR="00FF234E" w:rsidTr="00150731">
        <w:trPr>
          <w:trHeight w:val="386"/>
        </w:trPr>
        <w:tc>
          <w:tcPr>
            <w:tcW w:w="3368" w:type="dxa"/>
          </w:tcPr>
          <w:p w:rsidR="00FF234E" w:rsidRDefault="00FF234E" w:rsidP="00FF234E">
            <w:pPr>
              <w:pStyle w:val="BodyText"/>
              <w:spacing w:after="240" w:line="240" w:lineRule="auto"/>
              <w:jc w:val="left"/>
            </w:pPr>
            <w:r>
              <w:t>Interested Person:</w:t>
            </w:r>
          </w:p>
        </w:tc>
        <w:tc>
          <w:tcPr>
            <w:tcW w:w="5874" w:type="dxa"/>
            <w:tcMar>
              <w:left w:w="28" w:type="dxa"/>
            </w:tcMar>
          </w:tcPr>
          <w:p w:rsidR="00FF234E" w:rsidRDefault="00FF234E" w:rsidP="00FF234E">
            <w:pPr>
              <w:pStyle w:val="BodyText"/>
              <w:spacing w:after="240" w:line="240" w:lineRule="auto"/>
              <w:jc w:val="left"/>
            </w:pPr>
            <w:r>
              <w:t>COMMONWEALTH OF AUSTRALIA</w:t>
            </w:r>
          </w:p>
        </w:tc>
      </w:tr>
      <w:tr w:rsidR="00FF234E" w:rsidTr="00150731">
        <w:trPr>
          <w:trHeight w:val="386"/>
        </w:trPr>
        <w:tc>
          <w:tcPr>
            <w:tcW w:w="3368" w:type="dxa"/>
          </w:tcPr>
          <w:p w:rsidR="00FF234E" w:rsidRDefault="00FF234E" w:rsidP="00FF234E">
            <w:pPr>
              <w:pStyle w:val="BodyText"/>
              <w:spacing w:after="240" w:line="240" w:lineRule="auto"/>
              <w:jc w:val="left"/>
            </w:pPr>
            <w:r>
              <w:t>Interested Person:</w:t>
            </w:r>
          </w:p>
        </w:tc>
        <w:tc>
          <w:tcPr>
            <w:tcW w:w="5874" w:type="dxa"/>
            <w:tcMar>
              <w:left w:w="28" w:type="dxa"/>
            </w:tcMar>
          </w:tcPr>
          <w:p w:rsidR="00FF234E" w:rsidRDefault="00FF234E" w:rsidP="00FF234E">
            <w:pPr>
              <w:pStyle w:val="BodyText"/>
              <w:spacing w:after="240" w:line="240" w:lineRule="auto"/>
              <w:jc w:val="left"/>
            </w:pPr>
            <w:r>
              <w:t>PERSON 24</w:t>
            </w:r>
          </w:p>
        </w:tc>
      </w:tr>
      <w:bookmarkEnd w:id="26"/>
    </w:tbl>
    <w:p w:rsidR="00A46103" w:rsidRDefault="00A46103" w:rsidP="00A46103">
      <w:pPr>
        <w:pStyle w:val="BodyText"/>
      </w:pPr>
    </w:p>
    <w:p w:rsidR="00A46103" w:rsidRPr="00057EE7" w:rsidRDefault="00A46103" w:rsidP="00C751B6">
      <w:pPr>
        <w:pStyle w:val="BodyText"/>
      </w:pPr>
    </w:p>
    <w:sectPr w:rsidR="00A46103" w:rsidRPr="00057EE7" w:rsidSect="00A84FD0">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9DB" w:rsidRDefault="003209DB">
      <w:pPr>
        <w:spacing w:line="20" w:lineRule="exact"/>
      </w:pPr>
    </w:p>
    <w:p w:rsidR="003209DB" w:rsidRDefault="003209DB"/>
    <w:p w:rsidR="003209DB" w:rsidRDefault="003209DB"/>
  </w:endnote>
  <w:endnote w:type="continuationSeparator" w:id="0">
    <w:p w:rsidR="003209DB" w:rsidRDefault="003209DB">
      <w:r>
        <w:t xml:space="preserve"> </w:t>
      </w:r>
    </w:p>
    <w:p w:rsidR="003209DB" w:rsidRDefault="003209DB"/>
    <w:p w:rsidR="003209DB" w:rsidRDefault="003209DB"/>
  </w:endnote>
  <w:endnote w:type="continuationNotice" w:id="1">
    <w:p w:rsidR="003209DB" w:rsidRDefault="003209DB">
      <w:r>
        <w:t xml:space="preserve"> </w:t>
      </w:r>
    </w:p>
    <w:p w:rsidR="003209DB" w:rsidRDefault="003209DB"/>
    <w:p w:rsidR="003209DB" w:rsidRDefault="003209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9DB" w:rsidRPr="00C47B9D" w:rsidRDefault="003209DB"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54CA2FA0" wp14:editId="6B91E025">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6FCF32"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9F4B70049C814DEAB60F03B190BBD8B4"/>
        </w:placeholder>
        <w:dataBinding w:prefixMappings="xmlns:ns0='http://schemas.globalmacros.com/FCA'" w:xpath="/ns0:root[1]/ns0:Name[1]" w:storeItemID="{687E7CCB-4AA5-44E7-B148-17BA2B6F57C0}"/>
        <w:text w:multiLine="1"/>
      </w:sdtPr>
      <w:sdtEndPr/>
      <w:sdtContent>
        <w:r w:rsidR="00BE4669">
          <w:rPr>
            <w:bCs/>
            <w:sz w:val="18"/>
            <w:szCs w:val="18"/>
          </w:rPr>
          <w:t xml:space="preserve">Roberts-Smith v Fairfax Media Publications Pty Limited (No 31) [2022] FCA 271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FD7D7C">
      <w:rPr>
        <w:bCs/>
        <w:noProof/>
        <w:sz w:val="20"/>
      </w:rPr>
      <w:t>iv</w:t>
    </w:r>
    <w:r w:rsidRPr="00EA7F6D">
      <w:rPr>
        <w:bCs/>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9DB" w:rsidRPr="00C47B9D" w:rsidRDefault="003209DB"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650CF2C" wp14:editId="75289BD4">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46FEE6"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706AD05681F94C669FD032C78B865DFA"/>
        </w:placeholder>
        <w:dataBinding w:prefixMappings="xmlns:ns0='http://schemas.globalmacros.com/FCA'" w:xpath="/ns0:root[1]/ns0:Name[1]" w:storeItemID="{687E7CCB-4AA5-44E7-B148-17BA2B6F57C0}"/>
        <w:text w:multiLine="1"/>
      </w:sdtPr>
      <w:sdtEndPr/>
      <w:sdtContent>
        <w:r w:rsidR="00BE4669">
          <w:rPr>
            <w:bCs/>
            <w:sz w:val="18"/>
            <w:szCs w:val="18"/>
          </w:rPr>
          <w:t xml:space="preserve">Roberts-Smith v Fairfax Media Publications Pty Limited (No 31) [2022] FCA 271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FD7D7C">
      <w:rPr>
        <w:bCs/>
        <w:noProof/>
        <w:sz w:val="20"/>
      </w:rPr>
      <w:t>iii</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9DB" w:rsidRDefault="003209DB"/>
    <w:p w:rsidR="003209DB" w:rsidRDefault="003209DB"/>
    <w:p w:rsidR="003209DB" w:rsidRDefault="003209DB"/>
  </w:footnote>
  <w:footnote w:type="continuationSeparator" w:id="0">
    <w:p w:rsidR="003209DB" w:rsidRDefault="003209DB">
      <w:r>
        <w:continuationSeparator/>
      </w:r>
    </w:p>
    <w:p w:rsidR="003209DB" w:rsidRDefault="003209DB"/>
    <w:p w:rsidR="003209DB" w:rsidRDefault="003209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9DB" w:rsidRDefault="003209DB">
    <w:pPr>
      <w:tabs>
        <w:tab w:val="center" w:pos="4512"/>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9DB" w:rsidRDefault="003209DB" w:rsidP="00A436E8">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9DB" w:rsidRDefault="003209DB">
    <w:pPr>
      <w:tabs>
        <w:tab w:val="center" w:pos="4512"/>
      </w:tabs>
      <w:suppressAutoHyphen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9DB" w:rsidRDefault="003209DB" w:rsidP="0018396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1"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2"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15:restartNumberingAfterBreak="0">
    <w:nsid w:val="0DEA6E9F"/>
    <w:multiLevelType w:val="hybridMultilevel"/>
    <w:tmpl w:val="89D4EB62"/>
    <w:lvl w:ilvl="0" w:tplc="378A3052">
      <w:start w:val="1"/>
      <w:numFmt w:val="decimal"/>
      <w:pStyle w:val="WJAParagraph"/>
      <w:lvlText w:val="%1."/>
      <w:lvlJc w:val="left"/>
      <w:pPr>
        <w:tabs>
          <w:tab w:val="num" w:pos="567"/>
        </w:tabs>
        <w:ind w:left="567" w:hanging="567"/>
      </w:pPr>
      <w:rPr>
        <w:rFonts w:cs="Times New Roman" w:hint="default"/>
        <w:b w:val="0"/>
        <w:i w:val="0"/>
      </w:rPr>
    </w:lvl>
    <w:lvl w:ilvl="1" w:tplc="A3BCCC42">
      <w:start w:val="1"/>
      <w:numFmt w:val="decimal"/>
      <w:lvlText w:val="(%2)"/>
      <w:lvlJc w:val="left"/>
      <w:pPr>
        <w:tabs>
          <w:tab w:val="num" w:pos="1440"/>
        </w:tabs>
        <w:ind w:left="1440" w:hanging="360"/>
      </w:pPr>
      <w:rPr>
        <w:rFonts w:ascii="Times New Roman" w:eastAsia="PMingLiU" w:hAnsi="Times New Roman"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5"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6" w15:restartNumberingAfterBreak="0">
    <w:nsid w:val="1C576850"/>
    <w:multiLevelType w:val="hybridMultilevel"/>
    <w:tmpl w:val="381E4976"/>
    <w:lvl w:ilvl="0" w:tplc="CA220E30">
      <w:start w:val="1"/>
      <w:numFmt w:val="decimal"/>
      <w:lvlText w:val="%1."/>
      <w:lvlJc w:val="left"/>
      <w:pPr>
        <w:ind w:left="1107" w:hanging="428"/>
      </w:pPr>
      <w:rPr>
        <w:rFonts w:ascii="Arial" w:eastAsia="Arial" w:hAnsi="Arial" w:cs="Arial" w:hint="default"/>
        <w:spacing w:val="-1"/>
        <w:w w:val="100"/>
        <w:sz w:val="22"/>
        <w:szCs w:val="22"/>
      </w:rPr>
    </w:lvl>
    <w:lvl w:ilvl="1" w:tplc="856E4B72">
      <w:start w:val="1"/>
      <w:numFmt w:val="lowerLetter"/>
      <w:lvlText w:val="%2."/>
      <w:lvlJc w:val="left"/>
      <w:pPr>
        <w:ind w:left="1530" w:hanging="425"/>
      </w:pPr>
      <w:rPr>
        <w:rFonts w:ascii="Arial" w:eastAsia="Arial" w:hAnsi="Arial" w:cs="Arial" w:hint="default"/>
        <w:spacing w:val="-1"/>
        <w:w w:val="100"/>
        <w:sz w:val="22"/>
        <w:szCs w:val="22"/>
      </w:rPr>
    </w:lvl>
    <w:lvl w:ilvl="2" w:tplc="A5B0F2D0">
      <w:numFmt w:val="bullet"/>
      <w:lvlText w:val="•"/>
      <w:lvlJc w:val="left"/>
      <w:pPr>
        <w:ind w:left="2529" w:hanging="425"/>
      </w:pPr>
    </w:lvl>
    <w:lvl w:ilvl="3" w:tplc="C2B2C2C6">
      <w:numFmt w:val="bullet"/>
      <w:lvlText w:val="•"/>
      <w:lvlJc w:val="left"/>
      <w:pPr>
        <w:ind w:left="3539" w:hanging="425"/>
      </w:pPr>
    </w:lvl>
    <w:lvl w:ilvl="4" w:tplc="B67AFCE0">
      <w:numFmt w:val="bullet"/>
      <w:lvlText w:val="•"/>
      <w:lvlJc w:val="left"/>
      <w:pPr>
        <w:ind w:left="4548" w:hanging="425"/>
      </w:pPr>
    </w:lvl>
    <w:lvl w:ilvl="5" w:tplc="B11624EE">
      <w:numFmt w:val="bullet"/>
      <w:lvlText w:val="•"/>
      <w:lvlJc w:val="left"/>
      <w:pPr>
        <w:ind w:left="5558" w:hanging="425"/>
      </w:pPr>
    </w:lvl>
    <w:lvl w:ilvl="6" w:tplc="0274687A">
      <w:numFmt w:val="bullet"/>
      <w:lvlText w:val="•"/>
      <w:lvlJc w:val="left"/>
      <w:pPr>
        <w:ind w:left="6568" w:hanging="425"/>
      </w:pPr>
    </w:lvl>
    <w:lvl w:ilvl="7" w:tplc="667C22B6">
      <w:numFmt w:val="bullet"/>
      <w:lvlText w:val="•"/>
      <w:lvlJc w:val="left"/>
      <w:pPr>
        <w:ind w:left="7577" w:hanging="425"/>
      </w:pPr>
    </w:lvl>
    <w:lvl w:ilvl="8" w:tplc="F4609ECA">
      <w:numFmt w:val="bullet"/>
      <w:lvlText w:val="•"/>
      <w:lvlJc w:val="left"/>
      <w:pPr>
        <w:ind w:left="8587" w:hanging="425"/>
      </w:pPr>
    </w:lvl>
  </w:abstractNum>
  <w:abstractNum w:abstractNumId="17" w15:restartNumberingAfterBreak="0">
    <w:nsid w:val="24EA5B8B"/>
    <w:multiLevelType w:val="hybridMultilevel"/>
    <w:tmpl w:val="4D74C718"/>
    <w:lvl w:ilvl="0" w:tplc="882EB06A">
      <w:start w:val="1"/>
      <w:numFmt w:val="decimal"/>
      <w:lvlText w:val="%1."/>
      <w:lvlJc w:val="left"/>
      <w:pPr>
        <w:ind w:left="1107" w:hanging="428"/>
        <w:jc w:val="left"/>
      </w:pPr>
      <w:rPr>
        <w:rFonts w:ascii="Arial" w:eastAsia="Arial" w:hAnsi="Arial" w:cs="Arial" w:hint="default"/>
        <w:spacing w:val="-1"/>
        <w:w w:val="100"/>
        <w:sz w:val="22"/>
        <w:szCs w:val="22"/>
      </w:rPr>
    </w:lvl>
    <w:lvl w:ilvl="1" w:tplc="7FAEA9A6">
      <w:start w:val="1"/>
      <w:numFmt w:val="lowerLetter"/>
      <w:lvlText w:val="%2."/>
      <w:lvlJc w:val="left"/>
      <w:pPr>
        <w:ind w:left="1530" w:hanging="425"/>
        <w:jc w:val="left"/>
      </w:pPr>
      <w:rPr>
        <w:rFonts w:ascii="Arial" w:eastAsia="Arial" w:hAnsi="Arial" w:cs="Arial" w:hint="default"/>
        <w:spacing w:val="-1"/>
        <w:w w:val="100"/>
        <w:sz w:val="22"/>
        <w:szCs w:val="22"/>
      </w:rPr>
    </w:lvl>
    <w:lvl w:ilvl="2" w:tplc="EBAA85A2">
      <w:numFmt w:val="bullet"/>
      <w:lvlText w:val="•"/>
      <w:lvlJc w:val="left"/>
      <w:pPr>
        <w:ind w:left="2529" w:hanging="425"/>
      </w:pPr>
      <w:rPr>
        <w:rFonts w:hint="default"/>
      </w:rPr>
    </w:lvl>
    <w:lvl w:ilvl="3" w:tplc="19D8D786">
      <w:numFmt w:val="bullet"/>
      <w:lvlText w:val="•"/>
      <w:lvlJc w:val="left"/>
      <w:pPr>
        <w:ind w:left="3539" w:hanging="425"/>
      </w:pPr>
      <w:rPr>
        <w:rFonts w:hint="default"/>
      </w:rPr>
    </w:lvl>
    <w:lvl w:ilvl="4" w:tplc="ECD66EE0">
      <w:numFmt w:val="bullet"/>
      <w:lvlText w:val="•"/>
      <w:lvlJc w:val="left"/>
      <w:pPr>
        <w:ind w:left="4548" w:hanging="425"/>
      </w:pPr>
      <w:rPr>
        <w:rFonts w:hint="default"/>
      </w:rPr>
    </w:lvl>
    <w:lvl w:ilvl="5" w:tplc="17928186">
      <w:numFmt w:val="bullet"/>
      <w:lvlText w:val="•"/>
      <w:lvlJc w:val="left"/>
      <w:pPr>
        <w:ind w:left="5558" w:hanging="425"/>
      </w:pPr>
      <w:rPr>
        <w:rFonts w:hint="default"/>
      </w:rPr>
    </w:lvl>
    <w:lvl w:ilvl="6" w:tplc="8E7C9648">
      <w:numFmt w:val="bullet"/>
      <w:lvlText w:val="•"/>
      <w:lvlJc w:val="left"/>
      <w:pPr>
        <w:ind w:left="6568" w:hanging="425"/>
      </w:pPr>
      <w:rPr>
        <w:rFonts w:hint="default"/>
      </w:rPr>
    </w:lvl>
    <w:lvl w:ilvl="7" w:tplc="F008F3DA">
      <w:numFmt w:val="bullet"/>
      <w:lvlText w:val="•"/>
      <w:lvlJc w:val="left"/>
      <w:pPr>
        <w:ind w:left="7577" w:hanging="425"/>
      </w:pPr>
      <w:rPr>
        <w:rFonts w:hint="default"/>
      </w:rPr>
    </w:lvl>
    <w:lvl w:ilvl="8" w:tplc="A6D4AA62">
      <w:numFmt w:val="bullet"/>
      <w:lvlText w:val="•"/>
      <w:lvlJc w:val="left"/>
      <w:pPr>
        <w:ind w:left="8587" w:hanging="425"/>
      </w:pPr>
      <w:rPr>
        <w:rFonts w:hint="default"/>
      </w:rPr>
    </w:lvl>
  </w:abstractNum>
  <w:abstractNum w:abstractNumId="18"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9"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0"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1"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2" w15:restartNumberingAfterBreak="0">
    <w:nsid w:val="494817A7"/>
    <w:multiLevelType w:val="multilevel"/>
    <w:tmpl w:val="0F0EC90E"/>
    <w:numStyleLink w:val="FCListNo"/>
  </w:abstractNum>
  <w:abstractNum w:abstractNumId="23"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7"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8"/>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23"/>
  </w:num>
  <w:num w:numId="15">
    <w:abstractNumId w:val="24"/>
  </w:num>
  <w:num w:numId="16">
    <w:abstractNumId w:val="27"/>
  </w:num>
  <w:num w:numId="17">
    <w:abstractNumId w:val="15"/>
  </w:num>
  <w:num w:numId="18">
    <w:abstractNumId w:val="26"/>
  </w:num>
  <w:num w:numId="19">
    <w:abstractNumId w:val="12"/>
  </w:num>
  <w:num w:numId="20">
    <w:abstractNumId w:val="21"/>
  </w:num>
  <w:num w:numId="21">
    <w:abstractNumId w:val="19"/>
  </w:num>
  <w:num w:numId="22">
    <w:abstractNumId w:val="20"/>
  </w:num>
  <w:num w:numId="23">
    <w:abstractNumId w:val="22"/>
  </w:num>
  <w:num w:numId="24">
    <w:abstractNumId w:val="11"/>
  </w:num>
  <w:num w:numId="25">
    <w:abstractNumId w:val="11"/>
  </w:num>
  <w:num w:numId="26">
    <w:abstractNumId w:val="13"/>
  </w:num>
  <w:num w:numId="27">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16"/>
  </w:num>
  <w:num w:numId="29">
    <w:abstractNumId w:val="17"/>
  </w:num>
  <w:num w:numId="30">
    <w:abstractNumId w:val="19"/>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79873"/>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Ben Roberts-Smith"/>
    <w:docVar w:name="CounselParties" w:val="Applicant"/>
    <w:docVar w:name="CounselType" w:val="Solicitor for the "/>
    <w:docVar w:name="Court" w:val="Federal Court of Australia"/>
    <w:docVar w:name="Cross1AndAnother" w:val="True"/>
    <w:docVar w:name="Cross1AndOthers" w:val="False"/>
    <w:docVar w:name="Cross2AndAnother" w:val="True"/>
    <w:docVar w:name="Cross2AndOthers" w:val="False"/>
    <w:docVar w:name="Defenders" w:val="(and another named in the Schedule)"/>
    <w:docVar w:name="Division" w:val="General Division of the FCA"/>
    <w:docVar w:name="DocCreated" w:val="True"/>
    <w:docVar w:name="FileNumbers" w:val="NSD 1485 of 2018_x000d_NSD 1486 of 2018_x000d_NSD 1487 of 2018"/>
    <w:docVar w:name="grpRadioJudges" w:val="Justice"/>
    <w:docVar w:name="Initiators" w:val="(and another named in the Schedule)"/>
    <w:docVar w:name="Judgdate" w:val="XX March 2022"/>
    <w:docVar w:name="Judge" w:val="Abraham"/>
    <w:docVar w:name="JudgeType" w:val="Justice"/>
    <w:docVar w:name="lstEntryList" w:val="-1"/>
    <w:docVar w:name="myEntryList" w:val="Counsel for the Applicant=Mr. T Saunders|Solicitor for the Applicant=Addisons|Counsel for the Respondents=Mr. C Mitchell |Solicitor for the Respondents=MinterEllison"/>
    <w:docVar w:name="NSD" w:val="NSD "/>
    <w:docVar w:name="NumApps" w:val="1"/>
    <w:docVar w:name="NumApps_" w:val="1"/>
    <w:docVar w:name="NumCrossResps" w:val="0"/>
    <w:docVar w:name="NumDefs" w:val="4"/>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Other Federal Jurisdiction"/>
    <w:docVar w:name="RadioJudge" w:val="False"/>
    <w:docVar w:name="RadioJustice" w:val="True"/>
    <w:docVar w:name="RadioJustices" w:val="False"/>
    <w:docVar w:name="RESAndAnother" w:val="True"/>
    <w:docVar w:name="RESAndOthers" w:val="False"/>
    <w:docVar w:name="Respondent" w:val="Fairfax Media Publications Pty Ltd (ACN 003 357 720)|Nick McKenzie|Chris Masters|David Wroe"/>
    <w:docVar w:name="ResState" w:val="New South Wales"/>
    <w:docVar w:name="SubArea" w:val="[none]"/>
  </w:docVars>
  <w:rsids>
    <w:rsidRoot w:val="00567338"/>
    <w:rsid w:val="00000747"/>
    <w:rsid w:val="00000811"/>
    <w:rsid w:val="00000DD0"/>
    <w:rsid w:val="000051D1"/>
    <w:rsid w:val="0000597A"/>
    <w:rsid w:val="0000599A"/>
    <w:rsid w:val="00006CCB"/>
    <w:rsid w:val="00006DBB"/>
    <w:rsid w:val="00006DE5"/>
    <w:rsid w:val="00006E7F"/>
    <w:rsid w:val="00007A27"/>
    <w:rsid w:val="000115C5"/>
    <w:rsid w:val="0001297F"/>
    <w:rsid w:val="00012BA1"/>
    <w:rsid w:val="0001391A"/>
    <w:rsid w:val="000144C4"/>
    <w:rsid w:val="0001469E"/>
    <w:rsid w:val="00015993"/>
    <w:rsid w:val="00015CD6"/>
    <w:rsid w:val="00021CCB"/>
    <w:rsid w:val="00022289"/>
    <w:rsid w:val="0002228A"/>
    <w:rsid w:val="00022B42"/>
    <w:rsid w:val="000237C0"/>
    <w:rsid w:val="00024765"/>
    <w:rsid w:val="00025407"/>
    <w:rsid w:val="00025E96"/>
    <w:rsid w:val="00026776"/>
    <w:rsid w:val="00027398"/>
    <w:rsid w:val="00031C40"/>
    <w:rsid w:val="0003201A"/>
    <w:rsid w:val="0003207A"/>
    <w:rsid w:val="000324CB"/>
    <w:rsid w:val="000325F4"/>
    <w:rsid w:val="00032997"/>
    <w:rsid w:val="00032F9F"/>
    <w:rsid w:val="00033E55"/>
    <w:rsid w:val="00035C65"/>
    <w:rsid w:val="00036575"/>
    <w:rsid w:val="0003747B"/>
    <w:rsid w:val="00040964"/>
    <w:rsid w:val="00041C07"/>
    <w:rsid w:val="00043AEB"/>
    <w:rsid w:val="00045BB7"/>
    <w:rsid w:val="00045BDA"/>
    <w:rsid w:val="00045C3F"/>
    <w:rsid w:val="00051029"/>
    <w:rsid w:val="00052D4C"/>
    <w:rsid w:val="0005312C"/>
    <w:rsid w:val="0005355A"/>
    <w:rsid w:val="000537EC"/>
    <w:rsid w:val="00053ACD"/>
    <w:rsid w:val="00053E64"/>
    <w:rsid w:val="00055719"/>
    <w:rsid w:val="0005641B"/>
    <w:rsid w:val="000567C2"/>
    <w:rsid w:val="00057662"/>
    <w:rsid w:val="00057EE7"/>
    <w:rsid w:val="00061291"/>
    <w:rsid w:val="0006196A"/>
    <w:rsid w:val="00062BE5"/>
    <w:rsid w:val="00062F2B"/>
    <w:rsid w:val="00063727"/>
    <w:rsid w:val="00066F2C"/>
    <w:rsid w:val="00067986"/>
    <w:rsid w:val="00071AF9"/>
    <w:rsid w:val="000734D0"/>
    <w:rsid w:val="000759A0"/>
    <w:rsid w:val="00075EF5"/>
    <w:rsid w:val="00077C85"/>
    <w:rsid w:val="00080C24"/>
    <w:rsid w:val="00081497"/>
    <w:rsid w:val="0008306A"/>
    <w:rsid w:val="00085255"/>
    <w:rsid w:val="0008570B"/>
    <w:rsid w:val="00086500"/>
    <w:rsid w:val="00086B0F"/>
    <w:rsid w:val="00086FD8"/>
    <w:rsid w:val="000905B9"/>
    <w:rsid w:val="00091FD4"/>
    <w:rsid w:val="00092D02"/>
    <w:rsid w:val="00095308"/>
    <w:rsid w:val="00095FFF"/>
    <w:rsid w:val="000971FF"/>
    <w:rsid w:val="00097867"/>
    <w:rsid w:val="000A16F7"/>
    <w:rsid w:val="000A1E8C"/>
    <w:rsid w:val="000A2E76"/>
    <w:rsid w:val="000A3162"/>
    <w:rsid w:val="000A32F7"/>
    <w:rsid w:val="000A3DD5"/>
    <w:rsid w:val="000A4610"/>
    <w:rsid w:val="000A4751"/>
    <w:rsid w:val="000A4807"/>
    <w:rsid w:val="000A4BE4"/>
    <w:rsid w:val="000A6AC2"/>
    <w:rsid w:val="000A6E28"/>
    <w:rsid w:val="000B0E01"/>
    <w:rsid w:val="000B1037"/>
    <w:rsid w:val="000B164B"/>
    <w:rsid w:val="000B1D0C"/>
    <w:rsid w:val="000B3D25"/>
    <w:rsid w:val="000B55A7"/>
    <w:rsid w:val="000B5F1D"/>
    <w:rsid w:val="000B79D6"/>
    <w:rsid w:val="000C023E"/>
    <w:rsid w:val="000C0F8F"/>
    <w:rsid w:val="000C18B4"/>
    <w:rsid w:val="000C2CC6"/>
    <w:rsid w:val="000C356E"/>
    <w:rsid w:val="000C3707"/>
    <w:rsid w:val="000C3F8D"/>
    <w:rsid w:val="000C4716"/>
    <w:rsid w:val="000C4A6C"/>
    <w:rsid w:val="000C5195"/>
    <w:rsid w:val="000C62EF"/>
    <w:rsid w:val="000C6E82"/>
    <w:rsid w:val="000C7AE3"/>
    <w:rsid w:val="000D0222"/>
    <w:rsid w:val="000D2137"/>
    <w:rsid w:val="000D302E"/>
    <w:rsid w:val="000D3A03"/>
    <w:rsid w:val="000D3FD2"/>
    <w:rsid w:val="000D47A0"/>
    <w:rsid w:val="000D4B2E"/>
    <w:rsid w:val="000E0F69"/>
    <w:rsid w:val="000E1635"/>
    <w:rsid w:val="000E2A40"/>
    <w:rsid w:val="000E321E"/>
    <w:rsid w:val="000E36DE"/>
    <w:rsid w:val="000E3FC8"/>
    <w:rsid w:val="000E5A71"/>
    <w:rsid w:val="000E5A74"/>
    <w:rsid w:val="000E5DC9"/>
    <w:rsid w:val="000E7BAE"/>
    <w:rsid w:val="000F0CF4"/>
    <w:rsid w:val="000F108C"/>
    <w:rsid w:val="000F133D"/>
    <w:rsid w:val="000F13F5"/>
    <w:rsid w:val="000F14E8"/>
    <w:rsid w:val="000F1985"/>
    <w:rsid w:val="000F319F"/>
    <w:rsid w:val="000F3F38"/>
    <w:rsid w:val="000F45FD"/>
    <w:rsid w:val="000F4A41"/>
    <w:rsid w:val="000F4C76"/>
    <w:rsid w:val="000F6524"/>
    <w:rsid w:val="000F745C"/>
    <w:rsid w:val="00101292"/>
    <w:rsid w:val="00101A9C"/>
    <w:rsid w:val="00101F70"/>
    <w:rsid w:val="0010217B"/>
    <w:rsid w:val="0010272A"/>
    <w:rsid w:val="00102811"/>
    <w:rsid w:val="00102FAF"/>
    <w:rsid w:val="001042AD"/>
    <w:rsid w:val="0010536B"/>
    <w:rsid w:val="00110813"/>
    <w:rsid w:val="0011145C"/>
    <w:rsid w:val="001128BD"/>
    <w:rsid w:val="00112987"/>
    <w:rsid w:val="001131C3"/>
    <w:rsid w:val="00113262"/>
    <w:rsid w:val="00113D90"/>
    <w:rsid w:val="0011419D"/>
    <w:rsid w:val="00114B02"/>
    <w:rsid w:val="00114B9E"/>
    <w:rsid w:val="001161A7"/>
    <w:rsid w:val="00117E6A"/>
    <w:rsid w:val="001226C0"/>
    <w:rsid w:val="00122899"/>
    <w:rsid w:val="00122DEE"/>
    <w:rsid w:val="00124C3E"/>
    <w:rsid w:val="001253FF"/>
    <w:rsid w:val="00125404"/>
    <w:rsid w:val="00126EC8"/>
    <w:rsid w:val="0012731C"/>
    <w:rsid w:val="001315E9"/>
    <w:rsid w:val="00132054"/>
    <w:rsid w:val="00132C95"/>
    <w:rsid w:val="00132F77"/>
    <w:rsid w:val="00134353"/>
    <w:rsid w:val="00134964"/>
    <w:rsid w:val="00134971"/>
    <w:rsid w:val="001349EB"/>
    <w:rsid w:val="00134E23"/>
    <w:rsid w:val="001351B9"/>
    <w:rsid w:val="00135BDE"/>
    <w:rsid w:val="00136152"/>
    <w:rsid w:val="00140209"/>
    <w:rsid w:val="0014247B"/>
    <w:rsid w:val="00143A25"/>
    <w:rsid w:val="00144265"/>
    <w:rsid w:val="0014440C"/>
    <w:rsid w:val="001445AF"/>
    <w:rsid w:val="00146845"/>
    <w:rsid w:val="001502C6"/>
    <w:rsid w:val="00150731"/>
    <w:rsid w:val="001507CC"/>
    <w:rsid w:val="00151F87"/>
    <w:rsid w:val="0015237D"/>
    <w:rsid w:val="00155CD2"/>
    <w:rsid w:val="001574D6"/>
    <w:rsid w:val="00157B41"/>
    <w:rsid w:val="00160C3E"/>
    <w:rsid w:val="0016286B"/>
    <w:rsid w:val="001632B7"/>
    <w:rsid w:val="00164C2A"/>
    <w:rsid w:val="00164EFD"/>
    <w:rsid w:val="00166168"/>
    <w:rsid w:val="001706F8"/>
    <w:rsid w:val="0017157D"/>
    <w:rsid w:val="00172235"/>
    <w:rsid w:val="001727A4"/>
    <w:rsid w:val="00173374"/>
    <w:rsid w:val="0017376C"/>
    <w:rsid w:val="001738AB"/>
    <w:rsid w:val="001765E0"/>
    <w:rsid w:val="001768D5"/>
    <w:rsid w:val="00177759"/>
    <w:rsid w:val="001803B2"/>
    <w:rsid w:val="00180BB3"/>
    <w:rsid w:val="001822C4"/>
    <w:rsid w:val="0018396D"/>
    <w:rsid w:val="00185AE3"/>
    <w:rsid w:val="00185CA3"/>
    <w:rsid w:val="00185E6B"/>
    <w:rsid w:val="00186278"/>
    <w:rsid w:val="00187BBC"/>
    <w:rsid w:val="001907F0"/>
    <w:rsid w:val="001909A7"/>
    <w:rsid w:val="00190EDF"/>
    <w:rsid w:val="00192191"/>
    <w:rsid w:val="00192369"/>
    <w:rsid w:val="00192C74"/>
    <w:rsid w:val="001932F3"/>
    <w:rsid w:val="00195919"/>
    <w:rsid w:val="0019765E"/>
    <w:rsid w:val="0019771A"/>
    <w:rsid w:val="001A06C4"/>
    <w:rsid w:val="001A2B40"/>
    <w:rsid w:val="001A3F05"/>
    <w:rsid w:val="001A40B9"/>
    <w:rsid w:val="001A4309"/>
    <w:rsid w:val="001A46AE"/>
    <w:rsid w:val="001A5CBD"/>
    <w:rsid w:val="001A631D"/>
    <w:rsid w:val="001A6C52"/>
    <w:rsid w:val="001A7729"/>
    <w:rsid w:val="001B0293"/>
    <w:rsid w:val="001B1053"/>
    <w:rsid w:val="001B1283"/>
    <w:rsid w:val="001B14AC"/>
    <w:rsid w:val="001B1802"/>
    <w:rsid w:val="001B2D17"/>
    <w:rsid w:val="001B3C4D"/>
    <w:rsid w:val="001B3D26"/>
    <w:rsid w:val="001B3E69"/>
    <w:rsid w:val="001B5132"/>
    <w:rsid w:val="001B655B"/>
    <w:rsid w:val="001B7940"/>
    <w:rsid w:val="001C022A"/>
    <w:rsid w:val="001C171A"/>
    <w:rsid w:val="001C2B44"/>
    <w:rsid w:val="001C37CA"/>
    <w:rsid w:val="001C4085"/>
    <w:rsid w:val="001C5321"/>
    <w:rsid w:val="001C58B3"/>
    <w:rsid w:val="001C592F"/>
    <w:rsid w:val="001C60B4"/>
    <w:rsid w:val="001C657E"/>
    <w:rsid w:val="001C6689"/>
    <w:rsid w:val="001D0B2C"/>
    <w:rsid w:val="001D1101"/>
    <w:rsid w:val="001D2707"/>
    <w:rsid w:val="001D41D0"/>
    <w:rsid w:val="001D4303"/>
    <w:rsid w:val="001D4F84"/>
    <w:rsid w:val="001D653B"/>
    <w:rsid w:val="001D6746"/>
    <w:rsid w:val="001E3B49"/>
    <w:rsid w:val="001E3E73"/>
    <w:rsid w:val="001E3E91"/>
    <w:rsid w:val="001E4A05"/>
    <w:rsid w:val="001E51B7"/>
    <w:rsid w:val="001E58D5"/>
    <w:rsid w:val="001E5986"/>
    <w:rsid w:val="001E5AEE"/>
    <w:rsid w:val="001E6860"/>
    <w:rsid w:val="001E6AF9"/>
    <w:rsid w:val="001E7388"/>
    <w:rsid w:val="001E7839"/>
    <w:rsid w:val="001F023A"/>
    <w:rsid w:val="001F08E0"/>
    <w:rsid w:val="001F13DD"/>
    <w:rsid w:val="001F241E"/>
    <w:rsid w:val="001F2473"/>
    <w:rsid w:val="001F2DBC"/>
    <w:rsid w:val="001F52F3"/>
    <w:rsid w:val="001F5B34"/>
    <w:rsid w:val="001F73E8"/>
    <w:rsid w:val="001F7B7C"/>
    <w:rsid w:val="00200D87"/>
    <w:rsid w:val="002017E8"/>
    <w:rsid w:val="00201CD4"/>
    <w:rsid w:val="002024BC"/>
    <w:rsid w:val="0020262C"/>
    <w:rsid w:val="00202723"/>
    <w:rsid w:val="00202D2A"/>
    <w:rsid w:val="0020347B"/>
    <w:rsid w:val="00206240"/>
    <w:rsid w:val="0020641F"/>
    <w:rsid w:val="00211A3E"/>
    <w:rsid w:val="002120BF"/>
    <w:rsid w:val="00212958"/>
    <w:rsid w:val="00215804"/>
    <w:rsid w:val="00215BCA"/>
    <w:rsid w:val="00215C2F"/>
    <w:rsid w:val="00216CC5"/>
    <w:rsid w:val="00217AC4"/>
    <w:rsid w:val="002200B4"/>
    <w:rsid w:val="00220492"/>
    <w:rsid w:val="00221461"/>
    <w:rsid w:val="00222B91"/>
    <w:rsid w:val="00223E8E"/>
    <w:rsid w:val="00223FF3"/>
    <w:rsid w:val="00224537"/>
    <w:rsid w:val="002260C4"/>
    <w:rsid w:val="00226124"/>
    <w:rsid w:val="00226639"/>
    <w:rsid w:val="00230150"/>
    <w:rsid w:val="00230DE0"/>
    <w:rsid w:val="0023312E"/>
    <w:rsid w:val="00234279"/>
    <w:rsid w:val="00234554"/>
    <w:rsid w:val="00235956"/>
    <w:rsid w:val="00237480"/>
    <w:rsid w:val="00240213"/>
    <w:rsid w:val="00240B41"/>
    <w:rsid w:val="002417E9"/>
    <w:rsid w:val="002418FE"/>
    <w:rsid w:val="00241E29"/>
    <w:rsid w:val="00242C99"/>
    <w:rsid w:val="0024389A"/>
    <w:rsid w:val="00243E5E"/>
    <w:rsid w:val="00245233"/>
    <w:rsid w:val="00245A7B"/>
    <w:rsid w:val="002460A3"/>
    <w:rsid w:val="002462BE"/>
    <w:rsid w:val="00247C9A"/>
    <w:rsid w:val="0025160C"/>
    <w:rsid w:val="00251B77"/>
    <w:rsid w:val="00253391"/>
    <w:rsid w:val="002535D0"/>
    <w:rsid w:val="0025386C"/>
    <w:rsid w:val="002539B3"/>
    <w:rsid w:val="00256336"/>
    <w:rsid w:val="002573FB"/>
    <w:rsid w:val="00257970"/>
    <w:rsid w:val="00257C3E"/>
    <w:rsid w:val="002602C2"/>
    <w:rsid w:val="002605A9"/>
    <w:rsid w:val="00260CE4"/>
    <w:rsid w:val="00261980"/>
    <w:rsid w:val="00261A36"/>
    <w:rsid w:val="00264AE4"/>
    <w:rsid w:val="0026557B"/>
    <w:rsid w:val="002658D7"/>
    <w:rsid w:val="002664CB"/>
    <w:rsid w:val="002666A9"/>
    <w:rsid w:val="002666C9"/>
    <w:rsid w:val="002668EF"/>
    <w:rsid w:val="00266CD5"/>
    <w:rsid w:val="00267A26"/>
    <w:rsid w:val="00270136"/>
    <w:rsid w:val="00270335"/>
    <w:rsid w:val="00270652"/>
    <w:rsid w:val="00270FD7"/>
    <w:rsid w:val="00271221"/>
    <w:rsid w:val="0027430B"/>
    <w:rsid w:val="00274F5B"/>
    <w:rsid w:val="00275FE3"/>
    <w:rsid w:val="00277B41"/>
    <w:rsid w:val="00277BD4"/>
    <w:rsid w:val="00280836"/>
    <w:rsid w:val="0028225C"/>
    <w:rsid w:val="00282E1A"/>
    <w:rsid w:val="002839C2"/>
    <w:rsid w:val="002840F1"/>
    <w:rsid w:val="0028583F"/>
    <w:rsid w:val="00285E06"/>
    <w:rsid w:val="0028731C"/>
    <w:rsid w:val="00287414"/>
    <w:rsid w:val="00287BCE"/>
    <w:rsid w:val="0029113B"/>
    <w:rsid w:val="00291A13"/>
    <w:rsid w:val="00291CF2"/>
    <w:rsid w:val="002934C0"/>
    <w:rsid w:val="002959D8"/>
    <w:rsid w:val="00295D66"/>
    <w:rsid w:val="00297202"/>
    <w:rsid w:val="0029764C"/>
    <w:rsid w:val="002979AF"/>
    <w:rsid w:val="00297C68"/>
    <w:rsid w:val="002A093E"/>
    <w:rsid w:val="002A0E6B"/>
    <w:rsid w:val="002A10AB"/>
    <w:rsid w:val="002A116C"/>
    <w:rsid w:val="002A12FD"/>
    <w:rsid w:val="002A142D"/>
    <w:rsid w:val="002A1B50"/>
    <w:rsid w:val="002A3525"/>
    <w:rsid w:val="002A3619"/>
    <w:rsid w:val="002A4A3A"/>
    <w:rsid w:val="002A4B05"/>
    <w:rsid w:val="002A502E"/>
    <w:rsid w:val="002A53FB"/>
    <w:rsid w:val="002A687A"/>
    <w:rsid w:val="002A6DCE"/>
    <w:rsid w:val="002A6EE3"/>
    <w:rsid w:val="002A7EF8"/>
    <w:rsid w:val="002B0E88"/>
    <w:rsid w:val="002B0E91"/>
    <w:rsid w:val="002B132C"/>
    <w:rsid w:val="002B3946"/>
    <w:rsid w:val="002B3F23"/>
    <w:rsid w:val="002B41E8"/>
    <w:rsid w:val="002B4898"/>
    <w:rsid w:val="002B4CE4"/>
    <w:rsid w:val="002B4EB5"/>
    <w:rsid w:val="002B4ED0"/>
    <w:rsid w:val="002B5AF5"/>
    <w:rsid w:val="002B6779"/>
    <w:rsid w:val="002B69D5"/>
    <w:rsid w:val="002B71C0"/>
    <w:rsid w:val="002B77D9"/>
    <w:rsid w:val="002B7A34"/>
    <w:rsid w:val="002C0223"/>
    <w:rsid w:val="002C31AD"/>
    <w:rsid w:val="002C40E4"/>
    <w:rsid w:val="002C5651"/>
    <w:rsid w:val="002C6624"/>
    <w:rsid w:val="002C6B53"/>
    <w:rsid w:val="002C6EB4"/>
    <w:rsid w:val="002C7385"/>
    <w:rsid w:val="002C7E13"/>
    <w:rsid w:val="002D0F3A"/>
    <w:rsid w:val="002D172D"/>
    <w:rsid w:val="002D2DBB"/>
    <w:rsid w:val="002D37D8"/>
    <w:rsid w:val="002D4EC2"/>
    <w:rsid w:val="002D4F75"/>
    <w:rsid w:val="002D54A6"/>
    <w:rsid w:val="002D7A01"/>
    <w:rsid w:val="002E06D8"/>
    <w:rsid w:val="002E271D"/>
    <w:rsid w:val="002E2C42"/>
    <w:rsid w:val="002E2FF0"/>
    <w:rsid w:val="002E3058"/>
    <w:rsid w:val="002E32F1"/>
    <w:rsid w:val="002E5BF9"/>
    <w:rsid w:val="002E61E4"/>
    <w:rsid w:val="002E6A7A"/>
    <w:rsid w:val="002E7AF8"/>
    <w:rsid w:val="002F023E"/>
    <w:rsid w:val="002F1E49"/>
    <w:rsid w:val="002F3423"/>
    <w:rsid w:val="002F382B"/>
    <w:rsid w:val="002F3CE0"/>
    <w:rsid w:val="002F4E9C"/>
    <w:rsid w:val="002F6A2A"/>
    <w:rsid w:val="003001C0"/>
    <w:rsid w:val="003010F2"/>
    <w:rsid w:val="00301871"/>
    <w:rsid w:val="00301D49"/>
    <w:rsid w:val="00302B03"/>
    <w:rsid w:val="00302F4E"/>
    <w:rsid w:val="00303830"/>
    <w:rsid w:val="00305C69"/>
    <w:rsid w:val="0031028E"/>
    <w:rsid w:val="003106CA"/>
    <w:rsid w:val="0031256C"/>
    <w:rsid w:val="0031396A"/>
    <w:rsid w:val="0031426D"/>
    <w:rsid w:val="00314D6C"/>
    <w:rsid w:val="00316D2A"/>
    <w:rsid w:val="00317C0A"/>
    <w:rsid w:val="003209DB"/>
    <w:rsid w:val="0032204B"/>
    <w:rsid w:val="00322A7C"/>
    <w:rsid w:val="00322EEC"/>
    <w:rsid w:val="00323061"/>
    <w:rsid w:val="00324EC4"/>
    <w:rsid w:val="00325AB8"/>
    <w:rsid w:val="00326863"/>
    <w:rsid w:val="003276D4"/>
    <w:rsid w:val="00331E5F"/>
    <w:rsid w:val="0033271C"/>
    <w:rsid w:val="00332D1A"/>
    <w:rsid w:val="00334621"/>
    <w:rsid w:val="00334E61"/>
    <w:rsid w:val="00334EC3"/>
    <w:rsid w:val="003374A8"/>
    <w:rsid w:val="003400A3"/>
    <w:rsid w:val="003402D3"/>
    <w:rsid w:val="003411C6"/>
    <w:rsid w:val="003424B4"/>
    <w:rsid w:val="00342FDD"/>
    <w:rsid w:val="003431B3"/>
    <w:rsid w:val="00343ABC"/>
    <w:rsid w:val="00344ED2"/>
    <w:rsid w:val="00345B4A"/>
    <w:rsid w:val="003463FE"/>
    <w:rsid w:val="00347D41"/>
    <w:rsid w:val="003500B8"/>
    <w:rsid w:val="0035082D"/>
    <w:rsid w:val="00350D92"/>
    <w:rsid w:val="00352C7D"/>
    <w:rsid w:val="00352D10"/>
    <w:rsid w:val="00353955"/>
    <w:rsid w:val="003554B3"/>
    <w:rsid w:val="003554B7"/>
    <w:rsid w:val="00355A65"/>
    <w:rsid w:val="00356110"/>
    <w:rsid w:val="00356632"/>
    <w:rsid w:val="00356C2E"/>
    <w:rsid w:val="00357616"/>
    <w:rsid w:val="00357C7E"/>
    <w:rsid w:val="0036375C"/>
    <w:rsid w:val="00364102"/>
    <w:rsid w:val="003653B6"/>
    <w:rsid w:val="00365424"/>
    <w:rsid w:val="00371630"/>
    <w:rsid w:val="00373049"/>
    <w:rsid w:val="003743C7"/>
    <w:rsid w:val="0037449F"/>
    <w:rsid w:val="00374CC4"/>
    <w:rsid w:val="00374DC1"/>
    <w:rsid w:val="003752C0"/>
    <w:rsid w:val="003774B2"/>
    <w:rsid w:val="00377F73"/>
    <w:rsid w:val="00380F2D"/>
    <w:rsid w:val="00382D75"/>
    <w:rsid w:val="00382FFE"/>
    <w:rsid w:val="0038332C"/>
    <w:rsid w:val="00383F9E"/>
    <w:rsid w:val="003845A9"/>
    <w:rsid w:val="00384C84"/>
    <w:rsid w:val="003850C9"/>
    <w:rsid w:val="0038599F"/>
    <w:rsid w:val="00387305"/>
    <w:rsid w:val="003879D6"/>
    <w:rsid w:val="00390883"/>
    <w:rsid w:val="00391598"/>
    <w:rsid w:val="00391B1C"/>
    <w:rsid w:val="003922F8"/>
    <w:rsid w:val="00392383"/>
    <w:rsid w:val="0039481B"/>
    <w:rsid w:val="00395562"/>
    <w:rsid w:val="0039587B"/>
    <w:rsid w:val="00395B24"/>
    <w:rsid w:val="0039617C"/>
    <w:rsid w:val="003A04DD"/>
    <w:rsid w:val="003A0A2B"/>
    <w:rsid w:val="003A2971"/>
    <w:rsid w:val="003A2D38"/>
    <w:rsid w:val="003A2FDA"/>
    <w:rsid w:val="003A7ECC"/>
    <w:rsid w:val="003B01B3"/>
    <w:rsid w:val="003B0986"/>
    <w:rsid w:val="003B11A3"/>
    <w:rsid w:val="003B1C0A"/>
    <w:rsid w:val="003B29FD"/>
    <w:rsid w:val="003B2C72"/>
    <w:rsid w:val="003B2D1B"/>
    <w:rsid w:val="003B348A"/>
    <w:rsid w:val="003B487F"/>
    <w:rsid w:val="003B5169"/>
    <w:rsid w:val="003B58B4"/>
    <w:rsid w:val="003B6BA1"/>
    <w:rsid w:val="003B72F1"/>
    <w:rsid w:val="003C1333"/>
    <w:rsid w:val="003C1BD7"/>
    <w:rsid w:val="003C20FF"/>
    <w:rsid w:val="003C2662"/>
    <w:rsid w:val="003C2775"/>
    <w:rsid w:val="003C28CE"/>
    <w:rsid w:val="003C2C3D"/>
    <w:rsid w:val="003C2F66"/>
    <w:rsid w:val="003C34D8"/>
    <w:rsid w:val="003C499D"/>
    <w:rsid w:val="003C5456"/>
    <w:rsid w:val="003C550A"/>
    <w:rsid w:val="003C6055"/>
    <w:rsid w:val="003C7388"/>
    <w:rsid w:val="003D07EA"/>
    <w:rsid w:val="003D085E"/>
    <w:rsid w:val="003D2650"/>
    <w:rsid w:val="003D2C98"/>
    <w:rsid w:val="003D3AF9"/>
    <w:rsid w:val="003D4424"/>
    <w:rsid w:val="003D4B73"/>
    <w:rsid w:val="003D560C"/>
    <w:rsid w:val="003D5610"/>
    <w:rsid w:val="003D5C00"/>
    <w:rsid w:val="003D61FB"/>
    <w:rsid w:val="003E0B77"/>
    <w:rsid w:val="003E11DD"/>
    <w:rsid w:val="003E2453"/>
    <w:rsid w:val="003E2D13"/>
    <w:rsid w:val="003E3154"/>
    <w:rsid w:val="003E38BA"/>
    <w:rsid w:val="003E4AD9"/>
    <w:rsid w:val="003E5567"/>
    <w:rsid w:val="003E5874"/>
    <w:rsid w:val="003E5F22"/>
    <w:rsid w:val="003E6DC2"/>
    <w:rsid w:val="003E72D3"/>
    <w:rsid w:val="003E774A"/>
    <w:rsid w:val="003F0D0D"/>
    <w:rsid w:val="003F1320"/>
    <w:rsid w:val="003F1859"/>
    <w:rsid w:val="003F193E"/>
    <w:rsid w:val="003F242C"/>
    <w:rsid w:val="003F3299"/>
    <w:rsid w:val="003F335B"/>
    <w:rsid w:val="003F34F1"/>
    <w:rsid w:val="003F3EBF"/>
    <w:rsid w:val="003F3F4D"/>
    <w:rsid w:val="003F4EBB"/>
    <w:rsid w:val="003F5172"/>
    <w:rsid w:val="003F5272"/>
    <w:rsid w:val="003F5F4E"/>
    <w:rsid w:val="003F6025"/>
    <w:rsid w:val="003F6253"/>
    <w:rsid w:val="00401F0F"/>
    <w:rsid w:val="00404D85"/>
    <w:rsid w:val="00404D9E"/>
    <w:rsid w:val="00405D7E"/>
    <w:rsid w:val="0040634B"/>
    <w:rsid w:val="0041035F"/>
    <w:rsid w:val="00410370"/>
    <w:rsid w:val="004104B6"/>
    <w:rsid w:val="00411964"/>
    <w:rsid w:val="00411AE8"/>
    <w:rsid w:val="00412399"/>
    <w:rsid w:val="004124DD"/>
    <w:rsid w:val="00413B74"/>
    <w:rsid w:val="004142D6"/>
    <w:rsid w:val="00414FC6"/>
    <w:rsid w:val="0041609A"/>
    <w:rsid w:val="0041678D"/>
    <w:rsid w:val="004177E4"/>
    <w:rsid w:val="004205E6"/>
    <w:rsid w:val="00420AA2"/>
    <w:rsid w:val="004213C8"/>
    <w:rsid w:val="0042209E"/>
    <w:rsid w:val="004224A1"/>
    <w:rsid w:val="0042298F"/>
    <w:rsid w:val="0042406F"/>
    <w:rsid w:val="0042421C"/>
    <w:rsid w:val="00424573"/>
    <w:rsid w:val="00425932"/>
    <w:rsid w:val="00425B7B"/>
    <w:rsid w:val="00427B79"/>
    <w:rsid w:val="00427FD5"/>
    <w:rsid w:val="004304B6"/>
    <w:rsid w:val="004308F1"/>
    <w:rsid w:val="00430FFF"/>
    <w:rsid w:val="00431571"/>
    <w:rsid w:val="00431F2C"/>
    <w:rsid w:val="004342F3"/>
    <w:rsid w:val="00435657"/>
    <w:rsid w:val="004357AA"/>
    <w:rsid w:val="00435C5F"/>
    <w:rsid w:val="00435EA0"/>
    <w:rsid w:val="00436155"/>
    <w:rsid w:val="004361C6"/>
    <w:rsid w:val="0043724E"/>
    <w:rsid w:val="004409CD"/>
    <w:rsid w:val="00441287"/>
    <w:rsid w:val="004412FF"/>
    <w:rsid w:val="00441E98"/>
    <w:rsid w:val="00442242"/>
    <w:rsid w:val="00442BF7"/>
    <w:rsid w:val="004439BE"/>
    <w:rsid w:val="0044470C"/>
    <w:rsid w:val="00444FFE"/>
    <w:rsid w:val="00446075"/>
    <w:rsid w:val="00446D4B"/>
    <w:rsid w:val="004472E9"/>
    <w:rsid w:val="00450CFD"/>
    <w:rsid w:val="00450F3A"/>
    <w:rsid w:val="00451019"/>
    <w:rsid w:val="00451634"/>
    <w:rsid w:val="0045187A"/>
    <w:rsid w:val="004519BA"/>
    <w:rsid w:val="004532F7"/>
    <w:rsid w:val="00453EFF"/>
    <w:rsid w:val="00453FFF"/>
    <w:rsid w:val="004546E1"/>
    <w:rsid w:val="00454D93"/>
    <w:rsid w:val="004560CE"/>
    <w:rsid w:val="00456A81"/>
    <w:rsid w:val="004576FC"/>
    <w:rsid w:val="004578B6"/>
    <w:rsid w:val="00457F1B"/>
    <w:rsid w:val="004621FE"/>
    <w:rsid w:val="004622DE"/>
    <w:rsid w:val="00462DBA"/>
    <w:rsid w:val="004634D1"/>
    <w:rsid w:val="0046391C"/>
    <w:rsid w:val="0046480F"/>
    <w:rsid w:val="00464D51"/>
    <w:rsid w:val="004654F4"/>
    <w:rsid w:val="0046605F"/>
    <w:rsid w:val="00466CDB"/>
    <w:rsid w:val="00471222"/>
    <w:rsid w:val="00472027"/>
    <w:rsid w:val="00475B3E"/>
    <w:rsid w:val="004775F4"/>
    <w:rsid w:val="00480177"/>
    <w:rsid w:val="004804CF"/>
    <w:rsid w:val="004809E3"/>
    <w:rsid w:val="00480CB4"/>
    <w:rsid w:val="00480FA7"/>
    <w:rsid w:val="0048119E"/>
    <w:rsid w:val="0048173A"/>
    <w:rsid w:val="00481C30"/>
    <w:rsid w:val="004847F0"/>
    <w:rsid w:val="00484962"/>
    <w:rsid w:val="00484D59"/>
    <w:rsid w:val="00484F6D"/>
    <w:rsid w:val="00484FB7"/>
    <w:rsid w:val="0048554D"/>
    <w:rsid w:val="004857BA"/>
    <w:rsid w:val="00485A76"/>
    <w:rsid w:val="004875D4"/>
    <w:rsid w:val="00490AC5"/>
    <w:rsid w:val="00490F8C"/>
    <w:rsid w:val="004911F1"/>
    <w:rsid w:val="00492B40"/>
    <w:rsid w:val="00493287"/>
    <w:rsid w:val="0049338A"/>
    <w:rsid w:val="0049417F"/>
    <w:rsid w:val="004941AC"/>
    <w:rsid w:val="00496D41"/>
    <w:rsid w:val="00497227"/>
    <w:rsid w:val="00497C25"/>
    <w:rsid w:val="004A0581"/>
    <w:rsid w:val="004A4888"/>
    <w:rsid w:val="004A4F7A"/>
    <w:rsid w:val="004A5801"/>
    <w:rsid w:val="004A647D"/>
    <w:rsid w:val="004A6602"/>
    <w:rsid w:val="004A7C56"/>
    <w:rsid w:val="004B0BAD"/>
    <w:rsid w:val="004B1840"/>
    <w:rsid w:val="004B3EFA"/>
    <w:rsid w:val="004B3F84"/>
    <w:rsid w:val="004B7DC1"/>
    <w:rsid w:val="004C0455"/>
    <w:rsid w:val="004C1234"/>
    <w:rsid w:val="004C1FD1"/>
    <w:rsid w:val="004C2A87"/>
    <w:rsid w:val="004C2AA3"/>
    <w:rsid w:val="004C2E48"/>
    <w:rsid w:val="004C30C2"/>
    <w:rsid w:val="004C334E"/>
    <w:rsid w:val="004C4D7B"/>
    <w:rsid w:val="004C4ED3"/>
    <w:rsid w:val="004C667B"/>
    <w:rsid w:val="004C7ECD"/>
    <w:rsid w:val="004D0462"/>
    <w:rsid w:val="004D2773"/>
    <w:rsid w:val="004D2EA5"/>
    <w:rsid w:val="004D32A6"/>
    <w:rsid w:val="004D3751"/>
    <w:rsid w:val="004D3D17"/>
    <w:rsid w:val="004D4F38"/>
    <w:rsid w:val="004D53E5"/>
    <w:rsid w:val="004D5647"/>
    <w:rsid w:val="004D64D6"/>
    <w:rsid w:val="004E16B5"/>
    <w:rsid w:val="004E2816"/>
    <w:rsid w:val="004E2A30"/>
    <w:rsid w:val="004E2D18"/>
    <w:rsid w:val="004E3F09"/>
    <w:rsid w:val="004E3F4A"/>
    <w:rsid w:val="004E4A31"/>
    <w:rsid w:val="004E572C"/>
    <w:rsid w:val="004E6DC4"/>
    <w:rsid w:val="004E7C59"/>
    <w:rsid w:val="004F144A"/>
    <w:rsid w:val="004F21C1"/>
    <w:rsid w:val="004F2B82"/>
    <w:rsid w:val="004F34FE"/>
    <w:rsid w:val="004F3D0F"/>
    <w:rsid w:val="004F4503"/>
    <w:rsid w:val="004F4D1A"/>
    <w:rsid w:val="004F52AB"/>
    <w:rsid w:val="004F6FD1"/>
    <w:rsid w:val="004F78B1"/>
    <w:rsid w:val="00500825"/>
    <w:rsid w:val="00501014"/>
    <w:rsid w:val="00501A12"/>
    <w:rsid w:val="00502CD1"/>
    <w:rsid w:val="0050309C"/>
    <w:rsid w:val="00503A70"/>
    <w:rsid w:val="00505BA5"/>
    <w:rsid w:val="00506E87"/>
    <w:rsid w:val="0051101C"/>
    <w:rsid w:val="0051191A"/>
    <w:rsid w:val="0051327C"/>
    <w:rsid w:val="0051346D"/>
    <w:rsid w:val="00513EAE"/>
    <w:rsid w:val="0051434F"/>
    <w:rsid w:val="00514E2F"/>
    <w:rsid w:val="00514F60"/>
    <w:rsid w:val="00516806"/>
    <w:rsid w:val="0052098C"/>
    <w:rsid w:val="00520D18"/>
    <w:rsid w:val="00521191"/>
    <w:rsid w:val="005231EF"/>
    <w:rsid w:val="00523334"/>
    <w:rsid w:val="00523B2A"/>
    <w:rsid w:val="00525A49"/>
    <w:rsid w:val="005262D1"/>
    <w:rsid w:val="00526918"/>
    <w:rsid w:val="00526B2D"/>
    <w:rsid w:val="0052733C"/>
    <w:rsid w:val="00530876"/>
    <w:rsid w:val="00532B3A"/>
    <w:rsid w:val="00532C08"/>
    <w:rsid w:val="00532E45"/>
    <w:rsid w:val="0053338C"/>
    <w:rsid w:val="0053442D"/>
    <w:rsid w:val="005348A3"/>
    <w:rsid w:val="00535613"/>
    <w:rsid w:val="005359EB"/>
    <w:rsid w:val="005362AF"/>
    <w:rsid w:val="00537353"/>
    <w:rsid w:val="00537716"/>
    <w:rsid w:val="005377A5"/>
    <w:rsid w:val="00541817"/>
    <w:rsid w:val="00541B8C"/>
    <w:rsid w:val="00541EE6"/>
    <w:rsid w:val="0054254A"/>
    <w:rsid w:val="005428CA"/>
    <w:rsid w:val="005432C1"/>
    <w:rsid w:val="00543458"/>
    <w:rsid w:val="00543600"/>
    <w:rsid w:val="00543E0C"/>
    <w:rsid w:val="0054494A"/>
    <w:rsid w:val="0054500B"/>
    <w:rsid w:val="005459E4"/>
    <w:rsid w:val="005461DE"/>
    <w:rsid w:val="005463EA"/>
    <w:rsid w:val="005466B5"/>
    <w:rsid w:val="00546BCE"/>
    <w:rsid w:val="00550FDB"/>
    <w:rsid w:val="00551592"/>
    <w:rsid w:val="0055173E"/>
    <w:rsid w:val="00554314"/>
    <w:rsid w:val="005552BC"/>
    <w:rsid w:val="005567F0"/>
    <w:rsid w:val="005603CC"/>
    <w:rsid w:val="0056049E"/>
    <w:rsid w:val="005619B8"/>
    <w:rsid w:val="0056233D"/>
    <w:rsid w:val="00562829"/>
    <w:rsid w:val="005629B3"/>
    <w:rsid w:val="00562BBB"/>
    <w:rsid w:val="00562BE4"/>
    <w:rsid w:val="00563075"/>
    <w:rsid w:val="00563E2C"/>
    <w:rsid w:val="005648CB"/>
    <w:rsid w:val="00565738"/>
    <w:rsid w:val="00565DC7"/>
    <w:rsid w:val="00566191"/>
    <w:rsid w:val="00567338"/>
    <w:rsid w:val="0057099F"/>
    <w:rsid w:val="00571885"/>
    <w:rsid w:val="005724F6"/>
    <w:rsid w:val="0057333C"/>
    <w:rsid w:val="00573AC4"/>
    <w:rsid w:val="00574A28"/>
    <w:rsid w:val="00576970"/>
    <w:rsid w:val="00576E30"/>
    <w:rsid w:val="00576EEF"/>
    <w:rsid w:val="0057767D"/>
    <w:rsid w:val="00577A7A"/>
    <w:rsid w:val="00577FA8"/>
    <w:rsid w:val="005801FC"/>
    <w:rsid w:val="0058066F"/>
    <w:rsid w:val="005813A4"/>
    <w:rsid w:val="00581F01"/>
    <w:rsid w:val="005837B2"/>
    <w:rsid w:val="00584D72"/>
    <w:rsid w:val="00585BA9"/>
    <w:rsid w:val="00587359"/>
    <w:rsid w:val="00587D10"/>
    <w:rsid w:val="005906A5"/>
    <w:rsid w:val="0059071B"/>
    <w:rsid w:val="00590832"/>
    <w:rsid w:val="00590D24"/>
    <w:rsid w:val="00590D2B"/>
    <w:rsid w:val="00594516"/>
    <w:rsid w:val="00594945"/>
    <w:rsid w:val="00594DDD"/>
    <w:rsid w:val="00594DDF"/>
    <w:rsid w:val="00595016"/>
    <w:rsid w:val="00595DE1"/>
    <w:rsid w:val="00597AAE"/>
    <w:rsid w:val="00597E9A"/>
    <w:rsid w:val="005A0F80"/>
    <w:rsid w:val="005A222C"/>
    <w:rsid w:val="005A4A27"/>
    <w:rsid w:val="005A4DF8"/>
    <w:rsid w:val="005A676E"/>
    <w:rsid w:val="005A678A"/>
    <w:rsid w:val="005A71A7"/>
    <w:rsid w:val="005A78C8"/>
    <w:rsid w:val="005B1426"/>
    <w:rsid w:val="005B1473"/>
    <w:rsid w:val="005B1CD3"/>
    <w:rsid w:val="005B2F6D"/>
    <w:rsid w:val="005B6CE2"/>
    <w:rsid w:val="005B6E38"/>
    <w:rsid w:val="005B74D9"/>
    <w:rsid w:val="005C0A8E"/>
    <w:rsid w:val="005C1767"/>
    <w:rsid w:val="005C185C"/>
    <w:rsid w:val="005C2888"/>
    <w:rsid w:val="005C38EE"/>
    <w:rsid w:val="005C4133"/>
    <w:rsid w:val="005C42EF"/>
    <w:rsid w:val="005C6ADD"/>
    <w:rsid w:val="005C6B15"/>
    <w:rsid w:val="005D0FD1"/>
    <w:rsid w:val="005D1D41"/>
    <w:rsid w:val="005D2C7D"/>
    <w:rsid w:val="005D38C2"/>
    <w:rsid w:val="005D564C"/>
    <w:rsid w:val="005D5BA4"/>
    <w:rsid w:val="005D5BB4"/>
    <w:rsid w:val="005D6D89"/>
    <w:rsid w:val="005D74CA"/>
    <w:rsid w:val="005E02F5"/>
    <w:rsid w:val="005E0387"/>
    <w:rsid w:val="005E0510"/>
    <w:rsid w:val="005E0A3A"/>
    <w:rsid w:val="005E0C60"/>
    <w:rsid w:val="005E176E"/>
    <w:rsid w:val="005E1D09"/>
    <w:rsid w:val="005E1DA1"/>
    <w:rsid w:val="005E218E"/>
    <w:rsid w:val="005E2C54"/>
    <w:rsid w:val="005E35A0"/>
    <w:rsid w:val="005E38A6"/>
    <w:rsid w:val="005E3CFB"/>
    <w:rsid w:val="005E5351"/>
    <w:rsid w:val="005E567D"/>
    <w:rsid w:val="005E5AEE"/>
    <w:rsid w:val="005E6049"/>
    <w:rsid w:val="005E7A4C"/>
    <w:rsid w:val="005F0419"/>
    <w:rsid w:val="005F0D1B"/>
    <w:rsid w:val="005F185E"/>
    <w:rsid w:val="005F1865"/>
    <w:rsid w:val="005F231C"/>
    <w:rsid w:val="005F46DA"/>
    <w:rsid w:val="005F49F2"/>
    <w:rsid w:val="005F750C"/>
    <w:rsid w:val="006007BD"/>
    <w:rsid w:val="006013C8"/>
    <w:rsid w:val="006022D4"/>
    <w:rsid w:val="0060270D"/>
    <w:rsid w:val="00603398"/>
    <w:rsid w:val="00604094"/>
    <w:rsid w:val="00604611"/>
    <w:rsid w:val="00604ABF"/>
    <w:rsid w:val="00604EEA"/>
    <w:rsid w:val="00605867"/>
    <w:rsid w:val="00606F4C"/>
    <w:rsid w:val="00607FC4"/>
    <w:rsid w:val="00610555"/>
    <w:rsid w:val="00611586"/>
    <w:rsid w:val="0061197E"/>
    <w:rsid w:val="006125CF"/>
    <w:rsid w:val="006125F0"/>
    <w:rsid w:val="006126B1"/>
    <w:rsid w:val="00612A75"/>
    <w:rsid w:val="00612D26"/>
    <w:rsid w:val="006131AA"/>
    <w:rsid w:val="0061400C"/>
    <w:rsid w:val="00615855"/>
    <w:rsid w:val="006165F5"/>
    <w:rsid w:val="006176FD"/>
    <w:rsid w:val="00620DA8"/>
    <w:rsid w:val="00620FD5"/>
    <w:rsid w:val="00621826"/>
    <w:rsid w:val="00621887"/>
    <w:rsid w:val="00623E33"/>
    <w:rsid w:val="00624520"/>
    <w:rsid w:val="00625464"/>
    <w:rsid w:val="00625B32"/>
    <w:rsid w:val="00625DCC"/>
    <w:rsid w:val="0062603B"/>
    <w:rsid w:val="0062653E"/>
    <w:rsid w:val="006271F5"/>
    <w:rsid w:val="00630554"/>
    <w:rsid w:val="0063087C"/>
    <w:rsid w:val="00631125"/>
    <w:rsid w:val="00632300"/>
    <w:rsid w:val="006326D6"/>
    <w:rsid w:val="00632BB7"/>
    <w:rsid w:val="0063390C"/>
    <w:rsid w:val="00633B05"/>
    <w:rsid w:val="00635026"/>
    <w:rsid w:val="00635791"/>
    <w:rsid w:val="00635B36"/>
    <w:rsid w:val="00635B81"/>
    <w:rsid w:val="00635D06"/>
    <w:rsid w:val="006365E2"/>
    <w:rsid w:val="00636871"/>
    <w:rsid w:val="006368B4"/>
    <w:rsid w:val="00636906"/>
    <w:rsid w:val="00636D27"/>
    <w:rsid w:val="00637C0B"/>
    <w:rsid w:val="00640EE1"/>
    <w:rsid w:val="00640F4E"/>
    <w:rsid w:val="00641247"/>
    <w:rsid w:val="006424BD"/>
    <w:rsid w:val="00642C3A"/>
    <w:rsid w:val="00643DE0"/>
    <w:rsid w:val="0064437D"/>
    <w:rsid w:val="00644E85"/>
    <w:rsid w:val="006456F4"/>
    <w:rsid w:val="00645B84"/>
    <w:rsid w:val="0064653C"/>
    <w:rsid w:val="006472F6"/>
    <w:rsid w:val="00650834"/>
    <w:rsid w:val="00651242"/>
    <w:rsid w:val="006515DB"/>
    <w:rsid w:val="00651F7A"/>
    <w:rsid w:val="0065223F"/>
    <w:rsid w:val="0065224F"/>
    <w:rsid w:val="00652C52"/>
    <w:rsid w:val="0065676B"/>
    <w:rsid w:val="00657B5A"/>
    <w:rsid w:val="00660383"/>
    <w:rsid w:val="0066063F"/>
    <w:rsid w:val="00660894"/>
    <w:rsid w:val="00662BB0"/>
    <w:rsid w:val="00663878"/>
    <w:rsid w:val="00663A8D"/>
    <w:rsid w:val="00663C11"/>
    <w:rsid w:val="006666BC"/>
    <w:rsid w:val="00667033"/>
    <w:rsid w:val="00667773"/>
    <w:rsid w:val="006706CE"/>
    <w:rsid w:val="00670743"/>
    <w:rsid w:val="00670CB9"/>
    <w:rsid w:val="00670F9C"/>
    <w:rsid w:val="00671A6D"/>
    <w:rsid w:val="006733BA"/>
    <w:rsid w:val="00675D4F"/>
    <w:rsid w:val="00676A9E"/>
    <w:rsid w:val="0067702B"/>
    <w:rsid w:val="006777E0"/>
    <w:rsid w:val="0068063A"/>
    <w:rsid w:val="00680A85"/>
    <w:rsid w:val="00681398"/>
    <w:rsid w:val="00681ADF"/>
    <w:rsid w:val="00681F25"/>
    <w:rsid w:val="00682A7F"/>
    <w:rsid w:val="00683029"/>
    <w:rsid w:val="00683F71"/>
    <w:rsid w:val="00684978"/>
    <w:rsid w:val="00685FD3"/>
    <w:rsid w:val="00686106"/>
    <w:rsid w:val="0068773A"/>
    <w:rsid w:val="00690DCD"/>
    <w:rsid w:val="00690EE2"/>
    <w:rsid w:val="0069179A"/>
    <w:rsid w:val="00691F09"/>
    <w:rsid w:val="0069215C"/>
    <w:rsid w:val="00693854"/>
    <w:rsid w:val="00694200"/>
    <w:rsid w:val="00694A3A"/>
    <w:rsid w:val="00694BEB"/>
    <w:rsid w:val="00695044"/>
    <w:rsid w:val="0069580B"/>
    <w:rsid w:val="0069649B"/>
    <w:rsid w:val="00697137"/>
    <w:rsid w:val="006A0E20"/>
    <w:rsid w:val="006A10B7"/>
    <w:rsid w:val="006A1DDA"/>
    <w:rsid w:val="006A23AD"/>
    <w:rsid w:val="006A24E3"/>
    <w:rsid w:val="006A276A"/>
    <w:rsid w:val="006A328B"/>
    <w:rsid w:val="006A3B39"/>
    <w:rsid w:val="006A3B6B"/>
    <w:rsid w:val="006A5695"/>
    <w:rsid w:val="006A6EBB"/>
    <w:rsid w:val="006B0352"/>
    <w:rsid w:val="006B0394"/>
    <w:rsid w:val="006B0439"/>
    <w:rsid w:val="006B0AFC"/>
    <w:rsid w:val="006B295D"/>
    <w:rsid w:val="006B3904"/>
    <w:rsid w:val="006B4AED"/>
    <w:rsid w:val="006B52C4"/>
    <w:rsid w:val="006B5B7D"/>
    <w:rsid w:val="006B61E8"/>
    <w:rsid w:val="006B6698"/>
    <w:rsid w:val="006B7871"/>
    <w:rsid w:val="006C0AB8"/>
    <w:rsid w:val="006C0BFB"/>
    <w:rsid w:val="006C0E74"/>
    <w:rsid w:val="006C1781"/>
    <w:rsid w:val="006C2369"/>
    <w:rsid w:val="006C31A1"/>
    <w:rsid w:val="006C3899"/>
    <w:rsid w:val="006C38CA"/>
    <w:rsid w:val="006C3B58"/>
    <w:rsid w:val="006C5B46"/>
    <w:rsid w:val="006C683B"/>
    <w:rsid w:val="006C6E39"/>
    <w:rsid w:val="006C7132"/>
    <w:rsid w:val="006C7F29"/>
    <w:rsid w:val="006D0ECF"/>
    <w:rsid w:val="006D19E1"/>
    <w:rsid w:val="006D2C9E"/>
    <w:rsid w:val="006D3081"/>
    <w:rsid w:val="006D3D5B"/>
    <w:rsid w:val="006D45F0"/>
    <w:rsid w:val="006D4C92"/>
    <w:rsid w:val="006D4EB6"/>
    <w:rsid w:val="006D5394"/>
    <w:rsid w:val="006D71EA"/>
    <w:rsid w:val="006D7627"/>
    <w:rsid w:val="006E0698"/>
    <w:rsid w:val="006E1233"/>
    <w:rsid w:val="006E1601"/>
    <w:rsid w:val="006E35BF"/>
    <w:rsid w:val="006E3792"/>
    <w:rsid w:val="006E3E85"/>
    <w:rsid w:val="006E427A"/>
    <w:rsid w:val="006E4812"/>
    <w:rsid w:val="006E4A6A"/>
    <w:rsid w:val="006E4BE2"/>
    <w:rsid w:val="006E5780"/>
    <w:rsid w:val="006E59D3"/>
    <w:rsid w:val="006E6477"/>
    <w:rsid w:val="006E6A4B"/>
    <w:rsid w:val="006E7850"/>
    <w:rsid w:val="006F0F01"/>
    <w:rsid w:val="006F3189"/>
    <w:rsid w:val="006F3819"/>
    <w:rsid w:val="006F3ABE"/>
    <w:rsid w:val="006F46D6"/>
    <w:rsid w:val="006F50CF"/>
    <w:rsid w:val="006F5564"/>
    <w:rsid w:val="007000A5"/>
    <w:rsid w:val="00700145"/>
    <w:rsid w:val="0070071E"/>
    <w:rsid w:val="0070131B"/>
    <w:rsid w:val="007028D9"/>
    <w:rsid w:val="00703344"/>
    <w:rsid w:val="0070423A"/>
    <w:rsid w:val="007043DE"/>
    <w:rsid w:val="0070488C"/>
    <w:rsid w:val="007048C2"/>
    <w:rsid w:val="007060EC"/>
    <w:rsid w:val="0070690D"/>
    <w:rsid w:val="00707218"/>
    <w:rsid w:val="00710050"/>
    <w:rsid w:val="00710D04"/>
    <w:rsid w:val="00711E53"/>
    <w:rsid w:val="00711F3A"/>
    <w:rsid w:val="0071284C"/>
    <w:rsid w:val="00712B1D"/>
    <w:rsid w:val="00712DDC"/>
    <w:rsid w:val="00713131"/>
    <w:rsid w:val="007131FB"/>
    <w:rsid w:val="0071402A"/>
    <w:rsid w:val="0071557D"/>
    <w:rsid w:val="00715751"/>
    <w:rsid w:val="00716155"/>
    <w:rsid w:val="00716797"/>
    <w:rsid w:val="0071690F"/>
    <w:rsid w:val="007171BA"/>
    <w:rsid w:val="00717616"/>
    <w:rsid w:val="00717C38"/>
    <w:rsid w:val="00720826"/>
    <w:rsid w:val="00720A85"/>
    <w:rsid w:val="00720D9E"/>
    <w:rsid w:val="007217CD"/>
    <w:rsid w:val="00722D56"/>
    <w:rsid w:val="00724E14"/>
    <w:rsid w:val="007267D3"/>
    <w:rsid w:val="0073028B"/>
    <w:rsid w:val="007317BD"/>
    <w:rsid w:val="007325D9"/>
    <w:rsid w:val="00732A9D"/>
    <w:rsid w:val="00733CD7"/>
    <w:rsid w:val="00733F28"/>
    <w:rsid w:val="00734954"/>
    <w:rsid w:val="00734CCE"/>
    <w:rsid w:val="0073583B"/>
    <w:rsid w:val="0073592F"/>
    <w:rsid w:val="00735ED1"/>
    <w:rsid w:val="007360CA"/>
    <w:rsid w:val="00736642"/>
    <w:rsid w:val="0073796C"/>
    <w:rsid w:val="007410E6"/>
    <w:rsid w:val="007418BD"/>
    <w:rsid w:val="0074308D"/>
    <w:rsid w:val="00743CFF"/>
    <w:rsid w:val="00744548"/>
    <w:rsid w:val="007445C4"/>
    <w:rsid w:val="0074667B"/>
    <w:rsid w:val="00746830"/>
    <w:rsid w:val="007470BD"/>
    <w:rsid w:val="0075016E"/>
    <w:rsid w:val="0075096D"/>
    <w:rsid w:val="007512B6"/>
    <w:rsid w:val="00752B08"/>
    <w:rsid w:val="00752D6D"/>
    <w:rsid w:val="007530E1"/>
    <w:rsid w:val="007541B6"/>
    <w:rsid w:val="007556DA"/>
    <w:rsid w:val="00755C83"/>
    <w:rsid w:val="00756012"/>
    <w:rsid w:val="00756D74"/>
    <w:rsid w:val="00757E85"/>
    <w:rsid w:val="007608AE"/>
    <w:rsid w:val="00760EC0"/>
    <w:rsid w:val="00762C4E"/>
    <w:rsid w:val="00766EAA"/>
    <w:rsid w:val="00767E5F"/>
    <w:rsid w:val="007706C2"/>
    <w:rsid w:val="00770DC6"/>
    <w:rsid w:val="007711BD"/>
    <w:rsid w:val="00771704"/>
    <w:rsid w:val="0077639A"/>
    <w:rsid w:val="00776CAA"/>
    <w:rsid w:val="00776FCF"/>
    <w:rsid w:val="00777DA9"/>
    <w:rsid w:val="00777F72"/>
    <w:rsid w:val="0078003A"/>
    <w:rsid w:val="00780771"/>
    <w:rsid w:val="0078192C"/>
    <w:rsid w:val="00781D4D"/>
    <w:rsid w:val="00783C40"/>
    <w:rsid w:val="007844C6"/>
    <w:rsid w:val="00784DE1"/>
    <w:rsid w:val="00785E84"/>
    <w:rsid w:val="00786481"/>
    <w:rsid w:val="00792275"/>
    <w:rsid w:val="007929CF"/>
    <w:rsid w:val="00792F65"/>
    <w:rsid w:val="0079301E"/>
    <w:rsid w:val="00793C48"/>
    <w:rsid w:val="00795A0A"/>
    <w:rsid w:val="00796C67"/>
    <w:rsid w:val="00796EB0"/>
    <w:rsid w:val="00797EBB"/>
    <w:rsid w:val="007A0A97"/>
    <w:rsid w:val="007A20A8"/>
    <w:rsid w:val="007A2147"/>
    <w:rsid w:val="007A4988"/>
    <w:rsid w:val="007A49E7"/>
    <w:rsid w:val="007A56EA"/>
    <w:rsid w:val="007A6F28"/>
    <w:rsid w:val="007A75B0"/>
    <w:rsid w:val="007B02E9"/>
    <w:rsid w:val="007B03C6"/>
    <w:rsid w:val="007B0DB1"/>
    <w:rsid w:val="007B5673"/>
    <w:rsid w:val="007B5A5E"/>
    <w:rsid w:val="007B5B59"/>
    <w:rsid w:val="007B7238"/>
    <w:rsid w:val="007B76FF"/>
    <w:rsid w:val="007C13EA"/>
    <w:rsid w:val="007C3BF6"/>
    <w:rsid w:val="007C3E86"/>
    <w:rsid w:val="007C4417"/>
    <w:rsid w:val="007C60B3"/>
    <w:rsid w:val="007C6169"/>
    <w:rsid w:val="007C63D8"/>
    <w:rsid w:val="007C67B3"/>
    <w:rsid w:val="007C7047"/>
    <w:rsid w:val="007D01E6"/>
    <w:rsid w:val="007D0B76"/>
    <w:rsid w:val="007D0D4C"/>
    <w:rsid w:val="007D0FD2"/>
    <w:rsid w:val="007D1E14"/>
    <w:rsid w:val="007D249F"/>
    <w:rsid w:val="007D2EF8"/>
    <w:rsid w:val="007D33BB"/>
    <w:rsid w:val="007D3650"/>
    <w:rsid w:val="007D561F"/>
    <w:rsid w:val="007D5DE6"/>
    <w:rsid w:val="007D716F"/>
    <w:rsid w:val="007D7729"/>
    <w:rsid w:val="007D7FD2"/>
    <w:rsid w:val="007E09F4"/>
    <w:rsid w:val="007E0BD7"/>
    <w:rsid w:val="007E0D4A"/>
    <w:rsid w:val="007E13D9"/>
    <w:rsid w:val="007E1BC3"/>
    <w:rsid w:val="007E1E07"/>
    <w:rsid w:val="007E2AEC"/>
    <w:rsid w:val="007E41BE"/>
    <w:rsid w:val="007E4DB6"/>
    <w:rsid w:val="007E5134"/>
    <w:rsid w:val="007E6733"/>
    <w:rsid w:val="007E7352"/>
    <w:rsid w:val="007E7524"/>
    <w:rsid w:val="007E7CD4"/>
    <w:rsid w:val="007F0363"/>
    <w:rsid w:val="007F12AC"/>
    <w:rsid w:val="007F3F45"/>
    <w:rsid w:val="007F4501"/>
    <w:rsid w:val="007F5229"/>
    <w:rsid w:val="007F5F84"/>
    <w:rsid w:val="007F5FD3"/>
    <w:rsid w:val="007F60DF"/>
    <w:rsid w:val="007F7514"/>
    <w:rsid w:val="007F797F"/>
    <w:rsid w:val="00800728"/>
    <w:rsid w:val="0080157E"/>
    <w:rsid w:val="00801800"/>
    <w:rsid w:val="00801861"/>
    <w:rsid w:val="00801B5B"/>
    <w:rsid w:val="00802E0D"/>
    <w:rsid w:val="0080720A"/>
    <w:rsid w:val="008118B4"/>
    <w:rsid w:val="008122BC"/>
    <w:rsid w:val="0081395B"/>
    <w:rsid w:val="00813C7A"/>
    <w:rsid w:val="008144AC"/>
    <w:rsid w:val="008158B8"/>
    <w:rsid w:val="008159BF"/>
    <w:rsid w:val="008162B3"/>
    <w:rsid w:val="008206D1"/>
    <w:rsid w:val="00820BFA"/>
    <w:rsid w:val="008216E7"/>
    <w:rsid w:val="008219CF"/>
    <w:rsid w:val="00822873"/>
    <w:rsid w:val="00823067"/>
    <w:rsid w:val="0082342B"/>
    <w:rsid w:val="00825B38"/>
    <w:rsid w:val="00825BE6"/>
    <w:rsid w:val="008272EA"/>
    <w:rsid w:val="0082734D"/>
    <w:rsid w:val="008276B4"/>
    <w:rsid w:val="00830F18"/>
    <w:rsid w:val="00831927"/>
    <w:rsid w:val="00832056"/>
    <w:rsid w:val="008321EF"/>
    <w:rsid w:val="00832231"/>
    <w:rsid w:val="0083244F"/>
    <w:rsid w:val="008327D9"/>
    <w:rsid w:val="008336B9"/>
    <w:rsid w:val="00833C27"/>
    <w:rsid w:val="00833CC4"/>
    <w:rsid w:val="00834663"/>
    <w:rsid w:val="00836153"/>
    <w:rsid w:val="0083641A"/>
    <w:rsid w:val="00836F7B"/>
    <w:rsid w:val="00837288"/>
    <w:rsid w:val="00837D22"/>
    <w:rsid w:val="00841BD3"/>
    <w:rsid w:val="008421F1"/>
    <w:rsid w:val="0084273D"/>
    <w:rsid w:val="00843DAF"/>
    <w:rsid w:val="0084406A"/>
    <w:rsid w:val="00844E3F"/>
    <w:rsid w:val="00845A83"/>
    <w:rsid w:val="00845E71"/>
    <w:rsid w:val="00846BB9"/>
    <w:rsid w:val="00850861"/>
    <w:rsid w:val="008513E5"/>
    <w:rsid w:val="00852BB2"/>
    <w:rsid w:val="00853B58"/>
    <w:rsid w:val="00856365"/>
    <w:rsid w:val="00857176"/>
    <w:rsid w:val="0086035A"/>
    <w:rsid w:val="008608D6"/>
    <w:rsid w:val="008624B1"/>
    <w:rsid w:val="0086418A"/>
    <w:rsid w:val="008649D5"/>
    <w:rsid w:val="00864FF9"/>
    <w:rsid w:val="008650B9"/>
    <w:rsid w:val="008651A9"/>
    <w:rsid w:val="008658D2"/>
    <w:rsid w:val="0086612E"/>
    <w:rsid w:val="0086660E"/>
    <w:rsid w:val="008666AE"/>
    <w:rsid w:val="00866D1B"/>
    <w:rsid w:val="008670BF"/>
    <w:rsid w:val="00870DE5"/>
    <w:rsid w:val="00870F68"/>
    <w:rsid w:val="008712BB"/>
    <w:rsid w:val="008717CC"/>
    <w:rsid w:val="00873FC8"/>
    <w:rsid w:val="00875064"/>
    <w:rsid w:val="0087568D"/>
    <w:rsid w:val="00876565"/>
    <w:rsid w:val="00876CEE"/>
    <w:rsid w:val="008774E2"/>
    <w:rsid w:val="008805DC"/>
    <w:rsid w:val="00880B07"/>
    <w:rsid w:val="00881C3F"/>
    <w:rsid w:val="008820B0"/>
    <w:rsid w:val="008830E7"/>
    <w:rsid w:val="00883393"/>
    <w:rsid w:val="00883A61"/>
    <w:rsid w:val="008840A1"/>
    <w:rsid w:val="0089015C"/>
    <w:rsid w:val="00890EDE"/>
    <w:rsid w:val="00892B38"/>
    <w:rsid w:val="00893A42"/>
    <w:rsid w:val="00896269"/>
    <w:rsid w:val="00897CE5"/>
    <w:rsid w:val="00897DC6"/>
    <w:rsid w:val="00897F9D"/>
    <w:rsid w:val="008A0653"/>
    <w:rsid w:val="008A1106"/>
    <w:rsid w:val="008A1741"/>
    <w:rsid w:val="008A1A53"/>
    <w:rsid w:val="008A1BF4"/>
    <w:rsid w:val="008A230B"/>
    <w:rsid w:val="008A2484"/>
    <w:rsid w:val="008A510D"/>
    <w:rsid w:val="008A51D6"/>
    <w:rsid w:val="008A52F3"/>
    <w:rsid w:val="008A556F"/>
    <w:rsid w:val="008A575F"/>
    <w:rsid w:val="008A641E"/>
    <w:rsid w:val="008A6746"/>
    <w:rsid w:val="008A67B7"/>
    <w:rsid w:val="008A691C"/>
    <w:rsid w:val="008B120F"/>
    <w:rsid w:val="008B149D"/>
    <w:rsid w:val="008B1CCB"/>
    <w:rsid w:val="008B1E38"/>
    <w:rsid w:val="008B28BE"/>
    <w:rsid w:val="008B3CB9"/>
    <w:rsid w:val="008B458D"/>
    <w:rsid w:val="008B5377"/>
    <w:rsid w:val="008B5AE5"/>
    <w:rsid w:val="008B5C1A"/>
    <w:rsid w:val="008B6617"/>
    <w:rsid w:val="008B74B0"/>
    <w:rsid w:val="008B7F44"/>
    <w:rsid w:val="008C00FF"/>
    <w:rsid w:val="008C050D"/>
    <w:rsid w:val="008C054B"/>
    <w:rsid w:val="008C151A"/>
    <w:rsid w:val="008C26D9"/>
    <w:rsid w:val="008C2ADC"/>
    <w:rsid w:val="008C3082"/>
    <w:rsid w:val="008C34D4"/>
    <w:rsid w:val="008C4701"/>
    <w:rsid w:val="008C64B3"/>
    <w:rsid w:val="008C6D50"/>
    <w:rsid w:val="008C7167"/>
    <w:rsid w:val="008C7503"/>
    <w:rsid w:val="008D1617"/>
    <w:rsid w:val="008D256A"/>
    <w:rsid w:val="008D330F"/>
    <w:rsid w:val="008D48C1"/>
    <w:rsid w:val="008D4D9F"/>
    <w:rsid w:val="008D71C8"/>
    <w:rsid w:val="008D71E6"/>
    <w:rsid w:val="008D7BEB"/>
    <w:rsid w:val="008E2927"/>
    <w:rsid w:val="008E4C7B"/>
    <w:rsid w:val="008E53B8"/>
    <w:rsid w:val="008E5EEB"/>
    <w:rsid w:val="008E6315"/>
    <w:rsid w:val="008E6D54"/>
    <w:rsid w:val="008E7DE4"/>
    <w:rsid w:val="008F0304"/>
    <w:rsid w:val="008F07FC"/>
    <w:rsid w:val="008F0840"/>
    <w:rsid w:val="008F11E0"/>
    <w:rsid w:val="008F1566"/>
    <w:rsid w:val="008F3EA7"/>
    <w:rsid w:val="008F63F3"/>
    <w:rsid w:val="008F78BC"/>
    <w:rsid w:val="008F7B63"/>
    <w:rsid w:val="008F7D6A"/>
    <w:rsid w:val="00900393"/>
    <w:rsid w:val="00901C86"/>
    <w:rsid w:val="00903603"/>
    <w:rsid w:val="00903F56"/>
    <w:rsid w:val="00903FC6"/>
    <w:rsid w:val="00904909"/>
    <w:rsid w:val="009050EC"/>
    <w:rsid w:val="009054CB"/>
    <w:rsid w:val="00906B73"/>
    <w:rsid w:val="009071C5"/>
    <w:rsid w:val="00911EF3"/>
    <w:rsid w:val="00911F8D"/>
    <w:rsid w:val="009124A8"/>
    <w:rsid w:val="00912F94"/>
    <w:rsid w:val="00913227"/>
    <w:rsid w:val="00913443"/>
    <w:rsid w:val="009156E2"/>
    <w:rsid w:val="00915A81"/>
    <w:rsid w:val="009171BC"/>
    <w:rsid w:val="0091740C"/>
    <w:rsid w:val="00917DD5"/>
    <w:rsid w:val="009211D5"/>
    <w:rsid w:val="00921204"/>
    <w:rsid w:val="0092497E"/>
    <w:rsid w:val="00925108"/>
    <w:rsid w:val="00925503"/>
    <w:rsid w:val="0092590B"/>
    <w:rsid w:val="00925BD1"/>
    <w:rsid w:val="00925BF3"/>
    <w:rsid w:val="00925E60"/>
    <w:rsid w:val="009264B3"/>
    <w:rsid w:val="009264EB"/>
    <w:rsid w:val="00926E16"/>
    <w:rsid w:val="009302F4"/>
    <w:rsid w:val="00930894"/>
    <w:rsid w:val="00930CD3"/>
    <w:rsid w:val="00931D5B"/>
    <w:rsid w:val="00934B79"/>
    <w:rsid w:val="00935489"/>
    <w:rsid w:val="00935976"/>
    <w:rsid w:val="00936552"/>
    <w:rsid w:val="009365E0"/>
    <w:rsid w:val="00936AC2"/>
    <w:rsid w:val="00936E0C"/>
    <w:rsid w:val="00936F67"/>
    <w:rsid w:val="009403A2"/>
    <w:rsid w:val="00941C11"/>
    <w:rsid w:val="00942BA2"/>
    <w:rsid w:val="00942C64"/>
    <w:rsid w:val="009432B7"/>
    <w:rsid w:val="009433DB"/>
    <w:rsid w:val="00944C86"/>
    <w:rsid w:val="009468F9"/>
    <w:rsid w:val="00947C02"/>
    <w:rsid w:val="00947C6D"/>
    <w:rsid w:val="00950180"/>
    <w:rsid w:val="009503AD"/>
    <w:rsid w:val="009508B6"/>
    <w:rsid w:val="00950953"/>
    <w:rsid w:val="00950BE6"/>
    <w:rsid w:val="00950C08"/>
    <w:rsid w:val="00953E2F"/>
    <w:rsid w:val="00955C6F"/>
    <w:rsid w:val="00956423"/>
    <w:rsid w:val="0095643C"/>
    <w:rsid w:val="00957588"/>
    <w:rsid w:val="00957DE8"/>
    <w:rsid w:val="00960ECB"/>
    <w:rsid w:val="009615D6"/>
    <w:rsid w:val="0096170A"/>
    <w:rsid w:val="00961C8E"/>
    <w:rsid w:val="0096682B"/>
    <w:rsid w:val="00967855"/>
    <w:rsid w:val="00967F1B"/>
    <w:rsid w:val="00974709"/>
    <w:rsid w:val="00980253"/>
    <w:rsid w:val="009804BA"/>
    <w:rsid w:val="00980736"/>
    <w:rsid w:val="00981A39"/>
    <w:rsid w:val="00982D56"/>
    <w:rsid w:val="00983DBF"/>
    <w:rsid w:val="00984885"/>
    <w:rsid w:val="00985C2D"/>
    <w:rsid w:val="00985EB8"/>
    <w:rsid w:val="009864DC"/>
    <w:rsid w:val="00987097"/>
    <w:rsid w:val="00990C7F"/>
    <w:rsid w:val="00991123"/>
    <w:rsid w:val="009912A0"/>
    <w:rsid w:val="00991865"/>
    <w:rsid w:val="009919D0"/>
    <w:rsid w:val="00991AC4"/>
    <w:rsid w:val="00991CAB"/>
    <w:rsid w:val="0099538C"/>
    <w:rsid w:val="00996735"/>
    <w:rsid w:val="009A02E3"/>
    <w:rsid w:val="009A05AA"/>
    <w:rsid w:val="009A0A4F"/>
    <w:rsid w:val="009A2767"/>
    <w:rsid w:val="009A3A9C"/>
    <w:rsid w:val="009A6DEF"/>
    <w:rsid w:val="009B046C"/>
    <w:rsid w:val="009B0703"/>
    <w:rsid w:val="009B13FA"/>
    <w:rsid w:val="009B1871"/>
    <w:rsid w:val="009B1D1D"/>
    <w:rsid w:val="009B1E2D"/>
    <w:rsid w:val="009B3A35"/>
    <w:rsid w:val="009B4024"/>
    <w:rsid w:val="009B6291"/>
    <w:rsid w:val="009C0BCD"/>
    <w:rsid w:val="009C3051"/>
    <w:rsid w:val="009C3CD0"/>
    <w:rsid w:val="009C3F40"/>
    <w:rsid w:val="009C426C"/>
    <w:rsid w:val="009C576A"/>
    <w:rsid w:val="009C59FB"/>
    <w:rsid w:val="009C6536"/>
    <w:rsid w:val="009C6F3B"/>
    <w:rsid w:val="009C779E"/>
    <w:rsid w:val="009C7CCA"/>
    <w:rsid w:val="009D0072"/>
    <w:rsid w:val="009D0D9F"/>
    <w:rsid w:val="009D1467"/>
    <w:rsid w:val="009D3208"/>
    <w:rsid w:val="009D328D"/>
    <w:rsid w:val="009D3E8E"/>
    <w:rsid w:val="009D4CAA"/>
    <w:rsid w:val="009D4E29"/>
    <w:rsid w:val="009D4ED4"/>
    <w:rsid w:val="009D53A7"/>
    <w:rsid w:val="009D60F3"/>
    <w:rsid w:val="009D6149"/>
    <w:rsid w:val="009D622B"/>
    <w:rsid w:val="009D6C35"/>
    <w:rsid w:val="009D76BD"/>
    <w:rsid w:val="009D76CD"/>
    <w:rsid w:val="009E11EB"/>
    <w:rsid w:val="009E13C0"/>
    <w:rsid w:val="009E2147"/>
    <w:rsid w:val="009E28A2"/>
    <w:rsid w:val="009E4E47"/>
    <w:rsid w:val="009E4FA6"/>
    <w:rsid w:val="009E5512"/>
    <w:rsid w:val="009E5ABD"/>
    <w:rsid w:val="009E7D93"/>
    <w:rsid w:val="009F052B"/>
    <w:rsid w:val="009F0E74"/>
    <w:rsid w:val="009F0F0B"/>
    <w:rsid w:val="009F2097"/>
    <w:rsid w:val="009F22A2"/>
    <w:rsid w:val="009F31D3"/>
    <w:rsid w:val="009F3C34"/>
    <w:rsid w:val="009F419B"/>
    <w:rsid w:val="009F462C"/>
    <w:rsid w:val="009F4AA3"/>
    <w:rsid w:val="009F52DA"/>
    <w:rsid w:val="009F5C33"/>
    <w:rsid w:val="009F6DC3"/>
    <w:rsid w:val="009F7A03"/>
    <w:rsid w:val="00A009B5"/>
    <w:rsid w:val="00A01F44"/>
    <w:rsid w:val="00A026F0"/>
    <w:rsid w:val="00A02B96"/>
    <w:rsid w:val="00A03EAC"/>
    <w:rsid w:val="00A04D57"/>
    <w:rsid w:val="00A04DBB"/>
    <w:rsid w:val="00A05D5F"/>
    <w:rsid w:val="00A07C6A"/>
    <w:rsid w:val="00A07EA0"/>
    <w:rsid w:val="00A11660"/>
    <w:rsid w:val="00A116A0"/>
    <w:rsid w:val="00A11748"/>
    <w:rsid w:val="00A11B83"/>
    <w:rsid w:val="00A11CA6"/>
    <w:rsid w:val="00A12C1F"/>
    <w:rsid w:val="00A1403D"/>
    <w:rsid w:val="00A17274"/>
    <w:rsid w:val="00A20C49"/>
    <w:rsid w:val="00A212A1"/>
    <w:rsid w:val="00A21FD1"/>
    <w:rsid w:val="00A224CE"/>
    <w:rsid w:val="00A22592"/>
    <w:rsid w:val="00A22932"/>
    <w:rsid w:val="00A229F2"/>
    <w:rsid w:val="00A22FA9"/>
    <w:rsid w:val="00A25AFA"/>
    <w:rsid w:val="00A2624A"/>
    <w:rsid w:val="00A26811"/>
    <w:rsid w:val="00A269CA"/>
    <w:rsid w:val="00A27709"/>
    <w:rsid w:val="00A30803"/>
    <w:rsid w:val="00A30CC4"/>
    <w:rsid w:val="00A31734"/>
    <w:rsid w:val="00A3312B"/>
    <w:rsid w:val="00A33318"/>
    <w:rsid w:val="00A336EE"/>
    <w:rsid w:val="00A33F46"/>
    <w:rsid w:val="00A33F88"/>
    <w:rsid w:val="00A3427E"/>
    <w:rsid w:val="00A34845"/>
    <w:rsid w:val="00A359AC"/>
    <w:rsid w:val="00A35AB2"/>
    <w:rsid w:val="00A3635E"/>
    <w:rsid w:val="00A36FE9"/>
    <w:rsid w:val="00A377AF"/>
    <w:rsid w:val="00A40F83"/>
    <w:rsid w:val="00A410FB"/>
    <w:rsid w:val="00A41413"/>
    <w:rsid w:val="00A425EF"/>
    <w:rsid w:val="00A42FCD"/>
    <w:rsid w:val="00A431E6"/>
    <w:rsid w:val="00A436E8"/>
    <w:rsid w:val="00A43A5E"/>
    <w:rsid w:val="00A44A31"/>
    <w:rsid w:val="00A4553B"/>
    <w:rsid w:val="00A45FB1"/>
    <w:rsid w:val="00A46103"/>
    <w:rsid w:val="00A46CCC"/>
    <w:rsid w:val="00A47996"/>
    <w:rsid w:val="00A51CFE"/>
    <w:rsid w:val="00A5204D"/>
    <w:rsid w:val="00A52FD4"/>
    <w:rsid w:val="00A53390"/>
    <w:rsid w:val="00A570B1"/>
    <w:rsid w:val="00A57443"/>
    <w:rsid w:val="00A57505"/>
    <w:rsid w:val="00A57CB1"/>
    <w:rsid w:val="00A60AA7"/>
    <w:rsid w:val="00A60E5C"/>
    <w:rsid w:val="00A61605"/>
    <w:rsid w:val="00A6179C"/>
    <w:rsid w:val="00A61929"/>
    <w:rsid w:val="00A61E0B"/>
    <w:rsid w:val="00A61E5C"/>
    <w:rsid w:val="00A635BD"/>
    <w:rsid w:val="00A64C20"/>
    <w:rsid w:val="00A64C9A"/>
    <w:rsid w:val="00A64E0B"/>
    <w:rsid w:val="00A65F97"/>
    <w:rsid w:val="00A70AC9"/>
    <w:rsid w:val="00A72F32"/>
    <w:rsid w:val="00A74579"/>
    <w:rsid w:val="00A75E1F"/>
    <w:rsid w:val="00A764EA"/>
    <w:rsid w:val="00A76C13"/>
    <w:rsid w:val="00A80178"/>
    <w:rsid w:val="00A81071"/>
    <w:rsid w:val="00A84FD0"/>
    <w:rsid w:val="00A86452"/>
    <w:rsid w:val="00A868C1"/>
    <w:rsid w:val="00A871A6"/>
    <w:rsid w:val="00A90A93"/>
    <w:rsid w:val="00A91761"/>
    <w:rsid w:val="00A92E79"/>
    <w:rsid w:val="00A944D7"/>
    <w:rsid w:val="00A946DE"/>
    <w:rsid w:val="00A950B6"/>
    <w:rsid w:val="00A9538D"/>
    <w:rsid w:val="00A95927"/>
    <w:rsid w:val="00A95D45"/>
    <w:rsid w:val="00AA17FF"/>
    <w:rsid w:val="00AA1EFB"/>
    <w:rsid w:val="00AA4F43"/>
    <w:rsid w:val="00AA58B2"/>
    <w:rsid w:val="00AA730B"/>
    <w:rsid w:val="00AA7FA6"/>
    <w:rsid w:val="00AB015E"/>
    <w:rsid w:val="00AB0660"/>
    <w:rsid w:val="00AB3252"/>
    <w:rsid w:val="00AB35C8"/>
    <w:rsid w:val="00AB41C1"/>
    <w:rsid w:val="00AB43F8"/>
    <w:rsid w:val="00AB4CF2"/>
    <w:rsid w:val="00AB5580"/>
    <w:rsid w:val="00AB6CCA"/>
    <w:rsid w:val="00AC16B3"/>
    <w:rsid w:val="00AC201F"/>
    <w:rsid w:val="00AC223F"/>
    <w:rsid w:val="00AC29A0"/>
    <w:rsid w:val="00AC33B1"/>
    <w:rsid w:val="00AC4F6D"/>
    <w:rsid w:val="00AC53AE"/>
    <w:rsid w:val="00AC746D"/>
    <w:rsid w:val="00AC7667"/>
    <w:rsid w:val="00AD12A8"/>
    <w:rsid w:val="00AD1ABC"/>
    <w:rsid w:val="00AD1DF6"/>
    <w:rsid w:val="00AD21EA"/>
    <w:rsid w:val="00AD45B7"/>
    <w:rsid w:val="00AD4F76"/>
    <w:rsid w:val="00AD5439"/>
    <w:rsid w:val="00AD75AD"/>
    <w:rsid w:val="00AE023F"/>
    <w:rsid w:val="00AE041B"/>
    <w:rsid w:val="00AE23F9"/>
    <w:rsid w:val="00AE45A8"/>
    <w:rsid w:val="00AE5591"/>
    <w:rsid w:val="00AE569D"/>
    <w:rsid w:val="00AE5703"/>
    <w:rsid w:val="00AE6ABF"/>
    <w:rsid w:val="00AE7EAF"/>
    <w:rsid w:val="00AF10EC"/>
    <w:rsid w:val="00AF1A6D"/>
    <w:rsid w:val="00AF2706"/>
    <w:rsid w:val="00AF322C"/>
    <w:rsid w:val="00AF3577"/>
    <w:rsid w:val="00AF35F9"/>
    <w:rsid w:val="00AF5A01"/>
    <w:rsid w:val="00AF5CA2"/>
    <w:rsid w:val="00B00844"/>
    <w:rsid w:val="00B00FFC"/>
    <w:rsid w:val="00B0302A"/>
    <w:rsid w:val="00B03B52"/>
    <w:rsid w:val="00B0424C"/>
    <w:rsid w:val="00B04FB8"/>
    <w:rsid w:val="00B053D8"/>
    <w:rsid w:val="00B05C7D"/>
    <w:rsid w:val="00B05EDB"/>
    <w:rsid w:val="00B06509"/>
    <w:rsid w:val="00B07BE2"/>
    <w:rsid w:val="00B07C27"/>
    <w:rsid w:val="00B07C37"/>
    <w:rsid w:val="00B07D78"/>
    <w:rsid w:val="00B07F84"/>
    <w:rsid w:val="00B12545"/>
    <w:rsid w:val="00B12C8A"/>
    <w:rsid w:val="00B148C9"/>
    <w:rsid w:val="00B15A41"/>
    <w:rsid w:val="00B15C25"/>
    <w:rsid w:val="00B15D57"/>
    <w:rsid w:val="00B16347"/>
    <w:rsid w:val="00B16609"/>
    <w:rsid w:val="00B166A9"/>
    <w:rsid w:val="00B17D6E"/>
    <w:rsid w:val="00B2068F"/>
    <w:rsid w:val="00B20A79"/>
    <w:rsid w:val="00B20E09"/>
    <w:rsid w:val="00B22829"/>
    <w:rsid w:val="00B2378F"/>
    <w:rsid w:val="00B2435E"/>
    <w:rsid w:val="00B25973"/>
    <w:rsid w:val="00B25FB3"/>
    <w:rsid w:val="00B3145E"/>
    <w:rsid w:val="00B316D7"/>
    <w:rsid w:val="00B31A0B"/>
    <w:rsid w:val="00B31C35"/>
    <w:rsid w:val="00B32A1F"/>
    <w:rsid w:val="00B32D6C"/>
    <w:rsid w:val="00B33032"/>
    <w:rsid w:val="00B346C3"/>
    <w:rsid w:val="00B34F05"/>
    <w:rsid w:val="00B3508A"/>
    <w:rsid w:val="00B35EF3"/>
    <w:rsid w:val="00B37BCA"/>
    <w:rsid w:val="00B4005C"/>
    <w:rsid w:val="00B406BA"/>
    <w:rsid w:val="00B40EF6"/>
    <w:rsid w:val="00B41427"/>
    <w:rsid w:val="00B414C2"/>
    <w:rsid w:val="00B417C2"/>
    <w:rsid w:val="00B4227E"/>
    <w:rsid w:val="00B42B28"/>
    <w:rsid w:val="00B4471C"/>
    <w:rsid w:val="00B451A6"/>
    <w:rsid w:val="00B4712D"/>
    <w:rsid w:val="00B47951"/>
    <w:rsid w:val="00B47FC3"/>
    <w:rsid w:val="00B5025C"/>
    <w:rsid w:val="00B52027"/>
    <w:rsid w:val="00B530F2"/>
    <w:rsid w:val="00B543CB"/>
    <w:rsid w:val="00B5530A"/>
    <w:rsid w:val="00B5530D"/>
    <w:rsid w:val="00B560E8"/>
    <w:rsid w:val="00B56D6E"/>
    <w:rsid w:val="00B577DD"/>
    <w:rsid w:val="00B57904"/>
    <w:rsid w:val="00B57FED"/>
    <w:rsid w:val="00B61574"/>
    <w:rsid w:val="00B618C2"/>
    <w:rsid w:val="00B620E5"/>
    <w:rsid w:val="00B6346D"/>
    <w:rsid w:val="00B64347"/>
    <w:rsid w:val="00B646A8"/>
    <w:rsid w:val="00B65DC6"/>
    <w:rsid w:val="00B66CF4"/>
    <w:rsid w:val="00B66D60"/>
    <w:rsid w:val="00B67A06"/>
    <w:rsid w:val="00B67AC2"/>
    <w:rsid w:val="00B70FED"/>
    <w:rsid w:val="00B71A56"/>
    <w:rsid w:val="00B72031"/>
    <w:rsid w:val="00B722DE"/>
    <w:rsid w:val="00B72DEA"/>
    <w:rsid w:val="00B73F13"/>
    <w:rsid w:val="00B74A9D"/>
    <w:rsid w:val="00B751E3"/>
    <w:rsid w:val="00B75333"/>
    <w:rsid w:val="00B75BA6"/>
    <w:rsid w:val="00B76314"/>
    <w:rsid w:val="00B76C44"/>
    <w:rsid w:val="00B77B86"/>
    <w:rsid w:val="00B8184A"/>
    <w:rsid w:val="00B81D57"/>
    <w:rsid w:val="00B8226D"/>
    <w:rsid w:val="00B82283"/>
    <w:rsid w:val="00B828D8"/>
    <w:rsid w:val="00B82F7D"/>
    <w:rsid w:val="00B8340C"/>
    <w:rsid w:val="00B83F87"/>
    <w:rsid w:val="00B853CD"/>
    <w:rsid w:val="00B85A9C"/>
    <w:rsid w:val="00B85B08"/>
    <w:rsid w:val="00B86261"/>
    <w:rsid w:val="00B86F7F"/>
    <w:rsid w:val="00B87CDC"/>
    <w:rsid w:val="00B90751"/>
    <w:rsid w:val="00B908B7"/>
    <w:rsid w:val="00B910C1"/>
    <w:rsid w:val="00B918CC"/>
    <w:rsid w:val="00B92209"/>
    <w:rsid w:val="00B93C24"/>
    <w:rsid w:val="00B93FC6"/>
    <w:rsid w:val="00B94110"/>
    <w:rsid w:val="00B945D6"/>
    <w:rsid w:val="00B97096"/>
    <w:rsid w:val="00B97203"/>
    <w:rsid w:val="00B97AE4"/>
    <w:rsid w:val="00BA171E"/>
    <w:rsid w:val="00BA1F95"/>
    <w:rsid w:val="00BA2CA4"/>
    <w:rsid w:val="00BA2D92"/>
    <w:rsid w:val="00BA2EFA"/>
    <w:rsid w:val="00BA3DBC"/>
    <w:rsid w:val="00BA46DD"/>
    <w:rsid w:val="00BA6145"/>
    <w:rsid w:val="00BA707A"/>
    <w:rsid w:val="00BB0AB6"/>
    <w:rsid w:val="00BB11EF"/>
    <w:rsid w:val="00BB1AFB"/>
    <w:rsid w:val="00BB23F0"/>
    <w:rsid w:val="00BB27AE"/>
    <w:rsid w:val="00BB2DA2"/>
    <w:rsid w:val="00BB37C9"/>
    <w:rsid w:val="00BB41DB"/>
    <w:rsid w:val="00BB56DC"/>
    <w:rsid w:val="00BB6686"/>
    <w:rsid w:val="00BC0525"/>
    <w:rsid w:val="00BC07CB"/>
    <w:rsid w:val="00BC3C40"/>
    <w:rsid w:val="00BC6458"/>
    <w:rsid w:val="00BD0216"/>
    <w:rsid w:val="00BD065B"/>
    <w:rsid w:val="00BD1841"/>
    <w:rsid w:val="00BD307B"/>
    <w:rsid w:val="00BD43A9"/>
    <w:rsid w:val="00BD49B3"/>
    <w:rsid w:val="00BD4F3B"/>
    <w:rsid w:val="00BD5578"/>
    <w:rsid w:val="00BD640E"/>
    <w:rsid w:val="00BD739B"/>
    <w:rsid w:val="00BD7F4E"/>
    <w:rsid w:val="00BE183D"/>
    <w:rsid w:val="00BE38D5"/>
    <w:rsid w:val="00BE3CC4"/>
    <w:rsid w:val="00BE4669"/>
    <w:rsid w:val="00BE6117"/>
    <w:rsid w:val="00BE6CE4"/>
    <w:rsid w:val="00BF01B3"/>
    <w:rsid w:val="00BF16BE"/>
    <w:rsid w:val="00BF21FE"/>
    <w:rsid w:val="00BF4F5D"/>
    <w:rsid w:val="00BF5AB2"/>
    <w:rsid w:val="00BF5D7A"/>
    <w:rsid w:val="00C005B4"/>
    <w:rsid w:val="00C018EE"/>
    <w:rsid w:val="00C01C2E"/>
    <w:rsid w:val="00C02A13"/>
    <w:rsid w:val="00C02D33"/>
    <w:rsid w:val="00C03663"/>
    <w:rsid w:val="00C04B53"/>
    <w:rsid w:val="00C04BF8"/>
    <w:rsid w:val="00C04F1F"/>
    <w:rsid w:val="00C059D1"/>
    <w:rsid w:val="00C06573"/>
    <w:rsid w:val="00C07473"/>
    <w:rsid w:val="00C07509"/>
    <w:rsid w:val="00C0788D"/>
    <w:rsid w:val="00C07C06"/>
    <w:rsid w:val="00C1232C"/>
    <w:rsid w:val="00C14917"/>
    <w:rsid w:val="00C179F3"/>
    <w:rsid w:val="00C2070E"/>
    <w:rsid w:val="00C209A2"/>
    <w:rsid w:val="00C22A0F"/>
    <w:rsid w:val="00C231C4"/>
    <w:rsid w:val="00C24457"/>
    <w:rsid w:val="00C248DA"/>
    <w:rsid w:val="00C24D25"/>
    <w:rsid w:val="00C25889"/>
    <w:rsid w:val="00C26586"/>
    <w:rsid w:val="00C27736"/>
    <w:rsid w:val="00C27C6B"/>
    <w:rsid w:val="00C30D24"/>
    <w:rsid w:val="00C30E8A"/>
    <w:rsid w:val="00C31642"/>
    <w:rsid w:val="00C3277C"/>
    <w:rsid w:val="00C328DD"/>
    <w:rsid w:val="00C3594D"/>
    <w:rsid w:val="00C36442"/>
    <w:rsid w:val="00C37F7B"/>
    <w:rsid w:val="00C400CE"/>
    <w:rsid w:val="00C410FD"/>
    <w:rsid w:val="00C414CA"/>
    <w:rsid w:val="00C457DE"/>
    <w:rsid w:val="00C462C5"/>
    <w:rsid w:val="00C47DD3"/>
    <w:rsid w:val="00C5064E"/>
    <w:rsid w:val="00C50A46"/>
    <w:rsid w:val="00C50DEB"/>
    <w:rsid w:val="00C50E52"/>
    <w:rsid w:val="00C53562"/>
    <w:rsid w:val="00C539FB"/>
    <w:rsid w:val="00C5401E"/>
    <w:rsid w:val="00C54F60"/>
    <w:rsid w:val="00C56054"/>
    <w:rsid w:val="00C5630C"/>
    <w:rsid w:val="00C56858"/>
    <w:rsid w:val="00C57201"/>
    <w:rsid w:val="00C6068C"/>
    <w:rsid w:val="00C61586"/>
    <w:rsid w:val="00C61A41"/>
    <w:rsid w:val="00C61BF2"/>
    <w:rsid w:val="00C638D9"/>
    <w:rsid w:val="00C65D49"/>
    <w:rsid w:val="00C6605B"/>
    <w:rsid w:val="00C664DD"/>
    <w:rsid w:val="00C66E57"/>
    <w:rsid w:val="00C6741F"/>
    <w:rsid w:val="00C7265E"/>
    <w:rsid w:val="00C74150"/>
    <w:rsid w:val="00C745AC"/>
    <w:rsid w:val="00C74A8B"/>
    <w:rsid w:val="00C751B6"/>
    <w:rsid w:val="00C75294"/>
    <w:rsid w:val="00C75594"/>
    <w:rsid w:val="00C805AA"/>
    <w:rsid w:val="00C80BCD"/>
    <w:rsid w:val="00C818E6"/>
    <w:rsid w:val="00C83966"/>
    <w:rsid w:val="00C85982"/>
    <w:rsid w:val="00C86696"/>
    <w:rsid w:val="00C8718A"/>
    <w:rsid w:val="00C87A51"/>
    <w:rsid w:val="00C87CA8"/>
    <w:rsid w:val="00C9062C"/>
    <w:rsid w:val="00C90F3E"/>
    <w:rsid w:val="00C910B5"/>
    <w:rsid w:val="00C9184E"/>
    <w:rsid w:val="00C919FA"/>
    <w:rsid w:val="00C91FCF"/>
    <w:rsid w:val="00C92D33"/>
    <w:rsid w:val="00C932FD"/>
    <w:rsid w:val="00C93EB2"/>
    <w:rsid w:val="00C93F0A"/>
    <w:rsid w:val="00CA0466"/>
    <w:rsid w:val="00CA0B35"/>
    <w:rsid w:val="00CA246D"/>
    <w:rsid w:val="00CA32C2"/>
    <w:rsid w:val="00CA47B9"/>
    <w:rsid w:val="00CA4CEC"/>
    <w:rsid w:val="00CA4DD1"/>
    <w:rsid w:val="00CA50D9"/>
    <w:rsid w:val="00CA5565"/>
    <w:rsid w:val="00CA6663"/>
    <w:rsid w:val="00CA70E9"/>
    <w:rsid w:val="00CA7747"/>
    <w:rsid w:val="00CA7865"/>
    <w:rsid w:val="00CB07A2"/>
    <w:rsid w:val="00CB1FFB"/>
    <w:rsid w:val="00CB245B"/>
    <w:rsid w:val="00CB2BFE"/>
    <w:rsid w:val="00CB3054"/>
    <w:rsid w:val="00CB5627"/>
    <w:rsid w:val="00CB5636"/>
    <w:rsid w:val="00CB7712"/>
    <w:rsid w:val="00CC2B4D"/>
    <w:rsid w:val="00CC31D1"/>
    <w:rsid w:val="00CC362B"/>
    <w:rsid w:val="00CC3866"/>
    <w:rsid w:val="00CC39BE"/>
    <w:rsid w:val="00CC3AEF"/>
    <w:rsid w:val="00CC3EE5"/>
    <w:rsid w:val="00CC4420"/>
    <w:rsid w:val="00CC4D7B"/>
    <w:rsid w:val="00CC5083"/>
    <w:rsid w:val="00CC550E"/>
    <w:rsid w:val="00CC6282"/>
    <w:rsid w:val="00CC6434"/>
    <w:rsid w:val="00CC6592"/>
    <w:rsid w:val="00CC7539"/>
    <w:rsid w:val="00CC7DFC"/>
    <w:rsid w:val="00CD03B7"/>
    <w:rsid w:val="00CD0E2A"/>
    <w:rsid w:val="00CD117A"/>
    <w:rsid w:val="00CD11B9"/>
    <w:rsid w:val="00CD2A87"/>
    <w:rsid w:val="00CD4876"/>
    <w:rsid w:val="00CD553F"/>
    <w:rsid w:val="00CD5D87"/>
    <w:rsid w:val="00CE0A8A"/>
    <w:rsid w:val="00CE1E42"/>
    <w:rsid w:val="00CE2C82"/>
    <w:rsid w:val="00CE3554"/>
    <w:rsid w:val="00CE38D5"/>
    <w:rsid w:val="00CE425C"/>
    <w:rsid w:val="00CE4D36"/>
    <w:rsid w:val="00CE58AC"/>
    <w:rsid w:val="00CE6502"/>
    <w:rsid w:val="00CE6FCC"/>
    <w:rsid w:val="00CE7D7A"/>
    <w:rsid w:val="00CF12C4"/>
    <w:rsid w:val="00CF3822"/>
    <w:rsid w:val="00CF3B09"/>
    <w:rsid w:val="00CF470E"/>
    <w:rsid w:val="00CF5A80"/>
    <w:rsid w:val="00CF5CFD"/>
    <w:rsid w:val="00CF63D4"/>
    <w:rsid w:val="00CF6AE6"/>
    <w:rsid w:val="00D01A05"/>
    <w:rsid w:val="00D01B8D"/>
    <w:rsid w:val="00D0358A"/>
    <w:rsid w:val="00D0373A"/>
    <w:rsid w:val="00D0412D"/>
    <w:rsid w:val="00D04210"/>
    <w:rsid w:val="00D045EE"/>
    <w:rsid w:val="00D05091"/>
    <w:rsid w:val="00D0626B"/>
    <w:rsid w:val="00D07240"/>
    <w:rsid w:val="00D1050B"/>
    <w:rsid w:val="00D1094E"/>
    <w:rsid w:val="00D10CA6"/>
    <w:rsid w:val="00D10F21"/>
    <w:rsid w:val="00D1139A"/>
    <w:rsid w:val="00D113DF"/>
    <w:rsid w:val="00D11BDB"/>
    <w:rsid w:val="00D134CF"/>
    <w:rsid w:val="00D151E9"/>
    <w:rsid w:val="00D1529B"/>
    <w:rsid w:val="00D15470"/>
    <w:rsid w:val="00D1573B"/>
    <w:rsid w:val="00D16192"/>
    <w:rsid w:val="00D1665F"/>
    <w:rsid w:val="00D16B6F"/>
    <w:rsid w:val="00D16B79"/>
    <w:rsid w:val="00D172BE"/>
    <w:rsid w:val="00D17468"/>
    <w:rsid w:val="00D17AD9"/>
    <w:rsid w:val="00D200FD"/>
    <w:rsid w:val="00D22A00"/>
    <w:rsid w:val="00D24806"/>
    <w:rsid w:val="00D2587C"/>
    <w:rsid w:val="00D25A19"/>
    <w:rsid w:val="00D25BED"/>
    <w:rsid w:val="00D27C00"/>
    <w:rsid w:val="00D30424"/>
    <w:rsid w:val="00D30B23"/>
    <w:rsid w:val="00D30B7F"/>
    <w:rsid w:val="00D31A51"/>
    <w:rsid w:val="00D320AD"/>
    <w:rsid w:val="00D32853"/>
    <w:rsid w:val="00D339A0"/>
    <w:rsid w:val="00D34040"/>
    <w:rsid w:val="00D346FD"/>
    <w:rsid w:val="00D34E69"/>
    <w:rsid w:val="00D35372"/>
    <w:rsid w:val="00D356C1"/>
    <w:rsid w:val="00D35C58"/>
    <w:rsid w:val="00D365B3"/>
    <w:rsid w:val="00D36C78"/>
    <w:rsid w:val="00D375EE"/>
    <w:rsid w:val="00D404A9"/>
    <w:rsid w:val="00D43558"/>
    <w:rsid w:val="00D4457D"/>
    <w:rsid w:val="00D45B96"/>
    <w:rsid w:val="00D46C40"/>
    <w:rsid w:val="00D471B9"/>
    <w:rsid w:val="00D4754F"/>
    <w:rsid w:val="00D47DBB"/>
    <w:rsid w:val="00D50020"/>
    <w:rsid w:val="00D50B22"/>
    <w:rsid w:val="00D5246E"/>
    <w:rsid w:val="00D52DE3"/>
    <w:rsid w:val="00D53952"/>
    <w:rsid w:val="00D547C7"/>
    <w:rsid w:val="00D54D47"/>
    <w:rsid w:val="00D55438"/>
    <w:rsid w:val="00D55493"/>
    <w:rsid w:val="00D55AE8"/>
    <w:rsid w:val="00D55E5E"/>
    <w:rsid w:val="00D56056"/>
    <w:rsid w:val="00D6085F"/>
    <w:rsid w:val="00D60E3B"/>
    <w:rsid w:val="00D62699"/>
    <w:rsid w:val="00D62712"/>
    <w:rsid w:val="00D65658"/>
    <w:rsid w:val="00D665A4"/>
    <w:rsid w:val="00D6691D"/>
    <w:rsid w:val="00D66E92"/>
    <w:rsid w:val="00D7133D"/>
    <w:rsid w:val="00D71593"/>
    <w:rsid w:val="00D71A9D"/>
    <w:rsid w:val="00D7210D"/>
    <w:rsid w:val="00D74B14"/>
    <w:rsid w:val="00D74E0D"/>
    <w:rsid w:val="00D75819"/>
    <w:rsid w:val="00D778E9"/>
    <w:rsid w:val="00D80204"/>
    <w:rsid w:val="00D80E76"/>
    <w:rsid w:val="00D812BF"/>
    <w:rsid w:val="00D81494"/>
    <w:rsid w:val="00D82504"/>
    <w:rsid w:val="00D82620"/>
    <w:rsid w:val="00D838EB"/>
    <w:rsid w:val="00D84248"/>
    <w:rsid w:val="00D85707"/>
    <w:rsid w:val="00D877E0"/>
    <w:rsid w:val="00D92002"/>
    <w:rsid w:val="00D92A71"/>
    <w:rsid w:val="00D93E13"/>
    <w:rsid w:val="00D94F10"/>
    <w:rsid w:val="00D9540A"/>
    <w:rsid w:val="00D95B1C"/>
    <w:rsid w:val="00D95D8C"/>
    <w:rsid w:val="00D960F0"/>
    <w:rsid w:val="00D9725F"/>
    <w:rsid w:val="00D975A8"/>
    <w:rsid w:val="00DA01B1"/>
    <w:rsid w:val="00DA0AE0"/>
    <w:rsid w:val="00DA11A2"/>
    <w:rsid w:val="00DA14ED"/>
    <w:rsid w:val="00DA2495"/>
    <w:rsid w:val="00DA26D6"/>
    <w:rsid w:val="00DA2C13"/>
    <w:rsid w:val="00DA2FEE"/>
    <w:rsid w:val="00DA3D5B"/>
    <w:rsid w:val="00DA3F40"/>
    <w:rsid w:val="00DA4999"/>
    <w:rsid w:val="00DA6F75"/>
    <w:rsid w:val="00DA6FD4"/>
    <w:rsid w:val="00DA700B"/>
    <w:rsid w:val="00DB0C88"/>
    <w:rsid w:val="00DB106F"/>
    <w:rsid w:val="00DB1AAD"/>
    <w:rsid w:val="00DB2EF1"/>
    <w:rsid w:val="00DB3DE1"/>
    <w:rsid w:val="00DB4586"/>
    <w:rsid w:val="00DB48D4"/>
    <w:rsid w:val="00DB5542"/>
    <w:rsid w:val="00DB599E"/>
    <w:rsid w:val="00DB5DA0"/>
    <w:rsid w:val="00DB6988"/>
    <w:rsid w:val="00DB716C"/>
    <w:rsid w:val="00DC183D"/>
    <w:rsid w:val="00DC1B46"/>
    <w:rsid w:val="00DC1CED"/>
    <w:rsid w:val="00DC31A7"/>
    <w:rsid w:val="00DC50E7"/>
    <w:rsid w:val="00DC5C85"/>
    <w:rsid w:val="00DC5CB1"/>
    <w:rsid w:val="00DC6113"/>
    <w:rsid w:val="00DC72A6"/>
    <w:rsid w:val="00DC74FF"/>
    <w:rsid w:val="00DC7C5D"/>
    <w:rsid w:val="00DD062E"/>
    <w:rsid w:val="00DD1179"/>
    <w:rsid w:val="00DD225A"/>
    <w:rsid w:val="00DD2E62"/>
    <w:rsid w:val="00DD35B7"/>
    <w:rsid w:val="00DD4236"/>
    <w:rsid w:val="00DD44F1"/>
    <w:rsid w:val="00DD4719"/>
    <w:rsid w:val="00DD5424"/>
    <w:rsid w:val="00DD58ED"/>
    <w:rsid w:val="00DD6957"/>
    <w:rsid w:val="00DD6E7A"/>
    <w:rsid w:val="00DD730C"/>
    <w:rsid w:val="00DD7B85"/>
    <w:rsid w:val="00DE2423"/>
    <w:rsid w:val="00DE3067"/>
    <w:rsid w:val="00DE5845"/>
    <w:rsid w:val="00DE654A"/>
    <w:rsid w:val="00DE670F"/>
    <w:rsid w:val="00DE6A70"/>
    <w:rsid w:val="00DE7021"/>
    <w:rsid w:val="00DF0878"/>
    <w:rsid w:val="00DF09F6"/>
    <w:rsid w:val="00DF13F3"/>
    <w:rsid w:val="00DF1D1D"/>
    <w:rsid w:val="00DF34D1"/>
    <w:rsid w:val="00DF3614"/>
    <w:rsid w:val="00DF3EEE"/>
    <w:rsid w:val="00DF7382"/>
    <w:rsid w:val="00DF75E1"/>
    <w:rsid w:val="00E00682"/>
    <w:rsid w:val="00E0098B"/>
    <w:rsid w:val="00E01522"/>
    <w:rsid w:val="00E0174E"/>
    <w:rsid w:val="00E01DBF"/>
    <w:rsid w:val="00E027BC"/>
    <w:rsid w:val="00E02D8E"/>
    <w:rsid w:val="00E03720"/>
    <w:rsid w:val="00E0372A"/>
    <w:rsid w:val="00E05DE4"/>
    <w:rsid w:val="00E06991"/>
    <w:rsid w:val="00E10205"/>
    <w:rsid w:val="00E10F0D"/>
    <w:rsid w:val="00E112FF"/>
    <w:rsid w:val="00E11A0F"/>
    <w:rsid w:val="00E12B9C"/>
    <w:rsid w:val="00E13FB2"/>
    <w:rsid w:val="00E14EA5"/>
    <w:rsid w:val="00E14EED"/>
    <w:rsid w:val="00E1714E"/>
    <w:rsid w:val="00E2040F"/>
    <w:rsid w:val="00E2070E"/>
    <w:rsid w:val="00E2083B"/>
    <w:rsid w:val="00E21133"/>
    <w:rsid w:val="00E2159D"/>
    <w:rsid w:val="00E2327E"/>
    <w:rsid w:val="00E23EC8"/>
    <w:rsid w:val="00E23F3F"/>
    <w:rsid w:val="00E24B22"/>
    <w:rsid w:val="00E266EF"/>
    <w:rsid w:val="00E26F91"/>
    <w:rsid w:val="00E30195"/>
    <w:rsid w:val="00E308EF"/>
    <w:rsid w:val="00E31EC7"/>
    <w:rsid w:val="00E31ED6"/>
    <w:rsid w:val="00E326A8"/>
    <w:rsid w:val="00E32C3D"/>
    <w:rsid w:val="00E33BD1"/>
    <w:rsid w:val="00E35316"/>
    <w:rsid w:val="00E35364"/>
    <w:rsid w:val="00E371E1"/>
    <w:rsid w:val="00E377A2"/>
    <w:rsid w:val="00E40BB1"/>
    <w:rsid w:val="00E41525"/>
    <w:rsid w:val="00E41A8B"/>
    <w:rsid w:val="00E41B3C"/>
    <w:rsid w:val="00E44B6F"/>
    <w:rsid w:val="00E450B9"/>
    <w:rsid w:val="00E45DA9"/>
    <w:rsid w:val="00E46476"/>
    <w:rsid w:val="00E468F8"/>
    <w:rsid w:val="00E47428"/>
    <w:rsid w:val="00E47861"/>
    <w:rsid w:val="00E503B1"/>
    <w:rsid w:val="00E5047C"/>
    <w:rsid w:val="00E510D1"/>
    <w:rsid w:val="00E51A2D"/>
    <w:rsid w:val="00E51C95"/>
    <w:rsid w:val="00E51D6C"/>
    <w:rsid w:val="00E5336F"/>
    <w:rsid w:val="00E54025"/>
    <w:rsid w:val="00E54306"/>
    <w:rsid w:val="00E5436A"/>
    <w:rsid w:val="00E5548A"/>
    <w:rsid w:val="00E56C8E"/>
    <w:rsid w:val="00E5716B"/>
    <w:rsid w:val="00E575F3"/>
    <w:rsid w:val="00E57982"/>
    <w:rsid w:val="00E57F1F"/>
    <w:rsid w:val="00E62C5F"/>
    <w:rsid w:val="00E62F11"/>
    <w:rsid w:val="00E64495"/>
    <w:rsid w:val="00E6544B"/>
    <w:rsid w:val="00E65E3A"/>
    <w:rsid w:val="00E66441"/>
    <w:rsid w:val="00E66A07"/>
    <w:rsid w:val="00E66B9F"/>
    <w:rsid w:val="00E671B6"/>
    <w:rsid w:val="00E70A6A"/>
    <w:rsid w:val="00E70CB8"/>
    <w:rsid w:val="00E70F59"/>
    <w:rsid w:val="00E710AC"/>
    <w:rsid w:val="00E710D6"/>
    <w:rsid w:val="00E710EE"/>
    <w:rsid w:val="00E7141D"/>
    <w:rsid w:val="00E739E8"/>
    <w:rsid w:val="00E73DA4"/>
    <w:rsid w:val="00E7501A"/>
    <w:rsid w:val="00E75052"/>
    <w:rsid w:val="00E7572F"/>
    <w:rsid w:val="00E75F05"/>
    <w:rsid w:val="00E76BA9"/>
    <w:rsid w:val="00E76E45"/>
    <w:rsid w:val="00E777C9"/>
    <w:rsid w:val="00E77A3C"/>
    <w:rsid w:val="00E80068"/>
    <w:rsid w:val="00E81960"/>
    <w:rsid w:val="00E81DA6"/>
    <w:rsid w:val="00E81F65"/>
    <w:rsid w:val="00E82178"/>
    <w:rsid w:val="00E83044"/>
    <w:rsid w:val="00E83B31"/>
    <w:rsid w:val="00E84212"/>
    <w:rsid w:val="00E842A8"/>
    <w:rsid w:val="00E84CC2"/>
    <w:rsid w:val="00E855EB"/>
    <w:rsid w:val="00E87711"/>
    <w:rsid w:val="00E87CE2"/>
    <w:rsid w:val="00E9086C"/>
    <w:rsid w:val="00E90AAA"/>
    <w:rsid w:val="00E9146D"/>
    <w:rsid w:val="00E91A0F"/>
    <w:rsid w:val="00E94457"/>
    <w:rsid w:val="00E94A71"/>
    <w:rsid w:val="00E94CBF"/>
    <w:rsid w:val="00E94DF8"/>
    <w:rsid w:val="00E950E4"/>
    <w:rsid w:val="00E95AA2"/>
    <w:rsid w:val="00E963F8"/>
    <w:rsid w:val="00EA03CE"/>
    <w:rsid w:val="00EA23E5"/>
    <w:rsid w:val="00EA311E"/>
    <w:rsid w:val="00EA35F8"/>
    <w:rsid w:val="00EA3780"/>
    <w:rsid w:val="00EA38EF"/>
    <w:rsid w:val="00EA3E7D"/>
    <w:rsid w:val="00EA4444"/>
    <w:rsid w:val="00EA4E2E"/>
    <w:rsid w:val="00EB06A8"/>
    <w:rsid w:val="00EB2417"/>
    <w:rsid w:val="00EB2524"/>
    <w:rsid w:val="00EB2CCB"/>
    <w:rsid w:val="00EB384A"/>
    <w:rsid w:val="00EB3D15"/>
    <w:rsid w:val="00EB7A25"/>
    <w:rsid w:val="00EB7E9F"/>
    <w:rsid w:val="00EC0F3E"/>
    <w:rsid w:val="00EC375E"/>
    <w:rsid w:val="00EC4998"/>
    <w:rsid w:val="00EC56DF"/>
    <w:rsid w:val="00EC57A7"/>
    <w:rsid w:val="00EC79D7"/>
    <w:rsid w:val="00ED0817"/>
    <w:rsid w:val="00ED09E4"/>
    <w:rsid w:val="00ED10D5"/>
    <w:rsid w:val="00ED15BF"/>
    <w:rsid w:val="00ED189C"/>
    <w:rsid w:val="00ED195F"/>
    <w:rsid w:val="00ED2595"/>
    <w:rsid w:val="00ED393A"/>
    <w:rsid w:val="00ED4BCB"/>
    <w:rsid w:val="00ED5579"/>
    <w:rsid w:val="00ED5789"/>
    <w:rsid w:val="00ED787E"/>
    <w:rsid w:val="00ED7948"/>
    <w:rsid w:val="00ED7DD9"/>
    <w:rsid w:val="00EE0609"/>
    <w:rsid w:val="00EE0E46"/>
    <w:rsid w:val="00EE173C"/>
    <w:rsid w:val="00EE445B"/>
    <w:rsid w:val="00EE46C0"/>
    <w:rsid w:val="00EE46C6"/>
    <w:rsid w:val="00EE511F"/>
    <w:rsid w:val="00EE58E9"/>
    <w:rsid w:val="00EE5AEB"/>
    <w:rsid w:val="00EE6C76"/>
    <w:rsid w:val="00EF0D4A"/>
    <w:rsid w:val="00EF1C1E"/>
    <w:rsid w:val="00EF21A7"/>
    <w:rsid w:val="00EF2EBA"/>
    <w:rsid w:val="00EF3041"/>
    <w:rsid w:val="00EF3113"/>
    <w:rsid w:val="00EF37E3"/>
    <w:rsid w:val="00EF3F84"/>
    <w:rsid w:val="00EF5C70"/>
    <w:rsid w:val="00EF5F69"/>
    <w:rsid w:val="00EF697A"/>
    <w:rsid w:val="00EF71ED"/>
    <w:rsid w:val="00F030FC"/>
    <w:rsid w:val="00F04CA7"/>
    <w:rsid w:val="00F05DFC"/>
    <w:rsid w:val="00F05F1D"/>
    <w:rsid w:val="00F0666E"/>
    <w:rsid w:val="00F076B5"/>
    <w:rsid w:val="00F10850"/>
    <w:rsid w:val="00F10D88"/>
    <w:rsid w:val="00F11EB7"/>
    <w:rsid w:val="00F14987"/>
    <w:rsid w:val="00F16585"/>
    <w:rsid w:val="00F1672D"/>
    <w:rsid w:val="00F16F88"/>
    <w:rsid w:val="00F17209"/>
    <w:rsid w:val="00F175F1"/>
    <w:rsid w:val="00F176AC"/>
    <w:rsid w:val="00F17C08"/>
    <w:rsid w:val="00F2015C"/>
    <w:rsid w:val="00F2196D"/>
    <w:rsid w:val="00F2275E"/>
    <w:rsid w:val="00F24880"/>
    <w:rsid w:val="00F24A9A"/>
    <w:rsid w:val="00F2617C"/>
    <w:rsid w:val="00F26B02"/>
    <w:rsid w:val="00F26F28"/>
    <w:rsid w:val="00F26FEC"/>
    <w:rsid w:val="00F27714"/>
    <w:rsid w:val="00F3276E"/>
    <w:rsid w:val="00F33D3C"/>
    <w:rsid w:val="00F33DC3"/>
    <w:rsid w:val="00F34A94"/>
    <w:rsid w:val="00F34E2E"/>
    <w:rsid w:val="00F354AF"/>
    <w:rsid w:val="00F36528"/>
    <w:rsid w:val="00F37A91"/>
    <w:rsid w:val="00F37F86"/>
    <w:rsid w:val="00F37FF4"/>
    <w:rsid w:val="00F408A0"/>
    <w:rsid w:val="00F40F5B"/>
    <w:rsid w:val="00F4101E"/>
    <w:rsid w:val="00F4328A"/>
    <w:rsid w:val="00F44100"/>
    <w:rsid w:val="00F44CC6"/>
    <w:rsid w:val="00F453DE"/>
    <w:rsid w:val="00F45CF5"/>
    <w:rsid w:val="00F46BEE"/>
    <w:rsid w:val="00F46FC7"/>
    <w:rsid w:val="00F47851"/>
    <w:rsid w:val="00F47CF0"/>
    <w:rsid w:val="00F47DB0"/>
    <w:rsid w:val="00F50B4A"/>
    <w:rsid w:val="00F50C3F"/>
    <w:rsid w:val="00F50E34"/>
    <w:rsid w:val="00F50EAA"/>
    <w:rsid w:val="00F5160E"/>
    <w:rsid w:val="00F51B9A"/>
    <w:rsid w:val="00F526AE"/>
    <w:rsid w:val="00F52897"/>
    <w:rsid w:val="00F53A10"/>
    <w:rsid w:val="00F53EF7"/>
    <w:rsid w:val="00F5407D"/>
    <w:rsid w:val="00F54A12"/>
    <w:rsid w:val="00F54BF2"/>
    <w:rsid w:val="00F55B9B"/>
    <w:rsid w:val="00F55D00"/>
    <w:rsid w:val="00F56E60"/>
    <w:rsid w:val="00F57156"/>
    <w:rsid w:val="00F60561"/>
    <w:rsid w:val="00F60B44"/>
    <w:rsid w:val="00F60E2C"/>
    <w:rsid w:val="00F61D4C"/>
    <w:rsid w:val="00F61F41"/>
    <w:rsid w:val="00F6314E"/>
    <w:rsid w:val="00F64678"/>
    <w:rsid w:val="00F65A92"/>
    <w:rsid w:val="00F65EB0"/>
    <w:rsid w:val="00F662C9"/>
    <w:rsid w:val="00F66AD6"/>
    <w:rsid w:val="00F70380"/>
    <w:rsid w:val="00F708A1"/>
    <w:rsid w:val="00F722C8"/>
    <w:rsid w:val="00F73BE9"/>
    <w:rsid w:val="00F754A7"/>
    <w:rsid w:val="00F757DB"/>
    <w:rsid w:val="00F76C4B"/>
    <w:rsid w:val="00F76C7F"/>
    <w:rsid w:val="00F775AC"/>
    <w:rsid w:val="00F80089"/>
    <w:rsid w:val="00F80112"/>
    <w:rsid w:val="00F8087B"/>
    <w:rsid w:val="00F81389"/>
    <w:rsid w:val="00F821E9"/>
    <w:rsid w:val="00F85DC2"/>
    <w:rsid w:val="00F87857"/>
    <w:rsid w:val="00F90BB1"/>
    <w:rsid w:val="00F92355"/>
    <w:rsid w:val="00F93963"/>
    <w:rsid w:val="00F93F03"/>
    <w:rsid w:val="00F94291"/>
    <w:rsid w:val="00F9577A"/>
    <w:rsid w:val="00F95B68"/>
    <w:rsid w:val="00F977F7"/>
    <w:rsid w:val="00FA10BC"/>
    <w:rsid w:val="00FA1298"/>
    <w:rsid w:val="00FA15EC"/>
    <w:rsid w:val="00FA298A"/>
    <w:rsid w:val="00FA5B66"/>
    <w:rsid w:val="00FA5FB3"/>
    <w:rsid w:val="00FA7876"/>
    <w:rsid w:val="00FA7AA0"/>
    <w:rsid w:val="00FB23E1"/>
    <w:rsid w:val="00FB2E56"/>
    <w:rsid w:val="00FB2F5C"/>
    <w:rsid w:val="00FB30EB"/>
    <w:rsid w:val="00FB49ED"/>
    <w:rsid w:val="00FB5EE4"/>
    <w:rsid w:val="00FB64C0"/>
    <w:rsid w:val="00FB7518"/>
    <w:rsid w:val="00FB7982"/>
    <w:rsid w:val="00FC0734"/>
    <w:rsid w:val="00FC0FC5"/>
    <w:rsid w:val="00FC3740"/>
    <w:rsid w:val="00FC40BA"/>
    <w:rsid w:val="00FC4E68"/>
    <w:rsid w:val="00FC588F"/>
    <w:rsid w:val="00FC5CE5"/>
    <w:rsid w:val="00FC66FC"/>
    <w:rsid w:val="00FC6879"/>
    <w:rsid w:val="00FD03F5"/>
    <w:rsid w:val="00FD0497"/>
    <w:rsid w:val="00FD1A70"/>
    <w:rsid w:val="00FD2880"/>
    <w:rsid w:val="00FD40E1"/>
    <w:rsid w:val="00FD459E"/>
    <w:rsid w:val="00FD5193"/>
    <w:rsid w:val="00FD54C8"/>
    <w:rsid w:val="00FD5970"/>
    <w:rsid w:val="00FD65F5"/>
    <w:rsid w:val="00FD77DC"/>
    <w:rsid w:val="00FD7D7C"/>
    <w:rsid w:val="00FD7EE5"/>
    <w:rsid w:val="00FE01BB"/>
    <w:rsid w:val="00FE0CAB"/>
    <w:rsid w:val="00FE1B30"/>
    <w:rsid w:val="00FE2F5D"/>
    <w:rsid w:val="00FE42D9"/>
    <w:rsid w:val="00FE64C4"/>
    <w:rsid w:val="00FE67EC"/>
    <w:rsid w:val="00FE7AD0"/>
    <w:rsid w:val="00FE7B44"/>
    <w:rsid w:val="00FF0763"/>
    <w:rsid w:val="00FF18E3"/>
    <w:rsid w:val="00FF1E5E"/>
    <w:rsid w:val="00FF234E"/>
    <w:rsid w:val="00FF3297"/>
    <w:rsid w:val="00FF3959"/>
    <w:rsid w:val="00FF57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5:docId w15:val="{3EFBB5D9-1EA1-4570-975C-3256F0790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link w:val="Heading4Char"/>
    <w:uiPriority w:val="9"/>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uiPriority w:val="1"/>
    <w:qFormat/>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3"/>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uiPriority w:val="99"/>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1"/>
      </w:numPr>
      <w:spacing w:before="60" w:after="60"/>
    </w:pPr>
  </w:style>
  <w:style w:type="numbering" w:customStyle="1" w:styleId="FCOrders">
    <w:name w:val="FCOrders"/>
    <w:uiPriority w:val="99"/>
    <w:rsid w:val="004104B6"/>
    <w:pPr>
      <w:numPr>
        <w:numId w:val="21"/>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2"/>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5"/>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4"/>
      </w:numPr>
    </w:pPr>
  </w:style>
  <w:style w:type="paragraph" w:customStyle="1" w:styleId="Order4">
    <w:name w:val="Order 4"/>
    <w:basedOn w:val="Order3"/>
    <w:rsid w:val="004104B6"/>
    <w:pPr>
      <w:numPr>
        <w:ilvl w:val="3"/>
      </w:numPr>
    </w:pPr>
  </w:style>
  <w:style w:type="paragraph" w:styleId="ListParagraph">
    <w:name w:val="List Paragraph"/>
    <w:basedOn w:val="Normal"/>
    <w:uiPriority w:val="1"/>
    <w:qFormat/>
    <w:rsid w:val="008C3082"/>
    <w:pPr>
      <w:widowControl w:val="0"/>
      <w:autoSpaceDE w:val="0"/>
      <w:autoSpaceDN w:val="0"/>
      <w:spacing w:line="240" w:lineRule="auto"/>
      <w:ind w:left="680" w:hanging="568"/>
      <w:jc w:val="left"/>
    </w:pPr>
    <w:rPr>
      <w:rFonts w:ascii="Arial" w:eastAsia="Arial" w:hAnsi="Arial" w:cs="Arial"/>
      <w:sz w:val="22"/>
      <w:szCs w:val="22"/>
      <w:lang w:eastAsia="en-AU" w:bidi="en-AU"/>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 Char1 Char Char Char"/>
    <w:basedOn w:val="Normal"/>
    <w:link w:val="FootnoteTextChar"/>
    <w:autoRedefine/>
    <w:uiPriority w:val="99"/>
    <w:qFormat/>
    <w:rsid w:val="00675D4F"/>
    <w:pPr>
      <w:spacing w:line="240" w:lineRule="auto"/>
    </w:pPr>
    <w:rPr>
      <w:rFonts w:eastAsia="Times New Roman" w:cs="Arial"/>
      <w:sz w:val="20"/>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
    <w:basedOn w:val="DefaultParagraphFont"/>
    <w:link w:val="FootnoteText"/>
    <w:uiPriority w:val="99"/>
    <w:rsid w:val="00675D4F"/>
    <w:rPr>
      <w:rFonts w:eastAsia="Times New Roman" w:cs="Arial"/>
      <w:lang w:eastAsia="en-US"/>
    </w:rPr>
  </w:style>
  <w:style w:type="character" w:styleId="FootnoteReference">
    <w:name w:val="footnote reference"/>
    <w:basedOn w:val="DefaultParagraphFont"/>
    <w:uiPriority w:val="99"/>
    <w:rsid w:val="00675D4F"/>
    <w:rPr>
      <w:rFonts w:ascii="Times New Roman" w:hAnsi="Times New Roman" w:cs="Times New Roman"/>
      <w:sz w:val="20"/>
      <w:szCs w:val="20"/>
      <w:vertAlign w:val="superscript"/>
    </w:rPr>
  </w:style>
  <w:style w:type="paragraph" w:customStyle="1" w:styleId="WJAParagraph">
    <w:name w:val="WJA Paragraph"/>
    <w:basedOn w:val="Normal"/>
    <w:link w:val="WJAParagraphChar"/>
    <w:qFormat/>
    <w:rsid w:val="00675D4F"/>
    <w:pPr>
      <w:numPr>
        <w:numId w:val="26"/>
      </w:numPr>
      <w:tabs>
        <w:tab w:val="left" w:pos="1440"/>
        <w:tab w:val="left" w:pos="2160"/>
      </w:tabs>
      <w:spacing w:before="120" w:after="120"/>
    </w:pPr>
    <w:rPr>
      <w:rFonts w:eastAsia="Times New Roman"/>
      <w:szCs w:val="24"/>
    </w:rPr>
  </w:style>
  <w:style w:type="character" w:customStyle="1" w:styleId="WJAParagraphChar">
    <w:name w:val="WJA Paragraph Char"/>
    <w:basedOn w:val="DefaultParagraphFont"/>
    <w:link w:val="WJAParagraph"/>
    <w:rsid w:val="00675D4F"/>
    <w:rPr>
      <w:rFonts w:eastAsia="Times New Roman"/>
      <w:sz w:val="24"/>
      <w:szCs w:val="24"/>
      <w:lang w:eastAsia="en-US"/>
    </w:rPr>
  </w:style>
  <w:style w:type="character" w:customStyle="1" w:styleId="sup">
    <w:name w:val="sup"/>
    <w:basedOn w:val="DefaultParagraphFont"/>
    <w:rsid w:val="00F8087B"/>
  </w:style>
  <w:style w:type="paragraph" w:customStyle="1" w:styleId="OrdersNumberL1">
    <w:name w:val="OrdersNumberL1"/>
    <w:basedOn w:val="Normal"/>
    <w:rsid w:val="0099538C"/>
    <w:pPr>
      <w:spacing w:before="240" w:after="240" w:line="240" w:lineRule="auto"/>
      <w:ind w:left="476" w:hanging="476"/>
      <w:jc w:val="left"/>
    </w:pPr>
    <w:rPr>
      <w:rFonts w:eastAsia="Times New Roman"/>
      <w:szCs w:val="24"/>
      <w:lang w:eastAsia="en-AU"/>
    </w:rPr>
  </w:style>
  <w:style w:type="paragraph" w:customStyle="1" w:styleId="Quotation">
    <w:name w:val="Quotation"/>
    <w:basedOn w:val="Normal"/>
    <w:rsid w:val="0099538C"/>
    <w:pPr>
      <w:spacing w:line="240" w:lineRule="auto"/>
      <w:ind w:left="540"/>
      <w:jc w:val="left"/>
    </w:pPr>
    <w:rPr>
      <w:rFonts w:eastAsia="Times New Roman"/>
      <w:i/>
      <w:szCs w:val="24"/>
      <w:lang w:eastAsia="en-AU"/>
    </w:rPr>
  </w:style>
  <w:style w:type="character" w:customStyle="1" w:styleId="mover">
    <w:name w:val="mover"/>
    <w:basedOn w:val="DefaultParagraphFont"/>
    <w:rsid w:val="00635D06"/>
  </w:style>
  <w:style w:type="character" w:customStyle="1" w:styleId="emphasis2">
    <w:name w:val="emphasis2"/>
    <w:basedOn w:val="DefaultParagraphFont"/>
    <w:rsid w:val="00635D06"/>
    <w:rPr>
      <w:i/>
      <w:iCs/>
    </w:rPr>
  </w:style>
  <w:style w:type="character" w:customStyle="1" w:styleId="FooterChar">
    <w:name w:val="Footer Char"/>
    <w:basedOn w:val="DefaultParagraphFont"/>
    <w:link w:val="Footer"/>
    <w:uiPriority w:val="99"/>
    <w:rsid w:val="000324CB"/>
    <w:rPr>
      <w:sz w:val="24"/>
      <w:lang w:eastAsia="en-US"/>
    </w:rPr>
  </w:style>
  <w:style w:type="character" w:customStyle="1" w:styleId="HeaderChar">
    <w:name w:val="Header Char"/>
    <w:basedOn w:val="DefaultParagraphFont"/>
    <w:link w:val="Header"/>
    <w:semiHidden/>
    <w:rsid w:val="000324CB"/>
    <w:rPr>
      <w:sz w:val="24"/>
      <w:lang w:eastAsia="en-US"/>
    </w:rPr>
  </w:style>
  <w:style w:type="paragraph" w:customStyle="1" w:styleId="NumJudgmentTab">
    <w:name w:val="Num Judgment Tab"/>
    <w:basedOn w:val="Normal"/>
    <w:uiPriority w:val="99"/>
    <w:rsid w:val="00F757DB"/>
    <w:pPr>
      <w:overflowPunct w:val="0"/>
      <w:autoSpaceDE w:val="0"/>
      <w:autoSpaceDN w:val="0"/>
      <w:adjustRightInd w:val="0"/>
      <w:spacing w:after="240" w:line="240" w:lineRule="auto"/>
    </w:pPr>
    <w:rPr>
      <w:rFonts w:eastAsiaTheme="minorEastAsia"/>
      <w:sz w:val="26"/>
      <w:szCs w:val="26"/>
    </w:rPr>
  </w:style>
  <w:style w:type="character" w:customStyle="1" w:styleId="Heading4Char">
    <w:name w:val="Heading 4 Char"/>
    <w:basedOn w:val="DefaultParagraphFont"/>
    <w:link w:val="Heading4"/>
    <w:uiPriority w:val="9"/>
    <w:locked/>
    <w:rsid w:val="00CC362B"/>
    <w:rPr>
      <w: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2580">
      <w:bodyDiv w:val="1"/>
      <w:marLeft w:val="0"/>
      <w:marRight w:val="0"/>
      <w:marTop w:val="0"/>
      <w:marBottom w:val="0"/>
      <w:divBdr>
        <w:top w:val="none" w:sz="0" w:space="0" w:color="auto"/>
        <w:left w:val="none" w:sz="0" w:space="0" w:color="auto"/>
        <w:bottom w:val="none" w:sz="0" w:space="0" w:color="auto"/>
        <w:right w:val="none" w:sz="0" w:space="0" w:color="auto"/>
      </w:divBdr>
    </w:div>
    <w:div w:id="54671487">
      <w:bodyDiv w:val="1"/>
      <w:marLeft w:val="0"/>
      <w:marRight w:val="0"/>
      <w:marTop w:val="0"/>
      <w:marBottom w:val="0"/>
      <w:divBdr>
        <w:top w:val="none" w:sz="0" w:space="0" w:color="auto"/>
        <w:left w:val="none" w:sz="0" w:space="0" w:color="auto"/>
        <w:bottom w:val="none" w:sz="0" w:space="0" w:color="auto"/>
        <w:right w:val="none" w:sz="0" w:space="0" w:color="auto"/>
      </w:divBdr>
      <w:divsChild>
        <w:div w:id="1937596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05807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113018">
      <w:bodyDiv w:val="1"/>
      <w:marLeft w:val="0"/>
      <w:marRight w:val="0"/>
      <w:marTop w:val="0"/>
      <w:marBottom w:val="0"/>
      <w:divBdr>
        <w:top w:val="none" w:sz="0" w:space="0" w:color="auto"/>
        <w:left w:val="none" w:sz="0" w:space="0" w:color="auto"/>
        <w:bottom w:val="none" w:sz="0" w:space="0" w:color="auto"/>
        <w:right w:val="none" w:sz="0" w:space="0" w:color="auto"/>
      </w:divBdr>
    </w:div>
    <w:div w:id="219174885">
      <w:bodyDiv w:val="1"/>
      <w:marLeft w:val="0"/>
      <w:marRight w:val="0"/>
      <w:marTop w:val="0"/>
      <w:marBottom w:val="0"/>
      <w:divBdr>
        <w:top w:val="none" w:sz="0" w:space="0" w:color="auto"/>
        <w:left w:val="none" w:sz="0" w:space="0" w:color="auto"/>
        <w:bottom w:val="none" w:sz="0" w:space="0" w:color="auto"/>
        <w:right w:val="none" w:sz="0" w:space="0" w:color="auto"/>
      </w:divBdr>
    </w:div>
    <w:div w:id="235672561">
      <w:bodyDiv w:val="1"/>
      <w:marLeft w:val="0"/>
      <w:marRight w:val="0"/>
      <w:marTop w:val="0"/>
      <w:marBottom w:val="0"/>
      <w:divBdr>
        <w:top w:val="none" w:sz="0" w:space="0" w:color="auto"/>
        <w:left w:val="none" w:sz="0" w:space="0" w:color="auto"/>
        <w:bottom w:val="none" w:sz="0" w:space="0" w:color="auto"/>
        <w:right w:val="none" w:sz="0" w:space="0" w:color="auto"/>
      </w:divBdr>
    </w:div>
    <w:div w:id="291837384">
      <w:bodyDiv w:val="1"/>
      <w:marLeft w:val="0"/>
      <w:marRight w:val="0"/>
      <w:marTop w:val="0"/>
      <w:marBottom w:val="0"/>
      <w:divBdr>
        <w:top w:val="none" w:sz="0" w:space="0" w:color="auto"/>
        <w:left w:val="none" w:sz="0" w:space="0" w:color="auto"/>
        <w:bottom w:val="none" w:sz="0" w:space="0" w:color="auto"/>
        <w:right w:val="none" w:sz="0" w:space="0" w:color="auto"/>
      </w:divBdr>
    </w:div>
    <w:div w:id="345449328">
      <w:bodyDiv w:val="1"/>
      <w:marLeft w:val="0"/>
      <w:marRight w:val="0"/>
      <w:marTop w:val="0"/>
      <w:marBottom w:val="0"/>
      <w:divBdr>
        <w:top w:val="none" w:sz="0" w:space="0" w:color="auto"/>
        <w:left w:val="none" w:sz="0" w:space="0" w:color="auto"/>
        <w:bottom w:val="none" w:sz="0" w:space="0" w:color="auto"/>
        <w:right w:val="none" w:sz="0" w:space="0" w:color="auto"/>
      </w:divBdr>
    </w:div>
    <w:div w:id="494539870">
      <w:bodyDiv w:val="1"/>
      <w:marLeft w:val="0"/>
      <w:marRight w:val="0"/>
      <w:marTop w:val="0"/>
      <w:marBottom w:val="0"/>
      <w:divBdr>
        <w:top w:val="none" w:sz="0" w:space="0" w:color="auto"/>
        <w:left w:val="none" w:sz="0" w:space="0" w:color="auto"/>
        <w:bottom w:val="none" w:sz="0" w:space="0" w:color="auto"/>
        <w:right w:val="none" w:sz="0" w:space="0" w:color="auto"/>
      </w:divBdr>
    </w:div>
    <w:div w:id="671370644">
      <w:bodyDiv w:val="1"/>
      <w:marLeft w:val="0"/>
      <w:marRight w:val="0"/>
      <w:marTop w:val="0"/>
      <w:marBottom w:val="0"/>
      <w:divBdr>
        <w:top w:val="none" w:sz="0" w:space="0" w:color="auto"/>
        <w:left w:val="none" w:sz="0" w:space="0" w:color="auto"/>
        <w:bottom w:val="none" w:sz="0" w:space="0" w:color="auto"/>
        <w:right w:val="none" w:sz="0" w:space="0" w:color="auto"/>
      </w:divBdr>
    </w:div>
    <w:div w:id="821845690">
      <w:bodyDiv w:val="1"/>
      <w:marLeft w:val="0"/>
      <w:marRight w:val="0"/>
      <w:marTop w:val="0"/>
      <w:marBottom w:val="0"/>
      <w:divBdr>
        <w:top w:val="none" w:sz="0" w:space="0" w:color="auto"/>
        <w:left w:val="none" w:sz="0" w:space="0" w:color="auto"/>
        <w:bottom w:val="none" w:sz="0" w:space="0" w:color="auto"/>
        <w:right w:val="none" w:sz="0" w:space="0" w:color="auto"/>
      </w:divBdr>
    </w:div>
    <w:div w:id="917791877">
      <w:bodyDiv w:val="1"/>
      <w:marLeft w:val="0"/>
      <w:marRight w:val="0"/>
      <w:marTop w:val="0"/>
      <w:marBottom w:val="0"/>
      <w:divBdr>
        <w:top w:val="none" w:sz="0" w:space="0" w:color="auto"/>
        <w:left w:val="none" w:sz="0" w:space="0" w:color="auto"/>
        <w:bottom w:val="none" w:sz="0" w:space="0" w:color="auto"/>
        <w:right w:val="none" w:sz="0" w:space="0" w:color="auto"/>
      </w:divBdr>
    </w:div>
    <w:div w:id="1056931543">
      <w:bodyDiv w:val="1"/>
      <w:marLeft w:val="0"/>
      <w:marRight w:val="0"/>
      <w:marTop w:val="0"/>
      <w:marBottom w:val="0"/>
      <w:divBdr>
        <w:top w:val="none" w:sz="0" w:space="0" w:color="auto"/>
        <w:left w:val="none" w:sz="0" w:space="0" w:color="auto"/>
        <w:bottom w:val="none" w:sz="0" w:space="0" w:color="auto"/>
        <w:right w:val="none" w:sz="0" w:space="0" w:color="auto"/>
      </w:divBdr>
    </w:div>
    <w:div w:id="1139110322">
      <w:bodyDiv w:val="1"/>
      <w:marLeft w:val="0"/>
      <w:marRight w:val="0"/>
      <w:marTop w:val="0"/>
      <w:marBottom w:val="0"/>
      <w:divBdr>
        <w:top w:val="none" w:sz="0" w:space="0" w:color="auto"/>
        <w:left w:val="none" w:sz="0" w:space="0" w:color="auto"/>
        <w:bottom w:val="none" w:sz="0" w:space="0" w:color="auto"/>
        <w:right w:val="none" w:sz="0" w:space="0" w:color="auto"/>
      </w:divBdr>
    </w:div>
    <w:div w:id="1319918177">
      <w:bodyDiv w:val="1"/>
      <w:marLeft w:val="0"/>
      <w:marRight w:val="0"/>
      <w:marTop w:val="0"/>
      <w:marBottom w:val="0"/>
      <w:divBdr>
        <w:top w:val="none" w:sz="0" w:space="0" w:color="auto"/>
        <w:left w:val="none" w:sz="0" w:space="0" w:color="auto"/>
        <w:bottom w:val="none" w:sz="0" w:space="0" w:color="auto"/>
        <w:right w:val="none" w:sz="0" w:space="0" w:color="auto"/>
      </w:divBdr>
    </w:div>
    <w:div w:id="1456830536">
      <w:bodyDiv w:val="1"/>
      <w:marLeft w:val="0"/>
      <w:marRight w:val="0"/>
      <w:marTop w:val="0"/>
      <w:marBottom w:val="0"/>
      <w:divBdr>
        <w:top w:val="none" w:sz="0" w:space="0" w:color="auto"/>
        <w:left w:val="none" w:sz="0" w:space="0" w:color="auto"/>
        <w:bottom w:val="none" w:sz="0" w:space="0" w:color="auto"/>
        <w:right w:val="none" w:sz="0" w:space="0" w:color="auto"/>
      </w:divBdr>
    </w:div>
    <w:div w:id="1604805728">
      <w:bodyDiv w:val="1"/>
      <w:marLeft w:val="0"/>
      <w:marRight w:val="0"/>
      <w:marTop w:val="0"/>
      <w:marBottom w:val="0"/>
      <w:divBdr>
        <w:top w:val="none" w:sz="0" w:space="0" w:color="auto"/>
        <w:left w:val="none" w:sz="0" w:space="0" w:color="auto"/>
        <w:bottom w:val="none" w:sz="0" w:space="0" w:color="auto"/>
        <w:right w:val="none" w:sz="0" w:space="0" w:color="auto"/>
      </w:divBdr>
    </w:div>
    <w:div w:id="1651905812">
      <w:bodyDiv w:val="1"/>
      <w:marLeft w:val="0"/>
      <w:marRight w:val="0"/>
      <w:marTop w:val="0"/>
      <w:marBottom w:val="0"/>
      <w:divBdr>
        <w:top w:val="none" w:sz="0" w:space="0" w:color="auto"/>
        <w:left w:val="none" w:sz="0" w:space="0" w:color="auto"/>
        <w:bottom w:val="none" w:sz="0" w:space="0" w:color="auto"/>
        <w:right w:val="none" w:sz="0" w:space="0" w:color="auto"/>
      </w:divBdr>
      <w:divsChild>
        <w:div w:id="1302735547">
          <w:marLeft w:val="0"/>
          <w:marRight w:val="0"/>
          <w:marTop w:val="0"/>
          <w:marBottom w:val="0"/>
          <w:divBdr>
            <w:top w:val="none" w:sz="0" w:space="0" w:color="auto"/>
            <w:left w:val="none" w:sz="0" w:space="0" w:color="auto"/>
            <w:bottom w:val="none" w:sz="0" w:space="0" w:color="auto"/>
            <w:right w:val="none" w:sz="0" w:space="0" w:color="auto"/>
          </w:divBdr>
          <w:divsChild>
            <w:div w:id="145162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58211">
      <w:bodyDiv w:val="1"/>
      <w:marLeft w:val="0"/>
      <w:marRight w:val="0"/>
      <w:marTop w:val="0"/>
      <w:marBottom w:val="0"/>
      <w:divBdr>
        <w:top w:val="none" w:sz="0" w:space="0" w:color="auto"/>
        <w:left w:val="none" w:sz="0" w:space="0" w:color="auto"/>
        <w:bottom w:val="none" w:sz="0" w:space="0" w:color="auto"/>
        <w:right w:val="none" w:sz="0" w:space="0" w:color="auto"/>
      </w:divBdr>
    </w:div>
    <w:div w:id="1712725737">
      <w:bodyDiv w:val="1"/>
      <w:marLeft w:val="0"/>
      <w:marRight w:val="0"/>
      <w:marTop w:val="0"/>
      <w:marBottom w:val="0"/>
      <w:divBdr>
        <w:top w:val="none" w:sz="0" w:space="0" w:color="auto"/>
        <w:left w:val="none" w:sz="0" w:space="0" w:color="auto"/>
        <w:bottom w:val="none" w:sz="0" w:space="0" w:color="auto"/>
        <w:right w:val="none" w:sz="0" w:space="0" w:color="auto"/>
      </w:divBdr>
    </w:div>
    <w:div w:id="1735546633">
      <w:bodyDiv w:val="1"/>
      <w:marLeft w:val="0"/>
      <w:marRight w:val="0"/>
      <w:marTop w:val="0"/>
      <w:marBottom w:val="0"/>
      <w:divBdr>
        <w:top w:val="none" w:sz="0" w:space="0" w:color="auto"/>
        <w:left w:val="none" w:sz="0" w:space="0" w:color="auto"/>
        <w:bottom w:val="none" w:sz="0" w:space="0" w:color="auto"/>
        <w:right w:val="none" w:sz="0" w:space="0" w:color="auto"/>
      </w:divBdr>
    </w:div>
    <w:div w:id="1754009003">
      <w:bodyDiv w:val="1"/>
      <w:marLeft w:val="0"/>
      <w:marRight w:val="0"/>
      <w:marTop w:val="0"/>
      <w:marBottom w:val="0"/>
      <w:divBdr>
        <w:top w:val="none" w:sz="0" w:space="0" w:color="auto"/>
        <w:left w:val="none" w:sz="0" w:space="0" w:color="auto"/>
        <w:bottom w:val="none" w:sz="0" w:space="0" w:color="auto"/>
        <w:right w:val="none" w:sz="0" w:space="0" w:color="auto"/>
      </w:divBdr>
    </w:div>
    <w:div w:id="1783763053">
      <w:bodyDiv w:val="1"/>
      <w:marLeft w:val="0"/>
      <w:marRight w:val="0"/>
      <w:marTop w:val="0"/>
      <w:marBottom w:val="0"/>
      <w:divBdr>
        <w:top w:val="none" w:sz="0" w:space="0" w:color="auto"/>
        <w:left w:val="none" w:sz="0" w:space="0" w:color="auto"/>
        <w:bottom w:val="none" w:sz="0" w:space="0" w:color="auto"/>
        <w:right w:val="none" w:sz="0" w:space="0" w:color="auto"/>
      </w:divBdr>
    </w:div>
    <w:div w:id="1790467928">
      <w:bodyDiv w:val="1"/>
      <w:marLeft w:val="0"/>
      <w:marRight w:val="0"/>
      <w:marTop w:val="0"/>
      <w:marBottom w:val="0"/>
      <w:divBdr>
        <w:top w:val="none" w:sz="0" w:space="0" w:color="auto"/>
        <w:left w:val="none" w:sz="0" w:space="0" w:color="auto"/>
        <w:bottom w:val="none" w:sz="0" w:space="0" w:color="auto"/>
        <w:right w:val="none" w:sz="0" w:space="0" w:color="auto"/>
      </w:divBdr>
    </w:div>
    <w:div w:id="1843618553">
      <w:bodyDiv w:val="1"/>
      <w:marLeft w:val="0"/>
      <w:marRight w:val="0"/>
      <w:marTop w:val="0"/>
      <w:marBottom w:val="0"/>
      <w:divBdr>
        <w:top w:val="none" w:sz="0" w:space="0" w:color="auto"/>
        <w:left w:val="none" w:sz="0" w:space="0" w:color="auto"/>
        <w:bottom w:val="none" w:sz="0" w:space="0" w:color="auto"/>
        <w:right w:val="none" w:sz="0" w:space="0" w:color="auto"/>
      </w:divBdr>
      <w:divsChild>
        <w:div w:id="1966890373">
          <w:marLeft w:val="0"/>
          <w:marRight w:val="0"/>
          <w:marTop w:val="0"/>
          <w:marBottom w:val="0"/>
          <w:divBdr>
            <w:top w:val="none" w:sz="0" w:space="0" w:color="auto"/>
            <w:left w:val="none" w:sz="0" w:space="0" w:color="auto"/>
            <w:bottom w:val="none" w:sz="0" w:space="0" w:color="auto"/>
            <w:right w:val="none" w:sz="0" w:space="0" w:color="auto"/>
          </w:divBdr>
          <w:divsChild>
            <w:div w:id="1897932592">
              <w:marLeft w:val="0"/>
              <w:marRight w:val="0"/>
              <w:marTop w:val="0"/>
              <w:marBottom w:val="0"/>
              <w:divBdr>
                <w:top w:val="none" w:sz="0" w:space="0" w:color="auto"/>
                <w:left w:val="none" w:sz="0" w:space="0" w:color="auto"/>
                <w:bottom w:val="none" w:sz="0" w:space="0" w:color="auto"/>
                <w:right w:val="none" w:sz="0" w:space="0" w:color="auto"/>
              </w:divBdr>
              <w:divsChild>
                <w:div w:id="945842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408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86022990">
      <w:bodyDiv w:val="1"/>
      <w:marLeft w:val="0"/>
      <w:marRight w:val="0"/>
      <w:marTop w:val="0"/>
      <w:marBottom w:val="0"/>
      <w:divBdr>
        <w:top w:val="none" w:sz="0" w:space="0" w:color="auto"/>
        <w:left w:val="none" w:sz="0" w:space="0" w:color="auto"/>
        <w:bottom w:val="none" w:sz="0" w:space="0" w:color="auto"/>
        <w:right w:val="none" w:sz="0" w:space="0" w:color="auto"/>
      </w:divBdr>
    </w:div>
    <w:div w:id="1907571389">
      <w:bodyDiv w:val="1"/>
      <w:marLeft w:val="0"/>
      <w:marRight w:val="0"/>
      <w:marTop w:val="0"/>
      <w:marBottom w:val="0"/>
      <w:divBdr>
        <w:top w:val="none" w:sz="0" w:space="0" w:color="auto"/>
        <w:left w:val="none" w:sz="0" w:space="0" w:color="auto"/>
        <w:bottom w:val="none" w:sz="0" w:space="0" w:color="auto"/>
        <w:right w:val="none" w:sz="0" w:space="0" w:color="auto"/>
      </w:divBdr>
    </w:div>
    <w:div w:id="1912542312">
      <w:bodyDiv w:val="1"/>
      <w:marLeft w:val="0"/>
      <w:marRight w:val="0"/>
      <w:marTop w:val="0"/>
      <w:marBottom w:val="0"/>
      <w:divBdr>
        <w:top w:val="none" w:sz="0" w:space="0" w:color="auto"/>
        <w:left w:val="none" w:sz="0" w:space="0" w:color="auto"/>
        <w:bottom w:val="none" w:sz="0" w:space="0" w:color="auto"/>
        <w:right w:val="none" w:sz="0" w:space="0" w:color="auto"/>
      </w:divBdr>
    </w:div>
    <w:div w:id="1939630856">
      <w:bodyDiv w:val="1"/>
      <w:marLeft w:val="0"/>
      <w:marRight w:val="0"/>
      <w:marTop w:val="0"/>
      <w:marBottom w:val="0"/>
      <w:divBdr>
        <w:top w:val="none" w:sz="0" w:space="0" w:color="auto"/>
        <w:left w:val="none" w:sz="0" w:space="0" w:color="auto"/>
        <w:bottom w:val="none" w:sz="0" w:space="0" w:color="auto"/>
        <w:right w:val="none" w:sz="0" w:space="0" w:color="auto"/>
      </w:divBdr>
    </w:div>
    <w:div w:id="1985426286">
      <w:bodyDiv w:val="1"/>
      <w:marLeft w:val="0"/>
      <w:marRight w:val="0"/>
      <w:marTop w:val="0"/>
      <w:marBottom w:val="0"/>
      <w:divBdr>
        <w:top w:val="none" w:sz="0" w:space="0" w:color="auto"/>
        <w:left w:val="none" w:sz="0" w:space="0" w:color="auto"/>
        <w:bottom w:val="none" w:sz="0" w:space="0" w:color="auto"/>
        <w:right w:val="none" w:sz="0" w:space="0" w:color="auto"/>
      </w:divBdr>
    </w:div>
    <w:div w:id="2029990497">
      <w:bodyDiv w:val="1"/>
      <w:marLeft w:val="0"/>
      <w:marRight w:val="0"/>
      <w:marTop w:val="0"/>
      <w:marBottom w:val="0"/>
      <w:divBdr>
        <w:top w:val="none" w:sz="0" w:space="0" w:color="auto"/>
        <w:left w:val="none" w:sz="0" w:space="0" w:color="auto"/>
        <w:bottom w:val="none" w:sz="0" w:space="0" w:color="auto"/>
        <w:right w:val="none" w:sz="0" w:space="0" w:color="auto"/>
      </w:divBdr>
    </w:div>
    <w:div w:id="2041512748">
      <w:bodyDiv w:val="1"/>
      <w:marLeft w:val="0"/>
      <w:marRight w:val="0"/>
      <w:marTop w:val="0"/>
      <w:marBottom w:val="0"/>
      <w:divBdr>
        <w:top w:val="none" w:sz="0" w:space="0" w:color="auto"/>
        <w:left w:val="none" w:sz="0" w:space="0" w:color="auto"/>
        <w:bottom w:val="none" w:sz="0" w:space="0" w:color="auto"/>
        <w:right w:val="none" w:sz="0" w:space="0" w:color="auto"/>
      </w:divBdr>
    </w:div>
    <w:div w:id="2048294433">
      <w:bodyDiv w:val="1"/>
      <w:marLeft w:val="0"/>
      <w:marRight w:val="0"/>
      <w:marTop w:val="0"/>
      <w:marBottom w:val="0"/>
      <w:divBdr>
        <w:top w:val="none" w:sz="0" w:space="0" w:color="auto"/>
        <w:left w:val="none" w:sz="0" w:space="0" w:color="auto"/>
        <w:bottom w:val="none" w:sz="0" w:space="0" w:color="auto"/>
        <w:right w:val="none" w:sz="0" w:space="0" w:color="auto"/>
      </w:divBdr>
    </w:div>
    <w:div w:id="2065525938">
      <w:bodyDiv w:val="1"/>
      <w:marLeft w:val="0"/>
      <w:marRight w:val="0"/>
      <w:marTop w:val="0"/>
      <w:marBottom w:val="0"/>
      <w:divBdr>
        <w:top w:val="none" w:sz="0" w:space="0" w:color="auto"/>
        <w:left w:val="none" w:sz="0" w:space="0" w:color="auto"/>
        <w:bottom w:val="none" w:sz="0" w:space="0" w:color="auto"/>
        <w:right w:val="none" w:sz="0" w:space="0" w:color="auto"/>
      </w:divBdr>
    </w:div>
    <w:div w:id="209204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5268DE68E946948ABC1465EB2577E2"/>
        <w:category>
          <w:name w:val="General"/>
          <w:gallery w:val="placeholder"/>
        </w:category>
        <w:types>
          <w:type w:val="bbPlcHdr"/>
        </w:types>
        <w:behaviors>
          <w:behavior w:val="content"/>
        </w:behaviors>
        <w:guid w:val="{8B9BFB1C-431C-4232-9D49-30FAD901FD6B}"/>
      </w:docPartPr>
      <w:docPartBody>
        <w:p w:rsidR="00BD1C73" w:rsidRDefault="00BD1C73">
          <w:pPr>
            <w:pStyle w:val="F55268DE68E946948ABC1465EB2577E2"/>
          </w:pPr>
          <w:r>
            <w:rPr>
              <w:rStyle w:val="PlaceholderText"/>
            </w:rPr>
            <w:t>MNC Text</w:t>
          </w:r>
        </w:p>
      </w:docPartBody>
    </w:docPart>
    <w:docPart>
      <w:docPartPr>
        <w:name w:val="9F4B70049C814DEAB60F03B190BBD8B4"/>
        <w:category>
          <w:name w:val="General"/>
          <w:gallery w:val="placeholder"/>
        </w:category>
        <w:types>
          <w:type w:val="bbPlcHdr"/>
        </w:types>
        <w:behaviors>
          <w:behavior w:val="content"/>
        </w:behaviors>
        <w:guid w:val="{0D0F66CA-FAD5-4515-B831-787131E91198}"/>
      </w:docPartPr>
      <w:docPartBody>
        <w:p w:rsidR="00BD1C73" w:rsidRDefault="00BD1C73">
          <w:pPr>
            <w:pStyle w:val="9F4B70049C814DEAB60F03B190BBD8B4"/>
          </w:pPr>
          <w:r w:rsidRPr="005C44BE">
            <w:rPr>
              <w:rStyle w:val="PlaceholderText"/>
            </w:rPr>
            <w:t>Click or tap here to enter text.</w:t>
          </w:r>
        </w:p>
      </w:docPartBody>
    </w:docPart>
    <w:docPart>
      <w:docPartPr>
        <w:name w:val="706AD05681F94C669FD032C78B865DFA"/>
        <w:category>
          <w:name w:val="General"/>
          <w:gallery w:val="placeholder"/>
        </w:category>
        <w:types>
          <w:type w:val="bbPlcHdr"/>
        </w:types>
        <w:behaviors>
          <w:behavior w:val="content"/>
        </w:behaviors>
        <w:guid w:val="{D6CBFB8A-7215-4B0C-885E-E9DF3BD113E6}"/>
      </w:docPartPr>
      <w:docPartBody>
        <w:p w:rsidR="00BD1C73" w:rsidRDefault="00BD1C73">
          <w:pPr>
            <w:pStyle w:val="706AD05681F94C669FD032C78B865DFA"/>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C73"/>
    <w:rsid w:val="0003127B"/>
    <w:rsid w:val="00082208"/>
    <w:rsid w:val="00100D65"/>
    <w:rsid w:val="00190757"/>
    <w:rsid w:val="002141CF"/>
    <w:rsid w:val="003221E2"/>
    <w:rsid w:val="00387302"/>
    <w:rsid w:val="003E66C1"/>
    <w:rsid w:val="003F6415"/>
    <w:rsid w:val="004E5F74"/>
    <w:rsid w:val="005521A0"/>
    <w:rsid w:val="006A05B9"/>
    <w:rsid w:val="006D4091"/>
    <w:rsid w:val="00752DBC"/>
    <w:rsid w:val="007531B1"/>
    <w:rsid w:val="00792044"/>
    <w:rsid w:val="00886E03"/>
    <w:rsid w:val="008D2BCD"/>
    <w:rsid w:val="008E09E2"/>
    <w:rsid w:val="009C0561"/>
    <w:rsid w:val="00AA7C51"/>
    <w:rsid w:val="00B60CD9"/>
    <w:rsid w:val="00B95085"/>
    <w:rsid w:val="00BD1C73"/>
    <w:rsid w:val="00E5604A"/>
    <w:rsid w:val="00EE42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55268DE68E946948ABC1465EB2577E2">
    <w:name w:val="F55268DE68E946948ABC1465EB2577E2"/>
  </w:style>
  <w:style w:type="paragraph" w:customStyle="1" w:styleId="5403A307805F4CE08BC0D3FB188C750B">
    <w:name w:val="5403A307805F4CE08BC0D3FB188C750B"/>
  </w:style>
  <w:style w:type="paragraph" w:customStyle="1" w:styleId="B4D171E9E0B74F278906EE41D97DCDC0">
    <w:name w:val="B4D171E9E0B74F278906EE41D97DCDC0"/>
  </w:style>
  <w:style w:type="paragraph" w:customStyle="1" w:styleId="9F4B70049C814DEAB60F03B190BBD8B4">
    <w:name w:val="9F4B70049C814DEAB60F03B190BBD8B4"/>
  </w:style>
  <w:style w:type="paragraph" w:customStyle="1" w:styleId="706AD05681F94C669FD032C78B865DFA">
    <w:name w:val="706AD05681F94C669FD032C78B865D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Roberts-Smith v Fairfax Media Publications Pty Limited (No 31) [2022] FCA 271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E13EE73B-9145-458C-809B-D6B02059E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9</TotalTime>
  <Pages>17</Pages>
  <Words>6211</Words>
  <Characters>30808</Characters>
  <Application>Microsoft Office Word</Application>
  <DocSecurity>0</DocSecurity>
  <Lines>616</Lines>
  <Paragraphs>202</Paragraphs>
  <ScaleCrop>false</ScaleCrop>
  <HeadingPairs>
    <vt:vector size="2" baseType="variant">
      <vt:variant>
        <vt:lpstr>Title</vt:lpstr>
      </vt:variant>
      <vt:variant>
        <vt:i4>1</vt:i4>
      </vt:variant>
    </vt:vector>
  </HeadingPairs>
  <TitlesOfParts>
    <vt:vector size="1" baseType="lpstr">
      <vt:lpstr>Roberts-Smith v Fairfax Media Publications Pty Limited (No 31) [2022] FCA 271</vt:lpstr>
    </vt:vector>
  </TitlesOfParts>
  <Company>Federal Court of Australia</Company>
  <LinksUpToDate>false</LinksUpToDate>
  <CharactersWithSpaces>36817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Roberts-Smith v Fairfax Media Publications Pty Limited (No 31) [2022] FCA 271</dc:title>
  <dc:creator>Federal Court of Australia</dc:creator>
  <cp:lastModifiedBy>Federal Court of Australia</cp:lastModifiedBy>
  <cp:revision>6</cp:revision>
  <cp:lastPrinted>2022-03-22T05:06:00Z</cp:lastPrinted>
  <dcterms:created xsi:type="dcterms:W3CDTF">2022-04-01T03:19:00Z</dcterms:created>
  <dcterms:modified xsi:type="dcterms:W3CDTF">2022-04-01T03:37:00Z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4</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New South Wales</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Other Federal Jurisdiction</vt:lpwstr>
  </property>
  <property fmtid="{D5CDD505-2E9C-101B-9397-08002B2CF9AE}" pid="16" name="Court">
    <vt:lpwstr>Federal Court of Australia</vt:lpwstr>
  </property>
  <property fmtid="{D5CDD505-2E9C-101B-9397-08002B2CF9AE}" pid="17" name="Sub Area">
    <vt:lpwstr>Delete these rows - not required</vt:lpwstr>
  </property>
  <property fmtid="{D5CDD505-2E9C-101B-9397-08002B2CF9AE}" pid="18" name="AppealFrom">
    <vt:lpwstr>&lt;AppealFrom&gt;</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ies>
</file>