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72C5" w14:textId="77777777" w:rsidR="00395B24" w:rsidRPr="00D77077" w:rsidRDefault="00EE2430" w:rsidP="00D77077">
      <w:pPr>
        <w:pStyle w:val="CourtTitle"/>
      </w:pPr>
      <w:r>
        <w:fldChar w:fldCharType="begin"/>
      </w:r>
      <w:r>
        <w:instrText xml:space="preserve"> DOCPROPERTY  Court  \* MERGEFORMAT </w:instrText>
      </w:r>
      <w:r>
        <w:fldChar w:fldCharType="separate"/>
      </w:r>
      <w:r w:rsidR="002631D4">
        <w:t>Federal Court of Australia</w:t>
      </w:r>
      <w:r>
        <w:fldChar w:fldCharType="end"/>
      </w:r>
    </w:p>
    <w:p w14:paraId="2AC5BDA5" w14:textId="77777777" w:rsidR="00395B24" w:rsidRDefault="00395B24">
      <w:pPr>
        <w:pStyle w:val="NormalHeadings"/>
        <w:jc w:val="center"/>
        <w:rPr>
          <w:sz w:val="32"/>
        </w:rPr>
      </w:pPr>
    </w:p>
    <w:bookmarkStart w:id="0" w:name="MNC"/>
    <w:p w14:paraId="7F0920C1" w14:textId="60E4FDC8" w:rsidR="00374CC4" w:rsidRDefault="003E7516" w:rsidP="001A2B40">
      <w:pPr>
        <w:pStyle w:val="MNC"/>
      </w:pPr>
      <w:sdt>
        <w:sdtPr>
          <w:alias w:val="MNC"/>
          <w:tag w:val="MNC"/>
          <w:id w:val="343289786"/>
          <w:lock w:val="sdtLocked"/>
          <w:placeholder>
            <w:docPart w:val="CADF4FD1AB144511883CC8B433A14EC9"/>
          </w:placeholder>
          <w:dataBinding w:prefixMappings="xmlns:ns0='http://schemas.globalmacros.com/FCA'" w:xpath="/ns0:root[1]/ns0:Name[1]" w:storeItemID="{687E7CCB-4AA5-44E7-B148-17BA2B6F57C0}"/>
          <w:text w:multiLine="1"/>
        </w:sdtPr>
        <w:sdtEndPr/>
        <w:sdtContent>
          <w:r w:rsidR="002631D4" w:rsidRPr="002631D4">
            <w:t>Kareem v Minister for Immigration, Citizenship, Migrant Services &amp; Multicultural Affairs</w:t>
          </w:r>
          <w:r w:rsidR="002631D4">
            <w:t xml:space="preserve"> [2021] FCA </w:t>
          </w:r>
          <w:r w:rsidR="001A6432">
            <w:t>1016</w:t>
          </w:r>
          <w:r w:rsidR="002631D4" w:rsidRPr="002631D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0327FAC" w14:textId="77777777" w:rsidTr="003D4E10">
        <w:tc>
          <w:tcPr>
            <w:tcW w:w="3084" w:type="dxa"/>
            <w:shd w:val="clear" w:color="auto" w:fill="auto"/>
          </w:tcPr>
          <w:p w14:paraId="1C3A86B3"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0C4E3ACD" w14:textId="77777777" w:rsidR="00395B24" w:rsidRPr="00210792" w:rsidRDefault="003E7516" w:rsidP="002631D4">
            <w:pPr>
              <w:pStyle w:val="CasesLegislationAppealFrom"/>
              <w:spacing w:after="60"/>
            </w:pPr>
            <w:r>
              <w:fldChar w:fldCharType="begin"/>
            </w:r>
            <w:r>
              <w:instrText xml:space="preserve"> DOCPROPERTY  AppealFrom  \* MERGEFORMAT </w:instrText>
            </w:r>
            <w:r>
              <w:fldChar w:fldCharType="separate"/>
            </w:r>
            <w:r w:rsidR="002631D4" w:rsidRPr="00E5239A">
              <w:rPr>
                <w:i/>
              </w:rPr>
              <w:t>Kareem v Minister for Immigration, Citizenship, Migrant Services &amp; Multicultural Affairs</w:t>
            </w:r>
            <w:r w:rsidR="002631D4" w:rsidRPr="00210792">
              <w:t xml:space="preserve"> [2021] FCCA 743</w:t>
            </w:r>
            <w:r>
              <w:fldChar w:fldCharType="end"/>
            </w:r>
          </w:p>
        </w:tc>
      </w:tr>
      <w:tr w:rsidR="00395B24" w14:paraId="38B3BE03" w14:textId="77777777" w:rsidTr="003D4E10">
        <w:tc>
          <w:tcPr>
            <w:tcW w:w="3084" w:type="dxa"/>
            <w:shd w:val="clear" w:color="auto" w:fill="auto"/>
          </w:tcPr>
          <w:p w14:paraId="1C58C1FA" w14:textId="77777777" w:rsidR="00395B24" w:rsidRDefault="00395B24" w:rsidP="00663878">
            <w:pPr>
              <w:pStyle w:val="Normal1linespace"/>
              <w:widowControl w:val="0"/>
              <w:jc w:val="left"/>
            </w:pPr>
          </w:p>
        </w:tc>
        <w:tc>
          <w:tcPr>
            <w:tcW w:w="5989" w:type="dxa"/>
            <w:shd w:val="clear" w:color="auto" w:fill="auto"/>
          </w:tcPr>
          <w:p w14:paraId="14165B28" w14:textId="77777777" w:rsidR="00395B24" w:rsidRDefault="00395B24" w:rsidP="00663878">
            <w:pPr>
              <w:pStyle w:val="Normal1linespace"/>
              <w:widowControl w:val="0"/>
              <w:jc w:val="left"/>
            </w:pPr>
          </w:p>
        </w:tc>
      </w:tr>
      <w:bookmarkEnd w:id="1"/>
      <w:tr w:rsidR="00395B24" w14:paraId="09330888" w14:textId="77777777" w:rsidTr="003D4E10">
        <w:tc>
          <w:tcPr>
            <w:tcW w:w="3084" w:type="dxa"/>
            <w:shd w:val="clear" w:color="auto" w:fill="auto"/>
          </w:tcPr>
          <w:p w14:paraId="628D4092" w14:textId="70C182B0" w:rsidR="00395B24" w:rsidRDefault="002C7385" w:rsidP="00663878">
            <w:pPr>
              <w:pStyle w:val="Normal1linespace"/>
              <w:widowControl w:val="0"/>
              <w:jc w:val="left"/>
            </w:pPr>
            <w:r>
              <w:t>File number:</w:t>
            </w:r>
          </w:p>
        </w:tc>
        <w:tc>
          <w:tcPr>
            <w:tcW w:w="5989" w:type="dxa"/>
            <w:shd w:val="clear" w:color="auto" w:fill="auto"/>
          </w:tcPr>
          <w:p w14:paraId="5FF305D1" w14:textId="7A21C273" w:rsidR="00395B24" w:rsidRPr="002631D4" w:rsidRDefault="00842431" w:rsidP="002631D4">
            <w:pPr>
              <w:pStyle w:val="Normal1linespace"/>
              <w:jc w:val="left"/>
            </w:pPr>
            <w:r>
              <w:t xml:space="preserve"> NSD 439 of 2021</w:t>
            </w:r>
          </w:p>
        </w:tc>
      </w:tr>
      <w:tr w:rsidR="00395B24" w14:paraId="64FE7B43" w14:textId="77777777" w:rsidTr="003D4E10">
        <w:tc>
          <w:tcPr>
            <w:tcW w:w="3084" w:type="dxa"/>
            <w:shd w:val="clear" w:color="auto" w:fill="auto"/>
          </w:tcPr>
          <w:p w14:paraId="05DB0893" w14:textId="77777777" w:rsidR="00395B24" w:rsidRDefault="00395B24" w:rsidP="00663878">
            <w:pPr>
              <w:pStyle w:val="Normal1linespace"/>
              <w:widowControl w:val="0"/>
              <w:jc w:val="left"/>
            </w:pPr>
          </w:p>
        </w:tc>
        <w:tc>
          <w:tcPr>
            <w:tcW w:w="5989" w:type="dxa"/>
            <w:shd w:val="clear" w:color="auto" w:fill="auto"/>
          </w:tcPr>
          <w:p w14:paraId="3EE4A799" w14:textId="77777777" w:rsidR="00395B24" w:rsidRDefault="00395B24" w:rsidP="00663878">
            <w:pPr>
              <w:pStyle w:val="Normal1linespace"/>
              <w:widowControl w:val="0"/>
              <w:jc w:val="left"/>
            </w:pPr>
          </w:p>
        </w:tc>
      </w:tr>
      <w:tr w:rsidR="00395B24" w14:paraId="7CBACFA2" w14:textId="77777777" w:rsidTr="003D4E10">
        <w:tc>
          <w:tcPr>
            <w:tcW w:w="3084" w:type="dxa"/>
            <w:shd w:val="clear" w:color="auto" w:fill="auto"/>
          </w:tcPr>
          <w:p w14:paraId="11CB9BA6"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B1EEEC5" w14:textId="77777777" w:rsidR="00395B24" w:rsidRDefault="002C7385" w:rsidP="00663878">
            <w:pPr>
              <w:pStyle w:val="Normal1linespace"/>
              <w:widowControl w:val="0"/>
              <w:jc w:val="left"/>
              <w:rPr>
                <w:b/>
              </w:rPr>
            </w:pPr>
            <w:r w:rsidRPr="002631D4">
              <w:rPr>
                <w:b/>
              </w:rPr>
              <w:fldChar w:fldCharType="begin" w:fldLock="1"/>
            </w:r>
            <w:r w:rsidRPr="002631D4">
              <w:rPr>
                <w:b/>
              </w:rPr>
              <w:instrText xml:space="preserve"> REF  Judge  \* MERGEFORMAT </w:instrText>
            </w:r>
            <w:r w:rsidRPr="002631D4">
              <w:rPr>
                <w:b/>
              </w:rPr>
              <w:fldChar w:fldCharType="separate"/>
            </w:r>
            <w:r w:rsidR="002631D4" w:rsidRPr="002631D4">
              <w:rPr>
                <w:b/>
                <w:caps/>
                <w:szCs w:val="24"/>
              </w:rPr>
              <w:t>BROMWICH J</w:t>
            </w:r>
            <w:r w:rsidRPr="002631D4">
              <w:rPr>
                <w:b/>
              </w:rPr>
              <w:fldChar w:fldCharType="end"/>
            </w:r>
          </w:p>
        </w:tc>
      </w:tr>
      <w:tr w:rsidR="00395B24" w14:paraId="035366E5" w14:textId="77777777" w:rsidTr="003D4E10">
        <w:tc>
          <w:tcPr>
            <w:tcW w:w="3084" w:type="dxa"/>
            <w:shd w:val="clear" w:color="auto" w:fill="auto"/>
          </w:tcPr>
          <w:p w14:paraId="25BC726A" w14:textId="77777777" w:rsidR="00395B24" w:rsidRDefault="00395B24" w:rsidP="00663878">
            <w:pPr>
              <w:pStyle w:val="Normal1linespace"/>
              <w:widowControl w:val="0"/>
              <w:jc w:val="left"/>
            </w:pPr>
          </w:p>
        </w:tc>
        <w:tc>
          <w:tcPr>
            <w:tcW w:w="5989" w:type="dxa"/>
            <w:shd w:val="clear" w:color="auto" w:fill="auto"/>
          </w:tcPr>
          <w:p w14:paraId="497E0A06" w14:textId="77777777" w:rsidR="00395B24" w:rsidRDefault="00395B24" w:rsidP="00663878">
            <w:pPr>
              <w:pStyle w:val="Normal1linespace"/>
              <w:widowControl w:val="0"/>
              <w:jc w:val="left"/>
            </w:pPr>
          </w:p>
        </w:tc>
      </w:tr>
      <w:tr w:rsidR="00395B24" w14:paraId="67E181E1" w14:textId="77777777" w:rsidTr="003D4E10">
        <w:tc>
          <w:tcPr>
            <w:tcW w:w="3084" w:type="dxa"/>
            <w:shd w:val="clear" w:color="auto" w:fill="auto"/>
          </w:tcPr>
          <w:p w14:paraId="319F0315" w14:textId="77777777" w:rsidR="00395B24" w:rsidRDefault="002C7385" w:rsidP="00663878">
            <w:pPr>
              <w:pStyle w:val="Normal1linespace"/>
              <w:widowControl w:val="0"/>
              <w:jc w:val="left"/>
            </w:pPr>
            <w:r>
              <w:t>Date of judgment:</w:t>
            </w:r>
          </w:p>
        </w:tc>
        <w:tc>
          <w:tcPr>
            <w:tcW w:w="5989" w:type="dxa"/>
            <w:shd w:val="clear" w:color="auto" w:fill="auto"/>
          </w:tcPr>
          <w:p w14:paraId="3C4616B2" w14:textId="4ABF7E7E" w:rsidR="00395B24" w:rsidRDefault="00B46EA2" w:rsidP="00663878">
            <w:pPr>
              <w:pStyle w:val="Normal1linespace"/>
              <w:widowControl w:val="0"/>
              <w:jc w:val="left"/>
            </w:pPr>
            <w:bookmarkStart w:id="2" w:name="JudgmentDate"/>
            <w:r>
              <w:t>27</w:t>
            </w:r>
            <w:r w:rsidR="001F6186">
              <w:t xml:space="preserve"> August 2021</w:t>
            </w:r>
            <w:bookmarkEnd w:id="2"/>
          </w:p>
        </w:tc>
      </w:tr>
      <w:tr w:rsidR="00395B24" w14:paraId="5BFDA305" w14:textId="77777777" w:rsidTr="003D4E10">
        <w:tc>
          <w:tcPr>
            <w:tcW w:w="3084" w:type="dxa"/>
            <w:shd w:val="clear" w:color="auto" w:fill="auto"/>
          </w:tcPr>
          <w:p w14:paraId="51407F10" w14:textId="77777777" w:rsidR="00395B24" w:rsidRDefault="00395B24" w:rsidP="00663878">
            <w:pPr>
              <w:pStyle w:val="Normal1linespace"/>
              <w:widowControl w:val="0"/>
              <w:jc w:val="left"/>
            </w:pPr>
          </w:p>
        </w:tc>
        <w:tc>
          <w:tcPr>
            <w:tcW w:w="5989" w:type="dxa"/>
            <w:shd w:val="clear" w:color="auto" w:fill="auto"/>
          </w:tcPr>
          <w:p w14:paraId="325758FD" w14:textId="77777777" w:rsidR="00395B24" w:rsidRDefault="00395B24" w:rsidP="00663878">
            <w:pPr>
              <w:pStyle w:val="Normal1linespace"/>
              <w:widowControl w:val="0"/>
              <w:jc w:val="left"/>
            </w:pPr>
          </w:p>
        </w:tc>
      </w:tr>
      <w:tr w:rsidR="00395B24" w14:paraId="5BB08370" w14:textId="77777777" w:rsidTr="003D4E10">
        <w:tc>
          <w:tcPr>
            <w:tcW w:w="3084" w:type="dxa"/>
            <w:shd w:val="clear" w:color="auto" w:fill="auto"/>
          </w:tcPr>
          <w:p w14:paraId="2C63F11A" w14:textId="77777777" w:rsidR="00395B24" w:rsidRDefault="002C7385" w:rsidP="00663878">
            <w:pPr>
              <w:pStyle w:val="Normal1linespace"/>
              <w:widowControl w:val="0"/>
              <w:jc w:val="left"/>
            </w:pPr>
            <w:r>
              <w:t>Catchwords:</w:t>
            </w:r>
          </w:p>
        </w:tc>
        <w:tc>
          <w:tcPr>
            <w:tcW w:w="5989" w:type="dxa"/>
            <w:shd w:val="clear" w:color="auto" w:fill="auto"/>
          </w:tcPr>
          <w:p w14:paraId="420E667E" w14:textId="30C7C6DB" w:rsidR="003576D4" w:rsidRDefault="00842431" w:rsidP="003576D4">
            <w:pPr>
              <w:pStyle w:val="Normal1linespace"/>
              <w:widowControl w:val="0"/>
              <w:jc w:val="left"/>
            </w:pPr>
            <w:bookmarkStart w:id="3" w:name="Catchwords"/>
            <w:r w:rsidRPr="00D8074A">
              <w:rPr>
                <w:b/>
              </w:rPr>
              <w:t>MIGRATION</w:t>
            </w:r>
            <w:r>
              <w:rPr>
                <w:b/>
              </w:rPr>
              <w:t xml:space="preserve"> – </w:t>
            </w:r>
            <w:r w:rsidRPr="00842431">
              <w:t xml:space="preserve">appeal of </w:t>
            </w:r>
            <w:r w:rsidR="00D8074A">
              <w:t xml:space="preserve">from </w:t>
            </w:r>
            <w:r w:rsidRPr="00842431">
              <w:t xml:space="preserve">decision </w:t>
            </w:r>
            <w:r w:rsidR="00D8074A">
              <w:t xml:space="preserve">of Federal Circuit Court of Australia to dismiss an application for judicial review of a decision of the Administrative Appeals </w:t>
            </w:r>
            <w:r w:rsidR="00D8074A" w:rsidRPr="00D8074A">
              <w:t>Tribunal</w:t>
            </w:r>
            <w:r w:rsidR="00E5239A">
              <w:t xml:space="preserve"> </w:t>
            </w:r>
            <w:r w:rsidR="00B11ADA">
              <w:t xml:space="preserve">– Tribunal </w:t>
            </w:r>
            <w:r w:rsidR="00D8074A">
              <w:t>affirm</w:t>
            </w:r>
            <w:r w:rsidR="00B11ADA">
              <w:t>ed</w:t>
            </w:r>
            <w:r w:rsidR="00D8074A">
              <w:t xml:space="preserve"> a decision of a delegate of the Minister to refuse the </w:t>
            </w:r>
            <w:r>
              <w:t>grant of a Partner (Provisional) (Class UF) (subclass 309) visa</w:t>
            </w:r>
            <w:r w:rsidRPr="00842431">
              <w:t xml:space="preserve"> </w:t>
            </w:r>
            <w:r>
              <w:t xml:space="preserve">– where appellant is sponsor of </w:t>
            </w:r>
            <w:r w:rsidR="003576D4">
              <w:t xml:space="preserve">partner </w:t>
            </w:r>
            <w:r>
              <w:t xml:space="preserve">visa </w:t>
            </w:r>
            <w:r w:rsidR="00D8074A">
              <w:t xml:space="preserve">applicant </w:t>
            </w:r>
            <w:r>
              <w:t xml:space="preserve">– where decision </w:t>
            </w:r>
            <w:r w:rsidR="00D8074A">
              <w:t xml:space="preserve">to affirm delegate’s decision </w:t>
            </w:r>
            <w:r>
              <w:t>made principally upon the basis of not being satisfied that the visa applicant and sponsor were in an exclusive relationship as required by definition of “</w:t>
            </w:r>
            <w:r w:rsidRPr="00977D32">
              <w:rPr>
                <w:i/>
              </w:rPr>
              <w:t>de facto partner</w:t>
            </w:r>
            <w:r>
              <w:t xml:space="preserve">” in </w:t>
            </w:r>
            <w:r w:rsidRPr="00A74FEE">
              <w:t xml:space="preserve">s 5CB of the </w:t>
            </w:r>
            <w:r w:rsidRPr="00A74FEE">
              <w:rPr>
                <w:i/>
              </w:rPr>
              <w:t>Migration Act 1958</w:t>
            </w:r>
            <w:r w:rsidR="00DA16FB">
              <w:t xml:space="preserve"> (</w:t>
            </w:r>
            <w:proofErr w:type="spellStart"/>
            <w:r w:rsidR="00DA16FB">
              <w:t>Cth</w:t>
            </w:r>
            <w:proofErr w:type="spellEnd"/>
            <w:r w:rsidR="00DA16FB">
              <w:t>)</w:t>
            </w:r>
            <w:r w:rsidRPr="00A74FEE">
              <w:rPr>
                <w:i/>
              </w:rPr>
              <w:t xml:space="preserve"> </w:t>
            </w:r>
            <w:r>
              <w:t xml:space="preserve">– where </w:t>
            </w:r>
            <w:r w:rsidR="00D8074A">
              <w:t xml:space="preserve">decision to affirm delegate’s decision </w:t>
            </w:r>
            <w:r>
              <w:t>not to grant visa</w:t>
            </w:r>
            <w:r w:rsidR="00B11ADA">
              <w:t xml:space="preserve"> also</w:t>
            </w:r>
            <w:r>
              <w:t xml:space="preserve"> made upon the basis of not being satisfied that the relationship was genuine and continuing – where visa criteria in issue contained no discretionary components and could not be waived – </w:t>
            </w:r>
            <w:r w:rsidR="003576D4">
              <w:t xml:space="preserve">whether </w:t>
            </w:r>
            <w:r w:rsidR="00B11ADA">
              <w:t xml:space="preserve">primary judge erred in failing to find that </w:t>
            </w:r>
            <w:r w:rsidR="003576D4" w:rsidRPr="00D8074A">
              <w:t>Tribunal</w:t>
            </w:r>
            <w:r w:rsidR="003576D4">
              <w:t xml:space="preserve"> erred in failing to consider factors including best interests of the affected children or related issues including hardship – where several other grounds advanced going to merits of decision and other issues </w:t>
            </w:r>
            <w:r w:rsidR="00D8074A">
              <w:t>–</w:t>
            </w:r>
            <w:r w:rsidR="003576D4">
              <w:t xml:space="preserve"> held: </w:t>
            </w:r>
            <w:r w:rsidR="008E1E1B">
              <w:t xml:space="preserve">best interests of the affected children and other considerations advanced not among the relevant considerations for the determination of the exclusive relationship criterion </w:t>
            </w:r>
            <w:r w:rsidR="00EF4D40">
              <w:t>expre</w:t>
            </w:r>
            <w:r w:rsidR="008E1E1B">
              <w:t xml:space="preserve">ssly provided by the legislation </w:t>
            </w:r>
            <w:r w:rsidR="003576D4">
              <w:t>– held: no grounds identify or establish any error on the part of either the Tribunal or the primary judge – appeal dismissed</w:t>
            </w:r>
          </w:p>
          <w:p w14:paraId="17CB585A" w14:textId="77777777" w:rsidR="003576D4" w:rsidRDefault="003576D4" w:rsidP="003576D4">
            <w:pPr>
              <w:pStyle w:val="Normal1linespace"/>
              <w:widowControl w:val="0"/>
              <w:jc w:val="left"/>
            </w:pPr>
          </w:p>
          <w:p w14:paraId="112536B5" w14:textId="784DB576" w:rsidR="00395B24" w:rsidRPr="00D8074A" w:rsidRDefault="003576D4" w:rsidP="00D8074A">
            <w:pPr>
              <w:pStyle w:val="Normal1linespace"/>
              <w:widowControl w:val="0"/>
              <w:jc w:val="left"/>
              <w:rPr>
                <w:b/>
              </w:rPr>
            </w:pPr>
            <w:r>
              <w:rPr>
                <w:b/>
              </w:rPr>
              <w:t xml:space="preserve">MIGRATION </w:t>
            </w:r>
            <w:r>
              <w:t xml:space="preserve">– whether </w:t>
            </w:r>
            <w:r w:rsidR="00B46EA2">
              <w:t xml:space="preserve">primary judge erred in failing to find that </w:t>
            </w:r>
            <w:r>
              <w:t>Tribunal</w:t>
            </w:r>
            <w:r w:rsidR="00B46EA2">
              <w:t xml:space="preserve"> erred in</w:t>
            </w:r>
            <w:r>
              <w:t xml:space="preserve"> fail</w:t>
            </w:r>
            <w:r w:rsidR="00B46EA2">
              <w:t>ing</w:t>
            </w:r>
            <w:r>
              <w:t xml:space="preserve"> to consider a statutory declaration by the sponsor relating to relationship status – where Tribunal not obliged to refer specifically to each item of evidence or other material before it – </w:t>
            </w:r>
            <w:r>
              <w:rPr>
                <w:lang w:eastAsia="en-AU"/>
              </w:rPr>
              <w:t xml:space="preserve">Tribunal expressly considered the evidence and other material before </w:t>
            </w:r>
            <w:r>
              <w:rPr>
                <w:lang w:eastAsia="en-AU"/>
              </w:rPr>
              <w:lastRenderedPageBreak/>
              <w:t>it on that topic</w:t>
            </w:r>
            <w:r>
              <w:t xml:space="preserve"> – held: </w:t>
            </w:r>
            <w:r w:rsidR="00D8074A">
              <w:t xml:space="preserve">not established that the </w:t>
            </w:r>
            <w:r>
              <w:t>Tribunal fail</w:t>
            </w:r>
            <w:r w:rsidR="00D8074A">
              <w:t>ed</w:t>
            </w:r>
            <w:r>
              <w:t xml:space="preserve"> to consider evidence – appeal dismissed </w:t>
            </w:r>
            <w:r w:rsidR="002C7385" w:rsidRPr="00D8074A">
              <w:rPr>
                <w:b/>
              </w:rPr>
              <w:t xml:space="preserve"> </w:t>
            </w:r>
            <w:bookmarkEnd w:id="3"/>
          </w:p>
        </w:tc>
      </w:tr>
      <w:tr w:rsidR="00395B24" w14:paraId="3226AB07" w14:textId="77777777" w:rsidTr="003D4E10">
        <w:tc>
          <w:tcPr>
            <w:tcW w:w="3084" w:type="dxa"/>
            <w:shd w:val="clear" w:color="auto" w:fill="auto"/>
          </w:tcPr>
          <w:p w14:paraId="1DAF36AF" w14:textId="77777777" w:rsidR="00395B24" w:rsidRDefault="00395B24" w:rsidP="00663878">
            <w:pPr>
              <w:pStyle w:val="Normal1linespace"/>
              <w:widowControl w:val="0"/>
              <w:jc w:val="left"/>
            </w:pPr>
          </w:p>
        </w:tc>
        <w:tc>
          <w:tcPr>
            <w:tcW w:w="5989" w:type="dxa"/>
            <w:shd w:val="clear" w:color="auto" w:fill="auto"/>
          </w:tcPr>
          <w:p w14:paraId="65D186A1" w14:textId="77777777" w:rsidR="00395B24" w:rsidRDefault="00395B24" w:rsidP="00663878">
            <w:pPr>
              <w:pStyle w:val="Normal1linespace"/>
              <w:widowControl w:val="0"/>
              <w:jc w:val="left"/>
            </w:pPr>
          </w:p>
        </w:tc>
      </w:tr>
      <w:tr w:rsidR="00395B24" w14:paraId="28676C8B" w14:textId="77777777" w:rsidTr="003D4E10">
        <w:tc>
          <w:tcPr>
            <w:tcW w:w="3084" w:type="dxa"/>
            <w:shd w:val="clear" w:color="auto" w:fill="auto"/>
          </w:tcPr>
          <w:p w14:paraId="107BEB89" w14:textId="77777777" w:rsidR="00395B24" w:rsidRDefault="002C7385" w:rsidP="00663878">
            <w:pPr>
              <w:pStyle w:val="Normal1linespace"/>
              <w:widowControl w:val="0"/>
              <w:jc w:val="left"/>
            </w:pPr>
            <w:r>
              <w:t>Legislation:</w:t>
            </w:r>
          </w:p>
        </w:tc>
        <w:tc>
          <w:tcPr>
            <w:tcW w:w="5989" w:type="dxa"/>
            <w:shd w:val="clear" w:color="auto" w:fill="auto"/>
          </w:tcPr>
          <w:p w14:paraId="1C46F570" w14:textId="1B58B829" w:rsidR="00A74FEE" w:rsidRPr="00D8074A" w:rsidRDefault="00A74FEE" w:rsidP="00A74FEE">
            <w:pPr>
              <w:pStyle w:val="CasesLegislationAppealFrom"/>
              <w:spacing w:after="60"/>
            </w:pPr>
            <w:bookmarkStart w:id="4" w:name="Legislation"/>
            <w:r w:rsidRPr="00D8074A">
              <w:rPr>
                <w:i/>
              </w:rPr>
              <w:t xml:space="preserve">Migration Act 1958 </w:t>
            </w:r>
            <w:r w:rsidRPr="00D8074A">
              <w:t>(</w:t>
            </w:r>
            <w:proofErr w:type="spellStart"/>
            <w:r w:rsidRPr="00D8074A">
              <w:t>Cth</w:t>
            </w:r>
            <w:proofErr w:type="spellEnd"/>
            <w:r w:rsidRPr="00D8074A">
              <w:t>)</w:t>
            </w:r>
            <w:r>
              <w:t xml:space="preserve"> </w:t>
            </w:r>
            <w:proofErr w:type="spellStart"/>
            <w:r>
              <w:t>ss</w:t>
            </w:r>
            <w:proofErr w:type="spellEnd"/>
            <w:r>
              <w:t xml:space="preserve"> </w:t>
            </w:r>
            <w:r w:rsidRPr="00B939B9">
              <w:t>5CB</w:t>
            </w:r>
            <w:r>
              <w:t xml:space="preserve">, </w:t>
            </w:r>
            <w:r w:rsidRPr="00B939B9">
              <w:t>s 65(1)</w:t>
            </w:r>
            <w:r>
              <w:t>, 359A</w:t>
            </w:r>
            <w:r w:rsidR="00842431">
              <w:t>, 376</w:t>
            </w:r>
            <w:r>
              <w:t xml:space="preserve"> </w:t>
            </w:r>
          </w:p>
          <w:p w14:paraId="7D079EE3" w14:textId="275D3A75" w:rsidR="00A74FEE" w:rsidRPr="00A74FEE" w:rsidRDefault="00A74FEE" w:rsidP="00A74FEE">
            <w:pPr>
              <w:pStyle w:val="CasesLegislationAppealFrom"/>
              <w:spacing w:after="60"/>
              <w:rPr>
                <w:iCs/>
                <w:szCs w:val="24"/>
              </w:rPr>
            </w:pPr>
            <w:r w:rsidRPr="00D8074A">
              <w:rPr>
                <w:i/>
                <w:iCs/>
                <w:szCs w:val="24"/>
              </w:rPr>
              <w:t xml:space="preserve">Migration Regulations 1994 </w:t>
            </w:r>
            <w:r w:rsidRPr="00A74FEE">
              <w:rPr>
                <w:iCs/>
                <w:szCs w:val="24"/>
              </w:rPr>
              <w:t>(</w:t>
            </w:r>
            <w:proofErr w:type="spellStart"/>
            <w:r w:rsidRPr="00A74FEE">
              <w:rPr>
                <w:iCs/>
                <w:szCs w:val="24"/>
              </w:rPr>
              <w:t>Cth</w:t>
            </w:r>
            <w:proofErr w:type="spellEnd"/>
            <w:r w:rsidRPr="00A74FEE">
              <w:rPr>
                <w:iCs/>
                <w:szCs w:val="24"/>
              </w:rPr>
              <w:t>)</w:t>
            </w:r>
            <w:r>
              <w:rPr>
                <w:iCs/>
                <w:szCs w:val="24"/>
              </w:rPr>
              <w:t xml:space="preserve"> </w:t>
            </w:r>
            <w:proofErr w:type="spellStart"/>
            <w:r>
              <w:rPr>
                <w:iCs/>
                <w:szCs w:val="24"/>
              </w:rPr>
              <w:t>reg</w:t>
            </w:r>
            <w:proofErr w:type="spellEnd"/>
            <w:r>
              <w:rPr>
                <w:iCs/>
                <w:szCs w:val="24"/>
              </w:rPr>
              <w:t xml:space="preserve"> 1.09A; </w:t>
            </w:r>
            <w:proofErr w:type="spellStart"/>
            <w:r>
              <w:rPr>
                <w:iCs/>
                <w:szCs w:val="24"/>
              </w:rPr>
              <w:t>Sch</w:t>
            </w:r>
            <w:proofErr w:type="spellEnd"/>
            <w:r>
              <w:rPr>
                <w:iCs/>
                <w:szCs w:val="24"/>
              </w:rPr>
              <w:t xml:space="preserve"> 2,</w:t>
            </w:r>
            <w:r w:rsidRPr="00D8074A">
              <w:rPr>
                <w:iCs/>
                <w:szCs w:val="24"/>
              </w:rPr>
              <w:t xml:space="preserve"> cl 309.211(2)(a)</w:t>
            </w:r>
            <w:bookmarkEnd w:id="4"/>
          </w:p>
        </w:tc>
      </w:tr>
      <w:tr w:rsidR="00395B24" w14:paraId="2CECBE03" w14:textId="77777777" w:rsidTr="003D4E10">
        <w:tc>
          <w:tcPr>
            <w:tcW w:w="3084" w:type="dxa"/>
            <w:shd w:val="clear" w:color="auto" w:fill="auto"/>
          </w:tcPr>
          <w:p w14:paraId="22BBD090" w14:textId="77777777" w:rsidR="00395B24" w:rsidRDefault="00395B24" w:rsidP="00663878">
            <w:pPr>
              <w:pStyle w:val="Normal1linespace"/>
              <w:widowControl w:val="0"/>
              <w:jc w:val="left"/>
            </w:pPr>
          </w:p>
        </w:tc>
        <w:tc>
          <w:tcPr>
            <w:tcW w:w="5989" w:type="dxa"/>
            <w:shd w:val="clear" w:color="auto" w:fill="auto"/>
          </w:tcPr>
          <w:p w14:paraId="1A3CE368" w14:textId="77777777" w:rsidR="00395B24" w:rsidRDefault="00395B24" w:rsidP="00663878">
            <w:pPr>
              <w:pStyle w:val="Normal1linespace"/>
              <w:widowControl w:val="0"/>
              <w:jc w:val="left"/>
            </w:pPr>
          </w:p>
        </w:tc>
      </w:tr>
      <w:tr w:rsidR="00395B24" w14:paraId="587526CE" w14:textId="77777777" w:rsidTr="003D4E10">
        <w:tc>
          <w:tcPr>
            <w:tcW w:w="3084" w:type="dxa"/>
            <w:shd w:val="clear" w:color="auto" w:fill="auto"/>
          </w:tcPr>
          <w:p w14:paraId="11423988" w14:textId="77777777" w:rsidR="00395B24" w:rsidRDefault="002C7385" w:rsidP="00663878">
            <w:pPr>
              <w:pStyle w:val="Normal1linespace"/>
              <w:widowControl w:val="0"/>
              <w:jc w:val="left"/>
            </w:pPr>
            <w:r>
              <w:t>Cases cited:</w:t>
            </w:r>
          </w:p>
        </w:tc>
        <w:tc>
          <w:tcPr>
            <w:tcW w:w="5989" w:type="dxa"/>
            <w:shd w:val="clear" w:color="auto" w:fill="auto"/>
          </w:tcPr>
          <w:p w14:paraId="261EC8C8" w14:textId="77777777" w:rsidR="00A74FEE" w:rsidRPr="00A74FEE" w:rsidRDefault="00A74FEE" w:rsidP="00A74FEE">
            <w:pPr>
              <w:pStyle w:val="CasesLegislationAppealFrom"/>
              <w:spacing w:after="60"/>
            </w:pPr>
            <w:bookmarkStart w:id="5" w:name="Cases_Cited"/>
            <w:r w:rsidRPr="00D8074A">
              <w:rPr>
                <w:rFonts w:ascii="Times-Bold" w:hAnsi="Times-Bold" w:cs="Times-Bold"/>
                <w:bCs/>
                <w:i/>
                <w:szCs w:val="24"/>
                <w:lang w:eastAsia="en-AU"/>
              </w:rPr>
              <w:t xml:space="preserve">Applicant WAEE v Minister for Immigration and Multicultural and Indigenous Affairs </w:t>
            </w:r>
            <w:r w:rsidRPr="00D8074A">
              <w:rPr>
                <w:rFonts w:ascii="Times-Bold" w:hAnsi="Times-Bold" w:cs="Times-Bold"/>
                <w:bCs/>
                <w:szCs w:val="24"/>
                <w:lang w:eastAsia="en-AU"/>
              </w:rPr>
              <w:t>[2003] FCAFC 184; 236 FCR 593</w:t>
            </w:r>
          </w:p>
          <w:p w14:paraId="34A5D1FA" w14:textId="40C13D52" w:rsidR="00A74FEE" w:rsidRPr="00A74FEE" w:rsidRDefault="00A74FEE" w:rsidP="00A74FEE">
            <w:pPr>
              <w:pStyle w:val="CasesLegislationAppealFrom"/>
              <w:spacing w:after="60"/>
            </w:pPr>
            <w:r w:rsidRPr="00D8074A">
              <w:rPr>
                <w:i/>
                <w:szCs w:val="24"/>
                <w:lang w:eastAsia="en-AU"/>
              </w:rPr>
              <w:t>CFE16 v Minister for Immigration</w:t>
            </w:r>
            <w:r w:rsidRPr="00D8074A">
              <w:rPr>
                <w:szCs w:val="24"/>
                <w:lang w:eastAsia="en-AU"/>
              </w:rPr>
              <w:t xml:space="preserve"> [2020] FCCA 1083</w:t>
            </w:r>
            <w:r w:rsidRPr="00A74FEE" w:rsidDel="00A74FEE">
              <w:t xml:space="preserve">   </w:t>
            </w:r>
            <w:bookmarkEnd w:id="5"/>
          </w:p>
        </w:tc>
      </w:tr>
      <w:tr w:rsidR="002631D4" w14:paraId="7902EA0E" w14:textId="77777777" w:rsidTr="003D4E10">
        <w:tc>
          <w:tcPr>
            <w:tcW w:w="3084" w:type="dxa"/>
            <w:shd w:val="clear" w:color="auto" w:fill="auto"/>
          </w:tcPr>
          <w:p w14:paraId="215E9583" w14:textId="77777777" w:rsidR="002631D4" w:rsidRDefault="002631D4" w:rsidP="00F234B3">
            <w:pPr>
              <w:pStyle w:val="Normal1linespace"/>
              <w:widowControl w:val="0"/>
            </w:pPr>
          </w:p>
        </w:tc>
        <w:tc>
          <w:tcPr>
            <w:tcW w:w="5989" w:type="dxa"/>
            <w:shd w:val="clear" w:color="auto" w:fill="auto"/>
          </w:tcPr>
          <w:p w14:paraId="449A92EA" w14:textId="77777777" w:rsidR="002631D4" w:rsidRDefault="002631D4" w:rsidP="00F234B3">
            <w:pPr>
              <w:pStyle w:val="Normal1linespace"/>
              <w:widowControl w:val="0"/>
              <w:jc w:val="left"/>
            </w:pPr>
          </w:p>
        </w:tc>
      </w:tr>
      <w:tr w:rsidR="002631D4" w14:paraId="22792E75" w14:textId="77777777" w:rsidTr="003D4E10">
        <w:tc>
          <w:tcPr>
            <w:tcW w:w="3084" w:type="dxa"/>
            <w:shd w:val="clear" w:color="auto" w:fill="auto"/>
          </w:tcPr>
          <w:p w14:paraId="7FDA0D20" w14:textId="77777777" w:rsidR="002631D4" w:rsidRDefault="002631D4" w:rsidP="00501A12">
            <w:pPr>
              <w:pStyle w:val="Normal1linespace"/>
              <w:widowControl w:val="0"/>
            </w:pPr>
            <w:r>
              <w:t>Division:</w:t>
            </w:r>
          </w:p>
        </w:tc>
        <w:tc>
          <w:tcPr>
            <w:tcW w:w="5989" w:type="dxa"/>
            <w:shd w:val="clear" w:color="auto" w:fill="auto"/>
          </w:tcPr>
          <w:p w14:paraId="6B367025" w14:textId="77777777" w:rsidR="002631D4" w:rsidRPr="00F17599" w:rsidRDefault="004B658B" w:rsidP="00501A12">
            <w:pPr>
              <w:pStyle w:val="Normal1linespace"/>
              <w:widowControl w:val="0"/>
              <w:jc w:val="left"/>
            </w:pPr>
            <w:fldSimple w:instr=" DOCPROPERTY  Division ">
              <w:r w:rsidR="002631D4">
                <w:t>General Division</w:t>
              </w:r>
            </w:fldSimple>
          </w:p>
        </w:tc>
      </w:tr>
      <w:tr w:rsidR="002631D4" w14:paraId="47F29407" w14:textId="77777777" w:rsidTr="003D4E10">
        <w:tc>
          <w:tcPr>
            <w:tcW w:w="3084" w:type="dxa"/>
            <w:shd w:val="clear" w:color="auto" w:fill="auto"/>
          </w:tcPr>
          <w:p w14:paraId="1DF81174" w14:textId="77777777" w:rsidR="002631D4" w:rsidRDefault="002631D4" w:rsidP="00501A12">
            <w:pPr>
              <w:pStyle w:val="Normal1linespace"/>
              <w:widowControl w:val="0"/>
            </w:pPr>
            <w:bookmarkStart w:id="6" w:name="Registry_rows" w:colFirst="0" w:colLast="1"/>
          </w:p>
        </w:tc>
        <w:tc>
          <w:tcPr>
            <w:tcW w:w="5989" w:type="dxa"/>
            <w:shd w:val="clear" w:color="auto" w:fill="auto"/>
          </w:tcPr>
          <w:p w14:paraId="50C2458A" w14:textId="77777777" w:rsidR="002631D4" w:rsidRDefault="002631D4" w:rsidP="00501A12">
            <w:pPr>
              <w:pStyle w:val="Normal1linespace"/>
              <w:widowControl w:val="0"/>
              <w:jc w:val="left"/>
            </w:pPr>
          </w:p>
        </w:tc>
      </w:tr>
      <w:tr w:rsidR="002631D4" w14:paraId="2CFB1315" w14:textId="77777777" w:rsidTr="003D4E10">
        <w:tc>
          <w:tcPr>
            <w:tcW w:w="3084" w:type="dxa"/>
            <w:shd w:val="clear" w:color="auto" w:fill="auto"/>
          </w:tcPr>
          <w:p w14:paraId="4025A2AA" w14:textId="77777777" w:rsidR="002631D4" w:rsidRDefault="002631D4" w:rsidP="00501A12">
            <w:pPr>
              <w:pStyle w:val="Normal1linespace"/>
              <w:widowControl w:val="0"/>
            </w:pPr>
            <w:r>
              <w:t>Registry:</w:t>
            </w:r>
          </w:p>
        </w:tc>
        <w:tc>
          <w:tcPr>
            <w:tcW w:w="5989" w:type="dxa"/>
            <w:shd w:val="clear" w:color="auto" w:fill="auto"/>
          </w:tcPr>
          <w:p w14:paraId="7EDE3097" w14:textId="77777777" w:rsidR="002631D4" w:rsidRPr="00F17599" w:rsidRDefault="004B658B" w:rsidP="00501A12">
            <w:pPr>
              <w:pStyle w:val="Normal1linespace"/>
              <w:widowControl w:val="0"/>
              <w:jc w:val="left"/>
            </w:pPr>
            <w:fldSimple w:instr=" DOCPROPERTY  Registry ">
              <w:r w:rsidR="002631D4">
                <w:t>New South Wales</w:t>
              </w:r>
            </w:fldSimple>
          </w:p>
        </w:tc>
      </w:tr>
      <w:tr w:rsidR="002631D4" w14:paraId="555E9226" w14:textId="77777777" w:rsidTr="003D4E10">
        <w:tc>
          <w:tcPr>
            <w:tcW w:w="3084" w:type="dxa"/>
            <w:shd w:val="clear" w:color="auto" w:fill="auto"/>
          </w:tcPr>
          <w:p w14:paraId="3717DAC8" w14:textId="77777777" w:rsidR="002631D4" w:rsidRDefault="002631D4" w:rsidP="00501A12">
            <w:pPr>
              <w:pStyle w:val="Normal1linespace"/>
              <w:widowControl w:val="0"/>
            </w:pPr>
            <w:bookmarkStart w:id="7" w:name="NPARow" w:colFirst="0" w:colLast="1"/>
            <w:bookmarkEnd w:id="6"/>
          </w:p>
        </w:tc>
        <w:tc>
          <w:tcPr>
            <w:tcW w:w="5989" w:type="dxa"/>
            <w:shd w:val="clear" w:color="auto" w:fill="auto"/>
          </w:tcPr>
          <w:p w14:paraId="2930EF71" w14:textId="77777777" w:rsidR="002631D4" w:rsidRPr="00F17599" w:rsidRDefault="002631D4" w:rsidP="00501A12">
            <w:pPr>
              <w:pStyle w:val="Normal1linespace"/>
              <w:widowControl w:val="0"/>
              <w:jc w:val="left"/>
              <w:rPr>
                <w:b/>
              </w:rPr>
            </w:pPr>
          </w:p>
        </w:tc>
      </w:tr>
      <w:tr w:rsidR="002631D4" w14:paraId="6AFBACB1" w14:textId="77777777" w:rsidTr="003D4E10">
        <w:tc>
          <w:tcPr>
            <w:tcW w:w="3084" w:type="dxa"/>
            <w:shd w:val="clear" w:color="auto" w:fill="auto"/>
          </w:tcPr>
          <w:p w14:paraId="28199C50" w14:textId="77777777" w:rsidR="002631D4" w:rsidRDefault="002631D4" w:rsidP="00501A12">
            <w:pPr>
              <w:pStyle w:val="Normal1linespace"/>
              <w:widowControl w:val="0"/>
            </w:pPr>
            <w:r>
              <w:t>National Practice Area:</w:t>
            </w:r>
          </w:p>
        </w:tc>
        <w:tc>
          <w:tcPr>
            <w:tcW w:w="5989" w:type="dxa"/>
            <w:shd w:val="clear" w:color="auto" w:fill="auto"/>
          </w:tcPr>
          <w:p w14:paraId="798E811A" w14:textId="77777777" w:rsidR="002631D4" w:rsidRPr="00F17599" w:rsidRDefault="003E7516" w:rsidP="00F234B3">
            <w:pPr>
              <w:pStyle w:val="Normal1linespace"/>
              <w:widowControl w:val="0"/>
              <w:jc w:val="left"/>
              <w:rPr>
                <w:b/>
              </w:rPr>
            </w:pPr>
            <w:r>
              <w:fldChar w:fldCharType="begin"/>
            </w:r>
            <w:r>
              <w:instrText xml:space="preserve"> DOCPROPERTY  "Practice Area"  \* MERGEFORMAT </w:instrText>
            </w:r>
            <w:r>
              <w:fldChar w:fldCharType="separate"/>
            </w:r>
            <w:r w:rsidR="002631D4">
              <w:t>Administrative and Constitutional Law and Human Rights</w:t>
            </w:r>
            <w:r>
              <w:fldChar w:fldCharType="end"/>
            </w:r>
          </w:p>
        </w:tc>
      </w:tr>
      <w:bookmarkEnd w:id="7"/>
      <w:tr w:rsidR="002631D4" w14:paraId="6A33A115" w14:textId="77777777" w:rsidTr="003D4E10">
        <w:tc>
          <w:tcPr>
            <w:tcW w:w="3084" w:type="dxa"/>
            <w:shd w:val="clear" w:color="auto" w:fill="auto"/>
          </w:tcPr>
          <w:p w14:paraId="541CF205" w14:textId="77777777" w:rsidR="002631D4" w:rsidRDefault="002631D4" w:rsidP="00501A12">
            <w:pPr>
              <w:pStyle w:val="Normal1linespace"/>
              <w:widowControl w:val="0"/>
            </w:pPr>
          </w:p>
        </w:tc>
        <w:tc>
          <w:tcPr>
            <w:tcW w:w="5989" w:type="dxa"/>
            <w:shd w:val="clear" w:color="auto" w:fill="auto"/>
          </w:tcPr>
          <w:p w14:paraId="757D7D0F" w14:textId="77777777" w:rsidR="002631D4" w:rsidRDefault="002631D4" w:rsidP="00501A12">
            <w:pPr>
              <w:pStyle w:val="Normal1linespace"/>
              <w:widowControl w:val="0"/>
              <w:jc w:val="left"/>
            </w:pPr>
          </w:p>
        </w:tc>
      </w:tr>
      <w:tr w:rsidR="002631D4" w14:paraId="2A082E2A" w14:textId="77777777" w:rsidTr="003D4E10">
        <w:tc>
          <w:tcPr>
            <w:tcW w:w="3084" w:type="dxa"/>
            <w:shd w:val="clear" w:color="auto" w:fill="auto"/>
          </w:tcPr>
          <w:p w14:paraId="59B78D8D" w14:textId="77777777" w:rsidR="002631D4" w:rsidRDefault="002631D4" w:rsidP="00501A12">
            <w:pPr>
              <w:pStyle w:val="Normal1linespace"/>
              <w:widowControl w:val="0"/>
            </w:pPr>
            <w:r>
              <w:t>Number of paragraphs:</w:t>
            </w:r>
          </w:p>
        </w:tc>
        <w:tc>
          <w:tcPr>
            <w:tcW w:w="5989" w:type="dxa"/>
            <w:shd w:val="clear" w:color="auto" w:fill="auto"/>
          </w:tcPr>
          <w:p w14:paraId="71BE3BC7" w14:textId="45E8A4BA" w:rsidR="002631D4" w:rsidRDefault="003D4E10" w:rsidP="00501A12">
            <w:pPr>
              <w:pStyle w:val="Normal1linespace"/>
              <w:widowControl w:val="0"/>
              <w:jc w:val="left"/>
            </w:pPr>
            <w:bookmarkStart w:id="8" w:name="PlaceCategoryParagraphs"/>
            <w:r>
              <w:t>32</w:t>
            </w:r>
            <w:bookmarkEnd w:id="8"/>
          </w:p>
        </w:tc>
      </w:tr>
      <w:tr w:rsidR="002631D4" w14:paraId="268C50A9" w14:textId="77777777" w:rsidTr="003D4E10">
        <w:tc>
          <w:tcPr>
            <w:tcW w:w="3084" w:type="dxa"/>
            <w:shd w:val="clear" w:color="auto" w:fill="auto"/>
          </w:tcPr>
          <w:p w14:paraId="16DFD841" w14:textId="77777777" w:rsidR="002631D4" w:rsidRDefault="002631D4" w:rsidP="002631D4">
            <w:pPr>
              <w:pStyle w:val="Normal1linespace"/>
              <w:widowControl w:val="0"/>
              <w:jc w:val="left"/>
            </w:pPr>
          </w:p>
        </w:tc>
        <w:tc>
          <w:tcPr>
            <w:tcW w:w="5989" w:type="dxa"/>
            <w:shd w:val="clear" w:color="auto" w:fill="auto"/>
          </w:tcPr>
          <w:p w14:paraId="2477E4AC" w14:textId="77777777" w:rsidR="002631D4" w:rsidRDefault="002631D4" w:rsidP="002631D4">
            <w:pPr>
              <w:pStyle w:val="Normal1linespace"/>
              <w:widowControl w:val="0"/>
              <w:jc w:val="left"/>
            </w:pPr>
          </w:p>
        </w:tc>
      </w:tr>
      <w:tr w:rsidR="002631D4" w14:paraId="6CF9F70F" w14:textId="77777777" w:rsidTr="003D4E10">
        <w:tc>
          <w:tcPr>
            <w:tcW w:w="3084" w:type="dxa"/>
            <w:shd w:val="clear" w:color="auto" w:fill="auto"/>
          </w:tcPr>
          <w:p w14:paraId="4556A530" w14:textId="77777777" w:rsidR="002631D4" w:rsidRDefault="002631D4" w:rsidP="002631D4">
            <w:pPr>
              <w:pStyle w:val="Normal1linespace"/>
              <w:widowControl w:val="0"/>
              <w:jc w:val="left"/>
            </w:pPr>
            <w:bookmarkStart w:id="9" w:name="CounselDate" w:colFirst="0" w:colLast="2"/>
            <w:r w:rsidRPr="006A24E3">
              <w:t>Date of hearing:</w:t>
            </w:r>
          </w:p>
        </w:tc>
        <w:tc>
          <w:tcPr>
            <w:tcW w:w="5989" w:type="dxa"/>
            <w:shd w:val="clear" w:color="auto" w:fill="auto"/>
          </w:tcPr>
          <w:p w14:paraId="280BEFC4" w14:textId="08245506" w:rsidR="002631D4" w:rsidRDefault="00D8074A" w:rsidP="002631D4">
            <w:pPr>
              <w:pStyle w:val="Normal1linespace"/>
              <w:widowControl w:val="0"/>
              <w:jc w:val="left"/>
            </w:pPr>
            <w:bookmarkStart w:id="10" w:name="HearingDate"/>
            <w:r>
              <w:t>2 August 2021</w:t>
            </w:r>
            <w:r w:rsidR="002631D4">
              <w:t xml:space="preserve"> </w:t>
            </w:r>
            <w:bookmarkEnd w:id="10"/>
          </w:p>
        </w:tc>
      </w:tr>
      <w:tr w:rsidR="002631D4" w14:paraId="261716C9" w14:textId="77777777" w:rsidTr="003D4E10">
        <w:tc>
          <w:tcPr>
            <w:tcW w:w="3084" w:type="dxa"/>
            <w:shd w:val="clear" w:color="auto" w:fill="auto"/>
          </w:tcPr>
          <w:p w14:paraId="4C87F7E1" w14:textId="77777777" w:rsidR="002631D4" w:rsidRDefault="002631D4" w:rsidP="002631D4">
            <w:pPr>
              <w:pStyle w:val="Normal1linespace"/>
              <w:widowControl w:val="0"/>
              <w:jc w:val="left"/>
            </w:pPr>
          </w:p>
        </w:tc>
        <w:tc>
          <w:tcPr>
            <w:tcW w:w="5989" w:type="dxa"/>
            <w:shd w:val="clear" w:color="auto" w:fill="auto"/>
          </w:tcPr>
          <w:p w14:paraId="173D4F47" w14:textId="77777777" w:rsidR="002631D4" w:rsidRDefault="002631D4" w:rsidP="002631D4">
            <w:pPr>
              <w:pStyle w:val="Normal1linespace"/>
              <w:widowControl w:val="0"/>
              <w:jc w:val="left"/>
            </w:pPr>
          </w:p>
        </w:tc>
      </w:tr>
      <w:tr w:rsidR="00A74FEE" w14:paraId="7F208DC4" w14:textId="77777777" w:rsidTr="003D4E10">
        <w:tc>
          <w:tcPr>
            <w:tcW w:w="3084" w:type="dxa"/>
            <w:shd w:val="clear" w:color="auto" w:fill="auto"/>
          </w:tcPr>
          <w:p w14:paraId="05C87A1B" w14:textId="4FEB9F94" w:rsidR="00A74FEE" w:rsidRPr="002631D4" w:rsidRDefault="00A74FEE" w:rsidP="004B658B">
            <w:pPr>
              <w:pStyle w:val="Normal1linespace"/>
              <w:widowControl w:val="0"/>
              <w:jc w:val="left"/>
            </w:pPr>
            <w:bookmarkStart w:id="11" w:name="Place_rows" w:colFirst="0" w:colLast="1"/>
            <w:r>
              <w:t xml:space="preserve">Counsel for the </w:t>
            </w:r>
            <w:r w:rsidR="004B658B">
              <w:t>A</w:t>
            </w:r>
            <w:r>
              <w:t>ppellant:</w:t>
            </w:r>
          </w:p>
        </w:tc>
        <w:tc>
          <w:tcPr>
            <w:tcW w:w="5989" w:type="dxa"/>
            <w:shd w:val="clear" w:color="auto" w:fill="auto"/>
          </w:tcPr>
          <w:p w14:paraId="7701121B" w14:textId="76E9539D" w:rsidR="00A74FEE" w:rsidRPr="002631D4" w:rsidRDefault="00A74FEE" w:rsidP="00A74FEE">
            <w:pPr>
              <w:pStyle w:val="Normal1linespace"/>
              <w:widowControl w:val="0"/>
              <w:jc w:val="left"/>
            </w:pPr>
            <w:r>
              <w:t>The appellant appeared on his own behalf</w:t>
            </w:r>
          </w:p>
        </w:tc>
      </w:tr>
      <w:tr w:rsidR="00A74FEE" w14:paraId="5C42BB6A" w14:textId="77777777" w:rsidTr="003D4E10">
        <w:tc>
          <w:tcPr>
            <w:tcW w:w="3084" w:type="dxa"/>
            <w:shd w:val="clear" w:color="auto" w:fill="auto"/>
          </w:tcPr>
          <w:p w14:paraId="27B65F7E" w14:textId="77777777" w:rsidR="00A74FEE" w:rsidRDefault="00A74FEE" w:rsidP="002631D4">
            <w:pPr>
              <w:pStyle w:val="Normal1linespace"/>
              <w:widowControl w:val="0"/>
              <w:jc w:val="left"/>
            </w:pPr>
          </w:p>
        </w:tc>
        <w:tc>
          <w:tcPr>
            <w:tcW w:w="5989" w:type="dxa"/>
            <w:shd w:val="clear" w:color="auto" w:fill="auto"/>
          </w:tcPr>
          <w:p w14:paraId="1A7A2DFB" w14:textId="77777777" w:rsidR="00A74FEE" w:rsidRDefault="00A74FEE" w:rsidP="00A74FEE">
            <w:pPr>
              <w:pStyle w:val="Normal1linespace"/>
              <w:widowControl w:val="0"/>
              <w:jc w:val="left"/>
            </w:pPr>
          </w:p>
        </w:tc>
      </w:tr>
      <w:tr w:rsidR="00107BDE" w14:paraId="46648F28" w14:textId="77777777" w:rsidTr="003D4E10">
        <w:tc>
          <w:tcPr>
            <w:tcW w:w="3084" w:type="dxa"/>
            <w:shd w:val="clear" w:color="auto" w:fill="auto"/>
          </w:tcPr>
          <w:p w14:paraId="37ABDAFE" w14:textId="7EDFAAA9" w:rsidR="00107BDE" w:rsidRDefault="00107BDE" w:rsidP="002631D4">
            <w:pPr>
              <w:pStyle w:val="Normal1linespace"/>
              <w:widowControl w:val="0"/>
              <w:jc w:val="left"/>
            </w:pPr>
            <w:r>
              <w:t>Solicitor for the First Respondent:</w:t>
            </w:r>
          </w:p>
        </w:tc>
        <w:tc>
          <w:tcPr>
            <w:tcW w:w="5989" w:type="dxa"/>
            <w:shd w:val="clear" w:color="auto" w:fill="auto"/>
          </w:tcPr>
          <w:p w14:paraId="56FD16E7" w14:textId="2C82F103" w:rsidR="00107BDE" w:rsidRDefault="00107BDE" w:rsidP="00A74FEE">
            <w:pPr>
              <w:pStyle w:val="Normal1linespace"/>
              <w:widowControl w:val="0"/>
              <w:jc w:val="left"/>
            </w:pPr>
            <w:r>
              <w:t>Australian Government Solicitor</w:t>
            </w:r>
          </w:p>
        </w:tc>
      </w:tr>
    </w:tbl>
    <w:p w14:paraId="1945F202" w14:textId="77777777" w:rsidR="00B17D6E" w:rsidRDefault="00B17D6E">
      <w:pPr>
        <w:pStyle w:val="Normal1linespace"/>
      </w:pPr>
      <w:bookmarkStart w:id="12" w:name="CompletionTable"/>
      <w:bookmarkEnd w:id="9"/>
      <w:bookmarkEnd w:id="11"/>
    </w:p>
    <w:bookmarkEnd w:id="12"/>
    <w:p w14:paraId="2B61FA77" w14:textId="77777777" w:rsidR="007470BD" w:rsidRDefault="007470BD">
      <w:pPr>
        <w:pStyle w:val="Normal1linespace"/>
      </w:pPr>
    </w:p>
    <w:p w14:paraId="68D2627F" w14:textId="77777777" w:rsidR="00E94CBF" w:rsidRDefault="00E94CBF">
      <w:pPr>
        <w:pStyle w:val="Normal1linespace"/>
      </w:pPr>
    </w:p>
    <w:p w14:paraId="6D77D9C7" w14:textId="77777777" w:rsidR="003576D4" w:rsidRDefault="003576D4">
      <w:pPr>
        <w:spacing w:line="240" w:lineRule="auto"/>
        <w:jc w:val="left"/>
        <w:rPr>
          <w:b/>
          <w:sz w:val="28"/>
          <w:szCs w:val="28"/>
        </w:rPr>
      </w:pPr>
      <w:r>
        <w:rPr>
          <w:sz w:val="28"/>
          <w:szCs w:val="28"/>
        </w:rPr>
        <w:br w:type="page"/>
      </w:r>
    </w:p>
    <w:p w14:paraId="729B6A9D" w14:textId="3D1F1BBC"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84808D7" w14:textId="77777777" w:rsidTr="00E81DA6">
        <w:tc>
          <w:tcPr>
            <w:tcW w:w="6912" w:type="dxa"/>
            <w:gridSpan w:val="2"/>
          </w:tcPr>
          <w:p w14:paraId="4F55FE39" w14:textId="77777777" w:rsidR="00A46CCC" w:rsidRPr="001765E0" w:rsidRDefault="00A46CCC" w:rsidP="00525A49">
            <w:pPr>
              <w:pStyle w:val="NormalHeadings"/>
            </w:pPr>
          </w:p>
        </w:tc>
        <w:tc>
          <w:tcPr>
            <w:tcW w:w="2330" w:type="dxa"/>
          </w:tcPr>
          <w:p w14:paraId="3106ADD8" w14:textId="77777777" w:rsidR="00A46CCC" w:rsidRDefault="00A46CCC" w:rsidP="00F92355">
            <w:pPr>
              <w:pStyle w:val="NormalHeadings"/>
              <w:jc w:val="right"/>
            </w:pPr>
          </w:p>
        </w:tc>
      </w:tr>
      <w:tr w:rsidR="00A76C13" w14:paraId="330DB942" w14:textId="77777777" w:rsidTr="00F234B3">
        <w:tc>
          <w:tcPr>
            <w:tcW w:w="9242" w:type="dxa"/>
            <w:gridSpan w:val="3"/>
          </w:tcPr>
          <w:p w14:paraId="2E8803FC" w14:textId="77777777" w:rsidR="00A76C13" w:rsidRPr="00A76C13" w:rsidRDefault="002631D4" w:rsidP="002631D4">
            <w:pPr>
              <w:pStyle w:val="NormalHeadings"/>
              <w:jc w:val="left"/>
            </w:pPr>
            <w:bookmarkStart w:id="13" w:name="InTheMatterOf"/>
            <w:r>
              <w:t xml:space="preserve"> </w:t>
            </w:r>
            <w:bookmarkEnd w:id="13"/>
          </w:p>
        </w:tc>
      </w:tr>
      <w:tr w:rsidR="00A46CCC" w14:paraId="51C5A593" w14:textId="77777777" w:rsidTr="00F234B3">
        <w:trPr>
          <w:trHeight w:val="386"/>
        </w:trPr>
        <w:tc>
          <w:tcPr>
            <w:tcW w:w="2376" w:type="dxa"/>
          </w:tcPr>
          <w:p w14:paraId="3088E33B" w14:textId="77777777" w:rsidR="00A46CCC" w:rsidRDefault="00A46CCC" w:rsidP="00F234B3">
            <w:pPr>
              <w:pStyle w:val="NormalHeadings"/>
              <w:jc w:val="left"/>
              <w:rPr>
                <w:caps/>
                <w:szCs w:val="24"/>
              </w:rPr>
            </w:pPr>
            <w:bookmarkStart w:id="14" w:name="Parties"/>
            <w:r>
              <w:rPr>
                <w:caps/>
                <w:szCs w:val="24"/>
              </w:rPr>
              <w:t>BETWEEN:</w:t>
            </w:r>
          </w:p>
        </w:tc>
        <w:tc>
          <w:tcPr>
            <w:tcW w:w="6866" w:type="dxa"/>
            <w:gridSpan w:val="2"/>
          </w:tcPr>
          <w:p w14:paraId="0E822880" w14:textId="11DF78BF" w:rsidR="002631D4" w:rsidRDefault="002631D4" w:rsidP="002631D4">
            <w:pPr>
              <w:pStyle w:val="NormalHeadings"/>
              <w:jc w:val="left"/>
            </w:pPr>
            <w:bookmarkStart w:id="15" w:name="Applicant"/>
            <w:r>
              <w:t xml:space="preserve">ADEWALE </w:t>
            </w:r>
            <w:r w:rsidR="00842431">
              <w:t xml:space="preserve">KOLAPO </w:t>
            </w:r>
            <w:r>
              <w:t>KAREEM</w:t>
            </w:r>
          </w:p>
          <w:p w14:paraId="325876B7" w14:textId="77777777" w:rsidR="002631D4" w:rsidRDefault="002631D4" w:rsidP="002631D4">
            <w:pPr>
              <w:pStyle w:val="PartyType"/>
            </w:pPr>
            <w:r>
              <w:t>Appellant</w:t>
            </w:r>
          </w:p>
          <w:bookmarkEnd w:id="15"/>
          <w:p w14:paraId="06CF1783" w14:textId="77777777" w:rsidR="00A46CCC" w:rsidRPr="006555B4" w:rsidRDefault="00A46CCC" w:rsidP="00F234B3">
            <w:pPr>
              <w:pStyle w:val="NormalHeadings"/>
              <w:jc w:val="left"/>
            </w:pPr>
          </w:p>
        </w:tc>
      </w:tr>
      <w:tr w:rsidR="00A46CCC" w14:paraId="0B9AE5AB" w14:textId="77777777" w:rsidTr="00F234B3">
        <w:trPr>
          <w:trHeight w:val="386"/>
        </w:trPr>
        <w:tc>
          <w:tcPr>
            <w:tcW w:w="2376" w:type="dxa"/>
          </w:tcPr>
          <w:p w14:paraId="266DDFF5" w14:textId="77777777" w:rsidR="00A46CCC" w:rsidRDefault="00A46CCC" w:rsidP="00F234B3">
            <w:pPr>
              <w:pStyle w:val="NormalHeadings"/>
              <w:jc w:val="left"/>
              <w:rPr>
                <w:caps/>
                <w:szCs w:val="24"/>
              </w:rPr>
            </w:pPr>
            <w:r>
              <w:rPr>
                <w:caps/>
                <w:szCs w:val="24"/>
              </w:rPr>
              <w:t>AND:</w:t>
            </w:r>
          </w:p>
        </w:tc>
        <w:tc>
          <w:tcPr>
            <w:tcW w:w="6866" w:type="dxa"/>
            <w:gridSpan w:val="2"/>
          </w:tcPr>
          <w:p w14:paraId="60356E87" w14:textId="77777777" w:rsidR="002631D4" w:rsidRDefault="002631D4" w:rsidP="002631D4">
            <w:pPr>
              <w:pStyle w:val="NormalHeadings"/>
              <w:jc w:val="left"/>
            </w:pPr>
            <w:bookmarkStart w:id="16" w:name="Respondent"/>
            <w:r>
              <w:t>MINISTER FOR IMMIGRATION, CITIZENSHIP, MIGRATION SERVICES AND MULTICULTURAL AFFAIRS</w:t>
            </w:r>
          </w:p>
          <w:p w14:paraId="7CDE178B" w14:textId="77777777" w:rsidR="002631D4" w:rsidRDefault="002631D4" w:rsidP="002631D4">
            <w:pPr>
              <w:pStyle w:val="PartyType"/>
            </w:pPr>
            <w:r>
              <w:t>First Respondent</w:t>
            </w:r>
          </w:p>
          <w:p w14:paraId="6F3A1BEA" w14:textId="77777777" w:rsidR="002631D4" w:rsidRDefault="002631D4" w:rsidP="00F234B3">
            <w:pPr>
              <w:pStyle w:val="NormalHeadings"/>
              <w:jc w:val="left"/>
              <w:rPr>
                <w:szCs w:val="24"/>
              </w:rPr>
            </w:pPr>
          </w:p>
          <w:p w14:paraId="234DD9EB" w14:textId="77777777" w:rsidR="002631D4" w:rsidRDefault="002631D4" w:rsidP="002631D4">
            <w:pPr>
              <w:pStyle w:val="NormalHeadings"/>
              <w:jc w:val="left"/>
            </w:pPr>
            <w:r>
              <w:t>ADMINISTRATIVE APPEALS TRIBUNAL</w:t>
            </w:r>
          </w:p>
          <w:p w14:paraId="7CADD439" w14:textId="77777777" w:rsidR="002631D4" w:rsidRDefault="002631D4" w:rsidP="002631D4">
            <w:pPr>
              <w:pStyle w:val="PartyType"/>
            </w:pPr>
            <w:r>
              <w:t>Second Respondent</w:t>
            </w:r>
          </w:p>
          <w:bookmarkEnd w:id="16"/>
          <w:p w14:paraId="33B39654" w14:textId="77777777" w:rsidR="00A46CCC" w:rsidRPr="006555B4" w:rsidRDefault="00A46CCC" w:rsidP="00F234B3">
            <w:pPr>
              <w:pStyle w:val="NormalHeadings"/>
              <w:jc w:val="left"/>
            </w:pPr>
          </w:p>
        </w:tc>
      </w:tr>
    </w:tbl>
    <w:p w14:paraId="506979BB"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6FB5ED2F" w14:textId="77777777">
        <w:tc>
          <w:tcPr>
            <w:tcW w:w="2376" w:type="dxa"/>
          </w:tcPr>
          <w:p w14:paraId="796FE601"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54D7A3DB" w14:textId="77777777" w:rsidR="00395B24" w:rsidRDefault="002631D4">
            <w:pPr>
              <w:pStyle w:val="NormalHeadings"/>
              <w:jc w:val="left"/>
              <w:rPr>
                <w:caps/>
                <w:szCs w:val="24"/>
              </w:rPr>
            </w:pPr>
            <w:bookmarkStart w:id="19" w:name="Judge"/>
            <w:r>
              <w:rPr>
                <w:caps/>
                <w:szCs w:val="24"/>
              </w:rPr>
              <w:t>BROMWICH J</w:t>
            </w:r>
            <w:bookmarkEnd w:id="19"/>
          </w:p>
        </w:tc>
      </w:tr>
      <w:tr w:rsidR="00395B24" w14:paraId="5A9F3488" w14:textId="77777777">
        <w:tc>
          <w:tcPr>
            <w:tcW w:w="2376" w:type="dxa"/>
          </w:tcPr>
          <w:p w14:paraId="3159221B" w14:textId="77777777" w:rsidR="00395B24" w:rsidRDefault="002C7385">
            <w:pPr>
              <w:pStyle w:val="NormalHeadings"/>
              <w:spacing w:after="120"/>
              <w:jc w:val="left"/>
              <w:rPr>
                <w:caps/>
                <w:szCs w:val="24"/>
              </w:rPr>
            </w:pPr>
            <w:r>
              <w:rPr>
                <w:caps/>
                <w:szCs w:val="24"/>
              </w:rPr>
              <w:t>DATE OF ORDER:</w:t>
            </w:r>
          </w:p>
        </w:tc>
        <w:tc>
          <w:tcPr>
            <w:tcW w:w="6866" w:type="dxa"/>
          </w:tcPr>
          <w:p w14:paraId="437E2D5D" w14:textId="4F907049" w:rsidR="00395B24" w:rsidRDefault="00B46EA2" w:rsidP="00D8074A">
            <w:pPr>
              <w:pStyle w:val="NormalHeadings"/>
              <w:jc w:val="left"/>
              <w:rPr>
                <w:caps/>
                <w:szCs w:val="24"/>
              </w:rPr>
            </w:pPr>
            <w:bookmarkStart w:id="20" w:name="Judgment_Dated"/>
            <w:r w:rsidRPr="00E5239A">
              <w:rPr>
                <w:caps/>
                <w:szCs w:val="24"/>
              </w:rPr>
              <w:t>27</w:t>
            </w:r>
            <w:r w:rsidR="002631D4">
              <w:rPr>
                <w:caps/>
                <w:szCs w:val="24"/>
              </w:rPr>
              <w:t xml:space="preserve"> </w:t>
            </w:r>
            <w:r w:rsidR="00D8074A">
              <w:rPr>
                <w:caps/>
                <w:szCs w:val="24"/>
              </w:rPr>
              <w:t>August 2021</w:t>
            </w:r>
            <w:bookmarkEnd w:id="20"/>
          </w:p>
        </w:tc>
      </w:tr>
    </w:tbl>
    <w:p w14:paraId="28AF26E4" w14:textId="77777777" w:rsidR="00395B24" w:rsidRDefault="00395B24">
      <w:pPr>
        <w:pStyle w:val="NormalHeadings"/>
        <w:rPr>
          <w:b w:val="0"/>
        </w:rPr>
      </w:pPr>
    </w:p>
    <w:p w14:paraId="6273B85E" w14:textId="77777777" w:rsidR="008D1617" w:rsidRDefault="008D1617">
      <w:pPr>
        <w:pStyle w:val="NormalHeadings"/>
        <w:rPr>
          <w:b w:val="0"/>
        </w:rPr>
      </w:pPr>
    </w:p>
    <w:p w14:paraId="0C74C931" w14:textId="77777777" w:rsidR="00395B24" w:rsidRDefault="002C7385">
      <w:pPr>
        <w:pStyle w:val="NormalHeadings"/>
      </w:pPr>
      <w:r>
        <w:t>THE COURT ORDERS THAT:</w:t>
      </w:r>
    </w:p>
    <w:p w14:paraId="77570482" w14:textId="77777777" w:rsidR="007F60DF" w:rsidRDefault="007F60DF" w:rsidP="00243E5E">
      <w:pPr>
        <w:pStyle w:val="NormalHeadings"/>
      </w:pPr>
    </w:p>
    <w:p w14:paraId="6054F9C4" w14:textId="77777777" w:rsidR="001A6C52" w:rsidRDefault="00210792" w:rsidP="001A6C52">
      <w:pPr>
        <w:pStyle w:val="Order1"/>
      </w:pPr>
      <w:r>
        <w:t>The appeal be dismissed.</w:t>
      </w:r>
    </w:p>
    <w:p w14:paraId="36FECEDD" w14:textId="77777777" w:rsidR="00210792" w:rsidRDefault="00210792" w:rsidP="001A6C52">
      <w:pPr>
        <w:pStyle w:val="Order1"/>
      </w:pPr>
      <w:r>
        <w:t>The appellant pay the first respondent’s costs as assessed or agreed.</w:t>
      </w:r>
    </w:p>
    <w:p w14:paraId="6852B505" w14:textId="77777777" w:rsidR="001A6C52" w:rsidRDefault="001A6C52" w:rsidP="001A6C52">
      <w:pPr>
        <w:pStyle w:val="BodyText"/>
      </w:pPr>
    </w:p>
    <w:p w14:paraId="47F77E9F" w14:textId="77777777" w:rsidR="00A431E6" w:rsidRDefault="00A431E6" w:rsidP="001A6C52">
      <w:pPr>
        <w:pStyle w:val="BodyText"/>
      </w:pPr>
    </w:p>
    <w:p w14:paraId="7CC172A0" w14:textId="77777777" w:rsidR="0050309C" w:rsidRDefault="002631D4"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24574E4D" w14:textId="77777777" w:rsidR="009D328D" w:rsidRDefault="009D328D" w:rsidP="002B0E91">
      <w:pPr>
        <w:pStyle w:val="BodyText"/>
      </w:pPr>
    </w:p>
    <w:p w14:paraId="4463A249"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3D559AD8"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18221F85" w14:textId="77777777" w:rsidR="00694BEB" w:rsidRDefault="002631D4" w:rsidP="005E0510">
      <w:pPr>
        <w:pStyle w:val="NormalHeadings"/>
        <w:spacing w:line="360" w:lineRule="auto"/>
        <w:jc w:val="left"/>
        <w:rPr>
          <w:sz w:val="26"/>
          <w:szCs w:val="26"/>
        </w:rPr>
      </w:pPr>
      <w:r>
        <w:rPr>
          <w:sz w:val="26"/>
          <w:szCs w:val="26"/>
        </w:rPr>
        <w:t>BROMWICH J:</w:t>
      </w:r>
    </w:p>
    <w:p w14:paraId="701FFCFE" w14:textId="4DBC23D6" w:rsidR="005A2D18" w:rsidRDefault="00BA61C6" w:rsidP="005A2D18">
      <w:pPr>
        <w:pStyle w:val="ParaNumbering"/>
      </w:pPr>
      <w:r>
        <w:t xml:space="preserve">This is an appeal from orders made by a judge of the Federal Circuit Court of Australia, dismissing with costs an application for judicial review of a decision of the second respondent, the Administrative Appeals Tribunal.  The Tribunal affirmed a decision of a delegate of the first respondent, the </w:t>
      </w:r>
      <w:r w:rsidRPr="00BA61C6">
        <w:t xml:space="preserve">Minister </w:t>
      </w:r>
      <w:r>
        <w:t>f</w:t>
      </w:r>
      <w:r w:rsidRPr="00BA61C6">
        <w:t xml:space="preserve">or Immigration, Citizenship, Migrant Services </w:t>
      </w:r>
      <w:r>
        <w:t>a</w:t>
      </w:r>
      <w:r w:rsidRPr="00BA61C6">
        <w:t>nd Multicultural Affairs</w:t>
      </w:r>
      <w:r>
        <w:t xml:space="preserve">, to refuse the grant of a Partner (Provisional) (Class UF) </w:t>
      </w:r>
      <w:r w:rsidR="007F5898">
        <w:t xml:space="preserve">(subclass 309) </w:t>
      </w:r>
      <w:r>
        <w:t xml:space="preserve">visa.  </w:t>
      </w:r>
    </w:p>
    <w:p w14:paraId="163987A6" w14:textId="79B53773" w:rsidR="00C80A67" w:rsidRDefault="003E05E1" w:rsidP="00F234B3">
      <w:pPr>
        <w:pStyle w:val="ParaNumbering"/>
      </w:pPr>
      <w:r>
        <w:t xml:space="preserve">The appellant, an Australian citizen, </w:t>
      </w:r>
      <w:r w:rsidR="0056383B">
        <w:t>is</w:t>
      </w:r>
      <w:r>
        <w:t xml:space="preserve"> the </w:t>
      </w:r>
      <w:r w:rsidRPr="001F678E">
        <w:t>sponsor</w:t>
      </w:r>
      <w:r>
        <w:t xml:space="preserve"> of the visa applicant, a Nigerian citizen living in Nigeria.  </w:t>
      </w:r>
      <w:r w:rsidR="001F678E">
        <w:t xml:space="preserve">It is convenient to refer to the appellant in these reasons as the </w:t>
      </w:r>
      <w:r w:rsidR="001F678E" w:rsidRPr="001F678E">
        <w:rPr>
          <w:b/>
        </w:rPr>
        <w:t>sponsor</w:t>
      </w:r>
      <w:r w:rsidR="001F678E">
        <w:t xml:space="preserve">.  </w:t>
      </w:r>
      <w:r>
        <w:t xml:space="preserve">The visa applicant applied for the visa </w:t>
      </w:r>
      <w:r w:rsidR="00F0640F">
        <w:t xml:space="preserve">the subject of this appeal </w:t>
      </w:r>
      <w:r>
        <w:t>upon the basis that she was in a de facto relationship with the sponsor, having previously</w:t>
      </w:r>
      <w:r w:rsidR="00F0640F">
        <w:t xml:space="preserve"> been</w:t>
      </w:r>
      <w:r>
        <w:t xml:space="preserve"> refused a number of other visas that she had applied for.  The </w:t>
      </w:r>
      <w:r w:rsidR="00545A47">
        <w:t xml:space="preserve">Minister’s </w:t>
      </w:r>
      <w:r>
        <w:t xml:space="preserve">delegate refused to grant the visa, and the Tribunal </w:t>
      </w:r>
      <w:r w:rsidR="00D8074A">
        <w:t xml:space="preserve">principally </w:t>
      </w:r>
      <w:r>
        <w:t>affirmed that decision upon the basis of not being satisfied that the visa applicant and the sponsor were in an exclusive relationship</w:t>
      </w:r>
      <w:r w:rsidR="00972F99">
        <w:t xml:space="preserve"> </w:t>
      </w:r>
      <w:r>
        <w:t xml:space="preserve">as required by </w:t>
      </w:r>
      <w:r w:rsidR="00F27318">
        <w:t xml:space="preserve">part of </w:t>
      </w:r>
      <w:r>
        <w:t xml:space="preserve">the definition of </w:t>
      </w:r>
      <w:r w:rsidR="00977D32">
        <w:t>“</w:t>
      </w:r>
      <w:r w:rsidRPr="00977D32">
        <w:rPr>
          <w:i/>
        </w:rPr>
        <w:t>de facto partner</w:t>
      </w:r>
      <w:r w:rsidR="00977D32">
        <w:t>”</w:t>
      </w:r>
      <w:r>
        <w:t xml:space="preserve"> in </w:t>
      </w:r>
      <w:r w:rsidRPr="00A74FEE">
        <w:t xml:space="preserve">s 5CB of the </w:t>
      </w:r>
      <w:r w:rsidRPr="00A74FEE">
        <w:rPr>
          <w:i/>
        </w:rPr>
        <w:t xml:space="preserve">Migration Act 1958 </w:t>
      </w:r>
      <w:r w:rsidRPr="00A74FEE">
        <w:t>(</w:t>
      </w:r>
      <w:proofErr w:type="spellStart"/>
      <w:r w:rsidRPr="00A74FEE">
        <w:t>Cth</w:t>
      </w:r>
      <w:proofErr w:type="spellEnd"/>
      <w:r w:rsidRPr="00A74FEE">
        <w:t>)</w:t>
      </w:r>
      <w:r>
        <w:t>, as detailed further below</w:t>
      </w:r>
      <w:r w:rsidR="00545A47">
        <w:t xml:space="preserve">. </w:t>
      </w:r>
      <w:r w:rsidR="00D8074A">
        <w:t xml:space="preserve"> </w:t>
      </w:r>
    </w:p>
    <w:p w14:paraId="32285CEE" w14:textId="11604E88" w:rsidR="00661CA3" w:rsidRDefault="003E05E1" w:rsidP="00D8074A">
      <w:pPr>
        <w:pStyle w:val="ParaNumbering"/>
      </w:pPr>
      <w:r>
        <w:t xml:space="preserve">Before both the delegate and the Tribunal, it was not in doubt that the sponsor had been in a polygamous relationship with the visa applicant and with another </w:t>
      </w:r>
      <w:r w:rsidR="00AF72F8">
        <w:t>person</w:t>
      </w:r>
      <w:r>
        <w:t xml:space="preserve">, Ms </w:t>
      </w:r>
      <w:proofErr w:type="spellStart"/>
      <w:r w:rsidRPr="007F5898">
        <w:t>Oluwakemi</w:t>
      </w:r>
      <w:proofErr w:type="spellEnd"/>
      <w:r w:rsidRPr="007F5898">
        <w:t xml:space="preserve"> </w:t>
      </w:r>
      <w:proofErr w:type="spellStart"/>
      <w:r w:rsidRPr="007F5898">
        <w:t>Omotayo</w:t>
      </w:r>
      <w:proofErr w:type="spellEnd"/>
      <w:r>
        <w:t xml:space="preserve">.  </w:t>
      </w:r>
      <w:r w:rsidR="00072C2E">
        <w:t xml:space="preserve">The </w:t>
      </w:r>
      <w:r w:rsidR="001F678E">
        <w:t xml:space="preserve">sponsor </w:t>
      </w:r>
      <w:r w:rsidR="00072C2E">
        <w:t xml:space="preserve">did not deny that had been the situation in the past, but his case was that his relationship with Ms </w:t>
      </w:r>
      <w:proofErr w:type="spellStart"/>
      <w:r w:rsidR="00072C2E">
        <w:t>Omotayo</w:t>
      </w:r>
      <w:proofErr w:type="spellEnd"/>
      <w:r w:rsidR="00072C2E">
        <w:t xml:space="preserve"> had ceased, and that his sole relationship was with the visa applicant.  </w:t>
      </w:r>
      <w:r>
        <w:t xml:space="preserve">The delegate and the Tribunal </w:t>
      </w:r>
      <w:r w:rsidR="00977D32">
        <w:t xml:space="preserve">both </w:t>
      </w:r>
      <w:r>
        <w:t xml:space="preserve">recorded three children from </w:t>
      </w:r>
      <w:r w:rsidR="00977D32">
        <w:t>the sponsor’s</w:t>
      </w:r>
      <w:r>
        <w:t xml:space="preserve"> relationship</w:t>
      </w:r>
      <w:r w:rsidR="00661CA3">
        <w:t xml:space="preserve"> with the visa applicant</w:t>
      </w:r>
      <w:r w:rsidR="00545A47">
        <w:t>,</w:t>
      </w:r>
      <w:r w:rsidR="00661CA3">
        <w:t xml:space="preserve"> and </w:t>
      </w:r>
      <w:r w:rsidR="00977D32">
        <w:t xml:space="preserve">three children from the sponsor’s relationship with </w:t>
      </w:r>
      <w:r w:rsidR="00661CA3">
        <w:t>Ms</w:t>
      </w:r>
      <w:r w:rsidR="00E5239A">
        <w:t> </w:t>
      </w:r>
      <w:proofErr w:type="spellStart"/>
      <w:r w:rsidR="00661CA3" w:rsidRPr="007F5898">
        <w:t>Omotayo</w:t>
      </w:r>
      <w:proofErr w:type="spellEnd"/>
      <w:r>
        <w:t>, with overlapping birth dates, in the period from 1998 to 2011.  Neither the delegate nor the Tribunal were satisfied that the relationship between the sponsor and Ms</w:t>
      </w:r>
      <w:r w:rsidR="00E5239A">
        <w:t> </w:t>
      </w:r>
      <w:proofErr w:type="spellStart"/>
      <w:r>
        <w:t>Om</w:t>
      </w:r>
      <w:r w:rsidR="00625886">
        <w:t>o</w:t>
      </w:r>
      <w:r>
        <w:t>tayo</w:t>
      </w:r>
      <w:proofErr w:type="spellEnd"/>
      <w:r>
        <w:t xml:space="preserve"> had ended, such </w:t>
      </w:r>
      <w:r w:rsidR="00661CA3">
        <w:t xml:space="preserve">that </w:t>
      </w:r>
      <w:r>
        <w:t xml:space="preserve">neither was satisfied, as required, that the sponsor was in a relationship with the visa applicant to the exclusion of all others.  </w:t>
      </w:r>
      <w:r w:rsidR="00A2301B">
        <w:t>The Tribunal’s decision was also made upon the basis of not being satisfied that the relationship was genuine and continuing.</w:t>
      </w:r>
    </w:p>
    <w:p w14:paraId="5181EB81" w14:textId="5677F243" w:rsidR="00C80A67" w:rsidRDefault="003E05E1" w:rsidP="00F234B3">
      <w:pPr>
        <w:pStyle w:val="ParaNumbering"/>
      </w:pPr>
      <w:r>
        <w:t xml:space="preserve">The primary judge </w:t>
      </w:r>
      <w:r w:rsidR="00661CA3">
        <w:t xml:space="preserve">considered </w:t>
      </w:r>
      <w:r w:rsidR="001F678E">
        <w:t xml:space="preserve">the sponsor’s </w:t>
      </w:r>
      <w:r w:rsidR="00661CA3">
        <w:t xml:space="preserve">three written </w:t>
      </w:r>
      <w:r w:rsidR="0039337B">
        <w:t xml:space="preserve">grounds of review </w:t>
      </w:r>
      <w:r w:rsidR="00661CA3">
        <w:t>and one oral ground of review</w:t>
      </w:r>
      <w:r w:rsidR="0039337B">
        <w:t>,</w:t>
      </w:r>
      <w:r w:rsidR="00661CA3">
        <w:t xml:space="preserve"> asserting error on the part of the Tribunal.  His Honour </w:t>
      </w:r>
      <w:r>
        <w:t xml:space="preserve">was not satisfied that any </w:t>
      </w:r>
      <w:r w:rsidR="00661CA3">
        <w:t>jurisdictional</w:t>
      </w:r>
      <w:r>
        <w:t xml:space="preserve"> error had been established</w:t>
      </w:r>
      <w:r w:rsidR="007F23E9">
        <w:t xml:space="preserve">, characterising much of what was advanced </w:t>
      </w:r>
      <w:r w:rsidR="00A2301B">
        <w:t xml:space="preserve">by the sponsor </w:t>
      </w:r>
      <w:r w:rsidR="007F23E9">
        <w:t>as amounting</w:t>
      </w:r>
      <w:r w:rsidR="00C80A67">
        <w:t xml:space="preserve"> in effect </w:t>
      </w:r>
      <w:r w:rsidR="007F23E9">
        <w:t>to impermissible merits review</w:t>
      </w:r>
      <w:r>
        <w:t>.  In particular, assertions that the Tribunal had failed to have regard to the best interest</w:t>
      </w:r>
      <w:r w:rsidR="003C72A4">
        <w:t>s</w:t>
      </w:r>
      <w:r>
        <w:t xml:space="preserve"> of the affected children were found </w:t>
      </w:r>
      <w:r>
        <w:lastRenderedPageBreak/>
        <w:t>by his Honour to be irrelevant in light of the mandatory visa criterion</w:t>
      </w:r>
      <w:r w:rsidR="00F27318">
        <w:t xml:space="preserve"> of an exclusive relationship</w:t>
      </w:r>
      <w:r>
        <w:t xml:space="preserve"> that the Tribunal had found the visa applicant had not been able to meet.</w:t>
      </w:r>
      <w:r w:rsidR="007F23E9">
        <w:t xml:space="preserve">  </w:t>
      </w:r>
    </w:p>
    <w:p w14:paraId="003493ED" w14:textId="4BE5C905" w:rsidR="003E05E1" w:rsidRDefault="00C80A67" w:rsidP="00F234B3">
      <w:pPr>
        <w:pStyle w:val="ParaNumbering"/>
      </w:pPr>
      <w:r>
        <w:t xml:space="preserve">The primary judge </w:t>
      </w:r>
      <w:r w:rsidR="007F23E9">
        <w:t xml:space="preserve">also rejected grounds </w:t>
      </w:r>
      <w:r w:rsidR="00A2301B">
        <w:t xml:space="preserve">of review </w:t>
      </w:r>
      <w:r w:rsidR="007F23E9">
        <w:t xml:space="preserve">and submissions </w:t>
      </w:r>
      <w:r w:rsidR="001F678E">
        <w:t xml:space="preserve">of the sponsor </w:t>
      </w:r>
      <w:r w:rsidR="007F23E9">
        <w:t>by which it was alleged that the Tribunal was biased, or the decision tainted by pre-judgment</w:t>
      </w:r>
      <w:r w:rsidR="00AF72F8">
        <w:t>. This assertion was largely made</w:t>
      </w:r>
      <w:r w:rsidR="00F27318">
        <w:t xml:space="preserve"> </w:t>
      </w:r>
      <w:r w:rsidR="007F23E9">
        <w:t>because there was no consideration given to the best interests of the affected children</w:t>
      </w:r>
      <w:r w:rsidR="00A57BB7">
        <w:t>. The primary judge determined that no such consideration was</w:t>
      </w:r>
      <w:r w:rsidR="00FC7924">
        <w:t xml:space="preserve"> required</w:t>
      </w:r>
      <w:r w:rsidR="007F23E9">
        <w:t xml:space="preserve">.  Nor did his Honour accept </w:t>
      </w:r>
      <w:r w:rsidR="00AF72F8">
        <w:t xml:space="preserve">the assertion </w:t>
      </w:r>
      <w:r w:rsidR="007F23E9">
        <w:t>that evidence</w:t>
      </w:r>
      <w:r w:rsidR="00AF72F8">
        <w:t xml:space="preserve">s </w:t>
      </w:r>
      <w:r w:rsidR="00FC7924">
        <w:t>generally</w:t>
      </w:r>
      <w:r w:rsidR="00A57BB7">
        <w:t>,</w:t>
      </w:r>
      <w:r w:rsidR="00FC7924">
        <w:t xml:space="preserve"> but not specifically</w:t>
      </w:r>
      <w:r w:rsidR="00A57BB7">
        <w:t>,</w:t>
      </w:r>
      <w:r w:rsidR="00FC7924">
        <w:t xml:space="preserve"> </w:t>
      </w:r>
      <w:r w:rsidR="007F23E9">
        <w:t>referred to</w:t>
      </w:r>
      <w:r w:rsidR="00FC7924">
        <w:t xml:space="preserve"> by the Tribunal </w:t>
      </w:r>
      <w:r w:rsidR="007F23E9">
        <w:t xml:space="preserve">had not been considered.  </w:t>
      </w:r>
    </w:p>
    <w:p w14:paraId="7C1B9953" w14:textId="77777777" w:rsidR="003E05E1" w:rsidRDefault="00305AAE" w:rsidP="003E05E1">
      <w:pPr>
        <w:pStyle w:val="Heading2"/>
      </w:pPr>
      <w:r>
        <w:t>L</w:t>
      </w:r>
      <w:r w:rsidR="003E05E1">
        <w:t>egislative regime</w:t>
      </w:r>
      <w:r>
        <w:t>,</w:t>
      </w:r>
      <w:r w:rsidR="007F23E9">
        <w:t xml:space="preserve"> the best interests of affected children</w:t>
      </w:r>
      <w:r>
        <w:t xml:space="preserve"> and hardship from visa refusal</w:t>
      </w:r>
    </w:p>
    <w:p w14:paraId="49D60821" w14:textId="054CC18E" w:rsidR="007F23E9" w:rsidRDefault="00A57BB7" w:rsidP="002623E7">
      <w:pPr>
        <w:pStyle w:val="ParaNumbering"/>
      </w:pPr>
      <w:r>
        <w:t>T</w:t>
      </w:r>
      <w:r w:rsidR="007F23E9">
        <w:t xml:space="preserve">he </w:t>
      </w:r>
      <w:r w:rsidR="001F678E">
        <w:t xml:space="preserve">sponsor </w:t>
      </w:r>
      <w:r w:rsidR="007F23E9">
        <w:t>continues to maintain</w:t>
      </w:r>
      <w:r w:rsidR="00FC7924">
        <w:t xml:space="preserve"> as a dominant theme in his appeal</w:t>
      </w:r>
      <w:r>
        <w:t xml:space="preserve"> </w:t>
      </w:r>
      <w:r w:rsidR="00A2301B">
        <w:t xml:space="preserve">grounds and written and oral submissions </w:t>
      </w:r>
      <w:r>
        <w:t>that the Tribunal was required to take into account</w:t>
      </w:r>
      <w:r w:rsidR="007F23E9">
        <w:t xml:space="preserve"> the best interests of the affected children</w:t>
      </w:r>
      <w:r w:rsidR="00B709A8">
        <w:t xml:space="preserve">, and </w:t>
      </w:r>
      <w:r>
        <w:t xml:space="preserve">other </w:t>
      </w:r>
      <w:r w:rsidR="00B709A8">
        <w:t xml:space="preserve">related issues, </w:t>
      </w:r>
      <w:r w:rsidR="00305AAE">
        <w:t xml:space="preserve">including </w:t>
      </w:r>
      <w:r w:rsidR="00F27318">
        <w:t xml:space="preserve">hardship and </w:t>
      </w:r>
      <w:r w:rsidR="003C5915">
        <w:t xml:space="preserve">asserted </w:t>
      </w:r>
      <w:r w:rsidR="00305AAE">
        <w:t>denial</w:t>
      </w:r>
      <w:r w:rsidR="003C5915">
        <w:t>s</w:t>
      </w:r>
      <w:r w:rsidR="00305AAE">
        <w:t xml:space="preserve"> of procedural fairness</w:t>
      </w:r>
      <w:r w:rsidR="00B4137D">
        <w:t>, in deciding whether or not to affirm the delegate’s decision</w:t>
      </w:r>
      <w:r>
        <w:t>.</w:t>
      </w:r>
      <w:r w:rsidR="007F23E9">
        <w:t xml:space="preserve"> </w:t>
      </w:r>
      <w:r w:rsidR="00A2301B">
        <w:t xml:space="preserve"> </w:t>
      </w:r>
      <w:r>
        <w:t xml:space="preserve">Given </w:t>
      </w:r>
      <w:r w:rsidR="00AF72F8">
        <w:t>these arguments</w:t>
      </w:r>
      <w:r>
        <w:t xml:space="preserve">, it is </w:t>
      </w:r>
      <w:r w:rsidR="00B4137D">
        <w:t xml:space="preserve">necessary first </w:t>
      </w:r>
      <w:r>
        <w:t xml:space="preserve">to set out a short explanation of </w:t>
      </w:r>
      <w:r w:rsidR="007F23E9">
        <w:t>the relevant visa criteria.</w:t>
      </w:r>
    </w:p>
    <w:p w14:paraId="00687A0A" w14:textId="78B06036" w:rsidR="005F4327" w:rsidRDefault="00CE640C" w:rsidP="00E5239A">
      <w:pPr>
        <w:pStyle w:val="ParaNumbering"/>
      </w:pPr>
      <w:r>
        <w:t>Section</w:t>
      </w:r>
      <w:r w:rsidR="008B7CD3" w:rsidRPr="00A74FEE">
        <w:t xml:space="preserve"> 65(1) of the </w:t>
      </w:r>
      <w:r w:rsidR="008B7CD3" w:rsidRPr="00E5239A">
        <w:rPr>
          <w:i/>
          <w:lang w:eastAsia="en-AU"/>
        </w:rPr>
        <w:t>Migration Act</w:t>
      </w:r>
      <w:r w:rsidR="008B7CD3" w:rsidRPr="00A74FEE">
        <w:t xml:space="preserve"> </w:t>
      </w:r>
      <w:r w:rsidR="008B7CD3">
        <w:t>requires</w:t>
      </w:r>
      <w:r>
        <w:t xml:space="preserve"> that</w:t>
      </w:r>
      <w:r w:rsidR="0066500A">
        <w:t xml:space="preserve"> a valid</w:t>
      </w:r>
      <w:r w:rsidR="008B7CD3">
        <w:t xml:space="preserve"> visa application</w:t>
      </w:r>
      <w:r w:rsidR="00BD67AE">
        <w:t xml:space="preserve"> for which any application fee has been paid</w:t>
      </w:r>
      <w:r>
        <w:t xml:space="preserve"> be granted if the criteria for the grant of the visa are met, and be refused if the criteria are not met. </w:t>
      </w:r>
      <w:r w:rsidR="00BD67AE">
        <w:t xml:space="preserve"> </w:t>
      </w:r>
      <w:r>
        <w:t xml:space="preserve">This is </w:t>
      </w:r>
      <w:r w:rsidR="00BD67AE">
        <w:t>subject to certain exclusions not applicable in this case</w:t>
      </w:r>
      <w:r>
        <w:t>.</w:t>
      </w:r>
      <w:r w:rsidR="00A57BB7">
        <w:t xml:space="preserve"> </w:t>
      </w:r>
      <w:r w:rsidR="00E5239A">
        <w:t xml:space="preserve"> </w:t>
      </w:r>
      <w:r w:rsidR="008B7CD3">
        <w:t>No discretion is involved</w:t>
      </w:r>
      <w:r w:rsidR="001F678E">
        <w:t xml:space="preserve"> in making that binary determination</w:t>
      </w:r>
      <w:r w:rsidR="008B7CD3">
        <w:t xml:space="preserve">, although </w:t>
      </w:r>
      <w:r w:rsidR="003C5915">
        <w:t xml:space="preserve">for </w:t>
      </w:r>
      <w:r w:rsidR="008B7CD3">
        <w:t>some visa</w:t>
      </w:r>
      <w:r w:rsidR="003C5915">
        <w:t>s</w:t>
      </w:r>
      <w:r w:rsidR="008B7CD3">
        <w:t xml:space="preserve"> </w:t>
      </w:r>
      <w:r w:rsidR="00B324D2">
        <w:t xml:space="preserve">one or more of the </w:t>
      </w:r>
      <w:r w:rsidR="008B7CD3">
        <w:t xml:space="preserve">criteria may have </w:t>
      </w:r>
      <w:r w:rsidR="00A2301B">
        <w:t xml:space="preserve">a </w:t>
      </w:r>
      <w:r w:rsidR="008B7CD3">
        <w:t>discretionary element</w:t>
      </w:r>
      <w:r w:rsidR="00A57BB7">
        <w:t xml:space="preserve"> which </w:t>
      </w:r>
      <w:r w:rsidR="00A2301B">
        <w:t>is</w:t>
      </w:r>
      <w:r w:rsidR="00A57BB7">
        <w:t xml:space="preserve"> </w:t>
      </w:r>
      <w:r w:rsidR="003C5915">
        <w:t>able to be waived</w:t>
      </w:r>
      <w:r w:rsidR="008B7CD3">
        <w:t xml:space="preserve">.  </w:t>
      </w:r>
    </w:p>
    <w:p w14:paraId="12B0F0A4" w14:textId="0EC834A4" w:rsidR="00B324D2" w:rsidRPr="005F4327" w:rsidRDefault="005F4327" w:rsidP="004D5D98">
      <w:pPr>
        <w:pStyle w:val="ParaNumbering"/>
      </w:pPr>
      <w:r>
        <w:t>Among t</w:t>
      </w:r>
      <w:r w:rsidR="00E42A4E">
        <w:t>he criteri</w:t>
      </w:r>
      <w:r>
        <w:t>a</w:t>
      </w:r>
      <w:r w:rsidR="00E42A4E">
        <w:t xml:space="preserve"> </w:t>
      </w:r>
      <w:r w:rsidR="0000066B">
        <w:t>required to be met</w:t>
      </w:r>
      <w:r w:rsidR="006055F7">
        <w:t xml:space="preserve"> </w:t>
      </w:r>
      <w:r w:rsidR="0040007C">
        <w:t>at the time of the 23</w:t>
      </w:r>
      <w:r w:rsidR="0000066B">
        <w:t> </w:t>
      </w:r>
      <w:r w:rsidR="0040007C">
        <w:t>July 2017</w:t>
      </w:r>
      <w:r w:rsidR="00DD5305">
        <w:t xml:space="preserve"> visa application</w:t>
      </w:r>
      <w:r w:rsidR="0040007C">
        <w:t>, and</w:t>
      </w:r>
      <w:r w:rsidR="00B60A71">
        <w:t xml:space="preserve"> </w:t>
      </w:r>
      <w:r w:rsidR="0040007C">
        <w:t xml:space="preserve">still required to be met at the time of the visa decision, was that the visa applicant was the spouse or de facto partner of an Australian citizen: </w:t>
      </w:r>
      <w:r w:rsidR="005A2D18" w:rsidRPr="00A74FEE">
        <w:rPr>
          <w:i/>
          <w:iCs/>
          <w:szCs w:val="24"/>
        </w:rPr>
        <w:t xml:space="preserve">Migration Regulations 1994 </w:t>
      </w:r>
      <w:r w:rsidR="005A2D18" w:rsidRPr="00A74FEE">
        <w:rPr>
          <w:iCs/>
          <w:szCs w:val="24"/>
        </w:rPr>
        <w:t>(</w:t>
      </w:r>
      <w:proofErr w:type="spellStart"/>
      <w:r w:rsidR="005A2D18" w:rsidRPr="00A74FEE">
        <w:rPr>
          <w:iCs/>
          <w:szCs w:val="24"/>
        </w:rPr>
        <w:t>Cth</w:t>
      </w:r>
      <w:proofErr w:type="spellEnd"/>
      <w:r w:rsidR="005A2D18" w:rsidRPr="00A74FEE">
        <w:rPr>
          <w:iCs/>
          <w:szCs w:val="24"/>
        </w:rPr>
        <w:t xml:space="preserve">) </w:t>
      </w:r>
      <w:proofErr w:type="spellStart"/>
      <w:r w:rsidR="00DD5305">
        <w:rPr>
          <w:iCs/>
          <w:szCs w:val="24"/>
        </w:rPr>
        <w:t>s</w:t>
      </w:r>
      <w:r w:rsidR="005A2D18" w:rsidRPr="00A74FEE">
        <w:rPr>
          <w:iCs/>
          <w:szCs w:val="24"/>
        </w:rPr>
        <w:t>ch</w:t>
      </w:r>
      <w:proofErr w:type="spellEnd"/>
      <w:r w:rsidR="005A2D18" w:rsidRPr="00A74FEE">
        <w:rPr>
          <w:iCs/>
          <w:szCs w:val="24"/>
        </w:rPr>
        <w:t> 2 cl 309.211(</w:t>
      </w:r>
      <w:r w:rsidR="003E05E1" w:rsidRPr="00A74FEE">
        <w:rPr>
          <w:iCs/>
          <w:szCs w:val="24"/>
        </w:rPr>
        <w:t>2</w:t>
      </w:r>
      <w:r w:rsidR="005A2D18" w:rsidRPr="00A74FEE">
        <w:rPr>
          <w:iCs/>
          <w:szCs w:val="24"/>
        </w:rPr>
        <w:t>)(a)</w:t>
      </w:r>
      <w:r w:rsidR="005A2D18" w:rsidRPr="00B324D2">
        <w:rPr>
          <w:iCs/>
          <w:szCs w:val="24"/>
        </w:rPr>
        <w:t xml:space="preserve">.  </w:t>
      </w:r>
      <w:r w:rsidR="00B709BE" w:rsidRPr="00B324D2">
        <w:rPr>
          <w:iCs/>
          <w:szCs w:val="24"/>
        </w:rPr>
        <w:t>The visa application in this case was made upon the basis of the visa applicant being the de facto partner of the sponsor</w:t>
      </w:r>
      <w:r>
        <w:rPr>
          <w:iCs/>
          <w:szCs w:val="24"/>
        </w:rPr>
        <w:t>, rather than spouse</w:t>
      </w:r>
      <w:r w:rsidR="00B709BE" w:rsidRPr="00B324D2">
        <w:rPr>
          <w:iCs/>
          <w:szCs w:val="24"/>
        </w:rPr>
        <w:t>.</w:t>
      </w:r>
      <w:r w:rsidR="00B324D2" w:rsidRPr="00B324D2">
        <w:rPr>
          <w:iCs/>
          <w:szCs w:val="24"/>
        </w:rPr>
        <w:t xml:space="preserve">  </w:t>
      </w:r>
      <w:r w:rsidR="001F678E">
        <w:rPr>
          <w:iCs/>
          <w:szCs w:val="24"/>
        </w:rPr>
        <w:t>The Tribunal also addressed the alternative of a spouse relationship, reaching the same conclusion, but nothing turns on this and it therefore does not need to be addressed further.</w:t>
      </w:r>
    </w:p>
    <w:p w14:paraId="148CBF68" w14:textId="5063E13A" w:rsidR="00D96343" w:rsidRPr="003D012C" w:rsidRDefault="00D96343" w:rsidP="00D96343">
      <w:pPr>
        <w:pStyle w:val="ParaNumbering"/>
      </w:pPr>
      <w:r w:rsidRPr="00B324D2">
        <w:rPr>
          <w:iCs/>
          <w:szCs w:val="24"/>
        </w:rPr>
        <w:t xml:space="preserve">Section 5CB(1) of the </w:t>
      </w:r>
      <w:r w:rsidRPr="00B324D2">
        <w:rPr>
          <w:i/>
          <w:iCs/>
          <w:szCs w:val="24"/>
        </w:rPr>
        <w:t>Migration Act</w:t>
      </w:r>
      <w:r w:rsidRPr="00B324D2">
        <w:rPr>
          <w:iCs/>
          <w:szCs w:val="24"/>
        </w:rPr>
        <w:t xml:space="preserve"> defines a de facto partner of another person </w:t>
      </w:r>
      <w:r>
        <w:rPr>
          <w:iCs/>
          <w:szCs w:val="24"/>
        </w:rPr>
        <w:t xml:space="preserve">as </w:t>
      </w:r>
      <w:r w:rsidR="00B4137D">
        <w:rPr>
          <w:iCs/>
          <w:szCs w:val="24"/>
        </w:rPr>
        <w:t>someone who is</w:t>
      </w:r>
      <w:r w:rsidRPr="00B324D2">
        <w:rPr>
          <w:iCs/>
          <w:szCs w:val="24"/>
        </w:rPr>
        <w:t xml:space="preserve"> in a de facto relationship</w:t>
      </w:r>
      <w:r>
        <w:rPr>
          <w:iCs/>
          <w:szCs w:val="24"/>
        </w:rPr>
        <w:t xml:space="preserve"> with that person</w:t>
      </w:r>
      <w:r w:rsidRPr="00B324D2">
        <w:rPr>
          <w:iCs/>
          <w:szCs w:val="24"/>
        </w:rPr>
        <w:t>.  Section 5CB(2)(a) provides that one of the criteria for the existen</w:t>
      </w:r>
      <w:r>
        <w:rPr>
          <w:iCs/>
          <w:szCs w:val="24"/>
        </w:rPr>
        <w:t>ce</w:t>
      </w:r>
      <w:r w:rsidRPr="00B324D2">
        <w:rPr>
          <w:iCs/>
          <w:szCs w:val="24"/>
        </w:rPr>
        <w:t xml:space="preserve"> of a de facto relationship</w:t>
      </w:r>
      <w:r w:rsidR="009468FA">
        <w:rPr>
          <w:iCs/>
          <w:szCs w:val="24"/>
        </w:rPr>
        <w:t xml:space="preserve"> between two people</w:t>
      </w:r>
      <w:r w:rsidRPr="00B324D2">
        <w:rPr>
          <w:iCs/>
          <w:szCs w:val="24"/>
        </w:rPr>
        <w:t xml:space="preserve"> for the purposes of </w:t>
      </w:r>
      <w:r w:rsidR="00B4137D">
        <w:rPr>
          <w:iCs/>
          <w:szCs w:val="24"/>
        </w:rPr>
        <w:t>s </w:t>
      </w:r>
      <w:r w:rsidR="00B4137D" w:rsidRPr="00B324D2">
        <w:rPr>
          <w:iCs/>
          <w:szCs w:val="24"/>
        </w:rPr>
        <w:t xml:space="preserve">5CB(1) </w:t>
      </w:r>
      <w:r w:rsidRPr="00B324D2">
        <w:rPr>
          <w:iCs/>
          <w:szCs w:val="24"/>
        </w:rPr>
        <w:t>is that “</w:t>
      </w:r>
      <w:r w:rsidRPr="00B324D2">
        <w:rPr>
          <w:i/>
          <w:szCs w:val="24"/>
        </w:rPr>
        <w:t>they have a mutual commitment to a shared life to the exclusion of all others</w:t>
      </w:r>
      <w:r w:rsidRPr="00B324D2">
        <w:rPr>
          <w:szCs w:val="24"/>
        </w:rPr>
        <w:t>”</w:t>
      </w:r>
      <w:r>
        <w:rPr>
          <w:szCs w:val="24"/>
        </w:rPr>
        <w:t xml:space="preserve"> (</w:t>
      </w:r>
      <w:r w:rsidRPr="00830792">
        <w:rPr>
          <w:b/>
          <w:szCs w:val="24"/>
        </w:rPr>
        <w:t>exclusive relationship criterion</w:t>
      </w:r>
      <w:r>
        <w:rPr>
          <w:szCs w:val="24"/>
        </w:rPr>
        <w:t>)</w:t>
      </w:r>
      <w:r w:rsidRPr="00B324D2">
        <w:rPr>
          <w:szCs w:val="24"/>
        </w:rPr>
        <w:t xml:space="preserve">.  </w:t>
      </w:r>
      <w:r w:rsidRPr="00B324D2">
        <w:rPr>
          <w:iCs/>
          <w:szCs w:val="24"/>
        </w:rPr>
        <w:t>Section 5CB(2)(</w:t>
      </w:r>
      <w:r>
        <w:rPr>
          <w:iCs/>
          <w:szCs w:val="24"/>
        </w:rPr>
        <w:t>b</w:t>
      </w:r>
      <w:r w:rsidRPr="00B324D2">
        <w:rPr>
          <w:iCs/>
          <w:szCs w:val="24"/>
        </w:rPr>
        <w:t xml:space="preserve">) relevantly provides that </w:t>
      </w:r>
      <w:r>
        <w:rPr>
          <w:iCs/>
          <w:szCs w:val="24"/>
        </w:rPr>
        <w:t xml:space="preserve">another </w:t>
      </w:r>
      <w:r w:rsidRPr="00B324D2">
        <w:rPr>
          <w:iCs/>
          <w:szCs w:val="24"/>
        </w:rPr>
        <w:t xml:space="preserve">one of </w:t>
      </w:r>
      <w:r w:rsidRPr="00B324D2">
        <w:rPr>
          <w:iCs/>
          <w:szCs w:val="24"/>
        </w:rPr>
        <w:lastRenderedPageBreak/>
        <w:t>the criteria for the existen</w:t>
      </w:r>
      <w:r>
        <w:rPr>
          <w:iCs/>
          <w:szCs w:val="24"/>
        </w:rPr>
        <w:t>ce</w:t>
      </w:r>
      <w:r w:rsidRPr="00B324D2">
        <w:rPr>
          <w:iCs/>
          <w:szCs w:val="24"/>
        </w:rPr>
        <w:t xml:space="preserve"> of a de facto relationship for the purposes of </w:t>
      </w:r>
      <w:r w:rsidR="00B4137D">
        <w:rPr>
          <w:iCs/>
          <w:szCs w:val="24"/>
        </w:rPr>
        <w:t>s </w:t>
      </w:r>
      <w:r w:rsidR="00B4137D" w:rsidRPr="00B324D2">
        <w:rPr>
          <w:iCs/>
          <w:szCs w:val="24"/>
        </w:rPr>
        <w:t xml:space="preserve">5CB(1) </w:t>
      </w:r>
      <w:r w:rsidRPr="00B324D2">
        <w:rPr>
          <w:iCs/>
          <w:szCs w:val="24"/>
        </w:rPr>
        <w:t>is that “</w:t>
      </w:r>
      <w:r w:rsidRPr="00B324D2">
        <w:rPr>
          <w:i/>
          <w:szCs w:val="24"/>
        </w:rPr>
        <w:t>the</w:t>
      </w:r>
      <w:r>
        <w:rPr>
          <w:i/>
          <w:szCs w:val="24"/>
        </w:rPr>
        <w:t xml:space="preserve"> relationship between them is genuine and continuing</w:t>
      </w:r>
      <w:r w:rsidRPr="00B324D2">
        <w:rPr>
          <w:szCs w:val="24"/>
        </w:rPr>
        <w:t>”</w:t>
      </w:r>
      <w:r>
        <w:rPr>
          <w:szCs w:val="24"/>
        </w:rPr>
        <w:t xml:space="preserve">.  The remaining two criteria in </w:t>
      </w:r>
      <w:r w:rsidR="00B4137D">
        <w:rPr>
          <w:szCs w:val="24"/>
        </w:rPr>
        <w:t>s </w:t>
      </w:r>
      <w:r w:rsidR="00B4137D" w:rsidRPr="00B324D2">
        <w:rPr>
          <w:iCs/>
          <w:szCs w:val="24"/>
        </w:rPr>
        <w:t>5CB(2)</w:t>
      </w:r>
      <w:r>
        <w:rPr>
          <w:szCs w:val="24"/>
        </w:rPr>
        <w:t xml:space="preserve">(c) and (d) did not </w:t>
      </w:r>
      <w:r w:rsidR="00B4137D">
        <w:rPr>
          <w:szCs w:val="24"/>
        </w:rPr>
        <w:t xml:space="preserve">of themselves impede the grant of the visa, </w:t>
      </w:r>
      <w:r>
        <w:rPr>
          <w:szCs w:val="24"/>
        </w:rPr>
        <w:t xml:space="preserve">and can </w:t>
      </w:r>
      <w:r w:rsidR="00B4137D">
        <w:rPr>
          <w:szCs w:val="24"/>
        </w:rPr>
        <w:t xml:space="preserve">therefore </w:t>
      </w:r>
      <w:r>
        <w:rPr>
          <w:szCs w:val="24"/>
        </w:rPr>
        <w:t>be put to one side.</w:t>
      </w:r>
    </w:p>
    <w:p w14:paraId="43BF74AF" w14:textId="1C4A3733" w:rsidR="005F4327" w:rsidRDefault="005F4327" w:rsidP="005F4327">
      <w:pPr>
        <w:pStyle w:val="ParaNumbering"/>
      </w:pPr>
      <w:r>
        <w:t xml:space="preserve">All of the visa criteria relating to the existence of a de facto relationship, and thus the </w:t>
      </w:r>
      <w:r w:rsidR="00830792" w:rsidRPr="00830792">
        <w:rPr>
          <w:szCs w:val="24"/>
        </w:rPr>
        <w:t>exclusive relationship criterion</w:t>
      </w:r>
      <w:r>
        <w:t xml:space="preserve"> in issue in this case, contained no discretionary component and could not be waived.  If any of the </w:t>
      </w:r>
      <w:r w:rsidR="00830792">
        <w:t xml:space="preserve">mandatory </w:t>
      </w:r>
      <w:r>
        <w:t xml:space="preserve">criteria for the existence of a de facto relationship as defined in s 5CB(2) could not be met to the satisfaction of the Tribunal, s 65(1) of the </w:t>
      </w:r>
      <w:r w:rsidRPr="00BD67AE">
        <w:rPr>
          <w:i/>
          <w:lang w:eastAsia="en-AU"/>
        </w:rPr>
        <w:t>Migration Act</w:t>
      </w:r>
      <w:r>
        <w:t xml:space="preserve"> </w:t>
      </w:r>
      <w:r w:rsidR="00830792">
        <w:t>required</w:t>
      </w:r>
      <w:r>
        <w:t xml:space="preserve"> that the visa application be refused.</w:t>
      </w:r>
    </w:p>
    <w:p w14:paraId="5D79CEAE" w14:textId="5AB1EE20" w:rsidR="0000066B" w:rsidRPr="0000066B" w:rsidRDefault="003D012C" w:rsidP="004D5D98">
      <w:pPr>
        <w:pStyle w:val="ParaNumbering"/>
      </w:pPr>
      <w:r>
        <w:rPr>
          <w:szCs w:val="24"/>
        </w:rPr>
        <w:t xml:space="preserve">The dominant consideration </w:t>
      </w:r>
      <w:r w:rsidR="005C1234">
        <w:rPr>
          <w:szCs w:val="24"/>
        </w:rPr>
        <w:t xml:space="preserve">addressed </w:t>
      </w:r>
      <w:r>
        <w:rPr>
          <w:szCs w:val="24"/>
        </w:rPr>
        <w:t xml:space="preserve">in the Tribunal’s reasons was the exclusive relationship criterion.  </w:t>
      </w:r>
      <w:r w:rsidR="00070068" w:rsidRPr="00B324D2">
        <w:rPr>
          <w:szCs w:val="24"/>
        </w:rPr>
        <w:t>There was</w:t>
      </w:r>
      <w:r w:rsidR="00B60A71">
        <w:rPr>
          <w:szCs w:val="24"/>
        </w:rPr>
        <w:t>,</w:t>
      </w:r>
      <w:r w:rsidR="00070068" w:rsidRPr="00B324D2">
        <w:rPr>
          <w:szCs w:val="24"/>
        </w:rPr>
        <w:t xml:space="preserve"> </w:t>
      </w:r>
      <w:r w:rsidR="00E95758" w:rsidRPr="00B324D2">
        <w:rPr>
          <w:szCs w:val="24"/>
        </w:rPr>
        <w:t>and still is</w:t>
      </w:r>
      <w:r w:rsidR="00B60A71">
        <w:rPr>
          <w:szCs w:val="24"/>
        </w:rPr>
        <w:t>,</w:t>
      </w:r>
      <w:r w:rsidR="00E95758" w:rsidRPr="00B324D2">
        <w:rPr>
          <w:szCs w:val="24"/>
        </w:rPr>
        <w:t xml:space="preserve"> </w:t>
      </w:r>
      <w:r w:rsidR="00070068" w:rsidRPr="00B324D2">
        <w:rPr>
          <w:szCs w:val="24"/>
        </w:rPr>
        <w:t xml:space="preserve">no </w:t>
      </w:r>
      <w:r w:rsidR="00B709BE" w:rsidRPr="00B324D2">
        <w:rPr>
          <w:szCs w:val="24"/>
        </w:rPr>
        <w:t xml:space="preserve">provision </w:t>
      </w:r>
      <w:r w:rsidR="005C1234">
        <w:t>to enable</w:t>
      </w:r>
      <w:r w:rsidR="00070068">
        <w:t xml:space="preserve"> the Tribunal to waive the requirement to meet </w:t>
      </w:r>
      <w:r w:rsidR="001F678E">
        <w:t xml:space="preserve">the </w:t>
      </w:r>
      <w:r w:rsidR="001F678E" w:rsidRPr="001F678E">
        <w:rPr>
          <w:szCs w:val="24"/>
        </w:rPr>
        <w:t>exclusive relationship criterion</w:t>
      </w:r>
      <w:r w:rsidR="00070068">
        <w:t>, as suggested by the appellant</w:t>
      </w:r>
      <w:r w:rsidR="002C7746">
        <w:t xml:space="preserve">. </w:t>
      </w:r>
      <w:r w:rsidR="003C72A4">
        <w:t xml:space="preserve"> </w:t>
      </w:r>
      <w:r w:rsidR="00050FD7">
        <w:t xml:space="preserve">Therefore the </w:t>
      </w:r>
      <w:r w:rsidR="00B16328">
        <w:t>visa applicant</w:t>
      </w:r>
      <w:r w:rsidR="003C72A4">
        <w:t>, and through her the sponsor,</w:t>
      </w:r>
      <w:r w:rsidR="00B16328">
        <w:t xml:space="preserve"> could not rely upon </w:t>
      </w:r>
      <w:r w:rsidR="00070068">
        <w:t xml:space="preserve">compassionate grounds related to </w:t>
      </w:r>
      <w:r w:rsidR="00B16328">
        <w:t xml:space="preserve">her </w:t>
      </w:r>
      <w:r w:rsidR="00070068">
        <w:t>children</w:t>
      </w:r>
      <w:r w:rsidR="00B16328">
        <w:t xml:space="preserve"> or hardship occasioned by </w:t>
      </w:r>
      <w:r w:rsidR="003C72A4">
        <w:t xml:space="preserve">her </w:t>
      </w:r>
      <w:r w:rsidR="00B16328">
        <w:t>not being granted the visa</w:t>
      </w:r>
      <w:r w:rsidR="00070068">
        <w:t>.  The fact that other criteria for other visas</w:t>
      </w:r>
      <w:r w:rsidR="00B16328">
        <w:t>, even other partner visas,</w:t>
      </w:r>
      <w:r w:rsidR="00070068">
        <w:t xml:space="preserve"> may be waived is of no relevance</w:t>
      </w:r>
      <w:r w:rsidR="00B709BE">
        <w:t xml:space="preserve"> to this case</w:t>
      </w:r>
      <w:r w:rsidR="00070068">
        <w:t>.</w:t>
      </w:r>
    </w:p>
    <w:p w14:paraId="2D3C7D04" w14:textId="0370BD80" w:rsidR="00B16328" w:rsidRPr="00B16328" w:rsidRDefault="00E95758" w:rsidP="00F234B3">
      <w:pPr>
        <w:pStyle w:val="ParaNumbering"/>
      </w:pPr>
      <w:r>
        <w:t>There</w:t>
      </w:r>
      <w:r w:rsidR="002C7746">
        <w:t xml:space="preserve"> is</w:t>
      </w:r>
      <w:r>
        <w:t xml:space="preserve"> no scope to infer </w:t>
      </w:r>
      <w:r w:rsidR="002C7746">
        <w:t xml:space="preserve">that </w:t>
      </w:r>
      <w:r>
        <w:t xml:space="preserve">any different or additional considerations </w:t>
      </w:r>
      <w:r w:rsidR="002C7746">
        <w:t xml:space="preserve">can be relied upon aside from </w:t>
      </w:r>
      <w:r>
        <w:t xml:space="preserve">those expressly provided </w:t>
      </w:r>
      <w:r w:rsidR="002C7746">
        <w:t xml:space="preserve">for </w:t>
      </w:r>
      <w:r>
        <w:t>the determination of whether or not the s </w:t>
      </w:r>
      <w:r>
        <w:rPr>
          <w:iCs/>
          <w:szCs w:val="24"/>
        </w:rPr>
        <w:t xml:space="preserve">5CB(2)(a) </w:t>
      </w:r>
      <w:r w:rsidR="001F678E" w:rsidRPr="001F678E">
        <w:rPr>
          <w:szCs w:val="24"/>
        </w:rPr>
        <w:t>exclusive relationship criterion</w:t>
      </w:r>
      <w:r w:rsidR="00B16328">
        <w:rPr>
          <w:szCs w:val="24"/>
        </w:rPr>
        <w:t xml:space="preserve"> was met</w:t>
      </w:r>
      <w:r>
        <w:rPr>
          <w:szCs w:val="24"/>
        </w:rPr>
        <w:t xml:space="preserve">.  </w:t>
      </w:r>
      <w:r w:rsidR="00B16328">
        <w:rPr>
          <w:szCs w:val="24"/>
        </w:rPr>
        <w:t>To the contrary</w:t>
      </w:r>
      <w:r w:rsidR="002C7746">
        <w:rPr>
          <w:szCs w:val="24"/>
        </w:rPr>
        <w:t>,</w:t>
      </w:r>
      <w:r>
        <w:rPr>
          <w:szCs w:val="24"/>
        </w:rPr>
        <w:t xml:space="preserve"> there is express provision as to what </w:t>
      </w:r>
      <w:r w:rsidRPr="00B16328">
        <w:rPr>
          <w:i/>
          <w:szCs w:val="24"/>
        </w:rPr>
        <w:t>must</w:t>
      </w:r>
      <w:r>
        <w:rPr>
          <w:szCs w:val="24"/>
        </w:rPr>
        <w:t xml:space="preserve"> be taken into account in determining whether </w:t>
      </w:r>
      <w:r w:rsidR="00BD67AE">
        <w:rPr>
          <w:szCs w:val="24"/>
        </w:rPr>
        <w:t>the exclusive relationship criterion</w:t>
      </w:r>
      <w:r>
        <w:rPr>
          <w:szCs w:val="24"/>
        </w:rPr>
        <w:t xml:space="preserve">, and </w:t>
      </w:r>
      <w:r w:rsidR="002C7746">
        <w:rPr>
          <w:szCs w:val="24"/>
        </w:rPr>
        <w:t xml:space="preserve">whether </w:t>
      </w:r>
      <w:r>
        <w:rPr>
          <w:szCs w:val="24"/>
        </w:rPr>
        <w:t xml:space="preserve">the other three criteria in </w:t>
      </w:r>
      <w:r>
        <w:t>s </w:t>
      </w:r>
      <w:r>
        <w:rPr>
          <w:iCs/>
          <w:szCs w:val="24"/>
        </w:rPr>
        <w:t>5CB(2)(b), (c) and (d)</w:t>
      </w:r>
      <w:r w:rsidR="00BD67AE">
        <w:rPr>
          <w:iCs/>
          <w:szCs w:val="24"/>
        </w:rPr>
        <w:t>,</w:t>
      </w:r>
      <w:r>
        <w:rPr>
          <w:iCs/>
          <w:szCs w:val="24"/>
        </w:rPr>
        <w:t xml:space="preserve"> have been met.</w:t>
      </w:r>
      <w:r>
        <w:rPr>
          <w:szCs w:val="24"/>
        </w:rPr>
        <w:t xml:space="preserve">  </w:t>
      </w:r>
    </w:p>
    <w:p w14:paraId="4566E0E2" w14:textId="7E634612" w:rsidR="00070068" w:rsidRPr="00070068" w:rsidRDefault="005A2D18" w:rsidP="00F4151E">
      <w:pPr>
        <w:pStyle w:val="ParaNumbering"/>
      </w:pPr>
      <w:r w:rsidRPr="00B16328">
        <w:rPr>
          <w:iCs/>
          <w:szCs w:val="24"/>
        </w:rPr>
        <w:t xml:space="preserve">Section 5CB(3) </w:t>
      </w:r>
      <w:r w:rsidR="00DC0FB4" w:rsidRPr="00B16328">
        <w:rPr>
          <w:iCs/>
          <w:szCs w:val="24"/>
        </w:rPr>
        <w:t xml:space="preserve">of the </w:t>
      </w:r>
      <w:r w:rsidR="00DC0FB4" w:rsidRPr="00B16328">
        <w:rPr>
          <w:i/>
          <w:iCs/>
          <w:szCs w:val="24"/>
        </w:rPr>
        <w:t>Migration Act</w:t>
      </w:r>
      <w:r w:rsidR="00DC0FB4" w:rsidRPr="00B16328">
        <w:rPr>
          <w:iCs/>
          <w:szCs w:val="24"/>
        </w:rPr>
        <w:t xml:space="preserve"> </w:t>
      </w:r>
      <w:r w:rsidRPr="00B16328">
        <w:rPr>
          <w:iCs/>
          <w:szCs w:val="24"/>
        </w:rPr>
        <w:t>provides that the regulations may make provision in relation to the determination of whether one o</w:t>
      </w:r>
      <w:r w:rsidR="00977D32" w:rsidRPr="00B16328">
        <w:rPr>
          <w:iCs/>
          <w:szCs w:val="24"/>
        </w:rPr>
        <w:t>r</w:t>
      </w:r>
      <w:r w:rsidRPr="00B16328">
        <w:rPr>
          <w:iCs/>
          <w:szCs w:val="24"/>
        </w:rPr>
        <w:t xml:space="preserve"> more of the conditions i</w:t>
      </w:r>
      <w:r w:rsidR="002623E7" w:rsidRPr="00B16328">
        <w:rPr>
          <w:iCs/>
          <w:szCs w:val="24"/>
        </w:rPr>
        <w:t>n</w:t>
      </w:r>
      <w:r w:rsidR="002C7746" w:rsidRPr="00B16328">
        <w:rPr>
          <w:iCs/>
          <w:szCs w:val="24"/>
        </w:rPr>
        <w:t xml:space="preserve"> </w:t>
      </w:r>
      <w:r w:rsidR="00FC7924" w:rsidRPr="00B16328">
        <w:rPr>
          <w:iCs/>
          <w:szCs w:val="24"/>
        </w:rPr>
        <w:t xml:space="preserve"> </w:t>
      </w:r>
      <w:r w:rsidR="002623E7" w:rsidRPr="00B16328">
        <w:rPr>
          <w:iCs/>
          <w:szCs w:val="24"/>
        </w:rPr>
        <w:t>s 5CB(2)</w:t>
      </w:r>
      <w:r w:rsidR="002C7746" w:rsidRPr="00B16328">
        <w:rPr>
          <w:iCs/>
          <w:szCs w:val="24"/>
        </w:rPr>
        <w:t xml:space="preserve">(a) </w:t>
      </w:r>
      <w:r w:rsidR="00B16328" w:rsidRPr="00B16328">
        <w:rPr>
          <w:iCs/>
          <w:szCs w:val="24"/>
        </w:rPr>
        <w:t>to</w:t>
      </w:r>
      <w:r w:rsidR="002C7746" w:rsidRPr="00B16328">
        <w:rPr>
          <w:iCs/>
          <w:szCs w:val="24"/>
        </w:rPr>
        <w:t xml:space="preserve"> (d)</w:t>
      </w:r>
      <w:r w:rsidR="002623E7" w:rsidRPr="00B16328">
        <w:rPr>
          <w:iCs/>
          <w:szCs w:val="24"/>
        </w:rPr>
        <w:t xml:space="preserve"> exist.  Regulation 1.09A(2)(b) provides that</w:t>
      </w:r>
      <w:r w:rsidR="00FC7924" w:rsidRPr="00B16328">
        <w:rPr>
          <w:iCs/>
          <w:szCs w:val="24"/>
        </w:rPr>
        <w:t xml:space="preserve"> if </w:t>
      </w:r>
      <w:r w:rsidR="002623E7" w:rsidRPr="00B16328">
        <w:rPr>
          <w:iCs/>
          <w:szCs w:val="24"/>
        </w:rPr>
        <w:t xml:space="preserve">the Minister is considering an application for a </w:t>
      </w:r>
      <w:r w:rsidR="002623E7">
        <w:t xml:space="preserve">Partner (Provisional) (Class UF) visa, the Minister (and thus the delegate and Tribunal) must consider all of the circumstances of the relationship, including those set out in </w:t>
      </w:r>
      <w:proofErr w:type="spellStart"/>
      <w:r w:rsidR="002623E7" w:rsidRPr="00A74FEE">
        <w:t>reg</w:t>
      </w:r>
      <w:proofErr w:type="spellEnd"/>
      <w:r w:rsidR="00FC7924" w:rsidRPr="00A74FEE">
        <w:t> </w:t>
      </w:r>
      <w:r w:rsidR="002623E7" w:rsidRPr="00B16328">
        <w:rPr>
          <w:iCs/>
          <w:szCs w:val="24"/>
        </w:rPr>
        <w:t>1.09A(3)</w:t>
      </w:r>
      <w:r w:rsidR="00977D32" w:rsidRPr="00B16328">
        <w:rPr>
          <w:iCs/>
          <w:szCs w:val="24"/>
        </w:rPr>
        <w:t>.  Those stipulated circumstances</w:t>
      </w:r>
      <w:r w:rsidR="00DC0FB4" w:rsidRPr="00B16328">
        <w:rPr>
          <w:iCs/>
          <w:szCs w:val="24"/>
        </w:rPr>
        <w:t xml:space="preserve"> </w:t>
      </w:r>
      <w:r w:rsidR="00DC0FB4">
        <w:t xml:space="preserve">in </w:t>
      </w:r>
      <w:proofErr w:type="spellStart"/>
      <w:r w:rsidR="00DC0FB4">
        <w:t>reg</w:t>
      </w:r>
      <w:proofErr w:type="spellEnd"/>
      <w:r w:rsidR="00DC0FB4">
        <w:t> </w:t>
      </w:r>
      <w:r w:rsidR="00DC0FB4" w:rsidRPr="00B16328">
        <w:rPr>
          <w:iCs/>
          <w:szCs w:val="24"/>
        </w:rPr>
        <w:t>1.09A(3)</w:t>
      </w:r>
      <w:r w:rsidR="002623E7" w:rsidRPr="00B16328">
        <w:rPr>
          <w:iCs/>
          <w:szCs w:val="24"/>
        </w:rPr>
        <w:t xml:space="preserve">, with </w:t>
      </w:r>
      <w:r w:rsidR="006635EA" w:rsidRPr="00B16328">
        <w:rPr>
          <w:iCs/>
          <w:szCs w:val="24"/>
        </w:rPr>
        <w:t xml:space="preserve">detailed </w:t>
      </w:r>
      <w:r w:rsidR="002623E7" w:rsidRPr="00B16328">
        <w:rPr>
          <w:iCs/>
          <w:szCs w:val="24"/>
        </w:rPr>
        <w:t>non-exhaustive particular</w:t>
      </w:r>
      <w:r w:rsidR="006635EA" w:rsidRPr="00B16328">
        <w:rPr>
          <w:iCs/>
          <w:szCs w:val="24"/>
        </w:rPr>
        <w:t>s, are</w:t>
      </w:r>
      <w:r w:rsidR="00070068" w:rsidRPr="00B16328">
        <w:rPr>
          <w:iCs/>
          <w:szCs w:val="24"/>
        </w:rPr>
        <w:t>:</w:t>
      </w:r>
    </w:p>
    <w:p w14:paraId="16CE16AB" w14:textId="77777777" w:rsidR="00070068" w:rsidRDefault="002623E7" w:rsidP="003C72A4">
      <w:pPr>
        <w:pStyle w:val="ListNo1alt"/>
        <w:numPr>
          <w:ilvl w:val="0"/>
          <w:numId w:val="32"/>
        </w:numPr>
      </w:pPr>
      <w:r w:rsidRPr="00F0640F">
        <w:rPr>
          <w:lang w:eastAsia="en-AU"/>
        </w:rPr>
        <w:t>the financial aspects of the relationship</w:t>
      </w:r>
      <w:r w:rsidR="00070068">
        <w:rPr>
          <w:lang w:eastAsia="en-AU"/>
        </w:rPr>
        <w:t>;</w:t>
      </w:r>
    </w:p>
    <w:p w14:paraId="7B486C6B" w14:textId="77777777" w:rsidR="00070068" w:rsidRDefault="002623E7" w:rsidP="004B658B">
      <w:pPr>
        <w:pStyle w:val="ListNo1alt"/>
        <w:numPr>
          <w:ilvl w:val="0"/>
          <w:numId w:val="32"/>
        </w:numPr>
      </w:pPr>
      <w:r w:rsidRPr="00F0640F">
        <w:rPr>
          <w:lang w:eastAsia="en-AU"/>
        </w:rPr>
        <w:t>the nature of the household</w:t>
      </w:r>
      <w:r w:rsidR="00070068">
        <w:rPr>
          <w:lang w:eastAsia="en-AU"/>
        </w:rPr>
        <w:t>;</w:t>
      </w:r>
    </w:p>
    <w:p w14:paraId="24743DF5" w14:textId="77777777" w:rsidR="00070068" w:rsidRDefault="002623E7" w:rsidP="004B658B">
      <w:pPr>
        <w:pStyle w:val="ListNo1alt"/>
        <w:numPr>
          <w:ilvl w:val="0"/>
          <w:numId w:val="32"/>
        </w:numPr>
      </w:pPr>
      <w:r w:rsidRPr="00F0640F">
        <w:rPr>
          <w:lang w:eastAsia="en-AU"/>
        </w:rPr>
        <w:t>the social aspects of the relationship</w:t>
      </w:r>
      <w:r w:rsidR="00070068">
        <w:rPr>
          <w:lang w:eastAsia="en-AU"/>
        </w:rPr>
        <w:t>;</w:t>
      </w:r>
      <w:r w:rsidRPr="00F0640F">
        <w:rPr>
          <w:lang w:eastAsia="en-AU"/>
        </w:rPr>
        <w:t xml:space="preserve"> and </w:t>
      </w:r>
    </w:p>
    <w:p w14:paraId="1A79A7DD" w14:textId="77777777" w:rsidR="00070068" w:rsidRDefault="002623E7" w:rsidP="004B658B">
      <w:pPr>
        <w:pStyle w:val="ListNo1alt"/>
        <w:numPr>
          <w:ilvl w:val="0"/>
          <w:numId w:val="32"/>
        </w:numPr>
      </w:pPr>
      <w:r w:rsidRPr="00F0640F">
        <w:rPr>
          <w:lang w:eastAsia="en-AU"/>
        </w:rPr>
        <w:t>the nature of the persons’ commitment to each other.</w:t>
      </w:r>
    </w:p>
    <w:p w14:paraId="4829842E" w14:textId="77777777" w:rsidR="00F0640F" w:rsidRPr="00F0640F" w:rsidRDefault="002623E7" w:rsidP="00070068">
      <w:pPr>
        <w:pStyle w:val="ListNo1alt"/>
        <w:numPr>
          <w:ilvl w:val="0"/>
          <w:numId w:val="0"/>
        </w:numPr>
      </w:pPr>
      <w:r w:rsidRPr="00F0640F">
        <w:rPr>
          <w:lang w:eastAsia="en-AU"/>
        </w:rPr>
        <w:lastRenderedPageBreak/>
        <w:t>Each of th</w:t>
      </w:r>
      <w:r w:rsidR="00070068">
        <w:rPr>
          <w:lang w:eastAsia="en-AU"/>
        </w:rPr>
        <w:t xml:space="preserve">ose </w:t>
      </w:r>
      <w:r w:rsidRPr="00F0640F">
        <w:rPr>
          <w:lang w:eastAsia="en-AU"/>
        </w:rPr>
        <w:t xml:space="preserve">mandatory </w:t>
      </w:r>
      <w:r w:rsidR="00661CA3" w:rsidRPr="00F0640F">
        <w:rPr>
          <w:lang w:eastAsia="en-AU"/>
        </w:rPr>
        <w:t xml:space="preserve">relationship </w:t>
      </w:r>
      <w:r w:rsidRPr="00F0640F">
        <w:rPr>
          <w:lang w:eastAsia="en-AU"/>
        </w:rPr>
        <w:t xml:space="preserve">assessment criteria were considered by both the delegate and the Tribunal.  </w:t>
      </w:r>
    </w:p>
    <w:p w14:paraId="7BC0A9B5" w14:textId="77777777" w:rsidR="00F96527" w:rsidRDefault="007F23E9" w:rsidP="005A2D18">
      <w:pPr>
        <w:pStyle w:val="ParaNumbering"/>
      </w:pPr>
      <w:r>
        <w:t xml:space="preserve">It follows from the above that </w:t>
      </w:r>
      <w:r w:rsidR="00DC0FB4">
        <w:t xml:space="preserve">when the Tribunal was deciding whether or not it was satisfied that the </w:t>
      </w:r>
      <w:r w:rsidR="00BD67AE">
        <w:rPr>
          <w:szCs w:val="24"/>
        </w:rPr>
        <w:t>exclusive relationship criterion</w:t>
      </w:r>
      <w:r w:rsidR="00BD67AE">
        <w:t xml:space="preserve"> was met</w:t>
      </w:r>
      <w:r w:rsidR="00F96527">
        <w:t>:</w:t>
      </w:r>
    </w:p>
    <w:p w14:paraId="293B6C28" w14:textId="77777777" w:rsidR="00DC0FB4" w:rsidRDefault="00E95758" w:rsidP="00F96527">
      <w:pPr>
        <w:pStyle w:val="ListNo1alt"/>
        <w:numPr>
          <w:ilvl w:val="0"/>
          <w:numId w:val="27"/>
        </w:numPr>
      </w:pPr>
      <w:r>
        <w:t>there was no room for the Tribunal to take into account</w:t>
      </w:r>
      <w:r w:rsidR="00DC0FB4">
        <w:t>:</w:t>
      </w:r>
    </w:p>
    <w:p w14:paraId="67B1077B" w14:textId="5AF0474D" w:rsidR="00DC0FB4" w:rsidRDefault="007F23E9" w:rsidP="004B658B">
      <w:pPr>
        <w:pStyle w:val="ListNo2alt"/>
        <w:numPr>
          <w:ilvl w:val="1"/>
          <w:numId w:val="32"/>
        </w:numPr>
      </w:pPr>
      <w:r>
        <w:t>the best interests of the affected children</w:t>
      </w:r>
      <w:r w:rsidR="00DC0FB4">
        <w:t xml:space="preserve"> or related issues</w:t>
      </w:r>
      <w:r w:rsidR="00F96527">
        <w:t xml:space="preserve">, including any issue arising from Australia’s adoption of international conventions, </w:t>
      </w:r>
      <w:r w:rsidR="00B16328">
        <w:t>such as</w:t>
      </w:r>
      <w:r w:rsidR="00F96527">
        <w:t xml:space="preserve"> the Convention on the Rights of the Child</w:t>
      </w:r>
      <w:r w:rsidR="00DC0FB4">
        <w:t>;</w:t>
      </w:r>
      <w:r w:rsidR="001F678E">
        <w:t xml:space="preserve"> or</w:t>
      </w:r>
    </w:p>
    <w:p w14:paraId="0D78E86E" w14:textId="77777777" w:rsidR="00F96527" w:rsidRDefault="00305AAE" w:rsidP="004B658B">
      <w:pPr>
        <w:pStyle w:val="ListNo2alt"/>
        <w:numPr>
          <w:ilvl w:val="1"/>
          <w:numId w:val="32"/>
        </w:numPr>
      </w:pPr>
      <w:r>
        <w:t>any hardship that might be occasioned by refusal of the visa, be that to the visa applicant, the sponsor, or their children, by the refusal of the visa</w:t>
      </w:r>
      <w:r w:rsidR="00F96527">
        <w:t xml:space="preserve">; </w:t>
      </w:r>
    </w:p>
    <w:p w14:paraId="72798944" w14:textId="3AF3C28C" w:rsidR="00BD67AE" w:rsidRDefault="00305AAE" w:rsidP="00F96527">
      <w:pPr>
        <w:pStyle w:val="ListNo1alt"/>
        <w:numPr>
          <w:ilvl w:val="0"/>
          <w:numId w:val="27"/>
        </w:numPr>
      </w:pPr>
      <w:r>
        <w:t>t</w:t>
      </w:r>
      <w:r w:rsidR="00DC0FB4">
        <w:t>here could not be any denial of procedural fairness in failing to have regard to the best interests of the affected children or related issues</w:t>
      </w:r>
      <w:r>
        <w:t xml:space="preserve"> or hardship occasioned by refusal of the visa</w:t>
      </w:r>
      <w:r w:rsidR="00B16328">
        <w:t>, given that this was clearly not relevant</w:t>
      </w:r>
      <w:r w:rsidR="00BD67AE">
        <w:t>;</w:t>
      </w:r>
      <w:r w:rsidR="001F678E">
        <w:t xml:space="preserve"> and</w:t>
      </w:r>
    </w:p>
    <w:p w14:paraId="3B93F695" w14:textId="77777777" w:rsidR="00305AAE" w:rsidRDefault="00BD67AE" w:rsidP="00F96527">
      <w:pPr>
        <w:pStyle w:val="ListNo1alt"/>
        <w:numPr>
          <w:ilvl w:val="0"/>
          <w:numId w:val="27"/>
        </w:numPr>
      </w:pPr>
      <w:r>
        <w:t>there was no jurisdictional requirement imposed on the Tribunal to advise the appellant that evidence or other material which addressed the above irrelevant considerations was not goi</w:t>
      </w:r>
      <w:r w:rsidR="003E16E3">
        <w:t>ng to be taken into account</w:t>
      </w:r>
      <w:r>
        <w:t>.</w:t>
      </w:r>
    </w:p>
    <w:p w14:paraId="366775CA" w14:textId="6CE9A736" w:rsidR="005A2D18" w:rsidRPr="005A2D18" w:rsidRDefault="007F23E9" w:rsidP="00305AAE">
      <w:pPr>
        <w:pStyle w:val="ParaNumbering"/>
      </w:pPr>
      <w:r>
        <w:t xml:space="preserve">Any grounds of </w:t>
      </w:r>
      <w:r w:rsidR="00305AAE">
        <w:t xml:space="preserve">review, or grounds of </w:t>
      </w:r>
      <w:r>
        <w:t>appeal</w:t>
      </w:r>
      <w:r w:rsidR="00B16328">
        <w:t>,</w:t>
      </w:r>
      <w:r w:rsidR="003E16E3">
        <w:t xml:space="preserve"> </w:t>
      </w:r>
      <w:r w:rsidR="00305AAE">
        <w:t xml:space="preserve">relying upon a failure </w:t>
      </w:r>
      <w:r w:rsidR="00B16328">
        <w:t xml:space="preserve">by the Tribunal </w:t>
      </w:r>
      <w:r w:rsidR="00305AAE">
        <w:t>to have regard to the best interests of the affected children or related issues, or</w:t>
      </w:r>
      <w:r w:rsidR="00305AAE" w:rsidRPr="00305AAE">
        <w:t xml:space="preserve"> </w:t>
      </w:r>
      <w:r w:rsidR="00305AAE">
        <w:t xml:space="preserve">hardship occasioned by refusal of the visa </w:t>
      </w:r>
      <w:r w:rsidR="003E16E3">
        <w:t xml:space="preserve">in determining satisfaction as to the </w:t>
      </w:r>
      <w:r w:rsidR="003E16E3">
        <w:rPr>
          <w:szCs w:val="24"/>
        </w:rPr>
        <w:t>exclusive relationship criterion</w:t>
      </w:r>
      <w:r w:rsidR="006F6361">
        <w:rPr>
          <w:szCs w:val="24"/>
        </w:rPr>
        <w:t>,</w:t>
      </w:r>
      <w:r w:rsidR="003E16E3">
        <w:t xml:space="preserve"> </w:t>
      </w:r>
      <w:r>
        <w:t xml:space="preserve">must </w:t>
      </w:r>
      <w:r w:rsidR="006F6361">
        <w:t xml:space="preserve">accordingly </w:t>
      </w:r>
      <w:r>
        <w:t>fail</w:t>
      </w:r>
      <w:r w:rsidR="006F6361">
        <w:t>.</w:t>
      </w:r>
      <w:r w:rsidR="003C72A4">
        <w:t xml:space="preserve">  Such</w:t>
      </w:r>
      <w:r w:rsidR="006F6361">
        <w:t xml:space="preserve"> grounds </w:t>
      </w:r>
      <w:r>
        <w:t xml:space="preserve">will not be considered further </w:t>
      </w:r>
      <w:r w:rsidR="00CE647C">
        <w:t xml:space="preserve">in these reasons except in the characterisation </w:t>
      </w:r>
      <w:r w:rsidR="003C72A4">
        <w:t xml:space="preserve">below </w:t>
      </w:r>
      <w:r w:rsidR="00CE647C">
        <w:t>of the notice of appeal.  The same applies to submissions or arguments to that effect, whether in writing or made orally</w:t>
      </w:r>
      <w:r w:rsidR="00FC7924">
        <w:t>, and</w:t>
      </w:r>
      <w:r w:rsidR="00DA61D4">
        <w:t xml:space="preserve"> to</w:t>
      </w:r>
      <w:r w:rsidR="00FC7924">
        <w:t xml:space="preserve"> the authority cited in support of such submissions and arguments</w:t>
      </w:r>
      <w:r w:rsidR="00CE647C">
        <w:t>.</w:t>
      </w:r>
    </w:p>
    <w:p w14:paraId="3A1EA10C" w14:textId="77777777" w:rsidR="005A2D18" w:rsidRDefault="00C81FBA" w:rsidP="00C81FBA">
      <w:pPr>
        <w:pStyle w:val="Heading2"/>
      </w:pPr>
      <w:r>
        <w:t>The notice of appeal</w:t>
      </w:r>
    </w:p>
    <w:p w14:paraId="44151AF5" w14:textId="393824AB" w:rsidR="00544D60" w:rsidRDefault="00977D32" w:rsidP="005A2D18">
      <w:pPr>
        <w:pStyle w:val="ParaNumbering"/>
      </w:pPr>
      <w:r>
        <w:t>The grounds in the notice of appeal are set out in 54 paragraphs over nine pages.  They are a mixture of submission</w:t>
      </w:r>
      <w:r w:rsidR="00CE647C">
        <w:t>s</w:t>
      </w:r>
      <w:r>
        <w:t>, discussion</w:t>
      </w:r>
      <w:r w:rsidR="00F96527">
        <w:t xml:space="preserve"> and</w:t>
      </w:r>
      <w:r>
        <w:t xml:space="preserve"> assertion, </w:t>
      </w:r>
      <w:r w:rsidR="00F96527">
        <w:t xml:space="preserve">including citing and </w:t>
      </w:r>
      <w:r w:rsidR="00CE647C">
        <w:t>quoting from authority</w:t>
      </w:r>
      <w:r w:rsidR="003E16E3">
        <w:t xml:space="preserve"> largely directed to the best interests of affected children</w:t>
      </w:r>
      <w:r w:rsidR="00BE5754">
        <w:t>, and a failure to take that into account</w:t>
      </w:r>
      <w:r>
        <w:t xml:space="preserve">.  </w:t>
      </w:r>
      <w:r w:rsidR="00FC7924">
        <w:t>Most of t</w:t>
      </w:r>
      <w:r>
        <w:t xml:space="preserve">he last three and a half pages </w:t>
      </w:r>
      <w:r w:rsidR="00CC5E32">
        <w:t xml:space="preserve">of the notice of appeal </w:t>
      </w:r>
      <w:r>
        <w:t>(paragraphs 31 to 5</w:t>
      </w:r>
      <w:r w:rsidR="00544D60">
        <w:t>1</w:t>
      </w:r>
      <w:r>
        <w:t>) refer in some detail to the Convention o</w:t>
      </w:r>
      <w:r w:rsidR="00CE647C">
        <w:t>n</w:t>
      </w:r>
      <w:r>
        <w:t xml:space="preserve"> the Rights of the Child</w:t>
      </w:r>
      <w:r w:rsidR="00544D60">
        <w:t xml:space="preserve"> and to the consequences of not giving effect to it in this case</w:t>
      </w:r>
      <w:r>
        <w:t xml:space="preserve">.  As that convention was irrelevant to the task before the Tribunal, </w:t>
      </w:r>
      <w:r w:rsidR="00CE647C">
        <w:t>none of those paragraphs</w:t>
      </w:r>
      <w:r w:rsidR="00867DEE">
        <w:t xml:space="preserve"> of the notice of appeal</w:t>
      </w:r>
      <w:r w:rsidR="00CE647C">
        <w:t xml:space="preserve"> </w:t>
      </w:r>
      <w:r w:rsidR="00CC5E32">
        <w:t>are</w:t>
      </w:r>
      <w:r w:rsidR="00CE647C">
        <w:t xml:space="preserve"> considered further.  </w:t>
      </w:r>
    </w:p>
    <w:p w14:paraId="78B7FB6C" w14:textId="5275FAEA" w:rsidR="00544D60" w:rsidRDefault="00CE647C" w:rsidP="005A2D18">
      <w:pPr>
        <w:pStyle w:val="ParaNumbering"/>
      </w:pPr>
      <w:r>
        <w:lastRenderedPageBreak/>
        <w:t xml:space="preserve">The same approach </w:t>
      </w:r>
      <w:r w:rsidR="00CC5E32">
        <w:t>is</w:t>
      </w:r>
      <w:r>
        <w:t xml:space="preserve"> taken to </w:t>
      </w:r>
      <w:r w:rsidR="00164981">
        <w:t xml:space="preserve">most of the </w:t>
      </w:r>
      <w:r w:rsidR="0056383B">
        <w:t>remaining</w:t>
      </w:r>
      <w:r>
        <w:t xml:space="preserve"> paragraphs</w:t>
      </w:r>
      <w:r w:rsidR="00C80A67">
        <w:t xml:space="preserve"> of, or parts of paragraphs</w:t>
      </w:r>
      <w:r>
        <w:t xml:space="preserve"> of</w:t>
      </w:r>
      <w:r w:rsidR="00C80A67">
        <w:t>,</w:t>
      </w:r>
      <w:r>
        <w:t xml:space="preserve"> the notice of appeal</w:t>
      </w:r>
      <w:r w:rsidR="0087044A">
        <w:t>,</w:t>
      </w:r>
      <w:r>
        <w:t xml:space="preserve"> that similarly rely upon an asserted failure to have regard to the impact </w:t>
      </w:r>
      <w:r w:rsidR="00544D60">
        <w:t xml:space="preserve">of refusing the grant of the visa </w:t>
      </w:r>
      <w:r>
        <w:t xml:space="preserve">on </w:t>
      </w:r>
      <w:r w:rsidR="00544D60">
        <w:t xml:space="preserve">the </w:t>
      </w:r>
      <w:r>
        <w:t xml:space="preserve">affected children, </w:t>
      </w:r>
      <w:r w:rsidR="00164981">
        <w:t xml:space="preserve">failure to consider material going to that issue, resultant hardship on the visa applicant, the sponsor or on their children, or allegations of a denial of procedural fairness in relation to any of these issues.  </w:t>
      </w:r>
      <w:r w:rsidR="00FC7924">
        <w:t xml:space="preserve">The Tribunal was not </w:t>
      </w:r>
      <w:r w:rsidR="003E16E3">
        <w:t>required</w:t>
      </w:r>
      <w:r w:rsidR="00FC7924">
        <w:t xml:space="preserve"> to take such matters into account</w:t>
      </w:r>
      <w:r w:rsidR="00BA308F">
        <w:t>, and did not have any obligation to spell this out in the reasons given for affirming the delegate’s decision</w:t>
      </w:r>
      <w:r w:rsidR="00FC7924">
        <w:t>.</w:t>
      </w:r>
    </w:p>
    <w:p w14:paraId="453556F2" w14:textId="402DC771" w:rsidR="00CE647C" w:rsidRDefault="00C80A67" w:rsidP="005A2D18">
      <w:pPr>
        <w:pStyle w:val="ParaNumbering"/>
      </w:pPr>
      <w:r>
        <w:t xml:space="preserve">The same </w:t>
      </w:r>
      <w:r w:rsidR="007D16C7">
        <w:t xml:space="preserve">approach </w:t>
      </w:r>
      <w:r>
        <w:t xml:space="preserve">applies to authority cited </w:t>
      </w:r>
      <w:r w:rsidR="007D16C7">
        <w:t xml:space="preserve">or quoted in the notice of appeal, or in oral or written submissions, going to </w:t>
      </w:r>
      <w:r w:rsidR="00164981">
        <w:t>any of the</w:t>
      </w:r>
      <w:r w:rsidR="00544D60">
        <w:t xml:space="preserve"> above </w:t>
      </w:r>
      <w:r w:rsidR="00770E80">
        <w:t xml:space="preserve">irrelevant </w:t>
      </w:r>
      <w:r w:rsidR="00164981">
        <w:t>issues</w:t>
      </w:r>
      <w:r>
        <w:t>.</w:t>
      </w:r>
      <w:r w:rsidR="0056383B">
        <w:t xml:space="preserve">  That extends</w:t>
      </w:r>
      <w:r w:rsidR="002B3E62">
        <w:t>, for example,</w:t>
      </w:r>
      <w:r w:rsidR="0056383B">
        <w:t xml:space="preserve"> to the appellant’s complaint that the primary judge did not have regard to a decision of another Federal Circuit Court judge in </w:t>
      </w:r>
      <w:r w:rsidR="0056383B" w:rsidRPr="00A74FEE">
        <w:rPr>
          <w:i/>
          <w:szCs w:val="24"/>
          <w:lang w:eastAsia="en-AU"/>
        </w:rPr>
        <w:t>CFE16 v Minister for Immigration</w:t>
      </w:r>
      <w:r w:rsidR="0056383B" w:rsidRPr="00A74FEE">
        <w:rPr>
          <w:szCs w:val="24"/>
          <w:lang w:eastAsia="en-AU"/>
        </w:rPr>
        <w:t xml:space="preserve"> [2020] FCCA 1083</w:t>
      </w:r>
      <w:r w:rsidR="0056383B">
        <w:rPr>
          <w:szCs w:val="24"/>
          <w:lang w:eastAsia="en-AU"/>
        </w:rPr>
        <w:t xml:space="preserve">, </w:t>
      </w:r>
      <w:r w:rsidR="002B3E62">
        <w:rPr>
          <w:szCs w:val="24"/>
          <w:lang w:eastAsia="en-AU"/>
        </w:rPr>
        <w:t xml:space="preserve">a case dealing with failure to </w:t>
      </w:r>
      <w:r w:rsidR="0056383B">
        <w:rPr>
          <w:szCs w:val="24"/>
          <w:lang w:eastAsia="en-AU"/>
        </w:rPr>
        <w:t>tak</w:t>
      </w:r>
      <w:r w:rsidR="002B3E62">
        <w:rPr>
          <w:szCs w:val="24"/>
          <w:lang w:eastAsia="en-AU"/>
        </w:rPr>
        <w:t>e</w:t>
      </w:r>
      <w:r w:rsidR="0056383B">
        <w:rPr>
          <w:szCs w:val="24"/>
          <w:lang w:eastAsia="en-AU"/>
        </w:rPr>
        <w:t xml:space="preserve"> into account the best interests of a child as a primary consideration, as required in the very different context of a visa cancellation case.</w:t>
      </w:r>
      <w:r w:rsidR="00015353">
        <w:rPr>
          <w:szCs w:val="24"/>
          <w:lang w:eastAsia="en-AU"/>
        </w:rPr>
        <w:t xml:space="preserve">  Numerous other authorities relied upon by the sponsor were of no assistance to his appeal for the same reason</w:t>
      </w:r>
      <w:r w:rsidR="009154AF">
        <w:rPr>
          <w:szCs w:val="24"/>
          <w:lang w:eastAsia="en-AU"/>
        </w:rPr>
        <w:t xml:space="preserve"> that they were not relevant</w:t>
      </w:r>
      <w:r w:rsidR="00015353">
        <w:rPr>
          <w:szCs w:val="24"/>
          <w:lang w:eastAsia="en-AU"/>
        </w:rPr>
        <w:t>.</w:t>
      </w:r>
    </w:p>
    <w:p w14:paraId="2A554D5E" w14:textId="0AB20495" w:rsidR="00164981" w:rsidRDefault="00CC5E32" w:rsidP="005A2D18">
      <w:pPr>
        <w:pStyle w:val="ParaNumbering"/>
      </w:pPr>
      <w:r>
        <w:t>T</w:t>
      </w:r>
      <w:r w:rsidR="00164981">
        <w:t xml:space="preserve">he notice of appeal does not </w:t>
      </w:r>
      <w:r w:rsidR="006635EA">
        <w:t>directly allege any error</w:t>
      </w:r>
      <w:r w:rsidR="006635EA" w:rsidRPr="006635EA">
        <w:t xml:space="preserve"> </w:t>
      </w:r>
      <w:r w:rsidR="006635EA">
        <w:t>related to the conclusion reached by the Tribunal that the sponsor and the visa applicant were not in a relationship with</w:t>
      </w:r>
      <w:r w:rsidR="00AC3B69">
        <w:t xml:space="preserve"> one another</w:t>
      </w:r>
      <w:r w:rsidR="006635EA">
        <w:t xml:space="preserve"> to the exclusion of all others, let alone </w:t>
      </w:r>
      <w:r w:rsidR="006F6361">
        <w:t xml:space="preserve">any </w:t>
      </w:r>
      <w:r w:rsidR="006635EA">
        <w:t>jurisdictional error on the part of the Tribunal that produced error on the part of the primary judge</w:t>
      </w:r>
      <w:r w:rsidR="00164981">
        <w:t>.</w:t>
      </w:r>
      <w:r w:rsidR="00544D60">
        <w:t xml:space="preserve">  </w:t>
      </w:r>
      <w:r w:rsidR="009154AF">
        <w:t xml:space="preserve">The only reference to this </w:t>
      </w:r>
      <w:r>
        <w:t xml:space="preserve">issue in the notice of appeal </w:t>
      </w:r>
      <w:r w:rsidR="009154AF">
        <w:t xml:space="preserve">was </w:t>
      </w:r>
      <w:r w:rsidR="00544D60">
        <w:t>indirect</w:t>
      </w:r>
      <w:r>
        <w:t>,</w:t>
      </w:r>
      <w:r w:rsidR="002B3E62">
        <w:t xml:space="preserve"> </w:t>
      </w:r>
      <w:r w:rsidR="009154AF">
        <w:t xml:space="preserve">but </w:t>
      </w:r>
      <w:r w:rsidR="00CD4B95">
        <w:t>it</w:t>
      </w:r>
      <w:r>
        <w:t xml:space="preserve"> </w:t>
      </w:r>
      <w:r w:rsidR="002B3E62">
        <w:t>did feature in oral submissions at the appeal hearing</w:t>
      </w:r>
      <w:r>
        <w:t>, to which I now turn</w:t>
      </w:r>
      <w:r w:rsidR="00544D60">
        <w:t>.</w:t>
      </w:r>
      <w:r w:rsidR="009154AF">
        <w:t xml:space="preserve"> </w:t>
      </w:r>
      <w:r>
        <w:t xml:space="preserve"> </w:t>
      </w:r>
    </w:p>
    <w:p w14:paraId="2585E59E" w14:textId="738F780A" w:rsidR="00544D60" w:rsidRDefault="00CD4B95" w:rsidP="0056383B">
      <w:pPr>
        <w:pStyle w:val="ParaNumbering"/>
      </w:pPr>
      <w:r>
        <w:t>T</w:t>
      </w:r>
      <w:r w:rsidR="009154AF">
        <w:t xml:space="preserve">he only </w:t>
      </w:r>
      <w:r w:rsidR="00164981">
        <w:t xml:space="preserve">possible </w:t>
      </w:r>
      <w:r w:rsidR="00C80A67">
        <w:t>ground of appeal</w:t>
      </w:r>
      <w:r w:rsidR="005C1234">
        <w:t xml:space="preserve"> remaining in the notice of appeal</w:t>
      </w:r>
      <w:r w:rsidR="00544D60">
        <w:t xml:space="preserve">, as </w:t>
      </w:r>
      <w:r w:rsidR="007D16C7">
        <w:t>helpfully identified in the Minister’s written submissions</w:t>
      </w:r>
      <w:r w:rsidR="0056383B">
        <w:t xml:space="preserve">, </w:t>
      </w:r>
      <w:r>
        <w:t>is</w:t>
      </w:r>
      <w:r w:rsidR="0056383B">
        <w:t xml:space="preserve"> </w:t>
      </w:r>
      <w:r w:rsidR="00544D60">
        <w:t>an alleged failure on the part of the Tribunal to consider a statutory declaration by the sponsor dated 24</w:t>
      </w:r>
      <w:r>
        <w:t> </w:t>
      </w:r>
      <w:r w:rsidR="00544D60">
        <w:t>July 2017</w:t>
      </w:r>
      <w:r w:rsidR="009154AF">
        <w:t xml:space="preserve">. </w:t>
      </w:r>
      <w:r>
        <w:t xml:space="preserve"> </w:t>
      </w:r>
      <w:r w:rsidR="009154AF">
        <w:t>Th</w:t>
      </w:r>
      <w:r w:rsidR="00770E80">
        <w:t>at</w:t>
      </w:r>
      <w:r w:rsidR="009154AF">
        <w:t xml:space="preserve"> </w:t>
      </w:r>
      <w:r>
        <w:t xml:space="preserve">statutory </w:t>
      </w:r>
      <w:r w:rsidR="009154AF">
        <w:t>declaration was significantly directed towards the</w:t>
      </w:r>
      <w:r w:rsidR="00544D60">
        <w:t xml:space="preserve"> </w:t>
      </w:r>
      <w:r>
        <w:t xml:space="preserve">sponsor’s </w:t>
      </w:r>
      <w:r w:rsidR="00544D60">
        <w:t xml:space="preserve">asserted ending of </w:t>
      </w:r>
      <w:r>
        <w:t>his</w:t>
      </w:r>
      <w:r w:rsidR="00544D60">
        <w:t xml:space="preserve"> relationship with Ms</w:t>
      </w:r>
      <w:r w:rsidR="00F11195">
        <w:t> </w:t>
      </w:r>
      <w:proofErr w:type="spellStart"/>
      <w:r w:rsidR="00544D60">
        <w:t>Omotayo</w:t>
      </w:r>
      <w:proofErr w:type="spellEnd"/>
      <w:r w:rsidR="00B74EF4">
        <w:t xml:space="preserve">. </w:t>
      </w:r>
      <w:r>
        <w:t xml:space="preserve"> </w:t>
      </w:r>
      <w:r w:rsidR="00770E80">
        <w:t>The primary judge</w:t>
      </w:r>
      <w:r w:rsidR="009154AF">
        <w:t xml:space="preserve"> expressly addressed this issue</w:t>
      </w:r>
      <w:r>
        <w:t xml:space="preserve">.  </w:t>
      </w:r>
      <w:r w:rsidR="00544D60">
        <w:t xml:space="preserve">I </w:t>
      </w:r>
      <w:r>
        <w:t xml:space="preserve">therefore treat </w:t>
      </w:r>
      <w:r w:rsidR="00B74EF4">
        <w:t xml:space="preserve">this </w:t>
      </w:r>
      <w:r w:rsidR="009154AF">
        <w:t xml:space="preserve">ground </w:t>
      </w:r>
      <w:r>
        <w:t xml:space="preserve">as constituting </w:t>
      </w:r>
      <w:r w:rsidR="00544D60">
        <w:t xml:space="preserve">an allegation </w:t>
      </w:r>
      <w:r w:rsidR="009154AF">
        <w:t xml:space="preserve">of </w:t>
      </w:r>
      <w:r w:rsidR="00544D60">
        <w:t xml:space="preserve">error on the part of </w:t>
      </w:r>
      <w:r w:rsidR="00770E80">
        <w:t>his Honour</w:t>
      </w:r>
      <w:r w:rsidR="0056383B">
        <w:t xml:space="preserve"> to find such a failure</w:t>
      </w:r>
      <w:r>
        <w:t xml:space="preserve"> on the part of the Tribunal</w:t>
      </w:r>
      <w:r w:rsidR="0056383B">
        <w:t>.</w:t>
      </w:r>
    </w:p>
    <w:p w14:paraId="1CC6A967" w14:textId="61DAE674" w:rsidR="00CD6592" w:rsidRPr="006C72AC" w:rsidRDefault="00CD6592" w:rsidP="00CD6592">
      <w:pPr>
        <w:pStyle w:val="ParaNumbering"/>
      </w:pPr>
      <w:r>
        <w:t xml:space="preserve">While it is true that there was no specific reference </w:t>
      </w:r>
      <w:r w:rsidR="00770E80">
        <w:t xml:space="preserve">in the Tribunal’s reasons </w:t>
      </w:r>
      <w:r>
        <w:t xml:space="preserve">to the sponsor’s statutory declaration dated 24 July 2017, as the primary judge correctly pointed out (at [62]), the Tribunal was not obliged to refer specifically to </w:t>
      </w:r>
      <w:r w:rsidR="00B74EF4">
        <w:t xml:space="preserve">each </w:t>
      </w:r>
      <w:r>
        <w:t xml:space="preserve">item of evidence </w:t>
      </w:r>
      <w:r w:rsidR="003E16E3">
        <w:t xml:space="preserve">or other material </w:t>
      </w:r>
      <w:r>
        <w:t>before it</w:t>
      </w:r>
      <w:r w:rsidR="00B74EF4">
        <w:t xml:space="preserve">, let alone expressly </w:t>
      </w:r>
      <w:r w:rsidR="00015353">
        <w:t>address</w:t>
      </w:r>
      <w:r w:rsidR="00B74EF4">
        <w:t xml:space="preserve"> the individual contents of each</w:t>
      </w:r>
      <w:r>
        <w:t xml:space="preserve">.  That has long been </w:t>
      </w:r>
      <w:r>
        <w:lastRenderedPageBreak/>
        <w:t>supported by Full Court and High Court authority</w:t>
      </w:r>
      <w:r w:rsidR="006C72AC">
        <w:t xml:space="preserve">, including the much-cited and quoted </w:t>
      </w:r>
      <w:r w:rsidR="00782233">
        <w:t xml:space="preserve">decision in </w:t>
      </w:r>
      <w:r w:rsidRPr="00A74FEE">
        <w:rPr>
          <w:rFonts w:ascii="Times-Bold" w:hAnsi="Times-Bold" w:cs="Times-Bold"/>
          <w:bCs/>
          <w:i/>
          <w:szCs w:val="24"/>
          <w:lang w:eastAsia="en-AU"/>
        </w:rPr>
        <w:t xml:space="preserve">Applicant </w:t>
      </w:r>
      <w:r w:rsidRPr="00A74FEE">
        <w:rPr>
          <w:rFonts w:ascii="Times-Bold" w:hAnsi="Times-Bold" w:cs="Times-Bold"/>
          <w:b/>
          <w:bCs/>
          <w:i/>
          <w:szCs w:val="24"/>
          <w:lang w:eastAsia="en-AU"/>
        </w:rPr>
        <w:t>WAEE</w:t>
      </w:r>
      <w:r w:rsidRPr="00A74FEE">
        <w:rPr>
          <w:rFonts w:ascii="Times-Bold" w:hAnsi="Times-Bold" w:cs="Times-Bold"/>
          <w:bCs/>
          <w:i/>
          <w:szCs w:val="24"/>
          <w:lang w:eastAsia="en-AU"/>
        </w:rPr>
        <w:t xml:space="preserve"> v Minister for Immigration and Multicultural and Indigenous Affairs </w:t>
      </w:r>
      <w:r w:rsidRPr="00A74FEE">
        <w:rPr>
          <w:rFonts w:ascii="Times-Bold" w:hAnsi="Times-Bold" w:cs="Times-Bold"/>
          <w:bCs/>
          <w:szCs w:val="24"/>
          <w:lang w:eastAsia="en-AU"/>
        </w:rPr>
        <w:t>[2003] FCAFC 184; 236 FCR 593</w:t>
      </w:r>
      <w:r>
        <w:rPr>
          <w:rFonts w:ascii="Times-Bold" w:hAnsi="Times-Bold" w:cs="Times-Bold"/>
          <w:bCs/>
          <w:szCs w:val="24"/>
          <w:lang w:eastAsia="en-AU"/>
        </w:rPr>
        <w:t xml:space="preserve"> per </w:t>
      </w:r>
      <w:r w:rsidRPr="00CD6592">
        <w:rPr>
          <w:rFonts w:ascii="Times-Roman" w:hAnsi="Times-Roman" w:cs="Times-Roman"/>
          <w:szCs w:val="24"/>
          <w:lang w:eastAsia="en-AU"/>
        </w:rPr>
        <w:t xml:space="preserve">French, Sackville and </w:t>
      </w:r>
      <w:proofErr w:type="spellStart"/>
      <w:r w:rsidRPr="00CD6592">
        <w:rPr>
          <w:rFonts w:ascii="Times-Roman" w:hAnsi="Times-Roman" w:cs="Times-Roman"/>
          <w:szCs w:val="24"/>
          <w:lang w:eastAsia="en-AU"/>
        </w:rPr>
        <w:t>Hely</w:t>
      </w:r>
      <w:proofErr w:type="spellEnd"/>
      <w:r w:rsidRPr="00CD6592">
        <w:rPr>
          <w:rFonts w:ascii="Times-Roman" w:hAnsi="Times-Roman" w:cs="Times-Roman"/>
          <w:szCs w:val="24"/>
          <w:lang w:eastAsia="en-AU"/>
        </w:rPr>
        <w:t xml:space="preserve"> JJ</w:t>
      </w:r>
      <w:r w:rsidR="006C72AC">
        <w:rPr>
          <w:rFonts w:ascii="Times-Roman" w:hAnsi="Times-Roman" w:cs="Times-Roman"/>
          <w:szCs w:val="24"/>
          <w:lang w:eastAsia="en-AU"/>
        </w:rPr>
        <w:t>:</w:t>
      </w:r>
    </w:p>
    <w:p w14:paraId="0C5DA771" w14:textId="77777777" w:rsidR="006C72AC" w:rsidRDefault="006C72AC" w:rsidP="006C72AC">
      <w:pPr>
        <w:pStyle w:val="Quote1"/>
        <w:rPr>
          <w:spacing w:val="-4"/>
        </w:rPr>
      </w:pPr>
      <w:r>
        <w:t>[46]</w:t>
      </w:r>
      <w:r>
        <w:tab/>
        <w:t xml:space="preserve">It is plainly not necessary for the Tribunal to refer to every piece of evidence and every contention made by an applicant in its written reasons. It may be </w:t>
      </w:r>
      <w:r>
        <w:rPr>
          <w:spacing w:val="-4"/>
        </w:rPr>
        <w:t>that</w:t>
      </w:r>
      <w:r>
        <w:t xml:space="preserve"> some evidence is irrelevant to the criteria and some contentions misconceived. Moreover, there is a distinction between the Tribunal failing to advert </w:t>
      </w:r>
      <w:r>
        <w:rPr>
          <w:spacing w:val="-7"/>
        </w:rPr>
        <w:t>to</w:t>
      </w:r>
      <w:r>
        <w:t xml:space="preserve"> evidence which, if accepted, might have led it to make a different finding of </w:t>
      </w:r>
      <w:r>
        <w:rPr>
          <w:spacing w:val="-4"/>
        </w:rPr>
        <w:t>fact</w:t>
      </w:r>
      <w:r>
        <w:t xml:space="preserve"> (</w:t>
      </w:r>
      <w:proofErr w:type="spellStart"/>
      <w:r>
        <w:t>cf</w:t>
      </w:r>
      <w:proofErr w:type="spellEnd"/>
      <w:r>
        <w:t xml:space="preserve"> </w:t>
      </w:r>
      <w:r>
        <w:rPr>
          <w:i/>
          <w:iCs/>
        </w:rPr>
        <w:t xml:space="preserve">Minister for Immigration and Multicultural Affairs v </w:t>
      </w:r>
      <w:r>
        <w:rPr>
          <w:i/>
          <w:iCs/>
          <w:spacing w:val="-4"/>
        </w:rPr>
        <w:t xml:space="preserve">Yusuf </w:t>
      </w:r>
      <w:r>
        <w:t xml:space="preserve">(2001) 206 CLR 323 at [87]-[97]) and a failure by the Tribunal to address a contention which, if accepted, might establish that the applicant had a well-founded fear </w:t>
      </w:r>
      <w:r>
        <w:rPr>
          <w:spacing w:val="-8"/>
        </w:rPr>
        <w:t>of</w:t>
      </w:r>
      <w:r>
        <w:t xml:space="preserve"> persecution for a Convention reason. The Tribunal is not a court. It is an administrative body operating in an environment which requires the expeditious determination of a high volume of applications. Each of the applications </w:t>
      </w:r>
      <w:r>
        <w:rPr>
          <w:spacing w:val="-6"/>
        </w:rPr>
        <w:t>it</w:t>
      </w:r>
      <w:r>
        <w:t xml:space="preserve"> decides is, of course, of great importance. Some of its decisions may literally </w:t>
      </w:r>
      <w:r>
        <w:rPr>
          <w:spacing w:val="-8"/>
        </w:rPr>
        <w:t>be</w:t>
      </w:r>
      <w:r>
        <w:t xml:space="preserve"> life and death decisions for the applicant. Nevertheless, it is an administrative body and not a court and its reasons are not to be scrutinised “with an eye keenly attuned to error”. Nor is it necessarily required to provide reasons of </w:t>
      </w:r>
      <w:r>
        <w:rPr>
          <w:spacing w:val="-4"/>
        </w:rPr>
        <w:t>the</w:t>
      </w:r>
      <w:r>
        <w:t xml:space="preserve"> kind that might be expected of a court of </w:t>
      </w:r>
      <w:r>
        <w:rPr>
          <w:spacing w:val="-4"/>
        </w:rPr>
        <w:t>law.</w:t>
      </w:r>
    </w:p>
    <w:p w14:paraId="7FED576A" w14:textId="77777777" w:rsidR="006C72AC" w:rsidRDefault="006C72AC" w:rsidP="006C72AC">
      <w:pPr>
        <w:pStyle w:val="Quote1"/>
        <w:spacing w:after="360"/>
      </w:pPr>
      <w:r>
        <w:t>[47]</w:t>
      </w:r>
      <w:r>
        <w:tab/>
        <w:t>The inference that the Tribunal has failed to consider an issue may be drawn from its failure to expressly deal with that issue in its reasons. But that is an inference not too readily to be drawn where the reasons are otherwise comprehensive and the issue has at least been identified at some point. It may be that it is unnecessary to make a finding on a particular matter because it is subsumed in findings of greater generality or because there is a factual premise upon which a contention rests which has been rejected. Where however there is an issue raised by the evidence advanced on behalf of an applicant and contentions made by the applicant and that issue, if resolved one way, would be dispositive</w:t>
      </w:r>
      <w:r>
        <w:rPr>
          <w:spacing w:val="16"/>
        </w:rPr>
        <w:t xml:space="preserve"> </w:t>
      </w:r>
      <w:r>
        <w:t>of</w:t>
      </w:r>
      <w:r>
        <w:rPr>
          <w:spacing w:val="16"/>
        </w:rPr>
        <w:t xml:space="preserve"> </w:t>
      </w:r>
      <w:r>
        <w:t>the</w:t>
      </w:r>
      <w:r>
        <w:rPr>
          <w:spacing w:val="12"/>
        </w:rPr>
        <w:t xml:space="preserve"> </w:t>
      </w:r>
      <w:r>
        <w:t>Tribunal’s</w:t>
      </w:r>
      <w:r>
        <w:rPr>
          <w:spacing w:val="16"/>
        </w:rPr>
        <w:t xml:space="preserve"> </w:t>
      </w:r>
      <w:r>
        <w:t>review</w:t>
      </w:r>
      <w:r>
        <w:rPr>
          <w:spacing w:val="16"/>
        </w:rPr>
        <w:t xml:space="preserve"> </w:t>
      </w:r>
      <w:r>
        <w:t>of</w:t>
      </w:r>
      <w:r>
        <w:rPr>
          <w:spacing w:val="16"/>
        </w:rPr>
        <w:t xml:space="preserve"> </w:t>
      </w:r>
      <w:r>
        <w:t>the</w:t>
      </w:r>
      <w:r>
        <w:rPr>
          <w:spacing w:val="16"/>
        </w:rPr>
        <w:t xml:space="preserve"> </w:t>
      </w:r>
      <w:r>
        <w:t>delegate’s</w:t>
      </w:r>
      <w:r>
        <w:rPr>
          <w:spacing w:val="16"/>
        </w:rPr>
        <w:t xml:space="preserve"> </w:t>
      </w:r>
      <w:r>
        <w:t>decision,</w:t>
      </w:r>
      <w:r>
        <w:rPr>
          <w:spacing w:val="16"/>
        </w:rPr>
        <w:t xml:space="preserve"> </w:t>
      </w:r>
      <w:r>
        <w:t>a</w:t>
      </w:r>
      <w:r>
        <w:rPr>
          <w:spacing w:val="15"/>
        </w:rPr>
        <w:t xml:space="preserve"> </w:t>
      </w:r>
      <w:r>
        <w:t>failure</w:t>
      </w:r>
      <w:r>
        <w:rPr>
          <w:spacing w:val="16"/>
        </w:rPr>
        <w:t xml:space="preserve"> </w:t>
      </w:r>
      <w:r>
        <w:t>to</w:t>
      </w:r>
      <w:r>
        <w:rPr>
          <w:spacing w:val="16"/>
        </w:rPr>
        <w:t xml:space="preserve"> </w:t>
      </w:r>
      <w:r>
        <w:t>deal with</w:t>
      </w:r>
      <w:r>
        <w:rPr>
          <w:spacing w:val="30"/>
        </w:rPr>
        <w:t xml:space="preserve"> </w:t>
      </w:r>
      <w:r>
        <w:t>it</w:t>
      </w:r>
      <w:r>
        <w:rPr>
          <w:spacing w:val="30"/>
        </w:rPr>
        <w:t xml:space="preserve"> </w:t>
      </w:r>
      <w:r>
        <w:t>in</w:t>
      </w:r>
      <w:r>
        <w:rPr>
          <w:spacing w:val="30"/>
        </w:rPr>
        <w:t xml:space="preserve"> </w:t>
      </w:r>
      <w:r>
        <w:t>the</w:t>
      </w:r>
      <w:r>
        <w:rPr>
          <w:spacing w:val="30"/>
        </w:rPr>
        <w:t xml:space="preserve"> </w:t>
      </w:r>
      <w:r>
        <w:t>published</w:t>
      </w:r>
      <w:r>
        <w:rPr>
          <w:spacing w:val="30"/>
        </w:rPr>
        <w:t xml:space="preserve"> </w:t>
      </w:r>
      <w:r>
        <w:t>reasons</w:t>
      </w:r>
      <w:r>
        <w:rPr>
          <w:spacing w:val="30"/>
        </w:rPr>
        <w:t xml:space="preserve"> </w:t>
      </w:r>
      <w:r>
        <w:t>may</w:t>
      </w:r>
      <w:r>
        <w:rPr>
          <w:spacing w:val="30"/>
        </w:rPr>
        <w:t xml:space="preserve"> </w:t>
      </w:r>
      <w:r>
        <w:t>raise</w:t>
      </w:r>
      <w:r>
        <w:rPr>
          <w:spacing w:val="30"/>
        </w:rPr>
        <w:t xml:space="preserve"> </w:t>
      </w:r>
      <w:r>
        <w:t>a</w:t>
      </w:r>
      <w:r>
        <w:rPr>
          <w:spacing w:val="30"/>
        </w:rPr>
        <w:t xml:space="preserve"> </w:t>
      </w:r>
      <w:r>
        <w:t>strong</w:t>
      </w:r>
      <w:r>
        <w:rPr>
          <w:spacing w:val="30"/>
        </w:rPr>
        <w:t xml:space="preserve"> </w:t>
      </w:r>
      <w:r>
        <w:t>inference</w:t>
      </w:r>
      <w:r>
        <w:rPr>
          <w:spacing w:val="30"/>
        </w:rPr>
        <w:t xml:space="preserve"> </w:t>
      </w:r>
      <w:r>
        <w:t>that</w:t>
      </w:r>
      <w:r>
        <w:rPr>
          <w:spacing w:val="30"/>
        </w:rPr>
        <w:t xml:space="preserve"> </w:t>
      </w:r>
      <w:r>
        <w:t>it</w:t>
      </w:r>
      <w:r>
        <w:rPr>
          <w:spacing w:val="30"/>
        </w:rPr>
        <w:t xml:space="preserve"> </w:t>
      </w:r>
      <w:r>
        <w:t>has</w:t>
      </w:r>
      <w:r>
        <w:rPr>
          <w:spacing w:val="29"/>
        </w:rPr>
        <w:t xml:space="preserve"> </w:t>
      </w:r>
      <w:r>
        <w:t>been overlooked.</w:t>
      </w:r>
    </w:p>
    <w:p w14:paraId="4F3F74A5" w14:textId="43ED1052" w:rsidR="005A6147" w:rsidRDefault="006C72AC" w:rsidP="006C72AC">
      <w:pPr>
        <w:pStyle w:val="ParaNumbering"/>
        <w:rPr>
          <w:lang w:eastAsia="en-AU"/>
        </w:rPr>
      </w:pPr>
      <w:r>
        <w:rPr>
          <w:lang w:eastAsia="en-AU"/>
        </w:rPr>
        <w:t xml:space="preserve">Those observations </w:t>
      </w:r>
      <w:r w:rsidR="00B74EF4">
        <w:rPr>
          <w:lang w:eastAsia="en-AU"/>
        </w:rPr>
        <w:t xml:space="preserve">and principles </w:t>
      </w:r>
      <w:r>
        <w:rPr>
          <w:lang w:eastAsia="en-AU"/>
        </w:rPr>
        <w:t>have a direct application to this case</w:t>
      </w:r>
      <w:r w:rsidR="003E16E3">
        <w:rPr>
          <w:lang w:eastAsia="en-AU"/>
        </w:rPr>
        <w:t>, noting in particular that the Tribunal reasons are indeed comprehensive</w:t>
      </w:r>
      <w:r w:rsidR="005A6147">
        <w:rPr>
          <w:lang w:eastAsia="en-AU"/>
        </w:rPr>
        <w:t xml:space="preserve">, especially given the relatively narrow issue in contention as </w:t>
      </w:r>
      <w:r w:rsidR="004F70F2">
        <w:rPr>
          <w:lang w:eastAsia="en-AU"/>
        </w:rPr>
        <w:t xml:space="preserve">to </w:t>
      </w:r>
      <w:r w:rsidR="00CD4B95">
        <w:rPr>
          <w:lang w:eastAsia="en-AU"/>
        </w:rPr>
        <w:t xml:space="preserve">whether </w:t>
      </w:r>
      <w:r w:rsidR="005A6147">
        <w:rPr>
          <w:lang w:eastAsia="en-AU"/>
        </w:rPr>
        <w:t>the exclusive relationship criterion</w:t>
      </w:r>
      <w:r w:rsidR="00CD4B95">
        <w:rPr>
          <w:lang w:eastAsia="en-AU"/>
        </w:rPr>
        <w:t xml:space="preserve"> had been met</w:t>
      </w:r>
      <w:r>
        <w:rPr>
          <w:lang w:eastAsia="en-AU"/>
        </w:rPr>
        <w:t>.  The Tribunal expressly</w:t>
      </w:r>
      <w:r w:rsidR="009154AF">
        <w:rPr>
          <w:lang w:eastAsia="en-AU"/>
        </w:rPr>
        <w:t>,</w:t>
      </w:r>
      <w:r>
        <w:rPr>
          <w:lang w:eastAsia="en-AU"/>
        </w:rPr>
        <w:t xml:space="preserve"> and in some considerable detail</w:t>
      </w:r>
      <w:r w:rsidR="009154AF">
        <w:rPr>
          <w:lang w:eastAsia="en-AU"/>
        </w:rPr>
        <w:t>,</w:t>
      </w:r>
      <w:r>
        <w:rPr>
          <w:lang w:eastAsia="en-AU"/>
        </w:rPr>
        <w:t xml:space="preserve"> considered the question of whether the relationship between the sponsor and Ms </w:t>
      </w:r>
      <w:proofErr w:type="spellStart"/>
      <w:r>
        <w:rPr>
          <w:lang w:eastAsia="en-AU"/>
        </w:rPr>
        <w:t>Omotayo</w:t>
      </w:r>
      <w:proofErr w:type="spellEnd"/>
      <w:r>
        <w:rPr>
          <w:lang w:eastAsia="en-AU"/>
        </w:rPr>
        <w:t xml:space="preserve"> had ceased</w:t>
      </w:r>
      <w:r w:rsidR="00CD4B95">
        <w:rPr>
          <w:lang w:eastAsia="en-AU"/>
        </w:rPr>
        <w:t xml:space="preserve">.  In doing so the Tribunal identified the </w:t>
      </w:r>
      <w:r w:rsidR="00782233">
        <w:rPr>
          <w:lang w:eastAsia="en-AU"/>
        </w:rPr>
        <w:t>evidence and other material before it on that topic</w:t>
      </w:r>
      <w:r w:rsidR="00CD4B95">
        <w:rPr>
          <w:lang w:eastAsia="en-AU"/>
        </w:rPr>
        <w:t xml:space="preserve"> that it plainly considered to be material: see s 368</w:t>
      </w:r>
      <w:r w:rsidR="00EB4552">
        <w:rPr>
          <w:lang w:eastAsia="en-AU"/>
        </w:rPr>
        <w:t>(1)</w:t>
      </w:r>
      <w:r w:rsidR="00CD4B95">
        <w:rPr>
          <w:lang w:eastAsia="en-AU"/>
        </w:rPr>
        <w:t xml:space="preserve">, </w:t>
      </w:r>
      <w:r w:rsidR="00CD4B95" w:rsidRPr="00CD4B95">
        <w:rPr>
          <w:i/>
          <w:lang w:eastAsia="en-AU"/>
        </w:rPr>
        <w:t>Migration Act</w:t>
      </w:r>
      <w:r>
        <w:rPr>
          <w:lang w:eastAsia="en-AU"/>
        </w:rPr>
        <w:t>.  The Tribunal expressly stat</w:t>
      </w:r>
      <w:r w:rsidR="00B74EF4">
        <w:rPr>
          <w:lang w:eastAsia="en-AU"/>
        </w:rPr>
        <w:t>ed</w:t>
      </w:r>
      <w:r>
        <w:rPr>
          <w:lang w:eastAsia="en-AU"/>
        </w:rPr>
        <w:t xml:space="preserve"> that all of the material before it had been considered and that the reasons were no more than a synopsis of it.  I see no reason not to take the Tribunal member at her word on this</w:t>
      </w:r>
      <w:r w:rsidR="003A4570">
        <w:rPr>
          <w:lang w:eastAsia="en-AU"/>
        </w:rPr>
        <w:t xml:space="preserve">, especially as the issues on this topic addressed in the </w:t>
      </w:r>
      <w:r w:rsidR="003E16E3">
        <w:rPr>
          <w:lang w:eastAsia="en-AU"/>
        </w:rPr>
        <w:t xml:space="preserve">appellant’s </w:t>
      </w:r>
      <w:r w:rsidR="003E16E3">
        <w:t xml:space="preserve">24 July 2017 </w:t>
      </w:r>
      <w:r w:rsidR="003A4570">
        <w:rPr>
          <w:lang w:eastAsia="en-AU"/>
        </w:rPr>
        <w:t>statutory declaration were considered at some length</w:t>
      </w:r>
      <w:r>
        <w:rPr>
          <w:lang w:eastAsia="en-AU"/>
        </w:rPr>
        <w:t xml:space="preserve">.  </w:t>
      </w:r>
    </w:p>
    <w:p w14:paraId="506AB096" w14:textId="37EBDCE7" w:rsidR="006C72AC" w:rsidRDefault="003E16E3" w:rsidP="006C72AC">
      <w:pPr>
        <w:pStyle w:val="ParaNumbering"/>
        <w:rPr>
          <w:lang w:eastAsia="en-AU"/>
        </w:rPr>
      </w:pPr>
      <w:r>
        <w:rPr>
          <w:lang w:eastAsia="en-AU"/>
        </w:rPr>
        <w:lastRenderedPageBreak/>
        <w:t>As the primary judge correctly concluded at [77], there is no basis to find that the Tribunal failed to have regard to the sponsor’s 24 July 2017 statutory declaration.  This reasoning also applies to a range of other material that the appellant points to as not having been expressly and individually referred to</w:t>
      </w:r>
      <w:r w:rsidR="004F70F2">
        <w:rPr>
          <w:lang w:eastAsia="en-AU"/>
        </w:rPr>
        <w:t xml:space="preserve"> in</w:t>
      </w:r>
      <w:r>
        <w:rPr>
          <w:lang w:eastAsia="en-AU"/>
        </w:rPr>
        <w:t xml:space="preserve"> the Tribunal’s reasons. </w:t>
      </w:r>
      <w:r w:rsidR="002B3E62">
        <w:rPr>
          <w:lang w:eastAsia="en-AU"/>
        </w:rPr>
        <w:t xml:space="preserve"> </w:t>
      </w:r>
      <w:r w:rsidR="006C72AC">
        <w:rPr>
          <w:lang w:eastAsia="en-AU"/>
        </w:rPr>
        <w:t>I</w:t>
      </w:r>
      <w:r>
        <w:rPr>
          <w:lang w:eastAsia="en-AU"/>
        </w:rPr>
        <w:t xml:space="preserve">t has not been </w:t>
      </w:r>
      <w:r w:rsidR="006C72AC">
        <w:rPr>
          <w:lang w:eastAsia="en-AU"/>
        </w:rPr>
        <w:t xml:space="preserve">demonstrated there was any failure on the part of the Tribunal to consider this issue, nor this </w:t>
      </w:r>
      <w:r w:rsidR="004F70F2">
        <w:rPr>
          <w:lang w:eastAsia="en-AU"/>
        </w:rPr>
        <w:t>n</w:t>
      </w:r>
      <w:r w:rsidR="00782233">
        <w:rPr>
          <w:lang w:eastAsia="en-AU"/>
        </w:rPr>
        <w:t xml:space="preserve">or any other </w:t>
      </w:r>
      <w:r w:rsidR="006C72AC">
        <w:rPr>
          <w:lang w:eastAsia="en-AU"/>
        </w:rPr>
        <w:t>evidence</w:t>
      </w:r>
      <w:r w:rsidR="00782233">
        <w:rPr>
          <w:lang w:eastAsia="en-AU"/>
        </w:rPr>
        <w:t xml:space="preserve"> on this topic</w:t>
      </w:r>
      <w:r w:rsidR="006C72AC">
        <w:rPr>
          <w:lang w:eastAsia="en-AU"/>
        </w:rPr>
        <w:t xml:space="preserve">.  </w:t>
      </w:r>
    </w:p>
    <w:p w14:paraId="280551BF" w14:textId="77777777" w:rsidR="005C1234" w:rsidRDefault="005C1234" w:rsidP="005C1234">
      <w:pPr>
        <w:pStyle w:val="Heading2"/>
        <w:rPr>
          <w:lang w:eastAsia="en-AU"/>
        </w:rPr>
      </w:pPr>
      <w:r>
        <w:rPr>
          <w:lang w:eastAsia="en-AU"/>
        </w:rPr>
        <w:t>Other issues raised by the sponsor</w:t>
      </w:r>
    </w:p>
    <w:p w14:paraId="6F1DCB66" w14:textId="77777777" w:rsidR="004D5D98" w:rsidRDefault="003E16E3" w:rsidP="004D5D98">
      <w:pPr>
        <w:pStyle w:val="ParaNumbering"/>
        <w:rPr>
          <w:lang w:eastAsia="en-AU"/>
        </w:rPr>
      </w:pPr>
      <w:r>
        <w:rPr>
          <w:lang w:eastAsia="en-AU"/>
        </w:rPr>
        <w:t xml:space="preserve">For completeness, the following </w:t>
      </w:r>
      <w:r w:rsidR="001A3D5A">
        <w:rPr>
          <w:lang w:eastAsia="en-AU"/>
        </w:rPr>
        <w:t>observations</w:t>
      </w:r>
      <w:r>
        <w:rPr>
          <w:lang w:eastAsia="en-AU"/>
        </w:rPr>
        <w:t xml:space="preserve"> are also made</w:t>
      </w:r>
      <w:r w:rsidR="002B3E62">
        <w:rPr>
          <w:lang w:eastAsia="en-AU"/>
        </w:rPr>
        <w:t xml:space="preserve"> about </w:t>
      </w:r>
      <w:r w:rsidR="005C1234">
        <w:rPr>
          <w:lang w:eastAsia="en-AU"/>
        </w:rPr>
        <w:t xml:space="preserve">a number of other </w:t>
      </w:r>
      <w:r w:rsidR="002B3E62">
        <w:rPr>
          <w:lang w:eastAsia="en-AU"/>
        </w:rPr>
        <w:t>issues raised by the sponsor</w:t>
      </w:r>
      <w:r w:rsidR="00066EEC">
        <w:rPr>
          <w:lang w:eastAsia="en-AU"/>
        </w:rPr>
        <w:t xml:space="preserve"> in written submissions and in his oral submissions a</w:t>
      </w:r>
      <w:r w:rsidR="001A3D5A">
        <w:rPr>
          <w:lang w:eastAsia="en-AU"/>
        </w:rPr>
        <w:t>t</w:t>
      </w:r>
      <w:r w:rsidR="00066EEC">
        <w:rPr>
          <w:lang w:eastAsia="en-AU"/>
        </w:rPr>
        <w:t xml:space="preserve"> the </w:t>
      </w:r>
      <w:r w:rsidR="001A3D5A">
        <w:rPr>
          <w:lang w:eastAsia="en-AU"/>
        </w:rPr>
        <w:t xml:space="preserve">appeal </w:t>
      </w:r>
      <w:r w:rsidR="00066EEC">
        <w:rPr>
          <w:lang w:eastAsia="en-AU"/>
        </w:rPr>
        <w:t>hearing</w:t>
      </w:r>
      <w:r w:rsidR="002B3E62">
        <w:rPr>
          <w:lang w:eastAsia="en-AU"/>
        </w:rPr>
        <w:t>.</w:t>
      </w:r>
      <w:r w:rsidR="004D5D98">
        <w:rPr>
          <w:lang w:eastAsia="en-AU"/>
        </w:rPr>
        <w:t xml:space="preserve">  </w:t>
      </w:r>
    </w:p>
    <w:p w14:paraId="6510FF0A" w14:textId="42071737" w:rsidR="004D5D98" w:rsidRDefault="004D5D98" w:rsidP="004D5D98">
      <w:pPr>
        <w:pStyle w:val="ParaNumbering"/>
        <w:rPr>
          <w:lang w:eastAsia="en-AU"/>
        </w:rPr>
      </w:pPr>
      <w:r>
        <w:rPr>
          <w:lang w:eastAsia="en-AU"/>
        </w:rPr>
        <w:t>Once there was no requirement that the Tribunal take into account the best interests of the children and hardship in denying the grant of the visa sought, in determining the existence of a de facto relationship, most of the submissions went only to the merits of the conclusion that was reached.  That ended up being the substance of most of the sponsor’s written and oral submissions.</w:t>
      </w:r>
    </w:p>
    <w:p w14:paraId="58150D8E" w14:textId="63D9D407" w:rsidR="002B3E62" w:rsidRDefault="005415F3" w:rsidP="002B3E62">
      <w:pPr>
        <w:pStyle w:val="ParaNumbering"/>
        <w:rPr>
          <w:lang w:eastAsia="en-AU"/>
        </w:rPr>
      </w:pPr>
      <w:r>
        <w:rPr>
          <w:lang w:eastAsia="en-AU"/>
        </w:rPr>
        <w:t xml:space="preserve">The </w:t>
      </w:r>
      <w:r w:rsidR="002B3E62">
        <w:rPr>
          <w:lang w:eastAsia="en-AU"/>
        </w:rPr>
        <w:t xml:space="preserve">sponsor </w:t>
      </w:r>
      <w:r>
        <w:rPr>
          <w:lang w:eastAsia="en-AU"/>
        </w:rPr>
        <w:t>provided three set</w:t>
      </w:r>
      <w:r w:rsidR="004D5D98">
        <w:rPr>
          <w:lang w:eastAsia="en-AU"/>
        </w:rPr>
        <w:t>s</w:t>
      </w:r>
      <w:r>
        <w:rPr>
          <w:lang w:eastAsia="en-AU"/>
        </w:rPr>
        <w:t xml:space="preserve"> of written submissions and </w:t>
      </w:r>
      <w:r w:rsidR="005A6147">
        <w:rPr>
          <w:lang w:eastAsia="en-AU"/>
        </w:rPr>
        <w:t xml:space="preserve">made oral </w:t>
      </w:r>
      <w:r>
        <w:rPr>
          <w:lang w:eastAsia="en-AU"/>
        </w:rPr>
        <w:t xml:space="preserve">submissions </w:t>
      </w:r>
      <w:r w:rsidR="00F16A52">
        <w:rPr>
          <w:lang w:eastAsia="en-AU"/>
        </w:rPr>
        <w:t xml:space="preserve">at the appeal hearing </w:t>
      </w:r>
      <w:r>
        <w:rPr>
          <w:lang w:eastAsia="en-AU"/>
        </w:rPr>
        <w:t xml:space="preserve">for almost three hours, including </w:t>
      </w:r>
      <w:r w:rsidR="00961E03">
        <w:rPr>
          <w:lang w:eastAsia="en-AU"/>
        </w:rPr>
        <w:t xml:space="preserve">in </w:t>
      </w:r>
      <w:r>
        <w:rPr>
          <w:lang w:eastAsia="en-AU"/>
        </w:rPr>
        <w:t>reply</w:t>
      </w:r>
      <w:r w:rsidR="00961E03">
        <w:rPr>
          <w:lang w:eastAsia="en-AU"/>
        </w:rPr>
        <w:t xml:space="preserve"> to the Minister’s brief oral submissions</w:t>
      </w:r>
      <w:r>
        <w:rPr>
          <w:lang w:eastAsia="en-AU"/>
        </w:rPr>
        <w:t xml:space="preserve">.  </w:t>
      </w:r>
      <w:r w:rsidR="001F678E">
        <w:rPr>
          <w:lang w:eastAsia="en-AU"/>
        </w:rPr>
        <w:t xml:space="preserve">In keeping with </w:t>
      </w:r>
      <w:r w:rsidR="00961E03">
        <w:rPr>
          <w:lang w:eastAsia="en-AU"/>
        </w:rPr>
        <w:t>the sponsor’s</w:t>
      </w:r>
      <w:r w:rsidR="001F678E">
        <w:rPr>
          <w:lang w:eastAsia="en-AU"/>
        </w:rPr>
        <w:t xml:space="preserve"> written submissions, the great bulk of that time was taken up arguing that the best interests of his children</w:t>
      </w:r>
      <w:r w:rsidR="00770E80">
        <w:rPr>
          <w:lang w:eastAsia="en-AU"/>
        </w:rPr>
        <w:t xml:space="preserve"> and</w:t>
      </w:r>
      <w:r w:rsidR="001F678E">
        <w:rPr>
          <w:lang w:eastAsia="en-AU"/>
        </w:rPr>
        <w:t xml:space="preserve"> the hardship occasioned to </w:t>
      </w:r>
      <w:r w:rsidR="001A3D5A">
        <w:rPr>
          <w:lang w:eastAsia="en-AU"/>
        </w:rPr>
        <w:t xml:space="preserve">him, </w:t>
      </w:r>
      <w:r w:rsidR="001F678E">
        <w:rPr>
          <w:lang w:eastAsia="en-AU"/>
        </w:rPr>
        <w:t xml:space="preserve">his children, </w:t>
      </w:r>
      <w:r w:rsidR="0099088A">
        <w:rPr>
          <w:lang w:eastAsia="en-AU"/>
        </w:rPr>
        <w:t xml:space="preserve">and </w:t>
      </w:r>
      <w:r w:rsidR="001F678E">
        <w:rPr>
          <w:lang w:eastAsia="en-AU"/>
        </w:rPr>
        <w:t>the visa applicant</w:t>
      </w:r>
      <w:r w:rsidR="00770E80">
        <w:rPr>
          <w:lang w:eastAsia="en-AU"/>
        </w:rPr>
        <w:t>,</w:t>
      </w:r>
      <w:r w:rsidR="001F678E">
        <w:rPr>
          <w:lang w:eastAsia="en-AU"/>
        </w:rPr>
        <w:t xml:space="preserve"> were not taken into account</w:t>
      </w:r>
      <w:r w:rsidR="002B3E62">
        <w:rPr>
          <w:lang w:eastAsia="en-AU"/>
        </w:rPr>
        <w:t xml:space="preserve"> by the Tribunal</w:t>
      </w:r>
      <w:r w:rsidR="00961E03">
        <w:rPr>
          <w:lang w:eastAsia="en-AU"/>
        </w:rPr>
        <w:t xml:space="preserve">; </w:t>
      </w:r>
      <w:r w:rsidR="00EB4552">
        <w:rPr>
          <w:lang w:eastAsia="en-AU"/>
        </w:rPr>
        <w:t xml:space="preserve">that this should have been taken into account; </w:t>
      </w:r>
      <w:r w:rsidR="00961E03">
        <w:rPr>
          <w:lang w:eastAsia="en-AU"/>
        </w:rPr>
        <w:t xml:space="preserve">and that there had been a denial of procedural fairness in not taking </w:t>
      </w:r>
      <w:r w:rsidR="00EB4552">
        <w:rPr>
          <w:lang w:eastAsia="en-AU"/>
        </w:rPr>
        <w:t xml:space="preserve">this </w:t>
      </w:r>
      <w:r w:rsidR="00961E03">
        <w:rPr>
          <w:lang w:eastAsia="en-AU"/>
        </w:rPr>
        <w:t>into account without giving notice to that effect</w:t>
      </w:r>
      <w:r w:rsidR="002B3E62">
        <w:rPr>
          <w:lang w:eastAsia="en-AU"/>
        </w:rPr>
        <w:t>.  The sponsor is correct in characterising these matters not having been taken into account in determining the exclusive relationship criterion, but incorrect in asserting that they had to be</w:t>
      </w:r>
      <w:r w:rsidR="009154AF">
        <w:rPr>
          <w:lang w:eastAsia="en-AU"/>
        </w:rPr>
        <w:t xml:space="preserve"> taken into account</w:t>
      </w:r>
      <w:r w:rsidR="001A3D5A">
        <w:rPr>
          <w:lang w:eastAsia="en-AU"/>
        </w:rPr>
        <w:t xml:space="preserve">, or that </w:t>
      </w:r>
      <w:r w:rsidR="009154AF">
        <w:rPr>
          <w:lang w:eastAsia="en-AU"/>
        </w:rPr>
        <w:t xml:space="preserve">it was required that the sponsor be given </w:t>
      </w:r>
      <w:r w:rsidR="001A3D5A">
        <w:rPr>
          <w:lang w:eastAsia="en-AU"/>
        </w:rPr>
        <w:t xml:space="preserve">notice </w:t>
      </w:r>
      <w:r w:rsidR="009154AF">
        <w:rPr>
          <w:lang w:eastAsia="en-AU"/>
        </w:rPr>
        <w:t xml:space="preserve">that they would not be taken into account </w:t>
      </w:r>
      <w:r w:rsidR="001A3D5A">
        <w:rPr>
          <w:lang w:eastAsia="en-AU"/>
        </w:rPr>
        <w:t>as a feature of procedural fairness</w:t>
      </w:r>
      <w:r w:rsidR="002B3E62">
        <w:rPr>
          <w:lang w:eastAsia="en-AU"/>
        </w:rPr>
        <w:t>.  The Tribunal correctly confined the use of evidence from and about the children as going to the issue of whether the relationship between the sponsor and visa applicant was exclusive</w:t>
      </w:r>
      <w:r w:rsidR="005C1234">
        <w:rPr>
          <w:lang w:eastAsia="en-AU"/>
        </w:rPr>
        <w:t>,</w:t>
      </w:r>
      <w:r w:rsidR="001A3D5A">
        <w:rPr>
          <w:lang w:eastAsia="en-AU"/>
        </w:rPr>
        <w:t xml:space="preserve"> and </w:t>
      </w:r>
      <w:r w:rsidR="005C1234">
        <w:rPr>
          <w:lang w:eastAsia="en-AU"/>
        </w:rPr>
        <w:t xml:space="preserve">perhaps also </w:t>
      </w:r>
      <w:r w:rsidR="0099088A">
        <w:rPr>
          <w:lang w:eastAsia="en-AU"/>
        </w:rPr>
        <w:t>to</w:t>
      </w:r>
      <w:r w:rsidR="005C1234">
        <w:rPr>
          <w:lang w:eastAsia="en-AU"/>
        </w:rPr>
        <w:t xml:space="preserve"> the question of whether their relationship was </w:t>
      </w:r>
      <w:r w:rsidR="001A3D5A">
        <w:rPr>
          <w:lang w:eastAsia="en-AU"/>
        </w:rPr>
        <w:t>genuine</w:t>
      </w:r>
      <w:r w:rsidR="005C1234">
        <w:rPr>
          <w:lang w:eastAsia="en-AU"/>
        </w:rPr>
        <w:t xml:space="preserve"> and continuing</w:t>
      </w:r>
      <w:r w:rsidR="002B3E62">
        <w:rPr>
          <w:lang w:eastAsia="en-AU"/>
        </w:rPr>
        <w:t xml:space="preserve">.  </w:t>
      </w:r>
      <w:r w:rsidR="00EB4552">
        <w:rPr>
          <w:lang w:eastAsia="en-AU"/>
        </w:rPr>
        <w:t xml:space="preserve">The primary judge was correct to characterise these issues as being </w:t>
      </w:r>
      <w:r w:rsidR="00770E80">
        <w:rPr>
          <w:lang w:eastAsia="en-AU"/>
        </w:rPr>
        <w:t xml:space="preserve">otherwise </w:t>
      </w:r>
      <w:r w:rsidR="00EB4552">
        <w:rPr>
          <w:lang w:eastAsia="en-AU"/>
        </w:rPr>
        <w:t>irrelevant.</w:t>
      </w:r>
    </w:p>
    <w:p w14:paraId="3AB5E225" w14:textId="5960FD33" w:rsidR="00961E03" w:rsidRDefault="00015353" w:rsidP="002B3E62">
      <w:pPr>
        <w:pStyle w:val="ParaNumbering"/>
        <w:rPr>
          <w:lang w:eastAsia="en-AU"/>
        </w:rPr>
      </w:pPr>
      <w:r>
        <w:rPr>
          <w:lang w:eastAsia="en-AU"/>
        </w:rPr>
        <w:t xml:space="preserve">The sponsor also took issue with the following </w:t>
      </w:r>
      <w:r w:rsidR="001A3D5A">
        <w:rPr>
          <w:lang w:eastAsia="en-AU"/>
        </w:rPr>
        <w:t xml:space="preserve">disclosure </w:t>
      </w:r>
      <w:r>
        <w:rPr>
          <w:lang w:eastAsia="en-AU"/>
        </w:rPr>
        <w:t xml:space="preserve">information </w:t>
      </w:r>
      <w:r w:rsidR="001A3D5A">
        <w:rPr>
          <w:lang w:eastAsia="en-AU"/>
        </w:rPr>
        <w:t xml:space="preserve">received by the Minister’s Department, </w:t>
      </w:r>
      <w:r>
        <w:rPr>
          <w:lang w:eastAsia="en-AU"/>
        </w:rPr>
        <w:t xml:space="preserve">which was </w:t>
      </w:r>
      <w:r w:rsidR="001A3D5A">
        <w:rPr>
          <w:lang w:eastAsia="en-AU"/>
        </w:rPr>
        <w:t xml:space="preserve">made </w:t>
      </w:r>
      <w:r>
        <w:rPr>
          <w:lang w:eastAsia="en-AU"/>
        </w:rPr>
        <w:t xml:space="preserve">the subject of a notice to the sponsor under </w:t>
      </w:r>
      <w:r w:rsidRPr="00A74FEE">
        <w:rPr>
          <w:lang w:eastAsia="en-AU"/>
        </w:rPr>
        <w:t xml:space="preserve">s 359A of the </w:t>
      </w:r>
      <w:r w:rsidRPr="00A74FEE">
        <w:rPr>
          <w:i/>
          <w:lang w:eastAsia="en-AU"/>
        </w:rPr>
        <w:t>Migration</w:t>
      </w:r>
      <w:r w:rsidR="009154AF" w:rsidRPr="00A74FEE">
        <w:rPr>
          <w:i/>
          <w:lang w:eastAsia="en-AU"/>
        </w:rPr>
        <w:t xml:space="preserve"> Act</w:t>
      </w:r>
      <w:r w:rsidR="001A3D5A">
        <w:rPr>
          <w:lang w:eastAsia="en-AU"/>
        </w:rPr>
        <w:t>, seeking his response</w:t>
      </w:r>
      <w:r>
        <w:rPr>
          <w:lang w:eastAsia="en-AU"/>
        </w:rPr>
        <w:t>:</w:t>
      </w:r>
    </w:p>
    <w:p w14:paraId="6EB16BF2" w14:textId="17F252FA" w:rsidR="005A6147" w:rsidRPr="005A6147" w:rsidRDefault="005A6147" w:rsidP="00A006A3">
      <w:pPr>
        <w:pStyle w:val="Quote1"/>
        <w:spacing w:after="360"/>
        <w:rPr>
          <w:lang w:eastAsia="en-AU"/>
        </w:rPr>
      </w:pPr>
      <w:r w:rsidRPr="005A6147">
        <w:rPr>
          <w:lang w:eastAsia="en-AU"/>
        </w:rPr>
        <w:lastRenderedPageBreak/>
        <w:t>Allegations that the sponsor is in a co</w:t>
      </w:r>
      <w:r w:rsidR="00AC5450">
        <w:rPr>
          <w:lang w:eastAsia="en-AU"/>
        </w:rPr>
        <w:t>ntinuing relationship with his ‘</w:t>
      </w:r>
      <w:r w:rsidRPr="005A6147">
        <w:rPr>
          <w:lang w:eastAsia="en-AU"/>
        </w:rPr>
        <w:t>wife</w:t>
      </w:r>
      <w:r w:rsidR="00AC5450">
        <w:rPr>
          <w:lang w:eastAsia="en-AU"/>
        </w:rPr>
        <w:t>’</w:t>
      </w:r>
      <w:r w:rsidRPr="005A6147">
        <w:rPr>
          <w:lang w:eastAsia="en-AU"/>
        </w:rPr>
        <w:t xml:space="preserve"> in Australia and they are raising </w:t>
      </w:r>
      <w:r>
        <w:rPr>
          <w:lang w:eastAsia="en-AU"/>
        </w:rPr>
        <w:t>the sponsor’s children together</w:t>
      </w:r>
      <w:r w:rsidRPr="005A6147">
        <w:rPr>
          <w:color w:val="3F3C3D"/>
          <w:lang w:eastAsia="en-AU"/>
        </w:rPr>
        <w:t xml:space="preserve">. </w:t>
      </w:r>
      <w:r w:rsidRPr="005A6147">
        <w:rPr>
          <w:lang w:eastAsia="en-AU"/>
        </w:rPr>
        <w:t>The sponsor is attempting to bring another person to Australia on a partner visa</w:t>
      </w:r>
      <w:r w:rsidRPr="005A6147">
        <w:rPr>
          <w:color w:val="3F3C3D"/>
          <w:lang w:eastAsia="en-AU"/>
        </w:rPr>
        <w:t xml:space="preserve">. </w:t>
      </w:r>
      <w:r w:rsidRPr="005A6147">
        <w:rPr>
          <w:lang w:eastAsia="en-AU"/>
        </w:rPr>
        <w:t>The sponsor</w:t>
      </w:r>
      <w:r>
        <w:rPr>
          <w:lang w:eastAsia="en-AU"/>
        </w:rPr>
        <w:t>’</w:t>
      </w:r>
      <w:r w:rsidRPr="005A6147">
        <w:rPr>
          <w:lang w:eastAsia="en-AU"/>
        </w:rPr>
        <w:t xml:space="preserve">s </w:t>
      </w:r>
      <w:r>
        <w:rPr>
          <w:lang w:eastAsia="en-AU"/>
        </w:rPr>
        <w:t>‘</w:t>
      </w:r>
      <w:r w:rsidRPr="005A6147">
        <w:rPr>
          <w:lang w:eastAsia="en-AU"/>
        </w:rPr>
        <w:t>wife</w:t>
      </w:r>
      <w:r>
        <w:rPr>
          <w:lang w:eastAsia="en-AU"/>
        </w:rPr>
        <w:t>’</w:t>
      </w:r>
      <w:r w:rsidRPr="005A6147">
        <w:rPr>
          <w:lang w:eastAsia="en-AU"/>
        </w:rPr>
        <w:t xml:space="preserve"> in Australia and the visa applicant know about each other</w:t>
      </w:r>
      <w:r w:rsidRPr="005A6147">
        <w:rPr>
          <w:color w:val="3F3C3D"/>
          <w:lang w:eastAsia="en-AU"/>
        </w:rPr>
        <w:t xml:space="preserve">. </w:t>
      </w:r>
      <w:r w:rsidRPr="005A6147">
        <w:rPr>
          <w:lang w:eastAsia="en-AU"/>
        </w:rPr>
        <w:t>The sponsor</w:t>
      </w:r>
      <w:r w:rsidR="0099088A">
        <w:rPr>
          <w:lang w:eastAsia="en-AU"/>
        </w:rPr>
        <w:t>’</w:t>
      </w:r>
      <w:r w:rsidRPr="005A6147">
        <w:rPr>
          <w:lang w:eastAsia="en-AU"/>
        </w:rPr>
        <w:t xml:space="preserve">s intention is to have two </w:t>
      </w:r>
      <w:r>
        <w:rPr>
          <w:color w:val="3F3C3D"/>
          <w:lang w:eastAsia="en-AU"/>
        </w:rPr>
        <w:t>‘</w:t>
      </w:r>
      <w:r w:rsidRPr="005A6147">
        <w:rPr>
          <w:lang w:eastAsia="en-AU"/>
        </w:rPr>
        <w:t>wives</w:t>
      </w:r>
      <w:r>
        <w:rPr>
          <w:lang w:eastAsia="en-AU"/>
        </w:rPr>
        <w:t>’</w:t>
      </w:r>
      <w:r w:rsidRPr="005A6147">
        <w:rPr>
          <w:color w:val="3F3C3D"/>
          <w:lang w:eastAsia="en-AU"/>
        </w:rPr>
        <w:t xml:space="preserve"> </w:t>
      </w:r>
      <w:r w:rsidRPr="005A6147">
        <w:rPr>
          <w:lang w:eastAsia="en-AU"/>
        </w:rPr>
        <w:t>in Australia. The sponsor instructed his children to misrepresent the truth about his relationsh</w:t>
      </w:r>
      <w:r>
        <w:rPr>
          <w:lang w:eastAsia="en-AU"/>
        </w:rPr>
        <w:t>ip with his ‘</w:t>
      </w:r>
      <w:r w:rsidRPr="005A6147">
        <w:rPr>
          <w:lang w:eastAsia="en-AU"/>
        </w:rPr>
        <w:t>wife</w:t>
      </w:r>
      <w:r>
        <w:rPr>
          <w:lang w:eastAsia="en-AU"/>
        </w:rPr>
        <w:t>’</w:t>
      </w:r>
      <w:r w:rsidRPr="005A6147">
        <w:rPr>
          <w:lang w:eastAsia="en-AU"/>
        </w:rPr>
        <w:t xml:space="preserve"> in Australia and his relationship with the visa applicant. The sponsor stated that he will do whatever it takes to succeed in bringing the visa applicant to Australia and he bel</w:t>
      </w:r>
      <w:r w:rsidRPr="005A6147">
        <w:rPr>
          <w:color w:val="3F3C3D"/>
          <w:lang w:eastAsia="en-AU"/>
        </w:rPr>
        <w:t>i</w:t>
      </w:r>
      <w:r w:rsidRPr="005A6147">
        <w:rPr>
          <w:lang w:eastAsia="en-AU"/>
        </w:rPr>
        <w:t>eves that he can deceive the Department and achieve a visa outcome for the visa applicant.</w:t>
      </w:r>
    </w:p>
    <w:p w14:paraId="27872032" w14:textId="69C3403B" w:rsidR="001A3D5A" w:rsidRDefault="005A6147" w:rsidP="00AC5450">
      <w:pPr>
        <w:pStyle w:val="ParaNumbering"/>
        <w:rPr>
          <w:lang w:eastAsia="en-AU"/>
        </w:rPr>
      </w:pPr>
      <w:r>
        <w:rPr>
          <w:lang w:eastAsia="en-AU"/>
        </w:rPr>
        <w:t xml:space="preserve">The </w:t>
      </w:r>
      <w:r w:rsidR="00AC5450">
        <w:rPr>
          <w:lang w:eastAsia="en-AU"/>
        </w:rPr>
        <w:t xml:space="preserve">source of the </w:t>
      </w:r>
      <w:r>
        <w:rPr>
          <w:lang w:eastAsia="en-AU"/>
        </w:rPr>
        <w:t xml:space="preserve">above information was subject to a certificate under s 376 of the </w:t>
      </w:r>
      <w:r w:rsidRPr="00A006A3">
        <w:rPr>
          <w:i/>
          <w:lang w:eastAsia="en-AU"/>
        </w:rPr>
        <w:t>Migration Act</w:t>
      </w:r>
      <w:r>
        <w:rPr>
          <w:lang w:eastAsia="en-AU"/>
        </w:rPr>
        <w:t xml:space="preserve">, rendering </w:t>
      </w:r>
      <w:r w:rsidR="009154AF">
        <w:rPr>
          <w:lang w:eastAsia="en-AU"/>
        </w:rPr>
        <w:t xml:space="preserve">it </w:t>
      </w:r>
      <w:r>
        <w:rPr>
          <w:lang w:eastAsia="en-AU"/>
        </w:rPr>
        <w:t>confidential</w:t>
      </w:r>
      <w:r w:rsidR="00AC5450">
        <w:rPr>
          <w:lang w:eastAsia="en-AU"/>
        </w:rPr>
        <w:t xml:space="preserve"> and not able to be disclosed to the sponsor or visa applicant</w:t>
      </w:r>
      <w:r>
        <w:rPr>
          <w:lang w:eastAsia="en-AU"/>
        </w:rPr>
        <w:t>.  The Tribunal found that the certificate was valid, a conclusion that was not challenged before the primary judge or on appeal.  However</w:t>
      </w:r>
      <w:r w:rsidR="00EE3BD4">
        <w:rPr>
          <w:lang w:eastAsia="en-AU"/>
        </w:rPr>
        <w:t>,</w:t>
      </w:r>
      <w:r>
        <w:rPr>
          <w:lang w:eastAsia="en-AU"/>
        </w:rPr>
        <w:t xml:space="preserve"> the sponsor provided a detailed written response</w:t>
      </w:r>
      <w:r w:rsidR="00A006A3">
        <w:rPr>
          <w:lang w:eastAsia="en-AU"/>
        </w:rPr>
        <w:t xml:space="preserve"> </w:t>
      </w:r>
      <w:r w:rsidR="00EB4552">
        <w:rPr>
          <w:lang w:eastAsia="en-AU"/>
        </w:rPr>
        <w:t xml:space="preserve">to the Tribunal </w:t>
      </w:r>
      <w:r w:rsidR="00A006A3">
        <w:rPr>
          <w:lang w:eastAsia="en-AU"/>
        </w:rPr>
        <w:t>(17 pages, 101 paragraphs) extending well beyond the allegation made</w:t>
      </w:r>
      <w:r w:rsidR="00AC5450">
        <w:rPr>
          <w:lang w:eastAsia="en-AU"/>
        </w:rPr>
        <w:t xml:space="preserve"> in the information</w:t>
      </w:r>
      <w:r>
        <w:rPr>
          <w:lang w:eastAsia="en-AU"/>
        </w:rPr>
        <w:t xml:space="preserve">, demanding to know who provided the information, and denying that it was true.  </w:t>
      </w:r>
      <w:r w:rsidR="001A3D5A">
        <w:rPr>
          <w:lang w:eastAsia="en-AU"/>
        </w:rPr>
        <w:t xml:space="preserve">The sponsor seemed to be alleging </w:t>
      </w:r>
      <w:r w:rsidR="00770E80">
        <w:rPr>
          <w:lang w:eastAsia="en-AU"/>
        </w:rPr>
        <w:t xml:space="preserve">at the appeal hearing </w:t>
      </w:r>
      <w:r w:rsidR="001A3D5A">
        <w:rPr>
          <w:lang w:eastAsia="en-AU"/>
        </w:rPr>
        <w:t>that the Tribunal member was the likely source of the disclosure</w:t>
      </w:r>
      <w:r w:rsidR="00770E80">
        <w:rPr>
          <w:lang w:eastAsia="en-AU"/>
        </w:rPr>
        <w:t>,</w:t>
      </w:r>
      <w:r w:rsidR="001A3D5A">
        <w:rPr>
          <w:lang w:eastAsia="en-AU"/>
        </w:rPr>
        <w:t xml:space="preserve"> but it was not adequately explained what basis there was for such a suggestion.</w:t>
      </w:r>
    </w:p>
    <w:p w14:paraId="05EAEC9E" w14:textId="78C949F8" w:rsidR="00AC5450" w:rsidRPr="001A3D5A" w:rsidRDefault="00A006A3" w:rsidP="00AC5450">
      <w:pPr>
        <w:pStyle w:val="ParaNumbering"/>
        <w:rPr>
          <w:lang w:eastAsia="en-AU"/>
        </w:rPr>
      </w:pPr>
      <w:r>
        <w:rPr>
          <w:lang w:eastAsia="en-AU"/>
        </w:rPr>
        <w:t>The Tribunal did not rely upon the disclosure information</w:t>
      </w:r>
      <w:r w:rsidR="00AC5450">
        <w:rPr>
          <w:lang w:eastAsia="en-AU"/>
        </w:rPr>
        <w:t xml:space="preserve"> in the conclusions reached</w:t>
      </w:r>
      <w:r>
        <w:rPr>
          <w:lang w:eastAsia="en-AU"/>
        </w:rPr>
        <w:t>, but rather made detailed adverse credit</w:t>
      </w:r>
      <w:r w:rsidR="00154323">
        <w:rPr>
          <w:lang w:eastAsia="en-AU"/>
        </w:rPr>
        <w:t xml:space="preserve"> and reliability </w:t>
      </w:r>
      <w:r>
        <w:rPr>
          <w:lang w:eastAsia="en-AU"/>
        </w:rPr>
        <w:t>findings</w:t>
      </w:r>
      <w:r w:rsidR="00EB4552">
        <w:rPr>
          <w:lang w:eastAsia="en-AU"/>
        </w:rPr>
        <w:t xml:space="preserve"> in relation to the evidence and other material relied upon</w:t>
      </w:r>
      <w:r w:rsidR="00AC5450">
        <w:rPr>
          <w:lang w:eastAsia="en-AU"/>
        </w:rPr>
        <w:t xml:space="preserve">.  This </w:t>
      </w:r>
      <w:r>
        <w:rPr>
          <w:lang w:eastAsia="en-AU"/>
        </w:rPr>
        <w:t>culminat</w:t>
      </w:r>
      <w:r w:rsidR="00AC5450">
        <w:rPr>
          <w:lang w:eastAsia="en-AU"/>
        </w:rPr>
        <w:t xml:space="preserve">ed in the Tribunal </w:t>
      </w:r>
      <w:r w:rsidR="00AC5450" w:rsidRPr="00AC5450">
        <w:rPr>
          <w:color w:val="262223"/>
          <w:szCs w:val="24"/>
          <w:lang w:eastAsia="en-AU"/>
        </w:rPr>
        <w:t xml:space="preserve">finding that the </w:t>
      </w:r>
      <w:r w:rsidR="00AC5450">
        <w:rPr>
          <w:color w:val="262223"/>
          <w:szCs w:val="24"/>
          <w:lang w:eastAsia="en-AU"/>
        </w:rPr>
        <w:t>sponsor and the vis</w:t>
      </w:r>
      <w:r w:rsidR="00154323">
        <w:rPr>
          <w:color w:val="262223"/>
          <w:szCs w:val="24"/>
          <w:lang w:eastAsia="en-AU"/>
        </w:rPr>
        <w:t>a</w:t>
      </w:r>
      <w:r w:rsidR="00AC5450">
        <w:rPr>
          <w:color w:val="262223"/>
          <w:szCs w:val="24"/>
          <w:lang w:eastAsia="en-AU"/>
        </w:rPr>
        <w:t xml:space="preserve"> applicant did not </w:t>
      </w:r>
      <w:r w:rsidR="00AC5450" w:rsidRPr="00AC5450">
        <w:rPr>
          <w:color w:val="262223"/>
          <w:szCs w:val="24"/>
          <w:lang w:eastAsia="en-AU"/>
        </w:rPr>
        <w:t xml:space="preserve">have a commitment to a shared life to the exclusion of all others and </w:t>
      </w:r>
      <w:r w:rsidR="00AC5450">
        <w:rPr>
          <w:color w:val="262223"/>
          <w:szCs w:val="24"/>
          <w:lang w:eastAsia="en-AU"/>
        </w:rPr>
        <w:t xml:space="preserve">did </w:t>
      </w:r>
      <w:r w:rsidR="00AC5450" w:rsidRPr="00AC5450">
        <w:rPr>
          <w:color w:val="262223"/>
          <w:szCs w:val="24"/>
          <w:lang w:eastAsia="en-AU"/>
        </w:rPr>
        <w:t>not meet the requirement in s</w:t>
      </w:r>
      <w:r w:rsidR="00EB4552">
        <w:rPr>
          <w:color w:val="262223"/>
          <w:szCs w:val="24"/>
          <w:lang w:eastAsia="en-AU"/>
        </w:rPr>
        <w:t> </w:t>
      </w:r>
      <w:r w:rsidR="00AC5450" w:rsidRPr="00AC5450">
        <w:rPr>
          <w:color w:val="262223"/>
          <w:szCs w:val="24"/>
          <w:lang w:eastAsia="en-AU"/>
        </w:rPr>
        <w:t xml:space="preserve">5CB(2)(a) of the </w:t>
      </w:r>
      <w:r w:rsidR="00AC5450" w:rsidRPr="00AC5450">
        <w:rPr>
          <w:i/>
          <w:color w:val="262223"/>
          <w:szCs w:val="24"/>
          <w:lang w:eastAsia="en-AU"/>
        </w:rPr>
        <w:t>Migration Act</w:t>
      </w:r>
      <w:r w:rsidR="00AC5450" w:rsidRPr="00AC5450">
        <w:rPr>
          <w:color w:val="262223"/>
          <w:szCs w:val="24"/>
          <w:lang w:eastAsia="en-AU"/>
        </w:rPr>
        <w:t>.</w:t>
      </w:r>
      <w:r w:rsidR="00AC5450">
        <w:rPr>
          <w:color w:val="262223"/>
          <w:szCs w:val="24"/>
          <w:lang w:eastAsia="en-AU"/>
        </w:rPr>
        <w:t xml:space="preserve">  The Tribunal additionally did not </w:t>
      </w:r>
      <w:r w:rsidR="00AC5450">
        <w:rPr>
          <w:lang w:eastAsia="en-AU"/>
        </w:rPr>
        <w:t xml:space="preserve">accept that the relationship between the sponsor and the visa applicant </w:t>
      </w:r>
      <w:r w:rsidR="00AC5450" w:rsidRPr="00AC5450">
        <w:rPr>
          <w:szCs w:val="24"/>
        </w:rPr>
        <w:t>was genuine and continuing</w:t>
      </w:r>
      <w:r w:rsidR="00AC5450">
        <w:rPr>
          <w:szCs w:val="24"/>
        </w:rPr>
        <w:t xml:space="preserve">, so found that the visa applicant did not meet the requirement in s 5CB(2)(b) either. </w:t>
      </w:r>
    </w:p>
    <w:p w14:paraId="208423B2" w14:textId="10CABB11" w:rsidR="0067608F" w:rsidRPr="0067608F" w:rsidRDefault="001A3D5A" w:rsidP="00AC5450">
      <w:pPr>
        <w:pStyle w:val="ParaNumbering"/>
        <w:rPr>
          <w:lang w:eastAsia="en-AU"/>
        </w:rPr>
      </w:pPr>
      <w:r>
        <w:rPr>
          <w:szCs w:val="24"/>
        </w:rPr>
        <w:t xml:space="preserve">The </w:t>
      </w:r>
      <w:r w:rsidR="004D5D98">
        <w:rPr>
          <w:szCs w:val="24"/>
        </w:rPr>
        <w:t xml:space="preserve">remaining matters raised by the </w:t>
      </w:r>
      <w:r>
        <w:rPr>
          <w:szCs w:val="24"/>
        </w:rPr>
        <w:t xml:space="preserve">sponsor </w:t>
      </w:r>
      <w:r w:rsidR="00154323">
        <w:rPr>
          <w:szCs w:val="24"/>
        </w:rPr>
        <w:t xml:space="preserve">in the course of written and oral submissions </w:t>
      </w:r>
      <w:r w:rsidR="004D5D98">
        <w:rPr>
          <w:szCs w:val="24"/>
        </w:rPr>
        <w:t xml:space="preserve">were not capable of sustaining any </w:t>
      </w:r>
      <w:r w:rsidR="00EB4552">
        <w:rPr>
          <w:szCs w:val="24"/>
        </w:rPr>
        <w:t xml:space="preserve">viable ground of </w:t>
      </w:r>
      <w:r w:rsidR="004D5D98">
        <w:rPr>
          <w:szCs w:val="24"/>
        </w:rPr>
        <w:t xml:space="preserve">appeal from the primary judge’s decision.  </w:t>
      </w:r>
      <w:r w:rsidR="0067608F">
        <w:rPr>
          <w:szCs w:val="24"/>
        </w:rPr>
        <w:t>Non-exhaustively, t</w:t>
      </w:r>
      <w:r w:rsidR="004D5D98">
        <w:rPr>
          <w:szCs w:val="24"/>
        </w:rPr>
        <w:t>hey included</w:t>
      </w:r>
      <w:r w:rsidR="0067608F">
        <w:rPr>
          <w:szCs w:val="24"/>
        </w:rPr>
        <w:t>:</w:t>
      </w:r>
    </w:p>
    <w:p w14:paraId="085A2348" w14:textId="63039B48" w:rsidR="0067608F" w:rsidRDefault="004D5D98" w:rsidP="0067608F">
      <w:pPr>
        <w:pStyle w:val="ListNo1alt"/>
        <w:numPr>
          <w:ilvl w:val="0"/>
          <w:numId w:val="31"/>
        </w:numPr>
        <w:rPr>
          <w:lang w:eastAsia="en-AU"/>
        </w:rPr>
      </w:pPr>
      <w:r>
        <w:t>generalised complaints about how the Tribunal hearing was conducted by reference to its own hearing guidelines</w:t>
      </w:r>
      <w:r w:rsidR="0067608F">
        <w:t>, which did not appear to go anywhere</w:t>
      </w:r>
      <w:r w:rsidR="007F281B">
        <w:t xml:space="preserve"> towards establishing any actual error</w:t>
      </w:r>
      <w:r w:rsidR="00EB4552">
        <w:t>, let alone vitiating error</w:t>
      </w:r>
      <w:r w:rsidR="0067608F">
        <w:t>;</w:t>
      </w:r>
    </w:p>
    <w:p w14:paraId="05083CCE" w14:textId="4C977E03" w:rsidR="0067608F" w:rsidRDefault="004D5D98" w:rsidP="0067608F">
      <w:pPr>
        <w:pStyle w:val="ListNo1alt"/>
        <w:numPr>
          <w:ilvl w:val="0"/>
          <w:numId w:val="31"/>
        </w:numPr>
        <w:rPr>
          <w:lang w:eastAsia="en-AU"/>
        </w:rPr>
      </w:pPr>
      <w:r>
        <w:t xml:space="preserve">an assertion that the Tribunal was required to go behind information that he furnished from Centrelink relied upon to demonstrate </w:t>
      </w:r>
      <w:r w:rsidR="0067608F">
        <w:t xml:space="preserve">the end of his </w:t>
      </w:r>
      <w:r>
        <w:t>relationship with Ms</w:t>
      </w:r>
      <w:r w:rsidR="00CA7CC2">
        <w:t> </w:t>
      </w:r>
      <w:proofErr w:type="spellStart"/>
      <w:r w:rsidR="0067608F">
        <w:t>Om</w:t>
      </w:r>
      <w:r w:rsidR="00CA7CC2">
        <w:t>o</w:t>
      </w:r>
      <w:r w:rsidR="0067608F">
        <w:t>tayo</w:t>
      </w:r>
      <w:proofErr w:type="spellEnd"/>
      <w:r w:rsidR="0067608F">
        <w:t xml:space="preserve"> </w:t>
      </w:r>
      <w:r>
        <w:t>and make further inquiries</w:t>
      </w:r>
      <w:r w:rsidR="0067608F">
        <w:t xml:space="preserve">, which fell well short of triggering the rare and limited scope </w:t>
      </w:r>
      <w:r w:rsidR="0099088A">
        <w:t>in</w:t>
      </w:r>
      <w:r w:rsidR="0067608F">
        <w:t xml:space="preserve"> which there may be a jurisdictional requirement to make inquiries;</w:t>
      </w:r>
    </w:p>
    <w:p w14:paraId="28114E6E" w14:textId="77777777" w:rsidR="0067608F" w:rsidRDefault="004D5D98" w:rsidP="0067608F">
      <w:pPr>
        <w:pStyle w:val="ListNo1alt"/>
        <w:numPr>
          <w:ilvl w:val="0"/>
          <w:numId w:val="31"/>
        </w:numPr>
        <w:rPr>
          <w:lang w:eastAsia="en-AU"/>
        </w:rPr>
      </w:pPr>
      <w:r>
        <w:lastRenderedPageBreak/>
        <w:t xml:space="preserve">a misconceived assertion that every submission made and every item of evidence or other material furnished, including authorities cited, had to be </w:t>
      </w:r>
      <w:r w:rsidR="0067608F">
        <w:t xml:space="preserve">overtly </w:t>
      </w:r>
      <w:r>
        <w:t xml:space="preserve">addressed in some way </w:t>
      </w:r>
      <w:r w:rsidR="0067608F">
        <w:t xml:space="preserve">by the Tribunal </w:t>
      </w:r>
      <w:r>
        <w:t>and notice given, or reasons given, for not taking it into account</w:t>
      </w:r>
      <w:r w:rsidR="0067608F">
        <w:t xml:space="preserve">, contrary to the passages from </w:t>
      </w:r>
      <w:r w:rsidR="0067608F" w:rsidRPr="0067608F">
        <w:rPr>
          <w:i/>
        </w:rPr>
        <w:t>WAEE</w:t>
      </w:r>
      <w:r w:rsidR="0067608F">
        <w:t xml:space="preserve"> quoted above; and</w:t>
      </w:r>
    </w:p>
    <w:p w14:paraId="3AFA9027" w14:textId="25C50C0E" w:rsidR="0067608F" w:rsidRDefault="0067608F" w:rsidP="0067608F">
      <w:pPr>
        <w:pStyle w:val="ListNo1alt"/>
        <w:numPr>
          <w:ilvl w:val="0"/>
          <w:numId w:val="31"/>
        </w:numPr>
        <w:rPr>
          <w:lang w:eastAsia="en-AU"/>
        </w:rPr>
      </w:pPr>
      <w:r>
        <w:t xml:space="preserve">a complaint that some material that had been before the Tribunal was redacted before the primary judge, and only later provided to his Honour in </w:t>
      </w:r>
      <w:proofErr w:type="spellStart"/>
      <w:r>
        <w:t>unredacted</w:t>
      </w:r>
      <w:proofErr w:type="spellEnd"/>
      <w:r>
        <w:t xml:space="preserve"> form</w:t>
      </w:r>
      <w:r w:rsidR="00EB4552">
        <w:t>, which again did not identify, let alone establish, any error on the part of his Honour</w:t>
      </w:r>
      <w:r>
        <w:t>.</w:t>
      </w:r>
    </w:p>
    <w:p w14:paraId="3978F8DE" w14:textId="48E7F21D" w:rsidR="004D5D98" w:rsidRPr="004D5D98" w:rsidRDefault="004D5D98" w:rsidP="0067608F">
      <w:pPr>
        <w:pStyle w:val="ParaNumbering"/>
        <w:rPr>
          <w:lang w:eastAsia="en-AU"/>
        </w:rPr>
      </w:pPr>
      <w:r>
        <w:t>I was not satisfied that any of the</w:t>
      </w:r>
      <w:r w:rsidR="0067608F">
        <w:t xml:space="preserve"> above </w:t>
      </w:r>
      <w:r>
        <w:t>arguments</w:t>
      </w:r>
      <w:r w:rsidR="0067608F">
        <w:t xml:space="preserve">, or other arguments </w:t>
      </w:r>
      <w:r w:rsidR="00154323">
        <w:t xml:space="preserve">advanced orally or in writing </w:t>
      </w:r>
      <w:r w:rsidR="0067608F">
        <w:t>beyond those summarised</w:t>
      </w:r>
      <w:r w:rsidR="00154323">
        <w:t xml:space="preserve"> above</w:t>
      </w:r>
      <w:r w:rsidR="0067608F">
        <w:t>,</w:t>
      </w:r>
      <w:r>
        <w:t xml:space="preserve"> </w:t>
      </w:r>
      <w:r w:rsidR="007F281B">
        <w:t xml:space="preserve">identified or established </w:t>
      </w:r>
      <w:r>
        <w:t>any error at all on the part of either th</w:t>
      </w:r>
      <w:r w:rsidR="0067608F">
        <w:t>e Tribunal or the primary judge.</w:t>
      </w:r>
    </w:p>
    <w:p w14:paraId="70F0282C" w14:textId="77777777" w:rsidR="0056383B" w:rsidRDefault="0056383B" w:rsidP="0056383B">
      <w:pPr>
        <w:pStyle w:val="Heading2"/>
        <w:rPr>
          <w:lang w:eastAsia="en-AU"/>
        </w:rPr>
      </w:pPr>
      <w:r>
        <w:rPr>
          <w:lang w:eastAsia="en-AU"/>
        </w:rPr>
        <w:t>Conclusion</w:t>
      </w:r>
    </w:p>
    <w:p w14:paraId="484223C8" w14:textId="142CD424" w:rsidR="0056383B" w:rsidRDefault="0056383B" w:rsidP="006C72AC">
      <w:pPr>
        <w:pStyle w:val="ParaNumbering"/>
        <w:rPr>
          <w:lang w:eastAsia="en-AU"/>
        </w:rPr>
      </w:pPr>
      <w:r>
        <w:rPr>
          <w:lang w:eastAsia="en-AU"/>
        </w:rPr>
        <w:t>As no error on the part of the primary judge, and no antecedent jurisdictional error on the part of the Tribunal</w:t>
      </w:r>
      <w:r w:rsidR="00A16986" w:rsidRPr="00A16986">
        <w:rPr>
          <w:lang w:eastAsia="en-AU"/>
        </w:rPr>
        <w:t xml:space="preserve"> </w:t>
      </w:r>
      <w:r w:rsidR="0099088A">
        <w:rPr>
          <w:lang w:eastAsia="en-AU"/>
        </w:rPr>
        <w:t xml:space="preserve">hitherto </w:t>
      </w:r>
      <w:r w:rsidR="00A16986">
        <w:rPr>
          <w:lang w:eastAsia="en-AU"/>
        </w:rPr>
        <w:t>undetected by his Honour</w:t>
      </w:r>
      <w:r>
        <w:rPr>
          <w:lang w:eastAsia="en-AU"/>
        </w:rPr>
        <w:t>, has been established, the appeal must be dismissed with costs.</w:t>
      </w:r>
    </w:p>
    <w:p w14:paraId="3001ECF3" w14:textId="77777777" w:rsidR="003D4E10" w:rsidRDefault="003D4E10" w:rsidP="00815065">
      <w:pPr>
        <w:pStyle w:val="BodyText"/>
      </w:pPr>
      <w:bookmarkStart w:id="23" w:name="Certification"/>
    </w:p>
    <w:tbl>
      <w:tblPr>
        <w:tblW w:w="0" w:type="auto"/>
        <w:tblLook w:val="04A0" w:firstRow="1" w:lastRow="0" w:firstColumn="1" w:lastColumn="0" w:noHBand="0" w:noVBand="1"/>
      </w:tblPr>
      <w:tblGrid>
        <w:gridCol w:w="3794"/>
      </w:tblGrid>
      <w:tr w:rsidR="003D4E10" w:rsidRPr="003D4E10" w14:paraId="780A8767" w14:textId="77777777">
        <w:tc>
          <w:tcPr>
            <w:tcW w:w="3794" w:type="dxa"/>
            <w:shd w:val="clear" w:color="auto" w:fill="auto"/>
          </w:tcPr>
          <w:p w14:paraId="54EBE059" w14:textId="09356C40" w:rsidR="003D4E10" w:rsidRPr="003D4E10" w:rsidRDefault="003D4E10" w:rsidP="003D4E10">
            <w:pPr>
              <w:pStyle w:val="Normal1linespace"/>
            </w:pPr>
            <w:r w:rsidRPr="003D4E10">
              <w:t xml:space="preserve">I certify that the preceding </w:t>
            </w:r>
            <w:bookmarkStart w:id="24" w:name="NumberWord"/>
            <w:r>
              <w:t>thirty-two</w:t>
            </w:r>
            <w:bookmarkEnd w:id="24"/>
            <w:r w:rsidRPr="003D4E10">
              <w:t xml:space="preserve"> (</w:t>
            </w:r>
            <w:bookmarkStart w:id="25" w:name="NumberNumeral"/>
            <w:r>
              <w:t>32</w:t>
            </w:r>
            <w:bookmarkEnd w:id="25"/>
            <w:r w:rsidRPr="003D4E10">
              <w:t xml:space="preserve">) numbered </w:t>
            </w:r>
            <w:bookmarkStart w:id="26" w:name="CertPara"/>
            <w:r>
              <w:t>paragraphs are</w:t>
            </w:r>
            <w:bookmarkEnd w:id="26"/>
            <w:r w:rsidRPr="003D4E10">
              <w:t xml:space="preserve"> a true copy of the Reasons for Judgment of </w:t>
            </w:r>
            <w:bookmarkStart w:id="27" w:name="bkHonourable"/>
            <w:r w:rsidRPr="003D4E10">
              <w:t xml:space="preserve">the Honourable </w:t>
            </w:r>
            <w:bookmarkStart w:id="28" w:name="Justice"/>
            <w:bookmarkEnd w:id="27"/>
            <w:r>
              <w:t>Justice Bromwich</w:t>
            </w:r>
            <w:bookmarkEnd w:id="28"/>
            <w:r w:rsidRPr="003D4E10">
              <w:t>.</w:t>
            </w:r>
          </w:p>
        </w:tc>
      </w:tr>
    </w:tbl>
    <w:p w14:paraId="516AA49B" w14:textId="77777777" w:rsidR="003D4E10" w:rsidRDefault="003D4E10" w:rsidP="00815065">
      <w:pPr>
        <w:pStyle w:val="BodyText"/>
      </w:pPr>
    </w:p>
    <w:p w14:paraId="0339B258" w14:textId="7698DF5E" w:rsidR="003D4E10" w:rsidRDefault="003D4E10" w:rsidP="00815065">
      <w:pPr>
        <w:pStyle w:val="BodyText"/>
      </w:pPr>
      <w:r>
        <w:t>Associate:</w:t>
      </w:r>
      <w:r w:rsidRPr="003D4E10">
        <w:rPr>
          <w:noProof/>
          <w:lang w:eastAsia="en-AU"/>
        </w:rPr>
        <w:t xml:space="preserve"> </w:t>
      </w:r>
      <w:bookmarkStart w:id="29" w:name="_GoBack"/>
      <w:bookmarkEnd w:id="29"/>
    </w:p>
    <w:p w14:paraId="577B79E3" w14:textId="77777777" w:rsidR="003D4E10" w:rsidRDefault="003D4E10" w:rsidP="00815065">
      <w:pPr>
        <w:pStyle w:val="BodyText"/>
      </w:pPr>
    </w:p>
    <w:p w14:paraId="1187E6ED" w14:textId="60815090" w:rsidR="003D4E10" w:rsidRDefault="003D4E10" w:rsidP="003D4E10">
      <w:pPr>
        <w:pStyle w:val="BodyText"/>
        <w:tabs>
          <w:tab w:val="left" w:pos="1134"/>
        </w:tabs>
      </w:pPr>
      <w:r>
        <w:t>Dated:</w:t>
      </w:r>
      <w:r>
        <w:tab/>
      </w:r>
      <w:bookmarkStart w:id="30" w:name="CertifyDated"/>
      <w:r>
        <w:t>27 August 2021</w:t>
      </w:r>
      <w:bookmarkEnd w:id="30"/>
    </w:p>
    <w:bookmarkEnd w:id="23"/>
    <w:p w14:paraId="16D312AB" w14:textId="77777777" w:rsidR="003D4E10" w:rsidRDefault="003D4E10" w:rsidP="003D4E10">
      <w:pPr>
        <w:pStyle w:val="BodyText"/>
        <w:rPr>
          <w:lang w:eastAsia="en-AU"/>
        </w:rPr>
      </w:pPr>
    </w:p>
    <w:sectPr w:rsidR="003D4E10"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EE6E" w14:textId="77777777" w:rsidR="00EE2430" w:rsidRDefault="00EE2430">
      <w:pPr>
        <w:spacing w:line="20" w:lineRule="exact"/>
      </w:pPr>
    </w:p>
    <w:p w14:paraId="71E4F921" w14:textId="77777777" w:rsidR="00EE2430" w:rsidRDefault="00EE2430"/>
    <w:p w14:paraId="78365AE6" w14:textId="77777777" w:rsidR="00EE2430" w:rsidRDefault="00EE2430"/>
  </w:endnote>
  <w:endnote w:type="continuationSeparator" w:id="0">
    <w:p w14:paraId="3030C93A" w14:textId="77777777" w:rsidR="00EE2430" w:rsidRDefault="00EE2430">
      <w:r>
        <w:t xml:space="preserve"> </w:t>
      </w:r>
    </w:p>
    <w:p w14:paraId="5AA47010" w14:textId="77777777" w:rsidR="00EE2430" w:rsidRDefault="00EE2430"/>
    <w:p w14:paraId="716C0647" w14:textId="77777777" w:rsidR="00EE2430" w:rsidRDefault="00EE2430"/>
  </w:endnote>
  <w:endnote w:type="continuationNotice" w:id="1">
    <w:p w14:paraId="3B2BECFA" w14:textId="77777777" w:rsidR="00EE2430" w:rsidRDefault="00EE2430">
      <w:r>
        <w:t xml:space="preserve"> </w:t>
      </w:r>
    </w:p>
    <w:p w14:paraId="1F2EFF1A" w14:textId="77777777" w:rsidR="00EE2430" w:rsidRDefault="00EE2430"/>
    <w:p w14:paraId="68FD3879" w14:textId="77777777" w:rsidR="00EE2430" w:rsidRDefault="00EE2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4253" w14:textId="07D5276E" w:rsidR="004D5D98" w:rsidRPr="00C47B9D" w:rsidRDefault="004D5D98"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2EA0ED1" wp14:editId="6847284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B64D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929B503394A4D75AD1C015231AAFAE1"/>
        </w:placeholder>
        <w:dataBinding w:prefixMappings="xmlns:ns0='http://schemas.globalmacros.com/FCA'" w:xpath="/ns0:root[1]/ns0:Name[1]" w:storeItemID="{687E7CCB-4AA5-44E7-B148-17BA2B6F57C0}"/>
        <w:text w:multiLine="1"/>
      </w:sdtPr>
      <w:sdtEndPr/>
      <w:sdtContent>
        <w:r w:rsidR="001A6432">
          <w:rPr>
            <w:bCs/>
            <w:sz w:val="18"/>
            <w:szCs w:val="18"/>
          </w:rPr>
          <w:t xml:space="preserve">Kareem v Minister for Immigration, Citizenship, Migrant Services &amp; Multicultural Affairs [2021] FCA 1016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E7516">
      <w:rPr>
        <w:bCs/>
        <w:noProof/>
        <w:sz w:val="20"/>
      </w:rPr>
      <w:t>iii</w:t>
    </w:r>
    <w:r w:rsidRPr="00EA7F6D">
      <w:rPr>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B7C3" w14:textId="0323A525" w:rsidR="004D5D98" w:rsidRPr="00C47B9D" w:rsidRDefault="004D5D9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CE179DA" wp14:editId="410C57F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2E31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9C4585969FB4E16AA7183CF1F4F3942"/>
        </w:placeholder>
        <w:dataBinding w:prefixMappings="xmlns:ns0='http://schemas.globalmacros.com/FCA'" w:xpath="/ns0:root[1]/ns0:Name[1]" w:storeItemID="{687E7CCB-4AA5-44E7-B148-17BA2B6F57C0}"/>
        <w:text w:multiLine="1"/>
      </w:sdtPr>
      <w:sdtEndPr/>
      <w:sdtContent>
        <w:r w:rsidR="001A6432">
          <w:rPr>
            <w:bCs/>
            <w:sz w:val="18"/>
            <w:szCs w:val="18"/>
          </w:rPr>
          <w:t xml:space="preserve">Kareem v Minister for Immigration, Citizenship, Migrant Services &amp; Multicultural Affairs [2021] FCA 1016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E7516">
      <w:rPr>
        <w:bCs/>
        <w:noProof/>
        <w:sz w:val="20"/>
      </w:rPr>
      <w:t>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557B" w14:textId="5189A9ED" w:rsidR="004D5D98" w:rsidRPr="00C47B9D" w:rsidRDefault="004D5D9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19697CA" wp14:editId="5949CEB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35AB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E8310467323462CA7ABD5512A9D16A4"/>
        </w:placeholder>
        <w:dataBinding w:prefixMappings="xmlns:ns0='http://schemas.globalmacros.com/FCA'" w:xpath="/ns0:root[1]/ns0:Name[1]" w:storeItemID="{687E7CCB-4AA5-44E7-B148-17BA2B6F57C0}"/>
        <w:text w:multiLine="1"/>
      </w:sdtPr>
      <w:sdtEndPr/>
      <w:sdtContent>
        <w:r w:rsidR="001A6432">
          <w:rPr>
            <w:bCs/>
            <w:sz w:val="18"/>
            <w:szCs w:val="18"/>
          </w:rPr>
          <w:t xml:space="preserve">Kareem v Minister for Immigration, Citizenship, Migrant Services &amp; Multicultural Affairs [2021] FCA 1016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E7516">
      <w:rPr>
        <w:bCs/>
        <w:noProof/>
        <w:sz w:val="20"/>
      </w:rPr>
      <w:t>9</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9FBC" w14:textId="67144DA8" w:rsidR="004D5D98" w:rsidRPr="00C47B9D" w:rsidRDefault="004D5D9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F8B1983" wp14:editId="165EC62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7528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614D520852D4310A137A82FD39BDEE0"/>
        </w:placeholder>
        <w:dataBinding w:prefixMappings="xmlns:ns0='http://schemas.globalmacros.com/FCA'" w:xpath="/ns0:root[1]/ns0:Name[1]" w:storeItemID="{687E7CCB-4AA5-44E7-B148-17BA2B6F57C0}"/>
        <w:text w:multiLine="1"/>
      </w:sdtPr>
      <w:sdtEndPr/>
      <w:sdtContent>
        <w:r w:rsidR="001A6432">
          <w:rPr>
            <w:bCs/>
            <w:sz w:val="18"/>
            <w:szCs w:val="18"/>
          </w:rPr>
          <w:t xml:space="preserve">Kareem v Minister for Immigration, Citizenship, Migrant Services &amp; Multicultural Affairs [2021] FCA 1016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E751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4D33" w14:textId="77777777" w:rsidR="00EE2430" w:rsidRDefault="00EE2430"/>
    <w:p w14:paraId="506F9350" w14:textId="77777777" w:rsidR="00EE2430" w:rsidRDefault="00EE2430"/>
    <w:p w14:paraId="63735294" w14:textId="77777777" w:rsidR="00EE2430" w:rsidRDefault="00EE2430"/>
  </w:footnote>
  <w:footnote w:type="continuationSeparator" w:id="0">
    <w:p w14:paraId="1646DC12" w14:textId="77777777" w:rsidR="00EE2430" w:rsidRDefault="00EE2430">
      <w:r>
        <w:continuationSeparator/>
      </w:r>
    </w:p>
    <w:p w14:paraId="37756114" w14:textId="77777777" w:rsidR="00EE2430" w:rsidRDefault="00EE2430"/>
    <w:p w14:paraId="2D19FB22" w14:textId="77777777" w:rsidR="00EE2430" w:rsidRDefault="00EE24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89DE" w14:textId="77777777" w:rsidR="004D5D98" w:rsidRDefault="004D5D98">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E60E" w14:textId="77777777" w:rsidR="004D5D98" w:rsidRDefault="004D5D9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F8AB" w14:textId="77777777" w:rsidR="004D5D98" w:rsidRDefault="004D5D9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A36E" w14:textId="77777777" w:rsidR="004D5D98" w:rsidRDefault="004D5D98">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D401" w14:textId="77777777" w:rsidR="004D5D98" w:rsidRDefault="004D5D98"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Kareem v Minister for Immigration, Citizenship, Migrant Services &amp;_x000d_Multicultural Affairs [2021] FCCA 743"/>
    <w:docVar w:name="Appellant" w:val="Adewale Kareem"/>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Kareem v Minister of Immigration, Citizenship Migration Services and Multicultural Affairs"/>
    <w:docVar w:name="grpRadioJudges" w:val="Justice"/>
    <w:docVar w:name="Initiators" w:val="(and another named in the Schedule)"/>
    <w:docVar w:name="Judgdate" w:val="27 August 2021"/>
    <w:docVar w:name="Judge" w:val="Bromwich"/>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Sydney"/>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Immigration, Citizenship, Migration Services and Multicultural Affairs|Administrative Appeals Tribunal"/>
    <w:docVar w:name="ResState" w:val="New South Wales"/>
    <w:docVar w:name="SubArea" w:val="[none]"/>
  </w:docVars>
  <w:rsids>
    <w:rsidRoot w:val="002631D4"/>
    <w:rsid w:val="0000066B"/>
    <w:rsid w:val="00000747"/>
    <w:rsid w:val="00011096"/>
    <w:rsid w:val="000115C5"/>
    <w:rsid w:val="0001469E"/>
    <w:rsid w:val="00015353"/>
    <w:rsid w:val="00015993"/>
    <w:rsid w:val="00021CCB"/>
    <w:rsid w:val="00022289"/>
    <w:rsid w:val="00027398"/>
    <w:rsid w:val="0003201A"/>
    <w:rsid w:val="0003207A"/>
    <w:rsid w:val="00032F9F"/>
    <w:rsid w:val="000413C6"/>
    <w:rsid w:val="00041C07"/>
    <w:rsid w:val="00045BB7"/>
    <w:rsid w:val="00050FD7"/>
    <w:rsid w:val="00055719"/>
    <w:rsid w:val="0005641B"/>
    <w:rsid w:val="0006196A"/>
    <w:rsid w:val="00066EEC"/>
    <w:rsid w:val="00070068"/>
    <w:rsid w:val="00072C2E"/>
    <w:rsid w:val="00081497"/>
    <w:rsid w:val="00085255"/>
    <w:rsid w:val="000A2E76"/>
    <w:rsid w:val="000A4807"/>
    <w:rsid w:val="000A4BE4"/>
    <w:rsid w:val="000C023E"/>
    <w:rsid w:val="000C5195"/>
    <w:rsid w:val="000C62EF"/>
    <w:rsid w:val="000D2137"/>
    <w:rsid w:val="000D3FD2"/>
    <w:rsid w:val="000D4B2E"/>
    <w:rsid w:val="000E3FC8"/>
    <w:rsid w:val="000E6603"/>
    <w:rsid w:val="000E7BAE"/>
    <w:rsid w:val="000F133D"/>
    <w:rsid w:val="0010536B"/>
    <w:rsid w:val="00107BDE"/>
    <w:rsid w:val="0011145C"/>
    <w:rsid w:val="001128BD"/>
    <w:rsid w:val="0011419D"/>
    <w:rsid w:val="00114B02"/>
    <w:rsid w:val="001226C0"/>
    <w:rsid w:val="00126EC8"/>
    <w:rsid w:val="0012731C"/>
    <w:rsid w:val="00132054"/>
    <w:rsid w:val="00134964"/>
    <w:rsid w:val="001351B9"/>
    <w:rsid w:val="00154323"/>
    <w:rsid w:val="00155CD2"/>
    <w:rsid w:val="00164981"/>
    <w:rsid w:val="001727A4"/>
    <w:rsid w:val="0017376C"/>
    <w:rsid w:val="001738AB"/>
    <w:rsid w:val="001765E0"/>
    <w:rsid w:val="0017731C"/>
    <w:rsid w:val="00177759"/>
    <w:rsid w:val="00180BB3"/>
    <w:rsid w:val="00185E6B"/>
    <w:rsid w:val="00187BBC"/>
    <w:rsid w:val="001932F3"/>
    <w:rsid w:val="001A2B40"/>
    <w:rsid w:val="001A3D5A"/>
    <w:rsid w:val="001A4309"/>
    <w:rsid w:val="001A46AE"/>
    <w:rsid w:val="001A6432"/>
    <w:rsid w:val="001A6C52"/>
    <w:rsid w:val="001B1053"/>
    <w:rsid w:val="001B14AC"/>
    <w:rsid w:val="001B7940"/>
    <w:rsid w:val="001C171A"/>
    <w:rsid w:val="001C37CA"/>
    <w:rsid w:val="001C4085"/>
    <w:rsid w:val="001C6BA8"/>
    <w:rsid w:val="001D4303"/>
    <w:rsid w:val="001D6746"/>
    <w:rsid w:val="001E3B49"/>
    <w:rsid w:val="001E4A05"/>
    <w:rsid w:val="001E7388"/>
    <w:rsid w:val="001F13DD"/>
    <w:rsid w:val="001F2473"/>
    <w:rsid w:val="001F2DBC"/>
    <w:rsid w:val="001F6186"/>
    <w:rsid w:val="001F678E"/>
    <w:rsid w:val="001F73E8"/>
    <w:rsid w:val="0020262C"/>
    <w:rsid w:val="00202723"/>
    <w:rsid w:val="0020452C"/>
    <w:rsid w:val="00210792"/>
    <w:rsid w:val="00211A3E"/>
    <w:rsid w:val="00215BCA"/>
    <w:rsid w:val="00217AC4"/>
    <w:rsid w:val="00221461"/>
    <w:rsid w:val="00224537"/>
    <w:rsid w:val="00235956"/>
    <w:rsid w:val="00243E5E"/>
    <w:rsid w:val="0024549A"/>
    <w:rsid w:val="00247C9A"/>
    <w:rsid w:val="0025160C"/>
    <w:rsid w:val="002535D0"/>
    <w:rsid w:val="002539B3"/>
    <w:rsid w:val="00256336"/>
    <w:rsid w:val="00257C3E"/>
    <w:rsid w:val="002602C2"/>
    <w:rsid w:val="002623E7"/>
    <w:rsid w:val="002631D4"/>
    <w:rsid w:val="002666C9"/>
    <w:rsid w:val="00270136"/>
    <w:rsid w:val="00270FD7"/>
    <w:rsid w:val="00274F5B"/>
    <w:rsid w:val="00280836"/>
    <w:rsid w:val="00282E1A"/>
    <w:rsid w:val="002840F1"/>
    <w:rsid w:val="0029113B"/>
    <w:rsid w:val="002934C0"/>
    <w:rsid w:val="0029764C"/>
    <w:rsid w:val="002A1B50"/>
    <w:rsid w:val="002A1EB7"/>
    <w:rsid w:val="002B0E91"/>
    <w:rsid w:val="002B132C"/>
    <w:rsid w:val="002B3E62"/>
    <w:rsid w:val="002B3F23"/>
    <w:rsid w:val="002B4EB5"/>
    <w:rsid w:val="002B5AF5"/>
    <w:rsid w:val="002B6779"/>
    <w:rsid w:val="002B71C0"/>
    <w:rsid w:val="002B7A34"/>
    <w:rsid w:val="002C31AD"/>
    <w:rsid w:val="002C7385"/>
    <w:rsid w:val="002C7746"/>
    <w:rsid w:val="002D2DBB"/>
    <w:rsid w:val="002D37D8"/>
    <w:rsid w:val="002D3C45"/>
    <w:rsid w:val="002D54A6"/>
    <w:rsid w:val="002E5BF9"/>
    <w:rsid w:val="002E6325"/>
    <w:rsid w:val="002E6A7A"/>
    <w:rsid w:val="002E732E"/>
    <w:rsid w:val="002F1E49"/>
    <w:rsid w:val="002F4E9C"/>
    <w:rsid w:val="00302F4E"/>
    <w:rsid w:val="00305AAE"/>
    <w:rsid w:val="0031256C"/>
    <w:rsid w:val="003135AA"/>
    <w:rsid w:val="00314D6C"/>
    <w:rsid w:val="00316D2A"/>
    <w:rsid w:val="00322A7C"/>
    <w:rsid w:val="00322EEC"/>
    <w:rsid w:val="00323061"/>
    <w:rsid w:val="003402D3"/>
    <w:rsid w:val="00343ABC"/>
    <w:rsid w:val="0034541F"/>
    <w:rsid w:val="003463FE"/>
    <w:rsid w:val="00347D41"/>
    <w:rsid w:val="003554B3"/>
    <w:rsid w:val="00356632"/>
    <w:rsid w:val="003576D4"/>
    <w:rsid w:val="00357C7E"/>
    <w:rsid w:val="003653B6"/>
    <w:rsid w:val="00374CC4"/>
    <w:rsid w:val="003774B2"/>
    <w:rsid w:val="00380F2D"/>
    <w:rsid w:val="003845A9"/>
    <w:rsid w:val="003850C9"/>
    <w:rsid w:val="00390883"/>
    <w:rsid w:val="003922F8"/>
    <w:rsid w:val="0039337B"/>
    <w:rsid w:val="00395B24"/>
    <w:rsid w:val="003A2D38"/>
    <w:rsid w:val="003A4570"/>
    <w:rsid w:val="003A7ECC"/>
    <w:rsid w:val="003B2C72"/>
    <w:rsid w:val="003B58B4"/>
    <w:rsid w:val="003C1333"/>
    <w:rsid w:val="003C20FF"/>
    <w:rsid w:val="003C550A"/>
    <w:rsid w:val="003C5915"/>
    <w:rsid w:val="003C6055"/>
    <w:rsid w:val="003C72A4"/>
    <w:rsid w:val="003D012C"/>
    <w:rsid w:val="003D2650"/>
    <w:rsid w:val="003D4E10"/>
    <w:rsid w:val="003D560C"/>
    <w:rsid w:val="003D5C00"/>
    <w:rsid w:val="003D7D90"/>
    <w:rsid w:val="003E05E1"/>
    <w:rsid w:val="003E16E3"/>
    <w:rsid w:val="003E3154"/>
    <w:rsid w:val="003E5874"/>
    <w:rsid w:val="003E72D3"/>
    <w:rsid w:val="003E7516"/>
    <w:rsid w:val="003F193E"/>
    <w:rsid w:val="003F23B1"/>
    <w:rsid w:val="003F242C"/>
    <w:rsid w:val="003F34F1"/>
    <w:rsid w:val="0040007C"/>
    <w:rsid w:val="004104B6"/>
    <w:rsid w:val="00411AE8"/>
    <w:rsid w:val="00413B74"/>
    <w:rsid w:val="004342F3"/>
    <w:rsid w:val="00435C5F"/>
    <w:rsid w:val="00436155"/>
    <w:rsid w:val="00441E98"/>
    <w:rsid w:val="00450F3A"/>
    <w:rsid w:val="004532F7"/>
    <w:rsid w:val="00464D51"/>
    <w:rsid w:val="00467D0D"/>
    <w:rsid w:val="00472027"/>
    <w:rsid w:val="00477C80"/>
    <w:rsid w:val="004804CF"/>
    <w:rsid w:val="00484962"/>
    <w:rsid w:val="00484F6D"/>
    <w:rsid w:val="00484FB7"/>
    <w:rsid w:val="0048554D"/>
    <w:rsid w:val="0049338A"/>
    <w:rsid w:val="0049417F"/>
    <w:rsid w:val="00496D41"/>
    <w:rsid w:val="004A6602"/>
    <w:rsid w:val="004B3EFA"/>
    <w:rsid w:val="004B658B"/>
    <w:rsid w:val="004C28BF"/>
    <w:rsid w:val="004C2A87"/>
    <w:rsid w:val="004C4D7B"/>
    <w:rsid w:val="004C4ED3"/>
    <w:rsid w:val="004C667B"/>
    <w:rsid w:val="004C7ECD"/>
    <w:rsid w:val="004D2EA5"/>
    <w:rsid w:val="004D32A6"/>
    <w:rsid w:val="004D53E5"/>
    <w:rsid w:val="004D5D98"/>
    <w:rsid w:val="004E542B"/>
    <w:rsid w:val="004E6DC4"/>
    <w:rsid w:val="004F21C1"/>
    <w:rsid w:val="004F2F5D"/>
    <w:rsid w:val="004F70F2"/>
    <w:rsid w:val="00501A12"/>
    <w:rsid w:val="0050309C"/>
    <w:rsid w:val="00511BC7"/>
    <w:rsid w:val="0051327C"/>
    <w:rsid w:val="0051346D"/>
    <w:rsid w:val="00513EAE"/>
    <w:rsid w:val="0051434F"/>
    <w:rsid w:val="00516806"/>
    <w:rsid w:val="0052098C"/>
    <w:rsid w:val="00521D05"/>
    <w:rsid w:val="00525A49"/>
    <w:rsid w:val="005262D1"/>
    <w:rsid w:val="00530876"/>
    <w:rsid w:val="00535613"/>
    <w:rsid w:val="005359EB"/>
    <w:rsid w:val="005415F3"/>
    <w:rsid w:val="0054254A"/>
    <w:rsid w:val="00544D60"/>
    <w:rsid w:val="0054500B"/>
    <w:rsid w:val="00545A47"/>
    <w:rsid w:val="005466B5"/>
    <w:rsid w:val="00554314"/>
    <w:rsid w:val="00562829"/>
    <w:rsid w:val="005629B3"/>
    <w:rsid w:val="0056383B"/>
    <w:rsid w:val="005724F6"/>
    <w:rsid w:val="00573AC4"/>
    <w:rsid w:val="005801FC"/>
    <w:rsid w:val="00585BA9"/>
    <w:rsid w:val="00587359"/>
    <w:rsid w:val="00595016"/>
    <w:rsid w:val="00597AAE"/>
    <w:rsid w:val="005A222C"/>
    <w:rsid w:val="005A2D18"/>
    <w:rsid w:val="005A4DF8"/>
    <w:rsid w:val="005A6147"/>
    <w:rsid w:val="005A78C8"/>
    <w:rsid w:val="005B1426"/>
    <w:rsid w:val="005C0A8E"/>
    <w:rsid w:val="005C1234"/>
    <w:rsid w:val="005C1767"/>
    <w:rsid w:val="005C185C"/>
    <w:rsid w:val="005C42EF"/>
    <w:rsid w:val="005E02F5"/>
    <w:rsid w:val="005E0510"/>
    <w:rsid w:val="005E176E"/>
    <w:rsid w:val="005E218E"/>
    <w:rsid w:val="005E35A0"/>
    <w:rsid w:val="005F0D1B"/>
    <w:rsid w:val="005F1865"/>
    <w:rsid w:val="005F4327"/>
    <w:rsid w:val="006007BD"/>
    <w:rsid w:val="006013C8"/>
    <w:rsid w:val="0060270D"/>
    <w:rsid w:val="00604611"/>
    <w:rsid w:val="006055F7"/>
    <w:rsid w:val="00611586"/>
    <w:rsid w:val="00612D26"/>
    <w:rsid w:val="00615855"/>
    <w:rsid w:val="00620DA8"/>
    <w:rsid w:val="00621887"/>
    <w:rsid w:val="00624520"/>
    <w:rsid w:val="00625886"/>
    <w:rsid w:val="006271F5"/>
    <w:rsid w:val="00632300"/>
    <w:rsid w:val="00632BB7"/>
    <w:rsid w:val="00635B36"/>
    <w:rsid w:val="00636871"/>
    <w:rsid w:val="00640EE1"/>
    <w:rsid w:val="00640F4E"/>
    <w:rsid w:val="00643DE0"/>
    <w:rsid w:val="0064437D"/>
    <w:rsid w:val="00644E85"/>
    <w:rsid w:val="00652C52"/>
    <w:rsid w:val="0066063F"/>
    <w:rsid w:val="00661CA3"/>
    <w:rsid w:val="00662BB0"/>
    <w:rsid w:val="006635EA"/>
    <w:rsid w:val="00663878"/>
    <w:rsid w:val="0066500A"/>
    <w:rsid w:val="00667773"/>
    <w:rsid w:val="00670743"/>
    <w:rsid w:val="0067608F"/>
    <w:rsid w:val="00680A85"/>
    <w:rsid w:val="00681ADF"/>
    <w:rsid w:val="00684121"/>
    <w:rsid w:val="00690EE2"/>
    <w:rsid w:val="00693854"/>
    <w:rsid w:val="00694BEB"/>
    <w:rsid w:val="006A0E20"/>
    <w:rsid w:val="006A24E3"/>
    <w:rsid w:val="006A5695"/>
    <w:rsid w:val="006B0439"/>
    <w:rsid w:val="006B3904"/>
    <w:rsid w:val="006B5B7D"/>
    <w:rsid w:val="006C5B46"/>
    <w:rsid w:val="006C6E39"/>
    <w:rsid w:val="006C72AC"/>
    <w:rsid w:val="006D0ECF"/>
    <w:rsid w:val="006D3D5B"/>
    <w:rsid w:val="006D4C92"/>
    <w:rsid w:val="006D4EB6"/>
    <w:rsid w:val="006E35BF"/>
    <w:rsid w:val="006E7850"/>
    <w:rsid w:val="006F46D6"/>
    <w:rsid w:val="006F6361"/>
    <w:rsid w:val="007028D9"/>
    <w:rsid w:val="00707218"/>
    <w:rsid w:val="00710D04"/>
    <w:rsid w:val="00712B1D"/>
    <w:rsid w:val="00715751"/>
    <w:rsid w:val="00716E1F"/>
    <w:rsid w:val="007171BA"/>
    <w:rsid w:val="00717616"/>
    <w:rsid w:val="007325D9"/>
    <w:rsid w:val="0073583B"/>
    <w:rsid w:val="007360CA"/>
    <w:rsid w:val="0074667B"/>
    <w:rsid w:val="007470BD"/>
    <w:rsid w:val="00760EC0"/>
    <w:rsid w:val="00770E80"/>
    <w:rsid w:val="007711BD"/>
    <w:rsid w:val="0078003A"/>
    <w:rsid w:val="00780771"/>
    <w:rsid w:val="00782233"/>
    <w:rsid w:val="007929CF"/>
    <w:rsid w:val="007A0D30"/>
    <w:rsid w:val="007A49E7"/>
    <w:rsid w:val="007A6F28"/>
    <w:rsid w:val="007B03C6"/>
    <w:rsid w:val="007B0DB1"/>
    <w:rsid w:val="007B5673"/>
    <w:rsid w:val="007B7238"/>
    <w:rsid w:val="007B76FF"/>
    <w:rsid w:val="007C3BF6"/>
    <w:rsid w:val="007C67B3"/>
    <w:rsid w:val="007D0FD2"/>
    <w:rsid w:val="007D16C7"/>
    <w:rsid w:val="007D2EF8"/>
    <w:rsid w:val="007D561F"/>
    <w:rsid w:val="007D7FD2"/>
    <w:rsid w:val="007E13D9"/>
    <w:rsid w:val="007E2AEC"/>
    <w:rsid w:val="007E41BE"/>
    <w:rsid w:val="007E4DB6"/>
    <w:rsid w:val="007E6733"/>
    <w:rsid w:val="007E7CD4"/>
    <w:rsid w:val="007F12AC"/>
    <w:rsid w:val="007F23E9"/>
    <w:rsid w:val="007F281B"/>
    <w:rsid w:val="007F4501"/>
    <w:rsid w:val="007F5898"/>
    <w:rsid w:val="007F60DF"/>
    <w:rsid w:val="00801800"/>
    <w:rsid w:val="00801861"/>
    <w:rsid w:val="00801B5B"/>
    <w:rsid w:val="008216E7"/>
    <w:rsid w:val="00825BE6"/>
    <w:rsid w:val="008276B4"/>
    <w:rsid w:val="00830792"/>
    <w:rsid w:val="00831927"/>
    <w:rsid w:val="00837288"/>
    <w:rsid w:val="00841BD3"/>
    <w:rsid w:val="00842431"/>
    <w:rsid w:val="008424F0"/>
    <w:rsid w:val="0084273D"/>
    <w:rsid w:val="00844E3F"/>
    <w:rsid w:val="00845A83"/>
    <w:rsid w:val="00846BB9"/>
    <w:rsid w:val="008649D5"/>
    <w:rsid w:val="00867DEE"/>
    <w:rsid w:val="0087044A"/>
    <w:rsid w:val="008712BB"/>
    <w:rsid w:val="008830E7"/>
    <w:rsid w:val="00890EDE"/>
    <w:rsid w:val="00892B38"/>
    <w:rsid w:val="008A1741"/>
    <w:rsid w:val="008A2484"/>
    <w:rsid w:val="008A52F3"/>
    <w:rsid w:val="008B7CD3"/>
    <w:rsid w:val="008C26D9"/>
    <w:rsid w:val="008C6D50"/>
    <w:rsid w:val="008C7167"/>
    <w:rsid w:val="008C7503"/>
    <w:rsid w:val="008D1617"/>
    <w:rsid w:val="008D330F"/>
    <w:rsid w:val="008D48C1"/>
    <w:rsid w:val="008E1E1B"/>
    <w:rsid w:val="008E6315"/>
    <w:rsid w:val="008F07FC"/>
    <w:rsid w:val="008F11E0"/>
    <w:rsid w:val="008F2B23"/>
    <w:rsid w:val="008F3EA7"/>
    <w:rsid w:val="008F78BC"/>
    <w:rsid w:val="008F7B63"/>
    <w:rsid w:val="008F7D6A"/>
    <w:rsid w:val="00901C86"/>
    <w:rsid w:val="00903603"/>
    <w:rsid w:val="009054CB"/>
    <w:rsid w:val="00911F8D"/>
    <w:rsid w:val="00912F94"/>
    <w:rsid w:val="009154AF"/>
    <w:rsid w:val="009171BC"/>
    <w:rsid w:val="0092497E"/>
    <w:rsid w:val="0092590B"/>
    <w:rsid w:val="00925BF3"/>
    <w:rsid w:val="00925E60"/>
    <w:rsid w:val="009264B3"/>
    <w:rsid w:val="009365E0"/>
    <w:rsid w:val="00942BA2"/>
    <w:rsid w:val="009432B7"/>
    <w:rsid w:val="00944C86"/>
    <w:rsid w:val="009468FA"/>
    <w:rsid w:val="00947C02"/>
    <w:rsid w:val="00950BE6"/>
    <w:rsid w:val="00950C84"/>
    <w:rsid w:val="00956B84"/>
    <w:rsid w:val="00957DE8"/>
    <w:rsid w:val="00960ECB"/>
    <w:rsid w:val="009615D6"/>
    <w:rsid w:val="00961E03"/>
    <w:rsid w:val="00967855"/>
    <w:rsid w:val="0097279B"/>
    <w:rsid w:val="00972F99"/>
    <w:rsid w:val="00974709"/>
    <w:rsid w:val="00977D32"/>
    <w:rsid w:val="00980736"/>
    <w:rsid w:val="00981A39"/>
    <w:rsid w:val="00982D56"/>
    <w:rsid w:val="00983DBF"/>
    <w:rsid w:val="00987097"/>
    <w:rsid w:val="0099088A"/>
    <w:rsid w:val="00991123"/>
    <w:rsid w:val="00991CAB"/>
    <w:rsid w:val="009A3A9C"/>
    <w:rsid w:val="009B046C"/>
    <w:rsid w:val="009B13FA"/>
    <w:rsid w:val="009B1E2D"/>
    <w:rsid w:val="009C59FB"/>
    <w:rsid w:val="009C6F3B"/>
    <w:rsid w:val="009D1467"/>
    <w:rsid w:val="009D328D"/>
    <w:rsid w:val="009E0B8C"/>
    <w:rsid w:val="009E2444"/>
    <w:rsid w:val="009E4FA6"/>
    <w:rsid w:val="009E5062"/>
    <w:rsid w:val="009E7D93"/>
    <w:rsid w:val="009F3C34"/>
    <w:rsid w:val="009F462C"/>
    <w:rsid w:val="009F5C33"/>
    <w:rsid w:val="00A006A3"/>
    <w:rsid w:val="00A026F0"/>
    <w:rsid w:val="00A03EAC"/>
    <w:rsid w:val="00A04DBB"/>
    <w:rsid w:val="00A07EA0"/>
    <w:rsid w:val="00A11CA6"/>
    <w:rsid w:val="00A16986"/>
    <w:rsid w:val="00A20284"/>
    <w:rsid w:val="00A20C49"/>
    <w:rsid w:val="00A22932"/>
    <w:rsid w:val="00A2301B"/>
    <w:rsid w:val="00A269CA"/>
    <w:rsid w:val="00A32698"/>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57BB7"/>
    <w:rsid w:val="00A61605"/>
    <w:rsid w:val="00A65F97"/>
    <w:rsid w:val="00A74FEE"/>
    <w:rsid w:val="00A76C13"/>
    <w:rsid w:val="00A84FD0"/>
    <w:rsid w:val="00A922DE"/>
    <w:rsid w:val="00A92E79"/>
    <w:rsid w:val="00A950B6"/>
    <w:rsid w:val="00A95D45"/>
    <w:rsid w:val="00AB41C1"/>
    <w:rsid w:val="00AB4CF2"/>
    <w:rsid w:val="00AB6CCA"/>
    <w:rsid w:val="00AC223F"/>
    <w:rsid w:val="00AC33B1"/>
    <w:rsid w:val="00AC3B69"/>
    <w:rsid w:val="00AC5450"/>
    <w:rsid w:val="00AD12A8"/>
    <w:rsid w:val="00AE023F"/>
    <w:rsid w:val="00AF3577"/>
    <w:rsid w:val="00AF35F9"/>
    <w:rsid w:val="00AF72F8"/>
    <w:rsid w:val="00B0424C"/>
    <w:rsid w:val="00B05C7D"/>
    <w:rsid w:val="00B11ADA"/>
    <w:rsid w:val="00B15D57"/>
    <w:rsid w:val="00B16328"/>
    <w:rsid w:val="00B16347"/>
    <w:rsid w:val="00B17D6E"/>
    <w:rsid w:val="00B2435E"/>
    <w:rsid w:val="00B324D2"/>
    <w:rsid w:val="00B346C3"/>
    <w:rsid w:val="00B4005C"/>
    <w:rsid w:val="00B4137D"/>
    <w:rsid w:val="00B4227E"/>
    <w:rsid w:val="00B4471C"/>
    <w:rsid w:val="00B451A6"/>
    <w:rsid w:val="00B46EA2"/>
    <w:rsid w:val="00B4756D"/>
    <w:rsid w:val="00B56D6E"/>
    <w:rsid w:val="00B60A71"/>
    <w:rsid w:val="00B639EF"/>
    <w:rsid w:val="00B64347"/>
    <w:rsid w:val="00B65DC6"/>
    <w:rsid w:val="00B67AC2"/>
    <w:rsid w:val="00B709A8"/>
    <w:rsid w:val="00B709BE"/>
    <w:rsid w:val="00B722DE"/>
    <w:rsid w:val="00B74EF4"/>
    <w:rsid w:val="00B751E3"/>
    <w:rsid w:val="00B75BA6"/>
    <w:rsid w:val="00B76C44"/>
    <w:rsid w:val="00B8184A"/>
    <w:rsid w:val="00B82283"/>
    <w:rsid w:val="00B828D8"/>
    <w:rsid w:val="00B83F87"/>
    <w:rsid w:val="00B87CDC"/>
    <w:rsid w:val="00B910C1"/>
    <w:rsid w:val="00BA2CA4"/>
    <w:rsid w:val="00BA2EFA"/>
    <w:rsid w:val="00BA308F"/>
    <w:rsid w:val="00BA3DBC"/>
    <w:rsid w:val="00BA61C6"/>
    <w:rsid w:val="00BA707A"/>
    <w:rsid w:val="00BB1AFB"/>
    <w:rsid w:val="00BB27AE"/>
    <w:rsid w:val="00BB2DA2"/>
    <w:rsid w:val="00BB56DC"/>
    <w:rsid w:val="00BD67AE"/>
    <w:rsid w:val="00BE183D"/>
    <w:rsid w:val="00BE5754"/>
    <w:rsid w:val="00BF5D7A"/>
    <w:rsid w:val="00C01C2E"/>
    <w:rsid w:val="00C02D33"/>
    <w:rsid w:val="00C04B53"/>
    <w:rsid w:val="00C1232C"/>
    <w:rsid w:val="00C23903"/>
    <w:rsid w:val="00C27C6B"/>
    <w:rsid w:val="00C31DCF"/>
    <w:rsid w:val="00C338B5"/>
    <w:rsid w:val="00C3594D"/>
    <w:rsid w:val="00C36442"/>
    <w:rsid w:val="00C400CE"/>
    <w:rsid w:val="00C410FD"/>
    <w:rsid w:val="00C457DE"/>
    <w:rsid w:val="00C47DD3"/>
    <w:rsid w:val="00C53562"/>
    <w:rsid w:val="00C539FB"/>
    <w:rsid w:val="00C66E57"/>
    <w:rsid w:val="00C74150"/>
    <w:rsid w:val="00C75594"/>
    <w:rsid w:val="00C80A67"/>
    <w:rsid w:val="00C81FBA"/>
    <w:rsid w:val="00C85982"/>
    <w:rsid w:val="00CA0466"/>
    <w:rsid w:val="00CA246D"/>
    <w:rsid w:val="00CA50D9"/>
    <w:rsid w:val="00CA7CC2"/>
    <w:rsid w:val="00CB3054"/>
    <w:rsid w:val="00CB5636"/>
    <w:rsid w:val="00CC24DC"/>
    <w:rsid w:val="00CC3EE5"/>
    <w:rsid w:val="00CC5E32"/>
    <w:rsid w:val="00CD0485"/>
    <w:rsid w:val="00CD4B95"/>
    <w:rsid w:val="00CD6592"/>
    <w:rsid w:val="00CE425C"/>
    <w:rsid w:val="00CE58AC"/>
    <w:rsid w:val="00CE640C"/>
    <w:rsid w:val="00CE647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67738"/>
    <w:rsid w:val="00D77077"/>
    <w:rsid w:val="00D778E9"/>
    <w:rsid w:val="00D8074A"/>
    <w:rsid w:val="00D812BF"/>
    <w:rsid w:val="00D82620"/>
    <w:rsid w:val="00D85707"/>
    <w:rsid w:val="00D96343"/>
    <w:rsid w:val="00D9725F"/>
    <w:rsid w:val="00DA01B1"/>
    <w:rsid w:val="00DA11A2"/>
    <w:rsid w:val="00DA14ED"/>
    <w:rsid w:val="00DA16FB"/>
    <w:rsid w:val="00DA26D6"/>
    <w:rsid w:val="00DA61D4"/>
    <w:rsid w:val="00DB2EF1"/>
    <w:rsid w:val="00DB3DE1"/>
    <w:rsid w:val="00DB5DA0"/>
    <w:rsid w:val="00DB716C"/>
    <w:rsid w:val="00DC0FB4"/>
    <w:rsid w:val="00DC5C85"/>
    <w:rsid w:val="00DC7C5D"/>
    <w:rsid w:val="00DD4236"/>
    <w:rsid w:val="00DD44F1"/>
    <w:rsid w:val="00DD5305"/>
    <w:rsid w:val="00DD6957"/>
    <w:rsid w:val="00DD6E7A"/>
    <w:rsid w:val="00DE3067"/>
    <w:rsid w:val="00DF3EEE"/>
    <w:rsid w:val="00DF75E1"/>
    <w:rsid w:val="00E027BC"/>
    <w:rsid w:val="00E10F0D"/>
    <w:rsid w:val="00E14EA5"/>
    <w:rsid w:val="00E2070E"/>
    <w:rsid w:val="00E21133"/>
    <w:rsid w:val="00E2327E"/>
    <w:rsid w:val="00E266EF"/>
    <w:rsid w:val="00E326A8"/>
    <w:rsid w:val="00E42A4E"/>
    <w:rsid w:val="00E47428"/>
    <w:rsid w:val="00E5239A"/>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373"/>
    <w:rsid w:val="00E94A71"/>
    <w:rsid w:val="00E94CBF"/>
    <w:rsid w:val="00E95758"/>
    <w:rsid w:val="00EA03CE"/>
    <w:rsid w:val="00EA23E5"/>
    <w:rsid w:val="00EA4E2E"/>
    <w:rsid w:val="00EB2417"/>
    <w:rsid w:val="00EB2CCB"/>
    <w:rsid w:val="00EB4552"/>
    <w:rsid w:val="00EB7A25"/>
    <w:rsid w:val="00EB7E86"/>
    <w:rsid w:val="00EC0F3E"/>
    <w:rsid w:val="00EC57A7"/>
    <w:rsid w:val="00ED0817"/>
    <w:rsid w:val="00ED7DD9"/>
    <w:rsid w:val="00EE2430"/>
    <w:rsid w:val="00EE3BD4"/>
    <w:rsid w:val="00EE445B"/>
    <w:rsid w:val="00EE7229"/>
    <w:rsid w:val="00EF3113"/>
    <w:rsid w:val="00EF3F84"/>
    <w:rsid w:val="00EF4D40"/>
    <w:rsid w:val="00F0640F"/>
    <w:rsid w:val="00F11195"/>
    <w:rsid w:val="00F16844"/>
    <w:rsid w:val="00F16A52"/>
    <w:rsid w:val="00F176AC"/>
    <w:rsid w:val="00F234B3"/>
    <w:rsid w:val="00F26F28"/>
    <w:rsid w:val="00F27318"/>
    <w:rsid w:val="00F27714"/>
    <w:rsid w:val="00F3276E"/>
    <w:rsid w:val="00F33D3C"/>
    <w:rsid w:val="00F37A91"/>
    <w:rsid w:val="00F408A0"/>
    <w:rsid w:val="00F45CF5"/>
    <w:rsid w:val="00F47DB0"/>
    <w:rsid w:val="00F50C3F"/>
    <w:rsid w:val="00F50E34"/>
    <w:rsid w:val="00F53EF7"/>
    <w:rsid w:val="00F54BF2"/>
    <w:rsid w:val="00F71977"/>
    <w:rsid w:val="00F775AC"/>
    <w:rsid w:val="00F92355"/>
    <w:rsid w:val="00F93963"/>
    <w:rsid w:val="00F94291"/>
    <w:rsid w:val="00F96527"/>
    <w:rsid w:val="00FA298A"/>
    <w:rsid w:val="00FA5B66"/>
    <w:rsid w:val="00FB30EB"/>
    <w:rsid w:val="00FB7982"/>
    <w:rsid w:val="00FC0734"/>
    <w:rsid w:val="00FC0FC5"/>
    <w:rsid w:val="00FC588F"/>
    <w:rsid w:val="00FC6879"/>
    <w:rsid w:val="00FC7924"/>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FDBCD8"/>
  <w15:docId w15:val="{D76D611D-CA03-4226-9662-18197E63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F4FD1AB144511883CC8B433A14EC9"/>
        <w:category>
          <w:name w:val="General"/>
          <w:gallery w:val="placeholder"/>
        </w:category>
        <w:types>
          <w:type w:val="bbPlcHdr"/>
        </w:types>
        <w:behaviors>
          <w:behavior w:val="content"/>
        </w:behaviors>
        <w:guid w:val="{AF405E0F-B036-49EA-986E-7E6A2CF1E222}"/>
      </w:docPartPr>
      <w:docPartBody>
        <w:p w:rsidR="002932E1" w:rsidRDefault="00607EC0">
          <w:pPr>
            <w:pStyle w:val="CADF4FD1AB144511883CC8B433A14EC9"/>
          </w:pPr>
          <w:r>
            <w:rPr>
              <w:rStyle w:val="PlaceholderText"/>
            </w:rPr>
            <w:t>MNC Text</w:t>
          </w:r>
        </w:p>
      </w:docPartBody>
    </w:docPart>
    <w:docPart>
      <w:docPartPr>
        <w:name w:val="8929B503394A4D75AD1C015231AAFAE1"/>
        <w:category>
          <w:name w:val="General"/>
          <w:gallery w:val="placeholder"/>
        </w:category>
        <w:types>
          <w:type w:val="bbPlcHdr"/>
        </w:types>
        <w:behaviors>
          <w:behavior w:val="content"/>
        </w:behaviors>
        <w:guid w:val="{3FB72F84-79E2-4CEC-AC55-F966F06B9735}"/>
      </w:docPartPr>
      <w:docPartBody>
        <w:p w:rsidR="002932E1" w:rsidRDefault="00607EC0">
          <w:pPr>
            <w:pStyle w:val="8929B503394A4D75AD1C015231AAFAE1"/>
          </w:pPr>
          <w:r w:rsidRPr="005C44BE">
            <w:rPr>
              <w:rStyle w:val="PlaceholderText"/>
            </w:rPr>
            <w:t>Click or tap here to enter text.</w:t>
          </w:r>
        </w:p>
      </w:docPartBody>
    </w:docPart>
    <w:docPart>
      <w:docPartPr>
        <w:name w:val="E9C4585969FB4E16AA7183CF1F4F3942"/>
        <w:category>
          <w:name w:val="General"/>
          <w:gallery w:val="placeholder"/>
        </w:category>
        <w:types>
          <w:type w:val="bbPlcHdr"/>
        </w:types>
        <w:behaviors>
          <w:behavior w:val="content"/>
        </w:behaviors>
        <w:guid w:val="{9AC9E0E8-9D02-4673-9A38-BEDAA1FF2DA1}"/>
      </w:docPartPr>
      <w:docPartBody>
        <w:p w:rsidR="002932E1" w:rsidRDefault="00607EC0">
          <w:pPr>
            <w:pStyle w:val="E9C4585969FB4E16AA7183CF1F4F3942"/>
          </w:pPr>
          <w:r w:rsidRPr="005C44BE">
            <w:rPr>
              <w:rStyle w:val="PlaceholderText"/>
            </w:rPr>
            <w:t>Click or tap here to enter text.</w:t>
          </w:r>
        </w:p>
      </w:docPartBody>
    </w:docPart>
    <w:docPart>
      <w:docPartPr>
        <w:name w:val="5E8310467323462CA7ABD5512A9D16A4"/>
        <w:category>
          <w:name w:val="General"/>
          <w:gallery w:val="placeholder"/>
        </w:category>
        <w:types>
          <w:type w:val="bbPlcHdr"/>
        </w:types>
        <w:behaviors>
          <w:behavior w:val="content"/>
        </w:behaviors>
        <w:guid w:val="{0DDB8923-670D-4976-A283-439AD2A90E4D}"/>
      </w:docPartPr>
      <w:docPartBody>
        <w:p w:rsidR="002932E1" w:rsidRDefault="00607EC0">
          <w:pPr>
            <w:pStyle w:val="5E8310467323462CA7ABD5512A9D16A4"/>
          </w:pPr>
          <w:r w:rsidRPr="005C44BE">
            <w:rPr>
              <w:rStyle w:val="PlaceholderText"/>
            </w:rPr>
            <w:t>Click or tap here to enter text.</w:t>
          </w:r>
        </w:p>
      </w:docPartBody>
    </w:docPart>
    <w:docPart>
      <w:docPartPr>
        <w:name w:val="C614D520852D4310A137A82FD39BDEE0"/>
        <w:category>
          <w:name w:val="General"/>
          <w:gallery w:val="placeholder"/>
        </w:category>
        <w:types>
          <w:type w:val="bbPlcHdr"/>
        </w:types>
        <w:behaviors>
          <w:behavior w:val="content"/>
        </w:behaviors>
        <w:guid w:val="{BEDD6A5E-28B1-4442-8AC1-48181CA647B8}"/>
      </w:docPartPr>
      <w:docPartBody>
        <w:p w:rsidR="002932E1" w:rsidRDefault="00607EC0">
          <w:pPr>
            <w:pStyle w:val="C614D520852D4310A137A82FD39BDEE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C0"/>
    <w:rsid w:val="00022C3C"/>
    <w:rsid w:val="000E41C1"/>
    <w:rsid w:val="000E6FCE"/>
    <w:rsid w:val="001F3C78"/>
    <w:rsid w:val="002932E1"/>
    <w:rsid w:val="002E615F"/>
    <w:rsid w:val="00490666"/>
    <w:rsid w:val="004C6FF5"/>
    <w:rsid w:val="00607EC0"/>
    <w:rsid w:val="006B2BB4"/>
    <w:rsid w:val="006B3A52"/>
    <w:rsid w:val="00B92626"/>
    <w:rsid w:val="00BD489D"/>
    <w:rsid w:val="00D5398D"/>
    <w:rsid w:val="00DC0016"/>
    <w:rsid w:val="00E75836"/>
    <w:rsid w:val="00EB6AA2"/>
    <w:rsid w:val="00EF6791"/>
    <w:rsid w:val="00F2692E"/>
    <w:rsid w:val="00F81557"/>
    <w:rsid w:val="00FC1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DF4FD1AB144511883CC8B433A14EC9">
    <w:name w:val="CADF4FD1AB144511883CC8B433A14EC9"/>
  </w:style>
  <w:style w:type="paragraph" w:customStyle="1" w:styleId="8929B503394A4D75AD1C015231AAFAE1">
    <w:name w:val="8929B503394A4D75AD1C015231AAFAE1"/>
  </w:style>
  <w:style w:type="paragraph" w:customStyle="1" w:styleId="E9C4585969FB4E16AA7183CF1F4F3942">
    <w:name w:val="E9C4585969FB4E16AA7183CF1F4F3942"/>
  </w:style>
  <w:style w:type="paragraph" w:customStyle="1" w:styleId="5E8310467323462CA7ABD5512A9D16A4">
    <w:name w:val="5E8310467323462CA7ABD5512A9D16A4"/>
  </w:style>
  <w:style w:type="paragraph" w:customStyle="1" w:styleId="C614D520852D4310A137A82FD39BDEE0">
    <w:name w:val="C614D520852D4310A137A82FD39BD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Kareem v Minister for Immigration, Citizenship, Migrant Services &amp; Multicultural Affairs [2021] FCA 1016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10F8B87-D0E7-4D27-818D-FA9DEFD1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12</Pages>
  <Words>4420</Words>
  <Characters>22608</Characters>
  <Application>Microsoft Office Word</Application>
  <DocSecurity>0</DocSecurity>
  <Lines>426</Lines>
  <Paragraphs>130</Paragraphs>
  <ScaleCrop>false</ScaleCrop>
  <HeadingPairs>
    <vt:vector size="2" baseType="variant">
      <vt:variant>
        <vt:lpstr>Title</vt:lpstr>
      </vt:variant>
      <vt:variant>
        <vt:i4>1</vt:i4>
      </vt:variant>
    </vt:vector>
  </HeadingPairs>
  <TitlesOfParts>
    <vt:vector size="1" baseType="lpstr">
      <vt:lpstr>Kareem v Minister for Immigration, Citizenship, Migrant Services &amp; Multicultural Affairs [2021] FCA 1016 </vt:lpstr>
    </vt:vector>
  </TitlesOfParts>
  <Company>Federal Court of Australia</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Kareem v Minister for Immigration, Citizenship, Migrant Services &amp; Multicultural Affairs [2021] FCA 1016</dc:title>
  <dc:creator>Federal Court of Australia</dc:creator>
  <cp:lastModifiedBy>Federal Court of Australia</cp:lastModifiedBy>
  <cp:revision>3</cp:revision>
  <cp:lastPrinted>2006-02-06T01:31:00Z</cp:lastPrinted>
  <dcterms:created xsi:type="dcterms:W3CDTF">2021-09-13T06:06:00Z</dcterms:created>
  <dcterms:modified xsi:type="dcterms:W3CDTF">2021-09-13T06:07:00Z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Kareem v Minister for Immigration, Citizenship, Migrant Services &amp;_x000d_
Multicultural Affairs [2021] FCCA 743</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