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C8BA9" w14:textId="77777777" w:rsidR="00395B24" w:rsidRDefault="00B7526A" w:rsidP="00A22932">
      <w:pPr>
        <w:pStyle w:val="CourtTitle"/>
      </w:pPr>
      <w:r>
        <w:fldChar w:fldCharType="begin"/>
      </w:r>
      <w:r>
        <w:instrText xml:space="preserve"> DOCPROPERTY  Court  \* MERGEFORMAT </w:instrText>
      </w:r>
      <w:r>
        <w:fldChar w:fldCharType="separate"/>
      </w:r>
      <w:r w:rsidR="00DC6C6B">
        <w:t>Federal Court of Australia</w:t>
      </w:r>
      <w:r>
        <w:fldChar w:fldCharType="end"/>
      </w:r>
    </w:p>
    <w:p w14:paraId="5636CD93" w14:textId="77777777" w:rsidR="00395B24" w:rsidRDefault="00395B24">
      <w:pPr>
        <w:pStyle w:val="NormalHeadings"/>
        <w:jc w:val="center"/>
        <w:rPr>
          <w:sz w:val="32"/>
        </w:rPr>
      </w:pPr>
    </w:p>
    <w:bookmarkStart w:id="0" w:name="MNC"/>
    <w:p w14:paraId="0F7971EC" w14:textId="5E3523DE" w:rsidR="00374CC4" w:rsidRDefault="00286D41" w:rsidP="001A2B40">
      <w:pPr>
        <w:pStyle w:val="MNC"/>
      </w:pPr>
      <w:sdt>
        <w:sdtPr>
          <w:alias w:val="MNC"/>
          <w:tag w:val="MNC"/>
          <w:id w:val="343289786"/>
          <w:lock w:val="sdtLocked"/>
          <w:placeholder>
            <w:docPart w:val="2716632DF1AA4A359E8A99322677CC47"/>
          </w:placeholder>
          <w:dataBinding w:prefixMappings="xmlns:ns0='http://schemas.globalmacros.com/FCA'" w:xpath="/ns0:root[1]/ns0:Name[1]" w:storeItemID="{687E7CCB-4AA5-44E7-B148-17BA2B6F57C0}"/>
          <w:text w:multiLine="1"/>
        </w:sdtPr>
        <w:sdtEndPr/>
        <w:sdtContent>
          <w:r w:rsidR="00DC6C6B">
            <w:t>Grant v Green</w:t>
          </w:r>
          <w:r w:rsidR="0095122C">
            <w:t xml:space="preserve"> &amp; Associates Pty Ltd</w:t>
          </w:r>
          <w:r w:rsidR="00431BC7">
            <w:t xml:space="preserve"> [2021] FCA 934</w:t>
          </w:r>
          <w:r w:rsidR="00693854">
            <w:t xml:space="preserve"> </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4D596EE3" w14:textId="77777777" w:rsidTr="00176A30">
        <w:tc>
          <w:tcPr>
            <w:tcW w:w="3084" w:type="dxa"/>
            <w:shd w:val="clear" w:color="auto" w:fill="auto"/>
          </w:tcPr>
          <w:p w14:paraId="41142554" w14:textId="4DFCBE7B" w:rsidR="00395B24" w:rsidRDefault="002C7385" w:rsidP="00663878">
            <w:pPr>
              <w:pStyle w:val="Normal1linespace"/>
              <w:widowControl w:val="0"/>
              <w:jc w:val="left"/>
            </w:pPr>
            <w:r>
              <w:t>File number:</w:t>
            </w:r>
          </w:p>
        </w:tc>
        <w:tc>
          <w:tcPr>
            <w:tcW w:w="5989" w:type="dxa"/>
            <w:shd w:val="clear" w:color="auto" w:fill="auto"/>
          </w:tcPr>
          <w:p w14:paraId="3CE8E301" w14:textId="77777777" w:rsidR="00395B24" w:rsidRPr="00DC6C6B" w:rsidRDefault="00DC6C6B" w:rsidP="00DC6C6B">
            <w:pPr>
              <w:pStyle w:val="Normal1linespace"/>
              <w:jc w:val="left"/>
            </w:pPr>
            <w:r>
              <w:t>NSD 518 of 2021</w:t>
            </w:r>
          </w:p>
        </w:tc>
      </w:tr>
      <w:tr w:rsidR="00395B24" w14:paraId="7FD26941" w14:textId="77777777" w:rsidTr="00176A30">
        <w:tc>
          <w:tcPr>
            <w:tcW w:w="3084" w:type="dxa"/>
            <w:shd w:val="clear" w:color="auto" w:fill="auto"/>
          </w:tcPr>
          <w:p w14:paraId="7AFFC5EA" w14:textId="77777777" w:rsidR="00395B24" w:rsidRDefault="00395B24" w:rsidP="00663878">
            <w:pPr>
              <w:pStyle w:val="Normal1linespace"/>
              <w:widowControl w:val="0"/>
              <w:jc w:val="left"/>
            </w:pPr>
          </w:p>
        </w:tc>
        <w:tc>
          <w:tcPr>
            <w:tcW w:w="5989" w:type="dxa"/>
            <w:shd w:val="clear" w:color="auto" w:fill="auto"/>
          </w:tcPr>
          <w:p w14:paraId="41589ED7" w14:textId="77777777" w:rsidR="00395B24" w:rsidRDefault="00395B24" w:rsidP="00663878">
            <w:pPr>
              <w:pStyle w:val="Normal1linespace"/>
              <w:widowControl w:val="0"/>
              <w:jc w:val="left"/>
            </w:pPr>
          </w:p>
        </w:tc>
      </w:tr>
      <w:tr w:rsidR="00395B24" w14:paraId="710CFB53" w14:textId="77777777" w:rsidTr="00176A30">
        <w:tc>
          <w:tcPr>
            <w:tcW w:w="3084" w:type="dxa"/>
            <w:shd w:val="clear" w:color="auto" w:fill="auto"/>
          </w:tcPr>
          <w:p w14:paraId="461CE9EF"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5E475176" w14:textId="77777777" w:rsidR="00395B24" w:rsidRDefault="002C7385" w:rsidP="00DC6C6B">
            <w:pPr>
              <w:pStyle w:val="Normal1linespace"/>
              <w:widowControl w:val="0"/>
              <w:jc w:val="left"/>
              <w:rPr>
                <w:b/>
              </w:rPr>
            </w:pPr>
            <w:r w:rsidRPr="00DC6C6B">
              <w:rPr>
                <w:b/>
              </w:rPr>
              <w:fldChar w:fldCharType="begin" w:fldLock="1"/>
            </w:r>
            <w:r w:rsidRPr="00DC6C6B">
              <w:rPr>
                <w:b/>
              </w:rPr>
              <w:instrText xml:space="preserve"> REF  Judge  \* MERGEFORMAT </w:instrText>
            </w:r>
            <w:r w:rsidRPr="00DC6C6B">
              <w:rPr>
                <w:b/>
              </w:rPr>
              <w:fldChar w:fldCharType="separate"/>
            </w:r>
            <w:r w:rsidR="00DC6C6B">
              <w:rPr>
                <w:b/>
                <w:caps/>
                <w:szCs w:val="24"/>
              </w:rPr>
              <w:t>WIGNEY J</w:t>
            </w:r>
            <w:r w:rsidRPr="00DC6C6B">
              <w:rPr>
                <w:b/>
              </w:rPr>
              <w:fldChar w:fldCharType="end"/>
            </w:r>
          </w:p>
        </w:tc>
      </w:tr>
      <w:tr w:rsidR="00395B24" w14:paraId="22F0CF37" w14:textId="77777777" w:rsidTr="00176A30">
        <w:tc>
          <w:tcPr>
            <w:tcW w:w="3084" w:type="dxa"/>
            <w:shd w:val="clear" w:color="auto" w:fill="auto"/>
          </w:tcPr>
          <w:p w14:paraId="1A1288BB" w14:textId="77777777" w:rsidR="00395B24" w:rsidRDefault="00395B24" w:rsidP="00663878">
            <w:pPr>
              <w:pStyle w:val="Normal1linespace"/>
              <w:widowControl w:val="0"/>
              <w:jc w:val="left"/>
            </w:pPr>
          </w:p>
        </w:tc>
        <w:tc>
          <w:tcPr>
            <w:tcW w:w="5989" w:type="dxa"/>
            <w:shd w:val="clear" w:color="auto" w:fill="auto"/>
          </w:tcPr>
          <w:p w14:paraId="54141EDC" w14:textId="77777777" w:rsidR="00395B24" w:rsidRDefault="00395B24" w:rsidP="00663878">
            <w:pPr>
              <w:pStyle w:val="Normal1linespace"/>
              <w:widowControl w:val="0"/>
              <w:jc w:val="left"/>
            </w:pPr>
          </w:p>
        </w:tc>
      </w:tr>
      <w:tr w:rsidR="00395B24" w14:paraId="367839E0" w14:textId="77777777" w:rsidTr="00176A30">
        <w:tc>
          <w:tcPr>
            <w:tcW w:w="3084" w:type="dxa"/>
            <w:shd w:val="clear" w:color="auto" w:fill="auto"/>
          </w:tcPr>
          <w:p w14:paraId="0B4A3D09" w14:textId="77777777" w:rsidR="00395B24" w:rsidRDefault="00DC6C6B" w:rsidP="00663878">
            <w:pPr>
              <w:pStyle w:val="Normal1linespace"/>
              <w:widowControl w:val="0"/>
              <w:jc w:val="left"/>
            </w:pPr>
            <w:r>
              <w:t>Date of publication of j</w:t>
            </w:r>
            <w:r w:rsidR="002C7385">
              <w:t>udgment:</w:t>
            </w:r>
          </w:p>
        </w:tc>
        <w:tc>
          <w:tcPr>
            <w:tcW w:w="5989" w:type="dxa"/>
            <w:shd w:val="clear" w:color="auto" w:fill="auto"/>
          </w:tcPr>
          <w:p w14:paraId="3A1443C2" w14:textId="6EF9A45D" w:rsidR="00395B24" w:rsidRDefault="00B7526A" w:rsidP="00663878">
            <w:pPr>
              <w:pStyle w:val="Normal1linespace"/>
              <w:widowControl w:val="0"/>
              <w:jc w:val="left"/>
            </w:pPr>
            <w:bookmarkStart w:id="1" w:name="JudgmentDate"/>
            <w:bookmarkEnd w:id="1"/>
            <w:r>
              <w:t>10</w:t>
            </w:r>
            <w:r w:rsidR="0095122C">
              <w:t xml:space="preserve"> </w:t>
            </w:r>
            <w:r w:rsidR="00DC6C6B">
              <w:t>August 2021</w:t>
            </w:r>
          </w:p>
        </w:tc>
      </w:tr>
      <w:tr w:rsidR="00395B24" w14:paraId="03515AA3" w14:textId="77777777" w:rsidTr="00176A30">
        <w:tc>
          <w:tcPr>
            <w:tcW w:w="3084" w:type="dxa"/>
            <w:shd w:val="clear" w:color="auto" w:fill="auto"/>
          </w:tcPr>
          <w:p w14:paraId="3D511C65" w14:textId="77777777" w:rsidR="00395B24" w:rsidRDefault="00395B24" w:rsidP="00663878">
            <w:pPr>
              <w:pStyle w:val="Normal1linespace"/>
              <w:widowControl w:val="0"/>
              <w:jc w:val="left"/>
            </w:pPr>
          </w:p>
        </w:tc>
        <w:tc>
          <w:tcPr>
            <w:tcW w:w="5989" w:type="dxa"/>
            <w:shd w:val="clear" w:color="auto" w:fill="auto"/>
          </w:tcPr>
          <w:p w14:paraId="6BBB163F" w14:textId="77777777" w:rsidR="00395B24" w:rsidRDefault="00395B24" w:rsidP="00663878">
            <w:pPr>
              <w:pStyle w:val="Normal1linespace"/>
              <w:widowControl w:val="0"/>
              <w:jc w:val="left"/>
            </w:pPr>
          </w:p>
        </w:tc>
      </w:tr>
      <w:tr w:rsidR="00395B24" w14:paraId="01AEC27C" w14:textId="77777777" w:rsidTr="00176A30">
        <w:tc>
          <w:tcPr>
            <w:tcW w:w="3084" w:type="dxa"/>
            <w:shd w:val="clear" w:color="auto" w:fill="auto"/>
          </w:tcPr>
          <w:p w14:paraId="630EDA7B" w14:textId="77777777" w:rsidR="00395B24" w:rsidRDefault="002C7385" w:rsidP="00663878">
            <w:pPr>
              <w:pStyle w:val="Normal1linespace"/>
              <w:widowControl w:val="0"/>
              <w:jc w:val="left"/>
            </w:pPr>
            <w:r>
              <w:t>Catchwords:</w:t>
            </w:r>
          </w:p>
        </w:tc>
        <w:tc>
          <w:tcPr>
            <w:tcW w:w="5989" w:type="dxa"/>
            <w:shd w:val="clear" w:color="auto" w:fill="auto"/>
          </w:tcPr>
          <w:p w14:paraId="4BE09486" w14:textId="33381612" w:rsidR="00395B24" w:rsidRDefault="0095122C" w:rsidP="00027BDC">
            <w:pPr>
              <w:pStyle w:val="Normal1linespace"/>
              <w:widowControl w:val="0"/>
              <w:jc w:val="left"/>
            </w:pPr>
            <w:bookmarkStart w:id="2" w:name="Catchwords"/>
            <w:r>
              <w:rPr>
                <w:b/>
              </w:rPr>
              <w:t xml:space="preserve">BANKRUPTCY </w:t>
            </w:r>
            <w:r>
              <w:t xml:space="preserve">– application to set aside bankruptcy notice </w:t>
            </w:r>
            <w:r w:rsidR="00177B12">
              <w:t xml:space="preserve">on the grounds of defects </w:t>
            </w:r>
            <w:r>
              <w:t xml:space="preserve">– </w:t>
            </w:r>
            <w:r w:rsidR="00BE3C72">
              <w:t xml:space="preserve">whether defects in bankruptcy notice were merely formal defects – </w:t>
            </w:r>
            <w:r w:rsidR="006B7B92">
              <w:t xml:space="preserve">where debt specified in notice overstated the amount owing – where </w:t>
            </w:r>
            <w:r>
              <w:t xml:space="preserve">wrong address of </w:t>
            </w:r>
            <w:r w:rsidR="001D406C">
              <w:t xml:space="preserve">creditor </w:t>
            </w:r>
            <w:r>
              <w:t xml:space="preserve">appeared </w:t>
            </w:r>
            <w:r w:rsidR="006B7B92">
              <w:t>i</w:t>
            </w:r>
            <w:r>
              <w:t xml:space="preserve">n notice </w:t>
            </w:r>
            <w:r w:rsidR="006B7B92">
              <w:t xml:space="preserve">– where wrong address for service of documents </w:t>
            </w:r>
            <w:r w:rsidR="006019C9">
              <w:t xml:space="preserve">on the creditor </w:t>
            </w:r>
            <w:r w:rsidR="006B7B92">
              <w:t xml:space="preserve">appeared in notice – where overstatement of debt not merely a formal defect for purposes of s 306 </w:t>
            </w:r>
            <w:r w:rsidR="00B41D83">
              <w:t xml:space="preserve">of the </w:t>
            </w:r>
            <w:r w:rsidR="006B7B92">
              <w:rPr>
                <w:i/>
              </w:rPr>
              <w:t>Bankruptcy Act</w:t>
            </w:r>
            <w:r w:rsidR="00FB7FDA">
              <w:rPr>
                <w:i/>
              </w:rPr>
              <w:t xml:space="preserve"> 1966 </w:t>
            </w:r>
            <w:r w:rsidR="00FB7FDA" w:rsidRPr="00FB7FDA">
              <w:t>(Cth)</w:t>
            </w:r>
            <w:r w:rsidR="006B7B92">
              <w:rPr>
                <w:i/>
              </w:rPr>
              <w:t xml:space="preserve"> </w:t>
            </w:r>
            <w:r w:rsidR="006019C9" w:rsidRPr="006019C9">
              <w:t xml:space="preserve">because notice of the overstatement was given in accordance with s 41(5) of the </w:t>
            </w:r>
            <w:r w:rsidR="006019C9" w:rsidRPr="006019C9">
              <w:rPr>
                <w:i/>
              </w:rPr>
              <w:t>Bankruptcy Act</w:t>
            </w:r>
            <w:r w:rsidR="006019C9">
              <w:rPr>
                <w:i/>
              </w:rPr>
              <w:t xml:space="preserve"> </w:t>
            </w:r>
            <w:r w:rsidR="00176A30">
              <w:t>– where other errors immaterial to validity of notice – notice set aside</w:t>
            </w:r>
            <w:bookmarkEnd w:id="2"/>
          </w:p>
        </w:tc>
      </w:tr>
      <w:tr w:rsidR="00395B24" w14:paraId="782C7263" w14:textId="77777777" w:rsidTr="00176A30">
        <w:tc>
          <w:tcPr>
            <w:tcW w:w="3084" w:type="dxa"/>
            <w:shd w:val="clear" w:color="auto" w:fill="auto"/>
          </w:tcPr>
          <w:p w14:paraId="2867AE72" w14:textId="77777777" w:rsidR="00395B24" w:rsidRDefault="00395B24" w:rsidP="00663878">
            <w:pPr>
              <w:pStyle w:val="Normal1linespace"/>
              <w:widowControl w:val="0"/>
              <w:jc w:val="left"/>
            </w:pPr>
          </w:p>
        </w:tc>
        <w:tc>
          <w:tcPr>
            <w:tcW w:w="5989" w:type="dxa"/>
            <w:shd w:val="clear" w:color="auto" w:fill="auto"/>
          </w:tcPr>
          <w:p w14:paraId="2C9C0304" w14:textId="77777777" w:rsidR="00395B24" w:rsidRDefault="00395B24" w:rsidP="00663878">
            <w:pPr>
              <w:pStyle w:val="Normal1linespace"/>
              <w:widowControl w:val="0"/>
              <w:jc w:val="left"/>
            </w:pPr>
          </w:p>
        </w:tc>
      </w:tr>
      <w:tr w:rsidR="00395B24" w14:paraId="5ED27640" w14:textId="77777777" w:rsidTr="00176A30">
        <w:tc>
          <w:tcPr>
            <w:tcW w:w="3084" w:type="dxa"/>
            <w:shd w:val="clear" w:color="auto" w:fill="auto"/>
          </w:tcPr>
          <w:p w14:paraId="5C2D3A2C" w14:textId="77777777" w:rsidR="00395B24" w:rsidRDefault="002C7385" w:rsidP="00663878">
            <w:pPr>
              <w:pStyle w:val="Normal1linespace"/>
              <w:widowControl w:val="0"/>
              <w:jc w:val="left"/>
            </w:pPr>
            <w:r>
              <w:t>Legislation:</w:t>
            </w:r>
          </w:p>
        </w:tc>
        <w:tc>
          <w:tcPr>
            <w:tcW w:w="5989" w:type="dxa"/>
            <w:shd w:val="clear" w:color="auto" w:fill="auto"/>
          </w:tcPr>
          <w:p w14:paraId="4E1D8DB7" w14:textId="3471D2DC" w:rsidR="00176A30" w:rsidRPr="00176A30" w:rsidRDefault="00176A30" w:rsidP="00176A30">
            <w:pPr>
              <w:pStyle w:val="CasesLegislationAppealFrom"/>
              <w:spacing w:after="60"/>
            </w:pPr>
            <w:bookmarkStart w:id="3" w:name="Legislation"/>
            <w:r w:rsidRPr="00176A30">
              <w:rPr>
                <w:i/>
              </w:rPr>
              <w:t xml:space="preserve">Bankruptcy Act 1966 </w:t>
            </w:r>
            <w:r w:rsidRPr="00176A30">
              <w:t>(</w:t>
            </w:r>
            <w:proofErr w:type="spellStart"/>
            <w:r w:rsidRPr="00176A30">
              <w:t>Cth</w:t>
            </w:r>
            <w:proofErr w:type="spellEnd"/>
            <w:r>
              <w:t xml:space="preserve">), </w:t>
            </w:r>
            <w:proofErr w:type="spellStart"/>
            <w:r>
              <w:t>ss</w:t>
            </w:r>
            <w:proofErr w:type="spellEnd"/>
            <w:r>
              <w:t xml:space="preserve"> 41(5), 41(6A), 306</w:t>
            </w:r>
            <w:bookmarkEnd w:id="3"/>
          </w:p>
        </w:tc>
      </w:tr>
      <w:tr w:rsidR="00395B24" w14:paraId="5D45DFAA" w14:textId="77777777" w:rsidTr="00176A30">
        <w:tc>
          <w:tcPr>
            <w:tcW w:w="3084" w:type="dxa"/>
            <w:shd w:val="clear" w:color="auto" w:fill="auto"/>
          </w:tcPr>
          <w:p w14:paraId="4B0F6E1C" w14:textId="77777777" w:rsidR="00395B24" w:rsidRDefault="00395B24" w:rsidP="00663878">
            <w:pPr>
              <w:pStyle w:val="Normal1linespace"/>
              <w:widowControl w:val="0"/>
              <w:jc w:val="left"/>
            </w:pPr>
          </w:p>
        </w:tc>
        <w:tc>
          <w:tcPr>
            <w:tcW w:w="5989" w:type="dxa"/>
            <w:shd w:val="clear" w:color="auto" w:fill="auto"/>
          </w:tcPr>
          <w:p w14:paraId="2A00017D" w14:textId="77777777" w:rsidR="00395B24" w:rsidRDefault="00395B24" w:rsidP="00663878">
            <w:pPr>
              <w:pStyle w:val="Normal1linespace"/>
              <w:widowControl w:val="0"/>
              <w:jc w:val="left"/>
            </w:pPr>
          </w:p>
        </w:tc>
      </w:tr>
      <w:tr w:rsidR="00395B24" w14:paraId="469F4490" w14:textId="77777777" w:rsidTr="00176A30">
        <w:tc>
          <w:tcPr>
            <w:tcW w:w="3084" w:type="dxa"/>
            <w:shd w:val="clear" w:color="auto" w:fill="auto"/>
          </w:tcPr>
          <w:p w14:paraId="5CA272FE" w14:textId="77777777" w:rsidR="00395B24" w:rsidRDefault="002C7385" w:rsidP="00663878">
            <w:pPr>
              <w:pStyle w:val="Normal1linespace"/>
              <w:widowControl w:val="0"/>
              <w:jc w:val="left"/>
            </w:pPr>
            <w:r>
              <w:t>Cases cited:</w:t>
            </w:r>
          </w:p>
        </w:tc>
        <w:tc>
          <w:tcPr>
            <w:tcW w:w="5989" w:type="dxa"/>
            <w:shd w:val="clear" w:color="auto" w:fill="auto"/>
          </w:tcPr>
          <w:p w14:paraId="41EE99EC" w14:textId="77777777" w:rsidR="00176A30" w:rsidRPr="00176A30" w:rsidRDefault="00176A30" w:rsidP="00176A30">
            <w:pPr>
              <w:pStyle w:val="CasesLegislationAppealFrom"/>
              <w:spacing w:after="60"/>
            </w:pPr>
            <w:bookmarkStart w:id="4" w:name="Cases_Cited"/>
            <w:r w:rsidRPr="00176A30">
              <w:rPr>
                <w:i/>
              </w:rPr>
              <w:t xml:space="preserve">Adams v Lambert </w:t>
            </w:r>
            <w:r w:rsidRPr="00176A30">
              <w:t>(2006) 228 CLR 409; [2006] HCA 10</w:t>
            </w:r>
          </w:p>
          <w:p w14:paraId="7993D4F6" w14:textId="77777777" w:rsidR="00176A30" w:rsidRPr="00176A30" w:rsidRDefault="00176A30" w:rsidP="00176A30">
            <w:pPr>
              <w:pStyle w:val="CasesLegislationAppealFrom"/>
              <w:spacing w:after="60"/>
            </w:pPr>
            <w:r w:rsidRPr="00176A30">
              <w:rPr>
                <w:i/>
              </w:rPr>
              <w:t>Bonds Industries Ltd v Sing</w:t>
            </w:r>
            <w:r w:rsidRPr="00176A30">
              <w:t xml:space="preserve"> [1999] FCA 1055</w:t>
            </w:r>
          </w:p>
          <w:p w14:paraId="375DE697" w14:textId="77777777" w:rsidR="00176A30" w:rsidRPr="00176A30" w:rsidRDefault="00176A30" w:rsidP="00176A30">
            <w:pPr>
              <w:pStyle w:val="CasesLegislationAppealFrom"/>
              <w:spacing w:after="60"/>
            </w:pPr>
            <w:r w:rsidRPr="00176A30">
              <w:rPr>
                <w:i/>
              </w:rPr>
              <w:t xml:space="preserve">Croker v Commissioner of Taxation </w:t>
            </w:r>
            <w:r w:rsidRPr="00176A30">
              <w:t>(2005) 145 FCR 150; [2005] FCA 127</w:t>
            </w:r>
          </w:p>
          <w:p w14:paraId="28640733" w14:textId="77777777" w:rsidR="00176A30" w:rsidRPr="00176A30" w:rsidRDefault="00176A30" w:rsidP="00176A30">
            <w:pPr>
              <w:pStyle w:val="CasesLegislationAppealFrom"/>
              <w:spacing w:after="60"/>
            </w:pPr>
            <w:r w:rsidRPr="00176A30">
              <w:rPr>
                <w:i/>
              </w:rPr>
              <w:t>Foote v Mid-West Finances Pty Ltd</w:t>
            </w:r>
            <w:r w:rsidRPr="00176A30">
              <w:t xml:space="preserve"> (1997) 78 FCR 306</w:t>
            </w:r>
          </w:p>
          <w:p w14:paraId="2074E8ED" w14:textId="77777777" w:rsidR="00176A30" w:rsidRPr="00176A30" w:rsidRDefault="00176A30" w:rsidP="00176A30">
            <w:pPr>
              <w:pStyle w:val="CasesLegislationAppealFrom"/>
              <w:spacing w:after="60"/>
            </w:pPr>
            <w:r w:rsidRPr="00176A30">
              <w:rPr>
                <w:i/>
              </w:rPr>
              <w:t>Hussain v King Investment Solutions Pty Ltd</w:t>
            </w:r>
            <w:r w:rsidRPr="00176A30">
              <w:t xml:space="preserve"> (2006) 153 FCR 428; [2006] FCA 905</w:t>
            </w:r>
          </w:p>
          <w:p w14:paraId="401884D2" w14:textId="77777777" w:rsidR="00176A30" w:rsidRPr="00176A30" w:rsidRDefault="00176A30" w:rsidP="00176A30">
            <w:pPr>
              <w:pStyle w:val="CasesLegislationAppealFrom"/>
              <w:spacing w:after="60"/>
            </w:pPr>
            <w:r w:rsidRPr="00176A30">
              <w:rPr>
                <w:i/>
              </w:rPr>
              <w:t xml:space="preserve">Kleinwort Benson Australia Ltd v </w:t>
            </w:r>
            <w:proofErr w:type="spellStart"/>
            <w:r w:rsidRPr="00176A30">
              <w:rPr>
                <w:i/>
              </w:rPr>
              <w:t>Crowl</w:t>
            </w:r>
            <w:proofErr w:type="spellEnd"/>
            <w:r w:rsidRPr="00176A30">
              <w:t xml:space="preserve"> (1988) 165 CLR 71</w:t>
            </w:r>
          </w:p>
          <w:p w14:paraId="07AC3306" w14:textId="77777777" w:rsidR="00176A30" w:rsidRPr="00176A30" w:rsidRDefault="00176A30" w:rsidP="00176A30">
            <w:pPr>
              <w:pStyle w:val="CasesLegislationAppealFrom"/>
              <w:spacing w:after="60"/>
            </w:pPr>
            <w:proofErr w:type="spellStart"/>
            <w:r w:rsidRPr="00176A30">
              <w:rPr>
                <w:i/>
              </w:rPr>
              <w:t>Menniti</w:t>
            </w:r>
            <w:proofErr w:type="spellEnd"/>
            <w:r w:rsidRPr="00176A30">
              <w:rPr>
                <w:i/>
              </w:rPr>
              <w:t xml:space="preserve"> v ACN 116 746 859 Pty Ltd</w:t>
            </w:r>
            <w:r w:rsidRPr="00176A30">
              <w:t xml:space="preserve"> [2019] FCCA 1856</w:t>
            </w:r>
          </w:p>
          <w:p w14:paraId="742E32A3" w14:textId="77777777" w:rsidR="00176A30" w:rsidRPr="00176A30" w:rsidRDefault="00176A30" w:rsidP="00176A30">
            <w:pPr>
              <w:pStyle w:val="CasesLegislationAppealFrom"/>
              <w:spacing w:after="60"/>
            </w:pPr>
            <w:r w:rsidRPr="00176A30">
              <w:rPr>
                <w:i/>
              </w:rPr>
              <w:t xml:space="preserve">Re </w:t>
            </w:r>
            <w:proofErr w:type="spellStart"/>
            <w:r w:rsidRPr="00176A30">
              <w:rPr>
                <w:i/>
              </w:rPr>
              <w:t>Florance</w:t>
            </w:r>
            <w:proofErr w:type="spellEnd"/>
            <w:r w:rsidRPr="00176A30">
              <w:rPr>
                <w:i/>
              </w:rPr>
              <w:t xml:space="preserve">, Ex Parte </w:t>
            </w:r>
            <w:proofErr w:type="spellStart"/>
            <w:r w:rsidRPr="00176A30">
              <w:rPr>
                <w:i/>
              </w:rPr>
              <w:t>Turimetta</w:t>
            </w:r>
            <w:proofErr w:type="spellEnd"/>
            <w:r w:rsidRPr="00176A30">
              <w:rPr>
                <w:i/>
              </w:rPr>
              <w:t xml:space="preserve"> Properties Pty Ltd </w:t>
            </w:r>
            <w:r w:rsidRPr="00176A30">
              <w:t>(1979) 28 ALR 403</w:t>
            </w:r>
          </w:p>
          <w:p w14:paraId="2B597FAB" w14:textId="77777777" w:rsidR="00176A30" w:rsidRPr="00176A30" w:rsidRDefault="00176A30" w:rsidP="00176A30">
            <w:pPr>
              <w:pStyle w:val="CasesLegislationAppealFrom"/>
              <w:spacing w:after="60"/>
            </w:pPr>
            <w:r w:rsidRPr="00176A30">
              <w:rPr>
                <w:i/>
              </w:rPr>
              <w:t xml:space="preserve">Re </w:t>
            </w:r>
            <w:proofErr w:type="spellStart"/>
            <w:r w:rsidRPr="00176A30">
              <w:rPr>
                <w:i/>
              </w:rPr>
              <w:t>Wimbourne</w:t>
            </w:r>
            <w:proofErr w:type="spellEnd"/>
            <w:r w:rsidRPr="00176A30">
              <w:rPr>
                <w:i/>
              </w:rPr>
              <w:t>;  Ex parte the Debtor</w:t>
            </w:r>
            <w:r w:rsidRPr="00176A30">
              <w:t xml:space="preserve"> (1979) 24 ALR 494</w:t>
            </w:r>
          </w:p>
          <w:p w14:paraId="23837EB1" w14:textId="77777777" w:rsidR="00176A30" w:rsidRPr="00176A30" w:rsidRDefault="00176A30" w:rsidP="00176A30">
            <w:pPr>
              <w:pStyle w:val="CasesLegislationAppealFrom"/>
              <w:spacing w:after="60"/>
            </w:pPr>
            <w:proofErr w:type="spellStart"/>
            <w:r w:rsidRPr="00176A30">
              <w:rPr>
                <w:i/>
              </w:rPr>
              <w:t>Seovic</w:t>
            </w:r>
            <w:proofErr w:type="spellEnd"/>
            <w:r w:rsidRPr="00176A30">
              <w:rPr>
                <w:i/>
              </w:rPr>
              <w:t xml:space="preserve"> Civil Engineering Pty Ltd v </w:t>
            </w:r>
            <w:proofErr w:type="spellStart"/>
            <w:r w:rsidRPr="00176A30">
              <w:rPr>
                <w:i/>
              </w:rPr>
              <w:t>Groeneveld</w:t>
            </w:r>
            <w:proofErr w:type="spellEnd"/>
            <w:r w:rsidRPr="00176A30">
              <w:t xml:space="preserve"> (1999) 87 FCR 120</w:t>
            </w:r>
          </w:p>
          <w:p w14:paraId="06A00F4A" w14:textId="77777777" w:rsidR="00176A30" w:rsidRPr="00176A30" w:rsidRDefault="00176A30" w:rsidP="00176A30">
            <w:pPr>
              <w:pStyle w:val="CasesLegislationAppealFrom"/>
              <w:spacing w:after="60"/>
            </w:pPr>
            <w:proofErr w:type="spellStart"/>
            <w:r w:rsidRPr="00176A30">
              <w:rPr>
                <w:i/>
              </w:rPr>
              <w:t>Skouloudis</w:t>
            </w:r>
            <w:proofErr w:type="spellEnd"/>
            <w:r w:rsidRPr="00176A30">
              <w:rPr>
                <w:i/>
              </w:rPr>
              <w:t xml:space="preserve"> v St George Bank Ltd</w:t>
            </w:r>
            <w:r w:rsidRPr="00176A30">
              <w:t xml:space="preserve"> (2008) 173 FCR 236; [2008] FCA 1765</w:t>
            </w:r>
          </w:p>
          <w:p w14:paraId="5F226C3D" w14:textId="45774C32" w:rsidR="00176A30" w:rsidRPr="00176A30" w:rsidRDefault="00176A30" w:rsidP="00176A30">
            <w:pPr>
              <w:pStyle w:val="CasesLegislationAppealFrom"/>
              <w:spacing w:after="60"/>
            </w:pPr>
            <w:r w:rsidRPr="00176A30">
              <w:rPr>
                <w:i/>
              </w:rPr>
              <w:t xml:space="preserve">Walsh v Deputy Commissioner of Taxation </w:t>
            </w:r>
            <w:r w:rsidRPr="00176A30">
              <w:t>(1984) 156 CLR 337</w:t>
            </w:r>
            <w:bookmarkEnd w:id="4"/>
          </w:p>
        </w:tc>
      </w:tr>
      <w:tr w:rsidR="00DC6C6B" w14:paraId="3BA18A31" w14:textId="77777777" w:rsidTr="00176A30">
        <w:tc>
          <w:tcPr>
            <w:tcW w:w="3084" w:type="dxa"/>
            <w:shd w:val="clear" w:color="auto" w:fill="auto"/>
          </w:tcPr>
          <w:p w14:paraId="6716316F" w14:textId="77777777" w:rsidR="00DC6C6B" w:rsidRDefault="00DC6C6B" w:rsidP="00005D50">
            <w:pPr>
              <w:pStyle w:val="Normal1linespace"/>
              <w:widowControl w:val="0"/>
            </w:pPr>
          </w:p>
        </w:tc>
        <w:tc>
          <w:tcPr>
            <w:tcW w:w="5989" w:type="dxa"/>
            <w:shd w:val="clear" w:color="auto" w:fill="auto"/>
          </w:tcPr>
          <w:p w14:paraId="59736975" w14:textId="77777777" w:rsidR="00DC6C6B" w:rsidRDefault="00DC6C6B" w:rsidP="00005D50">
            <w:pPr>
              <w:pStyle w:val="Normal1linespace"/>
              <w:widowControl w:val="0"/>
              <w:jc w:val="left"/>
            </w:pPr>
          </w:p>
        </w:tc>
      </w:tr>
      <w:tr w:rsidR="00DC6C6B" w14:paraId="5CED8806" w14:textId="77777777" w:rsidTr="00176A30">
        <w:tc>
          <w:tcPr>
            <w:tcW w:w="3084" w:type="dxa"/>
            <w:shd w:val="clear" w:color="auto" w:fill="auto"/>
          </w:tcPr>
          <w:p w14:paraId="3F3F47BA" w14:textId="77777777" w:rsidR="00DC6C6B" w:rsidRDefault="00DC6C6B" w:rsidP="00501A12">
            <w:pPr>
              <w:pStyle w:val="Normal1linespace"/>
              <w:widowControl w:val="0"/>
            </w:pPr>
            <w:r>
              <w:lastRenderedPageBreak/>
              <w:t>Division:</w:t>
            </w:r>
          </w:p>
        </w:tc>
        <w:tc>
          <w:tcPr>
            <w:tcW w:w="5989" w:type="dxa"/>
            <w:shd w:val="clear" w:color="auto" w:fill="auto"/>
          </w:tcPr>
          <w:p w14:paraId="79AF80CF" w14:textId="27F846F2" w:rsidR="00DC6C6B" w:rsidRPr="00F17599" w:rsidRDefault="00101D42" w:rsidP="00C23C6C">
            <w:pPr>
              <w:pStyle w:val="Normal1linespace"/>
              <w:widowControl w:val="0"/>
              <w:jc w:val="left"/>
            </w:pPr>
            <w:r>
              <w:t>General Division</w:t>
            </w:r>
          </w:p>
        </w:tc>
      </w:tr>
      <w:tr w:rsidR="00C23C6C" w14:paraId="4EEA197D" w14:textId="77777777" w:rsidTr="00176A30">
        <w:tc>
          <w:tcPr>
            <w:tcW w:w="3084" w:type="dxa"/>
            <w:shd w:val="clear" w:color="auto" w:fill="auto"/>
          </w:tcPr>
          <w:p w14:paraId="1F882DB7" w14:textId="77777777" w:rsidR="00C23C6C" w:rsidRDefault="00C23C6C" w:rsidP="00501A12">
            <w:pPr>
              <w:pStyle w:val="Normal1linespace"/>
              <w:widowControl w:val="0"/>
            </w:pPr>
          </w:p>
        </w:tc>
        <w:tc>
          <w:tcPr>
            <w:tcW w:w="5989" w:type="dxa"/>
            <w:shd w:val="clear" w:color="auto" w:fill="auto"/>
          </w:tcPr>
          <w:p w14:paraId="464E8FA9" w14:textId="77777777" w:rsidR="00C23C6C" w:rsidRDefault="00C23C6C" w:rsidP="00501A12">
            <w:pPr>
              <w:pStyle w:val="Normal1linespace"/>
              <w:widowControl w:val="0"/>
              <w:jc w:val="left"/>
            </w:pPr>
          </w:p>
        </w:tc>
      </w:tr>
      <w:tr w:rsidR="00101D42" w14:paraId="0E8FA7D4" w14:textId="77777777" w:rsidTr="00176A30">
        <w:tc>
          <w:tcPr>
            <w:tcW w:w="3084" w:type="dxa"/>
            <w:shd w:val="clear" w:color="auto" w:fill="auto"/>
          </w:tcPr>
          <w:p w14:paraId="5791D396" w14:textId="43167370" w:rsidR="00101D42" w:rsidRDefault="00101D42" w:rsidP="00501A12">
            <w:pPr>
              <w:pStyle w:val="Normal1linespace"/>
              <w:widowControl w:val="0"/>
            </w:pPr>
            <w:r>
              <w:t>National Practice Area:</w:t>
            </w:r>
          </w:p>
        </w:tc>
        <w:tc>
          <w:tcPr>
            <w:tcW w:w="5989" w:type="dxa"/>
            <w:shd w:val="clear" w:color="auto" w:fill="auto"/>
          </w:tcPr>
          <w:p w14:paraId="106F07EC" w14:textId="5CC60C3B" w:rsidR="00101D42" w:rsidRDefault="00101D42" w:rsidP="00501A12">
            <w:pPr>
              <w:pStyle w:val="Normal1linespace"/>
              <w:widowControl w:val="0"/>
              <w:jc w:val="left"/>
            </w:pPr>
            <w:r>
              <w:t xml:space="preserve">Commercial and Corporations </w:t>
            </w:r>
          </w:p>
        </w:tc>
      </w:tr>
      <w:tr w:rsidR="00101D42" w14:paraId="07A5BD80" w14:textId="77777777" w:rsidTr="00176A30">
        <w:tc>
          <w:tcPr>
            <w:tcW w:w="3084" w:type="dxa"/>
            <w:shd w:val="clear" w:color="auto" w:fill="auto"/>
          </w:tcPr>
          <w:p w14:paraId="18BC0816" w14:textId="77777777" w:rsidR="00101D42" w:rsidRDefault="00101D42" w:rsidP="00501A12">
            <w:pPr>
              <w:pStyle w:val="Normal1linespace"/>
              <w:widowControl w:val="0"/>
            </w:pPr>
          </w:p>
        </w:tc>
        <w:tc>
          <w:tcPr>
            <w:tcW w:w="5989" w:type="dxa"/>
            <w:shd w:val="clear" w:color="auto" w:fill="auto"/>
          </w:tcPr>
          <w:p w14:paraId="008EF6FB" w14:textId="77777777" w:rsidR="00101D42" w:rsidRDefault="00101D42" w:rsidP="00501A12">
            <w:pPr>
              <w:pStyle w:val="Normal1linespace"/>
              <w:widowControl w:val="0"/>
              <w:jc w:val="left"/>
            </w:pPr>
          </w:p>
        </w:tc>
      </w:tr>
      <w:tr w:rsidR="00C23C6C" w14:paraId="028E8A87" w14:textId="77777777" w:rsidTr="00176A30">
        <w:tc>
          <w:tcPr>
            <w:tcW w:w="3084" w:type="dxa"/>
            <w:shd w:val="clear" w:color="auto" w:fill="auto"/>
          </w:tcPr>
          <w:p w14:paraId="05E0BB1D" w14:textId="77777777" w:rsidR="00C23C6C" w:rsidRDefault="00C23C6C" w:rsidP="00501A12">
            <w:pPr>
              <w:pStyle w:val="Normal1linespace"/>
              <w:widowControl w:val="0"/>
            </w:pPr>
            <w:r>
              <w:t>Sub-area:</w:t>
            </w:r>
          </w:p>
        </w:tc>
        <w:tc>
          <w:tcPr>
            <w:tcW w:w="5989" w:type="dxa"/>
            <w:shd w:val="clear" w:color="auto" w:fill="auto"/>
          </w:tcPr>
          <w:p w14:paraId="1976EDD4" w14:textId="77777777" w:rsidR="00C23C6C" w:rsidRDefault="00C23C6C" w:rsidP="00501A12">
            <w:pPr>
              <w:pStyle w:val="Normal1linespace"/>
              <w:widowControl w:val="0"/>
              <w:jc w:val="left"/>
            </w:pPr>
            <w:r>
              <w:t>General and Personal Insolvency</w:t>
            </w:r>
          </w:p>
        </w:tc>
      </w:tr>
      <w:tr w:rsidR="00DC6C6B" w14:paraId="64C17734" w14:textId="77777777" w:rsidTr="00176A30">
        <w:tc>
          <w:tcPr>
            <w:tcW w:w="3084" w:type="dxa"/>
            <w:shd w:val="clear" w:color="auto" w:fill="auto"/>
          </w:tcPr>
          <w:p w14:paraId="31650C79" w14:textId="77777777" w:rsidR="00DC6C6B" w:rsidRDefault="00DC6C6B" w:rsidP="00501A12">
            <w:pPr>
              <w:pStyle w:val="Normal1linespace"/>
              <w:widowControl w:val="0"/>
            </w:pPr>
            <w:bookmarkStart w:id="5" w:name="Registry_rows" w:colFirst="0" w:colLast="1"/>
          </w:p>
        </w:tc>
        <w:tc>
          <w:tcPr>
            <w:tcW w:w="5989" w:type="dxa"/>
            <w:shd w:val="clear" w:color="auto" w:fill="auto"/>
          </w:tcPr>
          <w:p w14:paraId="0C9C56FA" w14:textId="77777777" w:rsidR="00DC6C6B" w:rsidRDefault="00DC6C6B" w:rsidP="00501A12">
            <w:pPr>
              <w:pStyle w:val="Normal1linespace"/>
              <w:widowControl w:val="0"/>
              <w:jc w:val="left"/>
            </w:pPr>
          </w:p>
        </w:tc>
      </w:tr>
      <w:tr w:rsidR="00DC6C6B" w14:paraId="7E65FD6E" w14:textId="77777777" w:rsidTr="00176A30">
        <w:tc>
          <w:tcPr>
            <w:tcW w:w="3084" w:type="dxa"/>
            <w:shd w:val="clear" w:color="auto" w:fill="auto"/>
          </w:tcPr>
          <w:p w14:paraId="6D07038B" w14:textId="77777777" w:rsidR="00DC6C6B" w:rsidRDefault="00DC6C6B" w:rsidP="00501A12">
            <w:pPr>
              <w:pStyle w:val="Normal1linespace"/>
              <w:widowControl w:val="0"/>
            </w:pPr>
            <w:r>
              <w:t>Registry:</w:t>
            </w:r>
          </w:p>
        </w:tc>
        <w:tc>
          <w:tcPr>
            <w:tcW w:w="5989" w:type="dxa"/>
            <w:shd w:val="clear" w:color="auto" w:fill="auto"/>
          </w:tcPr>
          <w:p w14:paraId="411FDCCA" w14:textId="77777777" w:rsidR="00DC6C6B" w:rsidRPr="00F17599" w:rsidRDefault="00C23C6C" w:rsidP="00C23C6C">
            <w:pPr>
              <w:pStyle w:val="Normal1linespace"/>
              <w:widowControl w:val="0"/>
              <w:jc w:val="left"/>
            </w:pPr>
            <w:r>
              <w:t>New South Wales</w:t>
            </w:r>
            <w:r w:rsidR="00FB7FDA">
              <w:fldChar w:fldCharType="begin"/>
            </w:r>
            <w:r w:rsidR="00FB7FDA">
              <w:instrText xml:space="preserve"> DOCPROPERTY  Registry </w:instrText>
            </w:r>
            <w:r w:rsidR="00FB7FDA">
              <w:fldChar w:fldCharType="end"/>
            </w:r>
          </w:p>
        </w:tc>
      </w:tr>
      <w:bookmarkEnd w:id="5"/>
      <w:tr w:rsidR="00DC6C6B" w14:paraId="14171626" w14:textId="77777777" w:rsidTr="00176A30">
        <w:tc>
          <w:tcPr>
            <w:tcW w:w="3084" w:type="dxa"/>
            <w:shd w:val="clear" w:color="auto" w:fill="auto"/>
          </w:tcPr>
          <w:p w14:paraId="29B8732D" w14:textId="77777777" w:rsidR="00DC6C6B" w:rsidRDefault="00DC6C6B" w:rsidP="00501A12">
            <w:pPr>
              <w:pStyle w:val="Normal1linespace"/>
              <w:widowControl w:val="0"/>
            </w:pPr>
          </w:p>
        </w:tc>
        <w:tc>
          <w:tcPr>
            <w:tcW w:w="5989" w:type="dxa"/>
            <w:shd w:val="clear" w:color="auto" w:fill="auto"/>
          </w:tcPr>
          <w:p w14:paraId="242755E6" w14:textId="77777777" w:rsidR="00DC6C6B" w:rsidRDefault="00DC6C6B" w:rsidP="00501A12">
            <w:pPr>
              <w:pStyle w:val="Normal1linespace"/>
              <w:widowControl w:val="0"/>
              <w:jc w:val="left"/>
            </w:pPr>
          </w:p>
        </w:tc>
      </w:tr>
      <w:tr w:rsidR="00DC6C6B" w14:paraId="43DD0321" w14:textId="77777777" w:rsidTr="00176A30">
        <w:tc>
          <w:tcPr>
            <w:tcW w:w="3084" w:type="dxa"/>
            <w:shd w:val="clear" w:color="auto" w:fill="auto"/>
          </w:tcPr>
          <w:p w14:paraId="54B96F1E" w14:textId="77777777" w:rsidR="00DC6C6B" w:rsidRDefault="00DC6C6B" w:rsidP="00501A12">
            <w:pPr>
              <w:pStyle w:val="Normal1linespace"/>
              <w:widowControl w:val="0"/>
            </w:pPr>
            <w:r>
              <w:t>Number of paragraphs:</w:t>
            </w:r>
          </w:p>
        </w:tc>
        <w:tc>
          <w:tcPr>
            <w:tcW w:w="5989" w:type="dxa"/>
            <w:shd w:val="clear" w:color="auto" w:fill="auto"/>
          </w:tcPr>
          <w:p w14:paraId="68E8BE64" w14:textId="30529C2E" w:rsidR="00DC6C6B" w:rsidRDefault="003E353C" w:rsidP="00501A12">
            <w:pPr>
              <w:pStyle w:val="Normal1linespace"/>
              <w:widowControl w:val="0"/>
              <w:jc w:val="left"/>
            </w:pPr>
            <w:bookmarkStart w:id="6" w:name="PlaceCategoryParagraphs"/>
            <w:r>
              <w:t>3</w:t>
            </w:r>
            <w:r w:rsidR="00176A30">
              <w:t>4</w:t>
            </w:r>
            <w:bookmarkEnd w:id="6"/>
          </w:p>
        </w:tc>
      </w:tr>
      <w:tr w:rsidR="00DC6C6B" w14:paraId="63F309E0" w14:textId="77777777" w:rsidTr="00176A30">
        <w:tc>
          <w:tcPr>
            <w:tcW w:w="3084" w:type="dxa"/>
            <w:shd w:val="clear" w:color="auto" w:fill="auto"/>
          </w:tcPr>
          <w:p w14:paraId="10CDEC0C" w14:textId="77777777" w:rsidR="00DC6C6B" w:rsidRDefault="00DC6C6B" w:rsidP="00DC6C6B">
            <w:pPr>
              <w:pStyle w:val="Normal1linespace"/>
              <w:widowControl w:val="0"/>
              <w:jc w:val="left"/>
            </w:pPr>
          </w:p>
        </w:tc>
        <w:tc>
          <w:tcPr>
            <w:tcW w:w="5989" w:type="dxa"/>
            <w:shd w:val="clear" w:color="auto" w:fill="auto"/>
          </w:tcPr>
          <w:p w14:paraId="46E540C8" w14:textId="77777777" w:rsidR="00DC6C6B" w:rsidRDefault="00DC6C6B" w:rsidP="00DC6C6B">
            <w:pPr>
              <w:pStyle w:val="Normal1linespace"/>
              <w:widowControl w:val="0"/>
              <w:jc w:val="left"/>
            </w:pPr>
          </w:p>
        </w:tc>
      </w:tr>
      <w:tr w:rsidR="00DC6C6B" w14:paraId="67C4C8E9" w14:textId="77777777" w:rsidTr="00176A30">
        <w:tc>
          <w:tcPr>
            <w:tcW w:w="3084" w:type="dxa"/>
            <w:shd w:val="clear" w:color="auto" w:fill="auto"/>
          </w:tcPr>
          <w:p w14:paraId="7DCED2AD" w14:textId="77777777" w:rsidR="00DC6C6B" w:rsidRDefault="00DC6C6B" w:rsidP="00DC6C6B">
            <w:pPr>
              <w:pStyle w:val="Normal1linespace"/>
              <w:widowControl w:val="0"/>
              <w:jc w:val="left"/>
            </w:pPr>
            <w:bookmarkStart w:id="7" w:name="CounselDate" w:colFirst="0" w:colLast="2"/>
            <w:r w:rsidRPr="006A24E3">
              <w:t>Date of hearing:</w:t>
            </w:r>
          </w:p>
        </w:tc>
        <w:tc>
          <w:tcPr>
            <w:tcW w:w="5989" w:type="dxa"/>
            <w:shd w:val="clear" w:color="auto" w:fill="auto"/>
          </w:tcPr>
          <w:p w14:paraId="0275442B" w14:textId="77777777" w:rsidR="00DC6C6B" w:rsidRDefault="00DC6C6B" w:rsidP="00DC6C6B">
            <w:pPr>
              <w:pStyle w:val="Normal1linespace"/>
              <w:widowControl w:val="0"/>
              <w:jc w:val="left"/>
            </w:pPr>
            <w:bookmarkStart w:id="8" w:name="HearingDate"/>
            <w:r>
              <w:t xml:space="preserve">2 August 2021 </w:t>
            </w:r>
            <w:bookmarkEnd w:id="8"/>
          </w:p>
        </w:tc>
      </w:tr>
      <w:tr w:rsidR="00DC6C6B" w14:paraId="7D4ACD96" w14:textId="77777777" w:rsidTr="00176A30">
        <w:tc>
          <w:tcPr>
            <w:tcW w:w="3084" w:type="dxa"/>
            <w:shd w:val="clear" w:color="auto" w:fill="auto"/>
          </w:tcPr>
          <w:p w14:paraId="035C81B2" w14:textId="77777777" w:rsidR="00DC6C6B" w:rsidRDefault="00DC6C6B" w:rsidP="00DC6C6B">
            <w:pPr>
              <w:pStyle w:val="Normal1linespace"/>
              <w:widowControl w:val="0"/>
              <w:jc w:val="left"/>
            </w:pPr>
          </w:p>
        </w:tc>
        <w:tc>
          <w:tcPr>
            <w:tcW w:w="5989" w:type="dxa"/>
            <w:shd w:val="clear" w:color="auto" w:fill="auto"/>
          </w:tcPr>
          <w:p w14:paraId="0EE83520" w14:textId="77777777" w:rsidR="00DC6C6B" w:rsidRDefault="00DC6C6B" w:rsidP="00DC6C6B">
            <w:pPr>
              <w:pStyle w:val="Normal1linespace"/>
              <w:widowControl w:val="0"/>
              <w:jc w:val="left"/>
            </w:pPr>
          </w:p>
        </w:tc>
      </w:tr>
      <w:tr w:rsidR="00C23C6C" w14:paraId="0DD3705A" w14:textId="77777777" w:rsidTr="00176A30">
        <w:tc>
          <w:tcPr>
            <w:tcW w:w="3084" w:type="dxa"/>
            <w:shd w:val="clear" w:color="auto" w:fill="auto"/>
          </w:tcPr>
          <w:p w14:paraId="39BDDFD7" w14:textId="77777777" w:rsidR="00C23C6C" w:rsidRDefault="00C23C6C" w:rsidP="00DC6C6B">
            <w:pPr>
              <w:pStyle w:val="Normal1linespace"/>
              <w:widowControl w:val="0"/>
              <w:jc w:val="left"/>
            </w:pPr>
            <w:r>
              <w:t>Counsel for the Applicant:</w:t>
            </w:r>
          </w:p>
        </w:tc>
        <w:tc>
          <w:tcPr>
            <w:tcW w:w="5989" w:type="dxa"/>
            <w:shd w:val="clear" w:color="auto" w:fill="auto"/>
          </w:tcPr>
          <w:p w14:paraId="444107C2" w14:textId="29126F74" w:rsidR="00C23C6C" w:rsidRDefault="00C23C6C" w:rsidP="00DC6C6B">
            <w:pPr>
              <w:pStyle w:val="Normal1linespace"/>
              <w:widowControl w:val="0"/>
              <w:jc w:val="left"/>
            </w:pPr>
            <w:r>
              <w:t xml:space="preserve">The </w:t>
            </w:r>
            <w:r w:rsidR="00520A7D">
              <w:t>a</w:t>
            </w:r>
            <w:r>
              <w:t xml:space="preserve">pplicant appeared </w:t>
            </w:r>
            <w:r w:rsidR="00520A7D">
              <w:t>in person</w:t>
            </w:r>
          </w:p>
        </w:tc>
      </w:tr>
      <w:tr w:rsidR="00C23C6C" w14:paraId="418FB553" w14:textId="77777777" w:rsidTr="00176A30">
        <w:tc>
          <w:tcPr>
            <w:tcW w:w="3084" w:type="dxa"/>
            <w:shd w:val="clear" w:color="auto" w:fill="auto"/>
          </w:tcPr>
          <w:p w14:paraId="0389DC21" w14:textId="77777777" w:rsidR="00C23C6C" w:rsidRDefault="00C23C6C" w:rsidP="00DC6C6B">
            <w:pPr>
              <w:pStyle w:val="Normal1linespace"/>
              <w:widowControl w:val="0"/>
              <w:jc w:val="left"/>
            </w:pPr>
          </w:p>
        </w:tc>
        <w:tc>
          <w:tcPr>
            <w:tcW w:w="5989" w:type="dxa"/>
            <w:shd w:val="clear" w:color="auto" w:fill="auto"/>
          </w:tcPr>
          <w:p w14:paraId="5ACE90A3" w14:textId="77777777" w:rsidR="00C23C6C" w:rsidRDefault="00C23C6C" w:rsidP="00DC6C6B">
            <w:pPr>
              <w:pStyle w:val="Normal1linespace"/>
              <w:widowControl w:val="0"/>
              <w:jc w:val="left"/>
            </w:pPr>
          </w:p>
        </w:tc>
      </w:tr>
      <w:tr w:rsidR="00C23C6C" w14:paraId="28F6B0CB" w14:textId="77777777" w:rsidTr="00176A30">
        <w:tc>
          <w:tcPr>
            <w:tcW w:w="3084" w:type="dxa"/>
            <w:shd w:val="clear" w:color="auto" w:fill="auto"/>
          </w:tcPr>
          <w:p w14:paraId="412C1183" w14:textId="2EBB1E24" w:rsidR="00C23C6C" w:rsidRDefault="00101D42" w:rsidP="00DC6C6B">
            <w:pPr>
              <w:pStyle w:val="Normal1linespace"/>
              <w:widowControl w:val="0"/>
              <w:jc w:val="left"/>
            </w:pPr>
            <w:r>
              <w:t>Solicitor</w:t>
            </w:r>
            <w:r w:rsidR="00C23C6C">
              <w:t xml:space="preserve"> for the Respondent:</w:t>
            </w:r>
          </w:p>
        </w:tc>
        <w:tc>
          <w:tcPr>
            <w:tcW w:w="5989" w:type="dxa"/>
            <w:shd w:val="clear" w:color="auto" w:fill="auto"/>
          </w:tcPr>
          <w:p w14:paraId="52A898B1" w14:textId="509C0502" w:rsidR="00C23C6C" w:rsidRDefault="0095122C" w:rsidP="00DC6C6B">
            <w:pPr>
              <w:pStyle w:val="Normal1linespace"/>
              <w:widowControl w:val="0"/>
              <w:jc w:val="left"/>
            </w:pPr>
            <w:r>
              <w:t>Mr D Green</w:t>
            </w:r>
            <w:r w:rsidR="00520A7D">
              <w:t xml:space="preserve"> of Green &amp; Associates Solicitors</w:t>
            </w:r>
          </w:p>
        </w:tc>
      </w:tr>
    </w:tbl>
    <w:p w14:paraId="1F8F5057" w14:textId="77777777" w:rsidR="00B17D6E" w:rsidRDefault="00B17D6E">
      <w:pPr>
        <w:pStyle w:val="Normal1linespace"/>
      </w:pPr>
      <w:bookmarkStart w:id="9" w:name="CompletionTable"/>
      <w:bookmarkEnd w:id="7"/>
    </w:p>
    <w:bookmarkEnd w:id="9"/>
    <w:p w14:paraId="5809DDCA" w14:textId="77777777" w:rsidR="007470BD" w:rsidRDefault="007470BD">
      <w:pPr>
        <w:pStyle w:val="Normal1linespace"/>
      </w:pPr>
    </w:p>
    <w:p w14:paraId="0D8E7377" w14:textId="77777777" w:rsidR="00E94CBF" w:rsidRDefault="00E94CBF">
      <w:pPr>
        <w:pStyle w:val="Normal1linespace"/>
      </w:pPr>
    </w:p>
    <w:p w14:paraId="2CF050FB" w14:textId="77777777" w:rsidR="00395B24" w:rsidRDefault="00395B24">
      <w:pPr>
        <w:pStyle w:val="Normal1linespace"/>
        <w:sectPr w:rsidR="00395B24" w:rsidSect="001F247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40" w:right="1440" w:bottom="1440" w:left="1440" w:header="851" w:footer="768" w:gutter="0"/>
          <w:pgNumType w:start="1"/>
          <w:cols w:space="720"/>
          <w:noEndnote/>
          <w:titlePg/>
        </w:sectPr>
      </w:pPr>
    </w:p>
    <w:p w14:paraId="1A5F823B"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3A6581BE" w14:textId="77777777" w:rsidTr="00E81DA6">
        <w:tc>
          <w:tcPr>
            <w:tcW w:w="6912" w:type="dxa"/>
            <w:gridSpan w:val="2"/>
          </w:tcPr>
          <w:p w14:paraId="5D13CB20" w14:textId="77777777" w:rsidR="00A46CCC" w:rsidRPr="001765E0" w:rsidRDefault="00A46CCC" w:rsidP="00525A49">
            <w:pPr>
              <w:pStyle w:val="NormalHeadings"/>
            </w:pPr>
          </w:p>
        </w:tc>
        <w:tc>
          <w:tcPr>
            <w:tcW w:w="2330" w:type="dxa"/>
          </w:tcPr>
          <w:p w14:paraId="5B648595" w14:textId="77777777" w:rsidR="00A46CCC" w:rsidRDefault="00DC6C6B" w:rsidP="00DC6C6B">
            <w:pPr>
              <w:pStyle w:val="NormalHeadings"/>
              <w:jc w:val="right"/>
            </w:pPr>
            <w:r>
              <w:t>NSD 518 of 2021</w:t>
            </w:r>
          </w:p>
        </w:tc>
      </w:tr>
      <w:tr w:rsidR="00A76C13" w14:paraId="2177A38D" w14:textId="77777777" w:rsidTr="00005D50">
        <w:tc>
          <w:tcPr>
            <w:tcW w:w="9242" w:type="dxa"/>
            <w:gridSpan w:val="3"/>
          </w:tcPr>
          <w:p w14:paraId="632F1CFB" w14:textId="77777777" w:rsidR="00A76C13" w:rsidRPr="00A76C13" w:rsidRDefault="00DC6C6B" w:rsidP="00DC6C6B">
            <w:pPr>
              <w:pStyle w:val="NormalHeadings"/>
              <w:jc w:val="left"/>
            </w:pPr>
            <w:bookmarkStart w:id="10" w:name="InTheMatterOf"/>
            <w:r>
              <w:t xml:space="preserve"> </w:t>
            </w:r>
            <w:bookmarkEnd w:id="10"/>
          </w:p>
        </w:tc>
      </w:tr>
      <w:tr w:rsidR="00A46CCC" w14:paraId="37BDB42E" w14:textId="77777777" w:rsidTr="00005D50">
        <w:trPr>
          <w:trHeight w:val="386"/>
        </w:trPr>
        <w:tc>
          <w:tcPr>
            <w:tcW w:w="2376" w:type="dxa"/>
          </w:tcPr>
          <w:p w14:paraId="05CA0DF3" w14:textId="77777777" w:rsidR="00A46CCC" w:rsidRDefault="00A46CCC" w:rsidP="00005D50">
            <w:pPr>
              <w:pStyle w:val="NormalHeadings"/>
              <w:jc w:val="left"/>
              <w:rPr>
                <w:caps/>
                <w:szCs w:val="24"/>
              </w:rPr>
            </w:pPr>
            <w:bookmarkStart w:id="11" w:name="Parties"/>
            <w:r>
              <w:rPr>
                <w:caps/>
                <w:szCs w:val="24"/>
              </w:rPr>
              <w:t>BETWEEN:</w:t>
            </w:r>
          </w:p>
        </w:tc>
        <w:tc>
          <w:tcPr>
            <w:tcW w:w="6866" w:type="dxa"/>
            <w:gridSpan w:val="2"/>
          </w:tcPr>
          <w:p w14:paraId="3385DFD2" w14:textId="77777777" w:rsidR="00A46CCC" w:rsidRDefault="00DC6C6B" w:rsidP="00DC6C6B">
            <w:pPr>
              <w:pStyle w:val="NormalHeadings"/>
              <w:jc w:val="left"/>
            </w:pPr>
            <w:bookmarkStart w:id="12" w:name="Applicant"/>
            <w:bookmarkEnd w:id="12"/>
            <w:r>
              <w:t>NEREZ GWYNNETH GRANT</w:t>
            </w:r>
          </w:p>
          <w:p w14:paraId="31E84C23" w14:textId="77777777" w:rsidR="00DC6C6B" w:rsidRPr="00DC6C6B" w:rsidRDefault="00DC6C6B" w:rsidP="0007650C">
            <w:pPr>
              <w:pStyle w:val="PartyType"/>
              <w:spacing w:after="240"/>
              <w:rPr>
                <w:b/>
              </w:rPr>
            </w:pPr>
            <w:r>
              <w:t>Applicant</w:t>
            </w:r>
          </w:p>
        </w:tc>
      </w:tr>
      <w:tr w:rsidR="00A46CCC" w14:paraId="7D75A3DB" w14:textId="77777777" w:rsidTr="00005D50">
        <w:trPr>
          <w:trHeight w:val="386"/>
        </w:trPr>
        <w:tc>
          <w:tcPr>
            <w:tcW w:w="2376" w:type="dxa"/>
          </w:tcPr>
          <w:p w14:paraId="03B61DE9" w14:textId="77777777" w:rsidR="00A46CCC" w:rsidRDefault="00A46CCC" w:rsidP="00005D50">
            <w:pPr>
              <w:pStyle w:val="NormalHeadings"/>
              <w:jc w:val="left"/>
              <w:rPr>
                <w:caps/>
                <w:szCs w:val="24"/>
              </w:rPr>
            </w:pPr>
            <w:r>
              <w:rPr>
                <w:caps/>
                <w:szCs w:val="24"/>
              </w:rPr>
              <w:t>AND:</w:t>
            </w:r>
          </w:p>
        </w:tc>
        <w:tc>
          <w:tcPr>
            <w:tcW w:w="6866" w:type="dxa"/>
            <w:gridSpan w:val="2"/>
          </w:tcPr>
          <w:p w14:paraId="7CA614E9" w14:textId="77777777" w:rsidR="00A46CCC" w:rsidRDefault="0095122C" w:rsidP="00DC6C6B">
            <w:pPr>
              <w:pStyle w:val="NormalHeadings"/>
              <w:jc w:val="left"/>
            </w:pPr>
            <w:bookmarkStart w:id="13" w:name="Respondent"/>
            <w:bookmarkEnd w:id="13"/>
            <w:r>
              <w:t>GREEN</w:t>
            </w:r>
            <w:r w:rsidR="00DC6C6B">
              <w:t xml:space="preserve"> </w:t>
            </w:r>
            <w:r>
              <w:t>&amp;</w:t>
            </w:r>
            <w:r w:rsidR="00DC6C6B">
              <w:t xml:space="preserve"> ASSOCIATES</w:t>
            </w:r>
            <w:r>
              <w:t xml:space="preserve"> PTY LTD</w:t>
            </w:r>
          </w:p>
          <w:p w14:paraId="0A7D215D" w14:textId="77777777" w:rsidR="00DC6C6B" w:rsidRPr="00DC6C6B" w:rsidRDefault="00DC6C6B" w:rsidP="0007650C">
            <w:pPr>
              <w:pStyle w:val="PartyType"/>
              <w:spacing w:after="240"/>
              <w:rPr>
                <w:b/>
              </w:rPr>
            </w:pPr>
            <w:r>
              <w:t xml:space="preserve">Respondent </w:t>
            </w:r>
          </w:p>
        </w:tc>
      </w:tr>
    </w:tbl>
    <w:p w14:paraId="251BF5CE" w14:textId="77777777"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14:paraId="6D6C4FE3" w14:textId="77777777">
        <w:tc>
          <w:tcPr>
            <w:tcW w:w="2376" w:type="dxa"/>
          </w:tcPr>
          <w:p w14:paraId="3CB1B362" w14:textId="77777777" w:rsidR="00395B24" w:rsidRDefault="00974709">
            <w:pPr>
              <w:pStyle w:val="NormalHeadings"/>
              <w:spacing w:after="120"/>
              <w:jc w:val="left"/>
              <w:rPr>
                <w:caps/>
                <w:szCs w:val="24"/>
              </w:rPr>
            </w:pPr>
            <w:bookmarkStart w:id="15" w:name="JudgeText"/>
            <w:r>
              <w:rPr>
                <w:caps/>
                <w:szCs w:val="24"/>
              </w:rPr>
              <w:t>order made by</w:t>
            </w:r>
            <w:bookmarkEnd w:id="15"/>
            <w:r w:rsidR="002C7385">
              <w:rPr>
                <w:caps/>
                <w:szCs w:val="24"/>
              </w:rPr>
              <w:t>:</w:t>
            </w:r>
          </w:p>
        </w:tc>
        <w:tc>
          <w:tcPr>
            <w:tcW w:w="6866" w:type="dxa"/>
          </w:tcPr>
          <w:p w14:paraId="083B7E63" w14:textId="77777777" w:rsidR="00395B24" w:rsidRDefault="00DC6C6B" w:rsidP="00DC6C6B">
            <w:pPr>
              <w:pStyle w:val="NormalHeadings"/>
              <w:jc w:val="left"/>
              <w:rPr>
                <w:caps/>
                <w:szCs w:val="24"/>
              </w:rPr>
            </w:pPr>
            <w:bookmarkStart w:id="16" w:name="Judge"/>
            <w:r>
              <w:rPr>
                <w:caps/>
                <w:szCs w:val="24"/>
              </w:rPr>
              <w:t>WIGNEY J</w:t>
            </w:r>
            <w:bookmarkEnd w:id="16"/>
          </w:p>
        </w:tc>
      </w:tr>
      <w:tr w:rsidR="00395B24" w14:paraId="7147F219" w14:textId="77777777">
        <w:tc>
          <w:tcPr>
            <w:tcW w:w="2376" w:type="dxa"/>
          </w:tcPr>
          <w:p w14:paraId="6F41B2F2" w14:textId="77777777" w:rsidR="00395B24" w:rsidRDefault="002C7385">
            <w:pPr>
              <w:pStyle w:val="NormalHeadings"/>
              <w:spacing w:after="120"/>
              <w:jc w:val="left"/>
              <w:rPr>
                <w:caps/>
                <w:szCs w:val="24"/>
              </w:rPr>
            </w:pPr>
            <w:r>
              <w:rPr>
                <w:caps/>
                <w:szCs w:val="24"/>
              </w:rPr>
              <w:t>DATE OF ORDER:</w:t>
            </w:r>
          </w:p>
        </w:tc>
        <w:tc>
          <w:tcPr>
            <w:tcW w:w="6866" w:type="dxa"/>
          </w:tcPr>
          <w:p w14:paraId="467AD4F1" w14:textId="73BCA5C9" w:rsidR="00395B24" w:rsidRDefault="00B7526A">
            <w:pPr>
              <w:pStyle w:val="NormalHeadings"/>
              <w:jc w:val="left"/>
              <w:rPr>
                <w:caps/>
                <w:szCs w:val="24"/>
              </w:rPr>
            </w:pPr>
            <w:bookmarkStart w:id="17" w:name="Judgment_Dated"/>
            <w:bookmarkEnd w:id="17"/>
            <w:r>
              <w:rPr>
                <w:caps/>
                <w:szCs w:val="24"/>
              </w:rPr>
              <w:t>10</w:t>
            </w:r>
            <w:r w:rsidR="0095122C">
              <w:rPr>
                <w:caps/>
                <w:szCs w:val="24"/>
              </w:rPr>
              <w:t xml:space="preserve"> August 2021</w:t>
            </w:r>
          </w:p>
        </w:tc>
      </w:tr>
    </w:tbl>
    <w:p w14:paraId="701F8D09" w14:textId="77777777" w:rsidR="00395B24" w:rsidRDefault="00395B24">
      <w:pPr>
        <w:pStyle w:val="NormalHeadings"/>
        <w:rPr>
          <w:b w:val="0"/>
        </w:rPr>
      </w:pPr>
    </w:p>
    <w:p w14:paraId="0572781A" w14:textId="77777777" w:rsidR="008D1617" w:rsidRDefault="008D1617">
      <w:pPr>
        <w:pStyle w:val="NormalHeadings"/>
        <w:rPr>
          <w:b w:val="0"/>
        </w:rPr>
      </w:pPr>
    </w:p>
    <w:p w14:paraId="13762B3B" w14:textId="77777777" w:rsidR="00395B24" w:rsidRDefault="002C7385">
      <w:pPr>
        <w:pStyle w:val="NormalHeadings"/>
      </w:pPr>
      <w:r>
        <w:t>THE COURT ORDERS THAT:</w:t>
      </w:r>
    </w:p>
    <w:p w14:paraId="3765293C" w14:textId="77777777" w:rsidR="007F60DF" w:rsidRDefault="007F60DF" w:rsidP="00243E5E">
      <w:pPr>
        <w:pStyle w:val="NormalHeadings"/>
      </w:pPr>
    </w:p>
    <w:p w14:paraId="3EEBC27B" w14:textId="77777777" w:rsidR="001A6C52" w:rsidRDefault="0095122C" w:rsidP="0095122C">
      <w:pPr>
        <w:pStyle w:val="Order1"/>
      </w:pPr>
      <w:r>
        <w:t>B</w:t>
      </w:r>
      <w:r w:rsidRPr="0095122C">
        <w:t>ankruptcy notice 252687 issued on 29 April 2021 and served on the applicant be set aside.</w:t>
      </w:r>
    </w:p>
    <w:p w14:paraId="7590C0CC" w14:textId="77777777" w:rsidR="001A6C52" w:rsidRDefault="001A6C52" w:rsidP="001A6C52">
      <w:pPr>
        <w:pStyle w:val="BodyText"/>
      </w:pPr>
    </w:p>
    <w:p w14:paraId="4D414353" w14:textId="77777777" w:rsidR="00A431E6" w:rsidRDefault="00A431E6" w:rsidP="001A6C52">
      <w:pPr>
        <w:pStyle w:val="BodyText"/>
      </w:pPr>
    </w:p>
    <w:p w14:paraId="5BC0B2AC" w14:textId="77777777" w:rsidR="0050309C" w:rsidRDefault="00DC6C6B" w:rsidP="004D53E5">
      <w:pPr>
        <w:pStyle w:val="SingleSpace"/>
      </w:pPr>
      <w:bookmarkStart w:id="18" w:name="OrdersStatement"/>
      <w:r>
        <w:t>Note:</w:t>
      </w:r>
      <w:r>
        <w:tab/>
        <w:t xml:space="preserve">Entry of orders is dealt with in Rule 39.32 of the </w:t>
      </w:r>
      <w:r>
        <w:rPr>
          <w:i/>
        </w:rPr>
        <w:t>Federal Court Rules 2011</w:t>
      </w:r>
      <w:r>
        <w:t>.</w:t>
      </w:r>
      <w:bookmarkEnd w:id="18"/>
    </w:p>
    <w:p w14:paraId="0A93636E" w14:textId="77777777" w:rsidR="009D328D" w:rsidRDefault="009D328D" w:rsidP="002B0E91">
      <w:pPr>
        <w:pStyle w:val="BodyText"/>
      </w:pPr>
    </w:p>
    <w:p w14:paraId="535A1880" w14:textId="77777777" w:rsidR="00395B24" w:rsidRDefault="00395B24">
      <w:pPr>
        <w:pStyle w:val="NormalHeadings"/>
        <w:spacing w:before="240" w:after="120"/>
        <w:rPr>
          <w:b w:val="0"/>
        </w:rPr>
        <w:sectPr w:rsidR="00395B24" w:rsidSect="0092590B">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fmt="lowerRoman" w:start="1"/>
          <w:cols w:space="720"/>
          <w:noEndnote/>
          <w:titlePg/>
        </w:sectPr>
      </w:pPr>
    </w:p>
    <w:p w14:paraId="426AC06A" w14:textId="77777777" w:rsidR="00484F6D"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14:paraId="14647B27" w14:textId="77777777" w:rsidR="0095122C" w:rsidRPr="0095122C" w:rsidRDefault="0095122C" w:rsidP="00045BB7">
      <w:pPr>
        <w:pStyle w:val="NormalHeadings"/>
        <w:spacing w:line="480" w:lineRule="auto"/>
        <w:jc w:val="center"/>
        <w:rPr>
          <w:sz w:val="28"/>
          <w:szCs w:val="28"/>
        </w:rPr>
      </w:pPr>
      <w:r>
        <w:rPr>
          <w:sz w:val="28"/>
          <w:szCs w:val="28"/>
        </w:rPr>
        <w:t xml:space="preserve">(Delivered </w:t>
      </w:r>
      <w:r>
        <w:rPr>
          <w:i/>
          <w:sz w:val="28"/>
          <w:szCs w:val="28"/>
        </w:rPr>
        <w:t>ex tempore</w:t>
      </w:r>
      <w:r>
        <w:rPr>
          <w:sz w:val="28"/>
          <w:szCs w:val="28"/>
        </w:rPr>
        <w:t>, revised from transcript)</w:t>
      </w:r>
    </w:p>
    <w:p w14:paraId="6DD53612" w14:textId="77777777" w:rsidR="00694BEB" w:rsidRDefault="00DC6C6B" w:rsidP="005E0510">
      <w:pPr>
        <w:pStyle w:val="NormalHeadings"/>
        <w:spacing w:line="360" w:lineRule="auto"/>
        <w:jc w:val="left"/>
        <w:rPr>
          <w:sz w:val="26"/>
          <w:szCs w:val="26"/>
        </w:rPr>
      </w:pPr>
      <w:r>
        <w:rPr>
          <w:sz w:val="26"/>
          <w:szCs w:val="26"/>
        </w:rPr>
        <w:t xml:space="preserve">WIGNEY J: </w:t>
      </w:r>
    </w:p>
    <w:p w14:paraId="27884581" w14:textId="0CD20DC2" w:rsidR="00DC6C6B" w:rsidRDefault="00DC6C6B" w:rsidP="00DC6C6B">
      <w:pPr>
        <w:pStyle w:val="ParaNumbering"/>
      </w:pPr>
      <w:r>
        <w:t xml:space="preserve">The applicant in this matter, Ms Nerez </w:t>
      </w:r>
      <w:r w:rsidRPr="00A6635D">
        <w:rPr>
          <w:b/>
        </w:rPr>
        <w:t>Grant</w:t>
      </w:r>
      <w:r>
        <w:t xml:space="preserve">, has applied to set aside a bankruptcy notice which </w:t>
      </w:r>
      <w:r w:rsidR="001D406C">
        <w:t xml:space="preserve">was </w:t>
      </w:r>
      <w:r>
        <w:t xml:space="preserve">served on her by the respondent, </w:t>
      </w:r>
      <w:r w:rsidRPr="00A6635D">
        <w:rPr>
          <w:b/>
        </w:rPr>
        <w:t>Green</w:t>
      </w:r>
      <w:r>
        <w:t xml:space="preserve"> &amp; Associates Pty Ltd.  The basis of the application is that the bankruptcy notice has three defects.  For its part, Green c</w:t>
      </w:r>
      <w:r w:rsidR="001D406C">
        <w:t xml:space="preserve">oncedes that the notice contained those three defects.  It </w:t>
      </w:r>
      <w:r>
        <w:t>submits</w:t>
      </w:r>
      <w:r w:rsidR="001D406C">
        <w:t>, however,</w:t>
      </w:r>
      <w:r>
        <w:t xml:space="preserve"> that they are formal defects that do not invalidate the notice by r</w:t>
      </w:r>
      <w:r w:rsidR="0095122C">
        <w:t xml:space="preserve">eason </w:t>
      </w:r>
      <w:r w:rsidR="00B03C16">
        <w:t xml:space="preserve">of </w:t>
      </w:r>
      <w:r w:rsidR="0095122C">
        <w:t>the operation of s</w:t>
      </w:r>
      <w:r>
        <w:t xml:space="preserve"> 306 of the </w:t>
      </w:r>
      <w:r w:rsidRPr="00176A30">
        <w:rPr>
          <w:b/>
          <w:i/>
        </w:rPr>
        <w:t>Bankruptcy Act</w:t>
      </w:r>
      <w:r w:rsidR="0095122C" w:rsidRPr="00176A30">
        <w:rPr>
          <w:i/>
        </w:rPr>
        <w:t xml:space="preserve"> 1966 </w:t>
      </w:r>
      <w:r w:rsidR="0095122C" w:rsidRPr="00176A30">
        <w:t>(Cth)</w:t>
      </w:r>
      <w:r>
        <w:t>.</w:t>
      </w:r>
    </w:p>
    <w:p w14:paraId="2D74247B" w14:textId="218992FA" w:rsidR="001D406C" w:rsidRDefault="00DC6C6B" w:rsidP="00DC6C6B">
      <w:pPr>
        <w:pStyle w:val="ParaNumbering"/>
      </w:pPr>
      <w:r>
        <w:t xml:space="preserve">It is necessary, before addressing the respective arguments concerning the defects, to provide some background and detail of the history of the matter to date.  </w:t>
      </w:r>
    </w:p>
    <w:p w14:paraId="31DF2E2C" w14:textId="091E847E" w:rsidR="00DC6C6B" w:rsidRDefault="00DC6C6B" w:rsidP="00DC6C6B">
      <w:pPr>
        <w:pStyle w:val="ParaNumbering"/>
      </w:pPr>
      <w:r>
        <w:t xml:space="preserve">The bankruptcy notice was issued by the official receiver </w:t>
      </w:r>
      <w:r w:rsidRPr="00A6635D">
        <w:t>on 29 April 2021.</w:t>
      </w:r>
      <w:r>
        <w:t xml:space="preserve">  Ms Grant was named as the debtor and an address for he</w:t>
      </w:r>
      <w:r w:rsidRPr="00A6635D">
        <w:t>r in Killcare, New South Wales, was sp</w:t>
      </w:r>
      <w:r>
        <w:t xml:space="preserve">ecified.  The creditor was </w:t>
      </w:r>
      <w:r w:rsidR="001D406C">
        <w:t xml:space="preserve">identified </w:t>
      </w:r>
      <w:r>
        <w:t>as Green</w:t>
      </w:r>
      <w:r w:rsidR="0095122C">
        <w:t>,</w:t>
      </w:r>
      <w:r>
        <w:t xml:space="preserve"> trading as Green &amp; Associates Solicitors, and a street address for </w:t>
      </w:r>
      <w:r w:rsidRPr="00A6635D">
        <w:t>Green in Potts Point was specifie</w:t>
      </w:r>
      <w:r>
        <w:t xml:space="preserve">d.  The </w:t>
      </w:r>
      <w:r w:rsidR="00A6635D">
        <w:t xml:space="preserve">total </w:t>
      </w:r>
      <w:r>
        <w:t>debt was specified as bein</w:t>
      </w:r>
      <w:r w:rsidRPr="00A6635D">
        <w:t>g $27,802.87</w:t>
      </w:r>
      <w:r w:rsidR="001D406C">
        <w:t xml:space="preserve">, being the amount of </w:t>
      </w:r>
      <w:r w:rsidRPr="00A6635D">
        <w:t>a fin</w:t>
      </w:r>
      <w:r>
        <w:t>al judgment or order which was attached to the bankruptcy notice.</w:t>
      </w:r>
    </w:p>
    <w:p w14:paraId="59FB0C53" w14:textId="48F4BB53" w:rsidR="00DC6C6B" w:rsidRDefault="00DC6C6B" w:rsidP="001D406C">
      <w:pPr>
        <w:pStyle w:val="ParaNumbering"/>
      </w:pPr>
      <w:r>
        <w:t xml:space="preserve">The attached order was a sealed order of the Local Court of New South Wales which ordered Ms Grant to pay Green the sum of $27,802.87.  The order specified Green’s address in the same terms as in the bankruptcy notice.  The bankruptcy notice required Ms Grant to pay Green the amount of the debt claimed or </w:t>
      </w:r>
      <w:r w:rsidR="001D406C">
        <w:t xml:space="preserve">to </w:t>
      </w:r>
      <w:r>
        <w:t xml:space="preserve">make arrangements to Green’s satisfaction for settlement of the debt within 21 days of service of the bankruptcy notice.  The bankruptcy notice then specified that payment of the debt could be made </w:t>
      </w:r>
      <w:r w:rsidRPr="003E70D5">
        <w:t>to</w:t>
      </w:r>
      <w:r>
        <w:t xml:space="preserve"> Ms Grant at her Killcare address.  That was an obvious error.</w:t>
      </w:r>
      <w:r w:rsidR="001D406C" w:rsidRPr="001D406C">
        <w:t xml:space="preserve"> </w:t>
      </w:r>
      <w:r w:rsidR="001D406C">
        <w:t xml:space="preserve"> </w:t>
      </w:r>
      <w:r w:rsidR="001D406C" w:rsidRPr="001D406C">
        <w:t xml:space="preserve">That obvious error was repeated later in the bankruptcy notice, where details were given of the address at which the creditor, Green, would accept service of legal documents.  The detail provided there was again Ms Grant’s name and Killcare address.  </w:t>
      </w:r>
    </w:p>
    <w:p w14:paraId="2C7B97DE" w14:textId="77777777" w:rsidR="001D406C" w:rsidRDefault="00DC6C6B" w:rsidP="00DC6C6B">
      <w:pPr>
        <w:pStyle w:val="ParaNumbering"/>
      </w:pPr>
      <w:r>
        <w:t xml:space="preserve">The bankruptcy notice was served on Ms Grant on 13 May 2021.  The 21-day period specified in the notice accordingly expired on 3 June 2021.  </w:t>
      </w:r>
    </w:p>
    <w:p w14:paraId="0F14AACA" w14:textId="15974BED" w:rsidR="00DC6C6B" w:rsidRDefault="00DC6C6B" w:rsidP="00DC6C6B">
      <w:pPr>
        <w:pStyle w:val="ParaNumbering"/>
      </w:pPr>
      <w:r>
        <w:t xml:space="preserve">On 2 June 2021, Ms Grant filed an application in this </w:t>
      </w:r>
      <w:r w:rsidR="008D2EB7">
        <w:t>C</w:t>
      </w:r>
      <w:r>
        <w:t xml:space="preserve">ourt seeking an order that the bankruptcy notice be set aside.  </w:t>
      </w:r>
      <w:r w:rsidRPr="006B7B92">
        <w:t>An affidavit in s</w:t>
      </w:r>
      <w:r>
        <w:t xml:space="preserve">upport of the application sworn by Ms Grant was also filed </w:t>
      </w:r>
      <w:r>
        <w:lastRenderedPageBreak/>
        <w:t>on that day.  The application and supporting affidavit specified that the basis of the claim that the notice be set aside was that the bankruptcy notice contained three defects.</w:t>
      </w:r>
    </w:p>
    <w:p w14:paraId="26E8CAAC" w14:textId="77777777" w:rsidR="00DC6C6B" w:rsidRDefault="00DC6C6B" w:rsidP="00DC6C6B">
      <w:pPr>
        <w:pStyle w:val="ParaNumbering"/>
      </w:pPr>
      <w:r>
        <w:t>The first defect was said to be that the debt specified in the bankruptcy notice was incorrect because it did not take into account the fact that the amount of $1</w:t>
      </w:r>
      <w:r w:rsidR="008D2EB7">
        <w:t>,</w:t>
      </w:r>
      <w:r>
        <w:t>113.29 had been</w:t>
      </w:r>
      <w:r w:rsidR="008D2EB7">
        <w:t xml:space="preserve"> </w:t>
      </w:r>
      <w:r>
        <w:t>deducted from Ms Grant’s account and applied towards the judgment debt by operation of a garnishee order which had been made by the Local Court.  The second defect was said to be that the notice incorrectly specified that the debt could be paid to Ms Grant at her address, not to Green at its address.  The third defect was that the bankruptcy notice incorrectly stated that the creditor, Green, would accept service of legal documents at Ms Grant’s address, not Green’s address.</w:t>
      </w:r>
    </w:p>
    <w:p w14:paraId="555F2BCB" w14:textId="35D83FE9" w:rsidR="001D406C" w:rsidRDefault="00DC6C6B" w:rsidP="00DC6C6B">
      <w:pPr>
        <w:pStyle w:val="ParaNumbering"/>
      </w:pPr>
      <w:r>
        <w:t>On the day that Ms Grant’s application was filed, 2</w:t>
      </w:r>
      <w:r w:rsidR="008D2EB7">
        <w:t xml:space="preserve"> June 2021, a registrar of the C</w:t>
      </w:r>
      <w:r>
        <w:t>ourt ma</w:t>
      </w:r>
      <w:r w:rsidR="008D2EB7">
        <w:t xml:space="preserve">de an order pursuant to s </w:t>
      </w:r>
      <w:r w:rsidRPr="00176A30">
        <w:t>41(6A)</w:t>
      </w:r>
      <w:r>
        <w:t xml:space="preserve"> of the Bankruptcy Act that </w:t>
      </w:r>
      <w:r w:rsidR="00606D1D">
        <w:t xml:space="preserve">the </w:t>
      </w:r>
      <w:r>
        <w:t xml:space="preserve">time for compliance by Ms Grant with the requirements of the </w:t>
      </w:r>
      <w:r w:rsidR="001D406C">
        <w:t xml:space="preserve">bankruptcy </w:t>
      </w:r>
      <w:r>
        <w:t>notice be extended to 4</w:t>
      </w:r>
      <w:r w:rsidR="008D2EB7">
        <w:t>.00</w:t>
      </w:r>
      <w:r>
        <w:t xml:space="preserve"> pm on 13 Jul</w:t>
      </w:r>
      <w:r w:rsidR="008D2EB7">
        <w:t>y 20</w:t>
      </w:r>
      <w:r w:rsidR="00196F19">
        <w:t>21</w:t>
      </w:r>
      <w:r w:rsidR="008D2EB7">
        <w:t xml:space="preserve">.  </w:t>
      </w:r>
    </w:p>
    <w:p w14:paraId="4BB3E04E" w14:textId="2F0818BB" w:rsidR="00427C45" w:rsidRDefault="008D2EB7" w:rsidP="00DC6C6B">
      <w:pPr>
        <w:pStyle w:val="ParaNumbering"/>
      </w:pPr>
      <w:r>
        <w:t>S</w:t>
      </w:r>
      <w:r w:rsidR="00500B5B">
        <w:t>ubs</w:t>
      </w:r>
      <w:r>
        <w:t>ection 41</w:t>
      </w:r>
      <w:r w:rsidR="00DC6C6B">
        <w:t>(6A) of the Bankruptcy Act provides as follows</w:t>
      </w:r>
      <w:r w:rsidR="00427C45">
        <w:t>:</w:t>
      </w:r>
    </w:p>
    <w:p w14:paraId="4EB0F68A" w14:textId="77777777" w:rsidR="00427C45" w:rsidRDefault="00427C45" w:rsidP="00427C45">
      <w:pPr>
        <w:pStyle w:val="Quote1"/>
        <w:ind w:left="1440" w:hanging="703"/>
      </w:pPr>
      <w:r>
        <w:t>(6A)</w:t>
      </w:r>
      <w:r>
        <w:tab/>
        <w:t>Where, before the expiration of the time fixed for compliance with a bankruptcy notice:</w:t>
      </w:r>
    </w:p>
    <w:p w14:paraId="75EEDCAE" w14:textId="77777777" w:rsidR="00427C45" w:rsidRDefault="00427C45" w:rsidP="00427C45">
      <w:pPr>
        <w:pStyle w:val="Quote2"/>
        <w:ind w:left="2160" w:hanging="720"/>
      </w:pPr>
      <w:r>
        <w:t>(a)</w:t>
      </w:r>
      <w:r>
        <w:tab/>
        <w:t>proceedings to set aside a judgment or order in respect of which the bankruptcy notice was issued have been instituted by the debtor; or</w:t>
      </w:r>
    </w:p>
    <w:p w14:paraId="6794E32A" w14:textId="77777777" w:rsidR="00427C45" w:rsidRDefault="00427C45" w:rsidP="00427C45">
      <w:pPr>
        <w:pStyle w:val="Quote2"/>
        <w:ind w:left="2160" w:hanging="720"/>
      </w:pPr>
      <w:r>
        <w:t>(b)</w:t>
      </w:r>
      <w:r>
        <w:tab/>
        <w:t>an application has been made to the Court to set aside the bankruptcy notice;</w:t>
      </w:r>
    </w:p>
    <w:p w14:paraId="55DBA816" w14:textId="77777777" w:rsidR="00427C45" w:rsidRDefault="00427C45" w:rsidP="00427C45">
      <w:pPr>
        <w:pStyle w:val="Quote2"/>
      </w:pPr>
      <w:r>
        <w:t>the Court may, subject to subsection (6C), extend the time for compliance with the bankruptcy notice.</w:t>
      </w:r>
    </w:p>
    <w:p w14:paraId="66CC280F" w14:textId="1945EB35" w:rsidR="00DC6C6B" w:rsidRDefault="00DC6C6B" w:rsidP="00DC6C6B">
      <w:pPr>
        <w:pStyle w:val="ParaNumbering"/>
      </w:pPr>
      <w:r>
        <w:t>It would appe</w:t>
      </w:r>
      <w:r w:rsidR="00621FFE">
        <w:t>ar to be common ground that the</w:t>
      </w:r>
      <w:r>
        <w:t xml:space="preserve"> order </w:t>
      </w:r>
      <w:r w:rsidR="00621FFE">
        <w:t xml:space="preserve">made by the registrar pursuant to s 41(6A) of the Bankruptcy Act </w:t>
      </w:r>
      <w:r>
        <w:t xml:space="preserve">was made by virtue of the </w:t>
      </w:r>
      <w:r w:rsidR="00621FFE">
        <w:t xml:space="preserve">fact that </w:t>
      </w:r>
      <w:r>
        <w:t>Ms Grant</w:t>
      </w:r>
      <w:r w:rsidR="00621FFE">
        <w:t xml:space="preserve"> had filed her application to set aside the bankruptcy notice within the 21 day period</w:t>
      </w:r>
      <w:r>
        <w:t xml:space="preserve">.  </w:t>
      </w:r>
      <w:r w:rsidR="00621FFE">
        <w:t>Ms Grant did not separately apply for an order pursuant to s 41(6A) and t</w:t>
      </w:r>
      <w:r>
        <w:t>here was no hearing before the registrar or other participation by the parties</w:t>
      </w:r>
      <w:r w:rsidR="00621FFE">
        <w:t xml:space="preserve"> in respect of the making of the order</w:t>
      </w:r>
      <w:r>
        <w:t xml:space="preserve">. </w:t>
      </w:r>
    </w:p>
    <w:p w14:paraId="323B99CE" w14:textId="77777777" w:rsidR="00621FFE" w:rsidRDefault="00DC6C6B" w:rsidP="00DC6C6B">
      <w:pPr>
        <w:pStyle w:val="ParaNumbering"/>
      </w:pPr>
      <w:r>
        <w:t>On 8 June 2021, Ms Grant’s application and her supporting affidavit were served on Green.</w:t>
      </w:r>
      <w:r w:rsidR="00621FFE">
        <w:t xml:space="preserve">  The application and supporting affidavit were therefore served within the time for compliance with the bankruptcy notice as extended by the registrar.</w:t>
      </w:r>
      <w:r>
        <w:t xml:space="preserve">  </w:t>
      </w:r>
    </w:p>
    <w:p w14:paraId="3C6F63DB" w14:textId="77777777" w:rsidR="00621FFE" w:rsidRDefault="00DC6C6B" w:rsidP="00DC6C6B">
      <w:pPr>
        <w:pStyle w:val="ParaNumbering"/>
      </w:pPr>
      <w:r>
        <w:t xml:space="preserve">On 13 July 2021, Ms Grant’s application </w:t>
      </w:r>
      <w:r w:rsidR="00621FFE">
        <w:t xml:space="preserve">to set aside the bankruptcy notice </w:t>
      </w:r>
      <w:r>
        <w:t>was listed for hearing b</w:t>
      </w:r>
      <w:r w:rsidR="00621FFE">
        <w:t>efore another registrar of the C</w:t>
      </w:r>
      <w:r>
        <w:t xml:space="preserve">ourt.  That registrar ordered that the time for </w:t>
      </w:r>
      <w:r>
        <w:lastRenderedPageBreak/>
        <w:t xml:space="preserve">compliance with the bankruptcy notice be </w:t>
      </w:r>
      <w:r w:rsidR="00621FFE">
        <w:t xml:space="preserve">further </w:t>
      </w:r>
      <w:r>
        <w:t>extended “to and including the next court date,” and that</w:t>
      </w:r>
      <w:r w:rsidR="00427C45">
        <w:t>, on</w:t>
      </w:r>
      <w:r>
        <w:t xml:space="preserve"> Ms Grant’s application</w:t>
      </w:r>
      <w:r w:rsidR="00427C45">
        <w:t>, the matter</w:t>
      </w:r>
      <w:r>
        <w:t xml:space="preserve"> be referred to a judge’s docket.  </w:t>
      </w:r>
    </w:p>
    <w:p w14:paraId="4129C002" w14:textId="52377823" w:rsidR="00DC6C6B" w:rsidRDefault="00621FFE" w:rsidP="00DC6C6B">
      <w:pPr>
        <w:pStyle w:val="ParaNumbering"/>
      </w:pPr>
      <w:r>
        <w:t xml:space="preserve">As was noted earlier, </w:t>
      </w:r>
      <w:r w:rsidR="00DC6C6B">
        <w:t xml:space="preserve">Green does not dispute that the bankruptcy notice contains the three defects which </w:t>
      </w:r>
      <w:r>
        <w:t xml:space="preserve">Ms Grant’s application and supporting affidavit </w:t>
      </w:r>
      <w:r w:rsidR="00DC6C6B">
        <w:t xml:space="preserve">identified.  He contends, however, that </w:t>
      </w:r>
      <w:r>
        <w:t>they are formal defects that do</w:t>
      </w:r>
      <w:r w:rsidR="00DC6C6B">
        <w:t xml:space="preserve"> not invalidate the notice by virt</w:t>
      </w:r>
      <w:r w:rsidR="006C130E">
        <w:t>ue of or by operation of s</w:t>
      </w:r>
      <w:r w:rsidR="00DC6C6B">
        <w:t xml:space="preserve"> 306 of the Bankruptcy Act.</w:t>
      </w:r>
    </w:p>
    <w:p w14:paraId="79B7F087" w14:textId="77777777" w:rsidR="008D2EB7" w:rsidRPr="008D2EB7" w:rsidRDefault="00DC6C6B" w:rsidP="008D2EB7">
      <w:pPr>
        <w:pStyle w:val="ParaNumbering"/>
      </w:pPr>
      <w:r>
        <w:t xml:space="preserve">Section </w:t>
      </w:r>
      <w:r w:rsidRPr="00176A30">
        <w:t>306</w:t>
      </w:r>
      <w:r>
        <w:t xml:space="preserve"> of the Bankruptcy Act provides as follows</w:t>
      </w:r>
      <w:r w:rsidR="008D2EB7">
        <w:t>:</w:t>
      </w:r>
    </w:p>
    <w:p w14:paraId="20936926" w14:textId="77777777" w:rsidR="008D2EB7" w:rsidRPr="008D2EB7" w:rsidRDefault="008D2EB7" w:rsidP="008D2EB7">
      <w:pPr>
        <w:pStyle w:val="Quote1"/>
        <w:rPr>
          <w:b/>
        </w:rPr>
      </w:pPr>
      <w:r w:rsidRPr="008D2EB7">
        <w:rPr>
          <w:b/>
        </w:rPr>
        <w:t>306 Formal defect not to invalidate proceedings</w:t>
      </w:r>
    </w:p>
    <w:p w14:paraId="6F118F45" w14:textId="57049603" w:rsidR="008D2EB7" w:rsidRDefault="008D2EB7" w:rsidP="00731DBE">
      <w:pPr>
        <w:pStyle w:val="Quote1"/>
        <w:ind w:left="1440" w:hanging="703"/>
      </w:pPr>
      <w:r>
        <w:t>(1)</w:t>
      </w:r>
      <w:r>
        <w:tab/>
        <w:t>Proceedings under this Act are not invalidated by a formal defect or an irregularity, unless the court before which the objection on that ground is made is of opinion that substantial injustice has been caused by the defect or irregularity and that the injustice cannot be remedied by an order of that court.</w:t>
      </w:r>
    </w:p>
    <w:p w14:paraId="0FB2300C" w14:textId="77777777" w:rsidR="008D2EB7" w:rsidRDefault="008D2EB7" w:rsidP="008D2EB7">
      <w:pPr>
        <w:pStyle w:val="Quote1"/>
        <w:ind w:left="1440" w:hanging="703"/>
      </w:pPr>
      <w:r>
        <w:t>(2)</w:t>
      </w:r>
      <w:r>
        <w:tab/>
        <w:t>A defect or irregularity in the appointment of any person exercising, or purporting to exercise, a power or function under this Act or under a personal insolvency agreement entered into under this Act does not invalidate an act done by him or her in good faith.</w:t>
      </w:r>
    </w:p>
    <w:p w14:paraId="200A2D2E" w14:textId="4418A53C" w:rsidR="00621FFE" w:rsidRDefault="00DC6C6B" w:rsidP="00DC6C6B">
      <w:pPr>
        <w:pStyle w:val="ParaNumbering"/>
      </w:pPr>
      <w:r>
        <w:t xml:space="preserve">It is convenient to first address the defect relating to the </w:t>
      </w:r>
      <w:r w:rsidR="00621FFE">
        <w:t xml:space="preserve">overstatement </w:t>
      </w:r>
      <w:r>
        <w:t xml:space="preserve">of the debt.  The other two defects can then </w:t>
      </w:r>
      <w:r w:rsidR="00A910D2">
        <w:t>be</w:t>
      </w:r>
      <w:r>
        <w:t xml:space="preserve"> dealt with together.  </w:t>
      </w:r>
    </w:p>
    <w:p w14:paraId="41E9F814" w14:textId="0362C58D" w:rsidR="00DC6C6B" w:rsidRDefault="00DC6C6B" w:rsidP="00DC6C6B">
      <w:pPr>
        <w:pStyle w:val="ParaNumbering"/>
      </w:pPr>
      <w:r>
        <w:t xml:space="preserve">The question whether the defect relating to the </w:t>
      </w:r>
      <w:r w:rsidR="00621FFE">
        <w:t xml:space="preserve">overstatement </w:t>
      </w:r>
      <w:r>
        <w:t xml:space="preserve">of </w:t>
      </w:r>
      <w:r w:rsidR="00621FFE">
        <w:t>the debt is a formal defect which</w:t>
      </w:r>
      <w:r>
        <w:t xml:space="preserve"> can be cured or ove</w:t>
      </w:r>
      <w:r w:rsidR="006C130E">
        <w:t xml:space="preserve">rcome by application of s </w:t>
      </w:r>
      <w:r>
        <w:t xml:space="preserve">306 of the </w:t>
      </w:r>
      <w:r w:rsidR="006C130E">
        <w:t xml:space="preserve">Bankruptcy </w:t>
      </w:r>
      <w:r>
        <w:t>Act hinges on the appli</w:t>
      </w:r>
      <w:r w:rsidR="006C130E">
        <w:t xml:space="preserve">cation of s </w:t>
      </w:r>
      <w:r w:rsidR="006C130E" w:rsidRPr="00176A30">
        <w:t>41(5)</w:t>
      </w:r>
      <w:r w:rsidR="006C130E">
        <w:t xml:space="preserve"> of that </w:t>
      </w:r>
      <w:r>
        <w:t>Act to the facts of this case.</w:t>
      </w:r>
    </w:p>
    <w:p w14:paraId="47DEE830" w14:textId="5B73A2F9" w:rsidR="006C130E" w:rsidRDefault="006C130E" w:rsidP="00DC6C6B">
      <w:pPr>
        <w:pStyle w:val="ParaNumbering"/>
      </w:pPr>
      <w:r>
        <w:t>S</w:t>
      </w:r>
      <w:r w:rsidR="000935B2">
        <w:t>ubs</w:t>
      </w:r>
      <w:r>
        <w:t>ection 41</w:t>
      </w:r>
      <w:r w:rsidR="00DC6C6B">
        <w:t>(5) of the Bankruptcy Act provides as follows</w:t>
      </w:r>
      <w:r>
        <w:t>:</w:t>
      </w:r>
    </w:p>
    <w:p w14:paraId="4D7E59DF" w14:textId="77777777" w:rsidR="006C130E" w:rsidRDefault="006C130E" w:rsidP="006C130E">
      <w:pPr>
        <w:pStyle w:val="Quote1"/>
        <w:ind w:left="1440" w:hanging="703"/>
      </w:pPr>
      <w:r>
        <w:t>(5)</w:t>
      </w:r>
      <w:r>
        <w:tab/>
      </w:r>
      <w:r w:rsidRPr="006C130E">
        <w:t>A bankruptcy notice is not invalidated by reason only that the sum specified in the notice as the amount due to the creditor exceeds the amount in fact due, unless the debtor, within the time fixed for compliance with the notice, gives notice to the creditor that he or she disputes the validity of the notice on the ground of the misstatement.</w:t>
      </w:r>
    </w:p>
    <w:p w14:paraId="034A9117" w14:textId="3D50692D" w:rsidR="00DC6C6B" w:rsidRDefault="00DC6C6B" w:rsidP="00DC6C6B">
      <w:pPr>
        <w:pStyle w:val="ParaNumbering"/>
      </w:pPr>
      <w:r>
        <w:t xml:space="preserve">Service of an application to set aside a bankruptcy notice on the basis of the overstatement of the debt can constitute a notice under </w:t>
      </w:r>
      <w:r w:rsidR="006C130E">
        <w:t>s 41</w:t>
      </w:r>
      <w:r>
        <w:t xml:space="preserve">(5) of the </w:t>
      </w:r>
      <w:r w:rsidR="006C130E">
        <w:t xml:space="preserve">Bankruptcy </w:t>
      </w:r>
      <w:r>
        <w:t>Act, even if t</w:t>
      </w:r>
      <w:r w:rsidR="006C130E">
        <w:t xml:space="preserve">here is no </w:t>
      </w:r>
      <w:r w:rsidR="00621FFE">
        <w:t xml:space="preserve">express </w:t>
      </w:r>
      <w:r w:rsidR="006C130E">
        <w:t xml:space="preserve">reference to s </w:t>
      </w:r>
      <w:r>
        <w:t>41(5) in the application itself</w:t>
      </w:r>
      <w:r w:rsidR="006C130E">
        <w:t xml:space="preserve">: </w:t>
      </w:r>
      <w:r w:rsidRPr="00176A30">
        <w:rPr>
          <w:i/>
        </w:rPr>
        <w:t>Hussain v King Investment Solutions Pty Ltd</w:t>
      </w:r>
      <w:r w:rsidR="006C130E" w:rsidRPr="00176A30">
        <w:t xml:space="preserve"> (2006) </w:t>
      </w:r>
      <w:r w:rsidRPr="00176A30">
        <w:t>153 FCR 42</w:t>
      </w:r>
      <w:r w:rsidR="006C130E" w:rsidRPr="00176A30">
        <w:t>8; [2006] FCA 905</w:t>
      </w:r>
      <w:r w:rsidR="006C130E">
        <w:t xml:space="preserve"> at [</w:t>
      </w:r>
      <w:r>
        <w:t>20</w:t>
      </w:r>
      <w:r w:rsidR="006C130E">
        <w:t>]</w:t>
      </w:r>
      <w:r>
        <w:t xml:space="preserve">.  </w:t>
      </w:r>
    </w:p>
    <w:p w14:paraId="5EACC0FF" w14:textId="1AE85016" w:rsidR="00DC6C6B" w:rsidRDefault="00DC6C6B" w:rsidP="00731DBE">
      <w:pPr>
        <w:pStyle w:val="ParaNumbering"/>
      </w:pPr>
      <w:r>
        <w:t>If notice of an overstatement of the debt in a bankruptcy notice has been given in accordance with s 41(5)</w:t>
      </w:r>
      <w:r w:rsidR="000D04F9">
        <w:t xml:space="preserve"> of the Bankruptcy Act</w:t>
      </w:r>
      <w:r>
        <w:t>, the overstatement renders the bankruptcy notice invalid, whether or not the overstatement coul</w:t>
      </w:r>
      <w:r w:rsidR="006C130E">
        <w:t>d reasonably mislead the debtor:</w:t>
      </w:r>
      <w:r>
        <w:t xml:space="preserve"> see </w:t>
      </w:r>
      <w:proofErr w:type="spellStart"/>
      <w:r w:rsidRPr="00176A30">
        <w:rPr>
          <w:b/>
          <w:i/>
        </w:rPr>
        <w:t>Seovic</w:t>
      </w:r>
      <w:proofErr w:type="spellEnd"/>
      <w:r w:rsidRPr="00176A30">
        <w:rPr>
          <w:i/>
        </w:rPr>
        <w:t xml:space="preserve"> Civil </w:t>
      </w:r>
      <w:r w:rsidRPr="00176A30">
        <w:rPr>
          <w:i/>
        </w:rPr>
        <w:lastRenderedPageBreak/>
        <w:t xml:space="preserve">Engineering Pty Ltd v </w:t>
      </w:r>
      <w:proofErr w:type="spellStart"/>
      <w:r w:rsidRPr="00176A30">
        <w:rPr>
          <w:i/>
        </w:rPr>
        <w:t>Groeneveld</w:t>
      </w:r>
      <w:proofErr w:type="spellEnd"/>
      <w:r w:rsidR="006C130E" w:rsidRPr="00176A30">
        <w:t xml:space="preserve"> (</w:t>
      </w:r>
      <w:r w:rsidRPr="00176A30">
        <w:t>1999</w:t>
      </w:r>
      <w:r w:rsidR="006C130E" w:rsidRPr="00176A30">
        <w:t>) 87 FCR 120</w:t>
      </w:r>
      <w:r w:rsidR="006C130E">
        <w:t xml:space="preserve"> at </w:t>
      </w:r>
      <w:r w:rsidR="000246A8">
        <w:t>132</w:t>
      </w:r>
      <w:r w:rsidR="006C130E">
        <w:t>;</w:t>
      </w:r>
      <w:r>
        <w:t xml:space="preserve"> </w:t>
      </w:r>
      <w:proofErr w:type="spellStart"/>
      <w:r w:rsidRPr="00176A30">
        <w:rPr>
          <w:i/>
        </w:rPr>
        <w:t>Skouloudis</w:t>
      </w:r>
      <w:proofErr w:type="spellEnd"/>
      <w:r w:rsidRPr="00176A30">
        <w:rPr>
          <w:i/>
        </w:rPr>
        <w:t xml:space="preserve"> v St George Bank Ltd</w:t>
      </w:r>
      <w:r w:rsidR="000246A8" w:rsidRPr="00176A30">
        <w:t xml:space="preserve"> (2008)</w:t>
      </w:r>
      <w:r w:rsidRPr="00176A30">
        <w:t xml:space="preserve"> 173 </w:t>
      </w:r>
      <w:r w:rsidR="006C130E" w:rsidRPr="00176A30">
        <w:t xml:space="preserve">FCR 236; </w:t>
      </w:r>
      <w:r w:rsidRPr="00176A30">
        <w:t>[2008] FCA 1765</w:t>
      </w:r>
      <w:r>
        <w:t xml:space="preserve"> at </w:t>
      </w:r>
      <w:r w:rsidR="006C130E">
        <w:t>[</w:t>
      </w:r>
      <w:r>
        <w:t>22</w:t>
      </w:r>
      <w:r w:rsidR="006C130E">
        <w:t>]-[</w:t>
      </w:r>
      <w:r>
        <w:t>27</w:t>
      </w:r>
      <w:r w:rsidR="006C130E">
        <w:t>];</w:t>
      </w:r>
      <w:r>
        <w:t xml:space="preserve"> </w:t>
      </w:r>
      <w:r w:rsidR="006C130E">
        <w:t>s</w:t>
      </w:r>
      <w:r>
        <w:t xml:space="preserve">ee also </w:t>
      </w:r>
      <w:r w:rsidRPr="00176A30">
        <w:rPr>
          <w:i/>
        </w:rPr>
        <w:t xml:space="preserve">Croker v Commissioner of Taxation </w:t>
      </w:r>
      <w:r w:rsidR="000246A8" w:rsidRPr="00176A30">
        <w:t>(</w:t>
      </w:r>
      <w:r w:rsidRPr="00176A30">
        <w:t>2005</w:t>
      </w:r>
      <w:r w:rsidR="000246A8" w:rsidRPr="00176A30">
        <w:t>)</w:t>
      </w:r>
      <w:r w:rsidRPr="00176A30">
        <w:t xml:space="preserve"> 145 FCR 15</w:t>
      </w:r>
      <w:r w:rsidR="006C130E" w:rsidRPr="00176A30">
        <w:t>0; [2005] FCA 127</w:t>
      </w:r>
      <w:r w:rsidR="006C130E">
        <w:t xml:space="preserve"> at [</w:t>
      </w:r>
      <w:r>
        <w:t>16</w:t>
      </w:r>
      <w:r w:rsidR="006C130E">
        <w:t>]</w:t>
      </w:r>
      <w:r>
        <w:t>.</w:t>
      </w:r>
      <w:r w:rsidR="00731DBE" w:rsidRPr="00731DBE">
        <w:t xml:space="preserve"> </w:t>
      </w:r>
      <w:r w:rsidR="00FF1A5A">
        <w:t xml:space="preserve"> </w:t>
      </w:r>
      <w:r w:rsidR="00731DBE" w:rsidRPr="00731DBE">
        <w:t xml:space="preserve">In those circumstances, s 306 of the Bankruptcy Act has no application.  </w:t>
      </w:r>
    </w:p>
    <w:p w14:paraId="2474E5D6" w14:textId="761A3083" w:rsidR="000246A8" w:rsidRDefault="00DC6C6B" w:rsidP="00005D50">
      <w:pPr>
        <w:pStyle w:val="ParaNumbering"/>
      </w:pPr>
      <w:r>
        <w:t>Ms Grant contended that she had given Green notice of the overstatement</w:t>
      </w:r>
      <w:r w:rsidR="000246A8">
        <w:t xml:space="preserve"> in accordance with s</w:t>
      </w:r>
      <w:r w:rsidR="00917A76">
        <w:t> </w:t>
      </w:r>
      <w:r w:rsidR="000246A8">
        <w:t>41</w:t>
      </w:r>
      <w:r>
        <w:t xml:space="preserve">(5) of the </w:t>
      </w:r>
      <w:r w:rsidR="00B72BB6">
        <w:t xml:space="preserve">Bankruptcy </w:t>
      </w:r>
      <w:r>
        <w:t xml:space="preserve">Act. </w:t>
      </w:r>
      <w:r w:rsidR="00731DBE">
        <w:t xml:space="preserve"> That was because s</w:t>
      </w:r>
      <w:r>
        <w:t xml:space="preserve">he had filed her application within the 21-day period specified in the </w:t>
      </w:r>
      <w:r w:rsidR="00731DBE">
        <w:t xml:space="preserve">bankruptcy </w:t>
      </w:r>
      <w:r>
        <w:t>notice</w:t>
      </w:r>
      <w:r w:rsidR="00731DBE">
        <w:t xml:space="preserve"> </w:t>
      </w:r>
      <w:r>
        <w:t>and</w:t>
      </w:r>
      <w:r w:rsidR="00731DBE">
        <w:t>, critically,</w:t>
      </w:r>
      <w:r>
        <w:t xml:space="preserve"> she had served the application </w:t>
      </w:r>
      <w:r w:rsidR="00731DBE">
        <w:t>and supporting affidavit on Green within the</w:t>
      </w:r>
      <w:r>
        <w:t xml:space="preserve"> </w:t>
      </w:r>
      <w:r w:rsidR="00731DBE">
        <w:t xml:space="preserve">period for compliance with the bankruptcy notice as extended by the registrar pursuant to s 41(6A) of the Bankruptcy Act.  </w:t>
      </w:r>
      <w:r>
        <w:t>It follows, in M</w:t>
      </w:r>
      <w:r w:rsidR="000246A8">
        <w:t xml:space="preserve">s Grant’s submission, that the </w:t>
      </w:r>
      <w:r>
        <w:t xml:space="preserve">bankruptcy notice is therefore invalid, the </w:t>
      </w:r>
      <w:r w:rsidR="000246A8">
        <w:t xml:space="preserve">overstatement </w:t>
      </w:r>
      <w:r>
        <w:t xml:space="preserve">of the debt </w:t>
      </w:r>
      <w:r w:rsidR="00731DBE">
        <w:t xml:space="preserve">in the bankruptcy notice </w:t>
      </w:r>
      <w:r>
        <w:t xml:space="preserve">not having been disputed by Green.  </w:t>
      </w:r>
    </w:p>
    <w:p w14:paraId="3035D839" w14:textId="77777777" w:rsidR="00731DBE" w:rsidRDefault="00DC6C6B" w:rsidP="00005D50">
      <w:pPr>
        <w:pStyle w:val="ParaNumbering"/>
      </w:pPr>
      <w:r>
        <w:t xml:space="preserve">Green, however, contended that Ms Grant had not given notice </w:t>
      </w:r>
      <w:r w:rsidR="00731DBE">
        <w:t xml:space="preserve">of the overstatement </w:t>
      </w:r>
      <w:r>
        <w:t>in accordance with s</w:t>
      </w:r>
      <w:r w:rsidR="000246A8">
        <w:t xml:space="preserve"> </w:t>
      </w:r>
      <w:r>
        <w:t xml:space="preserve">41(5) of the </w:t>
      </w:r>
      <w:r w:rsidR="000246A8">
        <w:t xml:space="preserve">Bankruptcy </w:t>
      </w:r>
      <w:r>
        <w:t xml:space="preserve">Act. </w:t>
      </w:r>
      <w:r w:rsidR="000246A8">
        <w:t xml:space="preserve"> That was said to be because </w:t>
      </w:r>
      <w:r>
        <w:t>Ms Grant’s application was not served “within the time fixed for compliance with the</w:t>
      </w:r>
      <w:r w:rsidR="00A05D41">
        <w:t xml:space="preserve"> notice,” as required by s</w:t>
      </w:r>
      <w:r>
        <w:t xml:space="preserve"> 41(5).  The expression “t</w:t>
      </w:r>
      <w:r w:rsidR="000246A8">
        <w:t>ime fixed” is defined in s</w:t>
      </w:r>
      <w:r>
        <w:t xml:space="preserve"> 5 of the </w:t>
      </w:r>
      <w:r w:rsidR="000246A8">
        <w:t xml:space="preserve">Bankruptcy </w:t>
      </w:r>
      <w:r>
        <w:t>Act as meaning “the period specified in the notice (as requi</w:t>
      </w:r>
      <w:r w:rsidR="003D798C">
        <w:t>red by subsection 41(2A))”.</w:t>
      </w:r>
      <w:r w:rsidR="000246A8">
        <w:t xml:space="preserve"> </w:t>
      </w:r>
      <w:r w:rsidR="00731DBE">
        <w:t xml:space="preserve"> </w:t>
      </w:r>
      <w:r>
        <w:t xml:space="preserve">In Green’s submission, that definition does not encompass or include any extension of the time fixed for compliance by order of the </w:t>
      </w:r>
      <w:r w:rsidR="003D798C">
        <w:t>C</w:t>
      </w:r>
      <w:r>
        <w:t xml:space="preserve">ourt pursuant to s 41(6A) of the </w:t>
      </w:r>
      <w:r w:rsidR="000246A8">
        <w:t xml:space="preserve">Bankruptcy </w:t>
      </w:r>
      <w:r>
        <w:t xml:space="preserve">Act.  </w:t>
      </w:r>
    </w:p>
    <w:p w14:paraId="6852A9CC" w14:textId="2A7EBD67" w:rsidR="00617FE8" w:rsidRPr="00731DBE" w:rsidRDefault="00DC6C6B" w:rsidP="00731DBE">
      <w:pPr>
        <w:pStyle w:val="ParaNumbering"/>
      </w:pPr>
      <w:r>
        <w:t>Green submitted th</w:t>
      </w:r>
      <w:r w:rsidR="000246A8">
        <w:t xml:space="preserve">at that construction of s </w:t>
      </w:r>
      <w:r>
        <w:t xml:space="preserve">41(5) of the </w:t>
      </w:r>
      <w:r w:rsidR="001F626B">
        <w:t xml:space="preserve">Bankruptcy </w:t>
      </w:r>
      <w:r>
        <w:t>Act was supported by the following passage i</w:t>
      </w:r>
      <w:r w:rsidRPr="006B7B92">
        <w:t xml:space="preserve">n </w:t>
      </w:r>
      <w:proofErr w:type="spellStart"/>
      <w:r w:rsidRPr="006B7B92">
        <w:rPr>
          <w:i/>
        </w:rPr>
        <w:t>Seovic</w:t>
      </w:r>
      <w:proofErr w:type="spellEnd"/>
      <w:r w:rsidRPr="006B7B92">
        <w:t xml:space="preserve"> con</w:t>
      </w:r>
      <w:r>
        <w:t>c</w:t>
      </w:r>
      <w:r w:rsidR="000246A8">
        <w:t>erning the object of s</w:t>
      </w:r>
      <w:r w:rsidR="001F626B">
        <w:t> </w:t>
      </w:r>
      <w:r w:rsidR="000246A8">
        <w:t>41</w:t>
      </w:r>
      <w:r>
        <w:t>(5)</w:t>
      </w:r>
      <w:r w:rsidR="009A6C1C">
        <w:t xml:space="preserve"> (at [37])</w:t>
      </w:r>
      <w:r w:rsidR="000246A8">
        <w:t>:</w:t>
      </w:r>
    </w:p>
    <w:p w14:paraId="4648E434" w14:textId="17A951E3" w:rsidR="000246A8" w:rsidRDefault="000246A8" w:rsidP="00617FE8">
      <w:pPr>
        <w:pStyle w:val="Quote1"/>
      </w:pPr>
      <w:r>
        <w:t>This construction</w:t>
      </w:r>
      <w:r w:rsidR="00617FE8">
        <w:t xml:space="preserve"> </w:t>
      </w:r>
      <w:r>
        <w:t>of</w:t>
      </w:r>
      <w:r w:rsidR="00617FE8">
        <w:t xml:space="preserve"> </w:t>
      </w:r>
      <w:r>
        <w:t xml:space="preserve">s 41(5) of the </w:t>
      </w:r>
      <w:r w:rsidRPr="00617FE8">
        <w:rPr>
          <w:i/>
        </w:rPr>
        <w:t>Bankruptcy Act</w:t>
      </w:r>
      <w:r>
        <w:t xml:space="preserve"> is supported by policy considerations. The object of a debtor</w:t>
      </w:r>
      <w:r w:rsidR="00F6248C">
        <w:t>’</w:t>
      </w:r>
      <w:r>
        <w:t xml:space="preserve">s notice under s 41(5) is to inform the creditor that the debtor disputes the bankruptcy notice </w:t>
      </w:r>
      <w:r w:rsidR="00617FE8">
        <w:t xml:space="preserve">and does so on the ground </w:t>
      </w:r>
      <w:r>
        <w:t>of a misstatement contained in that notice. The point of the notice is to draw to the creditor</w:t>
      </w:r>
      <w:r w:rsidR="00F6248C">
        <w:t>’</w:t>
      </w:r>
      <w:r>
        <w:t>s attention the misstatement, thereby giving the creditor</w:t>
      </w:r>
      <w:r w:rsidR="00617FE8">
        <w:t xml:space="preserve"> the opportunity to consider, </w:t>
      </w:r>
      <w:r>
        <w:t xml:space="preserve">for </w:t>
      </w:r>
      <w:r w:rsidR="00617FE8">
        <w:t xml:space="preserve">example, </w:t>
      </w:r>
      <w:r>
        <w:t>whether the bankruptcy notice should be withdr</w:t>
      </w:r>
      <w:r w:rsidR="00617FE8">
        <w:t xml:space="preserve">awn and a fresh notice, </w:t>
      </w:r>
      <w:r>
        <w:t xml:space="preserve">correcting </w:t>
      </w:r>
      <w:r w:rsidR="00617FE8">
        <w:t xml:space="preserve">the misstatement, issued. </w:t>
      </w:r>
      <w:r>
        <w:t>If the creditor is given no hint in the notice as to the nature of the misstatement, there is a considerable</w:t>
      </w:r>
      <w:r w:rsidR="00617FE8">
        <w:t xml:space="preserve"> </w:t>
      </w:r>
      <w:r>
        <w:t>ri</w:t>
      </w:r>
      <w:r w:rsidR="00617FE8">
        <w:t xml:space="preserve">sk that the debtor will </w:t>
      </w:r>
      <w:r>
        <w:t xml:space="preserve">be </w:t>
      </w:r>
      <w:r w:rsidR="00617FE8">
        <w:t xml:space="preserve">able </w:t>
      </w:r>
      <w:r>
        <w:t>to take unmeritorious advantage of minor errors (such as the small mistake in the present case) and t</w:t>
      </w:r>
      <w:r w:rsidR="00617FE8">
        <w:t xml:space="preserve">hat unnecessary </w:t>
      </w:r>
      <w:r>
        <w:t>and wasteful litigati</w:t>
      </w:r>
      <w:r w:rsidR="00617FE8">
        <w:t xml:space="preserve">on will eventuate. It is no answer </w:t>
      </w:r>
      <w:r>
        <w:t>to</w:t>
      </w:r>
      <w:r w:rsidR="00617FE8">
        <w:t xml:space="preserve"> say that </w:t>
      </w:r>
      <w:r>
        <w:t xml:space="preserve">the creditor can ask for particulars, </w:t>
      </w:r>
      <w:r w:rsidR="00617FE8">
        <w:t>s</w:t>
      </w:r>
      <w:r>
        <w:t>ince the debtor would not be obliged to g</w:t>
      </w:r>
      <w:r w:rsidR="00617FE8">
        <w:t xml:space="preserve">ive any until after litigation </w:t>
      </w:r>
      <w:r>
        <w:t>had been instituted. Indeed, a debtor wishing to take advantage of the technicalities</w:t>
      </w:r>
      <w:r w:rsidR="00617FE8">
        <w:t xml:space="preserve"> </w:t>
      </w:r>
      <w:r>
        <w:t>of the law</w:t>
      </w:r>
      <w:r w:rsidR="00617FE8">
        <w:t xml:space="preserve"> </w:t>
      </w:r>
      <w:r>
        <w:t xml:space="preserve">of bankruptcy might be </w:t>
      </w:r>
      <w:proofErr w:type="spellStart"/>
      <w:r>
        <w:t>wel</w:t>
      </w:r>
      <w:r w:rsidR="00617FE8">
        <w:t>l­</w:t>
      </w:r>
      <w:r>
        <w:t>advised</w:t>
      </w:r>
      <w:proofErr w:type="spellEnd"/>
      <w:r>
        <w:t xml:space="preserve"> to say as little as possible for as long as possible about the true nature</w:t>
      </w:r>
      <w:r w:rsidR="00617FE8">
        <w:t xml:space="preserve"> </w:t>
      </w:r>
      <w:r>
        <w:t>of the alleged misstatement in the bankruptcy notice.</w:t>
      </w:r>
    </w:p>
    <w:p w14:paraId="75678AB6" w14:textId="77777777" w:rsidR="00DC6C6B" w:rsidRDefault="00DC6C6B" w:rsidP="00005D50">
      <w:pPr>
        <w:pStyle w:val="ParaNumbering"/>
      </w:pPr>
      <w:r>
        <w:t>I am unable to accept Green’s submission conce</w:t>
      </w:r>
      <w:r w:rsidR="000246A8">
        <w:t>rning the construction of s</w:t>
      </w:r>
      <w:r>
        <w:t xml:space="preserve"> 41(5) of the </w:t>
      </w:r>
      <w:r w:rsidR="000246A8">
        <w:t xml:space="preserve">Bankruptcy </w:t>
      </w:r>
      <w:r>
        <w:t xml:space="preserve">Act.  </w:t>
      </w:r>
    </w:p>
    <w:p w14:paraId="20415092" w14:textId="6ED75A4C" w:rsidR="00DC6C6B" w:rsidRDefault="00DC6C6B" w:rsidP="00DC6C6B">
      <w:pPr>
        <w:pStyle w:val="ParaNumbering"/>
      </w:pPr>
      <w:r>
        <w:lastRenderedPageBreak/>
        <w:t>While there is apparently no auth</w:t>
      </w:r>
      <w:r w:rsidR="00731DBE">
        <w:t>ority on the point raised by Green, or at least no authority</w:t>
      </w:r>
      <w:r>
        <w:t xml:space="preserve"> was drawn to my attention, the better view would appear to be that the words “within the time fixed for compliance with the no</w:t>
      </w:r>
      <w:r w:rsidR="003D798C">
        <w:t>tice” in s</w:t>
      </w:r>
      <w:r w:rsidR="004E60A9">
        <w:t xml:space="preserve"> 41</w:t>
      </w:r>
      <w:r w:rsidR="00731DBE">
        <w:t xml:space="preserve">(5) of the </w:t>
      </w:r>
      <w:r w:rsidR="00AF1B6A">
        <w:t xml:space="preserve">Bankruptcy </w:t>
      </w:r>
      <w:r w:rsidR="00731DBE">
        <w:t>Act includes or encompasses</w:t>
      </w:r>
      <w:r>
        <w:t xml:space="preserve"> the time fixed for compliance with the notice as ext</w:t>
      </w:r>
      <w:r w:rsidR="004E60A9">
        <w:t>ended by any order made by the Court under s</w:t>
      </w:r>
      <w:r w:rsidR="006D0027">
        <w:t> </w:t>
      </w:r>
      <w:r>
        <w:t xml:space="preserve">41(6A).  While </w:t>
      </w:r>
      <w:r w:rsidR="00731DBE">
        <w:t xml:space="preserve">a </w:t>
      </w:r>
      <w:r>
        <w:t>bankruptcy notice may specify a time pe</w:t>
      </w:r>
      <w:r w:rsidR="00731DBE">
        <w:t>riod of 21 days, that period can</w:t>
      </w:r>
      <w:r>
        <w:t xml:space="preserve"> extended by order of the </w:t>
      </w:r>
      <w:r w:rsidR="004E60A9">
        <w:t>C</w:t>
      </w:r>
      <w:r>
        <w:t>ourt pursuant to s</w:t>
      </w:r>
      <w:r w:rsidR="004E60A9">
        <w:t xml:space="preserve"> </w:t>
      </w:r>
      <w:r>
        <w:t>41</w:t>
      </w:r>
      <w:r w:rsidR="003D798C">
        <w:t xml:space="preserve">(6A).  </w:t>
      </w:r>
      <w:r w:rsidR="00731DBE">
        <w:t>If the time for compliance is extended by order of the Court, t</w:t>
      </w:r>
      <w:r>
        <w:t xml:space="preserve">he time fixed </w:t>
      </w:r>
      <w:r w:rsidR="003D798C">
        <w:t>for</w:t>
      </w:r>
      <w:r>
        <w:t xml:space="preserve"> compliance with the notice becomes that extended period for all purposes, including</w:t>
      </w:r>
      <w:r w:rsidR="004E60A9">
        <w:t xml:space="preserve"> for the purposes under s 41</w:t>
      </w:r>
      <w:r>
        <w:t xml:space="preserve">(5) of the </w:t>
      </w:r>
      <w:r w:rsidR="004E60A9">
        <w:t xml:space="preserve">Bankruptcy </w:t>
      </w:r>
      <w:r>
        <w:t>Act.</w:t>
      </w:r>
    </w:p>
    <w:p w14:paraId="58BCFBDD" w14:textId="56B0058D" w:rsidR="00731DBE" w:rsidRDefault="00DC6C6B" w:rsidP="00DC6C6B">
      <w:pPr>
        <w:pStyle w:val="ParaNumbering"/>
      </w:pPr>
      <w:r>
        <w:t xml:space="preserve">I am unable to see how the observations of the Full Court in </w:t>
      </w:r>
      <w:proofErr w:type="spellStart"/>
      <w:r w:rsidRPr="004E60A9">
        <w:rPr>
          <w:i/>
        </w:rPr>
        <w:t>Seovic</w:t>
      </w:r>
      <w:proofErr w:type="spellEnd"/>
      <w:r>
        <w:t xml:space="preserve"> upon which Green relied assists its argument.  Even accepting that the object of a debtor’s notice under s 41(5) of the </w:t>
      </w:r>
      <w:r w:rsidR="003D798C">
        <w:t xml:space="preserve">Bankruptcy </w:t>
      </w:r>
      <w:r>
        <w:t xml:space="preserve">Act is as stated in </w:t>
      </w:r>
      <w:proofErr w:type="spellStart"/>
      <w:r w:rsidRPr="00A05D41">
        <w:rPr>
          <w:i/>
        </w:rPr>
        <w:t>Seovic</w:t>
      </w:r>
      <w:proofErr w:type="spellEnd"/>
      <w:r>
        <w:t xml:space="preserve">, the giving of that notice within a period extended by the </w:t>
      </w:r>
      <w:r w:rsidR="00526C06">
        <w:t>C</w:t>
      </w:r>
      <w:r>
        <w:t>ourt pursuant to s</w:t>
      </w:r>
      <w:r w:rsidR="00A05D41">
        <w:t xml:space="preserve"> </w:t>
      </w:r>
      <w:r>
        <w:t xml:space="preserve">41(6A) would still allow the creditor to, for example, consider withdrawing the notice before any unnecessary or wasteful litigation was embarked on.  </w:t>
      </w:r>
    </w:p>
    <w:p w14:paraId="55369FA8" w14:textId="6D13E008" w:rsidR="00DC6C6B" w:rsidRDefault="00DC6C6B" w:rsidP="00DC6C6B">
      <w:pPr>
        <w:pStyle w:val="ParaNumbering"/>
      </w:pPr>
      <w:r>
        <w:t>It follows that in the particular circumstances of this case, Ms Grant gave Green notice of the overstat</w:t>
      </w:r>
      <w:r w:rsidR="00A05D41">
        <w:t>ement in accordance with s</w:t>
      </w:r>
      <w:r>
        <w:t xml:space="preserve"> 41(5) of the </w:t>
      </w:r>
      <w:r w:rsidR="00301F5C">
        <w:t xml:space="preserve">Bankruptcy </w:t>
      </w:r>
      <w:r>
        <w:t xml:space="preserve">Act. </w:t>
      </w:r>
    </w:p>
    <w:p w14:paraId="23A423B3" w14:textId="77777777" w:rsidR="003D798C" w:rsidRDefault="00DC6C6B" w:rsidP="00DC6C6B">
      <w:pPr>
        <w:pStyle w:val="ParaNumbering"/>
      </w:pPr>
      <w:r>
        <w:t xml:space="preserve">The result is that the bankruptcy </w:t>
      </w:r>
      <w:r w:rsidR="003D798C">
        <w:t xml:space="preserve">notice </w:t>
      </w:r>
      <w:r>
        <w:t xml:space="preserve">is invalid by reason of that overstatement, irrespective of whether the overstatement could reasonably mislead or have misled Ms Grant.  Section 306 of the </w:t>
      </w:r>
      <w:r w:rsidR="003D798C">
        <w:t xml:space="preserve">Bankruptcy </w:t>
      </w:r>
      <w:r>
        <w:t xml:space="preserve">Act has no application to such a defect.  Such a defect is not a mere formal defect.  It follows that the bankruptcy notice must be set aside.  </w:t>
      </w:r>
    </w:p>
    <w:p w14:paraId="7B616813" w14:textId="425B7C5E" w:rsidR="00DC6C6B" w:rsidRDefault="00DC6C6B" w:rsidP="00DC6C6B">
      <w:pPr>
        <w:pStyle w:val="ParaNumbering"/>
      </w:pPr>
      <w:r>
        <w:t>It is, in these circumstances, unnecessary to c</w:t>
      </w:r>
      <w:r w:rsidR="003D798C">
        <w:t xml:space="preserve">onsider in detail the merits </w:t>
      </w:r>
      <w:r>
        <w:t>of the parties’ respective arguments concerning the other two defects.  A “formal defect or irregularity” for the purposes of s</w:t>
      </w:r>
      <w:r w:rsidR="00A05D41">
        <w:t xml:space="preserve"> </w:t>
      </w:r>
      <w:r>
        <w:t xml:space="preserve">306 of the </w:t>
      </w:r>
      <w:r w:rsidR="00A05D41">
        <w:t xml:space="preserve">Bankruptcy </w:t>
      </w:r>
      <w:r>
        <w:t>Act is a defect that could not reasonably mislead the debtor</w:t>
      </w:r>
      <w:r w:rsidR="00A05D41">
        <w:t>: s</w:t>
      </w:r>
      <w:r>
        <w:t xml:space="preserve">ee </w:t>
      </w:r>
      <w:r w:rsidRPr="00176A30">
        <w:rPr>
          <w:i/>
        </w:rPr>
        <w:t>Kleinwort Benson Australi</w:t>
      </w:r>
      <w:r w:rsidR="003D798C" w:rsidRPr="00176A30">
        <w:rPr>
          <w:i/>
        </w:rPr>
        <w:t xml:space="preserve">a Ltd v </w:t>
      </w:r>
      <w:proofErr w:type="spellStart"/>
      <w:r w:rsidR="003D798C" w:rsidRPr="00176A30">
        <w:rPr>
          <w:i/>
        </w:rPr>
        <w:t>Crowl</w:t>
      </w:r>
      <w:proofErr w:type="spellEnd"/>
      <w:r w:rsidR="003D798C" w:rsidRPr="00176A30">
        <w:t xml:space="preserve"> (1988)</w:t>
      </w:r>
      <w:r w:rsidR="00A05D41" w:rsidRPr="00176A30">
        <w:t xml:space="preserve"> 165 CLR 71</w:t>
      </w:r>
      <w:r w:rsidR="00BD02FC">
        <w:t xml:space="preserve"> at 82</w:t>
      </w:r>
      <w:r w:rsidR="00A05D41">
        <w:t>;</w:t>
      </w:r>
      <w:r>
        <w:t xml:space="preserve"> </w:t>
      </w:r>
      <w:r w:rsidRPr="00176A30">
        <w:rPr>
          <w:i/>
        </w:rPr>
        <w:t xml:space="preserve">Adams v Lambert </w:t>
      </w:r>
      <w:r w:rsidR="003D798C" w:rsidRPr="00176A30">
        <w:t>(</w:t>
      </w:r>
      <w:r w:rsidRPr="00176A30">
        <w:t>2006</w:t>
      </w:r>
      <w:r w:rsidR="003D798C" w:rsidRPr="00176A30">
        <w:t>)</w:t>
      </w:r>
      <w:r w:rsidRPr="00176A30">
        <w:t xml:space="preserve"> 228 CLR 409</w:t>
      </w:r>
      <w:r w:rsidR="0017051E" w:rsidRPr="00176A30">
        <w:t>; [2006] HCA 10</w:t>
      </w:r>
      <w:r w:rsidR="0017051E">
        <w:t xml:space="preserve"> at </w:t>
      </w:r>
      <w:r w:rsidR="003E353C">
        <w:t>[25]</w:t>
      </w:r>
      <w:r w:rsidR="00FC0D7C">
        <w:t>-</w:t>
      </w:r>
      <w:r w:rsidR="0017051E">
        <w:t>[27]</w:t>
      </w:r>
      <w:r>
        <w:t>.</w:t>
      </w:r>
    </w:p>
    <w:p w14:paraId="4E92BC87" w14:textId="19F4B592" w:rsidR="00876E31" w:rsidRDefault="00DC6C6B" w:rsidP="00DC6C6B">
      <w:pPr>
        <w:pStyle w:val="ParaNumbering"/>
      </w:pPr>
      <w:r>
        <w:t xml:space="preserve">That question is to be approached objectively.  It is not a question of whether the debtor was or was not, in fact, misled.  The </w:t>
      </w:r>
      <w:r w:rsidR="00876E31">
        <w:t>C</w:t>
      </w:r>
      <w:r>
        <w:t>ourt can, however, look at facts extraneous to the notice itself to determine whether the debtor served with the bankruptcy notice could be misled</w:t>
      </w:r>
      <w:r w:rsidR="00876E31">
        <w:t>: s</w:t>
      </w:r>
      <w:r>
        <w:t xml:space="preserve">ee </w:t>
      </w:r>
      <w:r w:rsidRPr="00176A30">
        <w:rPr>
          <w:i/>
        </w:rPr>
        <w:t xml:space="preserve">Re </w:t>
      </w:r>
      <w:proofErr w:type="spellStart"/>
      <w:r w:rsidRPr="00176A30">
        <w:rPr>
          <w:i/>
        </w:rPr>
        <w:t>Wimbo</w:t>
      </w:r>
      <w:r w:rsidR="0017051E" w:rsidRPr="00176A30">
        <w:rPr>
          <w:i/>
        </w:rPr>
        <w:t>u</w:t>
      </w:r>
      <w:r w:rsidRPr="00176A30">
        <w:rPr>
          <w:i/>
        </w:rPr>
        <w:t>rne</w:t>
      </w:r>
      <w:proofErr w:type="spellEnd"/>
      <w:r w:rsidRPr="00176A30">
        <w:rPr>
          <w:i/>
        </w:rPr>
        <w:t xml:space="preserve">;  Ex parte </w:t>
      </w:r>
      <w:r w:rsidR="0017051E" w:rsidRPr="00176A30">
        <w:rPr>
          <w:i/>
        </w:rPr>
        <w:t xml:space="preserve">the </w:t>
      </w:r>
      <w:r w:rsidRPr="00176A30">
        <w:rPr>
          <w:i/>
        </w:rPr>
        <w:t>Debtor</w:t>
      </w:r>
      <w:r w:rsidRPr="00176A30">
        <w:t xml:space="preserve"> (1979) 24 ALR 494</w:t>
      </w:r>
      <w:r w:rsidR="0017051E">
        <w:t xml:space="preserve"> at 499</w:t>
      </w:r>
      <w:r>
        <w:t xml:space="preserve">; </w:t>
      </w:r>
      <w:r w:rsidR="0017051E">
        <w:t>cited with approval in</w:t>
      </w:r>
      <w:r>
        <w:t xml:space="preserve"> </w:t>
      </w:r>
      <w:r w:rsidRPr="00176A30">
        <w:rPr>
          <w:i/>
        </w:rPr>
        <w:t xml:space="preserve">Re </w:t>
      </w:r>
      <w:proofErr w:type="spellStart"/>
      <w:r w:rsidRPr="00176A30">
        <w:rPr>
          <w:i/>
        </w:rPr>
        <w:t>Florance</w:t>
      </w:r>
      <w:proofErr w:type="spellEnd"/>
      <w:r w:rsidRPr="00176A30">
        <w:rPr>
          <w:i/>
        </w:rPr>
        <w:t>, Ex Part</w:t>
      </w:r>
      <w:r w:rsidR="0017051E" w:rsidRPr="00176A30">
        <w:rPr>
          <w:i/>
        </w:rPr>
        <w:t xml:space="preserve">e </w:t>
      </w:r>
      <w:proofErr w:type="spellStart"/>
      <w:r w:rsidR="0017051E" w:rsidRPr="00176A30">
        <w:rPr>
          <w:i/>
        </w:rPr>
        <w:t>Turimetta</w:t>
      </w:r>
      <w:proofErr w:type="spellEnd"/>
      <w:r w:rsidR="0017051E" w:rsidRPr="00176A30">
        <w:rPr>
          <w:i/>
        </w:rPr>
        <w:t xml:space="preserve"> Properties Pty Ltd </w:t>
      </w:r>
      <w:r w:rsidR="0017051E" w:rsidRPr="00176A30">
        <w:t>(</w:t>
      </w:r>
      <w:r w:rsidRPr="00176A30">
        <w:t>1979</w:t>
      </w:r>
      <w:r w:rsidR="0017051E" w:rsidRPr="00176A30">
        <w:t>)</w:t>
      </w:r>
      <w:r w:rsidRPr="00176A30">
        <w:t xml:space="preserve"> 28 ALR 403</w:t>
      </w:r>
      <w:r w:rsidR="0017051E">
        <w:t xml:space="preserve"> at 409</w:t>
      </w:r>
      <w:r>
        <w:t xml:space="preserve">.  </w:t>
      </w:r>
    </w:p>
    <w:p w14:paraId="54795015" w14:textId="2269FC14" w:rsidR="00FC0D7C" w:rsidRDefault="00DC6C6B" w:rsidP="00005D50">
      <w:pPr>
        <w:pStyle w:val="ParaNumbering"/>
      </w:pPr>
      <w:r>
        <w:t xml:space="preserve">Ms Grant relied on a number of authorities which she contended supported the proposition that a bankruptcy notice that specified the wrong address for the payment of a judgment debt is </w:t>
      </w:r>
      <w:r>
        <w:lastRenderedPageBreak/>
        <w:t xml:space="preserve">fundamentally </w:t>
      </w:r>
      <w:r w:rsidR="00876E31">
        <w:t>defective</w:t>
      </w:r>
      <w:r>
        <w:t>.</w:t>
      </w:r>
      <w:r w:rsidR="00876E31">
        <w:t xml:space="preserve">  </w:t>
      </w:r>
      <w:r>
        <w:t>Those authorities were</w:t>
      </w:r>
      <w:r w:rsidR="006A1F40">
        <w:t>:</w:t>
      </w:r>
      <w:r>
        <w:t xml:space="preserve"> </w:t>
      </w:r>
      <w:r w:rsidRPr="00176A30">
        <w:rPr>
          <w:i/>
        </w:rPr>
        <w:t xml:space="preserve">Walsh v Deputy Commissioner of Taxation </w:t>
      </w:r>
      <w:r w:rsidR="00925012" w:rsidRPr="00176A30">
        <w:t>(1984)</w:t>
      </w:r>
      <w:r w:rsidRPr="00176A30">
        <w:t xml:space="preserve"> </w:t>
      </w:r>
      <w:r w:rsidR="00925012" w:rsidRPr="00176A30">
        <w:t>156 CLR 337</w:t>
      </w:r>
      <w:r>
        <w:t xml:space="preserve">; </w:t>
      </w:r>
      <w:proofErr w:type="spellStart"/>
      <w:r w:rsidR="006A1F40" w:rsidRPr="00176A30">
        <w:rPr>
          <w:i/>
        </w:rPr>
        <w:t>Menniti</w:t>
      </w:r>
      <w:proofErr w:type="spellEnd"/>
      <w:r w:rsidRPr="00176A30">
        <w:rPr>
          <w:i/>
        </w:rPr>
        <w:t xml:space="preserve"> v ACN 116 746 859 Pty Ltd</w:t>
      </w:r>
      <w:r w:rsidRPr="00176A30">
        <w:t xml:space="preserve"> [2019] FCCA 1856</w:t>
      </w:r>
      <w:r w:rsidR="006A1F40">
        <w:t>;</w:t>
      </w:r>
      <w:r>
        <w:t xml:space="preserve"> </w:t>
      </w:r>
      <w:r w:rsidRPr="00176A30">
        <w:rPr>
          <w:b/>
          <w:i/>
        </w:rPr>
        <w:t>Bonds</w:t>
      </w:r>
      <w:r w:rsidR="00005D50" w:rsidRPr="00176A30">
        <w:rPr>
          <w:i/>
        </w:rPr>
        <w:t xml:space="preserve"> Industries Lt</w:t>
      </w:r>
      <w:r w:rsidRPr="00176A30">
        <w:rPr>
          <w:i/>
        </w:rPr>
        <w:t>d v Sing</w:t>
      </w:r>
      <w:r w:rsidR="006A1F40" w:rsidRPr="00176A30">
        <w:t xml:space="preserve"> [1999] FCA 1055</w:t>
      </w:r>
      <w:r>
        <w:t xml:space="preserve"> and </w:t>
      </w:r>
      <w:r w:rsidRPr="00176A30">
        <w:rPr>
          <w:i/>
        </w:rPr>
        <w:t>Foote v Mid-</w:t>
      </w:r>
      <w:r w:rsidR="006A1F40" w:rsidRPr="00176A30">
        <w:rPr>
          <w:i/>
        </w:rPr>
        <w:t>W</w:t>
      </w:r>
      <w:r w:rsidRPr="00176A30">
        <w:rPr>
          <w:i/>
        </w:rPr>
        <w:t>est Finances Pty Ltd</w:t>
      </w:r>
      <w:r w:rsidRPr="00176A30">
        <w:t xml:space="preserve"> </w:t>
      </w:r>
      <w:r w:rsidR="00005D50" w:rsidRPr="00176A30">
        <w:t>(1997) 78 FCR 306</w:t>
      </w:r>
      <w:r>
        <w:t xml:space="preserve"> at 307.  </w:t>
      </w:r>
    </w:p>
    <w:p w14:paraId="5F5E2F83" w14:textId="4422FBDD" w:rsidR="00FC0D7C" w:rsidRDefault="00DC6C6B" w:rsidP="00005D50">
      <w:pPr>
        <w:pStyle w:val="ParaNumbering"/>
      </w:pPr>
      <w:r>
        <w:t>It is doubtful that those or any other authorities support the proposition that s 306</w:t>
      </w:r>
      <w:r w:rsidR="007C57A7">
        <w:t xml:space="preserve"> of the Bankruptcy Act</w:t>
      </w:r>
      <w:r>
        <w:t xml:space="preserve"> cannot apply to an error in specifying the address for payment of the debt.  Some of the cases relied on by Ms Grant were decided prior to the amendment of the Bankruptcy Act in 1996 </w:t>
      </w:r>
      <w:r w:rsidR="00FC0D7C">
        <w:t xml:space="preserve">and </w:t>
      </w:r>
      <w:r>
        <w:t>hinge on the previous wording of s</w:t>
      </w:r>
      <w:r w:rsidR="006A1F40">
        <w:t xml:space="preserve"> 41</w:t>
      </w:r>
      <w:r w:rsidR="00FC0D7C">
        <w:t xml:space="preserve">(2) of the Act.  They </w:t>
      </w:r>
      <w:r>
        <w:t>may not, therefore, be able to be saf</w:t>
      </w:r>
      <w:r w:rsidR="006A1F40">
        <w:t>ely relied on in this context: s</w:t>
      </w:r>
      <w:r>
        <w:t xml:space="preserve">ee </w:t>
      </w:r>
      <w:r w:rsidRPr="006A1F40">
        <w:rPr>
          <w:i/>
        </w:rPr>
        <w:t>Bonds</w:t>
      </w:r>
      <w:r>
        <w:t xml:space="preserve"> </w:t>
      </w:r>
      <w:r w:rsidR="006A1F40">
        <w:t>at [</w:t>
      </w:r>
      <w:r>
        <w:t>14</w:t>
      </w:r>
      <w:r w:rsidR="006A1F40">
        <w:t>]-[</w:t>
      </w:r>
      <w:r>
        <w:t>15</w:t>
      </w:r>
      <w:r w:rsidR="006A1F40">
        <w:t>]</w:t>
      </w:r>
      <w:r>
        <w:t xml:space="preserve">.  Indeed, in </w:t>
      </w:r>
      <w:r w:rsidRPr="006A1F40">
        <w:rPr>
          <w:i/>
        </w:rPr>
        <w:t>Bonds</w:t>
      </w:r>
      <w:r>
        <w:t xml:space="preserve"> itself, which related to a mistake in the details of the address at which the </w:t>
      </w:r>
      <w:r w:rsidR="00FC0D7C">
        <w:t xml:space="preserve">debt </w:t>
      </w:r>
      <w:r>
        <w:t xml:space="preserve">could be paid, Emmett J said </w:t>
      </w:r>
      <w:r w:rsidR="00005D50">
        <w:t xml:space="preserve">(at [17]) </w:t>
      </w:r>
      <w:r>
        <w:t xml:space="preserve">that </w:t>
      </w:r>
      <w:r w:rsidR="00FC0D7C">
        <w:t xml:space="preserve">the relevant </w:t>
      </w:r>
      <w:r>
        <w:t>question was</w:t>
      </w:r>
      <w:r w:rsidR="006A1F40">
        <w:t>:</w:t>
      </w:r>
      <w:r w:rsidR="00005D50">
        <w:t xml:space="preserve"> “c</w:t>
      </w:r>
      <w:r>
        <w:t>ould the bankruptcy notice in question reasonably mislead a debtor as to what is necessary to comply with it?”</w:t>
      </w:r>
      <w:r w:rsidR="00FC0D7C">
        <w:t xml:space="preserve">  Emmett J did not hold that any error in the bankruptcy notice concerning the specification of the address at which the debt would necessarily invalidate the notice.</w:t>
      </w:r>
      <w:r>
        <w:t xml:space="preserve">  </w:t>
      </w:r>
    </w:p>
    <w:p w14:paraId="7FF303C9" w14:textId="61499C03" w:rsidR="00DC6C6B" w:rsidRDefault="00DC6C6B" w:rsidP="00005D50">
      <w:pPr>
        <w:pStyle w:val="ParaNumbering"/>
      </w:pPr>
      <w:r>
        <w:t xml:space="preserve">In this case, the errors in the bankruptcy notice concerning the creditor’s address were fairly obvious.  </w:t>
      </w:r>
      <w:r w:rsidR="00FC0D7C">
        <w:t xml:space="preserve">It is difficult to imagine that any reasonable debtor would not immediately realise that the specified address was an error and would appreciate that the debt was required to be paid at the creditor’s address.  Importantly, </w:t>
      </w:r>
      <w:r>
        <w:t>Green’s address was correctly noted earlier in the notice.  The annexed order of the Local Court of the New South Wales also correctly specified the same address.</w:t>
      </w:r>
      <w:r w:rsidR="00FC0D7C">
        <w:t xml:space="preserve">  A reasonable debtor in Ms Grant’s position would have realised that it was at that address that the debt could be paid. </w:t>
      </w:r>
    </w:p>
    <w:p w14:paraId="7A94EEF0" w14:textId="17D4131B" w:rsidR="00DC6C6B" w:rsidRDefault="00DC6C6B" w:rsidP="00DC6C6B">
      <w:pPr>
        <w:pStyle w:val="ParaNumbering"/>
      </w:pPr>
      <w:r>
        <w:t>As important as the specification of the correct address at which the debt could be paid may be, I am unable to accept that the incorrect address details in the bankruptcy notice in this case were objectively capable of misleading the debtor, Ms Grant, about what was necessary in terms of complying with the bankruptcy notice.  As I have said, the errors were fairly obvious, and Ms Grant could readily have been able to ascertain Green’s correct address from earlier in the bankruptcy notice</w:t>
      </w:r>
      <w:r w:rsidR="00005D50">
        <w:t>,</w:t>
      </w:r>
      <w:r>
        <w:t xml:space="preserve"> and </w:t>
      </w:r>
      <w:r w:rsidR="00005D50">
        <w:t xml:space="preserve">from </w:t>
      </w:r>
      <w:r>
        <w:t>the annexure to the bankruptcy notice</w:t>
      </w:r>
      <w:r w:rsidR="00005D50">
        <w:t>,</w:t>
      </w:r>
      <w:r>
        <w:t xml:space="preserve"> had she wished to comply with the notice or serve any legal documents.</w:t>
      </w:r>
    </w:p>
    <w:p w14:paraId="328A282E" w14:textId="0DFD31DB" w:rsidR="00876E31" w:rsidRPr="00176A30" w:rsidRDefault="00876E31" w:rsidP="00876E31">
      <w:pPr>
        <w:pStyle w:val="ParaNumbering"/>
        <w:numPr>
          <w:ilvl w:val="0"/>
          <w:numId w:val="0"/>
        </w:numPr>
        <w:rPr>
          <w:b/>
          <w:highlight w:val="yellow"/>
        </w:rPr>
      </w:pPr>
      <w:r w:rsidRPr="00176A30">
        <w:rPr>
          <w:b/>
        </w:rPr>
        <w:t>CONCLUSION AND DISPOSITION</w:t>
      </w:r>
    </w:p>
    <w:p w14:paraId="3E9F7003" w14:textId="13C37D16" w:rsidR="0051434F" w:rsidRDefault="00DC6C6B" w:rsidP="0095122C">
      <w:pPr>
        <w:pStyle w:val="ParaNumbering"/>
      </w:pPr>
      <w:r>
        <w:t>It follows that</w:t>
      </w:r>
      <w:r w:rsidR="00876E31">
        <w:t>,</w:t>
      </w:r>
      <w:r>
        <w:t xml:space="preserve"> but for the defect relating to the overstatement of the debt in the bankruptcy notice, I would not have set aside the bankruptcy notice and would have applied s 306 of the </w:t>
      </w:r>
      <w:r>
        <w:lastRenderedPageBreak/>
        <w:t xml:space="preserve">Bankruptcy Act.  </w:t>
      </w:r>
      <w:r w:rsidR="00FC0D7C">
        <w:t>T</w:t>
      </w:r>
      <w:r>
        <w:t>he notice must</w:t>
      </w:r>
      <w:r w:rsidR="00FC0D7C">
        <w:t>, however,</w:t>
      </w:r>
      <w:r>
        <w:t xml:space="preserve"> be set aside by reason of the overstatement of the debt and the fact that Ms Grant gave notice of that overstatement in accordance with s</w:t>
      </w:r>
      <w:r w:rsidR="00BD02FC">
        <w:t xml:space="preserve"> </w:t>
      </w:r>
      <w:r>
        <w:t xml:space="preserve">41(5) of the Act.  </w:t>
      </w:r>
    </w:p>
    <w:tbl>
      <w:tblPr>
        <w:tblW w:w="0" w:type="auto"/>
        <w:tblLook w:val="04A0" w:firstRow="1" w:lastRow="0" w:firstColumn="1" w:lastColumn="0" w:noHBand="0" w:noVBand="1"/>
      </w:tblPr>
      <w:tblGrid>
        <w:gridCol w:w="3794"/>
      </w:tblGrid>
      <w:tr w:rsidR="00176A30" w:rsidRPr="00176A30" w14:paraId="4CDEA411" w14:textId="77777777">
        <w:tc>
          <w:tcPr>
            <w:tcW w:w="3794" w:type="dxa"/>
            <w:shd w:val="clear" w:color="auto" w:fill="auto"/>
          </w:tcPr>
          <w:p w14:paraId="3DE9C95C" w14:textId="768A91AF" w:rsidR="00176A30" w:rsidRPr="00176A30" w:rsidRDefault="00176A30" w:rsidP="003E353C">
            <w:pPr>
              <w:pStyle w:val="Normal1linespace"/>
            </w:pPr>
            <w:bookmarkStart w:id="20" w:name="Certification"/>
            <w:r w:rsidRPr="00176A30">
              <w:t xml:space="preserve">I certify that the preceding </w:t>
            </w:r>
            <w:bookmarkStart w:id="21" w:name="NumberWord"/>
            <w:r>
              <w:t>t</w:t>
            </w:r>
            <w:r w:rsidR="003E353C">
              <w:t>hirty</w:t>
            </w:r>
            <w:r>
              <w:t>-four</w:t>
            </w:r>
            <w:bookmarkEnd w:id="21"/>
            <w:r w:rsidRPr="00176A30">
              <w:t xml:space="preserve"> (</w:t>
            </w:r>
            <w:bookmarkStart w:id="22" w:name="NumberNumeral"/>
            <w:r w:rsidR="003E353C">
              <w:t>3</w:t>
            </w:r>
            <w:r>
              <w:t>4</w:t>
            </w:r>
            <w:bookmarkEnd w:id="22"/>
            <w:r w:rsidRPr="00176A30">
              <w:t xml:space="preserve">) numbered </w:t>
            </w:r>
            <w:bookmarkStart w:id="23" w:name="CertPara"/>
            <w:r>
              <w:t>paragraphs are</w:t>
            </w:r>
            <w:bookmarkEnd w:id="23"/>
            <w:r w:rsidRPr="00176A30">
              <w:t xml:space="preserve"> a true copy of the Reasons for Judgment of </w:t>
            </w:r>
            <w:bookmarkStart w:id="24" w:name="bkHonourable"/>
            <w:r w:rsidRPr="00176A30">
              <w:t xml:space="preserve">the Honourable </w:t>
            </w:r>
            <w:bookmarkStart w:id="25" w:name="Justice"/>
            <w:bookmarkEnd w:id="24"/>
            <w:r>
              <w:t>Justice Wigney</w:t>
            </w:r>
            <w:bookmarkEnd w:id="25"/>
            <w:r w:rsidRPr="00176A30">
              <w:t>.</w:t>
            </w:r>
          </w:p>
        </w:tc>
      </w:tr>
    </w:tbl>
    <w:p w14:paraId="14490243" w14:textId="77777777" w:rsidR="00176A30" w:rsidRDefault="00176A30" w:rsidP="00815065">
      <w:pPr>
        <w:pStyle w:val="BodyText"/>
      </w:pPr>
    </w:p>
    <w:p w14:paraId="22F34DFD" w14:textId="72D38877" w:rsidR="00176A30" w:rsidRDefault="00176A30" w:rsidP="00815065">
      <w:pPr>
        <w:pStyle w:val="BodyText"/>
      </w:pPr>
      <w:bookmarkStart w:id="26" w:name="_GoBack"/>
      <w:bookmarkEnd w:id="26"/>
    </w:p>
    <w:p w14:paraId="6B03B3FB" w14:textId="342FBABF" w:rsidR="00176A30" w:rsidRDefault="00176A30" w:rsidP="00815065">
      <w:pPr>
        <w:pStyle w:val="BodyText"/>
      </w:pPr>
      <w:r>
        <w:t xml:space="preserve">Associate: </w:t>
      </w:r>
    </w:p>
    <w:p w14:paraId="081C928F" w14:textId="77777777" w:rsidR="00176A30" w:rsidRDefault="00176A30" w:rsidP="00815065">
      <w:pPr>
        <w:pStyle w:val="BodyText"/>
      </w:pPr>
    </w:p>
    <w:p w14:paraId="4B2F1A7E" w14:textId="0CF22DEE" w:rsidR="00176A30" w:rsidRDefault="00176A30" w:rsidP="00815065">
      <w:pPr>
        <w:pStyle w:val="BodyText"/>
        <w:tabs>
          <w:tab w:val="left" w:pos="1134"/>
        </w:tabs>
      </w:pPr>
      <w:r>
        <w:t>Dated:</w:t>
      </w:r>
      <w:r>
        <w:tab/>
      </w:r>
      <w:bookmarkStart w:id="27" w:name="CertifyDated"/>
      <w:bookmarkEnd w:id="27"/>
      <w:r w:rsidR="00B7526A">
        <w:t>10</w:t>
      </w:r>
      <w:r>
        <w:t xml:space="preserve"> August 2021</w:t>
      </w:r>
    </w:p>
    <w:p w14:paraId="6918237F" w14:textId="77777777" w:rsidR="00176A30" w:rsidRDefault="00176A30" w:rsidP="00815065">
      <w:pPr>
        <w:pStyle w:val="BodyText"/>
      </w:pPr>
    </w:p>
    <w:bookmarkEnd w:id="20"/>
    <w:p w14:paraId="21C9DFD4" w14:textId="77777777" w:rsidR="00176A30" w:rsidRDefault="00176A30" w:rsidP="00176A30">
      <w:pPr>
        <w:pStyle w:val="BodyText"/>
      </w:pPr>
    </w:p>
    <w:sectPr w:rsidR="00176A30" w:rsidSect="00A84FD0">
      <w:headerReference w:type="even" r:id="rId18"/>
      <w:headerReference w:type="default" r:id="rId19"/>
      <w:footerReference w:type="default" r:id="rId20"/>
      <w:headerReference w:type="first" r:id="rId21"/>
      <w:footerReference w:type="first" r:id="rId2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2846" w14:textId="77777777" w:rsidR="00005D50" w:rsidRDefault="00005D50">
      <w:pPr>
        <w:spacing w:line="20" w:lineRule="exact"/>
      </w:pPr>
    </w:p>
    <w:p w14:paraId="46FFEE54" w14:textId="77777777" w:rsidR="00005D50" w:rsidRDefault="00005D50"/>
    <w:p w14:paraId="6366F1BE" w14:textId="77777777" w:rsidR="00005D50" w:rsidRDefault="00005D50"/>
  </w:endnote>
  <w:endnote w:type="continuationSeparator" w:id="0">
    <w:p w14:paraId="786478B3" w14:textId="77777777" w:rsidR="00005D50" w:rsidRDefault="00005D50">
      <w:r>
        <w:t xml:space="preserve"> </w:t>
      </w:r>
    </w:p>
    <w:p w14:paraId="41777246" w14:textId="77777777" w:rsidR="00005D50" w:rsidRDefault="00005D50"/>
    <w:p w14:paraId="1E67BC07" w14:textId="77777777" w:rsidR="00005D50" w:rsidRDefault="00005D50"/>
  </w:endnote>
  <w:endnote w:type="continuationNotice" w:id="1">
    <w:p w14:paraId="333548B4" w14:textId="77777777" w:rsidR="00005D50" w:rsidRDefault="00005D50">
      <w:r>
        <w:t xml:space="preserve"> </w:t>
      </w:r>
    </w:p>
    <w:p w14:paraId="1E32FBC2" w14:textId="77777777" w:rsidR="00005D50" w:rsidRDefault="00005D50"/>
    <w:p w14:paraId="24F0F734" w14:textId="77777777" w:rsidR="00005D50" w:rsidRDefault="00005D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3272C" w14:textId="77777777" w:rsidR="003E353C" w:rsidRDefault="003E3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96D2C" w14:textId="12D7E6B3" w:rsidR="00005D50" w:rsidRPr="00C47B9D" w:rsidRDefault="00005D5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75D6E271" wp14:editId="4FBA0EA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BA3C3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431BC7">
          <w:rPr>
            <w:bCs/>
            <w:sz w:val="18"/>
            <w:szCs w:val="18"/>
          </w:rPr>
          <w:t xml:space="preserve">Grant v Green &amp; Associates Pty Ltd [2021] FCA 934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5C216" w14:textId="12F6C372" w:rsidR="00005D50" w:rsidRPr="003E353C" w:rsidRDefault="00005D50" w:rsidP="003E35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B2FF7" w14:textId="234C4C89" w:rsidR="00005D50" w:rsidRPr="00C47B9D" w:rsidRDefault="00005D5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FD0CB0D" wp14:editId="780A75E8">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D1BC17"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2F1675DA4F33442B973833C51D4A4B7E"/>
        </w:placeholder>
        <w:dataBinding w:prefixMappings="xmlns:ns0='http://schemas.globalmacros.com/FCA'" w:xpath="/ns0:root[1]/ns0:Name[1]" w:storeItemID="{687E7CCB-4AA5-44E7-B148-17BA2B6F57C0}"/>
        <w:text w:multiLine="1"/>
      </w:sdtPr>
      <w:sdtEndPr/>
      <w:sdtContent>
        <w:r w:rsidR="00431BC7">
          <w:rPr>
            <w:bCs/>
            <w:sz w:val="18"/>
            <w:szCs w:val="18"/>
          </w:rPr>
          <w:t xml:space="preserve">Grant v Green &amp; Associates Pty Ltd [2021] FCA 934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4B32E" w14:textId="03B7E029" w:rsidR="00005D50" w:rsidRPr="00C47B9D" w:rsidRDefault="00005D5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445A2A5C" wp14:editId="5217E69C">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1B73D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39F93752CB7C4A0B8F3AB42FB80E7709"/>
        </w:placeholder>
        <w:dataBinding w:prefixMappings="xmlns:ns0='http://schemas.globalmacros.com/FCA'" w:xpath="/ns0:root[1]/ns0:Name[1]" w:storeItemID="{687E7CCB-4AA5-44E7-B148-17BA2B6F57C0}"/>
        <w:text w:multiLine="1"/>
      </w:sdtPr>
      <w:sdtEndPr/>
      <w:sdtContent>
        <w:r w:rsidR="00431BC7">
          <w:rPr>
            <w:bCs/>
            <w:sz w:val="18"/>
            <w:szCs w:val="18"/>
          </w:rPr>
          <w:t xml:space="preserve">Grant v Green &amp; Associates Pty Ltd [2021] FCA 934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86D41">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05EE6" w14:textId="02D433D7" w:rsidR="00005D50" w:rsidRPr="00C47B9D" w:rsidRDefault="00005D5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9F6CAAE" wp14:editId="0BCA7784">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6996DB"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D19EA868314440B7BA6F3B360BEC201F"/>
        </w:placeholder>
        <w:dataBinding w:prefixMappings="xmlns:ns0='http://schemas.globalmacros.com/FCA'" w:xpath="/ns0:root[1]/ns0:Name[1]" w:storeItemID="{687E7CCB-4AA5-44E7-B148-17BA2B6F57C0}"/>
        <w:text w:multiLine="1"/>
      </w:sdtPr>
      <w:sdtEndPr/>
      <w:sdtContent>
        <w:r w:rsidR="00431BC7">
          <w:rPr>
            <w:bCs/>
            <w:sz w:val="18"/>
            <w:szCs w:val="18"/>
          </w:rPr>
          <w:t xml:space="preserve">Grant v Green &amp; Associates Pty Ltd [2021] FCA 934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86D41">
      <w:rPr>
        <w:bCs/>
        <w:noProof/>
        <w:sz w:val="20"/>
      </w:rPr>
      <w:t>7</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CE0D1" w14:textId="07891449" w:rsidR="00005D50" w:rsidRPr="00C47B9D" w:rsidRDefault="00005D5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7157B1A1" wp14:editId="4C4673E9">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674141"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639D64DBE5E1413FB658A1C52C78A691"/>
        </w:placeholder>
        <w:dataBinding w:prefixMappings="xmlns:ns0='http://schemas.globalmacros.com/FCA'" w:xpath="/ns0:root[1]/ns0:Name[1]" w:storeItemID="{687E7CCB-4AA5-44E7-B148-17BA2B6F57C0}"/>
        <w:text w:multiLine="1"/>
      </w:sdtPr>
      <w:sdtEndPr/>
      <w:sdtContent>
        <w:r w:rsidR="00431BC7">
          <w:rPr>
            <w:bCs/>
            <w:sz w:val="18"/>
            <w:szCs w:val="18"/>
          </w:rPr>
          <w:t xml:space="preserve">Grant v Green &amp; Associates Pty Ltd [2021] FCA 934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86D41">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DFB11" w14:textId="77777777" w:rsidR="00005D50" w:rsidRDefault="00005D50"/>
    <w:p w14:paraId="46259C48" w14:textId="77777777" w:rsidR="00005D50" w:rsidRDefault="00005D50"/>
    <w:p w14:paraId="2BE95F95" w14:textId="77777777" w:rsidR="00005D50" w:rsidRDefault="00005D50"/>
  </w:footnote>
  <w:footnote w:type="continuationSeparator" w:id="0">
    <w:p w14:paraId="538AA859" w14:textId="77777777" w:rsidR="00005D50" w:rsidRDefault="00005D50">
      <w:r>
        <w:continuationSeparator/>
      </w:r>
    </w:p>
    <w:p w14:paraId="09692DC2" w14:textId="77777777" w:rsidR="00005D50" w:rsidRDefault="00005D50"/>
    <w:p w14:paraId="230D33A2" w14:textId="77777777" w:rsidR="00005D50" w:rsidRDefault="00005D5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CB361" w14:textId="77777777" w:rsidR="003E353C" w:rsidRDefault="003E35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4A835" w14:textId="77777777" w:rsidR="003E353C" w:rsidRDefault="003E35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9DB16" w14:textId="77777777" w:rsidR="003E353C" w:rsidRDefault="003E35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1D531" w14:textId="77777777" w:rsidR="00005D50" w:rsidRDefault="00005D50">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32A3C" w14:textId="77777777" w:rsidR="00005D50" w:rsidRDefault="00005D50">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21A4" w14:textId="77777777" w:rsidR="00005D50" w:rsidRDefault="00005D50"/>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F7AB8" w14:textId="77777777" w:rsidR="00005D50" w:rsidRDefault="00005D50">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26B51" w14:textId="77777777" w:rsidR="00005D50" w:rsidRDefault="00005D50"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1866"/>
        </w:tabs>
        <w:ind w:left="1146"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3"/>
  </w:num>
  <w:num w:numId="17">
    <w:abstractNumId w:val="13"/>
  </w:num>
  <w:num w:numId="18">
    <w:abstractNumId w:val="22"/>
  </w:num>
  <w:num w:numId="19">
    <w:abstractNumId w:val="11"/>
  </w:num>
  <w:num w:numId="20">
    <w:abstractNumId w:val="17"/>
  </w:num>
  <w:num w:numId="21">
    <w:abstractNumId w:val="15"/>
  </w:num>
  <w:num w:numId="22">
    <w:abstractNumId w:val="16"/>
  </w:num>
  <w:num w:numId="23">
    <w:abstractNumId w:val="18"/>
  </w:num>
  <w:num w:numId="24">
    <w:abstractNumId w:val="10"/>
  </w:num>
  <w:num w:numId="25">
    <w:abstractNumId w:val="10"/>
  </w:num>
  <w:num w:numId="26">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Appellant"/>
    <w:docVar w:name="CounselType" w:val="Counsel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grpRadioJudges" w:val="Justice"/>
    <w:docVar w:name="Initiators" w:val="(and another named in the Schedule)"/>
    <w:docVar w:name="Judge" w:val="Wigney"/>
    <w:docVar w:name="lstEntryList" w:val="-1"/>
    <w:docVar w:name="NSD" w:val="NSD "/>
    <w:docVar w:name="NumApps" w:val="0"/>
    <w:docVar w:name="NumApps_" w:val="0"/>
    <w:docVar w:name="NumCrossResps" w:val="0"/>
    <w:docVar w:name="NumDefs" w:val="0"/>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N/A FCC, FCoA"/>
    <w:docVar w:name="RadioJudge" w:val="False"/>
    <w:docVar w:name="RadioJustice" w:val="True"/>
    <w:docVar w:name="RadioJustices" w:val="False"/>
    <w:docVar w:name="RESAndAnother" w:val="True"/>
    <w:docVar w:name="RESAndOthers" w:val="False"/>
    <w:docVar w:name="ResState" w:val="Australian Capital Territory"/>
    <w:docVar w:name="SubArea" w:val="[none]"/>
  </w:docVars>
  <w:rsids>
    <w:rsidRoot w:val="00DC6C6B"/>
    <w:rsid w:val="00000747"/>
    <w:rsid w:val="00005D50"/>
    <w:rsid w:val="000115C5"/>
    <w:rsid w:val="0001469E"/>
    <w:rsid w:val="00015993"/>
    <w:rsid w:val="00021CCB"/>
    <w:rsid w:val="00022289"/>
    <w:rsid w:val="000246A8"/>
    <w:rsid w:val="00027398"/>
    <w:rsid w:val="00027BDC"/>
    <w:rsid w:val="0003201A"/>
    <w:rsid w:val="0003207A"/>
    <w:rsid w:val="00032F9F"/>
    <w:rsid w:val="00041C07"/>
    <w:rsid w:val="00045BB7"/>
    <w:rsid w:val="00055719"/>
    <w:rsid w:val="0005641B"/>
    <w:rsid w:val="0006196A"/>
    <w:rsid w:val="0007650C"/>
    <w:rsid w:val="00081497"/>
    <w:rsid w:val="00085255"/>
    <w:rsid w:val="000935B2"/>
    <w:rsid w:val="000A2E76"/>
    <w:rsid w:val="000A4807"/>
    <w:rsid w:val="000A4BE4"/>
    <w:rsid w:val="000C023E"/>
    <w:rsid w:val="000C5195"/>
    <w:rsid w:val="000C62EF"/>
    <w:rsid w:val="000D04F9"/>
    <w:rsid w:val="000D2137"/>
    <w:rsid w:val="000D3FD2"/>
    <w:rsid w:val="000D4B2E"/>
    <w:rsid w:val="000E3FC8"/>
    <w:rsid w:val="000E7BAE"/>
    <w:rsid w:val="000F133D"/>
    <w:rsid w:val="00101D42"/>
    <w:rsid w:val="0010536B"/>
    <w:rsid w:val="0011145C"/>
    <w:rsid w:val="001128BD"/>
    <w:rsid w:val="0011419D"/>
    <w:rsid w:val="00114B02"/>
    <w:rsid w:val="001226C0"/>
    <w:rsid w:val="00126EC8"/>
    <w:rsid w:val="0012731C"/>
    <w:rsid w:val="00132054"/>
    <w:rsid w:val="00134964"/>
    <w:rsid w:val="001351B9"/>
    <w:rsid w:val="00155CD2"/>
    <w:rsid w:val="0017051E"/>
    <w:rsid w:val="001727A4"/>
    <w:rsid w:val="0017376C"/>
    <w:rsid w:val="001738AB"/>
    <w:rsid w:val="001765E0"/>
    <w:rsid w:val="00176A30"/>
    <w:rsid w:val="00177759"/>
    <w:rsid w:val="00177B12"/>
    <w:rsid w:val="00180BB3"/>
    <w:rsid w:val="00185E6B"/>
    <w:rsid w:val="00187BBC"/>
    <w:rsid w:val="001932F3"/>
    <w:rsid w:val="00196F19"/>
    <w:rsid w:val="001A2B40"/>
    <w:rsid w:val="001A4309"/>
    <w:rsid w:val="001A46AE"/>
    <w:rsid w:val="001A6C52"/>
    <w:rsid w:val="001B1053"/>
    <w:rsid w:val="001B14AC"/>
    <w:rsid w:val="001B7940"/>
    <w:rsid w:val="001C171A"/>
    <w:rsid w:val="001C37CA"/>
    <w:rsid w:val="001C4085"/>
    <w:rsid w:val="001D406C"/>
    <w:rsid w:val="001D4303"/>
    <w:rsid w:val="001D6746"/>
    <w:rsid w:val="001E3B49"/>
    <w:rsid w:val="001E4A05"/>
    <w:rsid w:val="001E7388"/>
    <w:rsid w:val="001F13DD"/>
    <w:rsid w:val="001F2473"/>
    <w:rsid w:val="001F2DBC"/>
    <w:rsid w:val="001F626B"/>
    <w:rsid w:val="001F73E8"/>
    <w:rsid w:val="0020262C"/>
    <w:rsid w:val="00202723"/>
    <w:rsid w:val="00211A3E"/>
    <w:rsid w:val="00215BCA"/>
    <w:rsid w:val="00217AC4"/>
    <w:rsid w:val="00221461"/>
    <w:rsid w:val="00224537"/>
    <w:rsid w:val="00235956"/>
    <w:rsid w:val="00243E5E"/>
    <w:rsid w:val="00247C9A"/>
    <w:rsid w:val="0025160C"/>
    <w:rsid w:val="002535D0"/>
    <w:rsid w:val="002539B3"/>
    <w:rsid w:val="00256336"/>
    <w:rsid w:val="00257C3E"/>
    <w:rsid w:val="002602C2"/>
    <w:rsid w:val="002662BC"/>
    <w:rsid w:val="002666C9"/>
    <w:rsid w:val="00270136"/>
    <w:rsid w:val="00270FD7"/>
    <w:rsid w:val="00274F5B"/>
    <w:rsid w:val="00280836"/>
    <w:rsid w:val="00282E1A"/>
    <w:rsid w:val="002840F1"/>
    <w:rsid w:val="00286D41"/>
    <w:rsid w:val="0029113B"/>
    <w:rsid w:val="002934C0"/>
    <w:rsid w:val="0029764C"/>
    <w:rsid w:val="002A1B50"/>
    <w:rsid w:val="002B0E91"/>
    <w:rsid w:val="002B132C"/>
    <w:rsid w:val="002B3F23"/>
    <w:rsid w:val="002B4EB5"/>
    <w:rsid w:val="002B5AF5"/>
    <w:rsid w:val="002B6779"/>
    <w:rsid w:val="002B71C0"/>
    <w:rsid w:val="002B7A34"/>
    <w:rsid w:val="002C31AD"/>
    <w:rsid w:val="002C7385"/>
    <w:rsid w:val="002D2DBB"/>
    <w:rsid w:val="002D37D8"/>
    <w:rsid w:val="002D54A6"/>
    <w:rsid w:val="002E5BF9"/>
    <w:rsid w:val="002E6A7A"/>
    <w:rsid w:val="002F1E49"/>
    <w:rsid w:val="002F4E9C"/>
    <w:rsid w:val="00301F5C"/>
    <w:rsid w:val="00302F4E"/>
    <w:rsid w:val="0031256C"/>
    <w:rsid w:val="00314D6C"/>
    <w:rsid w:val="00316D2A"/>
    <w:rsid w:val="00322A7C"/>
    <w:rsid w:val="00322EEC"/>
    <w:rsid w:val="00323061"/>
    <w:rsid w:val="003402D3"/>
    <w:rsid w:val="003430CD"/>
    <w:rsid w:val="00343ABC"/>
    <w:rsid w:val="003463FE"/>
    <w:rsid w:val="00347D41"/>
    <w:rsid w:val="003554B3"/>
    <w:rsid w:val="00356632"/>
    <w:rsid w:val="00357C7E"/>
    <w:rsid w:val="003653B6"/>
    <w:rsid w:val="00374CC4"/>
    <w:rsid w:val="003774B2"/>
    <w:rsid w:val="00380F2D"/>
    <w:rsid w:val="003845A9"/>
    <w:rsid w:val="003850C9"/>
    <w:rsid w:val="00390883"/>
    <w:rsid w:val="003922F8"/>
    <w:rsid w:val="00395B24"/>
    <w:rsid w:val="003A2D38"/>
    <w:rsid w:val="003A7ECC"/>
    <w:rsid w:val="003B2C72"/>
    <w:rsid w:val="003B5432"/>
    <w:rsid w:val="003B58B4"/>
    <w:rsid w:val="003C1333"/>
    <w:rsid w:val="003C20FF"/>
    <w:rsid w:val="003C550A"/>
    <w:rsid w:val="003C6055"/>
    <w:rsid w:val="003D2650"/>
    <w:rsid w:val="003D560C"/>
    <w:rsid w:val="003D5C00"/>
    <w:rsid w:val="003D798C"/>
    <w:rsid w:val="003E3154"/>
    <w:rsid w:val="003E353C"/>
    <w:rsid w:val="003E5874"/>
    <w:rsid w:val="003E70D5"/>
    <w:rsid w:val="003E72D3"/>
    <w:rsid w:val="003F193E"/>
    <w:rsid w:val="003F242C"/>
    <w:rsid w:val="003F34F1"/>
    <w:rsid w:val="004104B6"/>
    <w:rsid w:val="00411AE8"/>
    <w:rsid w:val="00413B74"/>
    <w:rsid w:val="00427C45"/>
    <w:rsid w:val="00431BC7"/>
    <w:rsid w:val="004342F3"/>
    <w:rsid w:val="00435C5F"/>
    <w:rsid w:val="00436155"/>
    <w:rsid w:val="00441E98"/>
    <w:rsid w:val="00450F3A"/>
    <w:rsid w:val="004532F7"/>
    <w:rsid w:val="00464D51"/>
    <w:rsid w:val="00472027"/>
    <w:rsid w:val="00474698"/>
    <w:rsid w:val="004804CF"/>
    <w:rsid w:val="00484962"/>
    <w:rsid w:val="00484F6D"/>
    <w:rsid w:val="00484FB7"/>
    <w:rsid w:val="0048554D"/>
    <w:rsid w:val="0049338A"/>
    <w:rsid w:val="0049417F"/>
    <w:rsid w:val="00496D41"/>
    <w:rsid w:val="004A6602"/>
    <w:rsid w:val="004B3EFA"/>
    <w:rsid w:val="004C2A87"/>
    <w:rsid w:val="004C4D7B"/>
    <w:rsid w:val="004C4ED3"/>
    <w:rsid w:val="004C667B"/>
    <w:rsid w:val="004C7ECD"/>
    <w:rsid w:val="004D1977"/>
    <w:rsid w:val="004D2EA5"/>
    <w:rsid w:val="004D32A6"/>
    <w:rsid w:val="004D53E5"/>
    <w:rsid w:val="004E60A9"/>
    <w:rsid w:val="004E6DC4"/>
    <w:rsid w:val="004F21C1"/>
    <w:rsid w:val="00500B5B"/>
    <w:rsid w:val="00501A12"/>
    <w:rsid w:val="0050309C"/>
    <w:rsid w:val="0051327C"/>
    <w:rsid w:val="0051346D"/>
    <w:rsid w:val="00513EAE"/>
    <w:rsid w:val="0051434F"/>
    <w:rsid w:val="00516806"/>
    <w:rsid w:val="0052098C"/>
    <w:rsid w:val="00520A7D"/>
    <w:rsid w:val="00525A49"/>
    <w:rsid w:val="005262D1"/>
    <w:rsid w:val="00526C06"/>
    <w:rsid w:val="00530876"/>
    <w:rsid w:val="00535613"/>
    <w:rsid w:val="005359EB"/>
    <w:rsid w:val="0054254A"/>
    <w:rsid w:val="0054500B"/>
    <w:rsid w:val="005466B5"/>
    <w:rsid w:val="00554314"/>
    <w:rsid w:val="00562829"/>
    <w:rsid w:val="005629B3"/>
    <w:rsid w:val="005724F6"/>
    <w:rsid w:val="00573AC4"/>
    <w:rsid w:val="005801FC"/>
    <w:rsid w:val="00585BA9"/>
    <w:rsid w:val="00587359"/>
    <w:rsid w:val="00595016"/>
    <w:rsid w:val="00597AAE"/>
    <w:rsid w:val="005A222C"/>
    <w:rsid w:val="005A4DF8"/>
    <w:rsid w:val="005A78C8"/>
    <w:rsid w:val="005B1426"/>
    <w:rsid w:val="005C0A8E"/>
    <w:rsid w:val="005C1767"/>
    <w:rsid w:val="005C185C"/>
    <w:rsid w:val="005C42EF"/>
    <w:rsid w:val="005E02F5"/>
    <w:rsid w:val="005E0510"/>
    <w:rsid w:val="005E176E"/>
    <w:rsid w:val="005E218E"/>
    <w:rsid w:val="005E35A0"/>
    <w:rsid w:val="005F0D1B"/>
    <w:rsid w:val="005F1865"/>
    <w:rsid w:val="006007BD"/>
    <w:rsid w:val="006013C8"/>
    <w:rsid w:val="006019C9"/>
    <w:rsid w:val="0060270D"/>
    <w:rsid w:val="00604611"/>
    <w:rsid w:val="00606D1D"/>
    <w:rsid w:val="00611586"/>
    <w:rsid w:val="00612D26"/>
    <w:rsid w:val="00615855"/>
    <w:rsid w:val="00617FE8"/>
    <w:rsid w:val="00620DA8"/>
    <w:rsid w:val="00621887"/>
    <w:rsid w:val="00621FFE"/>
    <w:rsid w:val="00624520"/>
    <w:rsid w:val="006271F5"/>
    <w:rsid w:val="00632300"/>
    <w:rsid w:val="00632BB7"/>
    <w:rsid w:val="00635B36"/>
    <w:rsid w:val="00636871"/>
    <w:rsid w:val="00640EE1"/>
    <w:rsid w:val="00640F4E"/>
    <w:rsid w:val="00643DE0"/>
    <w:rsid w:val="0064437D"/>
    <w:rsid w:val="00644E85"/>
    <w:rsid w:val="00652C52"/>
    <w:rsid w:val="0066063F"/>
    <w:rsid w:val="00662BB0"/>
    <w:rsid w:val="00663878"/>
    <w:rsid w:val="00667773"/>
    <w:rsid w:val="00670743"/>
    <w:rsid w:val="00680A85"/>
    <w:rsid w:val="00681ADF"/>
    <w:rsid w:val="00690EE2"/>
    <w:rsid w:val="00693854"/>
    <w:rsid w:val="00694BEB"/>
    <w:rsid w:val="006A0E20"/>
    <w:rsid w:val="006A1F40"/>
    <w:rsid w:val="006A24E3"/>
    <w:rsid w:val="006A5695"/>
    <w:rsid w:val="006B0439"/>
    <w:rsid w:val="006B3904"/>
    <w:rsid w:val="006B5B7D"/>
    <w:rsid w:val="006B7B92"/>
    <w:rsid w:val="006C130E"/>
    <w:rsid w:val="006C5B46"/>
    <w:rsid w:val="006C6E39"/>
    <w:rsid w:val="006D0027"/>
    <w:rsid w:val="006D0ECF"/>
    <w:rsid w:val="006D3D5B"/>
    <w:rsid w:val="006D4C92"/>
    <w:rsid w:val="006D4EB6"/>
    <w:rsid w:val="006E35BF"/>
    <w:rsid w:val="006E7850"/>
    <w:rsid w:val="006F46D6"/>
    <w:rsid w:val="007028D9"/>
    <w:rsid w:val="00707218"/>
    <w:rsid w:val="00710D04"/>
    <w:rsid w:val="00712B1D"/>
    <w:rsid w:val="00715751"/>
    <w:rsid w:val="007171BA"/>
    <w:rsid w:val="00717616"/>
    <w:rsid w:val="00731DBE"/>
    <w:rsid w:val="007325D9"/>
    <w:rsid w:val="0073583B"/>
    <w:rsid w:val="007360CA"/>
    <w:rsid w:val="0074667B"/>
    <w:rsid w:val="007470BD"/>
    <w:rsid w:val="00760EC0"/>
    <w:rsid w:val="007711BD"/>
    <w:rsid w:val="0078003A"/>
    <w:rsid w:val="00780771"/>
    <w:rsid w:val="007929CF"/>
    <w:rsid w:val="007A49E7"/>
    <w:rsid w:val="007A6F28"/>
    <w:rsid w:val="007B03C6"/>
    <w:rsid w:val="007B0DB1"/>
    <w:rsid w:val="007B5673"/>
    <w:rsid w:val="007B7238"/>
    <w:rsid w:val="007B76FF"/>
    <w:rsid w:val="007C3BF6"/>
    <w:rsid w:val="007C57A7"/>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1183A"/>
    <w:rsid w:val="008216E7"/>
    <w:rsid w:val="00825BE6"/>
    <w:rsid w:val="008276B4"/>
    <w:rsid w:val="00831927"/>
    <w:rsid w:val="00837288"/>
    <w:rsid w:val="00841BD3"/>
    <w:rsid w:val="0084273D"/>
    <w:rsid w:val="00844E3F"/>
    <w:rsid w:val="00845A83"/>
    <w:rsid w:val="00846BB9"/>
    <w:rsid w:val="008649D5"/>
    <w:rsid w:val="008712BB"/>
    <w:rsid w:val="00876E31"/>
    <w:rsid w:val="008830E7"/>
    <w:rsid w:val="00890EDE"/>
    <w:rsid w:val="00892B38"/>
    <w:rsid w:val="008A1741"/>
    <w:rsid w:val="008A2484"/>
    <w:rsid w:val="008A52F3"/>
    <w:rsid w:val="008C26D9"/>
    <w:rsid w:val="008C6D50"/>
    <w:rsid w:val="008C7167"/>
    <w:rsid w:val="008C7503"/>
    <w:rsid w:val="008D1617"/>
    <w:rsid w:val="008D2EB7"/>
    <w:rsid w:val="008D330F"/>
    <w:rsid w:val="008D48C1"/>
    <w:rsid w:val="008E6315"/>
    <w:rsid w:val="008F07FC"/>
    <w:rsid w:val="008F11E0"/>
    <w:rsid w:val="008F3EA7"/>
    <w:rsid w:val="008F78BC"/>
    <w:rsid w:val="008F7B63"/>
    <w:rsid w:val="008F7D6A"/>
    <w:rsid w:val="00901C86"/>
    <w:rsid w:val="00903603"/>
    <w:rsid w:val="009054CB"/>
    <w:rsid w:val="00911F8D"/>
    <w:rsid w:val="00912F94"/>
    <w:rsid w:val="009171BC"/>
    <w:rsid w:val="00917A76"/>
    <w:rsid w:val="0092497E"/>
    <w:rsid w:val="00925012"/>
    <w:rsid w:val="0092590B"/>
    <w:rsid w:val="00925BF3"/>
    <w:rsid w:val="00925E60"/>
    <w:rsid w:val="009264B3"/>
    <w:rsid w:val="009365E0"/>
    <w:rsid w:val="00942BA2"/>
    <w:rsid w:val="009432B7"/>
    <w:rsid w:val="00944C86"/>
    <w:rsid w:val="00947C02"/>
    <w:rsid w:val="00950BE6"/>
    <w:rsid w:val="0095122C"/>
    <w:rsid w:val="00957DE8"/>
    <w:rsid w:val="00960ECB"/>
    <w:rsid w:val="009615D6"/>
    <w:rsid w:val="00967855"/>
    <w:rsid w:val="00974709"/>
    <w:rsid w:val="00980736"/>
    <w:rsid w:val="00981A39"/>
    <w:rsid w:val="00982D56"/>
    <w:rsid w:val="00983DBF"/>
    <w:rsid w:val="00987097"/>
    <w:rsid w:val="00991123"/>
    <w:rsid w:val="00991CAB"/>
    <w:rsid w:val="009A3A9C"/>
    <w:rsid w:val="009A6C1C"/>
    <w:rsid w:val="009B046C"/>
    <w:rsid w:val="009B13FA"/>
    <w:rsid w:val="009B1E2D"/>
    <w:rsid w:val="009C59FB"/>
    <w:rsid w:val="009C6F3B"/>
    <w:rsid w:val="009D1467"/>
    <w:rsid w:val="009D328D"/>
    <w:rsid w:val="009E4FA6"/>
    <w:rsid w:val="009E7D93"/>
    <w:rsid w:val="009F3C34"/>
    <w:rsid w:val="009F462C"/>
    <w:rsid w:val="009F5C33"/>
    <w:rsid w:val="00A026F0"/>
    <w:rsid w:val="00A03EAC"/>
    <w:rsid w:val="00A04DBB"/>
    <w:rsid w:val="00A05D41"/>
    <w:rsid w:val="00A07EA0"/>
    <w:rsid w:val="00A11CA6"/>
    <w:rsid w:val="00A20C49"/>
    <w:rsid w:val="00A22932"/>
    <w:rsid w:val="00A269CA"/>
    <w:rsid w:val="00A336EE"/>
    <w:rsid w:val="00A33F46"/>
    <w:rsid w:val="00A3427E"/>
    <w:rsid w:val="00A359AC"/>
    <w:rsid w:val="00A40F83"/>
    <w:rsid w:val="00A410FB"/>
    <w:rsid w:val="00A41413"/>
    <w:rsid w:val="00A431E6"/>
    <w:rsid w:val="00A436E8"/>
    <w:rsid w:val="00A45FB1"/>
    <w:rsid w:val="00A46CCC"/>
    <w:rsid w:val="00A47996"/>
    <w:rsid w:val="00A51CFE"/>
    <w:rsid w:val="00A5204D"/>
    <w:rsid w:val="00A61605"/>
    <w:rsid w:val="00A65F97"/>
    <w:rsid w:val="00A6635D"/>
    <w:rsid w:val="00A76C13"/>
    <w:rsid w:val="00A8273C"/>
    <w:rsid w:val="00A84FD0"/>
    <w:rsid w:val="00A910D2"/>
    <w:rsid w:val="00A92E79"/>
    <w:rsid w:val="00A950B6"/>
    <w:rsid w:val="00A95D45"/>
    <w:rsid w:val="00AB41C1"/>
    <w:rsid w:val="00AB4CF2"/>
    <w:rsid w:val="00AB6CCA"/>
    <w:rsid w:val="00AC223F"/>
    <w:rsid w:val="00AC33B1"/>
    <w:rsid w:val="00AD12A8"/>
    <w:rsid w:val="00AE023F"/>
    <w:rsid w:val="00AF1B6A"/>
    <w:rsid w:val="00AF3577"/>
    <w:rsid w:val="00AF35F9"/>
    <w:rsid w:val="00B03C16"/>
    <w:rsid w:val="00B0424C"/>
    <w:rsid w:val="00B05C7D"/>
    <w:rsid w:val="00B15D57"/>
    <w:rsid w:val="00B16347"/>
    <w:rsid w:val="00B17D6E"/>
    <w:rsid w:val="00B2435E"/>
    <w:rsid w:val="00B346C3"/>
    <w:rsid w:val="00B4005C"/>
    <w:rsid w:val="00B41D83"/>
    <w:rsid w:val="00B4227E"/>
    <w:rsid w:val="00B4471C"/>
    <w:rsid w:val="00B451A6"/>
    <w:rsid w:val="00B56D6E"/>
    <w:rsid w:val="00B64347"/>
    <w:rsid w:val="00B65DC6"/>
    <w:rsid w:val="00B67AC2"/>
    <w:rsid w:val="00B722DE"/>
    <w:rsid w:val="00B72BB6"/>
    <w:rsid w:val="00B751E3"/>
    <w:rsid w:val="00B7526A"/>
    <w:rsid w:val="00B75BA6"/>
    <w:rsid w:val="00B76C44"/>
    <w:rsid w:val="00B8184A"/>
    <w:rsid w:val="00B82283"/>
    <w:rsid w:val="00B828D8"/>
    <w:rsid w:val="00B83F87"/>
    <w:rsid w:val="00B87CDC"/>
    <w:rsid w:val="00B910C1"/>
    <w:rsid w:val="00BA2CA4"/>
    <w:rsid w:val="00BA2EFA"/>
    <w:rsid w:val="00BA3DBC"/>
    <w:rsid w:val="00BA707A"/>
    <w:rsid w:val="00BB1AFB"/>
    <w:rsid w:val="00BB27AE"/>
    <w:rsid w:val="00BB2DA2"/>
    <w:rsid w:val="00BB56DC"/>
    <w:rsid w:val="00BD02FC"/>
    <w:rsid w:val="00BE183D"/>
    <w:rsid w:val="00BE3C72"/>
    <w:rsid w:val="00BF5D7A"/>
    <w:rsid w:val="00C01C2E"/>
    <w:rsid w:val="00C02D33"/>
    <w:rsid w:val="00C04B53"/>
    <w:rsid w:val="00C1232C"/>
    <w:rsid w:val="00C23C6C"/>
    <w:rsid w:val="00C27C6B"/>
    <w:rsid w:val="00C3594D"/>
    <w:rsid w:val="00C36442"/>
    <w:rsid w:val="00C400CE"/>
    <w:rsid w:val="00C410FD"/>
    <w:rsid w:val="00C457DE"/>
    <w:rsid w:val="00C47DD3"/>
    <w:rsid w:val="00C53562"/>
    <w:rsid w:val="00C539FB"/>
    <w:rsid w:val="00C66E57"/>
    <w:rsid w:val="00C74150"/>
    <w:rsid w:val="00C75594"/>
    <w:rsid w:val="00C85982"/>
    <w:rsid w:val="00CA0466"/>
    <w:rsid w:val="00CA246D"/>
    <w:rsid w:val="00CA50D9"/>
    <w:rsid w:val="00CB3054"/>
    <w:rsid w:val="00CB5636"/>
    <w:rsid w:val="00CC3EE5"/>
    <w:rsid w:val="00CC54EC"/>
    <w:rsid w:val="00CC59CC"/>
    <w:rsid w:val="00CE425C"/>
    <w:rsid w:val="00CE58AC"/>
    <w:rsid w:val="00CF5A80"/>
    <w:rsid w:val="00D045EE"/>
    <w:rsid w:val="00D05091"/>
    <w:rsid w:val="00D10CA6"/>
    <w:rsid w:val="00D10F21"/>
    <w:rsid w:val="00D134CF"/>
    <w:rsid w:val="00D1573B"/>
    <w:rsid w:val="00D24806"/>
    <w:rsid w:val="00D34040"/>
    <w:rsid w:val="00D34E69"/>
    <w:rsid w:val="00D36C78"/>
    <w:rsid w:val="00D375EE"/>
    <w:rsid w:val="00D55AE8"/>
    <w:rsid w:val="00D56056"/>
    <w:rsid w:val="00D6085F"/>
    <w:rsid w:val="00D62699"/>
    <w:rsid w:val="00D73C26"/>
    <w:rsid w:val="00D778E9"/>
    <w:rsid w:val="00D812BF"/>
    <w:rsid w:val="00D82620"/>
    <w:rsid w:val="00D85707"/>
    <w:rsid w:val="00D9725F"/>
    <w:rsid w:val="00DA01B1"/>
    <w:rsid w:val="00DA11A2"/>
    <w:rsid w:val="00DA14ED"/>
    <w:rsid w:val="00DA26D6"/>
    <w:rsid w:val="00DB2EF1"/>
    <w:rsid w:val="00DB3DE1"/>
    <w:rsid w:val="00DB5DA0"/>
    <w:rsid w:val="00DB716C"/>
    <w:rsid w:val="00DC5C85"/>
    <w:rsid w:val="00DC6C6B"/>
    <w:rsid w:val="00DC7C5D"/>
    <w:rsid w:val="00DD4236"/>
    <w:rsid w:val="00DD44F1"/>
    <w:rsid w:val="00DD6957"/>
    <w:rsid w:val="00DD6E7A"/>
    <w:rsid w:val="00DE3067"/>
    <w:rsid w:val="00DF3EEE"/>
    <w:rsid w:val="00DF75E1"/>
    <w:rsid w:val="00E027BC"/>
    <w:rsid w:val="00E10F0D"/>
    <w:rsid w:val="00E14EA5"/>
    <w:rsid w:val="00E2070E"/>
    <w:rsid w:val="00E21133"/>
    <w:rsid w:val="00E2327E"/>
    <w:rsid w:val="00E266EF"/>
    <w:rsid w:val="00E326A8"/>
    <w:rsid w:val="00E47428"/>
    <w:rsid w:val="00E56C8E"/>
    <w:rsid w:val="00E5716B"/>
    <w:rsid w:val="00E57A1A"/>
    <w:rsid w:val="00E57F1F"/>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7A25"/>
    <w:rsid w:val="00EC0F3E"/>
    <w:rsid w:val="00EC57A7"/>
    <w:rsid w:val="00ED0817"/>
    <w:rsid w:val="00ED7DD9"/>
    <w:rsid w:val="00EE445B"/>
    <w:rsid w:val="00EF3113"/>
    <w:rsid w:val="00EF3F84"/>
    <w:rsid w:val="00F176AC"/>
    <w:rsid w:val="00F26F28"/>
    <w:rsid w:val="00F27714"/>
    <w:rsid w:val="00F3276E"/>
    <w:rsid w:val="00F33D3C"/>
    <w:rsid w:val="00F37A91"/>
    <w:rsid w:val="00F408A0"/>
    <w:rsid w:val="00F45CF5"/>
    <w:rsid w:val="00F47DB0"/>
    <w:rsid w:val="00F50C3F"/>
    <w:rsid w:val="00F50E34"/>
    <w:rsid w:val="00F53EF7"/>
    <w:rsid w:val="00F54BF2"/>
    <w:rsid w:val="00F6248C"/>
    <w:rsid w:val="00F775AC"/>
    <w:rsid w:val="00F92355"/>
    <w:rsid w:val="00F93963"/>
    <w:rsid w:val="00F94291"/>
    <w:rsid w:val="00FA298A"/>
    <w:rsid w:val="00FA5B66"/>
    <w:rsid w:val="00FB30EB"/>
    <w:rsid w:val="00FB7982"/>
    <w:rsid w:val="00FB7FDA"/>
    <w:rsid w:val="00FC0734"/>
    <w:rsid w:val="00FC0D7C"/>
    <w:rsid w:val="00FC0FC5"/>
    <w:rsid w:val="00FC588F"/>
    <w:rsid w:val="00FC6879"/>
    <w:rsid w:val="00FE1B30"/>
    <w:rsid w:val="00FE7B44"/>
    <w:rsid w:val="00FF1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5056E83"/>
  <w15:docId w15:val="{FE43FD99-97C7-48BF-8D11-64660C3A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1866"/>
      </w:tabs>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16632DF1AA4A359E8A99322677CC47"/>
        <w:category>
          <w:name w:val="General"/>
          <w:gallery w:val="placeholder"/>
        </w:category>
        <w:types>
          <w:type w:val="bbPlcHdr"/>
        </w:types>
        <w:behaviors>
          <w:behavior w:val="content"/>
        </w:behaviors>
        <w:guid w:val="{018644D0-F97A-4428-ACEF-564F9EB1EA46}"/>
      </w:docPartPr>
      <w:docPartBody>
        <w:p w:rsidR="00513FF0" w:rsidRDefault="00513FF0">
          <w:pPr>
            <w:pStyle w:val="2716632DF1AA4A359E8A99322677CC47"/>
          </w:pPr>
          <w:r>
            <w:rPr>
              <w:rStyle w:val="PlaceholderText"/>
            </w:rPr>
            <w:t>MNC Text</w:t>
          </w:r>
        </w:p>
      </w:docPartBody>
    </w:docPart>
    <w:docPart>
      <w:docPartPr>
        <w:name w:val="2F1675DA4F33442B973833C51D4A4B7E"/>
        <w:category>
          <w:name w:val="General"/>
          <w:gallery w:val="placeholder"/>
        </w:category>
        <w:types>
          <w:type w:val="bbPlcHdr"/>
        </w:types>
        <w:behaviors>
          <w:behavior w:val="content"/>
        </w:behaviors>
        <w:guid w:val="{C9EB80CD-B9D0-48A7-96B0-486EF3A77262}"/>
      </w:docPartPr>
      <w:docPartBody>
        <w:p w:rsidR="00513FF0" w:rsidRDefault="00513FF0">
          <w:pPr>
            <w:pStyle w:val="2F1675DA4F33442B973833C51D4A4B7E"/>
          </w:pPr>
          <w:r w:rsidRPr="005C44BE">
            <w:rPr>
              <w:rStyle w:val="PlaceholderText"/>
            </w:rPr>
            <w:t>Click or tap here to enter text.</w:t>
          </w:r>
        </w:p>
      </w:docPartBody>
    </w:docPart>
    <w:docPart>
      <w:docPartPr>
        <w:name w:val="39F93752CB7C4A0B8F3AB42FB80E7709"/>
        <w:category>
          <w:name w:val="General"/>
          <w:gallery w:val="placeholder"/>
        </w:category>
        <w:types>
          <w:type w:val="bbPlcHdr"/>
        </w:types>
        <w:behaviors>
          <w:behavior w:val="content"/>
        </w:behaviors>
        <w:guid w:val="{55AEE8BE-86BE-486B-991D-D79912B38296}"/>
      </w:docPartPr>
      <w:docPartBody>
        <w:p w:rsidR="00513FF0" w:rsidRDefault="00513FF0">
          <w:pPr>
            <w:pStyle w:val="39F93752CB7C4A0B8F3AB42FB80E7709"/>
          </w:pPr>
          <w:r w:rsidRPr="005C44BE">
            <w:rPr>
              <w:rStyle w:val="PlaceholderText"/>
            </w:rPr>
            <w:t>Click or tap here to enter text.</w:t>
          </w:r>
        </w:p>
      </w:docPartBody>
    </w:docPart>
    <w:docPart>
      <w:docPartPr>
        <w:name w:val="D19EA868314440B7BA6F3B360BEC201F"/>
        <w:category>
          <w:name w:val="General"/>
          <w:gallery w:val="placeholder"/>
        </w:category>
        <w:types>
          <w:type w:val="bbPlcHdr"/>
        </w:types>
        <w:behaviors>
          <w:behavior w:val="content"/>
        </w:behaviors>
        <w:guid w:val="{21243937-56E9-4CEF-8A3D-29CA3CD25CD6}"/>
      </w:docPartPr>
      <w:docPartBody>
        <w:p w:rsidR="00513FF0" w:rsidRDefault="00513FF0">
          <w:pPr>
            <w:pStyle w:val="D19EA868314440B7BA6F3B360BEC201F"/>
          </w:pPr>
          <w:r w:rsidRPr="005C44BE">
            <w:rPr>
              <w:rStyle w:val="PlaceholderText"/>
            </w:rPr>
            <w:t>Click or tap here to enter text.</w:t>
          </w:r>
        </w:p>
      </w:docPartBody>
    </w:docPart>
    <w:docPart>
      <w:docPartPr>
        <w:name w:val="639D64DBE5E1413FB658A1C52C78A691"/>
        <w:category>
          <w:name w:val="General"/>
          <w:gallery w:val="placeholder"/>
        </w:category>
        <w:types>
          <w:type w:val="bbPlcHdr"/>
        </w:types>
        <w:behaviors>
          <w:behavior w:val="content"/>
        </w:behaviors>
        <w:guid w:val="{746CC5FA-F4AD-483B-9FEB-20E4E98E5A24}"/>
      </w:docPartPr>
      <w:docPartBody>
        <w:p w:rsidR="00513FF0" w:rsidRDefault="00513FF0">
          <w:pPr>
            <w:pStyle w:val="639D64DBE5E1413FB658A1C52C78A691"/>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F0"/>
    <w:rsid w:val="00513F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716632DF1AA4A359E8A99322677CC47">
    <w:name w:val="2716632DF1AA4A359E8A99322677CC47"/>
  </w:style>
  <w:style w:type="paragraph" w:customStyle="1" w:styleId="2F1675DA4F33442B973833C51D4A4B7E">
    <w:name w:val="2F1675DA4F33442B973833C51D4A4B7E"/>
  </w:style>
  <w:style w:type="paragraph" w:customStyle="1" w:styleId="39F93752CB7C4A0B8F3AB42FB80E7709">
    <w:name w:val="39F93752CB7C4A0B8F3AB42FB80E7709"/>
  </w:style>
  <w:style w:type="paragraph" w:customStyle="1" w:styleId="D19EA868314440B7BA6F3B360BEC201F">
    <w:name w:val="D19EA868314440B7BA6F3B360BEC201F"/>
  </w:style>
  <w:style w:type="paragraph" w:customStyle="1" w:styleId="639D64DBE5E1413FB658A1C52C78A691">
    <w:name w:val="639D64DBE5E1413FB658A1C52C78A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globalmacros.com/FCA">
  <Name>Grant v Green &amp; Associates Pty Ltd [2021] FCA 934 </Name>
</root>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10</Pages>
  <Words>3201</Words>
  <Characters>15465</Characters>
  <Application>Microsoft Office Word</Application>
  <DocSecurity>0</DocSecurity>
  <Lines>329</Lines>
  <Paragraphs>128</Paragraphs>
  <ScaleCrop>false</ScaleCrop>
  <HeadingPairs>
    <vt:vector size="2" baseType="variant">
      <vt:variant>
        <vt:lpstr>Title</vt:lpstr>
      </vt:variant>
      <vt:variant>
        <vt:i4>1</vt:i4>
      </vt:variant>
    </vt:vector>
  </HeadingPairs>
  <TitlesOfParts>
    <vt:vector size="1" baseType="lpstr">
      <vt:lpstr>Grant v Green &amp; Associates Pty Ltd [2021] FCA 934 </vt:lpstr>
    </vt:vector>
  </TitlesOfParts>
  <Company>Federal Court of Australia</Company>
  <LinksUpToDate>false</LinksUpToDate>
  <CharactersWithSpaces>18538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v Green &amp; Associates Pty Ltd [2021] FCA 934</dc:title>
  <dc:creator>Federal Court of Australia</dc:creator>
  <cp:lastModifiedBy>Federal Court of Australia</cp:lastModifiedBy>
  <cp:revision>3</cp:revision>
  <cp:lastPrinted>2006-02-06T01:31:00Z</cp:lastPrinted>
  <dcterms:created xsi:type="dcterms:W3CDTF">2021-08-10T00:23:00Z</dcterms:created>
  <dcterms:modified xsi:type="dcterms:W3CDTF">2021-08-10T00:24:00Z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Australian Capital Territory</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N/A FCC, FCoA</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