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95B24" w:rsidRDefault="000B32CF" w:rsidP="00A22932">
      <w:pPr>
        <w:pStyle w:val="CourtTitle"/>
      </w:pPr>
      <w:r>
        <w:fldChar w:fldCharType="begin"/>
      </w:r>
      <w:r>
        <w:instrText xml:space="preserve"> DOCPROPERTY  Court  \* MERGEFORMAT </w:instrText>
      </w:r>
      <w:r>
        <w:fldChar w:fldCharType="separate"/>
      </w:r>
      <w:r w:rsidR="00B756C5">
        <w:t>Federal Court of Australia</w:t>
      </w:r>
      <w:r>
        <w:fldChar w:fldCharType="end"/>
      </w:r>
    </w:p>
    <w:p w:rsidR="00395B24" w:rsidRDefault="00395B24">
      <w:pPr>
        <w:pStyle w:val="NormalHeadings"/>
        <w:jc w:val="center"/>
        <w:rPr>
          <w:sz w:val="32"/>
        </w:rPr>
      </w:pPr>
    </w:p>
    <w:bookmarkStart w:id="1" w:name="MNC"/>
    <w:p w:rsidR="00374CC4" w:rsidRDefault="00C67B87" w:rsidP="001A2B40">
      <w:pPr>
        <w:pStyle w:val="MNC"/>
      </w:pPr>
      <w:sdt>
        <w:sdtPr>
          <w:alias w:val="MNC"/>
          <w:tag w:val="MNC"/>
          <w:id w:val="343289786"/>
          <w:lock w:val="sdtLocked"/>
          <w:placeholder>
            <w:docPart w:val="2B28773E46304187A03560F907B365B1"/>
          </w:placeholder>
          <w:dataBinding w:prefixMappings="xmlns:ns0='http://schemas.globalmacros.com/FCA'" w:xpath="/ns0:root[1]/ns0:Name[1]" w:storeItemID="{687E7CCB-4AA5-44E7-B148-17BA2B6F57C0}"/>
          <w:text w:multiLine="1"/>
        </w:sdtPr>
        <w:sdtEndPr/>
        <w:sdtContent>
          <w:r w:rsidR="00E13A41" w:rsidRPr="00E13A41">
            <w:t>Australian Rail, Tram and Bus Industry Union v Metro Trains Melbourne Pty Ltd</w:t>
          </w:r>
          <w:r w:rsidR="00E13A41">
            <w:t xml:space="preserve"> [2021] FCA </w:t>
          </w:r>
          <w:r w:rsidR="00D1173E">
            <w:t>458</w:t>
          </w:r>
          <w:r w:rsidR="00E13A41" w:rsidRPr="00E13A41">
            <w:t xml:space="preserve"> </w:t>
          </w:r>
        </w:sdtContent>
      </w:sdt>
      <w:bookmarkEnd w:id="1"/>
    </w:p>
    <w:tbl>
      <w:tblPr>
        <w:tblW w:w="9073" w:type="dxa"/>
        <w:tblLayout w:type="fixed"/>
        <w:tblLook w:val="01E0" w:firstRow="1" w:lastRow="1" w:firstColumn="1" w:lastColumn="1" w:noHBand="0" w:noVBand="0"/>
        <w:tblCaption w:val="Cover Table"/>
        <w:tblDescription w:val="Cover Table"/>
      </w:tblPr>
      <w:tblGrid>
        <w:gridCol w:w="3084"/>
        <w:gridCol w:w="5989"/>
      </w:tblGrid>
      <w:tr w:rsidR="00395B24" w:rsidTr="00BA1B66">
        <w:tc>
          <w:tcPr>
            <w:tcW w:w="3084" w:type="dxa"/>
            <w:shd w:val="clear" w:color="auto" w:fill="auto"/>
          </w:tcPr>
          <w:p w:rsidR="00395B24" w:rsidRDefault="002C7385" w:rsidP="00663878">
            <w:pPr>
              <w:pStyle w:val="Normal1linespace"/>
              <w:widowControl w:val="0"/>
              <w:jc w:val="left"/>
            </w:pPr>
            <w:r>
              <w:t>File number(s):</w:t>
            </w:r>
          </w:p>
        </w:tc>
        <w:tc>
          <w:tcPr>
            <w:tcW w:w="5989" w:type="dxa"/>
            <w:shd w:val="clear" w:color="auto" w:fill="auto"/>
          </w:tcPr>
          <w:p w:rsidR="00395B24" w:rsidRPr="00571FC8" w:rsidRDefault="00C707FB" w:rsidP="00571FC8">
            <w:pPr>
              <w:pStyle w:val="Normal1linespace"/>
              <w:jc w:val="left"/>
            </w:pPr>
            <w:fldSimple w:instr=" REF  FileNo  \* MERGEFORMAT " w:fldLock="1">
              <w:r w:rsidR="00571FC8" w:rsidRPr="00571FC8">
                <w:t>VID 207 of 2021</w:t>
              </w:r>
            </w:fldSimple>
          </w:p>
        </w:tc>
      </w:tr>
      <w:tr w:rsidR="00395B24" w:rsidTr="00BA1B66">
        <w:tc>
          <w:tcPr>
            <w:tcW w:w="3084"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BA1B66">
        <w:tc>
          <w:tcPr>
            <w:tcW w:w="3084" w:type="dxa"/>
            <w:shd w:val="clear" w:color="auto" w:fill="auto"/>
          </w:tcPr>
          <w:p w:rsidR="00395B24" w:rsidRDefault="002C7385" w:rsidP="00663878">
            <w:pPr>
              <w:pStyle w:val="Normal1linespace"/>
              <w:widowControl w:val="0"/>
              <w:jc w:val="left"/>
            </w:pPr>
            <w:r>
              <w:t>Judg</w:t>
            </w:r>
            <w:r w:rsidR="005724F6">
              <w:t>ment of</w:t>
            </w:r>
            <w:r>
              <w:t>:</w:t>
            </w:r>
          </w:p>
        </w:tc>
        <w:tc>
          <w:tcPr>
            <w:tcW w:w="5989" w:type="dxa"/>
            <w:shd w:val="clear" w:color="auto" w:fill="auto"/>
          </w:tcPr>
          <w:p w:rsidR="00395B24" w:rsidRDefault="002C7385" w:rsidP="00663878">
            <w:pPr>
              <w:pStyle w:val="Normal1linespace"/>
              <w:widowControl w:val="0"/>
              <w:jc w:val="left"/>
              <w:rPr>
                <w:b/>
              </w:rPr>
            </w:pPr>
            <w:r w:rsidRPr="00571FC8">
              <w:rPr>
                <w:b/>
              </w:rPr>
              <w:fldChar w:fldCharType="begin" w:fldLock="1"/>
            </w:r>
            <w:r w:rsidRPr="00571FC8">
              <w:rPr>
                <w:b/>
              </w:rPr>
              <w:instrText xml:space="preserve"> REF  Judge  \* MERGEFORMAT </w:instrText>
            </w:r>
            <w:r w:rsidRPr="00571FC8">
              <w:rPr>
                <w:b/>
              </w:rPr>
              <w:fldChar w:fldCharType="separate"/>
            </w:r>
            <w:r w:rsidR="00571FC8" w:rsidRPr="00571FC8">
              <w:rPr>
                <w:b/>
                <w:caps/>
                <w:szCs w:val="24"/>
              </w:rPr>
              <w:t>WHEELAHAN J</w:t>
            </w:r>
            <w:r w:rsidRPr="00571FC8">
              <w:rPr>
                <w:b/>
              </w:rPr>
              <w:fldChar w:fldCharType="end"/>
            </w:r>
          </w:p>
        </w:tc>
      </w:tr>
      <w:tr w:rsidR="00395B24" w:rsidTr="00BA1B66">
        <w:tc>
          <w:tcPr>
            <w:tcW w:w="3084"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BA1B66">
        <w:tc>
          <w:tcPr>
            <w:tcW w:w="3084"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E13A41" w:rsidP="00663878">
            <w:pPr>
              <w:pStyle w:val="Normal1linespace"/>
              <w:widowControl w:val="0"/>
              <w:jc w:val="left"/>
            </w:pPr>
            <w:bookmarkStart w:id="2" w:name="JudgmentDate"/>
            <w:r>
              <w:t>4 May 2021</w:t>
            </w:r>
            <w:bookmarkEnd w:id="2"/>
          </w:p>
        </w:tc>
      </w:tr>
      <w:tr w:rsidR="00395B24" w:rsidTr="00BA1B66">
        <w:tc>
          <w:tcPr>
            <w:tcW w:w="3084"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BA1B66">
        <w:tc>
          <w:tcPr>
            <w:tcW w:w="3084" w:type="dxa"/>
            <w:shd w:val="clear" w:color="auto" w:fill="auto"/>
          </w:tcPr>
          <w:p w:rsidR="00395B24" w:rsidRDefault="002C7385" w:rsidP="00663878">
            <w:pPr>
              <w:pStyle w:val="Normal1linespace"/>
              <w:widowControl w:val="0"/>
              <w:jc w:val="left"/>
            </w:pPr>
            <w:r>
              <w:t>Catchwords:</w:t>
            </w:r>
          </w:p>
        </w:tc>
        <w:tc>
          <w:tcPr>
            <w:tcW w:w="5989" w:type="dxa"/>
            <w:shd w:val="clear" w:color="auto" w:fill="auto"/>
          </w:tcPr>
          <w:p w:rsidR="00395B24" w:rsidRDefault="00E13A41" w:rsidP="00211F43">
            <w:pPr>
              <w:pStyle w:val="Normal1linespace"/>
              <w:widowControl w:val="0"/>
              <w:jc w:val="left"/>
            </w:pPr>
            <w:r>
              <w:rPr>
                <w:b/>
              </w:rPr>
              <w:t>INDUSTRIAL LAW</w:t>
            </w:r>
            <w:r>
              <w:t xml:space="preserve"> – where applicant seeks an interlocutory injunction restraining the respondent from engaging in certain conduct as part of a </w:t>
            </w:r>
            <w:r w:rsidR="00704F2B">
              <w:t xml:space="preserve">proposed </w:t>
            </w:r>
            <w:r>
              <w:t xml:space="preserve">restructure of the </w:t>
            </w:r>
            <w:r w:rsidR="00704F2B">
              <w:t xml:space="preserve">respondent, </w:t>
            </w:r>
            <w:r>
              <w:t xml:space="preserve">pending the resolution of an underlying dispute – where underlying dispute concerns alleged contravention of enterprise agreement – where </w:t>
            </w:r>
            <w:r w:rsidR="00976BD8">
              <w:t xml:space="preserve">the </w:t>
            </w:r>
            <w:r>
              <w:t xml:space="preserve">underlying dispute </w:t>
            </w:r>
            <w:r w:rsidR="00976BD8">
              <w:t xml:space="preserve">is </w:t>
            </w:r>
            <w:r>
              <w:t xml:space="preserve">proposed to be promptly submitted to Fair Work Commission for resolution – where parties gave certain undertakings as to conduct pending resolution of the underlying dispute – undertakings </w:t>
            </w:r>
            <w:r w:rsidR="006A1FAD">
              <w:t xml:space="preserve">found to </w:t>
            </w:r>
            <w:r>
              <w:t xml:space="preserve">sufficiently address </w:t>
            </w:r>
            <w:r w:rsidR="006A1FAD">
              <w:t xml:space="preserve">potential </w:t>
            </w:r>
            <w:r>
              <w:t xml:space="preserve">prejudice </w:t>
            </w:r>
            <w:r w:rsidR="006A1FAD">
              <w:t xml:space="preserve">to the applicant </w:t>
            </w:r>
            <w:r>
              <w:t xml:space="preserve">– </w:t>
            </w:r>
            <w:r w:rsidR="00211F43">
              <w:t>claim for interlocutory relief</w:t>
            </w:r>
            <w:r>
              <w:t xml:space="preserve"> dismissed. </w:t>
            </w:r>
          </w:p>
        </w:tc>
      </w:tr>
      <w:tr w:rsidR="00395B24" w:rsidTr="00BA1B66">
        <w:tc>
          <w:tcPr>
            <w:tcW w:w="3084"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BA1B66">
        <w:tc>
          <w:tcPr>
            <w:tcW w:w="3084" w:type="dxa"/>
            <w:shd w:val="clear" w:color="auto" w:fill="auto"/>
          </w:tcPr>
          <w:p w:rsidR="00395B24" w:rsidRDefault="002C7385" w:rsidP="00663878">
            <w:pPr>
              <w:pStyle w:val="Normal1linespace"/>
              <w:widowControl w:val="0"/>
              <w:jc w:val="left"/>
            </w:pPr>
            <w:r>
              <w:t>Legislation:</w:t>
            </w:r>
          </w:p>
        </w:tc>
        <w:tc>
          <w:tcPr>
            <w:tcW w:w="5989" w:type="dxa"/>
            <w:shd w:val="clear" w:color="auto" w:fill="auto"/>
          </w:tcPr>
          <w:p w:rsidR="007B65E1" w:rsidRDefault="00E47316" w:rsidP="007B65E1">
            <w:pPr>
              <w:pStyle w:val="CasesLegislationAppealFrom"/>
              <w:spacing w:after="60"/>
            </w:pPr>
            <w:r w:rsidRPr="00CA6C9F">
              <w:rPr>
                <w:i/>
              </w:rPr>
              <w:t xml:space="preserve">Fair Work Act 2009 </w:t>
            </w:r>
            <w:r>
              <w:t>(</w:t>
            </w:r>
            <w:proofErr w:type="spellStart"/>
            <w:r>
              <w:t>Cth</w:t>
            </w:r>
            <w:proofErr w:type="spellEnd"/>
            <w:r>
              <w:t xml:space="preserve">) </w:t>
            </w:r>
            <w:proofErr w:type="spellStart"/>
            <w:r>
              <w:t>ss</w:t>
            </w:r>
            <w:proofErr w:type="spellEnd"/>
            <w:r>
              <w:t> 50, 545(2)</w:t>
            </w:r>
          </w:p>
        </w:tc>
      </w:tr>
      <w:tr w:rsidR="00395B24" w:rsidTr="00BA1B66">
        <w:tc>
          <w:tcPr>
            <w:tcW w:w="3084"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BA1B66">
        <w:tc>
          <w:tcPr>
            <w:tcW w:w="3084" w:type="dxa"/>
            <w:shd w:val="clear" w:color="auto" w:fill="auto"/>
          </w:tcPr>
          <w:p w:rsidR="00395B24" w:rsidRDefault="002C7385" w:rsidP="00663878">
            <w:pPr>
              <w:pStyle w:val="Normal1linespace"/>
              <w:widowControl w:val="0"/>
              <w:jc w:val="left"/>
            </w:pPr>
            <w:r>
              <w:t>Cases cited:</w:t>
            </w:r>
          </w:p>
        </w:tc>
        <w:tc>
          <w:tcPr>
            <w:tcW w:w="5989" w:type="dxa"/>
            <w:shd w:val="clear" w:color="auto" w:fill="auto"/>
          </w:tcPr>
          <w:p w:rsidR="00E47316" w:rsidRDefault="00E47316" w:rsidP="00D82620">
            <w:pPr>
              <w:pStyle w:val="CasesLegislationAppealFrom"/>
              <w:spacing w:after="60"/>
            </w:pPr>
            <w:r w:rsidRPr="00CA6C9F">
              <w:rPr>
                <w:i/>
                <w:iCs/>
                <w:lang w:eastAsia="en-AU"/>
              </w:rPr>
              <w:t>Australian Broadcasting Corporation v O’Neill</w:t>
            </w:r>
            <w:r w:rsidRPr="00134997">
              <w:rPr>
                <w:lang w:eastAsia="en-AU"/>
              </w:rPr>
              <w:t xml:space="preserve"> </w:t>
            </w:r>
            <w:r w:rsidRPr="007E1E33">
              <w:t>[2006] HCA 46; 227 CLR 57</w:t>
            </w:r>
          </w:p>
          <w:p w:rsidR="007B65E1" w:rsidRDefault="007B65E1" w:rsidP="00D82620">
            <w:pPr>
              <w:pStyle w:val="CasesLegislationAppealFrom"/>
              <w:spacing w:after="60"/>
            </w:pPr>
            <w:proofErr w:type="spellStart"/>
            <w:r w:rsidRPr="003B64F6">
              <w:rPr>
                <w:i/>
                <w:lang w:eastAsia="en-AU"/>
              </w:rPr>
              <w:t>Bradto</w:t>
            </w:r>
            <w:proofErr w:type="spellEnd"/>
            <w:r w:rsidRPr="003B64F6">
              <w:rPr>
                <w:i/>
                <w:lang w:eastAsia="en-AU"/>
              </w:rPr>
              <w:t xml:space="preserve"> Pty Ltd v State of Victoria</w:t>
            </w:r>
            <w:r w:rsidRPr="00EB4659">
              <w:rPr>
                <w:lang w:eastAsia="en-AU"/>
              </w:rPr>
              <w:t xml:space="preserve"> </w:t>
            </w:r>
            <w:r>
              <w:rPr>
                <w:lang w:eastAsia="en-AU"/>
              </w:rPr>
              <w:t>[2006] VSCA 89;</w:t>
            </w:r>
            <w:r w:rsidRPr="00EB4659">
              <w:rPr>
                <w:lang w:eastAsia="en-AU"/>
              </w:rPr>
              <w:t xml:space="preserve"> 15 VR 65</w:t>
            </w:r>
          </w:p>
          <w:p w:rsidR="00E47316" w:rsidRDefault="00E47316" w:rsidP="00D82620">
            <w:pPr>
              <w:pStyle w:val="CasesLegislationAppealFrom"/>
              <w:spacing w:after="60"/>
              <w:rPr>
                <w:i/>
              </w:rPr>
            </w:pPr>
            <w:proofErr w:type="spellStart"/>
            <w:r>
              <w:rPr>
                <w:i/>
              </w:rPr>
              <w:t>Fegan</w:t>
            </w:r>
            <w:proofErr w:type="spellEnd"/>
            <w:r>
              <w:rPr>
                <w:i/>
              </w:rPr>
              <w:t xml:space="preserve"> v Jackson </w:t>
            </w:r>
            <w:r>
              <w:t>[2009] FCA 338; 183 IR 306</w:t>
            </w:r>
          </w:p>
          <w:p w:rsidR="00395B24" w:rsidRDefault="00E47316" w:rsidP="00D82620">
            <w:pPr>
              <w:pStyle w:val="CasesLegislationAppealFrom"/>
              <w:spacing w:after="60"/>
            </w:pPr>
            <w:r w:rsidRPr="00CA6C9F">
              <w:rPr>
                <w:i/>
              </w:rPr>
              <w:t>McGee v Sanders (No 2)</w:t>
            </w:r>
            <w:r>
              <w:t xml:space="preserve"> (1991) 32 FCR 397</w:t>
            </w:r>
          </w:p>
          <w:p w:rsidR="00C03E7E" w:rsidRDefault="007B65E1" w:rsidP="00D82620">
            <w:pPr>
              <w:pStyle w:val="CasesLegislationAppealFrom"/>
              <w:spacing w:after="60"/>
            </w:pPr>
            <w:proofErr w:type="spellStart"/>
            <w:r w:rsidRPr="00D643C1">
              <w:rPr>
                <w:i/>
                <w:lang w:eastAsia="en-AU"/>
              </w:rPr>
              <w:t>Workpac</w:t>
            </w:r>
            <w:proofErr w:type="spellEnd"/>
            <w:r w:rsidRPr="00D643C1">
              <w:rPr>
                <w:i/>
                <w:lang w:eastAsia="en-AU"/>
              </w:rPr>
              <w:t xml:space="preserve"> Pty Ltd v Skene</w:t>
            </w:r>
            <w:r>
              <w:rPr>
                <w:lang w:eastAsia="en-AU"/>
              </w:rPr>
              <w:t xml:space="preserve"> [2018] FCAFC 131; 264 FCR 536</w:t>
            </w:r>
          </w:p>
        </w:tc>
      </w:tr>
      <w:tr w:rsidR="00571FC8" w:rsidTr="00BA1B66">
        <w:tc>
          <w:tcPr>
            <w:tcW w:w="3084" w:type="dxa"/>
            <w:shd w:val="clear" w:color="auto" w:fill="auto"/>
          </w:tcPr>
          <w:p w:rsidR="00571FC8" w:rsidRDefault="00571FC8" w:rsidP="00C76671">
            <w:pPr>
              <w:pStyle w:val="Normal1linespace"/>
              <w:widowControl w:val="0"/>
            </w:pPr>
          </w:p>
        </w:tc>
        <w:tc>
          <w:tcPr>
            <w:tcW w:w="5989" w:type="dxa"/>
            <w:shd w:val="clear" w:color="auto" w:fill="auto"/>
          </w:tcPr>
          <w:p w:rsidR="00571FC8" w:rsidRDefault="00571FC8" w:rsidP="00C76671">
            <w:pPr>
              <w:pStyle w:val="Normal1linespace"/>
              <w:widowControl w:val="0"/>
              <w:jc w:val="left"/>
            </w:pPr>
          </w:p>
        </w:tc>
      </w:tr>
      <w:tr w:rsidR="00571FC8" w:rsidTr="00BA1B66">
        <w:tc>
          <w:tcPr>
            <w:tcW w:w="3084" w:type="dxa"/>
            <w:shd w:val="clear" w:color="auto" w:fill="auto"/>
          </w:tcPr>
          <w:p w:rsidR="00571FC8" w:rsidRDefault="00571FC8" w:rsidP="00501A12">
            <w:pPr>
              <w:pStyle w:val="Normal1linespace"/>
              <w:widowControl w:val="0"/>
            </w:pPr>
            <w:r>
              <w:t>Division:</w:t>
            </w:r>
          </w:p>
        </w:tc>
        <w:tc>
          <w:tcPr>
            <w:tcW w:w="5989" w:type="dxa"/>
            <w:shd w:val="clear" w:color="auto" w:fill="auto"/>
          </w:tcPr>
          <w:p w:rsidR="00571FC8" w:rsidRPr="00F17599" w:rsidRDefault="00C67B87" w:rsidP="00D65B6F">
            <w:pPr>
              <w:pStyle w:val="Normal1linespace"/>
              <w:widowControl w:val="0"/>
              <w:jc w:val="left"/>
            </w:pPr>
            <w:r>
              <w:fldChar w:fldCharType="begin"/>
            </w:r>
            <w:r>
              <w:instrText xml:space="preserve"> DOCPROPERTY  Division </w:instrText>
            </w:r>
            <w:r>
              <w:fldChar w:fldCharType="separate"/>
            </w:r>
            <w:r w:rsidR="00D65B6F">
              <w:t>Fair Work</w:t>
            </w:r>
            <w:r w:rsidR="00B756C5">
              <w:t xml:space="preserve"> Division</w:t>
            </w:r>
            <w:r>
              <w:fldChar w:fldCharType="end"/>
            </w:r>
          </w:p>
        </w:tc>
      </w:tr>
      <w:tr w:rsidR="00571FC8" w:rsidTr="00BA1B66">
        <w:tc>
          <w:tcPr>
            <w:tcW w:w="3084" w:type="dxa"/>
            <w:shd w:val="clear" w:color="auto" w:fill="auto"/>
          </w:tcPr>
          <w:p w:rsidR="00571FC8" w:rsidRDefault="00571FC8" w:rsidP="00501A12">
            <w:pPr>
              <w:pStyle w:val="Normal1linespace"/>
              <w:widowControl w:val="0"/>
            </w:pPr>
            <w:bookmarkStart w:id="3" w:name="Registry_rows" w:colFirst="0" w:colLast="1"/>
          </w:p>
        </w:tc>
        <w:tc>
          <w:tcPr>
            <w:tcW w:w="5989" w:type="dxa"/>
            <w:shd w:val="clear" w:color="auto" w:fill="auto"/>
          </w:tcPr>
          <w:p w:rsidR="00571FC8" w:rsidRDefault="00571FC8" w:rsidP="00501A12">
            <w:pPr>
              <w:pStyle w:val="Normal1linespace"/>
              <w:widowControl w:val="0"/>
              <w:jc w:val="left"/>
            </w:pPr>
          </w:p>
        </w:tc>
      </w:tr>
      <w:tr w:rsidR="00571FC8" w:rsidTr="00BA1B66">
        <w:tc>
          <w:tcPr>
            <w:tcW w:w="3084" w:type="dxa"/>
            <w:shd w:val="clear" w:color="auto" w:fill="auto"/>
          </w:tcPr>
          <w:p w:rsidR="00571FC8" w:rsidRDefault="00571FC8" w:rsidP="00501A12">
            <w:pPr>
              <w:pStyle w:val="Normal1linespace"/>
              <w:widowControl w:val="0"/>
            </w:pPr>
            <w:r>
              <w:t>Registry:</w:t>
            </w:r>
          </w:p>
        </w:tc>
        <w:tc>
          <w:tcPr>
            <w:tcW w:w="5989" w:type="dxa"/>
            <w:shd w:val="clear" w:color="auto" w:fill="auto"/>
          </w:tcPr>
          <w:p w:rsidR="00571FC8" w:rsidRPr="00F17599" w:rsidRDefault="00C707FB" w:rsidP="00501A12">
            <w:pPr>
              <w:pStyle w:val="Normal1linespace"/>
              <w:widowControl w:val="0"/>
              <w:jc w:val="left"/>
            </w:pPr>
            <w:fldSimple w:instr=" DOCPROPERTY  Registry ">
              <w:r w:rsidR="00B756C5">
                <w:t>Victoria</w:t>
              </w:r>
            </w:fldSimple>
          </w:p>
        </w:tc>
      </w:tr>
      <w:tr w:rsidR="00571FC8" w:rsidTr="00BA1B66">
        <w:tc>
          <w:tcPr>
            <w:tcW w:w="3084" w:type="dxa"/>
            <w:shd w:val="clear" w:color="auto" w:fill="auto"/>
          </w:tcPr>
          <w:p w:rsidR="00571FC8" w:rsidRDefault="00571FC8" w:rsidP="00501A12">
            <w:pPr>
              <w:pStyle w:val="Normal1linespace"/>
              <w:widowControl w:val="0"/>
            </w:pPr>
            <w:bookmarkStart w:id="4" w:name="NPARow" w:colFirst="0" w:colLast="1"/>
            <w:bookmarkEnd w:id="3"/>
          </w:p>
        </w:tc>
        <w:tc>
          <w:tcPr>
            <w:tcW w:w="5989" w:type="dxa"/>
            <w:shd w:val="clear" w:color="auto" w:fill="auto"/>
          </w:tcPr>
          <w:p w:rsidR="00571FC8" w:rsidRPr="00F17599" w:rsidRDefault="00571FC8" w:rsidP="00501A12">
            <w:pPr>
              <w:pStyle w:val="Normal1linespace"/>
              <w:widowControl w:val="0"/>
              <w:jc w:val="left"/>
              <w:rPr>
                <w:b/>
              </w:rPr>
            </w:pPr>
          </w:p>
        </w:tc>
      </w:tr>
      <w:tr w:rsidR="00571FC8" w:rsidTr="00BA1B66">
        <w:tc>
          <w:tcPr>
            <w:tcW w:w="3084" w:type="dxa"/>
            <w:shd w:val="clear" w:color="auto" w:fill="auto"/>
          </w:tcPr>
          <w:p w:rsidR="00571FC8" w:rsidRDefault="00571FC8" w:rsidP="00501A12">
            <w:pPr>
              <w:pStyle w:val="Normal1linespace"/>
              <w:widowControl w:val="0"/>
            </w:pPr>
            <w:r>
              <w:t>National Practice Area:</w:t>
            </w:r>
          </w:p>
        </w:tc>
        <w:tc>
          <w:tcPr>
            <w:tcW w:w="5989" w:type="dxa"/>
            <w:shd w:val="clear" w:color="auto" w:fill="auto"/>
          </w:tcPr>
          <w:p w:rsidR="00571FC8" w:rsidRPr="00F17599" w:rsidRDefault="00C707FB" w:rsidP="00C76671">
            <w:pPr>
              <w:pStyle w:val="Normal1linespace"/>
              <w:widowControl w:val="0"/>
              <w:jc w:val="left"/>
              <w:rPr>
                <w:b/>
              </w:rPr>
            </w:pPr>
            <w:fldSimple w:instr=" DOCPROPERTY  &quot;Practice Area&quot;  \* MERGEFORMAT ">
              <w:r w:rsidR="00B756C5">
                <w:t>Employment and Industrial Relations</w:t>
              </w:r>
            </w:fldSimple>
          </w:p>
        </w:tc>
      </w:tr>
      <w:bookmarkEnd w:id="4"/>
      <w:tr w:rsidR="00571FC8" w:rsidTr="00BA1B66">
        <w:tc>
          <w:tcPr>
            <w:tcW w:w="3084" w:type="dxa"/>
            <w:shd w:val="clear" w:color="auto" w:fill="auto"/>
          </w:tcPr>
          <w:p w:rsidR="00571FC8" w:rsidRDefault="00571FC8" w:rsidP="00501A12">
            <w:pPr>
              <w:pStyle w:val="Normal1linespace"/>
              <w:widowControl w:val="0"/>
            </w:pPr>
          </w:p>
        </w:tc>
        <w:tc>
          <w:tcPr>
            <w:tcW w:w="5989" w:type="dxa"/>
            <w:shd w:val="clear" w:color="auto" w:fill="auto"/>
          </w:tcPr>
          <w:p w:rsidR="00571FC8" w:rsidRDefault="00571FC8" w:rsidP="00501A12">
            <w:pPr>
              <w:pStyle w:val="Normal1linespace"/>
              <w:widowControl w:val="0"/>
              <w:jc w:val="left"/>
            </w:pPr>
          </w:p>
        </w:tc>
      </w:tr>
      <w:tr w:rsidR="00571FC8" w:rsidTr="00BA1B66">
        <w:tc>
          <w:tcPr>
            <w:tcW w:w="3084" w:type="dxa"/>
            <w:shd w:val="clear" w:color="auto" w:fill="auto"/>
          </w:tcPr>
          <w:p w:rsidR="00571FC8" w:rsidRDefault="00571FC8" w:rsidP="00501A12">
            <w:pPr>
              <w:pStyle w:val="Normal1linespace"/>
              <w:widowControl w:val="0"/>
            </w:pPr>
            <w:r>
              <w:t>Number of paragraphs:</w:t>
            </w:r>
          </w:p>
        </w:tc>
        <w:tc>
          <w:tcPr>
            <w:tcW w:w="5989" w:type="dxa"/>
            <w:shd w:val="clear" w:color="auto" w:fill="auto"/>
          </w:tcPr>
          <w:p w:rsidR="00571FC8" w:rsidRDefault="00BA1B66" w:rsidP="00501A12">
            <w:pPr>
              <w:pStyle w:val="Normal1linespace"/>
              <w:widowControl w:val="0"/>
              <w:jc w:val="left"/>
            </w:pPr>
            <w:bookmarkStart w:id="5" w:name="PlaceCategoryParagraphs"/>
            <w:r>
              <w:t>17</w:t>
            </w:r>
            <w:bookmarkEnd w:id="5"/>
          </w:p>
        </w:tc>
      </w:tr>
      <w:tr w:rsidR="00571FC8" w:rsidTr="00BA1B66">
        <w:tc>
          <w:tcPr>
            <w:tcW w:w="3084" w:type="dxa"/>
            <w:shd w:val="clear" w:color="auto" w:fill="auto"/>
          </w:tcPr>
          <w:p w:rsidR="00571FC8" w:rsidRDefault="00571FC8" w:rsidP="00571FC8">
            <w:pPr>
              <w:pStyle w:val="Normal1linespace"/>
              <w:widowControl w:val="0"/>
              <w:jc w:val="left"/>
            </w:pPr>
          </w:p>
        </w:tc>
        <w:tc>
          <w:tcPr>
            <w:tcW w:w="5989" w:type="dxa"/>
            <w:shd w:val="clear" w:color="auto" w:fill="auto"/>
          </w:tcPr>
          <w:p w:rsidR="00571FC8" w:rsidRDefault="00571FC8" w:rsidP="00571FC8">
            <w:pPr>
              <w:pStyle w:val="Normal1linespace"/>
              <w:widowControl w:val="0"/>
              <w:jc w:val="left"/>
            </w:pPr>
          </w:p>
        </w:tc>
      </w:tr>
      <w:tr w:rsidR="00571FC8" w:rsidTr="00BA1B66">
        <w:tc>
          <w:tcPr>
            <w:tcW w:w="3084" w:type="dxa"/>
            <w:shd w:val="clear" w:color="auto" w:fill="auto"/>
          </w:tcPr>
          <w:p w:rsidR="00571FC8" w:rsidRDefault="00571FC8" w:rsidP="00571FC8">
            <w:pPr>
              <w:pStyle w:val="Normal1linespace"/>
              <w:widowControl w:val="0"/>
              <w:jc w:val="left"/>
            </w:pPr>
            <w:bookmarkStart w:id="6" w:name="CounselDate" w:colFirst="0" w:colLast="2"/>
            <w:r w:rsidRPr="006A24E3">
              <w:t>Date of hearing:</w:t>
            </w:r>
          </w:p>
        </w:tc>
        <w:tc>
          <w:tcPr>
            <w:tcW w:w="5989" w:type="dxa"/>
            <w:shd w:val="clear" w:color="auto" w:fill="auto"/>
          </w:tcPr>
          <w:p w:rsidR="00571FC8" w:rsidRDefault="00E13A41" w:rsidP="00571FC8">
            <w:pPr>
              <w:pStyle w:val="Normal1linespace"/>
              <w:widowControl w:val="0"/>
              <w:jc w:val="left"/>
            </w:pPr>
            <w:r>
              <w:t xml:space="preserve">30 April 2021 </w:t>
            </w:r>
          </w:p>
        </w:tc>
      </w:tr>
      <w:tr w:rsidR="00571FC8" w:rsidTr="00BA1B66">
        <w:tc>
          <w:tcPr>
            <w:tcW w:w="3084" w:type="dxa"/>
            <w:shd w:val="clear" w:color="auto" w:fill="auto"/>
          </w:tcPr>
          <w:p w:rsidR="00571FC8" w:rsidRDefault="00571FC8" w:rsidP="00571FC8">
            <w:pPr>
              <w:pStyle w:val="Normal1linespace"/>
              <w:widowControl w:val="0"/>
              <w:jc w:val="left"/>
            </w:pPr>
          </w:p>
        </w:tc>
        <w:tc>
          <w:tcPr>
            <w:tcW w:w="5989" w:type="dxa"/>
            <w:shd w:val="clear" w:color="auto" w:fill="auto"/>
          </w:tcPr>
          <w:p w:rsidR="00571FC8" w:rsidRDefault="00571FC8" w:rsidP="00571FC8">
            <w:pPr>
              <w:pStyle w:val="Normal1linespace"/>
              <w:widowControl w:val="0"/>
              <w:jc w:val="left"/>
            </w:pPr>
          </w:p>
        </w:tc>
      </w:tr>
      <w:tr w:rsidR="00E13A41" w:rsidTr="00BA1B66">
        <w:tc>
          <w:tcPr>
            <w:tcW w:w="3084" w:type="dxa"/>
            <w:shd w:val="clear" w:color="auto" w:fill="auto"/>
          </w:tcPr>
          <w:p w:rsidR="00E13A41" w:rsidRDefault="00E13A41" w:rsidP="00571FC8">
            <w:pPr>
              <w:pStyle w:val="Normal1linespace"/>
              <w:widowControl w:val="0"/>
              <w:jc w:val="left"/>
            </w:pPr>
            <w:r>
              <w:t>Counsel for the Applicant:</w:t>
            </w:r>
          </w:p>
        </w:tc>
        <w:tc>
          <w:tcPr>
            <w:tcW w:w="5989" w:type="dxa"/>
            <w:shd w:val="clear" w:color="auto" w:fill="auto"/>
          </w:tcPr>
          <w:p w:rsidR="00E13A41" w:rsidRDefault="00E13A41" w:rsidP="00571FC8">
            <w:pPr>
              <w:pStyle w:val="Normal1linespace"/>
              <w:widowControl w:val="0"/>
              <w:jc w:val="left"/>
            </w:pPr>
            <w:r>
              <w:t>Ms K Burke</w:t>
            </w:r>
          </w:p>
        </w:tc>
      </w:tr>
      <w:tr w:rsidR="00E13A41" w:rsidTr="00BA1B66">
        <w:tc>
          <w:tcPr>
            <w:tcW w:w="3084" w:type="dxa"/>
            <w:shd w:val="clear" w:color="auto" w:fill="auto"/>
          </w:tcPr>
          <w:p w:rsidR="00E13A41" w:rsidRDefault="00E13A41" w:rsidP="00571FC8">
            <w:pPr>
              <w:pStyle w:val="Normal1linespace"/>
              <w:widowControl w:val="0"/>
              <w:jc w:val="left"/>
            </w:pPr>
          </w:p>
        </w:tc>
        <w:tc>
          <w:tcPr>
            <w:tcW w:w="5989" w:type="dxa"/>
            <w:shd w:val="clear" w:color="auto" w:fill="auto"/>
          </w:tcPr>
          <w:p w:rsidR="00E13A41" w:rsidRDefault="00E13A41" w:rsidP="00571FC8">
            <w:pPr>
              <w:pStyle w:val="Normal1linespace"/>
              <w:widowControl w:val="0"/>
              <w:jc w:val="left"/>
            </w:pPr>
          </w:p>
        </w:tc>
      </w:tr>
      <w:tr w:rsidR="00E13A41" w:rsidTr="00BA1B66">
        <w:tc>
          <w:tcPr>
            <w:tcW w:w="3084" w:type="dxa"/>
            <w:shd w:val="clear" w:color="auto" w:fill="auto"/>
          </w:tcPr>
          <w:p w:rsidR="00E13A41" w:rsidRDefault="00E13A41" w:rsidP="00571FC8">
            <w:pPr>
              <w:pStyle w:val="Normal1linespace"/>
              <w:widowControl w:val="0"/>
              <w:jc w:val="left"/>
            </w:pPr>
            <w:r>
              <w:lastRenderedPageBreak/>
              <w:t>Solicitors for the Applicant:</w:t>
            </w:r>
          </w:p>
        </w:tc>
        <w:tc>
          <w:tcPr>
            <w:tcW w:w="5989" w:type="dxa"/>
            <w:shd w:val="clear" w:color="auto" w:fill="auto"/>
          </w:tcPr>
          <w:p w:rsidR="00E13A41" w:rsidRDefault="00E13A41" w:rsidP="00571FC8">
            <w:pPr>
              <w:pStyle w:val="Normal1linespace"/>
              <w:widowControl w:val="0"/>
              <w:jc w:val="left"/>
            </w:pPr>
            <w:r>
              <w:t>Gordon Legal</w:t>
            </w:r>
          </w:p>
        </w:tc>
      </w:tr>
      <w:tr w:rsidR="00E13A41" w:rsidTr="00BA1B66">
        <w:tc>
          <w:tcPr>
            <w:tcW w:w="3084" w:type="dxa"/>
            <w:shd w:val="clear" w:color="auto" w:fill="auto"/>
          </w:tcPr>
          <w:p w:rsidR="00E13A41" w:rsidRDefault="00E13A41" w:rsidP="00571FC8">
            <w:pPr>
              <w:pStyle w:val="Normal1linespace"/>
              <w:widowControl w:val="0"/>
              <w:jc w:val="left"/>
            </w:pPr>
          </w:p>
        </w:tc>
        <w:tc>
          <w:tcPr>
            <w:tcW w:w="5989" w:type="dxa"/>
            <w:shd w:val="clear" w:color="auto" w:fill="auto"/>
          </w:tcPr>
          <w:p w:rsidR="00E13A41" w:rsidRDefault="00E13A41" w:rsidP="00571FC8">
            <w:pPr>
              <w:pStyle w:val="Normal1linespace"/>
              <w:widowControl w:val="0"/>
              <w:jc w:val="left"/>
            </w:pPr>
          </w:p>
        </w:tc>
      </w:tr>
      <w:tr w:rsidR="00E13A41" w:rsidTr="00BA1B66">
        <w:tc>
          <w:tcPr>
            <w:tcW w:w="3084" w:type="dxa"/>
            <w:shd w:val="clear" w:color="auto" w:fill="auto"/>
          </w:tcPr>
          <w:p w:rsidR="00E13A41" w:rsidRDefault="00E13A41" w:rsidP="00571FC8">
            <w:pPr>
              <w:pStyle w:val="Normal1linespace"/>
              <w:widowControl w:val="0"/>
              <w:jc w:val="left"/>
            </w:pPr>
            <w:r>
              <w:t>Counsel for the Respondent:</w:t>
            </w:r>
          </w:p>
        </w:tc>
        <w:tc>
          <w:tcPr>
            <w:tcW w:w="5989" w:type="dxa"/>
            <w:shd w:val="clear" w:color="auto" w:fill="auto"/>
          </w:tcPr>
          <w:p w:rsidR="00E13A41" w:rsidRDefault="00E13A41" w:rsidP="00571FC8">
            <w:pPr>
              <w:pStyle w:val="Normal1linespace"/>
              <w:widowControl w:val="0"/>
              <w:jc w:val="left"/>
            </w:pPr>
            <w:r>
              <w:t xml:space="preserve">Mr A Pollock </w:t>
            </w:r>
          </w:p>
        </w:tc>
      </w:tr>
      <w:tr w:rsidR="00E13A41" w:rsidTr="00BA1B66">
        <w:tc>
          <w:tcPr>
            <w:tcW w:w="3084" w:type="dxa"/>
            <w:shd w:val="clear" w:color="auto" w:fill="auto"/>
          </w:tcPr>
          <w:p w:rsidR="00E13A41" w:rsidRDefault="00E13A41" w:rsidP="00571FC8">
            <w:pPr>
              <w:pStyle w:val="Normal1linespace"/>
              <w:widowControl w:val="0"/>
              <w:jc w:val="left"/>
            </w:pPr>
          </w:p>
        </w:tc>
        <w:tc>
          <w:tcPr>
            <w:tcW w:w="5989" w:type="dxa"/>
            <w:shd w:val="clear" w:color="auto" w:fill="auto"/>
          </w:tcPr>
          <w:p w:rsidR="00E13A41" w:rsidRDefault="00E13A41" w:rsidP="00571FC8">
            <w:pPr>
              <w:pStyle w:val="Normal1linespace"/>
              <w:widowControl w:val="0"/>
              <w:jc w:val="left"/>
            </w:pPr>
          </w:p>
        </w:tc>
      </w:tr>
      <w:tr w:rsidR="00E13A41" w:rsidTr="00BA1B66">
        <w:tc>
          <w:tcPr>
            <w:tcW w:w="3084" w:type="dxa"/>
            <w:shd w:val="clear" w:color="auto" w:fill="auto"/>
          </w:tcPr>
          <w:p w:rsidR="00E13A41" w:rsidRDefault="00E13A41" w:rsidP="00571FC8">
            <w:pPr>
              <w:pStyle w:val="Normal1linespace"/>
              <w:widowControl w:val="0"/>
              <w:jc w:val="left"/>
            </w:pPr>
            <w:r>
              <w:t xml:space="preserve">Solicitors for the Respondent: </w:t>
            </w:r>
          </w:p>
        </w:tc>
        <w:tc>
          <w:tcPr>
            <w:tcW w:w="5989" w:type="dxa"/>
            <w:shd w:val="clear" w:color="auto" w:fill="auto"/>
          </w:tcPr>
          <w:p w:rsidR="00E13A41" w:rsidRDefault="00E13A41" w:rsidP="00571FC8">
            <w:pPr>
              <w:pStyle w:val="Normal1linespace"/>
              <w:widowControl w:val="0"/>
              <w:jc w:val="left"/>
            </w:pPr>
            <w:r>
              <w:t xml:space="preserve">Herbert Smith Freehills </w:t>
            </w:r>
          </w:p>
        </w:tc>
      </w:tr>
      <w:bookmarkEnd w:id="6"/>
    </w:tbl>
    <w:p w:rsidR="007470BD" w:rsidRDefault="007470BD">
      <w:pPr>
        <w:pStyle w:val="Normal1linespace"/>
      </w:pPr>
    </w:p>
    <w:p w:rsidR="00E94CBF" w:rsidRDefault="00E94CBF">
      <w:pPr>
        <w:pStyle w:val="Normal1linespace"/>
      </w:pPr>
    </w:p>
    <w:p w:rsidR="00BA1B66" w:rsidRDefault="00BA1B66">
      <w:pPr>
        <w:spacing w:line="240" w:lineRule="auto"/>
        <w:jc w:val="left"/>
        <w:rPr>
          <w:b/>
          <w:sz w:val="28"/>
          <w:szCs w:val="28"/>
        </w:rPr>
      </w:pPr>
      <w:r>
        <w:rPr>
          <w:sz w:val="28"/>
          <w:szCs w:val="28"/>
        </w:rPr>
        <w:br w:type="page"/>
      </w: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571FC8" w:rsidP="00F92355">
            <w:pPr>
              <w:pStyle w:val="NormalHeadings"/>
              <w:jc w:val="right"/>
            </w:pPr>
            <w:bookmarkStart w:id="7" w:name="FileNo"/>
            <w:r>
              <w:t>VID 207 of 2021</w:t>
            </w:r>
            <w:bookmarkEnd w:id="7"/>
          </w:p>
        </w:tc>
      </w:tr>
      <w:tr w:rsidR="00A76C13" w:rsidTr="00C76671">
        <w:tc>
          <w:tcPr>
            <w:tcW w:w="9242" w:type="dxa"/>
            <w:gridSpan w:val="3"/>
          </w:tcPr>
          <w:p w:rsidR="00A76C13" w:rsidRPr="00A76C13" w:rsidRDefault="00571FC8" w:rsidP="00571FC8">
            <w:pPr>
              <w:pStyle w:val="NormalHeadings"/>
              <w:jc w:val="left"/>
            </w:pPr>
            <w:bookmarkStart w:id="8" w:name="InTheMatterOf"/>
            <w:r>
              <w:t xml:space="preserve"> </w:t>
            </w:r>
            <w:bookmarkEnd w:id="8"/>
          </w:p>
        </w:tc>
      </w:tr>
      <w:tr w:rsidR="00A46CCC" w:rsidTr="00C76671">
        <w:trPr>
          <w:trHeight w:val="386"/>
        </w:trPr>
        <w:tc>
          <w:tcPr>
            <w:tcW w:w="2376" w:type="dxa"/>
          </w:tcPr>
          <w:p w:rsidR="00A46CCC" w:rsidRDefault="00A46CCC" w:rsidP="00C76671">
            <w:pPr>
              <w:pStyle w:val="NormalHeadings"/>
              <w:jc w:val="left"/>
              <w:rPr>
                <w:caps/>
                <w:szCs w:val="24"/>
              </w:rPr>
            </w:pPr>
            <w:bookmarkStart w:id="9" w:name="Parties"/>
            <w:r>
              <w:rPr>
                <w:caps/>
                <w:szCs w:val="24"/>
              </w:rPr>
              <w:t>BETWEEN:</w:t>
            </w:r>
          </w:p>
        </w:tc>
        <w:tc>
          <w:tcPr>
            <w:tcW w:w="6866" w:type="dxa"/>
            <w:gridSpan w:val="2"/>
          </w:tcPr>
          <w:p w:rsidR="00571FC8" w:rsidRDefault="00571FC8" w:rsidP="00571FC8">
            <w:pPr>
              <w:pStyle w:val="NormalHeadings"/>
              <w:jc w:val="left"/>
            </w:pPr>
            <w:bookmarkStart w:id="10" w:name="Applicant"/>
            <w:r>
              <w:t>AUSTRALIAN RAIL, TRAM AND BUS INDUSTRY UNION</w:t>
            </w:r>
          </w:p>
          <w:p w:rsidR="00571FC8" w:rsidRDefault="00571FC8" w:rsidP="00571FC8">
            <w:pPr>
              <w:pStyle w:val="PartyType"/>
            </w:pPr>
            <w:r>
              <w:t>Applicant</w:t>
            </w:r>
          </w:p>
          <w:bookmarkEnd w:id="10"/>
          <w:p w:rsidR="00A46CCC" w:rsidRPr="006555B4" w:rsidRDefault="00A46CCC" w:rsidP="00C76671">
            <w:pPr>
              <w:pStyle w:val="NormalHeadings"/>
              <w:jc w:val="left"/>
            </w:pPr>
          </w:p>
        </w:tc>
      </w:tr>
      <w:tr w:rsidR="00A46CCC" w:rsidTr="00C76671">
        <w:trPr>
          <w:trHeight w:val="386"/>
        </w:trPr>
        <w:tc>
          <w:tcPr>
            <w:tcW w:w="2376" w:type="dxa"/>
          </w:tcPr>
          <w:p w:rsidR="00A46CCC" w:rsidRDefault="00A46CCC" w:rsidP="00C76671">
            <w:pPr>
              <w:pStyle w:val="NormalHeadings"/>
              <w:jc w:val="left"/>
              <w:rPr>
                <w:caps/>
                <w:szCs w:val="24"/>
              </w:rPr>
            </w:pPr>
            <w:r>
              <w:rPr>
                <w:caps/>
                <w:szCs w:val="24"/>
              </w:rPr>
              <w:t>AND:</w:t>
            </w:r>
          </w:p>
        </w:tc>
        <w:tc>
          <w:tcPr>
            <w:tcW w:w="6866" w:type="dxa"/>
            <w:gridSpan w:val="2"/>
          </w:tcPr>
          <w:p w:rsidR="00571FC8" w:rsidRDefault="00571FC8" w:rsidP="00571FC8">
            <w:pPr>
              <w:pStyle w:val="NormalHeadings"/>
              <w:jc w:val="left"/>
            </w:pPr>
            <w:bookmarkStart w:id="11" w:name="Respondent"/>
            <w:r>
              <w:t>METRO TRAINS MELBOURNE PTY LTD</w:t>
            </w:r>
          </w:p>
          <w:p w:rsidR="00571FC8" w:rsidRDefault="00571FC8" w:rsidP="00571FC8">
            <w:pPr>
              <w:pStyle w:val="PartyType"/>
            </w:pPr>
            <w:r>
              <w:t>Respondent</w:t>
            </w:r>
          </w:p>
          <w:bookmarkEnd w:id="11"/>
          <w:p w:rsidR="00A46CCC" w:rsidRPr="006555B4" w:rsidRDefault="00A46CCC" w:rsidP="00C76671">
            <w:pPr>
              <w:pStyle w:val="NormalHeadings"/>
              <w:jc w:val="left"/>
            </w:pPr>
          </w:p>
        </w:tc>
      </w:tr>
    </w:tbl>
    <w:p w:rsidR="00395B24" w:rsidRDefault="00395B24">
      <w:pPr>
        <w:pStyle w:val="NormalHeadings"/>
      </w:pPr>
      <w:bookmarkStart w:id="12" w:name="CrossClaimPosition"/>
      <w:bookmarkEnd w:id="9"/>
      <w:bookmarkEnd w:id="12"/>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974709">
            <w:pPr>
              <w:pStyle w:val="NormalHeadings"/>
              <w:spacing w:after="120"/>
              <w:jc w:val="left"/>
              <w:rPr>
                <w:caps/>
                <w:szCs w:val="24"/>
              </w:rPr>
            </w:pPr>
            <w:bookmarkStart w:id="13" w:name="JudgeText"/>
            <w:r>
              <w:rPr>
                <w:caps/>
                <w:szCs w:val="24"/>
              </w:rPr>
              <w:t>order made by</w:t>
            </w:r>
            <w:bookmarkEnd w:id="13"/>
            <w:r w:rsidR="002C7385">
              <w:rPr>
                <w:caps/>
                <w:szCs w:val="24"/>
              </w:rPr>
              <w:t>:</w:t>
            </w:r>
          </w:p>
        </w:tc>
        <w:tc>
          <w:tcPr>
            <w:tcW w:w="6866" w:type="dxa"/>
          </w:tcPr>
          <w:p w:rsidR="00395B24" w:rsidRDefault="00571FC8">
            <w:pPr>
              <w:pStyle w:val="NormalHeadings"/>
              <w:jc w:val="left"/>
              <w:rPr>
                <w:caps/>
                <w:szCs w:val="24"/>
              </w:rPr>
            </w:pPr>
            <w:bookmarkStart w:id="14" w:name="Judge"/>
            <w:r>
              <w:rPr>
                <w:caps/>
                <w:szCs w:val="24"/>
              </w:rPr>
              <w:t>WHEELAHAN J</w:t>
            </w:r>
            <w:bookmarkEnd w:id="14"/>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0064AF">
            <w:pPr>
              <w:pStyle w:val="NormalHeadings"/>
              <w:jc w:val="left"/>
              <w:rPr>
                <w:caps/>
                <w:szCs w:val="24"/>
              </w:rPr>
            </w:pPr>
            <w:bookmarkStart w:id="15" w:name="Judgment_Dated"/>
            <w:r>
              <w:rPr>
                <w:caps/>
                <w:szCs w:val="24"/>
              </w:rPr>
              <w:t>4 May 2021</w:t>
            </w:r>
            <w:bookmarkEnd w:id="15"/>
          </w:p>
        </w:tc>
      </w:tr>
    </w:tbl>
    <w:p w:rsidR="00395B24" w:rsidRDefault="00395B24">
      <w:pPr>
        <w:pStyle w:val="NormalHeadings"/>
        <w:rPr>
          <w:b w:val="0"/>
        </w:rPr>
      </w:pPr>
    </w:p>
    <w:p w:rsidR="008D1617" w:rsidRDefault="008D1617">
      <w:pPr>
        <w:pStyle w:val="NormalHeadings"/>
        <w:rPr>
          <w:b w:val="0"/>
        </w:rPr>
      </w:pPr>
    </w:p>
    <w:p w:rsidR="000064AF" w:rsidRDefault="000064AF">
      <w:pPr>
        <w:pStyle w:val="NormalHeadings"/>
      </w:pPr>
      <w:r>
        <w:t xml:space="preserve">OTHER MATTERS: </w:t>
      </w:r>
    </w:p>
    <w:p w:rsidR="000064AF" w:rsidRDefault="000064AF">
      <w:pPr>
        <w:pStyle w:val="NormalHeadings"/>
      </w:pPr>
    </w:p>
    <w:p w:rsidR="000064AF" w:rsidRDefault="000064AF" w:rsidP="0096072A">
      <w:pPr>
        <w:pStyle w:val="NoNum"/>
      </w:pPr>
      <w:r>
        <w:t xml:space="preserve">Upon the applicant, by its counsel, undertaking: </w:t>
      </w:r>
    </w:p>
    <w:p w:rsidR="000064AF" w:rsidRDefault="000064AF" w:rsidP="0096072A">
      <w:pPr>
        <w:pStyle w:val="FCBullets"/>
      </w:pPr>
      <w:r w:rsidRPr="000064AF">
        <w:t>to file and serve, by 12.00pm on Tuesday 4 May 2021</w:t>
      </w:r>
      <w:r w:rsidR="00442AC9">
        <w:t>,</w:t>
      </w:r>
      <w:r w:rsidRPr="000064AF">
        <w:t xml:space="preserve"> an application that the Fair Work Commission deal with the dispute it notified to the </w:t>
      </w:r>
      <w:r>
        <w:t>r</w:t>
      </w:r>
      <w:r w:rsidRPr="000064AF">
        <w:t>espondent by letter dated 16 April 2021 concerning the implementation of the proposed station grades restructure, and to seek to have the Fair Work Commission deal with the d</w:t>
      </w:r>
      <w:r>
        <w:t xml:space="preserve">ispute on an urgent basis, </w:t>
      </w:r>
    </w:p>
    <w:p w:rsidR="000064AF" w:rsidRDefault="000064AF" w:rsidP="0096072A">
      <w:pPr>
        <w:pStyle w:val="NoNum"/>
      </w:pPr>
      <w:proofErr w:type="gramStart"/>
      <w:r>
        <w:t>and</w:t>
      </w:r>
      <w:proofErr w:type="gramEnd"/>
      <w:r>
        <w:t xml:space="preserve"> upon the respondent, by its counsel, undertaking: </w:t>
      </w:r>
    </w:p>
    <w:p w:rsidR="000064AF" w:rsidRDefault="000064AF" w:rsidP="0096072A">
      <w:pPr>
        <w:pStyle w:val="FCBullets"/>
      </w:pPr>
      <w:r>
        <w:t xml:space="preserve">that, until the Fair Work Commission resolves or determines </w:t>
      </w:r>
      <w:r w:rsidR="00442AC9">
        <w:t>the dispute referred to in the a</w:t>
      </w:r>
      <w:r>
        <w:t>pplicant’s undertaking, it will not as part of its proposed station grades restructure:</w:t>
      </w:r>
    </w:p>
    <w:p w:rsidR="000064AF" w:rsidRDefault="000064AF" w:rsidP="0096072A">
      <w:pPr>
        <w:pStyle w:val="ListNo2"/>
      </w:pPr>
      <w:r>
        <w:t xml:space="preserve">redeploy any station grade employees to other roles; or </w:t>
      </w:r>
    </w:p>
    <w:p w:rsidR="000064AF" w:rsidRDefault="000064AF" w:rsidP="0096072A">
      <w:pPr>
        <w:pStyle w:val="ListNo2"/>
      </w:pPr>
      <w:r>
        <w:t>make any station</w:t>
      </w:r>
      <w:r w:rsidR="00704F2B">
        <w:t xml:space="preserve"> grade employee roles redundant, </w:t>
      </w:r>
    </w:p>
    <w:p w:rsidR="00704F2B" w:rsidRDefault="00704F2B" w:rsidP="0096072A">
      <w:pPr>
        <w:pStyle w:val="NoNum"/>
      </w:pPr>
      <w:proofErr w:type="gramStart"/>
      <w:r>
        <w:t>the</w:t>
      </w:r>
      <w:proofErr w:type="gramEnd"/>
      <w:r>
        <w:t xml:space="preserve"> court makes the following order. </w:t>
      </w:r>
    </w:p>
    <w:p w:rsidR="000064AF" w:rsidRDefault="000064AF">
      <w:pPr>
        <w:pStyle w:val="NormalHeadings"/>
      </w:pPr>
    </w:p>
    <w:p w:rsidR="00395B24" w:rsidRDefault="002C7385">
      <w:pPr>
        <w:pStyle w:val="NormalHeadings"/>
      </w:pPr>
      <w:r>
        <w:t>THE COURT ORDERS THAT:</w:t>
      </w:r>
    </w:p>
    <w:p w:rsidR="007F60DF" w:rsidRDefault="007F60DF" w:rsidP="00243E5E">
      <w:pPr>
        <w:pStyle w:val="NormalHeadings"/>
      </w:pPr>
    </w:p>
    <w:p w:rsidR="001A6C52" w:rsidRDefault="000064AF" w:rsidP="0096072A">
      <w:pPr>
        <w:pStyle w:val="NoNum"/>
      </w:pPr>
      <w:r>
        <w:t xml:space="preserve">The </w:t>
      </w:r>
      <w:r w:rsidR="00704F2B">
        <w:t xml:space="preserve">applicant’s claim for interlocutory relief, claimed at page seven of its originating application dated 28 April 2021, </w:t>
      </w:r>
      <w:r>
        <w:t>be dismissed</w:t>
      </w:r>
      <w:r w:rsidR="00704F2B">
        <w:t xml:space="preserve">. </w:t>
      </w:r>
    </w:p>
    <w:p w:rsidR="001A6C52" w:rsidRDefault="001A6C52" w:rsidP="001A6C52">
      <w:pPr>
        <w:pStyle w:val="BodyText"/>
      </w:pPr>
    </w:p>
    <w:p w:rsidR="00A431E6" w:rsidRDefault="00A431E6" w:rsidP="001A6C52">
      <w:pPr>
        <w:pStyle w:val="BodyText"/>
      </w:pPr>
    </w:p>
    <w:p w:rsidR="0050309C" w:rsidRDefault="00571FC8" w:rsidP="004D53E5">
      <w:pPr>
        <w:pStyle w:val="SingleSpace"/>
      </w:pPr>
      <w:bookmarkStart w:id="16" w:name="OrdersStatement"/>
      <w:r>
        <w:t>Note:</w:t>
      </w:r>
      <w:r>
        <w:tab/>
        <w:t xml:space="preserve">Entry of orders is dealt with in Rule 39.32 of the </w:t>
      </w:r>
      <w:r>
        <w:rPr>
          <w:i/>
        </w:rPr>
        <w:t>Federal Court Rules 2011</w:t>
      </w:r>
      <w:r>
        <w:t>.</w:t>
      </w:r>
      <w:bookmarkEnd w:id="16"/>
    </w:p>
    <w:p w:rsidR="009D328D" w:rsidRDefault="009D328D" w:rsidP="002B0E91">
      <w:pPr>
        <w:pStyle w:val="BodyText"/>
      </w:pPr>
    </w:p>
    <w:p w:rsidR="00395B24" w:rsidRDefault="00395B24">
      <w:pPr>
        <w:pStyle w:val="NormalHeadings"/>
        <w:spacing w:before="240" w:after="120"/>
        <w:rPr>
          <w:b w:val="0"/>
        </w:rPr>
        <w:sectPr w:rsidR="00395B24" w:rsidSect="0092590B">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440" w:right="1440" w:bottom="1440" w:left="1440" w:header="851" w:footer="851" w:gutter="0"/>
          <w:pgNumType w:fmt="lowerRoman" w:start="1"/>
          <w:cols w:space="720"/>
          <w:noEndnote/>
          <w:titlePg/>
        </w:sectPr>
      </w:pPr>
    </w:p>
    <w:p w:rsidR="00484F6D" w:rsidRDefault="00484F6D" w:rsidP="00045BB7">
      <w:pPr>
        <w:pStyle w:val="NormalHeadings"/>
        <w:spacing w:line="480" w:lineRule="auto"/>
        <w:jc w:val="center"/>
        <w:rPr>
          <w:sz w:val="28"/>
          <w:szCs w:val="28"/>
        </w:rPr>
      </w:pPr>
      <w:bookmarkStart w:id="17" w:name="ReasonsPage"/>
      <w:bookmarkEnd w:id="17"/>
      <w:r w:rsidRPr="00045BB7">
        <w:rPr>
          <w:sz w:val="28"/>
          <w:szCs w:val="28"/>
        </w:rPr>
        <w:lastRenderedPageBreak/>
        <w:t>REASONS FOR JUDGMENT</w:t>
      </w:r>
    </w:p>
    <w:p w:rsidR="00FA4F1B" w:rsidRPr="00FA4F1B" w:rsidRDefault="00FA4F1B" w:rsidP="00045BB7">
      <w:pPr>
        <w:pStyle w:val="NormalHeadings"/>
        <w:spacing w:line="480" w:lineRule="auto"/>
        <w:jc w:val="center"/>
        <w:rPr>
          <w:sz w:val="28"/>
          <w:szCs w:val="28"/>
        </w:rPr>
      </w:pPr>
      <w:r>
        <w:rPr>
          <w:sz w:val="28"/>
          <w:szCs w:val="28"/>
        </w:rPr>
        <w:t>(</w:t>
      </w:r>
      <w:proofErr w:type="gramStart"/>
      <w:r>
        <w:rPr>
          <w:sz w:val="28"/>
          <w:szCs w:val="28"/>
        </w:rPr>
        <w:t>ex</w:t>
      </w:r>
      <w:proofErr w:type="gramEnd"/>
      <w:r>
        <w:rPr>
          <w:sz w:val="28"/>
          <w:szCs w:val="28"/>
        </w:rPr>
        <w:t xml:space="preserve"> tempore, revised)</w:t>
      </w:r>
    </w:p>
    <w:p w:rsidR="00694BEB" w:rsidRDefault="00571FC8" w:rsidP="005E0510">
      <w:pPr>
        <w:pStyle w:val="NormalHeadings"/>
        <w:spacing w:line="360" w:lineRule="auto"/>
        <w:jc w:val="left"/>
        <w:rPr>
          <w:sz w:val="26"/>
          <w:szCs w:val="26"/>
        </w:rPr>
      </w:pPr>
      <w:r>
        <w:rPr>
          <w:sz w:val="26"/>
          <w:szCs w:val="26"/>
        </w:rPr>
        <w:t>WHEELAHAN J:</w:t>
      </w:r>
    </w:p>
    <w:p w:rsidR="00571FC8" w:rsidRDefault="00571FC8" w:rsidP="00B756C5">
      <w:pPr>
        <w:pStyle w:val="ParaNumbering"/>
      </w:pPr>
      <w:r>
        <w:t xml:space="preserve">The applicant </w:t>
      </w:r>
      <w:r w:rsidR="00BB6E37">
        <w:t xml:space="preserve">brought an urgent application before me as general duty judge seeking </w:t>
      </w:r>
      <w:r>
        <w:t xml:space="preserve">an interlocutory </w:t>
      </w:r>
      <w:proofErr w:type="spellStart"/>
      <w:r w:rsidR="00EA47C3">
        <w:rPr>
          <w:i/>
        </w:rPr>
        <w:t>quia</w:t>
      </w:r>
      <w:proofErr w:type="spellEnd"/>
      <w:r w:rsidR="00EA47C3">
        <w:rPr>
          <w:i/>
        </w:rPr>
        <w:t xml:space="preserve"> </w:t>
      </w:r>
      <w:proofErr w:type="spellStart"/>
      <w:r w:rsidR="00EA47C3">
        <w:rPr>
          <w:i/>
        </w:rPr>
        <w:t>timet</w:t>
      </w:r>
      <w:proofErr w:type="spellEnd"/>
      <w:r w:rsidR="00EA47C3">
        <w:rPr>
          <w:i/>
        </w:rPr>
        <w:t xml:space="preserve"> </w:t>
      </w:r>
      <w:r>
        <w:t xml:space="preserve">injunction pending hearing in relation to an alleged contravention of </w:t>
      </w:r>
      <w:r w:rsidR="00EF26B2">
        <w:t xml:space="preserve">the </w:t>
      </w:r>
      <w:r w:rsidR="00EF26B2">
        <w:rPr>
          <w:i/>
        </w:rPr>
        <w:t>Metro Trains Melbourne Pty Ltd Rail Operations Enterprise Agreement 2019</w:t>
      </w:r>
      <w:r w:rsidR="00EF26B2">
        <w:t>.</w:t>
      </w:r>
      <w:r>
        <w:t xml:space="preserve"> </w:t>
      </w:r>
      <w:r w:rsidR="008308A6">
        <w:t>The enterprise agreement</w:t>
      </w:r>
      <w:r w:rsidR="00EF26B2">
        <w:t xml:space="preserve"> was approved </w:t>
      </w:r>
      <w:r w:rsidR="00E95AFC">
        <w:t xml:space="preserve">on </w:t>
      </w:r>
      <w:r w:rsidR="00EF26B2">
        <w:t xml:space="preserve">21 May 2020, and </w:t>
      </w:r>
      <w:r>
        <w:t xml:space="preserve">covers </w:t>
      </w:r>
      <w:r w:rsidR="00E95AFC">
        <w:t>(</w:t>
      </w:r>
      <w:r w:rsidR="00E95AFC" w:rsidRPr="0096072A">
        <w:rPr>
          <w:i/>
        </w:rPr>
        <w:t xml:space="preserve">inter </w:t>
      </w:r>
      <w:proofErr w:type="spellStart"/>
      <w:r w:rsidR="00E95AFC" w:rsidRPr="0096072A">
        <w:rPr>
          <w:i/>
        </w:rPr>
        <w:t>ali</w:t>
      </w:r>
      <w:r w:rsidR="0017279C" w:rsidRPr="0096072A">
        <w:rPr>
          <w:i/>
        </w:rPr>
        <w:t>os</w:t>
      </w:r>
      <w:proofErr w:type="spellEnd"/>
      <w:r w:rsidR="00E95AFC">
        <w:t xml:space="preserve">) </w:t>
      </w:r>
      <w:r>
        <w:t>the respondent, certain employees of the respondent</w:t>
      </w:r>
      <w:r w:rsidR="00543BEB">
        <w:t>,</w:t>
      </w:r>
      <w:r>
        <w:t xml:space="preserve"> and the applicant.</w:t>
      </w:r>
      <w:r w:rsidR="00543BEB">
        <w:t xml:space="preserve"> </w:t>
      </w:r>
      <w:r>
        <w:t xml:space="preserve">The employees of the respondent </w:t>
      </w:r>
      <w:r w:rsidR="00C95AB1">
        <w:t>who</w:t>
      </w:r>
      <w:r>
        <w:t xml:space="preserve"> are covered by the agreement </w:t>
      </w:r>
      <w:r w:rsidR="00DF2795">
        <w:t xml:space="preserve">include </w:t>
      </w:r>
      <w:r w:rsidR="00BE37B5">
        <w:t>station</w:t>
      </w:r>
      <w:r w:rsidR="00E34684">
        <w:t xml:space="preserve"> </w:t>
      </w:r>
      <w:r w:rsidR="00DF2795">
        <w:t>masters</w:t>
      </w:r>
      <w:r w:rsidR="00E34684">
        <w:t>,</w:t>
      </w:r>
      <w:r w:rsidR="00164BA7">
        <w:t xml:space="preserve"> and </w:t>
      </w:r>
      <w:r w:rsidR="00D02A5C">
        <w:t>passenger service leaders</w:t>
      </w:r>
      <w:r w:rsidR="00B756C5">
        <w:t xml:space="preserve"> </w:t>
      </w:r>
      <w:r w:rsidR="00B756C5" w:rsidRPr="00B756C5">
        <w:t>employed in the respondent’s suburban railway system</w:t>
      </w:r>
      <w:r w:rsidR="00A439FD">
        <w:t>.</w:t>
      </w:r>
      <w:r w:rsidR="00DF2795">
        <w:t xml:space="preserve"> </w:t>
      </w:r>
    </w:p>
    <w:p w:rsidR="00DF2795" w:rsidRDefault="00DF2795" w:rsidP="0051434F">
      <w:pPr>
        <w:pStyle w:val="ParaNumbering"/>
      </w:pPr>
      <w:r>
        <w:t>Clause 3.14 of the enterprise agreement provides for a joint review for role</w:t>
      </w:r>
      <w:r w:rsidR="00307BDE">
        <w:t>s</w:t>
      </w:r>
      <w:r>
        <w:t xml:space="preserve"> and responsibilities and classification structure for customer service employees,</w:t>
      </w:r>
      <w:r w:rsidR="00BE37B5">
        <w:t xml:space="preserve"> including a simplified station</w:t>
      </w:r>
      <w:r w:rsidR="00914049">
        <w:t xml:space="preserve"> </w:t>
      </w:r>
      <w:r>
        <w:t>master structure, and is in the following terms</w:t>
      </w:r>
      <w:r w:rsidR="00307BDE">
        <w:t> </w:t>
      </w:r>
      <w:r>
        <w:t>–</w:t>
      </w:r>
    </w:p>
    <w:p w:rsidR="00F87F33" w:rsidRDefault="00F87F33" w:rsidP="00F87F33">
      <w:pPr>
        <w:pStyle w:val="Quote1"/>
      </w:pPr>
      <w:r>
        <w:rPr>
          <w:b/>
        </w:rPr>
        <w:t>3.14</w:t>
      </w:r>
      <w:r>
        <w:rPr>
          <w:b/>
        </w:rPr>
        <w:tab/>
        <w:t>Classifications</w:t>
      </w:r>
    </w:p>
    <w:p w:rsidR="00F87F33" w:rsidRDefault="00F87F33" w:rsidP="00F87F33">
      <w:pPr>
        <w:pStyle w:val="Quote2"/>
        <w:ind w:left="2160" w:hanging="720"/>
      </w:pPr>
      <w:r>
        <w:t>3.14.1</w:t>
      </w:r>
      <w:r>
        <w:tab/>
        <w:t>A joint review of the roles and responsibilities and classification structure for Customer service (station grades) Employees including a simplified Station Master structure as set out in Schedule B shall be undertaken.</w:t>
      </w:r>
    </w:p>
    <w:p w:rsidR="00F87F33" w:rsidRDefault="00F87F33" w:rsidP="00F87F33">
      <w:pPr>
        <w:pStyle w:val="Quote2"/>
        <w:ind w:left="2160" w:hanging="720"/>
      </w:pPr>
      <w:r>
        <w:t>3.14.2</w:t>
      </w:r>
      <w:r>
        <w:tab/>
        <w:t>Current Stationmaster level 5 and 7 classifications shall be removed from Schedule B and those impacted employees will be reclassified to the next level upon approval of the agreement.</w:t>
      </w:r>
    </w:p>
    <w:p w:rsidR="00F87F33" w:rsidRDefault="00F87F33" w:rsidP="00306D6C">
      <w:pPr>
        <w:pStyle w:val="Quote2"/>
        <w:ind w:left="2127"/>
      </w:pPr>
      <w:r>
        <w:t>The joint review of the new levels of Assistant Stationmaster, Stationmaster and Senior Stationmaster and Station Manager (Flinders Street) will be implemented within 12 months of the certification of the agreement.</w:t>
      </w:r>
    </w:p>
    <w:p w:rsidR="00F87F33" w:rsidRDefault="00190641" w:rsidP="00190641">
      <w:pPr>
        <w:pStyle w:val="Quote2"/>
        <w:ind w:left="2160" w:hanging="742"/>
      </w:pPr>
      <w:r>
        <w:t>3.14.3</w:t>
      </w:r>
      <w:r>
        <w:tab/>
      </w:r>
      <w:r w:rsidR="00F87F33">
        <w:t>A review of the roles and responsibilities for Signallers, Train Controllers, AO Team leaders, AO Crew leaders and D.A.O’s are a priority for the review process.</w:t>
      </w:r>
    </w:p>
    <w:p w:rsidR="00F87F33" w:rsidRDefault="00190641" w:rsidP="00190641">
      <w:pPr>
        <w:pStyle w:val="Quote2"/>
        <w:ind w:left="2160" w:hanging="720"/>
      </w:pPr>
      <w:r>
        <w:t>3.14.4</w:t>
      </w:r>
      <w:r>
        <w:tab/>
      </w:r>
      <w:r w:rsidR="00F87F33">
        <w:t>Other grades may make application for a review of their roles and responsibilities during the lifetime of the agreement.</w:t>
      </w:r>
    </w:p>
    <w:p w:rsidR="00F87F33" w:rsidRDefault="00190641" w:rsidP="00190641">
      <w:pPr>
        <w:pStyle w:val="Quote2"/>
        <w:ind w:left="2160" w:hanging="720"/>
      </w:pPr>
      <w:r>
        <w:t>3.14.5</w:t>
      </w:r>
      <w:r>
        <w:tab/>
      </w:r>
      <w:r w:rsidR="00F87F33">
        <w:t>Any review leading to a reduction in grade/level shall see the impacted Employee subject to Salary Maintenance provisions at clause 2.21 Salary Maintenance – Appointment of Redeployed Employee.</w:t>
      </w:r>
    </w:p>
    <w:p w:rsidR="00F87F33" w:rsidRDefault="00190641" w:rsidP="00190641">
      <w:pPr>
        <w:pStyle w:val="Quote2"/>
        <w:ind w:left="2160" w:hanging="720"/>
      </w:pPr>
      <w:r>
        <w:t>3.14.6</w:t>
      </w:r>
      <w:r>
        <w:tab/>
      </w:r>
      <w:r w:rsidR="00F87F33">
        <w:t>New station Employees will commence at level Station Assistant 2 (SA2). Progression will then occur to LSA 1 after 6 months.</w:t>
      </w:r>
    </w:p>
    <w:p w:rsidR="00914049" w:rsidRDefault="002A070D" w:rsidP="0051434F">
      <w:pPr>
        <w:pStyle w:val="ParaNumbering"/>
      </w:pPr>
      <w:r>
        <w:lastRenderedPageBreak/>
        <w:t xml:space="preserve">An understanding of the above clause is informed by </w:t>
      </w:r>
      <w:r w:rsidR="00914049">
        <w:t>Schedule B to the enterprise agreement</w:t>
      </w:r>
      <w:r>
        <w:t>, which</w:t>
      </w:r>
      <w:r w:rsidR="00914049">
        <w:t xml:space="preserve"> </w:t>
      </w:r>
      <w:r w:rsidR="00896EB3">
        <w:t xml:space="preserve">sets out a number of classifications and rates of pay for </w:t>
      </w:r>
      <w:r w:rsidR="00CC3D9D">
        <w:t xml:space="preserve">employees, including </w:t>
      </w:r>
      <w:r w:rsidR="00896EB3">
        <w:t>station officers, station masters, station assistants, and leading station assistants.</w:t>
      </w:r>
      <w:r w:rsidR="00F329F7">
        <w:t xml:space="preserve"> The respondent claimed that there were in excess of 30 classifications that might be captured by the joint review.</w:t>
      </w:r>
    </w:p>
    <w:p w:rsidR="00DF2795" w:rsidRDefault="00FE0098" w:rsidP="0051434F">
      <w:pPr>
        <w:pStyle w:val="ParaNumbering"/>
      </w:pPr>
      <w:r>
        <w:t>In April 2021</w:t>
      </w:r>
      <w:r w:rsidR="0046178F">
        <w:t>,</w:t>
      </w:r>
      <w:r>
        <w:t xml:space="preserve"> t</w:t>
      </w:r>
      <w:r w:rsidR="00DF2795">
        <w:t>he respondent proposed some changes to its stations structure</w:t>
      </w:r>
      <w:r w:rsidR="00B758F2">
        <w:t>, to be effective from 24 May 2021</w:t>
      </w:r>
      <w:r w:rsidR="00DF2795">
        <w:t>. In summary, those changes would involve</w:t>
      </w:r>
      <w:r w:rsidR="006D721F">
        <w:t> </w:t>
      </w:r>
      <w:r w:rsidR="00DF2795">
        <w:t>–</w:t>
      </w:r>
    </w:p>
    <w:p w:rsidR="00DF2795" w:rsidRDefault="00DF2795" w:rsidP="006D721F">
      <w:pPr>
        <w:pStyle w:val="Order2"/>
        <w:ind w:left="709"/>
      </w:pPr>
      <w:r>
        <w:t>an overall red</w:t>
      </w:r>
      <w:r w:rsidR="00BE37B5">
        <w:t>uction in the number of station</w:t>
      </w:r>
      <w:r w:rsidR="00605373">
        <w:t xml:space="preserve"> </w:t>
      </w:r>
      <w:r>
        <w:t>masters across the respondent’s network;</w:t>
      </w:r>
    </w:p>
    <w:p w:rsidR="00DF2795" w:rsidRDefault="00764B14" w:rsidP="006D721F">
      <w:pPr>
        <w:pStyle w:val="Order2"/>
        <w:ind w:left="709"/>
      </w:pPr>
      <w:r>
        <w:t xml:space="preserve">an increase in </w:t>
      </w:r>
      <w:r w:rsidR="00BE37B5">
        <w:t>station</w:t>
      </w:r>
      <w:r w:rsidR="00605373">
        <w:t xml:space="preserve"> </w:t>
      </w:r>
      <w:r w:rsidR="00DF2795">
        <w:t xml:space="preserve">master positions </w:t>
      </w:r>
      <w:r w:rsidR="00D54CE2">
        <w:t>in some</w:t>
      </w:r>
      <w:r w:rsidR="0046785E">
        <w:t xml:space="preserve"> classification</w:t>
      </w:r>
      <w:r>
        <w:t xml:space="preserve"> levels </w:t>
      </w:r>
      <w:r w:rsidR="0046785E">
        <w:t xml:space="preserve">at </w:t>
      </w:r>
      <w:r w:rsidR="00DF2795">
        <w:t>some railway stations;</w:t>
      </w:r>
    </w:p>
    <w:p w:rsidR="00DF2795" w:rsidRDefault="00BE37B5" w:rsidP="006D721F">
      <w:pPr>
        <w:pStyle w:val="Order2"/>
        <w:ind w:left="709"/>
      </w:pPr>
      <w:r>
        <w:t xml:space="preserve">the </w:t>
      </w:r>
      <w:r w:rsidR="0046785E">
        <w:t>reduction</w:t>
      </w:r>
      <w:r>
        <w:t xml:space="preserve"> </w:t>
      </w:r>
      <w:r w:rsidR="0046785E">
        <w:t xml:space="preserve">in </w:t>
      </w:r>
      <w:r>
        <w:t>station</w:t>
      </w:r>
      <w:r w:rsidR="00605373">
        <w:t xml:space="preserve"> </w:t>
      </w:r>
      <w:r w:rsidR="00DF2795">
        <w:t xml:space="preserve">master positions </w:t>
      </w:r>
      <w:r w:rsidR="00D54CE2">
        <w:t>in some</w:t>
      </w:r>
      <w:r w:rsidR="0046785E">
        <w:t xml:space="preserve"> classification level</w:t>
      </w:r>
      <w:r w:rsidR="00297C22">
        <w:t xml:space="preserve">s </w:t>
      </w:r>
      <w:r w:rsidR="0046785E">
        <w:t>at</w:t>
      </w:r>
      <w:r w:rsidR="00DF2795">
        <w:t xml:space="preserve"> other railway stations;</w:t>
      </w:r>
      <w:r w:rsidR="00D02A5C">
        <w:t xml:space="preserve"> and</w:t>
      </w:r>
    </w:p>
    <w:p w:rsidR="00DF2795" w:rsidRDefault="00DF2795" w:rsidP="006D721F">
      <w:pPr>
        <w:pStyle w:val="Order2"/>
        <w:ind w:left="709"/>
      </w:pPr>
      <w:proofErr w:type="gramStart"/>
      <w:r>
        <w:t>the</w:t>
      </w:r>
      <w:proofErr w:type="gramEnd"/>
      <w:r>
        <w:t xml:space="preserve"> effective removal of one level</w:t>
      </w:r>
      <w:r w:rsidR="00605373">
        <w:t xml:space="preserve"> of employees</w:t>
      </w:r>
      <w:r>
        <w:t>, namely passenger service leaders.</w:t>
      </w:r>
    </w:p>
    <w:p w:rsidR="00DF2795" w:rsidRDefault="007A47CA" w:rsidP="00634652">
      <w:pPr>
        <w:pStyle w:val="ParaNumbering"/>
      </w:pPr>
      <w:r>
        <w:t>During April 2021, t</w:t>
      </w:r>
      <w:r w:rsidR="00DF2795">
        <w:t xml:space="preserve">he respondent communicated </w:t>
      </w:r>
      <w:r w:rsidR="00DE691A">
        <w:t>these proposed changes to the applicant and to relevant employees throu</w:t>
      </w:r>
      <w:r w:rsidR="006D721F">
        <w:t>gh the distribution of PowerP</w:t>
      </w:r>
      <w:r w:rsidR="00DE691A">
        <w:t xml:space="preserve">oint slides, </w:t>
      </w:r>
      <w:r>
        <w:t>and in</w:t>
      </w:r>
      <w:r w:rsidR="00DE691A">
        <w:t xml:space="preserve"> meetings, including meetings held via online platforms. The content of the communications to the relevant employees include</w:t>
      </w:r>
      <w:r w:rsidR="00D90D3D">
        <w:t>d</w:t>
      </w:r>
      <w:r w:rsidR="00DE691A">
        <w:t xml:space="preserve"> seeking expressions of interest for voluntary redundancies, </w:t>
      </w:r>
      <w:r w:rsidR="00A35344">
        <w:t xml:space="preserve">communications </w:t>
      </w:r>
      <w:r w:rsidR="00DE691A">
        <w:t>proposing redeployment</w:t>
      </w:r>
      <w:r w:rsidR="00634652">
        <w:t>, and a lengthy “FAQ” document</w:t>
      </w:r>
      <w:r w:rsidR="00DE691A">
        <w:t xml:space="preserve">. The respondent stated in its communications that </w:t>
      </w:r>
      <w:r w:rsidR="008A0A72">
        <w:t xml:space="preserve">consultation </w:t>
      </w:r>
      <w:r w:rsidR="00D90D3D">
        <w:t>would</w:t>
      </w:r>
      <w:r w:rsidR="008A0A72">
        <w:t xml:space="preserve"> occur from Wednesday 14 April to Tuesday 11 May 2021</w:t>
      </w:r>
      <w:r w:rsidR="006D721F">
        <w:t xml:space="preserve"> and, in a set of PowerP</w:t>
      </w:r>
      <w:r w:rsidR="008A0A72">
        <w:t>oint slides dated 14 April 2021</w:t>
      </w:r>
      <w:r w:rsidR="006D721F">
        <w:t>,</w:t>
      </w:r>
      <w:r w:rsidR="008A0A72">
        <w:t xml:space="preserve"> </w:t>
      </w:r>
      <w:r w:rsidR="006D721F">
        <w:t>proposed a timetable as follows </w:t>
      </w:r>
      <w:r w:rsidR="008A0A72">
        <w:t>–</w:t>
      </w:r>
    </w:p>
    <w:p w:rsidR="00B0420C" w:rsidRDefault="00B0420C" w:rsidP="00B0420C">
      <w:pPr>
        <w:pStyle w:val="Quote1"/>
        <w:tabs>
          <w:tab w:val="left" w:pos="4253"/>
        </w:tabs>
      </w:pPr>
      <w:r>
        <w:t>14</w:t>
      </w:r>
      <w:r w:rsidRPr="00B0420C">
        <w:rPr>
          <w:vertAlign w:val="superscript"/>
        </w:rPr>
        <w:t>th</w:t>
      </w:r>
      <w:r>
        <w:t xml:space="preserve"> April, 2021</w:t>
      </w:r>
      <w:r>
        <w:tab/>
        <w:t>Consultation commences</w:t>
      </w:r>
    </w:p>
    <w:p w:rsidR="00B0420C" w:rsidRDefault="00B0420C" w:rsidP="00B0420C">
      <w:pPr>
        <w:pStyle w:val="Quote1"/>
        <w:tabs>
          <w:tab w:val="left" w:pos="4253"/>
        </w:tabs>
      </w:pPr>
      <w:r>
        <w:t>11</w:t>
      </w:r>
      <w:r w:rsidRPr="00B0420C">
        <w:rPr>
          <w:vertAlign w:val="superscript"/>
        </w:rPr>
        <w:t>th</w:t>
      </w:r>
      <w:r>
        <w:t xml:space="preserve"> May, 2021</w:t>
      </w:r>
      <w:r>
        <w:tab/>
        <w:t>Consultation Concludes</w:t>
      </w:r>
    </w:p>
    <w:p w:rsidR="00B0420C" w:rsidRDefault="00B0420C" w:rsidP="00B0420C">
      <w:pPr>
        <w:pStyle w:val="Quote1"/>
        <w:tabs>
          <w:tab w:val="left" w:pos="4253"/>
        </w:tabs>
      </w:pPr>
      <w:r>
        <w:t>12</w:t>
      </w:r>
      <w:r w:rsidRPr="00B0420C">
        <w:rPr>
          <w:vertAlign w:val="superscript"/>
        </w:rPr>
        <w:t>th</w:t>
      </w:r>
      <w:r>
        <w:t xml:space="preserve"> – 19</w:t>
      </w:r>
      <w:r w:rsidRPr="00B0420C">
        <w:rPr>
          <w:vertAlign w:val="superscript"/>
        </w:rPr>
        <w:t>th</w:t>
      </w:r>
      <w:r>
        <w:t xml:space="preserve"> May, 2021</w:t>
      </w:r>
      <w:r>
        <w:tab/>
        <w:t>Interview and Assessment process</w:t>
      </w:r>
    </w:p>
    <w:p w:rsidR="00B0420C" w:rsidRDefault="00B0420C" w:rsidP="00B0420C">
      <w:pPr>
        <w:pStyle w:val="Quote1"/>
        <w:tabs>
          <w:tab w:val="left" w:pos="4253"/>
        </w:tabs>
      </w:pPr>
      <w:r>
        <w:t>24</w:t>
      </w:r>
      <w:r w:rsidRPr="00B0420C">
        <w:rPr>
          <w:vertAlign w:val="superscript"/>
        </w:rPr>
        <w:t>th</w:t>
      </w:r>
      <w:r>
        <w:t xml:space="preserve"> May, 2021</w:t>
      </w:r>
      <w:r>
        <w:tab/>
        <w:t>Effective Date of new structure*</w:t>
      </w:r>
    </w:p>
    <w:p w:rsidR="00B0420C" w:rsidRDefault="00B0420C" w:rsidP="00B0420C">
      <w:pPr>
        <w:pStyle w:val="Quote1"/>
        <w:tabs>
          <w:tab w:val="left" w:pos="4253"/>
        </w:tabs>
      </w:pPr>
      <w:r>
        <w:t>Up to 4 weeks from 21</w:t>
      </w:r>
      <w:r w:rsidRPr="00B0420C">
        <w:rPr>
          <w:vertAlign w:val="superscript"/>
        </w:rPr>
        <w:t>st</w:t>
      </w:r>
      <w:r>
        <w:t xml:space="preserve"> May 2021</w:t>
      </w:r>
      <w:r>
        <w:tab/>
        <w:t>Redeployment period*</w:t>
      </w:r>
    </w:p>
    <w:p w:rsidR="00B0420C" w:rsidRDefault="00B0420C" w:rsidP="00B0420C">
      <w:pPr>
        <w:pStyle w:val="Quote1"/>
        <w:tabs>
          <w:tab w:val="left" w:pos="4253"/>
        </w:tabs>
      </w:pPr>
      <w:r>
        <w:t>*Pending consultation outcomes</w:t>
      </w:r>
    </w:p>
    <w:p w:rsidR="008B2A5D" w:rsidRDefault="00801928" w:rsidP="007A4DBA">
      <w:pPr>
        <w:pStyle w:val="ParaNumbering"/>
      </w:pPr>
      <w:r>
        <w:t>On Friday 16 April 2021</w:t>
      </w:r>
      <w:r w:rsidR="006D721F">
        <w:t>,</w:t>
      </w:r>
      <w:r>
        <w:t xml:space="preserve"> the applicant wrote to the respondent to invoke the dispute resolution provisions of the enterprise agreement. The applicant claimed that the restructure that the respondent had announced in relation to the passenger service leader and station</w:t>
      </w:r>
      <w:r w:rsidR="00064F78">
        <w:t xml:space="preserve"> </w:t>
      </w:r>
      <w:r>
        <w:t xml:space="preserve">master roles, including the removal of a number of positions, was in breach of clause 3.14 of the enterprise </w:t>
      </w:r>
      <w:r>
        <w:lastRenderedPageBreak/>
        <w:t>agreement. In substance, the applicant claims that a joint review is required under clause 3.14, and that</w:t>
      </w:r>
      <w:r w:rsidR="00F94CD8">
        <w:t xml:space="preserve"> the respondent has commenced </w:t>
      </w:r>
      <w:r>
        <w:t>a consultation process without any joint review having taken place.</w:t>
      </w:r>
      <w:r w:rsidR="00681F5C">
        <w:t xml:space="preserve"> </w:t>
      </w:r>
    </w:p>
    <w:p w:rsidR="00801928" w:rsidRDefault="00801928" w:rsidP="007A4DBA">
      <w:pPr>
        <w:pStyle w:val="ParaNumbering"/>
      </w:pPr>
      <w:r>
        <w:t xml:space="preserve">The enterprise agreement contains terms relating to dispute resolution </w:t>
      </w:r>
      <w:r w:rsidR="00C71B98">
        <w:t>(inter alia)</w:t>
      </w:r>
      <w:r w:rsidR="006D721F">
        <w:t> </w:t>
      </w:r>
      <w:r>
        <w:t>–</w:t>
      </w:r>
    </w:p>
    <w:p w:rsidR="00EF6E53" w:rsidRDefault="00EF6E53" w:rsidP="00EF6E53">
      <w:pPr>
        <w:pStyle w:val="Quote1"/>
        <w:rPr>
          <w:b/>
        </w:rPr>
      </w:pPr>
      <w:r>
        <w:rPr>
          <w:b/>
        </w:rPr>
        <w:t>1.11</w:t>
      </w:r>
      <w:r>
        <w:rPr>
          <w:b/>
        </w:rPr>
        <w:tab/>
        <w:t>Dispute Resolution</w:t>
      </w:r>
    </w:p>
    <w:p w:rsidR="00EF6E53" w:rsidRDefault="00EF6E53" w:rsidP="00EF6E53">
      <w:pPr>
        <w:pStyle w:val="Quote2"/>
      </w:pPr>
      <w:r>
        <w:t>1.11.1</w:t>
      </w:r>
      <w:r>
        <w:tab/>
        <w:t>If a dispute relates to:</w:t>
      </w:r>
    </w:p>
    <w:p w:rsidR="00EF6E53" w:rsidRDefault="00EF6E53" w:rsidP="00EF6E53">
      <w:pPr>
        <w:pStyle w:val="Quote3"/>
      </w:pPr>
      <w:r>
        <w:t>(a)</w:t>
      </w:r>
      <w:r>
        <w:tab/>
      </w:r>
      <w:proofErr w:type="gramStart"/>
      <w:r>
        <w:t>a</w:t>
      </w:r>
      <w:proofErr w:type="gramEnd"/>
      <w:r>
        <w:t xml:space="preserve"> matter arising under the Agreement; or</w:t>
      </w:r>
    </w:p>
    <w:p w:rsidR="00EF6E53" w:rsidRDefault="00EF6E53" w:rsidP="00EF6E53">
      <w:pPr>
        <w:pStyle w:val="Quote3"/>
      </w:pPr>
      <w:r>
        <w:t>(b)</w:t>
      </w:r>
      <w:r>
        <w:tab/>
      </w:r>
      <w:proofErr w:type="gramStart"/>
      <w:r>
        <w:t>the</w:t>
      </w:r>
      <w:proofErr w:type="gramEnd"/>
      <w:r>
        <w:t xml:space="preserve"> National Employment Standards; or</w:t>
      </w:r>
    </w:p>
    <w:p w:rsidR="00EF6E53" w:rsidRDefault="00EF6E53" w:rsidP="00EF6E53">
      <w:pPr>
        <w:pStyle w:val="Quote3"/>
      </w:pPr>
      <w:r>
        <w:t>(c)</w:t>
      </w:r>
      <w:r>
        <w:tab/>
      </w:r>
      <w:proofErr w:type="gramStart"/>
      <w:r>
        <w:t>a</w:t>
      </w:r>
      <w:proofErr w:type="gramEnd"/>
      <w:r>
        <w:t xml:space="preserve"> matter pertaining to the employment relationship;</w:t>
      </w:r>
    </w:p>
    <w:p w:rsidR="00EF6E53" w:rsidRDefault="00EF6E53" w:rsidP="00C71B98">
      <w:pPr>
        <w:pStyle w:val="Quote3"/>
      </w:pPr>
      <w:proofErr w:type="gramStart"/>
      <w:r>
        <w:t>this</w:t>
      </w:r>
      <w:proofErr w:type="gramEnd"/>
      <w:r>
        <w:t xml:space="preserve"> clause sets out procedures to settle the dispute. For the avoidance of doubt, and notwithstanding </w:t>
      </w:r>
      <w:proofErr w:type="gramStart"/>
      <w:r>
        <w:t>cl.1.11.5(</w:t>
      </w:r>
      <w:proofErr w:type="gramEnd"/>
      <w:r>
        <w:t>b), matters relating to occupational health and safety cannot be dealt with by arbitration and will not be subject to the status quo provision at cl</w:t>
      </w:r>
      <w:r w:rsidR="00C76671">
        <w:t>.</w:t>
      </w:r>
      <w:r>
        <w:t>1.11.7.</w:t>
      </w:r>
    </w:p>
    <w:p w:rsidR="00C71B98" w:rsidRDefault="00C71B98" w:rsidP="009811AE">
      <w:pPr>
        <w:pStyle w:val="Quote2"/>
        <w:ind w:left="2160" w:hanging="720"/>
      </w:pPr>
      <w:r>
        <w:t>…</w:t>
      </w:r>
    </w:p>
    <w:p w:rsidR="009811AE" w:rsidRDefault="009811AE" w:rsidP="009811AE">
      <w:pPr>
        <w:pStyle w:val="Quote2"/>
        <w:ind w:left="2160" w:hanging="720"/>
      </w:pPr>
      <w:r>
        <w:t>1.11.3</w:t>
      </w:r>
      <w:r>
        <w:tab/>
        <w:t>In the first instance, the parties to the dispute must try to resolve the dispute at the workplace level, by discussions between the Employee or Employees and relevant supervisors and/or management, in good faith.</w:t>
      </w:r>
    </w:p>
    <w:p w:rsidR="009811AE" w:rsidRDefault="009811AE" w:rsidP="009811AE">
      <w:pPr>
        <w:pStyle w:val="Quote2"/>
        <w:ind w:left="2160" w:hanging="720"/>
      </w:pPr>
      <w:r>
        <w:t>1.11.4</w:t>
      </w:r>
      <w:r>
        <w:tab/>
        <w:t>If discussions at the workplace level do not resolve the dispute, a party to the dispute may refer the matter to the Fair Work Commission.</w:t>
      </w:r>
    </w:p>
    <w:p w:rsidR="009811AE" w:rsidRDefault="009811AE" w:rsidP="009811AE">
      <w:pPr>
        <w:pStyle w:val="Quote2"/>
        <w:ind w:left="2160" w:hanging="720"/>
      </w:pPr>
      <w:r>
        <w:t>1.11.5</w:t>
      </w:r>
      <w:r>
        <w:tab/>
        <w:t>The Fair Work Commission may deal with the dispute in two (2) stages:</w:t>
      </w:r>
    </w:p>
    <w:p w:rsidR="009811AE" w:rsidRDefault="009811AE" w:rsidP="009811AE">
      <w:pPr>
        <w:pStyle w:val="Quote3"/>
        <w:ind w:left="2880" w:hanging="720"/>
      </w:pPr>
      <w:r>
        <w:t>(a)</w:t>
      </w:r>
      <w:r>
        <w:tab/>
        <w:t>The Fair Work Commission will first attempt to resolve the dispute as it considers appropriate, including by mediation, conciliation, expressing an opinion or making a recommendation; and</w:t>
      </w:r>
    </w:p>
    <w:p w:rsidR="009811AE" w:rsidRDefault="009811AE" w:rsidP="009811AE">
      <w:pPr>
        <w:pStyle w:val="Quote3"/>
        <w:ind w:left="2880" w:hanging="720"/>
      </w:pPr>
      <w:r>
        <w:t>(b)</w:t>
      </w:r>
      <w:r>
        <w:tab/>
        <w:t>For matters arising under 1.11.1 (a) and (b), if the Fair Work Commission is unable to resolve the dispute at the first stage, the Fair Work Commission may then:</w:t>
      </w:r>
    </w:p>
    <w:p w:rsidR="009811AE" w:rsidRDefault="009811AE" w:rsidP="00D65210">
      <w:pPr>
        <w:pStyle w:val="Quote4"/>
        <w:ind w:left="3600" w:hanging="720"/>
      </w:pPr>
      <w:r>
        <w:t>(</w:t>
      </w:r>
      <w:proofErr w:type="spellStart"/>
      <w:r>
        <w:t>i</w:t>
      </w:r>
      <w:proofErr w:type="spellEnd"/>
      <w:r>
        <w:t>)</w:t>
      </w:r>
      <w:r>
        <w:tab/>
      </w:r>
      <w:proofErr w:type="gramStart"/>
      <w:r w:rsidR="00D65210">
        <w:t>arbitrate</w:t>
      </w:r>
      <w:proofErr w:type="gramEnd"/>
      <w:r w:rsidR="00D65210">
        <w:t xml:space="preserve"> the dispute; and</w:t>
      </w:r>
    </w:p>
    <w:p w:rsidR="00D65210" w:rsidRDefault="00D65210" w:rsidP="00D65210">
      <w:pPr>
        <w:pStyle w:val="Quote4"/>
        <w:ind w:left="3600" w:hanging="720"/>
      </w:pPr>
      <w:r>
        <w:t>(ii)</w:t>
      </w:r>
      <w:r>
        <w:tab/>
      </w:r>
      <w:proofErr w:type="gramStart"/>
      <w:r>
        <w:t>make</w:t>
      </w:r>
      <w:proofErr w:type="gramEnd"/>
      <w:r>
        <w:t xml:space="preserve"> a determination that is binding on the parties.</w:t>
      </w:r>
    </w:p>
    <w:p w:rsidR="006538D5" w:rsidRDefault="006538D5" w:rsidP="006538D5">
      <w:pPr>
        <w:pStyle w:val="Quote3"/>
      </w:pPr>
      <w:r>
        <w:t xml:space="preserve">Note: if the Fair Work Commission arbitrates the dispute, it may also use the powers that are available to it under the </w:t>
      </w:r>
      <w:r>
        <w:rPr>
          <w:i/>
        </w:rPr>
        <w:t>Fair Work Act 2009</w:t>
      </w:r>
      <w:r>
        <w:t xml:space="preserve"> (Cth).</w:t>
      </w:r>
    </w:p>
    <w:p w:rsidR="006538D5" w:rsidRDefault="006538D5" w:rsidP="006538D5">
      <w:pPr>
        <w:pStyle w:val="Quote3"/>
      </w:pPr>
      <w:r>
        <w:t xml:space="preserve">A decision that the Fair Work Commission makes when arbitrating a dispute is a decision for the purpose of </w:t>
      </w:r>
      <w:proofErr w:type="spellStart"/>
      <w:r>
        <w:t>Div</w:t>
      </w:r>
      <w:proofErr w:type="spellEnd"/>
      <w:r>
        <w:t xml:space="preserve"> 3 of Part 5.1 of the </w:t>
      </w:r>
      <w:r>
        <w:rPr>
          <w:i/>
        </w:rPr>
        <w:t>Fair Work Act 2009</w:t>
      </w:r>
      <w:r>
        <w:t xml:space="preserve"> (Cth). Therefore, an appeal may be made against the decision.</w:t>
      </w:r>
    </w:p>
    <w:p w:rsidR="006538D5" w:rsidRDefault="006538D5" w:rsidP="006538D5">
      <w:pPr>
        <w:pStyle w:val="Quote2"/>
        <w:ind w:left="2160" w:hanging="720"/>
      </w:pPr>
      <w:r>
        <w:t>1.11.6</w:t>
      </w:r>
      <w:r>
        <w:tab/>
        <w:t xml:space="preserve">The parties to the dispute and their representatives must genuinely </w:t>
      </w:r>
      <w:r>
        <w:lastRenderedPageBreak/>
        <w:t>attempt to resolve the dispute through the processes set out in this clause and must cooperate to ensure these processes are carried out expeditiously.</w:t>
      </w:r>
    </w:p>
    <w:p w:rsidR="006538D5" w:rsidRDefault="006538D5" w:rsidP="006538D5">
      <w:pPr>
        <w:pStyle w:val="Quote2"/>
        <w:ind w:left="2160" w:hanging="720"/>
      </w:pPr>
      <w:r>
        <w:t>1.11.7</w:t>
      </w:r>
      <w:r>
        <w:tab/>
        <w:t>In the event of a clause 1.11.1 (a) or (b) dispute, w</w:t>
      </w:r>
      <w:r w:rsidR="00C76671">
        <w:t>h</w:t>
      </w:r>
      <w:r>
        <w:t>ile the parties are trying the resolve the dispute using the procedure in this clause, work must continue in accordance with the usual practice existing prior to the matter that is the subject of the dispute (status quo), pending the resolution of the dispute unless:</w:t>
      </w:r>
    </w:p>
    <w:p w:rsidR="006538D5" w:rsidRDefault="006538D5" w:rsidP="0081400C">
      <w:pPr>
        <w:pStyle w:val="Quote3"/>
        <w:ind w:left="2880" w:hanging="720"/>
      </w:pPr>
      <w:r>
        <w:t>(a)</w:t>
      </w:r>
      <w:r>
        <w:tab/>
      </w:r>
      <w:proofErr w:type="gramStart"/>
      <w:r w:rsidR="0081400C">
        <w:t>there</w:t>
      </w:r>
      <w:proofErr w:type="gramEnd"/>
      <w:r w:rsidR="0081400C">
        <w:t xml:space="preserve"> is a reasonable concern about an imminent risk to health and safety associated with the status quo (in which case status quo will not apply); or</w:t>
      </w:r>
    </w:p>
    <w:p w:rsidR="0081400C" w:rsidRDefault="0081400C" w:rsidP="0081400C">
      <w:pPr>
        <w:pStyle w:val="Quote3"/>
        <w:ind w:left="2880" w:hanging="720"/>
      </w:pPr>
      <w:r>
        <w:t>(b)</w:t>
      </w:r>
      <w:r>
        <w:tab/>
      </w:r>
      <w:proofErr w:type="gramStart"/>
      <w:r>
        <w:t>the</w:t>
      </w:r>
      <w:proofErr w:type="gramEnd"/>
      <w:r>
        <w:t xml:space="preserve"> status quo has a direct impact on service delivery or Government related initiatives (in which case the status quo will only apply up to the conclusion of the steps in clause 1.11.5 (a)).</w:t>
      </w:r>
    </w:p>
    <w:p w:rsidR="0081400C" w:rsidRDefault="0081400C" w:rsidP="0081400C">
      <w:pPr>
        <w:pStyle w:val="Quote3"/>
      </w:pPr>
      <w:r>
        <w:t xml:space="preserve">For the avoidance of doubt, the state of affairs as it existed prior to the matter that is the subject of the dispute will remain in place. For example, if the dispute is about a change to work, the </w:t>
      </w:r>
      <w:r>
        <w:rPr>
          <w:i/>
        </w:rPr>
        <w:t>status quo</w:t>
      </w:r>
      <w:r w:rsidR="002404F1">
        <w:t xml:space="preserve"> represents the position before the change.</w:t>
      </w:r>
    </w:p>
    <w:p w:rsidR="002D516D" w:rsidRDefault="007D70DA" w:rsidP="002D516D">
      <w:pPr>
        <w:pStyle w:val="Quote2"/>
        <w:ind w:left="2160" w:hanging="720"/>
      </w:pPr>
      <w:r>
        <w:t>…</w:t>
      </w:r>
    </w:p>
    <w:p w:rsidR="002D516D" w:rsidRDefault="002D516D" w:rsidP="002D516D">
      <w:pPr>
        <w:pStyle w:val="Quote2"/>
        <w:ind w:left="2160" w:hanging="720"/>
      </w:pPr>
      <w:r>
        <w:t>1.11.9</w:t>
      </w:r>
      <w:r>
        <w:tab/>
        <w:t>The parties to the dispute agree to be bound by a decision made by the Fair Work Commission in accordance with this clause. For the avoidance of doubt, this excludes matters arising under 1.11.1 (c).</w:t>
      </w:r>
    </w:p>
    <w:p w:rsidR="001B27A7" w:rsidRPr="0081400C" w:rsidRDefault="007D70DA" w:rsidP="002D516D">
      <w:pPr>
        <w:pStyle w:val="Quote2"/>
        <w:ind w:left="2160" w:hanging="720"/>
      </w:pPr>
      <w:r>
        <w:t>…</w:t>
      </w:r>
    </w:p>
    <w:p w:rsidR="00E215DE" w:rsidRDefault="009454AE" w:rsidP="00DF2795">
      <w:pPr>
        <w:pStyle w:val="ParaNumbering"/>
      </w:pPr>
      <w:bookmarkStart w:id="18" w:name="_Ref70926000"/>
      <w:r>
        <w:t>Of</w:t>
      </w:r>
      <w:r w:rsidR="00801928">
        <w:t xml:space="preserve"> particular relevance to the present application is clause 1.11.7, set out above. The applicant </w:t>
      </w:r>
      <w:r w:rsidR="00C16696">
        <w:t>claimed</w:t>
      </w:r>
      <w:r w:rsidR="00801928">
        <w:t xml:space="preserve"> that having commenced a dispute resolution process, the respondent was now precluded from taking any further steps to implement its reorganisation </w:t>
      </w:r>
      <w:r w:rsidR="00BE37B5">
        <w:t>of the station</w:t>
      </w:r>
      <w:r w:rsidR="00AD75FC">
        <w:t xml:space="preserve"> </w:t>
      </w:r>
      <w:r w:rsidR="00801928">
        <w:t>master positions pending the resolution of the dispute</w:t>
      </w:r>
      <w:r w:rsidR="00B74398">
        <w:t>,</w:t>
      </w:r>
      <w:r w:rsidR="004C0F5A">
        <w:t xml:space="preserve"> which would be the subject of arbitration by the Fair Work Commission failing agreement between the parties</w:t>
      </w:r>
      <w:r w:rsidR="00801928">
        <w:t>.</w:t>
      </w:r>
      <w:bookmarkEnd w:id="18"/>
      <w:r w:rsidR="00801928">
        <w:t xml:space="preserve"> </w:t>
      </w:r>
    </w:p>
    <w:p w:rsidR="00D6137C" w:rsidRDefault="00E76485" w:rsidP="00DF2795">
      <w:pPr>
        <w:pStyle w:val="ParaNumbering"/>
      </w:pPr>
      <w:r>
        <w:t xml:space="preserve">In correspondence, the respondent </w:t>
      </w:r>
      <w:r w:rsidR="00E215DE">
        <w:t>by its solicitors claimed that</w:t>
      </w:r>
      <w:r w:rsidR="00EA1CC0">
        <w:t xml:space="preserve"> it had not made any definite decision in relation to the redundancies, but nevertheless wished to </w:t>
      </w:r>
      <w:r w:rsidR="00786B1A">
        <w:t xml:space="preserve">continue its “expressions of interest” process relating to voluntary </w:t>
      </w:r>
      <w:r w:rsidR="007C64A4">
        <w:t xml:space="preserve">redundancies and possible “job swaps”. The respondent denied that it was making any changes to the roles or </w:t>
      </w:r>
      <w:r w:rsidR="00E44EDE">
        <w:t>responsibilities of the existing station master positions, or the classification structure for any station grades under the enterprise agreement, but was making adjustments to the number of employees in those positions.</w:t>
      </w:r>
      <w:r w:rsidR="00486367">
        <w:t xml:space="preserve"> The respondent claimed that clause </w:t>
      </w:r>
      <w:r w:rsidR="00D24E0A">
        <w:t xml:space="preserve">1.11.7 </w:t>
      </w:r>
      <w:r w:rsidR="00486367">
        <w:t xml:space="preserve">of the enterprise agreement did not preclude it from communicating with its employees </w:t>
      </w:r>
      <w:r w:rsidR="00DA42CE">
        <w:t xml:space="preserve">about potential voluntary redundancies and job swaps in the event that the proposed reductions were implemented. The respondent </w:t>
      </w:r>
      <w:r w:rsidR="00DA42CE">
        <w:lastRenderedPageBreak/>
        <w:t xml:space="preserve">proposed that it would not </w:t>
      </w:r>
      <w:r w:rsidR="007C0EDC">
        <w:t>make any definite decisions without providing the applicant with 72 hours written notice, and in any event would not make a definite decision prior to 19 May 2021.</w:t>
      </w:r>
    </w:p>
    <w:p w:rsidR="00801928" w:rsidRDefault="00C340C3" w:rsidP="00DF2795">
      <w:pPr>
        <w:pStyle w:val="ParaNumbering"/>
      </w:pPr>
      <w:r>
        <w:t>The applicant’s claim that the respondent is engaging</w:t>
      </w:r>
      <w:r w:rsidR="000E6A3C">
        <w:t xml:space="preserve"> in,</w:t>
      </w:r>
      <w:r>
        <w:t xml:space="preserve"> </w:t>
      </w:r>
      <w:r w:rsidR="003755EE">
        <w:t xml:space="preserve">or proposes to engage </w:t>
      </w:r>
      <w:r>
        <w:t>in</w:t>
      </w:r>
      <w:r w:rsidR="000E6A3C">
        <w:t>,</w:t>
      </w:r>
      <w:r>
        <w:t xml:space="preserve"> conduct in breach of clause 3.14 of the enterprise agreement is not the claim that is before the court</w:t>
      </w:r>
      <w:r w:rsidR="003755EE">
        <w:t xml:space="preserve"> on this application for interlocutory relief, but is the underlying claim about which the applicant has given notification of a dispute. The claim before the court is that, having given notice of a dispute,</w:t>
      </w:r>
      <w:r w:rsidR="00256654">
        <w:t xml:space="preserve"> while the dispute resolution process contemplated by the enterprise agreement remains on foot, </w:t>
      </w:r>
      <w:r w:rsidR="003755EE">
        <w:t xml:space="preserve">the respondent </w:t>
      </w:r>
      <w:r w:rsidR="00AB2905">
        <w:t>is precluded by clause 1.11.7 of the enterprise agreement from taking the further steps to which I referred at [</w:t>
      </w:r>
      <w:r w:rsidR="00256654">
        <w:fldChar w:fldCharType="begin"/>
      </w:r>
      <w:r w:rsidR="00256654">
        <w:instrText xml:space="preserve"> REF _Ref70926000 \r \h </w:instrText>
      </w:r>
      <w:r w:rsidR="00256654">
        <w:fldChar w:fldCharType="separate"/>
      </w:r>
      <w:r w:rsidR="00D65B6F">
        <w:t>8</w:t>
      </w:r>
      <w:r w:rsidR="00256654">
        <w:fldChar w:fldCharType="end"/>
      </w:r>
      <w:r w:rsidR="00AB2905">
        <w:t xml:space="preserve">] above. </w:t>
      </w:r>
      <w:r w:rsidR="00801928">
        <w:t xml:space="preserve">The applicant </w:t>
      </w:r>
      <w:r w:rsidR="00D6137C">
        <w:t xml:space="preserve">seeks </w:t>
      </w:r>
      <w:r w:rsidR="00801928">
        <w:t xml:space="preserve">interlocutory relief </w:t>
      </w:r>
      <w:r w:rsidR="00950276">
        <w:t>to restrain the respondent from </w:t>
      </w:r>
      <w:r w:rsidR="00801928">
        <w:t>–</w:t>
      </w:r>
    </w:p>
    <w:p w:rsidR="007630B0" w:rsidRDefault="007630B0" w:rsidP="00BB4377">
      <w:pPr>
        <w:pStyle w:val="ListNo1alt"/>
        <w:rPr>
          <w:lang w:eastAsia="en-AU"/>
        </w:rPr>
      </w:pPr>
      <w:r>
        <w:rPr>
          <w:lang w:eastAsia="en-AU"/>
        </w:rPr>
        <w:t>redeploying any station grade employees;</w:t>
      </w:r>
    </w:p>
    <w:p w:rsidR="007630B0" w:rsidRDefault="007630B0" w:rsidP="00BB4377">
      <w:pPr>
        <w:pStyle w:val="ListNo1alt"/>
        <w:rPr>
          <w:lang w:eastAsia="en-AU"/>
        </w:rPr>
      </w:pPr>
      <w:r>
        <w:rPr>
          <w:lang w:eastAsia="en-AU"/>
        </w:rPr>
        <w:t>making any station grade employees redundant;</w:t>
      </w:r>
      <w:r w:rsidR="00BB4377">
        <w:rPr>
          <w:lang w:eastAsia="en-AU"/>
        </w:rPr>
        <w:t xml:space="preserve"> and</w:t>
      </w:r>
    </w:p>
    <w:p w:rsidR="007630B0" w:rsidRDefault="007630B0" w:rsidP="00BB4377">
      <w:pPr>
        <w:pStyle w:val="ListNo1alt"/>
        <w:rPr>
          <w:lang w:eastAsia="en-AU"/>
        </w:rPr>
      </w:pPr>
      <w:proofErr w:type="gramStart"/>
      <w:r>
        <w:rPr>
          <w:lang w:eastAsia="en-AU"/>
        </w:rPr>
        <w:t>seeking</w:t>
      </w:r>
      <w:proofErr w:type="gramEnd"/>
      <w:r>
        <w:rPr>
          <w:lang w:eastAsia="en-AU"/>
        </w:rPr>
        <w:t xml:space="preserve"> or accepting any expressions of interest from station grade employees for redeployment, redundancy, or job swaps.</w:t>
      </w:r>
    </w:p>
    <w:p w:rsidR="00801928" w:rsidRDefault="00F23922" w:rsidP="007C3B40">
      <w:pPr>
        <w:pStyle w:val="ParaNumbering"/>
      </w:pPr>
      <w:bookmarkStart w:id="19" w:name="_Ref70949494"/>
      <w:r>
        <w:t xml:space="preserve">During the course of the hearing, </w:t>
      </w:r>
      <w:r w:rsidR="00700945">
        <w:t xml:space="preserve">and as </w:t>
      </w:r>
      <w:r>
        <w:t xml:space="preserve">the issues in dispute </w:t>
      </w:r>
      <w:r w:rsidR="008356E6">
        <w:t xml:space="preserve">gained </w:t>
      </w:r>
      <w:r w:rsidR="00A2216B">
        <w:t>better</w:t>
      </w:r>
      <w:r w:rsidR="008356E6">
        <w:t xml:space="preserve"> form, </w:t>
      </w:r>
      <w:r w:rsidR="00BB4377">
        <w:t xml:space="preserve">the </w:t>
      </w:r>
      <w:r w:rsidR="004C0F5A">
        <w:t xml:space="preserve">parties proposed complementary undertakings that would </w:t>
      </w:r>
      <w:r w:rsidR="00D6137C">
        <w:t xml:space="preserve">address (a) and (b) above, but (c) remained in dispute. The undertakings </w:t>
      </w:r>
      <w:r w:rsidR="00700945">
        <w:t>proposed were as follows –</w:t>
      </w:r>
      <w:bookmarkEnd w:id="19"/>
    </w:p>
    <w:p w:rsidR="007A1D82" w:rsidRPr="007A1D82" w:rsidRDefault="007A1D82" w:rsidP="007A1D82">
      <w:pPr>
        <w:pStyle w:val="Quote1"/>
        <w:rPr>
          <w:u w:val="single"/>
        </w:rPr>
      </w:pPr>
      <w:r w:rsidRPr="007A1D82">
        <w:rPr>
          <w:u w:val="single"/>
        </w:rPr>
        <w:t>By the applicant</w:t>
      </w:r>
      <w:r w:rsidRPr="007A1D82">
        <w:t> –</w:t>
      </w:r>
    </w:p>
    <w:p w:rsidR="007A1D82" w:rsidRDefault="007A1D82" w:rsidP="007A1D82">
      <w:pPr>
        <w:pStyle w:val="Quote1"/>
        <w:rPr>
          <w:lang w:eastAsia="en-AU"/>
        </w:rPr>
      </w:pPr>
      <w:r>
        <w:t xml:space="preserve">The </w:t>
      </w:r>
      <w:r w:rsidR="00FE7B68">
        <w:t>a</w:t>
      </w:r>
      <w:r>
        <w:t>pplicant by its counsel undertakes to file and serve, by 12.00pm on Tuesday 4 May 2021 an application that the Fair Work Commission deal with the dispute</w:t>
      </w:r>
      <w:r>
        <w:rPr>
          <w:rStyle w:val="apple-converted-space"/>
          <w:i/>
          <w:iCs/>
          <w:color w:val="000000"/>
        </w:rPr>
        <w:t> </w:t>
      </w:r>
      <w:r>
        <w:t xml:space="preserve">it notified to the </w:t>
      </w:r>
      <w:r w:rsidR="00FE7B68">
        <w:t>r</w:t>
      </w:r>
      <w:r>
        <w:t>espondent by letter dated 16 April 2021</w:t>
      </w:r>
      <w:r>
        <w:rPr>
          <w:rStyle w:val="apple-converted-space"/>
          <w:i/>
          <w:iCs/>
          <w:color w:val="000000"/>
        </w:rPr>
        <w:t> </w:t>
      </w:r>
      <w:r>
        <w:t>concerning the implementation of the</w:t>
      </w:r>
      <w:r>
        <w:rPr>
          <w:rStyle w:val="apple-converted-space"/>
          <w:i/>
          <w:iCs/>
          <w:color w:val="000000"/>
        </w:rPr>
        <w:t> </w:t>
      </w:r>
      <w:r>
        <w:t>proposed</w:t>
      </w:r>
      <w:r>
        <w:rPr>
          <w:rStyle w:val="apple-converted-space"/>
          <w:i/>
          <w:iCs/>
          <w:color w:val="000000"/>
        </w:rPr>
        <w:t> </w:t>
      </w:r>
      <w:r>
        <w:t>station grades restructure, and to seek to have the Fair Work Commission deal with the</w:t>
      </w:r>
      <w:r>
        <w:rPr>
          <w:rStyle w:val="apple-converted-space"/>
          <w:i/>
          <w:iCs/>
          <w:color w:val="000000"/>
        </w:rPr>
        <w:t> </w:t>
      </w:r>
      <w:r>
        <w:t>dispute on an urgent basis.</w:t>
      </w:r>
    </w:p>
    <w:p w:rsidR="00700945" w:rsidRDefault="00700945" w:rsidP="007A1D82">
      <w:pPr>
        <w:pStyle w:val="Quote1"/>
      </w:pPr>
      <w:r w:rsidRPr="007A1D82">
        <w:rPr>
          <w:u w:val="single"/>
        </w:rPr>
        <w:t>By the respondent</w:t>
      </w:r>
      <w:r>
        <w:t> –</w:t>
      </w:r>
    </w:p>
    <w:p w:rsidR="007A1D82" w:rsidRDefault="007A1D82" w:rsidP="007A1D82">
      <w:pPr>
        <w:pStyle w:val="Quote1"/>
      </w:pPr>
      <w:r w:rsidRPr="007A1D82">
        <w:t xml:space="preserve">The </w:t>
      </w:r>
      <w:r w:rsidR="00FE7B68">
        <w:t>r</w:t>
      </w:r>
      <w:r w:rsidRPr="007A1D82">
        <w:t>espondent by its counsel </w:t>
      </w:r>
      <w:r w:rsidR="00FE7B68">
        <w:t xml:space="preserve">undertakes that until the Fair </w:t>
      </w:r>
      <w:r w:rsidRPr="007A1D82">
        <w:t xml:space="preserve">Work Commission resolves or determines </w:t>
      </w:r>
      <w:r w:rsidR="00FE7B68">
        <w:t>the dispute referred to in the a</w:t>
      </w:r>
      <w:r w:rsidRPr="007A1D82">
        <w:t>pplicant’s undertaking, it will not as part of its prop</w:t>
      </w:r>
      <w:r w:rsidR="00FE7B68">
        <w:t>osed station grades restructure –</w:t>
      </w:r>
    </w:p>
    <w:p w:rsidR="007A1D82" w:rsidRPr="007A1D82" w:rsidRDefault="007A1D82" w:rsidP="00FE7B68">
      <w:pPr>
        <w:pStyle w:val="Quote1"/>
        <w:ind w:left="1440" w:hanging="703"/>
      </w:pPr>
      <w:r w:rsidRPr="007A1D82">
        <w:t>(a)</w:t>
      </w:r>
      <w:r w:rsidR="00FE7B68">
        <w:tab/>
      </w:r>
      <w:proofErr w:type="gramStart"/>
      <w:r w:rsidRPr="007A1D82">
        <w:t>redeploy</w:t>
      </w:r>
      <w:proofErr w:type="gramEnd"/>
      <w:r w:rsidRPr="007A1D82">
        <w:t> any station grade employees to other roles; or </w:t>
      </w:r>
    </w:p>
    <w:p w:rsidR="007A1D82" w:rsidRPr="007A1D82" w:rsidRDefault="007A1D82" w:rsidP="00FE7B68">
      <w:pPr>
        <w:pStyle w:val="Quote1"/>
        <w:ind w:left="1440" w:hanging="703"/>
      </w:pPr>
      <w:r w:rsidRPr="007A1D82">
        <w:t>(b)</w:t>
      </w:r>
      <w:r w:rsidR="00FE7B68">
        <w:tab/>
      </w:r>
      <w:proofErr w:type="gramStart"/>
      <w:r w:rsidRPr="007A1D82">
        <w:t>make</w:t>
      </w:r>
      <w:proofErr w:type="gramEnd"/>
      <w:r w:rsidRPr="007A1D82">
        <w:t xml:space="preserve"> any station grade employee roles redundant.</w:t>
      </w:r>
    </w:p>
    <w:p w:rsidR="00134997" w:rsidRPr="00EB4659" w:rsidRDefault="009B3C74" w:rsidP="002555F3">
      <w:pPr>
        <w:pStyle w:val="ParaNumbering"/>
      </w:pPr>
      <w:r>
        <w:t xml:space="preserve">The court has power </w:t>
      </w:r>
      <w:r w:rsidR="00587A5D">
        <w:t xml:space="preserve">under s 545(2) of the </w:t>
      </w:r>
      <w:r w:rsidR="00587A5D" w:rsidRPr="00CA6C9F">
        <w:rPr>
          <w:i/>
        </w:rPr>
        <w:t xml:space="preserve">Fair Work Act 2009 </w:t>
      </w:r>
      <w:r w:rsidR="00587A5D">
        <w:t>(Cth)</w:t>
      </w:r>
      <w:r w:rsidR="00587A5D" w:rsidRPr="00CA6C9F">
        <w:rPr>
          <w:i/>
        </w:rPr>
        <w:t xml:space="preserve"> </w:t>
      </w:r>
      <w:r w:rsidR="00587A5D">
        <w:t>to make an order granting an injunction, or interim injunction, to prevent, stop, or remedy the effects of a contravention of</w:t>
      </w:r>
      <w:r w:rsidR="00C70F81">
        <w:t xml:space="preserve"> a civil remedy provision of</w:t>
      </w:r>
      <w:r w:rsidR="00587A5D">
        <w:t xml:space="preserve"> the </w:t>
      </w:r>
      <w:r w:rsidR="00587A5D" w:rsidRPr="00587A5D">
        <w:t>Act</w:t>
      </w:r>
      <w:r w:rsidR="00C70F81">
        <w:t xml:space="preserve">. </w:t>
      </w:r>
      <w:r w:rsidR="00217471">
        <w:t xml:space="preserve">Section </w:t>
      </w:r>
      <w:r w:rsidR="0066302F">
        <w:t>50</w:t>
      </w:r>
      <w:r w:rsidR="00217471">
        <w:t xml:space="preserve"> of the Act</w:t>
      </w:r>
      <w:r w:rsidR="0066302F">
        <w:t>, which provides that a person must not contravene an enterprise agreement</w:t>
      </w:r>
      <w:r w:rsidR="00217471">
        <w:t>, is a civil remedy provision</w:t>
      </w:r>
      <w:r w:rsidR="0066302F">
        <w:t xml:space="preserve">. </w:t>
      </w:r>
      <w:r w:rsidR="00B64167">
        <w:t xml:space="preserve">Section 545(2) uses the term “injunction”, thereby attracting the principles that attach to such relief: </w:t>
      </w:r>
      <w:proofErr w:type="spellStart"/>
      <w:r w:rsidR="00B64167" w:rsidRPr="00CA6C9F">
        <w:rPr>
          <w:i/>
        </w:rPr>
        <w:t>cf</w:t>
      </w:r>
      <w:proofErr w:type="spellEnd"/>
      <w:r w:rsidR="00B64167" w:rsidRPr="00CA6C9F">
        <w:rPr>
          <w:i/>
        </w:rPr>
        <w:t>,</w:t>
      </w:r>
      <w:r w:rsidR="00B64167">
        <w:t xml:space="preserve"> </w:t>
      </w:r>
      <w:r w:rsidR="00B64167" w:rsidRPr="00CA6C9F">
        <w:rPr>
          <w:i/>
        </w:rPr>
        <w:t xml:space="preserve">McGee v </w:t>
      </w:r>
      <w:r w:rsidR="00B64167" w:rsidRPr="00CA6C9F">
        <w:rPr>
          <w:i/>
        </w:rPr>
        <w:lastRenderedPageBreak/>
        <w:t>Sanders (No 2)</w:t>
      </w:r>
      <w:r w:rsidR="00B64167">
        <w:t xml:space="preserve"> (1991) 32 FCR 397 at 402-403 (Gray J). </w:t>
      </w:r>
      <w:bookmarkStart w:id="20" w:name="Heading311"/>
      <w:bookmarkEnd w:id="20"/>
      <w:r w:rsidR="00134997" w:rsidRPr="00134997">
        <w:rPr>
          <w:lang w:eastAsia="en-AU"/>
        </w:rPr>
        <w:t xml:space="preserve">The principles relating to the grant of an interlocutory injunction are well known. “[I]n all applications for an interlocutory injunction, a court will ask whether the plaintiff has shown that there is a serious question to be tried as to the plaintiff’s entitlement to relief, has shown that the plaintiff is likely to suffer injury for which damages will not be an adequate remedy, and has shown that the balance of convenience favours the granting of an injunction”: </w:t>
      </w:r>
      <w:r w:rsidR="00134997" w:rsidRPr="00CA6C9F">
        <w:rPr>
          <w:i/>
          <w:iCs/>
          <w:lang w:eastAsia="en-AU"/>
        </w:rPr>
        <w:t>Australian Broadcasting Corporation v O’Neill</w:t>
      </w:r>
      <w:r w:rsidR="00134997" w:rsidRPr="00134997">
        <w:rPr>
          <w:lang w:eastAsia="en-AU"/>
        </w:rPr>
        <w:t xml:space="preserve"> </w:t>
      </w:r>
      <w:r w:rsidR="00134997" w:rsidRPr="007E1E33">
        <w:t>[2006] HCA 46; 227 CLR 57 at [19] (Gleeson</w:t>
      </w:r>
      <w:r w:rsidR="00134997" w:rsidRPr="00134997">
        <w:rPr>
          <w:lang w:eastAsia="en-AU"/>
        </w:rPr>
        <w:t xml:space="preserve"> CJ and Crennan J). See also, Gummow and Hayne JJ at [65]-[72] and [85]. The organising principles are to be applied having regard to the nature and circumstances of the case, under which issues of justice and convenience are addressed.</w:t>
      </w:r>
      <w:r w:rsidR="00F93BA8">
        <w:rPr>
          <w:lang w:eastAsia="en-AU"/>
        </w:rPr>
        <w:t xml:space="preserve"> </w:t>
      </w:r>
      <w:r w:rsidR="00E13F4B">
        <w:rPr>
          <w:lang w:eastAsia="en-AU"/>
        </w:rPr>
        <w:t xml:space="preserve">The question whether there is a serious question to be tried, and the balance of convenience </w:t>
      </w:r>
      <w:r w:rsidR="00EF1B03">
        <w:rPr>
          <w:lang w:eastAsia="en-AU"/>
        </w:rPr>
        <w:t xml:space="preserve">are not </w:t>
      </w:r>
      <w:r w:rsidR="002555F3">
        <w:rPr>
          <w:lang w:eastAsia="en-AU"/>
        </w:rPr>
        <w:t xml:space="preserve">necessarily </w:t>
      </w:r>
      <w:r w:rsidR="00EF1B03">
        <w:rPr>
          <w:lang w:eastAsia="en-AU"/>
        </w:rPr>
        <w:t xml:space="preserve">independent, and may </w:t>
      </w:r>
      <w:r w:rsidR="002555F3" w:rsidRPr="002555F3">
        <w:rPr>
          <w:lang w:eastAsia="en-AU"/>
        </w:rPr>
        <w:t xml:space="preserve">in an appropriate case </w:t>
      </w:r>
      <w:r w:rsidR="00EF1B03">
        <w:rPr>
          <w:lang w:eastAsia="en-AU"/>
        </w:rPr>
        <w:t xml:space="preserve">be considered together, because the strength of a </w:t>
      </w:r>
      <w:r w:rsidR="00EF1B03">
        <w:rPr>
          <w:i/>
          <w:lang w:eastAsia="en-AU"/>
        </w:rPr>
        <w:t xml:space="preserve">prima facie </w:t>
      </w:r>
      <w:r w:rsidR="00EF1B03">
        <w:t xml:space="preserve">case may bear upon where the balance of convenience lies. </w:t>
      </w:r>
      <w:r w:rsidR="00344E2F">
        <w:rPr>
          <w:lang w:eastAsia="en-AU"/>
        </w:rPr>
        <w:t>A</w:t>
      </w:r>
      <w:r w:rsidR="00F93BA8" w:rsidRPr="00EB4659">
        <w:t>n application for an interlocutory injunction that in a practical sense gives final relief is accommodated by these principles, and there is no separate test to be applied</w:t>
      </w:r>
      <w:r w:rsidR="0048093E">
        <w:t xml:space="preserve"> in those circumstances</w:t>
      </w:r>
      <w:r w:rsidR="00F93BA8" w:rsidRPr="00EB4659">
        <w:t xml:space="preserve">: </w:t>
      </w:r>
      <w:proofErr w:type="spellStart"/>
      <w:r w:rsidR="007126B5">
        <w:rPr>
          <w:i/>
        </w:rPr>
        <w:t>Fegan</w:t>
      </w:r>
      <w:proofErr w:type="spellEnd"/>
      <w:r w:rsidR="007126B5">
        <w:rPr>
          <w:i/>
        </w:rPr>
        <w:t xml:space="preserve"> v Jackson </w:t>
      </w:r>
      <w:r w:rsidR="00B45978">
        <w:t>[</w:t>
      </w:r>
      <w:r w:rsidR="007126B5">
        <w:t>2009</w:t>
      </w:r>
      <w:r w:rsidR="00B45978">
        <w:t>] FCA 338;</w:t>
      </w:r>
      <w:r w:rsidR="007126B5">
        <w:t xml:space="preserve"> 183 IR 306 at [35] (Kenny J, noting that the application was for interim </w:t>
      </w:r>
      <w:r w:rsidR="00225CA6">
        <w:t>orders</w:t>
      </w:r>
      <w:r w:rsidR="007126B5">
        <w:t xml:space="preserve"> under </w:t>
      </w:r>
      <w:r w:rsidR="00B45978">
        <w:t xml:space="preserve">s 164(3) of the </w:t>
      </w:r>
      <w:r w:rsidR="00B45978">
        <w:rPr>
          <w:i/>
        </w:rPr>
        <w:t xml:space="preserve">Workplace Relations Act 1996 </w:t>
      </w:r>
      <w:r w:rsidR="00B45978">
        <w:t>(</w:t>
      </w:r>
      <w:proofErr w:type="spellStart"/>
      <w:r w:rsidR="00B45978">
        <w:t>Cth</w:t>
      </w:r>
      <w:proofErr w:type="spellEnd"/>
      <w:r w:rsidR="00B45978">
        <w:t>)</w:t>
      </w:r>
      <w:r w:rsidR="007126B5">
        <w:t>)</w:t>
      </w:r>
      <w:r w:rsidR="00225CA6">
        <w:t>, citing</w:t>
      </w:r>
      <w:r w:rsidR="007126B5">
        <w:t xml:space="preserve"> </w:t>
      </w:r>
      <w:proofErr w:type="spellStart"/>
      <w:r w:rsidR="00EB4659" w:rsidRPr="003B64F6">
        <w:rPr>
          <w:i/>
        </w:rPr>
        <w:t>Conquo</w:t>
      </w:r>
      <w:proofErr w:type="spellEnd"/>
      <w:r w:rsidR="00EB4659" w:rsidRPr="003B64F6">
        <w:rPr>
          <w:i/>
        </w:rPr>
        <w:t xml:space="preserve"> v Jackson</w:t>
      </w:r>
      <w:r w:rsidR="00EB4659" w:rsidRPr="00EB4659">
        <w:t xml:space="preserve"> [2009] FCA 45 at [</w:t>
      </w:r>
      <w:r w:rsidR="00D54CE2">
        <w:t>30</w:t>
      </w:r>
      <w:r w:rsidR="00EB4659" w:rsidRPr="00EB4659">
        <w:t>]-[</w:t>
      </w:r>
      <w:r w:rsidR="00D54CE2">
        <w:t>33</w:t>
      </w:r>
      <w:r w:rsidR="00EB4659" w:rsidRPr="00EB4659">
        <w:t>] (</w:t>
      </w:r>
      <w:proofErr w:type="spellStart"/>
      <w:r w:rsidR="00EB4659" w:rsidRPr="00EB4659">
        <w:t>Sundberg</w:t>
      </w:r>
      <w:proofErr w:type="spellEnd"/>
      <w:r w:rsidR="00EB4659" w:rsidRPr="00EB4659">
        <w:t xml:space="preserve"> J), </w:t>
      </w:r>
      <w:r w:rsidR="00225CA6">
        <w:t xml:space="preserve">which in turn cited </w:t>
      </w:r>
      <w:proofErr w:type="spellStart"/>
      <w:r w:rsidR="00EB4659" w:rsidRPr="003B64F6">
        <w:rPr>
          <w:i/>
          <w:lang w:eastAsia="en-AU"/>
        </w:rPr>
        <w:t>Bradto</w:t>
      </w:r>
      <w:proofErr w:type="spellEnd"/>
      <w:r w:rsidR="00EB4659" w:rsidRPr="003B64F6">
        <w:rPr>
          <w:i/>
          <w:lang w:eastAsia="en-AU"/>
        </w:rPr>
        <w:t xml:space="preserve"> Pty Ltd v State of Victoria</w:t>
      </w:r>
      <w:r w:rsidR="00EB4659" w:rsidRPr="00EB4659">
        <w:rPr>
          <w:lang w:eastAsia="en-AU"/>
        </w:rPr>
        <w:t xml:space="preserve"> </w:t>
      </w:r>
      <w:r w:rsidR="007E1E33">
        <w:rPr>
          <w:lang w:eastAsia="en-AU"/>
        </w:rPr>
        <w:t>[2006] VSCA 89;</w:t>
      </w:r>
      <w:r w:rsidR="00EB4659" w:rsidRPr="00EB4659">
        <w:rPr>
          <w:lang w:eastAsia="en-AU"/>
        </w:rPr>
        <w:t xml:space="preserve"> 15 VR 65</w:t>
      </w:r>
      <w:r w:rsidR="003B64F6">
        <w:rPr>
          <w:lang w:eastAsia="en-AU"/>
        </w:rPr>
        <w:t xml:space="preserve"> at [33]</w:t>
      </w:r>
      <w:r w:rsidR="007E1E33">
        <w:rPr>
          <w:lang w:eastAsia="en-AU"/>
        </w:rPr>
        <w:t xml:space="preserve"> (Maxwell P and Charles JA)</w:t>
      </w:r>
      <w:r w:rsidR="003B64F6">
        <w:rPr>
          <w:lang w:eastAsia="en-AU"/>
        </w:rPr>
        <w:t>.</w:t>
      </w:r>
    </w:p>
    <w:p w:rsidR="00D643C1" w:rsidRPr="00134997" w:rsidRDefault="00344E2F" w:rsidP="007A4DBA">
      <w:pPr>
        <w:pStyle w:val="ParaNumbering"/>
        <w:rPr>
          <w:lang w:eastAsia="en-AU"/>
        </w:rPr>
      </w:pPr>
      <w:r>
        <w:rPr>
          <w:lang w:eastAsia="en-AU"/>
        </w:rPr>
        <w:t xml:space="preserve">The question whether the applicant has shown a </w:t>
      </w:r>
      <w:r w:rsidRPr="00D643C1">
        <w:rPr>
          <w:i/>
          <w:lang w:eastAsia="en-AU"/>
        </w:rPr>
        <w:t xml:space="preserve">prima facie </w:t>
      </w:r>
      <w:r>
        <w:t>case must st</w:t>
      </w:r>
      <w:r w:rsidR="00FB3539">
        <w:t>art with the text of clause 1.11.7</w:t>
      </w:r>
      <w:r>
        <w:t xml:space="preserve"> of the enterprise agreement, which is to be construed in </w:t>
      </w:r>
      <w:r w:rsidR="001C4158">
        <w:t xml:space="preserve">its </w:t>
      </w:r>
      <w:r>
        <w:t xml:space="preserve">context having regard to the </w:t>
      </w:r>
      <w:r w:rsidR="001C4158">
        <w:t xml:space="preserve">established </w:t>
      </w:r>
      <w:r>
        <w:t xml:space="preserve">principles </w:t>
      </w:r>
      <w:r w:rsidR="00E2076C">
        <w:t xml:space="preserve">of construction </w:t>
      </w:r>
      <w:r>
        <w:t xml:space="preserve">that were referred to </w:t>
      </w:r>
      <w:r w:rsidR="00D643C1">
        <w:t xml:space="preserve">by the Full Court in </w:t>
      </w:r>
      <w:proofErr w:type="spellStart"/>
      <w:r w:rsidR="00D643C1" w:rsidRPr="00D643C1">
        <w:rPr>
          <w:i/>
          <w:lang w:eastAsia="en-AU"/>
        </w:rPr>
        <w:t>Workpac</w:t>
      </w:r>
      <w:proofErr w:type="spellEnd"/>
      <w:r w:rsidR="00D643C1" w:rsidRPr="00D643C1">
        <w:rPr>
          <w:i/>
          <w:lang w:eastAsia="en-AU"/>
        </w:rPr>
        <w:t xml:space="preserve"> Pty Ltd v Skene</w:t>
      </w:r>
      <w:r w:rsidR="00D643C1">
        <w:rPr>
          <w:lang w:eastAsia="en-AU"/>
        </w:rPr>
        <w:t xml:space="preserve"> [2018] FCAFC 131; 264 FCR 536</w:t>
      </w:r>
      <w:r w:rsidR="00D643C1" w:rsidRPr="00D643C1">
        <w:rPr>
          <w:lang w:eastAsia="en-AU"/>
        </w:rPr>
        <w:t xml:space="preserve"> at [197]</w:t>
      </w:r>
      <w:r w:rsidR="00ED3B85">
        <w:rPr>
          <w:lang w:eastAsia="en-AU"/>
        </w:rPr>
        <w:t xml:space="preserve"> (Tracey, Bromberg and Rangiah JJ)</w:t>
      </w:r>
      <w:r w:rsidR="00A83325">
        <w:rPr>
          <w:lang w:eastAsia="en-AU"/>
        </w:rPr>
        <w:t>.</w:t>
      </w:r>
    </w:p>
    <w:p w:rsidR="00134997" w:rsidRDefault="007D3EF0" w:rsidP="00DF2795">
      <w:pPr>
        <w:pStyle w:val="ParaNumbering"/>
      </w:pPr>
      <w:r>
        <w:t>Clause 1.11.7 provides that “work must continue</w:t>
      </w:r>
      <w:r w:rsidR="00A73F3E">
        <w:t xml:space="preserve"> in accordance with the usual practice” pending resolution of the dispute. The word “work” is capable of having a range of meanings, dependent upon context</w:t>
      </w:r>
      <w:r w:rsidR="001C5EA7">
        <w:t>, as an examination of dictionary meanings demonstrates</w:t>
      </w:r>
      <w:r w:rsidR="00A73F3E">
        <w:t>.</w:t>
      </w:r>
      <w:r w:rsidR="001C5EA7">
        <w:t xml:space="preserve"> </w:t>
      </w:r>
      <w:r w:rsidR="009F2C48">
        <w:t>In the context of clause 1.11.7 the term is used to include the fact of work, and the way that it is organised.</w:t>
      </w:r>
      <w:r w:rsidR="00A73F3E">
        <w:t xml:space="preserve"> </w:t>
      </w:r>
      <w:r w:rsidR="004E4F55">
        <w:t xml:space="preserve"> </w:t>
      </w:r>
      <w:r w:rsidR="0094050B">
        <w:t xml:space="preserve">That is made clear by the reference to “usual practice”, and the reference to a </w:t>
      </w:r>
      <w:r w:rsidR="002E7C34">
        <w:t>“</w:t>
      </w:r>
      <w:r w:rsidR="0094050B">
        <w:t>change to work”</w:t>
      </w:r>
      <w:r w:rsidR="002E7C34">
        <w:t xml:space="preserve"> in the concluding words of the clause.</w:t>
      </w:r>
    </w:p>
    <w:p w:rsidR="00570D24" w:rsidRDefault="002E7C34" w:rsidP="00B118B7">
      <w:pPr>
        <w:pStyle w:val="ParaNumbering"/>
        <w:tabs>
          <w:tab w:val="clear" w:pos="720"/>
        </w:tabs>
      </w:pPr>
      <w:r>
        <w:t>In my view, the undertaking offered by the respondent</w:t>
      </w:r>
      <w:r w:rsidR="00C76498">
        <w:t>, which complement</w:t>
      </w:r>
      <w:r w:rsidR="00374650">
        <w:t>s</w:t>
      </w:r>
      <w:r w:rsidR="00C76498">
        <w:t xml:space="preserve"> the undertaking offered by the applicant,</w:t>
      </w:r>
      <w:r>
        <w:t xml:space="preserve"> goes a sufficient distance to protect the applicant and </w:t>
      </w:r>
      <w:r w:rsidR="00ED631C">
        <w:t xml:space="preserve">the </w:t>
      </w:r>
      <w:r>
        <w:t>employees</w:t>
      </w:r>
      <w:r w:rsidR="00ED631C">
        <w:t xml:space="preserve"> of the respondent</w:t>
      </w:r>
      <w:r w:rsidR="00E2149C">
        <w:t>,</w:t>
      </w:r>
      <w:r w:rsidR="00ED631C">
        <w:t xml:space="preserve"> whom it is entitled to represent</w:t>
      </w:r>
      <w:r w:rsidR="00E2149C">
        <w:t>,</w:t>
      </w:r>
      <w:r w:rsidR="00FD1511">
        <w:t xml:space="preserve"> so that pending resolution of the dispute</w:t>
      </w:r>
      <w:r>
        <w:t xml:space="preserve"> </w:t>
      </w:r>
      <w:r w:rsidR="00FD1511">
        <w:lastRenderedPageBreak/>
        <w:t>which is to be referred by the applicant to the Fair Work Commission, work will continue</w:t>
      </w:r>
      <w:r w:rsidR="00241FCF">
        <w:t xml:space="preserve"> as it had before the notification of the dispute. I</w:t>
      </w:r>
      <w:r w:rsidR="007A4DBA">
        <w:t>n light of the undertaking that the respondent proposes to give, I</w:t>
      </w:r>
      <w:r w:rsidR="007720F4">
        <w:t xml:space="preserve"> am not satisfied that</w:t>
      </w:r>
      <w:r w:rsidR="00374650">
        <w:t xml:space="preserve"> the</w:t>
      </w:r>
      <w:r w:rsidR="007A4DBA">
        <w:t xml:space="preserve"> respondent should</w:t>
      </w:r>
      <w:r w:rsidR="00411733">
        <w:t xml:space="preserve"> also</w:t>
      </w:r>
      <w:r w:rsidR="007A4DBA">
        <w:t xml:space="preserve"> be enjoined from </w:t>
      </w:r>
      <w:r w:rsidR="007A4DBA" w:rsidRPr="007A4DBA">
        <w:t>seeking or accepting expressions of interest from station grade employees for redeployment, redundancy, or job swaps</w:t>
      </w:r>
      <w:r w:rsidR="00411733">
        <w:t xml:space="preserve">. </w:t>
      </w:r>
      <w:r w:rsidR="007720F4">
        <w:t xml:space="preserve">This is for </w:t>
      </w:r>
      <w:r w:rsidR="00BE1EE5">
        <w:t xml:space="preserve">two </w:t>
      </w:r>
      <w:r w:rsidR="007720F4">
        <w:t>interdependent reasons</w:t>
      </w:r>
      <w:r w:rsidR="00BE1EE5">
        <w:t>. The first is</w:t>
      </w:r>
      <w:r w:rsidR="00912244">
        <w:t xml:space="preserve"> that I am not satisfied that there is a sufficiently strong </w:t>
      </w:r>
      <w:r w:rsidR="00912244" w:rsidRPr="005959D8">
        <w:rPr>
          <w:i/>
        </w:rPr>
        <w:t>prima facie</w:t>
      </w:r>
      <w:r w:rsidR="00912244">
        <w:t xml:space="preserve"> case </w:t>
      </w:r>
      <w:r w:rsidR="00912244" w:rsidRPr="005959D8">
        <w:t xml:space="preserve">that </w:t>
      </w:r>
      <w:r w:rsidR="005959D8" w:rsidRPr="005959D8">
        <w:t>seeking or accepting expressions of interest</w:t>
      </w:r>
      <w:r w:rsidR="00CC7805">
        <w:t>,</w:t>
      </w:r>
      <w:r w:rsidR="005959D8" w:rsidRPr="005959D8">
        <w:t xml:space="preserve"> </w:t>
      </w:r>
      <w:r w:rsidR="005959D8">
        <w:t xml:space="preserve">when the respondent proposes </w:t>
      </w:r>
      <w:r w:rsidR="00BE1EE5">
        <w:t>to undertake</w:t>
      </w:r>
      <w:r w:rsidR="00CC7805">
        <w:t xml:space="preserve"> to the court</w:t>
      </w:r>
      <w:r w:rsidR="005959D8">
        <w:t xml:space="preserve"> not to give effect to</w:t>
      </w:r>
      <w:r w:rsidR="00BE1EE5">
        <w:t xml:space="preserve"> any</w:t>
      </w:r>
      <w:r w:rsidR="005959D8">
        <w:t xml:space="preserve"> such proposals pending resolution of the dispute, would constitute a contravention of clause 1.11.7</w:t>
      </w:r>
      <w:r w:rsidR="007720F4" w:rsidRPr="005959D8">
        <w:t xml:space="preserve">. </w:t>
      </w:r>
      <w:r w:rsidR="00BE1EE5">
        <w:t>The second reason is that</w:t>
      </w:r>
      <w:r w:rsidR="00374650">
        <w:t>,</w:t>
      </w:r>
      <w:r w:rsidR="00BE1EE5">
        <w:t xml:space="preserve"> </w:t>
      </w:r>
      <w:r w:rsidR="00705892">
        <w:t>in light of the proposed undertaking</w:t>
      </w:r>
      <w:r w:rsidR="00374650">
        <w:t>,</w:t>
      </w:r>
      <w:r w:rsidR="00705892">
        <w:t xml:space="preserve"> I am not persuaded that there </w:t>
      </w:r>
      <w:r w:rsidR="000418DA">
        <w:t>is</w:t>
      </w:r>
      <w:r w:rsidR="00705892">
        <w:t xml:space="preserve"> a real risk of </w:t>
      </w:r>
      <w:r w:rsidR="000418DA">
        <w:t xml:space="preserve">irremediable </w:t>
      </w:r>
      <w:r w:rsidR="00705892">
        <w:t>damage</w:t>
      </w:r>
      <w:r w:rsidR="000418DA">
        <w:t xml:space="preserve"> to the applicant, or the relevant employees, which supports the making of the interlocutory order sought.</w:t>
      </w:r>
      <w:r w:rsidR="00B118B7">
        <w:t xml:space="preserve"> </w:t>
      </w:r>
      <w:r w:rsidR="00BD1F74">
        <w:t xml:space="preserve">I am not satisfied that the balance of convenience </w:t>
      </w:r>
      <w:r w:rsidR="00FD0412">
        <w:t>favours</w:t>
      </w:r>
      <w:r w:rsidR="00BD1F74">
        <w:t xml:space="preserve"> anything more to </w:t>
      </w:r>
      <w:r w:rsidR="00FD0412">
        <w:t>preserve the position of the applicant and relevant employees</w:t>
      </w:r>
      <w:r w:rsidR="00BA1B66">
        <w:t>,</w:t>
      </w:r>
      <w:r w:rsidR="00B118B7">
        <w:t xml:space="preserve"> </w:t>
      </w:r>
      <w:r w:rsidR="002F3783">
        <w:t xml:space="preserve">other </w:t>
      </w:r>
      <w:r w:rsidR="00B118B7">
        <w:t>than the combination of undertakings that the parties propose</w:t>
      </w:r>
      <w:r w:rsidR="00FD0412">
        <w:t>.</w:t>
      </w:r>
    </w:p>
    <w:p w:rsidR="00C76498" w:rsidRDefault="00C76498" w:rsidP="00B118B7">
      <w:pPr>
        <w:pStyle w:val="ParaNumbering"/>
        <w:tabs>
          <w:tab w:val="clear" w:pos="720"/>
        </w:tabs>
      </w:pPr>
      <w:r>
        <w:t xml:space="preserve">Had the respondent not offered the undertaking to which I have referred, I would </w:t>
      </w:r>
      <w:r w:rsidR="00E66C61">
        <w:t xml:space="preserve">likely </w:t>
      </w:r>
      <w:r>
        <w:t xml:space="preserve">have made some order against it </w:t>
      </w:r>
      <w:r w:rsidR="00771F74">
        <w:t xml:space="preserve">of the type that is the subject of its undertaking. That is because of </w:t>
      </w:r>
      <w:r w:rsidR="00E92D11">
        <w:t xml:space="preserve">my estimation that there was a </w:t>
      </w:r>
      <w:r w:rsidR="00771F74">
        <w:t xml:space="preserve">likelihood </w:t>
      </w:r>
      <w:r w:rsidR="00E92D11">
        <w:t xml:space="preserve">that </w:t>
      </w:r>
      <w:r w:rsidR="00771F74">
        <w:t xml:space="preserve">the </w:t>
      </w:r>
      <w:r w:rsidR="00554988">
        <w:t>respondent</w:t>
      </w:r>
      <w:r w:rsidR="00E92D11">
        <w:t xml:space="preserve"> would</w:t>
      </w:r>
      <w:r w:rsidR="00771F74">
        <w:t xml:space="preserve"> </w:t>
      </w:r>
      <w:r w:rsidR="00554988">
        <w:t>proceed to implement its proposal</w:t>
      </w:r>
      <w:r w:rsidR="003B6210">
        <w:t xml:space="preserve"> to change its stations structure</w:t>
      </w:r>
      <w:r w:rsidR="00554988">
        <w:t>, as it had foreshadowed in the detailed documents that it had published as part of the consultation process.</w:t>
      </w:r>
      <w:r w:rsidR="00E92D11">
        <w:t xml:space="preserve"> I was not attracted by the respondent’s </w:t>
      </w:r>
      <w:r w:rsidR="00595976">
        <w:t xml:space="preserve">initial response </w:t>
      </w:r>
      <w:r w:rsidR="00E92D11">
        <w:t>that</w:t>
      </w:r>
      <w:r w:rsidR="003B6210">
        <w:t xml:space="preserve"> there was no risk of this occurring because</w:t>
      </w:r>
      <w:r w:rsidR="00E92D11">
        <w:t xml:space="preserve"> no definite decision had been made.</w:t>
      </w:r>
      <w:r w:rsidR="00595976">
        <w:t xml:space="preserve"> Ultimately, I did not understand counsel for the respondent to maintain this position, and in any event it was overtaken by the undertaking that was offered.</w:t>
      </w:r>
      <w:r w:rsidR="003A1739">
        <w:t xml:space="preserve"> As to the respondent’s claim that the applicant’s application was premature, it was certainly prompt, and brought at very short notice.</w:t>
      </w:r>
      <w:r w:rsidR="00A56653">
        <w:t xml:space="preserve"> Possibly, it need not have been brought with such urgency, but </w:t>
      </w:r>
      <w:r w:rsidR="00E17983">
        <w:t>I do not consider that it was premature</w:t>
      </w:r>
      <w:r w:rsidR="00A56653">
        <w:t>.</w:t>
      </w:r>
      <w:r w:rsidR="00CA1A81">
        <w:t xml:space="preserve"> The</w:t>
      </w:r>
      <w:r w:rsidR="00F407AE">
        <w:t>re was no prejudice to any party, because the</w:t>
      </w:r>
      <w:r w:rsidR="00CA1A81">
        <w:t xml:space="preserve"> application was capably argued by both counsel, who were able to narrow the issues in dispute, and assist in the efficient </w:t>
      </w:r>
      <w:r w:rsidR="003013FF">
        <w:t>disposition</w:t>
      </w:r>
      <w:r w:rsidR="00CA1A81">
        <w:t xml:space="preserve"> of the application</w:t>
      </w:r>
      <w:r w:rsidR="00D34F09">
        <w:t>.</w:t>
      </w:r>
    </w:p>
    <w:p w:rsidR="004847FF" w:rsidRDefault="004847FF" w:rsidP="00B118B7">
      <w:pPr>
        <w:pStyle w:val="ParaNumbering"/>
        <w:tabs>
          <w:tab w:val="clear" w:pos="720"/>
        </w:tabs>
      </w:pPr>
      <w:r>
        <w:t>For the foregoing reasons, upon the parties’ undertakings referred to at [</w:t>
      </w:r>
      <w:r w:rsidR="00CA1A81">
        <w:fldChar w:fldCharType="begin"/>
      </w:r>
      <w:r w:rsidR="00CA1A81">
        <w:instrText xml:space="preserve"> REF _Ref70949494 \r \h </w:instrText>
      </w:r>
      <w:r w:rsidR="00CA1A81">
        <w:fldChar w:fldCharType="separate"/>
      </w:r>
      <w:r w:rsidR="00D65B6F">
        <w:t>11</w:t>
      </w:r>
      <w:r w:rsidR="00CA1A81">
        <w:fldChar w:fldCharType="end"/>
      </w:r>
      <w:r>
        <w:t>] above, I will order</w:t>
      </w:r>
      <w:r w:rsidR="005443A0">
        <w:t xml:space="preserve"> that the claim for interlocutory relief </w:t>
      </w:r>
      <w:r w:rsidR="00502BD6">
        <w:t xml:space="preserve">made in the originating application </w:t>
      </w:r>
      <w:r w:rsidR="005443A0">
        <w:t>otherwise be dismissed</w:t>
      </w:r>
      <w:r>
        <w:t>. The proceeding will now be allocated to a docket judge in the usual course.</w:t>
      </w:r>
    </w:p>
    <w:p w:rsidR="00BA1B66" w:rsidRDefault="00BA1B66" w:rsidP="00815065">
      <w:pPr>
        <w:pStyle w:val="BodyText"/>
      </w:pPr>
      <w:bookmarkStart w:id="21" w:name="Certification"/>
    </w:p>
    <w:tbl>
      <w:tblPr>
        <w:tblW w:w="0" w:type="auto"/>
        <w:tblLook w:val="04A0" w:firstRow="1" w:lastRow="0" w:firstColumn="1" w:lastColumn="0" w:noHBand="0" w:noVBand="1"/>
      </w:tblPr>
      <w:tblGrid>
        <w:gridCol w:w="3794"/>
      </w:tblGrid>
      <w:tr w:rsidR="00BA1B66" w:rsidRPr="00BA1B66">
        <w:tc>
          <w:tcPr>
            <w:tcW w:w="3794" w:type="dxa"/>
            <w:shd w:val="clear" w:color="auto" w:fill="auto"/>
          </w:tcPr>
          <w:p w:rsidR="00BA1B66" w:rsidRPr="00BA1B66" w:rsidRDefault="00BA1B66" w:rsidP="00BA1B66">
            <w:pPr>
              <w:pStyle w:val="Normal1linespace"/>
            </w:pPr>
            <w:r w:rsidRPr="00BA1B66">
              <w:t xml:space="preserve">I certify that the preceding </w:t>
            </w:r>
            <w:bookmarkStart w:id="22" w:name="NumberWord"/>
            <w:r>
              <w:t>seventeen</w:t>
            </w:r>
            <w:bookmarkEnd w:id="22"/>
            <w:r w:rsidRPr="00BA1B66">
              <w:t xml:space="preserve"> (</w:t>
            </w:r>
            <w:bookmarkStart w:id="23" w:name="NumberNumeral"/>
            <w:r>
              <w:t>17</w:t>
            </w:r>
            <w:bookmarkEnd w:id="23"/>
            <w:r w:rsidRPr="00BA1B66">
              <w:t xml:space="preserve">) numbered </w:t>
            </w:r>
            <w:bookmarkStart w:id="24" w:name="CertPara"/>
            <w:r>
              <w:t>paragraphs are</w:t>
            </w:r>
            <w:bookmarkEnd w:id="24"/>
            <w:r w:rsidRPr="00BA1B66">
              <w:t xml:space="preserve"> a true </w:t>
            </w:r>
            <w:r w:rsidRPr="00BA1B66">
              <w:lastRenderedPageBreak/>
              <w:t xml:space="preserve">copy of the Reasons for Judgment of </w:t>
            </w:r>
            <w:bookmarkStart w:id="25" w:name="bkHonourable"/>
            <w:r w:rsidRPr="00BA1B66">
              <w:t xml:space="preserve">the Honourable </w:t>
            </w:r>
            <w:bookmarkStart w:id="26" w:name="Justice"/>
            <w:bookmarkEnd w:id="25"/>
            <w:r>
              <w:t>Justice Wheelahan</w:t>
            </w:r>
            <w:bookmarkEnd w:id="26"/>
            <w:r w:rsidRPr="00BA1B66">
              <w:t>.</w:t>
            </w:r>
          </w:p>
        </w:tc>
      </w:tr>
    </w:tbl>
    <w:p w:rsidR="00BA1B66" w:rsidRDefault="00BA1B66" w:rsidP="00815065">
      <w:pPr>
        <w:pStyle w:val="BodyText"/>
      </w:pPr>
    </w:p>
    <w:p w:rsidR="00BA1B66" w:rsidRDefault="00BA1B66" w:rsidP="00815065">
      <w:pPr>
        <w:pStyle w:val="BodyText"/>
      </w:pPr>
      <w:r>
        <w:t>Associate:</w:t>
      </w:r>
    </w:p>
    <w:p w:rsidR="00BA1B66" w:rsidRDefault="00BA1B66" w:rsidP="00815065">
      <w:pPr>
        <w:pStyle w:val="BodyText"/>
      </w:pPr>
    </w:p>
    <w:p w:rsidR="00BA1B66" w:rsidRDefault="00BA1B66" w:rsidP="00211F43">
      <w:pPr>
        <w:pStyle w:val="BodyText"/>
        <w:tabs>
          <w:tab w:val="left" w:pos="1134"/>
        </w:tabs>
      </w:pPr>
      <w:r>
        <w:t>Dated:</w:t>
      </w:r>
      <w:r>
        <w:tab/>
      </w:r>
      <w:bookmarkStart w:id="27" w:name="CertifyDated"/>
      <w:r>
        <w:t>4 May 2021</w:t>
      </w:r>
      <w:bookmarkEnd w:id="21"/>
      <w:bookmarkEnd w:id="27"/>
    </w:p>
    <w:sectPr w:rsidR="00BA1B66" w:rsidSect="00A84FD0">
      <w:headerReference w:type="even" r:id="rId15"/>
      <w:headerReference w:type="default" r:id="rId16"/>
      <w:footerReference w:type="default" r:id="rId17"/>
      <w:headerReference w:type="first" r:id="rId18"/>
      <w:footerReference w:type="first" r:id="rId19"/>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07FB" w:rsidRDefault="00C707FB">
      <w:pPr>
        <w:spacing w:line="20" w:lineRule="exact"/>
      </w:pPr>
    </w:p>
    <w:p w:rsidR="00C707FB" w:rsidRDefault="00C707FB"/>
    <w:p w:rsidR="00C707FB" w:rsidRDefault="00C707FB"/>
  </w:endnote>
  <w:endnote w:type="continuationSeparator" w:id="0">
    <w:p w:rsidR="00C707FB" w:rsidRDefault="00C707FB">
      <w:r>
        <w:t xml:space="preserve"> </w:t>
      </w:r>
    </w:p>
    <w:p w:rsidR="00C707FB" w:rsidRDefault="00C707FB"/>
    <w:p w:rsidR="00C707FB" w:rsidRDefault="00C707FB"/>
  </w:endnote>
  <w:endnote w:type="continuationNotice" w:id="1">
    <w:p w:rsidR="00C707FB" w:rsidRDefault="00C707FB">
      <w:r>
        <w:t xml:space="preserve"> </w:t>
      </w:r>
    </w:p>
    <w:p w:rsidR="00C707FB" w:rsidRDefault="00C707FB"/>
    <w:p w:rsidR="00C707FB" w:rsidRDefault="00C707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B66" w:rsidRDefault="00BA1B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783" w:rsidRPr="00C47B9D" w:rsidRDefault="002F3783" w:rsidP="00E94CBF">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3360" behindDoc="0" locked="0" layoutInCell="1" allowOverlap="1" wp14:anchorId="20D95861" wp14:editId="79F10AAA">
              <wp:simplePos x="0" y="0"/>
              <wp:positionH relativeFrom="column">
                <wp:posOffset>-28575</wp:posOffset>
              </wp:positionH>
              <wp:positionV relativeFrom="paragraph">
                <wp:posOffset>21590</wp:posOffset>
              </wp:positionV>
              <wp:extent cx="29432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B7AB60"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wnRzgEAAAMEAAAOAAAAZHJzL2Uyb0RvYy54bWysU8GO0zAQvSPxD5bvNGmACqKme+hquSCo&#10;WPgAr2M3lmyPNTZN+veMnTZdARICcXEy9rw3857H27vJWXZSGA34jq9XNWfKS+iNP3b829eHV+84&#10;i0n4XljwquNnFfnd7uWL7Rha1cAAtlfIiMTHdgwdH1IKbVVFOSgn4gqC8nSoAZ1IFOKx6lGMxO5s&#10;1dT1phoB+4AgVYy0ez8f8l3h11rJ9FnrqBKzHafeUlmxrE95rXZb0R5RhMHISxviH7pwwngqulDd&#10;iyTYdzS/UDkjESLotJLgKtDaSFU0kJp1/ZOax0EEVbSQOTEsNsX/Rys/nQ7ITN/xDWdeOLqix4TC&#10;HIfE9uA9GQjINtmnMcSW0vf+gJcohgNm0ZNGl78kh03F2/PirZoSk7TZvH/zumneci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Av3wnR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831216538"/>
        <w:placeholder>
          <w:docPart w:val="E41D582A5ECF4FA58F954B6B4405A29B"/>
        </w:placeholder>
        <w:dataBinding w:prefixMappings="xmlns:ns0='http://schemas.globalmacros.com/FCA'" w:xpath="/ns0:root[1]/ns0:Name[1]" w:storeItemID="{687E7CCB-4AA5-44E7-B148-17BA2B6F57C0}"/>
        <w:text w:multiLine="1"/>
      </w:sdtPr>
      <w:sdtEndPr/>
      <w:sdtContent>
        <w:r>
          <w:rPr>
            <w:bCs/>
            <w:sz w:val="18"/>
            <w:szCs w:val="18"/>
          </w:rPr>
          <w:t xml:space="preserve">Australian Rail, Tram and Bus Industry Union v Metro Trains Melbourne Pty Ltd [2021] FCA 458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C67B87">
      <w:rPr>
        <w:bCs/>
        <w:noProof/>
        <w:sz w:val="20"/>
      </w:rPr>
      <w:t>ii</w:t>
    </w:r>
    <w:r w:rsidRPr="00EA7F6D">
      <w:rPr>
        <w:bCs/>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783" w:rsidRPr="00C47B9D" w:rsidRDefault="002F3783"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1312" behindDoc="0" locked="0" layoutInCell="1" allowOverlap="1" wp14:anchorId="35CDE1B0" wp14:editId="3F5D2F62">
              <wp:simplePos x="0" y="0"/>
              <wp:positionH relativeFrom="column">
                <wp:posOffset>-28575</wp:posOffset>
              </wp:positionH>
              <wp:positionV relativeFrom="paragraph">
                <wp:posOffset>21590</wp:posOffset>
              </wp:positionV>
              <wp:extent cx="29432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6A2B16"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4pzwEAAAMEAAAOAAAAZHJzL2Uyb0RvYy54bWysU9uO0zAQfUfiHyy/06ThIoia7kNXywuC&#10;il0+wOuMG0u+aWya9O8ZO226AiTEal+cjD3nzJzj8eZmsoYdAaP2ruPrVc0ZOOl77Q4d//Fw9+Yj&#10;ZzEJ1wvjHXT8BJHfbF+/2oyhhcYP3vSAjEhcbMfQ8SGl0FZVlANYEVc+gKND5dGKRCEeqh7FSOzW&#10;VE1df6hGj31ALyFG2r2dD/m28CsFMn1TKkJipuPUWyorlvUxr9V2I9oDijBoeW5DPKMLK7SjogvV&#10;rUiC/UT9B5XVEn30Kq2kt5VXSksoGkjNuv5Nzf0gAhQtZE4Mi03x5Wjl1+Meme473nDmhKUruk8o&#10;9GFIbOedIwM9sib7NIbYUvrO7fEcxbDHLHpSaPOX5LCpeHtavIUpMUmbzad3b5vmPWfyclZdgQFj&#10;+gzesvzTcaNdli1acfwSExWj1EtK3jYur9Eb3d9pY0qQBwZ2BtlR0FWnaZ1bJtyTLIoysspC5tbL&#10;XzoZmFm/gyIrqNl1qV6G8MoppASXLrzGUXaGKepgAdb/Bp7zMxTKgP4PeEGUyt6lBWy18/i36lcr&#10;1Jx/cWDWnS149P2pXGqxhiatOHd+FXmUn8YFfn27218AAAD//wMAUEsDBBQABgAIAAAAIQAqehV4&#10;2wAAAAYBAAAPAAAAZHJzL2Rvd25yZXYueG1sTI8xT8MwFIR3JP6D9ZDYWgdIqxLiVAjBglgSOsDm&#10;xq9xRPycxk4T/j0PljKe7nT3Xb6dXSdOOITWk4KbZQICqfampUbB7v1lsQERoiajO0+o4BsDbIvL&#10;i1xnxk9U4qmKjeASCplWYGPsMylDbdHpsPQ9EnsHPzgdWQ6NNIOeuNx18jZJ1tLplnjB6h6fLNZf&#10;1egUvB7fwi5dl8/lx3FTTZ+H0TYelbq+mh8fQESc4zkMv/iMDgUz7f1IJohOwSJdcVLBXQqC7XR1&#10;z9f2f1oWufyPX/wAAAD//wMAUEsBAi0AFAAGAAgAAAAhALaDOJL+AAAA4QEAABMAAAAAAAAAAAAA&#10;AAAAAAAAAFtDb250ZW50X1R5cGVzXS54bWxQSwECLQAUAAYACAAAACEAOP0h/9YAAACUAQAACwAA&#10;AAAAAAAAAAAAAAAvAQAAX3JlbHMvLnJlbHNQSwECLQAUAAYACAAAACEAcHquKc8BAAADBAAADgAA&#10;AAAAAAAAAAAAAAAuAgAAZHJzL2Uyb0RvYy54bWxQSwECLQAUAAYACAAAACEAKnoVeNsAAAAGAQAA&#10;DwAAAAAAAAAAAAAAAAApBAAAZHJzL2Rvd25yZXYueG1sUEsFBgAAAAAEAAQA8wAAADEFAAAAAA==&#10;" strokecolor="black [3213]"/>
          </w:pict>
        </mc:Fallback>
      </mc:AlternateContent>
    </w:r>
    <w:sdt>
      <w:sdtPr>
        <w:rPr>
          <w:bCs/>
          <w:sz w:val="18"/>
          <w:szCs w:val="18"/>
        </w:rPr>
        <w:tag w:val="MNC"/>
        <w:id w:val="510263260"/>
        <w:placeholder>
          <w:docPart w:val="FBC39E20CE924841A97ED419151EC529"/>
        </w:placeholder>
        <w:dataBinding w:prefixMappings="xmlns:ns0='http://schemas.globalmacros.com/FCA'" w:xpath="/ns0:root[1]/ns0:Name[1]" w:storeItemID="{687E7CCB-4AA5-44E7-B148-17BA2B6F57C0}"/>
        <w:text w:multiLine="1"/>
      </w:sdtPr>
      <w:sdtEndPr/>
      <w:sdtContent>
        <w:r>
          <w:rPr>
            <w:bCs/>
            <w:sz w:val="18"/>
            <w:szCs w:val="18"/>
          </w:rPr>
          <w:t xml:space="preserve">Australian Rail, Tram and Bus Industry Union v Metro Trains Melbourne Pty Ltd [2021] FCA 458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C67B87">
      <w:rPr>
        <w:bCs/>
        <w:noProof/>
        <w:sz w:val="20"/>
      </w:rPr>
      <w:t>i</w:t>
    </w:r>
    <w:r w:rsidRPr="00EA7F6D">
      <w:rPr>
        <w:bCs/>
        <w:noProof/>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783" w:rsidRPr="00C47B9D" w:rsidRDefault="002F3783"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7456" behindDoc="0" locked="0" layoutInCell="1" allowOverlap="1" wp14:anchorId="7E83757A" wp14:editId="506693F7">
              <wp:simplePos x="0" y="0"/>
              <wp:positionH relativeFrom="column">
                <wp:posOffset>-28575</wp:posOffset>
              </wp:positionH>
              <wp:positionV relativeFrom="paragraph">
                <wp:posOffset>21590</wp:posOffset>
              </wp:positionV>
              <wp:extent cx="29432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90183A"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ER00AEAAAMEAAAOAAAAZHJzL2Uyb0RvYy54bWysU02P0zAQvSPxHyzfadLwsRA13UNXywVB&#10;xS4/wOuMG0u2x7JNk/57xk6brgAJgbg4GXvem3nP483tZA07QogaXcfXq5ozcBJ77Q4d//Z4/+o9&#10;ZzEJ1wuDDjp+gshvty9fbEbfQoMDmh4CIxIX29F3fEjJt1UV5QBWxBV6cHSoMFiRKAyHqg9iJHZr&#10;qqau31Ujht4HlBAj7d7Nh3xb+JUCmb4oFSEx03HqLZU1lPUpr9V2I9pDEH7Q8tyG+IcurNCOii5U&#10;dyIJ9j3oX6islgEjqrSSaCtUSksoGkjNuv5JzcMgPBQtZE70i03x/9HKz8d9YLrv+A1nTli6oocU&#10;hD4Mie3QOTIQA7vJPo0+tpS+c/twjqLfhyx6UsHmL8lhU/H2tHgLU2KSNpsPb143zVvO5OWsugJ9&#10;iOkjoGX5p+NGuyxbtOL4KSYqRqmXlLxtXF4jGt3fa2NKkAcGdiawo6CrTtM6t0y4Z1kUZWSVhcyt&#10;l790MjCzfgVFVlCz61K9DOGVU0gJLl14jaPsDFPUwQKs/ww852colAH9G/CCKJXRpQVstcPwu+pX&#10;K9Scf3Fg1p0teML+VC61WEOTVpw7v4o8ys/jAr++3e0PAAAA//8DAFBLAwQUAAYACAAAACEAKnoV&#10;eNsAAAAGAQAADwAAAGRycy9kb3ducmV2LnhtbEyPMU/DMBSEdyT+g/WQ2FoHSKsS4lQIwYJYEjrA&#10;5savcUT8nMZOE/49D5Yynu50912+nV0nTjiE1pOCm2UCAqn2pqVGwe79ZbEBEaImoztPqOAbA2yL&#10;y4tcZ8ZPVOKpio3gEgqZVmBj7DMpQ23R6bD0PRJ7Bz84HVkOjTSDnrjcdfI2SdbS6ZZ4weoenyzW&#10;X9XoFLwe38IuXZfP5cdxU02fh9E2HpW6vpofH0BEnOM5DL/4jA4FM+39SCaITsEiXXFSwV0Kgu10&#10;dc/X9n9aFrn8j1/8AAAA//8DAFBLAQItABQABgAIAAAAIQC2gziS/gAAAOEBAAATAAAAAAAAAAAA&#10;AAAAAAAAAABbQ29udGVudF9UeXBlc10ueG1sUEsBAi0AFAAGAAgAAAAhADj9If/WAAAAlAEAAAsA&#10;AAAAAAAAAAAAAAAALwEAAF9yZWxzLy5yZWxzUEsBAi0AFAAGAAgAAAAhAMj0RHTQAQAAAwQAAA4A&#10;AAAAAAAAAAAAAAAALgIAAGRycy9lMm9Eb2MueG1sUEsBAi0AFAAGAAgAAAAhACp6FXjbAAAABgEA&#10;AA8AAAAAAAAAAAAAAAAAKgQAAGRycy9kb3ducmV2LnhtbFBLBQYAAAAABAAEAPMAAAAyBQAAAAA=&#10;" strokecolor="black [3213]"/>
          </w:pict>
        </mc:Fallback>
      </mc:AlternateContent>
    </w:r>
    <w:sdt>
      <w:sdtPr>
        <w:rPr>
          <w:bCs/>
          <w:sz w:val="18"/>
          <w:szCs w:val="18"/>
        </w:rPr>
        <w:tag w:val="MNC"/>
        <w:id w:val="1095746746"/>
        <w:placeholder>
          <w:docPart w:val="57CE3784D32640DA8D50719A3DD9D041"/>
        </w:placeholder>
        <w:dataBinding w:prefixMappings="xmlns:ns0='http://schemas.globalmacros.com/FCA'" w:xpath="/ns0:root[1]/ns0:Name[1]" w:storeItemID="{687E7CCB-4AA5-44E7-B148-17BA2B6F57C0}"/>
        <w:text w:multiLine="1"/>
      </w:sdtPr>
      <w:sdtEndPr/>
      <w:sdtContent>
        <w:r>
          <w:rPr>
            <w:bCs/>
            <w:sz w:val="18"/>
            <w:szCs w:val="18"/>
          </w:rPr>
          <w:t xml:space="preserve">Australian Rail, Tram and Bus Industry Union v Metro Trains Melbourne Pty Ltd [2021] FCA 458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C67B87">
      <w:rPr>
        <w:bCs/>
        <w:noProof/>
        <w:sz w:val="20"/>
      </w:rPr>
      <w:t>2</w:t>
    </w:r>
    <w:r w:rsidRPr="00EA7F6D">
      <w:rPr>
        <w:bCs/>
        <w:noProof/>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783" w:rsidRPr="00C47B9D" w:rsidRDefault="002F3783"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5408" behindDoc="0" locked="0" layoutInCell="1" allowOverlap="1" wp14:anchorId="57C57200" wp14:editId="26FB309B">
              <wp:simplePos x="0" y="0"/>
              <wp:positionH relativeFrom="column">
                <wp:posOffset>-28575</wp:posOffset>
              </wp:positionH>
              <wp:positionV relativeFrom="paragraph">
                <wp:posOffset>21590</wp:posOffset>
              </wp:positionV>
              <wp:extent cx="29432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02767B" id="Straight Connector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eOMzgEAAAMEAAAOAAAAZHJzL2Uyb0RvYy54bWysU8GO0zAQvSPxD5bvNGkKCKKme+hquSCo&#10;WPgAr2M3lmyPNTZN+veMnTZdARICcXEy9rw3857H27vJWXZSGA34jq9XNWfKS+iNP3b829eHV+84&#10;i0n4XljwquNnFfnd7uWL7Rha1cAAtlfIiMTHdgwdH1IKbVVFOSgn4gqC8nSoAZ1IFOKx6lGMxO5s&#10;1dT122oE7AOCVDHS7v18yHeFX2sl02eto0rMdpx6S2XFsj7ltdptRXtEEQYjL22If+jCCeOp6EJ1&#10;L5Jg39H8QuWMRIig00qCq0BrI1XRQGrW9U9qHgcRVNFC5sSw2BT/H638dDogM33HN5x54eiKHhMK&#10;cxwS24P3ZCAg22SfxhBbSt/7A16iGA6YRU8aXf6SHDYVb8+Lt2pKTNJm8/71pmnecC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CXUeOM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1532949365"/>
        <w:placeholder>
          <w:docPart w:val="2181DF911EC3423ABA9579A41936C709"/>
        </w:placeholder>
        <w:dataBinding w:prefixMappings="xmlns:ns0='http://schemas.globalmacros.com/FCA'" w:xpath="/ns0:root[1]/ns0:Name[1]" w:storeItemID="{687E7CCB-4AA5-44E7-B148-17BA2B6F57C0}"/>
        <w:text w:multiLine="1"/>
      </w:sdtPr>
      <w:sdtEndPr/>
      <w:sdtContent>
        <w:r>
          <w:rPr>
            <w:bCs/>
            <w:sz w:val="18"/>
            <w:szCs w:val="18"/>
          </w:rPr>
          <w:t xml:space="preserve">Australian Rail, Tram and Bus Industry Union v Metro Trains Melbourne Pty Ltd [2021] FCA 458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C67B87">
      <w:rPr>
        <w:bCs/>
        <w:noProof/>
        <w:sz w:val="20"/>
      </w:rPr>
      <w:t>1</w:t>
    </w:r>
    <w:r w:rsidRPr="00EA7F6D">
      <w:rPr>
        <w:bC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07FB" w:rsidRDefault="00C707FB"/>
    <w:p w:rsidR="00C707FB" w:rsidRDefault="00C707FB"/>
    <w:p w:rsidR="00C707FB" w:rsidRDefault="00C707FB"/>
  </w:footnote>
  <w:footnote w:type="continuationSeparator" w:id="0">
    <w:p w:rsidR="00C707FB" w:rsidRDefault="00C707FB">
      <w:r>
        <w:continuationSeparator/>
      </w:r>
    </w:p>
    <w:p w:rsidR="00C707FB" w:rsidRDefault="00C707FB"/>
    <w:p w:rsidR="00C707FB" w:rsidRDefault="00C707F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B66" w:rsidRDefault="00BA1B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783" w:rsidRDefault="002F3783">
    <w:pPr>
      <w:tabs>
        <w:tab w:val="center" w:pos="4512"/>
      </w:tabs>
      <w:suppressAutoHyphen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783" w:rsidRDefault="002F3783">
    <w:pPr>
      <w:pStyle w:val="Header"/>
      <w:tabs>
        <w:tab w:val="clear" w:pos="4320"/>
        <w:tab w:val="clear" w:pos="8640"/>
      </w:tabs>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783" w:rsidRDefault="002F3783"/>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783" w:rsidRDefault="002F3783">
    <w:pPr>
      <w:tabs>
        <w:tab w:val="center" w:pos="4512"/>
      </w:tabs>
      <w:suppressAutoHyphens/>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783" w:rsidRDefault="002F3783" w:rsidP="00A436E8">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9E2A2F"/>
    <w:multiLevelType w:val="multilevel"/>
    <w:tmpl w:val="F61AF490"/>
    <w:styleLink w:val="FCListNoalt"/>
    <w:lvl w:ilvl="0">
      <w:start w:val="1"/>
      <w:numFmt w:val="lowerLetter"/>
      <w:lvlRestart w:val="0"/>
      <w:pStyle w:val="ListNo1alt"/>
      <w:lvlText w:val="(%1)"/>
      <w:lvlJc w:val="left"/>
      <w:pPr>
        <w:tabs>
          <w:tab w:val="num" w:pos="720"/>
        </w:tabs>
        <w:ind w:left="720" w:hanging="720"/>
      </w:pPr>
      <w:rPr>
        <w:rFonts w:ascii="Times New Roman" w:hAnsi="Times New Roman" w:hint="default"/>
      </w:rPr>
    </w:lvl>
    <w:lvl w:ilvl="1">
      <w:start w:val="1"/>
      <w:numFmt w:val="lowerRoman"/>
      <w:pStyle w:val="ListNo2alt"/>
      <w:lvlText w:val="(%2)"/>
      <w:lvlJc w:val="left"/>
      <w:pPr>
        <w:tabs>
          <w:tab w:val="num" w:pos="1440"/>
        </w:tabs>
        <w:ind w:left="1440" w:hanging="720"/>
      </w:pPr>
      <w:rPr>
        <w:rFonts w:hint="default"/>
      </w:rPr>
    </w:lvl>
    <w:lvl w:ilvl="2">
      <w:start w:val="1"/>
      <w:numFmt w:val="upperLetter"/>
      <w:pStyle w:val="ListNo3alt"/>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4" w15:restartNumberingAfterBreak="0">
    <w:nsid w:val="29AE3DD1"/>
    <w:multiLevelType w:val="multilevel"/>
    <w:tmpl w:val="72D4C09A"/>
    <w:lvl w:ilvl="0">
      <w:start w:val="1"/>
      <w:numFmt w:val="decimal"/>
      <w:lvlRestart w:val="0"/>
      <w:pStyle w:val="ParaNumbering"/>
      <w:lvlText w:val="%1"/>
      <w:lvlJc w:val="left"/>
      <w:pPr>
        <w:tabs>
          <w:tab w:val="num" w:pos="720"/>
        </w:tabs>
        <w:ind w:left="0" w:hanging="720"/>
      </w:pPr>
      <w:rPr>
        <w:rFonts w:hint="default"/>
        <w:sz w:val="20"/>
      </w:rPr>
    </w:lvl>
    <w:lvl w:ilvl="1">
      <w:start w:val="14"/>
      <w:numFmt w:val="decimal"/>
      <w:isLgl/>
      <w:lvlText w:val="%1.%2"/>
      <w:lvlJc w:val="left"/>
      <w:pPr>
        <w:ind w:left="1080" w:hanging="720"/>
      </w:pPr>
      <w:rPr>
        <w:rFonts w:hint="default"/>
      </w:rPr>
    </w:lvl>
    <w:lvl w:ilvl="2">
      <w:start w:val="3"/>
      <w:numFmt w:val="decimal"/>
      <w:isLgl/>
      <w:lvlText w:val="%1.%2.%3"/>
      <w:lvlJc w:val="left"/>
      <w:pPr>
        <w:ind w:left="216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7200" w:hanging="1440"/>
      </w:pPr>
      <w:rPr>
        <w:rFonts w:hint="default"/>
      </w:rPr>
    </w:lvl>
    <w:lvl w:ilvl="7">
      <w:start w:val="1"/>
      <w:numFmt w:val="decimal"/>
      <w:isLgl/>
      <w:lvlText w:val="%1.%2.%3.%4.%5.%6.%7.%8"/>
      <w:lvlJc w:val="left"/>
      <w:pPr>
        <w:ind w:left="8280" w:hanging="1440"/>
      </w:pPr>
      <w:rPr>
        <w:rFonts w:hint="default"/>
      </w:rPr>
    </w:lvl>
    <w:lvl w:ilvl="8">
      <w:start w:val="1"/>
      <w:numFmt w:val="decimal"/>
      <w:isLgl/>
      <w:lvlText w:val="%1.%2.%3.%4.%5.%6.%7.%8.%9"/>
      <w:lvlJc w:val="left"/>
      <w:pPr>
        <w:ind w:left="9360" w:hanging="1440"/>
      </w:pPr>
      <w:rPr>
        <w:rFonts w:hint="default"/>
      </w:rPr>
    </w:lvl>
  </w:abstractNum>
  <w:abstractNum w:abstractNumId="15" w15:restartNumberingAfterBreak="0">
    <w:nsid w:val="2AD4345C"/>
    <w:multiLevelType w:val="multilevel"/>
    <w:tmpl w:val="A1C8FFD0"/>
    <w:styleLink w:val="FCOrders"/>
    <w:lvl w:ilvl="0">
      <w:start w:val="1"/>
      <w:numFmt w:val="decimal"/>
      <w:pStyle w:val="Order1"/>
      <w:lvlText w:val="%1."/>
      <w:lvlJc w:val="left"/>
      <w:pPr>
        <w:tabs>
          <w:tab w:val="num" w:pos="720"/>
        </w:tabs>
        <w:ind w:left="720" w:hanging="720"/>
      </w:pPr>
      <w:rPr>
        <w:rFonts w:ascii="Times New Roman" w:hAnsi="Times New Roman" w:hint="default"/>
        <w:sz w:val="24"/>
      </w:rPr>
    </w:lvl>
    <w:lvl w:ilvl="1">
      <w:start w:val="1"/>
      <w:numFmt w:val="lowerLetter"/>
      <w:pStyle w:val="Order2"/>
      <w:lvlText w:val="(%2)"/>
      <w:lvlJc w:val="left"/>
      <w:pPr>
        <w:tabs>
          <w:tab w:val="num" w:pos="1440"/>
        </w:tabs>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start w:val="1"/>
      <w:numFmt w:val="upperLetter"/>
      <w:pStyle w:val="Order4"/>
      <w:lvlText w:val="%4."/>
      <w:lvlJc w:val="left"/>
      <w:pPr>
        <w:tabs>
          <w:tab w:val="num" w:pos="2160"/>
        </w:tabs>
        <w:ind w:left="2880" w:hanging="72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6" w15:restartNumberingAfterBreak="0">
    <w:nsid w:val="2AF11FCB"/>
    <w:multiLevelType w:val="hybridMultilevel"/>
    <w:tmpl w:val="94A6534E"/>
    <w:lvl w:ilvl="0" w:tplc="31029F3C">
      <w:start w:val="1"/>
      <w:numFmt w:val="bullet"/>
      <w:pStyle w:val="Quote4Bullet"/>
      <w:lvlText w:val=""/>
      <w:lvlJc w:val="left"/>
      <w:pPr>
        <w:ind w:left="3600" w:hanging="360"/>
      </w:pPr>
      <w:rPr>
        <w:rFonts w:ascii="Symbol" w:hAnsi="Symbol" w:hint="default"/>
        <w:sz w:val="16"/>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7" w15:restartNumberingAfterBreak="0">
    <w:nsid w:val="33561E2E"/>
    <w:multiLevelType w:val="hybridMultilevel"/>
    <w:tmpl w:val="433821BE"/>
    <w:lvl w:ilvl="0" w:tplc="DE3AD0E2">
      <w:start w:val="1"/>
      <w:numFmt w:val="bullet"/>
      <w:pStyle w:val="Quote3Bullet"/>
      <w:lvlText w:val=""/>
      <w:lvlJc w:val="left"/>
      <w:pPr>
        <w:ind w:left="2880" w:hanging="360"/>
      </w:pPr>
      <w:rPr>
        <w:rFonts w:ascii="Wingdings" w:hAnsi="Wingdings" w:hint="default"/>
      </w:rPr>
    </w:lvl>
    <w:lvl w:ilvl="1" w:tplc="0C090003">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8" w15:restartNumberingAfterBreak="0">
    <w:nsid w:val="494817A7"/>
    <w:multiLevelType w:val="multilevel"/>
    <w:tmpl w:val="0F0EC90E"/>
    <w:numStyleLink w:val="FCListNo"/>
  </w:abstractNum>
  <w:abstractNum w:abstractNumId="19"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3"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4"/>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19"/>
  </w:num>
  <w:num w:numId="15">
    <w:abstractNumId w:val="20"/>
  </w:num>
  <w:num w:numId="16">
    <w:abstractNumId w:val="23"/>
  </w:num>
  <w:num w:numId="17">
    <w:abstractNumId w:val="13"/>
  </w:num>
  <w:num w:numId="18">
    <w:abstractNumId w:val="22"/>
  </w:num>
  <w:num w:numId="19">
    <w:abstractNumId w:val="11"/>
  </w:num>
  <w:num w:numId="20">
    <w:abstractNumId w:val="17"/>
  </w:num>
  <w:num w:numId="21">
    <w:abstractNumId w:val="15"/>
    <w:lvlOverride w:ilvl="0">
      <w:lvl w:ilvl="0">
        <w:start w:val="1"/>
        <w:numFmt w:val="decimal"/>
        <w:pStyle w:val="Order1"/>
        <w:lvlText w:val="%1."/>
        <w:lvlJc w:val="left"/>
        <w:pPr>
          <w:tabs>
            <w:tab w:val="num" w:pos="720"/>
          </w:tabs>
          <w:ind w:left="720" w:hanging="720"/>
        </w:pPr>
        <w:rPr>
          <w:rFonts w:ascii="Times New Roman" w:hAnsi="Times New Roman" w:hint="default"/>
          <w:sz w:val="24"/>
        </w:rPr>
      </w:lvl>
    </w:lvlOverride>
  </w:num>
  <w:num w:numId="22">
    <w:abstractNumId w:val="16"/>
  </w:num>
  <w:num w:numId="23">
    <w:abstractNumId w:val="18"/>
  </w:num>
  <w:num w:numId="24">
    <w:abstractNumId w:val="10"/>
  </w:num>
  <w:num w:numId="25">
    <w:abstractNumId w:val="10"/>
  </w:num>
  <w:num w:numId="26">
    <w:abstractNumId w:val="15"/>
  </w:num>
  <w:num w:numId="27">
    <w:abstractNumId w:val="15"/>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AU" w:vendorID="64" w:dllVersion="131078" w:nlCheck="1" w:checkStyle="1"/>
  <w:activeWritingStyle w:appName="MSWord" w:lang="en-AU" w:vendorID="8"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licant" w:val="AUSTRALIAN RAIL, TRAM AND BUS INDUSTRY UNION"/>
    <w:docVar w:name="CounselParties" w:val="Applicant"/>
    <w:docVar w:name="CounselType" w:val="Counsel for the "/>
    <w:docVar w:name="Court" w:val="Federal Court of Australia"/>
    <w:docVar w:name="Cross1AndAnother" w:val="True"/>
    <w:docVar w:name="Cross1AndOthers" w:val="False"/>
    <w:docVar w:name="Cross2AndAnother" w:val="True"/>
    <w:docVar w:name="Cross2AndOthers" w:val="False"/>
    <w:docVar w:name="Defenders" w:val="(and another named in the Schedule)"/>
    <w:docVar w:name="Division" w:val="General Division of the FCA"/>
    <w:docVar w:name="DocCreated" w:val="True"/>
    <w:docVar w:name="FileNumbers" w:val="VID 207 of 2021"/>
    <w:docVar w:name="grpRadioJudges" w:val="Justice"/>
    <w:docVar w:name="Initiators" w:val="(and another named in the Schedule)"/>
    <w:docVar w:name="Judgdate" w:val="4 May 2021"/>
    <w:docVar w:name="Judge" w:val="Wheelahan"/>
    <w:docVar w:name="lstEntryList" w:val="-1"/>
    <w:docVar w:name="NSD" w:val="NSD "/>
    <w:docVar w:name="NumApps" w:val="1"/>
    <w:docVar w:name="NumApps_" w:val="1"/>
    <w:docVar w:name="NumCrossResps" w:val="0"/>
    <w:docVar w:name="NumDefs" w:val="1"/>
    <w:docVar w:name="NumOthers" w:val="0"/>
    <w:docVar w:name="OtherNum" w:val="0"/>
    <w:docVar w:name="Parties1" w:val="Applicant"/>
    <w:docVar w:name="Parties2" w:val="Respondent"/>
    <w:docVar w:name="Parties3" w:val="Cross-Appellant"/>
    <w:docVar w:name="Parties4" w:val="Cross-Defendant"/>
    <w:docVar w:name="Parties5" w:val="Intervener"/>
    <w:docVar w:name="Place" w:val="N/A FCA"/>
    <w:docVar w:name="PracticeArea" w:val="Employment and Industrial Relations"/>
    <w:docVar w:name="RadioJudge" w:val="False"/>
    <w:docVar w:name="RadioJustice" w:val="True"/>
    <w:docVar w:name="RadioJustices" w:val="False"/>
    <w:docVar w:name="RESAndAnother" w:val="True"/>
    <w:docVar w:name="RESAndOthers" w:val="False"/>
    <w:docVar w:name="Respondent" w:val="METRO TRAINS MELBOURNE PTY LTD"/>
    <w:docVar w:name="ResState" w:val="Victoria"/>
    <w:docVar w:name="SubArea" w:val="[none]"/>
  </w:docVars>
  <w:rsids>
    <w:rsidRoot w:val="00571FC8"/>
    <w:rsid w:val="00000747"/>
    <w:rsid w:val="000064AF"/>
    <w:rsid w:val="000115C5"/>
    <w:rsid w:val="0001469E"/>
    <w:rsid w:val="00015993"/>
    <w:rsid w:val="00021CCB"/>
    <w:rsid w:val="00022289"/>
    <w:rsid w:val="00027398"/>
    <w:rsid w:val="0003201A"/>
    <w:rsid w:val="0003207A"/>
    <w:rsid w:val="00032F9F"/>
    <w:rsid w:val="000418DA"/>
    <w:rsid w:val="00041C07"/>
    <w:rsid w:val="00045BB7"/>
    <w:rsid w:val="00046284"/>
    <w:rsid w:val="00055719"/>
    <w:rsid w:val="0005641B"/>
    <w:rsid w:val="0006196A"/>
    <w:rsid w:val="00064F78"/>
    <w:rsid w:val="00073B7C"/>
    <w:rsid w:val="00081497"/>
    <w:rsid w:val="00085255"/>
    <w:rsid w:val="000A2E76"/>
    <w:rsid w:val="000A4807"/>
    <w:rsid w:val="000A4BE4"/>
    <w:rsid w:val="000B32CF"/>
    <w:rsid w:val="000C023E"/>
    <w:rsid w:val="000C5195"/>
    <w:rsid w:val="000C62EF"/>
    <w:rsid w:val="000D2137"/>
    <w:rsid w:val="000D3FD2"/>
    <w:rsid w:val="000D4B2E"/>
    <w:rsid w:val="000E3FC8"/>
    <w:rsid w:val="000E6A3C"/>
    <w:rsid w:val="000E7BAE"/>
    <w:rsid w:val="000F133D"/>
    <w:rsid w:val="0010536B"/>
    <w:rsid w:val="0011145C"/>
    <w:rsid w:val="001128BD"/>
    <w:rsid w:val="0011419D"/>
    <w:rsid w:val="00114B02"/>
    <w:rsid w:val="001226C0"/>
    <w:rsid w:val="00126EC8"/>
    <w:rsid w:val="0012731C"/>
    <w:rsid w:val="00132054"/>
    <w:rsid w:val="00133D4F"/>
    <w:rsid w:val="00134964"/>
    <w:rsid w:val="00134997"/>
    <w:rsid w:val="001351B9"/>
    <w:rsid w:val="00155CD2"/>
    <w:rsid w:val="00164BA7"/>
    <w:rsid w:val="0017279C"/>
    <w:rsid w:val="001727A4"/>
    <w:rsid w:val="0017376C"/>
    <w:rsid w:val="001738AB"/>
    <w:rsid w:val="001765E0"/>
    <w:rsid w:val="00177759"/>
    <w:rsid w:val="00180BB3"/>
    <w:rsid w:val="00185E6B"/>
    <w:rsid w:val="00187BBC"/>
    <w:rsid w:val="00190641"/>
    <w:rsid w:val="001932F3"/>
    <w:rsid w:val="001A2B40"/>
    <w:rsid w:val="001A4309"/>
    <w:rsid w:val="001A46AE"/>
    <w:rsid w:val="001A6C52"/>
    <w:rsid w:val="001B1053"/>
    <w:rsid w:val="001B14AC"/>
    <w:rsid w:val="001B27A7"/>
    <w:rsid w:val="001B7940"/>
    <w:rsid w:val="001C171A"/>
    <w:rsid w:val="001C37CA"/>
    <w:rsid w:val="001C4085"/>
    <w:rsid w:val="001C4158"/>
    <w:rsid w:val="001C5EA7"/>
    <w:rsid w:val="001D0DB4"/>
    <w:rsid w:val="001D4303"/>
    <w:rsid w:val="001D6746"/>
    <w:rsid w:val="001E3B49"/>
    <w:rsid w:val="001E4A05"/>
    <w:rsid w:val="001E7388"/>
    <w:rsid w:val="001F13DD"/>
    <w:rsid w:val="001F2473"/>
    <w:rsid w:val="001F2DBC"/>
    <w:rsid w:val="001F73E8"/>
    <w:rsid w:val="0020262C"/>
    <w:rsid w:val="00202723"/>
    <w:rsid w:val="00211A3E"/>
    <w:rsid w:val="00211F43"/>
    <w:rsid w:val="00215BCA"/>
    <w:rsid w:val="00217471"/>
    <w:rsid w:val="00217AC4"/>
    <w:rsid w:val="00221461"/>
    <w:rsid w:val="00224537"/>
    <w:rsid w:val="00225CA6"/>
    <w:rsid w:val="00235956"/>
    <w:rsid w:val="002404F1"/>
    <w:rsid w:val="00241FCF"/>
    <w:rsid w:val="00243794"/>
    <w:rsid w:val="00243E5E"/>
    <w:rsid w:val="00247C9A"/>
    <w:rsid w:val="0025160C"/>
    <w:rsid w:val="002535D0"/>
    <w:rsid w:val="002539B3"/>
    <w:rsid w:val="002555F3"/>
    <w:rsid w:val="00256336"/>
    <w:rsid w:val="00256654"/>
    <w:rsid w:val="00257C3E"/>
    <w:rsid w:val="002602C2"/>
    <w:rsid w:val="002666C9"/>
    <w:rsid w:val="00270136"/>
    <w:rsid w:val="00270C3D"/>
    <w:rsid w:val="00270FD7"/>
    <w:rsid w:val="00274F5B"/>
    <w:rsid w:val="00280836"/>
    <w:rsid w:val="00282E1A"/>
    <w:rsid w:val="002840F1"/>
    <w:rsid w:val="0029113B"/>
    <w:rsid w:val="002934C0"/>
    <w:rsid w:val="0029764C"/>
    <w:rsid w:val="00297C22"/>
    <w:rsid w:val="002A070D"/>
    <w:rsid w:val="002A1B50"/>
    <w:rsid w:val="002B0E91"/>
    <w:rsid w:val="002B132C"/>
    <w:rsid w:val="002B3F23"/>
    <w:rsid w:val="002B4EB5"/>
    <w:rsid w:val="002B5AF5"/>
    <w:rsid w:val="002B6779"/>
    <w:rsid w:val="002B71C0"/>
    <w:rsid w:val="002B7A34"/>
    <w:rsid w:val="002C31AD"/>
    <w:rsid w:val="002C7385"/>
    <w:rsid w:val="002D2DBB"/>
    <w:rsid w:val="002D37D8"/>
    <w:rsid w:val="002D516D"/>
    <w:rsid w:val="002D54A6"/>
    <w:rsid w:val="002E5BF9"/>
    <w:rsid w:val="002E6A7A"/>
    <w:rsid w:val="002E7C34"/>
    <w:rsid w:val="002F1E49"/>
    <w:rsid w:val="002F3783"/>
    <w:rsid w:val="002F4E9C"/>
    <w:rsid w:val="003013FF"/>
    <w:rsid w:val="00302F4E"/>
    <w:rsid w:val="00306D6C"/>
    <w:rsid w:val="00307BDE"/>
    <w:rsid w:val="0031256C"/>
    <w:rsid w:val="00314D6C"/>
    <w:rsid w:val="00316D2A"/>
    <w:rsid w:val="00322A7C"/>
    <w:rsid w:val="00322EEC"/>
    <w:rsid w:val="00323061"/>
    <w:rsid w:val="003402D3"/>
    <w:rsid w:val="00343ABC"/>
    <w:rsid w:val="00344E2F"/>
    <w:rsid w:val="003463FE"/>
    <w:rsid w:val="00347D41"/>
    <w:rsid w:val="003554B3"/>
    <w:rsid w:val="00356632"/>
    <w:rsid w:val="00357C7E"/>
    <w:rsid w:val="003653B6"/>
    <w:rsid w:val="00374650"/>
    <w:rsid w:val="00374CC4"/>
    <w:rsid w:val="003755EE"/>
    <w:rsid w:val="003774B2"/>
    <w:rsid w:val="00380F2D"/>
    <w:rsid w:val="003845A9"/>
    <w:rsid w:val="003850C9"/>
    <w:rsid w:val="00390883"/>
    <w:rsid w:val="003922F8"/>
    <w:rsid w:val="00395B24"/>
    <w:rsid w:val="003A1739"/>
    <w:rsid w:val="003A2D38"/>
    <w:rsid w:val="003A7ECC"/>
    <w:rsid w:val="003B2C72"/>
    <w:rsid w:val="003B58B4"/>
    <w:rsid w:val="003B6210"/>
    <w:rsid w:val="003B64F6"/>
    <w:rsid w:val="003C1333"/>
    <w:rsid w:val="003C20FF"/>
    <w:rsid w:val="003C550A"/>
    <w:rsid w:val="003C6055"/>
    <w:rsid w:val="003D2650"/>
    <w:rsid w:val="003D560C"/>
    <w:rsid w:val="003D5C00"/>
    <w:rsid w:val="003E3154"/>
    <w:rsid w:val="003E5874"/>
    <w:rsid w:val="003E72D3"/>
    <w:rsid w:val="003F193E"/>
    <w:rsid w:val="003F242C"/>
    <w:rsid w:val="003F34F1"/>
    <w:rsid w:val="004104B6"/>
    <w:rsid w:val="00411733"/>
    <w:rsid w:val="00411AE8"/>
    <w:rsid w:val="00413B74"/>
    <w:rsid w:val="004342F3"/>
    <w:rsid w:val="00435C5F"/>
    <w:rsid w:val="00436155"/>
    <w:rsid w:val="00441E98"/>
    <w:rsid w:val="00442AC9"/>
    <w:rsid w:val="00450F3A"/>
    <w:rsid w:val="004532F7"/>
    <w:rsid w:val="0045500C"/>
    <w:rsid w:val="0046178F"/>
    <w:rsid w:val="00464D51"/>
    <w:rsid w:val="0046785E"/>
    <w:rsid w:val="00472027"/>
    <w:rsid w:val="004724D3"/>
    <w:rsid w:val="004804CF"/>
    <w:rsid w:val="0048093E"/>
    <w:rsid w:val="004847FF"/>
    <w:rsid w:val="00484962"/>
    <w:rsid w:val="00484F6D"/>
    <w:rsid w:val="00484FB7"/>
    <w:rsid w:val="0048554D"/>
    <w:rsid w:val="00486367"/>
    <w:rsid w:val="00486CE7"/>
    <w:rsid w:val="0049338A"/>
    <w:rsid w:val="0049417F"/>
    <w:rsid w:val="00496D41"/>
    <w:rsid w:val="004A6602"/>
    <w:rsid w:val="004B3EFA"/>
    <w:rsid w:val="004C0F5A"/>
    <w:rsid w:val="004C2A87"/>
    <w:rsid w:val="004C4D7B"/>
    <w:rsid w:val="004C4ED3"/>
    <w:rsid w:val="004C667B"/>
    <w:rsid w:val="004C7ECD"/>
    <w:rsid w:val="004D2EA5"/>
    <w:rsid w:val="004D32A6"/>
    <w:rsid w:val="004D53E5"/>
    <w:rsid w:val="004E4F55"/>
    <w:rsid w:val="004E6DC4"/>
    <w:rsid w:val="004F21C1"/>
    <w:rsid w:val="00501A12"/>
    <w:rsid w:val="00502BD6"/>
    <w:rsid w:val="0050309C"/>
    <w:rsid w:val="00511A44"/>
    <w:rsid w:val="0051327C"/>
    <w:rsid w:val="0051346D"/>
    <w:rsid w:val="00513EAE"/>
    <w:rsid w:val="0051434F"/>
    <w:rsid w:val="00516806"/>
    <w:rsid w:val="00517CF0"/>
    <w:rsid w:val="0052098C"/>
    <w:rsid w:val="00525A49"/>
    <w:rsid w:val="005262D1"/>
    <w:rsid w:val="00530876"/>
    <w:rsid w:val="005315F3"/>
    <w:rsid w:val="00535613"/>
    <w:rsid w:val="005359EB"/>
    <w:rsid w:val="00540C3E"/>
    <w:rsid w:val="0054254A"/>
    <w:rsid w:val="00543BEB"/>
    <w:rsid w:val="005443A0"/>
    <w:rsid w:val="0054500B"/>
    <w:rsid w:val="005466B5"/>
    <w:rsid w:val="00554314"/>
    <w:rsid w:val="00554988"/>
    <w:rsid w:val="00562829"/>
    <w:rsid w:val="005629B3"/>
    <w:rsid w:val="00570D24"/>
    <w:rsid w:val="00571FC8"/>
    <w:rsid w:val="005724F6"/>
    <w:rsid w:val="00573AC4"/>
    <w:rsid w:val="005801FC"/>
    <w:rsid w:val="00585BA9"/>
    <w:rsid w:val="00587359"/>
    <w:rsid w:val="00587A5D"/>
    <w:rsid w:val="00595016"/>
    <w:rsid w:val="00595976"/>
    <w:rsid w:val="005959D8"/>
    <w:rsid w:val="00597AAE"/>
    <w:rsid w:val="005A222C"/>
    <w:rsid w:val="005A4DF8"/>
    <w:rsid w:val="005A78C8"/>
    <w:rsid w:val="005B1426"/>
    <w:rsid w:val="005C0A8E"/>
    <w:rsid w:val="005C1767"/>
    <w:rsid w:val="005C185C"/>
    <w:rsid w:val="005C42EF"/>
    <w:rsid w:val="005E02F5"/>
    <w:rsid w:val="005E0510"/>
    <w:rsid w:val="005E0DF4"/>
    <w:rsid w:val="005E176E"/>
    <w:rsid w:val="005E218E"/>
    <w:rsid w:val="005E35A0"/>
    <w:rsid w:val="005F0D1B"/>
    <w:rsid w:val="005F1865"/>
    <w:rsid w:val="006007BD"/>
    <w:rsid w:val="006013C8"/>
    <w:rsid w:val="0060270D"/>
    <w:rsid w:val="00604611"/>
    <w:rsid w:val="00604F13"/>
    <w:rsid w:val="00605373"/>
    <w:rsid w:val="00611586"/>
    <w:rsid w:val="00612D26"/>
    <w:rsid w:val="006149F1"/>
    <w:rsid w:val="00615855"/>
    <w:rsid w:val="00616795"/>
    <w:rsid w:val="00620DA8"/>
    <w:rsid w:val="00621887"/>
    <w:rsid w:val="00624520"/>
    <w:rsid w:val="0062589A"/>
    <w:rsid w:val="006271F5"/>
    <w:rsid w:val="00632300"/>
    <w:rsid w:val="00632BB7"/>
    <w:rsid w:val="00634652"/>
    <w:rsid w:val="00635B36"/>
    <w:rsid w:val="00636871"/>
    <w:rsid w:val="00640EE1"/>
    <w:rsid w:val="00640F4E"/>
    <w:rsid w:val="00643DE0"/>
    <w:rsid w:val="0064437D"/>
    <w:rsid w:val="00644E85"/>
    <w:rsid w:val="0064765B"/>
    <w:rsid w:val="00652C52"/>
    <w:rsid w:val="006538D5"/>
    <w:rsid w:val="00655E97"/>
    <w:rsid w:val="0066063F"/>
    <w:rsid w:val="00662BB0"/>
    <w:rsid w:val="0066302F"/>
    <w:rsid w:val="00663878"/>
    <w:rsid w:val="00667773"/>
    <w:rsid w:val="00670743"/>
    <w:rsid w:val="00680A85"/>
    <w:rsid w:val="00681ADF"/>
    <w:rsid w:val="00681F5C"/>
    <w:rsid w:val="00690EE2"/>
    <w:rsid w:val="00693854"/>
    <w:rsid w:val="00694BEB"/>
    <w:rsid w:val="006A0E20"/>
    <w:rsid w:val="006A1FAD"/>
    <w:rsid w:val="006A22E9"/>
    <w:rsid w:val="006A24E3"/>
    <w:rsid w:val="006A5695"/>
    <w:rsid w:val="006B0439"/>
    <w:rsid w:val="006B3904"/>
    <w:rsid w:val="006B5B7D"/>
    <w:rsid w:val="006C5B46"/>
    <w:rsid w:val="006C6E39"/>
    <w:rsid w:val="006D0ECF"/>
    <w:rsid w:val="006D3D5B"/>
    <w:rsid w:val="006D4C92"/>
    <w:rsid w:val="006D4EB6"/>
    <w:rsid w:val="006D721F"/>
    <w:rsid w:val="006E35BF"/>
    <w:rsid w:val="006E7850"/>
    <w:rsid w:val="006F46D6"/>
    <w:rsid w:val="00700945"/>
    <w:rsid w:val="007028D9"/>
    <w:rsid w:val="00704F2B"/>
    <w:rsid w:val="00705892"/>
    <w:rsid w:val="00707218"/>
    <w:rsid w:val="00710D04"/>
    <w:rsid w:val="007126B5"/>
    <w:rsid w:val="00712B1D"/>
    <w:rsid w:val="00715751"/>
    <w:rsid w:val="007169BA"/>
    <w:rsid w:val="007171BA"/>
    <w:rsid w:val="00717616"/>
    <w:rsid w:val="007325D9"/>
    <w:rsid w:val="007339D5"/>
    <w:rsid w:val="0073583B"/>
    <w:rsid w:val="007360CA"/>
    <w:rsid w:val="0074667B"/>
    <w:rsid w:val="007470BD"/>
    <w:rsid w:val="00760EC0"/>
    <w:rsid w:val="007630B0"/>
    <w:rsid w:val="00764B14"/>
    <w:rsid w:val="007711BD"/>
    <w:rsid w:val="00771F74"/>
    <w:rsid w:val="007720F4"/>
    <w:rsid w:val="0078003A"/>
    <w:rsid w:val="00780771"/>
    <w:rsid w:val="00786B1A"/>
    <w:rsid w:val="007929CF"/>
    <w:rsid w:val="007A1D82"/>
    <w:rsid w:val="007A47CA"/>
    <w:rsid w:val="007A49E7"/>
    <w:rsid w:val="007A4DBA"/>
    <w:rsid w:val="007A6F28"/>
    <w:rsid w:val="007B03C6"/>
    <w:rsid w:val="007B0DB1"/>
    <w:rsid w:val="007B5673"/>
    <w:rsid w:val="007B65E1"/>
    <w:rsid w:val="007B7238"/>
    <w:rsid w:val="007B76FF"/>
    <w:rsid w:val="007C0EDC"/>
    <w:rsid w:val="007C111F"/>
    <w:rsid w:val="007C3B40"/>
    <w:rsid w:val="007C3BF6"/>
    <w:rsid w:val="007C64A4"/>
    <w:rsid w:val="007C67B3"/>
    <w:rsid w:val="007D0FD2"/>
    <w:rsid w:val="007D2EF8"/>
    <w:rsid w:val="007D3EF0"/>
    <w:rsid w:val="007D561F"/>
    <w:rsid w:val="007D70DA"/>
    <w:rsid w:val="007D7FD2"/>
    <w:rsid w:val="007E13D9"/>
    <w:rsid w:val="007E1E33"/>
    <w:rsid w:val="007E2AEC"/>
    <w:rsid w:val="007E41BE"/>
    <w:rsid w:val="007E4DB6"/>
    <w:rsid w:val="007E6733"/>
    <w:rsid w:val="007E7CD4"/>
    <w:rsid w:val="007F12AC"/>
    <w:rsid w:val="007F4501"/>
    <w:rsid w:val="007F60DF"/>
    <w:rsid w:val="00801800"/>
    <w:rsid w:val="00801861"/>
    <w:rsid w:val="00801928"/>
    <w:rsid w:val="00801B5B"/>
    <w:rsid w:val="0081400C"/>
    <w:rsid w:val="008216E7"/>
    <w:rsid w:val="00825BE6"/>
    <w:rsid w:val="008276B4"/>
    <w:rsid w:val="008308A6"/>
    <w:rsid w:val="00831927"/>
    <w:rsid w:val="00833689"/>
    <w:rsid w:val="008356E6"/>
    <w:rsid w:val="00837288"/>
    <w:rsid w:val="00841BD3"/>
    <w:rsid w:val="0084273D"/>
    <w:rsid w:val="00844E3F"/>
    <w:rsid w:val="00845A83"/>
    <w:rsid w:val="00846BB9"/>
    <w:rsid w:val="008649D5"/>
    <w:rsid w:val="008712BB"/>
    <w:rsid w:val="00873B8F"/>
    <w:rsid w:val="008830E7"/>
    <w:rsid w:val="00890EDE"/>
    <w:rsid w:val="00892B38"/>
    <w:rsid w:val="00896EB3"/>
    <w:rsid w:val="008A0A72"/>
    <w:rsid w:val="008A1741"/>
    <w:rsid w:val="008A2484"/>
    <w:rsid w:val="008A52F3"/>
    <w:rsid w:val="008B2A5D"/>
    <w:rsid w:val="008C26D9"/>
    <w:rsid w:val="008C6D50"/>
    <w:rsid w:val="008C7167"/>
    <w:rsid w:val="008C7503"/>
    <w:rsid w:val="008D1617"/>
    <w:rsid w:val="008D330F"/>
    <w:rsid w:val="008D48C1"/>
    <w:rsid w:val="008D577D"/>
    <w:rsid w:val="008E6315"/>
    <w:rsid w:val="008F07FC"/>
    <w:rsid w:val="008F11E0"/>
    <w:rsid w:val="008F3EA7"/>
    <w:rsid w:val="008F78BC"/>
    <w:rsid w:val="008F7B63"/>
    <w:rsid w:val="008F7D6A"/>
    <w:rsid w:val="00901C86"/>
    <w:rsid w:val="00903603"/>
    <w:rsid w:val="009054CB"/>
    <w:rsid w:val="00911F8D"/>
    <w:rsid w:val="00912244"/>
    <w:rsid w:val="00912F94"/>
    <w:rsid w:val="00914049"/>
    <w:rsid w:val="009171BC"/>
    <w:rsid w:val="0092497E"/>
    <w:rsid w:val="0092590B"/>
    <w:rsid w:val="00925BF3"/>
    <w:rsid w:val="00925E60"/>
    <w:rsid w:val="009264B3"/>
    <w:rsid w:val="009365E0"/>
    <w:rsid w:val="0094050B"/>
    <w:rsid w:val="00942BA2"/>
    <w:rsid w:val="009432B7"/>
    <w:rsid w:val="00944C86"/>
    <w:rsid w:val="009454AE"/>
    <w:rsid w:val="00947C02"/>
    <w:rsid w:val="00950276"/>
    <w:rsid w:val="00950BE6"/>
    <w:rsid w:val="00957DE8"/>
    <w:rsid w:val="0096072A"/>
    <w:rsid w:val="00960ECB"/>
    <w:rsid w:val="009615D6"/>
    <w:rsid w:val="00967855"/>
    <w:rsid w:val="00974709"/>
    <w:rsid w:val="00976BD8"/>
    <w:rsid w:val="00980736"/>
    <w:rsid w:val="009811AE"/>
    <w:rsid w:val="00981A39"/>
    <w:rsid w:val="00982D56"/>
    <w:rsid w:val="00983DBF"/>
    <w:rsid w:val="00987097"/>
    <w:rsid w:val="00991123"/>
    <w:rsid w:val="00991CAB"/>
    <w:rsid w:val="009A3A9C"/>
    <w:rsid w:val="009B046C"/>
    <w:rsid w:val="009B13FA"/>
    <w:rsid w:val="009B1E2D"/>
    <w:rsid w:val="009B3C74"/>
    <w:rsid w:val="009C59FB"/>
    <w:rsid w:val="009C6F3B"/>
    <w:rsid w:val="009D1467"/>
    <w:rsid w:val="009D328D"/>
    <w:rsid w:val="009E4FA6"/>
    <w:rsid w:val="009E7D93"/>
    <w:rsid w:val="009F2C48"/>
    <w:rsid w:val="009F3C34"/>
    <w:rsid w:val="009F462C"/>
    <w:rsid w:val="009F5C33"/>
    <w:rsid w:val="00A026F0"/>
    <w:rsid w:val="00A03EAC"/>
    <w:rsid w:val="00A04DBB"/>
    <w:rsid w:val="00A07EA0"/>
    <w:rsid w:val="00A11CA6"/>
    <w:rsid w:val="00A20C49"/>
    <w:rsid w:val="00A2216B"/>
    <w:rsid w:val="00A22932"/>
    <w:rsid w:val="00A267E1"/>
    <w:rsid w:val="00A269CA"/>
    <w:rsid w:val="00A26CC1"/>
    <w:rsid w:val="00A336EE"/>
    <w:rsid w:val="00A33F46"/>
    <w:rsid w:val="00A3427E"/>
    <w:rsid w:val="00A35344"/>
    <w:rsid w:val="00A359AC"/>
    <w:rsid w:val="00A40F83"/>
    <w:rsid w:val="00A410FB"/>
    <w:rsid w:val="00A41413"/>
    <w:rsid w:val="00A431E6"/>
    <w:rsid w:val="00A436E8"/>
    <w:rsid w:val="00A439FD"/>
    <w:rsid w:val="00A45FB1"/>
    <w:rsid w:val="00A467BC"/>
    <w:rsid w:val="00A46CCC"/>
    <w:rsid w:val="00A47996"/>
    <w:rsid w:val="00A51CFE"/>
    <w:rsid w:val="00A5204D"/>
    <w:rsid w:val="00A56653"/>
    <w:rsid w:val="00A61605"/>
    <w:rsid w:val="00A65F97"/>
    <w:rsid w:val="00A73F3E"/>
    <w:rsid w:val="00A767B7"/>
    <w:rsid w:val="00A76C13"/>
    <w:rsid w:val="00A83325"/>
    <w:rsid w:val="00A84FD0"/>
    <w:rsid w:val="00A92E79"/>
    <w:rsid w:val="00A950B6"/>
    <w:rsid w:val="00A95D45"/>
    <w:rsid w:val="00A95DD3"/>
    <w:rsid w:val="00AB2905"/>
    <w:rsid w:val="00AB41C1"/>
    <w:rsid w:val="00AB4CF2"/>
    <w:rsid w:val="00AB6CCA"/>
    <w:rsid w:val="00AC223F"/>
    <w:rsid w:val="00AC33B1"/>
    <w:rsid w:val="00AC34AE"/>
    <w:rsid w:val="00AD12A8"/>
    <w:rsid w:val="00AD75FC"/>
    <w:rsid w:val="00AE023F"/>
    <w:rsid w:val="00AF3577"/>
    <w:rsid w:val="00AF35F9"/>
    <w:rsid w:val="00B0420C"/>
    <w:rsid w:val="00B0424C"/>
    <w:rsid w:val="00B05C7D"/>
    <w:rsid w:val="00B118B7"/>
    <w:rsid w:val="00B15D57"/>
    <w:rsid w:val="00B16347"/>
    <w:rsid w:val="00B17D6E"/>
    <w:rsid w:val="00B2435E"/>
    <w:rsid w:val="00B346C3"/>
    <w:rsid w:val="00B4005C"/>
    <w:rsid w:val="00B4227E"/>
    <w:rsid w:val="00B4471C"/>
    <w:rsid w:val="00B451A6"/>
    <w:rsid w:val="00B45978"/>
    <w:rsid w:val="00B56D6E"/>
    <w:rsid w:val="00B64167"/>
    <w:rsid w:val="00B64347"/>
    <w:rsid w:val="00B65DC6"/>
    <w:rsid w:val="00B66EB6"/>
    <w:rsid w:val="00B67AC2"/>
    <w:rsid w:val="00B722DE"/>
    <w:rsid w:val="00B74398"/>
    <w:rsid w:val="00B751E3"/>
    <w:rsid w:val="00B756C5"/>
    <w:rsid w:val="00B758F2"/>
    <w:rsid w:val="00B75BA6"/>
    <w:rsid w:val="00B76C44"/>
    <w:rsid w:val="00B8184A"/>
    <w:rsid w:val="00B82283"/>
    <w:rsid w:val="00B828D8"/>
    <w:rsid w:val="00B83F87"/>
    <w:rsid w:val="00B87CDC"/>
    <w:rsid w:val="00B910C1"/>
    <w:rsid w:val="00BA1B66"/>
    <w:rsid w:val="00BA2CA4"/>
    <w:rsid w:val="00BA2EFA"/>
    <w:rsid w:val="00BA3DBC"/>
    <w:rsid w:val="00BA707A"/>
    <w:rsid w:val="00BB1AFB"/>
    <w:rsid w:val="00BB27AE"/>
    <w:rsid w:val="00BB2DA2"/>
    <w:rsid w:val="00BB4377"/>
    <w:rsid w:val="00BB56DC"/>
    <w:rsid w:val="00BB6E37"/>
    <w:rsid w:val="00BD1F74"/>
    <w:rsid w:val="00BE183D"/>
    <w:rsid w:val="00BE1EE5"/>
    <w:rsid w:val="00BE37B5"/>
    <w:rsid w:val="00BF5D7A"/>
    <w:rsid w:val="00C01C2E"/>
    <w:rsid w:val="00C02D33"/>
    <w:rsid w:val="00C03E7E"/>
    <w:rsid w:val="00C04B53"/>
    <w:rsid w:val="00C1232C"/>
    <w:rsid w:val="00C16696"/>
    <w:rsid w:val="00C27C6B"/>
    <w:rsid w:val="00C340C3"/>
    <w:rsid w:val="00C3594D"/>
    <w:rsid w:val="00C36442"/>
    <w:rsid w:val="00C400CE"/>
    <w:rsid w:val="00C410FD"/>
    <w:rsid w:val="00C457DE"/>
    <w:rsid w:val="00C47DD3"/>
    <w:rsid w:val="00C53562"/>
    <w:rsid w:val="00C539FB"/>
    <w:rsid w:val="00C66E57"/>
    <w:rsid w:val="00C67B87"/>
    <w:rsid w:val="00C707FB"/>
    <w:rsid w:val="00C70F81"/>
    <w:rsid w:val="00C71B98"/>
    <w:rsid w:val="00C74150"/>
    <w:rsid w:val="00C75594"/>
    <w:rsid w:val="00C76498"/>
    <w:rsid w:val="00C76671"/>
    <w:rsid w:val="00C85982"/>
    <w:rsid w:val="00C95AB1"/>
    <w:rsid w:val="00CA0466"/>
    <w:rsid w:val="00CA1A81"/>
    <w:rsid w:val="00CA246D"/>
    <w:rsid w:val="00CA50D9"/>
    <w:rsid w:val="00CA6C9F"/>
    <w:rsid w:val="00CB3054"/>
    <w:rsid w:val="00CB5636"/>
    <w:rsid w:val="00CC040A"/>
    <w:rsid w:val="00CC3D9D"/>
    <w:rsid w:val="00CC3EE5"/>
    <w:rsid w:val="00CC7805"/>
    <w:rsid w:val="00CE425C"/>
    <w:rsid w:val="00CE58AC"/>
    <w:rsid w:val="00CF5A80"/>
    <w:rsid w:val="00D02A5C"/>
    <w:rsid w:val="00D045EE"/>
    <w:rsid w:val="00D05091"/>
    <w:rsid w:val="00D10CA6"/>
    <w:rsid w:val="00D10F21"/>
    <w:rsid w:val="00D1173E"/>
    <w:rsid w:val="00D134CF"/>
    <w:rsid w:val="00D1573B"/>
    <w:rsid w:val="00D24806"/>
    <w:rsid w:val="00D24E0A"/>
    <w:rsid w:val="00D34040"/>
    <w:rsid w:val="00D34E69"/>
    <w:rsid w:val="00D34F09"/>
    <w:rsid w:val="00D36C78"/>
    <w:rsid w:val="00D375EE"/>
    <w:rsid w:val="00D42DBF"/>
    <w:rsid w:val="00D54CE2"/>
    <w:rsid w:val="00D55AE8"/>
    <w:rsid w:val="00D56056"/>
    <w:rsid w:val="00D6085F"/>
    <w:rsid w:val="00D6137C"/>
    <w:rsid w:val="00D62699"/>
    <w:rsid w:val="00D6339A"/>
    <w:rsid w:val="00D643C1"/>
    <w:rsid w:val="00D65210"/>
    <w:rsid w:val="00D65B6F"/>
    <w:rsid w:val="00D778E9"/>
    <w:rsid w:val="00D812BF"/>
    <w:rsid w:val="00D82620"/>
    <w:rsid w:val="00D85707"/>
    <w:rsid w:val="00D90D3D"/>
    <w:rsid w:val="00D9725F"/>
    <w:rsid w:val="00DA01B1"/>
    <w:rsid w:val="00DA11A2"/>
    <w:rsid w:val="00DA14ED"/>
    <w:rsid w:val="00DA26D6"/>
    <w:rsid w:val="00DA42CE"/>
    <w:rsid w:val="00DB2EF1"/>
    <w:rsid w:val="00DB3DE1"/>
    <w:rsid w:val="00DB5DA0"/>
    <w:rsid w:val="00DB716C"/>
    <w:rsid w:val="00DC5C85"/>
    <w:rsid w:val="00DC7C5D"/>
    <w:rsid w:val="00DD0959"/>
    <w:rsid w:val="00DD4236"/>
    <w:rsid w:val="00DD44F1"/>
    <w:rsid w:val="00DD6957"/>
    <w:rsid w:val="00DD6E7A"/>
    <w:rsid w:val="00DE3067"/>
    <w:rsid w:val="00DE691A"/>
    <w:rsid w:val="00DF2795"/>
    <w:rsid w:val="00DF3EEE"/>
    <w:rsid w:val="00DF75E1"/>
    <w:rsid w:val="00E027BC"/>
    <w:rsid w:val="00E10F0D"/>
    <w:rsid w:val="00E13A41"/>
    <w:rsid w:val="00E13F4B"/>
    <w:rsid w:val="00E14EA5"/>
    <w:rsid w:val="00E17983"/>
    <w:rsid w:val="00E2070E"/>
    <w:rsid w:val="00E2076C"/>
    <w:rsid w:val="00E21133"/>
    <w:rsid w:val="00E2149C"/>
    <w:rsid w:val="00E215DE"/>
    <w:rsid w:val="00E2327E"/>
    <w:rsid w:val="00E266EF"/>
    <w:rsid w:val="00E326A8"/>
    <w:rsid w:val="00E34684"/>
    <w:rsid w:val="00E40F53"/>
    <w:rsid w:val="00E44EDE"/>
    <w:rsid w:val="00E47316"/>
    <w:rsid w:val="00E47428"/>
    <w:rsid w:val="00E56C8E"/>
    <w:rsid w:val="00E5716B"/>
    <w:rsid w:val="00E57F1F"/>
    <w:rsid w:val="00E66B9F"/>
    <w:rsid w:val="00E66C61"/>
    <w:rsid w:val="00E70A6A"/>
    <w:rsid w:val="00E710D6"/>
    <w:rsid w:val="00E73DA4"/>
    <w:rsid w:val="00E76485"/>
    <w:rsid w:val="00E76E45"/>
    <w:rsid w:val="00E777C9"/>
    <w:rsid w:val="00E81DA6"/>
    <w:rsid w:val="00E84212"/>
    <w:rsid w:val="00E9086C"/>
    <w:rsid w:val="00E90AAA"/>
    <w:rsid w:val="00E91A0F"/>
    <w:rsid w:val="00E92D11"/>
    <w:rsid w:val="00E94A71"/>
    <w:rsid w:val="00E94CBF"/>
    <w:rsid w:val="00E95AFC"/>
    <w:rsid w:val="00EA03CE"/>
    <w:rsid w:val="00EA1CC0"/>
    <w:rsid w:val="00EA23E5"/>
    <w:rsid w:val="00EA47C3"/>
    <w:rsid w:val="00EA4E2E"/>
    <w:rsid w:val="00EB2417"/>
    <w:rsid w:val="00EB2CCB"/>
    <w:rsid w:val="00EB4659"/>
    <w:rsid w:val="00EB7A25"/>
    <w:rsid w:val="00EC0F3E"/>
    <w:rsid w:val="00EC57A7"/>
    <w:rsid w:val="00ED0817"/>
    <w:rsid w:val="00ED3B85"/>
    <w:rsid w:val="00ED631C"/>
    <w:rsid w:val="00ED7DD9"/>
    <w:rsid w:val="00EE445B"/>
    <w:rsid w:val="00EF1B03"/>
    <w:rsid w:val="00EF1E5F"/>
    <w:rsid w:val="00EF26B2"/>
    <w:rsid w:val="00EF3113"/>
    <w:rsid w:val="00EF3F84"/>
    <w:rsid w:val="00EF6E53"/>
    <w:rsid w:val="00F16458"/>
    <w:rsid w:val="00F176AC"/>
    <w:rsid w:val="00F23922"/>
    <w:rsid w:val="00F26F28"/>
    <w:rsid w:val="00F27714"/>
    <w:rsid w:val="00F3276E"/>
    <w:rsid w:val="00F329F7"/>
    <w:rsid w:val="00F33D3C"/>
    <w:rsid w:val="00F37A91"/>
    <w:rsid w:val="00F407AE"/>
    <w:rsid w:val="00F408A0"/>
    <w:rsid w:val="00F45CF5"/>
    <w:rsid w:val="00F47DB0"/>
    <w:rsid w:val="00F50C3F"/>
    <w:rsid w:val="00F50E34"/>
    <w:rsid w:val="00F53EF7"/>
    <w:rsid w:val="00F54BF2"/>
    <w:rsid w:val="00F775AC"/>
    <w:rsid w:val="00F87F33"/>
    <w:rsid w:val="00F92355"/>
    <w:rsid w:val="00F93963"/>
    <w:rsid w:val="00F93BA8"/>
    <w:rsid w:val="00F94291"/>
    <w:rsid w:val="00F94CD8"/>
    <w:rsid w:val="00FA298A"/>
    <w:rsid w:val="00FA4F1B"/>
    <w:rsid w:val="00FA5B66"/>
    <w:rsid w:val="00FB30EB"/>
    <w:rsid w:val="00FB3539"/>
    <w:rsid w:val="00FB7982"/>
    <w:rsid w:val="00FC0734"/>
    <w:rsid w:val="00FC0FC5"/>
    <w:rsid w:val="00FC588F"/>
    <w:rsid w:val="00FC6879"/>
    <w:rsid w:val="00FD0412"/>
    <w:rsid w:val="00FD1511"/>
    <w:rsid w:val="00FE0098"/>
    <w:rsid w:val="00FE1B30"/>
    <w:rsid w:val="00FE7B44"/>
    <w:rsid w:val="00FE7B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4692AF4-DBCA-4C7F-ADF6-749C252ED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81ADF"/>
    <w:pPr>
      <w:tabs>
        <w:tab w:val="right" w:leader="dot" w:pos="9072"/>
      </w:tabs>
      <w:spacing w:before="120" w:after="60" w:line="240" w:lineRule="auto"/>
      <w:jc w:val="left"/>
    </w:pPr>
    <w:rPr>
      <w:b/>
      <w:caps/>
      <w:kern w:val="28"/>
    </w:rPr>
  </w:style>
  <w:style w:type="paragraph" w:customStyle="1" w:styleId="ListNo1">
    <w:name w:val="List No 1"/>
    <w:basedOn w:val="Normal"/>
    <w:rsid w:val="0052098C"/>
    <w:pPr>
      <w:numPr>
        <w:numId w:val="23"/>
      </w:numPr>
      <w:spacing w:before="60" w:after="60"/>
    </w:pPr>
  </w:style>
  <w:style w:type="paragraph" w:customStyle="1" w:styleId="FTOC2">
    <w:name w:val="FTOC 2"/>
    <w:basedOn w:val="Normal"/>
    <w:semiHidden/>
    <w:rsid w:val="00681ADF"/>
    <w:pPr>
      <w:tabs>
        <w:tab w:val="right" w:leader="dot" w:pos="9072"/>
      </w:tabs>
      <w:spacing w:before="120" w:after="60" w:line="240" w:lineRule="auto"/>
      <w:ind w:left="238"/>
      <w:jc w:val="left"/>
    </w:pPr>
    <w:rPr>
      <w:b/>
    </w:rPr>
  </w:style>
  <w:style w:type="paragraph" w:customStyle="1" w:styleId="FTOC3">
    <w:name w:val="FTOC 3"/>
    <w:basedOn w:val="Normal"/>
    <w:semiHidden/>
    <w:rsid w:val="00681ADF"/>
    <w:pPr>
      <w:tabs>
        <w:tab w:val="right" w:leader="dot" w:pos="9072"/>
      </w:tabs>
      <w:spacing w:before="120" w:after="60" w:line="240" w:lineRule="auto"/>
      <w:ind w:left="482"/>
      <w:jc w:val="left"/>
    </w:pPr>
    <w:rPr>
      <w:b/>
      <w:i/>
    </w:rPr>
  </w:style>
  <w:style w:type="paragraph" w:customStyle="1" w:styleId="FTOC4">
    <w:name w:val="FTOC 4"/>
    <w:basedOn w:val="Normal"/>
    <w:semiHidden/>
    <w:rsid w:val="00681ADF"/>
    <w:pPr>
      <w:tabs>
        <w:tab w:val="right" w:leader="dot" w:pos="9072"/>
      </w:tabs>
      <w:spacing w:before="120" w:after="60" w:line="240" w:lineRule="auto"/>
      <w:ind w:left="720"/>
      <w:jc w:val="left"/>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uiPriority w:val="99"/>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uiPriority w:val="99"/>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rsid w:val="00323061"/>
    <w:pPr>
      <w:spacing w:before="120" w:after="60" w:line="240" w:lineRule="auto"/>
      <w:jc w:val="left"/>
    </w:pPr>
  </w:style>
  <w:style w:type="paragraph" w:customStyle="1" w:styleId="bTOC2">
    <w:name w:val="bTOC 2"/>
    <w:basedOn w:val="TOC2"/>
    <w:semiHidden/>
    <w:rsid w:val="00323061"/>
    <w:pPr>
      <w:spacing w:before="120" w:after="60" w:line="240" w:lineRule="auto"/>
      <w:ind w:left="238"/>
      <w:jc w:val="left"/>
    </w:pPr>
  </w:style>
  <w:style w:type="paragraph" w:customStyle="1" w:styleId="bTOC3">
    <w:name w:val="bTOC 3"/>
    <w:basedOn w:val="TOC3"/>
    <w:semiHidden/>
    <w:rsid w:val="00323061"/>
    <w:pPr>
      <w:spacing w:before="120" w:after="60" w:line="240" w:lineRule="auto"/>
      <w:ind w:left="482"/>
      <w:jc w:val="left"/>
    </w:pPr>
  </w:style>
  <w:style w:type="paragraph" w:customStyle="1" w:styleId="bTOC4">
    <w:name w:val="bTOC 4"/>
    <w:basedOn w:val="TOC4"/>
    <w:semiHidden/>
    <w:rsid w:val="00323061"/>
    <w:pPr>
      <w:spacing w:before="120" w:after="60" w:line="240" w:lineRule="auto"/>
      <w:jc w:val="left"/>
    </w:pPr>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3774B2"/>
    <w:pPr>
      <w:tabs>
        <w:tab w:val="right" w:leader="dot" w:pos="9072"/>
      </w:tabs>
      <w:spacing w:before="120" w:after="60" w:line="240" w:lineRule="auto"/>
      <w:ind w:left="709" w:hanging="709"/>
      <w:jc w:val="left"/>
    </w:pPr>
    <w:rPr>
      <w:b/>
      <w:kern w:val="28"/>
    </w:rPr>
  </w:style>
  <w:style w:type="paragraph" w:customStyle="1" w:styleId="FTOC6">
    <w:name w:val="FTOC 6"/>
    <w:basedOn w:val="Normal"/>
    <w:semiHidden/>
    <w:rsid w:val="003774B2"/>
    <w:pPr>
      <w:tabs>
        <w:tab w:val="right" w:leader="dot" w:pos="9072"/>
      </w:tabs>
      <w:spacing w:before="120" w:after="60" w:line="240" w:lineRule="auto"/>
      <w:ind w:left="1418" w:hanging="709"/>
      <w:jc w:val="left"/>
    </w:pPr>
    <w:rPr>
      <w:b/>
    </w:rPr>
  </w:style>
  <w:style w:type="paragraph" w:customStyle="1" w:styleId="FTOC7">
    <w:name w:val="FTOC 7"/>
    <w:basedOn w:val="Normal"/>
    <w:semiHidden/>
    <w:rsid w:val="003774B2"/>
    <w:pPr>
      <w:tabs>
        <w:tab w:val="right" w:leader="dot" w:pos="9072"/>
      </w:tabs>
      <w:spacing w:before="120" w:after="60" w:line="240" w:lineRule="auto"/>
      <w:ind w:left="2127" w:hanging="709"/>
      <w:jc w:val="left"/>
    </w:pPr>
    <w:rPr>
      <w:b/>
    </w:rPr>
  </w:style>
  <w:style w:type="paragraph" w:customStyle="1" w:styleId="FTOC8">
    <w:name w:val="FTOC 8"/>
    <w:basedOn w:val="Normal"/>
    <w:semiHidden/>
    <w:rsid w:val="003774B2"/>
    <w:pPr>
      <w:tabs>
        <w:tab w:val="right" w:leader="dot" w:pos="9072"/>
      </w:tabs>
      <w:spacing w:before="120" w:after="60" w:line="240" w:lineRule="auto"/>
      <w:ind w:left="3260" w:hanging="1134"/>
      <w:jc w:val="left"/>
    </w:pPr>
    <w:rPr>
      <w:b/>
    </w:rPr>
  </w:style>
  <w:style w:type="paragraph" w:customStyle="1" w:styleId="FTOC9">
    <w:name w:val="FTOC 9"/>
    <w:basedOn w:val="Normal"/>
    <w:semiHidden/>
    <w:rsid w:val="003774B2"/>
    <w:pPr>
      <w:tabs>
        <w:tab w:val="right" w:leader="dot" w:pos="9072"/>
      </w:tabs>
      <w:spacing w:before="120" w:after="60" w:line="240" w:lineRule="auto"/>
      <w:ind w:left="3969" w:hanging="1134"/>
      <w:jc w:val="left"/>
    </w:pPr>
    <w:rPr>
      <w:b/>
    </w:rPr>
  </w:style>
  <w:style w:type="paragraph" w:customStyle="1" w:styleId="bTOC5">
    <w:name w:val="bTOC 5"/>
    <w:basedOn w:val="Normal"/>
    <w:semiHidden/>
    <w:rsid w:val="00323061"/>
    <w:pPr>
      <w:tabs>
        <w:tab w:val="right" w:leader="dot" w:pos="9072"/>
      </w:tabs>
      <w:spacing w:before="120" w:after="60" w:line="240" w:lineRule="auto"/>
      <w:ind w:left="709" w:hanging="709"/>
      <w:jc w:val="left"/>
    </w:pPr>
  </w:style>
  <w:style w:type="paragraph" w:customStyle="1" w:styleId="bTOC6">
    <w:name w:val="bTOC 6"/>
    <w:basedOn w:val="Normal"/>
    <w:semiHidden/>
    <w:rsid w:val="00323061"/>
    <w:pPr>
      <w:tabs>
        <w:tab w:val="right" w:leader="dot" w:pos="9072"/>
      </w:tabs>
      <w:spacing w:before="120" w:after="60" w:line="240" w:lineRule="auto"/>
      <w:ind w:left="1418" w:hanging="709"/>
      <w:jc w:val="left"/>
    </w:pPr>
  </w:style>
  <w:style w:type="paragraph" w:customStyle="1" w:styleId="bTOC7">
    <w:name w:val="bTOC 7"/>
    <w:basedOn w:val="Normal"/>
    <w:semiHidden/>
    <w:rsid w:val="00323061"/>
    <w:pPr>
      <w:tabs>
        <w:tab w:val="right" w:leader="dot" w:pos="9072"/>
      </w:tabs>
      <w:spacing w:before="120" w:after="60" w:line="240" w:lineRule="auto"/>
      <w:ind w:left="2127" w:hanging="709"/>
      <w:jc w:val="left"/>
    </w:pPr>
  </w:style>
  <w:style w:type="paragraph" w:customStyle="1" w:styleId="bTOC8">
    <w:name w:val="bTOC 8"/>
    <w:basedOn w:val="Normal"/>
    <w:semiHidden/>
    <w:rsid w:val="00323061"/>
    <w:pPr>
      <w:keepNext/>
      <w:tabs>
        <w:tab w:val="right" w:leader="dot" w:pos="9072"/>
      </w:tabs>
      <w:spacing w:before="120" w:after="60" w:line="240" w:lineRule="auto"/>
      <w:ind w:left="3260" w:hanging="1134"/>
      <w:jc w:val="left"/>
    </w:pPr>
  </w:style>
  <w:style w:type="paragraph" w:customStyle="1" w:styleId="bTOC9">
    <w:name w:val="bTOC 9"/>
    <w:basedOn w:val="Normal"/>
    <w:semiHidden/>
    <w:rsid w:val="00323061"/>
    <w:pPr>
      <w:keepNext/>
      <w:tabs>
        <w:tab w:val="right" w:leader="dot" w:pos="9072"/>
      </w:tabs>
      <w:spacing w:before="120" w:after="60" w:line="240" w:lineRule="auto"/>
      <w:ind w:left="3969" w:hanging="1134"/>
      <w:jc w:val="left"/>
    </w:pPr>
  </w:style>
  <w:style w:type="paragraph" w:customStyle="1" w:styleId="ListNo2">
    <w:name w:val="List No 2"/>
    <w:basedOn w:val="ListNo1"/>
    <w:rsid w:val="0052098C"/>
    <w:pPr>
      <w:numPr>
        <w:ilvl w:val="1"/>
      </w:numPr>
    </w:pPr>
  </w:style>
  <w:style w:type="paragraph" w:customStyle="1" w:styleId="ListNo3">
    <w:name w:val="List No 3"/>
    <w:basedOn w:val="ListNo2"/>
    <w:rsid w:val="0052098C"/>
    <w:pPr>
      <w:numPr>
        <w:ilvl w:val="2"/>
      </w:numPr>
    </w:pPr>
  </w:style>
  <w:style w:type="numbering" w:customStyle="1" w:styleId="FCListNo">
    <w:name w:val="FCListNo"/>
    <w:uiPriority w:val="99"/>
    <w:rsid w:val="0052098C"/>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E445B"/>
    <w:pPr>
      <w:numPr>
        <w:numId w:val="20"/>
      </w:numPr>
      <w:ind w:hanging="720"/>
    </w:pPr>
  </w:style>
  <w:style w:type="paragraph" w:customStyle="1" w:styleId="Order1">
    <w:name w:val="Order 1"/>
    <w:basedOn w:val="Normal"/>
    <w:rsid w:val="004104B6"/>
    <w:pPr>
      <w:numPr>
        <w:numId w:val="21"/>
      </w:numPr>
      <w:spacing w:before="60" w:after="60"/>
    </w:pPr>
  </w:style>
  <w:style w:type="numbering" w:customStyle="1" w:styleId="FCOrders">
    <w:name w:val="FCOrders"/>
    <w:uiPriority w:val="99"/>
    <w:rsid w:val="004104B6"/>
    <w:pPr>
      <w:numPr>
        <w:numId w:val="26"/>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CourtTitle">
    <w:name w:val="CourtTitle"/>
    <w:basedOn w:val="NormalHeadings"/>
    <w:rsid w:val="00A22932"/>
    <w:pPr>
      <w:jc w:val="center"/>
    </w:pPr>
    <w:rPr>
      <w:caps/>
      <w:sz w:val="32"/>
    </w:rPr>
  </w:style>
  <w:style w:type="paragraph" w:customStyle="1" w:styleId="MNC">
    <w:name w:val="MNC"/>
    <w:basedOn w:val="MediaNeutralStyle"/>
    <w:rsid w:val="00085255"/>
    <w:pPr>
      <w:spacing w:after="240"/>
    </w:pPr>
    <w:rPr>
      <w:sz w:val="28"/>
    </w:rPr>
  </w:style>
  <w:style w:type="paragraph" w:customStyle="1" w:styleId="Quote4">
    <w:name w:val="Quote4"/>
    <w:basedOn w:val="Quote1"/>
    <w:rsid w:val="00DF75E1"/>
    <w:pPr>
      <w:ind w:left="2880"/>
    </w:pPr>
  </w:style>
  <w:style w:type="paragraph" w:customStyle="1" w:styleId="Quote4Bullet">
    <w:name w:val="Quote4 Bullet"/>
    <w:basedOn w:val="Quote4"/>
    <w:rsid w:val="00EE445B"/>
    <w:pPr>
      <w:numPr>
        <w:numId w:val="22"/>
      </w:numPr>
      <w:ind w:hanging="720"/>
    </w:pPr>
  </w:style>
  <w:style w:type="character" w:styleId="PlaceholderText">
    <w:name w:val="Placeholder Text"/>
    <w:basedOn w:val="DefaultParagraphFont"/>
    <w:uiPriority w:val="99"/>
    <w:semiHidden/>
    <w:rsid w:val="00CF5A80"/>
    <w:rPr>
      <w:color w:val="808080"/>
    </w:rPr>
  </w:style>
  <w:style w:type="paragraph" w:customStyle="1" w:styleId="Order2">
    <w:name w:val="Order 2"/>
    <w:basedOn w:val="Order1"/>
    <w:rsid w:val="001351B9"/>
    <w:pPr>
      <w:numPr>
        <w:ilvl w:val="1"/>
      </w:numPr>
      <w:tabs>
        <w:tab w:val="clear" w:pos="1440"/>
      </w:tabs>
    </w:pPr>
  </w:style>
  <w:style w:type="paragraph" w:customStyle="1" w:styleId="Order3">
    <w:name w:val="Order 3"/>
    <w:basedOn w:val="Order2"/>
    <w:rsid w:val="00DD6957"/>
    <w:pPr>
      <w:numPr>
        <w:ilvl w:val="2"/>
      </w:numPr>
    </w:pPr>
  </w:style>
  <w:style w:type="paragraph" w:customStyle="1" w:styleId="ListNo1alt">
    <w:name w:val="List No 1 (alt)"/>
    <w:basedOn w:val="Normal"/>
    <w:rsid w:val="008A1741"/>
    <w:pPr>
      <w:numPr>
        <w:numId w:val="25"/>
      </w:numPr>
      <w:spacing w:before="60" w:after="60"/>
    </w:pPr>
  </w:style>
  <w:style w:type="paragraph" w:customStyle="1" w:styleId="ListNo2alt">
    <w:name w:val="List No 2 (alt)"/>
    <w:basedOn w:val="ListNo1alt"/>
    <w:rsid w:val="008A1741"/>
    <w:pPr>
      <w:numPr>
        <w:ilvl w:val="1"/>
      </w:numPr>
    </w:pPr>
  </w:style>
  <w:style w:type="paragraph" w:customStyle="1" w:styleId="ListNo3alt">
    <w:name w:val="List No 3 (alt)"/>
    <w:basedOn w:val="ListNo2alt"/>
    <w:rsid w:val="008A1741"/>
    <w:pPr>
      <w:numPr>
        <w:ilvl w:val="2"/>
      </w:numPr>
    </w:pPr>
  </w:style>
  <w:style w:type="numbering" w:customStyle="1" w:styleId="FCListNoalt">
    <w:name w:val="FC List No (alt)"/>
    <w:uiPriority w:val="99"/>
    <w:rsid w:val="008A1741"/>
    <w:pPr>
      <w:numPr>
        <w:numId w:val="24"/>
      </w:numPr>
    </w:pPr>
  </w:style>
  <w:style w:type="paragraph" w:customStyle="1" w:styleId="Order4">
    <w:name w:val="Order 4"/>
    <w:basedOn w:val="Order3"/>
    <w:rsid w:val="004104B6"/>
    <w:pPr>
      <w:numPr>
        <w:ilvl w:val="3"/>
      </w:numPr>
    </w:pPr>
  </w:style>
  <w:style w:type="character" w:customStyle="1" w:styleId="apple-converted-space">
    <w:name w:val="apple-converted-space"/>
    <w:basedOn w:val="DefaultParagraphFont"/>
    <w:rsid w:val="007009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575881">
      <w:bodyDiv w:val="1"/>
      <w:marLeft w:val="0"/>
      <w:marRight w:val="0"/>
      <w:marTop w:val="0"/>
      <w:marBottom w:val="0"/>
      <w:divBdr>
        <w:top w:val="none" w:sz="0" w:space="0" w:color="auto"/>
        <w:left w:val="none" w:sz="0" w:space="0" w:color="auto"/>
        <w:bottom w:val="none" w:sz="0" w:space="0" w:color="auto"/>
        <w:right w:val="none" w:sz="0" w:space="0" w:color="auto"/>
      </w:divBdr>
    </w:div>
    <w:div w:id="1697265316">
      <w:bodyDiv w:val="1"/>
      <w:marLeft w:val="0"/>
      <w:marRight w:val="0"/>
      <w:marTop w:val="0"/>
      <w:marBottom w:val="0"/>
      <w:divBdr>
        <w:top w:val="none" w:sz="0" w:space="0" w:color="auto"/>
        <w:left w:val="none" w:sz="0" w:space="0" w:color="auto"/>
        <w:bottom w:val="none" w:sz="0" w:space="0" w:color="auto"/>
        <w:right w:val="none" w:sz="0" w:space="0" w:color="auto"/>
      </w:divBdr>
    </w:div>
    <w:div w:id="2082361276">
      <w:bodyDiv w:val="1"/>
      <w:marLeft w:val="360"/>
      <w:marRight w:val="360"/>
      <w:marTop w:val="360"/>
      <w:marBottom w:val="36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n0a\AppData\Roaming\Microsoft\Templates\Judg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B28773E46304187A03560F907B365B1"/>
        <w:category>
          <w:name w:val="General"/>
          <w:gallery w:val="placeholder"/>
        </w:category>
        <w:types>
          <w:type w:val="bbPlcHdr"/>
        </w:types>
        <w:behaviors>
          <w:behavior w:val="content"/>
        </w:behaviors>
        <w:guid w:val="{2B792A28-59F5-4ED4-A03D-4C2EE5332E84}"/>
      </w:docPartPr>
      <w:docPartBody>
        <w:p w:rsidR="00492A50" w:rsidRDefault="00624011">
          <w:pPr>
            <w:pStyle w:val="2B28773E46304187A03560F907B365B1"/>
          </w:pPr>
          <w:r>
            <w:rPr>
              <w:rStyle w:val="PlaceholderText"/>
            </w:rPr>
            <w:t>MNC Text</w:t>
          </w:r>
        </w:p>
      </w:docPartBody>
    </w:docPart>
    <w:docPart>
      <w:docPartPr>
        <w:name w:val="E41D582A5ECF4FA58F954B6B4405A29B"/>
        <w:category>
          <w:name w:val="General"/>
          <w:gallery w:val="placeholder"/>
        </w:category>
        <w:types>
          <w:type w:val="bbPlcHdr"/>
        </w:types>
        <w:behaviors>
          <w:behavior w:val="content"/>
        </w:behaviors>
        <w:guid w:val="{1C657D12-B095-45E8-90D9-2B8DC3B7913E}"/>
      </w:docPartPr>
      <w:docPartBody>
        <w:p w:rsidR="00492A50" w:rsidRDefault="00624011">
          <w:pPr>
            <w:pStyle w:val="E41D582A5ECF4FA58F954B6B4405A29B"/>
          </w:pPr>
          <w:r w:rsidRPr="005C44BE">
            <w:rPr>
              <w:rStyle w:val="PlaceholderText"/>
            </w:rPr>
            <w:t>Click or tap here to enter text.</w:t>
          </w:r>
        </w:p>
      </w:docPartBody>
    </w:docPart>
    <w:docPart>
      <w:docPartPr>
        <w:name w:val="FBC39E20CE924841A97ED419151EC529"/>
        <w:category>
          <w:name w:val="General"/>
          <w:gallery w:val="placeholder"/>
        </w:category>
        <w:types>
          <w:type w:val="bbPlcHdr"/>
        </w:types>
        <w:behaviors>
          <w:behavior w:val="content"/>
        </w:behaviors>
        <w:guid w:val="{FD6E221E-2CA9-4D4E-AA85-8CDBAA17F1F0}"/>
      </w:docPartPr>
      <w:docPartBody>
        <w:p w:rsidR="00492A50" w:rsidRDefault="00624011">
          <w:pPr>
            <w:pStyle w:val="FBC39E20CE924841A97ED419151EC529"/>
          </w:pPr>
          <w:r w:rsidRPr="005C44BE">
            <w:rPr>
              <w:rStyle w:val="PlaceholderText"/>
            </w:rPr>
            <w:t>Click or tap here to enter text.</w:t>
          </w:r>
        </w:p>
      </w:docPartBody>
    </w:docPart>
    <w:docPart>
      <w:docPartPr>
        <w:name w:val="57CE3784D32640DA8D50719A3DD9D041"/>
        <w:category>
          <w:name w:val="General"/>
          <w:gallery w:val="placeholder"/>
        </w:category>
        <w:types>
          <w:type w:val="bbPlcHdr"/>
        </w:types>
        <w:behaviors>
          <w:behavior w:val="content"/>
        </w:behaviors>
        <w:guid w:val="{A2FB7C06-4631-401A-A32A-578F18CC24D9}"/>
      </w:docPartPr>
      <w:docPartBody>
        <w:p w:rsidR="00492A50" w:rsidRDefault="00624011">
          <w:pPr>
            <w:pStyle w:val="57CE3784D32640DA8D50719A3DD9D041"/>
          </w:pPr>
          <w:r w:rsidRPr="005C44BE">
            <w:rPr>
              <w:rStyle w:val="PlaceholderText"/>
            </w:rPr>
            <w:t>Click or tap here to enter text.</w:t>
          </w:r>
        </w:p>
      </w:docPartBody>
    </w:docPart>
    <w:docPart>
      <w:docPartPr>
        <w:name w:val="2181DF911EC3423ABA9579A41936C709"/>
        <w:category>
          <w:name w:val="General"/>
          <w:gallery w:val="placeholder"/>
        </w:category>
        <w:types>
          <w:type w:val="bbPlcHdr"/>
        </w:types>
        <w:behaviors>
          <w:behavior w:val="content"/>
        </w:behaviors>
        <w:guid w:val="{A30F884B-B3EC-4519-B59F-CD71DF9B27B6}"/>
      </w:docPartPr>
      <w:docPartBody>
        <w:p w:rsidR="00492A50" w:rsidRDefault="00624011">
          <w:pPr>
            <w:pStyle w:val="2181DF911EC3423ABA9579A41936C709"/>
          </w:pPr>
          <w:r w:rsidRPr="005C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011"/>
    <w:rsid w:val="000F2843"/>
    <w:rsid w:val="001C790D"/>
    <w:rsid w:val="00492A50"/>
    <w:rsid w:val="005F5A04"/>
    <w:rsid w:val="00624011"/>
    <w:rsid w:val="006E7F68"/>
    <w:rsid w:val="007141EA"/>
    <w:rsid w:val="008239B5"/>
    <w:rsid w:val="008F5E74"/>
    <w:rsid w:val="00981735"/>
    <w:rsid w:val="009D016B"/>
    <w:rsid w:val="00A9731B"/>
    <w:rsid w:val="00BF1C01"/>
    <w:rsid w:val="00CD79CB"/>
    <w:rsid w:val="00F039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B28773E46304187A03560F907B365B1">
    <w:name w:val="2B28773E46304187A03560F907B365B1"/>
  </w:style>
  <w:style w:type="paragraph" w:customStyle="1" w:styleId="E41D582A5ECF4FA58F954B6B4405A29B">
    <w:name w:val="E41D582A5ECF4FA58F954B6B4405A29B"/>
  </w:style>
  <w:style w:type="paragraph" w:customStyle="1" w:styleId="FBC39E20CE924841A97ED419151EC529">
    <w:name w:val="FBC39E20CE924841A97ED419151EC529"/>
  </w:style>
  <w:style w:type="paragraph" w:customStyle="1" w:styleId="57CE3784D32640DA8D50719A3DD9D041">
    <w:name w:val="57CE3784D32640DA8D50719A3DD9D041"/>
  </w:style>
  <w:style w:type="paragraph" w:customStyle="1" w:styleId="2181DF911EC3423ABA9579A41936C709">
    <w:name w:val="2181DF911EC3423ABA9579A41936C7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xmlns="http://schemas.globalmacros.com/FCA">
  <Name>Australian Rail, Tram and Bus Industry Union v Metro Trains Melbourne Pty Ltd [2021] FCA 458 </Name>
</roo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E7CCB-4AA5-44E7-B148-17BA2B6F57C0}">
  <ds:schemaRefs>
    <ds:schemaRef ds:uri="http://schemas.globalmacros.com/FCA"/>
  </ds:schemaRefs>
</ds:datastoreItem>
</file>

<file path=customXml/itemProps2.xml><?xml version="1.0" encoding="utf-8"?>
<ds:datastoreItem xmlns:ds="http://schemas.openxmlformats.org/officeDocument/2006/customXml" ds:itemID="{F2FDD0AB-E2CE-4F38-82E7-AE5134269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1</TotalTime>
  <Pages>12</Pages>
  <Words>3230</Words>
  <Characters>17102</Characters>
  <Application>Microsoft Office Word</Application>
  <DocSecurity>4</DocSecurity>
  <Lines>380</Lines>
  <Paragraphs>160</Paragraphs>
  <ScaleCrop>false</ScaleCrop>
  <HeadingPairs>
    <vt:vector size="2" baseType="variant">
      <vt:variant>
        <vt:lpstr>Title</vt:lpstr>
      </vt:variant>
      <vt:variant>
        <vt:i4>1</vt:i4>
      </vt:variant>
    </vt:vector>
  </HeadingPairs>
  <TitlesOfParts>
    <vt:vector size="1" baseType="lpstr">
      <vt:lpstr>Judgment Template</vt:lpstr>
    </vt:vector>
  </TitlesOfParts>
  <Company>Federal Court of Australia</Company>
  <LinksUpToDate>false</LinksUpToDate>
  <CharactersWithSpaces>20172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 Template</dc:title>
  <dc:creator>Camilla Pondel</dc:creator>
  <cp:lastModifiedBy>Amy Chan</cp:lastModifiedBy>
  <cp:revision>2</cp:revision>
  <cp:lastPrinted>2021-05-04T01:32:00Z</cp:lastPrinted>
  <dcterms:created xsi:type="dcterms:W3CDTF">2021-05-04T04:26:00Z</dcterms:created>
  <dcterms:modified xsi:type="dcterms:W3CDTF">2021-05-04T04:26:00Z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Distribution">
    <vt:lpwstr>GENERAL DISTRIBUTION</vt:lpwstr>
  </property>
  <property fmtid="{D5CDD505-2E9C-101B-9397-08002B2CF9AE}" pid="4" name="MNC">
    <vt:lpwstr> </vt:lpwstr>
  </property>
  <property fmtid="{D5CDD505-2E9C-101B-9397-08002B2CF9AE}" pid="5" name="Pages">
    <vt:lpwstr>3</vt:lpwstr>
  </property>
  <property fmtid="{D5CDD505-2E9C-101B-9397-08002B2CF9AE}" pid="6" name="Parties">
    <vt:lpwstr> </vt:lpwstr>
  </property>
  <property fmtid="{D5CDD505-2E9C-101B-9397-08002B2CF9AE}" pid="7" name="Place">
    <vt:lpwstr>N/A FCA</vt:lpwstr>
  </property>
  <property fmtid="{D5CDD505-2E9C-101B-9397-08002B2CF9AE}" pid="8" name="Respondent">
    <vt:lpwstr> </vt:lpwstr>
  </property>
  <property fmtid="{D5CDD505-2E9C-101B-9397-08002B2CF9AE}" pid="9" name="Year">
    <vt:lpwstr>2020</vt:lpwstr>
  </property>
  <property fmtid="{D5CDD505-2E9C-101B-9397-08002B2CF9AE}" pid="10" name="Judgment Template">
    <vt:lpwstr>True</vt:lpwstr>
  </property>
  <property fmtid="{D5CDD505-2E9C-101B-9397-08002B2CF9AE}" pid="11" name="VERSION">
    <vt:lpwstr>1.0</vt:lpwstr>
  </property>
  <property fmtid="{D5CDD505-2E9C-101B-9397-08002B2CF9AE}" pid="12" name="Registry">
    <vt:lpwstr>Victoria</vt:lpwstr>
  </property>
  <property fmtid="{D5CDD505-2E9C-101B-9397-08002B2CF9AE}" pid="13" name="Division">
    <vt:lpwstr>General Division</vt:lpwstr>
  </property>
  <property fmtid="{D5CDD505-2E9C-101B-9397-08002B2CF9AE}" pid="14" name="FileNo">
    <vt:lpwstr>&lt;FILE NO&gt;</vt:lpwstr>
  </property>
  <property fmtid="{D5CDD505-2E9C-101B-9397-08002B2CF9AE}" pid="15" name="Practice Area">
    <vt:lpwstr>Employment and Industrial Relations</vt:lpwstr>
  </property>
  <property fmtid="{D5CDD505-2E9C-101B-9397-08002B2CF9AE}" pid="16" name="Court">
    <vt:lpwstr>Federal Court of Australia</vt:lpwstr>
  </property>
  <property fmtid="{D5CDD505-2E9C-101B-9397-08002B2CF9AE}" pid="17" name="Sub Area">
    <vt:lpwstr>Delete these rows - not required</vt:lpwstr>
  </property>
  <property fmtid="{D5CDD505-2E9C-101B-9397-08002B2CF9AE}" pid="18" name="AppealFrom">
    <vt:lpwstr>&lt;AppealFrom&gt;</vt:lpwstr>
  </property>
  <property fmtid="{D5CDD505-2E9C-101B-9397-08002B2CF9AE}" pid="19" name="Judge">
    <vt:lpwstr>Judge</vt:lpwstr>
  </property>
  <property fmtid="{D5CDD505-2E9C-101B-9397-08002B2CF9AE}" pid="20" name="Judgment_dated">
    <vt:lpwstr>Judgment_dated</vt:lpwstr>
  </property>
  <property fmtid="{D5CDD505-2E9C-101B-9397-08002B2CF9AE}" pid="21" name="Legislation">
    <vt:lpwstr>Legislation</vt:lpwstr>
  </property>
  <property fmtid="{D5CDD505-2E9C-101B-9397-08002B2CF9AE}" pid="22" name="Catchwords">
    <vt:lpwstr>Catchwords</vt:lpwstr>
  </property>
  <property fmtid="{D5CDD505-2E9C-101B-9397-08002B2CF9AE}" pid="23" name="Words_Phrases">
    <vt:lpwstr>WordsPhrases</vt:lpwstr>
  </property>
  <property fmtid="{D5CDD505-2E9C-101B-9397-08002B2CF9AE}" pid="24" name="Cases_Cited">
    <vt:lpwstr>CasesCited</vt:lpwstr>
  </property>
  <property fmtid="{D5CDD505-2E9C-101B-9397-08002B2CF9AE}" pid="25" name="File_Number">
    <vt:lpwstr>Num</vt:lpwstr>
  </property>
  <property fmtid="{D5CDD505-2E9C-101B-9397-08002B2CF9AE}" pid="26" name="State">
    <vt:lpwstr>State</vt:lpwstr>
  </property>
</Properties>
</file>